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30063" w14:textId="77777777" w:rsidR="006C0540" w:rsidRDefault="006C0540" w:rsidP="009E4F4F">
      <w:bookmarkStart w:id="0" w:name="_heading=h.ysferwwxatyb" w:colFirst="0" w:colLast="0"/>
      <w:bookmarkEnd w:id="0"/>
    </w:p>
    <w:p w14:paraId="1C928C71" w14:textId="77777777" w:rsidR="006C0540" w:rsidRDefault="006C0540" w:rsidP="009E4F4F">
      <w:bookmarkStart w:id="1" w:name="_heading=h.foh3y89l66ux" w:colFirst="0" w:colLast="0"/>
      <w:bookmarkEnd w:id="1"/>
    </w:p>
    <w:p w14:paraId="3D22808D" w14:textId="77777777" w:rsidR="006C0540" w:rsidRDefault="006C0540" w:rsidP="009E4F4F">
      <w:bookmarkStart w:id="2" w:name="_heading=h.qywoa67hm1ey" w:colFirst="0" w:colLast="0"/>
      <w:bookmarkEnd w:id="2"/>
    </w:p>
    <w:p w14:paraId="6FAA6F38" w14:textId="77777777" w:rsidR="006C0540" w:rsidRDefault="006C0540" w:rsidP="009E4F4F">
      <w:pPr>
        <w:jc w:val="center"/>
      </w:pPr>
      <w:bookmarkStart w:id="3" w:name="_heading=h.fah7fx8k569o" w:colFirst="0" w:colLast="0"/>
      <w:bookmarkEnd w:id="3"/>
    </w:p>
    <w:p w14:paraId="7879BAEA" w14:textId="77777777" w:rsidR="006C0540" w:rsidRPr="00C04B22" w:rsidRDefault="006C0540" w:rsidP="009E4F4F">
      <w:pPr>
        <w:jc w:val="center"/>
        <w:rPr>
          <w:sz w:val="32"/>
          <w:szCs w:val="32"/>
        </w:rPr>
      </w:pPr>
      <w:bookmarkStart w:id="4" w:name="_heading=h.rclyamt5kzk" w:colFirst="0" w:colLast="0"/>
      <w:bookmarkEnd w:id="4"/>
    </w:p>
    <w:p w14:paraId="7104A1B5" w14:textId="77777777" w:rsidR="006C0540" w:rsidRPr="00C04B22" w:rsidRDefault="006D60BC" w:rsidP="00C04B22">
      <w:pPr>
        <w:spacing w:after="0"/>
        <w:jc w:val="center"/>
        <w:rPr>
          <w:sz w:val="32"/>
          <w:szCs w:val="32"/>
        </w:rPr>
      </w:pPr>
      <w:bookmarkStart w:id="5" w:name="_heading=h.jo18bcoqz4qf" w:colFirst="0" w:colLast="0"/>
      <w:bookmarkEnd w:id="5"/>
      <w:r w:rsidRPr="00C04B22">
        <w:rPr>
          <w:sz w:val="32"/>
          <w:szCs w:val="32"/>
        </w:rPr>
        <w:t>Comité des droits de l’homme</w:t>
      </w:r>
    </w:p>
    <w:p w14:paraId="59BCA2F3" w14:textId="763D829E" w:rsidR="006C0540" w:rsidRPr="00C04B22" w:rsidRDefault="006D60BC" w:rsidP="009E4F4F">
      <w:pPr>
        <w:jc w:val="center"/>
        <w:rPr>
          <w:sz w:val="32"/>
          <w:szCs w:val="32"/>
        </w:rPr>
      </w:pPr>
      <w:bookmarkStart w:id="6" w:name="_heading=h.xz2tg6j24y6u" w:colFirst="0" w:colLast="0"/>
      <w:bookmarkEnd w:id="6"/>
      <w:r w:rsidRPr="00C04B22">
        <w:rPr>
          <w:sz w:val="32"/>
          <w:szCs w:val="32"/>
        </w:rPr>
        <w:t>138ème Session (26 juin 2023 - 28 juil</w:t>
      </w:r>
      <w:r w:rsidR="007D4E2C">
        <w:rPr>
          <w:sz w:val="32"/>
          <w:szCs w:val="32"/>
        </w:rPr>
        <w:t>let</w:t>
      </w:r>
      <w:r w:rsidRPr="00C04B22">
        <w:rPr>
          <w:sz w:val="32"/>
          <w:szCs w:val="32"/>
        </w:rPr>
        <w:t xml:space="preserve"> 2023)</w:t>
      </w:r>
    </w:p>
    <w:p w14:paraId="649BA15C" w14:textId="77777777" w:rsidR="006C0540" w:rsidRPr="00C04B22" w:rsidRDefault="006C0540" w:rsidP="009E4F4F">
      <w:pPr>
        <w:jc w:val="center"/>
        <w:rPr>
          <w:sz w:val="32"/>
          <w:szCs w:val="32"/>
        </w:rPr>
      </w:pPr>
    </w:p>
    <w:p w14:paraId="418A2E7F" w14:textId="599810FF" w:rsidR="006C0540" w:rsidRPr="00C04B22" w:rsidRDefault="006D60BC" w:rsidP="009E4F4F">
      <w:pPr>
        <w:jc w:val="center"/>
        <w:rPr>
          <w:b/>
          <w:sz w:val="32"/>
          <w:szCs w:val="32"/>
        </w:rPr>
      </w:pPr>
      <w:bookmarkStart w:id="7" w:name="_heading=h.qd5jfcf1w6r1" w:colFirst="0" w:colLast="0"/>
      <w:bookmarkEnd w:id="7"/>
      <w:r w:rsidRPr="00C04B22">
        <w:rPr>
          <w:b/>
          <w:sz w:val="32"/>
          <w:szCs w:val="32"/>
        </w:rPr>
        <w:t>Rapport alternatif sur l’</w:t>
      </w:r>
      <w:r w:rsidR="00893C21">
        <w:rPr>
          <w:b/>
          <w:sz w:val="32"/>
          <w:szCs w:val="32"/>
        </w:rPr>
        <w:t>É</w:t>
      </w:r>
      <w:r w:rsidRPr="00C04B22">
        <w:rPr>
          <w:b/>
          <w:sz w:val="32"/>
          <w:szCs w:val="32"/>
        </w:rPr>
        <w:t>tat de Palestine</w:t>
      </w:r>
    </w:p>
    <w:p w14:paraId="7E58EFB4" w14:textId="77777777" w:rsidR="006C0540" w:rsidRPr="00C04B22" w:rsidRDefault="006C0540" w:rsidP="009E4F4F">
      <w:pPr>
        <w:jc w:val="center"/>
        <w:rPr>
          <w:sz w:val="32"/>
          <w:szCs w:val="32"/>
        </w:rPr>
      </w:pPr>
    </w:p>
    <w:p w14:paraId="34F0BB83" w14:textId="4545B188" w:rsidR="006C0540" w:rsidRPr="00C04B22" w:rsidRDefault="006D60BC" w:rsidP="009E4F4F">
      <w:pPr>
        <w:jc w:val="center"/>
        <w:rPr>
          <w:i/>
          <w:sz w:val="28"/>
          <w:szCs w:val="28"/>
        </w:rPr>
      </w:pPr>
      <w:bookmarkStart w:id="8" w:name="_heading=h.1o4jw2w3am7t" w:colFirst="0" w:colLast="0"/>
      <w:bookmarkEnd w:id="8"/>
      <w:r w:rsidRPr="00C04B22">
        <w:rPr>
          <w:i/>
          <w:sz w:val="28"/>
          <w:szCs w:val="28"/>
        </w:rPr>
        <w:t>Présenté au groupe de travail du Comité des droits de l’homme en vue de l’examen du rapport périodique de la Palestine portant sur le respect du Pacte international relatif aux droits civils et politiques</w:t>
      </w:r>
      <w:r w:rsidR="004A5EB3">
        <w:rPr>
          <w:i/>
          <w:sz w:val="28"/>
          <w:szCs w:val="28"/>
        </w:rPr>
        <w:t xml:space="preserve"> (PIDCP). </w:t>
      </w:r>
    </w:p>
    <w:p w14:paraId="12565274" w14:textId="77777777" w:rsidR="006C0540" w:rsidRDefault="006D60BC">
      <w:pPr>
        <w:pBdr>
          <w:top w:val="nil"/>
          <w:left w:val="nil"/>
          <w:bottom w:val="nil"/>
          <w:right w:val="nil"/>
          <w:between w:val="nil"/>
        </w:pBdr>
        <w:spacing w:before="200" w:after="40" w:line="240" w:lineRule="auto"/>
        <w:rPr>
          <w:smallCaps/>
        </w:rPr>
      </w:pPr>
      <w:r>
        <w:br w:type="page"/>
      </w:r>
    </w:p>
    <w:p w14:paraId="14A5F905" w14:textId="502BB08F" w:rsidR="006C0540" w:rsidRPr="009E4F4F" w:rsidRDefault="009E4F4F" w:rsidP="009E4F4F">
      <w:pPr>
        <w:rPr>
          <w:b/>
          <w:bCs/>
        </w:rPr>
      </w:pPr>
      <w:bookmarkStart w:id="9" w:name="_heading=h.z09yuywwh8vm" w:colFirst="0" w:colLast="0"/>
      <w:bookmarkEnd w:id="9"/>
      <w:r w:rsidRPr="009E4F4F">
        <w:rPr>
          <w:b/>
          <w:bCs/>
        </w:rPr>
        <w:lastRenderedPageBreak/>
        <w:t xml:space="preserve">AUTEURS ET CONTRIBUTEURS </w:t>
      </w:r>
    </w:p>
    <w:p w14:paraId="3E4EF63B" w14:textId="77777777" w:rsidR="006C0540" w:rsidRDefault="006D60BC">
      <w:pPr>
        <w:spacing w:before="200" w:line="240" w:lineRule="auto"/>
      </w:pPr>
      <w:r>
        <w:rPr>
          <w:b/>
        </w:rPr>
        <w:t>Planète Réfugiés-Droits de l’Homme (PRDH)</w:t>
      </w:r>
      <w:r>
        <w:t xml:space="preserve"> est une association indépendante, neutre et impartiale, à but non-lucratif. Elle a pour mandat de contribuer au respect des droits fondamentaux des personnes, en particulier des plus vulnérables, notamment dans le cadre de la détermination du statut du réfugié. Elle mène des activités de recherches-actions et de formation sur les thèmes suivants (torture, peine de mort, disparitions forcées, accès à la justice, droits civils et politiques) en France et à l’étranger. PRDH développe une initiative internationale visant à la rédaction de standards internationaux spécifiques concernant les conditions de détention et de traitement des personnes condamnées à mort dans le monde. </w:t>
      </w:r>
    </w:p>
    <w:p w14:paraId="1275A2DC" w14:textId="57AB9D1C" w:rsidR="006C0540" w:rsidRDefault="006D60BC">
      <w:pPr>
        <w:spacing w:before="200" w:line="240" w:lineRule="auto"/>
      </w:pPr>
      <w:r>
        <w:rPr>
          <w:b/>
        </w:rPr>
        <w:t>La Clinique</w:t>
      </w:r>
      <w:r w:rsidR="004A5EB3">
        <w:rPr>
          <w:b/>
        </w:rPr>
        <w:t xml:space="preserve"> en droits des libertés</w:t>
      </w:r>
      <w:r>
        <w:rPr>
          <w:b/>
        </w:rPr>
        <w:t xml:space="preserve"> de l’Université Grenoble</w:t>
      </w:r>
      <w:r w:rsidR="004A5EB3">
        <w:rPr>
          <w:b/>
        </w:rPr>
        <w:t>-</w:t>
      </w:r>
      <w:r>
        <w:rPr>
          <w:b/>
        </w:rPr>
        <w:t>Alpes</w:t>
      </w:r>
      <w:r>
        <w:t xml:space="preserve"> est un dispositif pédagogique développé en partenariat avec le Centre de Recherches Juridiques (CRJ) de la Faculté de droit de Grenoble</w:t>
      </w:r>
      <w:r w:rsidR="00E97834">
        <w:t>-Alpes</w:t>
      </w:r>
      <w:r>
        <w:t xml:space="preserve">. Le projet vise d’une part la professionnalisation des </w:t>
      </w:r>
      <w:proofErr w:type="spellStart"/>
      <w:r>
        <w:t>étudiant.</w:t>
      </w:r>
      <w:proofErr w:type="gramStart"/>
      <w:r>
        <w:t>e.s</w:t>
      </w:r>
      <w:proofErr w:type="spellEnd"/>
      <w:proofErr w:type="gramEnd"/>
      <w:r>
        <w:t xml:space="preserve"> par une collaboration avec des praticiens du droit ou des professionnels du monde associatif. D’autre part, il porte une ambition sociale en offrant un véritable service juridique.</w:t>
      </w:r>
    </w:p>
    <w:p w14:paraId="45F57B6F" w14:textId="77777777" w:rsidR="006C0540" w:rsidRPr="009E4F4F" w:rsidRDefault="006C0540">
      <w:pPr>
        <w:spacing w:before="200" w:line="240" w:lineRule="auto"/>
        <w:rPr>
          <w:b/>
          <w:bCs/>
        </w:rPr>
      </w:pPr>
    </w:p>
    <w:p w14:paraId="758D1CED" w14:textId="20908B43" w:rsidR="006C0540" w:rsidRDefault="009E4F4F" w:rsidP="009E4F4F">
      <w:pPr>
        <w:rPr>
          <w:b/>
          <w:bCs/>
        </w:rPr>
      </w:pPr>
      <w:bookmarkStart w:id="10" w:name="_heading=h.qozdcpqho74x" w:colFirst="0" w:colLast="0"/>
      <w:bookmarkEnd w:id="10"/>
      <w:r w:rsidRPr="009E4F4F">
        <w:rPr>
          <w:b/>
          <w:bCs/>
        </w:rPr>
        <w:t xml:space="preserve">TABLES DES MATIÈRES </w:t>
      </w:r>
    </w:p>
    <w:p w14:paraId="39C1930E" w14:textId="342AFDF3" w:rsidR="00621C6C" w:rsidRDefault="00621C6C">
      <w:pPr>
        <w:pStyle w:val="TM1"/>
        <w:tabs>
          <w:tab w:val="left" w:pos="440"/>
          <w:tab w:val="right" w:leader="dot" w:pos="9016"/>
        </w:tabs>
        <w:rPr>
          <w:rFonts w:cstheme="minorBidi"/>
          <w:noProof/>
        </w:rPr>
      </w:pPr>
      <w:r>
        <w:rPr>
          <w:b/>
          <w:bCs/>
        </w:rPr>
        <w:fldChar w:fldCharType="begin"/>
      </w:r>
      <w:r>
        <w:rPr>
          <w:b/>
          <w:bCs/>
        </w:rPr>
        <w:instrText xml:space="preserve"> TOC \o "1-2" \h \z \u </w:instrText>
      </w:r>
      <w:r>
        <w:rPr>
          <w:b/>
          <w:bCs/>
        </w:rPr>
        <w:fldChar w:fldCharType="separate"/>
      </w:r>
      <w:hyperlink w:anchor="_Toc131755896" w:history="1">
        <w:r w:rsidRPr="00707011">
          <w:rPr>
            <w:rStyle w:val="Lienhypertexte"/>
            <w:noProof/>
          </w:rPr>
          <w:t>I.</w:t>
        </w:r>
        <w:r>
          <w:rPr>
            <w:rFonts w:cstheme="minorBidi"/>
            <w:noProof/>
          </w:rPr>
          <w:tab/>
        </w:r>
        <w:r w:rsidRPr="00707011">
          <w:rPr>
            <w:rStyle w:val="Lienhypertexte"/>
            <w:noProof/>
          </w:rPr>
          <w:t>Le droit à la vie (Article 6 PIDCP)</w:t>
        </w:r>
        <w:r>
          <w:rPr>
            <w:noProof/>
            <w:webHidden/>
          </w:rPr>
          <w:tab/>
        </w:r>
        <w:r>
          <w:rPr>
            <w:noProof/>
            <w:webHidden/>
          </w:rPr>
          <w:fldChar w:fldCharType="begin"/>
        </w:r>
        <w:r>
          <w:rPr>
            <w:noProof/>
            <w:webHidden/>
          </w:rPr>
          <w:instrText xml:space="preserve"> PAGEREF _Toc131755896 \h </w:instrText>
        </w:r>
        <w:r>
          <w:rPr>
            <w:noProof/>
            <w:webHidden/>
          </w:rPr>
        </w:r>
        <w:r>
          <w:rPr>
            <w:noProof/>
            <w:webHidden/>
          </w:rPr>
          <w:fldChar w:fldCharType="separate"/>
        </w:r>
        <w:r>
          <w:rPr>
            <w:noProof/>
            <w:webHidden/>
          </w:rPr>
          <w:t>2</w:t>
        </w:r>
        <w:r>
          <w:rPr>
            <w:noProof/>
            <w:webHidden/>
          </w:rPr>
          <w:fldChar w:fldCharType="end"/>
        </w:r>
      </w:hyperlink>
    </w:p>
    <w:p w14:paraId="5233489E" w14:textId="172492C3" w:rsidR="00621C6C" w:rsidRDefault="00467E46">
      <w:pPr>
        <w:pStyle w:val="TM2"/>
        <w:tabs>
          <w:tab w:val="right" w:leader="dot" w:pos="9016"/>
        </w:tabs>
        <w:rPr>
          <w:rFonts w:cstheme="minorBidi"/>
          <w:noProof/>
        </w:rPr>
      </w:pPr>
      <w:hyperlink w:anchor="_Toc131755897" w:history="1">
        <w:r w:rsidR="00621C6C" w:rsidRPr="00707011">
          <w:rPr>
            <w:rStyle w:val="Lienhypertexte"/>
            <w:noProof/>
          </w:rPr>
          <w:t>1.1 Le cadre législatif</w:t>
        </w:r>
        <w:r w:rsidR="00621C6C">
          <w:rPr>
            <w:noProof/>
            <w:webHidden/>
          </w:rPr>
          <w:tab/>
        </w:r>
        <w:r w:rsidR="00621C6C">
          <w:rPr>
            <w:noProof/>
            <w:webHidden/>
          </w:rPr>
          <w:fldChar w:fldCharType="begin"/>
        </w:r>
        <w:r w:rsidR="00621C6C">
          <w:rPr>
            <w:noProof/>
            <w:webHidden/>
          </w:rPr>
          <w:instrText xml:space="preserve"> PAGEREF _Toc131755897 \h </w:instrText>
        </w:r>
        <w:r w:rsidR="00621C6C">
          <w:rPr>
            <w:noProof/>
            <w:webHidden/>
          </w:rPr>
        </w:r>
        <w:r w:rsidR="00621C6C">
          <w:rPr>
            <w:noProof/>
            <w:webHidden/>
          </w:rPr>
          <w:fldChar w:fldCharType="separate"/>
        </w:r>
        <w:r w:rsidR="00621C6C">
          <w:rPr>
            <w:noProof/>
            <w:webHidden/>
          </w:rPr>
          <w:t>2</w:t>
        </w:r>
        <w:r w:rsidR="00621C6C">
          <w:rPr>
            <w:noProof/>
            <w:webHidden/>
          </w:rPr>
          <w:fldChar w:fldCharType="end"/>
        </w:r>
      </w:hyperlink>
    </w:p>
    <w:p w14:paraId="1475A8A6" w14:textId="482AB2AB" w:rsidR="00621C6C" w:rsidRDefault="00467E46">
      <w:pPr>
        <w:pStyle w:val="TM2"/>
        <w:tabs>
          <w:tab w:val="right" w:leader="dot" w:pos="9016"/>
        </w:tabs>
        <w:rPr>
          <w:rFonts w:cstheme="minorBidi"/>
          <w:noProof/>
        </w:rPr>
      </w:pPr>
      <w:hyperlink w:anchor="_Toc131755898" w:history="1">
        <w:r w:rsidR="00621C6C" w:rsidRPr="00707011">
          <w:rPr>
            <w:rStyle w:val="Lienhypertexte"/>
            <w:noProof/>
          </w:rPr>
          <w:t>1.2 La pratique des condamnations et des exécutions à mort</w:t>
        </w:r>
        <w:r w:rsidR="00621C6C">
          <w:rPr>
            <w:noProof/>
            <w:webHidden/>
          </w:rPr>
          <w:tab/>
        </w:r>
        <w:r w:rsidR="00621C6C">
          <w:rPr>
            <w:noProof/>
            <w:webHidden/>
          </w:rPr>
          <w:fldChar w:fldCharType="begin"/>
        </w:r>
        <w:r w:rsidR="00621C6C">
          <w:rPr>
            <w:noProof/>
            <w:webHidden/>
          </w:rPr>
          <w:instrText xml:space="preserve"> PAGEREF _Toc131755898 \h </w:instrText>
        </w:r>
        <w:r w:rsidR="00621C6C">
          <w:rPr>
            <w:noProof/>
            <w:webHidden/>
          </w:rPr>
        </w:r>
        <w:r w:rsidR="00621C6C">
          <w:rPr>
            <w:noProof/>
            <w:webHidden/>
          </w:rPr>
          <w:fldChar w:fldCharType="separate"/>
        </w:r>
        <w:r w:rsidR="00621C6C">
          <w:rPr>
            <w:noProof/>
            <w:webHidden/>
          </w:rPr>
          <w:t>4</w:t>
        </w:r>
        <w:r w:rsidR="00621C6C">
          <w:rPr>
            <w:noProof/>
            <w:webHidden/>
          </w:rPr>
          <w:fldChar w:fldCharType="end"/>
        </w:r>
      </w:hyperlink>
    </w:p>
    <w:p w14:paraId="00D39438" w14:textId="0AB1295B" w:rsidR="00621C6C" w:rsidRDefault="00467E46">
      <w:pPr>
        <w:pStyle w:val="TM1"/>
        <w:tabs>
          <w:tab w:val="left" w:pos="440"/>
          <w:tab w:val="right" w:leader="dot" w:pos="9016"/>
        </w:tabs>
        <w:rPr>
          <w:rFonts w:cstheme="minorBidi"/>
          <w:noProof/>
        </w:rPr>
      </w:pPr>
      <w:hyperlink w:anchor="_Toc131755899" w:history="1">
        <w:r w:rsidR="00621C6C" w:rsidRPr="00707011">
          <w:rPr>
            <w:rStyle w:val="Lienhypertexte"/>
            <w:noProof/>
          </w:rPr>
          <w:t>II.</w:t>
        </w:r>
        <w:r w:rsidR="00621C6C">
          <w:rPr>
            <w:rFonts w:cstheme="minorBidi"/>
            <w:noProof/>
          </w:rPr>
          <w:tab/>
        </w:r>
        <w:r w:rsidR="00621C6C" w:rsidRPr="00707011">
          <w:rPr>
            <w:rStyle w:val="Lienhypertexte"/>
            <w:noProof/>
          </w:rPr>
          <w:t>Garanties procédurales lors des procès de condamnation à mort (articles 9, 10 et 14 du PIDCP)</w:t>
        </w:r>
        <w:r w:rsidR="00621C6C">
          <w:rPr>
            <w:noProof/>
            <w:webHidden/>
          </w:rPr>
          <w:tab/>
        </w:r>
        <w:r w:rsidR="00621C6C">
          <w:rPr>
            <w:noProof/>
            <w:webHidden/>
          </w:rPr>
          <w:fldChar w:fldCharType="begin"/>
        </w:r>
        <w:r w:rsidR="00621C6C">
          <w:rPr>
            <w:noProof/>
            <w:webHidden/>
          </w:rPr>
          <w:instrText xml:space="preserve"> PAGEREF _Toc131755899 \h </w:instrText>
        </w:r>
        <w:r w:rsidR="00621C6C">
          <w:rPr>
            <w:noProof/>
            <w:webHidden/>
          </w:rPr>
        </w:r>
        <w:r w:rsidR="00621C6C">
          <w:rPr>
            <w:noProof/>
            <w:webHidden/>
          </w:rPr>
          <w:fldChar w:fldCharType="separate"/>
        </w:r>
        <w:r w:rsidR="00621C6C">
          <w:rPr>
            <w:noProof/>
            <w:webHidden/>
          </w:rPr>
          <w:t>6</w:t>
        </w:r>
        <w:r w:rsidR="00621C6C">
          <w:rPr>
            <w:noProof/>
            <w:webHidden/>
          </w:rPr>
          <w:fldChar w:fldCharType="end"/>
        </w:r>
      </w:hyperlink>
    </w:p>
    <w:p w14:paraId="4FE9C664" w14:textId="7A581F06" w:rsidR="00621C6C" w:rsidRDefault="00467E46">
      <w:pPr>
        <w:pStyle w:val="TM2"/>
        <w:tabs>
          <w:tab w:val="right" w:leader="dot" w:pos="9016"/>
        </w:tabs>
        <w:rPr>
          <w:rFonts w:cstheme="minorBidi"/>
          <w:noProof/>
        </w:rPr>
      </w:pPr>
      <w:hyperlink w:anchor="_Toc131755900" w:history="1">
        <w:r w:rsidR="00621C6C" w:rsidRPr="00707011">
          <w:rPr>
            <w:rStyle w:val="Lienhypertexte"/>
            <w:noProof/>
          </w:rPr>
          <w:t>2.1 Violations des garanties procédurales</w:t>
        </w:r>
        <w:r w:rsidR="00621C6C">
          <w:rPr>
            <w:noProof/>
            <w:webHidden/>
          </w:rPr>
          <w:tab/>
        </w:r>
        <w:r w:rsidR="00621C6C">
          <w:rPr>
            <w:noProof/>
            <w:webHidden/>
          </w:rPr>
          <w:fldChar w:fldCharType="begin"/>
        </w:r>
        <w:r w:rsidR="00621C6C">
          <w:rPr>
            <w:noProof/>
            <w:webHidden/>
          </w:rPr>
          <w:instrText xml:space="preserve"> PAGEREF _Toc131755900 \h </w:instrText>
        </w:r>
        <w:r w:rsidR="00621C6C">
          <w:rPr>
            <w:noProof/>
            <w:webHidden/>
          </w:rPr>
        </w:r>
        <w:r w:rsidR="00621C6C">
          <w:rPr>
            <w:noProof/>
            <w:webHidden/>
          </w:rPr>
          <w:fldChar w:fldCharType="separate"/>
        </w:r>
        <w:r w:rsidR="00621C6C">
          <w:rPr>
            <w:noProof/>
            <w:webHidden/>
          </w:rPr>
          <w:t>6</w:t>
        </w:r>
        <w:r w:rsidR="00621C6C">
          <w:rPr>
            <w:noProof/>
            <w:webHidden/>
          </w:rPr>
          <w:fldChar w:fldCharType="end"/>
        </w:r>
      </w:hyperlink>
    </w:p>
    <w:p w14:paraId="566CBDF3" w14:textId="1C23007C" w:rsidR="00621C6C" w:rsidRDefault="00467E46">
      <w:pPr>
        <w:pStyle w:val="TM2"/>
        <w:tabs>
          <w:tab w:val="right" w:leader="dot" w:pos="9016"/>
        </w:tabs>
        <w:rPr>
          <w:rFonts w:cstheme="minorBidi"/>
          <w:noProof/>
        </w:rPr>
      </w:pPr>
      <w:hyperlink w:anchor="_Toc131755901" w:history="1">
        <w:r w:rsidR="00621C6C" w:rsidRPr="00707011">
          <w:rPr>
            <w:rStyle w:val="Lienhypertexte"/>
            <w:noProof/>
          </w:rPr>
          <w:t>2.2 Les tribunaux militaires</w:t>
        </w:r>
        <w:r w:rsidR="00621C6C">
          <w:rPr>
            <w:noProof/>
            <w:webHidden/>
          </w:rPr>
          <w:tab/>
        </w:r>
        <w:r w:rsidR="00621C6C">
          <w:rPr>
            <w:noProof/>
            <w:webHidden/>
          </w:rPr>
          <w:fldChar w:fldCharType="begin"/>
        </w:r>
        <w:r w:rsidR="00621C6C">
          <w:rPr>
            <w:noProof/>
            <w:webHidden/>
          </w:rPr>
          <w:instrText xml:space="preserve"> PAGEREF _Toc131755901 \h </w:instrText>
        </w:r>
        <w:r w:rsidR="00621C6C">
          <w:rPr>
            <w:noProof/>
            <w:webHidden/>
          </w:rPr>
        </w:r>
        <w:r w:rsidR="00621C6C">
          <w:rPr>
            <w:noProof/>
            <w:webHidden/>
          </w:rPr>
          <w:fldChar w:fldCharType="separate"/>
        </w:r>
        <w:r w:rsidR="00621C6C">
          <w:rPr>
            <w:noProof/>
            <w:webHidden/>
          </w:rPr>
          <w:t>9</w:t>
        </w:r>
        <w:r w:rsidR="00621C6C">
          <w:rPr>
            <w:noProof/>
            <w:webHidden/>
          </w:rPr>
          <w:fldChar w:fldCharType="end"/>
        </w:r>
      </w:hyperlink>
    </w:p>
    <w:p w14:paraId="24BFED7E" w14:textId="2AA9E2B1" w:rsidR="00621C6C" w:rsidRDefault="00467E46">
      <w:pPr>
        <w:pStyle w:val="TM1"/>
        <w:tabs>
          <w:tab w:val="left" w:pos="660"/>
          <w:tab w:val="right" w:leader="dot" w:pos="9016"/>
        </w:tabs>
        <w:rPr>
          <w:rFonts w:cstheme="minorBidi"/>
          <w:noProof/>
        </w:rPr>
      </w:pPr>
      <w:hyperlink w:anchor="_Toc131755902" w:history="1">
        <w:r w:rsidR="00621C6C" w:rsidRPr="00707011">
          <w:rPr>
            <w:rStyle w:val="Lienhypertexte"/>
            <w:noProof/>
          </w:rPr>
          <w:t>III.</w:t>
        </w:r>
        <w:r w:rsidR="00621C6C">
          <w:rPr>
            <w:rFonts w:cstheme="minorBidi"/>
            <w:noProof/>
          </w:rPr>
          <w:tab/>
        </w:r>
        <w:r w:rsidR="00621C6C" w:rsidRPr="00707011">
          <w:rPr>
            <w:rStyle w:val="Lienhypertexte"/>
            <w:noProof/>
          </w:rPr>
          <w:t xml:space="preserve">Violations des droits fondamentaux dans les prisons (article 10 et 7 du </w:t>
        </w:r>
        <w:r w:rsidR="00621C6C" w:rsidRPr="00707011">
          <w:rPr>
            <w:rStyle w:val="Lienhypertexte"/>
            <w:noProof/>
          </w:rPr>
          <w:t>p</w:t>
        </w:r>
        <w:r w:rsidR="00621C6C" w:rsidRPr="00707011">
          <w:rPr>
            <w:rStyle w:val="Lienhypertexte"/>
            <w:noProof/>
          </w:rPr>
          <w:t>i</w:t>
        </w:r>
        <w:r w:rsidR="00621C6C" w:rsidRPr="00707011">
          <w:rPr>
            <w:rStyle w:val="Lienhypertexte"/>
            <w:noProof/>
          </w:rPr>
          <w:t>d</w:t>
        </w:r>
        <w:r w:rsidR="00621C6C" w:rsidRPr="00707011">
          <w:rPr>
            <w:rStyle w:val="Lienhypertexte"/>
            <w:noProof/>
          </w:rPr>
          <w:t>cp)</w:t>
        </w:r>
        <w:r w:rsidR="00621C6C">
          <w:rPr>
            <w:noProof/>
            <w:webHidden/>
          </w:rPr>
          <w:tab/>
        </w:r>
        <w:r w:rsidR="00621C6C">
          <w:rPr>
            <w:noProof/>
            <w:webHidden/>
          </w:rPr>
          <w:fldChar w:fldCharType="begin"/>
        </w:r>
        <w:r w:rsidR="00621C6C">
          <w:rPr>
            <w:noProof/>
            <w:webHidden/>
          </w:rPr>
          <w:instrText xml:space="preserve"> PAGEREF _Toc131755902 \h </w:instrText>
        </w:r>
        <w:r w:rsidR="00621C6C">
          <w:rPr>
            <w:noProof/>
            <w:webHidden/>
          </w:rPr>
        </w:r>
        <w:r w:rsidR="00621C6C">
          <w:rPr>
            <w:noProof/>
            <w:webHidden/>
          </w:rPr>
          <w:fldChar w:fldCharType="separate"/>
        </w:r>
        <w:r w:rsidR="00621C6C">
          <w:rPr>
            <w:noProof/>
            <w:webHidden/>
          </w:rPr>
          <w:t>11</w:t>
        </w:r>
        <w:r w:rsidR="00621C6C">
          <w:rPr>
            <w:noProof/>
            <w:webHidden/>
          </w:rPr>
          <w:fldChar w:fldCharType="end"/>
        </w:r>
      </w:hyperlink>
    </w:p>
    <w:p w14:paraId="7206C8EC" w14:textId="2BB0E310" w:rsidR="00621C6C" w:rsidRDefault="00467E46">
      <w:pPr>
        <w:pStyle w:val="TM2"/>
        <w:tabs>
          <w:tab w:val="right" w:leader="dot" w:pos="9016"/>
        </w:tabs>
        <w:rPr>
          <w:rFonts w:cstheme="minorBidi"/>
          <w:noProof/>
        </w:rPr>
      </w:pPr>
      <w:hyperlink w:anchor="_Toc131755903" w:history="1">
        <w:r w:rsidR="00621C6C" w:rsidRPr="00707011">
          <w:rPr>
            <w:rStyle w:val="Lienhypertexte"/>
            <w:noProof/>
          </w:rPr>
          <w:t>3.1 Cadre juridique</w:t>
        </w:r>
        <w:r w:rsidR="00621C6C">
          <w:rPr>
            <w:noProof/>
            <w:webHidden/>
          </w:rPr>
          <w:tab/>
        </w:r>
        <w:r w:rsidR="00621C6C">
          <w:rPr>
            <w:noProof/>
            <w:webHidden/>
          </w:rPr>
          <w:fldChar w:fldCharType="begin"/>
        </w:r>
        <w:r w:rsidR="00621C6C">
          <w:rPr>
            <w:noProof/>
            <w:webHidden/>
          </w:rPr>
          <w:instrText xml:space="preserve"> PAGEREF _Toc131755903 \h </w:instrText>
        </w:r>
        <w:r w:rsidR="00621C6C">
          <w:rPr>
            <w:noProof/>
            <w:webHidden/>
          </w:rPr>
        </w:r>
        <w:r w:rsidR="00621C6C">
          <w:rPr>
            <w:noProof/>
            <w:webHidden/>
          </w:rPr>
          <w:fldChar w:fldCharType="separate"/>
        </w:r>
        <w:r w:rsidR="00621C6C">
          <w:rPr>
            <w:noProof/>
            <w:webHidden/>
          </w:rPr>
          <w:t>11</w:t>
        </w:r>
        <w:r w:rsidR="00621C6C">
          <w:rPr>
            <w:noProof/>
            <w:webHidden/>
          </w:rPr>
          <w:fldChar w:fldCharType="end"/>
        </w:r>
      </w:hyperlink>
    </w:p>
    <w:p w14:paraId="0956F0E3" w14:textId="63B06F8E" w:rsidR="00621C6C" w:rsidRDefault="00467E46">
      <w:pPr>
        <w:pStyle w:val="TM2"/>
        <w:tabs>
          <w:tab w:val="right" w:leader="dot" w:pos="9016"/>
        </w:tabs>
        <w:rPr>
          <w:rFonts w:cstheme="minorBidi"/>
          <w:noProof/>
        </w:rPr>
      </w:pPr>
      <w:hyperlink w:anchor="_Toc131755904" w:history="1">
        <w:r w:rsidR="00621C6C" w:rsidRPr="00707011">
          <w:rPr>
            <w:rStyle w:val="Lienhypertexte"/>
            <w:noProof/>
          </w:rPr>
          <w:t>3.2 Conditions matérielles de détention</w:t>
        </w:r>
        <w:r w:rsidR="00621C6C">
          <w:rPr>
            <w:noProof/>
            <w:webHidden/>
          </w:rPr>
          <w:tab/>
        </w:r>
        <w:r w:rsidR="00621C6C">
          <w:rPr>
            <w:noProof/>
            <w:webHidden/>
          </w:rPr>
          <w:fldChar w:fldCharType="begin"/>
        </w:r>
        <w:r w:rsidR="00621C6C">
          <w:rPr>
            <w:noProof/>
            <w:webHidden/>
          </w:rPr>
          <w:instrText xml:space="preserve"> PAGEREF _Toc131755904 \h </w:instrText>
        </w:r>
        <w:r w:rsidR="00621C6C">
          <w:rPr>
            <w:noProof/>
            <w:webHidden/>
          </w:rPr>
        </w:r>
        <w:r w:rsidR="00621C6C">
          <w:rPr>
            <w:noProof/>
            <w:webHidden/>
          </w:rPr>
          <w:fldChar w:fldCharType="separate"/>
        </w:r>
        <w:r w:rsidR="00621C6C">
          <w:rPr>
            <w:noProof/>
            <w:webHidden/>
          </w:rPr>
          <w:t>11</w:t>
        </w:r>
        <w:r w:rsidR="00621C6C">
          <w:rPr>
            <w:noProof/>
            <w:webHidden/>
          </w:rPr>
          <w:fldChar w:fldCharType="end"/>
        </w:r>
      </w:hyperlink>
    </w:p>
    <w:p w14:paraId="6763DE59" w14:textId="29BF6D1E" w:rsidR="00621C6C" w:rsidRDefault="00467E46">
      <w:pPr>
        <w:pStyle w:val="TM2"/>
        <w:tabs>
          <w:tab w:val="right" w:leader="dot" w:pos="9016"/>
        </w:tabs>
        <w:rPr>
          <w:rFonts w:cstheme="minorBidi"/>
          <w:noProof/>
        </w:rPr>
      </w:pPr>
      <w:hyperlink w:anchor="_Toc131755905" w:history="1">
        <w:r w:rsidR="00621C6C" w:rsidRPr="00707011">
          <w:rPr>
            <w:rStyle w:val="Lienhypertexte"/>
            <w:noProof/>
          </w:rPr>
          <w:t>3.3 Pratique de la torture et autres mauvais traitements</w:t>
        </w:r>
        <w:r w:rsidR="00621C6C">
          <w:rPr>
            <w:noProof/>
            <w:webHidden/>
          </w:rPr>
          <w:tab/>
        </w:r>
        <w:r w:rsidR="00621C6C">
          <w:rPr>
            <w:noProof/>
            <w:webHidden/>
          </w:rPr>
          <w:fldChar w:fldCharType="begin"/>
        </w:r>
        <w:r w:rsidR="00621C6C">
          <w:rPr>
            <w:noProof/>
            <w:webHidden/>
          </w:rPr>
          <w:instrText xml:space="preserve"> PAGEREF _Toc131755905 \h </w:instrText>
        </w:r>
        <w:r w:rsidR="00621C6C">
          <w:rPr>
            <w:noProof/>
            <w:webHidden/>
          </w:rPr>
        </w:r>
        <w:r w:rsidR="00621C6C">
          <w:rPr>
            <w:noProof/>
            <w:webHidden/>
          </w:rPr>
          <w:fldChar w:fldCharType="separate"/>
        </w:r>
        <w:r w:rsidR="00621C6C">
          <w:rPr>
            <w:noProof/>
            <w:webHidden/>
          </w:rPr>
          <w:t>11</w:t>
        </w:r>
        <w:r w:rsidR="00621C6C">
          <w:rPr>
            <w:noProof/>
            <w:webHidden/>
          </w:rPr>
          <w:fldChar w:fldCharType="end"/>
        </w:r>
      </w:hyperlink>
    </w:p>
    <w:p w14:paraId="643B42BC" w14:textId="7D55EAC6" w:rsidR="00621C6C" w:rsidRPr="009E4F4F" w:rsidRDefault="00621C6C" w:rsidP="009E4F4F">
      <w:pPr>
        <w:rPr>
          <w:b/>
          <w:bCs/>
        </w:rPr>
      </w:pPr>
      <w:r>
        <w:rPr>
          <w:b/>
          <w:bCs/>
        </w:rPr>
        <w:fldChar w:fldCharType="end"/>
      </w:r>
    </w:p>
    <w:p w14:paraId="55B5EB16" w14:textId="77777777" w:rsidR="006C0540" w:rsidRDefault="006C0540">
      <w:bookmarkStart w:id="11" w:name="_heading=h.g0kcjxkr6tgu" w:colFirst="0" w:colLast="0"/>
      <w:bookmarkEnd w:id="11"/>
    </w:p>
    <w:p w14:paraId="3F0893D1" w14:textId="7AC20B2E" w:rsidR="006C0540" w:rsidRDefault="006C0540"/>
    <w:p w14:paraId="0133D6BB" w14:textId="77777777" w:rsidR="009E4F4F" w:rsidRDefault="009E4F4F"/>
    <w:p w14:paraId="7749E35E" w14:textId="77777777" w:rsidR="009E4F4F" w:rsidRDefault="009E4F4F">
      <w:bookmarkStart w:id="12" w:name="_heading=h.8o9qjaaek0ef" w:colFirst="0" w:colLast="0"/>
      <w:bookmarkEnd w:id="12"/>
      <w:r>
        <w:br w:type="page"/>
      </w:r>
    </w:p>
    <w:p w14:paraId="471B972F" w14:textId="17C4E31F" w:rsidR="006C0540" w:rsidRPr="009E4F4F" w:rsidRDefault="009E4F4F" w:rsidP="009E4F4F">
      <w:pPr>
        <w:rPr>
          <w:b/>
          <w:bCs/>
        </w:rPr>
      </w:pPr>
      <w:r w:rsidRPr="009E4F4F">
        <w:rPr>
          <w:b/>
          <w:bCs/>
        </w:rPr>
        <w:lastRenderedPageBreak/>
        <w:t xml:space="preserve">INTRODUCTION </w:t>
      </w:r>
    </w:p>
    <w:p w14:paraId="0883D340" w14:textId="77777777" w:rsidR="006C0540" w:rsidRDefault="006D60BC">
      <w:pPr>
        <w:spacing w:before="200" w:line="240" w:lineRule="auto"/>
        <w:ind w:firstLine="720"/>
      </w:pPr>
      <w:r>
        <w:t>L’</w:t>
      </w:r>
      <w:r>
        <w:rPr>
          <w:highlight w:val="white"/>
        </w:rPr>
        <w:t>État</w:t>
      </w:r>
      <w:r>
        <w:t xml:space="preserve"> de Palestine est </w:t>
      </w:r>
      <w:proofErr w:type="gramStart"/>
      <w:r>
        <w:t>partie</w:t>
      </w:r>
      <w:proofErr w:type="gramEnd"/>
      <w:r>
        <w:t xml:space="preserve"> au Pacte international relatif aux droits civils et politiques (PIDCP) depuis le 2 avril 2014 et a adhéré à son Protocole facultatif visant à abolir la peine de mort le 18 mars 2019. Cependant, une scission politique s’est opérée en 2006 et depuis lors, le Hamas exerce </w:t>
      </w:r>
      <w:r>
        <w:rPr>
          <w:i/>
        </w:rPr>
        <w:t>de facto</w:t>
      </w:r>
      <w:r>
        <w:t xml:space="preserve"> son autorité sur la bande de Gaza. Le Hamas ne reconnait pas l’autorité du président palestinien et possède des systèmes judiciaire et législatif parallèles. Étant un groupe paraétatique, il ne peut pas en tant que tel ratifier des traités internationaux mais a tout de même déclaré s’estimer lié par le PIDCP</w:t>
      </w:r>
      <w:r>
        <w:rPr>
          <w:vertAlign w:val="superscript"/>
        </w:rPr>
        <w:footnoteReference w:id="1"/>
      </w:r>
      <w:r>
        <w:t>. L’Autorité palestinienne et le Hamas sont dès lors tenus de respecter leurs engagements internationaux contenus dans le PIDCP. De surcroît, l’Autorité palestinienne est tenue de respecter ses obligations internationales contenues dans le Protocole facultatif visant à abolir la peine de mort.</w:t>
      </w:r>
    </w:p>
    <w:p w14:paraId="444BE450" w14:textId="21A671D9" w:rsidR="006C0540" w:rsidRPr="009E4F4F" w:rsidRDefault="006D60BC" w:rsidP="009E4F4F">
      <w:pPr>
        <w:pStyle w:val="Titre1"/>
        <w:numPr>
          <w:ilvl w:val="0"/>
          <w:numId w:val="28"/>
        </w:numPr>
        <w:ind w:left="360"/>
      </w:pPr>
      <w:bookmarkStart w:id="13" w:name="_heading=h.p8ai0st17o23" w:colFirst="0" w:colLast="0"/>
      <w:bookmarkStart w:id="14" w:name="_Toc131755896"/>
      <w:bookmarkEnd w:id="13"/>
      <w:r w:rsidRPr="009E4F4F">
        <w:t xml:space="preserve">Le droit à la vie </w:t>
      </w:r>
      <w:r w:rsidR="00251481" w:rsidRPr="009E4F4F">
        <w:t>(Article 6 PIDCP)</w:t>
      </w:r>
      <w:bookmarkEnd w:id="14"/>
    </w:p>
    <w:p w14:paraId="2E82B565" w14:textId="0E5281C5" w:rsidR="006C0540" w:rsidRPr="009E4F4F" w:rsidRDefault="00C04B22" w:rsidP="009E4F4F">
      <w:pPr>
        <w:pStyle w:val="Titre2"/>
      </w:pPr>
      <w:bookmarkStart w:id="15" w:name="_heading=h.p4zsxlwxaup4" w:colFirst="0" w:colLast="0"/>
      <w:bookmarkStart w:id="16" w:name="_Toc131755897"/>
      <w:bookmarkEnd w:id="15"/>
      <w:r>
        <w:t xml:space="preserve">1.1 </w:t>
      </w:r>
      <w:r w:rsidR="006D60BC" w:rsidRPr="009E4F4F">
        <w:t>Le cadre législatif</w:t>
      </w:r>
      <w:bookmarkEnd w:id="16"/>
      <w:r w:rsidR="009E4F4F" w:rsidRPr="009E4F4F">
        <w:t xml:space="preserve"> </w:t>
      </w:r>
    </w:p>
    <w:p w14:paraId="67759F7B"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before="120" w:after="160" w:line="240" w:lineRule="auto"/>
        <w:rPr>
          <w:sz w:val="20"/>
          <w:szCs w:val="20"/>
        </w:rPr>
      </w:pPr>
      <w:r w:rsidRPr="003E4580">
        <w:rPr>
          <w:b/>
          <w:sz w:val="20"/>
          <w:szCs w:val="20"/>
        </w:rPr>
        <w:t>Article 6 du PIDCP</w:t>
      </w:r>
    </w:p>
    <w:p w14:paraId="26742FF1"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before="120" w:after="160" w:line="240" w:lineRule="auto"/>
        <w:rPr>
          <w:sz w:val="20"/>
          <w:szCs w:val="20"/>
        </w:rPr>
      </w:pPr>
      <w:r w:rsidRPr="003E4580">
        <w:rPr>
          <w:sz w:val="20"/>
          <w:szCs w:val="20"/>
        </w:rPr>
        <w:t>1. Le droit à la vie est inhérent à la personne humaine. Ce droit doit être protégé par la loi. Nul ne peut être arbitrairement privé de la vie.</w:t>
      </w:r>
    </w:p>
    <w:p w14:paraId="525FE680"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after="160" w:line="240" w:lineRule="auto"/>
        <w:rPr>
          <w:sz w:val="20"/>
          <w:szCs w:val="20"/>
        </w:rPr>
      </w:pPr>
      <w:r w:rsidRPr="003E4580">
        <w:rPr>
          <w:sz w:val="20"/>
          <w:szCs w:val="20"/>
        </w:rPr>
        <w:t>2. Dans les pays où la peine de mort n'a pas été abolie, une sentence de mort ne peut être prononcée que pour les crimes les plus graves, conformément à la législation en vigueur au moment où le crime a été commis et qui ne doit pas être en contradiction avec les dispositions du présent Pacte ni avec la Convention pour la prévention et la répression du crime de génocide. Cette peine ne peut être appliquée qu'en vertu d'un jugement définitif rendu par un tribunal compétent. (..)</w:t>
      </w:r>
    </w:p>
    <w:p w14:paraId="441A8DF2"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after="240" w:line="240" w:lineRule="auto"/>
        <w:rPr>
          <w:sz w:val="20"/>
          <w:szCs w:val="20"/>
        </w:rPr>
      </w:pPr>
      <w:r w:rsidRPr="003E4580">
        <w:rPr>
          <w:sz w:val="20"/>
          <w:szCs w:val="20"/>
        </w:rPr>
        <w:t>4. Tout condamné à mort a le droit de solliciter la grâce ou la commutation de la peine. L'amnistie, la grâce ou la commutation de la peine de mort peuvent dans tous les cas être accordées.</w:t>
      </w:r>
    </w:p>
    <w:p w14:paraId="49C467C3"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after="160" w:line="240" w:lineRule="auto"/>
        <w:rPr>
          <w:sz w:val="20"/>
          <w:szCs w:val="20"/>
        </w:rPr>
      </w:pPr>
      <w:r w:rsidRPr="003E4580">
        <w:rPr>
          <w:sz w:val="20"/>
          <w:szCs w:val="20"/>
        </w:rPr>
        <w:t>5. Une sentence de mort ne peut être imposée pour des crimes commis par des personnes âgées de moins de 18 ans et ne peut être exécutée contre des femmes enceintes.</w:t>
      </w:r>
    </w:p>
    <w:p w14:paraId="0ECD7E6E"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after="160" w:line="240" w:lineRule="auto"/>
        <w:rPr>
          <w:sz w:val="20"/>
          <w:szCs w:val="20"/>
        </w:rPr>
      </w:pPr>
      <w:r w:rsidRPr="003E4580">
        <w:rPr>
          <w:sz w:val="20"/>
          <w:szCs w:val="20"/>
        </w:rPr>
        <w:t xml:space="preserve">6. Aucune disposition du présent article ne peut être invoquée pour retarder ou empêcher l'abolition de la peine capitale par un </w:t>
      </w:r>
      <w:r w:rsidRPr="003E4580">
        <w:rPr>
          <w:sz w:val="20"/>
          <w:szCs w:val="20"/>
          <w:highlight w:val="white"/>
        </w:rPr>
        <w:t xml:space="preserve">État </w:t>
      </w:r>
      <w:r w:rsidRPr="003E4580">
        <w:rPr>
          <w:sz w:val="20"/>
          <w:szCs w:val="20"/>
        </w:rPr>
        <w:t>partie au présent Pacte.</w:t>
      </w:r>
    </w:p>
    <w:p w14:paraId="7C780C96" w14:textId="77777777" w:rsidR="006C0540" w:rsidRPr="00251481" w:rsidRDefault="006D60BC">
      <w:pPr>
        <w:spacing w:before="200" w:line="240" w:lineRule="auto"/>
        <w:ind w:firstLine="720"/>
        <w:rPr>
          <w:sz w:val="28"/>
          <w:szCs w:val="28"/>
          <w:highlight w:val="white"/>
        </w:rPr>
      </w:pPr>
      <w:r w:rsidRPr="00251481">
        <w:rPr>
          <w:highlight w:val="white"/>
        </w:rPr>
        <w:t>L’Observation générale n°36 du Comité des droits de l’homme de 2018 précise l’article</w:t>
      </w:r>
      <w:r w:rsidRPr="00251481">
        <w:t xml:space="preserve"> 6§2 du PIDCP</w:t>
      </w:r>
      <w:r w:rsidRPr="00251481">
        <w:rPr>
          <w:highlight w:val="white"/>
        </w:rPr>
        <w:t>. Il est indiqué que lorsque la peine de mort n’est pas abolie, elle ne peut concerner que les crimes les plus graves</w:t>
      </w:r>
      <w:r w:rsidRPr="00251481">
        <w:rPr>
          <w:highlight w:val="white"/>
          <w:vertAlign w:val="superscript"/>
        </w:rPr>
        <w:footnoteReference w:id="2"/>
      </w:r>
      <w:r w:rsidRPr="00251481">
        <w:rPr>
          <w:highlight w:val="white"/>
        </w:rPr>
        <w:t xml:space="preserve">. Ce type de crime concerne uniquement le meurtre intentionnel. </w:t>
      </w:r>
    </w:p>
    <w:p w14:paraId="2487D366"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before="120" w:after="160" w:line="240" w:lineRule="auto"/>
        <w:rPr>
          <w:b/>
          <w:sz w:val="20"/>
          <w:szCs w:val="20"/>
        </w:rPr>
      </w:pPr>
      <w:r w:rsidRPr="003E4580">
        <w:rPr>
          <w:b/>
          <w:sz w:val="20"/>
          <w:szCs w:val="20"/>
        </w:rPr>
        <w:t>Article premier du Protocole facultatif visant à abolir la peine de mort.</w:t>
      </w:r>
    </w:p>
    <w:p w14:paraId="09C5C21B"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before="120" w:after="160" w:line="240" w:lineRule="auto"/>
        <w:rPr>
          <w:bCs/>
          <w:sz w:val="20"/>
          <w:szCs w:val="20"/>
        </w:rPr>
      </w:pPr>
      <w:r w:rsidRPr="003E4580">
        <w:rPr>
          <w:bCs/>
          <w:sz w:val="20"/>
          <w:szCs w:val="20"/>
        </w:rPr>
        <w:t>1. Aucune personne relevant de la juridiction d'un État partie au présent Protocole ne sera exécutée.</w:t>
      </w:r>
    </w:p>
    <w:p w14:paraId="02B43551" w14:textId="77777777" w:rsidR="006C0540" w:rsidRPr="003E4580" w:rsidRDefault="006D60BC" w:rsidP="00711F4C">
      <w:pPr>
        <w:pBdr>
          <w:top w:val="single" w:sz="4" w:space="1" w:color="000000"/>
          <w:left w:val="single" w:sz="4" w:space="4" w:color="000000"/>
          <w:bottom w:val="single" w:sz="4" w:space="1" w:color="000000"/>
          <w:right w:val="single" w:sz="4" w:space="4" w:color="000000"/>
        </w:pBdr>
        <w:spacing w:before="120" w:after="160" w:line="240" w:lineRule="auto"/>
        <w:rPr>
          <w:bCs/>
          <w:sz w:val="20"/>
          <w:szCs w:val="20"/>
        </w:rPr>
      </w:pPr>
      <w:r w:rsidRPr="003E4580">
        <w:rPr>
          <w:bCs/>
          <w:sz w:val="20"/>
          <w:szCs w:val="20"/>
        </w:rPr>
        <w:t>2. Chaque État partie prendra toutes les mesures voulues pour abolir la peine de mort dans le ressort de sa juridiction.</w:t>
      </w:r>
    </w:p>
    <w:p w14:paraId="566E1E0B" w14:textId="2C33B48E" w:rsidR="006C0540" w:rsidRDefault="006D60BC" w:rsidP="00251481">
      <w:pPr>
        <w:spacing w:line="240" w:lineRule="auto"/>
        <w:ind w:firstLine="720"/>
      </w:pPr>
      <w:r>
        <w:lastRenderedPageBreak/>
        <w:t>Si, dans le rapport initial de l’</w:t>
      </w:r>
      <w:r>
        <w:rPr>
          <w:highlight w:val="white"/>
        </w:rPr>
        <w:t>État</w:t>
      </w:r>
      <w:r>
        <w:rPr>
          <w:vertAlign w:val="superscript"/>
        </w:rPr>
        <w:footnoteReference w:id="3"/>
      </w:r>
      <w:r w:rsidR="00E97834">
        <w:t>,</w:t>
      </w:r>
      <w:r>
        <w:t xml:space="preserve"> il est indiqué qu’un nouveau Code pénal a été élaboré afin de supprimer la peine de mort pour tout type d’infraction, ce code n’est pas entré en vigueur. Des dispositions législatives prévoyant la peine de mort pour de nombreux crimes sont ainsi encore applicables.</w:t>
      </w:r>
    </w:p>
    <w:p w14:paraId="59837FFC" w14:textId="6EC695CF" w:rsidR="006C0540" w:rsidRDefault="006D60BC" w:rsidP="003E4580">
      <w:pPr>
        <w:spacing w:before="100" w:beforeAutospacing="1" w:line="240" w:lineRule="auto"/>
      </w:pPr>
      <w:r>
        <w:t>En Cisjordanie et à Gaza, est appliqué le Code pénal révolutionnaire de l’Organisation de Libération de la Palestine de 1979</w:t>
      </w:r>
      <w:r w:rsidR="00E97834">
        <w:t xml:space="preserve">, </w:t>
      </w:r>
      <w:r>
        <w:t xml:space="preserve">notamment par les juridictions militaires. </w:t>
      </w:r>
      <w:r w:rsidRPr="00E97834">
        <w:rPr>
          <w:b/>
          <w:bCs/>
        </w:rPr>
        <w:t xml:space="preserve">40 articles </w:t>
      </w:r>
      <w:r w:rsidR="00E97834" w:rsidRPr="00E97834">
        <w:rPr>
          <w:b/>
          <w:bCs/>
        </w:rPr>
        <w:t xml:space="preserve">prévoient </w:t>
      </w:r>
      <w:r w:rsidRPr="00E97834">
        <w:rPr>
          <w:b/>
          <w:bCs/>
        </w:rPr>
        <w:t>la peine de mort, dont 34 qui la rende</w:t>
      </w:r>
      <w:r w:rsidR="00E97834">
        <w:rPr>
          <w:b/>
          <w:bCs/>
        </w:rPr>
        <w:t>nt</w:t>
      </w:r>
      <w:r w:rsidRPr="00E97834">
        <w:rPr>
          <w:b/>
          <w:bCs/>
        </w:rPr>
        <w:t xml:space="preserve"> automatique</w:t>
      </w:r>
      <w:r>
        <w:t xml:space="preserve">. Les infractions passibles de la peine de mort sont notamment la trahison, l’espionnage, les crimes contre la Constitution et les autorités, le terrorisme, le banditisme, les crimes militaires, les crimes et délits contre les personnes, les crimes présentant un danger systémique et les crimes liés à la mendicité, l’ivresse et le jeu. </w:t>
      </w:r>
    </w:p>
    <w:p w14:paraId="24D1DE49" w14:textId="6D917452" w:rsidR="006C0540" w:rsidRDefault="006D60BC" w:rsidP="003E4580">
      <w:pPr>
        <w:spacing w:before="200" w:line="240" w:lineRule="auto"/>
      </w:pPr>
      <w:r>
        <w:t>En Cisjordanie</w:t>
      </w:r>
      <w:r w:rsidR="00D541F4">
        <w:t>,</w:t>
      </w:r>
      <w:r>
        <w:t xml:space="preserve"> deux sources législatives prévoient la peine de mort. Il s’agit du Code pénal jordanien n°16 de 1960  et de la Loi sur les explosifs n°23 de 1963. Le Code pénal jordanien n°16 de 1960 contient 17 articles  prévoyant la peine de mort dont 15 de manière automatique pour différents motifs : trahison, violation du droit international, crimes contre la Constitution, sédition, terrorisme, crimes contre la sécurité publique, crimes contre l’honneur, crimes et délits contre les personnes, incendies criminels, attaques sur les voies publiques, les moyens de transport et les ouvrages industriels. La Loi sur les explosifs n°23 de 1963 contient un article prévoyant la peine de mort pour l’utilisation de substances explosives dans une intention terroriste, en vue de causer des dommages aux biens ou de porter atteinte à la vie.</w:t>
      </w:r>
    </w:p>
    <w:p w14:paraId="2249540A" w14:textId="6A9D5D2C" w:rsidR="006C0540" w:rsidRDefault="006D60BC" w:rsidP="003E4580">
      <w:pPr>
        <w:spacing w:before="200" w:line="240" w:lineRule="auto"/>
      </w:pPr>
      <w:r>
        <w:t>Dans la bande de Gaza, la peine de mort est prévue dans le Code pénal palestinien n°74 de 1936 et dans la Loi sur les drogues et les stimulants mentaux adoptée en deuxième lecture en août 2013. La peine</w:t>
      </w:r>
      <w:r w:rsidR="00D541F4">
        <w:t xml:space="preserve"> capitale</w:t>
      </w:r>
      <w:r>
        <w:t xml:space="preserve"> est prévue dans 7 articles. Elle est obligatoire pour les crimes de trahison, de conspiration en vue d’une guerre et de meurtre et encourue pour le trafic de stupéfiants. </w:t>
      </w:r>
    </w:p>
    <w:p w14:paraId="7229BBFA" w14:textId="77777777" w:rsidR="006C0540" w:rsidRPr="00D541F4" w:rsidRDefault="006D60BC" w:rsidP="003E4580">
      <w:pPr>
        <w:spacing w:before="200" w:line="240" w:lineRule="auto"/>
        <w:rPr>
          <w:b/>
          <w:bCs/>
        </w:rPr>
      </w:pPr>
      <w:r>
        <w:t xml:space="preserve">La lecture de cette typologie des peines applicables montre que </w:t>
      </w:r>
      <w:r w:rsidRPr="00D541F4">
        <w:rPr>
          <w:b/>
          <w:bCs/>
        </w:rPr>
        <w:t xml:space="preserve">la peine de mort est prévue pour de nombreux crimes ne relevant pas du meurtre intentionnel. L’article 6§2 du PIDCP </w:t>
      </w:r>
      <w:r w:rsidRPr="00D541F4">
        <w:rPr>
          <w:b/>
          <w:bCs/>
          <w:highlight w:val="white"/>
        </w:rPr>
        <w:t>tel qu’interprété par l’Observation générale n°36 du Comité des droits de l’homme de 2018</w:t>
      </w:r>
      <w:r w:rsidRPr="00D541F4">
        <w:rPr>
          <w:b/>
          <w:bCs/>
          <w:highlight w:val="white"/>
          <w:vertAlign w:val="superscript"/>
        </w:rPr>
        <w:t xml:space="preserve"> </w:t>
      </w:r>
      <w:r w:rsidRPr="00D541F4">
        <w:rPr>
          <w:b/>
          <w:bCs/>
        </w:rPr>
        <w:t xml:space="preserve">est ainsi méconnu. </w:t>
      </w:r>
    </w:p>
    <w:p w14:paraId="461D5670" w14:textId="61ABB295" w:rsidR="006C0540" w:rsidRDefault="006D60BC" w:rsidP="003E4580">
      <w:pPr>
        <w:spacing w:before="200" w:line="240" w:lineRule="auto"/>
      </w:pPr>
      <w:r>
        <w:t>L’article 42 de la Loi fondamentale de 2003 prévoit que des grâces peuvent être accordées aux condamnés à mort</w:t>
      </w:r>
      <w:r>
        <w:rPr>
          <w:vertAlign w:val="superscript"/>
        </w:rPr>
        <w:footnoteReference w:id="4"/>
      </w:r>
      <w:r>
        <w:t xml:space="preserve"> conformément à l’article 6§4 du PIDCP. Néanmoins la possibilité pour ces condamnés de demander la grâce n’est pas respectée, comme le souligne Ravina </w:t>
      </w:r>
      <w:proofErr w:type="spellStart"/>
      <w:r>
        <w:t>Shamdasani</w:t>
      </w:r>
      <w:proofErr w:type="spellEnd"/>
      <w:r>
        <w:rPr>
          <w:color w:val="333333"/>
        </w:rPr>
        <w:t xml:space="preserve">, </w:t>
      </w:r>
      <w:r>
        <w:t>la porte-parole du Haut-Commissariat des Nations Unies aux droits de l’homme concernant les cinq personnes exécutées dans la bande de Gaza le 4 septembre 2022</w:t>
      </w:r>
      <w:r>
        <w:rPr>
          <w:vertAlign w:val="superscript"/>
        </w:rPr>
        <w:footnoteReference w:id="5"/>
      </w:r>
      <w:r>
        <w:t xml:space="preserve">. </w:t>
      </w:r>
    </w:p>
    <w:p w14:paraId="6E89E0D3" w14:textId="77777777" w:rsidR="006C0540" w:rsidRPr="00D541F4" w:rsidRDefault="006D60BC" w:rsidP="003E4580">
      <w:pPr>
        <w:spacing w:before="200" w:line="240" w:lineRule="auto"/>
        <w:rPr>
          <w:b/>
          <w:bCs/>
        </w:rPr>
      </w:pPr>
      <w:r w:rsidRPr="00D541F4">
        <w:rPr>
          <w:b/>
          <w:bCs/>
        </w:rPr>
        <w:t>Dans son rapport initial</w:t>
      </w:r>
      <w:r w:rsidRPr="00D541F4">
        <w:rPr>
          <w:b/>
          <w:bCs/>
          <w:vertAlign w:val="superscript"/>
        </w:rPr>
        <w:footnoteReference w:id="6"/>
      </w:r>
      <w:r w:rsidRPr="00D541F4">
        <w:rPr>
          <w:b/>
          <w:bCs/>
        </w:rPr>
        <w:t>, l’</w:t>
      </w:r>
      <w:r w:rsidRPr="00D541F4">
        <w:rPr>
          <w:b/>
          <w:bCs/>
          <w:highlight w:val="white"/>
        </w:rPr>
        <w:t xml:space="preserve">État </w:t>
      </w:r>
      <w:r w:rsidRPr="00D541F4">
        <w:rPr>
          <w:b/>
          <w:bCs/>
        </w:rPr>
        <w:t>souligne que, conformément à l’article 6§5 du PIDCP</w:t>
      </w:r>
      <w:r w:rsidRPr="00D541F4">
        <w:rPr>
          <w:b/>
          <w:bCs/>
          <w:highlight w:val="white"/>
        </w:rPr>
        <w:t xml:space="preserve">, </w:t>
      </w:r>
      <w:r w:rsidRPr="00D541F4">
        <w:rPr>
          <w:b/>
          <w:bCs/>
        </w:rPr>
        <w:t>l’article 7 (al. 2) du décret-loi n</w:t>
      </w:r>
      <w:r w:rsidRPr="00D541F4">
        <w:rPr>
          <w:b/>
          <w:bCs/>
          <w:vertAlign w:val="superscript"/>
        </w:rPr>
        <w:t>o</w:t>
      </w:r>
      <w:r w:rsidRPr="00D541F4">
        <w:rPr>
          <w:b/>
          <w:bCs/>
        </w:rPr>
        <w:t> 4 de 2016 sur la protection des mineurs exclut la peine de mort pour ces derniers. Toutefois, le Comité contre la torture dans ses Observations finales, le 23 août 2022</w:t>
      </w:r>
      <w:r w:rsidRPr="00D541F4">
        <w:rPr>
          <w:b/>
          <w:bCs/>
          <w:vertAlign w:val="superscript"/>
        </w:rPr>
        <w:footnoteReference w:id="7"/>
      </w:r>
      <w:r w:rsidRPr="00D541F4">
        <w:rPr>
          <w:b/>
          <w:bCs/>
        </w:rPr>
        <w:t xml:space="preserve">, souligne la non-application de ce décret dans la bande de Gaza. </w:t>
      </w:r>
    </w:p>
    <w:p w14:paraId="3A82EC33" w14:textId="613C8DF4" w:rsidR="006C0540" w:rsidRDefault="006D60BC" w:rsidP="009E4F4F">
      <w:pPr>
        <w:spacing w:line="240" w:lineRule="auto"/>
      </w:pPr>
      <w:r>
        <w:lastRenderedPageBreak/>
        <w:t>Il est également fait mention par l’</w:t>
      </w:r>
      <w:r>
        <w:rPr>
          <w:highlight w:val="white"/>
        </w:rPr>
        <w:t>État</w:t>
      </w:r>
      <w:r>
        <w:rPr>
          <w:vertAlign w:val="superscript"/>
        </w:rPr>
        <w:footnoteReference w:id="8"/>
      </w:r>
      <w:r>
        <w:t xml:space="preserve"> de dispositions législatives excluant la peine de mort pour les femmes enceintes dans le Code pénal n</w:t>
      </w:r>
      <w:r>
        <w:rPr>
          <w:vertAlign w:val="superscript"/>
        </w:rPr>
        <w:t>o</w:t>
      </w:r>
      <w:r>
        <w:t> 16 de 1960 ainsi que le Code pénal n</w:t>
      </w:r>
      <w:r>
        <w:rPr>
          <w:vertAlign w:val="superscript"/>
        </w:rPr>
        <w:t>o</w:t>
      </w:r>
      <w:r>
        <w:t> 74 de 1936 conformément à l’</w:t>
      </w:r>
      <w:r w:rsidR="00D541F4">
        <w:t xml:space="preserve">article </w:t>
      </w:r>
      <w:r>
        <w:t>6§5 du PIDCP</w:t>
      </w:r>
      <w:r>
        <w:rPr>
          <w:highlight w:val="white"/>
        </w:rPr>
        <w:t xml:space="preserve">. Néanmoins </w:t>
      </w:r>
      <w:r>
        <w:t>le</w:t>
      </w:r>
      <w:r>
        <w:rPr>
          <w:highlight w:val="white"/>
        </w:rPr>
        <w:t xml:space="preserve"> </w:t>
      </w:r>
      <w:r w:rsidRPr="00D541F4">
        <w:rPr>
          <w:b/>
          <w:bCs/>
        </w:rPr>
        <w:t>Code pénal révolutionnaire de l’Organisation de Libération de la Palestine de 1979 ne contient pas de dispositions similaires.</w:t>
      </w:r>
    </w:p>
    <w:tbl>
      <w:tblPr>
        <w:tblStyle w:val="a7"/>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17147B10" w14:textId="77777777">
        <w:tc>
          <w:tcPr>
            <w:tcW w:w="9026" w:type="dxa"/>
            <w:shd w:val="clear" w:color="auto" w:fill="auto"/>
            <w:tcMar>
              <w:top w:w="100" w:type="dxa"/>
              <w:left w:w="100" w:type="dxa"/>
              <w:bottom w:w="100" w:type="dxa"/>
              <w:right w:w="100" w:type="dxa"/>
            </w:tcMar>
          </w:tcPr>
          <w:p w14:paraId="4BAC2995" w14:textId="77777777" w:rsidR="006C0540" w:rsidRPr="00711F4C" w:rsidRDefault="006D60BC" w:rsidP="00711F4C">
            <w:pPr>
              <w:spacing w:line="240" w:lineRule="auto"/>
              <w:rPr>
                <w:b/>
                <w:sz w:val="20"/>
                <w:szCs w:val="20"/>
              </w:rPr>
            </w:pPr>
            <w:r w:rsidRPr="00711F4C">
              <w:rPr>
                <w:b/>
                <w:sz w:val="20"/>
                <w:szCs w:val="20"/>
              </w:rPr>
              <w:t>Recommandations :</w:t>
            </w:r>
          </w:p>
          <w:p w14:paraId="26C416CB"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Adopter une politique favorable à l’octroi de grâces pour les personnes condamnées à la peine capitale. S’assurer que chaque condamné à mort dans la bande de Gaza ait la possibilité de demander une grâce afin que sa peine puisse être commuée le cas échéant.  </w:t>
            </w:r>
          </w:p>
          <w:p w14:paraId="4BAB1F2B"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Veiller à ce que les juridictions dans la bande de Gaza ne prononcent aucune condamnation à mort à l’égard de mineurs, conformément à l’article 7 du décret-loi n</w:t>
            </w:r>
            <w:r w:rsidRPr="00711F4C">
              <w:rPr>
                <w:bCs/>
                <w:sz w:val="20"/>
                <w:szCs w:val="20"/>
                <w:vertAlign w:val="superscript"/>
              </w:rPr>
              <w:t>o</w:t>
            </w:r>
            <w:r w:rsidRPr="00711F4C">
              <w:rPr>
                <w:bCs/>
                <w:sz w:val="20"/>
                <w:szCs w:val="20"/>
              </w:rPr>
              <w:t> 4 de 2016 et à l’engagement pris par le Hamas de respecter l’article 6§5.</w:t>
            </w:r>
          </w:p>
          <w:p w14:paraId="7ED7A203"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Veiller à ce que les juridictions dans la bande de Gaza ne prononcent pas la peine de mort à l’encontre de femmes enceintes conformément au décret-loi n</w:t>
            </w:r>
            <w:r w:rsidRPr="00711F4C">
              <w:rPr>
                <w:bCs/>
                <w:sz w:val="20"/>
                <w:szCs w:val="20"/>
                <w:vertAlign w:val="superscript"/>
              </w:rPr>
              <w:t>o</w:t>
            </w:r>
            <w:r w:rsidRPr="00711F4C">
              <w:rPr>
                <w:bCs/>
                <w:sz w:val="20"/>
                <w:szCs w:val="20"/>
              </w:rPr>
              <w:t> 4 de 2016 à l’engagement pris par le Hamas de respecter l’article 6§5.</w:t>
            </w:r>
          </w:p>
          <w:p w14:paraId="316F54C9" w14:textId="77777777" w:rsidR="006C0540" w:rsidRDefault="006D60BC" w:rsidP="00711F4C">
            <w:pPr>
              <w:numPr>
                <w:ilvl w:val="0"/>
                <w:numId w:val="2"/>
              </w:numPr>
              <w:spacing w:before="200" w:after="0" w:line="240" w:lineRule="auto"/>
              <w:ind w:left="360"/>
              <w:rPr>
                <w:b/>
              </w:rPr>
            </w:pPr>
            <w:r w:rsidRPr="00711F4C">
              <w:rPr>
                <w:bCs/>
                <w:sz w:val="20"/>
                <w:szCs w:val="20"/>
              </w:rPr>
              <w:t>Adopter le nouveau Code pénal en préparation en s’assurant de sa conformité avec l’article 6 du PIDCP et l’article premier du Deuxième Protocole facultatif.</w:t>
            </w:r>
          </w:p>
        </w:tc>
      </w:tr>
    </w:tbl>
    <w:p w14:paraId="07C1D8B4" w14:textId="7FA68B87" w:rsidR="006C0540" w:rsidRPr="00251481" w:rsidRDefault="00C04B22" w:rsidP="00C04B22">
      <w:pPr>
        <w:pStyle w:val="Titre2"/>
        <w:spacing w:before="360"/>
      </w:pPr>
      <w:bookmarkStart w:id="17" w:name="_heading=h.wvebwfndvkpk" w:colFirst="0" w:colLast="0"/>
      <w:bookmarkStart w:id="18" w:name="_Toc131755898"/>
      <w:bookmarkEnd w:id="17"/>
      <w:r>
        <w:t xml:space="preserve">1.2 </w:t>
      </w:r>
      <w:r w:rsidR="006D60BC" w:rsidRPr="00251481">
        <w:t>La pratique des condamnations et des exécutions à mort</w:t>
      </w:r>
      <w:bookmarkEnd w:id="18"/>
      <w:r w:rsidR="006D60BC" w:rsidRPr="00251481">
        <w:t xml:space="preserve"> </w:t>
      </w:r>
    </w:p>
    <w:p w14:paraId="32A3143C" w14:textId="2CEC83B7" w:rsidR="006C0540" w:rsidRPr="009E4F4F" w:rsidRDefault="009E4F4F" w:rsidP="009E4F4F">
      <w:pPr>
        <w:pStyle w:val="Titre3"/>
        <w:rPr>
          <w:b/>
          <w:bCs/>
        </w:rPr>
      </w:pPr>
      <w:bookmarkStart w:id="19" w:name="_heading=h.tyhekx74qir9" w:colFirst="0" w:colLast="0"/>
      <w:bookmarkEnd w:id="19"/>
      <w:r w:rsidRPr="009E4F4F">
        <w:rPr>
          <w:b/>
          <w:bCs/>
        </w:rPr>
        <w:t xml:space="preserve">Les condamnations à mort </w:t>
      </w:r>
    </w:p>
    <w:p w14:paraId="0E82A71D" w14:textId="7544CD14" w:rsidR="00D541F4" w:rsidRDefault="006D60BC" w:rsidP="00D541F4">
      <w:pPr>
        <w:ind w:firstLine="720"/>
      </w:pPr>
      <w:r>
        <w:t>En 2023, les condamnations à mort se poursuivent à Gaza. Le 30 janvier, 1 personne a été condamnée à la pendaison pour trafic de drogue et récidive</w:t>
      </w:r>
      <w:r>
        <w:rPr>
          <w:vertAlign w:val="superscript"/>
        </w:rPr>
        <w:footnoteReference w:id="9"/>
      </w:r>
      <w:r>
        <w:t>. Le 9 mars, 2 nouvelles personnes ont fait l’objet de condamnations à mort par pendaison, l’une pour collaboration avec Israël, l’autre pour trafic de drogue</w:t>
      </w:r>
      <w:r>
        <w:rPr>
          <w:vertAlign w:val="superscript"/>
        </w:rPr>
        <w:footnoteReference w:id="10"/>
      </w:r>
      <w:r>
        <w:t>. Le 3 avril, 2 citoyens palestiniens ont été condamnés par la justice militaire à la sentence capitale pour avoir communiqué avec des parties étrangère</w:t>
      </w:r>
      <w:r w:rsidR="00D541F4">
        <w:t xml:space="preserve">s. </w:t>
      </w:r>
    </w:p>
    <w:p w14:paraId="40B69174" w14:textId="13891F4E" w:rsidR="006C0540" w:rsidRDefault="006D60BC" w:rsidP="00D541F4">
      <w:pPr>
        <w:ind w:firstLine="720"/>
      </w:pPr>
      <w:r>
        <w:t>Depuis 1994, au moins 290 condamnations à mort ont été prononcées au total, dont 30 en Cisjordanie et 260 dans la bande de Gaza (parmi lesquelles 201 après la division politique de la Palestine en 2007)</w:t>
      </w:r>
      <w:r>
        <w:rPr>
          <w:vertAlign w:val="superscript"/>
        </w:rPr>
        <w:footnoteReference w:id="11"/>
      </w:r>
      <w:r>
        <w:t>. Il n’est pas toujours spécifié lesquelles des cours civiles et militaires ont prononcé les condamnations.</w:t>
      </w:r>
    </w:p>
    <w:p w14:paraId="1C533D00" w14:textId="1B47523D" w:rsidR="00C04B22" w:rsidRDefault="00C04B22" w:rsidP="006807A3">
      <w:pPr>
        <w:spacing w:after="240" w:line="240" w:lineRule="auto"/>
        <w:rPr>
          <w:i/>
          <w:sz w:val="16"/>
          <w:szCs w:val="16"/>
        </w:rPr>
      </w:pPr>
    </w:p>
    <w:p w14:paraId="09413D00" w14:textId="77777777" w:rsidR="00C04B22" w:rsidRDefault="00C04B22" w:rsidP="00251481">
      <w:pPr>
        <w:spacing w:after="240" w:line="240" w:lineRule="auto"/>
        <w:jc w:val="center"/>
        <w:rPr>
          <w:i/>
          <w:sz w:val="16"/>
          <w:szCs w:val="16"/>
        </w:rPr>
      </w:pPr>
    </w:p>
    <w:p w14:paraId="2E12EB11" w14:textId="77777777" w:rsidR="00C04B22" w:rsidRDefault="00C04B22" w:rsidP="00251481">
      <w:pPr>
        <w:spacing w:after="240" w:line="240" w:lineRule="auto"/>
        <w:jc w:val="center"/>
        <w:rPr>
          <w:i/>
          <w:sz w:val="16"/>
          <w:szCs w:val="16"/>
        </w:rPr>
      </w:pPr>
    </w:p>
    <w:p w14:paraId="2E90E541" w14:textId="238212B0" w:rsidR="00C04B22" w:rsidRDefault="00C04B22" w:rsidP="00C04B22">
      <w:r>
        <w:rPr>
          <w:noProof/>
        </w:rPr>
        <w:lastRenderedPageBreak/>
        <mc:AlternateContent>
          <mc:Choice Requires="wps">
            <w:drawing>
              <wp:anchor distT="0" distB="0" distL="114300" distR="114300" simplePos="0" relativeHeight="251659264" behindDoc="0" locked="0" layoutInCell="1" allowOverlap="1" wp14:anchorId="5013BC22" wp14:editId="1756C690">
                <wp:simplePos x="0" y="0"/>
                <wp:positionH relativeFrom="margin">
                  <wp:align>center</wp:align>
                </wp:positionH>
                <wp:positionV relativeFrom="paragraph">
                  <wp:posOffset>-544769</wp:posOffset>
                </wp:positionV>
                <wp:extent cx="7315200" cy="158496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7315200" cy="1584960"/>
                        </a:xfrm>
                        <a:prstGeom prst="rect">
                          <a:avLst/>
                        </a:prstGeom>
                        <a:noFill/>
                        <a:ln w="6350">
                          <a:noFill/>
                        </a:ln>
                      </wps:spPr>
                      <wps:txbx>
                        <w:txbxContent>
                          <w:p w14:paraId="12B46CC2" w14:textId="77777777" w:rsidR="00C04B22" w:rsidRDefault="00C04B22" w:rsidP="006807A3">
                            <w:pPr>
                              <w:spacing w:after="0" w:line="240" w:lineRule="auto"/>
                              <w:jc w:val="center"/>
                              <w:rPr>
                                <w:i/>
                                <w:sz w:val="16"/>
                                <w:szCs w:val="16"/>
                              </w:rPr>
                            </w:pPr>
                            <w:r>
                              <w:rPr>
                                <w:noProof/>
                              </w:rPr>
                              <w:drawing>
                                <wp:inline distT="114300" distB="114300" distL="114300" distR="114300" wp14:anchorId="261F160C" wp14:editId="5578E1E2">
                                  <wp:extent cx="4140958" cy="1280051"/>
                                  <wp:effectExtent l="0" t="0" r="0" b="0"/>
                                  <wp:docPr id="9" name="Image 9"/>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r="7142" b="18591"/>
                                          <a:stretch>
                                            <a:fillRect/>
                                          </a:stretch>
                                        </pic:blipFill>
                                        <pic:spPr>
                                          <a:xfrm>
                                            <a:off x="0" y="0"/>
                                            <a:ext cx="4273227" cy="1320938"/>
                                          </a:xfrm>
                                          <a:prstGeom prst="rect">
                                            <a:avLst/>
                                          </a:prstGeom>
                                          <a:ln/>
                                        </pic:spPr>
                                      </pic:pic>
                                    </a:graphicData>
                                  </a:graphic>
                                </wp:inline>
                              </w:drawing>
                            </w:r>
                          </w:p>
                          <w:p w14:paraId="210E9527" w14:textId="3345AAC1" w:rsidR="00C04B22" w:rsidRDefault="00C04B22" w:rsidP="00C04B22">
                            <w:pPr>
                              <w:spacing w:after="240" w:line="240" w:lineRule="auto"/>
                              <w:jc w:val="center"/>
                            </w:pPr>
                            <w:proofErr w:type="gramStart"/>
                            <w:r w:rsidRPr="00251481">
                              <w:rPr>
                                <w:i/>
                                <w:sz w:val="16"/>
                                <w:szCs w:val="16"/>
                              </w:rPr>
                              <w:t>Source:</w:t>
                            </w:r>
                            <w:proofErr w:type="gramEnd"/>
                            <w:r w:rsidRPr="00251481">
                              <w:rPr>
                                <w:i/>
                                <w:sz w:val="16"/>
                                <w:szCs w:val="16"/>
                              </w:rPr>
                              <w:t xml:space="preserve"> </w:t>
                            </w:r>
                            <w:proofErr w:type="spellStart"/>
                            <w:r w:rsidRPr="00251481">
                              <w:rPr>
                                <w:i/>
                                <w:sz w:val="16"/>
                                <w:szCs w:val="16"/>
                              </w:rPr>
                              <w:t>B’Tselem</w:t>
                            </w:r>
                            <w:proofErr w:type="spellEnd"/>
                            <w:r w:rsidRPr="00251481">
                              <w:rPr>
                                <w:i/>
                                <w:sz w:val="16"/>
                                <w:szCs w:val="16"/>
                              </w:rPr>
                              <w:t>, Statistiques sur la peine de mort dans l'Autorité palestinienne et sous le contrôle du Hamas à Gaza, mise à jour le 1er janvier 2023</w:t>
                            </w:r>
                            <w:r w:rsidRPr="00251481">
                              <w:rPr>
                                <w:i/>
                                <w:sz w:val="16"/>
                                <w:szCs w:val="16"/>
                                <w:vertAlign w:val="superscript"/>
                              </w:rPr>
                              <w:footnoteRef/>
                            </w:r>
                            <w:r w:rsidRPr="00251481">
                              <w:rPr>
                                <w:i/>
                                <w:sz w:val="16"/>
                                <w:szCs w:val="16"/>
                              </w:rPr>
                              <w:t>.</w:t>
                            </w:r>
                          </w:p>
                          <w:p w14:paraId="54866586" w14:textId="25457FB2" w:rsidR="00C04B22" w:rsidRDefault="00C04B22" w:rsidP="00C04B22">
                            <w:pPr>
                              <w:spacing w:before="24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
            <w:pict>
              <v:shapetype w14:anchorId="5013BC22" id="_x0000_t202" coordsize="21600,21600" o:spt="202" path="m,l,21600r21600,l21600,xe">
                <v:stroke joinstyle="miter"/>
                <v:path gradientshapeok="t" o:connecttype="rect"/>
              </v:shapetype>
              <v:shape id="Zone de texte 3" o:spid="_x0000_s1026" type="#_x0000_t202" style="position:absolute;left:0;text-align:left;margin-left:0;margin-top:-42.9pt;width:8in;height:124.8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RDxGQIAAC0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" filled="f" stroked="f" strokeweight=".5pt">
                <v:textbox>
                  <w:txbxContent>
                    <w:p w14:paraId="12B46CC2" w14:textId="77777777" w:rsidR="00C04B22" w:rsidRDefault="00C04B22" w:rsidP="006807A3">
                      <w:pPr>
                        <w:spacing w:after="0" w:line="240" w:lineRule="auto"/>
                        <w:jc w:val="center"/>
                        <w:rPr>
                          <w:i/>
                          <w:sz w:val="16"/>
                          <w:szCs w:val="16"/>
                        </w:rPr>
                      </w:pPr>
                      <w:r>
                        <w:rPr>
                          <w:noProof/>
                        </w:rPr>
                        <w:drawing>
                          <wp:inline distT="114300" distB="114300" distL="114300" distR="114300" wp14:anchorId="261F160C" wp14:editId="5578E1E2">
                            <wp:extent cx="4140958" cy="1280051"/>
                            <wp:effectExtent l="0" t="0" r="0" b="0"/>
                            <wp:docPr id="9" name="Image 9"/>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r="7142" b="18591"/>
                                    <a:stretch>
                                      <a:fillRect/>
                                    </a:stretch>
                                  </pic:blipFill>
                                  <pic:spPr>
                                    <a:xfrm>
                                      <a:off x="0" y="0"/>
                                      <a:ext cx="4273227" cy="1320938"/>
                                    </a:xfrm>
                                    <a:prstGeom prst="rect">
                                      <a:avLst/>
                                    </a:prstGeom>
                                    <a:ln/>
                                  </pic:spPr>
                                </pic:pic>
                              </a:graphicData>
                            </a:graphic>
                          </wp:inline>
                        </w:drawing>
                      </w:r>
                    </w:p>
                    <w:p w14:paraId="210E9527" w14:textId="3345AAC1" w:rsidR="00C04B22" w:rsidRDefault="00C04B22" w:rsidP="00C04B22">
                      <w:pPr>
                        <w:spacing w:after="240" w:line="240" w:lineRule="auto"/>
                        <w:jc w:val="center"/>
                      </w:pPr>
                      <w:proofErr w:type="gramStart"/>
                      <w:r w:rsidRPr="00251481">
                        <w:rPr>
                          <w:i/>
                          <w:sz w:val="16"/>
                          <w:szCs w:val="16"/>
                        </w:rPr>
                        <w:t>Source:</w:t>
                      </w:r>
                      <w:proofErr w:type="gramEnd"/>
                      <w:r w:rsidRPr="00251481">
                        <w:rPr>
                          <w:i/>
                          <w:sz w:val="16"/>
                          <w:szCs w:val="16"/>
                        </w:rPr>
                        <w:t xml:space="preserve"> </w:t>
                      </w:r>
                      <w:proofErr w:type="spellStart"/>
                      <w:r w:rsidRPr="00251481">
                        <w:rPr>
                          <w:i/>
                          <w:sz w:val="16"/>
                          <w:szCs w:val="16"/>
                        </w:rPr>
                        <w:t>B’Tselem</w:t>
                      </w:r>
                      <w:proofErr w:type="spellEnd"/>
                      <w:r w:rsidRPr="00251481">
                        <w:rPr>
                          <w:i/>
                          <w:sz w:val="16"/>
                          <w:szCs w:val="16"/>
                        </w:rPr>
                        <w:t>, Statistiques sur la peine de mort dans l'Autorité palestinienne et sous le contrôle du Hamas à Gaza, mise à jour le 1er janvier 2023</w:t>
                      </w:r>
                      <w:r w:rsidRPr="00251481">
                        <w:rPr>
                          <w:i/>
                          <w:sz w:val="16"/>
                          <w:szCs w:val="16"/>
                          <w:vertAlign w:val="superscript"/>
                        </w:rPr>
                        <w:footnoteRef/>
                      </w:r>
                      <w:r w:rsidRPr="00251481">
                        <w:rPr>
                          <w:i/>
                          <w:sz w:val="16"/>
                          <w:szCs w:val="16"/>
                        </w:rPr>
                        <w:t>.</w:t>
                      </w:r>
                    </w:p>
                    <w:p w14:paraId="54866586" w14:textId="25457FB2" w:rsidR="00C04B22" w:rsidRDefault="00C04B22" w:rsidP="00C04B22">
                      <w:pPr>
                        <w:spacing w:before="240"/>
                        <w:jc w:val="center"/>
                      </w:pPr>
                    </w:p>
                  </w:txbxContent>
                </v:textbox>
                <w10:wrap anchorx="margin"/>
              </v:shape>
            </w:pict>
          </mc:Fallback>
        </mc:AlternateContent>
      </w:r>
    </w:p>
    <w:p w14:paraId="2BAC9433" w14:textId="77777777" w:rsidR="00C04B22" w:rsidRDefault="00C04B22" w:rsidP="00251481">
      <w:pPr>
        <w:spacing w:after="240" w:line="240" w:lineRule="auto"/>
        <w:jc w:val="center"/>
        <w:rPr>
          <w:i/>
          <w:sz w:val="16"/>
          <w:szCs w:val="16"/>
        </w:rPr>
      </w:pPr>
    </w:p>
    <w:p w14:paraId="59773B86" w14:textId="77777777" w:rsidR="00716002" w:rsidRPr="00716002" w:rsidRDefault="00716002" w:rsidP="00716002">
      <w:bookmarkStart w:id="20" w:name="_heading=h.awis0oc13nze" w:colFirst="0" w:colLast="0"/>
      <w:bookmarkStart w:id="21" w:name="_heading=h.xbgt7lu7rvzj" w:colFirst="0" w:colLast="0"/>
      <w:bookmarkEnd w:id="20"/>
      <w:bookmarkEnd w:id="21"/>
    </w:p>
    <w:p w14:paraId="31AE194D" w14:textId="2CA4F0B3" w:rsidR="006C0540" w:rsidRPr="009E4F4F" w:rsidRDefault="006D60BC" w:rsidP="00716002">
      <w:pPr>
        <w:pStyle w:val="Titre3"/>
        <w:spacing w:before="240"/>
        <w:rPr>
          <w:b/>
          <w:bCs/>
        </w:rPr>
      </w:pPr>
      <w:r w:rsidRPr="009E4F4F">
        <w:rPr>
          <w:b/>
          <w:bCs/>
        </w:rPr>
        <w:t xml:space="preserve">Les exécutions à mort </w:t>
      </w:r>
    </w:p>
    <w:p w14:paraId="7F0D5FA2" w14:textId="1D842FB4" w:rsidR="006C0540" w:rsidRDefault="006D60BC">
      <w:pPr>
        <w:spacing w:before="200" w:after="0" w:line="240" w:lineRule="auto"/>
        <w:ind w:firstLine="720"/>
      </w:pPr>
      <w:r>
        <w:t>L’article 109 de la Loi fondamentale de 2003 et l’article 409 de la loi sur la procédure pénale n°3 de 2001 prévoient qu’une condamnation à mort prononcée par un tribunal ne peut être exécutée qu’avec la ratification du président de l’Autorité palestinienne</w:t>
      </w:r>
      <w:r>
        <w:rPr>
          <w:vertAlign w:val="superscript"/>
        </w:rPr>
        <w:footnoteReference w:id="12"/>
      </w:r>
      <w:r>
        <w:t xml:space="preserve">. </w:t>
      </w:r>
    </w:p>
    <w:p w14:paraId="3F1AC0B0" w14:textId="77777777" w:rsidR="006C0540" w:rsidRDefault="006D60BC">
      <w:pPr>
        <w:spacing w:before="200" w:after="0" w:line="240" w:lineRule="auto"/>
      </w:pPr>
      <w:r>
        <w:t>Du fait de l’abstention présidentielle de ratifier les condamnations à mort depuis 2005, aucune exécution n’a été recensée depuis 18 ans en Cisjordanie</w:t>
      </w:r>
      <w:r>
        <w:rPr>
          <w:vertAlign w:val="superscript"/>
        </w:rPr>
        <w:footnoteReference w:id="13"/>
      </w:r>
      <w:r>
        <w:t xml:space="preserve">. </w:t>
      </w:r>
    </w:p>
    <w:p w14:paraId="005EFD14" w14:textId="77777777" w:rsidR="006C0540" w:rsidRDefault="006D60BC">
      <w:pPr>
        <w:spacing w:before="200" w:after="0" w:line="240" w:lineRule="auto"/>
      </w:pPr>
      <w:r>
        <w:t xml:space="preserve">Toutefois, ce moratoire de fait n’est pas valable dans la bande de Gaza qui se trouve sous l’autorité </w:t>
      </w:r>
      <w:r>
        <w:rPr>
          <w:i/>
        </w:rPr>
        <w:t>de facto</w:t>
      </w:r>
      <w:r>
        <w:t xml:space="preserve"> du Hamas qui ne reconnaît pas l’autorité du président. Au détriment d’un </w:t>
      </w:r>
      <w:r>
        <w:rPr>
          <w:i/>
        </w:rPr>
        <w:t>statu quo</w:t>
      </w:r>
      <w:r>
        <w:t xml:space="preserve"> encourageant qui ne comptait aucune exécution depuis 2017, 5 condamnations à mort ont été exécutées dans la bande de Gaza, le 4 septembre 2022,</w:t>
      </w:r>
      <w:r>
        <w:rPr>
          <w:b/>
        </w:rPr>
        <w:t xml:space="preserve"> </w:t>
      </w:r>
      <w:r>
        <w:t>dont 2 pour collaboration avec Israël</w:t>
      </w:r>
      <w:r>
        <w:rPr>
          <w:vertAlign w:val="superscript"/>
        </w:rPr>
        <w:footnoteReference w:id="14"/>
      </w:r>
      <w:r>
        <w:t xml:space="preserve">.  </w:t>
      </w:r>
    </w:p>
    <w:p w14:paraId="571F9346" w14:textId="77777777" w:rsidR="006C0540" w:rsidRDefault="006D60BC">
      <w:pPr>
        <w:spacing w:before="200" w:after="0" w:line="240" w:lineRule="auto"/>
      </w:pPr>
      <w:r>
        <w:t>Au total, depuis 1994, au moins 46 condamnations à mort ont été exécutées dont 2 en Cisjordanie et 44 dans la bande de Gaza desquelles 33 ont été menées sans la ratification du président palestinien en violation de la loi palestinienne</w:t>
      </w:r>
      <w:r>
        <w:rPr>
          <w:vertAlign w:val="superscript"/>
        </w:rPr>
        <w:footnoteReference w:id="15"/>
      </w:r>
      <w:r>
        <w:t>.</w:t>
      </w:r>
    </w:p>
    <w:p w14:paraId="7161C84F" w14:textId="77777777" w:rsidR="006C0540" w:rsidRDefault="006D60BC">
      <w:pPr>
        <w:spacing w:before="200" w:after="0" w:line="240" w:lineRule="auto"/>
        <w:ind w:firstLine="720"/>
      </w:pPr>
      <w:r>
        <w:t>Selon la loi, les méthodes utilisées sont la pendaison pour les civils et le peloton d'exécution pour les militaires</w:t>
      </w:r>
      <w:r>
        <w:rPr>
          <w:vertAlign w:val="superscript"/>
        </w:rPr>
        <w:footnoteReference w:id="16"/>
      </w:r>
      <w:r>
        <w:t xml:space="preserve">. </w:t>
      </w:r>
    </w:p>
    <w:p w14:paraId="4F4E6BCB" w14:textId="77777777" w:rsidR="006C0540" w:rsidRDefault="006D60BC" w:rsidP="006807A3">
      <w:pPr>
        <w:spacing w:before="200" w:after="0" w:line="240" w:lineRule="auto"/>
        <w:jc w:val="center"/>
      </w:pPr>
      <w:r>
        <w:rPr>
          <w:noProof/>
        </w:rPr>
        <w:drawing>
          <wp:inline distT="114300" distB="114300" distL="114300" distR="114300" wp14:anchorId="1AB5554C" wp14:editId="5FF5D7AA">
            <wp:extent cx="4964965" cy="1942156"/>
            <wp:effectExtent l="0" t="0" r="7620" b="127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083529" cy="1988535"/>
                    </a:xfrm>
                    <a:prstGeom prst="rect">
                      <a:avLst/>
                    </a:prstGeom>
                    <a:ln/>
                  </pic:spPr>
                </pic:pic>
              </a:graphicData>
            </a:graphic>
          </wp:inline>
        </w:drawing>
      </w:r>
    </w:p>
    <w:tbl>
      <w:tblPr>
        <w:tblStyle w:val="a8"/>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385E6FB8" w14:textId="77777777">
        <w:tc>
          <w:tcPr>
            <w:tcW w:w="9026" w:type="dxa"/>
            <w:shd w:val="clear" w:color="auto" w:fill="auto"/>
            <w:tcMar>
              <w:top w:w="100" w:type="dxa"/>
              <w:left w:w="100" w:type="dxa"/>
              <w:bottom w:w="100" w:type="dxa"/>
              <w:right w:w="100" w:type="dxa"/>
            </w:tcMar>
          </w:tcPr>
          <w:p w14:paraId="0E8A3692" w14:textId="77777777" w:rsidR="006C0540" w:rsidRPr="003E4580" w:rsidRDefault="006D60BC" w:rsidP="003E4580">
            <w:pPr>
              <w:spacing w:after="240" w:line="240" w:lineRule="auto"/>
              <w:rPr>
                <w:b/>
                <w:sz w:val="20"/>
                <w:szCs w:val="20"/>
              </w:rPr>
            </w:pPr>
            <w:r w:rsidRPr="003E4580">
              <w:rPr>
                <w:b/>
                <w:sz w:val="20"/>
                <w:szCs w:val="20"/>
              </w:rPr>
              <w:lastRenderedPageBreak/>
              <w:t>Recommandations :</w:t>
            </w:r>
          </w:p>
          <w:p w14:paraId="675C4120" w14:textId="77777777" w:rsidR="006C0540" w:rsidRPr="00711F4C" w:rsidRDefault="006D60BC" w:rsidP="00711F4C">
            <w:pPr>
              <w:numPr>
                <w:ilvl w:val="0"/>
                <w:numId w:val="2"/>
              </w:numPr>
              <w:spacing w:before="200" w:line="240" w:lineRule="auto"/>
              <w:ind w:left="360"/>
              <w:rPr>
                <w:bCs/>
                <w:sz w:val="20"/>
                <w:szCs w:val="20"/>
              </w:rPr>
            </w:pPr>
            <w:bookmarkStart w:id="22" w:name="_heading=h.nwgykoqhp5kf" w:colFirst="0" w:colLast="0"/>
            <w:bookmarkEnd w:id="22"/>
            <w:r w:rsidRPr="00711F4C">
              <w:rPr>
                <w:bCs/>
                <w:sz w:val="20"/>
                <w:szCs w:val="20"/>
              </w:rPr>
              <w:t>Remplacer les condamnations à mort par des peines alternatives.</w:t>
            </w:r>
          </w:p>
          <w:p w14:paraId="593B4A68" w14:textId="77777777" w:rsidR="006C0540" w:rsidRPr="00711F4C" w:rsidRDefault="006D60BC" w:rsidP="00711F4C">
            <w:pPr>
              <w:numPr>
                <w:ilvl w:val="0"/>
                <w:numId w:val="2"/>
              </w:numPr>
              <w:spacing w:before="200" w:line="240" w:lineRule="auto"/>
              <w:ind w:left="360"/>
              <w:rPr>
                <w:bCs/>
                <w:sz w:val="20"/>
                <w:szCs w:val="20"/>
              </w:rPr>
            </w:pPr>
            <w:bookmarkStart w:id="23" w:name="_heading=h.ozzb37b51u6v" w:colFirst="0" w:colLast="0"/>
            <w:bookmarkEnd w:id="23"/>
            <w:r w:rsidRPr="00711F4C">
              <w:rPr>
                <w:bCs/>
                <w:sz w:val="20"/>
                <w:szCs w:val="20"/>
              </w:rPr>
              <w:t>Maintenir le moratoire de fait, dans la perspective de l’abolition des sentences capitales dans les législations palestiniennes.</w:t>
            </w:r>
          </w:p>
          <w:p w14:paraId="52A25331" w14:textId="77777777" w:rsidR="006C0540" w:rsidRDefault="006D60BC" w:rsidP="003E4580">
            <w:pPr>
              <w:numPr>
                <w:ilvl w:val="0"/>
                <w:numId w:val="2"/>
              </w:numPr>
              <w:spacing w:before="200" w:after="0" w:line="240" w:lineRule="auto"/>
              <w:ind w:left="360"/>
              <w:rPr>
                <w:b/>
              </w:rPr>
            </w:pPr>
            <w:bookmarkStart w:id="24" w:name="_heading=h.any899blyl9y" w:colFirst="0" w:colLast="0"/>
            <w:bookmarkEnd w:id="24"/>
            <w:r w:rsidRPr="00711F4C">
              <w:rPr>
                <w:bCs/>
                <w:sz w:val="20"/>
                <w:szCs w:val="20"/>
              </w:rPr>
              <w:t>Respecter l’obligation d’obtenir la ratification du président comme condition légale de l’exécution.</w:t>
            </w:r>
          </w:p>
        </w:tc>
      </w:tr>
    </w:tbl>
    <w:p w14:paraId="19F0B56C" w14:textId="3FC8454F" w:rsidR="006C0540" w:rsidRPr="00251481" w:rsidRDefault="006D60BC" w:rsidP="009E4F4F">
      <w:pPr>
        <w:pStyle w:val="Titre1"/>
      </w:pPr>
      <w:bookmarkStart w:id="25" w:name="_heading=h.q0tmw8hdkvgi" w:colFirst="0" w:colLast="0"/>
      <w:bookmarkStart w:id="26" w:name="_Toc131755899"/>
      <w:bookmarkEnd w:id="25"/>
      <w:r w:rsidRPr="00251481">
        <w:t xml:space="preserve">Garanties procédurales lors des procès de condamnation à mort (articles 9, 10 et 14 du </w:t>
      </w:r>
      <w:r w:rsidR="009E4F4F" w:rsidRPr="00251481">
        <w:t>PIDCP)</w:t>
      </w:r>
      <w:bookmarkEnd w:id="26"/>
    </w:p>
    <w:p w14:paraId="2A0D6EB6" w14:textId="77777777" w:rsidR="009E4F4F" w:rsidRDefault="006D60BC" w:rsidP="009E4F4F">
      <w:pPr>
        <w:spacing w:before="200" w:line="240" w:lineRule="auto"/>
        <w:ind w:firstLine="720"/>
      </w:pPr>
      <w:r>
        <w:t>Il persiste d’importantes lacunes dans l’application des principes fondamentaux qui régissent le procès, contrairement aux déclarations de l’</w:t>
      </w:r>
      <w:r>
        <w:rPr>
          <w:highlight w:val="white"/>
        </w:rPr>
        <w:t>État</w:t>
      </w:r>
      <w:r>
        <w:rPr>
          <w:vertAlign w:val="superscript"/>
        </w:rPr>
        <w:footnoteReference w:id="17"/>
      </w:r>
      <w:r>
        <w:t>, comme l’a souligné le Comité des droits de l’Homme</w:t>
      </w:r>
      <w:r>
        <w:rPr>
          <w:vertAlign w:val="superscript"/>
        </w:rPr>
        <w:footnoteReference w:id="18"/>
      </w:r>
      <w:r>
        <w:t>.</w:t>
      </w:r>
      <w:bookmarkStart w:id="27" w:name="_heading=h.9v3qq4nnmqu3" w:colFirst="0" w:colLast="0"/>
      <w:bookmarkEnd w:id="27"/>
    </w:p>
    <w:p w14:paraId="5C419541" w14:textId="28576DCE" w:rsidR="006C0540" w:rsidRPr="009E4F4F" w:rsidRDefault="009E4F4F" w:rsidP="009E4F4F">
      <w:pPr>
        <w:pStyle w:val="Titre2"/>
      </w:pPr>
      <w:bookmarkStart w:id="28" w:name="_Toc131755900"/>
      <w:r w:rsidRPr="009E4F4F">
        <w:t xml:space="preserve">2.1 </w:t>
      </w:r>
      <w:r>
        <w:t>V</w:t>
      </w:r>
      <w:r w:rsidR="006D60BC" w:rsidRPr="009E4F4F">
        <w:t>iolation</w:t>
      </w:r>
      <w:r w:rsidR="00621C6C">
        <w:t>s</w:t>
      </w:r>
      <w:r w:rsidR="006D60BC" w:rsidRPr="009E4F4F">
        <w:t xml:space="preserve"> de</w:t>
      </w:r>
      <w:r w:rsidR="00621C6C">
        <w:t>s</w:t>
      </w:r>
      <w:r w:rsidR="006D60BC" w:rsidRPr="009E4F4F">
        <w:t xml:space="preserve"> garanties procédurales</w:t>
      </w:r>
      <w:bookmarkEnd w:id="28"/>
    </w:p>
    <w:p w14:paraId="5B07C63D" w14:textId="77777777" w:rsidR="006C0540" w:rsidRPr="009E4F4F" w:rsidRDefault="006D60BC" w:rsidP="009E4F4F">
      <w:pPr>
        <w:pStyle w:val="Titre3"/>
        <w:numPr>
          <w:ilvl w:val="0"/>
          <w:numId w:val="30"/>
        </w:numPr>
        <w:rPr>
          <w:b/>
          <w:bCs/>
        </w:rPr>
      </w:pPr>
      <w:bookmarkStart w:id="29" w:name="_heading=h.c4g2phlfhxb6" w:colFirst="0" w:colLast="0"/>
      <w:bookmarkEnd w:id="29"/>
      <w:r w:rsidRPr="009E4F4F">
        <w:rPr>
          <w:b/>
          <w:bCs/>
        </w:rPr>
        <w:t xml:space="preserve">Des délais raisonnables </w:t>
      </w:r>
    </w:p>
    <w:tbl>
      <w:tblPr>
        <w:tblStyle w:val="a9"/>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10A347F1" w14:textId="77777777">
        <w:tc>
          <w:tcPr>
            <w:tcW w:w="9026" w:type="dxa"/>
            <w:shd w:val="clear" w:color="auto" w:fill="auto"/>
            <w:tcMar>
              <w:top w:w="100" w:type="dxa"/>
              <w:left w:w="100" w:type="dxa"/>
              <w:bottom w:w="100" w:type="dxa"/>
              <w:right w:w="100" w:type="dxa"/>
            </w:tcMar>
          </w:tcPr>
          <w:p w14:paraId="544CF404" w14:textId="77777777" w:rsidR="006C0540" w:rsidRPr="003E4580" w:rsidRDefault="006D60BC" w:rsidP="00711F4C">
            <w:pPr>
              <w:widowControl w:val="0"/>
              <w:spacing w:after="0" w:line="240" w:lineRule="auto"/>
              <w:rPr>
                <w:b/>
                <w:sz w:val="20"/>
                <w:szCs w:val="20"/>
              </w:rPr>
            </w:pPr>
            <w:r w:rsidRPr="003E4580">
              <w:rPr>
                <w:b/>
                <w:sz w:val="20"/>
                <w:szCs w:val="20"/>
              </w:rPr>
              <w:t>Article 9 du PIDCP</w:t>
            </w:r>
          </w:p>
          <w:p w14:paraId="273A1FD6" w14:textId="621E8B1A" w:rsidR="006C0540" w:rsidRPr="003E4580" w:rsidRDefault="006D60BC" w:rsidP="00C04B22">
            <w:pPr>
              <w:spacing w:after="0" w:line="240" w:lineRule="auto"/>
              <w:rPr>
                <w:sz w:val="20"/>
                <w:szCs w:val="20"/>
              </w:rPr>
            </w:pPr>
            <w:r w:rsidRPr="003E4580">
              <w:rPr>
                <w:sz w:val="20"/>
                <w:szCs w:val="20"/>
              </w:rPr>
              <w:t>(...</w:t>
            </w:r>
            <w:r w:rsidR="00C04B22">
              <w:rPr>
                <w:sz w:val="20"/>
                <w:szCs w:val="20"/>
              </w:rPr>
              <w:t>)</w:t>
            </w:r>
          </w:p>
          <w:p w14:paraId="7BE41B2C" w14:textId="77777777" w:rsidR="006C0540" w:rsidRPr="003E4580" w:rsidRDefault="006D60BC" w:rsidP="00711F4C">
            <w:pPr>
              <w:spacing w:after="160" w:line="240" w:lineRule="auto"/>
              <w:rPr>
                <w:sz w:val="20"/>
                <w:szCs w:val="20"/>
              </w:rPr>
            </w:pPr>
            <w:r w:rsidRPr="003E4580">
              <w:rPr>
                <w:sz w:val="20"/>
                <w:szCs w:val="20"/>
              </w:rPr>
              <w:t>3. Tout individu arrêté ou détenu du chef d’une infraction pénale sera traduit dans le plus court délai devant un juge ou une autre autorité habilitée par la loi à exercer des fonctions judiciaires, et devra être jugé dans un délai raisonnable ou libéré. La détention de personnes qui attendent de passer en jugement ne doit pas être de règle, mais la mise en liberté peut être subordonnée à des garanties assurant la comparution de l’intéressé à l’audience, à tous les autres actes de la procédure et, le cas échéant, pour l’exécution du jugement.</w:t>
            </w:r>
          </w:p>
          <w:p w14:paraId="78F35D4B" w14:textId="77777777" w:rsidR="006C0540" w:rsidRPr="003E4580" w:rsidRDefault="006D60BC" w:rsidP="00711F4C">
            <w:pPr>
              <w:spacing w:before="120" w:after="160" w:line="240" w:lineRule="auto"/>
              <w:rPr>
                <w:sz w:val="20"/>
                <w:szCs w:val="20"/>
              </w:rPr>
            </w:pPr>
            <w:r w:rsidRPr="003E4580">
              <w:rPr>
                <w:sz w:val="20"/>
                <w:szCs w:val="20"/>
              </w:rPr>
              <w:t xml:space="preserve">4. Quiconque se trouve privé de sa liberté par arrestation ou détention a le droit d’introduire un recours devant un tribunal afin que celui-ci statue sans délai sur la légalité de sa détention et ordonne sa libération si la détention est illégale. </w:t>
            </w:r>
          </w:p>
          <w:p w14:paraId="2B4EFF42" w14:textId="05F91698" w:rsidR="006C0540" w:rsidRDefault="006D60BC" w:rsidP="00711F4C">
            <w:pPr>
              <w:spacing w:before="120" w:after="0" w:line="240" w:lineRule="auto"/>
              <w:rPr>
                <w:sz w:val="22"/>
                <w:szCs w:val="22"/>
              </w:rPr>
            </w:pPr>
            <w:r w:rsidRPr="003E4580">
              <w:rPr>
                <w:sz w:val="20"/>
                <w:szCs w:val="20"/>
              </w:rPr>
              <w:t>5. Tout individu victime d’arrestation ou de détention illégale a droit à réparation</w:t>
            </w:r>
            <w:r w:rsidR="00FE79C2">
              <w:rPr>
                <w:sz w:val="20"/>
                <w:szCs w:val="20"/>
              </w:rPr>
              <w:t xml:space="preserve">. </w:t>
            </w:r>
          </w:p>
        </w:tc>
      </w:tr>
    </w:tbl>
    <w:p w14:paraId="27ED78D2" w14:textId="3B4D5DF4" w:rsidR="006807A3" w:rsidRDefault="006D60BC" w:rsidP="00FE79C2">
      <w:pPr>
        <w:spacing w:before="200" w:after="0" w:line="240" w:lineRule="auto"/>
        <w:ind w:firstLine="720"/>
      </w:pPr>
      <w:r>
        <w:t>D’après les articles 107 et 108 de la Loi relative à la procédure pénale n° (3) de 2001 les personnes arrêtées ne sont pas supposées être détenues plus de 24 à 48 heures après leur arrestation</w:t>
      </w:r>
      <w:r>
        <w:rPr>
          <w:vertAlign w:val="superscript"/>
        </w:rPr>
        <w:footnoteReference w:id="19"/>
      </w:r>
      <w:r>
        <w:t xml:space="preserve">. </w:t>
      </w:r>
      <w:r w:rsidRPr="00FE79C2">
        <w:rPr>
          <w:b/>
          <w:bCs/>
        </w:rPr>
        <w:t>Pourtant, les délais précédant le procès sont excessifs.</w:t>
      </w:r>
      <w:r>
        <w:t xml:space="preserve"> Les prisonniers sont détenus dans des centres localisés dans l’administration centrale de la police avant d’être transférés dans des prisons. Ainsi, en Cisjordanie, un détenu a attendu pendant 12 ans sans qu’aucune sentence ne soit prononcée, tandis qu’un autre a attendu son procès pendant 8 ans</w:t>
      </w:r>
      <w:r>
        <w:rPr>
          <w:vertAlign w:val="superscript"/>
        </w:rPr>
        <w:footnoteReference w:id="20"/>
      </w:r>
      <w:r>
        <w:t xml:space="preserve">. </w:t>
      </w:r>
      <w:bookmarkStart w:id="30" w:name="_heading=h.vqsbcbdpuywz" w:colFirst="0" w:colLast="0"/>
      <w:bookmarkEnd w:id="30"/>
    </w:p>
    <w:p w14:paraId="221A3189" w14:textId="77777777" w:rsidR="00FE79C2" w:rsidRDefault="00FE79C2" w:rsidP="00FE79C2">
      <w:pPr>
        <w:spacing w:before="200" w:after="0" w:line="240" w:lineRule="auto"/>
        <w:ind w:firstLine="720"/>
      </w:pPr>
    </w:p>
    <w:p w14:paraId="52338A45" w14:textId="77777777" w:rsidR="006C0540" w:rsidRPr="009E4F4F" w:rsidRDefault="006D60BC" w:rsidP="009E4F4F">
      <w:pPr>
        <w:pStyle w:val="Titre3"/>
        <w:rPr>
          <w:b/>
          <w:bCs/>
        </w:rPr>
      </w:pPr>
      <w:r w:rsidRPr="009E4F4F">
        <w:rPr>
          <w:b/>
          <w:bCs/>
        </w:rPr>
        <w:t>L’indépendance de la justice</w:t>
      </w:r>
    </w:p>
    <w:tbl>
      <w:tblPr>
        <w:tblStyle w:val="a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3A254D8E" w14:textId="77777777">
        <w:tc>
          <w:tcPr>
            <w:tcW w:w="9026" w:type="dxa"/>
            <w:shd w:val="clear" w:color="auto" w:fill="auto"/>
            <w:tcMar>
              <w:top w:w="100" w:type="dxa"/>
              <w:left w:w="100" w:type="dxa"/>
              <w:bottom w:w="100" w:type="dxa"/>
              <w:right w:w="100" w:type="dxa"/>
            </w:tcMar>
          </w:tcPr>
          <w:p w14:paraId="1E4C645E" w14:textId="77777777" w:rsidR="006C0540" w:rsidRPr="003E4580" w:rsidRDefault="006D60BC" w:rsidP="00711F4C">
            <w:pPr>
              <w:spacing w:after="160" w:line="240" w:lineRule="auto"/>
              <w:rPr>
                <w:b/>
                <w:bCs/>
                <w:sz w:val="20"/>
                <w:szCs w:val="20"/>
              </w:rPr>
            </w:pPr>
            <w:r w:rsidRPr="003E4580">
              <w:rPr>
                <w:b/>
                <w:bCs/>
                <w:sz w:val="20"/>
                <w:szCs w:val="20"/>
              </w:rPr>
              <w:t>Article 14 du PIDCP</w:t>
            </w:r>
          </w:p>
          <w:p w14:paraId="73B321D1" w14:textId="30B3EAD5" w:rsidR="006C0540" w:rsidRDefault="006D60BC" w:rsidP="00711F4C">
            <w:pPr>
              <w:spacing w:before="120" w:after="0" w:line="240" w:lineRule="auto"/>
              <w:rPr>
                <w:sz w:val="22"/>
                <w:szCs w:val="22"/>
              </w:rPr>
            </w:pPr>
            <w:r w:rsidRPr="003E4580">
              <w:rPr>
                <w:sz w:val="20"/>
                <w:szCs w:val="20"/>
              </w:rPr>
              <w:t xml:space="preserve">1. Tous sont égaux devant les tribunaux et les cours de justice. Toute personne a droit à ce que sa cause soit entendue équitablement et publiquement par un tribunal compétent, indépendant et impartial, établi par la loi, </w:t>
            </w:r>
            <w:r w:rsidRPr="003E4580">
              <w:rPr>
                <w:sz w:val="20"/>
                <w:szCs w:val="20"/>
              </w:rPr>
              <w:lastRenderedPageBreak/>
              <w:t>qui décidera soit du bien-fondé de toute accusation en matière pénale dirigée contre elle, soit des contestations sur ses droits et obligations de caractère civil</w:t>
            </w:r>
            <w:r w:rsidR="00E14D47">
              <w:rPr>
                <w:sz w:val="20"/>
                <w:szCs w:val="20"/>
              </w:rPr>
              <w:t xml:space="preserve"> (…). </w:t>
            </w:r>
          </w:p>
        </w:tc>
      </w:tr>
    </w:tbl>
    <w:p w14:paraId="441D1987" w14:textId="454D5717" w:rsidR="006C0540" w:rsidRDefault="006D60BC">
      <w:pPr>
        <w:spacing w:before="200" w:after="280" w:line="240" w:lineRule="auto"/>
        <w:ind w:firstLine="720"/>
      </w:pPr>
      <w:r>
        <w:lastRenderedPageBreak/>
        <w:t>L’article 1er de la Loi n° 1 relative aux pouvoirs judiciaires prévoit l'indépendance du pouvoir judiciaire et l’article 2 prévoit l’indépendance des juges. Ces derniers sont nommés par un décret pris par le président de l’Autorité nationale sur proposition du Haut Conseil judiciaire</w:t>
      </w:r>
      <w:r>
        <w:rPr>
          <w:vertAlign w:val="superscript"/>
        </w:rPr>
        <w:footnoteReference w:id="21"/>
      </w:r>
      <w:r>
        <w:t>. Cependant, ce Conseil a été dissous et remplacé par un Haut Conseil judiciaire de transition</w:t>
      </w:r>
      <w:r>
        <w:rPr>
          <w:vertAlign w:val="superscript"/>
        </w:rPr>
        <w:footnoteReference w:id="22"/>
      </w:r>
      <w:r>
        <w:t xml:space="preserve">. La nomination par décret présidentiel du 11 janvier 2021 des membres de ce Haut Conseil judiciaire de transition a affaibli davantage l’indépendance du pouvoir judiciaire dans la nomination des juges. Cette </w:t>
      </w:r>
      <w:r w:rsidR="00C04B22">
        <w:t>indépendance est</w:t>
      </w:r>
      <w:r>
        <w:t xml:space="preserve"> ainsi mise à mal par le pouvoir politique</w:t>
      </w:r>
      <w:r>
        <w:rPr>
          <w:vertAlign w:val="superscript"/>
        </w:rPr>
        <w:footnoteReference w:id="23"/>
      </w:r>
      <w:r>
        <w:t xml:space="preserve">. Le chef de l’association du barreau palestinien, Jawad </w:t>
      </w:r>
      <w:proofErr w:type="spellStart"/>
      <w:r>
        <w:t>Obeidat</w:t>
      </w:r>
      <w:proofErr w:type="spellEnd"/>
      <w:r>
        <w:t>, dénonce une « intrusion claire dans le pouvoir judiciaire »</w:t>
      </w:r>
      <w:r>
        <w:rPr>
          <w:vertAlign w:val="superscript"/>
        </w:rPr>
        <w:footnoteReference w:id="24"/>
      </w:r>
      <w:r>
        <w:t>. De plus, le Centre palestinien pour les droits de l’Homme condamne la dissolution du Haut Conseil judiciaire et la considère comme une ingérence flagrante dans le pouvoir judiciaire, dans la forme et dans le fond</w:t>
      </w:r>
      <w:r>
        <w:rPr>
          <w:vertAlign w:val="superscript"/>
        </w:rPr>
        <w:footnoteReference w:id="25"/>
      </w:r>
      <w:r>
        <w:t>.</w:t>
      </w:r>
    </w:p>
    <w:p w14:paraId="2B691AD3" w14:textId="46AE601F" w:rsidR="006C0540" w:rsidRDefault="006D60BC">
      <w:pPr>
        <w:spacing w:before="200" w:after="280" w:line="240" w:lineRule="auto"/>
      </w:pPr>
      <w:r>
        <w:t xml:space="preserve">Le pouvoir politique semble interférer de sorte à laisser peu d’indépendance au pouvoir judiciaire dans la nomination des juges. En effet, en 2005, le président de l’Autorité nationale avait ratifié une Loi n° 15 portant sur l’autorité judiciaire renforçant les pouvoirs du </w:t>
      </w:r>
      <w:r w:rsidR="00C04B22">
        <w:t>ministère de la Justice</w:t>
      </w:r>
      <w:r>
        <w:t xml:space="preserve"> notamment en matière de nomination des juges</w:t>
      </w:r>
      <w:r>
        <w:rPr>
          <w:vertAlign w:val="superscript"/>
        </w:rPr>
        <w:footnoteReference w:id="26"/>
      </w:r>
      <w:r>
        <w:t>. L’article 100 de cette loi disposait qu</w:t>
      </w:r>
      <w:proofErr w:type="gramStart"/>
      <w:r>
        <w:t>’«</w:t>
      </w:r>
      <w:proofErr w:type="gramEnd"/>
      <w:r>
        <w:t xml:space="preserve"> il est institué un Haut Conseil Judiciaire, qui précise le mode de sa formation, ses compétences et les règles de son fonctionnement, et son avis est pris en compte dans les projets de loi régissant toute question relevant de l’autorité judiciaire, y compris le ministère public »</w:t>
      </w:r>
      <w:r>
        <w:rPr>
          <w:vertAlign w:val="superscript"/>
        </w:rPr>
        <w:footnoteReference w:id="27"/>
      </w:r>
      <w:r>
        <w:t>.  De plus, l’article 65 prévoyait que « le Procureur général est nommé par décision du Président de l’Autorité nationale palestinienne fondée sur la recommandation du Ministre de la justice [...] »</w:t>
      </w:r>
      <w:r>
        <w:rPr>
          <w:vertAlign w:val="superscript"/>
        </w:rPr>
        <w:footnoteReference w:id="28"/>
      </w:r>
      <w:r>
        <w:t>. Après la ratification de cette loi, le Centre palestinien pour les droits de l’Homme a intenté un recours afin d’obtenir son abrogation pour violation de la Loi fondamentale. La Cour suprême a décidé d’abandonner cette nouvelle loi et de maintenir en vigueur la Loi n° 1 de 2002</w:t>
      </w:r>
      <w:r>
        <w:rPr>
          <w:vertAlign w:val="superscript"/>
        </w:rPr>
        <w:footnoteReference w:id="29"/>
      </w:r>
      <w:r>
        <w:t>.</w:t>
      </w:r>
    </w:p>
    <w:p w14:paraId="2AAA536A" w14:textId="77777777" w:rsidR="00047CEE" w:rsidRDefault="00047CEE">
      <w:pPr>
        <w:spacing w:before="200" w:after="280" w:line="240" w:lineRule="auto"/>
      </w:pPr>
    </w:p>
    <w:p w14:paraId="7A36CEC4" w14:textId="77777777" w:rsidR="006C0540" w:rsidRPr="00C04B22" w:rsidRDefault="006D60BC" w:rsidP="00C04B22">
      <w:pPr>
        <w:pStyle w:val="Titre3"/>
        <w:rPr>
          <w:b/>
          <w:bCs/>
        </w:rPr>
      </w:pPr>
      <w:bookmarkStart w:id="31" w:name="_heading=h.pfjycdmuvjsz" w:colFirst="0" w:colLast="0"/>
      <w:bookmarkEnd w:id="31"/>
      <w:r w:rsidRPr="00C04B22">
        <w:rPr>
          <w:b/>
          <w:bCs/>
        </w:rPr>
        <w:t xml:space="preserve">Les condamnations </w:t>
      </w:r>
      <w:r w:rsidRPr="00047CEE">
        <w:rPr>
          <w:b/>
          <w:bCs/>
          <w:i/>
          <w:iCs/>
        </w:rPr>
        <w:t>in absentia</w:t>
      </w:r>
      <w:r w:rsidRPr="00C04B22">
        <w:rPr>
          <w:b/>
          <w:bCs/>
        </w:rPr>
        <w:t xml:space="preserve"> </w:t>
      </w:r>
    </w:p>
    <w:tbl>
      <w:tblPr>
        <w:tblStyle w:val="ab"/>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123EE046" w14:textId="77777777">
        <w:tc>
          <w:tcPr>
            <w:tcW w:w="9026" w:type="dxa"/>
            <w:shd w:val="clear" w:color="auto" w:fill="auto"/>
            <w:tcMar>
              <w:top w:w="100" w:type="dxa"/>
              <w:left w:w="100" w:type="dxa"/>
              <w:bottom w:w="100" w:type="dxa"/>
              <w:right w:w="100" w:type="dxa"/>
            </w:tcMar>
          </w:tcPr>
          <w:p w14:paraId="23A7254C" w14:textId="77777777" w:rsidR="006C0540" w:rsidRPr="003E4580" w:rsidRDefault="006D60BC" w:rsidP="00711F4C">
            <w:pPr>
              <w:spacing w:after="160" w:line="240" w:lineRule="auto"/>
              <w:rPr>
                <w:b/>
                <w:bCs/>
                <w:sz w:val="20"/>
                <w:szCs w:val="20"/>
              </w:rPr>
            </w:pPr>
            <w:r w:rsidRPr="003E4580">
              <w:rPr>
                <w:b/>
                <w:bCs/>
                <w:sz w:val="20"/>
                <w:szCs w:val="20"/>
              </w:rPr>
              <w:t>Article 14 du PIDCP</w:t>
            </w:r>
          </w:p>
          <w:p w14:paraId="5E4EA442" w14:textId="77777777" w:rsidR="006C0540" w:rsidRPr="003E4580" w:rsidRDefault="006D60BC" w:rsidP="00711F4C">
            <w:pPr>
              <w:spacing w:before="120" w:after="0" w:line="240" w:lineRule="auto"/>
              <w:rPr>
                <w:sz w:val="20"/>
                <w:szCs w:val="20"/>
              </w:rPr>
            </w:pPr>
            <w:r w:rsidRPr="003E4580">
              <w:rPr>
                <w:sz w:val="20"/>
                <w:szCs w:val="20"/>
              </w:rPr>
              <w:t>2. Toute personne accusée d’une infraction pénale est présumée innocente jusqu’à ce que sa culpabilité ait été légalement établie.</w:t>
            </w:r>
          </w:p>
          <w:p w14:paraId="0A00550B" w14:textId="77777777" w:rsidR="006C0540" w:rsidRPr="003E4580" w:rsidRDefault="006D60BC" w:rsidP="00711F4C">
            <w:pPr>
              <w:spacing w:after="0" w:line="240" w:lineRule="auto"/>
              <w:rPr>
                <w:sz w:val="20"/>
                <w:szCs w:val="20"/>
              </w:rPr>
            </w:pPr>
            <w:r w:rsidRPr="003E4580">
              <w:rPr>
                <w:sz w:val="20"/>
                <w:szCs w:val="20"/>
              </w:rPr>
              <w:t xml:space="preserve">(...)  </w:t>
            </w:r>
          </w:p>
          <w:p w14:paraId="49CB2B09" w14:textId="77777777" w:rsidR="006C0540" w:rsidRDefault="006D60BC" w:rsidP="00711F4C">
            <w:pPr>
              <w:spacing w:after="0" w:line="240" w:lineRule="auto"/>
              <w:rPr>
                <w:sz w:val="22"/>
                <w:szCs w:val="22"/>
              </w:rPr>
            </w:pPr>
            <w:r w:rsidRPr="003E4580">
              <w:rPr>
                <w:sz w:val="20"/>
                <w:szCs w:val="20"/>
              </w:rPr>
              <w:lastRenderedPageBreak/>
              <w:t>d) A être présente au procès et à se défendre elle-même ou à avoir l’assistance d’un défenseur de son choix ; si elle n’a pas de défenseur, à être informée de son droit d’en avoir un, et, chaque fois que l’intérêt de la justice l’exige, à se voir attribuer d’office un défenseur, sans frais, si elle n’a pas les moyens de le rémunérer ;</w:t>
            </w:r>
          </w:p>
        </w:tc>
      </w:tr>
    </w:tbl>
    <w:p w14:paraId="112E9568" w14:textId="77777777" w:rsidR="006C0540" w:rsidRDefault="006D60BC">
      <w:pPr>
        <w:spacing w:before="200" w:after="240" w:line="240" w:lineRule="auto"/>
        <w:ind w:firstLine="720"/>
      </w:pPr>
      <w:r>
        <w:lastRenderedPageBreak/>
        <w:t>L’article 14 de la Loi fondamentale palestinienne prévoit la présomption d'innocence jusqu’à preuve du contraire</w:t>
      </w:r>
      <w:r>
        <w:rPr>
          <w:vertAlign w:val="superscript"/>
        </w:rPr>
        <w:footnoteReference w:id="30"/>
      </w:r>
      <w:r>
        <w:t xml:space="preserve">. Or, sont constatées de nombreuses condamnations </w:t>
      </w:r>
      <w:r>
        <w:rPr>
          <w:i/>
        </w:rPr>
        <w:t xml:space="preserve">in </w:t>
      </w:r>
      <w:proofErr w:type="spellStart"/>
      <w:r>
        <w:rPr>
          <w:i/>
        </w:rPr>
        <w:t>abstentia</w:t>
      </w:r>
      <w:proofErr w:type="spellEnd"/>
      <w:r>
        <w:rPr>
          <w:i/>
        </w:rPr>
        <w:t xml:space="preserve">, </w:t>
      </w:r>
      <w:r>
        <w:t xml:space="preserve">ce qui est pourtant contraire à la présomption d’innocence lorsque le prévenu n’est ni représenté, ni présent pour faire valoir ses droits à la défense. </w:t>
      </w:r>
    </w:p>
    <w:p w14:paraId="43265E32" w14:textId="799BC7B3" w:rsidR="006C0540" w:rsidRDefault="006D60BC">
      <w:pPr>
        <w:spacing w:before="200" w:after="240" w:line="240" w:lineRule="auto"/>
      </w:pPr>
      <w:r>
        <w:t xml:space="preserve">En 2022, au moins 4 personnes ont été jugées </w:t>
      </w:r>
      <w:r>
        <w:rPr>
          <w:i/>
        </w:rPr>
        <w:t xml:space="preserve">in </w:t>
      </w:r>
      <w:proofErr w:type="spellStart"/>
      <w:r>
        <w:rPr>
          <w:i/>
        </w:rPr>
        <w:t>abstentia</w:t>
      </w:r>
      <w:proofErr w:type="spellEnd"/>
      <w:r>
        <w:t>, dont un civil condamné à mort pour collaboration avec Israël par le tribunal militaire de Gaza</w:t>
      </w:r>
      <w:r>
        <w:rPr>
          <w:vertAlign w:val="superscript"/>
        </w:rPr>
        <w:footnoteReference w:id="31"/>
      </w:r>
      <w:r>
        <w:t xml:space="preserve">. En 2021, on compte 2 condamnations </w:t>
      </w:r>
      <w:r>
        <w:rPr>
          <w:i/>
        </w:rPr>
        <w:t xml:space="preserve">in </w:t>
      </w:r>
      <w:proofErr w:type="spellStart"/>
      <w:r>
        <w:rPr>
          <w:i/>
        </w:rPr>
        <w:t>abstentia</w:t>
      </w:r>
      <w:proofErr w:type="spellEnd"/>
      <w:r>
        <w:rPr>
          <w:i/>
        </w:rPr>
        <w:t xml:space="preserve">, </w:t>
      </w:r>
      <w:r>
        <w:t>7 en 2020, 3 en 2018</w:t>
      </w:r>
      <w:r>
        <w:rPr>
          <w:vertAlign w:val="superscript"/>
        </w:rPr>
        <w:footnoteReference w:id="32"/>
      </w:r>
      <w:r>
        <w:t>…</w:t>
      </w:r>
      <w:r w:rsidR="00047CEE">
        <w:t>Les modalités de ces condamnations</w:t>
      </w:r>
      <w:r>
        <w:t xml:space="preserve"> constitue</w:t>
      </w:r>
      <w:r w:rsidR="00047CEE">
        <w:t>nt</w:t>
      </w:r>
      <w:r>
        <w:t xml:space="preserve"> une violation des articles 6 et 14 du deuxième protocole facultatif au PIDCP qui affirment que le droit à un procès judiciaire équitable, particulièrement en termes de prononcé de condamnations à mort, doit être assuré à tous.</w:t>
      </w:r>
    </w:p>
    <w:p w14:paraId="31F86C79" w14:textId="77777777" w:rsidR="006C0540" w:rsidRPr="00C04B22" w:rsidRDefault="006D60BC" w:rsidP="00C04B22">
      <w:pPr>
        <w:pStyle w:val="Titre3"/>
        <w:rPr>
          <w:b/>
          <w:bCs/>
        </w:rPr>
      </w:pPr>
      <w:bookmarkStart w:id="32" w:name="_heading=h.yavf7gr17ncj" w:colFirst="0" w:colLast="0"/>
      <w:bookmarkEnd w:id="32"/>
      <w:r w:rsidRPr="00C04B22">
        <w:rPr>
          <w:b/>
          <w:bCs/>
        </w:rPr>
        <w:t>Le droit à la défense</w:t>
      </w:r>
    </w:p>
    <w:p w14:paraId="22661C4D" w14:textId="7E3AB3ED" w:rsidR="006C0540" w:rsidRDefault="006D60BC">
      <w:pPr>
        <w:spacing w:before="200" w:after="240" w:line="240" w:lineRule="auto"/>
        <w:ind w:firstLine="720"/>
      </w:pPr>
      <w:r>
        <w:t>Dans un communiqué du Ministère de l'Intérieur</w:t>
      </w:r>
      <w:r>
        <w:rPr>
          <w:vertAlign w:val="superscript"/>
        </w:rPr>
        <w:footnoteReference w:id="33"/>
      </w:r>
      <w:r>
        <w:t xml:space="preserve">, il est indiqué que les exécutions à mort de 5 condamnés ont été réalisées légalement et seulement après le rendu de jugements définitifs ayant respecté les garanties du droit de la défense. Toutefois, cela a été contredit, notamment par Ravina </w:t>
      </w:r>
      <w:proofErr w:type="spellStart"/>
      <w:r>
        <w:t>Shamdasani</w:t>
      </w:r>
      <w:proofErr w:type="spellEnd"/>
      <w:r>
        <w:t>, la porte-parole du Haut-Commissariat des Nations Unies aux droits de l’homme</w:t>
      </w:r>
      <w:r>
        <w:rPr>
          <w:vertAlign w:val="superscript"/>
        </w:rPr>
        <w:footnoteReference w:id="34"/>
      </w:r>
      <w:r>
        <w:t xml:space="preserve">. </w:t>
      </w:r>
    </w:p>
    <w:p w14:paraId="2D157546" w14:textId="2B40C0BE" w:rsidR="00D81150" w:rsidRDefault="00D81150">
      <w:pPr>
        <w:spacing w:before="200" w:after="240" w:line="240" w:lineRule="auto"/>
        <w:ind w:firstLine="720"/>
      </w:pPr>
    </w:p>
    <w:p w14:paraId="6E2F0958" w14:textId="77777777" w:rsidR="00D81150" w:rsidRDefault="00D81150">
      <w:pPr>
        <w:spacing w:before="200" w:after="240" w:line="240" w:lineRule="auto"/>
        <w:ind w:firstLine="720"/>
      </w:pPr>
    </w:p>
    <w:tbl>
      <w:tblPr>
        <w:tblStyle w:val="ac"/>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2F60C27C" w14:textId="77777777">
        <w:tc>
          <w:tcPr>
            <w:tcW w:w="9026" w:type="dxa"/>
            <w:shd w:val="clear" w:color="auto" w:fill="auto"/>
            <w:tcMar>
              <w:top w:w="100" w:type="dxa"/>
              <w:left w:w="100" w:type="dxa"/>
              <w:bottom w:w="100" w:type="dxa"/>
              <w:right w:w="100" w:type="dxa"/>
            </w:tcMar>
          </w:tcPr>
          <w:p w14:paraId="42586E3E" w14:textId="77777777" w:rsidR="006C0540" w:rsidRPr="003E4580" w:rsidRDefault="006D60BC" w:rsidP="003E4580">
            <w:pPr>
              <w:spacing w:after="240" w:line="240" w:lineRule="auto"/>
              <w:rPr>
                <w:b/>
                <w:sz w:val="20"/>
                <w:szCs w:val="20"/>
              </w:rPr>
            </w:pPr>
            <w:r w:rsidRPr="003E4580">
              <w:rPr>
                <w:b/>
                <w:sz w:val="20"/>
                <w:szCs w:val="20"/>
              </w:rPr>
              <w:t>Recommandations :</w:t>
            </w:r>
          </w:p>
          <w:p w14:paraId="558A2A2C" w14:textId="77777777" w:rsidR="006C0540" w:rsidRPr="00711F4C" w:rsidRDefault="006D60BC" w:rsidP="006807A3">
            <w:pPr>
              <w:numPr>
                <w:ilvl w:val="0"/>
                <w:numId w:val="2"/>
              </w:numPr>
              <w:spacing w:before="100" w:line="192" w:lineRule="auto"/>
              <w:ind w:left="357" w:hanging="357"/>
              <w:rPr>
                <w:bCs/>
                <w:sz w:val="20"/>
                <w:szCs w:val="20"/>
              </w:rPr>
            </w:pPr>
            <w:r w:rsidRPr="00711F4C">
              <w:rPr>
                <w:bCs/>
                <w:sz w:val="20"/>
                <w:szCs w:val="20"/>
              </w:rPr>
              <w:t xml:space="preserve">Faciliter les procédures de jugement afin de respecter des délais raisonnables. </w:t>
            </w:r>
          </w:p>
          <w:p w14:paraId="3080B82C" w14:textId="1D866A62" w:rsidR="006C0540" w:rsidRPr="00711F4C" w:rsidRDefault="006D60BC" w:rsidP="006807A3">
            <w:pPr>
              <w:numPr>
                <w:ilvl w:val="0"/>
                <w:numId w:val="2"/>
              </w:numPr>
              <w:spacing w:before="100" w:line="192" w:lineRule="auto"/>
              <w:ind w:left="357" w:hanging="357"/>
              <w:rPr>
                <w:bCs/>
                <w:sz w:val="20"/>
                <w:szCs w:val="20"/>
              </w:rPr>
            </w:pPr>
            <w:r w:rsidRPr="00711F4C">
              <w:rPr>
                <w:bCs/>
                <w:sz w:val="20"/>
                <w:szCs w:val="20"/>
              </w:rPr>
              <w:t>Assurer l’indépendance de la justice et l’impartialité des juges notamment en limitant l’intrusion du pouvoir exécutif dans le pouvoir judiciaire.</w:t>
            </w:r>
          </w:p>
          <w:p w14:paraId="55262FD3" w14:textId="77777777" w:rsidR="006C0540" w:rsidRPr="00711F4C" w:rsidRDefault="006D60BC" w:rsidP="006807A3">
            <w:pPr>
              <w:numPr>
                <w:ilvl w:val="0"/>
                <w:numId w:val="2"/>
              </w:numPr>
              <w:spacing w:before="100" w:line="192" w:lineRule="auto"/>
              <w:ind w:left="357" w:hanging="357"/>
              <w:rPr>
                <w:bCs/>
                <w:sz w:val="20"/>
                <w:szCs w:val="20"/>
              </w:rPr>
            </w:pPr>
            <w:r w:rsidRPr="00711F4C">
              <w:rPr>
                <w:bCs/>
                <w:sz w:val="20"/>
                <w:szCs w:val="20"/>
              </w:rPr>
              <w:t xml:space="preserve">Respecter les garanties procédurales du procès, et particulièrement la présomption d'innocence et le respect des droits de la défense. Arrêter définitivement la pratique des condamnations in </w:t>
            </w:r>
            <w:proofErr w:type="spellStart"/>
            <w:r w:rsidRPr="00D81150">
              <w:rPr>
                <w:bCs/>
                <w:i/>
                <w:iCs/>
                <w:sz w:val="20"/>
                <w:szCs w:val="20"/>
              </w:rPr>
              <w:t>abstentia</w:t>
            </w:r>
            <w:proofErr w:type="spellEnd"/>
            <w:r w:rsidRPr="00711F4C">
              <w:rPr>
                <w:bCs/>
                <w:sz w:val="20"/>
                <w:szCs w:val="20"/>
              </w:rPr>
              <w:t>.</w:t>
            </w:r>
          </w:p>
          <w:p w14:paraId="35058234" w14:textId="77777777" w:rsidR="006C0540" w:rsidRDefault="006D60BC" w:rsidP="006807A3">
            <w:pPr>
              <w:numPr>
                <w:ilvl w:val="0"/>
                <w:numId w:val="2"/>
              </w:numPr>
              <w:spacing w:before="100" w:after="0" w:line="192" w:lineRule="auto"/>
              <w:ind w:left="357" w:hanging="357"/>
              <w:rPr>
                <w:b/>
                <w:i/>
              </w:rPr>
            </w:pPr>
            <w:r w:rsidRPr="00711F4C">
              <w:rPr>
                <w:bCs/>
                <w:sz w:val="20"/>
                <w:szCs w:val="20"/>
              </w:rPr>
              <w:t>Laisser une période suffisante à l’accusé afin qu’il puisse préparer sa défense de l’accusé.</w:t>
            </w:r>
            <w:r>
              <w:rPr>
                <w:b/>
              </w:rPr>
              <w:t xml:space="preserve"> </w:t>
            </w:r>
          </w:p>
        </w:tc>
      </w:tr>
    </w:tbl>
    <w:p w14:paraId="0923580A" w14:textId="77777777" w:rsidR="00D81150" w:rsidRDefault="00D81150" w:rsidP="00C47C73">
      <w:pPr>
        <w:pStyle w:val="Titre2"/>
        <w:spacing w:before="240"/>
        <w:jc w:val="both"/>
      </w:pPr>
      <w:bookmarkStart w:id="33" w:name="_heading=h.ke40oav4akxs" w:colFirst="0" w:colLast="0"/>
      <w:bookmarkStart w:id="34" w:name="_heading=h.prpagkqsyc49" w:colFirst="0" w:colLast="0"/>
      <w:bookmarkStart w:id="35" w:name="_Toc131755901"/>
      <w:bookmarkEnd w:id="33"/>
      <w:bookmarkEnd w:id="34"/>
    </w:p>
    <w:p w14:paraId="7C268BEA" w14:textId="48ABFD5B" w:rsidR="006C0540" w:rsidRDefault="006D60BC" w:rsidP="00C47C73">
      <w:pPr>
        <w:pStyle w:val="Titre2"/>
        <w:spacing w:before="240"/>
        <w:jc w:val="both"/>
      </w:pPr>
      <w:r>
        <w:t>2.2 Les tribunaux militaires</w:t>
      </w:r>
      <w:bookmarkEnd w:id="35"/>
      <w:r>
        <w:t xml:space="preserve"> </w:t>
      </w:r>
    </w:p>
    <w:p w14:paraId="6DD290CF" w14:textId="4EC361A5" w:rsidR="006C0540" w:rsidRDefault="006D60BC">
      <w:pPr>
        <w:spacing w:before="200" w:line="240" w:lineRule="auto"/>
        <w:ind w:firstLine="720"/>
      </w:pPr>
      <w:r>
        <w:lastRenderedPageBreak/>
        <w:t>Le Décret-loi n° (2) de 2018 relatif au pouvoir judiciaire des forces de sécurité, applicable en Cisjordanie et à Gaza encadre les différents tribunaux, à l'exception de la Cour d’appel militaire qui a été instaurée par le Décret-loi n° 31 de 2016</w:t>
      </w:r>
      <w:r>
        <w:rPr>
          <w:vertAlign w:val="superscript"/>
        </w:rPr>
        <w:footnoteReference w:id="35"/>
      </w:r>
      <w:r>
        <w:t xml:space="preserve">. L’organisation judiciaire est constituée d’un tribunal militaire central de première instance composé d’un juge unique, d’un tribunal militaire permanent, d’un tribunal spécial de première instance, de la cour militaire d’appel et des tribunaux militaires de campagne. Au regard de la Loi, les jugements des tribunaux de </w:t>
      </w:r>
      <w:r w:rsidR="006807A3">
        <w:t>premières et deuxièmes instances</w:t>
      </w:r>
      <w:r>
        <w:t xml:space="preserve"> sont susceptibles de recours devant les instances supérieures. Cependant, il n’est pas </w:t>
      </w:r>
      <w:r w:rsidR="006807A3">
        <w:t>indiqué qu’ils</w:t>
      </w:r>
      <w:r>
        <w:t xml:space="preserve"> soient automatiques en cas de prononcé de condamnation à la peine de mort</w:t>
      </w:r>
      <w:r>
        <w:rPr>
          <w:vertAlign w:val="superscript"/>
        </w:rPr>
        <w:footnoteReference w:id="36"/>
      </w:r>
      <w:r>
        <w:t>. Au total, au moins 14 des 44 exécutions réalisées dans la Bande de Gaza depuis 1994, l’ont été par la branche militaire du Hamas</w:t>
      </w:r>
      <w:r>
        <w:rPr>
          <w:vertAlign w:val="superscript"/>
        </w:rPr>
        <w:footnoteReference w:id="37"/>
      </w:r>
      <w:r>
        <w:t xml:space="preserve">. </w:t>
      </w:r>
    </w:p>
    <w:p w14:paraId="420A3854" w14:textId="77777777" w:rsidR="006C0540" w:rsidRDefault="006D60BC">
      <w:pPr>
        <w:spacing w:before="200" w:line="240" w:lineRule="auto"/>
      </w:pPr>
      <w:r>
        <w:t>En 2016, la Cour suprême de sûreté de l'État (</w:t>
      </w:r>
      <w:r>
        <w:rPr>
          <w:rtl/>
        </w:rPr>
        <w:t>محكمة أمن الدولة العليا</w:t>
      </w:r>
      <w:r>
        <w:t>) a été supprimée. Elle avait été largement critiquée par les organisations de la société civile palestinienne, pour avoir violé le principe de l'État de droit, usurpé les pouvoirs de la justice civile et manqué de garanties de procès équitable</w:t>
      </w:r>
      <w:r>
        <w:rPr>
          <w:vertAlign w:val="superscript"/>
        </w:rPr>
        <w:footnoteReference w:id="38"/>
      </w:r>
      <w:r>
        <w:t>.</w:t>
      </w:r>
    </w:p>
    <w:p w14:paraId="1D1FD458" w14:textId="0AD924F1" w:rsidR="006C0540" w:rsidRDefault="006D60BC" w:rsidP="00413DBC">
      <w:pPr>
        <w:spacing w:before="200" w:line="240" w:lineRule="auto"/>
        <w:ind w:firstLine="720"/>
      </w:pPr>
      <w:r>
        <w:t xml:space="preserve">Les compétences des tribunaux militaires sont encadrées par </w:t>
      </w:r>
      <w:r w:rsidR="006807A3">
        <w:t>les articles</w:t>
      </w:r>
      <w:r>
        <w:t xml:space="preserve"> 119 à 123 du Code pénal révolutionnaire</w:t>
      </w:r>
      <w:r>
        <w:rPr>
          <w:vertAlign w:val="superscript"/>
        </w:rPr>
        <w:footnoteReference w:id="39"/>
      </w:r>
      <w:r>
        <w:t xml:space="preserve">, toutefois ces textes ne font pas de différence entre les tribunaux concernant la compétence de prononcer la peine de mort. Ainsi, le juge unique du tribunal militaire central pourrait être amené à prononcer une condamnation à mort. </w:t>
      </w:r>
    </w:p>
    <w:p w14:paraId="69220809" w14:textId="77777777" w:rsidR="006C0540" w:rsidRDefault="006D60BC">
      <w:pPr>
        <w:spacing w:before="200" w:line="240" w:lineRule="auto"/>
      </w:pPr>
      <w:r>
        <w:t>En outre, l’article 101 de la Loi fondamentale de 2003</w:t>
      </w:r>
      <w:r>
        <w:rPr>
          <w:vertAlign w:val="superscript"/>
        </w:rPr>
        <w:footnoteReference w:id="40"/>
      </w:r>
      <w:r>
        <w:t>, dispose que les tribunaux militaires ne sont pas autorisés à juger des civils. L’Autorité palestinienne a fourni de nombreux efforts pour encadrer les jugements de civils devant des tribunaux militaires</w:t>
      </w:r>
      <w:r>
        <w:rPr>
          <w:vertAlign w:val="superscript"/>
        </w:rPr>
        <w:footnoteReference w:id="41"/>
      </w:r>
      <w:r>
        <w:t>. Ainsi en Cisjordanie aucun civil n'a été condamné par les tribunaux militaires depuis 2011.</w:t>
      </w:r>
    </w:p>
    <w:p w14:paraId="599B39D4" w14:textId="68A7E8D2" w:rsidR="006C0540" w:rsidRDefault="006D60BC">
      <w:pPr>
        <w:spacing w:before="200" w:line="240" w:lineRule="auto"/>
      </w:pPr>
      <w:r>
        <w:t>Cependant, dans la bande de Gaza la justice militaire continue d’examiner des affaires concernant des civils, en particulier celles impliquant des crimes de trahison liés aux relations avec les autorités israéliennes</w:t>
      </w:r>
      <w:r>
        <w:rPr>
          <w:vertAlign w:val="superscript"/>
        </w:rPr>
        <w:footnoteReference w:id="42"/>
      </w:r>
      <w:r>
        <w:t>. L’article 25 de la Loi n° 3 de 2008 sur la justice militaire promulguée par le Hamas, permet au Parquet Militaire de participer à l’instruction de tous les crimes de droit commun inclus dans la sélection des juges militaires ainsi que des crimes militaires liés aux crimes de droit commun. Cela revient à permettre au Parquet de renvoyer toute affaire devant la justice militaire, sans aucune limitation ni condition</w:t>
      </w:r>
      <w:r>
        <w:rPr>
          <w:vertAlign w:val="superscript"/>
        </w:rPr>
        <w:footnoteReference w:id="43"/>
      </w:r>
      <w:r>
        <w:t>. Ainsi, dans la bande de Gaza une grande majorité des peines capitales a été prononcée par des tribunaux militaires, y compris contre des personnes civiles</w:t>
      </w:r>
      <w:r>
        <w:rPr>
          <w:vertAlign w:val="superscript"/>
        </w:rPr>
        <w:footnoteReference w:id="44"/>
      </w:r>
      <w:r>
        <w:t>. Le 21 octobre 2022, l’Autorité de justice militaire dirigée par le Hamas à Gaza a annoncé la condamnation de 13 hommes civils déclarés coupables de trafic de stupéfiants</w:t>
      </w:r>
      <w:r>
        <w:rPr>
          <w:vertAlign w:val="superscript"/>
        </w:rPr>
        <w:footnoteReference w:id="45"/>
      </w:r>
      <w:r>
        <w:t xml:space="preserve">. Ils ont été jugés par des tribunaux militaires sans pouvoir </w:t>
      </w:r>
      <w:r>
        <w:lastRenderedPageBreak/>
        <w:t>obtenir de conseils juridiques. Des aveux obtenus sous la torture ont été utilisés comme preuve lors du procès ayant emporté la peine de mort</w:t>
      </w:r>
      <w:r>
        <w:rPr>
          <w:vertAlign w:val="superscript"/>
        </w:rPr>
        <w:footnoteReference w:id="46"/>
      </w:r>
      <w:r>
        <w:t xml:space="preserve">. </w:t>
      </w:r>
    </w:p>
    <w:p w14:paraId="33065DD2" w14:textId="2623CAA9" w:rsidR="006C0540" w:rsidRDefault="006D60BC">
      <w:pPr>
        <w:spacing w:before="200" w:line="240" w:lineRule="auto"/>
        <w:ind w:firstLine="720"/>
      </w:pPr>
      <w:r>
        <w:t xml:space="preserve">De </w:t>
      </w:r>
      <w:r w:rsidR="006807A3">
        <w:t>plus, les</w:t>
      </w:r>
      <w:r>
        <w:t xml:space="preserve"> procès sont rendus de manière sommaire. Le 1er août 2022, seulement 11 jours après les premières auditions, le tribunal militaire permanent de Gaza a condamné à mort un policier du camp de réfugiés de </w:t>
      </w:r>
      <w:proofErr w:type="spellStart"/>
      <w:r>
        <w:t>Jabalia</w:t>
      </w:r>
      <w:proofErr w:type="spellEnd"/>
      <w:r>
        <w:rPr>
          <w:vertAlign w:val="superscript"/>
        </w:rPr>
        <w:footnoteReference w:id="47"/>
      </w:r>
      <w:r>
        <w:t xml:space="preserve">. </w:t>
      </w:r>
    </w:p>
    <w:p w14:paraId="164A1908" w14:textId="77777777" w:rsidR="006C0540" w:rsidRDefault="006D60BC">
      <w:pPr>
        <w:spacing w:before="200" w:line="240" w:lineRule="auto"/>
        <w:rPr>
          <w:vertAlign w:val="superscript"/>
        </w:rPr>
      </w:pPr>
      <w:r>
        <w:t>En mars 2023, le Tribunal militaire permanent de Gaza a prononcé deux condamnations à mort par pendaison en plus d’une peine prononcée pour maintenir une ancienne peine de mort par la Cour d’appel militaire</w:t>
      </w:r>
      <w:r>
        <w:rPr>
          <w:vertAlign w:val="superscript"/>
        </w:rPr>
        <w:footnoteReference w:id="48"/>
      </w:r>
      <w:r>
        <w:t>.</w:t>
      </w:r>
    </w:p>
    <w:tbl>
      <w:tblPr>
        <w:tblStyle w:val="ad"/>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30326C02" w14:textId="77777777">
        <w:tc>
          <w:tcPr>
            <w:tcW w:w="9026" w:type="dxa"/>
            <w:shd w:val="clear" w:color="auto" w:fill="auto"/>
            <w:tcMar>
              <w:top w:w="100" w:type="dxa"/>
              <w:left w:w="100" w:type="dxa"/>
              <w:bottom w:w="100" w:type="dxa"/>
              <w:right w:w="100" w:type="dxa"/>
            </w:tcMar>
          </w:tcPr>
          <w:p w14:paraId="33AF1648" w14:textId="77777777" w:rsidR="006C0540" w:rsidRPr="003E4580" w:rsidRDefault="006D60BC" w:rsidP="003E4580">
            <w:pPr>
              <w:spacing w:line="240" w:lineRule="auto"/>
              <w:rPr>
                <w:b/>
                <w:sz w:val="20"/>
                <w:szCs w:val="20"/>
              </w:rPr>
            </w:pPr>
            <w:r w:rsidRPr="003E4580">
              <w:rPr>
                <w:b/>
                <w:sz w:val="20"/>
                <w:szCs w:val="20"/>
              </w:rPr>
              <w:t xml:space="preserve">Recommandations : </w:t>
            </w:r>
          </w:p>
          <w:p w14:paraId="5EF6A1D8" w14:textId="631F94DA" w:rsidR="006C0540" w:rsidRPr="00711F4C" w:rsidRDefault="006D60BC" w:rsidP="006807A3">
            <w:pPr>
              <w:numPr>
                <w:ilvl w:val="0"/>
                <w:numId w:val="2"/>
              </w:numPr>
              <w:spacing w:line="240" w:lineRule="auto"/>
              <w:ind w:left="360"/>
              <w:rPr>
                <w:bCs/>
                <w:sz w:val="20"/>
                <w:szCs w:val="20"/>
              </w:rPr>
            </w:pPr>
            <w:r w:rsidRPr="00711F4C">
              <w:rPr>
                <w:bCs/>
                <w:sz w:val="20"/>
                <w:szCs w:val="20"/>
              </w:rPr>
              <w:t>Supprimer la compétence des tribunaux militaires à prononcer des condamnations à mort, en Cisjordanie et dans la bande de Gaza, en conformité avec l’Observation générale n°</w:t>
            </w:r>
            <w:r w:rsidR="006807A3" w:rsidRPr="00711F4C">
              <w:rPr>
                <w:bCs/>
                <w:sz w:val="20"/>
                <w:szCs w:val="20"/>
              </w:rPr>
              <w:t>36 du</w:t>
            </w:r>
            <w:r w:rsidRPr="00711F4C">
              <w:rPr>
                <w:bCs/>
                <w:sz w:val="20"/>
                <w:szCs w:val="20"/>
              </w:rPr>
              <w:t xml:space="preserve"> Comité des droits de l’homme sur l’article 6 du PIDCP, concernant le droit à la vie, les tribunaux militaires n’offrant pas toutes les garanties d’une procédure équitab</w:t>
            </w:r>
            <w:r w:rsidR="00413DBC">
              <w:rPr>
                <w:bCs/>
                <w:sz w:val="20"/>
                <w:szCs w:val="20"/>
              </w:rPr>
              <w:t xml:space="preserve">le. </w:t>
            </w:r>
            <w:r w:rsidRPr="00711F4C">
              <w:rPr>
                <w:bCs/>
                <w:sz w:val="20"/>
                <w:szCs w:val="20"/>
              </w:rPr>
              <w:t xml:space="preserve"> </w:t>
            </w:r>
          </w:p>
          <w:p w14:paraId="36ABC591" w14:textId="6405C555" w:rsidR="006C0540" w:rsidRPr="00711F4C" w:rsidRDefault="006D60BC" w:rsidP="006807A3">
            <w:pPr>
              <w:numPr>
                <w:ilvl w:val="0"/>
                <w:numId w:val="2"/>
              </w:numPr>
              <w:spacing w:line="240" w:lineRule="auto"/>
              <w:ind w:left="360"/>
              <w:rPr>
                <w:bCs/>
                <w:sz w:val="20"/>
                <w:szCs w:val="20"/>
              </w:rPr>
            </w:pPr>
            <w:r w:rsidRPr="00711F4C">
              <w:rPr>
                <w:bCs/>
                <w:sz w:val="20"/>
                <w:szCs w:val="20"/>
              </w:rPr>
              <w:t xml:space="preserve">Rendre systématique la possibilité de faire appel d’une condamnation à la peine de mort, conformément à la Résolution 1984/50 du 25 mai 1984 du Conseil économique et social de l'ONU puisque « Toute personne condamnée à mort a le droit de se pourvoir en grâce ou de présenter une pétition en commutation de </w:t>
            </w:r>
            <w:r w:rsidR="006807A3" w:rsidRPr="00711F4C">
              <w:rPr>
                <w:bCs/>
                <w:sz w:val="20"/>
                <w:szCs w:val="20"/>
              </w:rPr>
              <w:t>peine ;</w:t>
            </w:r>
            <w:r w:rsidRPr="00711F4C">
              <w:rPr>
                <w:bCs/>
                <w:sz w:val="20"/>
                <w:szCs w:val="20"/>
              </w:rPr>
              <w:t xml:space="preserve"> la grâce ou la commutation de peine peut être accordée dans tous les cas de condamnation à mort</w:t>
            </w:r>
            <w:r w:rsidR="00413DBC">
              <w:rPr>
                <w:bCs/>
                <w:sz w:val="20"/>
                <w:szCs w:val="20"/>
              </w:rPr>
              <w:t xml:space="preserve"> ». </w:t>
            </w:r>
            <w:r w:rsidRPr="00711F4C">
              <w:rPr>
                <w:bCs/>
                <w:sz w:val="20"/>
                <w:szCs w:val="20"/>
              </w:rPr>
              <w:t xml:space="preserve"> </w:t>
            </w:r>
          </w:p>
          <w:p w14:paraId="76C72D4E" w14:textId="77777777" w:rsidR="006C0540" w:rsidRPr="00711F4C" w:rsidRDefault="006D60BC" w:rsidP="006807A3">
            <w:pPr>
              <w:numPr>
                <w:ilvl w:val="0"/>
                <w:numId w:val="2"/>
              </w:numPr>
              <w:spacing w:line="240" w:lineRule="auto"/>
              <w:ind w:left="360"/>
              <w:rPr>
                <w:bCs/>
                <w:sz w:val="20"/>
                <w:szCs w:val="20"/>
              </w:rPr>
            </w:pPr>
            <w:r w:rsidRPr="00711F4C">
              <w:rPr>
                <w:bCs/>
                <w:sz w:val="20"/>
                <w:szCs w:val="20"/>
              </w:rPr>
              <w:t>Mettre en place au sein de l’autorité judiciaire, à tous les niveaux de procédure des formations de jugement collégiales représentatives des différents segments de la société et qui s'efforceront de prendre leur décision à l'unanimité, faute de quoi, ils la prennent à la majorité.</w:t>
            </w:r>
          </w:p>
          <w:p w14:paraId="5221FD2D" w14:textId="77777777" w:rsidR="006C0540" w:rsidRPr="00711F4C" w:rsidRDefault="006D60BC" w:rsidP="006807A3">
            <w:pPr>
              <w:numPr>
                <w:ilvl w:val="0"/>
                <w:numId w:val="2"/>
              </w:numPr>
              <w:spacing w:line="240" w:lineRule="auto"/>
              <w:ind w:left="360"/>
              <w:rPr>
                <w:bCs/>
                <w:sz w:val="20"/>
                <w:szCs w:val="20"/>
              </w:rPr>
            </w:pPr>
            <w:r w:rsidRPr="00711F4C">
              <w:rPr>
                <w:bCs/>
                <w:sz w:val="20"/>
                <w:szCs w:val="20"/>
              </w:rPr>
              <w:t xml:space="preserve">Encadrer davantage la compétence des procureurs militaires et des tribunaux, afin qu’ils ne connaissent pas d’autres litiges que ceux relevant des affaires militaires, conformément à l’article 101 de la Loi fondamentale, notamment s’ils ne sont pas en mesure de démontrer des conditions suffisantes de compétence, d’indépendance et d’impartialité. </w:t>
            </w:r>
          </w:p>
          <w:p w14:paraId="7CFA7A4A" w14:textId="77777777" w:rsidR="006C0540" w:rsidRDefault="006D60BC" w:rsidP="006807A3">
            <w:pPr>
              <w:numPr>
                <w:ilvl w:val="0"/>
                <w:numId w:val="2"/>
              </w:numPr>
              <w:spacing w:after="0" w:line="240" w:lineRule="auto"/>
              <w:ind w:left="360"/>
              <w:rPr>
                <w:b/>
              </w:rPr>
            </w:pPr>
            <w:r w:rsidRPr="00711F4C">
              <w:rPr>
                <w:bCs/>
                <w:sz w:val="20"/>
                <w:szCs w:val="20"/>
              </w:rPr>
              <w:t>Mettre fin à la pratique des procès sommaires.</w:t>
            </w:r>
          </w:p>
        </w:tc>
      </w:tr>
    </w:tbl>
    <w:p w14:paraId="3A2338CB" w14:textId="77777777" w:rsidR="00C47C73" w:rsidRPr="00C47C73" w:rsidRDefault="00C47C73" w:rsidP="00C47C73">
      <w:bookmarkStart w:id="36" w:name="_heading=h.veodmoo4tedw" w:colFirst="0" w:colLast="0"/>
      <w:bookmarkStart w:id="37" w:name="_Toc131755902"/>
      <w:bookmarkEnd w:id="36"/>
    </w:p>
    <w:p w14:paraId="07282EA1" w14:textId="3ACDAD1A" w:rsidR="006C0540" w:rsidRPr="00251481" w:rsidRDefault="006D60BC" w:rsidP="00C47C73">
      <w:pPr>
        <w:pStyle w:val="Titre1"/>
        <w:spacing w:after="0"/>
      </w:pPr>
      <w:r w:rsidRPr="00251481">
        <w:t>Violations des droits fondamentaux dans les prisons (article 10</w:t>
      </w:r>
      <w:r w:rsidR="00621C6C">
        <w:t xml:space="preserve"> et 7</w:t>
      </w:r>
      <w:r w:rsidRPr="00251481">
        <w:t xml:space="preserve"> du </w:t>
      </w:r>
      <w:proofErr w:type="spellStart"/>
      <w:r w:rsidRPr="00251481">
        <w:t>pidcp</w:t>
      </w:r>
      <w:proofErr w:type="spellEnd"/>
      <w:r w:rsidRPr="00251481">
        <w:t>)</w:t>
      </w:r>
      <w:bookmarkEnd w:id="37"/>
    </w:p>
    <w:tbl>
      <w:tblPr>
        <w:tblStyle w:val="ae"/>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4555C739" w14:textId="77777777">
        <w:tc>
          <w:tcPr>
            <w:tcW w:w="9026" w:type="dxa"/>
            <w:shd w:val="clear" w:color="auto" w:fill="auto"/>
            <w:tcMar>
              <w:top w:w="100" w:type="dxa"/>
              <w:left w:w="100" w:type="dxa"/>
              <w:bottom w:w="100" w:type="dxa"/>
              <w:right w:w="100" w:type="dxa"/>
            </w:tcMar>
          </w:tcPr>
          <w:p w14:paraId="2B9184B8" w14:textId="77777777" w:rsidR="006C0540" w:rsidRPr="003E4580" w:rsidRDefault="006D60BC" w:rsidP="00711F4C">
            <w:pPr>
              <w:spacing w:after="160" w:line="240" w:lineRule="auto"/>
              <w:rPr>
                <w:b/>
                <w:bCs/>
                <w:sz w:val="20"/>
                <w:szCs w:val="20"/>
              </w:rPr>
            </w:pPr>
            <w:r w:rsidRPr="003E4580">
              <w:rPr>
                <w:b/>
                <w:bCs/>
                <w:sz w:val="20"/>
                <w:szCs w:val="20"/>
              </w:rPr>
              <w:t>Article 10 du PIDCP</w:t>
            </w:r>
          </w:p>
          <w:p w14:paraId="089D6375" w14:textId="77777777" w:rsidR="006C0540" w:rsidRPr="003E4580" w:rsidRDefault="006D60BC" w:rsidP="00711F4C">
            <w:pPr>
              <w:spacing w:before="120" w:after="160" w:line="240" w:lineRule="auto"/>
              <w:rPr>
                <w:sz w:val="20"/>
                <w:szCs w:val="20"/>
              </w:rPr>
            </w:pPr>
            <w:r w:rsidRPr="003E4580">
              <w:rPr>
                <w:sz w:val="20"/>
                <w:szCs w:val="20"/>
              </w:rPr>
              <w:t>1. Toute personne privée de sa liberté est traitée avec humanité et avec le respect de la dignité inhérente à la personne humaine.</w:t>
            </w:r>
          </w:p>
          <w:p w14:paraId="18FD4677" w14:textId="77777777" w:rsidR="006C0540" w:rsidRPr="003E4580" w:rsidRDefault="006D60BC" w:rsidP="00711F4C">
            <w:pPr>
              <w:spacing w:before="120" w:after="160" w:line="240" w:lineRule="auto"/>
              <w:rPr>
                <w:sz w:val="20"/>
                <w:szCs w:val="20"/>
              </w:rPr>
            </w:pPr>
            <w:r w:rsidRPr="003E4580">
              <w:rPr>
                <w:sz w:val="20"/>
                <w:szCs w:val="20"/>
              </w:rPr>
              <w:t>2.a) Les prévenus sont, sauf dans des circonstances exceptionnelles, séparés des condamnés et sont soumis à un régime distinct, approprié à leur condition de personnes non condamnées ;</w:t>
            </w:r>
          </w:p>
          <w:p w14:paraId="4784F73B" w14:textId="77777777" w:rsidR="006C0540" w:rsidRPr="003E4580" w:rsidRDefault="006D60BC" w:rsidP="00711F4C">
            <w:pPr>
              <w:spacing w:before="120" w:after="160" w:line="240" w:lineRule="auto"/>
              <w:rPr>
                <w:sz w:val="20"/>
                <w:szCs w:val="20"/>
              </w:rPr>
            </w:pPr>
            <w:r w:rsidRPr="003E4580">
              <w:rPr>
                <w:sz w:val="20"/>
                <w:szCs w:val="20"/>
              </w:rPr>
              <w:t>b) Les jeunes prévenus sont séparés des adultes et il est décidé de leur cas aussi rapidement que possible.</w:t>
            </w:r>
          </w:p>
          <w:p w14:paraId="530D6E85" w14:textId="77777777" w:rsidR="006C0540" w:rsidRDefault="006D60BC" w:rsidP="00711F4C">
            <w:pPr>
              <w:spacing w:before="120" w:after="0" w:line="240" w:lineRule="auto"/>
              <w:rPr>
                <w:sz w:val="22"/>
                <w:szCs w:val="22"/>
              </w:rPr>
            </w:pPr>
            <w:r w:rsidRPr="003E4580">
              <w:rPr>
                <w:sz w:val="20"/>
                <w:szCs w:val="20"/>
              </w:rPr>
              <w:t>3. Le régime pénitentiaire comporte un traitement des condamnés dont le but essentiel est leur amendement et leur reclassement social. Les jeunes délinquants sont séparés des adultes et soumis à un régime approprié à leur âge et à leur statut légal.</w:t>
            </w:r>
          </w:p>
        </w:tc>
      </w:tr>
    </w:tbl>
    <w:p w14:paraId="5AAA6F0D" w14:textId="77777777" w:rsidR="006C0540" w:rsidRDefault="006D60BC" w:rsidP="006807A3">
      <w:pPr>
        <w:pStyle w:val="Titre2"/>
        <w:spacing w:before="240"/>
      </w:pPr>
      <w:bookmarkStart w:id="38" w:name="_heading=h.ephyr829vbul" w:colFirst="0" w:colLast="0"/>
      <w:bookmarkStart w:id="39" w:name="_Toc131755903"/>
      <w:bookmarkEnd w:id="38"/>
      <w:r>
        <w:lastRenderedPageBreak/>
        <w:t>3.1 Cadre juridique</w:t>
      </w:r>
      <w:bookmarkEnd w:id="39"/>
      <w:r>
        <w:t xml:space="preserve"> </w:t>
      </w:r>
    </w:p>
    <w:p w14:paraId="57731AEA" w14:textId="77777777" w:rsidR="006C0540" w:rsidRDefault="006D60BC">
      <w:pPr>
        <w:spacing w:before="200" w:line="240" w:lineRule="auto"/>
        <w:ind w:firstLine="720"/>
      </w:pPr>
      <w:r>
        <w:t>L’</w:t>
      </w:r>
      <w:r>
        <w:rPr>
          <w:highlight w:val="white"/>
        </w:rPr>
        <w:t xml:space="preserve">État </w:t>
      </w:r>
      <w:r>
        <w:t xml:space="preserve">de Palestine a ratifié de nombreuses conventions internationales de protection des droits de l’homme. Outre le PIDCP et son deuxième Protocole facultatif, l’Autorité palestinienne a ratifié la Convention contre la torture et autres peines ou traitements cruels, inhumains ou dégradants (CAT) le 2 avril 2014. Le même jour, elle a ratifié la Convention internationale sur l’élimination de toutes formes de discrimination à l’égard des femmes, la Convention relative aux droits de l’enfant et la Convention relative aux droits des personnes handicapées (CIDPH). L’Autorité palestinienne a ratifié, le 29 décembre 2017, le Protocole facultatif à la CAT. </w:t>
      </w:r>
    </w:p>
    <w:p w14:paraId="75DC7100" w14:textId="77777777" w:rsidR="006C0540" w:rsidRDefault="006D60BC">
      <w:pPr>
        <w:spacing w:before="200" w:line="240" w:lineRule="auto"/>
      </w:pPr>
      <w:r>
        <w:t>En dépit de ces engagements, l'encadrement législatif de la détention ne répond pas à l’ensemble des obligations internationales auxquelles a souscrit l’</w:t>
      </w:r>
      <w:r>
        <w:rPr>
          <w:highlight w:val="white"/>
        </w:rPr>
        <w:t xml:space="preserve">État </w:t>
      </w:r>
      <w:r>
        <w:t xml:space="preserve">de Palestine. </w:t>
      </w:r>
    </w:p>
    <w:p w14:paraId="24E7FFB8" w14:textId="77777777" w:rsidR="006C0540" w:rsidRDefault="006D60BC">
      <w:pPr>
        <w:spacing w:before="200" w:line="240" w:lineRule="auto"/>
      </w:pPr>
      <w:r>
        <w:t>Le système pénitentiaire palestinien est composé de trois types de lieux de détention : les centres de réhabilitation et de redressement, les centres de détention du service des renseignements et les centres de détention du service des renseignements militaires</w:t>
      </w:r>
      <w:r>
        <w:rPr>
          <w:vertAlign w:val="superscript"/>
        </w:rPr>
        <w:footnoteReference w:id="49"/>
      </w:r>
      <w:r>
        <w:t>. Les centres de détention seraient au nombre de 3 dans la bande de Gaza et 42 centres de détention tous types confondus en Cisjordanie</w:t>
      </w:r>
      <w:r>
        <w:rPr>
          <w:vertAlign w:val="superscript"/>
        </w:rPr>
        <w:footnoteReference w:id="50"/>
      </w:r>
      <w:r>
        <w:t xml:space="preserve"> sous l’autorité du Ministère de l'Intérieur. </w:t>
      </w:r>
    </w:p>
    <w:p w14:paraId="7349ECEA" w14:textId="77777777" w:rsidR="006C0540" w:rsidRDefault="006D60BC">
      <w:pPr>
        <w:spacing w:before="200" w:line="240" w:lineRule="auto"/>
      </w:pPr>
      <w:r>
        <w:t xml:space="preserve">Les lieux de détention sont principalement régis par la loi n°6 de 1998 sur les centres de rééducation et de réadaptation. Les dispositions de cette loi ne sont que partiellement conformes aux standards internationaux minimums de bonnes pratiques en ce qui concerne le traitement des personnes détenues et particulièrement l'Ensemble des règles </w:t>
      </w:r>
      <w:r>
        <w:rPr>
          <w:i/>
        </w:rPr>
        <w:t xml:space="preserve">minima </w:t>
      </w:r>
      <w:r>
        <w:t>des Nations Unies pour le traitement des détenus, dites Règles Nelson Mandela. Ces standards visent à assurer le droit à être traité avec humanité dans le respect de la dignité, garanti par l'article 10 du PIDCP.</w:t>
      </w:r>
    </w:p>
    <w:p w14:paraId="7612BA40" w14:textId="77777777" w:rsidR="006C0540" w:rsidRDefault="006D60BC">
      <w:pPr>
        <w:spacing w:before="200" w:line="240" w:lineRule="auto"/>
      </w:pPr>
      <w:r>
        <w:t>La législation reste silencieuse dans un certain nombre de domaines. En premier lieu, il est à noter qu’aucune disposition ne vise expressément la garantie de la dignité inhérente aux détenus en tant qu'êtres humains. Alors que l’Autorité palestinienne est partie à la Convention internationale sur les droits des personnes handicapées (CIDPH), la loi ne prévoit pas d’aménagement particulier pour les personnes en situation de handicap. De même, la réglementation reste silencieuse sur la formation du personnel carcéral qui constitue pourtant un élément essentiel de la garantie de conditions dignes de détention. Enfin, l’article 16 de la Loi sur les centres de rééducation et de réadaptation prévoit l’obligation de notifier le procureur de la République de la mort d’un détenu mais ne pose pas expressément l’obligation de mener une enquête sur les circonstances de la mort conformément aux règles 57 et 71 des Règles Nelson Mandela.</w:t>
      </w:r>
    </w:p>
    <w:tbl>
      <w:tblPr>
        <w:tblStyle w:val="af"/>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1A83DE02" w14:textId="77777777">
        <w:tc>
          <w:tcPr>
            <w:tcW w:w="9026" w:type="dxa"/>
            <w:shd w:val="clear" w:color="auto" w:fill="auto"/>
            <w:tcMar>
              <w:top w:w="100" w:type="dxa"/>
              <w:left w:w="100" w:type="dxa"/>
              <w:bottom w:w="100" w:type="dxa"/>
              <w:right w:w="100" w:type="dxa"/>
            </w:tcMar>
          </w:tcPr>
          <w:p w14:paraId="47802328" w14:textId="77777777" w:rsidR="006C0540" w:rsidRPr="003E4580" w:rsidRDefault="006D60BC" w:rsidP="003E4580">
            <w:pPr>
              <w:spacing w:line="240" w:lineRule="auto"/>
              <w:rPr>
                <w:b/>
                <w:sz w:val="20"/>
                <w:szCs w:val="20"/>
              </w:rPr>
            </w:pPr>
            <w:r w:rsidRPr="003E4580">
              <w:rPr>
                <w:b/>
                <w:sz w:val="20"/>
                <w:szCs w:val="20"/>
              </w:rPr>
              <w:t xml:space="preserve">Recommandation : </w:t>
            </w:r>
          </w:p>
          <w:p w14:paraId="19D1A3C1" w14:textId="77777777" w:rsidR="006C0540" w:rsidRDefault="006D60BC" w:rsidP="003E4580">
            <w:pPr>
              <w:numPr>
                <w:ilvl w:val="0"/>
                <w:numId w:val="2"/>
              </w:numPr>
              <w:spacing w:before="200" w:after="0" w:line="240" w:lineRule="auto"/>
              <w:ind w:left="360"/>
            </w:pPr>
            <w:r w:rsidRPr="00711F4C">
              <w:rPr>
                <w:bCs/>
                <w:sz w:val="20"/>
                <w:szCs w:val="20"/>
              </w:rPr>
              <w:t>Réviser la Loi sur les centres de rééducation et de réadaptation afin de la rendre conforme aux obligations internationales notamment en inscrivant dans la loi des dispositions sur la formation du personnel carcéral, sur l’obligation d’enquête en cas de mort en détention et sur le droit des personnes en situation de handicap en détention.</w:t>
            </w:r>
            <w:r>
              <w:rPr>
                <w:b/>
              </w:rPr>
              <w:t xml:space="preserve"> </w:t>
            </w:r>
          </w:p>
        </w:tc>
      </w:tr>
    </w:tbl>
    <w:p w14:paraId="2FA9779C" w14:textId="0FB3525E" w:rsidR="006C0540" w:rsidRPr="003E4580" w:rsidRDefault="00C04B22" w:rsidP="006807A3">
      <w:pPr>
        <w:pStyle w:val="Titre2"/>
        <w:spacing w:before="240"/>
      </w:pPr>
      <w:bookmarkStart w:id="40" w:name="_heading=h.dm24fat0ypb8" w:colFirst="0" w:colLast="0"/>
      <w:bookmarkStart w:id="41" w:name="_heading=h.xez89zsfy4zc" w:colFirst="0" w:colLast="0"/>
      <w:bookmarkStart w:id="42" w:name="_Toc131755904"/>
      <w:bookmarkEnd w:id="40"/>
      <w:bookmarkEnd w:id="41"/>
      <w:r>
        <w:t xml:space="preserve">3.2 </w:t>
      </w:r>
      <w:r w:rsidR="006D60BC" w:rsidRPr="003E4580">
        <w:t>Conditions matérielles de détention</w:t>
      </w:r>
      <w:bookmarkEnd w:id="42"/>
    </w:p>
    <w:p w14:paraId="135E68A0" w14:textId="1C97FCEE" w:rsidR="006C0540" w:rsidRPr="00C04B22" w:rsidRDefault="006D60BC" w:rsidP="00C04B22">
      <w:pPr>
        <w:pStyle w:val="Titre3"/>
        <w:numPr>
          <w:ilvl w:val="0"/>
          <w:numId w:val="31"/>
        </w:numPr>
        <w:rPr>
          <w:b/>
          <w:bCs/>
        </w:rPr>
      </w:pPr>
      <w:bookmarkStart w:id="43" w:name="_heading=h.ql0gj9eceqqq" w:colFirst="0" w:colLast="0"/>
      <w:bookmarkEnd w:id="43"/>
      <w:r w:rsidRPr="00C04B22">
        <w:rPr>
          <w:b/>
          <w:bCs/>
        </w:rPr>
        <w:lastRenderedPageBreak/>
        <w:t>Hygiène et santé dans les lieux de détention</w:t>
      </w:r>
    </w:p>
    <w:p w14:paraId="27E08A82" w14:textId="7100B667" w:rsidR="006C0540" w:rsidRDefault="006D60BC">
      <w:pPr>
        <w:spacing w:before="200" w:line="240" w:lineRule="auto"/>
        <w:ind w:firstLine="720"/>
      </w:pPr>
      <w:r>
        <w:t xml:space="preserve">Aux termes du Chapitre V de la Loi sur les centres de rééducation et de réadaptation intitulé « Soins de santé et services médicaux », chaque centre pénitentiaire doit bénéficier d’une clinique. L’article 13 prévoit que le service médical </w:t>
      </w:r>
      <w:r w:rsidR="00050DC5">
        <w:t>doit fournir l’</w:t>
      </w:r>
      <w:r>
        <w:t>accès à un médecin, à un certain nombre d'infirmiers, ainsi qu’à du matériel et des médicaments nécessaires. Les détenus ont droit à une visite médicale lors de leur admission qui donne lieu à un rapport. Les détenus en grève de la faim doivent recevoir un suivi permanent. Plus généralement, le service médical doit assurer le suivi de la santé de tous les détenus et soumettre périodiquement des rapports avec des recommandations au directeur. L’article 14 établit les devoirs des médecins. Ils doivent inspecter les lieux de couchage des détenus, inspecter les détenus en isolement, vérifier l'état de santé des détenus, soigner les malades et transférer ceux dont l'état de santé le nécessite à une clinique ou à un hôpital spécialisé. Ils doivent également isoler ceux qui sont soupçonnés d'être atteints de maladies contagieuses ou épidémiques jusqu'à leur guérison et désinfecter leurs vêtements, leurs lits et leur nourriture. Enfin</w:t>
      </w:r>
      <w:r w:rsidR="00914E57">
        <w:t>,</w:t>
      </w:r>
      <w:r>
        <w:t xml:space="preserve"> face à un prisonnier malade l’article 15 </w:t>
      </w:r>
      <w:r w:rsidR="00914E57">
        <w:t xml:space="preserve">prévoit </w:t>
      </w:r>
      <w:r>
        <w:t xml:space="preserve">le dispositif suivant : le détenu malade doit être immédiatement transféré à l'hôpital si son état l'exige. La direction du centre doit informer sans délai les autorités de la région où vivent les parents du détenu et leur permettre de lui rendre visite. Si le détenu décède, le médecin doit rédiger un rapport reprenant chronologiquement l’état de santé du défunt. </w:t>
      </w:r>
    </w:p>
    <w:p w14:paraId="6C2E6288" w14:textId="77777777" w:rsidR="006C0540" w:rsidRDefault="006D60BC">
      <w:pPr>
        <w:spacing w:before="200" w:line="240" w:lineRule="auto"/>
      </w:pPr>
      <w:r>
        <w:t>En dépit de ces règles, les établissements de détention en territoires palestiniens ne remplissent pas les standards internationaux minimums de bonnes pratiques en ce qui concerne la santé des détenus. Les Règles 24, 25 et 27 des Règles Nelson Mandela établissent les standards relatifs aux droits à la santé des personnes détenues. En effet, la détention ne doit pas conduire à l’interruption de l’accès aux soins. Or il a pu être constaté un déclin de l’état de santé de nombreux détenus qui a parfois entraîné leur mort</w:t>
      </w:r>
      <w:r>
        <w:rPr>
          <w:vertAlign w:val="superscript"/>
        </w:rPr>
        <w:footnoteReference w:id="51"/>
      </w:r>
      <w:r>
        <w:t xml:space="preserve">. </w:t>
      </w:r>
    </w:p>
    <w:p w14:paraId="4A86FC48" w14:textId="77777777" w:rsidR="006C0540" w:rsidRDefault="006D60BC">
      <w:pPr>
        <w:spacing w:before="200" w:line="240" w:lineRule="auto"/>
      </w:pPr>
      <w:r>
        <w:t>En 2021, le Centre palestinien pour les droits humains a dénombré la mort de 4 détenus à l'intérieur des prisons et des centres de détention des services de sécurité palestiniens, en raison de leurs conditions de détention</w:t>
      </w:r>
      <w:r>
        <w:rPr>
          <w:vertAlign w:val="superscript"/>
        </w:rPr>
        <w:footnoteReference w:id="52"/>
      </w:r>
      <w:r>
        <w:t>. Deux sont décédés après leur transfert du Centre de réhabilitation et de réforme de Bethléem vers les hôpitaux d’al-Hussein et de la Société arabe de la ville en raison de la détérioration de leur état de santé. Les deux autres sont morts dans la bande de Gaza à l'hôpital des martyrs d'al-</w:t>
      </w:r>
      <w:proofErr w:type="spellStart"/>
      <w:r>
        <w:t>Aqsa</w:t>
      </w:r>
      <w:proofErr w:type="spellEnd"/>
      <w:r>
        <w:t xml:space="preserve"> à Deir al-</w:t>
      </w:r>
      <w:proofErr w:type="spellStart"/>
      <w:r>
        <w:t>Balah</w:t>
      </w:r>
      <w:proofErr w:type="spellEnd"/>
      <w:r>
        <w:t xml:space="preserve"> après leur transfert du centre de réhabilitation et de réforme de Deir al-</w:t>
      </w:r>
      <w:proofErr w:type="spellStart"/>
      <w:r>
        <w:t>Balah</w:t>
      </w:r>
      <w:proofErr w:type="spellEnd"/>
      <w:r>
        <w:t xml:space="preserve">. </w:t>
      </w:r>
    </w:p>
    <w:p w14:paraId="3789402E" w14:textId="77777777" w:rsidR="006C0540" w:rsidRDefault="006D60BC">
      <w:pPr>
        <w:spacing w:before="200" w:line="240" w:lineRule="auto"/>
      </w:pPr>
      <w:r>
        <w:t xml:space="preserve">Dans la pratique, et malgré les obligations légales, les centres pénitenciers ne disposent pas des services médicaux adéquats. De même, il n’y a que très peu d’informations sur l’effectivité de l’obligation de visite des lieux de détention par les médecins. </w:t>
      </w:r>
    </w:p>
    <w:p w14:paraId="276FFF60" w14:textId="77777777" w:rsidR="006C0540" w:rsidRDefault="006D60BC" w:rsidP="00716002">
      <w:pPr>
        <w:spacing w:before="200" w:line="240" w:lineRule="auto"/>
        <w:ind w:firstLine="720"/>
      </w:pPr>
      <w:r>
        <w:t xml:space="preserve">Au-delà des obligations légales non respectées, la législation palestinienne connaît plusieurs  lacunes. </w:t>
      </w:r>
      <w:r w:rsidRPr="009C03B6">
        <w:rPr>
          <w:b/>
          <w:bCs/>
        </w:rPr>
        <w:t>Deux points en particulier sont à mentionner. D’une part, l’absence de réglementation spécifique en ce qui concerne la santé des femmes détenues</w:t>
      </w:r>
      <w:r>
        <w:t xml:space="preserve">. Les femmes n’ont pas un droit spécifique à un praticien du même sexe même en ce qui concerne les visites gynécologiques. </w:t>
      </w:r>
      <w:r w:rsidRPr="009C03B6">
        <w:rPr>
          <w:b/>
          <w:bCs/>
        </w:rPr>
        <w:t>D’autre part, les pratiques abusives des services médicaux militaires, qui sont en charge des soins dans les lieux de détention et qui ne sont soumises à aucune réglementation</w:t>
      </w:r>
      <w:r>
        <w:t xml:space="preserve">. </w:t>
      </w:r>
    </w:p>
    <w:p w14:paraId="0EA4D77A" w14:textId="77777777" w:rsidR="006C0540" w:rsidRDefault="006D60BC">
      <w:pPr>
        <w:spacing w:before="200" w:line="240" w:lineRule="auto"/>
      </w:pPr>
      <w:r>
        <w:lastRenderedPageBreak/>
        <w:t>La Coalition palestinienne contre la torture relève que les détenus soumis à la torture et présentés aux services médicaux militaires ne reçoivent pas les traitements nécessaires</w:t>
      </w:r>
      <w:r>
        <w:rPr>
          <w:vertAlign w:val="superscript"/>
        </w:rPr>
        <w:footnoteReference w:id="53"/>
      </w:r>
      <w:r>
        <w:t>. Une situation particulièrement alarmante a pu être documentée par l’association Al-Haq, notamment des allégations de détenus affirmant que des infirmières et des médecins avaient aidé les interrogateurs à commettre des actes de torture et de mauvais traitements</w:t>
      </w:r>
      <w:r>
        <w:rPr>
          <w:vertAlign w:val="superscript"/>
        </w:rPr>
        <w:footnoteReference w:id="54"/>
      </w:r>
      <w:r>
        <w:t xml:space="preserve">. </w:t>
      </w:r>
    </w:p>
    <w:p w14:paraId="64EB0F60" w14:textId="77777777" w:rsidR="006C0540" w:rsidRDefault="006D60BC">
      <w:pPr>
        <w:spacing w:before="200" w:line="240" w:lineRule="auto"/>
      </w:pPr>
      <w:r>
        <w:t>Il ressort des témoignages récoltés par les associations de défense des droits humains sur le terrain que les établissements pénitentiaires palestiniens</w:t>
      </w:r>
      <w:r>
        <w:rPr>
          <w:vertAlign w:val="superscript"/>
        </w:rPr>
        <w:footnoteReference w:id="55"/>
      </w:r>
      <w:r>
        <w:t xml:space="preserve"> ne répondent pas aux standards internationaux en matière d’hygiène, en particulier les Règles 15,16, 17, 18, 21, 42, 113 des Règles Nelson Mandela. </w:t>
      </w:r>
      <w:r>
        <w:rPr>
          <w:highlight w:val="white"/>
        </w:rPr>
        <w:t xml:space="preserve">À </w:t>
      </w:r>
      <w:r>
        <w:t xml:space="preserve">cet égard, il semble inquiétant que les articles de la Loi sur les centres de rééducation et de réadaptation ne contiennent aucune disposition sur les conditions matérielles de détention. Bien que l’article 11 de cette Loi prévoie que le Procureur général ou ses adjoints, les Gouverneurs et les juges des tribunaux supérieurs et de la Haute Cour peuvent visiter les lieux de détention, ces visites ne donnent pas lieu à un suivi ou à la réalisation de recommandations. </w:t>
      </w:r>
    </w:p>
    <w:p w14:paraId="28B9CE96" w14:textId="77777777" w:rsidR="006C0540" w:rsidRDefault="006D60BC">
      <w:pPr>
        <w:spacing w:before="200" w:line="240" w:lineRule="auto"/>
      </w:pPr>
      <w:r>
        <w:t>La Coalition palestinienne contre la torture signale la présence de cellules d’isolement très petites, souvent d'une superficie d'un mètre carré, ou des salles de détention appelées « salles de bus »</w:t>
      </w:r>
      <w:r>
        <w:rPr>
          <w:vertAlign w:val="superscript"/>
        </w:rPr>
        <w:footnoteReference w:id="56"/>
      </w:r>
      <w:r>
        <w:t>. Les détenus vivent dans des locaux insalubres, dans des cellules dont les murs sont contaminés ou humides, ou dans des cellules dont le sol est mouillé ou collant. Les standards internationaux en matière de détention ne sont pas remplis. Dans de nombreux cas, la détention s'effectue dans des cellules qui ne comportent pas de matelas ni de couvertures, qui manquent de ventilation et souffrent de problèmes d’assainissement et d’approvisionnement en eau</w:t>
      </w:r>
      <w:r>
        <w:rPr>
          <w:vertAlign w:val="superscript"/>
        </w:rPr>
        <w:footnoteReference w:id="57"/>
      </w:r>
      <w:r>
        <w:t xml:space="preserve">. </w:t>
      </w:r>
    </w:p>
    <w:tbl>
      <w:tblPr>
        <w:tblStyle w:val="af0"/>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3394022F" w14:textId="77777777">
        <w:tc>
          <w:tcPr>
            <w:tcW w:w="9026" w:type="dxa"/>
            <w:shd w:val="clear" w:color="auto" w:fill="auto"/>
            <w:tcMar>
              <w:top w:w="100" w:type="dxa"/>
              <w:left w:w="100" w:type="dxa"/>
              <w:bottom w:w="100" w:type="dxa"/>
              <w:right w:w="100" w:type="dxa"/>
            </w:tcMar>
          </w:tcPr>
          <w:p w14:paraId="7B371BDE" w14:textId="77777777" w:rsidR="006C0540" w:rsidRPr="003E4580" w:rsidRDefault="006D60BC" w:rsidP="003E4580">
            <w:pPr>
              <w:spacing w:line="240" w:lineRule="auto"/>
              <w:rPr>
                <w:b/>
                <w:smallCaps/>
                <w:sz w:val="20"/>
                <w:szCs w:val="20"/>
              </w:rPr>
            </w:pPr>
            <w:r w:rsidRPr="003E4580">
              <w:rPr>
                <w:b/>
                <w:sz w:val="20"/>
                <w:szCs w:val="20"/>
              </w:rPr>
              <w:t>Recommandations :</w:t>
            </w:r>
          </w:p>
          <w:p w14:paraId="0C350984"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Intensifier les efforts pour que les conditions de détention soient en conformité avec l'ensemble des Règles Nelson Mandela des Nations Unies. En particulier, tous les établissements pénitentiaires devraient pouvoir disposer d’un service médical permanent, et permettre l’accès à un service de référencement dentaire et à un suivi psychologique. </w:t>
            </w:r>
          </w:p>
          <w:p w14:paraId="69BAB5C9"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Garantir une prise en charge rapide et adaptée des détenus malades en rendant effective la pratique des rapports périodiques afin d’établir un suivi régulier. </w:t>
            </w:r>
          </w:p>
          <w:p w14:paraId="3ADCDFFF"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Lutter contre la surpopulation carcérale, en réduisant la pratique de l’incarcération préventive et en renforçant l’effectivité de l’article 399 de la Loi de procédure pénale n°3 prévoyant les aménagements de peine. </w:t>
            </w:r>
          </w:p>
          <w:p w14:paraId="468A1CC4"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Continuer la réhabilitation des infrastructures des prisons et autres lieux de détention. </w:t>
            </w:r>
          </w:p>
          <w:p w14:paraId="3B7E70F5"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Rendre obligatoire les visites par les autorités compétentes et les assortir d’un mécanisme de suivi et d’amélioration des conditions de détention. </w:t>
            </w:r>
          </w:p>
          <w:p w14:paraId="7CC0341A"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Soumettre des informations sur les visites et inspections des centres de détention requis aux termes de l’article 14 de la loi sur les centres de rééducation</w:t>
            </w:r>
            <w:r>
              <w:rPr>
                <w:b/>
              </w:rPr>
              <w:t xml:space="preserve"> </w:t>
            </w:r>
            <w:r w:rsidRPr="00711F4C">
              <w:rPr>
                <w:bCs/>
                <w:sz w:val="20"/>
                <w:szCs w:val="20"/>
              </w:rPr>
              <w:t>et de</w:t>
            </w:r>
            <w:r>
              <w:rPr>
                <w:b/>
              </w:rPr>
              <w:t xml:space="preserve"> </w:t>
            </w:r>
            <w:r w:rsidRPr="00711F4C">
              <w:rPr>
                <w:bCs/>
                <w:sz w:val="20"/>
                <w:szCs w:val="20"/>
              </w:rPr>
              <w:t xml:space="preserve">réadaptation, et sur les mesures de suivi pertinentes prises pour assurer l’accès aux soins aux détenus. </w:t>
            </w:r>
          </w:p>
          <w:p w14:paraId="749BC620"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Fournir aux femmes détenues des services de soins de santé adaptés notamment en mettant à leur disposition un personnel médical féminin. </w:t>
            </w:r>
          </w:p>
          <w:p w14:paraId="170C9D0F"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lastRenderedPageBreak/>
              <w:t xml:space="preserve">Mettre en place un service médical composé de personnel civil et non uniquement de personnel militaire, afin de limiter les risques de complaisance entre le service médical et les services de police et pour que les détenus reçoivent les traitements adéquats. </w:t>
            </w:r>
          </w:p>
          <w:p w14:paraId="59F1FD6C" w14:textId="77777777" w:rsidR="006C0540" w:rsidRDefault="006D60BC" w:rsidP="003E4580">
            <w:pPr>
              <w:numPr>
                <w:ilvl w:val="0"/>
                <w:numId w:val="2"/>
              </w:numPr>
              <w:spacing w:before="200" w:after="0" w:line="240" w:lineRule="auto"/>
              <w:ind w:left="360"/>
              <w:rPr>
                <w:b/>
              </w:rPr>
            </w:pPr>
            <w:r w:rsidRPr="00711F4C">
              <w:rPr>
                <w:bCs/>
                <w:sz w:val="20"/>
                <w:szCs w:val="20"/>
              </w:rPr>
              <w:t>Renforcer la supervision des médecins et des infirmières dans les services médicaux militaires et enquêter sur les responsabilités de ceux qui auraient été impliqués dans la réalisation d’actes de torture pour les juger et les sanctionner le cas échéant.</w:t>
            </w:r>
            <w:r>
              <w:rPr>
                <w:b/>
              </w:rPr>
              <w:t xml:space="preserve">  </w:t>
            </w:r>
          </w:p>
        </w:tc>
      </w:tr>
    </w:tbl>
    <w:p w14:paraId="502498C5" w14:textId="114E12F5" w:rsidR="006C0540" w:rsidRPr="00C04B22" w:rsidRDefault="006D60BC" w:rsidP="006807A3">
      <w:pPr>
        <w:pStyle w:val="Titre3"/>
        <w:spacing w:before="240"/>
        <w:rPr>
          <w:b/>
          <w:bCs/>
        </w:rPr>
      </w:pPr>
      <w:bookmarkStart w:id="44" w:name="_heading=h.7e7a9gedofe5" w:colFirst="0" w:colLast="0"/>
      <w:bookmarkEnd w:id="44"/>
      <w:r w:rsidRPr="00C04B22">
        <w:rPr>
          <w:b/>
          <w:bCs/>
        </w:rPr>
        <w:lastRenderedPageBreak/>
        <w:t>Traitement des personnes vulnérables dans les lieux de détention</w:t>
      </w:r>
    </w:p>
    <w:p w14:paraId="27059349" w14:textId="77777777" w:rsidR="006C0540" w:rsidRDefault="006D60BC">
      <w:pPr>
        <w:spacing w:before="200" w:line="240" w:lineRule="auto"/>
        <w:ind w:firstLine="720"/>
      </w:pPr>
      <w:r>
        <w:t>Si la Palestine a intégré dans son corpus juridique les recommandations internationales en matière de détention des femmes et des personnes mineures et des personnes en situation de handicap</w:t>
      </w:r>
      <w:r>
        <w:rPr>
          <w:vertAlign w:val="superscript"/>
        </w:rPr>
        <w:footnoteReference w:id="58"/>
      </w:r>
      <w:r>
        <w:t xml:space="preserve">, cette évolution ne s’est pas traduite dans le régime applicable aux centres de détention. Enfin le régime des femmes détenues et des condamnés à mort présente des lacunes. </w:t>
      </w:r>
    </w:p>
    <w:p w14:paraId="1BF02992" w14:textId="77777777" w:rsidR="006C0540" w:rsidRDefault="006D60BC">
      <w:pPr>
        <w:numPr>
          <w:ilvl w:val="0"/>
          <w:numId w:val="11"/>
        </w:numPr>
        <w:spacing w:before="200" w:line="240" w:lineRule="auto"/>
        <w:rPr>
          <w:i/>
        </w:rPr>
      </w:pPr>
      <w:r>
        <w:rPr>
          <w:i/>
        </w:rPr>
        <w:t xml:space="preserve">Les mineurs en détention </w:t>
      </w:r>
    </w:p>
    <w:p w14:paraId="6777758B" w14:textId="007248E3" w:rsidR="006C0540" w:rsidRDefault="006D60BC">
      <w:pPr>
        <w:spacing w:before="200" w:line="240" w:lineRule="auto"/>
        <w:ind w:firstLine="720"/>
      </w:pPr>
      <w:r>
        <w:t>L’article 24 de la Loi sur les centres de rééducation et de réadaptation dispose que les mineurs doivent être détenus dans des centres spéciaux.</w:t>
      </w:r>
      <w:r>
        <w:rPr>
          <w:rFonts w:ascii="Arial" w:eastAsia="Arial" w:hAnsi="Arial" w:cs="Arial"/>
          <w:color w:val="333333"/>
          <w:sz w:val="21"/>
          <w:szCs w:val="21"/>
          <w:highlight w:val="white"/>
        </w:rPr>
        <w:t xml:space="preserve"> </w:t>
      </w:r>
      <w:r>
        <w:rPr>
          <w:highlight w:val="white"/>
        </w:rPr>
        <w:t>À</w:t>
      </w:r>
      <w:r>
        <w:t xml:space="preserve"> ce jour, il n’existe qu’un foyer d’accueil en Cisjordanie et dans la bande de Gaza pour les jeunes hommes, et un unique foyer pour jeunes filles en Cisjordanie dans lequel sont, non seulement placées les jeunes filles qui purgent une peine, mais aussi celles victimes de violences et celles qui sont en conflit avec la Loi. Ces infrastructures ne permettent pas à elles seules d’accueillir tous les jeunes. Les mineurs détenus ne sont pas systématiquement séparés des détenus majeurs. Les mineurs détenus dans ces centres sont privés d’un certain nombre de droits (tels que le droit à l’éducation) et ne font pas l’objet d’un traitement adapté à leur vulnérabilité. La Loi sur la protection des mineurs</w:t>
      </w:r>
      <w:r>
        <w:rPr>
          <w:vertAlign w:val="superscript"/>
        </w:rPr>
        <w:footnoteReference w:id="59"/>
      </w:r>
      <w:r>
        <w:t xml:space="preserve"> prévoit que le juge des mineurs et le procureur peuvent inspecter les lieux de détention où sont placées des personnes mineures. Toutefois, ces visites ne donnent pas lieu à la rédaction d’un rapport pour évaluer les conditions et faire des recommandations le cas échéant</w:t>
      </w:r>
      <w:r>
        <w:rPr>
          <w:vertAlign w:val="superscript"/>
        </w:rPr>
        <w:footnoteReference w:id="60"/>
      </w:r>
      <w:r w:rsidR="006807A3">
        <w:t>.</w:t>
      </w:r>
    </w:p>
    <w:p w14:paraId="3B62DC46" w14:textId="77777777" w:rsidR="006807A3" w:rsidRPr="006807A3" w:rsidRDefault="006807A3">
      <w:pPr>
        <w:spacing w:before="200" w:line="240" w:lineRule="auto"/>
        <w:ind w:firstLine="720"/>
      </w:pPr>
    </w:p>
    <w:p w14:paraId="6CE5357A" w14:textId="77777777" w:rsidR="006C0540" w:rsidRDefault="006D60BC" w:rsidP="006807A3">
      <w:pPr>
        <w:numPr>
          <w:ilvl w:val="0"/>
          <w:numId w:val="9"/>
        </w:numPr>
        <w:spacing w:line="240" w:lineRule="auto"/>
        <w:rPr>
          <w:i/>
        </w:rPr>
      </w:pPr>
      <w:r>
        <w:rPr>
          <w:i/>
        </w:rPr>
        <w:t xml:space="preserve">Les femmes en détention </w:t>
      </w:r>
    </w:p>
    <w:p w14:paraId="30417D50" w14:textId="77777777" w:rsidR="006C0540" w:rsidRDefault="006D60BC">
      <w:pPr>
        <w:spacing w:before="200" w:line="240" w:lineRule="auto"/>
        <w:ind w:firstLine="720"/>
      </w:pPr>
      <w:r>
        <w:t>Plusieurs dispositions de la Loi sur les centres de rééducation et de réadaptation concernent les femmes. L’article 24 dispose que les hommes et femmes doivent être placés dans des quartiers différents. En pratique, ce principe n’est pas respecté en raison de la surpopulation carcérale.</w:t>
      </w:r>
    </w:p>
    <w:p w14:paraId="5B71206E" w14:textId="01548046" w:rsidR="006C0540" w:rsidRDefault="006D60BC">
      <w:pPr>
        <w:spacing w:before="200" w:line="240" w:lineRule="auto"/>
      </w:pPr>
      <w:r>
        <w:t>L’article 27 garantit aux femmes enceintes qui doivent bénéficier de soins médicaux en lien avec la grossesse, un traitement spécial en termes de nutrition, de temps de sommeil et de travail</w:t>
      </w:r>
      <w:r w:rsidR="009C03B6">
        <w:t>.</w:t>
      </w:r>
      <w:r>
        <w:t xml:space="preserve"> La détenue devra pouvoir accoucher à l’hôpital. L’article 28 dispose que l'enfant pourra rester sous la garde de la mère jusqu'à l'âge de deux ans, que le directeur devra fournir à la mère qui allaite un endroit séparé des autres détenues. </w:t>
      </w:r>
      <w:r w:rsidR="006807A3">
        <w:t>Cela étant</w:t>
      </w:r>
      <w:r>
        <w:t xml:space="preserve">, les conditions matérielles des prisons en général sur le territoire font douter des bonnes conditions de détention de la mère et de l’enfant. </w:t>
      </w:r>
    </w:p>
    <w:p w14:paraId="1DF608E9" w14:textId="23908A18" w:rsidR="006C0540" w:rsidRDefault="006D60BC">
      <w:pPr>
        <w:spacing w:before="200" w:line="240" w:lineRule="auto"/>
      </w:pPr>
      <w:r>
        <w:lastRenderedPageBreak/>
        <w:t xml:space="preserve">Enfin, la détention administrative des femmes pose </w:t>
      </w:r>
      <w:r w:rsidR="006807A3">
        <w:t>des problèmes</w:t>
      </w:r>
      <w:r>
        <w:t xml:space="preserve"> sur le plan des conditions de détention et des garanties judiciaires minimales </w:t>
      </w:r>
      <w:r>
        <w:rPr>
          <w:vertAlign w:val="superscript"/>
        </w:rPr>
        <w:footnoteReference w:id="61"/>
      </w:r>
      <w:r>
        <w:t>. En effet, cette forme de détention d’une part ne respecte pas toutes les garanties judiciaires</w:t>
      </w:r>
      <w:r>
        <w:rPr>
          <w:vertAlign w:val="superscript"/>
        </w:rPr>
        <w:footnoteReference w:id="62"/>
      </w:r>
      <w:r>
        <w:t xml:space="preserve"> et d’autre part est utilisée pour emprisonner des femmes innocentes. Bien que cela soit justifié par la volonté de protéger ces femmes des violences </w:t>
      </w:r>
      <w:r w:rsidR="006807A3">
        <w:t>intrafamiliales</w:t>
      </w:r>
      <w:r>
        <w:t xml:space="preserve">, cela enfreint leur liberté d’aller et venir des femmes de manière disproportionnée. </w:t>
      </w:r>
    </w:p>
    <w:p w14:paraId="7B0E8A11" w14:textId="77777777" w:rsidR="006B6C11" w:rsidRDefault="006B6C11">
      <w:pPr>
        <w:spacing w:before="200" w:line="240" w:lineRule="auto"/>
      </w:pPr>
    </w:p>
    <w:p w14:paraId="02C08A2C" w14:textId="77777777" w:rsidR="006C0540" w:rsidRDefault="006D60BC">
      <w:pPr>
        <w:numPr>
          <w:ilvl w:val="0"/>
          <w:numId w:val="16"/>
        </w:numPr>
        <w:spacing w:before="200" w:line="240" w:lineRule="auto"/>
      </w:pPr>
      <w:r>
        <w:rPr>
          <w:i/>
        </w:rPr>
        <w:t>Les détenus condamnés à mort</w:t>
      </w:r>
      <w:r>
        <w:t xml:space="preserve"> </w:t>
      </w:r>
    </w:p>
    <w:tbl>
      <w:tblPr>
        <w:tblStyle w:val="af1"/>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21EFFAF5" w14:textId="77777777">
        <w:tc>
          <w:tcPr>
            <w:tcW w:w="9026" w:type="dxa"/>
            <w:shd w:val="clear" w:color="auto" w:fill="auto"/>
            <w:tcMar>
              <w:top w:w="100" w:type="dxa"/>
              <w:left w:w="100" w:type="dxa"/>
              <w:bottom w:w="100" w:type="dxa"/>
              <w:right w:w="100" w:type="dxa"/>
            </w:tcMar>
          </w:tcPr>
          <w:p w14:paraId="2F815DF4" w14:textId="77777777" w:rsidR="006C0540" w:rsidRPr="003E4580" w:rsidRDefault="006D60BC" w:rsidP="00711F4C">
            <w:pPr>
              <w:pBdr>
                <w:top w:val="nil"/>
                <w:left w:val="nil"/>
                <w:bottom w:val="nil"/>
                <w:right w:val="nil"/>
                <w:between w:val="nil"/>
              </w:pBdr>
              <w:spacing w:after="160" w:line="240" w:lineRule="auto"/>
              <w:rPr>
                <w:b/>
                <w:bCs/>
                <w:sz w:val="20"/>
                <w:szCs w:val="20"/>
              </w:rPr>
            </w:pPr>
            <w:r w:rsidRPr="003E4580">
              <w:rPr>
                <w:b/>
                <w:bCs/>
                <w:sz w:val="20"/>
                <w:szCs w:val="20"/>
              </w:rPr>
              <w:t>Chapitre XVI. Détenus condamnés à la peine capitale de la Loi sur les centres de rééducation et de réadaptation</w:t>
            </w:r>
          </w:p>
          <w:p w14:paraId="10FE1451" w14:textId="77777777" w:rsidR="006C0540" w:rsidRPr="003E4580" w:rsidRDefault="006D60BC" w:rsidP="00711F4C">
            <w:pPr>
              <w:pBdr>
                <w:top w:val="nil"/>
                <w:left w:val="nil"/>
                <w:bottom w:val="nil"/>
                <w:right w:val="nil"/>
                <w:between w:val="nil"/>
              </w:pBdr>
              <w:spacing w:before="120" w:after="160" w:line="240" w:lineRule="auto"/>
              <w:rPr>
                <w:b/>
                <w:bCs/>
                <w:sz w:val="20"/>
                <w:szCs w:val="20"/>
              </w:rPr>
            </w:pPr>
            <w:r w:rsidRPr="003E4580">
              <w:rPr>
                <w:b/>
                <w:bCs/>
                <w:sz w:val="20"/>
                <w:szCs w:val="20"/>
              </w:rPr>
              <w:t xml:space="preserve">Article 59 </w:t>
            </w:r>
          </w:p>
          <w:p w14:paraId="7E5E1428" w14:textId="77777777" w:rsidR="006C0540" w:rsidRPr="003E4580" w:rsidRDefault="006D60BC" w:rsidP="006807A3">
            <w:pPr>
              <w:pBdr>
                <w:top w:val="nil"/>
                <w:left w:val="nil"/>
                <w:bottom w:val="nil"/>
                <w:right w:val="nil"/>
                <w:between w:val="nil"/>
              </w:pBdr>
              <w:spacing w:before="120" w:after="160" w:line="216" w:lineRule="auto"/>
              <w:rPr>
                <w:sz w:val="20"/>
                <w:szCs w:val="20"/>
              </w:rPr>
            </w:pPr>
            <w:r w:rsidRPr="003E4580">
              <w:rPr>
                <w:sz w:val="20"/>
                <w:szCs w:val="20"/>
              </w:rPr>
              <w:t>1. Le détenu condamné à mort est isolé des autres détenus et placé sous surveillance constante. Il ne peut recevoir de visites, sauf autorisation écrite du Directeur général.</w:t>
            </w:r>
          </w:p>
          <w:p w14:paraId="7A382D3A" w14:textId="77777777" w:rsidR="006C0540" w:rsidRPr="003E4580" w:rsidRDefault="006D60BC" w:rsidP="006807A3">
            <w:pPr>
              <w:pBdr>
                <w:top w:val="nil"/>
                <w:left w:val="nil"/>
                <w:bottom w:val="nil"/>
                <w:right w:val="nil"/>
                <w:between w:val="nil"/>
              </w:pBdr>
              <w:spacing w:before="120" w:after="160" w:line="216" w:lineRule="auto"/>
              <w:rPr>
                <w:sz w:val="20"/>
                <w:szCs w:val="20"/>
              </w:rPr>
            </w:pPr>
            <w:r w:rsidRPr="003E4580">
              <w:rPr>
                <w:sz w:val="20"/>
                <w:szCs w:val="20"/>
              </w:rPr>
              <w:t>2. Le Procureur général, son adjoint, les ecclésiastiques ou le médecin du Centre peuvent visiter à tout moment un détenu condamné à la peine capitale.</w:t>
            </w:r>
          </w:p>
          <w:p w14:paraId="582BFD16" w14:textId="77777777" w:rsidR="006C0540" w:rsidRPr="003E4580" w:rsidRDefault="006D60BC" w:rsidP="006807A3">
            <w:pPr>
              <w:pBdr>
                <w:top w:val="nil"/>
                <w:left w:val="nil"/>
                <w:bottom w:val="nil"/>
                <w:right w:val="nil"/>
                <w:between w:val="nil"/>
              </w:pBdr>
              <w:spacing w:before="120" w:after="160" w:line="216" w:lineRule="auto"/>
              <w:rPr>
                <w:sz w:val="20"/>
                <w:szCs w:val="20"/>
              </w:rPr>
            </w:pPr>
            <w:r w:rsidRPr="003E4580">
              <w:rPr>
                <w:sz w:val="20"/>
                <w:szCs w:val="20"/>
              </w:rPr>
              <w:t>3. Le Directeur doit, dès réception de l'ordre d'exécution de la peine capitale, aviser le détenu et sa famille ou l'un de ses proches afin de lui rendre visite la veille du jour fixé pour l'exécution du jugement.</w:t>
            </w:r>
          </w:p>
          <w:p w14:paraId="2A9907F0" w14:textId="77777777" w:rsidR="006C0540" w:rsidRPr="003E4580" w:rsidRDefault="006D60BC" w:rsidP="006807A3">
            <w:pPr>
              <w:pBdr>
                <w:top w:val="nil"/>
                <w:left w:val="nil"/>
                <w:bottom w:val="nil"/>
                <w:right w:val="nil"/>
                <w:between w:val="nil"/>
              </w:pBdr>
              <w:spacing w:before="120" w:after="160" w:line="216" w:lineRule="auto"/>
              <w:rPr>
                <w:sz w:val="20"/>
                <w:szCs w:val="20"/>
              </w:rPr>
            </w:pPr>
            <w:r w:rsidRPr="003E4580">
              <w:rPr>
                <w:sz w:val="20"/>
                <w:szCs w:val="20"/>
              </w:rPr>
              <w:t>4. Le directeur donne lecture de l'accusation et du prononcé du jugement à distance auditive des assistants et en présence du procureur général ou de son adjoint, du médecin du centre, d'un représentant de la police et de deux autres personnes choisies par le procureur général, d'un ecclésiastique auquel le condamné est religieusement affilié et, s'il le désire, de son avocat.</w:t>
            </w:r>
          </w:p>
          <w:p w14:paraId="4BD25EF3" w14:textId="77777777" w:rsidR="006C0540" w:rsidRPr="003E4580" w:rsidRDefault="006D60BC" w:rsidP="006807A3">
            <w:pPr>
              <w:pBdr>
                <w:top w:val="nil"/>
                <w:left w:val="nil"/>
                <w:bottom w:val="nil"/>
                <w:right w:val="nil"/>
                <w:between w:val="nil"/>
              </w:pBdr>
              <w:spacing w:before="120" w:after="160" w:line="216" w:lineRule="auto"/>
              <w:rPr>
                <w:sz w:val="20"/>
                <w:szCs w:val="20"/>
              </w:rPr>
            </w:pPr>
            <w:r w:rsidRPr="003E4580">
              <w:rPr>
                <w:sz w:val="20"/>
                <w:szCs w:val="20"/>
              </w:rPr>
              <w:t>5. La sentence de la peine capitale sera exécutée à l'intérieur du Centre sur demande du Procureur général au Directeur général. Le cadavre est remis pour l'inhumation à l'autorité locale où se trouve le Centre.</w:t>
            </w:r>
          </w:p>
          <w:p w14:paraId="44E31B1B" w14:textId="77777777" w:rsidR="006C0540" w:rsidRPr="003E4580" w:rsidRDefault="006D60BC" w:rsidP="00711F4C">
            <w:pPr>
              <w:pBdr>
                <w:top w:val="nil"/>
                <w:left w:val="nil"/>
                <w:bottom w:val="nil"/>
                <w:right w:val="nil"/>
                <w:between w:val="nil"/>
              </w:pBdr>
              <w:spacing w:before="120" w:after="160" w:line="240" w:lineRule="auto"/>
              <w:rPr>
                <w:b/>
                <w:bCs/>
                <w:sz w:val="20"/>
                <w:szCs w:val="20"/>
              </w:rPr>
            </w:pPr>
            <w:r w:rsidRPr="003E4580">
              <w:rPr>
                <w:b/>
                <w:bCs/>
                <w:sz w:val="20"/>
                <w:szCs w:val="20"/>
              </w:rPr>
              <w:t>Article 60</w:t>
            </w:r>
          </w:p>
          <w:p w14:paraId="5793B7A5" w14:textId="77777777" w:rsidR="006C0540" w:rsidRPr="003E4580" w:rsidRDefault="006D60BC" w:rsidP="006807A3">
            <w:pPr>
              <w:pBdr>
                <w:top w:val="nil"/>
                <w:left w:val="nil"/>
                <w:bottom w:val="nil"/>
                <w:right w:val="nil"/>
                <w:between w:val="nil"/>
              </w:pBdr>
              <w:spacing w:before="120" w:after="160" w:line="216" w:lineRule="auto"/>
              <w:rPr>
                <w:sz w:val="20"/>
                <w:szCs w:val="20"/>
              </w:rPr>
            </w:pPr>
            <w:r w:rsidRPr="003E4580">
              <w:rPr>
                <w:sz w:val="20"/>
                <w:szCs w:val="20"/>
              </w:rPr>
              <w:t>1. L'exécution de la peine capitale contre les détenues enceintes est suspendue jusqu'après l'accouchement et après que l'enfant ait atteint l'âge de deux (2) ans.</w:t>
            </w:r>
          </w:p>
          <w:p w14:paraId="58F910CD" w14:textId="77777777" w:rsidR="006C0540" w:rsidRPr="003E4580" w:rsidRDefault="006D60BC" w:rsidP="006807A3">
            <w:pPr>
              <w:pBdr>
                <w:top w:val="nil"/>
                <w:left w:val="nil"/>
                <w:bottom w:val="nil"/>
                <w:right w:val="nil"/>
                <w:between w:val="nil"/>
              </w:pBdr>
              <w:spacing w:before="120" w:after="160" w:line="216" w:lineRule="auto"/>
              <w:rPr>
                <w:sz w:val="20"/>
                <w:szCs w:val="20"/>
              </w:rPr>
            </w:pPr>
            <w:r w:rsidRPr="003E4580">
              <w:rPr>
                <w:sz w:val="20"/>
                <w:szCs w:val="20"/>
              </w:rPr>
              <w:t>2. Le jugement ne sera pas exécuté pendant les jours fériés officiels et les fêtes religieuses et nationales.</w:t>
            </w:r>
          </w:p>
          <w:p w14:paraId="66067CD6" w14:textId="77777777" w:rsidR="006C0540" w:rsidRDefault="006D60BC" w:rsidP="006807A3">
            <w:pPr>
              <w:pBdr>
                <w:top w:val="nil"/>
                <w:left w:val="nil"/>
                <w:bottom w:val="nil"/>
                <w:right w:val="nil"/>
                <w:between w:val="nil"/>
              </w:pBdr>
              <w:spacing w:before="120" w:after="0" w:line="216" w:lineRule="auto"/>
              <w:rPr>
                <w:sz w:val="22"/>
                <w:szCs w:val="22"/>
              </w:rPr>
            </w:pPr>
            <w:r w:rsidRPr="003E4580">
              <w:rPr>
                <w:sz w:val="20"/>
                <w:szCs w:val="20"/>
              </w:rPr>
              <w:t>3. L'exécution de la sentence de la peine capitale ne peut être reportée après avoir reçu l'ordre d'exécution et la notification du condamné et de sa famille à ce sujet.</w:t>
            </w:r>
          </w:p>
        </w:tc>
      </w:tr>
    </w:tbl>
    <w:p w14:paraId="0B23DB9D" w14:textId="77777777" w:rsidR="006B6C11" w:rsidRDefault="006B6C11" w:rsidP="006807A3">
      <w:pPr>
        <w:spacing w:line="240" w:lineRule="auto"/>
      </w:pPr>
    </w:p>
    <w:p w14:paraId="0E7B3AFC" w14:textId="79ACBDD2" w:rsidR="006C0540" w:rsidRDefault="006D60BC" w:rsidP="006807A3">
      <w:pPr>
        <w:spacing w:line="240" w:lineRule="auto"/>
      </w:pPr>
      <w:r>
        <w:t>Les personnes condamnées à mort doivent être considérées comme relevant de la catégorie des personnes les plus vulnérables en milieu carcéral, à ce titre, l’administration doit prendre en compte leur</w:t>
      </w:r>
      <w:r w:rsidR="006B6C11">
        <w:t>s</w:t>
      </w:r>
      <w:r>
        <w:t xml:space="preserve"> spécificités afin de leur assurer des conditions de détention dignes sans discriminations. En particulier, la condamnation à la peine de mort ne devrait pas entrainer un manque de diligence au maintien du lien familial ou causer une rupture de celui-ci lorsque cela n’est pas souhaitable dans l’</w:t>
      </w:r>
      <w:r w:rsidR="006807A3">
        <w:t>intérêt</w:t>
      </w:r>
      <w:r>
        <w:t xml:space="preserve"> des deux parties. </w:t>
      </w:r>
      <w:r>
        <w:rPr>
          <w:highlight w:val="white"/>
        </w:rPr>
        <w:t>Par ailleurs, il est contestable que l'exécution de la peine soit réalisée dans l'enceinte du centre. En effet, cette proximité entre le lieu de détention et le lieu d'exécution de la peine peut être utilisée comme un moyen de pression psychologique à l'égard des condamnés</w:t>
      </w:r>
      <w:r>
        <w:t xml:space="preserve">. Enfin, en prévoyant que le cadavre soit remis à l’autorité locale, le régime palestinien prive les proches du détenu de la faculté d’organiser l’inhumation selon leurs traditions. </w:t>
      </w:r>
    </w:p>
    <w:tbl>
      <w:tblPr>
        <w:tblStyle w:val="af2"/>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65D7551D" w14:textId="77777777">
        <w:tc>
          <w:tcPr>
            <w:tcW w:w="9026" w:type="dxa"/>
            <w:shd w:val="clear" w:color="auto" w:fill="auto"/>
            <w:tcMar>
              <w:top w:w="100" w:type="dxa"/>
              <w:left w:w="100" w:type="dxa"/>
              <w:bottom w:w="100" w:type="dxa"/>
              <w:right w:w="100" w:type="dxa"/>
            </w:tcMar>
          </w:tcPr>
          <w:p w14:paraId="28928EF2" w14:textId="77777777" w:rsidR="006C0540" w:rsidRPr="003E4580" w:rsidRDefault="006D60BC" w:rsidP="003E4580">
            <w:pPr>
              <w:spacing w:line="240" w:lineRule="auto"/>
              <w:rPr>
                <w:smallCaps/>
                <w:sz w:val="20"/>
                <w:szCs w:val="20"/>
              </w:rPr>
            </w:pPr>
            <w:r w:rsidRPr="003E4580">
              <w:rPr>
                <w:b/>
                <w:sz w:val="20"/>
                <w:szCs w:val="20"/>
              </w:rPr>
              <w:lastRenderedPageBreak/>
              <w:t xml:space="preserve">Recommandations </w:t>
            </w:r>
            <w:r w:rsidRPr="003E4580">
              <w:rPr>
                <w:sz w:val="20"/>
                <w:szCs w:val="20"/>
              </w:rPr>
              <w:t xml:space="preserve">: </w:t>
            </w:r>
          </w:p>
          <w:p w14:paraId="198292A3"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Respecter l’obligation de transparence en publiant des données sur les populations incarcérées et notamment le nombre de femmes, enfants, personnes en situation de handicap ainsi que le nombre de détenus condamnés à mort par prisons, sexe, âge, etc.</w:t>
            </w:r>
          </w:p>
          <w:p w14:paraId="41403DF3" w14:textId="0A4D28A4" w:rsidR="006C0540" w:rsidRPr="00711F4C" w:rsidRDefault="006D60BC" w:rsidP="00711F4C">
            <w:pPr>
              <w:numPr>
                <w:ilvl w:val="0"/>
                <w:numId w:val="2"/>
              </w:numPr>
              <w:spacing w:before="200" w:line="240" w:lineRule="auto"/>
              <w:ind w:left="360"/>
              <w:rPr>
                <w:bCs/>
                <w:sz w:val="20"/>
                <w:szCs w:val="20"/>
              </w:rPr>
            </w:pPr>
            <w:r w:rsidRPr="00711F4C">
              <w:rPr>
                <w:bCs/>
                <w:sz w:val="20"/>
                <w:szCs w:val="20"/>
              </w:rPr>
              <w:t>Assurer des pavillons séparés pour les personnes mineures, conformément à l’Ensemble de règles minima des Nations Unies concernant l'administration de la justice pour mineurs dits (Règles Beijing</w:t>
            </w:r>
            <w:r w:rsidR="003815D8">
              <w:rPr>
                <w:bCs/>
                <w:sz w:val="20"/>
                <w:szCs w:val="20"/>
              </w:rPr>
              <w:t>)</w:t>
            </w:r>
            <w:r w:rsidR="003815D8" w:rsidRPr="00711F4C">
              <w:rPr>
                <w:bCs/>
                <w:sz w:val="20"/>
                <w:szCs w:val="20"/>
              </w:rPr>
              <w:t xml:space="preserve"> </w:t>
            </w:r>
            <w:r w:rsidRPr="00711F4C">
              <w:rPr>
                <w:bCs/>
                <w:sz w:val="20"/>
                <w:szCs w:val="20"/>
              </w:rPr>
              <w:t xml:space="preserve">et la Convention internationale </w:t>
            </w:r>
            <w:r w:rsidR="003815D8">
              <w:rPr>
                <w:bCs/>
                <w:sz w:val="20"/>
                <w:szCs w:val="20"/>
              </w:rPr>
              <w:t>relative aux</w:t>
            </w:r>
            <w:r w:rsidRPr="00711F4C">
              <w:rPr>
                <w:bCs/>
                <w:sz w:val="20"/>
                <w:szCs w:val="20"/>
              </w:rPr>
              <w:t xml:space="preserve"> droits de l’enfant (article 37). </w:t>
            </w:r>
          </w:p>
          <w:p w14:paraId="589558BC"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Assurer des visites régulières des lieux de détention des mineurs en rendant obligatoire l'établissement de rapports publics. </w:t>
            </w:r>
          </w:p>
          <w:p w14:paraId="747A0CBE"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Réduire le recours à la pratique de la « détention administrative » à l’encontre de femmes victimes de violences de genre en facilitant la création de lieux dédiés aux femmes et jeunes filles victimes de violences afin qu’elles ne soient plus placées dans les mêmes centres que les personnes condamnées. </w:t>
            </w:r>
          </w:p>
          <w:p w14:paraId="0947DD2C"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Veiller à apporter un soin particulier à la santé physique et psychologique des personnes passibles de la peine de mort et à celle des condamnés à mort, notamment dans une optique de prévention des risques inhérents aux spécificités de leur détention. La continuité de ces soins doit leur être assurée et réévaluée autant qu’il est nécessaire par un médecin compétent. </w:t>
            </w:r>
          </w:p>
          <w:p w14:paraId="24FC961C"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Réviser l’article 59 de la Loi de 1998 afin que soit respecté le droit de visite reconnu à l’article 58 des règles Nelson Mandela. </w:t>
            </w:r>
          </w:p>
          <w:p w14:paraId="091781B3" w14:textId="77777777" w:rsidR="006C0540" w:rsidRDefault="006D60BC" w:rsidP="003E4580">
            <w:pPr>
              <w:numPr>
                <w:ilvl w:val="0"/>
                <w:numId w:val="2"/>
              </w:numPr>
              <w:spacing w:before="200" w:after="0" w:line="240" w:lineRule="auto"/>
              <w:ind w:left="360"/>
              <w:rPr>
                <w:b/>
              </w:rPr>
            </w:pPr>
            <w:r w:rsidRPr="00711F4C">
              <w:rPr>
                <w:bCs/>
                <w:sz w:val="20"/>
                <w:szCs w:val="20"/>
              </w:rPr>
              <w:t>Réviser l’article 59 de la Loi de 1998 afin qu’il prévoie que le corps du condamné soit rendu à son parent le plus proche ou aux ayants droit dès que possible. Lorsqu’aucun proche n’a pu être contacté, l’administration pénitentiaire doit organiser les funérailles.</w:t>
            </w:r>
            <w:r>
              <w:rPr>
                <w:b/>
              </w:rPr>
              <w:t xml:space="preserve"> </w:t>
            </w:r>
          </w:p>
        </w:tc>
      </w:tr>
    </w:tbl>
    <w:p w14:paraId="3B0F7C6F" w14:textId="60287C61" w:rsidR="00716002" w:rsidRDefault="00716002" w:rsidP="00716002">
      <w:bookmarkStart w:id="45" w:name="_heading=h.sezm38d0dzfg" w:colFirst="0" w:colLast="0"/>
      <w:bookmarkStart w:id="46" w:name="_Toc131755905"/>
      <w:bookmarkEnd w:id="45"/>
    </w:p>
    <w:p w14:paraId="0C386EDB" w14:textId="77777777" w:rsidR="00716002" w:rsidRDefault="00716002" w:rsidP="00716002"/>
    <w:p w14:paraId="277AFE35" w14:textId="3476FA2A" w:rsidR="00716002" w:rsidRDefault="00716002" w:rsidP="00716002"/>
    <w:p w14:paraId="5367FEF7" w14:textId="57AD1E2C" w:rsidR="00716002" w:rsidRDefault="00716002" w:rsidP="00716002"/>
    <w:p w14:paraId="276B7306" w14:textId="77777777" w:rsidR="00716002" w:rsidRPr="00716002" w:rsidRDefault="00716002" w:rsidP="00716002"/>
    <w:p w14:paraId="5DD77F26" w14:textId="1424D2D2" w:rsidR="006C0540" w:rsidRDefault="006D60BC" w:rsidP="006807A3">
      <w:pPr>
        <w:pStyle w:val="Titre2"/>
        <w:spacing w:before="240" w:after="240"/>
      </w:pPr>
      <w:r>
        <w:t>3.3 Pratique de la torture et autres mauvais traitements</w:t>
      </w:r>
      <w:bookmarkEnd w:id="46"/>
      <w:r>
        <w:t xml:space="preserve"> </w:t>
      </w:r>
    </w:p>
    <w:tbl>
      <w:tblPr>
        <w:tblStyle w:val="af3"/>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68D1A164" w14:textId="77777777">
        <w:tc>
          <w:tcPr>
            <w:tcW w:w="9026" w:type="dxa"/>
            <w:shd w:val="clear" w:color="auto" w:fill="auto"/>
            <w:tcMar>
              <w:top w:w="100" w:type="dxa"/>
              <w:left w:w="100" w:type="dxa"/>
              <w:bottom w:w="100" w:type="dxa"/>
              <w:right w:w="100" w:type="dxa"/>
            </w:tcMar>
          </w:tcPr>
          <w:p w14:paraId="2F35CE31" w14:textId="77777777" w:rsidR="006C0540" w:rsidRPr="003E4580" w:rsidRDefault="006D60BC" w:rsidP="00711F4C">
            <w:pPr>
              <w:pBdr>
                <w:top w:val="nil"/>
                <w:left w:val="nil"/>
                <w:bottom w:val="nil"/>
                <w:right w:val="nil"/>
                <w:between w:val="nil"/>
              </w:pBdr>
              <w:spacing w:after="160" w:line="240" w:lineRule="auto"/>
              <w:rPr>
                <w:b/>
                <w:bCs/>
                <w:sz w:val="20"/>
                <w:szCs w:val="20"/>
              </w:rPr>
            </w:pPr>
            <w:r w:rsidRPr="003E4580">
              <w:rPr>
                <w:b/>
                <w:bCs/>
                <w:sz w:val="20"/>
                <w:szCs w:val="20"/>
              </w:rPr>
              <w:t>Article 7 du PIDCP</w:t>
            </w:r>
          </w:p>
          <w:p w14:paraId="3E33EB2B" w14:textId="77777777" w:rsidR="006C0540" w:rsidRDefault="006D60BC" w:rsidP="00711F4C">
            <w:pPr>
              <w:pBdr>
                <w:top w:val="nil"/>
                <w:left w:val="nil"/>
                <w:bottom w:val="nil"/>
                <w:right w:val="nil"/>
                <w:between w:val="nil"/>
              </w:pBdr>
              <w:spacing w:before="120" w:after="0" w:line="240" w:lineRule="auto"/>
              <w:rPr>
                <w:sz w:val="22"/>
                <w:szCs w:val="22"/>
              </w:rPr>
            </w:pPr>
            <w:r w:rsidRPr="003E4580">
              <w:rPr>
                <w:sz w:val="20"/>
                <w:szCs w:val="20"/>
              </w:rPr>
              <w:t>Nul ne sera soumis à la torture ni à des peines ou traitements cruels, inhumains ou dégradants. En particulier, il est interdit de soumettre une personne sans son libre consentement à une expérience médicale ou scientifique.</w:t>
            </w:r>
          </w:p>
        </w:tc>
      </w:tr>
    </w:tbl>
    <w:p w14:paraId="4D297230" w14:textId="026A66E7" w:rsidR="006C0540" w:rsidRDefault="006D60BC" w:rsidP="00716002">
      <w:pPr>
        <w:spacing w:before="240" w:line="240" w:lineRule="auto"/>
        <w:ind w:firstLine="720"/>
      </w:pPr>
      <w:r>
        <w:t>L’article premier de la Convention contre la torture et autres peines ou traitements cruels, inhumains ou dégradants définit la torture</w:t>
      </w:r>
      <w:r>
        <w:rPr>
          <w:vertAlign w:val="superscript"/>
        </w:rPr>
        <w:footnoteReference w:id="63"/>
      </w:r>
      <w:r>
        <w:t xml:space="preserve"> et l’article 2 impose aux Etats partis de </w:t>
      </w:r>
      <w:r>
        <w:lastRenderedPageBreak/>
        <w:t>prendre des mesures législatives, administratives, judiciaires et autres mesures efficaces pour empêcher que des actes de torture soient commis dans tout territoire sous sa juridiction.</w:t>
      </w:r>
    </w:p>
    <w:p w14:paraId="4A0E74C0" w14:textId="2D5F27E4" w:rsidR="006C0540" w:rsidRDefault="006D60BC">
      <w:pPr>
        <w:spacing w:before="200" w:line="240" w:lineRule="auto"/>
      </w:pPr>
      <w:r>
        <w:t>L'article 13 de la Loi fondamentale palestinienne prohibe le recours à la torture. L'interdiction de la torture est mentionnée dans la loi n° 6 de 1998 relative aux centres de rééducation et de réhabilitation, au chapitre dix, qui énumère les droits des détenus. L’article 37§2 dispose qu’il est interdit de torturer un détenu ou d'utiliser la force contre lui, sauf dans certains cas prévus par la Loi. Il est également prévu au troisième paragraphe du même article l’interdiction de s'adresser au détenu avec des obscénités ou des titres dégradants. La Loi de procédure pénale n° 3 de 2001 dispose, dans son article 29, que toute personne qui est arrêtée ou emprisonnée en vertu d'un ordre judiciaire émis par l'autorité compétente doit être traitée conformément aux règles et à la loi, de manière à préserver sa dignité et son droit de ne pas subir d'atteintes physiques ou mentales. Enfin, il convient de mentionner les articles 280 du Code pénal révolutionnaire, 108 du Code pénal du mandat britannique et 208 du Code pénal jordanien qui sanctionnent d’une peine d'emprisonnement pouvant aller jusqu’à trois ans et/ou d’une amende, tout acte de torture visant à obtenir des aveux</w:t>
      </w:r>
      <w:r w:rsidR="003E341D">
        <w:t>. S</w:t>
      </w:r>
      <w:r>
        <w:t xml:space="preserve">i la torture a entraîné la mort, la peine est d'au moins cinq ans de travaux forcés. </w:t>
      </w:r>
    </w:p>
    <w:p w14:paraId="27A1D75F" w14:textId="77777777" w:rsidR="006C0540" w:rsidRDefault="006D60BC">
      <w:pPr>
        <w:spacing w:before="200" w:line="240" w:lineRule="auto"/>
        <w:rPr>
          <w:color w:val="FF0000"/>
        </w:rPr>
      </w:pPr>
      <w:r>
        <w:t>Malgré ces dispositions, le recours à la torture demeure préoccupant. De nombreux témoignages attestent de tortures dans les centres de détention</w:t>
      </w:r>
      <w:r>
        <w:rPr>
          <w:vertAlign w:val="superscript"/>
        </w:rPr>
        <w:footnoteReference w:id="64"/>
      </w:r>
      <w:r>
        <w:t xml:space="preserve"> en violation de l’article 7 du PIDCP. </w:t>
      </w:r>
    </w:p>
    <w:p w14:paraId="06D02764" w14:textId="26D242C9" w:rsidR="006C0540" w:rsidRDefault="006D60BC">
      <w:pPr>
        <w:spacing w:before="200" w:line="240" w:lineRule="auto"/>
      </w:pPr>
      <w:r>
        <w:t>En 2021, la Commission indépendante des droits de l’homme a reçu 289 plaintes en provenance de Cisjordanie et de la bande de Gaza concernant des actes de torture et des mauvais traitements aux mains des forces de l'ordre</w:t>
      </w:r>
      <w:r>
        <w:rPr>
          <w:vertAlign w:val="superscript"/>
        </w:rPr>
        <w:footnoteReference w:id="65"/>
      </w:r>
      <w:r>
        <w:t xml:space="preserve">. La torture physique est la plus courante, elle comprend des coups sur différentes parties du corps, l'utilisation d'un bâton pour frapper le détenu et la technique du </w:t>
      </w:r>
      <w:proofErr w:type="spellStart"/>
      <w:r w:rsidR="003055C7" w:rsidRPr="003055C7">
        <w:rPr>
          <w:i/>
          <w:iCs/>
        </w:rPr>
        <w:t>s</w:t>
      </w:r>
      <w:r w:rsidRPr="003055C7">
        <w:rPr>
          <w:i/>
          <w:iCs/>
        </w:rPr>
        <w:t>habeh</w:t>
      </w:r>
      <w:proofErr w:type="spellEnd"/>
      <w:r>
        <w:rPr>
          <w:vertAlign w:val="superscript"/>
        </w:rPr>
        <w:footnoteReference w:id="66"/>
      </w:r>
      <w:r>
        <w:t xml:space="preserve">. Les détenus sont aussi sujets à la torture psychologique, notamment la menace d'infliger des blessures physiques à un membre de la famille et l'utilisation d'insultes verbales. </w:t>
      </w:r>
    </w:p>
    <w:p w14:paraId="113E49E8" w14:textId="77777777" w:rsidR="00716002" w:rsidRDefault="00716002">
      <w:pPr>
        <w:spacing w:before="200" w:line="240" w:lineRule="auto"/>
      </w:pPr>
    </w:p>
    <w:p w14:paraId="5A732C53" w14:textId="4D589989" w:rsidR="00716002" w:rsidRDefault="006D60BC">
      <w:pPr>
        <w:spacing w:before="200" w:line="240" w:lineRule="auto"/>
      </w:pPr>
      <w:r>
        <w:t>L’</w:t>
      </w:r>
      <w:r>
        <w:rPr>
          <w:highlight w:val="white"/>
        </w:rPr>
        <w:t>État de Palestine manque encore d’</w:t>
      </w:r>
      <w:r>
        <w:t>une véritable politique visant à</w:t>
      </w:r>
      <w:r w:rsidR="00F5728B">
        <w:t xml:space="preserve"> la prévention et la répression</w:t>
      </w:r>
      <w:r>
        <w:t xml:space="preserve"> de la torture. Trois éléments méritent particulièrement notre attention : les lacunes de la définition juridique de la torture et les carences dans la répression, mais aussi les faiblesses du mécanisme de prévention de la torture. </w:t>
      </w:r>
    </w:p>
    <w:p w14:paraId="2D4BBB15" w14:textId="30981FB3" w:rsidR="006C0540" w:rsidRPr="00C04B22" w:rsidRDefault="006D60BC" w:rsidP="00C04B22">
      <w:pPr>
        <w:pStyle w:val="Titre3"/>
        <w:numPr>
          <w:ilvl w:val="0"/>
          <w:numId w:val="32"/>
        </w:numPr>
        <w:rPr>
          <w:b/>
          <w:bCs/>
        </w:rPr>
      </w:pPr>
      <w:bookmarkStart w:id="47" w:name="_heading=h.w329c9ep5s5u" w:colFirst="0" w:colLast="0"/>
      <w:bookmarkEnd w:id="47"/>
      <w:r w:rsidRPr="00C04B22">
        <w:rPr>
          <w:b/>
          <w:bCs/>
        </w:rPr>
        <w:t xml:space="preserve">Lacunes de la législation et répression insuffisante (articles 2, 7, et 12 du </w:t>
      </w:r>
      <w:r w:rsidR="006807A3" w:rsidRPr="00C04B22">
        <w:rPr>
          <w:b/>
          <w:bCs/>
        </w:rPr>
        <w:t>PIDCP</w:t>
      </w:r>
      <w:r w:rsidRPr="00C04B22">
        <w:rPr>
          <w:b/>
          <w:bCs/>
        </w:rPr>
        <w:t xml:space="preserve">) </w:t>
      </w:r>
    </w:p>
    <w:p w14:paraId="4D54D764" w14:textId="77777777" w:rsidR="006C0540" w:rsidRDefault="006D60BC">
      <w:pPr>
        <w:spacing w:before="200" w:line="240" w:lineRule="auto"/>
        <w:ind w:firstLine="720"/>
      </w:pPr>
      <w:r>
        <w:t>Bien qu’une définition complète de la torture, conforme à celle énoncée à l’article premier de la Convention, ait été incluse dans le décret-loi n°25 sur la Commission nationale contre la torture, publié au Journal officiel le 25 mai 2022</w:t>
      </w:r>
      <w:r>
        <w:rPr>
          <w:vertAlign w:val="superscript"/>
        </w:rPr>
        <w:footnoteReference w:id="67"/>
      </w:r>
      <w:r>
        <w:t xml:space="preserve">, elle n’a pas entraîné une harmonisation de la législation palestinienne. </w:t>
      </w:r>
    </w:p>
    <w:p w14:paraId="4AD7EB19" w14:textId="502D7726" w:rsidR="006C0540" w:rsidRDefault="006D60BC">
      <w:pPr>
        <w:spacing w:before="200" w:line="240" w:lineRule="auto"/>
      </w:pPr>
      <w:r>
        <w:lastRenderedPageBreak/>
        <w:t>L’article 13 de la Loi fondamentale prohibe le recours à la torture sans la définir. L’article 37 de la Loi sur les centres de rééducation et de réhabilitation ne précise pas non plus ce qu’elle entend par torture</w:t>
      </w:r>
      <w:r>
        <w:rPr>
          <w:vertAlign w:val="superscript"/>
        </w:rPr>
        <w:footnoteReference w:id="68"/>
      </w:r>
      <w:r>
        <w:t xml:space="preserve">. Toutefois aucune de ces dispositions ne pénalisent la torture.  </w:t>
      </w:r>
    </w:p>
    <w:p w14:paraId="0F387762" w14:textId="77777777" w:rsidR="00825048" w:rsidRDefault="006D60BC">
      <w:pPr>
        <w:spacing w:before="200" w:line="240" w:lineRule="auto"/>
      </w:pPr>
      <w:r>
        <w:t xml:space="preserve">Les article 280 du Code pénal révolutionnaire, 108 du Code pénal du mandat britannique et 208 du Code pénal jordanien condamnent le recours à la torture mais uniquement dans les hypothèses où elle a été réalisée dans le but d’obtenir des aveux ou des informations sur la commission d’une infraction, or la CAT reconnait de nombreux autres objectifs de la torture. </w:t>
      </w:r>
    </w:p>
    <w:p w14:paraId="05C1A3E7" w14:textId="77777777" w:rsidR="00AD73B9" w:rsidRDefault="006D60BC">
      <w:pPr>
        <w:spacing w:before="200" w:line="240" w:lineRule="auto"/>
      </w:pPr>
      <w:r>
        <w:t xml:space="preserve">Par ailleurs, ces articles classent la torture dans la catégorie des délits. Cette qualification et les peines qui s’y attachent peuvent sembler </w:t>
      </w:r>
      <w:r w:rsidR="00825048">
        <w:t xml:space="preserve">en-deçà du seuil </w:t>
      </w:r>
      <w:r>
        <w:t>de gravité des actes incriminés. Comme l’a souligné le Comité contre la torture, le fait qu'un État n'exerce pas la diligence requise pour intervenir afin d'arrêter, de sanctionner et d'offrir des recours aux victimes de la torture, facilite et permet aux acteurs non-étatiques de commettre en toute impunité des actes sanctionnables au regard de la Convention</w:t>
      </w:r>
      <w:r>
        <w:rPr>
          <w:vertAlign w:val="superscript"/>
        </w:rPr>
        <w:footnoteReference w:id="69"/>
      </w:r>
      <w:r>
        <w:t xml:space="preserve">. </w:t>
      </w:r>
    </w:p>
    <w:p w14:paraId="5862FAC4" w14:textId="552EF6DF" w:rsidR="006C0540" w:rsidRDefault="006D60BC">
      <w:pPr>
        <w:spacing w:before="200" w:line="240" w:lineRule="auto"/>
      </w:pPr>
      <w:r>
        <w:t xml:space="preserve">De plus, la législation ne pénalise ni la complicité ni la tentative de torture. Enfin, les exceptions prévues dans le Code pénal du mandat britannique de 1936 ainsi que dans le Code pénal révolutionnaire et qui prévoient qu’une personne peut être exonérée de toute responsabilité pénale pour des actes de torture ou des mauvais traitements si elle a agi sur l’ordre d’une autorité compétente à laquelle elle était tenue par la Loi d’obéir, sont inquiétantes. Ces exceptions laissent la porte ouverte au recours à des formes de torture lorsqu’elle résulte de l’ordre d’un supérieur hiérarchique. </w:t>
      </w:r>
    </w:p>
    <w:p w14:paraId="683B257D" w14:textId="756C84F9" w:rsidR="006C0540" w:rsidRPr="00C04B22" w:rsidRDefault="006D60BC" w:rsidP="00C04B22">
      <w:pPr>
        <w:pStyle w:val="Titre3"/>
        <w:rPr>
          <w:b/>
          <w:bCs/>
        </w:rPr>
      </w:pPr>
      <w:bookmarkStart w:id="48" w:name="_heading=h.kzdr109qxn0u" w:colFirst="0" w:colLast="0"/>
      <w:bookmarkEnd w:id="48"/>
      <w:r w:rsidRPr="00C04B22">
        <w:rPr>
          <w:b/>
          <w:bCs/>
        </w:rPr>
        <w:t xml:space="preserve">Un mécanisme de prévention de la torture déficient </w:t>
      </w:r>
    </w:p>
    <w:p w14:paraId="401A2904" w14:textId="53BF901A" w:rsidR="006C0540" w:rsidRDefault="006D60BC">
      <w:pPr>
        <w:spacing w:before="200" w:line="240" w:lineRule="auto"/>
        <w:ind w:firstLine="720"/>
      </w:pPr>
      <w:r>
        <w:t>La Loi par décret n° 25 de 2022 détermine le cadre juridique du mécanisme national de prévention de la torture conformément à l'article 17 du Protocole facultatif à la CAT (OPCAT). Toutefois, cette loi ne reprend ni les propositions issues des négociations avec les organisations de la société civile</w:t>
      </w:r>
      <w:r>
        <w:rPr>
          <w:vertAlign w:val="superscript"/>
        </w:rPr>
        <w:footnoteReference w:id="70"/>
      </w:r>
      <w:r>
        <w:t xml:space="preserve"> ni les lignes directrices universelles sur les </w:t>
      </w:r>
      <w:r w:rsidR="00AD73B9">
        <w:t>Mécanismes Nationaux de Prévention (</w:t>
      </w:r>
      <w:r>
        <w:t>MN</w:t>
      </w:r>
      <w:r w:rsidR="00AD73B9">
        <w:t>P)</w:t>
      </w:r>
      <w:r>
        <w:t xml:space="preserve"> du sous-comité des Nations </w:t>
      </w:r>
      <w:r w:rsidR="000A4DE0">
        <w:t>U</w:t>
      </w:r>
      <w:r>
        <w:t>nies pour la prévention de la torture</w:t>
      </w:r>
      <w:r>
        <w:rPr>
          <w:vertAlign w:val="superscript"/>
        </w:rPr>
        <w:footnoteReference w:id="71"/>
      </w:r>
      <w:r>
        <w:t xml:space="preserve">. En effet, telle que prévue par la loi, la Commission ne répond pas aux exigences d’indépendance et d’impartialité. Les membres de la Commission sont nommés par le Président sur recommandation du Conseil des Ministres. La Commission est pensée comme organe gouvernemental à part entière, les membres sont des fonctionnaires soumis à la loi sur la fonction publique. Dans ces conditions la Commission ne peut assurer ses missions en toute indépendance et cela d’autant plus que la loi ne permet pas à la Commission nationale contre la torture d'effectuer des visites inopinées dans les lieux de détention. Enfin, les moyens qui lui sont alloués ne lui permettent pas de mener une action ambitieuse. </w:t>
      </w:r>
    </w:p>
    <w:p w14:paraId="77080803" w14:textId="77777777" w:rsidR="00551A3A" w:rsidRDefault="00551A3A">
      <w:pPr>
        <w:spacing w:before="200" w:line="240" w:lineRule="auto"/>
        <w:ind w:firstLine="720"/>
      </w:pPr>
    </w:p>
    <w:tbl>
      <w:tblPr>
        <w:tblStyle w:val="af4"/>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6C0540" w14:paraId="484F34DE" w14:textId="77777777">
        <w:tc>
          <w:tcPr>
            <w:tcW w:w="9026" w:type="dxa"/>
            <w:shd w:val="clear" w:color="auto" w:fill="auto"/>
            <w:tcMar>
              <w:top w:w="100" w:type="dxa"/>
              <w:left w:w="100" w:type="dxa"/>
              <w:bottom w:w="100" w:type="dxa"/>
              <w:right w:w="100" w:type="dxa"/>
            </w:tcMar>
          </w:tcPr>
          <w:p w14:paraId="46A45AEA" w14:textId="77777777" w:rsidR="006C0540" w:rsidRPr="00711F4C" w:rsidRDefault="006D60BC" w:rsidP="00711F4C">
            <w:pPr>
              <w:spacing w:line="240" w:lineRule="auto"/>
              <w:rPr>
                <w:sz w:val="20"/>
                <w:szCs w:val="20"/>
              </w:rPr>
            </w:pPr>
            <w:r w:rsidRPr="00711F4C">
              <w:rPr>
                <w:b/>
                <w:sz w:val="20"/>
                <w:szCs w:val="20"/>
              </w:rPr>
              <w:t>Recommandations :</w:t>
            </w:r>
          </w:p>
          <w:p w14:paraId="2A40A265"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lastRenderedPageBreak/>
              <w:t>Harmoniser la législation afin que tous les textes pertinents reprennent une définition de la torture conforme à la Convention contre la torture et autres peines ou traitements cruels, inhumains ou dégradants.</w:t>
            </w:r>
          </w:p>
          <w:p w14:paraId="0CA2B8F0"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Consacrer l’interdiction absolue de la torture dans la législation nationale et abolir les exonérations de responsabilité, conformément aux dispositions de l’article 2 de la Convention contre la torture. </w:t>
            </w:r>
          </w:p>
          <w:p w14:paraId="599D8429"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Mettre en œuvre des mesures de prévention de la torture à destination des services de sécurité et forces de l’ordre en développant des cursus de formation initiale. </w:t>
            </w:r>
          </w:p>
          <w:p w14:paraId="0AE402D9" w14:textId="77777777" w:rsidR="006C0540" w:rsidRPr="00711F4C" w:rsidRDefault="006D60BC" w:rsidP="00711F4C">
            <w:pPr>
              <w:numPr>
                <w:ilvl w:val="0"/>
                <w:numId w:val="2"/>
              </w:numPr>
              <w:spacing w:before="200" w:line="240" w:lineRule="auto"/>
              <w:ind w:left="360"/>
              <w:rPr>
                <w:bCs/>
                <w:sz w:val="20"/>
                <w:szCs w:val="20"/>
              </w:rPr>
            </w:pPr>
            <w:r w:rsidRPr="00711F4C">
              <w:rPr>
                <w:bCs/>
                <w:sz w:val="20"/>
                <w:szCs w:val="20"/>
              </w:rPr>
              <w:t xml:space="preserve">Réformer la Commission nationale contre la torture afin qu’elle réponde aux exigences d’indépendance et d’impartialité établis par le Protocole facultatif à la Convention contre la torture, en garantissant l’indépendance financière et fonctionnelle de cette institution. </w:t>
            </w:r>
          </w:p>
          <w:p w14:paraId="684DEC29" w14:textId="469CB79B" w:rsidR="006C0540" w:rsidRPr="00711F4C" w:rsidRDefault="006D60BC" w:rsidP="00711F4C">
            <w:pPr>
              <w:numPr>
                <w:ilvl w:val="0"/>
                <w:numId w:val="2"/>
              </w:numPr>
              <w:spacing w:before="200" w:line="240" w:lineRule="auto"/>
              <w:ind w:left="360"/>
              <w:rPr>
                <w:bCs/>
                <w:sz w:val="20"/>
                <w:szCs w:val="20"/>
              </w:rPr>
            </w:pPr>
            <w:r w:rsidRPr="00711F4C">
              <w:rPr>
                <w:bCs/>
                <w:sz w:val="20"/>
                <w:szCs w:val="20"/>
              </w:rPr>
              <w:t>Réviser le mode de recrutement des membres de la Commission nationale contre la torture afin qu’il réponde aux exigences de transparence en co</w:t>
            </w:r>
            <w:r w:rsidR="003E4580">
              <w:rPr>
                <w:bCs/>
                <w:sz w:val="20"/>
                <w:szCs w:val="20"/>
              </w:rPr>
              <w:t>n</w:t>
            </w:r>
            <w:r w:rsidRPr="00711F4C">
              <w:rPr>
                <w:bCs/>
                <w:sz w:val="20"/>
                <w:szCs w:val="20"/>
              </w:rPr>
              <w:t xml:space="preserve">formité aux lignes directrices établies par le Sous-comité des Nations Unies pour la prévention de la torture, en établissant et rendant public les critères de sélection. </w:t>
            </w:r>
          </w:p>
          <w:p w14:paraId="1069DCFB" w14:textId="77777777" w:rsidR="006C0540" w:rsidRDefault="006D60BC" w:rsidP="00711F4C">
            <w:pPr>
              <w:numPr>
                <w:ilvl w:val="0"/>
                <w:numId w:val="2"/>
              </w:numPr>
              <w:spacing w:before="200" w:after="0" w:line="240" w:lineRule="auto"/>
              <w:ind w:left="360"/>
              <w:rPr>
                <w:b/>
              </w:rPr>
            </w:pPr>
            <w:r w:rsidRPr="00711F4C">
              <w:rPr>
                <w:bCs/>
                <w:sz w:val="20"/>
                <w:szCs w:val="20"/>
              </w:rPr>
              <w:t xml:space="preserve">Revoir la classification des infractions et le </w:t>
            </w:r>
            <w:r w:rsidRPr="00551A3A">
              <w:rPr>
                <w:bCs/>
                <w:i/>
                <w:iCs/>
                <w:sz w:val="20"/>
                <w:szCs w:val="20"/>
              </w:rPr>
              <w:t>quantum</w:t>
            </w:r>
            <w:r w:rsidRPr="00711F4C">
              <w:rPr>
                <w:bCs/>
                <w:sz w:val="20"/>
                <w:szCs w:val="20"/>
              </w:rPr>
              <w:t xml:space="preserve"> des peines en matière de torture afin que celle-ci soit qualifiée comme un crime à part entière.</w:t>
            </w:r>
            <w:r>
              <w:rPr>
                <w:b/>
              </w:rPr>
              <w:t xml:space="preserve"> </w:t>
            </w:r>
          </w:p>
        </w:tc>
      </w:tr>
    </w:tbl>
    <w:p w14:paraId="21ABFE85" w14:textId="77777777" w:rsidR="006C0540" w:rsidRDefault="006C0540">
      <w:pPr>
        <w:spacing w:before="200" w:line="240" w:lineRule="auto"/>
      </w:pPr>
    </w:p>
    <w:sectPr w:rsidR="006C0540" w:rsidSect="003E4580">
      <w:footerReference w:type="default" r:id="rId12"/>
      <w:headerReference w:type="first" r:id="rId13"/>
      <w:pgSz w:w="11906" w:h="16838"/>
      <w:pgMar w:top="1440" w:right="1440" w:bottom="1440" w:left="1440" w:header="1134"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36EAB" w14:textId="77777777" w:rsidR="003B780A" w:rsidRDefault="006D60BC">
      <w:pPr>
        <w:spacing w:after="0" w:line="240" w:lineRule="auto"/>
      </w:pPr>
      <w:r>
        <w:separator/>
      </w:r>
    </w:p>
  </w:endnote>
  <w:endnote w:type="continuationSeparator" w:id="0">
    <w:p w14:paraId="0CF66463" w14:textId="77777777" w:rsidR="003B780A" w:rsidRDefault="006D6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930BE" w14:textId="77777777" w:rsidR="006C0540" w:rsidRDefault="006D60BC">
    <w:pPr>
      <w:jc w:val="right"/>
    </w:pPr>
    <w:r>
      <w:fldChar w:fldCharType="begin"/>
    </w:r>
    <w:r>
      <w:instrText>PAGE</w:instrText>
    </w:r>
    <w:r>
      <w:fldChar w:fldCharType="separate"/>
    </w:r>
    <w:r w:rsidR="00711F4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34AF" w14:textId="77777777" w:rsidR="003B780A" w:rsidRDefault="006D60BC">
      <w:pPr>
        <w:spacing w:after="0" w:line="240" w:lineRule="auto"/>
      </w:pPr>
      <w:r>
        <w:separator/>
      </w:r>
    </w:p>
  </w:footnote>
  <w:footnote w:type="continuationSeparator" w:id="0">
    <w:p w14:paraId="6B1227BC" w14:textId="77777777" w:rsidR="003B780A" w:rsidRDefault="006D60BC">
      <w:pPr>
        <w:spacing w:after="0" w:line="240" w:lineRule="auto"/>
      </w:pPr>
      <w:r>
        <w:continuationSeparator/>
      </w:r>
    </w:p>
  </w:footnote>
  <w:footnote w:id="1">
    <w:p w14:paraId="7E20B44D" w14:textId="5DB2B76D"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rPr>
        <w:t xml:space="preserve"> Conseil des droits de l’homme, La situation des droits de l’homme en Palestine et dans les autres territoires arabes occupés, UN. Doc. </w:t>
      </w:r>
      <w:r w:rsidRPr="00251481">
        <w:rPr>
          <w:sz w:val="16"/>
          <w:szCs w:val="16"/>
          <w:lang w:val="en-US"/>
        </w:rPr>
        <w:t xml:space="preserve">A/HRC/8/17, 6 </w:t>
      </w:r>
      <w:proofErr w:type="spellStart"/>
      <w:r w:rsidRPr="00251481">
        <w:rPr>
          <w:sz w:val="16"/>
          <w:szCs w:val="16"/>
          <w:lang w:val="en-US"/>
        </w:rPr>
        <w:t>juin</w:t>
      </w:r>
      <w:proofErr w:type="spellEnd"/>
      <w:r w:rsidRPr="00251481">
        <w:rPr>
          <w:sz w:val="16"/>
          <w:szCs w:val="16"/>
          <w:lang w:val="en-US"/>
        </w:rPr>
        <w:t xml:space="preserve"> 2008, §9; Human Rights Watch, Two Authorities, One Way, Zero Dissent. Arbitrary Arrest &amp; Torture Under the Palestinian Authority &amp; Hamas, October 2018, Annex VII: Unofficial Translation of Letter from Gaza Internal Security to Human Rights Watch, p. 129: « The Ministry of Interior and National Security is committed to the international human rights treaties that have been ratified by Palestine, in particular the ICCPR and the Convention Against Torture ».</w:t>
      </w:r>
    </w:p>
  </w:footnote>
  <w:footnote w:id="2">
    <w:p w14:paraId="47B1E46F" w14:textId="77777777" w:rsidR="006C0540" w:rsidRDefault="006D60BC">
      <w:pPr>
        <w:spacing w:after="0" w:line="240" w:lineRule="auto"/>
        <w:rPr>
          <w:sz w:val="20"/>
          <w:szCs w:val="20"/>
        </w:rPr>
      </w:pPr>
      <w:r w:rsidRPr="00251481">
        <w:rPr>
          <w:sz w:val="16"/>
          <w:szCs w:val="16"/>
          <w:vertAlign w:val="superscript"/>
        </w:rPr>
        <w:footnoteRef/>
      </w:r>
      <w:r w:rsidRPr="00251481">
        <w:rPr>
          <w:sz w:val="16"/>
          <w:szCs w:val="16"/>
        </w:rPr>
        <w:t xml:space="preserve"> Comité des droits de l’homme, Observation générale n° 36 sur l’article 6 du Pacte international relatif aux droits civils et politiques, concernant le droit à la vie, 30 octobre 2018, §35</w:t>
      </w:r>
    </w:p>
  </w:footnote>
  <w:footnote w:id="3">
    <w:p w14:paraId="0E9556E9" w14:textId="77777777" w:rsidR="006C0540" w:rsidRPr="00251481" w:rsidRDefault="006D60BC">
      <w:pPr>
        <w:spacing w:after="0" w:line="240" w:lineRule="auto"/>
        <w:jc w:val="left"/>
        <w:rPr>
          <w:sz w:val="16"/>
          <w:szCs w:val="16"/>
        </w:rPr>
      </w:pPr>
      <w:r w:rsidRPr="00251481">
        <w:rPr>
          <w:sz w:val="16"/>
          <w:szCs w:val="16"/>
          <w:vertAlign w:val="superscript"/>
        </w:rPr>
        <w:footnoteRef/>
      </w:r>
      <w:r w:rsidRPr="00251481">
        <w:rPr>
          <w:sz w:val="16"/>
          <w:szCs w:val="16"/>
        </w:rPr>
        <w:t xml:space="preserve"> Comité des droits de l’homme, Rapport initial soumis par l’État de Palestine en application de l’article 40 du Pacte, attendu en 2015 [Date de réception : 16 novembre 2020], 26 août 2021, §124.</w:t>
      </w:r>
    </w:p>
  </w:footnote>
  <w:footnote w:id="4">
    <w:p w14:paraId="1233E14B" w14:textId="5774EF86" w:rsidR="006C0540" w:rsidRPr="00251481" w:rsidRDefault="006D60BC">
      <w:pPr>
        <w:spacing w:after="0" w:line="240" w:lineRule="auto"/>
        <w:rPr>
          <w:sz w:val="16"/>
          <w:szCs w:val="16"/>
          <w:highlight w:val="magenta"/>
        </w:rPr>
      </w:pPr>
      <w:r w:rsidRPr="00251481">
        <w:rPr>
          <w:sz w:val="16"/>
          <w:szCs w:val="16"/>
          <w:vertAlign w:val="superscript"/>
        </w:rPr>
        <w:footnoteRef/>
      </w:r>
      <w:r w:rsidRPr="00251481">
        <w:rPr>
          <w:sz w:val="16"/>
          <w:szCs w:val="16"/>
        </w:rPr>
        <w:t xml:space="preserve"> Loi fondamentale palestinienne de 2003, Article 4</w:t>
      </w:r>
      <w:r w:rsidR="00C47C73">
        <w:rPr>
          <w:sz w:val="16"/>
          <w:szCs w:val="16"/>
        </w:rPr>
        <w:t> :</w:t>
      </w:r>
      <w:r w:rsidRPr="00251481">
        <w:rPr>
          <w:sz w:val="16"/>
          <w:szCs w:val="16"/>
        </w:rPr>
        <w:t xml:space="preserve"> </w:t>
      </w:r>
      <w:hyperlink r:id="rId1" w:history="1">
        <w:r w:rsidR="00716002" w:rsidRPr="00926CBA">
          <w:rPr>
            <w:rStyle w:val="Lienhypertexte"/>
            <w:sz w:val="16"/>
            <w:szCs w:val="16"/>
          </w:rPr>
          <w:t>https://maqam.najah.edu/legislation/11/</w:t>
        </w:r>
      </w:hyperlink>
    </w:p>
  </w:footnote>
  <w:footnote w:id="5">
    <w:p w14:paraId="792ACEAB" w14:textId="2532E084" w:rsidR="006C0540" w:rsidRPr="00C47C73" w:rsidRDefault="006D60BC">
      <w:pPr>
        <w:spacing w:after="0" w:line="240" w:lineRule="auto"/>
        <w:rPr>
          <w:sz w:val="16"/>
          <w:szCs w:val="16"/>
        </w:rPr>
      </w:pPr>
      <w:r w:rsidRPr="00251481">
        <w:rPr>
          <w:sz w:val="16"/>
          <w:szCs w:val="16"/>
          <w:vertAlign w:val="superscript"/>
        </w:rPr>
        <w:footnoteRef/>
      </w:r>
      <w:r w:rsidRPr="00251481">
        <w:rPr>
          <w:sz w:val="16"/>
          <w:szCs w:val="16"/>
        </w:rPr>
        <w:t xml:space="preserve"> Haut-Commissariat des Nations unies aux droits de l'homme, Comment by UN Human </w:t>
      </w:r>
      <w:proofErr w:type="spellStart"/>
      <w:r w:rsidRPr="00251481">
        <w:rPr>
          <w:sz w:val="16"/>
          <w:szCs w:val="16"/>
        </w:rPr>
        <w:t>Rights</w:t>
      </w:r>
      <w:proofErr w:type="spellEnd"/>
      <w:r w:rsidRPr="00251481">
        <w:rPr>
          <w:sz w:val="16"/>
          <w:szCs w:val="16"/>
        </w:rPr>
        <w:t xml:space="preserve"> Office </w:t>
      </w:r>
      <w:proofErr w:type="spellStart"/>
      <w:r w:rsidRPr="00251481">
        <w:rPr>
          <w:sz w:val="16"/>
          <w:szCs w:val="16"/>
        </w:rPr>
        <w:t>spokesperson</w:t>
      </w:r>
      <w:proofErr w:type="spellEnd"/>
      <w:r w:rsidRPr="00251481">
        <w:rPr>
          <w:sz w:val="16"/>
          <w:szCs w:val="16"/>
        </w:rPr>
        <w:t xml:space="preserve"> Ravina </w:t>
      </w:r>
      <w:proofErr w:type="spellStart"/>
      <w:r w:rsidRPr="00251481">
        <w:rPr>
          <w:sz w:val="16"/>
          <w:szCs w:val="16"/>
        </w:rPr>
        <w:t>Shamdasani</w:t>
      </w:r>
      <w:proofErr w:type="spellEnd"/>
      <w:r w:rsidRPr="00251481">
        <w:rPr>
          <w:sz w:val="16"/>
          <w:szCs w:val="16"/>
        </w:rPr>
        <w:t xml:space="preserve"> on </w:t>
      </w:r>
      <w:proofErr w:type="spellStart"/>
      <w:r w:rsidRPr="00251481">
        <w:rPr>
          <w:sz w:val="16"/>
          <w:szCs w:val="16"/>
        </w:rPr>
        <w:t>execution</w:t>
      </w:r>
      <w:proofErr w:type="spellEnd"/>
      <w:r w:rsidRPr="00251481">
        <w:rPr>
          <w:sz w:val="16"/>
          <w:szCs w:val="16"/>
        </w:rPr>
        <w:t xml:space="preserve"> of five </w:t>
      </w:r>
      <w:proofErr w:type="spellStart"/>
      <w:r w:rsidRPr="00251481">
        <w:rPr>
          <w:sz w:val="16"/>
          <w:szCs w:val="16"/>
        </w:rPr>
        <w:t>prisoners</w:t>
      </w:r>
      <w:proofErr w:type="spellEnd"/>
      <w:r w:rsidRPr="00251481">
        <w:rPr>
          <w:sz w:val="16"/>
          <w:szCs w:val="16"/>
        </w:rPr>
        <w:t xml:space="preserve"> in Gaza, 5 septembre 2022</w:t>
      </w:r>
      <w:r w:rsidR="00C47C73">
        <w:rPr>
          <w:sz w:val="16"/>
          <w:szCs w:val="16"/>
        </w:rPr>
        <w:t xml:space="preserve"> : </w:t>
      </w:r>
      <w:hyperlink r:id="rId2" w:history="1">
        <w:r w:rsidR="00C47C73" w:rsidRPr="00926CBA">
          <w:rPr>
            <w:rStyle w:val="Lienhypertexte"/>
            <w:sz w:val="16"/>
            <w:szCs w:val="16"/>
          </w:rPr>
          <w:t>https://www.ohchr.org/en/statements/2022/09/comment-un-human-rights-office-spokesperson-ravina-shamdasani-execution-five</w:t>
        </w:r>
      </w:hyperlink>
    </w:p>
  </w:footnote>
  <w:footnote w:id="6">
    <w:p w14:paraId="7A475E58"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des droits de l’homme, Rapport initial soumis par l’État de Palestine en application de l’article 40 du Pacte, attendu en 2015 [Date de réception : 16 novembre 2020], 26 août 2021, §129.</w:t>
      </w:r>
    </w:p>
  </w:footnote>
  <w:footnote w:id="7">
    <w:p w14:paraId="1EFB4949" w14:textId="77777777" w:rsidR="006C0540" w:rsidRDefault="006D60BC">
      <w:pPr>
        <w:spacing w:after="0" w:line="240" w:lineRule="auto"/>
        <w:rPr>
          <w:sz w:val="20"/>
          <w:szCs w:val="20"/>
        </w:rPr>
      </w:pPr>
      <w:r w:rsidRPr="00251481">
        <w:rPr>
          <w:sz w:val="16"/>
          <w:szCs w:val="16"/>
          <w:vertAlign w:val="superscript"/>
        </w:rPr>
        <w:footnoteRef/>
      </w:r>
      <w:r w:rsidRPr="00251481">
        <w:rPr>
          <w:sz w:val="16"/>
          <w:szCs w:val="16"/>
        </w:rPr>
        <w:t xml:space="preserve"> Comité contre la torture, 74ème session, Observations finales sur le rapport initial de l'État de Palestine, 23 août 2022, §46.</w:t>
      </w:r>
    </w:p>
  </w:footnote>
  <w:footnote w:id="8">
    <w:p w14:paraId="29373DFA"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des droits de l’homme, Rapport initial soumis par l’État de Palestine en application de l’article 40 du Pacte, attendu en 2015 [Date de réception : 16 novembre 2020], 26 août 2021, §130.</w:t>
      </w:r>
    </w:p>
  </w:footnote>
  <w:footnote w:id="9">
    <w:p w14:paraId="47516C19" w14:textId="77777777"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«Death Sentence against a Drug Dealer in Gaza: PCHR Calls Upon the Authorities to End This Inhuman Penalty», 31 </w:t>
      </w:r>
      <w:proofErr w:type="spellStart"/>
      <w:r w:rsidRPr="00251481">
        <w:rPr>
          <w:sz w:val="16"/>
          <w:szCs w:val="16"/>
          <w:lang w:val="en-US"/>
        </w:rPr>
        <w:t>janvier</w:t>
      </w:r>
      <w:proofErr w:type="spellEnd"/>
      <w:r w:rsidRPr="00251481">
        <w:rPr>
          <w:sz w:val="16"/>
          <w:szCs w:val="16"/>
          <w:lang w:val="en-US"/>
        </w:rPr>
        <w:t xml:space="preserve"> 2023. </w:t>
      </w:r>
    </w:p>
  </w:footnote>
  <w:footnote w:id="10">
    <w:p w14:paraId="15ECF95C" w14:textId="0073B6F0"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Gaza Military Court Issues Two Death Sentences: PCHR Calls Upon the Authorities to End This Inhuman Penalty », 9 mars 2023</w:t>
      </w:r>
      <w:r w:rsidR="00C47C73">
        <w:rPr>
          <w:sz w:val="16"/>
          <w:szCs w:val="16"/>
          <w:lang w:val="en-US"/>
        </w:rPr>
        <w:t xml:space="preserve"> : </w:t>
      </w:r>
      <w:hyperlink r:id="rId3" w:history="1">
        <w:r w:rsidR="00C47C73" w:rsidRPr="00926CBA">
          <w:rPr>
            <w:rStyle w:val="Lienhypertexte"/>
            <w:sz w:val="16"/>
            <w:szCs w:val="16"/>
            <w:lang w:val="en-US"/>
          </w:rPr>
          <w:t>https://pchrgaza.org/en/gaza-military-court-issues-two-death-sentences-pchr-calls-upon-the-authorities-to-end-this-inhuman-penalty/</w:t>
        </w:r>
      </w:hyperlink>
    </w:p>
  </w:footnote>
  <w:footnote w:id="11">
    <w:p w14:paraId="22B26466" w14:textId="013CFA4C" w:rsidR="006C0540" w:rsidRPr="00C47C73"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Gaza Military Court Issues Two Death Sentences: PCHR Calls Upon the Authorities to End This Inhuman Penalty », 9 mars 2023</w:t>
      </w:r>
      <w:r w:rsidR="00C47C73">
        <w:rPr>
          <w:sz w:val="16"/>
          <w:szCs w:val="16"/>
          <w:lang w:val="en-US"/>
        </w:rPr>
        <w:t xml:space="preserve"> : </w:t>
      </w:r>
      <w:hyperlink r:id="rId4" w:history="1">
        <w:r w:rsidR="00C47C73" w:rsidRPr="00926CBA">
          <w:rPr>
            <w:rStyle w:val="Lienhypertexte"/>
            <w:sz w:val="16"/>
            <w:szCs w:val="16"/>
            <w:lang w:val="en-US"/>
          </w:rPr>
          <w:t>https://pchrgaza.org/en/gaza-military-court-issues-two-death-sentences-pchr-calls-upon-the-authorities-to-end-this-inhuman-penalty/</w:t>
        </w:r>
      </w:hyperlink>
    </w:p>
  </w:footnote>
  <w:footnote w:id="12">
    <w:p w14:paraId="2B950C30" w14:textId="0094438B"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Loi fondamentale palestinienne de 2003, Article 109</w:t>
      </w:r>
      <w:r w:rsidR="00C47C73">
        <w:rPr>
          <w:sz w:val="16"/>
          <w:szCs w:val="16"/>
        </w:rPr>
        <w:t xml:space="preserve"> : </w:t>
      </w:r>
      <w:hyperlink r:id="rId5" w:history="1">
        <w:r w:rsidR="00C47C73" w:rsidRPr="00926CBA">
          <w:rPr>
            <w:rStyle w:val="Lienhypertexte"/>
            <w:sz w:val="16"/>
            <w:szCs w:val="16"/>
          </w:rPr>
          <w:t>https://maqam.najah.edu/legislation/11/</w:t>
        </w:r>
      </w:hyperlink>
    </w:p>
  </w:footnote>
  <w:footnote w:id="13">
    <w:p w14:paraId="1001664E"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des droits de l’homme, Rapport initial soumis par l’État de Palestine en application de l’article 40 du Pacte, attendu en 2015 [Date de réception : 16 novembre 2020], 26 août 2021, §128.</w:t>
      </w:r>
    </w:p>
  </w:footnote>
  <w:footnote w:id="14">
    <w:p w14:paraId="4793AE0B" w14:textId="6783E236" w:rsidR="006C0540" w:rsidRPr="00C47C73"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In violation of Palestine’s International Obligations, 5 Death Sentences Executed in Gaza Strip », 4 </w:t>
      </w:r>
      <w:proofErr w:type="spellStart"/>
      <w:r w:rsidRPr="00251481">
        <w:rPr>
          <w:sz w:val="16"/>
          <w:szCs w:val="16"/>
          <w:lang w:val="en-US"/>
        </w:rPr>
        <w:t>septembre</w:t>
      </w:r>
      <w:proofErr w:type="spellEnd"/>
      <w:r w:rsidRPr="00251481">
        <w:rPr>
          <w:sz w:val="16"/>
          <w:szCs w:val="16"/>
          <w:lang w:val="en-US"/>
        </w:rPr>
        <w:t xml:space="preserve"> </w:t>
      </w:r>
      <w:proofErr w:type="gramStart"/>
      <w:r w:rsidRPr="00251481">
        <w:rPr>
          <w:sz w:val="16"/>
          <w:szCs w:val="16"/>
          <w:lang w:val="en-US"/>
        </w:rPr>
        <w:t>2022</w:t>
      </w:r>
      <w:r w:rsidR="00C47C73">
        <w:rPr>
          <w:sz w:val="16"/>
          <w:szCs w:val="16"/>
          <w:lang w:val="en-US"/>
        </w:rPr>
        <w:t xml:space="preserve"> :</w:t>
      </w:r>
      <w:proofErr w:type="gramEnd"/>
      <w:r w:rsidR="00C47C73">
        <w:rPr>
          <w:sz w:val="16"/>
          <w:szCs w:val="16"/>
          <w:lang w:val="en-US"/>
        </w:rPr>
        <w:t xml:space="preserve"> </w:t>
      </w:r>
      <w:hyperlink r:id="rId6" w:history="1">
        <w:r w:rsidR="00C47C73" w:rsidRPr="00926CBA">
          <w:rPr>
            <w:rStyle w:val="Lienhypertexte"/>
            <w:sz w:val="16"/>
            <w:szCs w:val="16"/>
            <w:lang w:val="en-US"/>
          </w:rPr>
          <w:t>https://pchrgaza.org/en/in-violation-of-palestines-international-obligations-5-death-sentences-executed-in-gaza-strip/</w:t>
        </w:r>
      </w:hyperlink>
    </w:p>
  </w:footnote>
  <w:footnote w:id="15">
    <w:p w14:paraId="203C40DE" w14:textId="4497CCF7"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Gaza Military Court Issues Two Death Sentences: PCHR Calls Upon the Authorities to End This Inhuman Penalty », 9 mars 2023</w:t>
      </w:r>
      <w:r w:rsidR="00C47C73">
        <w:rPr>
          <w:sz w:val="16"/>
          <w:szCs w:val="16"/>
          <w:lang w:val="en-US"/>
        </w:rPr>
        <w:t xml:space="preserve"> : </w:t>
      </w:r>
      <w:hyperlink r:id="rId7" w:history="1">
        <w:r w:rsidR="00C47C73" w:rsidRPr="00926CBA">
          <w:rPr>
            <w:rStyle w:val="Lienhypertexte"/>
            <w:sz w:val="16"/>
            <w:szCs w:val="16"/>
            <w:lang w:val="en-US"/>
          </w:rPr>
          <w:t>https://pchrgaza.org/en/gaza-military-court-issues-two-death-sentences-pchr-calls-upon-the-authorities-to-end-this-inhuman-penalty/</w:t>
        </w:r>
      </w:hyperlink>
    </w:p>
  </w:footnote>
  <w:footnote w:id="16">
    <w:p w14:paraId="42914FF4" w14:textId="3E3142E0" w:rsidR="006C0540" w:rsidRPr="00C47C73" w:rsidRDefault="006D60BC" w:rsidP="00C47C73">
      <w:pPr>
        <w:spacing w:after="0" w:line="240" w:lineRule="auto"/>
        <w:jc w:val="left"/>
        <w:rPr>
          <w:color w:val="1155CC"/>
          <w:sz w:val="16"/>
          <w:szCs w:val="16"/>
          <w:u w:val="single"/>
          <w:lang w:val="fr-FR"/>
        </w:rPr>
      </w:pPr>
      <w:r w:rsidRPr="00251481">
        <w:rPr>
          <w:sz w:val="16"/>
          <w:szCs w:val="16"/>
          <w:vertAlign w:val="superscript"/>
        </w:rPr>
        <w:footnoteRef/>
      </w:r>
      <w:r w:rsidRPr="00251481">
        <w:rPr>
          <w:sz w:val="16"/>
          <w:szCs w:val="16"/>
        </w:rPr>
        <w:t xml:space="preserve"> L’Article 17 du Code révolutionnaire de l'OLP dispose que « l'exécution est la prise d'une vie par un peloton d'exécution » et l'article 17 du Code jordanien de 1960 que « le condamné est pendu ».</w:t>
      </w:r>
      <w:r w:rsidRPr="00251481">
        <w:rPr>
          <w:sz w:val="16"/>
          <w:szCs w:val="16"/>
        </w:rPr>
        <w:br/>
        <w:t xml:space="preserve">D’après le média en ligne </w:t>
      </w:r>
      <w:proofErr w:type="spellStart"/>
      <w:r w:rsidRPr="00251481">
        <w:rPr>
          <w:sz w:val="16"/>
          <w:szCs w:val="16"/>
        </w:rPr>
        <w:t>Daraj</w:t>
      </w:r>
      <w:proofErr w:type="spellEnd"/>
      <w:r w:rsidRPr="00251481">
        <w:rPr>
          <w:sz w:val="16"/>
          <w:szCs w:val="16"/>
        </w:rPr>
        <w:t>:  « En Palestine, la polémique est soulevée sur toutes les questions nationales et sociétales, à l'exception de questions ponctuelles, au premier rang desquelles l'application des condamnations à mort, qui fait l'objet d'un consensus national général », 9 juillet 2022, §1</w:t>
      </w:r>
      <w:r w:rsidR="00C47C73">
        <w:rPr>
          <w:sz w:val="16"/>
          <w:szCs w:val="16"/>
        </w:rPr>
        <w:t xml:space="preserve"> :  </w:t>
      </w:r>
      <w:hyperlink r:id="rId8" w:history="1">
        <w:r w:rsidR="00C47C73" w:rsidRPr="00C47C73">
          <w:rPr>
            <w:rStyle w:val="Lienhypertexte"/>
            <w:sz w:val="16"/>
            <w:szCs w:val="16"/>
            <w:lang w:val="fr-FR"/>
          </w:rPr>
          <w:t>https://daraj.com/94966/</w:t>
        </w:r>
      </w:hyperlink>
      <w:r w:rsidR="00C47C73" w:rsidRPr="00C47C73">
        <w:rPr>
          <w:sz w:val="16"/>
          <w:szCs w:val="16"/>
          <w:lang w:val="fr-FR"/>
        </w:rPr>
        <w:t xml:space="preserve"> </w:t>
      </w:r>
    </w:p>
    <w:p w14:paraId="4BA0C73B" w14:textId="4DC105F0" w:rsidR="006C0540" w:rsidRPr="00C47C73" w:rsidRDefault="006D60BC">
      <w:pPr>
        <w:spacing w:after="0" w:line="240" w:lineRule="auto"/>
        <w:rPr>
          <w:sz w:val="16"/>
          <w:szCs w:val="16"/>
          <w:lang w:val="en-US"/>
        </w:rPr>
      </w:pPr>
      <w:r w:rsidRPr="00251481">
        <w:rPr>
          <w:sz w:val="16"/>
          <w:szCs w:val="16"/>
          <w:lang w:val="en-US"/>
        </w:rPr>
        <w:t xml:space="preserve">Prison Insider, « Palestine: death penalty in a forgotten country », 22 </w:t>
      </w:r>
      <w:proofErr w:type="spellStart"/>
      <w:r w:rsidRPr="00251481">
        <w:rPr>
          <w:sz w:val="16"/>
          <w:szCs w:val="16"/>
          <w:lang w:val="en-US"/>
        </w:rPr>
        <w:t>juin</w:t>
      </w:r>
      <w:proofErr w:type="spellEnd"/>
      <w:r w:rsidRPr="00251481">
        <w:rPr>
          <w:sz w:val="16"/>
          <w:szCs w:val="16"/>
          <w:lang w:val="en-US"/>
        </w:rPr>
        <w:t xml:space="preserve"> 2022</w:t>
      </w:r>
      <w:r w:rsidR="00C47C73">
        <w:rPr>
          <w:sz w:val="16"/>
          <w:szCs w:val="16"/>
          <w:lang w:val="en-US"/>
        </w:rPr>
        <w:t xml:space="preserve">: </w:t>
      </w:r>
      <w:hyperlink r:id="rId9" w:history="1">
        <w:r w:rsidR="00C47C73" w:rsidRPr="00C47C73">
          <w:rPr>
            <w:rStyle w:val="Lienhypertexte"/>
            <w:sz w:val="16"/>
            <w:szCs w:val="16"/>
            <w:lang w:val="en-US"/>
          </w:rPr>
          <w:t>https://www.prison-insider.com/en/articles/palestine-death-penalty-in-a-forgotten-country</w:t>
        </w:r>
      </w:hyperlink>
      <w:r w:rsidR="00C47C73" w:rsidRPr="00C47C73">
        <w:rPr>
          <w:sz w:val="16"/>
          <w:szCs w:val="16"/>
          <w:lang w:val="en-US"/>
        </w:rPr>
        <w:t xml:space="preserve"> </w:t>
      </w:r>
    </w:p>
  </w:footnote>
  <w:footnote w:id="17">
    <w:p w14:paraId="7207F4B4"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des droits de l’homme, Rapport initial soumis par l’État de Palestine en application de l’article 40 du Pacte, attendu en 2015 [Date de réception : 16 novembre 2020], 26 août 2021, §276.</w:t>
      </w:r>
    </w:p>
  </w:footnote>
  <w:footnote w:id="18">
    <w:p w14:paraId="3643882A" w14:textId="77777777" w:rsidR="006C0540" w:rsidRDefault="006D60BC">
      <w:pPr>
        <w:spacing w:after="0" w:line="240" w:lineRule="auto"/>
        <w:rPr>
          <w:sz w:val="20"/>
          <w:szCs w:val="20"/>
        </w:rPr>
      </w:pPr>
      <w:r w:rsidRPr="00251481">
        <w:rPr>
          <w:sz w:val="16"/>
          <w:szCs w:val="16"/>
          <w:vertAlign w:val="superscript"/>
        </w:rPr>
        <w:footnoteRef/>
      </w:r>
      <w:r w:rsidRPr="00251481">
        <w:rPr>
          <w:sz w:val="16"/>
          <w:szCs w:val="16"/>
        </w:rPr>
        <w:t xml:space="preserve"> Comité des droits de l’homme, « Liste de points concernant le rapport initial de l’État de Palestine, Adoptée par le Comité à sa 135e session (27 juin-27 juillet 2022) », 19 septembre 2022, §17.</w:t>
      </w:r>
    </w:p>
  </w:footnote>
  <w:footnote w:id="19">
    <w:p w14:paraId="3605145C" w14:textId="46301591"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Prison Insider, « Palestine: death penalty in a forgotten country », 22 June 2022</w:t>
      </w:r>
      <w:r w:rsidR="00C47C73">
        <w:rPr>
          <w:sz w:val="16"/>
          <w:szCs w:val="16"/>
          <w:lang w:val="en-US"/>
        </w:rPr>
        <w:t xml:space="preserve">: </w:t>
      </w:r>
      <w:hyperlink r:id="rId10" w:history="1">
        <w:r w:rsidR="00C47C73" w:rsidRPr="00926CBA">
          <w:rPr>
            <w:rStyle w:val="Lienhypertexte"/>
            <w:sz w:val="16"/>
            <w:szCs w:val="16"/>
            <w:highlight w:val="white"/>
            <w:lang w:val="en-US"/>
          </w:rPr>
          <w:t>https://www.prison-insider.com/en/articles/palestine-death-penalty-in-a-forgotten-country</w:t>
        </w:r>
      </w:hyperlink>
      <w:r w:rsidR="00C47C73">
        <w:rPr>
          <w:sz w:val="16"/>
          <w:szCs w:val="16"/>
          <w:lang w:val="en-US"/>
        </w:rPr>
        <w:t xml:space="preserve"> </w:t>
      </w:r>
    </w:p>
  </w:footnote>
  <w:footnote w:id="20">
    <w:p w14:paraId="7BEADF77"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w:t>
      </w:r>
      <w:r w:rsidRPr="00251481">
        <w:rPr>
          <w:i/>
          <w:sz w:val="16"/>
          <w:szCs w:val="16"/>
        </w:rPr>
        <w:t>Ibid</w:t>
      </w:r>
      <w:r w:rsidRPr="00251481">
        <w:rPr>
          <w:sz w:val="16"/>
          <w:szCs w:val="16"/>
        </w:rPr>
        <w:t>.</w:t>
      </w:r>
    </w:p>
  </w:footnote>
  <w:footnote w:id="21">
    <w:p w14:paraId="7C8BD475"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Article 18 de la loi n°1 relative aux pouvoirs judiciaires.</w:t>
      </w:r>
    </w:p>
  </w:footnote>
  <w:footnote w:id="22">
    <w:p w14:paraId="1B629301" w14:textId="77777777"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w:t>
      </w:r>
      <w:r w:rsidRPr="00251481">
        <w:rPr>
          <w:i/>
          <w:sz w:val="16"/>
          <w:szCs w:val="16"/>
          <w:lang w:val="en-US"/>
        </w:rPr>
        <w:t>Idem</w:t>
      </w:r>
      <w:r w:rsidRPr="00251481">
        <w:rPr>
          <w:sz w:val="16"/>
          <w:szCs w:val="16"/>
          <w:lang w:val="en-US"/>
        </w:rPr>
        <w:t>, art. 1</w:t>
      </w:r>
      <w:proofErr w:type="gramStart"/>
      <w:r w:rsidRPr="00251481">
        <w:rPr>
          <w:sz w:val="16"/>
          <w:szCs w:val="16"/>
          <w:vertAlign w:val="superscript"/>
          <w:lang w:val="en-US"/>
        </w:rPr>
        <w:t>er</w:t>
      </w:r>
      <w:r w:rsidRPr="00251481">
        <w:rPr>
          <w:sz w:val="16"/>
          <w:szCs w:val="16"/>
          <w:lang w:val="en-US"/>
        </w:rPr>
        <w:t>..</w:t>
      </w:r>
      <w:proofErr w:type="gramEnd"/>
    </w:p>
  </w:footnote>
  <w:footnote w:id="23">
    <w:p w14:paraId="4B3F46AC" w14:textId="7BEE3BB3"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Mapping Palestinian Politics, Judicial </w:t>
      </w:r>
      <w:proofErr w:type="gramStart"/>
      <w:r w:rsidRPr="00251481">
        <w:rPr>
          <w:sz w:val="16"/>
          <w:szCs w:val="16"/>
          <w:lang w:val="en-US"/>
        </w:rPr>
        <w:t>system</w:t>
      </w:r>
      <w:r w:rsidR="00C47C73">
        <w:rPr>
          <w:sz w:val="16"/>
          <w:szCs w:val="16"/>
          <w:lang w:val="en-US"/>
        </w:rPr>
        <w:t xml:space="preserve"> :</w:t>
      </w:r>
      <w:proofErr w:type="gramEnd"/>
      <w:r w:rsidR="00C47C73">
        <w:rPr>
          <w:sz w:val="16"/>
          <w:szCs w:val="16"/>
          <w:lang w:val="en-US"/>
        </w:rPr>
        <w:t xml:space="preserve"> </w:t>
      </w:r>
      <w:hyperlink r:id="rId11" w:history="1">
        <w:r w:rsidR="00C47C73" w:rsidRPr="00926CBA">
          <w:rPr>
            <w:rStyle w:val="Lienhypertexte"/>
            <w:sz w:val="16"/>
            <w:szCs w:val="16"/>
            <w:lang w:val="en-US"/>
          </w:rPr>
          <w:t>https://ecfr.eu/special/mapping_palestinian_politics/high_judicial_council/</w:t>
        </w:r>
      </w:hyperlink>
      <w:r w:rsidR="00C47C73">
        <w:rPr>
          <w:sz w:val="16"/>
          <w:szCs w:val="16"/>
          <w:lang w:val="en-US"/>
        </w:rPr>
        <w:t xml:space="preserve"> </w:t>
      </w:r>
      <w:r w:rsidRPr="00251481">
        <w:rPr>
          <w:sz w:val="16"/>
          <w:szCs w:val="16"/>
          <w:lang w:val="en-US"/>
        </w:rPr>
        <w:t xml:space="preserve"> </w:t>
      </w:r>
    </w:p>
  </w:footnote>
  <w:footnote w:id="24">
    <w:p w14:paraId="3B98FCAB" w14:textId="391C36DA"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Middle East Eye, « Palestine: Lawyers rally against ‘intrusion on judiciary’ after controversial decrees », 15 </w:t>
      </w:r>
      <w:r w:rsidR="00234E65">
        <w:rPr>
          <w:sz w:val="16"/>
          <w:szCs w:val="16"/>
          <w:lang w:val="en-US"/>
        </w:rPr>
        <w:t>February</w:t>
      </w:r>
      <w:r w:rsidRPr="00251481">
        <w:rPr>
          <w:sz w:val="16"/>
          <w:szCs w:val="16"/>
          <w:lang w:val="en-US"/>
        </w:rPr>
        <w:t xml:space="preserve"> 2021</w:t>
      </w:r>
      <w:r w:rsidR="00C47C73">
        <w:rPr>
          <w:sz w:val="16"/>
          <w:szCs w:val="16"/>
          <w:lang w:val="en-US"/>
        </w:rPr>
        <w:t xml:space="preserve">: </w:t>
      </w:r>
      <w:hyperlink r:id="rId12" w:history="1">
        <w:r w:rsidR="00C47C73" w:rsidRPr="00926CBA">
          <w:rPr>
            <w:rStyle w:val="Lienhypertexte"/>
            <w:sz w:val="16"/>
            <w:szCs w:val="16"/>
            <w:lang w:val="en-US"/>
          </w:rPr>
          <w:t>https://www.middleeasteye.net/news/palestine-lawyers-judicial-independence-authority-decrees</w:t>
        </w:r>
      </w:hyperlink>
      <w:r w:rsidR="00C47C73">
        <w:rPr>
          <w:sz w:val="16"/>
          <w:szCs w:val="16"/>
          <w:lang w:val="en-US"/>
        </w:rPr>
        <w:t xml:space="preserve"> </w:t>
      </w:r>
    </w:p>
  </w:footnote>
  <w:footnote w:id="25">
    <w:p w14:paraId="6C0425CD" w14:textId="5F1AB86D"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Palestinian President Undermines Judiciary Independence », 22 July 2019</w:t>
      </w:r>
      <w:r w:rsidR="00C47C73">
        <w:rPr>
          <w:sz w:val="16"/>
          <w:szCs w:val="16"/>
          <w:lang w:val="en-US"/>
        </w:rPr>
        <w:t xml:space="preserve">: </w:t>
      </w:r>
      <w:hyperlink r:id="rId13" w:anchor="ftn6" w:history="1">
        <w:r w:rsidR="00C47C73" w:rsidRPr="00926CBA">
          <w:rPr>
            <w:rStyle w:val="Lienhypertexte"/>
            <w:sz w:val="16"/>
            <w:szCs w:val="16"/>
            <w:lang w:val="en-US"/>
          </w:rPr>
          <w:t>https://pchrgaza.org/en/palestinian-president-undermines-judiciary-independence/#ftn6</w:t>
        </w:r>
      </w:hyperlink>
      <w:r w:rsidR="00C47C73">
        <w:rPr>
          <w:sz w:val="16"/>
          <w:szCs w:val="16"/>
          <w:lang w:val="en-US"/>
        </w:rPr>
        <w:t xml:space="preserve">  </w:t>
      </w:r>
    </w:p>
  </w:footnote>
  <w:footnote w:id="26">
    <w:p w14:paraId="6D3BCE03" w14:textId="48FB0DEB"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Aljazeera, « Palestinian judge quits over new law », 14 </w:t>
      </w:r>
      <w:r w:rsidR="00047CEE">
        <w:rPr>
          <w:sz w:val="16"/>
          <w:szCs w:val="16"/>
          <w:lang w:val="en-US"/>
        </w:rPr>
        <w:t>October</w:t>
      </w:r>
      <w:r w:rsidRPr="00251481">
        <w:rPr>
          <w:sz w:val="16"/>
          <w:szCs w:val="16"/>
          <w:lang w:val="en-US"/>
        </w:rPr>
        <w:t xml:space="preserve"> </w:t>
      </w:r>
      <w:proofErr w:type="gramStart"/>
      <w:r w:rsidRPr="00251481">
        <w:rPr>
          <w:sz w:val="16"/>
          <w:szCs w:val="16"/>
          <w:lang w:val="en-US"/>
        </w:rPr>
        <w:t>2005</w:t>
      </w:r>
      <w:r w:rsidR="00C47C73">
        <w:rPr>
          <w:sz w:val="16"/>
          <w:szCs w:val="16"/>
          <w:lang w:val="en-US"/>
        </w:rPr>
        <w:t xml:space="preserve"> :</w:t>
      </w:r>
      <w:proofErr w:type="gramEnd"/>
      <w:r w:rsidR="00C47C73">
        <w:rPr>
          <w:sz w:val="16"/>
          <w:szCs w:val="16"/>
          <w:lang w:val="en-US"/>
        </w:rPr>
        <w:t xml:space="preserve"> </w:t>
      </w:r>
      <w:hyperlink r:id="rId14" w:history="1">
        <w:r w:rsidR="00C47C73" w:rsidRPr="00926CBA">
          <w:rPr>
            <w:rStyle w:val="Lienhypertexte"/>
            <w:sz w:val="16"/>
            <w:szCs w:val="16"/>
            <w:lang w:val="en-US"/>
          </w:rPr>
          <w:t>https://www.aljazeera.com/news/2005/10/14/palestinian-judge-quits-over-new-law</w:t>
        </w:r>
      </w:hyperlink>
      <w:r w:rsidR="00C47C73">
        <w:rPr>
          <w:sz w:val="16"/>
          <w:szCs w:val="16"/>
          <w:lang w:val="en-US"/>
        </w:rPr>
        <w:t xml:space="preserve"> </w:t>
      </w:r>
    </w:p>
  </w:footnote>
  <w:footnote w:id="27">
    <w:p w14:paraId="07ADBB50" w14:textId="0DCBCF5B"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w:t>
      </w:r>
      <w:proofErr w:type="spellStart"/>
      <w:r w:rsidRPr="00251481">
        <w:rPr>
          <w:sz w:val="16"/>
          <w:szCs w:val="16"/>
        </w:rPr>
        <w:t>Palestinian</w:t>
      </w:r>
      <w:proofErr w:type="spellEnd"/>
      <w:r w:rsidRPr="00251481">
        <w:rPr>
          <w:sz w:val="16"/>
          <w:szCs w:val="16"/>
        </w:rPr>
        <w:t xml:space="preserve"> Center for Human </w:t>
      </w:r>
      <w:proofErr w:type="spellStart"/>
      <w:r w:rsidRPr="00251481">
        <w:rPr>
          <w:sz w:val="16"/>
          <w:szCs w:val="16"/>
        </w:rPr>
        <w:t>Rights</w:t>
      </w:r>
      <w:proofErr w:type="spellEnd"/>
      <w:r w:rsidRPr="00251481">
        <w:rPr>
          <w:sz w:val="16"/>
          <w:szCs w:val="16"/>
        </w:rPr>
        <w:t>, « Pour violation de la Loi fondamentale palestinienne amendée, le PCHR conteste la constitutionnalité de la nouvelle loi sur l’autorité judiciaire et la Cour constitutionnelle suprême reporte l’affaire », 20 Novembre 2005</w:t>
      </w:r>
      <w:r w:rsidR="00C47C73">
        <w:rPr>
          <w:sz w:val="16"/>
          <w:szCs w:val="16"/>
        </w:rPr>
        <w:t xml:space="preserve"> : </w:t>
      </w:r>
      <w:hyperlink r:id="rId15" w:history="1">
        <w:r w:rsidR="00C47C73" w:rsidRPr="00926CBA">
          <w:rPr>
            <w:rStyle w:val="Lienhypertexte"/>
            <w:sz w:val="16"/>
            <w:szCs w:val="16"/>
          </w:rPr>
          <w:t>https://pchrgaza.org/ar/%d9%84%d9%85%d8%ae%d8%a7%d9%84%d9%81%d8%aa%d9%87-%d8%a7%d9%84%d9%82%d8%a7%d9%86%d9%88%d9%86-%d8%a7%d9%84%d8%a3%d8%b3%d8%a7%d8%b3%d9%8a-%d8%a7%d9%84%d9%81%d9%84%d8%b3%d8%b7%d9%8a%d9%86%d9%8a-%d8%a7</w:t>
        </w:r>
      </w:hyperlink>
      <w:r w:rsidRPr="00251481">
        <w:rPr>
          <w:sz w:val="16"/>
          <w:szCs w:val="16"/>
        </w:rPr>
        <w:t xml:space="preserve">/ </w:t>
      </w:r>
    </w:p>
  </w:footnote>
  <w:footnote w:id="28">
    <w:p w14:paraId="2EF798DF" w14:textId="77777777" w:rsidR="006C0540" w:rsidRPr="00711F4C" w:rsidRDefault="006D60BC">
      <w:pPr>
        <w:spacing w:after="0" w:line="240" w:lineRule="auto"/>
        <w:rPr>
          <w:sz w:val="20"/>
          <w:szCs w:val="20"/>
          <w:lang w:val="en-US"/>
        </w:rPr>
      </w:pPr>
      <w:r w:rsidRPr="00251481">
        <w:rPr>
          <w:sz w:val="16"/>
          <w:szCs w:val="16"/>
          <w:vertAlign w:val="superscript"/>
        </w:rPr>
        <w:footnoteRef/>
      </w:r>
      <w:r w:rsidRPr="00251481">
        <w:rPr>
          <w:sz w:val="16"/>
          <w:szCs w:val="16"/>
          <w:lang w:val="en-US"/>
        </w:rPr>
        <w:t xml:space="preserve"> Ibid.</w:t>
      </w:r>
    </w:p>
  </w:footnote>
  <w:footnote w:id="29">
    <w:p w14:paraId="6A84E1F4" w14:textId="151E775B"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w:t>
      </w:r>
      <w:r w:rsidRPr="00251481">
        <w:rPr>
          <w:i/>
          <w:sz w:val="16"/>
          <w:szCs w:val="16"/>
          <w:lang w:val="en-US"/>
        </w:rPr>
        <w:t>P</w:t>
      </w:r>
      <w:r w:rsidRPr="00251481">
        <w:rPr>
          <w:sz w:val="16"/>
          <w:szCs w:val="16"/>
          <w:lang w:val="en-US"/>
        </w:rPr>
        <w:t xml:space="preserve">alestinian President Undermines Judiciary Independence », 22 July </w:t>
      </w:r>
      <w:proofErr w:type="gramStart"/>
      <w:r w:rsidRPr="00251481">
        <w:rPr>
          <w:sz w:val="16"/>
          <w:szCs w:val="16"/>
          <w:lang w:val="en-US"/>
        </w:rPr>
        <w:t>2019</w:t>
      </w:r>
      <w:r w:rsidR="00C47C73">
        <w:rPr>
          <w:sz w:val="16"/>
          <w:szCs w:val="16"/>
          <w:lang w:val="en-US"/>
        </w:rPr>
        <w:t xml:space="preserve"> :</w:t>
      </w:r>
      <w:proofErr w:type="gramEnd"/>
      <w:r w:rsidR="00C47C73">
        <w:rPr>
          <w:sz w:val="16"/>
          <w:szCs w:val="16"/>
          <w:lang w:val="en-US"/>
        </w:rPr>
        <w:t xml:space="preserve"> </w:t>
      </w:r>
      <w:hyperlink r:id="rId16" w:anchor="_ftn6" w:history="1">
        <w:r w:rsidR="00C47C73" w:rsidRPr="00926CBA">
          <w:rPr>
            <w:rStyle w:val="Lienhypertexte"/>
            <w:sz w:val="16"/>
            <w:szCs w:val="16"/>
            <w:lang w:val="en-US"/>
          </w:rPr>
          <w:t>https://pchrgaza.org/en/palestinian-president-undermines-judiciary-independence/#_ftn6</w:t>
        </w:r>
      </w:hyperlink>
      <w:r w:rsidR="00C47C73">
        <w:rPr>
          <w:sz w:val="16"/>
          <w:szCs w:val="16"/>
          <w:lang w:val="en-US"/>
        </w:rPr>
        <w:t xml:space="preserve"> </w:t>
      </w:r>
    </w:p>
  </w:footnote>
  <w:footnote w:id="30">
    <w:p w14:paraId="06DD4741" w14:textId="021AF500" w:rsidR="006C0540" w:rsidRPr="00C47C73" w:rsidRDefault="006D60BC">
      <w:pPr>
        <w:spacing w:after="0" w:line="240" w:lineRule="auto"/>
        <w:rPr>
          <w:sz w:val="16"/>
          <w:szCs w:val="16"/>
          <w:lang w:val="fr-FR"/>
        </w:rPr>
      </w:pPr>
      <w:r w:rsidRPr="00251481">
        <w:rPr>
          <w:sz w:val="16"/>
          <w:szCs w:val="16"/>
          <w:vertAlign w:val="superscript"/>
        </w:rPr>
        <w:footnoteRef/>
      </w:r>
      <w:r w:rsidRPr="00251481">
        <w:rPr>
          <w:sz w:val="16"/>
          <w:szCs w:val="16"/>
        </w:rPr>
        <w:t xml:space="preserve">  Loi fondamentale palestinienne de 2003, Article 10§2</w:t>
      </w:r>
      <w:r w:rsidR="00C47C73">
        <w:rPr>
          <w:sz w:val="16"/>
          <w:szCs w:val="16"/>
        </w:rPr>
        <w:t xml:space="preserve"> : </w:t>
      </w:r>
      <w:hyperlink r:id="rId17" w:history="1">
        <w:r w:rsidR="00C47C73" w:rsidRPr="00926CBA">
          <w:rPr>
            <w:rStyle w:val="Lienhypertexte"/>
            <w:sz w:val="16"/>
            <w:szCs w:val="16"/>
            <w:lang w:val="fr-FR"/>
          </w:rPr>
          <w:t>https://maqam.najah.edu/legislation/11/</w:t>
        </w:r>
      </w:hyperlink>
      <w:r w:rsidRPr="00C47C73">
        <w:rPr>
          <w:sz w:val="16"/>
          <w:szCs w:val="16"/>
          <w:lang w:val="fr-FR"/>
        </w:rPr>
        <w:t xml:space="preserve"> </w:t>
      </w:r>
    </w:p>
  </w:footnote>
  <w:footnote w:id="31">
    <w:p w14:paraId="0002BD18" w14:textId="3A0F7650"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Military court in Gaza issues 2 death sentences against 2 persons, including civilian, convicted of collaborating with occupation », 13 </w:t>
      </w:r>
      <w:r w:rsidR="00D81150">
        <w:rPr>
          <w:sz w:val="16"/>
          <w:szCs w:val="16"/>
          <w:lang w:val="en-US"/>
        </w:rPr>
        <w:t>October</w:t>
      </w:r>
      <w:r w:rsidRPr="00251481">
        <w:rPr>
          <w:sz w:val="16"/>
          <w:szCs w:val="16"/>
          <w:lang w:val="en-US"/>
        </w:rPr>
        <w:t xml:space="preserve"> 2022</w:t>
      </w:r>
      <w:r w:rsidR="00C47C73">
        <w:rPr>
          <w:sz w:val="16"/>
          <w:szCs w:val="16"/>
          <w:lang w:val="en-US"/>
        </w:rPr>
        <w:t xml:space="preserve"> :  </w:t>
      </w:r>
      <w:hyperlink r:id="rId18" w:history="1">
        <w:r w:rsidR="00C47C73" w:rsidRPr="00926CBA">
          <w:rPr>
            <w:rStyle w:val="Lienhypertexte"/>
            <w:sz w:val="16"/>
            <w:szCs w:val="16"/>
            <w:lang w:val="en-US"/>
          </w:rPr>
          <w:t>https://pchrgaza.org/en/military-court-in-gaza-issues-2-death-sentences-against-2-persons-including-civilian-convicted-of-collaborating-with-occupation/</w:t>
        </w:r>
      </w:hyperlink>
    </w:p>
  </w:footnote>
  <w:footnote w:id="32">
    <w:p w14:paraId="041CEF0E" w14:textId="4CD59355"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w:t>
      </w:r>
      <w:proofErr w:type="spellStart"/>
      <w:r w:rsidRPr="00251481">
        <w:rPr>
          <w:sz w:val="16"/>
          <w:szCs w:val="16"/>
          <w:lang w:val="en-US"/>
        </w:rPr>
        <w:t>Btselem</w:t>
      </w:r>
      <w:proofErr w:type="spellEnd"/>
      <w:r w:rsidRPr="00251481">
        <w:rPr>
          <w:sz w:val="16"/>
          <w:szCs w:val="16"/>
          <w:lang w:val="en-US"/>
        </w:rPr>
        <w:t>, « Statistics on the death penalty in the Palestinian Authority and under Hamas control in Gaza »</w:t>
      </w:r>
      <w:r w:rsidR="00C47C73">
        <w:rPr>
          <w:sz w:val="16"/>
          <w:szCs w:val="16"/>
          <w:lang w:val="en-US"/>
        </w:rPr>
        <w:t xml:space="preserve">: </w:t>
      </w:r>
      <w:hyperlink r:id="rId19" w:history="1">
        <w:r w:rsidR="00C47C73" w:rsidRPr="00926CBA">
          <w:rPr>
            <w:rStyle w:val="Lienhypertexte"/>
            <w:sz w:val="16"/>
            <w:szCs w:val="16"/>
            <w:lang w:val="en-US"/>
          </w:rPr>
          <w:t>https://www.btselem.org/inter_palestinian_violations/death_penalty_statistics</w:t>
        </w:r>
      </w:hyperlink>
    </w:p>
  </w:footnote>
  <w:footnote w:id="33">
    <w:p w14:paraId="650B9B71" w14:textId="56EB8841" w:rsidR="006C0540" w:rsidRPr="00251481" w:rsidRDefault="006D60BC">
      <w:pPr>
        <w:spacing w:after="0" w:line="240" w:lineRule="auto"/>
        <w:rPr>
          <w:color w:val="1155CC"/>
          <w:sz w:val="16"/>
          <w:szCs w:val="16"/>
        </w:rPr>
      </w:pPr>
      <w:r w:rsidRPr="00251481">
        <w:rPr>
          <w:sz w:val="16"/>
          <w:szCs w:val="16"/>
          <w:vertAlign w:val="superscript"/>
        </w:rPr>
        <w:footnoteRef/>
      </w:r>
      <w:r w:rsidRPr="00251481">
        <w:rPr>
          <w:sz w:val="16"/>
          <w:szCs w:val="16"/>
        </w:rPr>
        <w:t xml:space="preserve"> </w:t>
      </w:r>
      <w:proofErr w:type="spellStart"/>
      <w:r w:rsidRPr="00251481">
        <w:rPr>
          <w:sz w:val="16"/>
          <w:szCs w:val="16"/>
        </w:rPr>
        <w:t>Almanar</w:t>
      </w:r>
      <w:proofErr w:type="spellEnd"/>
      <w:r w:rsidRPr="00251481">
        <w:rPr>
          <w:sz w:val="16"/>
          <w:szCs w:val="16"/>
        </w:rPr>
        <w:t>, « Le ministère de l'Intérieur à Gaza exécute la condamnation à mort de cinq personnes reconnues coupables de crimes de communication et de meurtre », 4 septembre 2022</w:t>
      </w:r>
      <w:r w:rsidR="00C47C73">
        <w:rPr>
          <w:sz w:val="16"/>
          <w:szCs w:val="16"/>
        </w:rPr>
        <w:t xml:space="preserve"> : </w:t>
      </w:r>
      <w:hyperlink r:id="rId20" w:history="1">
        <w:r w:rsidR="00C47C73" w:rsidRPr="00926CBA">
          <w:rPr>
            <w:rStyle w:val="Lienhypertexte"/>
            <w:sz w:val="16"/>
            <w:szCs w:val="16"/>
          </w:rPr>
          <w:t>https://www.almanar.com.lb/9920528</w:t>
        </w:r>
      </w:hyperlink>
    </w:p>
  </w:footnote>
  <w:footnote w:id="34">
    <w:p w14:paraId="6E241910" w14:textId="602A138D" w:rsidR="006C0540" w:rsidRPr="00C47C73" w:rsidRDefault="006D60BC">
      <w:pPr>
        <w:spacing w:after="0" w:line="240" w:lineRule="auto"/>
        <w:rPr>
          <w:sz w:val="16"/>
          <w:szCs w:val="16"/>
        </w:rPr>
      </w:pPr>
      <w:r w:rsidRPr="00251481">
        <w:rPr>
          <w:sz w:val="16"/>
          <w:szCs w:val="16"/>
          <w:vertAlign w:val="superscript"/>
        </w:rPr>
        <w:footnoteRef/>
      </w:r>
      <w:r w:rsidRPr="00251481">
        <w:rPr>
          <w:sz w:val="16"/>
          <w:szCs w:val="16"/>
        </w:rPr>
        <w:t xml:space="preserve"> Haut-Commissariat des Nations unies aux droits de l'homme, « Comment by UN Human </w:t>
      </w:r>
      <w:proofErr w:type="spellStart"/>
      <w:r w:rsidRPr="00251481">
        <w:rPr>
          <w:sz w:val="16"/>
          <w:szCs w:val="16"/>
        </w:rPr>
        <w:t>Rights</w:t>
      </w:r>
      <w:proofErr w:type="spellEnd"/>
      <w:r w:rsidRPr="00251481">
        <w:rPr>
          <w:sz w:val="16"/>
          <w:szCs w:val="16"/>
        </w:rPr>
        <w:t xml:space="preserve"> </w:t>
      </w:r>
      <w:r w:rsidR="00716002" w:rsidRPr="00251481">
        <w:rPr>
          <w:sz w:val="16"/>
          <w:szCs w:val="16"/>
        </w:rPr>
        <w:t xml:space="preserve">Office </w:t>
      </w:r>
      <w:proofErr w:type="spellStart"/>
      <w:r w:rsidR="00716002" w:rsidRPr="00251481">
        <w:rPr>
          <w:sz w:val="16"/>
          <w:szCs w:val="16"/>
        </w:rPr>
        <w:t>spokesperson</w:t>
      </w:r>
      <w:proofErr w:type="spellEnd"/>
      <w:r w:rsidRPr="00251481">
        <w:rPr>
          <w:sz w:val="16"/>
          <w:szCs w:val="16"/>
        </w:rPr>
        <w:t xml:space="preserve"> Ravina </w:t>
      </w:r>
      <w:proofErr w:type="spellStart"/>
      <w:r w:rsidRPr="00251481">
        <w:rPr>
          <w:sz w:val="16"/>
          <w:szCs w:val="16"/>
        </w:rPr>
        <w:t>Shamdasani</w:t>
      </w:r>
      <w:proofErr w:type="spellEnd"/>
      <w:r w:rsidRPr="00251481">
        <w:rPr>
          <w:sz w:val="16"/>
          <w:szCs w:val="16"/>
        </w:rPr>
        <w:t xml:space="preserve"> on </w:t>
      </w:r>
      <w:proofErr w:type="spellStart"/>
      <w:r w:rsidRPr="00251481">
        <w:rPr>
          <w:sz w:val="16"/>
          <w:szCs w:val="16"/>
        </w:rPr>
        <w:t>execution</w:t>
      </w:r>
      <w:proofErr w:type="spellEnd"/>
      <w:r w:rsidRPr="00251481">
        <w:rPr>
          <w:sz w:val="16"/>
          <w:szCs w:val="16"/>
        </w:rPr>
        <w:t xml:space="preserve"> of five </w:t>
      </w:r>
      <w:proofErr w:type="spellStart"/>
      <w:r w:rsidRPr="00251481">
        <w:rPr>
          <w:sz w:val="16"/>
          <w:szCs w:val="16"/>
        </w:rPr>
        <w:t>prisoners</w:t>
      </w:r>
      <w:proofErr w:type="spellEnd"/>
      <w:r w:rsidRPr="00251481">
        <w:rPr>
          <w:sz w:val="16"/>
          <w:szCs w:val="16"/>
        </w:rPr>
        <w:t xml:space="preserve"> in Gaza », 5 septembre 2022</w:t>
      </w:r>
      <w:r w:rsidR="00C47C73">
        <w:rPr>
          <w:sz w:val="16"/>
          <w:szCs w:val="16"/>
        </w:rPr>
        <w:t xml:space="preserve"> : </w:t>
      </w:r>
      <w:hyperlink r:id="rId21" w:history="1">
        <w:r w:rsidR="00C47C73" w:rsidRPr="00926CBA">
          <w:rPr>
            <w:rStyle w:val="Lienhypertexte"/>
            <w:sz w:val="16"/>
            <w:szCs w:val="16"/>
          </w:rPr>
          <w:t>https://www.ohchr.org/en/statements/2022/09/comment-un-human-rights-office-spokesperson-ravina-shamdasani-execution-five</w:t>
        </w:r>
      </w:hyperlink>
    </w:p>
  </w:footnote>
  <w:footnote w:id="35">
    <w:p w14:paraId="7C96C83D"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des droits de l’homme, Rapport initial soumis par l’État de Palestine en application de l’article 40 du Pacte, attendu en 2015 [Date de réception : 16 novembre 2020], 26 août 2021, §273.</w:t>
      </w:r>
    </w:p>
  </w:footnote>
  <w:footnote w:id="36">
    <w:p w14:paraId="3F8CB5E2" w14:textId="2EE4DFE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Article 327 de la Loi de procédure pénale n° 3 de 2001 AD</w:t>
      </w:r>
      <w:r w:rsidR="00C47C73">
        <w:rPr>
          <w:sz w:val="16"/>
          <w:szCs w:val="16"/>
        </w:rPr>
        <w:t> :</w:t>
      </w:r>
      <w:r w:rsidRPr="00251481">
        <w:rPr>
          <w:sz w:val="16"/>
          <w:szCs w:val="16"/>
        </w:rPr>
        <w:t xml:space="preserve"> </w:t>
      </w:r>
      <w:hyperlink r:id="rId22">
        <w:r w:rsidRPr="00251481">
          <w:rPr>
            <w:color w:val="1155CC"/>
            <w:sz w:val="16"/>
            <w:szCs w:val="16"/>
            <w:u w:val="single"/>
          </w:rPr>
          <w:t>https://maqam.najah.edu/legislation/20/</w:t>
        </w:r>
      </w:hyperlink>
    </w:p>
  </w:footnote>
  <w:footnote w:id="37">
    <w:p w14:paraId="142A8455" w14:textId="476AD631"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w:t>
      </w:r>
      <w:proofErr w:type="spellStart"/>
      <w:r w:rsidRPr="00251481">
        <w:rPr>
          <w:sz w:val="16"/>
          <w:szCs w:val="16"/>
          <w:lang w:val="en-US"/>
        </w:rPr>
        <w:t>Btselem</w:t>
      </w:r>
      <w:proofErr w:type="spellEnd"/>
      <w:r w:rsidRPr="00251481">
        <w:rPr>
          <w:sz w:val="16"/>
          <w:szCs w:val="16"/>
          <w:lang w:val="en-US"/>
        </w:rPr>
        <w:t>, « Statistics on the death penalty in the Palestinian Authority and under Hamas control in Gaza »</w:t>
      </w:r>
      <w:r w:rsidR="00C47C73">
        <w:rPr>
          <w:sz w:val="16"/>
          <w:szCs w:val="16"/>
          <w:lang w:val="en-US"/>
        </w:rPr>
        <w:t xml:space="preserve">: </w:t>
      </w:r>
      <w:hyperlink r:id="rId23" w:history="1">
        <w:r w:rsidR="00C47C73" w:rsidRPr="00926CBA">
          <w:rPr>
            <w:rStyle w:val="Lienhypertexte"/>
            <w:sz w:val="16"/>
            <w:szCs w:val="16"/>
            <w:lang w:val="en-US"/>
          </w:rPr>
          <w:t>https://www.btselem.org/inter_palestinian_violations/death_penalty_statistics</w:t>
        </w:r>
      </w:hyperlink>
    </w:p>
  </w:footnote>
  <w:footnote w:id="38">
    <w:p w14:paraId="3E237391"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The Legal Agenda, « Les tribunaux militaires dans l'expérience palestinienne », 29 janvier 2018.</w:t>
      </w:r>
    </w:p>
  </w:footnote>
  <w:footnote w:id="39">
    <w:p w14:paraId="59707F20" w14:textId="5AF45112" w:rsidR="006C0540" w:rsidRPr="00C47C73" w:rsidRDefault="006D60BC">
      <w:pPr>
        <w:spacing w:after="0" w:line="240" w:lineRule="auto"/>
        <w:rPr>
          <w:sz w:val="16"/>
          <w:szCs w:val="16"/>
        </w:rPr>
      </w:pPr>
      <w:r w:rsidRPr="00251481">
        <w:rPr>
          <w:sz w:val="16"/>
          <w:szCs w:val="16"/>
          <w:vertAlign w:val="superscript"/>
        </w:rPr>
        <w:footnoteRef/>
      </w:r>
      <w:r w:rsidRPr="00251481">
        <w:rPr>
          <w:sz w:val="16"/>
          <w:szCs w:val="16"/>
        </w:rPr>
        <w:t xml:space="preserve"> Loi de 1979 (Code pénal révolutionnaire de l'OLP de 1979), Articles 119 à 123</w:t>
      </w:r>
      <w:r w:rsidR="00C47C73">
        <w:rPr>
          <w:sz w:val="16"/>
          <w:szCs w:val="16"/>
        </w:rPr>
        <w:t xml:space="preserve"> : </w:t>
      </w:r>
      <w:hyperlink r:id="rId24" w:history="1">
        <w:r w:rsidR="00C47C73" w:rsidRPr="00926CBA">
          <w:rPr>
            <w:rStyle w:val="Lienhypertexte"/>
            <w:sz w:val="16"/>
            <w:szCs w:val="16"/>
          </w:rPr>
          <w:t>https://maqam.najah.edu/legislation/955/</w:t>
        </w:r>
      </w:hyperlink>
    </w:p>
  </w:footnote>
  <w:footnote w:id="40">
    <w:p w14:paraId="4BC9E28A"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Loi fondamentale palestinienne de 2003, Article 10§2. </w:t>
      </w:r>
      <w:hyperlink r:id="rId25">
        <w:r w:rsidRPr="00251481">
          <w:rPr>
            <w:sz w:val="16"/>
            <w:szCs w:val="16"/>
          </w:rPr>
          <w:t>https://maqam.najah.edu/legislation/11/</w:t>
        </w:r>
      </w:hyperlink>
      <w:r w:rsidRPr="00251481">
        <w:rPr>
          <w:sz w:val="16"/>
          <w:szCs w:val="16"/>
        </w:rPr>
        <w:t xml:space="preserve"> </w:t>
      </w:r>
    </w:p>
  </w:footnote>
  <w:footnote w:id="41">
    <w:p w14:paraId="1B04A1E6" w14:textId="77777777" w:rsidR="006C0540" w:rsidRDefault="006D60BC">
      <w:pPr>
        <w:spacing w:after="0" w:line="240" w:lineRule="auto"/>
        <w:rPr>
          <w:color w:val="1155CC"/>
          <w:sz w:val="20"/>
          <w:szCs w:val="20"/>
        </w:rPr>
      </w:pPr>
      <w:r w:rsidRPr="00251481">
        <w:rPr>
          <w:sz w:val="16"/>
          <w:szCs w:val="16"/>
          <w:vertAlign w:val="superscript"/>
        </w:rPr>
        <w:footnoteRef/>
      </w:r>
      <w:hyperlink r:id="rId26">
        <w:r w:rsidRPr="00251481">
          <w:rPr>
            <w:color w:val="1155CC"/>
            <w:sz w:val="16"/>
            <w:szCs w:val="16"/>
            <w:u w:val="single"/>
          </w:rPr>
          <w:t>The Legal Agenda, « Les tribunaux militaires dans l'expérience palestinienne », 29 janvier 2018 [en arabe].</w:t>
        </w:r>
      </w:hyperlink>
      <w:r>
        <w:rPr>
          <w:sz w:val="20"/>
          <w:szCs w:val="20"/>
        </w:rPr>
        <w:t xml:space="preserve"> </w:t>
      </w:r>
    </w:p>
  </w:footnote>
  <w:footnote w:id="42">
    <w:p w14:paraId="1BC3BF43"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The Legal Agenda, « Les tribunaux militaires dans l'expérience palestinienne », 29 janvier 2018.</w:t>
      </w:r>
    </w:p>
  </w:footnote>
  <w:footnote w:id="43">
    <w:p w14:paraId="24BD9D43" w14:textId="22EED512" w:rsidR="006C0540" w:rsidRPr="00C47C73"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Al Monitor, « Drug dealers in Gaza risk Hamas military trials », 4 </w:t>
      </w:r>
      <w:r w:rsidR="00D05672">
        <w:rPr>
          <w:sz w:val="16"/>
          <w:szCs w:val="16"/>
          <w:lang w:val="en-US"/>
        </w:rPr>
        <w:t>November</w:t>
      </w:r>
      <w:r w:rsidRPr="00251481">
        <w:rPr>
          <w:sz w:val="16"/>
          <w:szCs w:val="16"/>
          <w:lang w:val="en-US"/>
        </w:rPr>
        <w:t xml:space="preserve"> </w:t>
      </w:r>
      <w:proofErr w:type="gramStart"/>
      <w:r w:rsidRPr="00251481">
        <w:rPr>
          <w:sz w:val="16"/>
          <w:szCs w:val="16"/>
          <w:lang w:val="en-US"/>
        </w:rPr>
        <w:t>2021</w:t>
      </w:r>
      <w:r w:rsidR="00C47C73">
        <w:rPr>
          <w:sz w:val="16"/>
          <w:szCs w:val="16"/>
          <w:lang w:val="en-US"/>
        </w:rPr>
        <w:t xml:space="preserve"> :</w:t>
      </w:r>
      <w:proofErr w:type="gramEnd"/>
      <w:r w:rsidR="00716002">
        <w:rPr>
          <w:sz w:val="16"/>
          <w:szCs w:val="16"/>
          <w:lang w:val="en-US"/>
        </w:rPr>
        <w:t xml:space="preserve"> </w:t>
      </w:r>
      <w:hyperlink r:id="rId27" w:anchor="ixzz7leyKknIx" w:history="1">
        <w:r w:rsidR="00716002" w:rsidRPr="00C47C73">
          <w:rPr>
            <w:rStyle w:val="Lienhypertexte"/>
            <w:sz w:val="16"/>
            <w:szCs w:val="16"/>
            <w:lang w:val="en-US"/>
          </w:rPr>
          <w:t>https://www.al-monitor.com/originals/2021/11/drug-dealers-gaza-risk-hamas-military-trials#ixzz7leyKknIx</w:t>
        </w:r>
      </w:hyperlink>
    </w:p>
  </w:footnote>
  <w:footnote w:id="44">
    <w:p w14:paraId="4F70819E" w14:textId="04FFBE9D"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Amnesty International, Rapport mondial, Condamnations à mort et exécutions 2021, p.55</w:t>
      </w:r>
      <w:r w:rsidR="00C47C73">
        <w:rPr>
          <w:sz w:val="16"/>
          <w:szCs w:val="16"/>
        </w:rPr>
        <w:t xml:space="preserve"> : </w:t>
      </w:r>
      <w:hyperlink r:id="rId28" w:history="1">
        <w:r w:rsidR="00C47C73" w:rsidRPr="00926CBA">
          <w:rPr>
            <w:rStyle w:val="Lienhypertexte"/>
            <w:sz w:val="16"/>
            <w:szCs w:val="16"/>
          </w:rPr>
          <w:t>https://www.amnesty.org/en/wp-content/uploads/sites/8/2022/05/ACT5054182022FRENCH.pdf</w:t>
        </w:r>
      </w:hyperlink>
    </w:p>
  </w:footnote>
  <w:footnote w:id="45">
    <w:p w14:paraId="11BDA0E9" w14:textId="0B862A20"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Amnesty International, Rapport annuel 2021/2022, État de Palestine, p. 371</w:t>
      </w:r>
      <w:r w:rsidR="00C47C73">
        <w:rPr>
          <w:sz w:val="16"/>
          <w:szCs w:val="16"/>
        </w:rPr>
        <w:t xml:space="preserve"> : </w:t>
      </w:r>
      <w:hyperlink r:id="rId29" w:history="1">
        <w:r w:rsidR="00C47C73" w:rsidRPr="00926CBA">
          <w:rPr>
            <w:rStyle w:val="Lienhypertexte"/>
            <w:sz w:val="16"/>
            <w:szCs w:val="16"/>
          </w:rPr>
          <w:t>https://www.amnesty.org/fr/location/middle-east-and-north-africa/palestine-state-of/report-palestine-state-of/</w:t>
        </w:r>
      </w:hyperlink>
      <w:r w:rsidRPr="00251481">
        <w:rPr>
          <w:sz w:val="16"/>
          <w:szCs w:val="16"/>
        </w:rPr>
        <w:t xml:space="preserve"> </w:t>
      </w:r>
    </w:p>
  </w:footnote>
  <w:footnote w:id="46">
    <w:p w14:paraId="32D2D43A" w14:textId="77777777"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w:t>
      </w:r>
      <w:r w:rsidRPr="00251481">
        <w:rPr>
          <w:i/>
          <w:sz w:val="16"/>
          <w:szCs w:val="16"/>
          <w:lang w:val="en-US"/>
        </w:rPr>
        <w:t>Ibid</w:t>
      </w:r>
      <w:r w:rsidRPr="00251481">
        <w:rPr>
          <w:sz w:val="16"/>
          <w:szCs w:val="16"/>
          <w:lang w:val="en-US"/>
        </w:rPr>
        <w:t xml:space="preserve">. </w:t>
      </w:r>
    </w:p>
  </w:footnote>
  <w:footnote w:id="47">
    <w:p w14:paraId="5AEDBBF5" w14:textId="70F9784F"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In summary </w:t>
      </w:r>
      <w:r w:rsidR="00716002" w:rsidRPr="00251481">
        <w:rPr>
          <w:sz w:val="16"/>
          <w:szCs w:val="16"/>
          <w:lang w:val="en-US"/>
        </w:rPr>
        <w:t>trial:</w:t>
      </w:r>
      <w:r w:rsidRPr="00251481">
        <w:rPr>
          <w:sz w:val="16"/>
          <w:szCs w:val="16"/>
          <w:lang w:val="en-US"/>
        </w:rPr>
        <w:t xml:space="preserve"> Gaza military court issues death sentence and PCHR expresses its concerns over continued use of this penalty », 1</w:t>
      </w:r>
      <w:r w:rsidR="00D05672">
        <w:rPr>
          <w:sz w:val="16"/>
          <w:szCs w:val="16"/>
          <w:lang w:val="en-US"/>
        </w:rPr>
        <w:t xml:space="preserve"> August</w:t>
      </w:r>
      <w:r w:rsidRPr="00251481">
        <w:rPr>
          <w:sz w:val="16"/>
          <w:szCs w:val="16"/>
          <w:lang w:val="en-US"/>
        </w:rPr>
        <w:t xml:space="preserve"> 2022. Ref.: 94/2022.</w:t>
      </w:r>
      <w:r w:rsidR="00C47C73">
        <w:rPr>
          <w:sz w:val="16"/>
          <w:szCs w:val="16"/>
          <w:lang w:val="en-US"/>
        </w:rPr>
        <w:t xml:space="preserve"> : </w:t>
      </w:r>
      <w:hyperlink r:id="rId30" w:history="1">
        <w:r w:rsidR="00C47C73" w:rsidRPr="00926CBA">
          <w:rPr>
            <w:rStyle w:val="Lienhypertexte"/>
            <w:sz w:val="16"/>
            <w:szCs w:val="16"/>
            <w:lang w:val="en-US"/>
          </w:rPr>
          <w:t>https://pchrgaza.org/en/in-summary-trial-gaza-military-court-issues-death-sentence-and-pchr-expresses-its-concern-over-continued-use-of-this-penalty/</w:t>
        </w:r>
      </w:hyperlink>
      <w:r w:rsidRPr="00251481">
        <w:rPr>
          <w:sz w:val="16"/>
          <w:szCs w:val="16"/>
          <w:lang w:val="en-US"/>
        </w:rPr>
        <w:t xml:space="preserve"> </w:t>
      </w:r>
    </w:p>
  </w:footnote>
  <w:footnote w:id="48">
    <w:p w14:paraId="6D509605" w14:textId="37A9F6E4"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Palestinian Center for Human Rights, « Gaza Military Court Issues Two Death Sentences: PCHR Calls Upon the Authorities to End This Inhuman Penalty », 9 </w:t>
      </w:r>
      <w:r w:rsidR="00502941">
        <w:rPr>
          <w:sz w:val="16"/>
          <w:szCs w:val="16"/>
          <w:lang w:val="en-US"/>
        </w:rPr>
        <w:t>March</w:t>
      </w:r>
      <w:r w:rsidRPr="00251481">
        <w:rPr>
          <w:sz w:val="16"/>
          <w:szCs w:val="16"/>
          <w:lang w:val="en-US"/>
        </w:rPr>
        <w:t xml:space="preserve"> 2023.</w:t>
      </w:r>
    </w:p>
    <w:p w14:paraId="47982CDC" w14:textId="77777777" w:rsidR="006C0540" w:rsidRPr="00251481" w:rsidRDefault="00467E46">
      <w:pPr>
        <w:spacing w:after="0" w:line="240" w:lineRule="auto"/>
        <w:rPr>
          <w:sz w:val="16"/>
          <w:szCs w:val="16"/>
          <w:lang w:val="en-US"/>
        </w:rPr>
      </w:pPr>
      <w:hyperlink r:id="rId31">
        <w:r w:rsidR="006D60BC" w:rsidRPr="00251481">
          <w:rPr>
            <w:color w:val="1155CC"/>
            <w:sz w:val="16"/>
            <w:szCs w:val="16"/>
            <w:u w:val="single"/>
            <w:lang w:val="en-US"/>
          </w:rPr>
          <w:t>https://pchrgaza.org/en/gaza-military-court-issues-two-death-sentences-pchr-calls-upon-the-authorities-to-end-this-inhuman-penalty/</w:t>
        </w:r>
      </w:hyperlink>
    </w:p>
  </w:footnote>
  <w:footnote w:id="49">
    <w:p w14:paraId="70026F0B"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contre la torture, Rapport initial soumis par l’</w:t>
      </w:r>
      <w:r w:rsidRPr="00251481">
        <w:rPr>
          <w:sz w:val="16"/>
          <w:szCs w:val="16"/>
          <w:highlight w:val="white"/>
        </w:rPr>
        <w:t xml:space="preserve">État </w:t>
      </w:r>
      <w:r w:rsidRPr="00251481">
        <w:rPr>
          <w:sz w:val="16"/>
          <w:szCs w:val="16"/>
        </w:rPr>
        <w:t>de Palestine en application de l’article 19 de la Convention, attendu en 2015</w:t>
      </w:r>
      <w:r w:rsidRPr="00251481">
        <w:rPr>
          <w:i/>
          <w:sz w:val="16"/>
          <w:szCs w:val="16"/>
        </w:rPr>
        <w:t xml:space="preserve">, </w:t>
      </w:r>
      <w:r w:rsidRPr="00251481">
        <w:rPr>
          <w:sz w:val="16"/>
          <w:szCs w:val="16"/>
        </w:rPr>
        <w:t>2019, p53-56.</w:t>
      </w:r>
    </w:p>
  </w:footnote>
  <w:footnote w:id="50">
    <w:p w14:paraId="286AECB0" w14:textId="77777777" w:rsidR="006C0540" w:rsidRPr="00711F4C" w:rsidRDefault="006D60BC">
      <w:pPr>
        <w:spacing w:after="0" w:line="240" w:lineRule="auto"/>
        <w:rPr>
          <w:sz w:val="20"/>
          <w:szCs w:val="20"/>
          <w:lang w:val="en-US"/>
        </w:rPr>
      </w:pPr>
      <w:r w:rsidRPr="00251481">
        <w:rPr>
          <w:sz w:val="16"/>
          <w:szCs w:val="16"/>
          <w:vertAlign w:val="superscript"/>
        </w:rPr>
        <w:footnoteRef/>
      </w:r>
      <w:r w:rsidRPr="00251481">
        <w:rPr>
          <w:sz w:val="16"/>
          <w:szCs w:val="16"/>
          <w:lang w:val="en-US"/>
        </w:rPr>
        <w:t xml:space="preserve">  </w:t>
      </w:r>
      <w:r w:rsidRPr="00251481">
        <w:rPr>
          <w:i/>
          <w:sz w:val="16"/>
          <w:szCs w:val="16"/>
          <w:lang w:val="en-US"/>
        </w:rPr>
        <w:t>Ibid</w:t>
      </w:r>
      <w:r w:rsidRPr="00251481">
        <w:rPr>
          <w:sz w:val="16"/>
          <w:szCs w:val="16"/>
          <w:lang w:val="en-US"/>
        </w:rPr>
        <w:t>.</w:t>
      </w:r>
    </w:p>
  </w:footnote>
  <w:footnote w:id="51">
    <w:p w14:paraId="2906E0CC" w14:textId="77777777" w:rsidR="006C0540" w:rsidRPr="00251481" w:rsidRDefault="006D60BC">
      <w:pPr>
        <w:spacing w:after="0" w:line="240" w:lineRule="auto"/>
        <w:rPr>
          <w:sz w:val="16"/>
          <w:szCs w:val="16"/>
          <w:lang w:val="en-US"/>
        </w:rPr>
      </w:pPr>
      <w:r w:rsidRPr="00251481">
        <w:rPr>
          <w:sz w:val="16"/>
          <w:szCs w:val="16"/>
          <w:vertAlign w:val="superscript"/>
        </w:rPr>
        <w:footnoteRef/>
      </w:r>
      <w:proofErr w:type="spellStart"/>
      <w:r w:rsidRPr="00251481">
        <w:rPr>
          <w:sz w:val="16"/>
          <w:szCs w:val="16"/>
          <w:lang w:val="en-US"/>
        </w:rPr>
        <w:t>Comité</w:t>
      </w:r>
      <w:proofErr w:type="spellEnd"/>
      <w:r w:rsidRPr="00251481">
        <w:rPr>
          <w:sz w:val="16"/>
          <w:szCs w:val="16"/>
          <w:lang w:val="en-US"/>
        </w:rPr>
        <w:t xml:space="preserve"> </w:t>
      </w:r>
      <w:proofErr w:type="spellStart"/>
      <w:r w:rsidRPr="00251481">
        <w:rPr>
          <w:sz w:val="16"/>
          <w:szCs w:val="16"/>
          <w:lang w:val="en-US"/>
        </w:rPr>
        <w:t>contre</w:t>
      </w:r>
      <w:proofErr w:type="spellEnd"/>
      <w:r w:rsidRPr="00251481">
        <w:rPr>
          <w:sz w:val="16"/>
          <w:szCs w:val="16"/>
          <w:lang w:val="en-US"/>
        </w:rPr>
        <w:t xml:space="preserve"> la torture, 74ème session, Rapport </w:t>
      </w:r>
      <w:proofErr w:type="spellStart"/>
      <w:r w:rsidRPr="00251481">
        <w:rPr>
          <w:sz w:val="16"/>
          <w:szCs w:val="16"/>
          <w:lang w:val="en-US"/>
        </w:rPr>
        <w:t>alternatif</w:t>
      </w:r>
      <w:proofErr w:type="spellEnd"/>
      <w:r w:rsidRPr="00251481">
        <w:rPr>
          <w:sz w:val="16"/>
          <w:szCs w:val="16"/>
          <w:lang w:val="en-US"/>
        </w:rPr>
        <w:t xml:space="preserve">, </w:t>
      </w:r>
      <w:proofErr w:type="spellStart"/>
      <w:r w:rsidRPr="00251481">
        <w:rPr>
          <w:sz w:val="16"/>
          <w:szCs w:val="16"/>
          <w:lang w:val="en-US"/>
        </w:rPr>
        <w:t>soumis</w:t>
      </w:r>
      <w:proofErr w:type="spellEnd"/>
      <w:r w:rsidRPr="00251481">
        <w:rPr>
          <w:sz w:val="16"/>
          <w:szCs w:val="16"/>
          <w:lang w:val="en-US"/>
        </w:rPr>
        <w:t xml:space="preserve"> par The Advocates for Human Rights, The World Coalition Against the Death Penalty, The Palestinian Centre for Human Rights and Human Rights and Democracy Media Centers.</w:t>
      </w:r>
    </w:p>
  </w:footnote>
  <w:footnote w:id="52">
    <w:p w14:paraId="07EAC92E"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Centre palestinien pour les droits humains, rapport annuel 2021, p.70.</w:t>
      </w:r>
    </w:p>
  </w:footnote>
  <w:footnote w:id="53">
    <w:p w14:paraId="55349FBC"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contre la torture, 74ème session, Rapport alternatif soumis par la Coalition palestinienne contre la torture, juillet 2022, §114.</w:t>
      </w:r>
    </w:p>
  </w:footnote>
  <w:footnote w:id="54">
    <w:p w14:paraId="5EE0C7B6"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w:t>
      </w:r>
      <w:r w:rsidRPr="00251481">
        <w:rPr>
          <w:i/>
          <w:sz w:val="16"/>
          <w:szCs w:val="16"/>
        </w:rPr>
        <w:t>Ibid.</w:t>
      </w:r>
      <w:r w:rsidRPr="00251481">
        <w:rPr>
          <w:sz w:val="16"/>
          <w:szCs w:val="16"/>
        </w:rPr>
        <w:t xml:space="preserve"> §115.</w:t>
      </w:r>
    </w:p>
  </w:footnote>
  <w:footnote w:id="55">
    <w:p w14:paraId="705A77D7"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w:t>
      </w:r>
      <w:r w:rsidRPr="00251481">
        <w:rPr>
          <w:i/>
          <w:sz w:val="16"/>
          <w:szCs w:val="16"/>
        </w:rPr>
        <w:t>Idem.</w:t>
      </w:r>
      <w:r w:rsidRPr="00251481">
        <w:rPr>
          <w:sz w:val="16"/>
          <w:szCs w:val="16"/>
        </w:rPr>
        <w:t xml:space="preserve"> </w:t>
      </w:r>
    </w:p>
  </w:footnote>
  <w:footnote w:id="56">
    <w:p w14:paraId="59B4746E"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w:t>
      </w:r>
      <w:proofErr w:type="spellStart"/>
      <w:r w:rsidRPr="00251481">
        <w:rPr>
          <w:i/>
          <w:sz w:val="16"/>
          <w:szCs w:val="16"/>
        </w:rPr>
        <w:t>Ibid</w:t>
      </w:r>
      <w:proofErr w:type="spellEnd"/>
      <w:r w:rsidRPr="00251481">
        <w:rPr>
          <w:i/>
          <w:sz w:val="16"/>
          <w:szCs w:val="16"/>
        </w:rPr>
        <w:t xml:space="preserve"> </w:t>
      </w:r>
      <w:r w:rsidRPr="00251481">
        <w:rPr>
          <w:sz w:val="16"/>
          <w:szCs w:val="16"/>
        </w:rPr>
        <w:t>§55.</w:t>
      </w:r>
    </w:p>
  </w:footnote>
  <w:footnote w:id="57">
    <w:p w14:paraId="7AE38D94" w14:textId="77777777" w:rsidR="006C0540" w:rsidRDefault="006D60BC">
      <w:pPr>
        <w:pBdr>
          <w:top w:val="nil"/>
          <w:left w:val="nil"/>
          <w:bottom w:val="nil"/>
          <w:right w:val="nil"/>
          <w:between w:val="nil"/>
        </w:pBdr>
        <w:spacing w:after="0" w:line="240" w:lineRule="auto"/>
        <w:rPr>
          <w:sz w:val="20"/>
          <w:szCs w:val="20"/>
        </w:rPr>
      </w:pPr>
      <w:r w:rsidRPr="00251481">
        <w:rPr>
          <w:sz w:val="16"/>
          <w:szCs w:val="16"/>
          <w:vertAlign w:val="superscript"/>
        </w:rPr>
        <w:footnoteRef/>
      </w:r>
      <w:r w:rsidRPr="00251481">
        <w:rPr>
          <w:color w:val="000000"/>
          <w:sz w:val="16"/>
          <w:szCs w:val="16"/>
        </w:rPr>
        <w:t xml:space="preserve"> </w:t>
      </w:r>
      <w:proofErr w:type="spellStart"/>
      <w:r w:rsidRPr="00251481">
        <w:rPr>
          <w:i/>
          <w:color w:val="000000"/>
          <w:sz w:val="16"/>
          <w:szCs w:val="16"/>
        </w:rPr>
        <w:t>Ibid</w:t>
      </w:r>
      <w:proofErr w:type="spellEnd"/>
      <w:r w:rsidRPr="00251481">
        <w:rPr>
          <w:i/>
          <w:color w:val="000000"/>
          <w:sz w:val="16"/>
          <w:szCs w:val="16"/>
        </w:rPr>
        <w:t xml:space="preserve"> </w:t>
      </w:r>
      <w:r w:rsidRPr="00251481">
        <w:rPr>
          <w:sz w:val="16"/>
          <w:szCs w:val="16"/>
        </w:rPr>
        <w:t>§84.</w:t>
      </w:r>
    </w:p>
  </w:footnote>
  <w:footnote w:id="58">
    <w:p w14:paraId="06BB5D02"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des droits de l’homme, Rapport initial soumis par l’État de Palestine en application de l’article 40 du Pacte, attendu en 2015 [Date de réception : 16 novembre 2020], 26 août 2021, §129 et 130.</w:t>
      </w:r>
    </w:p>
  </w:footnote>
  <w:footnote w:id="59">
    <w:p w14:paraId="5CEBBB1D" w14:textId="77777777" w:rsidR="006C0540" w:rsidRPr="00711F4C" w:rsidRDefault="006D60BC">
      <w:pPr>
        <w:spacing w:after="0" w:line="240" w:lineRule="auto"/>
        <w:rPr>
          <w:sz w:val="20"/>
          <w:szCs w:val="20"/>
          <w:lang w:val="en-US"/>
        </w:rPr>
      </w:pPr>
      <w:r w:rsidRPr="00251481">
        <w:rPr>
          <w:sz w:val="16"/>
          <w:szCs w:val="16"/>
          <w:vertAlign w:val="superscript"/>
        </w:rPr>
        <w:footnoteRef/>
      </w:r>
      <w:r w:rsidRPr="00251481">
        <w:rPr>
          <w:sz w:val="16"/>
          <w:szCs w:val="16"/>
          <w:lang w:val="en-US"/>
        </w:rPr>
        <w:t xml:space="preserve"> Law No. 32 of 2014 concerning Juvenile Law.</w:t>
      </w:r>
    </w:p>
  </w:footnote>
  <w:footnote w:id="60">
    <w:p w14:paraId="5A7639E0" w14:textId="77777777"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Committee on the Rights of the Child, 83rd Session, Joint Alternative Report to the State of Palestine's Initial Report submitted by: Defense for Children International.</w:t>
      </w:r>
    </w:p>
  </w:footnote>
  <w:footnote w:id="61">
    <w:p w14:paraId="04972743" w14:textId="77777777" w:rsidR="006C0540" w:rsidRPr="00251481" w:rsidRDefault="006D60BC">
      <w:pPr>
        <w:pBdr>
          <w:top w:val="nil"/>
          <w:left w:val="nil"/>
          <w:bottom w:val="nil"/>
          <w:right w:val="nil"/>
          <w:between w:val="nil"/>
        </w:pBdr>
        <w:spacing w:after="0" w:line="240" w:lineRule="auto"/>
        <w:rPr>
          <w:color w:val="000000"/>
          <w:sz w:val="16"/>
          <w:szCs w:val="16"/>
        </w:rPr>
      </w:pPr>
      <w:r w:rsidRPr="00251481">
        <w:rPr>
          <w:sz w:val="16"/>
          <w:szCs w:val="16"/>
          <w:vertAlign w:val="superscript"/>
        </w:rPr>
        <w:footnoteRef/>
      </w:r>
      <w:r w:rsidRPr="00251481">
        <w:rPr>
          <w:color w:val="000000"/>
          <w:sz w:val="16"/>
          <w:szCs w:val="16"/>
        </w:rPr>
        <w:t xml:space="preserve"> </w:t>
      </w:r>
      <w:r w:rsidRPr="00251481">
        <w:rPr>
          <w:i/>
          <w:color w:val="000000"/>
          <w:sz w:val="16"/>
          <w:szCs w:val="16"/>
        </w:rPr>
        <w:t>Ibid</w:t>
      </w:r>
      <w:r w:rsidRPr="00251481">
        <w:rPr>
          <w:color w:val="000000"/>
          <w:sz w:val="16"/>
          <w:szCs w:val="16"/>
        </w:rPr>
        <w:t>.</w:t>
      </w:r>
    </w:p>
  </w:footnote>
  <w:footnote w:id="62">
    <w:p w14:paraId="35C9E37F" w14:textId="07BB43AA" w:rsidR="006C0540" w:rsidRDefault="006D60BC">
      <w:pPr>
        <w:spacing w:after="0" w:line="240" w:lineRule="auto"/>
        <w:rPr>
          <w:sz w:val="16"/>
          <w:szCs w:val="16"/>
        </w:rPr>
      </w:pPr>
      <w:r w:rsidRPr="00251481">
        <w:rPr>
          <w:sz w:val="16"/>
          <w:szCs w:val="16"/>
          <w:vertAlign w:val="superscript"/>
        </w:rPr>
        <w:footnoteRef/>
      </w:r>
      <w:r w:rsidRPr="00251481">
        <w:rPr>
          <w:sz w:val="16"/>
          <w:szCs w:val="16"/>
        </w:rPr>
        <w:t xml:space="preserve"> Arrestation et la détention </w:t>
      </w:r>
      <w:r w:rsidR="00716002" w:rsidRPr="00251481">
        <w:rPr>
          <w:sz w:val="16"/>
          <w:szCs w:val="16"/>
        </w:rPr>
        <w:t>d’une personne</w:t>
      </w:r>
      <w:r w:rsidRPr="00251481">
        <w:rPr>
          <w:sz w:val="16"/>
          <w:szCs w:val="16"/>
        </w:rPr>
        <w:t xml:space="preserve"> par l’autorité militaire, sans inculpation ni jugement, pour une durée inconnue et renouvelable indéfiniment.</w:t>
      </w:r>
      <w:r>
        <w:rPr>
          <w:sz w:val="20"/>
          <w:szCs w:val="20"/>
        </w:rPr>
        <w:t xml:space="preserve"> </w:t>
      </w:r>
    </w:p>
  </w:footnote>
  <w:footnote w:id="63">
    <w:p w14:paraId="55A647BC"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Article 1 : Aux fins de la présente Convention, le terme « torture »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elles.</w:t>
      </w:r>
    </w:p>
  </w:footnote>
  <w:footnote w:id="64">
    <w:p w14:paraId="671AD149" w14:textId="77777777" w:rsidR="006C0540" w:rsidRPr="00251481" w:rsidRDefault="006D60BC">
      <w:pPr>
        <w:pBdr>
          <w:top w:val="nil"/>
          <w:left w:val="nil"/>
          <w:bottom w:val="nil"/>
          <w:right w:val="nil"/>
          <w:between w:val="nil"/>
        </w:pBdr>
        <w:spacing w:after="0" w:line="240" w:lineRule="auto"/>
        <w:rPr>
          <w:color w:val="000000"/>
          <w:sz w:val="16"/>
          <w:szCs w:val="16"/>
        </w:rPr>
      </w:pPr>
      <w:r w:rsidRPr="00251481">
        <w:rPr>
          <w:sz w:val="16"/>
          <w:szCs w:val="16"/>
          <w:vertAlign w:val="superscript"/>
        </w:rPr>
        <w:footnoteRef/>
      </w:r>
      <w:r w:rsidRPr="00251481">
        <w:rPr>
          <w:color w:val="000000"/>
          <w:sz w:val="16"/>
          <w:szCs w:val="16"/>
        </w:rPr>
        <w:t xml:space="preserve"> Commission indépendante des droits de l’homme, 27ème rapport annuel, 2021.</w:t>
      </w:r>
    </w:p>
  </w:footnote>
  <w:footnote w:id="65">
    <w:p w14:paraId="0ADBBD22" w14:textId="77777777" w:rsidR="006C0540" w:rsidRPr="00251481" w:rsidRDefault="006D60BC">
      <w:pPr>
        <w:pBdr>
          <w:top w:val="nil"/>
          <w:left w:val="nil"/>
          <w:bottom w:val="nil"/>
          <w:right w:val="nil"/>
          <w:between w:val="nil"/>
        </w:pBdr>
        <w:spacing w:after="0" w:line="240" w:lineRule="auto"/>
        <w:rPr>
          <w:sz w:val="16"/>
          <w:szCs w:val="16"/>
        </w:rPr>
      </w:pPr>
      <w:r w:rsidRPr="00251481">
        <w:rPr>
          <w:sz w:val="16"/>
          <w:szCs w:val="16"/>
          <w:vertAlign w:val="superscript"/>
        </w:rPr>
        <w:footnoteRef/>
      </w:r>
      <w:r w:rsidRPr="00251481">
        <w:rPr>
          <w:color w:val="000000"/>
          <w:sz w:val="16"/>
          <w:szCs w:val="16"/>
        </w:rPr>
        <w:t xml:space="preserve"> </w:t>
      </w:r>
      <w:proofErr w:type="spellStart"/>
      <w:r w:rsidRPr="00251481">
        <w:rPr>
          <w:i/>
          <w:color w:val="000000"/>
          <w:sz w:val="16"/>
          <w:szCs w:val="16"/>
        </w:rPr>
        <w:t>Ibid</w:t>
      </w:r>
      <w:proofErr w:type="spellEnd"/>
      <w:r w:rsidRPr="00251481">
        <w:rPr>
          <w:color w:val="000000"/>
          <w:sz w:val="16"/>
          <w:szCs w:val="16"/>
        </w:rPr>
        <w:t xml:space="preserve"> p.10.</w:t>
      </w:r>
    </w:p>
  </w:footnote>
  <w:footnote w:id="66">
    <w:p w14:paraId="2AF36C23" w14:textId="77777777" w:rsidR="006C0540" w:rsidRDefault="006D60BC">
      <w:pPr>
        <w:spacing w:after="0" w:line="240" w:lineRule="auto"/>
        <w:rPr>
          <w:sz w:val="20"/>
          <w:szCs w:val="20"/>
        </w:rPr>
      </w:pPr>
      <w:r w:rsidRPr="00251481">
        <w:rPr>
          <w:sz w:val="16"/>
          <w:szCs w:val="16"/>
          <w:vertAlign w:val="superscript"/>
        </w:rPr>
        <w:footnoteRef/>
      </w:r>
      <w:r w:rsidRPr="00251481">
        <w:rPr>
          <w:sz w:val="16"/>
          <w:szCs w:val="16"/>
        </w:rPr>
        <w:t xml:space="preserve"> Le </w:t>
      </w:r>
      <w:proofErr w:type="spellStart"/>
      <w:r w:rsidRPr="003055C7">
        <w:rPr>
          <w:i/>
          <w:iCs/>
          <w:sz w:val="16"/>
          <w:szCs w:val="16"/>
        </w:rPr>
        <w:t>shabeh</w:t>
      </w:r>
      <w:proofErr w:type="spellEnd"/>
      <w:r w:rsidRPr="003055C7">
        <w:rPr>
          <w:i/>
          <w:iCs/>
          <w:sz w:val="16"/>
          <w:szCs w:val="16"/>
        </w:rPr>
        <w:t xml:space="preserve"> </w:t>
      </w:r>
      <w:r w:rsidRPr="00251481">
        <w:rPr>
          <w:sz w:val="16"/>
          <w:szCs w:val="16"/>
        </w:rPr>
        <w:t xml:space="preserve">est une combinaison de méthodes, utilisées pendant des périodes prolongées, impliquant l'isolement sensoriel, la privation de sommeil et l'infliction de douleur. Le </w:t>
      </w:r>
      <w:proofErr w:type="spellStart"/>
      <w:r w:rsidRPr="003055C7">
        <w:rPr>
          <w:i/>
          <w:iCs/>
          <w:sz w:val="16"/>
          <w:szCs w:val="16"/>
        </w:rPr>
        <w:t>shabeh</w:t>
      </w:r>
      <w:proofErr w:type="spellEnd"/>
      <w:r w:rsidRPr="003055C7">
        <w:rPr>
          <w:i/>
          <w:iCs/>
          <w:sz w:val="16"/>
          <w:szCs w:val="16"/>
        </w:rPr>
        <w:t xml:space="preserve"> </w:t>
      </w:r>
      <w:r w:rsidRPr="00251481">
        <w:rPr>
          <w:sz w:val="16"/>
          <w:szCs w:val="16"/>
        </w:rPr>
        <w:t xml:space="preserve">ordinaire consiste à enchaîner les mains et les jambes du détenu à une petite chaise, inclinée vers l'avant de façon à ce que le détenu ne puisse pas s'asseoir dans une position stable. La tête du détenu est recouverte d'un sac souvent sale et de la musique forte est diffusée en continu par des haut-parleurs. Les détenus en </w:t>
      </w:r>
      <w:proofErr w:type="spellStart"/>
      <w:r w:rsidRPr="00251481">
        <w:rPr>
          <w:sz w:val="16"/>
          <w:szCs w:val="16"/>
        </w:rPr>
        <w:t>s</w:t>
      </w:r>
      <w:r w:rsidRPr="003055C7">
        <w:rPr>
          <w:i/>
          <w:iCs/>
          <w:sz w:val="16"/>
          <w:szCs w:val="16"/>
        </w:rPr>
        <w:t>habeh</w:t>
      </w:r>
      <w:proofErr w:type="spellEnd"/>
      <w:r w:rsidRPr="003055C7">
        <w:rPr>
          <w:i/>
          <w:iCs/>
          <w:sz w:val="16"/>
          <w:szCs w:val="16"/>
        </w:rPr>
        <w:t xml:space="preserve"> </w:t>
      </w:r>
      <w:r w:rsidRPr="00251481">
        <w:rPr>
          <w:sz w:val="16"/>
          <w:szCs w:val="16"/>
        </w:rPr>
        <w:t>ne sont pas autorisés à dormir.</w:t>
      </w:r>
      <w:r>
        <w:rPr>
          <w:sz w:val="20"/>
          <w:szCs w:val="20"/>
        </w:rPr>
        <w:t xml:space="preserve"> </w:t>
      </w:r>
    </w:p>
  </w:footnote>
  <w:footnote w:id="67">
    <w:p w14:paraId="578849B0"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contre la torture, Observations finales concernant le rapport initial de l’État de Palestine, 26 et 27 juillet 2022, §12.</w:t>
      </w:r>
    </w:p>
  </w:footnote>
  <w:footnote w:id="68">
    <w:p w14:paraId="227FD003"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Article 37, lois sur les centres de rééducation et de réadaptation : 2. Il est interdit de torturer un détenu ou d'utiliser la force contre lui, sauf dans les cas prévus aux articles 20 et 21 ci-dessus.3. Il est interdit d'insulter un détenu ou de s'adresser à lui d'une manière dégradante.</w:t>
      </w:r>
    </w:p>
  </w:footnote>
  <w:footnote w:id="69">
    <w:p w14:paraId="1C5BCC39" w14:textId="77777777" w:rsidR="006C0540" w:rsidRPr="00251481" w:rsidRDefault="006D60BC">
      <w:pPr>
        <w:spacing w:after="0" w:line="240" w:lineRule="auto"/>
        <w:rPr>
          <w:sz w:val="16"/>
          <w:szCs w:val="16"/>
        </w:rPr>
      </w:pPr>
      <w:r w:rsidRPr="00251481">
        <w:rPr>
          <w:sz w:val="16"/>
          <w:szCs w:val="16"/>
          <w:vertAlign w:val="superscript"/>
        </w:rPr>
        <w:footnoteRef/>
      </w:r>
      <w:r w:rsidRPr="00251481">
        <w:rPr>
          <w:sz w:val="16"/>
          <w:szCs w:val="16"/>
        </w:rPr>
        <w:t xml:space="preserve"> Comité contre la torture, Observation générale n° 2, p.18.</w:t>
      </w:r>
    </w:p>
  </w:footnote>
  <w:footnote w:id="70">
    <w:p w14:paraId="08B664FA" w14:textId="0334C1CB" w:rsidR="006C0540" w:rsidRPr="00711F4C" w:rsidRDefault="006D60BC">
      <w:pPr>
        <w:spacing w:after="0" w:line="240" w:lineRule="auto"/>
        <w:rPr>
          <w:sz w:val="20"/>
          <w:szCs w:val="20"/>
          <w:lang w:val="en-US"/>
        </w:rPr>
      </w:pPr>
      <w:r w:rsidRPr="00251481">
        <w:rPr>
          <w:sz w:val="16"/>
          <w:szCs w:val="16"/>
          <w:vertAlign w:val="superscript"/>
        </w:rPr>
        <w:footnoteRef/>
      </w:r>
      <w:r w:rsidRPr="00251481">
        <w:rPr>
          <w:sz w:val="16"/>
          <w:szCs w:val="16"/>
          <w:lang w:val="en-US"/>
        </w:rPr>
        <w:t xml:space="preserve"> Al-Haq Defending Human Rights « Position paper by Palestinian human rights groups and civil society </w:t>
      </w:r>
      <w:proofErr w:type="spellStart"/>
      <w:r w:rsidRPr="00251481">
        <w:rPr>
          <w:sz w:val="16"/>
          <w:szCs w:val="16"/>
          <w:lang w:val="en-US"/>
        </w:rPr>
        <w:t>organisations</w:t>
      </w:r>
      <w:proofErr w:type="spellEnd"/>
      <w:r w:rsidRPr="00251481">
        <w:rPr>
          <w:sz w:val="16"/>
          <w:szCs w:val="16"/>
          <w:lang w:val="en-US"/>
        </w:rPr>
        <w:t xml:space="preserve"> on approval of the National Preventive Mechanism against Torture », 26 </w:t>
      </w:r>
      <w:r w:rsidR="0059347A">
        <w:rPr>
          <w:sz w:val="16"/>
          <w:szCs w:val="16"/>
          <w:lang w:val="en-US"/>
        </w:rPr>
        <w:t>May</w:t>
      </w:r>
      <w:r w:rsidRPr="00251481">
        <w:rPr>
          <w:sz w:val="16"/>
          <w:szCs w:val="16"/>
          <w:lang w:val="en-US"/>
        </w:rPr>
        <w:t xml:space="preserve"> 2022. </w:t>
      </w:r>
      <w:hyperlink r:id="rId32">
        <w:r w:rsidRPr="00251481">
          <w:rPr>
            <w:color w:val="1155CC"/>
            <w:sz w:val="16"/>
            <w:szCs w:val="16"/>
            <w:u w:val="single"/>
            <w:lang w:val="en-US"/>
          </w:rPr>
          <w:t>https://www.alhaq.org/advocacy/20052.html</w:t>
        </w:r>
      </w:hyperlink>
    </w:p>
  </w:footnote>
  <w:footnote w:id="71">
    <w:p w14:paraId="584C7C1F" w14:textId="25BA97CE" w:rsidR="006C0540" w:rsidRPr="00251481" w:rsidRDefault="006D60BC">
      <w:pPr>
        <w:spacing w:after="0" w:line="240" w:lineRule="auto"/>
        <w:rPr>
          <w:sz w:val="16"/>
          <w:szCs w:val="16"/>
          <w:lang w:val="en-US"/>
        </w:rPr>
      </w:pPr>
      <w:r w:rsidRPr="00251481">
        <w:rPr>
          <w:sz w:val="16"/>
          <w:szCs w:val="16"/>
          <w:vertAlign w:val="superscript"/>
        </w:rPr>
        <w:footnoteRef/>
      </w:r>
      <w:r w:rsidRPr="00251481">
        <w:rPr>
          <w:sz w:val="16"/>
          <w:szCs w:val="16"/>
          <w:lang w:val="en-US"/>
        </w:rPr>
        <w:t xml:space="preserve"> The Independent Commission for Human Rights, Report on the initial report submitted by the State of Palestine on the implementation of the Convention against Torture and Other Cruel, Inhuman or Degrading Treatment or Punishment of 1984, </w:t>
      </w:r>
      <w:r w:rsidR="0059347A">
        <w:rPr>
          <w:sz w:val="16"/>
          <w:szCs w:val="16"/>
          <w:lang w:val="en-US"/>
        </w:rPr>
        <w:t xml:space="preserve">June </w:t>
      </w:r>
      <w:r w:rsidRPr="00251481">
        <w:rPr>
          <w:sz w:val="16"/>
          <w:szCs w:val="16"/>
          <w:lang w:val="en-US"/>
        </w:rPr>
        <w:t>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CA0E8" w14:textId="5AFDF959" w:rsidR="006C0540" w:rsidRDefault="00467E46">
    <w:r>
      <w:rPr>
        <w:noProof/>
      </w:rPr>
      <w:drawing>
        <wp:anchor distT="114300" distB="114300" distL="114300" distR="114300" simplePos="0" relativeHeight="251659264" behindDoc="0" locked="0" layoutInCell="1" hidden="0" allowOverlap="1" wp14:anchorId="253CDB8A" wp14:editId="3D25E6F1">
          <wp:simplePos x="0" y="0"/>
          <wp:positionH relativeFrom="page">
            <wp:posOffset>4271840</wp:posOffset>
          </wp:positionH>
          <wp:positionV relativeFrom="page">
            <wp:posOffset>337903</wp:posOffset>
          </wp:positionV>
          <wp:extent cx="1925506" cy="1169700"/>
          <wp:effectExtent l="0" t="0" r="0" b="0"/>
          <wp:wrapSquare wrapText="bothSides" distT="114300" distB="114300" distL="114300" distR="114300"/>
          <wp:docPr id="2" name="Imag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25506" cy="1169700"/>
                  </a:xfrm>
                  <a:prstGeom prst="rect">
                    <a:avLst/>
                  </a:prstGeom>
                  <a:ln/>
                </pic:spPr>
              </pic:pic>
            </a:graphicData>
          </a:graphic>
        </wp:anchor>
      </w:drawing>
    </w:r>
    <w:r>
      <w:rPr>
        <w:noProof/>
      </w:rPr>
      <w:drawing>
        <wp:anchor distT="57150" distB="57150" distL="57150" distR="57150" simplePos="0" relativeHeight="251658240" behindDoc="0" locked="0" layoutInCell="1" hidden="0" allowOverlap="1" wp14:anchorId="3BB258E4" wp14:editId="4AB712CD">
          <wp:simplePos x="0" y="0"/>
          <wp:positionH relativeFrom="page">
            <wp:posOffset>1749117</wp:posOffset>
          </wp:positionH>
          <wp:positionV relativeFrom="page">
            <wp:posOffset>416560</wp:posOffset>
          </wp:positionV>
          <wp:extent cx="2381250" cy="991415"/>
          <wp:effectExtent l="0" t="0" r="0" b="0"/>
          <wp:wrapSquare wrapText="bothSides" distT="57150" distB="57150" distL="57150" distR="57150"/>
          <wp:docPr id="1" name="Image 1"/>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b="5669"/>
                  <a:stretch>
                    <a:fillRect/>
                  </a:stretch>
                </pic:blipFill>
                <pic:spPr>
                  <a:xfrm>
                    <a:off x="0" y="0"/>
                    <a:ext cx="2381250" cy="9914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7812"/>
    <w:multiLevelType w:val="hybridMultilevel"/>
    <w:tmpl w:val="CE983A3A"/>
    <w:lvl w:ilvl="0" w:tplc="23B6732A">
      <w:start w:val="1"/>
      <w:numFmt w:val="lowerLetter"/>
      <w:pStyle w:val="Titre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8A78E7"/>
    <w:multiLevelType w:val="multilevel"/>
    <w:tmpl w:val="1E4CA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B967D2"/>
    <w:multiLevelType w:val="multilevel"/>
    <w:tmpl w:val="3AF2E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C04A44"/>
    <w:multiLevelType w:val="multilevel"/>
    <w:tmpl w:val="C316DA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B2D0EEF"/>
    <w:multiLevelType w:val="multilevel"/>
    <w:tmpl w:val="D32CBC2E"/>
    <w:lvl w:ilvl="0">
      <w:start w:val="1"/>
      <w:numFmt w:val="upperRoman"/>
      <w:pStyle w:val="Titre1"/>
      <w:lvlText w:val="%1."/>
      <w:lvlJc w:val="right"/>
      <w:pPr>
        <w:ind w:left="720" w:hanging="360"/>
      </w:pPr>
    </w:lvl>
    <w:lvl w:ilvl="1">
      <w:start w:val="2"/>
      <w:numFmt w:val="decimal"/>
      <w:isLgl/>
      <w:lvlText w:val="%1.%2"/>
      <w:lvlJc w:val="left"/>
      <w:pPr>
        <w:ind w:left="1080" w:hanging="720"/>
      </w:pPr>
      <w:rPr>
        <w:rFonts w:hint="default"/>
        <w:vertAlign w:val="baseline"/>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1443297"/>
    <w:multiLevelType w:val="multilevel"/>
    <w:tmpl w:val="157EC056"/>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341724EE"/>
    <w:multiLevelType w:val="hybridMultilevel"/>
    <w:tmpl w:val="9F46E0D6"/>
    <w:lvl w:ilvl="0" w:tplc="02F23966">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106BB3"/>
    <w:multiLevelType w:val="multilevel"/>
    <w:tmpl w:val="E3C22CB0"/>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8" w15:restartNumberingAfterBreak="0">
    <w:nsid w:val="3B352045"/>
    <w:multiLevelType w:val="multilevel"/>
    <w:tmpl w:val="62DAB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AF0D8A"/>
    <w:multiLevelType w:val="multilevel"/>
    <w:tmpl w:val="41F48B3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15:restartNumberingAfterBreak="0">
    <w:nsid w:val="43B24F66"/>
    <w:multiLevelType w:val="hybridMultilevel"/>
    <w:tmpl w:val="6A164BEC"/>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30133B"/>
    <w:multiLevelType w:val="multilevel"/>
    <w:tmpl w:val="CC56A28C"/>
    <w:lvl w:ilvl="0">
      <w:start w:val="2"/>
      <w:numFmt w:val="bullet"/>
      <w:lvlText w:val="-"/>
      <w:lvlJc w:val="left"/>
      <w:pPr>
        <w:ind w:left="720" w:hanging="360"/>
      </w:pPr>
      <w:rPr>
        <w:rFonts w:ascii="Times New Roman" w:eastAsia="Times New Roman" w:hAnsi="Times New Roman" w:cs="Times New Roman"/>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12" w15:restartNumberingAfterBreak="0">
    <w:nsid w:val="48F17CDF"/>
    <w:multiLevelType w:val="multilevel"/>
    <w:tmpl w:val="9DDA5B2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24A232B"/>
    <w:multiLevelType w:val="multilevel"/>
    <w:tmpl w:val="E766D7D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28B7250"/>
    <w:multiLevelType w:val="multilevel"/>
    <w:tmpl w:val="8BC2030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5C2C4ACD"/>
    <w:multiLevelType w:val="hybridMultilevel"/>
    <w:tmpl w:val="4CE8B5D8"/>
    <w:lvl w:ilvl="0" w:tplc="FFFFFFFF">
      <w:start w:val="1"/>
      <w:numFmt w:val="decimal"/>
      <w:lvlText w:val="1.%1"/>
      <w:lvlJc w:val="left"/>
      <w:pPr>
        <w:ind w:left="720" w:hanging="360"/>
      </w:pPr>
      <w:rPr>
        <w:rFonts w:hint="default"/>
      </w:rPr>
    </w:lvl>
    <w:lvl w:ilvl="1" w:tplc="43F6ACE0">
      <w:start w:val="1"/>
      <w:numFmt w:val="decimal"/>
      <w:lvlText w:val="1.%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0544455"/>
    <w:multiLevelType w:val="hybridMultilevel"/>
    <w:tmpl w:val="E1E250F2"/>
    <w:lvl w:ilvl="0" w:tplc="62C826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74149A"/>
    <w:multiLevelType w:val="multilevel"/>
    <w:tmpl w:val="3C2CC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5634E40"/>
    <w:multiLevelType w:val="hybridMultilevel"/>
    <w:tmpl w:val="42BCA946"/>
    <w:lvl w:ilvl="0" w:tplc="5CB4CBA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B777897"/>
    <w:multiLevelType w:val="multilevel"/>
    <w:tmpl w:val="F9DC0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FB42797"/>
    <w:multiLevelType w:val="multilevel"/>
    <w:tmpl w:val="F1B43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0D452CF"/>
    <w:multiLevelType w:val="multilevel"/>
    <w:tmpl w:val="31C84B0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2" w15:restartNumberingAfterBreak="0">
    <w:nsid w:val="719E7856"/>
    <w:multiLevelType w:val="multilevel"/>
    <w:tmpl w:val="953479D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7CD83D92"/>
    <w:multiLevelType w:val="multilevel"/>
    <w:tmpl w:val="898E7686"/>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4" w15:restartNumberingAfterBreak="0">
    <w:nsid w:val="7EC10EB6"/>
    <w:multiLevelType w:val="multilevel"/>
    <w:tmpl w:val="3D3217CE"/>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805122449">
    <w:abstractNumId w:val="3"/>
  </w:num>
  <w:num w:numId="2" w16cid:durableId="753865613">
    <w:abstractNumId w:val="23"/>
  </w:num>
  <w:num w:numId="3" w16cid:durableId="386883126">
    <w:abstractNumId w:val="24"/>
  </w:num>
  <w:num w:numId="4" w16cid:durableId="1595436845">
    <w:abstractNumId w:val="20"/>
  </w:num>
  <w:num w:numId="5" w16cid:durableId="1767925831">
    <w:abstractNumId w:val="7"/>
  </w:num>
  <w:num w:numId="6" w16cid:durableId="1398283165">
    <w:abstractNumId w:val="14"/>
  </w:num>
  <w:num w:numId="7" w16cid:durableId="81489511">
    <w:abstractNumId w:val="11"/>
  </w:num>
  <w:num w:numId="8" w16cid:durableId="1705211130">
    <w:abstractNumId w:val="5"/>
  </w:num>
  <w:num w:numId="9" w16cid:durableId="123886291">
    <w:abstractNumId w:val="17"/>
  </w:num>
  <w:num w:numId="10" w16cid:durableId="1817258976">
    <w:abstractNumId w:val="2"/>
  </w:num>
  <w:num w:numId="11" w16cid:durableId="1788812768">
    <w:abstractNumId w:val="8"/>
  </w:num>
  <w:num w:numId="12" w16cid:durableId="510030434">
    <w:abstractNumId w:val="13"/>
  </w:num>
  <w:num w:numId="13" w16cid:durableId="103354872">
    <w:abstractNumId w:val="22"/>
  </w:num>
  <w:num w:numId="14" w16cid:durableId="459229130">
    <w:abstractNumId w:val="19"/>
  </w:num>
  <w:num w:numId="15" w16cid:durableId="1874615071">
    <w:abstractNumId w:val="21"/>
  </w:num>
  <w:num w:numId="16" w16cid:durableId="415984532">
    <w:abstractNumId w:val="1"/>
  </w:num>
  <w:num w:numId="17" w16cid:durableId="1460222912">
    <w:abstractNumId w:val="9"/>
  </w:num>
  <w:num w:numId="18" w16cid:durableId="409159602">
    <w:abstractNumId w:val="12"/>
  </w:num>
  <w:num w:numId="19" w16cid:durableId="1883050345">
    <w:abstractNumId w:val="18"/>
  </w:num>
  <w:num w:numId="20" w16cid:durableId="1898395886">
    <w:abstractNumId w:val="16"/>
  </w:num>
  <w:num w:numId="21" w16cid:durableId="1917545573">
    <w:abstractNumId w:val="4"/>
  </w:num>
  <w:num w:numId="22" w16cid:durableId="1759131906">
    <w:abstractNumId w:val="6"/>
  </w:num>
  <w:num w:numId="23" w16cid:durableId="1527400036">
    <w:abstractNumId w:val="15"/>
  </w:num>
  <w:num w:numId="24" w16cid:durableId="365570218">
    <w:abstractNumId w:val="6"/>
    <w:lvlOverride w:ilvl="0">
      <w:startOverride w:val="1"/>
    </w:lvlOverride>
  </w:num>
  <w:num w:numId="25" w16cid:durableId="254023439">
    <w:abstractNumId w:val="10"/>
  </w:num>
  <w:num w:numId="26" w16cid:durableId="1491679118">
    <w:abstractNumId w:val="0"/>
  </w:num>
  <w:num w:numId="27" w16cid:durableId="55668893">
    <w:abstractNumId w:val="0"/>
  </w:num>
  <w:num w:numId="28" w16cid:durableId="571502797">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879109">
    <w:abstractNumId w:val="4"/>
    <w:lvlOverride w:ilvl="0">
      <w:startOverride w:val="2"/>
    </w:lvlOverride>
    <w:lvlOverride w:ilvl="1">
      <w:startOverride w:val="1"/>
    </w:lvlOverride>
  </w:num>
  <w:num w:numId="30" w16cid:durableId="917136411">
    <w:abstractNumId w:val="0"/>
    <w:lvlOverride w:ilvl="0">
      <w:startOverride w:val="1"/>
    </w:lvlOverride>
  </w:num>
  <w:num w:numId="31" w16cid:durableId="1910918124">
    <w:abstractNumId w:val="0"/>
    <w:lvlOverride w:ilvl="0">
      <w:startOverride w:val="1"/>
    </w:lvlOverride>
  </w:num>
  <w:num w:numId="32" w16cid:durableId="51361310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540"/>
    <w:rsid w:val="00047CEE"/>
    <w:rsid w:val="00050DC5"/>
    <w:rsid w:val="00095EBC"/>
    <w:rsid w:val="000A4DE0"/>
    <w:rsid w:val="001D3BBB"/>
    <w:rsid w:val="00234E65"/>
    <w:rsid w:val="00251481"/>
    <w:rsid w:val="003055C7"/>
    <w:rsid w:val="003815D8"/>
    <w:rsid w:val="003B780A"/>
    <w:rsid w:val="003E341D"/>
    <w:rsid w:val="003E4580"/>
    <w:rsid w:val="00413DBC"/>
    <w:rsid w:val="00467E46"/>
    <w:rsid w:val="004A5EB3"/>
    <w:rsid w:val="00502941"/>
    <w:rsid w:val="00551A3A"/>
    <w:rsid w:val="0059347A"/>
    <w:rsid w:val="00621C6C"/>
    <w:rsid w:val="006807A3"/>
    <w:rsid w:val="006B6C11"/>
    <w:rsid w:val="006C0540"/>
    <w:rsid w:val="006D60BC"/>
    <w:rsid w:val="006F0C85"/>
    <w:rsid w:val="00711F4C"/>
    <w:rsid w:val="00716002"/>
    <w:rsid w:val="007D4E2C"/>
    <w:rsid w:val="007E7A68"/>
    <w:rsid w:val="00825048"/>
    <w:rsid w:val="00893C21"/>
    <w:rsid w:val="00914E57"/>
    <w:rsid w:val="009C03B6"/>
    <w:rsid w:val="009E4F4F"/>
    <w:rsid w:val="009F019B"/>
    <w:rsid w:val="00AD73B9"/>
    <w:rsid w:val="00C04B22"/>
    <w:rsid w:val="00C47C73"/>
    <w:rsid w:val="00D05672"/>
    <w:rsid w:val="00D541F4"/>
    <w:rsid w:val="00D81150"/>
    <w:rsid w:val="00E14D47"/>
    <w:rsid w:val="00E97834"/>
    <w:rsid w:val="00F5728B"/>
    <w:rsid w:val="00FE7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5FD35"/>
  <w15:docId w15:val="{DD9F4D08-ACB3-4E7B-9044-BFF4487F8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fr" w:eastAsia="en-US" w:bidi="ar-SA"/>
      </w:rPr>
    </w:rPrDefault>
    <w:pPrDefault>
      <w:pPr>
        <w:spacing w:after="200" w:line="30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149"/>
  </w:style>
  <w:style w:type="paragraph" w:styleId="Titre1">
    <w:name w:val="heading 1"/>
    <w:basedOn w:val="Normal"/>
    <w:next w:val="Normal"/>
    <w:link w:val="Titre1Car"/>
    <w:uiPriority w:val="9"/>
    <w:qFormat/>
    <w:rsid w:val="009E4F4F"/>
    <w:pPr>
      <w:numPr>
        <w:numId w:val="21"/>
      </w:numPr>
      <w:spacing w:before="300" w:after="40"/>
      <w:ind w:left="360"/>
      <w:jc w:val="left"/>
      <w:outlineLvl w:val="0"/>
    </w:pPr>
    <w:rPr>
      <w:b/>
      <w:bCs/>
      <w:smallCaps/>
      <w:spacing w:val="5"/>
    </w:rPr>
  </w:style>
  <w:style w:type="paragraph" w:styleId="Titre2">
    <w:name w:val="heading 2"/>
    <w:basedOn w:val="Normal"/>
    <w:next w:val="Normal"/>
    <w:link w:val="Titre2Car"/>
    <w:uiPriority w:val="9"/>
    <w:unhideWhenUsed/>
    <w:qFormat/>
    <w:rsid w:val="009E4F4F"/>
    <w:pPr>
      <w:spacing w:after="0"/>
      <w:jc w:val="left"/>
      <w:outlineLvl w:val="1"/>
    </w:pPr>
    <w:rPr>
      <w:b/>
      <w:bCs/>
      <w:smallCaps/>
      <w:spacing w:val="5"/>
    </w:rPr>
  </w:style>
  <w:style w:type="paragraph" w:styleId="Titre3">
    <w:name w:val="heading 3"/>
    <w:basedOn w:val="Paragraphedeliste"/>
    <w:next w:val="Normal"/>
    <w:link w:val="Titre3Car"/>
    <w:uiPriority w:val="9"/>
    <w:unhideWhenUsed/>
    <w:qFormat/>
    <w:rsid w:val="009E4F4F"/>
    <w:pPr>
      <w:numPr>
        <w:numId w:val="27"/>
      </w:numPr>
      <w:outlineLvl w:val="2"/>
    </w:pPr>
  </w:style>
  <w:style w:type="paragraph" w:styleId="Titre4">
    <w:name w:val="heading 4"/>
    <w:basedOn w:val="Normal"/>
    <w:next w:val="Normal"/>
    <w:link w:val="Titre4Car"/>
    <w:uiPriority w:val="9"/>
    <w:unhideWhenUsed/>
    <w:qFormat/>
    <w:rsid w:val="00ED3149"/>
    <w:pPr>
      <w:spacing w:after="0"/>
      <w:jc w:val="left"/>
      <w:outlineLvl w:val="3"/>
    </w:pPr>
    <w:rPr>
      <w:i/>
      <w:iCs/>
      <w:smallCaps/>
      <w:spacing w:val="10"/>
      <w:sz w:val="22"/>
      <w:szCs w:val="22"/>
    </w:rPr>
  </w:style>
  <w:style w:type="paragraph" w:styleId="Titre5">
    <w:name w:val="heading 5"/>
    <w:basedOn w:val="Normal"/>
    <w:next w:val="Normal"/>
    <w:link w:val="Titre5Car"/>
    <w:uiPriority w:val="9"/>
    <w:semiHidden/>
    <w:unhideWhenUsed/>
    <w:qFormat/>
    <w:rsid w:val="00ED3149"/>
    <w:pPr>
      <w:spacing w:after="0"/>
      <w:jc w:val="left"/>
      <w:outlineLvl w:val="4"/>
    </w:pPr>
    <w:rPr>
      <w:smallCaps/>
      <w:color w:val="538135" w:themeColor="accent6" w:themeShade="BF"/>
      <w:spacing w:val="10"/>
      <w:sz w:val="22"/>
      <w:szCs w:val="22"/>
    </w:rPr>
  </w:style>
  <w:style w:type="paragraph" w:styleId="Titre6">
    <w:name w:val="heading 6"/>
    <w:basedOn w:val="Normal"/>
    <w:next w:val="Normal"/>
    <w:link w:val="Titre6Car"/>
    <w:uiPriority w:val="9"/>
    <w:semiHidden/>
    <w:unhideWhenUsed/>
    <w:qFormat/>
    <w:rsid w:val="00ED3149"/>
    <w:pPr>
      <w:spacing w:after="0"/>
      <w:jc w:val="left"/>
      <w:outlineLvl w:val="5"/>
    </w:pPr>
    <w:rPr>
      <w:smallCaps/>
      <w:color w:val="70AD47" w:themeColor="accent6"/>
      <w:spacing w:val="5"/>
      <w:sz w:val="22"/>
      <w:szCs w:val="22"/>
    </w:rPr>
  </w:style>
  <w:style w:type="paragraph" w:styleId="Titre7">
    <w:name w:val="heading 7"/>
    <w:basedOn w:val="Normal"/>
    <w:next w:val="Normal"/>
    <w:link w:val="Titre7Car"/>
    <w:uiPriority w:val="9"/>
    <w:semiHidden/>
    <w:unhideWhenUsed/>
    <w:qFormat/>
    <w:rsid w:val="00ED3149"/>
    <w:pPr>
      <w:spacing w:after="0"/>
      <w:jc w:val="left"/>
      <w:outlineLvl w:val="6"/>
    </w:pPr>
    <w:rPr>
      <w:b/>
      <w:bCs/>
      <w:smallCaps/>
      <w:color w:val="70AD47" w:themeColor="accent6"/>
      <w:spacing w:val="10"/>
    </w:rPr>
  </w:style>
  <w:style w:type="paragraph" w:styleId="Titre8">
    <w:name w:val="heading 8"/>
    <w:basedOn w:val="Normal"/>
    <w:next w:val="Normal"/>
    <w:link w:val="Titre8Car"/>
    <w:uiPriority w:val="9"/>
    <w:semiHidden/>
    <w:unhideWhenUsed/>
    <w:qFormat/>
    <w:rsid w:val="00ED3149"/>
    <w:pPr>
      <w:spacing w:after="0"/>
      <w:jc w:val="left"/>
      <w:outlineLvl w:val="7"/>
    </w:pPr>
    <w:rPr>
      <w:b/>
      <w:bCs/>
      <w:i/>
      <w:iCs/>
      <w:smallCaps/>
      <w:color w:val="538135" w:themeColor="accent6" w:themeShade="BF"/>
    </w:rPr>
  </w:style>
  <w:style w:type="paragraph" w:styleId="Titre9">
    <w:name w:val="heading 9"/>
    <w:basedOn w:val="Normal"/>
    <w:next w:val="Normal"/>
    <w:link w:val="Titre9Car"/>
    <w:uiPriority w:val="9"/>
    <w:semiHidden/>
    <w:unhideWhenUsed/>
    <w:qFormat/>
    <w:rsid w:val="00ED3149"/>
    <w:pPr>
      <w:spacing w:after="0"/>
      <w:jc w:val="left"/>
      <w:outlineLvl w:val="8"/>
    </w:pPr>
    <w:rPr>
      <w:b/>
      <w:bCs/>
      <w:i/>
      <w:iCs/>
      <w:smallCaps/>
      <w:color w:val="385623" w:themeColor="accent6" w:themeShade="8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link w:val="TitreCar"/>
    <w:uiPriority w:val="10"/>
    <w:qFormat/>
    <w:rsid w:val="00ED3149"/>
    <w:pPr>
      <w:pBdr>
        <w:top w:val="single" w:sz="8" w:space="1" w:color="70AD47" w:themeColor="accent6"/>
      </w:pBdr>
      <w:spacing w:after="120" w:line="240" w:lineRule="auto"/>
      <w:jc w:val="right"/>
    </w:pPr>
    <w:rPr>
      <w:smallCaps/>
      <w:color w:val="262626" w:themeColor="text1" w:themeTint="D9"/>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Paragraphedeliste">
    <w:name w:val="List Paragraph"/>
    <w:basedOn w:val="Normal"/>
    <w:uiPriority w:val="34"/>
    <w:qFormat/>
    <w:rsid w:val="000F3990"/>
    <w:pPr>
      <w:ind w:left="720"/>
      <w:contextualSpacing/>
    </w:pPr>
  </w:style>
  <w:style w:type="character" w:customStyle="1" w:styleId="Titre1Car">
    <w:name w:val="Titre 1 Car"/>
    <w:basedOn w:val="Policepardfaut"/>
    <w:link w:val="Titre1"/>
    <w:uiPriority w:val="9"/>
    <w:rsid w:val="009E4F4F"/>
    <w:rPr>
      <w:b/>
      <w:bCs/>
      <w:smallCaps/>
      <w:spacing w:val="5"/>
    </w:rPr>
  </w:style>
  <w:style w:type="character" w:customStyle="1" w:styleId="Titre2Car">
    <w:name w:val="Titre 2 Car"/>
    <w:basedOn w:val="Policepardfaut"/>
    <w:link w:val="Titre2"/>
    <w:uiPriority w:val="9"/>
    <w:rsid w:val="009E4F4F"/>
    <w:rPr>
      <w:b/>
      <w:bCs/>
      <w:smallCaps/>
      <w:spacing w:val="5"/>
    </w:rPr>
  </w:style>
  <w:style w:type="character" w:customStyle="1" w:styleId="Titre3Car">
    <w:name w:val="Titre 3 Car"/>
    <w:basedOn w:val="Policepardfaut"/>
    <w:link w:val="Titre3"/>
    <w:uiPriority w:val="9"/>
    <w:rsid w:val="009E4F4F"/>
  </w:style>
  <w:style w:type="character" w:customStyle="1" w:styleId="Titre4Car">
    <w:name w:val="Titre 4 Car"/>
    <w:basedOn w:val="Policepardfaut"/>
    <w:link w:val="Titre4"/>
    <w:uiPriority w:val="9"/>
    <w:semiHidden/>
    <w:rsid w:val="00ED3149"/>
    <w:rPr>
      <w:i/>
      <w:iCs/>
      <w:smallCaps/>
      <w:spacing w:val="10"/>
      <w:sz w:val="22"/>
      <w:szCs w:val="22"/>
    </w:rPr>
  </w:style>
  <w:style w:type="character" w:customStyle="1" w:styleId="Titre5Car">
    <w:name w:val="Titre 5 Car"/>
    <w:basedOn w:val="Policepardfaut"/>
    <w:link w:val="Titre5"/>
    <w:uiPriority w:val="9"/>
    <w:semiHidden/>
    <w:rsid w:val="00ED3149"/>
    <w:rPr>
      <w:smallCaps/>
      <w:color w:val="538135" w:themeColor="accent6" w:themeShade="BF"/>
      <w:spacing w:val="10"/>
      <w:sz w:val="22"/>
      <w:szCs w:val="22"/>
    </w:rPr>
  </w:style>
  <w:style w:type="character" w:customStyle="1" w:styleId="Titre6Car">
    <w:name w:val="Titre 6 Car"/>
    <w:basedOn w:val="Policepardfaut"/>
    <w:link w:val="Titre6"/>
    <w:uiPriority w:val="9"/>
    <w:semiHidden/>
    <w:rsid w:val="00ED3149"/>
    <w:rPr>
      <w:smallCaps/>
      <w:color w:val="70AD47" w:themeColor="accent6"/>
      <w:spacing w:val="5"/>
      <w:sz w:val="22"/>
      <w:szCs w:val="22"/>
    </w:rPr>
  </w:style>
  <w:style w:type="character" w:customStyle="1" w:styleId="Titre7Car">
    <w:name w:val="Titre 7 Car"/>
    <w:basedOn w:val="Policepardfaut"/>
    <w:link w:val="Titre7"/>
    <w:uiPriority w:val="9"/>
    <w:semiHidden/>
    <w:rsid w:val="00ED3149"/>
    <w:rPr>
      <w:b/>
      <w:bCs/>
      <w:smallCaps/>
      <w:color w:val="70AD47" w:themeColor="accent6"/>
      <w:spacing w:val="10"/>
    </w:rPr>
  </w:style>
  <w:style w:type="character" w:customStyle="1" w:styleId="Titre8Car">
    <w:name w:val="Titre 8 Car"/>
    <w:basedOn w:val="Policepardfaut"/>
    <w:link w:val="Titre8"/>
    <w:uiPriority w:val="9"/>
    <w:semiHidden/>
    <w:rsid w:val="00ED3149"/>
    <w:rPr>
      <w:b/>
      <w:bCs/>
      <w:i/>
      <w:iCs/>
      <w:smallCaps/>
      <w:color w:val="538135" w:themeColor="accent6" w:themeShade="BF"/>
    </w:rPr>
  </w:style>
  <w:style w:type="character" w:customStyle="1" w:styleId="Titre9Car">
    <w:name w:val="Titre 9 Car"/>
    <w:basedOn w:val="Policepardfaut"/>
    <w:link w:val="Titre9"/>
    <w:uiPriority w:val="9"/>
    <w:semiHidden/>
    <w:rsid w:val="00ED3149"/>
    <w:rPr>
      <w:b/>
      <w:bCs/>
      <w:i/>
      <w:iCs/>
      <w:smallCaps/>
      <w:color w:val="385623" w:themeColor="accent6" w:themeShade="80"/>
    </w:rPr>
  </w:style>
  <w:style w:type="paragraph" w:styleId="Lgende">
    <w:name w:val="caption"/>
    <w:basedOn w:val="Normal"/>
    <w:next w:val="Normal"/>
    <w:uiPriority w:val="35"/>
    <w:semiHidden/>
    <w:unhideWhenUsed/>
    <w:qFormat/>
    <w:rsid w:val="00ED3149"/>
    <w:rPr>
      <w:b/>
      <w:bCs/>
      <w:caps/>
      <w:sz w:val="16"/>
      <w:szCs w:val="16"/>
    </w:rPr>
  </w:style>
  <w:style w:type="character" w:customStyle="1" w:styleId="TitreCar">
    <w:name w:val="Titre Car"/>
    <w:basedOn w:val="Policepardfaut"/>
    <w:link w:val="Titre"/>
    <w:uiPriority w:val="10"/>
    <w:rsid w:val="00ED3149"/>
    <w:rPr>
      <w:smallCaps/>
      <w:color w:val="262626" w:themeColor="text1" w:themeTint="D9"/>
      <w:sz w:val="52"/>
      <w:szCs w:val="52"/>
    </w:rPr>
  </w:style>
  <w:style w:type="paragraph" w:styleId="Sous-titre">
    <w:name w:val="Subtitle"/>
    <w:basedOn w:val="Normal"/>
    <w:next w:val="Normal"/>
    <w:link w:val="Sous-titreCar"/>
    <w:uiPriority w:val="11"/>
    <w:qFormat/>
    <w:pPr>
      <w:spacing w:after="720" w:line="240" w:lineRule="auto"/>
      <w:jc w:val="right"/>
    </w:pPr>
    <w:rPr>
      <w:rFonts w:ascii="Calibri" w:eastAsia="Calibri" w:hAnsi="Calibri" w:cs="Calibri"/>
    </w:rPr>
  </w:style>
  <w:style w:type="character" w:customStyle="1" w:styleId="Sous-titreCar">
    <w:name w:val="Sous-titre Car"/>
    <w:basedOn w:val="Policepardfaut"/>
    <w:link w:val="Sous-titre"/>
    <w:uiPriority w:val="11"/>
    <w:rsid w:val="00ED3149"/>
    <w:rPr>
      <w:rFonts w:asciiTheme="majorHAnsi" w:eastAsiaTheme="majorEastAsia" w:hAnsiTheme="majorHAnsi" w:cstheme="majorBidi"/>
    </w:rPr>
  </w:style>
  <w:style w:type="character" w:styleId="lev">
    <w:name w:val="Strong"/>
    <w:uiPriority w:val="22"/>
    <w:qFormat/>
    <w:rsid w:val="00ED3149"/>
    <w:rPr>
      <w:b/>
      <w:bCs/>
      <w:color w:val="70AD47" w:themeColor="accent6"/>
    </w:rPr>
  </w:style>
  <w:style w:type="character" w:styleId="Accentuation">
    <w:name w:val="Emphasis"/>
    <w:uiPriority w:val="20"/>
    <w:qFormat/>
    <w:rsid w:val="00ED3149"/>
    <w:rPr>
      <w:b/>
      <w:bCs/>
      <w:i/>
      <w:iCs/>
      <w:spacing w:val="10"/>
    </w:rPr>
  </w:style>
  <w:style w:type="paragraph" w:styleId="Sansinterligne">
    <w:name w:val="No Spacing"/>
    <w:uiPriority w:val="1"/>
    <w:qFormat/>
    <w:rsid w:val="00ED3149"/>
    <w:pPr>
      <w:spacing w:after="0" w:line="240" w:lineRule="auto"/>
    </w:pPr>
  </w:style>
  <w:style w:type="paragraph" w:styleId="Citation">
    <w:name w:val="Quote"/>
    <w:basedOn w:val="Normal"/>
    <w:next w:val="Normal"/>
    <w:link w:val="CitationCar"/>
    <w:uiPriority w:val="29"/>
    <w:qFormat/>
    <w:rsid w:val="00ED3149"/>
    <w:rPr>
      <w:i/>
      <w:iCs/>
    </w:rPr>
  </w:style>
  <w:style w:type="character" w:customStyle="1" w:styleId="CitationCar">
    <w:name w:val="Citation Car"/>
    <w:basedOn w:val="Policepardfaut"/>
    <w:link w:val="Citation"/>
    <w:uiPriority w:val="29"/>
    <w:rsid w:val="00ED3149"/>
    <w:rPr>
      <w:i/>
      <w:iCs/>
    </w:rPr>
  </w:style>
  <w:style w:type="paragraph" w:styleId="Citationintense">
    <w:name w:val="Intense Quote"/>
    <w:basedOn w:val="Normal"/>
    <w:next w:val="Normal"/>
    <w:link w:val="CitationintenseCar"/>
    <w:uiPriority w:val="30"/>
    <w:qFormat/>
    <w:rsid w:val="00ED3149"/>
    <w:pPr>
      <w:pBdr>
        <w:top w:val="single" w:sz="8" w:space="1" w:color="70AD47" w:themeColor="accent6"/>
      </w:pBdr>
      <w:spacing w:before="140" w:after="140"/>
      <w:ind w:left="1440" w:right="1440"/>
    </w:pPr>
    <w:rPr>
      <w:b/>
      <w:bCs/>
      <w:i/>
      <w:iCs/>
    </w:rPr>
  </w:style>
  <w:style w:type="character" w:customStyle="1" w:styleId="CitationintenseCar">
    <w:name w:val="Citation intense Car"/>
    <w:basedOn w:val="Policepardfaut"/>
    <w:link w:val="Citationintense"/>
    <w:uiPriority w:val="30"/>
    <w:rsid w:val="00ED3149"/>
    <w:rPr>
      <w:b/>
      <w:bCs/>
      <w:i/>
      <w:iCs/>
    </w:rPr>
  </w:style>
  <w:style w:type="character" w:styleId="Accentuationlgre">
    <w:name w:val="Subtle Emphasis"/>
    <w:uiPriority w:val="19"/>
    <w:qFormat/>
    <w:rsid w:val="00ED3149"/>
    <w:rPr>
      <w:i/>
      <w:iCs/>
    </w:rPr>
  </w:style>
  <w:style w:type="character" w:styleId="Accentuationintense">
    <w:name w:val="Intense Emphasis"/>
    <w:uiPriority w:val="21"/>
    <w:qFormat/>
    <w:rsid w:val="00ED3149"/>
    <w:rPr>
      <w:b/>
      <w:bCs/>
      <w:i/>
      <w:iCs/>
      <w:color w:val="70AD47" w:themeColor="accent6"/>
      <w:spacing w:val="10"/>
    </w:rPr>
  </w:style>
  <w:style w:type="character" w:styleId="Rfrencelgre">
    <w:name w:val="Subtle Reference"/>
    <w:uiPriority w:val="31"/>
    <w:qFormat/>
    <w:rsid w:val="00ED3149"/>
    <w:rPr>
      <w:b/>
      <w:bCs/>
    </w:rPr>
  </w:style>
  <w:style w:type="character" w:styleId="Rfrenceintense">
    <w:name w:val="Intense Reference"/>
    <w:uiPriority w:val="32"/>
    <w:qFormat/>
    <w:rsid w:val="00ED3149"/>
    <w:rPr>
      <w:b/>
      <w:bCs/>
      <w:smallCaps/>
      <w:spacing w:val="5"/>
      <w:sz w:val="22"/>
      <w:szCs w:val="22"/>
      <w:u w:val="single"/>
    </w:rPr>
  </w:style>
  <w:style w:type="character" w:styleId="Titredulivre">
    <w:name w:val="Book Title"/>
    <w:uiPriority w:val="33"/>
    <w:qFormat/>
    <w:rsid w:val="00ED3149"/>
    <w:rPr>
      <w:rFonts w:asciiTheme="majorHAnsi" w:eastAsiaTheme="majorEastAsia" w:hAnsiTheme="majorHAnsi" w:cstheme="majorBidi"/>
      <w:i/>
      <w:iCs/>
      <w:sz w:val="20"/>
      <w:szCs w:val="20"/>
    </w:rPr>
  </w:style>
  <w:style w:type="paragraph" w:styleId="En-ttedetabledesmatires">
    <w:name w:val="TOC Heading"/>
    <w:basedOn w:val="Titre1"/>
    <w:next w:val="Normal"/>
    <w:uiPriority w:val="39"/>
    <w:unhideWhenUsed/>
    <w:qFormat/>
    <w:rsid w:val="00ED3149"/>
    <w:pPr>
      <w:outlineLvl w:val="9"/>
    </w:pPr>
  </w:style>
  <w:style w:type="table" w:styleId="Grilledutableau">
    <w:name w:val="Table Grid"/>
    <w:basedOn w:val="TableauNormal"/>
    <w:uiPriority w:val="39"/>
    <w:rsid w:val="00001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Objetducommentaire">
    <w:name w:val="annotation subject"/>
    <w:basedOn w:val="Commentaire"/>
    <w:next w:val="Commentaire"/>
    <w:link w:val="ObjetducommentaireCar"/>
    <w:uiPriority w:val="99"/>
    <w:semiHidden/>
    <w:unhideWhenUsed/>
    <w:rsid w:val="00093188"/>
    <w:rPr>
      <w:b/>
      <w:bCs/>
    </w:rPr>
  </w:style>
  <w:style w:type="character" w:customStyle="1" w:styleId="ObjetducommentaireCar">
    <w:name w:val="Objet du commentaire Car"/>
    <w:basedOn w:val="CommentaireCar"/>
    <w:link w:val="Objetducommentaire"/>
    <w:uiPriority w:val="99"/>
    <w:semiHidden/>
    <w:rsid w:val="00093188"/>
    <w:rPr>
      <w:b/>
      <w:bCs/>
      <w:sz w:val="20"/>
      <w:szCs w:val="20"/>
    </w:rPr>
  </w:style>
  <w:style w:type="paragraph" w:styleId="Rvision">
    <w:name w:val="Revision"/>
    <w:hidden/>
    <w:uiPriority w:val="99"/>
    <w:semiHidden/>
    <w:rsid w:val="00093188"/>
    <w:pPr>
      <w:spacing w:after="0" w:line="240" w:lineRule="auto"/>
      <w:jc w:val="left"/>
    </w:p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paragraph" w:styleId="TM2">
    <w:name w:val="toc 2"/>
    <w:basedOn w:val="Normal"/>
    <w:next w:val="Normal"/>
    <w:autoRedefine/>
    <w:uiPriority w:val="39"/>
    <w:unhideWhenUsed/>
    <w:rsid w:val="00621C6C"/>
    <w:pPr>
      <w:spacing w:after="100" w:line="259" w:lineRule="auto"/>
      <w:ind w:left="220"/>
      <w:jc w:val="left"/>
    </w:pPr>
    <w:rPr>
      <w:rFonts w:asciiTheme="minorHAnsi" w:eastAsiaTheme="minorEastAsia" w:hAnsiTheme="minorHAnsi"/>
      <w:sz w:val="22"/>
      <w:szCs w:val="22"/>
      <w:lang w:val="en-US"/>
    </w:rPr>
  </w:style>
  <w:style w:type="paragraph" w:styleId="TM1">
    <w:name w:val="toc 1"/>
    <w:basedOn w:val="Normal"/>
    <w:next w:val="Normal"/>
    <w:autoRedefine/>
    <w:uiPriority w:val="39"/>
    <w:unhideWhenUsed/>
    <w:rsid w:val="00621C6C"/>
    <w:pPr>
      <w:spacing w:after="100" w:line="259" w:lineRule="auto"/>
      <w:jc w:val="left"/>
    </w:pPr>
    <w:rPr>
      <w:rFonts w:asciiTheme="minorHAnsi" w:eastAsiaTheme="minorEastAsia" w:hAnsiTheme="minorHAnsi"/>
      <w:sz w:val="22"/>
      <w:szCs w:val="22"/>
      <w:lang w:val="en-US"/>
    </w:rPr>
  </w:style>
  <w:style w:type="paragraph" w:styleId="TM3">
    <w:name w:val="toc 3"/>
    <w:basedOn w:val="Normal"/>
    <w:next w:val="Normal"/>
    <w:autoRedefine/>
    <w:uiPriority w:val="39"/>
    <w:unhideWhenUsed/>
    <w:rsid w:val="00621C6C"/>
    <w:pPr>
      <w:spacing w:after="100" w:line="259" w:lineRule="auto"/>
      <w:ind w:left="440"/>
      <w:jc w:val="left"/>
    </w:pPr>
    <w:rPr>
      <w:rFonts w:asciiTheme="minorHAnsi" w:eastAsiaTheme="minorEastAsia" w:hAnsiTheme="minorHAnsi"/>
      <w:sz w:val="22"/>
      <w:szCs w:val="22"/>
      <w:lang w:val="en-US"/>
    </w:rPr>
  </w:style>
  <w:style w:type="character" w:styleId="Lienhypertexte">
    <w:name w:val="Hyperlink"/>
    <w:basedOn w:val="Policepardfaut"/>
    <w:uiPriority w:val="99"/>
    <w:unhideWhenUsed/>
    <w:rsid w:val="00621C6C"/>
    <w:rPr>
      <w:color w:val="0563C1" w:themeColor="hyperlink"/>
      <w:u w:val="single"/>
    </w:rPr>
  </w:style>
  <w:style w:type="character" w:styleId="Mentionnonrsolue">
    <w:name w:val="Unresolved Mention"/>
    <w:basedOn w:val="Policepardfaut"/>
    <w:uiPriority w:val="99"/>
    <w:semiHidden/>
    <w:unhideWhenUsed/>
    <w:rsid w:val="00716002"/>
    <w:rPr>
      <w:color w:val="605E5C"/>
      <w:shd w:val="clear" w:color="auto" w:fill="E1DFDD"/>
    </w:rPr>
  </w:style>
  <w:style w:type="character" w:styleId="Lienhypertextesuivivisit">
    <w:name w:val="FollowedHyperlink"/>
    <w:basedOn w:val="Policepardfaut"/>
    <w:uiPriority w:val="99"/>
    <w:semiHidden/>
    <w:unhideWhenUsed/>
    <w:rsid w:val="00C47C73"/>
    <w:rPr>
      <w:color w:val="954F72" w:themeColor="followedHyperlink"/>
      <w:u w:val="single"/>
    </w:rPr>
  </w:style>
  <w:style w:type="paragraph" w:styleId="En-tte">
    <w:name w:val="header"/>
    <w:basedOn w:val="Normal"/>
    <w:link w:val="En-tteCar"/>
    <w:uiPriority w:val="99"/>
    <w:unhideWhenUsed/>
    <w:rsid w:val="00467E46"/>
    <w:pPr>
      <w:tabs>
        <w:tab w:val="center" w:pos="4536"/>
        <w:tab w:val="right" w:pos="9072"/>
      </w:tabs>
      <w:spacing w:after="0" w:line="240" w:lineRule="auto"/>
    </w:pPr>
  </w:style>
  <w:style w:type="character" w:customStyle="1" w:styleId="En-tteCar">
    <w:name w:val="En-tête Car"/>
    <w:basedOn w:val="Policepardfaut"/>
    <w:link w:val="En-tte"/>
    <w:uiPriority w:val="99"/>
    <w:rsid w:val="00467E46"/>
  </w:style>
  <w:style w:type="paragraph" w:styleId="Pieddepage">
    <w:name w:val="footer"/>
    <w:basedOn w:val="Normal"/>
    <w:link w:val="PieddepageCar"/>
    <w:uiPriority w:val="99"/>
    <w:unhideWhenUsed/>
    <w:rsid w:val="00467E4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67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araj.com/94966/" TargetMode="External"/><Relationship Id="rId13" Type="http://schemas.openxmlformats.org/officeDocument/2006/relationships/hyperlink" Target="https://pchrgaza.org/en/palestinian-president-undermines-judiciary-independence/" TargetMode="External"/><Relationship Id="rId18" Type="http://schemas.openxmlformats.org/officeDocument/2006/relationships/hyperlink" Target="https://pchrgaza.org/en/military-court-in-gaza-issues-2-death-sentences-against-2-persons-including-civilian-convicted-of-collaborating-with-occupation/" TargetMode="External"/><Relationship Id="rId26" Type="http://schemas.openxmlformats.org/officeDocument/2006/relationships/hyperlink" Target="https://legal-agenda.com/%D8%A7%D9%84%D9%85%D8%AD%D8%A7%D9%83%D9%85-%D8%A7%D9%84%D8%B9%D8%B3%D9%83%D8%B1%D9%8A%D8%A9-%D9%81%D9%8A-%D8%A7%D9%84%D8%AA%D8%AC%D8%B1%D8%A8%D8%A9-%D8%A7%D9%84%D9%81%D9%84%D8%B3%D8%B7%D9%8A%D9%86/" TargetMode="External"/><Relationship Id="rId3" Type="http://schemas.openxmlformats.org/officeDocument/2006/relationships/hyperlink" Target="https://pchrgaza.org/en/gaza-military-court-issues-two-death-sentences-pchr-calls-upon-the-authorities-to-end-this-inhuman-penalty/" TargetMode="External"/><Relationship Id="rId21" Type="http://schemas.openxmlformats.org/officeDocument/2006/relationships/hyperlink" Target="https://www.ohchr.org/en/statements/2022/09/comment-un-human-rights-office-spokesperson-ravina-shamdasani-execution-five" TargetMode="External"/><Relationship Id="rId7" Type="http://schemas.openxmlformats.org/officeDocument/2006/relationships/hyperlink" Target="https://pchrgaza.org/en/gaza-military-court-issues-two-death-sentences-pchr-calls-upon-the-authorities-to-end-this-inhuman-penalty/" TargetMode="External"/><Relationship Id="rId12" Type="http://schemas.openxmlformats.org/officeDocument/2006/relationships/hyperlink" Target="https://www.middleeasteye.net/news/palestine-lawyers-judicial-independence-authority-decrees" TargetMode="External"/><Relationship Id="rId17" Type="http://schemas.openxmlformats.org/officeDocument/2006/relationships/hyperlink" Target="https://maqam.najah.edu/legislation/11/" TargetMode="External"/><Relationship Id="rId25" Type="http://schemas.openxmlformats.org/officeDocument/2006/relationships/hyperlink" Target="https://maqam.najah.edu/legislation/11/" TargetMode="External"/><Relationship Id="rId2" Type="http://schemas.openxmlformats.org/officeDocument/2006/relationships/hyperlink" Target="https://www.ohchr.org/en/statements/2022/09/comment-un-human-rights-office-spokesperson-ravina-shamdasani-execution-five" TargetMode="External"/><Relationship Id="rId16" Type="http://schemas.openxmlformats.org/officeDocument/2006/relationships/hyperlink" Target="https://pchrgaza.org/en/palestinian-president-undermines-judiciary-independence/" TargetMode="External"/><Relationship Id="rId20" Type="http://schemas.openxmlformats.org/officeDocument/2006/relationships/hyperlink" Target="https://www.almanar.com.lb/9920528" TargetMode="External"/><Relationship Id="rId29" Type="http://schemas.openxmlformats.org/officeDocument/2006/relationships/hyperlink" Target="https://www.amnesty.org/fr/location/middle-east-and-north-africa/palestine-state-of/report-palestine-state-of/" TargetMode="External"/><Relationship Id="rId1" Type="http://schemas.openxmlformats.org/officeDocument/2006/relationships/hyperlink" Target="https://maqam.najah.edu/legislation/11/" TargetMode="External"/><Relationship Id="rId6" Type="http://schemas.openxmlformats.org/officeDocument/2006/relationships/hyperlink" Target="https://pchrgaza.org/en/in-violation-of-palestines-international-obligations-5-death-sentences-executed-in-gaza-strip/" TargetMode="External"/><Relationship Id="rId11" Type="http://schemas.openxmlformats.org/officeDocument/2006/relationships/hyperlink" Target="https://ecfr.eu/special/mapping_palestinian_politics/high_judicial_council/" TargetMode="External"/><Relationship Id="rId24" Type="http://schemas.openxmlformats.org/officeDocument/2006/relationships/hyperlink" Target="https://maqam.najah.edu/legislation/955/" TargetMode="External"/><Relationship Id="rId32" Type="http://schemas.openxmlformats.org/officeDocument/2006/relationships/hyperlink" Target="https://www.alhaq.org/advocacy/20052.html" TargetMode="External"/><Relationship Id="rId5" Type="http://schemas.openxmlformats.org/officeDocument/2006/relationships/hyperlink" Target="https://maqam.najah.edu/legislation/11/" TargetMode="External"/><Relationship Id="rId15" Type="http://schemas.openxmlformats.org/officeDocument/2006/relationships/hyperlink" Target="https://pchrgaza.org/ar/%d9%84%d9%85%d8%ae%d8%a7%d9%84%d9%81%d8%aa%d9%87-%d8%a7%d9%84%d9%82%d8%a7%d9%86%d9%88%d9%86-%d8%a7%d9%84%d8%a3%d8%b3%d8%a7%d8%b3%d9%8a-%d8%a7%d9%84%d9%81%d9%84%d8%b3%d8%b7%d9%8a%d9%86%d9%8a-%d8%a7" TargetMode="External"/><Relationship Id="rId23" Type="http://schemas.openxmlformats.org/officeDocument/2006/relationships/hyperlink" Target="https://www.btselem.org/inter_palestinian_violations/death_penalty_statistics" TargetMode="External"/><Relationship Id="rId28" Type="http://schemas.openxmlformats.org/officeDocument/2006/relationships/hyperlink" Target="https://www.amnesty.org/en/wp-content/uploads/sites/8/2022/05/ACT5054182022FRENCH.pdf" TargetMode="External"/><Relationship Id="rId10" Type="http://schemas.openxmlformats.org/officeDocument/2006/relationships/hyperlink" Target="https://www.prison-insider.com/en/articles/palestine-death-penalty-in-a-forgotten-country" TargetMode="External"/><Relationship Id="rId19" Type="http://schemas.openxmlformats.org/officeDocument/2006/relationships/hyperlink" Target="https://www.btselem.org/inter_palestinian_violations/death_penalty_statistics" TargetMode="External"/><Relationship Id="rId31" Type="http://schemas.openxmlformats.org/officeDocument/2006/relationships/hyperlink" Target="https://pchrgaza.org/en/gaza-military-court-issues-two-death-sentences-pchr-calls-upon-the-authorities-to-end-this-inhuman-penalty/" TargetMode="External"/><Relationship Id="rId4" Type="http://schemas.openxmlformats.org/officeDocument/2006/relationships/hyperlink" Target="https://pchrgaza.org/en/gaza-military-court-issues-two-death-sentences-pchr-calls-upon-the-authorities-to-end-this-inhuman-penalty/" TargetMode="External"/><Relationship Id="rId9" Type="http://schemas.openxmlformats.org/officeDocument/2006/relationships/hyperlink" Target="https://www.prison-insider.com/en/articles/palestine-death-penalty-in-a-forgotten-country" TargetMode="External"/><Relationship Id="rId14" Type="http://schemas.openxmlformats.org/officeDocument/2006/relationships/hyperlink" Target="https://www.aljazeera.com/news/2005/10/14/palestinian-judge-quits-over-new-law" TargetMode="External"/><Relationship Id="rId22" Type="http://schemas.openxmlformats.org/officeDocument/2006/relationships/hyperlink" Target="https://maqam.najah.edu/legislation/20/" TargetMode="External"/><Relationship Id="rId27" Type="http://schemas.openxmlformats.org/officeDocument/2006/relationships/hyperlink" Target="https://www.al-monitor.com/originals/2021/11/drug-dealers-gaza-risk-hamas-military-trials" TargetMode="External"/><Relationship Id="rId30" Type="http://schemas.openxmlformats.org/officeDocument/2006/relationships/hyperlink" Target="https://pchrgaza.org/en/in-summary-trial-gaza-military-court-issues-death-sentence-and-pchr-expresses-its-concern-over-continued-use-of-this-penalt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lfV77GGt0Mzovl5W/+9FfOUFCOA==">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</go:docsCustomData>
</go:gDocsCustomXmlDataStorage>
</file>

<file path=customXml/itemProps1.xml><?xml version="1.0" encoding="utf-8"?>
<ds:datastoreItem xmlns:ds="http://schemas.openxmlformats.org/officeDocument/2006/customXml" ds:itemID="{E59C887E-788B-40B5-8E5C-89D62C17F02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20</Pages>
  <Words>7792</Words>
  <Characters>42858</Characters>
  <Application>Microsoft Office Word</Application>
  <DocSecurity>0</DocSecurity>
  <Lines>357</Lines>
  <Paragraphs>101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Sorenza Bangaya</dc:creator>
  <cp:lastModifiedBy>Microsoft Office User</cp:lastModifiedBy>
  <cp:revision>34</cp:revision>
  <dcterms:created xsi:type="dcterms:W3CDTF">2023-05-16T14:07:00Z</dcterms:created>
  <dcterms:modified xsi:type="dcterms:W3CDTF">2023-05-16T14:58:00Z</dcterms:modified>
</cp:coreProperties>
</file>