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13E4A" w14:textId="7254A17F" w:rsidR="00F7786D" w:rsidRPr="00144D00" w:rsidRDefault="00F7786D" w:rsidP="00144D00">
      <w:pPr>
        <w:pStyle w:val="Heading1"/>
        <w:jc w:val="center"/>
        <w:rPr>
          <w:rFonts w:asciiTheme="majorBidi" w:hAnsiTheme="majorBidi" w:cstheme="majorBidi"/>
          <w:sz w:val="36"/>
          <w:szCs w:val="36"/>
        </w:rPr>
      </w:pPr>
      <w:r w:rsidRPr="00144D00">
        <w:rPr>
          <w:rFonts w:asciiTheme="majorBidi" w:hAnsiTheme="majorBidi" w:cstheme="majorBidi"/>
          <w:sz w:val="36"/>
          <w:szCs w:val="36"/>
        </w:rPr>
        <w:t xml:space="preserve">Report of International Alliance for Peace and Development to </w:t>
      </w:r>
      <w:bookmarkStart w:id="0" w:name="OLE_LINK198"/>
      <w:r w:rsidRPr="00144D00">
        <w:rPr>
          <w:rFonts w:asciiTheme="majorBidi" w:hAnsiTheme="majorBidi" w:cstheme="majorBidi"/>
          <w:sz w:val="36"/>
          <w:szCs w:val="36"/>
        </w:rPr>
        <w:t xml:space="preserve">Committee </w:t>
      </w:r>
      <w:bookmarkEnd w:id="0"/>
      <w:r w:rsidRPr="00144D00">
        <w:rPr>
          <w:rFonts w:asciiTheme="majorBidi" w:hAnsiTheme="majorBidi" w:cstheme="majorBidi"/>
          <w:sz w:val="36"/>
          <w:szCs w:val="36"/>
        </w:rPr>
        <w:t xml:space="preserve">on </w:t>
      </w:r>
      <w:r w:rsidR="00144D00" w:rsidRPr="00144D00">
        <w:rPr>
          <w:rFonts w:asciiTheme="majorBidi" w:hAnsiTheme="majorBidi" w:cstheme="majorBidi"/>
          <w:sz w:val="36"/>
          <w:szCs w:val="36"/>
        </w:rPr>
        <w:t xml:space="preserve">The </w:t>
      </w:r>
      <w:r w:rsidRPr="00144D00">
        <w:rPr>
          <w:rFonts w:asciiTheme="majorBidi" w:hAnsiTheme="majorBidi" w:cstheme="majorBidi"/>
          <w:sz w:val="36"/>
          <w:szCs w:val="36"/>
        </w:rPr>
        <w:t xml:space="preserve">Rights of </w:t>
      </w:r>
      <w:r w:rsidR="00144D00" w:rsidRPr="00144D00">
        <w:rPr>
          <w:rFonts w:asciiTheme="majorBidi" w:hAnsiTheme="majorBidi" w:cstheme="majorBidi"/>
          <w:sz w:val="36"/>
          <w:szCs w:val="36"/>
        </w:rPr>
        <w:t xml:space="preserve">The </w:t>
      </w:r>
      <w:r w:rsidRPr="00144D00">
        <w:rPr>
          <w:rFonts w:asciiTheme="majorBidi" w:hAnsiTheme="majorBidi" w:cstheme="majorBidi"/>
          <w:sz w:val="36"/>
          <w:szCs w:val="36"/>
        </w:rPr>
        <w:t xml:space="preserve">Child on </w:t>
      </w:r>
      <w:r w:rsidRPr="00144D00">
        <w:rPr>
          <w:rFonts w:asciiTheme="majorBidi" w:hAnsiTheme="majorBidi" w:cstheme="majorBidi"/>
          <w:color w:val="2E74B5" w:themeColor="accent5" w:themeShade="BF"/>
          <w:sz w:val="36"/>
          <w:szCs w:val="36"/>
        </w:rPr>
        <w:t>Norway</w:t>
      </w:r>
    </w:p>
    <w:p w14:paraId="72FF804F" w14:textId="77777777" w:rsidR="00F7786D" w:rsidRPr="00144D00" w:rsidRDefault="00F7786D" w:rsidP="00F7786D">
      <w:pPr>
        <w:jc w:val="both"/>
        <w:rPr>
          <w:rFonts w:asciiTheme="majorBidi" w:hAnsiTheme="majorBidi" w:cstheme="majorBidi"/>
        </w:rPr>
      </w:pPr>
      <w:r w:rsidRPr="00144D00">
        <w:rPr>
          <w:rFonts w:asciiTheme="majorBidi" w:hAnsiTheme="majorBidi" w:cstheme="majorBidi"/>
        </w:rPr>
        <w:t>International Alliance for Peace and Development (IAPD) submits this report to the Committee on the Rights of the Child in advance of Norway review. IAPD hopes that the information contained in this report will assist Committee during its evaluation of the State. The report aims to assess Norway’s compliance with certain provisions of the Convention on the Rights of the Child, particularly regarding the commitments undertaken by the Government to implement articles related to the definition of the child, ensuring equality and non-discrimination, and achieving the best interests of the child. It also addresses the protection of refugee children and children with disabilities. Furthermore, IAPD seeks to provide practical recommendations aimed at strengthening the protection of children’s rights and ensuring that legal obligations are translated into tangible realities that safeguard all children without exception.</w:t>
      </w:r>
    </w:p>
    <w:p w14:paraId="4EEA5853" w14:textId="77777777"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Definition of the Child (Article 1)</w:t>
      </w:r>
    </w:p>
    <w:p w14:paraId="0F4B4B49" w14:textId="021264D3" w:rsidR="00F7786D" w:rsidRPr="00144D00" w:rsidRDefault="00F7786D" w:rsidP="00144D00">
      <w:pPr>
        <w:jc w:val="both"/>
        <w:rPr>
          <w:rFonts w:asciiTheme="majorBidi" w:hAnsiTheme="majorBidi" w:cstheme="majorBidi"/>
        </w:rPr>
      </w:pPr>
      <w:r w:rsidRPr="00144D00">
        <w:rPr>
          <w:rFonts w:asciiTheme="majorBidi" w:hAnsiTheme="majorBidi" w:cstheme="majorBidi"/>
        </w:rPr>
        <w:t>According to Norwegian law, a child is defined as any person under the age of 18. This definition carries various legal obligations; however, IAPD</w:t>
      </w:r>
      <w:r w:rsidRPr="00144D00">
        <w:rPr>
          <w:rStyle w:val="FootnoteReference"/>
          <w:rFonts w:asciiTheme="majorBidi" w:hAnsiTheme="majorBidi" w:cstheme="majorBidi"/>
        </w:rPr>
        <w:footnoteReference w:id="1"/>
      </w:r>
      <w:r w:rsidRPr="00144D00">
        <w:rPr>
          <w:rFonts w:asciiTheme="majorBidi" w:hAnsiTheme="majorBidi" w:cstheme="majorBidi"/>
        </w:rPr>
        <w:t xml:space="preserve"> has noted some exceptions. Reports indicate that children may be permitted to marry before reaching the legal age if they obtain the consent of their parents or the county governor. Although such cases occur infrequently,</w:t>
      </w:r>
      <w:r w:rsidRPr="00144D00">
        <w:rPr>
          <w:rStyle w:val="FootnoteReference"/>
          <w:rFonts w:asciiTheme="majorBidi" w:hAnsiTheme="majorBidi" w:cstheme="majorBidi"/>
        </w:rPr>
        <w:footnoteReference w:id="2"/>
      </w:r>
      <w:r w:rsidRPr="00144D00">
        <w:rPr>
          <w:rFonts w:asciiTheme="majorBidi" w:hAnsiTheme="majorBidi" w:cstheme="majorBidi"/>
        </w:rPr>
        <w:t xml:space="preserve"> there remains a need for their elimination. Additionally, while the legal age of adulthood is 18, criminal responsibility begins at age 15, resulting in children being detained in specialized youth </w:t>
      </w:r>
      <w:r w:rsidR="00144D00" w:rsidRPr="00144D00">
        <w:rPr>
          <w:rFonts w:asciiTheme="majorBidi" w:hAnsiTheme="majorBidi" w:cstheme="majorBidi"/>
        </w:rPr>
        <w:t>centers</w:t>
      </w:r>
      <w:r w:rsidRPr="00144D00">
        <w:rPr>
          <w:rFonts w:asciiTheme="majorBidi" w:hAnsiTheme="majorBidi" w:cstheme="majorBidi"/>
        </w:rPr>
        <w:t xml:space="preserve"> for periods ranging from 4 to 12 weeks. Notably, children as young as 15 are tried in the same courts as adults.</w:t>
      </w:r>
      <w:r w:rsidRPr="00144D00">
        <w:rPr>
          <w:rStyle w:val="FootnoteReference"/>
          <w:rFonts w:asciiTheme="majorBidi" w:hAnsiTheme="majorBidi" w:cstheme="majorBidi"/>
        </w:rPr>
        <w:footnoteReference w:id="3"/>
      </w:r>
    </w:p>
    <w:p w14:paraId="5693EEE8" w14:textId="77777777"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Non-Discrimination (Article 2)</w:t>
      </w:r>
    </w:p>
    <w:p w14:paraId="04412DC0" w14:textId="77777777" w:rsidR="00F7786D" w:rsidRPr="00144D00" w:rsidRDefault="00F7786D" w:rsidP="00144D00">
      <w:pPr>
        <w:jc w:val="both"/>
        <w:rPr>
          <w:rFonts w:asciiTheme="majorBidi" w:hAnsiTheme="majorBidi" w:cstheme="majorBidi"/>
        </w:rPr>
      </w:pPr>
      <w:r w:rsidRPr="00144D00">
        <w:rPr>
          <w:rFonts w:asciiTheme="majorBidi" w:hAnsiTheme="majorBidi" w:cstheme="majorBidi"/>
        </w:rPr>
        <w:t>IAPD acknowledges the various measures outlined in Norway's report to combat discrimination among children, including the government’s efforts to develop an action plan addressing issues faced by the Sami people and support for the Stop Hate Speech movement. However, IAPD believes these measures are insufficient, as reports indicate that Sami children, who are indigenous to Norway, as well as children from minority backgrounds, continue to experience racism and hate speech. Additionally, IAPD has gathered information indicating that these children suffer from various forms of violence, including assault, neglect, sexual exploitation, and online abuse. Sami children</w:t>
      </w:r>
      <w:proofErr w:type="gramStart"/>
      <w:r w:rsidRPr="00144D00">
        <w:rPr>
          <w:rFonts w:asciiTheme="majorBidi" w:hAnsiTheme="majorBidi" w:cstheme="majorBidi"/>
        </w:rPr>
        <w:t>, in particular, face</w:t>
      </w:r>
      <w:proofErr w:type="gramEnd"/>
      <w:r w:rsidRPr="00144D00">
        <w:rPr>
          <w:rFonts w:asciiTheme="majorBidi" w:hAnsiTheme="majorBidi" w:cstheme="majorBidi"/>
        </w:rPr>
        <w:t xml:space="preserve"> systemic bullying and discrimination in schools, impacting their identity and leading to a lack of self-confidence. As a result of these discriminatory practices, many Sami children feel compelled to conceal their cultural identity and native language to avoid further harassment.</w:t>
      </w:r>
    </w:p>
    <w:p w14:paraId="5384CEB4" w14:textId="77777777" w:rsidR="00F7786D" w:rsidRPr="00144D00" w:rsidRDefault="00F7786D" w:rsidP="00144D00">
      <w:pPr>
        <w:jc w:val="both"/>
        <w:rPr>
          <w:rFonts w:asciiTheme="majorBidi" w:hAnsiTheme="majorBidi" w:cstheme="majorBidi"/>
        </w:rPr>
      </w:pPr>
      <w:r w:rsidRPr="00144D00">
        <w:rPr>
          <w:rFonts w:asciiTheme="majorBidi" w:hAnsiTheme="majorBidi" w:cstheme="majorBidi"/>
        </w:rPr>
        <w:t>In a similar vein, children of African descent encounter</w:t>
      </w:r>
      <w:r w:rsidRPr="00144D00">
        <w:rPr>
          <w:rStyle w:val="FootnoteReference"/>
          <w:rFonts w:asciiTheme="majorBidi" w:hAnsiTheme="majorBidi" w:cstheme="majorBidi"/>
        </w:rPr>
        <w:footnoteReference w:id="4"/>
      </w:r>
      <w:r w:rsidRPr="00144D00">
        <w:rPr>
          <w:rFonts w:asciiTheme="majorBidi" w:hAnsiTheme="majorBidi" w:cstheme="majorBidi"/>
        </w:rPr>
        <w:t xml:space="preserve"> comparable challenges, facing discrimination in critical areas such as education and social care. One prominent example of this discrimination is the forced removal policies enacted by the child welfare agency "</w:t>
      </w:r>
      <w:proofErr w:type="spellStart"/>
      <w:r w:rsidRPr="00144D00">
        <w:rPr>
          <w:rFonts w:asciiTheme="majorBidi" w:hAnsiTheme="majorBidi" w:cstheme="majorBidi"/>
        </w:rPr>
        <w:t>Barnevernet</w:t>
      </w:r>
      <w:proofErr w:type="spellEnd"/>
      <w:r w:rsidRPr="00144D00">
        <w:rPr>
          <w:rFonts w:asciiTheme="majorBidi" w:hAnsiTheme="majorBidi" w:cstheme="majorBidi"/>
        </w:rPr>
        <w:t xml:space="preserve">," which may violate the best interests of these children. Cases of removal from their families often occur under harsh and inadequately justified circumstances, leading to psychological trauma and heightened feelings of isolation and fear within their new communities. This systematic </w:t>
      </w:r>
      <w:r w:rsidRPr="00144D00">
        <w:rPr>
          <w:rFonts w:asciiTheme="majorBidi" w:hAnsiTheme="majorBidi" w:cstheme="majorBidi"/>
        </w:rPr>
        <w:lastRenderedPageBreak/>
        <w:t xml:space="preserve">discrimination results in unequal access to basic services and educational opportunities, constituting a clear violation of fundamental rights and hindering the ability of affected individuals to integrate and succeed in Norwegian society. </w:t>
      </w:r>
    </w:p>
    <w:p w14:paraId="28FAB2D2" w14:textId="77777777" w:rsidR="00F7786D" w:rsidRPr="00144D00" w:rsidRDefault="00F7786D" w:rsidP="00144D00">
      <w:pPr>
        <w:jc w:val="both"/>
        <w:rPr>
          <w:rFonts w:asciiTheme="majorBidi" w:hAnsiTheme="majorBidi" w:cstheme="majorBidi"/>
        </w:rPr>
      </w:pPr>
      <w:r w:rsidRPr="00144D00">
        <w:rPr>
          <w:rFonts w:asciiTheme="majorBidi" w:hAnsiTheme="majorBidi" w:cstheme="majorBidi"/>
        </w:rPr>
        <w:t>Additionally, IAPD notes the prevalence of “everyday racism” in Norway, a phenomenon increasingly impacting the lives of children and their families. A recent survey conducted in 2024 revealed that 47% of Norwegians believe that everyday racism is widespread in the country.</w:t>
      </w:r>
      <w:r w:rsidRPr="00144D00">
        <w:rPr>
          <w:rStyle w:val="FootnoteReference"/>
          <w:rFonts w:asciiTheme="majorBidi" w:hAnsiTheme="majorBidi" w:cstheme="majorBidi"/>
        </w:rPr>
        <w:footnoteReference w:id="5"/>
      </w:r>
      <w:r w:rsidRPr="00144D00">
        <w:rPr>
          <w:rFonts w:asciiTheme="majorBidi" w:hAnsiTheme="majorBidi" w:cstheme="majorBidi"/>
        </w:rPr>
        <w:t xml:space="preserve"> This high percentage indicates a structural problem that requires radical interventions for resolution. One notable incident illustrating the impact of everyday racism involved a man of Sri Lankan origin, adopted by a Norwegian family, who was subjected to a racist comment containing offensive phrases while he was with his children in a shopping mall. Although this incident may seem minor, it reflects a broader and more serious reality where children and their families face discrimination and social rejection daily.</w:t>
      </w:r>
      <w:r w:rsidRPr="00144D00">
        <w:rPr>
          <w:rStyle w:val="FootnoteReference"/>
          <w:rFonts w:asciiTheme="majorBidi" w:hAnsiTheme="majorBidi" w:cstheme="majorBidi"/>
        </w:rPr>
        <w:footnoteReference w:id="6"/>
      </w:r>
    </w:p>
    <w:p w14:paraId="34AAFD8E" w14:textId="77777777" w:rsidR="00F7786D" w:rsidRPr="00144D00" w:rsidRDefault="00F7786D" w:rsidP="00144D00">
      <w:pPr>
        <w:jc w:val="both"/>
        <w:rPr>
          <w:rFonts w:asciiTheme="majorBidi" w:hAnsiTheme="majorBidi" w:cstheme="majorBidi"/>
        </w:rPr>
      </w:pPr>
      <w:r w:rsidRPr="00144D00">
        <w:rPr>
          <w:rFonts w:asciiTheme="majorBidi" w:hAnsiTheme="majorBidi" w:cstheme="majorBidi"/>
        </w:rPr>
        <w:t>Norway permits children fleeing the war in Ukraine to obtain temporary collective protection, meaning that the Norwegian immigration authorities provide protection to displaced persons from Ukraine and their families without individual assessments. However, this temporary protection is not extended to refugee children from other countries, highlighting another example of discrimination against children.</w:t>
      </w:r>
    </w:p>
    <w:p w14:paraId="1ECDED35" w14:textId="77777777"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Best Interests of Child (Article 3)</w:t>
      </w:r>
    </w:p>
    <w:p w14:paraId="5D11BBB5" w14:textId="77777777" w:rsidR="00F7786D" w:rsidRPr="00144D00" w:rsidRDefault="00F7786D" w:rsidP="00144D00">
      <w:pPr>
        <w:jc w:val="both"/>
        <w:rPr>
          <w:rFonts w:asciiTheme="majorBidi" w:hAnsiTheme="majorBidi" w:cstheme="majorBidi"/>
        </w:rPr>
      </w:pPr>
      <w:r w:rsidRPr="00144D00">
        <w:rPr>
          <w:rFonts w:asciiTheme="majorBidi" w:hAnsiTheme="majorBidi" w:cstheme="majorBidi"/>
        </w:rPr>
        <w:t>IAPD acknowledges Norway's efforts to uphold the principle of the best interests of the child, including a proposal from the Norwegian government to Parliament to incorporate this principle into the Police Act, prioritizing it in police actions affecting or targeting children. Although this principle is enshrined in most Norwegian legislation, it is not a fundamental tenet of the Public Administration Act. Under the Convention, Norway is obligated not to separate children from their parents unless such separation is necessary for the child's best interests and if the parents are unable to provide appropriate care. However, IAPD has noted violations by Norwegian authorities that contravene this principle. These include the removal and separation of children from minority communities, immigrants, and individuals of African descent from their families, with placements in childcare services made without adequate consideration of the children’s cultural backgrounds and family preferences.</w:t>
      </w:r>
      <w:r w:rsidRPr="00144D00">
        <w:rPr>
          <w:rStyle w:val="FootnoteReference"/>
          <w:rFonts w:asciiTheme="majorBidi" w:hAnsiTheme="majorBidi" w:cstheme="majorBidi"/>
        </w:rPr>
        <w:footnoteReference w:id="7"/>
      </w:r>
    </w:p>
    <w:p w14:paraId="0C5AE41A" w14:textId="77777777" w:rsidR="00F7786D" w:rsidRPr="00144D00" w:rsidRDefault="00F7786D" w:rsidP="00946E3E">
      <w:pPr>
        <w:jc w:val="both"/>
        <w:rPr>
          <w:rFonts w:asciiTheme="majorBidi" w:hAnsiTheme="majorBidi" w:cstheme="majorBidi"/>
        </w:rPr>
      </w:pPr>
      <w:r w:rsidRPr="00144D00">
        <w:rPr>
          <w:rFonts w:asciiTheme="majorBidi" w:hAnsiTheme="majorBidi" w:cstheme="majorBidi"/>
        </w:rPr>
        <w:t>Reports reviewed by IAPD indicate that migrant children are three times more likely to be removed from their families and placed in foster care than native Norwegian children. Approximately 3% of the total number of children with migrant backgrounds in Norway are currently believed to be in foster care away from their families.</w:t>
      </w:r>
      <w:r w:rsidRPr="00144D00">
        <w:rPr>
          <w:rStyle w:val="FootnoteReference"/>
          <w:rFonts w:asciiTheme="majorBidi" w:hAnsiTheme="majorBidi" w:cstheme="majorBidi"/>
        </w:rPr>
        <w:footnoteReference w:id="8"/>
      </w:r>
      <w:r w:rsidRPr="00144D00">
        <w:rPr>
          <w:rFonts w:asciiTheme="majorBidi" w:hAnsiTheme="majorBidi" w:cstheme="majorBidi"/>
        </w:rPr>
        <w:t xml:space="preserve"> Furthermore, IAPD points out that the European Court of Human Rights has found Norway guilty of violating the right to respect for private and family life in nine cases involving the placement of children in alternative care.</w:t>
      </w:r>
      <w:r w:rsidRPr="00144D00">
        <w:rPr>
          <w:rStyle w:val="FootnoteReference"/>
          <w:rFonts w:asciiTheme="majorBidi" w:hAnsiTheme="majorBidi" w:cstheme="majorBidi"/>
        </w:rPr>
        <w:footnoteReference w:id="9"/>
      </w:r>
      <w:r w:rsidRPr="00144D00">
        <w:rPr>
          <w:rFonts w:asciiTheme="majorBidi" w:hAnsiTheme="majorBidi" w:cstheme="majorBidi"/>
        </w:rPr>
        <w:t xml:space="preserve"> For example, on December 10, 2021, European Court of Human Rights ruled that the Norwegian authorities had violated a Somali child’s right to family life. The court found that Norwegian child welfare services had failed to consider the child’s religious and cultural background when they forcibly removed him from his mother and placed him with another family on the grounds of neglect and ill-treatment. Despite the mother’s request to place the child with her relatives or another Somali family </w:t>
      </w:r>
      <w:proofErr w:type="gramStart"/>
      <w:r w:rsidRPr="00144D00">
        <w:rPr>
          <w:rFonts w:asciiTheme="majorBidi" w:hAnsiTheme="majorBidi" w:cstheme="majorBidi"/>
        </w:rPr>
        <w:t>in order to</w:t>
      </w:r>
      <w:proofErr w:type="gramEnd"/>
      <w:r w:rsidRPr="00144D00">
        <w:rPr>
          <w:rFonts w:asciiTheme="majorBidi" w:hAnsiTheme="majorBidi" w:cstheme="majorBidi"/>
        </w:rPr>
        <w:t xml:space="preserve"> preserve their family ties and cultural origins, the </w:t>
      </w:r>
      <w:r w:rsidRPr="00144D00">
        <w:rPr>
          <w:rFonts w:asciiTheme="majorBidi" w:hAnsiTheme="majorBidi" w:cstheme="majorBidi"/>
        </w:rPr>
        <w:lastRenderedPageBreak/>
        <w:t>Norwegian court rejected her request, insisting on placing the child with a Norwegian couple who had severed all ties with the mother.</w:t>
      </w:r>
      <w:r w:rsidRPr="00144D00">
        <w:rPr>
          <w:rStyle w:val="FootnoteReference"/>
          <w:rFonts w:asciiTheme="majorBidi" w:hAnsiTheme="majorBidi" w:cstheme="majorBidi"/>
        </w:rPr>
        <w:footnoteReference w:id="10"/>
      </w:r>
    </w:p>
    <w:p w14:paraId="15ED68A7" w14:textId="77777777"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Respect for Children Views (Article 12)</w:t>
      </w:r>
    </w:p>
    <w:p w14:paraId="4FD492C7" w14:textId="77777777" w:rsidR="00F7786D" w:rsidRPr="00144D00" w:rsidRDefault="00F7786D" w:rsidP="00946E3E">
      <w:pPr>
        <w:jc w:val="both"/>
        <w:rPr>
          <w:rFonts w:asciiTheme="majorBidi" w:hAnsiTheme="majorBidi" w:cstheme="majorBidi"/>
        </w:rPr>
      </w:pPr>
      <w:r w:rsidRPr="00144D00">
        <w:rPr>
          <w:rFonts w:asciiTheme="majorBidi" w:hAnsiTheme="majorBidi" w:cstheme="majorBidi"/>
        </w:rPr>
        <w:t xml:space="preserve">Norwegian Constitution stipulates that children must be heard in matters concerning them and be allowed to express their views. The new Child Welfare Act also includes a provision for children’s right to participate in all matters affecting them. This legal right applies to all children capable of forming their own opinions. </w:t>
      </w:r>
    </w:p>
    <w:p w14:paraId="290FBA68" w14:textId="77777777" w:rsidR="00F7786D" w:rsidRPr="00144D00" w:rsidRDefault="00F7786D" w:rsidP="00946E3E">
      <w:pPr>
        <w:jc w:val="both"/>
        <w:rPr>
          <w:rFonts w:asciiTheme="majorBidi" w:hAnsiTheme="majorBidi" w:cstheme="majorBidi"/>
        </w:rPr>
      </w:pPr>
      <w:r w:rsidRPr="00144D00">
        <w:rPr>
          <w:rFonts w:asciiTheme="majorBidi" w:hAnsiTheme="majorBidi" w:cstheme="majorBidi"/>
        </w:rPr>
        <w:t>However, despite these constitutional and legal guarantees, IAPD believes that ignoring children’s views in crucial decisions regarding their lives and futures—especially in areas</w:t>
      </w:r>
      <w:r w:rsidRPr="00144D00">
        <w:rPr>
          <w:rStyle w:val="FootnoteReference"/>
          <w:rFonts w:asciiTheme="majorBidi" w:hAnsiTheme="majorBidi" w:cstheme="majorBidi"/>
        </w:rPr>
        <w:footnoteReference w:id="11"/>
      </w:r>
      <w:r w:rsidRPr="00144D00">
        <w:rPr>
          <w:rFonts w:asciiTheme="majorBidi" w:hAnsiTheme="majorBidi" w:cstheme="majorBidi"/>
        </w:rPr>
        <w:t xml:space="preserve"> such as custody and migration—constitutes a clear violation of Article 12. Their views are often not given sufficient weight, which can lead to outcomes contrary to their best interests. IAPD also expresses concerns about the protection of refugee and migrant children in Norway. These children frequently lack necessary protection and support, rendering them more vulnerable to further risks and violations. IAPD is particularly concerned that child human rights defenders in Norway lack adequate protection; a 2024 study indicated that 84% of Council of Europe member states, including Norway, lack effective mechanisms to protect these children from violence and threats related to their human rights work. Additionally, IAPD highlights the absence of legal and psychological support for children within the protection system, which it considers a serious violation of their rights. A 2023 study, covering EU countries including Norway, found that 35% of children feel unsafe or lack adequate support to express their opinions freely and safely.</w:t>
      </w:r>
      <w:r w:rsidRPr="00144D00">
        <w:rPr>
          <w:rStyle w:val="FootnoteReference"/>
          <w:rFonts w:asciiTheme="majorBidi" w:hAnsiTheme="majorBidi" w:cstheme="majorBidi"/>
        </w:rPr>
        <w:footnoteReference w:id="12"/>
      </w:r>
    </w:p>
    <w:p w14:paraId="5B6EE0A7" w14:textId="77777777"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Refugee Children (Article 22)</w:t>
      </w:r>
    </w:p>
    <w:p w14:paraId="47AD3B56" w14:textId="77777777" w:rsidR="00F7786D" w:rsidRPr="00144D00" w:rsidRDefault="00F7786D" w:rsidP="00946E3E">
      <w:pPr>
        <w:jc w:val="both"/>
        <w:rPr>
          <w:rFonts w:asciiTheme="majorBidi" w:hAnsiTheme="majorBidi" w:cstheme="majorBidi"/>
        </w:rPr>
      </w:pPr>
      <w:r w:rsidRPr="00144D00">
        <w:rPr>
          <w:rFonts w:asciiTheme="majorBidi" w:hAnsiTheme="majorBidi" w:cstheme="majorBidi"/>
        </w:rPr>
        <w:t>IAPD acknowledges the measures taken by Norway to ensure the rights of refugee children, including the right to primary and lower secondary education for refugees up to the age of 16. In this context, Norway agreed in 2024 to resettle 19,000 refugees, although this falls short of the pledged 30,000 per year. Nonetheless, these statistics appear positive compared to the general decline in resettlement commitments. Directorate for Children, Youth and Family Affairs is responsible for the resettlement of individual children under the age of 15. Unaccompanied minors must be settled in municipalities that can adequately meet their needs and provide appropriate support.</w:t>
      </w:r>
      <w:r w:rsidRPr="00144D00">
        <w:rPr>
          <w:rStyle w:val="FootnoteReference"/>
          <w:rFonts w:asciiTheme="majorBidi" w:hAnsiTheme="majorBidi" w:cstheme="majorBidi"/>
        </w:rPr>
        <w:footnoteReference w:id="13"/>
      </w:r>
      <w:r w:rsidRPr="00144D00">
        <w:rPr>
          <w:rFonts w:asciiTheme="majorBidi" w:hAnsiTheme="majorBidi" w:cstheme="majorBidi"/>
        </w:rPr>
        <w:t xml:space="preserve"> The government is also working to effectively train </w:t>
      </w:r>
      <w:proofErr w:type="spellStart"/>
      <w:r w:rsidRPr="00144D00">
        <w:rPr>
          <w:rFonts w:asciiTheme="majorBidi" w:hAnsiTheme="majorBidi" w:cstheme="majorBidi"/>
        </w:rPr>
        <w:t>Barnevernet</w:t>
      </w:r>
      <w:proofErr w:type="spellEnd"/>
      <w:r w:rsidRPr="00144D00">
        <w:rPr>
          <w:rFonts w:asciiTheme="majorBidi" w:hAnsiTheme="majorBidi" w:cstheme="majorBidi"/>
        </w:rPr>
        <w:t xml:space="preserve"> staff to ensure they are qualified to address the complex issues facing refugee families, </w:t>
      </w:r>
      <w:proofErr w:type="gramStart"/>
      <w:r w:rsidRPr="00144D00">
        <w:rPr>
          <w:rFonts w:asciiTheme="majorBidi" w:hAnsiTheme="majorBidi" w:cstheme="majorBidi"/>
        </w:rPr>
        <w:t>taking into account</w:t>
      </w:r>
      <w:proofErr w:type="gramEnd"/>
      <w:r w:rsidRPr="00144D00">
        <w:rPr>
          <w:rFonts w:asciiTheme="majorBidi" w:hAnsiTheme="majorBidi" w:cstheme="majorBidi"/>
        </w:rPr>
        <w:t xml:space="preserve"> cultural and religious differences. IAPD hopes that these reforms will create a more supportive environment for refugee children in Norway, allowing them to live in safety while respecting their fundamental rights. The Norwegian government has begun taking concrete steps to address the needs of refugee children, launching new programs aimed at improving conditions in asylum centers. These initiatives include enhancing the quality of health services for children, particularly psychological care designed to support those suffering from the trauma associated with the conflicts they have fled. However, there have been reported violations of the rights of refugee children in Norway. In the first half of 2024, 162 unaccompanied minors applied for asylum in the country. These children face significant challenges and violations of their rights, including prolonged detention in immigration centers, which contravenes international obligations to protect and assist refugee children and ensure their access to basic rights such as education and healthcare.</w:t>
      </w:r>
      <w:r w:rsidRPr="00144D00">
        <w:rPr>
          <w:rStyle w:val="FootnoteReference"/>
          <w:rFonts w:asciiTheme="majorBidi" w:hAnsiTheme="majorBidi" w:cstheme="majorBidi"/>
        </w:rPr>
        <w:footnoteReference w:id="14"/>
      </w:r>
      <w:r w:rsidRPr="00144D00">
        <w:rPr>
          <w:rFonts w:asciiTheme="majorBidi" w:hAnsiTheme="majorBidi" w:cstheme="majorBidi"/>
        </w:rPr>
        <w:t xml:space="preserve"> </w:t>
      </w:r>
      <w:r w:rsidRPr="00144D00">
        <w:rPr>
          <w:rFonts w:asciiTheme="majorBidi" w:hAnsiTheme="majorBidi" w:cstheme="majorBidi"/>
        </w:rPr>
        <w:lastRenderedPageBreak/>
        <w:t xml:space="preserve">IAPD has received reports indicating that the Norwegian child welfare agency, </w:t>
      </w:r>
      <w:proofErr w:type="spellStart"/>
      <w:r w:rsidRPr="00144D00">
        <w:rPr>
          <w:rFonts w:asciiTheme="majorBidi" w:hAnsiTheme="majorBidi" w:cstheme="majorBidi"/>
        </w:rPr>
        <w:t>Barnevernet</w:t>
      </w:r>
      <w:proofErr w:type="spellEnd"/>
      <w:r w:rsidRPr="00144D00">
        <w:rPr>
          <w:rFonts w:asciiTheme="majorBidi" w:hAnsiTheme="majorBidi" w:cstheme="majorBidi"/>
        </w:rPr>
        <w:t>, is implementing policies that raise serious concerns, particularly regarding the treatment of refugee and migrant families. These policies include instances where refugee families lose custody of their children to Norwegian families, often disregarding cultural and religious differences. Such violations have led the European Court of Human Rights to intervene in some cases, confirming that the rights of families to maintain relationships with their children have been violated.</w:t>
      </w:r>
    </w:p>
    <w:p w14:paraId="5BCA35D2" w14:textId="77777777"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Children with Disabilities (Article 23)</w:t>
      </w:r>
    </w:p>
    <w:p w14:paraId="777FA27C" w14:textId="77777777" w:rsidR="00F7786D" w:rsidRPr="00144D00" w:rsidRDefault="00F7786D" w:rsidP="00946E3E">
      <w:pPr>
        <w:jc w:val="both"/>
        <w:rPr>
          <w:rFonts w:asciiTheme="majorBidi" w:hAnsiTheme="majorBidi" w:cstheme="majorBidi"/>
        </w:rPr>
      </w:pPr>
      <w:r w:rsidRPr="00144D00">
        <w:rPr>
          <w:rFonts w:asciiTheme="majorBidi" w:hAnsiTheme="majorBidi" w:cstheme="majorBidi"/>
        </w:rPr>
        <w:t>IAPD acknowledges Norway’s efforts to integrate children with disabilities into the education system and to provide necessary healthcare services. According to the Directorate for Children, Youth and Family Affairs, there have been initiatives to build two new childcare facilities with a total capacity of 12 children to meet the needs of those requiring healthcare services outside the home.</w:t>
      </w:r>
      <w:r w:rsidRPr="00144D00">
        <w:rPr>
          <w:rStyle w:val="FootnoteReference"/>
          <w:rFonts w:asciiTheme="majorBidi" w:hAnsiTheme="majorBidi" w:cstheme="majorBidi"/>
        </w:rPr>
        <w:footnoteReference w:id="15"/>
      </w:r>
      <w:r w:rsidRPr="00144D00">
        <w:rPr>
          <w:rFonts w:asciiTheme="majorBidi" w:hAnsiTheme="majorBidi" w:cstheme="majorBidi"/>
        </w:rPr>
        <w:t xml:space="preserve"> In addition, parents of children with disabilities can access various benefits, including care and training. Nevertheless, IAPD remains concerned, as children with disabilities are still disproportionately vulnerable to bullying and violence in schools. While IAPD appreciates the government's integration efforts, it emphasizes that integration alone is insufficient; additional measures are needed to change the cultural attitudes toward these children. Ombudsman for Children has reported that children with autism and hyperactivity are sometimes placed in separate rooms due to teachers' lack of training to effectively manage their needs.</w:t>
      </w:r>
    </w:p>
    <w:p w14:paraId="76897025" w14:textId="77777777" w:rsidR="00F7786D" w:rsidRPr="00144D00" w:rsidRDefault="00F7786D" w:rsidP="00946E3E">
      <w:pPr>
        <w:jc w:val="both"/>
        <w:rPr>
          <w:rFonts w:asciiTheme="majorBidi" w:hAnsiTheme="majorBidi" w:cstheme="majorBidi"/>
        </w:rPr>
      </w:pPr>
      <w:r w:rsidRPr="00144D00">
        <w:rPr>
          <w:rFonts w:asciiTheme="majorBidi" w:hAnsiTheme="majorBidi" w:cstheme="majorBidi"/>
        </w:rPr>
        <w:t xml:space="preserve">Moreover, IAPD has noted that rural areas continue to suffer from a lack of educational resources and inadequate teacher training. Many schools are not sufficiently equipped to meet the needs of children with disabilities, leading to their marginalization in the classroom and an increased sense of isolation. This marginalization extends beyond academics, affecting social interactions as children with disabilities face barriers to integrating with their peers, negatively impacting their personal and social </w:t>
      </w:r>
      <w:proofErr w:type="gramStart"/>
      <w:r w:rsidRPr="00144D00">
        <w:rPr>
          <w:rFonts w:asciiTheme="majorBidi" w:hAnsiTheme="majorBidi" w:cstheme="majorBidi"/>
        </w:rPr>
        <w:t>development</w:t>
      </w:r>
      <w:proofErr w:type="gramEnd"/>
      <w:r w:rsidRPr="00144D00">
        <w:rPr>
          <w:rFonts w:asciiTheme="majorBidi" w:hAnsiTheme="majorBidi" w:cstheme="majorBidi"/>
        </w:rPr>
        <w:t xml:space="preserve"> and hindering their full integration into society. Additionally, IAPD highlights the lack of specialized healthcare for children with disabilities, particularly in remote areas. Delays in providing necessary healthcare services increase the risk of worsening health conditions and exacerbate the disparities between urban and rural areas.</w:t>
      </w:r>
    </w:p>
    <w:p w14:paraId="11A03A73" w14:textId="3A1BDD2A" w:rsidR="00F7786D" w:rsidRPr="00144D00" w:rsidRDefault="00F7786D" w:rsidP="00F7786D">
      <w:pPr>
        <w:jc w:val="both"/>
        <w:rPr>
          <w:rFonts w:asciiTheme="majorBidi" w:hAnsiTheme="majorBidi" w:cstheme="majorBidi"/>
          <w:b/>
          <w:bCs/>
          <w:color w:val="2E74B5" w:themeColor="accent5" w:themeShade="BF"/>
          <w:sz w:val="28"/>
          <w:szCs w:val="28"/>
        </w:rPr>
      </w:pPr>
      <w:r w:rsidRPr="00144D00">
        <w:rPr>
          <w:rFonts w:asciiTheme="majorBidi" w:hAnsiTheme="majorBidi" w:cstheme="majorBidi"/>
          <w:b/>
          <w:bCs/>
          <w:color w:val="2E74B5" w:themeColor="accent5" w:themeShade="BF"/>
          <w:sz w:val="28"/>
          <w:szCs w:val="28"/>
        </w:rPr>
        <w:t>Recommendations</w:t>
      </w:r>
      <w:r w:rsidR="00946E3E">
        <w:rPr>
          <w:rFonts w:asciiTheme="majorBidi" w:hAnsiTheme="majorBidi" w:cstheme="majorBidi"/>
          <w:b/>
          <w:bCs/>
          <w:color w:val="2E74B5" w:themeColor="accent5" w:themeShade="BF"/>
          <w:sz w:val="28"/>
          <w:szCs w:val="28"/>
        </w:rPr>
        <w:t xml:space="preserve"> directed to the </w:t>
      </w:r>
      <w:r w:rsidR="00946E3E" w:rsidRPr="00946E3E">
        <w:rPr>
          <w:rFonts w:asciiTheme="majorBidi" w:hAnsiTheme="majorBidi" w:cstheme="majorBidi"/>
          <w:b/>
          <w:bCs/>
          <w:color w:val="2E74B5" w:themeColor="accent5" w:themeShade="BF"/>
          <w:sz w:val="28"/>
          <w:szCs w:val="28"/>
        </w:rPr>
        <w:t xml:space="preserve">Norwegian </w:t>
      </w:r>
      <w:r w:rsidR="00946E3E">
        <w:rPr>
          <w:rFonts w:asciiTheme="majorBidi" w:hAnsiTheme="majorBidi" w:cstheme="majorBidi"/>
          <w:b/>
          <w:bCs/>
          <w:color w:val="2E74B5" w:themeColor="accent5" w:themeShade="BF"/>
          <w:sz w:val="28"/>
          <w:szCs w:val="28"/>
        </w:rPr>
        <w:t>G</w:t>
      </w:r>
      <w:r w:rsidR="00946E3E" w:rsidRPr="00946E3E">
        <w:rPr>
          <w:rFonts w:asciiTheme="majorBidi" w:hAnsiTheme="majorBidi" w:cstheme="majorBidi"/>
          <w:b/>
          <w:bCs/>
          <w:color w:val="2E74B5" w:themeColor="accent5" w:themeShade="BF"/>
          <w:sz w:val="28"/>
          <w:szCs w:val="28"/>
        </w:rPr>
        <w:t>overnment</w:t>
      </w:r>
      <w:r w:rsidR="00946E3E">
        <w:rPr>
          <w:rFonts w:asciiTheme="majorBidi" w:hAnsiTheme="majorBidi" w:cstheme="majorBidi"/>
          <w:b/>
          <w:bCs/>
          <w:color w:val="2E74B5" w:themeColor="accent5" w:themeShade="BF"/>
          <w:sz w:val="28"/>
          <w:szCs w:val="28"/>
        </w:rPr>
        <w:t>:</w:t>
      </w:r>
    </w:p>
    <w:p w14:paraId="4AEEFCC2"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Consider developing policies that would eliminate early marriage completely in practice and not allow exceptions that go beyond legal text.</w:t>
      </w:r>
    </w:p>
    <w:p w14:paraId="4D63740B"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Consider raising age of criminal responsibility in line with definition of a child under Norwegian law.</w:t>
      </w:r>
    </w:p>
    <w:p w14:paraId="7B67B477"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Accelerate implementation of the action plan to combat discrimination against Sami people and ensure that views of children and organizations working on issues that concern them are heard in implementation of this plan.</w:t>
      </w:r>
    </w:p>
    <w:p w14:paraId="54833DB4"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Stop double standards in policies towards Ukrainian refugee children compared to other refugee children from other countries.</w:t>
      </w:r>
    </w:p>
    <w:p w14:paraId="49E301A0"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 xml:space="preserve">Stop practice of forcibly removing refugee children of migrant origin and of African descent and </w:t>
      </w:r>
      <w:proofErr w:type="gramStart"/>
      <w:r w:rsidRPr="00144D00">
        <w:rPr>
          <w:rFonts w:asciiTheme="majorBidi" w:hAnsiTheme="majorBidi" w:cstheme="majorBidi"/>
        </w:rPr>
        <w:t>give consideration to</w:t>
      </w:r>
      <w:proofErr w:type="gramEnd"/>
      <w:r w:rsidRPr="00144D00">
        <w:rPr>
          <w:rFonts w:asciiTheme="majorBidi" w:hAnsiTheme="majorBidi" w:cstheme="majorBidi"/>
        </w:rPr>
        <w:t xml:space="preserve"> the preferences of these children.</w:t>
      </w:r>
    </w:p>
    <w:p w14:paraId="24C22BCC"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Work on building capacity of teachers in schools to provide them with skills to deal with children with disabilities.</w:t>
      </w:r>
    </w:p>
    <w:p w14:paraId="4816EE53"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Launch awareness campaigns aimed at eliminating bullying practices against children with disabilities.</w:t>
      </w:r>
    </w:p>
    <w:p w14:paraId="32C1CF5A"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t>Work on coordinating with county and municipal authorities to implement family and community services for children and adults with disabilities.</w:t>
      </w:r>
    </w:p>
    <w:p w14:paraId="503C8A6F" w14:textId="77777777" w:rsidR="00F7786D" w:rsidRPr="00144D00" w:rsidRDefault="00F7786D" w:rsidP="00F7786D">
      <w:pPr>
        <w:pStyle w:val="ListParagraph"/>
        <w:numPr>
          <w:ilvl w:val="0"/>
          <w:numId w:val="29"/>
        </w:numPr>
        <w:spacing w:after="160" w:line="278" w:lineRule="auto"/>
        <w:jc w:val="both"/>
        <w:rPr>
          <w:rFonts w:asciiTheme="majorBidi" w:hAnsiTheme="majorBidi" w:cstheme="majorBidi"/>
        </w:rPr>
      </w:pPr>
      <w:r w:rsidRPr="00144D00">
        <w:rPr>
          <w:rFonts w:asciiTheme="majorBidi" w:hAnsiTheme="majorBidi" w:cstheme="majorBidi"/>
        </w:rPr>
        <w:lastRenderedPageBreak/>
        <w:t>Work on providing necessary resources for children with disabilities in rural areas in Norway.</w:t>
      </w:r>
    </w:p>
    <w:p w14:paraId="19073781" w14:textId="77777777" w:rsidR="001719EB" w:rsidRPr="00144D00" w:rsidRDefault="001719EB" w:rsidP="00265110">
      <w:pPr>
        <w:jc w:val="both"/>
        <w:rPr>
          <w:rFonts w:asciiTheme="majorBidi" w:hAnsiTheme="majorBidi" w:cstheme="majorBidi"/>
        </w:rPr>
      </w:pPr>
    </w:p>
    <w:sectPr w:rsidR="001719EB" w:rsidRPr="00144D00">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DA14" w14:textId="77777777" w:rsidR="00AA3749" w:rsidRDefault="00AA3749" w:rsidP="003D1884">
      <w:pPr>
        <w:spacing w:after="0" w:line="240" w:lineRule="auto"/>
      </w:pPr>
      <w:r>
        <w:separator/>
      </w:r>
    </w:p>
  </w:endnote>
  <w:endnote w:type="continuationSeparator" w:id="0">
    <w:p w14:paraId="58D6BB42" w14:textId="77777777" w:rsidR="00AA3749" w:rsidRDefault="00AA3749"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D86AA" w14:textId="77777777" w:rsidR="00AA3749" w:rsidRDefault="00AA3749" w:rsidP="003D1884">
      <w:pPr>
        <w:spacing w:after="0" w:line="240" w:lineRule="auto"/>
      </w:pPr>
      <w:r>
        <w:separator/>
      </w:r>
    </w:p>
  </w:footnote>
  <w:footnote w:type="continuationSeparator" w:id="0">
    <w:p w14:paraId="316A903E" w14:textId="77777777" w:rsidR="00AA3749" w:rsidRDefault="00AA3749" w:rsidP="003D1884">
      <w:pPr>
        <w:spacing w:after="0" w:line="240" w:lineRule="auto"/>
      </w:pPr>
      <w:r>
        <w:continuationSeparator/>
      </w:r>
    </w:p>
  </w:footnote>
  <w:footnote w:id="1">
    <w:p w14:paraId="3D979CE4"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Fifth and sixth periodic reports of States parties due in 2016, </w:t>
      </w:r>
      <w:hyperlink r:id="rId1" w:history="1">
        <w:r w:rsidRPr="00946E3E">
          <w:rPr>
            <w:rStyle w:val="Hyperlink"/>
            <w:rFonts w:asciiTheme="majorBidi" w:hAnsiTheme="majorBidi" w:cstheme="majorBidi"/>
          </w:rPr>
          <w:t>https://tinyurl.com/4ucb9k44</w:t>
        </w:r>
      </w:hyperlink>
    </w:p>
  </w:footnote>
  <w:footnote w:id="2">
    <w:p w14:paraId="7C6AA520"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Girls Not Brides</w:t>
      </w:r>
      <w:r w:rsidRPr="00946E3E">
        <w:rPr>
          <w:rFonts w:asciiTheme="majorBidi" w:hAnsiTheme="majorBidi" w:cstheme="majorBidi"/>
          <w:lang w:bidi="ar-EG"/>
        </w:rPr>
        <w:t xml:space="preserve">, Norway, </w:t>
      </w:r>
      <w:hyperlink r:id="rId2" w:history="1">
        <w:r w:rsidRPr="00946E3E">
          <w:rPr>
            <w:rStyle w:val="Hyperlink"/>
            <w:rFonts w:asciiTheme="majorBidi" w:hAnsiTheme="majorBidi" w:cstheme="majorBidi"/>
            <w:lang w:bidi="ar-EG"/>
          </w:rPr>
          <w:t>https://www.girlsnotbrides.org/learning-resources/child-marriage-atlas/regions-and-countries/norway/</w:t>
        </w:r>
      </w:hyperlink>
    </w:p>
  </w:footnote>
  <w:footnote w:id="3">
    <w:p w14:paraId="224DB5B6"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Children of Norway Realizing Children’s Rights in Norway, </w:t>
      </w:r>
      <w:hyperlink r:id="rId3" w:history="1">
        <w:r w:rsidRPr="00946E3E">
          <w:rPr>
            <w:rStyle w:val="Hyperlink"/>
            <w:rFonts w:asciiTheme="majorBidi" w:hAnsiTheme="majorBidi" w:cstheme="majorBidi"/>
          </w:rPr>
          <w:t>https://www.humanium.org/en/norway/</w:t>
        </w:r>
      </w:hyperlink>
    </w:p>
  </w:footnote>
  <w:footnote w:id="4">
    <w:p w14:paraId="1A40CEFA" w14:textId="5039687D"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Discrimination and racism against children of African descent 2024 </w:t>
      </w:r>
      <w:r w:rsidRPr="00946E3E">
        <w:rPr>
          <w:rFonts w:asciiTheme="majorBidi" w:hAnsiTheme="majorBidi" w:cstheme="majorBidi"/>
          <w:rtl/>
        </w:rPr>
        <w:t xml:space="preserve">: </w:t>
      </w:r>
      <w:hyperlink r:id="rId4" w:history="1">
        <w:r w:rsidRPr="00946E3E">
          <w:rPr>
            <w:rStyle w:val="Hyperlink"/>
            <w:rFonts w:asciiTheme="majorBidi" w:hAnsiTheme="majorBidi" w:cstheme="majorBidi"/>
          </w:rPr>
          <w:t>https://www.ohchr.org/en/press-releases/2024/03/norway-un-experts-deeply-concerned-about-racial-discrimination-agains</w:t>
        </w:r>
      </w:hyperlink>
    </w:p>
  </w:footnote>
  <w:footnote w:id="5">
    <w:p w14:paraId="435107B7"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Everyday discrimination and racism faced by children in Norway in 2024</w:t>
      </w:r>
      <w:r w:rsidRPr="00946E3E">
        <w:rPr>
          <w:rFonts w:asciiTheme="majorBidi" w:hAnsiTheme="majorBidi" w:cstheme="majorBidi"/>
          <w:rtl/>
        </w:rPr>
        <w:t xml:space="preserve">: </w:t>
      </w:r>
      <w:hyperlink r:id="rId5" w:history="1">
        <w:r w:rsidRPr="00946E3E">
          <w:rPr>
            <w:rStyle w:val="Hyperlink"/>
            <w:rFonts w:asciiTheme="majorBidi" w:hAnsiTheme="majorBidi" w:cstheme="majorBidi"/>
          </w:rPr>
          <w:t>https://www.newsinenglish.no/2024/02/21/everyday-racism-common-in-norway/</w:t>
        </w:r>
      </w:hyperlink>
    </w:p>
  </w:footnote>
  <w:footnote w:id="6">
    <w:p w14:paraId="16A1C87B"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w:t>
      </w:r>
      <w:r w:rsidRPr="00946E3E">
        <w:rPr>
          <w:rFonts w:asciiTheme="majorBidi" w:hAnsiTheme="majorBidi" w:cstheme="majorBidi"/>
          <w:lang w:bidi="ar-EG"/>
        </w:rPr>
        <w:t>Ibid</w:t>
      </w:r>
    </w:p>
  </w:footnote>
  <w:footnote w:id="7">
    <w:p w14:paraId="5794D7B8"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Norway: UN experts deeply concerned about racial discrimination against people of African descent, United nations, March 18, 2024, link: </w:t>
      </w:r>
      <w:hyperlink r:id="rId6" w:history="1">
        <w:r w:rsidRPr="00946E3E">
          <w:rPr>
            <w:rStyle w:val="Hyperlink"/>
            <w:rFonts w:asciiTheme="majorBidi" w:hAnsiTheme="majorBidi" w:cstheme="majorBidi"/>
          </w:rPr>
          <w:t>https://tinyl.io/AYTy</w:t>
        </w:r>
      </w:hyperlink>
    </w:p>
  </w:footnote>
  <w:footnote w:id="8">
    <w:p w14:paraId="0424A12A"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In Norway, 'unjust' social services target immigrant families, children, Anadolu, October 30, 2023, link: </w:t>
      </w:r>
      <w:hyperlink r:id="rId7" w:history="1">
        <w:r w:rsidRPr="00946E3E">
          <w:rPr>
            <w:rStyle w:val="Hyperlink"/>
            <w:rFonts w:asciiTheme="majorBidi" w:hAnsiTheme="majorBidi" w:cstheme="majorBidi"/>
          </w:rPr>
          <w:t>https://tinyl.io/AYSG</w:t>
        </w:r>
      </w:hyperlink>
    </w:p>
  </w:footnote>
  <w:footnote w:id="9">
    <w:p w14:paraId="0C476A47"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Decision on admissibility concerning Norway, European Court of Human Rights, September 14, 2023, link: </w:t>
      </w:r>
      <w:hyperlink r:id="rId8" w:history="1">
        <w:r w:rsidRPr="00946E3E">
          <w:rPr>
            <w:rStyle w:val="Hyperlink"/>
            <w:rFonts w:asciiTheme="majorBidi" w:hAnsiTheme="majorBidi" w:cstheme="majorBidi"/>
          </w:rPr>
          <w:t>https://tinyl.io/AYSn</w:t>
        </w:r>
      </w:hyperlink>
    </w:p>
  </w:footnote>
  <w:footnote w:id="10">
    <w:p w14:paraId="2AC4EB1A"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w:t>
      </w:r>
      <w:r w:rsidRPr="00946E3E">
        <w:rPr>
          <w:rFonts w:asciiTheme="majorBidi" w:hAnsiTheme="majorBidi" w:cstheme="majorBidi"/>
          <w:lang w:bidi="ar-EG"/>
        </w:rPr>
        <w:t>Somali refugee wins second case against Norway over forced adoption, Court House News Service, December 10, 2021, link:</w:t>
      </w:r>
      <w:r w:rsidRPr="00946E3E">
        <w:rPr>
          <w:rFonts w:asciiTheme="majorBidi" w:hAnsiTheme="majorBidi" w:cstheme="majorBidi"/>
          <w:rtl/>
        </w:rPr>
        <w:t xml:space="preserve"> </w:t>
      </w:r>
      <w:hyperlink r:id="rId9" w:history="1">
        <w:r w:rsidRPr="00946E3E">
          <w:rPr>
            <w:rStyle w:val="Hyperlink"/>
            <w:rFonts w:asciiTheme="majorBidi" w:hAnsiTheme="majorBidi" w:cstheme="majorBidi"/>
          </w:rPr>
          <w:t>https://tinyl.io/AYTt</w:t>
        </w:r>
      </w:hyperlink>
    </w:p>
  </w:footnote>
  <w:footnote w:id="11">
    <w:p w14:paraId="5F7C1EF5"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Ensure children are heard and their opinions respected</w:t>
      </w:r>
      <w:r w:rsidRPr="00946E3E">
        <w:rPr>
          <w:rFonts w:asciiTheme="majorBidi" w:hAnsiTheme="majorBidi" w:cstheme="majorBidi"/>
          <w:rtl/>
        </w:rPr>
        <w:t xml:space="preserve">: </w:t>
      </w:r>
      <w:hyperlink r:id="rId10" w:history="1">
        <w:r w:rsidRPr="00946E3E">
          <w:rPr>
            <w:rStyle w:val="Hyperlink"/>
            <w:rFonts w:asciiTheme="majorBidi" w:hAnsiTheme="majorBidi" w:cstheme="majorBidi"/>
          </w:rPr>
          <w:t>https://discretion.uib.no/making-sure-kids-get-heard-a-study-on-childrens-rights/</w:t>
        </w:r>
      </w:hyperlink>
    </w:p>
  </w:footnote>
  <w:footnote w:id="12">
    <w:p w14:paraId="37BC8707"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Children Defending Human Rights </w:t>
      </w:r>
      <w:hyperlink r:id="rId11" w:history="1">
        <w:r w:rsidRPr="00946E3E">
          <w:rPr>
            <w:rStyle w:val="Hyperlink"/>
            <w:rFonts w:asciiTheme="majorBidi" w:hAnsiTheme="majorBidi" w:cstheme="majorBidi"/>
          </w:rPr>
          <w:t>https://www.coe.int/en/web/portal/-/child-human-rights-defenders-want-to-be-heard-by-their-governments-council-of-europe-study</w:t>
        </w:r>
      </w:hyperlink>
    </w:p>
  </w:footnote>
  <w:footnote w:id="13">
    <w:p w14:paraId="5694F235"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Settlement of refugees, </w:t>
      </w:r>
      <w:hyperlink r:id="rId12" w:history="1">
        <w:r w:rsidRPr="00946E3E">
          <w:rPr>
            <w:rStyle w:val="Hyperlink"/>
            <w:rFonts w:asciiTheme="majorBidi" w:hAnsiTheme="majorBidi" w:cstheme="majorBidi"/>
          </w:rPr>
          <w:t>https://www.regjeringen.no/en/topics/immigration-and-integration/asd/busetting-av-flyktningar/id2343754/</w:t>
        </w:r>
      </w:hyperlink>
    </w:p>
  </w:footnote>
  <w:footnote w:id="14">
    <w:p w14:paraId="2B1CACDA"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Number of refugee children who entered Norway without their parents in the first half of 2024</w:t>
      </w:r>
      <w:r w:rsidRPr="00946E3E">
        <w:rPr>
          <w:rFonts w:asciiTheme="majorBidi" w:hAnsiTheme="majorBidi" w:cstheme="majorBidi"/>
          <w:rtl/>
        </w:rPr>
        <w:t>:</w:t>
      </w:r>
      <w:hyperlink r:id="rId13" w:history="1">
        <w:r w:rsidRPr="00946E3E">
          <w:rPr>
            <w:rStyle w:val="Hyperlink"/>
            <w:rFonts w:asciiTheme="majorBidi" w:hAnsiTheme="majorBidi" w:cstheme="majorBidi"/>
          </w:rPr>
          <w:t>https://www.udi.no/en/statistics-and-analysis/statistics/asylum-applications-of-</w:t>
        </w:r>
      </w:hyperlink>
    </w:p>
  </w:footnote>
  <w:footnote w:id="15">
    <w:p w14:paraId="061FF99F" w14:textId="77777777" w:rsidR="00F7786D" w:rsidRPr="00946E3E" w:rsidRDefault="00F7786D" w:rsidP="00F7786D">
      <w:pPr>
        <w:pStyle w:val="FootnoteText"/>
        <w:rPr>
          <w:rFonts w:asciiTheme="majorBidi" w:hAnsiTheme="majorBidi" w:cstheme="majorBidi"/>
        </w:rPr>
      </w:pPr>
      <w:r w:rsidRPr="00946E3E">
        <w:rPr>
          <w:rStyle w:val="FootnoteReference"/>
          <w:rFonts w:asciiTheme="majorBidi" w:hAnsiTheme="majorBidi" w:cstheme="majorBidi"/>
        </w:rPr>
        <w:footnoteRef/>
      </w:r>
      <w:r w:rsidRPr="00946E3E">
        <w:rPr>
          <w:rFonts w:asciiTheme="majorBidi" w:hAnsiTheme="majorBidi" w:cstheme="majorBidi"/>
        </w:rPr>
        <w:t xml:space="preserve"> Visit to Norway Report of the Special Rapporteur on the rights of persons with disabilities</w:t>
      </w:r>
      <w:r w:rsidRPr="00946E3E">
        <w:rPr>
          <w:rFonts w:asciiTheme="majorBidi" w:hAnsiTheme="majorBidi" w:cstheme="majorBidi"/>
          <w:lang w:bidi="ar-EG"/>
        </w:rPr>
        <w:t xml:space="preserve">, </w:t>
      </w:r>
      <w:hyperlink r:id="rId14" w:history="1">
        <w:r w:rsidRPr="00946E3E">
          <w:rPr>
            <w:rStyle w:val="Hyperlink"/>
            <w:rFonts w:asciiTheme="majorBidi" w:hAnsiTheme="majorBidi" w:cstheme="majorBidi"/>
            <w:lang w:bidi="ar-EG"/>
          </w:rPr>
          <w:t>https://documents.un.org/doc/undoc/gen/g20/008/23/pdf/g2000823.pdf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A96CE9"/>
    <w:multiLevelType w:val="hybridMultilevel"/>
    <w:tmpl w:val="FB52FF3A"/>
    <w:lvl w:ilvl="0" w:tplc="285C969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5"/>
  </w:num>
  <w:num w:numId="3" w16cid:durableId="1057122983">
    <w:abstractNumId w:val="25"/>
  </w:num>
  <w:num w:numId="4" w16cid:durableId="599484416">
    <w:abstractNumId w:val="14"/>
  </w:num>
  <w:num w:numId="5" w16cid:durableId="221990767">
    <w:abstractNumId w:val="28"/>
  </w:num>
  <w:num w:numId="6" w16cid:durableId="1184974759">
    <w:abstractNumId w:val="2"/>
  </w:num>
  <w:num w:numId="7" w16cid:durableId="719747233">
    <w:abstractNumId w:val="8"/>
  </w:num>
  <w:num w:numId="8" w16cid:durableId="2082218265">
    <w:abstractNumId w:val="16"/>
  </w:num>
  <w:num w:numId="9" w16cid:durableId="44522668">
    <w:abstractNumId w:val="18"/>
  </w:num>
  <w:num w:numId="10" w16cid:durableId="384570591">
    <w:abstractNumId w:val="20"/>
  </w:num>
  <w:num w:numId="11" w16cid:durableId="955409921">
    <w:abstractNumId w:val="1"/>
  </w:num>
  <w:num w:numId="12" w16cid:durableId="329604790">
    <w:abstractNumId w:val="0"/>
  </w:num>
  <w:num w:numId="13" w16cid:durableId="499975853">
    <w:abstractNumId w:val="21"/>
  </w:num>
  <w:num w:numId="14" w16cid:durableId="933244681">
    <w:abstractNumId w:val="23"/>
  </w:num>
  <w:num w:numId="15" w16cid:durableId="1029186210">
    <w:abstractNumId w:val="26"/>
  </w:num>
  <w:num w:numId="16" w16cid:durableId="510409883">
    <w:abstractNumId w:val="24"/>
  </w:num>
  <w:num w:numId="17" w16cid:durableId="1424718560">
    <w:abstractNumId w:val="5"/>
  </w:num>
  <w:num w:numId="18" w16cid:durableId="1266771858">
    <w:abstractNumId w:val="19"/>
  </w:num>
  <w:num w:numId="19" w16cid:durableId="1307006074">
    <w:abstractNumId w:val="7"/>
  </w:num>
  <w:num w:numId="20" w16cid:durableId="596136773">
    <w:abstractNumId w:val="13"/>
  </w:num>
  <w:num w:numId="21" w16cid:durableId="31420069">
    <w:abstractNumId w:val="9"/>
  </w:num>
  <w:num w:numId="22" w16cid:durableId="334383903">
    <w:abstractNumId w:val="27"/>
  </w:num>
  <w:num w:numId="23" w16cid:durableId="1430659545">
    <w:abstractNumId w:val="10"/>
  </w:num>
  <w:num w:numId="24" w16cid:durableId="155460974">
    <w:abstractNumId w:val="22"/>
  </w:num>
  <w:num w:numId="25" w16cid:durableId="722827196">
    <w:abstractNumId w:val="4"/>
  </w:num>
  <w:num w:numId="26" w16cid:durableId="2024890808">
    <w:abstractNumId w:val="17"/>
  </w:num>
  <w:num w:numId="27" w16cid:durableId="570501625">
    <w:abstractNumId w:val="12"/>
  </w:num>
  <w:num w:numId="28" w16cid:durableId="1337419106">
    <w:abstractNumId w:val="6"/>
  </w:num>
  <w:num w:numId="29" w16cid:durableId="5513126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4D00"/>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35416"/>
    <w:rsid w:val="00265110"/>
    <w:rsid w:val="00273EAA"/>
    <w:rsid w:val="0027781D"/>
    <w:rsid w:val="00287FC0"/>
    <w:rsid w:val="00292DF1"/>
    <w:rsid w:val="002A6B29"/>
    <w:rsid w:val="002F1224"/>
    <w:rsid w:val="00304121"/>
    <w:rsid w:val="003174DA"/>
    <w:rsid w:val="00340D06"/>
    <w:rsid w:val="00376672"/>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32E45"/>
    <w:rsid w:val="0085336D"/>
    <w:rsid w:val="00861DDD"/>
    <w:rsid w:val="008738FB"/>
    <w:rsid w:val="0087723C"/>
    <w:rsid w:val="00877E2D"/>
    <w:rsid w:val="008A1847"/>
    <w:rsid w:val="008C49F7"/>
    <w:rsid w:val="008D520A"/>
    <w:rsid w:val="008F2735"/>
    <w:rsid w:val="00904745"/>
    <w:rsid w:val="00946E3E"/>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A374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F154A1"/>
    <w:rsid w:val="00F44F63"/>
    <w:rsid w:val="00F4689D"/>
    <w:rsid w:val="00F7786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l.io/AYSn" TargetMode="External"/><Relationship Id="rId13" Type="http://schemas.openxmlformats.org/officeDocument/2006/relationships/hyperlink" Target="https://www.udi.no/en/statistics-and-analysis/statistics/asylum-applications-of-" TargetMode="External"/><Relationship Id="rId3" Type="http://schemas.openxmlformats.org/officeDocument/2006/relationships/hyperlink" Target="https://www.humanium.org/en/norway/" TargetMode="External"/><Relationship Id="rId7" Type="http://schemas.openxmlformats.org/officeDocument/2006/relationships/hyperlink" Target="https://tinyl.io/AYSG" TargetMode="External"/><Relationship Id="rId12" Type="http://schemas.openxmlformats.org/officeDocument/2006/relationships/hyperlink" Target="https://www.regjeringen.no/en/topics/immigration-and-integration/asd/busetting-av-flyktningar/id2343754/" TargetMode="External"/><Relationship Id="rId2" Type="http://schemas.openxmlformats.org/officeDocument/2006/relationships/hyperlink" Target="https://www.girlsnotbrides.org/learning-resources/child-marriage-atlas/regions-and-countries/norway/" TargetMode="External"/><Relationship Id="rId1" Type="http://schemas.openxmlformats.org/officeDocument/2006/relationships/hyperlink" Target="https://tinyurl.com/4ucb9k44" TargetMode="External"/><Relationship Id="rId6" Type="http://schemas.openxmlformats.org/officeDocument/2006/relationships/hyperlink" Target="https://tinyl.io/AYTy" TargetMode="External"/><Relationship Id="rId11" Type="http://schemas.openxmlformats.org/officeDocument/2006/relationships/hyperlink" Target="https://www.coe.int/en/web/portal/-/child-human-rights-defenders-want-to-be-heard-by-their-governments-council-of-europe-study" TargetMode="External"/><Relationship Id="rId5" Type="http://schemas.openxmlformats.org/officeDocument/2006/relationships/hyperlink" Target="https://www.newsinenglish.no/2024/02/21/everyday-racism-common-in-norway/" TargetMode="External"/><Relationship Id="rId10" Type="http://schemas.openxmlformats.org/officeDocument/2006/relationships/hyperlink" Target="https://discretion.uib.no/making-sure-kids-get-heard-a-study-on-childrens-rights/" TargetMode="External"/><Relationship Id="rId4" Type="http://schemas.openxmlformats.org/officeDocument/2006/relationships/hyperlink" Target="https://www.ohchr.org/en/press-releases/2024/03/norway-un-experts-deeply-concerned-about-racial-discrimination-agains" TargetMode="External"/><Relationship Id="rId9" Type="http://schemas.openxmlformats.org/officeDocument/2006/relationships/hyperlink" Target="https://tinyl.io/AYTt" TargetMode="External"/><Relationship Id="rId14" Type="http://schemas.openxmlformats.org/officeDocument/2006/relationships/hyperlink" Target="https://documents.un.org/doc/undoc/gen/g20/008/23/pdf/g20008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2147</Words>
  <Characters>12239</Characters>
  <Application>Microsoft Office Word</Application>
  <DocSecurity>0</DocSecurity>
  <Lines>101</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James Boit</cp:lastModifiedBy>
  <cp:revision>2</cp:revision>
  <dcterms:created xsi:type="dcterms:W3CDTF">2024-12-12T13:58:00Z</dcterms:created>
  <dcterms:modified xsi:type="dcterms:W3CDTF">2024-12-12T13:58:00Z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