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95CD7" w:rsidRPr="00151FF4" w:rsidRDefault="00C95CD7" w:rsidP="00151FF4">
      <w:pPr>
        <w:pStyle w:val="1"/>
        <w:jc w:val="both"/>
        <w:rPr>
          <w:rFonts w:asciiTheme="majorHAnsi" w:hAnsiTheme="majorHAnsi" w:cstheme="majorHAnsi"/>
          <w:sz w:val="32"/>
          <w:szCs w:val="32"/>
        </w:rPr>
      </w:pPr>
    </w:p>
    <w:p w:rsidR="00C95CD7" w:rsidRPr="00151FF4" w:rsidRDefault="00874B53" w:rsidP="00151FF4">
      <w:pPr>
        <w:jc w:val="center"/>
        <w:rPr>
          <w:rFonts w:asciiTheme="majorHAnsi" w:hAnsiTheme="majorHAnsi" w:cstheme="majorHAnsi"/>
          <w:b/>
          <w:sz w:val="36"/>
          <w:szCs w:val="36"/>
        </w:rPr>
      </w:pPr>
      <w:r w:rsidRPr="00151FF4">
        <w:rPr>
          <w:rFonts w:asciiTheme="majorHAnsi" w:hAnsiTheme="majorHAnsi" w:cstheme="majorHAnsi"/>
          <w:b/>
          <w:sz w:val="36"/>
          <w:szCs w:val="36"/>
        </w:rPr>
        <w:t>CONCERNS AND RECOMMENDATIONS</w:t>
      </w:r>
    </w:p>
    <w:p w:rsidR="00C95CD7" w:rsidRPr="00151FF4" w:rsidRDefault="00874B53" w:rsidP="00151FF4">
      <w:pPr>
        <w:jc w:val="center"/>
        <w:rPr>
          <w:rFonts w:asciiTheme="majorHAnsi" w:hAnsiTheme="majorHAnsi" w:cstheme="majorHAnsi"/>
          <w:b/>
          <w:sz w:val="36"/>
          <w:szCs w:val="36"/>
        </w:rPr>
      </w:pPr>
      <w:r w:rsidRPr="00151FF4">
        <w:rPr>
          <w:rFonts w:asciiTheme="majorHAnsi" w:hAnsiTheme="majorHAnsi" w:cstheme="majorHAnsi"/>
          <w:b/>
          <w:sz w:val="36"/>
          <w:szCs w:val="36"/>
        </w:rPr>
        <w:t>ON THE REPUBLIC OF KOREA</w:t>
      </w:r>
    </w:p>
    <w:p w:rsidR="00C95CD7" w:rsidRPr="00151FF4" w:rsidRDefault="00C95CD7" w:rsidP="00151FF4">
      <w:pPr>
        <w:jc w:val="center"/>
        <w:rPr>
          <w:rFonts w:asciiTheme="majorHAnsi" w:hAnsiTheme="majorHAnsi" w:cstheme="majorHAnsi"/>
          <w:b/>
          <w:sz w:val="36"/>
          <w:szCs w:val="36"/>
        </w:rPr>
      </w:pPr>
    </w:p>
    <w:p w:rsidR="00C95CD7" w:rsidRPr="00151FF4" w:rsidRDefault="00874B53" w:rsidP="00151FF4">
      <w:pPr>
        <w:jc w:val="center"/>
        <w:rPr>
          <w:rFonts w:asciiTheme="majorHAnsi" w:hAnsiTheme="majorHAnsi" w:cstheme="majorHAnsi"/>
          <w:b/>
          <w:sz w:val="36"/>
          <w:szCs w:val="36"/>
        </w:rPr>
      </w:pPr>
      <w:r w:rsidRPr="00151FF4">
        <w:rPr>
          <w:rFonts w:asciiTheme="majorHAnsi" w:hAnsiTheme="majorHAnsi" w:cstheme="majorHAnsi"/>
          <w:b/>
          <w:sz w:val="36"/>
          <w:szCs w:val="36"/>
        </w:rPr>
        <w:t>NGO Submission to the</w:t>
      </w:r>
    </w:p>
    <w:p w:rsidR="00C95CD7" w:rsidRPr="00151FF4" w:rsidRDefault="00874B53" w:rsidP="00151FF4">
      <w:pPr>
        <w:jc w:val="center"/>
        <w:rPr>
          <w:rFonts w:asciiTheme="majorHAnsi" w:hAnsiTheme="majorHAnsi" w:cstheme="majorHAnsi"/>
          <w:b/>
          <w:sz w:val="36"/>
          <w:szCs w:val="36"/>
        </w:rPr>
      </w:pPr>
      <w:r w:rsidRPr="00151FF4">
        <w:rPr>
          <w:rFonts w:asciiTheme="majorHAnsi" w:hAnsiTheme="majorHAnsi" w:cstheme="majorHAnsi"/>
          <w:b/>
          <w:sz w:val="36"/>
          <w:szCs w:val="36"/>
        </w:rPr>
        <w:t xml:space="preserve">UN Committee on the Elimination of Discrimination </w:t>
      </w:r>
      <w:r w:rsidR="00151FF4">
        <w:rPr>
          <w:rFonts w:asciiTheme="majorHAnsi" w:hAnsiTheme="majorHAnsi" w:cstheme="majorHAnsi"/>
          <w:b/>
          <w:sz w:val="36"/>
          <w:szCs w:val="36"/>
        </w:rPr>
        <w:br/>
      </w:r>
      <w:r w:rsidRPr="00151FF4">
        <w:rPr>
          <w:rFonts w:asciiTheme="majorHAnsi" w:hAnsiTheme="majorHAnsi" w:cstheme="majorHAnsi"/>
          <w:b/>
          <w:sz w:val="36"/>
          <w:szCs w:val="36"/>
        </w:rPr>
        <w:t>against Women</w:t>
      </w:r>
      <w:r w:rsidRPr="00151FF4">
        <w:rPr>
          <w:rFonts w:asciiTheme="majorHAnsi" w:hAnsiTheme="majorHAnsi" w:cstheme="majorHAnsi"/>
          <w:b/>
          <w:sz w:val="36"/>
          <w:szCs w:val="36"/>
          <w:vertAlign w:val="superscript"/>
        </w:rPr>
        <w:footnoteReference w:id="1"/>
      </w:r>
    </w:p>
    <w:p w:rsidR="00C95CD7" w:rsidRPr="00151FF4" w:rsidRDefault="00C95CD7" w:rsidP="00151FF4">
      <w:pPr>
        <w:jc w:val="center"/>
        <w:rPr>
          <w:rFonts w:asciiTheme="majorHAnsi" w:hAnsiTheme="majorHAnsi" w:cstheme="majorHAnsi"/>
          <w:b/>
          <w:sz w:val="36"/>
          <w:szCs w:val="36"/>
        </w:rPr>
      </w:pPr>
    </w:p>
    <w:p w:rsidR="00C95CD7" w:rsidRPr="00151FF4" w:rsidRDefault="00874B53" w:rsidP="00151FF4">
      <w:pPr>
        <w:jc w:val="center"/>
        <w:rPr>
          <w:rFonts w:asciiTheme="majorHAnsi" w:hAnsiTheme="majorHAnsi" w:cstheme="majorHAnsi"/>
          <w:sz w:val="22"/>
          <w:szCs w:val="22"/>
          <w:highlight w:val="white"/>
        </w:rPr>
      </w:pPr>
      <w:r w:rsidRPr="00151FF4">
        <w:rPr>
          <w:rFonts w:asciiTheme="majorHAnsi" w:hAnsiTheme="majorHAnsi" w:cstheme="majorHAnsi"/>
          <w:b/>
          <w:sz w:val="36"/>
          <w:szCs w:val="36"/>
        </w:rPr>
        <w:t>88th Session, 13-31 May 2024</w:t>
      </w:r>
      <w:r w:rsidRPr="00151FF4">
        <w:rPr>
          <w:rFonts w:asciiTheme="majorHAnsi" w:hAnsiTheme="majorHAnsi" w:cstheme="majorHAnsi"/>
          <w:sz w:val="22"/>
          <w:szCs w:val="22"/>
        </w:rPr>
        <w:br w:type="page"/>
      </w:r>
    </w:p>
    <w:p w:rsidR="00C95CD7" w:rsidRPr="00151FF4" w:rsidRDefault="00874B53" w:rsidP="00151FF4">
      <w:pPr>
        <w:pStyle w:val="a3"/>
        <w:jc w:val="both"/>
        <w:rPr>
          <w:rFonts w:asciiTheme="majorHAnsi" w:hAnsiTheme="majorHAnsi" w:cstheme="majorHAnsi"/>
          <w:b w:val="0"/>
          <w:sz w:val="20"/>
          <w:szCs w:val="20"/>
          <w:highlight w:val="white"/>
        </w:rPr>
      </w:pPr>
      <w:r w:rsidRPr="00151FF4">
        <w:rPr>
          <w:rFonts w:asciiTheme="majorHAnsi" w:hAnsiTheme="majorHAnsi" w:cstheme="majorHAnsi"/>
          <w:highlight w:val="white"/>
        </w:rPr>
        <w:lastRenderedPageBreak/>
        <w:t>Table of Contents</w:t>
      </w:r>
    </w:p>
    <w:sdt>
      <w:sdtPr>
        <w:rPr>
          <w:rFonts w:ascii="맑은 고딕" w:hAnsi="맑은 고딕" w:cstheme="majorHAnsi"/>
          <w:color w:val="auto"/>
          <w:sz w:val="24"/>
          <w:szCs w:val="24"/>
          <w:lang w:val="ko-KR"/>
        </w:rPr>
        <w:id w:val="-974438884"/>
        <w:docPartObj>
          <w:docPartGallery w:val="Table of Contents"/>
          <w:docPartUnique/>
        </w:docPartObj>
      </w:sdtPr>
      <w:sdtEndPr>
        <w:rPr>
          <w:b/>
          <w:bCs/>
        </w:rPr>
      </w:sdtEndPr>
      <w:sdtContent>
        <w:p w:rsidR="00D32E12" w:rsidRPr="00151FF4" w:rsidRDefault="00D32E12" w:rsidP="00151FF4">
          <w:pPr>
            <w:pStyle w:val="TOC"/>
            <w:jc w:val="both"/>
            <w:rPr>
              <w:rFonts w:cstheme="majorHAnsi"/>
              <w:sz w:val="24"/>
              <w:szCs w:val="24"/>
            </w:rPr>
          </w:pPr>
        </w:p>
        <w:p w:rsidR="00874B53" w:rsidRPr="00D60258" w:rsidRDefault="00D32E12" w:rsidP="00874B53">
          <w:pPr>
            <w:pStyle w:val="10"/>
            <w:tabs>
              <w:tab w:val="right" w:leader="dot" w:pos="9016"/>
            </w:tabs>
            <w:rPr>
              <w:rFonts w:asciiTheme="majorHAnsi" w:hAnsiTheme="majorHAnsi" w:cstheme="majorHAnsi"/>
              <w:noProof/>
              <w:kern w:val="2"/>
              <w:sz w:val="20"/>
              <w14:ligatures w14:val="standardContextual"/>
            </w:rPr>
          </w:pPr>
          <w:r w:rsidRPr="00151FF4">
            <w:rPr>
              <w:rFonts w:asciiTheme="majorHAnsi" w:hAnsiTheme="majorHAnsi" w:cstheme="majorHAnsi"/>
              <w:sz w:val="24"/>
              <w:szCs w:val="24"/>
            </w:rPr>
            <w:fldChar w:fldCharType="begin"/>
          </w:r>
          <w:r w:rsidRPr="00151FF4">
            <w:rPr>
              <w:rFonts w:asciiTheme="majorHAnsi" w:hAnsiTheme="majorHAnsi" w:cstheme="majorHAnsi"/>
              <w:sz w:val="24"/>
              <w:szCs w:val="24"/>
            </w:rPr>
            <w:instrText xml:space="preserve"> TOC \o "1-3" \h \z \u </w:instrText>
          </w:r>
          <w:r w:rsidRPr="00151FF4">
            <w:rPr>
              <w:rFonts w:asciiTheme="majorHAnsi" w:hAnsiTheme="majorHAnsi" w:cstheme="majorHAnsi"/>
              <w:sz w:val="24"/>
              <w:szCs w:val="24"/>
            </w:rPr>
            <w:fldChar w:fldCharType="separate"/>
          </w:r>
          <w:hyperlink w:anchor="_Toc164087313" w:history="1">
            <w:r w:rsidR="00874B53" w:rsidRPr="00D60258">
              <w:rPr>
                <w:rStyle w:val="af5"/>
                <w:rFonts w:asciiTheme="majorHAnsi" w:hAnsiTheme="majorHAnsi" w:cstheme="majorHAnsi"/>
                <w:noProof/>
              </w:rPr>
              <w:t>Introduction</w:t>
            </w:r>
            <w:r w:rsidR="00874B53" w:rsidRPr="00D60258">
              <w:rPr>
                <w:rFonts w:asciiTheme="majorHAnsi" w:hAnsiTheme="majorHAnsi" w:cstheme="majorHAnsi"/>
                <w:noProof/>
                <w:webHidden/>
              </w:rPr>
              <w:tab/>
            </w:r>
            <w:r w:rsidR="00874B53" w:rsidRPr="00D60258">
              <w:rPr>
                <w:rFonts w:asciiTheme="majorHAnsi" w:hAnsiTheme="majorHAnsi" w:cstheme="majorHAnsi"/>
                <w:noProof/>
                <w:webHidden/>
              </w:rPr>
              <w:fldChar w:fldCharType="begin"/>
            </w:r>
            <w:r w:rsidR="00874B53" w:rsidRPr="00D60258">
              <w:rPr>
                <w:rFonts w:asciiTheme="majorHAnsi" w:hAnsiTheme="majorHAnsi" w:cstheme="majorHAnsi"/>
                <w:noProof/>
                <w:webHidden/>
              </w:rPr>
              <w:instrText xml:space="preserve"> PAGEREF _Toc164087313 \h </w:instrText>
            </w:r>
            <w:r w:rsidR="00874B53" w:rsidRPr="00D60258">
              <w:rPr>
                <w:rFonts w:asciiTheme="majorHAnsi" w:hAnsiTheme="majorHAnsi" w:cstheme="majorHAnsi"/>
                <w:noProof/>
                <w:webHidden/>
              </w:rPr>
            </w:r>
            <w:r w:rsidR="00874B53" w:rsidRPr="00D60258">
              <w:rPr>
                <w:rFonts w:asciiTheme="majorHAnsi" w:hAnsiTheme="majorHAnsi" w:cstheme="majorHAnsi"/>
                <w:noProof/>
                <w:webHidden/>
              </w:rPr>
              <w:fldChar w:fldCharType="separate"/>
            </w:r>
            <w:r w:rsidR="00D60258" w:rsidRPr="00D60258">
              <w:rPr>
                <w:rFonts w:asciiTheme="majorHAnsi" w:hAnsiTheme="majorHAnsi" w:cstheme="majorHAnsi"/>
                <w:noProof/>
                <w:webHidden/>
              </w:rPr>
              <w:t>1</w:t>
            </w:r>
            <w:r w:rsidR="00874B53" w:rsidRPr="00D60258">
              <w:rPr>
                <w:rFonts w:asciiTheme="majorHAnsi" w:hAnsiTheme="majorHAnsi" w:cstheme="majorHAnsi"/>
                <w:noProof/>
                <w:webHidden/>
              </w:rPr>
              <w:fldChar w:fldCharType="end"/>
            </w:r>
          </w:hyperlink>
        </w:p>
        <w:p w:rsidR="00874B53" w:rsidRPr="00D60258" w:rsidRDefault="00D60258" w:rsidP="00874B53">
          <w:pPr>
            <w:pStyle w:val="10"/>
            <w:tabs>
              <w:tab w:val="right" w:leader="dot" w:pos="9016"/>
            </w:tabs>
            <w:rPr>
              <w:rFonts w:asciiTheme="majorHAnsi" w:hAnsiTheme="majorHAnsi" w:cstheme="majorHAnsi"/>
              <w:noProof/>
              <w:kern w:val="2"/>
              <w:sz w:val="20"/>
              <w14:ligatures w14:val="standardContextual"/>
            </w:rPr>
          </w:pPr>
          <w:hyperlink w:anchor="_Toc164087314" w:history="1">
            <w:r w:rsidR="00874B53" w:rsidRPr="00D60258">
              <w:rPr>
                <w:rStyle w:val="af5"/>
                <w:rFonts w:asciiTheme="majorHAnsi" w:hAnsiTheme="majorHAnsi" w:cstheme="majorHAnsi"/>
                <w:noProof/>
              </w:rPr>
              <w:t>Gender-based violence against women (GBVAW)</w:t>
            </w:r>
            <w:r w:rsidR="00874B53" w:rsidRPr="00D60258">
              <w:rPr>
                <w:rFonts w:asciiTheme="majorHAnsi" w:hAnsiTheme="majorHAnsi" w:cstheme="majorHAnsi"/>
                <w:noProof/>
                <w:webHidden/>
              </w:rPr>
              <w:tab/>
            </w:r>
            <w:r w:rsidR="00874B53" w:rsidRPr="00D60258">
              <w:rPr>
                <w:rFonts w:asciiTheme="majorHAnsi" w:hAnsiTheme="majorHAnsi" w:cstheme="majorHAnsi"/>
                <w:noProof/>
                <w:webHidden/>
              </w:rPr>
              <w:fldChar w:fldCharType="begin"/>
            </w:r>
            <w:r w:rsidR="00874B53" w:rsidRPr="00D60258">
              <w:rPr>
                <w:rFonts w:asciiTheme="majorHAnsi" w:hAnsiTheme="majorHAnsi" w:cstheme="majorHAnsi"/>
                <w:noProof/>
                <w:webHidden/>
              </w:rPr>
              <w:instrText xml:space="preserve"> PAGEREF _Toc164087314 \h </w:instrText>
            </w:r>
            <w:r w:rsidR="00874B53" w:rsidRPr="00D60258">
              <w:rPr>
                <w:rFonts w:asciiTheme="majorHAnsi" w:hAnsiTheme="majorHAnsi" w:cstheme="majorHAnsi"/>
                <w:noProof/>
                <w:webHidden/>
              </w:rPr>
            </w:r>
            <w:r w:rsidR="00874B53" w:rsidRPr="00D60258">
              <w:rPr>
                <w:rFonts w:asciiTheme="majorHAnsi" w:hAnsiTheme="majorHAnsi" w:cstheme="majorHAnsi"/>
                <w:noProof/>
                <w:webHidden/>
              </w:rPr>
              <w:fldChar w:fldCharType="separate"/>
            </w:r>
            <w:r w:rsidRPr="00D60258">
              <w:rPr>
                <w:rFonts w:asciiTheme="majorHAnsi" w:hAnsiTheme="majorHAnsi" w:cstheme="majorHAnsi"/>
                <w:noProof/>
                <w:webHidden/>
              </w:rPr>
              <w:t>2</w:t>
            </w:r>
            <w:r w:rsidR="00874B53" w:rsidRPr="00D60258">
              <w:rPr>
                <w:rFonts w:asciiTheme="majorHAnsi" w:hAnsiTheme="majorHAnsi" w:cstheme="majorHAnsi"/>
                <w:noProof/>
                <w:webHidden/>
              </w:rPr>
              <w:fldChar w:fldCharType="end"/>
            </w:r>
          </w:hyperlink>
        </w:p>
        <w:p w:rsidR="00874B53" w:rsidRPr="00D60258" w:rsidRDefault="00D60258" w:rsidP="00874B53">
          <w:pPr>
            <w:pStyle w:val="20"/>
            <w:tabs>
              <w:tab w:val="left" w:pos="600"/>
            </w:tabs>
            <w:jc w:val="left"/>
            <w:rPr>
              <w:kern w:val="2"/>
              <w:sz w:val="20"/>
              <w14:ligatures w14:val="standardContextual"/>
            </w:rPr>
          </w:pPr>
          <w:hyperlink w:anchor="_Toc164087315" w:history="1">
            <w:r w:rsidR="00874B53" w:rsidRPr="00D60258">
              <w:rPr>
                <w:rStyle w:val="af5"/>
              </w:rPr>
              <w:t>1.</w:t>
            </w:r>
            <w:r w:rsidR="00874B53" w:rsidRPr="00D60258">
              <w:rPr>
                <w:kern w:val="2"/>
                <w:sz w:val="20"/>
                <w14:ligatures w14:val="standardContextual"/>
              </w:rPr>
              <w:tab/>
            </w:r>
            <w:r w:rsidR="00874B53" w:rsidRPr="00D60258">
              <w:rPr>
                <w:rStyle w:val="af5"/>
              </w:rPr>
              <w:t>Violence against women prevention policies without ‘women’</w:t>
            </w:r>
            <w:r w:rsidR="00874B53" w:rsidRPr="00D60258">
              <w:rPr>
                <w:webHidden/>
              </w:rPr>
              <w:tab/>
            </w:r>
            <w:r w:rsidR="00874B53" w:rsidRPr="00D60258">
              <w:rPr>
                <w:webHidden/>
              </w:rPr>
              <w:fldChar w:fldCharType="begin"/>
            </w:r>
            <w:r w:rsidR="00874B53" w:rsidRPr="00D60258">
              <w:rPr>
                <w:webHidden/>
              </w:rPr>
              <w:instrText xml:space="preserve"> PAGEREF _Toc164087315 \h </w:instrText>
            </w:r>
            <w:r w:rsidR="00874B53" w:rsidRPr="00D60258">
              <w:rPr>
                <w:webHidden/>
              </w:rPr>
            </w:r>
            <w:r w:rsidR="00874B53" w:rsidRPr="00D60258">
              <w:rPr>
                <w:webHidden/>
              </w:rPr>
              <w:fldChar w:fldCharType="separate"/>
            </w:r>
            <w:r w:rsidRPr="00D60258">
              <w:rPr>
                <w:webHidden/>
              </w:rPr>
              <w:t>2</w:t>
            </w:r>
            <w:r w:rsidR="00874B53" w:rsidRPr="00D60258">
              <w:rPr>
                <w:webHidden/>
              </w:rPr>
              <w:fldChar w:fldCharType="end"/>
            </w:r>
          </w:hyperlink>
        </w:p>
        <w:p w:rsidR="00874B53" w:rsidRPr="00D60258" w:rsidRDefault="00D60258" w:rsidP="00874B53">
          <w:pPr>
            <w:pStyle w:val="20"/>
            <w:jc w:val="left"/>
            <w:rPr>
              <w:kern w:val="2"/>
              <w:sz w:val="20"/>
              <w14:ligatures w14:val="standardContextual"/>
            </w:rPr>
          </w:pPr>
          <w:hyperlink w:anchor="_Toc164087316" w:history="1">
            <w:r w:rsidR="00874B53" w:rsidRPr="00D60258">
              <w:rPr>
                <w:rStyle w:val="af5"/>
                <w:highlight w:val="white"/>
              </w:rPr>
              <w:t xml:space="preserve">2. Abolishing the family-maintaining perspective of The Act On Special Cases Concerning The Punishment Of Crimes Of Domestic Violence and </w:t>
            </w:r>
            <w:r w:rsidR="00874B53" w:rsidRPr="00D60258">
              <w:rPr>
                <w:rStyle w:val="af5"/>
              </w:rPr>
              <w:t>substantializing punishment</w:t>
            </w:r>
            <w:r w:rsidR="00874B53" w:rsidRPr="00D60258">
              <w:rPr>
                <w:webHidden/>
              </w:rPr>
              <w:tab/>
            </w:r>
            <w:r w:rsidR="00874B53" w:rsidRPr="00D60258">
              <w:rPr>
                <w:webHidden/>
              </w:rPr>
              <w:fldChar w:fldCharType="begin"/>
            </w:r>
            <w:r w:rsidR="00874B53" w:rsidRPr="00D60258">
              <w:rPr>
                <w:webHidden/>
              </w:rPr>
              <w:instrText xml:space="preserve"> PAGEREF _Toc164087316 \h </w:instrText>
            </w:r>
            <w:r w:rsidR="00874B53" w:rsidRPr="00D60258">
              <w:rPr>
                <w:webHidden/>
              </w:rPr>
            </w:r>
            <w:r w:rsidR="00874B53" w:rsidRPr="00D60258">
              <w:rPr>
                <w:webHidden/>
              </w:rPr>
              <w:fldChar w:fldCharType="separate"/>
            </w:r>
            <w:r w:rsidRPr="00D60258">
              <w:rPr>
                <w:webHidden/>
              </w:rPr>
              <w:t>3</w:t>
            </w:r>
            <w:r w:rsidR="00874B53" w:rsidRPr="00D60258">
              <w:rPr>
                <w:webHidden/>
              </w:rPr>
              <w:fldChar w:fldCharType="end"/>
            </w:r>
          </w:hyperlink>
        </w:p>
        <w:p w:rsidR="00874B53" w:rsidRPr="00D60258" w:rsidRDefault="00D60258" w:rsidP="00874B53">
          <w:pPr>
            <w:pStyle w:val="20"/>
            <w:jc w:val="left"/>
            <w:rPr>
              <w:kern w:val="2"/>
              <w:sz w:val="20"/>
              <w14:ligatures w14:val="standardContextual"/>
            </w:rPr>
          </w:pPr>
          <w:hyperlink w:anchor="_Toc164087317" w:history="1">
            <w:r w:rsidR="00874B53" w:rsidRPr="00D60258">
              <w:rPr>
                <w:rStyle w:val="af5"/>
              </w:rPr>
              <w:t>3. Discarding the indictment suspension on condition of counseling article from the DVPA</w:t>
            </w:r>
            <w:r w:rsidR="00874B53" w:rsidRPr="00D60258">
              <w:rPr>
                <w:webHidden/>
              </w:rPr>
              <w:tab/>
            </w:r>
            <w:r w:rsidR="00874B53" w:rsidRPr="00D60258">
              <w:rPr>
                <w:webHidden/>
              </w:rPr>
              <w:fldChar w:fldCharType="begin"/>
            </w:r>
            <w:r w:rsidR="00874B53" w:rsidRPr="00D60258">
              <w:rPr>
                <w:webHidden/>
              </w:rPr>
              <w:instrText xml:space="preserve"> PAGEREF _Toc164087317 \h </w:instrText>
            </w:r>
            <w:r w:rsidR="00874B53" w:rsidRPr="00D60258">
              <w:rPr>
                <w:webHidden/>
              </w:rPr>
            </w:r>
            <w:r w:rsidR="00874B53" w:rsidRPr="00D60258">
              <w:rPr>
                <w:webHidden/>
              </w:rPr>
              <w:fldChar w:fldCharType="separate"/>
            </w:r>
            <w:r w:rsidRPr="00D60258">
              <w:rPr>
                <w:webHidden/>
              </w:rPr>
              <w:t>4</w:t>
            </w:r>
            <w:r w:rsidR="00874B53" w:rsidRPr="00D60258">
              <w:rPr>
                <w:webHidden/>
              </w:rPr>
              <w:fldChar w:fldCharType="end"/>
            </w:r>
          </w:hyperlink>
        </w:p>
        <w:p w:rsidR="00874B53" w:rsidRPr="00D60258" w:rsidRDefault="00D60258" w:rsidP="00874B53">
          <w:pPr>
            <w:pStyle w:val="20"/>
            <w:jc w:val="left"/>
            <w:rPr>
              <w:kern w:val="2"/>
              <w:sz w:val="20"/>
              <w14:ligatures w14:val="standardContextual"/>
            </w:rPr>
          </w:pPr>
          <w:hyperlink w:anchor="_Toc164087318" w:history="1">
            <w:r w:rsidR="00874B53" w:rsidRPr="00D60258">
              <w:rPr>
                <w:rStyle w:val="af5"/>
              </w:rPr>
              <w:t>4. Implementing a mandatory arrest policy of GBVAW perpetrators</w:t>
            </w:r>
            <w:r w:rsidR="00874B53" w:rsidRPr="00D60258">
              <w:rPr>
                <w:webHidden/>
              </w:rPr>
              <w:tab/>
            </w:r>
            <w:r w:rsidR="00874B53" w:rsidRPr="00D60258">
              <w:rPr>
                <w:webHidden/>
              </w:rPr>
              <w:fldChar w:fldCharType="begin"/>
            </w:r>
            <w:r w:rsidR="00874B53" w:rsidRPr="00D60258">
              <w:rPr>
                <w:webHidden/>
              </w:rPr>
              <w:instrText xml:space="preserve"> PAGEREF _Toc164087318 \h </w:instrText>
            </w:r>
            <w:r w:rsidR="00874B53" w:rsidRPr="00D60258">
              <w:rPr>
                <w:webHidden/>
              </w:rPr>
            </w:r>
            <w:r w:rsidR="00874B53" w:rsidRPr="00D60258">
              <w:rPr>
                <w:webHidden/>
              </w:rPr>
              <w:fldChar w:fldCharType="separate"/>
            </w:r>
            <w:r w:rsidRPr="00D60258">
              <w:rPr>
                <w:webHidden/>
              </w:rPr>
              <w:t>4</w:t>
            </w:r>
            <w:r w:rsidR="00874B53" w:rsidRPr="00D60258">
              <w:rPr>
                <w:webHidden/>
              </w:rPr>
              <w:fldChar w:fldCharType="end"/>
            </w:r>
          </w:hyperlink>
        </w:p>
        <w:p w:rsidR="00874B53" w:rsidRPr="00D60258" w:rsidRDefault="00D60258" w:rsidP="00874B53">
          <w:pPr>
            <w:pStyle w:val="20"/>
            <w:jc w:val="left"/>
            <w:rPr>
              <w:kern w:val="2"/>
              <w:sz w:val="20"/>
              <w14:ligatures w14:val="standardContextual"/>
            </w:rPr>
          </w:pPr>
          <w:hyperlink w:anchor="_Toc164087319" w:history="1">
            <w:r w:rsidR="00874B53" w:rsidRPr="00D60258">
              <w:rPr>
                <w:rStyle w:val="af5"/>
              </w:rPr>
              <w:t>5. Criminalizing rape on the basis of consent and specifying criminalization for marital rape</w:t>
            </w:r>
            <w:r w:rsidR="00874B53" w:rsidRPr="00D60258">
              <w:rPr>
                <w:webHidden/>
              </w:rPr>
              <w:tab/>
            </w:r>
            <w:r w:rsidR="00874B53" w:rsidRPr="00D60258">
              <w:rPr>
                <w:webHidden/>
              </w:rPr>
              <w:fldChar w:fldCharType="begin"/>
            </w:r>
            <w:r w:rsidR="00874B53" w:rsidRPr="00D60258">
              <w:rPr>
                <w:webHidden/>
              </w:rPr>
              <w:instrText xml:space="preserve"> PAGEREF _Toc164087319 \h </w:instrText>
            </w:r>
            <w:r w:rsidR="00874B53" w:rsidRPr="00D60258">
              <w:rPr>
                <w:webHidden/>
              </w:rPr>
            </w:r>
            <w:r w:rsidR="00874B53" w:rsidRPr="00D60258">
              <w:rPr>
                <w:webHidden/>
              </w:rPr>
              <w:fldChar w:fldCharType="separate"/>
            </w:r>
            <w:r w:rsidRPr="00D60258">
              <w:rPr>
                <w:webHidden/>
              </w:rPr>
              <w:t>5</w:t>
            </w:r>
            <w:r w:rsidR="00874B53" w:rsidRPr="00D60258">
              <w:rPr>
                <w:webHidden/>
              </w:rPr>
              <w:fldChar w:fldCharType="end"/>
            </w:r>
          </w:hyperlink>
        </w:p>
        <w:p w:rsidR="00874B53" w:rsidRPr="00D60258" w:rsidRDefault="00D60258" w:rsidP="00874B53">
          <w:pPr>
            <w:pStyle w:val="20"/>
            <w:jc w:val="left"/>
            <w:rPr>
              <w:kern w:val="2"/>
              <w:sz w:val="20"/>
              <w14:ligatures w14:val="standardContextual"/>
            </w:rPr>
          </w:pPr>
          <w:hyperlink w:anchor="_Toc164087320" w:history="1">
            <w:r w:rsidR="00874B53" w:rsidRPr="00D60258">
              <w:rPr>
                <w:rStyle w:val="af5"/>
              </w:rPr>
              <w:t>6. Establishing a system of preventing retaliatory countersuits against GBVAW victims, including false accusation and ‘mutual abuse’ claims, and improving awareness of law enforcement</w:t>
            </w:r>
            <w:r w:rsidR="00874B53" w:rsidRPr="00D60258">
              <w:rPr>
                <w:webHidden/>
              </w:rPr>
              <w:tab/>
            </w:r>
            <w:r w:rsidR="00874B53" w:rsidRPr="00D60258">
              <w:rPr>
                <w:webHidden/>
              </w:rPr>
              <w:fldChar w:fldCharType="begin"/>
            </w:r>
            <w:r w:rsidR="00874B53" w:rsidRPr="00D60258">
              <w:rPr>
                <w:webHidden/>
              </w:rPr>
              <w:instrText xml:space="preserve"> PAGEREF _Toc164087320 \h </w:instrText>
            </w:r>
            <w:r w:rsidR="00874B53" w:rsidRPr="00D60258">
              <w:rPr>
                <w:webHidden/>
              </w:rPr>
            </w:r>
            <w:r w:rsidR="00874B53" w:rsidRPr="00D60258">
              <w:rPr>
                <w:webHidden/>
              </w:rPr>
              <w:fldChar w:fldCharType="separate"/>
            </w:r>
            <w:r w:rsidRPr="00D60258">
              <w:rPr>
                <w:webHidden/>
              </w:rPr>
              <w:t>6</w:t>
            </w:r>
            <w:r w:rsidR="00874B53" w:rsidRPr="00D60258">
              <w:rPr>
                <w:webHidden/>
              </w:rPr>
              <w:fldChar w:fldCharType="end"/>
            </w:r>
          </w:hyperlink>
        </w:p>
        <w:p w:rsidR="00874B53" w:rsidRPr="00D60258" w:rsidRDefault="00D60258" w:rsidP="00874B53">
          <w:pPr>
            <w:pStyle w:val="20"/>
            <w:jc w:val="left"/>
            <w:rPr>
              <w:kern w:val="2"/>
              <w:sz w:val="20"/>
              <w14:ligatures w14:val="standardContextual"/>
            </w:rPr>
          </w:pPr>
          <w:hyperlink w:anchor="_Toc164087321" w:history="1">
            <w:r w:rsidR="00874B53" w:rsidRPr="00D60258">
              <w:rPr>
                <w:rStyle w:val="af5"/>
              </w:rPr>
              <w:t>7. Substantializing punishment for online sexual harassment and specifying obligations of online platforms</w:t>
            </w:r>
            <w:r w:rsidR="00874B53" w:rsidRPr="00D60258">
              <w:rPr>
                <w:webHidden/>
              </w:rPr>
              <w:tab/>
            </w:r>
            <w:r w:rsidR="00874B53" w:rsidRPr="00D60258">
              <w:rPr>
                <w:webHidden/>
              </w:rPr>
              <w:fldChar w:fldCharType="begin"/>
            </w:r>
            <w:r w:rsidR="00874B53" w:rsidRPr="00D60258">
              <w:rPr>
                <w:webHidden/>
              </w:rPr>
              <w:instrText xml:space="preserve"> PAGEREF _Toc164087321 \h </w:instrText>
            </w:r>
            <w:r w:rsidR="00874B53" w:rsidRPr="00D60258">
              <w:rPr>
                <w:webHidden/>
              </w:rPr>
            </w:r>
            <w:r w:rsidR="00874B53" w:rsidRPr="00D60258">
              <w:rPr>
                <w:webHidden/>
              </w:rPr>
              <w:fldChar w:fldCharType="separate"/>
            </w:r>
            <w:r w:rsidRPr="00D60258">
              <w:rPr>
                <w:webHidden/>
              </w:rPr>
              <w:t>7</w:t>
            </w:r>
            <w:r w:rsidR="00874B53" w:rsidRPr="00D60258">
              <w:rPr>
                <w:webHidden/>
              </w:rPr>
              <w:fldChar w:fldCharType="end"/>
            </w:r>
          </w:hyperlink>
        </w:p>
        <w:p w:rsidR="00874B53" w:rsidRPr="00D60258" w:rsidRDefault="00D60258" w:rsidP="00874B53">
          <w:pPr>
            <w:pStyle w:val="20"/>
            <w:jc w:val="left"/>
            <w:rPr>
              <w:kern w:val="2"/>
              <w:sz w:val="20"/>
              <w14:ligatures w14:val="standardContextual"/>
            </w:rPr>
          </w:pPr>
          <w:hyperlink w:anchor="_Toc164087322" w:history="1">
            <w:r w:rsidR="00874B53" w:rsidRPr="00D60258">
              <w:rPr>
                <w:rStyle w:val="af5"/>
              </w:rPr>
              <w:t>8. Securing housing rights and a stable budget for victims of GBVAW</w:t>
            </w:r>
            <w:r w:rsidR="00874B53" w:rsidRPr="00D60258">
              <w:rPr>
                <w:webHidden/>
              </w:rPr>
              <w:tab/>
            </w:r>
            <w:r w:rsidR="00874B53" w:rsidRPr="00D60258">
              <w:rPr>
                <w:webHidden/>
              </w:rPr>
              <w:fldChar w:fldCharType="begin"/>
            </w:r>
            <w:r w:rsidR="00874B53" w:rsidRPr="00D60258">
              <w:rPr>
                <w:webHidden/>
              </w:rPr>
              <w:instrText xml:space="preserve"> PAGEREF _Toc164087322 \h </w:instrText>
            </w:r>
            <w:r w:rsidR="00874B53" w:rsidRPr="00D60258">
              <w:rPr>
                <w:webHidden/>
              </w:rPr>
            </w:r>
            <w:r w:rsidR="00874B53" w:rsidRPr="00D60258">
              <w:rPr>
                <w:webHidden/>
              </w:rPr>
              <w:fldChar w:fldCharType="separate"/>
            </w:r>
            <w:r w:rsidRPr="00D60258">
              <w:rPr>
                <w:webHidden/>
              </w:rPr>
              <w:t>8</w:t>
            </w:r>
            <w:r w:rsidR="00874B53" w:rsidRPr="00D60258">
              <w:rPr>
                <w:webHidden/>
              </w:rPr>
              <w:fldChar w:fldCharType="end"/>
            </w:r>
          </w:hyperlink>
        </w:p>
        <w:p w:rsidR="00874B53" w:rsidRPr="00D60258" w:rsidRDefault="00D60258" w:rsidP="00874B53">
          <w:pPr>
            <w:pStyle w:val="20"/>
            <w:jc w:val="left"/>
            <w:rPr>
              <w:kern w:val="2"/>
              <w:sz w:val="20"/>
              <w14:ligatures w14:val="standardContextual"/>
            </w:rPr>
          </w:pPr>
          <w:hyperlink w:anchor="_Toc164087323" w:history="1">
            <w:r w:rsidR="00874B53" w:rsidRPr="00D60258">
              <w:rPr>
                <w:rStyle w:val="af5"/>
              </w:rPr>
              <w:t>9. Establishing GBVAW femicide statistics and conducting comprehensive survey</w:t>
            </w:r>
            <w:r w:rsidR="00874B53" w:rsidRPr="00D60258">
              <w:rPr>
                <w:webHidden/>
              </w:rPr>
              <w:tab/>
            </w:r>
            <w:r w:rsidR="00874B53" w:rsidRPr="00D60258">
              <w:rPr>
                <w:webHidden/>
              </w:rPr>
              <w:fldChar w:fldCharType="begin"/>
            </w:r>
            <w:r w:rsidR="00874B53" w:rsidRPr="00D60258">
              <w:rPr>
                <w:webHidden/>
              </w:rPr>
              <w:instrText xml:space="preserve"> PAGEREF _Toc164087323 \h </w:instrText>
            </w:r>
            <w:r w:rsidR="00874B53" w:rsidRPr="00D60258">
              <w:rPr>
                <w:webHidden/>
              </w:rPr>
            </w:r>
            <w:r w:rsidR="00874B53" w:rsidRPr="00D60258">
              <w:rPr>
                <w:webHidden/>
              </w:rPr>
              <w:fldChar w:fldCharType="separate"/>
            </w:r>
            <w:r w:rsidRPr="00D60258">
              <w:rPr>
                <w:webHidden/>
              </w:rPr>
              <w:t>9</w:t>
            </w:r>
            <w:r w:rsidR="00874B53" w:rsidRPr="00D60258">
              <w:rPr>
                <w:webHidden/>
              </w:rPr>
              <w:fldChar w:fldCharType="end"/>
            </w:r>
          </w:hyperlink>
        </w:p>
        <w:p w:rsidR="00874B53" w:rsidRPr="00D60258" w:rsidRDefault="00D60258" w:rsidP="00874B53">
          <w:pPr>
            <w:pStyle w:val="10"/>
            <w:tabs>
              <w:tab w:val="right" w:leader="dot" w:pos="9016"/>
            </w:tabs>
            <w:rPr>
              <w:rFonts w:asciiTheme="majorHAnsi" w:hAnsiTheme="majorHAnsi" w:cstheme="majorHAnsi"/>
              <w:noProof/>
              <w:kern w:val="2"/>
              <w:sz w:val="20"/>
              <w14:ligatures w14:val="standardContextual"/>
            </w:rPr>
          </w:pPr>
          <w:hyperlink w:anchor="_Toc164087324" w:history="1">
            <w:r w:rsidR="00874B53" w:rsidRPr="00D60258">
              <w:rPr>
                <w:rStyle w:val="af5"/>
                <w:rFonts w:asciiTheme="majorHAnsi" w:hAnsiTheme="majorHAnsi" w:cstheme="majorHAnsi"/>
                <w:noProof/>
              </w:rPr>
              <w:t>Education</w:t>
            </w:r>
            <w:r w:rsidR="00874B53" w:rsidRPr="00D60258">
              <w:rPr>
                <w:rFonts w:asciiTheme="majorHAnsi" w:hAnsiTheme="majorHAnsi" w:cstheme="majorHAnsi"/>
                <w:noProof/>
                <w:webHidden/>
              </w:rPr>
              <w:tab/>
            </w:r>
            <w:r w:rsidR="00874B53" w:rsidRPr="00D60258">
              <w:rPr>
                <w:rFonts w:asciiTheme="majorHAnsi" w:hAnsiTheme="majorHAnsi" w:cstheme="majorHAnsi"/>
                <w:noProof/>
                <w:webHidden/>
              </w:rPr>
              <w:fldChar w:fldCharType="begin"/>
            </w:r>
            <w:r w:rsidR="00874B53" w:rsidRPr="00D60258">
              <w:rPr>
                <w:rFonts w:asciiTheme="majorHAnsi" w:hAnsiTheme="majorHAnsi" w:cstheme="majorHAnsi"/>
                <w:noProof/>
                <w:webHidden/>
              </w:rPr>
              <w:instrText xml:space="preserve"> PAGEREF _Toc164087324 \h </w:instrText>
            </w:r>
            <w:r w:rsidR="00874B53" w:rsidRPr="00D60258">
              <w:rPr>
                <w:rFonts w:asciiTheme="majorHAnsi" w:hAnsiTheme="majorHAnsi" w:cstheme="majorHAnsi"/>
                <w:noProof/>
                <w:webHidden/>
              </w:rPr>
            </w:r>
            <w:r w:rsidR="00874B53" w:rsidRPr="00D60258">
              <w:rPr>
                <w:rFonts w:asciiTheme="majorHAnsi" w:hAnsiTheme="majorHAnsi" w:cstheme="majorHAnsi"/>
                <w:noProof/>
                <w:webHidden/>
              </w:rPr>
              <w:fldChar w:fldCharType="separate"/>
            </w:r>
            <w:r w:rsidRPr="00D60258">
              <w:rPr>
                <w:rFonts w:asciiTheme="majorHAnsi" w:hAnsiTheme="majorHAnsi" w:cstheme="majorHAnsi"/>
                <w:noProof/>
                <w:webHidden/>
              </w:rPr>
              <w:t>10</w:t>
            </w:r>
            <w:r w:rsidR="00874B53" w:rsidRPr="00D60258">
              <w:rPr>
                <w:rFonts w:asciiTheme="majorHAnsi" w:hAnsiTheme="majorHAnsi" w:cstheme="majorHAnsi"/>
                <w:noProof/>
                <w:webHidden/>
              </w:rPr>
              <w:fldChar w:fldCharType="end"/>
            </w:r>
          </w:hyperlink>
        </w:p>
        <w:p w:rsidR="00874B53" w:rsidRPr="00D60258" w:rsidRDefault="00D60258" w:rsidP="00874B53">
          <w:pPr>
            <w:pStyle w:val="20"/>
            <w:jc w:val="left"/>
            <w:rPr>
              <w:kern w:val="2"/>
              <w:sz w:val="20"/>
              <w14:ligatures w14:val="standardContextual"/>
            </w:rPr>
          </w:pPr>
          <w:hyperlink w:anchor="_Toc164087325" w:history="1">
            <w:r w:rsidR="00874B53" w:rsidRPr="00D60258">
              <w:rPr>
                <w:rStyle w:val="af5"/>
              </w:rPr>
              <w:t>10. Regression of gender equality education</w:t>
            </w:r>
            <w:r w:rsidR="00874B53" w:rsidRPr="00D60258">
              <w:rPr>
                <w:webHidden/>
              </w:rPr>
              <w:tab/>
            </w:r>
            <w:r w:rsidR="00874B53" w:rsidRPr="00D60258">
              <w:rPr>
                <w:webHidden/>
              </w:rPr>
              <w:fldChar w:fldCharType="begin"/>
            </w:r>
            <w:r w:rsidR="00874B53" w:rsidRPr="00D60258">
              <w:rPr>
                <w:webHidden/>
              </w:rPr>
              <w:instrText xml:space="preserve"> PAGEREF _Toc164087325 \h </w:instrText>
            </w:r>
            <w:r w:rsidR="00874B53" w:rsidRPr="00D60258">
              <w:rPr>
                <w:webHidden/>
              </w:rPr>
            </w:r>
            <w:r w:rsidR="00874B53" w:rsidRPr="00D60258">
              <w:rPr>
                <w:webHidden/>
              </w:rPr>
              <w:fldChar w:fldCharType="separate"/>
            </w:r>
            <w:r w:rsidRPr="00D60258">
              <w:rPr>
                <w:webHidden/>
              </w:rPr>
              <w:t>10</w:t>
            </w:r>
            <w:r w:rsidR="00874B53" w:rsidRPr="00D60258">
              <w:rPr>
                <w:webHidden/>
              </w:rPr>
              <w:fldChar w:fldCharType="end"/>
            </w:r>
          </w:hyperlink>
        </w:p>
        <w:p w:rsidR="00874B53" w:rsidRPr="00D60258" w:rsidRDefault="00D60258" w:rsidP="00874B53">
          <w:pPr>
            <w:pStyle w:val="10"/>
            <w:tabs>
              <w:tab w:val="right" w:leader="dot" w:pos="9016"/>
            </w:tabs>
            <w:rPr>
              <w:rFonts w:asciiTheme="majorHAnsi" w:hAnsiTheme="majorHAnsi" w:cstheme="majorHAnsi"/>
              <w:noProof/>
              <w:kern w:val="2"/>
              <w:sz w:val="20"/>
              <w14:ligatures w14:val="standardContextual"/>
            </w:rPr>
          </w:pPr>
          <w:hyperlink w:anchor="_Toc164087326" w:history="1">
            <w:r w:rsidR="00874B53" w:rsidRPr="00D60258">
              <w:rPr>
                <w:rStyle w:val="af5"/>
                <w:rFonts w:asciiTheme="majorHAnsi" w:hAnsiTheme="majorHAnsi" w:cstheme="majorHAnsi"/>
                <w:noProof/>
              </w:rPr>
              <w:t>Marriage and family relations</w:t>
            </w:r>
            <w:r w:rsidR="00874B53" w:rsidRPr="00D60258">
              <w:rPr>
                <w:rFonts w:asciiTheme="majorHAnsi" w:hAnsiTheme="majorHAnsi" w:cstheme="majorHAnsi"/>
                <w:noProof/>
                <w:webHidden/>
              </w:rPr>
              <w:tab/>
            </w:r>
            <w:r w:rsidR="00874B53" w:rsidRPr="00D60258">
              <w:rPr>
                <w:rFonts w:asciiTheme="majorHAnsi" w:hAnsiTheme="majorHAnsi" w:cstheme="majorHAnsi"/>
                <w:noProof/>
                <w:webHidden/>
              </w:rPr>
              <w:fldChar w:fldCharType="begin"/>
            </w:r>
            <w:r w:rsidR="00874B53" w:rsidRPr="00D60258">
              <w:rPr>
                <w:rFonts w:asciiTheme="majorHAnsi" w:hAnsiTheme="majorHAnsi" w:cstheme="majorHAnsi"/>
                <w:noProof/>
                <w:webHidden/>
              </w:rPr>
              <w:instrText xml:space="preserve"> PAGEREF _Toc164087326 \h </w:instrText>
            </w:r>
            <w:r w:rsidR="00874B53" w:rsidRPr="00D60258">
              <w:rPr>
                <w:rFonts w:asciiTheme="majorHAnsi" w:hAnsiTheme="majorHAnsi" w:cstheme="majorHAnsi"/>
                <w:noProof/>
                <w:webHidden/>
              </w:rPr>
            </w:r>
            <w:r w:rsidR="00874B53" w:rsidRPr="00D60258">
              <w:rPr>
                <w:rFonts w:asciiTheme="majorHAnsi" w:hAnsiTheme="majorHAnsi" w:cstheme="majorHAnsi"/>
                <w:noProof/>
                <w:webHidden/>
              </w:rPr>
              <w:fldChar w:fldCharType="separate"/>
            </w:r>
            <w:r w:rsidRPr="00D60258">
              <w:rPr>
                <w:rFonts w:asciiTheme="majorHAnsi" w:hAnsiTheme="majorHAnsi" w:cstheme="majorHAnsi"/>
                <w:noProof/>
                <w:webHidden/>
              </w:rPr>
              <w:t>11</w:t>
            </w:r>
            <w:r w:rsidR="00874B53" w:rsidRPr="00D60258">
              <w:rPr>
                <w:rFonts w:asciiTheme="majorHAnsi" w:hAnsiTheme="majorHAnsi" w:cstheme="majorHAnsi"/>
                <w:noProof/>
                <w:webHidden/>
              </w:rPr>
              <w:fldChar w:fldCharType="end"/>
            </w:r>
          </w:hyperlink>
        </w:p>
        <w:p w:rsidR="00874B53" w:rsidRPr="00D60258" w:rsidRDefault="00D60258" w:rsidP="00874B53">
          <w:pPr>
            <w:pStyle w:val="20"/>
            <w:jc w:val="left"/>
            <w:rPr>
              <w:kern w:val="2"/>
              <w:sz w:val="20"/>
              <w14:ligatures w14:val="standardContextual"/>
            </w:rPr>
          </w:pPr>
          <w:hyperlink w:anchor="_Toc164087327" w:history="1">
            <w:r w:rsidR="00874B53" w:rsidRPr="00D60258">
              <w:rPr>
                <w:rStyle w:val="af5"/>
              </w:rPr>
              <w:t>11. The need for a comprehensive legislation to address VAW in intimate partner relationships</w:t>
            </w:r>
            <w:r w:rsidR="00874B53" w:rsidRPr="00D60258">
              <w:rPr>
                <w:webHidden/>
              </w:rPr>
              <w:tab/>
            </w:r>
            <w:r w:rsidR="00874B53" w:rsidRPr="00D60258">
              <w:rPr>
                <w:webHidden/>
              </w:rPr>
              <w:fldChar w:fldCharType="begin"/>
            </w:r>
            <w:r w:rsidR="00874B53" w:rsidRPr="00D60258">
              <w:rPr>
                <w:webHidden/>
              </w:rPr>
              <w:instrText xml:space="preserve"> PAGEREF _Toc164087327 \h </w:instrText>
            </w:r>
            <w:r w:rsidR="00874B53" w:rsidRPr="00D60258">
              <w:rPr>
                <w:webHidden/>
              </w:rPr>
            </w:r>
            <w:r w:rsidR="00874B53" w:rsidRPr="00D60258">
              <w:rPr>
                <w:webHidden/>
              </w:rPr>
              <w:fldChar w:fldCharType="separate"/>
            </w:r>
            <w:r w:rsidRPr="00D60258">
              <w:rPr>
                <w:webHidden/>
              </w:rPr>
              <w:t>11</w:t>
            </w:r>
            <w:r w:rsidR="00874B53" w:rsidRPr="00D60258">
              <w:rPr>
                <w:webHidden/>
              </w:rPr>
              <w:fldChar w:fldCharType="end"/>
            </w:r>
          </w:hyperlink>
        </w:p>
        <w:p w:rsidR="00874B53" w:rsidRPr="00D60258" w:rsidRDefault="00D60258" w:rsidP="00874B53">
          <w:pPr>
            <w:pStyle w:val="20"/>
            <w:jc w:val="left"/>
            <w:rPr>
              <w:kern w:val="2"/>
              <w:sz w:val="20"/>
              <w14:ligatures w14:val="standardContextual"/>
            </w:rPr>
          </w:pPr>
          <w:hyperlink w:anchor="_Toc164087328" w:history="1">
            <w:r w:rsidR="00874B53" w:rsidRPr="00D60258">
              <w:rPr>
                <w:rStyle w:val="af5"/>
              </w:rPr>
              <w:t>12. Ensuring the rights of VAW victims in the divorce process</w:t>
            </w:r>
            <w:r w:rsidR="00874B53" w:rsidRPr="00D60258">
              <w:rPr>
                <w:webHidden/>
              </w:rPr>
              <w:tab/>
            </w:r>
            <w:r w:rsidR="00874B53" w:rsidRPr="00D60258">
              <w:rPr>
                <w:webHidden/>
              </w:rPr>
              <w:fldChar w:fldCharType="begin"/>
            </w:r>
            <w:r w:rsidR="00874B53" w:rsidRPr="00D60258">
              <w:rPr>
                <w:webHidden/>
              </w:rPr>
              <w:instrText xml:space="preserve"> PAGEREF _Toc164087328 \h </w:instrText>
            </w:r>
            <w:r w:rsidR="00874B53" w:rsidRPr="00D60258">
              <w:rPr>
                <w:webHidden/>
              </w:rPr>
            </w:r>
            <w:r w:rsidR="00874B53" w:rsidRPr="00D60258">
              <w:rPr>
                <w:webHidden/>
              </w:rPr>
              <w:fldChar w:fldCharType="separate"/>
            </w:r>
            <w:r w:rsidRPr="00D60258">
              <w:rPr>
                <w:webHidden/>
              </w:rPr>
              <w:t>11</w:t>
            </w:r>
            <w:r w:rsidR="00874B53" w:rsidRPr="00D60258">
              <w:rPr>
                <w:webHidden/>
              </w:rPr>
              <w:fldChar w:fldCharType="end"/>
            </w:r>
          </w:hyperlink>
        </w:p>
        <w:p w:rsidR="00874B53" w:rsidRPr="00D60258" w:rsidRDefault="00D60258" w:rsidP="00874B53">
          <w:pPr>
            <w:pStyle w:val="20"/>
            <w:jc w:val="left"/>
            <w:rPr>
              <w:kern w:val="2"/>
              <w:sz w:val="20"/>
              <w14:ligatures w14:val="standardContextual"/>
            </w:rPr>
          </w:pPr>
          <w:hyperlink w:anchor="_Toc164087329" w:history="1">
            <w:r w:rsidR="00874B53" w:rsidRPr="00D60258">
              <w:rPr>
                <w:rStyle w:val="af5"/>
              </w:rPr>
              <w:t>13. Promoting civil lawsuits and compensation orders for substantial recovery of GBVAW victims</w:t>
            </w:r>
            <w:r w:rsidR="00874B53" w:rsidRPr="00D60258">
              <w:rPr>
                <w:webHidden/>
              </w:rPr>
              <w:tab/>
            </w:r>
            <w:r w:rsidR="00874B53" w:rsidRPr="00D60258">
              <w:rPr>
                <w:webHidden/>
              </w:rPr>
              <w:fldChar w:fldCharType="begin"/>
            </w:r>
            <w:r w:rsidR="00874B53" w:rsidRPr="00D60258">
              <w:rPr>
                <w:webHidden/>
              </w:rPr>
              <w:instrText xml:space="preserve"> PAGEREF _Toc164087329 \h </w:instrText>
            </w:r>
            <w:r w:rsidR="00874B53" w:rsidRPr="00D60258">
              <w:rPr>
                <w:webHidden/>
              </w:rPr>
            </w:r>
            <w:r w:rsidR="00874B53" w:rsidRPr="00D60258">
              <w:rPr>
                <w:webHidden/>
              </w:rPr>
              <w:fldChar w:fldCharType="separate"/>
            </w:r>
            <w:r w:rsidRPr="00D60258">
              <w:rPr>
                <w:webHidden/>
              </w:rPr>
              <w:t>12</w:t>
            </w:r>
            <w:r w:rsidR="00874B53" w:rsidRPr="00D60258">
              <w:rPr>
                <w:webHidden/>
              </w:rPr>
              <w:fldChar w:fldCharType="end"/>
            </w:r>
          </w:hyperlink>
        </w:p>
        <w:p w:rsidR="00874B53" w:rsidRPr="00D60258" w:rsidRDefault="00D60258" w:rsidP="00874B53">
          <w:pPr>
            <w:pStyle w:val="10"/>
            <w:tabs>
              <w:tab w:val="right" w:leader="dot" w:pos="9016"/>
            </w:tabs>
            <w:rPr>
              <w:rFonts w:asciiTheme="majorHAnsi" w:hAnsiTheme="majorHAnsi" w:cstheme="majorHAnsi"/>
              <w:noProof/>
              <w:kern w:val="2"/>
              <w:sz w:val="20"/>
              <w14:ligatures w14:val="standardContextual"/>
            </w:rPr>
          </w:pPr>
          <w:hyperlink w:anchor="_Toc164087330" w:history="1">
            <w:r w:rsidR="00874B53" w:rsidRPr="00D60258">
              <w:rPr>
                <w:rStyle w:val="af5"/>
                <w:rFonts w:asciiTheme="majorHAnsi" w:hAnsiTheme="majorHAnsi" w:cstheme="majorHAnsi"/>
                <w:noProof/>
              </w:rPr>
              <w:t>Matters That Are Not Covered by the List of Issues But Require Attention: Employment</w:t>
            </w:r>
            <w:r w:rsidR="00874B53" w:rsidRPr="00D60258">
              <w:rPr>
                <w:rFonts w:asciiTheme="majorHAnsi" w:hAnsiTheme="majorHAnsi" w:cstheme="majorHAnsi"/>
                <w:noProof/>
                <w:webHidden/>
              </w:rPr>
              <w:tab/>
            </w:r>
            <w:r w:rsidR="00874B53" w:rsidRPr="00D60258">
              <w:rPr>
                <w:rFonts w:asciiTheme="majorHAnsi" w:hAnsiTheme="majorHAnsi" w:cstheme="majorHAnsi"/>
                <w:noProof/>
                <w:webHidden/>
              </w:rPr>
              <w:fldChar w:fldCharType="begin"/>
            </w:r>
            <w:r w:rsidR="00874B53" w:rsidRPr="00D60258">
              <w:rPr>
                <w:rFonts w:asciiTheme="majorHAnsi" w:hAnsiTheme="majorHAnsi" w:cstheme="majorHAnsi"/>
                <w:noProof/>
                <w:webHidden/>
              </w:rPr>
              <w:instrText xml:space="preserve"> PAGEREF _Toc164087330 \h </w:instrText>
            </w:r>
            <w:r w:rsidR="00874B53" w:rsidRPr="00D60258">
              <w:rPr>
                <w:rFonts w:asciiTheme="majorHAnsi" w:hAnsiTheme="majorHAnsi" w:cstheme="majorHAnsi"/>
                <w:noProof/>
                <w:webHidden/>
              </w:rPr>
            </w:r>
            <w:r w:rsidR="00874B53" w:rsidRPr="00D60258">
              <w:rPr>
                <w:rFonts w:asciiTheme="majorHAnsi" w:hAnsiTheme="majorHAnsi" w:cstheme="majorHAnsi"/>
                <w:noProof/>
                <w:webHidden/>
              </w:rPr>
              <w:fldChar w:fldCharType="separate"/>
            </w:r>
            <w:r w:rsidRPr="00D60258">
              <w:rPr>
                <w:rFonts w:asciiTheme="majorHAnsi" w:hAnsiTheme="majorHAnsi" w:cstheme="majorHAnsi"/>
                <w:noProof/>
                <w:webHidden/>
              </w:rPr>
              <w:t>13</w:t>
            </w:r>
            <w:r w:rsidR="00874B53" w:rsidRPr="00D60258">
              <w:rPr>
                <w:rFonts w:asciiTheme="majorHAnsi" w:hAnsiTheme="majorHAnsi" w:cstheme="majorHAnsi"/>
                <w:noProof/>
                <w:webHidden/>
              </w:rPr>
              <w:fldChar w:fldCharType="end"/>
            </w:r>
          </w:hyperlink>
        </w:p>
        <w:p w:rsidR="00874B53" w:rsidRPr="00D60258" w:rsidRDefault="00D60258" w:rsidP="00874B53">
          <w:pPr>
            <w:pStyle w:val="20"/>
            <w:jc w:val="left"/>
            <w:rPr>
              <w:kern w:val="2"/>
              <w:sz w:val="20"/>
              <w14:ligatures w14:val="standardContextual"/>
            </w:rPr>
          </w:pPr>
          <w:hyperlink w:anchor="_Toc164087331" w:history="1">
            <w:r w:rsidR="00874B53" w:rsidRPr="00D60258">
              <w:rPr>
                <w:rStyle w:val="af5"/>
              </w:rPr>
              <w:t>14. Establishing a system of support for VAW victims in the workplace and mandating employer responsibility</w:t>
            </w:r>
            <w:r w:rsidR="00874B53" w:rsidRPr="00D60258">
              <w:rPr>
                <w:webHidden/>
              </w:rPr>
              <w:tab/>
            </w:r>
            <w:r w:rsidR="00874B53" w:rsidRPr="00D60258">
              <w:rPr>
                <w:webHidden/>
              </w:rPr>
              <w:fldChar w:fldCharType="begin"/>
            </w:r>
            <w:r w:rsidR="00874B53" w:rsidRPr="00D60258">
              <w:rPr>
                <w:webHidden/>
              </w:rPr>
              <w:instrText xml:space="preserve"> PAGEREF _Toc164087331 \h </w:instrText>
            </w:r>
            <w:r w:rsidR="00874B53" w:rsidRPr="00D60258">
              <w:rPr>
                <w:webHidden/>
              </w:rPr>
            </w:r>
            <w:r w:rsidR="00874B53" w:rsidRPr="00D60258">
              <w:rPr>
                <w:webHidden/>
              </w:rPr>
              <w:fldChar w:fldCharType="separate"/>
            </w:r>
            <w:r w:rsidRPr="00D60258">
              <w:rPr>
                <w:webHidden/>
              </w:rPr>
              <w:t>13</w:t>
            </w:r>
            <w:r w:rsidR="00874B53" w:rsidRPr="00D60258">
              <w:rPr>
                <w:webHidden/>
              </w:rPr>
              <w:fldChar w:fldCharType="end"/>
            </w:r>
          </w:hyperlink>
        </w:p>
        <w:p w:rsidR="00D32E12" w:rsidRPr="00151FF4" w:rsidRDefault="00D32E12" w:rsidP="00151FF4">
          <w:pPr>
            <w:rPr>
              <w:rFonts w:asciiTheme="majorHAnsi" w:hAnsiTheme="majorHAnsi" w:cstheme="majorHAnsi"/>
              <w:sz w:val="24"/>
              <w:szCs w:val="24"/>
            </w:rPr>
          </w:pPr>
          <w:r w:rsidRPr="00151FF4">
            <w:rPr>
              <w:rFonts w:asciiTheme="majorHAnsi" w:hAnsiTheme="majorHAnsi" w:cstheme="majorHAnsi"/>
              <w:b/>
              <w:bCs/>
              <w:sz w:val="24"/>
              <w:szCs w:val="24"/>
              <w:lang w:val="ko-KR"/>
            </w:rPr>
            <w:fldChar w:fldCharType="end"/>
          </w:r>
        </w:p>
      </w:sdtContent>
    </w:sdt>
    <w:p w:rsidR="00C95CD7" w:rsidRPr="00151FF4" w:rsidRDefault="00874B53" w:rsidP="00151FF4">
      <w:pPr>
        <w:rPr>
          <w:rFonts w:asciiTheme="majorHAnsi" w:hAnsiTheme="majorHAnsi" w:cstheme="majorHAnsi"/>
          <w:sz w:val="22"/>
          <w:szCs w:val="22"/>
          <w:highlight w:val="white"/>
        </w:rPr>
        <w:sectPr w:rsidR="00C95CD7" w:rsidRPr="00151FF4">
          <w:footerReference w:type="default" r:id="rId7"/>
          <w:pgSz w:w="11906" w:h="16838"/>
          <w:pgMar w:top="1701" w:right="1440" w:bottom="1440" w:left="1440" w:header="851" w:footer="992" w:gutter="0"/>
          <w:pgNumType w:start="1"/>
          <w:cols w:space="720"/>
        </w:sectPr>
      </w:pPr>
      <w:r w:rsidRPr="00151FF4">
        <w:rPr>
          <w:rFonts w:asciiTheme="majorHAnsi" w:hAnsiTheme="majorHAnsi" w:cstheme="majorHAnsi"/>
        </w:rPr>
        <w:br w:type="page"/>
      </w:r>
    </w:p>
    <w:p w:rsidR="00C95CD7" w:rsidRPr="00151FF4" w:rsidRDefault="00874B53" w:rsidP="00151FF4">
      <w:pPr>
        <w:pStyle w:val="1"/>
        <w:jc w:val="both"/>
        <w:rPr>
          <w:rFonts w:asciiTheme="majorHAnsi" w:hAnsiTheme="majorHAnsi" w:cstheme="majorHAnsi"/>
          <w:sz w:val="32"/>
          <w:szCs w:val="32"/>
        </w:rPr>
      </w:pPr>
      <w:bookmarkStart w:id="0" w:name="_Toc164087313"/>
      <w:r w:rsidRPr="00151FF4">
        <w:rPr>
          <w:rFonts w:asciiTheme="majorHAnsi" w:hAnsiTheme="majorHAnsi" w:cstheme="majorHAnsi"/>
          <w:sz w:val="32"/>
          <w:szCs w:val="32"/>
        </w:rPr>
        <w:lastRenderedPageBreak/>
        <w:t>Introduction</w:t>
      </w:r>
      <w:bookmarkEnd w:id="0"/>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Korea Women’s Hot-Line and the National Network of Counseling centers to end Violence against Women</w:t>
      </w:r>
      <w:r w:rsidRPr="00151FF4">
        <w:rPr>
          <w:rFonts w:asciiTheme="majorHAnsi" w:hAnsiTheme="majorHAnsi" w:cstheme="majorHAnsi"/>
          <w:sz w:val="22"/>
          <w:szCs w:val="22"/>
          <w:vertAlign w:val="superscript"/>
        </w:rPr>
        <w:footnoteReference w:id="2"/>
      </w:r>
      <w:r w:rsidRPr="00151FF4">
        <w:rPr>
          <w:rFonts w:asciiTheme="majorHAnsi" w:hAnsiTheme="majorHAnsi" w:cstheme="majorHAnsi"/>
          <w:sz w:val="22"/>
          <w:szCs w:val="22"/>
        </w:rPr>
        <w:t xml:space="preserve"> submit this report to the UN Committee on the Elimination of Discrimination against Women (CEDAW or the Committee) for its review on the Republic of Korea (ROK or South Korea) at the 88th Session to be held on 13-31 May 2024. The report is based on the List of Issues adopted by the Committee at the 86th Pre-session from 27 February-3 March 2023 (CEDAW/C/KOR/Q/9) and the Replies of the ROK to the List of Issues submitted to the Committee (CEDAW/C/KOR/RQ/9). </w:t>
      </w:r>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The last two years of Yoon Suk Yeol’s administration have seen numerous regressions, including the attempted abolishment of the Ministry of Gender Equality and Family (MOGEF), the subsequent merging of women’s policies in local governments, the drastic cuts to the budget for preventing and supporting victims of violence against women (VAW), amongst many others.</w:t>
      </w:r>
      <w:r w:rsidRPr="00151FF4">
        <w:rPr>
          <w:rFonts w:asciiTheme="majorHAnsi" w:hAnsiTheme="majorHAnsi" w:cstheme="majorHAnsi"/>
          <w:sz w:val="22"/>
          <w:szCs w:val="22"/>
          <w:vertAlign w:val="superscript"/>
        </w:rPr>
        <w:footnoteReference w:id="3"/>
      </w:r>
      <w:r w:rsidRPr="00151FF4">
        <w:rPr>
          <w:rFonts w:asciiTheme="majorHAnsi" w:hAnsiTheme="majorHAnsi" w:cstheme="majorHAnsi"/>
          <w:sz w:val="22"/>
          <w:szCs w:val="22"/>
        </w:rPr>
        <w:t xml:space="preserve"> During this time, numerous women were murdered by perpetrators in close proximity to the victims, including a university student who was raped and murdered by a fellow student, a woman who was murdered by a co-worker against whom she had filed a restraining order for stalking and from whom she had previously received protection, a woman who was confined, raped, beaten and had her hair shaved by her boyfriend. There have also been numerous cases of VAW based on sexism by men who did not know their victims, including the case of a woman who was raped and killed at a park on her way to work in broad daylight and a convenience store worker who was beaten by a customer who assumed her to be ‘a feminist because of her short haircut’. Despite the persistent recurrence of VAW cases, the Yoon administration dubbed them ‘random street assaults’ and ‘extraordinarily-motivated crimes’ and reacted with policies unrelated to the nature of the problem. According to the World Economic Forum, the ROK’s gender pay gap in 2023 has ranked first among OECD countries for the 27th year in a row, and its gender gap index ranked 105th out of 146 countries, dropping six places from the previous year.</w:t>
      </w:r>
      <w:r w:rsidRPr="00151FF4">
        <w:rPr>
          <w:rFonts w:asciiTheme="majorHAnsi" w:hAnsiTheme="majorHAnsi" w:cstheme="majorHAnsi"/>
          <w:sz w:val="22"/>
          <w:szCs w:val="22"/>
          <w:vertAlign w:val="superscript"/>
        </w:rPr>
        <w:footnoteReference w:id="4"/>
      </w:r>
      <w:r w:rsidRPr="00151FF4">
        <w:rPr>
          <w:rFonts w:asciiTheme="majorHAnsi" w:hAnsiTheme="majorHAnsi" w:cstheme="majorHAnsi"/>
          <w:sz w:val="22"/>
          <w:szCs w:val="22"/>
        </w:rPr>
        <w:t xml:space="preserve"> The United Nations Development </w:t>
      </w:r>
      <w:proofErr w:type="spellStart"/>
      <w:r w:rsidRPr="00151FF4">
        <w:rPr>
          <w:rFonts w:asciiTheme="majorHAnsi" w:hAnsiTheme="majorHAnsi" w:cstheme="majorHAnsi"/>
          <w:sz w:val="22"/>
          <w:szCs w:val="22"/>
        </w:rPr>
        <w:t>Programme</w:t>
      </w:r>
      <w:proofErr w:type="spellEnd"/>
      <w:r w:rsidRPr="00151FF4">
        <w:rPr>
          <w:rFonts w:asciiTheme="majorHAnsi" w:hAnsiTheme="majorHAnsi" w:cstheme="majorHAnsi"/>
          <w:sz w:val="22"/>
          <w:szCs w:val="22"/>
        </w:rPr>
        <w:t xml:space="preserve"> also reported that the ROK saw the largest decline in gender social norms amongst 38 countries.</w:t>
      </w:r>
      <w:r w:rsidRPr="00151FF4">
        <w:rPr>
          <w:rFonts w:asciiTheme="majorHAnsi" w:hAnsiTheme="majorHAnsi" w:cstheme="majorHAnsi"/>
          <w:sz w:val="22"/>
          <w:szCs w:val="22"/>
          <w:vertAlign w:val="superscript"/>
        </w:rPr>
        <w:footnoteReference w:id="5"/>
      </w:r>
      <w:r w:rsidRPr="00151FF4">
        <w:rPr>
          <w:rFonts w:asciiTheme="majorHAnsi" w:hAnsiTheme="majorHAnsi" w:cstheme="majorHAnsi"/>
          <w:sz w:val="22"/>
          <w:szCs w:val="22"/>
        </w:rPr>
        <w:t xml:space="preserve"> </w:t>
      </w:r>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 xml:space="preserve">Meanwhile, the National Human Rights Commission of Korea, whose mandate is to play a more active role as watchdog and advisor to the government in defending the rights of women and other social </w:t>
      </w:r>
      <w:r w:rsidRPr="00151FF4">
        <w:rPr>
          <w:rFonts w:asciiTheme="majorHAnsi" w:hAnsiTheme="majorHAnsi" w:cstheme="majorHAnsi"/>
          <w:sz w:val="22"/>
          <w:szCs w:val="22"/>
        </w:rPr>
        <w:lastRenderedPageBreak/>
        <w:t>minorities in times of such regression, is currently failing to fulfill its duties.</w:t>
      </w:r>
      <w:r w:rsidRPr="00151FF4">
        <w:rPr>
          <w:rFonts w:asciiTheme="majorHAnsi" w:hAnsiTheme="majorHAnsi" w:cstheme="majorHAnsi"/>
          <w:sz w:val="22"/>
          <w:szCs w:val="22"/>
          <w:vertAlign w:val="superscript"/>
        </w:rPr>
        <w:footnoteReference w:id="6"/>
      </w:r>
      <w:r w:rsidRPr="00151FF4">
        <w:rPr>
          <w:rFonts w:asciiTheme="majorHAnsi" w:hAnsiTheme="majorHAnsi" w:cstheme="majorHAnsi"/>
          <w:sz w:val="22"/>
          <w:szCs w:val="22"/>
        </w:rPr>
        <w:t xml:space="preserve"> In such a context, there is deep concern that serious regressions will continue in the ROK as it concerns women’s rights. </w:t>
      </w:r>
    </w:p>
    <w:p w:rsidR="00C95CD7" w:rsidRPr="00151FF4" w:rsidRDefault="00C95CD7" w:rsidP="00151FF4">
      <w:pPr>
        <w:rPr>
          <w:rFonts w:asciiTheme="majorHAnsi" w:hAnsiTheme="majorHAnsi" w:cstheme="majorHAnsi"/>
          <w:sz w:val="18"/>
          <w:szCs w:val="18"/>
        </w:rPr>
      </w:pPr>
    </w:p>
    <w:p w:rsidR="00C95CD7" w:rsidRPr="00151FF4" w:rsidRDefault="00874B53" w:rsidP="004757EB">
      <w:pPr>
        <w:pStyle w:val="1"/>
        <w:spacing w:after="0" w:line="240" w:lineRule="auto"/>
        <w:jc w:val="both"/>
        <w:rPr>
          <w:rFonts w:asciiTheme="majorHAnsi" w:hAnsiTheme="majorHAnsi" w:cstheme="majorHAnsi"/>
          <w:sz w:val="32"/>
          <w:szCs w:val="32"/>
        </w:rPr>
      </w:pPr>
      <w:bookmarkStart w:id="1" w:name="_Toc164087314"/>
      <w:r w:rsidRPr="00151FF4">
        <w:rPr>
          <w:rFonts w:asciiTheme="majorHAnsi" w:hAnsiTheme="majorHAnsi" w:cstheme="majorHAnsi"/>
          <w:sz w:val="32"/>
          <w:szCs w:val="32"/>
        </w:rPr>
        <w:t>Gender-based violence against women (GBVAW)</w:t>
      </w:r>
      <w:bookmarkEnd w:id="1"/>
    </w:p>
    <w:p w:rsidR="00C95CD7" w:rsidRPr="00151FF4" w:rsidRDefault="00874B53" w:rsidP="004757EB">
      <w:pPr>
        <w:spacing w:line="240" w:lineRule="auto"/>
        <w:rPr>
          <w:rFonts w:asciiTheme="majorHAnsi" w:hAnsiTheme="majorHAnsi" w:cstheme="majorHAnsi"/>
          <w:b/>
          <w:sz w:val="28"/>
          <w:szCs w:val="28"/>
        </w:rPr>
      </w:pPr>
      <w:r w:rsidRPr="00151FF4">
        <w:rPr>
          <w:rFonts w:asciiTheme="majorHAnsi" w:hAnsiTheme="majorHAnsi" w:cstheme="majorHAnsi"/>
          <w:b/>
          <w:sz w:val="28"/>
          <w:szCs w:val="28"/>
        </w:rPr>
        <w:t>(Article 5, List of Issues 8)</w:t>
      </w:r>
    </w:p>
    <w:p w:rsidR="00C95CD7" w:rsidRPr="00151FF4" w:rsidRDefault="00874B53" w:rsidP="00151FF4">
      <w:pPr>
        <w:pStyle w:val="2"/>
        <w:numPr>
          <w:ilvl w:val="0"/>
          <w:numId w:val="2"/>
        </w:numPr>
        <w:ind w:left="284"/>
        <w:jc w:val="both"/>
        <w:rPr>
          <w:rFonts w:asciiTheme="majorHAnsi" w:hAnsiTheme="majorHAnsi" w:cstheme="majorHAnsi"/>
          <w:color w:val="000000"/>
          <w:sz w:val="24"/>
          <w:szCs w:val="24"/>
        </w:rPr>
      </w:pPr>
      <w:bookmarkStart w:id="2" w:name="_Toc164087315"/>
      <w:r w:rsidRPr="00151FF4">
        <w:rPr>
          <w:rFonts w:asciiTheme="majorHAnsi" w:hAnsiTheme="majorHAnsi" w:cstheme="majorHAnsi"/>
          <w:color w:val="000000"/>
          <w:sz w:val="24"/>
          <w:szCs w:val="24"/>
        </w:rPr>
        <w:t>Violence against women prevention policies without ‘women’</w:t>
      </w:r>
      <w:bookmarkEnd w:id="2"/>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The State claims that it “formulates and implements five-year basic plans for preventing VAW”, however, policies against GBVAW under the Yoon administration have virtually been nonexistent.</w:t>
      </w:r>
      <w:r w:rsidRPr="00151FF4">
        <w:rPr>
          <w:rFonts w:asciiTheme="majorHAnsi" w:hAnsiTheme="majorHAnsi" w:cstheme="majorHAnsi"/>
          <w:sz w:val="22"/>
          <w:szCs w:val="22"/>
          <w:vertAlign w:val="superscript"/>
        </w:rPr>
        <w:footnoteReference w:id="7"/>
      </w:r>
      <w:r w:rsidRPr="00151FF4">
        <w:rPr>
          <w:rFonts w:asciiTheme="majorHAnsi" w:hAnsiTheme="majorHAnsi" w:cstheme="majorHAnsi"/>
          <w:sz w:val="22"/>
          <w:szCs w:val="22"/>
        </w:rPr>
        <w:t xml:space="preserve"> ‘Women’ and ‘VAW’ are being erased from policy language across the board, with all references to ‘women’ being replaced with expressions like ‘family’, ‘sex’, or deleted altogether in the 3rd Basic Plan of Policies to Prevent Violence Against Women, and ‘VAW’ being exempt from the six key tasks in MOGEF’s 2023 Implementation Plan.</w:t>
      </w:r>
      <w:r w:rsidRPr="00151FF4">
        <w:rPr>
          <w:rFonts w:asciiTheme="majorHAnsi" w:hAnsiTheme="majorHAnsi" w:cstheme="majorHAnsi"/>
          <w:sz w:val="22"/>
          <w:szCs w:val="22"/>
          <w:vertAlign w:val="superscript"/>
        </w:rPr>
        <w:footnoteReference w:id="8"/>
      </w:r>
      <w:r w:rsidRPr="00151FF4">
        <w:rPr>
          <w:rFonts w:asciiTheme="majorHAnsi" w:hAnsiTheme="majorHAnsi" w:cstheme="majorHAnsi"/>
          <w:sz w:val="22"/>
          <w:szCs w:val="22"/>
        </w:rPr>
        <w:t xml:space="preserve"> The budget for VAW prevention and victim support has been drastically reduced.</w:t>
      </w:r>
      <w:r w:rsidRPr="00151FF4">
        <w:rPr>
          <w:rFonts w:asciiTheme="majorHAnsi" w:hAnsiTheme="majorHAnsi" w:cstheme="majorHAnsi"/>
          <w:sz w:val="22"/>
          <w:szCs w:val="22"/>
          <w:vertAlign w:val="superscript"/>
        </w:rPr>
        <w:footnoteReference w:id="9"/>
      </w:r>
      <w:r w:rsidRPr="00151FF4">
        <w:rPr>
          <w:rFonts w:asciiTheme="majorHAnsi" w:hAnsiTheme="majorHAnsi" w:cstheme="majorHAnsi"/>
          <w:sz w:val="22"/>
          <w:szCs w:val="22"/>
        </w:rPr>
        <w:t xml:space="preserve"> In February 2023, the National Assembly passed the Yoon administration’s amendment to the Government Organization Act with an exception to the abolishment of MOGEF. However, the government’s attempt to abolish MOGEF continues in 2024, as it announced its plan to keep the minister seat vacant without a successor.</w:t>
      </w:r>
      <w:r w:rsidRPr="00151FF4">
        <w:rPr>
          <w:rFonts w:asciiTheme="majorHAnsi" w:hAnsiTheme="majorHAnsi" w:cstheme="majorHAnsi"/>
          <w:sz w:val="18"/>
          <w:szCs w:val="18"/>
          <w:vertAlign w:val="superscript"/>
        </w:rPr>
        <w:footnoteReference w:id="10"/>
      </w:r>
      <w:r w:rsidRPr="00151FF4">
        <w:rPr>
          <w:rFonts w:asciiTheme="majorHAnsi" w:hAnsiTheme="majorHAnsi" w:cstheme="majorHAnsi"/>
          <w:sz w:val="22"/>
          <w:szCs w:val="22"/>
        </w:rPr>
        <w:t xml:space="preserve"> In line with this policy direction, local governments have begun to effectively abolish women’s policies. In August 2022, the Seoul Metropolitan Government reduced and merged the women’s policy officer and women’s rights and </w:t>
      </w:r>
      <w:r w:rsidRPr="00151FF4">
        <w:rPr>
          <w:rFonts w:asciiTheme="majorHAnsi" w:hAnsiTheme="majorHAnsi" w:cstheme="majorHAnsi"/>
          <w:sz w:val="22"/>
          <w:szCs w:val="22"/>
        </w:rPr>
        <w:lastRenderedPageBreak/>
        <w:t xml:space="preserve">advocacy officer positions into one position, and divisions in regional districts pertaining to women’s rights like the ‘women’s policy division’ and ‘women’s family division’ have been merged and renamed the ‘family policy division’, ‘family happiness support division’, ‘childcare support division’, ‘child and youth division’, and the like. </w:t>
      </w:r>
    </w:p>
    <w:tbl>
      <w:tblPr>
        <w:tblStyle w:val="a5"/>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trPr>
          <w:trHeight w:val="1470"/>
        </w:trPr>
        <w:tc>
          <w:tcPr>
            <w:tcW w:w="9016" w:type="dxa"/>
            <w:vAlign w:val="center"/>
          </w:tcPr>
          <w:p w:rsidR="00C95CD7" w:rsidRPr="00151FF4" w:rsidRDefault="00874B53" w:rsidP="00151FF4">
            <w:pPr>
              <w:numPr>
                <w:ilvl w:val="0"/>
                <w:numId w:val="1"/>
              </w:numPr>
              <w:spacing w:after="200" w:line="276" w:lineRule="auto"/>
              <w:rPr>
                <w:rFonts w:asciiTheme="majorHAnsi" w:hAnsiTheme="majorHAnsi" w:cstheme="majorHAnsi"/>
                <w:b/>
                <w:sz w:val="22"/>
                <w:szCs w:val="22"/>
              </w:rPr>
            </w:pPr>
            <w:r w:rsidRPr="00151FF4">
              <w:rPr>
                <w:rFonts w:asciiTheme="majorHAnsi" w:hAnsiTheme="majorHAnsi" w:cstheme="majorHAnsi"/>
                <w:b/>
                <w:sz w:val="22"/>
                <w:szCs w:val="22"/>
              </w:rPr>
              <w:t xml:space="preserve">The State must cease all erasure of ‘women’ and its attempts to abolish MOGEF. </w:t>
            </w:r>
          </w:p>
          <w:p w:rsidR="00C95CD7" w:rsidRPr="00151FF4" w:rsidRDefault="00874B53" w:rsidP="00151FF4">
            <w:pPr>
              <w:numPr>
                <w:ilvl w:val="0"/>
                <w:numId w:val="1"/>
              </w:numPr>
              <w:spacing w:after="200" w:line="276" w:lineRule="auto"/>
              <w:rPr>
                <w:rFonts w:asciiTheme="majorHAnsi" w:hAnsiTheme="majorHAnsi" w:cstheme="majorHAnsi"/>
                <w:b/>
                <w:sz w:val="22"/>
                <w:szCs w:val="22"/>
              </w:rPr>
            </w:pPr>
            <w:r w:rsidRPr="00151FF4">
              <w:rPr>
                <w:rFonts w:asciiTheme="majorHAnsi" w:hAnsiTheme="majorHAnsi" w:cstheme="majorHAnsi"/>
                <w:b/>
                <w:sz w:val="22"/>
                <w:szCs w:val="22"/>
              </w:rPr>
              <w:t xml:space="preserve">The State must rename MOGEF to the Ministry of Gender Equality, strengthen the ministry’s capacity, and increase its budget. </w:t>
            </w:r>
          </w:p>
        </w:tc>
      </w:tr>
    </w:tbl>
    <w:p w:rsidR="00C95CD7" w:rsidRPr="00151FF4" w:rsidRDefault="00C95CD7" w:rsidP="00151FF4">
      <w:pPr>
        <w:rPr>
          <w:rFonts w:asciiTheme="majorHAnsi" w:hAnsiTheme="majorHAnsi" w:cstheme="majorHAnsi"/>
          <w:sz w:val="22"/>
          <w:szCs w:val="22"/>
        </w:rPr>
      </w:pPr>
    </w:p>
    <w:p w:rsidR="00C95CD7" w:rsidRPr="00151FF4" w:rsidRDefault="00874B53" w:rsidP="00151FF4">
      <w:pPr>
        <w:pStyle w:val="2"/>
        <w:jc w:val="both"/>
        <w:rPr>
          <w:rFonts w:asciiTheme="majorHAnsi" w:hAnsiTheme="majorHAnsi" w:cstheme="majorHAnsi"/>
          <w:color w:val="8064A2"/>
          <w:sz w:val="24"/>
          <w:szCs w:val="24"/>
        </w:rPr>
      </w:pPr>
      <w:bookmarkStart w:id="3" w:name="_Toc164087316"/>
      <w:r w:rsidRPr="00151FF4">
        <w:rPr>
          <w:rFonts w:asciiTheme="majorHAnsi" w:hAnsiTheme="majorHAnsi" w:cstheme="majorHAnsi"/>
          <w:sz w:val="24"/>
          <w:szCs w:val="24"/>
          <w:highlight w:val="white"/>
        </w:rPr>
        <w:t xml:space="preserve">2. Abolishing the family-maintaining perspective of The Act </w:t>
      </w:r>
      <w:proofErr w:type="gramStart"/>
      <w:r w:rsidRPr="00151FF4">
        <w:rPr>
          <w:rFonts w:asciiTheme="majorHAnsi" w:hAnsiTheme="majorHAnsi" w:cstheme="majorHAnsi"/>
          <w:sz w:val="24"/>
          <w:szCs w:val="24"/>
          <w:highlight w:val="white"/>
        </w:rPr>
        <w:t>On</w:t>
      </w:r>
      <w:proofErr w:type="gramEnd"/>
      <w:r w:rsidRPr="00151FF4">
        <w:rPr>
          <w:rFonts w:asciiTheme="majorHAnsi" w:hAnsiTheme="majorHAnsi" w:cstheme="majorHAnsi"/>
          <w:sz w:val="24"/>
          <w:szCs w:val="24"/>
          <w:highlight w:val="white"/>
        </w:rPr>
        <w:t xml:space="preserve"> Special Cases Concerning The Punishment Of Crimes Of Domestic Violence</w:t>
      </w:r>
      <w:r w:rsidRPr="00151FF4">
        <w:rPr>
          <w:rFonts w:asciiTheme="majorHAnsi" w:hAnsiTheme="majorHAnsi" w:cstheme="majorHAnsi"/>
          <w:sz w:val="24"/>
          <w:szCs w:val="24"/>
          <w:highlight w:val="white"/>
          <w:vertAlign w:val="superscript"/>
        </w:rPr>
        <w:footnoteReference w:id="11"/>
      </w:r>
      <w:r w:rsidRPr="00151FF4">
        <w:rPr>
          <w:rFonts w:asciiTheme="majorHAnsi" w:hAnsiTheme="majorHAnsi" w:cstheme="majorHAnsi"/>
          <w:sz w:val="24"/>
          <w:szCs w:val="24"/>
          <w:highlight w:val="white"/>
        </w:rPr>
        <w:t xml:space="preserve"> and </w:t>
      </w:r>
      <w:r w:rsidRPr="00151FF4">
        <w:rPr>
          <w:rFonts w:asciiTheme="majorHAnsi" w:hAnsiTheme="majorHAnsi" w:cstheme="majorHAnsi"/>
          <w:sz w:val="24"/>
          <w:szCs w:val="24"/>
        </w:rPr>
        <w:t>substantializing punishment</w:t>
      </w:r>
      <w:bookmarkEnd w:id="3"/>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The purpose of the ROK’s current Domestic Violence Punishment Act (DVPA) is to maintain and protect the family, leaving much to be desired in terms of safeguarding the human rights of victims and effectively punishing the perpetrators.</w:t>
      </w:r>
      <w:r w:rsidRPr="00151FF4">
        <w:rPr>
          <w:rFonts w:asciiTheme="majorHAnsi" w:hAnsiTheme="majorHAnsi" w:cstheme="majorHAnsi"/>
          <w:color w:val="000000"/>
          <w:sz w:val="22"/>
          <w:szCs w:val="22"/>
          <w:vertAlign w:val="superscript"/>
        </w:rPr>
        <w:footnoteReference w:id="12"/>
      </w:r>
      <w:r w:rsidRPr="00151FF4">
        <w:rPr>
          <w:rFonts w:asciiTheme="majorHAnsi" w:hAnsiTheme="majorHAnsi" w:cstheme="majorHAnsi"/>
          <w:color w:val="000000"/>
          <w:sz w:val="22"/>
          <w:szCs w:val="22"/>
        </w:rPr>
        <w:t xml:space="preserve"> </w:t>
      </w:r>
      <w:r w:rsidRPr="00151FF4">
        <w:rPr>
          <w:rFonts w:asciiTheme="majorHAnsi" w:hAnsiTheme="majorHAnsi" w:cstheme="majorHAnsi"/>
          <w:sz w:val="22"/>
          <w:szCs w:val="22"/>
        </w:rPr>
        <w:t xml:space="preserve">According to article 9 of the DVPA, prosecutors may handle a domestic violence offense as a family protection case rather than a criminal case, in respect of the victim’s wishes. Due to many reasons including financial situations, child-rearing issues, the fear of retaliation, fear of societal stigma for ruining the family, among others, it is extremely difficult for domestic violence victims to express their desire to have their abuser punished, even after initially reporting them. </w:t>
      </w:r>
    </w:p>
    <w:p w:rsidR="00C95CD7" w:rsidRPr="00151FF4" w:rsidRDefault="00874B53" w:rsidP="00151FF4">
      <w:pPr>
        <w:rPr>
          <w:rFonts w:asciiTheme="majorHAnsi" w:hAnsiTheme="majorHAnsi" w:cstheme="majorHAnsi"/>
          <w:color w:val="000000"/>
          <w:sz w:val="22"/>
          <w:szCs w:val="22"/>
        </w:rPr>
      </w:pPr>
      <w:r w:rsidRPr="00151FF4">
        <w:rPr>
          <w:rFonts w:asciiTheme="majorHAnsi" w:hAnsiTheme="majorHAnsi" w:cstheme="majorHAnsi"/>
          <w:sz w:val="22"/>
          <w:szCs w:val="22"/>
        </w:rPr>
        <w:t>Respecting the victims’ wishes is a principle that should be upheld throughout the judicial process to protect the victims’ human rights. The victims’ opinion of non-punishment must be considered in light of the victim’s relationship with the perpetrator among other circumstances of the case to discern whether that is the victims’ actual opinion. This is especially true in cases where the victim and the perpetrator are in an intimate relationship, such as dating or marriage, as the victim will have tried to understand and endure the perpetrator’s behavior over a long period based on relational trust. Perpetrators actively take advantage of this tendency. Therefore, in cases of violence within intimate partner relationships, a system should be put in place to severely punish the perpetrator rather than asking the victim for their opinion as to the perpetrator’s punishment.</w:t>
      </w:r>
      <w:r w:rsidRPr="00151FF4">
        <w:rPr>
          <w:rFonts w:asciiTheme="majorHAnsi" w:hAnsiTheme="majorHAnsi" w:cstheme="majorHAnsi"/>
          <w:color w:val="000000"/>
          <w:sz w:val="22"/>
          <w:szCs w:val="22"/>
        </w:rPr>
        <w:t xml:space="preserve"> </w:t>
      </w:r>
    </w:p>
    <w:p w:rsidR="00C95CD7" w:rsidRPr="00151FF4" w:rsidRDefault="00874B53" w:rsidP="00151FF4">
      <w:pPr>
        <w:rPr>
          <w:rFonts w:asciiTheme="majorHAnsi" w:hAnsiTheme="majorHAnsi" w:cstheme="majorHAnsi"/>
          <w:color w:val="000000"/>
          <w:sz w:val="22"/>
          <w:szCs w:val="22"/>
        </w:rPr>
      </w:pPr>
      <w:r w:rsidRPr="00151FF4">
        <w:rPr>
          <w:rFonts w:asciiTheme="majorHAnsi" w:hAnsiTheme="majorHAnsi" w:cstheme="majorHAnsi"/>
          <w:sz w:val="22"/>
          <w:szCs w:val="22"/>
        </w:rPr>
        <w:t xml:space="preserve">A considerable number of domestic violence cases are handled as family protection cases rather than resulting in criminal punishment. According to the Supreme Court’s Judiciary Yearbook, 51.2% of those transferred to family protection cases in 2022 were not disposed of, and even when they were, the majority were sentenced to counseling (25.2%) and community service/training (12%). In 2018, CEDAW expressed concern that 43.4% of domestic violence crimes in South Korea were handled as </w:t>
      </w:r>
      <w:r w:rsidRPr="00151FF4">
        <w:rPr>
          <w:rFonts w:asciiTheme="majorHAnsi" w:hAnsiTheme="majorHAnsi" w:cstheme="majorHAnsi"/>
          <w:sz w:val="22"/>
          <w:szCs w:val="22"/>
        </w:rPr>
        <w:lastRenderedPageBreak/>
        <w:t>family protection cases without entailing criminal punishment, due to the primary purpose of the DVPA being focused on maintaining and restoring the family.</w:t>
      </w:r>
      <w:r w:rsidRPr="00151FF4">
        <w:rPr>
          <w:rFonts w:asciiTheme="majorHAnsi" w:hAnsiTheme="majorHAnsi" w:cstheme="majorHAnsi"/>
          <w:sz w:val="22"/>
          <w:szCs w:val="22"/>
          <w:vertAlign w:val="superscript"/>
        </w:rPr>
        <w:footnoteReference w:id="13"/>
      </w:r>
      <w:r w:rsidRPr="00151FF4">
        <w:rPr>
          <w:rFonts w:asciiTheme="majorHAnsi" w:hAnsiTheme="majorHAnsi" w:cstheme="majorHAnsi"/>
          <w:sz w:val="22"/>
          <w:szCs w:val="22"/>
        </w:rPr>
        <w:t xml:space="preserve"> However, as of 2024, the purpose of the Act has yet to be revised, and the rate of domestic violence crimes being treated as family protection cases is increasing. </w:t>
      </w:r>
    </w:p>
    <w:tbl>
      <w:tblPr>
        <w:tblStyle w:val="a6"/>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trPr>
          <w:trHeight w:val="1148"/>
        </w:trPr>
        <w:tc>
          <w:tcPr>
            <w:tcW w:w="9016" w:type="dxa"/>
            <w:vAlign w:val="center"/>
          </w:tcPr>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color w:val="000000"/>
                <w:sz w:val="22"/>
                <w:szCs w:val="22"/>
              </w:rPr>
            </w:pPr>
            <w:r w:rsidRPr="00151FF4">
              <w:rPr>
                <w:rFonts w:asciiTheme="majorHAnsi" w:hAnsiTheme="majorHAnsi" w:cstheme="majorHAnsi"/>
                <w:b/>
                <w:sz w:val="22"/>
                <w:szCs w:val="22"/>
              </w:rPr>
              <w:t xml:space="preserve">The State must abolish the family-maintaining perspective from the purpose clause of the DVPA and treat related offenses with criminal punishment. </w:t>
            </w:r>
          </w:p>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sz w:val="22"/>
                <w:szCs w:val="22"/>
              </w:rPr>
            </w:pPr>
            <w:r w:rsidRPr="00151FF4">
              <w:rPr>
                <w:rFonts w:asciiTheme="majorHAnsi" w:hAnsiTheme="majorHAnsi" w:cstheme="majorHAnsi"/>
                <w:b/>
                <w:sz w:val="22"/>
                <w:szCs w:val="22"/>
              </w:rPr>
              <w:t xml:space="preserve">The State must remove the reference to ‘respecting the victim’s opinion’ from the DVPA and establish severe punishments for perpetrators of VAW. </w:t>
            </w:r>
          </w:p>
        </w:tc>
      </w:tr>
    </w:tbl>
    <w:p w:rsidR="00151FF4" w:rsidRPr="00151FF4" w:rsidRDefault="00151FF4" w:rsidP="00151FF4">
      <w:pPr>
        <w:spacing w:after="0" w:line="240" w:lineRule="auto"/>
        <w:rPr>
          <w:rFonts w:asciiTheme="majorHAnsi" w:hAnsiTheme="majorHAnsi" w:cstheme="majorHAnsi"/>
          <w:b/>
          <w:sz w:val="22"/>
          <w:szCs w:val="22"/>
        </w:rPr>
      </w:pPr>
    </w:p>
    <w:p w:rsidR="00C95CD7" w:rsidRPr="00151FF4" w:rsidRDefault="00D32E12" w:rsidP="00151FF4">
      <w:pPr>
        <w:pStyle w:val="2"/>
        <w:jc w:val="both"/>
        <w:rPr>
          <w:rFonts w:asciiTheme="majorHAnsi" w:hAnsiTheme="majorHAnsi" w:cstheme="majorHAnsi"/>
          <w:sz w:val="24"/>
          <w:szCs w:val="24"/>
        </w:rPr>
      </w:pPr>
      <w:bookmarkStart w:id="4" w:name="_Toc164087317"/>
      <w:r w:rsidRPr="00151FF4">
        <w:rPr>
          <w:rFonts w:asciiTheme="majorHAnsi" w:hAnsiTheme="majorHAnsi" w:cstheme="majorHAnsi"/>
          <w:sz w:val="24"/>
          <w:szCs w:val="24"/>
        </w:rPr>
        <w:t xml:space="preserve">3. </w:t>
      </w:r>
      <w:r w:rsidR="00874B53" w:rsidRPr="00151FF4">
        <w:rPr>
          <w:rFonts w:asciiTheme="majorHAnsi" w:hAnsiTheme="majorHAnsi" w:cstheme="majorHAnsi"/>
          <w:sz w:val="24"/>
          <w:szCs w:val="24"/>
        </w:rPr>
        <w:t>Discarding the indictment suspension on condition of counseling article from the DVPA</w:t>
      </w:r>
      <w:bookmarkEnd w:id="4"/>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The system of suspending indictment of domestic violence offenders in exchange for counseling remains, with inadequate monitoring and follow-up of the counseling process. The use of counseling as a condition for suspending indictment exceptionally in domestic violence cases not only violates the equity of the criminal justice system, but forces victims back into violent situations. As such, both CEDAW and the Committee Against Torture have recommended the abolition of this system.</w:t>
      </w:r>
      <w:r w:rsidRPr="00151FF4">
        <w:rPr>
          <w:rFonts w:asciiTheme="majorHAnsi" w:hAnsiTheme="majorHAnsi" w:cstheme="majorHAnsi"/>
          <w:sz w:val="22"/>
          <w:szCs w:val="22"/>
          <w:vertAlign w:val="superscript"/>
        </w:rPr>
        <w:footnoteReference w:id="14"/>
      </w:r>
      <w:r w:rsidRPr="00151FF4">
        <w:rPr>
          <w:rFonts w:asciiTheme="majorHAnsi" w:hAnsiTheme="majorHAnsi" w:cstheme="majorHAnsi"/>
          <w:sz w:val="22"/>
          <w:szCs w:val="22"/>
        </w:rPr>
        <w:t xml:space="preserve"> However, the State finds the issue as a matter “not deemed serious”, demonstrating a very poor understanding of domestic violence.</w:t>
      </w:r>
      <w:r w:rsidRPr="00151FF4">
        <w:rPr>
          <w:rFonts w:asciiTheme="majorHAnsi" w:hAnsiTheme="majorHAnsi" w:cstheme="majorHAnsi"/>
          <w:sz w:val="22"/>
          <w:szCs w:val="22"/>
          <w:vertAlign w:val="superscript"/>
        </w:rPr>
        <w:footnoteReference w:id="15"/>
      </w:r>
      <w:r w:rsidRPr="00151FF4">
        <w:rPr>
          <w:rFonts w:asciiTheme="majorHAnsi" w:hAnsiTheme="majorHAnsi" w:cstheme="majorHAnsi"/>
          <w:sz w:val="22"/>
          <w:szCs w:val="22"/>
        </w:rPr>
        <w:t xml:space="preserve"> Meanwhile, the amendments the State cited have been pending in the 21st National Assembly for several years,</w:t>
      </w:r>
      <w:r w:rsidRPr="00151FF4">
        <w:rPr>
          <w:rFonts w:asciiTheme="majorHAnsi" w:hAnsiTheme="majorHAnsi" w:cstheme="majorHAnsi"/>
          <w:sz w:val="22"/>
          <w:szCs w:val="22"/>
          <w:vertAlign w:val="superscript"/>
        </w:rPr>
        <w:footnoteReference w:id="16"/>
      </w:r>
      <w:r w:rsidRPr="00151FF4">
        <w:rPr>
          <w:rFonts w:asciiTheme="majorHAnsi" w:hAnsiTheme="majorHAnsi" w:cstheme="majorHAnsi"/>
          <w:sz w:val="22"/>
          <w:szCs w:val="22"/>
        </w:rPr>
        <w:t xml:space="preserve"> and the 21st National Assembly finishes its term in May 2024.</w:t>
      </w:r>
      <w:r w:rsidRPr="00151FF4">
        <w:rPr>
          <w:rFonts w:asciiTheme="majorHAnsi" w:hAnsiTheme="majorHAnsi" w:cstheme="majorHAnsi"/>
          <w:sz w:val="22"/>
          <w:szCs w:val="22"/>
          <w:vertAlign w:val="superscript"/>
        </w:rPr>
        <w:footnoteReference w:id="17"/>
      </w:r>
      <w:r w:rsidRPr="00151FF4">
        <w:rPr>
          <w:rFonts w:asciiTheme="majorHAnsi" w:hAnsiTheme="majorHAnsi" w:cstheme="majorHAnsi"/>
          <w:sz w:val="22"/>
          <w:szCs w:val="22"/>
        </w:rPr>
        <w:t xml:space="preserve"> </w:t>
      </w:r>
    </w:p>
    <w:tbl>
      <w:tblPr>
        <w:tblStyle w:val="a7"/>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rsidTr="004757EB">
        <w:trPr>
          <w:trHeight w:val="832"/>
        </w:trPr>
        <w:tc>
          <w:tcPr>
            <w:tcW w:w="9016" w:type="dxa"/>
            <w:vAlign w:val="center"/>
          </w:tcPr>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color w:val="000000"/>
                <w:sz w:val="22"/>
                <w:szCs w:val="22"/>
              </w:rPr>
            </w:pPr>
            <w:r w:rsidRPr="00151FF4">
              <w:rPr>
                <w:rFonts w:asciiTheme="majorHAnsi" w:hAnsiTheme="majorHAnsi" w:cstheme="majorHAnsi"/>
                <w:b/>
                <w:sz w:val="22"/>
                <w:szCs w:val="22"/>
              </w:rPr>
              <w:t xml:space="preserve">The State must implement CEDAW’s recommendation to abolish the system of suspending indictment in family protection cases on condition of counseling or training. </w:t>
            </w:r>
          </w:p>
        </w:tc>
      </w:tr>
    </w:tbl>
    <w:p w:rsidR="00C95CD7" w:rsidRPr="00151FF4" w:rsidRDefault="00C95CD7" w:rsidP="00151FF4">
      <w:pPr>
        <w:spacing w:after="0" w:line="240" w:lineRule="auto"/>
        <w:rPr>
          <w:rFonts w:asciiTheme="majorHAnsi" w:hAnsiTheme="majorHAnsi" w:cstheme="majorHAnsi"/>
          <w:b/>
          <w:sz w:val="22"/>
          <w:szCs w:val="22"/>
        </w:rPr>
      </w:pPr>
    </w:p>
    <w:p w:rsidR="00C95CD7" w:rsidRPr="00151FF4" w:rsidRDefault="00D32E12" w:rsidP="00151FF4">
      <w:pPr>
        <w:pStyle w:val="2"/>
        <w:jc w:val="both"/>
        <w:rPr>
          <w:rFonts w:asciiTheme="majorHAnsi" w:hAnsiTheme="majorHAnsi" w:cstheme="majorHAnsi"/>
          <w:sz w:val="24"/>
          <w:szCs w:val="24"/>
        </w:rPr>
      </w:pPr>
      <w:bookmarkStart w:id="5" w:name="_Toc164087318"/>
      <w:r w:rsidRPr="00151FF4">
        <w:rPr>
          <w:rFonts w:asciiTheme="majorHAnsi" w:hAnsiTheme="majorHAnsi" w:cstheme="majorHAnsi"/>
          <w:color w:val="000000"/>
          <w:sz w:val="24"/>
          <w:szCs w:val="24"/>
        </w:rPr>
        <w:t xml:space="preserve">4. </w:t>
      </w:r>
      <w:r w:rsidR="00874B53" w:rsidRPr="00151FF4">
        <w:rPr>
          <w:rFonts w:asciiTheme="majorHAnsi" w:hAnsiTheme="majorHAnsi" w:cstheme="majorHAnsi"/>
          <w:color w:val="000000"/>
          <w:sz w:val="24"/>
          <w:szCs w:val="24"/>
        </w:rPr>
        <w:t>Implementing a mandatory arrest policy of GBVAW perpetrators</w:t>
      </w:r>
      <w:bookmarkEnd w:id="5"/>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 xml:space="preserve">In 2018, CEDAW recommended that the State adopt “a policy of mandatory arrest for crimes of </w:t>
      </w:r>
      <w:r w:rsidRPr="00151FF4">
        <w:rPr>
          <w:rFonts w:asciiTheme="majorHAnsi" w:hAnsiTheme="majorHAnsi" w:cstheme="majorHAnsi"/>
          <w:sz w:val="22"/>
          <w:szCs w:val="22"/>
        </w:rPr>
        <w:lastRenderedPageBreak/>
        <w:t>domestic violence in case of breach of restraining orders”.</w:t>
      </w:r>
      <w:r w:rsidRPr="00151FF4">
        <w:rPr>
          <w:rFonts w:asciiTheme="majorHAnsi" w:hAnsiTheme="majorHAnsi" w:cstheme="majorHAnsi"/>
          <w:sz w:val="22"/>
          <w:szCs w:val="22"/>
          <w:vertAlign w:val="superscript"/>
        </w:rPr>
        <w:footnoteReference w:id="18"/>
      </w:r>
      <w:r w:rsidRPr="00151FF4">
        <w:rPr>
          <w:rFonts w:asciiTheme="majorHAnsi" w:hAnsiTheme="majorHAnsi" w:cstheme="majorHAnsi"/>
          <w:b/>
          <w:sz w:val="22"/>
          <w:szCs w:val="22"/>
        </w:rPr>
        <w:t xml:space="preserve"> </w:t>
      </w:r>
      <w:r w:rsidRPr="00151FF4">
        <w:rPr>
          <w:rFonts w:asciiTheme="majorHAnsi" w:hAnsiTheme="majorHAnsi" w:cstheme="majorHAnsi"/>
          <w:sz w:val="22"/>
          <w:szCs w:val="22"/>
        </w:rPr>
        <w:t xml:space="preserve">Although the DVPA, Act </w:t>
      </w:r>
      <w:proofErr w:type="gramStart"/>
      <w:r w:rsidRPr="00151FF4">
        <w:rPr>
          <w:rFonts w:asciiTheme="majorHAnsi" w:hAnsiTheme="majorHAnsi" w:cstheme="majorHAnsi"/>
          <w:sz w:val="22"/>
          <w:szCs w:val="22"/>
        </w:rPr>
        <w:t>On</w:t>
      </w:r>
      <w:proofErr w:type="gramEnd"/>
      <w:r w:rsidRPr="00151FF4">
        <w:rPr>
          <w:rFonts w:asciiTheme="majorHAnsi" w:hAnsiTheme="majorHAnsi" w:cstheme="majorHAnsi"/>
          <w:sz w:val="22"/>
          <w:szCs w:val="22"/>
        </w:rPr>
        <w:t xml:space="preserve"> Punishment Of Crime Of Stalking</w:t>
      </w:r>
      <w:r w:rsidRPr="00151FF4">
        <w:rPr>
          <w:rFonts w:asciiTheme="majorHAnsi" w:hAnsiTheme="majorHAnsi" w:cstheme="majorHAnsi"/>
          <w:sz w:val="22"/>
          <w:szCs w:val="22"/>
          <w:vertAlign w:val="superscript"/>
        </w:rPr>
        <w:footnoteReference w:id="19"/>
      </w:r>
      <w:r w:rsidRPr="00151FF4">
        <w:rPr>
          <w:rFonts w:asciiTheme="majorHAnsi" w:hAnsiTheme="majorHAnsi" w:cstheme="majorHAnsi"/>
          <w:sz w:val="22"/>
          <w:szCs w:val="22"/>
        </w:rPr>
        <w:t>, and other related laws state that violations of restraining orders and interim measures can be criminally prosecuted, violators are rarely arrested and detained on the spot. According to MOGEF’s Domestic Violence Survey of 2022, only 0.8% of domestic violence victims report to the police.</w:t>
      </w:r>
      <w:r w:rsidRPr="00151FF4">
        <w:rPr>
          <w:rFonts w:asciiTheme="majorHAnsi" w:hAnsiTheme="majorHAnsi" w:cstheme="majorHAnsi"/>
          <w:sz w:val="22"/>
          <w:szCs w:val="22"/>
          <w:vertAlign w:val="superscript"/>
        </w:rPr>
        <w:footnoteReference w:id="20"/>
      </w:r>
      <w:r w:rsidRPr="00151FF4">
        <w:rPr>
          <w:rFonts w:asciiTheme="majorHAnsi" w:hAnsiTheme="majorHAnsi" w:cstheme="majorHAnsi"/>
          <w:sz w:val="22"/>
          <w:szCs w:val="22"/>
        </w:rPr>
        <w:t xml:space="preserve"> According to the National Police Agency, only 0.22% of reported domestic violence perpetrators are detained.</w:t>
      </w:r>
      <w:r w:rsidRPr="00151FF4">
        <w:rPr>
          <w:rFonts w:asciiTheme="majorHAnsi" w:hAnsiTheme="majorHAnsi" w:cstheme="majorHAnsi"/>
          <w:sz w:val="22"/>
          <w:szCs w:val="22"/>
          <w:vertAlign w:val="superscript"/>
        </w:rPr>
        <w:footnoteReference w:id="21"/>
      </w:r>
      <w:r w:rsidRPr="00151FF4">
        <w:rPr>
          <w:rFonts w:asciiTheme="majorHAnsi" w:hAnsiTheme="majorHAnsi" w:cstheme="majorHAnsi"/>
          <w:sz w:val="22"/>
          <w:szCs w:val="22"/>
        </w:rPr>
        <w:t xml:space="preserve"> Meanwhile, since the Stalking Punishment Act was enforced in October 2021, the rate of perpetrator arrests rose to the 7% range. However, this rate is only a mere 3% in view of the 16,571 stalking crimes reported from January to July 2023. In 2018, the government announced a policy to arrest domestic violence perpetrators at the scene of the crime as a measure to prevent domestic violence, but it was not enacted. </w:t>
      </w:r>
    </w:p>
    <w:tbl>
      <w:tblPr>
        <w:tblStyle w:val="a8"/>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trPr>
          <w:trHeight w:val="1236"/>
        </w:trPr>
        <w:tc>
          <w:tcPr>
            <w:tcW w:w="9016" w:type="dxa"/>
            <w:vAlign w:val="center"/>
          </w:tcPr>
          <w:p w:rsidR="00C95CD7" w:rsidRPr="00151FF4" w:rsidRDefault="00874B53" w:rsidP="00151FF4">
            <w:pPr>
              <w:numPr>
                <w:ilvl w:val="0"/>
                <w:numId w:val="1"/>
              </w:numPr>
              <w:spacing w:after="200" w:line="276" w:lineRule="auto"/>
              <w:rPr>
                <w:rFonts w:asciiTheme="majorHAnsi" w:hAnsiTheme="majorHAnsi" w:cstheme="majorHAnsi"/>
                <w:b/>
                <w:sz w:val="22"/>
                <w:szCs w:val="22"/>
              </w:rPr>
            </w:pPr>
            <w:r w:rsidRPr="00151FF4">
              <w:rPr>
                <w:rFonts w:asciiTheme="majorHAnsi" w:hAnsiTheme="majorHAnsi" w:cstheme="majorHAnsi"/>
                <w:b/>
                <w:sz w:val="22"/>
                <w:szCs w:val="22"/>
              </w:rPr>
              <w:t xml:space="preserve">The State must adopt a mandatory arrest policy in cases of domestic violence, stalking, and other crimes of GBVAW to separate victims from perpetrators, ensuring victims’ safety and preventing re-offense.  </w:t>
            </w:r>
          </w:p>
        </w:tc>
      </w:tr>
    </w:tbl>
    <w:p w:rsidR="00C95CD7" w:rsidRPr="00151FF4" w:rsidRDefault="00C95CD7" w:rsidP="00151FF4">
      <w:pPr>
        <w:rPr>
          <w:rFonts w:asciiTheme="majorHAnsi" w:hAnsiTheme="majorHAnsi" w:cstheme="majorHAnsi"/>
          <w:sz w:val="22"/>
          <w:szCs w:val="22"/>
        </w:rPr>
      </w:pPr>
    </w:p>
    <w:p w:rsidR="00C95CD7" w:rsidRPr="00151FF4" w:rsidRDefault="00D32E12" w:rsidP="00151FF4">
      <w:pPr>
        <w:pStyle w:val="2"/>
        <w:jc w:val="both"/>
        <w:rPr>
          <w:rFonts w:asciiTheme="majorHAnsi" w:hAnsiTheme="majorHAnsi" w:cstheme="majorHAnsi"/>
          <w:sz w:val="24"/>
          <w:szCs w:val="24"/>
        </w:rPr>
      </w:pPr>
      <w:bookmarkStart w:id="6" w:name="_Toc164087319"/>
      <w:r w:rsidRPr="00151FF4">
        <w:rPr>
          <w:rFonts w:asciiTheme="majorHAnsi" w:hAnsiTheme="majorHAnsi" w:cstheme="majorHAnsi"/>
          <w:color w:val="000000"/>
          <w:sz w:val="24"/>
          <w:szCs w:val="24"/>
        </w:rPr>
        <w:t xml:space="preserve">5. </w:t>
      </w:r>
      <w:r w:rsidR="00874B53" w:rsidRPr="00151FF4">
        <w:rPr>
          <w:rFonts w:asciiTheme="majorHAnsi" w:hAnsiTheme="majorHAnsi" w:cstheme="majorHAnsi"/>
          <w:color w:val="000000"/>
          <w:sz w:val="24"/>
          <w:szCs w:val="24"/>
        </w:rPr>
        <w:t>Criminalizing rape on the basis of consent and specifying criminalization for marital rape</w:t>
      </w:r>
      <w:bookmarkEnd w:id="6"/>
    </w:p>
    <w:p w:rsidR="00C95CD7" w:rsidRPr="00151FF4" w:rsidRDefault="00874B53" w:rsidP="00151FF4">
      <w:pPr>
        <w:rPr>
          <w:rFonts w:asciiTheme="majorHAnsi" w:hAnsiTheme="majorHAnsi" w:cstheme="majorHAnsi"/>
          <w:sz w:val="22"/>
          <w:szCs w:val="22"/>
        </w:rPr>
      </w:pPr>
      <w:bookmarkStart w:id="7" w:name="_3dy6vkm" w:colFirst="0" w:colLast="0"/>
      <w:bookmarkEnd w:id="7"/>
      <w:r w:rsidRPr="00151FF4">
        <w:rPr>
          <w:rFonts w:asciiTheme="majorHAnsi" w:hAnsiTheme="majorHAnsi" w:cstheme="majorHAnsi"/>
          <w:sz w:val="22"/>
          <w:szCs w:val="22"/>
        </w:rPr>
        <w:t>The Supreme Court ruling cited by the State has a very narrow interpretation of marital rape, stating that a rape is committed by a husband if he “commits adultery with his wife by use of force or intimidation that make it impossible or significantly difficult for her to resist”.</w:t>
      </w:r>
      <w:r w:rsidRPr="00151FF4">
        <w:rPr>
          <w:rFonts w:asciiTheme="majorHAnsi" w:hAnsiTheme="majorHAnsi" w:cstheme="majorHAnsi"/>
          <w:sz w:val="22"/>
          <w:szCs w:val="22"/>
          <w:vertAlign w:val="superscript"/>
        </w:rPr>
        <w:footnoteReference w:id="22"/>
      </w:r>
      <w:r w:rsidRPr="00151FF4">
        <w:rPr>
          <w:rFonts w:asciiTheme="majorHAnsi" w:hAnsiTheme="majorHAnsi" w:cstheme="majorHAnsi"/>
          <w:sz w:val="22"/>
          <w:szCs w:val="22"/>
        </w:rPr>
        <w:t xml:space="preserve"> Further, the underlying premise that the state should “refrain from intervening in the sexual relations of a married couple” severely limits the criminalization of non-consensual marital rape.</w:t>
      </w:r>
      <w:r w:rsidRPr="00151FF4">
        <w:rPr>
          <w:rFonts w:asciiTheme="majorHAnsi" w:hAnsiTheme="majorHAnsi" w:cstheme="majorHAnsi"/>
          <w:sz w:val="22"/>
          <w:szCs w:val="22"/>
          <w:vertAlign w:val="superscript"/>
        </w:rPr>
        <w:footnoteReference w:id="23"/>
      </w:r>
      <w:r w:rsidRPr="00151FF4">
        <w:rPr>
          <w:rFonts w:asciiTheme="majorHAnsi" w:hAnsiTheme="majorHAnsi" w:cstheme="majorHAnsi"/>
          <w:sz w:val="22"/>
          <w:szCs w:val="22"/>
        </w:rPr>
        <w:t xml:space="preserve"> </w:t>
      </w:r>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Of the rape cases aggregated by the KASVRC in 2022, 62.5% did not involve direct assault or intimidation.</w:t>
      </w:r>
      <w:r w:rsidRPr="00151FF4">
        <w:rPr>
          <w:rFonts w:asciiTheme="majorHAnsi" w:hAnsiTheme="majorHAnsi" w:cstheme="majorHAnsi"/>
          <w:sz w:val="22"/>
          <w:szCs w:val="22"/>
          <w:vertAlign w:val="superscript"/>
        </w:rPr>
        <w:footnoteReference w:id="24"/>
      </w:r>
      <w:r w:rsidRPr="00151FF4">
        <w:rPr>
          <w:rFonts w:asciiTheme="majorHAnsi" w:hAnsiTheme="majorHAnsi" w:cstheme="majorHAnsi"/>
          <w:sz w:val="22"/>
          <w:szCs w:val="22"/>
        </w:rPr>
        <w:t xml:space="preserve"> The Supreme Court recently abolished the narrow definition of requiring violence or intimidation in crimes of indecent act by compulsion, noting in its decision the necessity of redefining the meaning of assault or intimidation in light of changes in social norms.</w:t>
      </w:r>
      <w:r w:rsidRPr="00151FF4">
        <w:rPr>
          <w:rFonts w:asciiTheme="majorHAnsi" w:hAnsiTheme="majorHAnsi" w:cstheme="majorHAnsi"/>
          <w:sz w:val="22"/>
          <w:szCs w:val="22"/>
          <w:vertAlign w:val="superscript"/>
        </w:rPr>
        <w:footnoteReference w:id="25"/>
      </w:r>
      <w:r w:rsidRPr="00151FF4">
        <w:rPr>
          <w:rFonts w:asciiTheme="majorHAnsi" w:hAnsiTheme="majorHAnsi" w:cstheme="majorHAnsi"/>
          <w:sz w:val="22"/>
          <w:szCs w:val="22"/>
        </w:rPr>
        <w:t xml:space="preserve"> However, the government remains reluctant to revise the definition of rape to be based on consent. Such reluctance has created a gap in criminalizing rape, leading to </w:t>
      </w:r>
      <w:r w:rsidR="004F46BA" w:rsidRPr="00151FF4">
        <w:rPr>
          <w:rFonts w:asciiTheme="majorHAnsi" w:hAnsiTheme="majorHAnsi" w:cstheme="majorHAnsi"/>
          <w:sz w:val="22"/>
          <w:szCs w:val="22"/>
        </w:rPr>
        <w:t>adverse</w:t>
      </w:r>
      <w:r w:rsidRPr="00151FF4">
        <w:rPr>
          <w:rFonts w:asciiTheme="majorHAnsi" w:hAnsiTheme="majorHAnsi" w:cstheme="majorHAnsi"/>
          <w:sz w:val="22"/>
          <w:szCs w:val="22"/>
        </w:rPr>
        <w:t xml:space="preserve"> effects like secondary victimization during the judicial process and abuse of retaliatory countersuits filed by the perpetrators. </w:t>
      </w:r>
    </w:p>
    <w:tbl>
      <w:tblPr>
        <w:tblStyle w:val="a9"/>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trPr>
          <w:trHeight w:val="1575"/>
        </w:trPr>
        <w:tc>
          <w:tcPr>
            <w:tcW w:w="9016" w:type="dxa"/>
            <w:vAlign w:val="center"/>
          </w:tcPr>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color w:val="000000"/>
                <w:sz w:val="22"/>
                <w:szCs w:val="22"/>
              </w:rPr>
            </w:pPr>
            <w:r w:rsidRPr="00151FF4">
              <w:rPr>
                <w:rFonts w:asciiTheme="majorHAnsi" w:hAnsiTheme="majorHAnsi" w:cstheme="majorHAnsi"/>
                <w:b/>
                <w:sz w:val="22"/>
                <w:szCs w:val="22"/>
              </w:rPr>
              <w:lastRenderedPageBreak/>
              <w:t xml:space="preserve">The State must implement CEDAW’s recommendation to amend the definition of rape to exclude proof of “means of violence or intimidation” and place the lack of free consent of the victim at the </w:t>
            </w:r>
            <w:proofErr w:type="spellStart"/>
            <w:r w:rsidRPr="00151FF4">
              <w:rPr>
                <w:rFonts w:asciiTheme="majorHAnsi" w:hAnsiTheme="majorHAnsi" w:cstheme="majorHAnsi"/>
                <w:b/>
                <w:sz w:val="22"/>
                <w:szCs w:val="22"/>
              </w:rPr>
              <w:t>centre</w:t>
            </w:r>
            <w:proofErr w:type="spellEnd"/>
            <w:r w:rsidRPr="00151FF4">
              <w:rPr>
                <w:rFonts w:asciiTheme="majorHAnsi" w:hAnsiTheme="majorHAnsi" w:cstheme="majorHAnsi"/>
                <w:b/>
                <w:sz w:val="22"/>
                <w:szCs w:val="22"/>
              </w:rPr>
              <w:t xml:space="preserve"> of the definition in article 297 of the Criminal Code. </w:t>
            </w:r>
          </w:p>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color w:val="000000"/>
                <w:sz w:val="22"/>
                <w:szCs w:val="22"/>
              </w:rPr>
            </w:pPr>
            <w:r w:rsidRPr="00151FF4">
              <w:rPr>
                <w:rFonts w:asciiTheme="majorHAnsi" w:hAnsiTheme="majorHAnsi" w:cstheme="majorHAnsi"/>
                <w:b/>
                <w:sz w:val="22"/>
                <w:szCs w:val="22"/>
              </w:rPr>
              <w:t xml:space="preserve">The State must implement CEDAW’s recommendation and specifically criminalize marital rape. </w:t>
            </w:r>
          </w:p>
        </w:tc>
      </w:tr>
    </w:tbl>
    <w:p w:rsidR="00C95CD7" w:rsidRPr="00151FF4" w:rsidRDefault="00C95CD7" w:rsidP="00151FF4">
      <w:pPr>
        <w:pStyle w:val="2"/>
        <w:jc w:val="both"/>
        <w:rPr>
          <w:rFonts w:asciiTheme="majorHAnsi" w:hAnsiTheme="majorHAnsi" w:cstheme="majorHAnsi"/>
          <w:color w:val="000000"/>
          <w:sz w:val="24"/>
          <w:szCs w:val="24"/>
        </w:rPr>
      </w:pPr>
      <w:bookmarkStart w:id="8" w:name="_6gwa8w9bb0vu" w:colFirst="0" w:colLast="0"/>
      <w:bookmarkEnd w:id="8"/>
    </w:p>
    <w:p w:rsidR="00C95CD7" w:rsidRPr="00151FF4" w:rsidRDefault="00D32E12" w:rsidP="00151FF4">
      <w:pPr>
        <w:pStyle w:val="2"/>
        <w:jc w:val="both"/>
        <w:rPr>
          <w:rFonts w:asciiTheme="majorHAnsi" w:hAnsiTheme="majorHAnsi" w:cstheme="majorHAnsi"/>
          <w:color w:val="000000"/>
          <w:sz w:val="24"/>
          <w:szCs w:val="24"/>
        </w:rPr>
      </w:pPr>
      <w:bookmarkStart w:id="9" w:name="_Toc164087320"/>
      <w:r w:rsidRPr="00151FF4">
        <w:rPr>
          <w:rFonts w:asciiTheme="majorHAnsi" w:hAnsiTheme="majorHAnsi" w:cstheme="majorHAnsi"/>
          <w:color w:val="000000"/>
          <w:sz w:val="24"/>
          <w:szCs w:val="24"/>
        </w:rPr>
        <w:t xml:space="preserve">6. </w:t>
      </w:r>
      <w:r w:rsidR="00874B53" w:rsidRPr="00151FF4">
        <w:rPr>
          <w:rFonts w:asciiTheme="majorHAnsi" w:hAnsiTheme="majorHAnsi" w:cstheme="majorHAnsi"/>
          <w:color w:val="000000"/>
          <w:sz w:val="24"/>
          <w:szCs w:val="24"/>
        </w:rPr>
        <w:t>Establishing a system of preventing retaliatory countersuits against GBVAW victims, including false accusation and ‘mutual abuse’ claims, and improving awareness of law enforcement</w:t>
      </w:r>
      <w:bookmarkEnd w:id="9"/>
      <w:r w:rsidR="00874B53" w:rsidRPr="00151FF4">
        <w:rPr>
          <w:rFonts w:asciiTheme="majorHAnsi" w:hAnsiTheme="majorHAnsi" w:cstheme="majorHAnsi"/>
          <w:color w:val="000000"/>
          <w:sz w:val="24"/>
          <w:szCs w:val="24"/>
        </w:rPr>
        <w:t xml:space="preserve"> </w:t>
      </w:r>
    </w:p>
    <w:p w:rsidR="00C95CD7" w:rsidRPr="00151FF4" w:rsidRDefault="00874B53" w:rsidP="00151FF4">
      <w:pPr>
        <w:rPr>
          <w:rFonts w:asciiTheme="majorHAnsi" w:hAnsiTheme="majorHAnsi" w:cstheme="majorHAnsi"/>
          <w:sz w:val="22"/>
          <w:szCs w:val="22"/>
        </w:rPr>
      </w:pPr>
      <w:bookmarkStart w:id="10" w:name="_4d34og8" w:colFirst="0" w:colLast="0"/>
      <w:bookmarkEnd w:id="10"/>
      <w:r w:rsidRPr="00151FF4">
        <w:rPr>
          <w:rFonts w:asciiTheme="majorHAnsi" w:hAnsiTheme="majorHAnsi" w:cstheme="majorHAnsi"/>
          <w:sz w:val="22"/>
          <w:szCs w:val="22"/>
        </w:rPr>
        <w:t>The State claims that a bill has been proposed to amend the Act on Special Cases Concerning the Punishment of Sexual Crimes, aiming to prohibit inquiries or investigations, hearings, and trials of false accusation cases until the prosecution’s disposition of non-prosecution is terminated, or a court trial is finalized for cases wherein a criminal complaint or an accusation is filed against a victim of sexual violence crime on charges of false accusation. It also claims that a bill was proposed to amend the Criminal Procedure Act and the Act on Punishment of Sexual Crimes, aiming to prohibit the admission of the victim’s sexual background as evidence and further prohibit subsequent inquiries, investigations, and questioning thereof.</w:t>
      </w:r>
      <w:r w:rsidRPr="00151FF4">
        <w:rPr>
          <w:rFonts w:asciiTheme="majorHAnsi" w:hAnsiTheme="majorHAnsi" w:cstheme="majorHAnsi"/>
          <w:sz w:val="22"/>
          <w:szCs w:val="22"/>
          <w:vertAlign w:val="superscript"/>
        </w:rPr>
        <w:footnoteReference w:id="26"/>
      </w:r>
      <w:r w:rsidRPr="00151FF4">
        <w:rPr>
          <w:rFonts w:asciiTheme="majorHAnsi" w:hAnsiTheme="majorHAnsi" w:cstheme="majorHAnsi"/>
          <w:sz w:val="22"/>
          <w:szCs w:val="22"/>
        </w:rPr>
        <w:t xml:space="preserve"> However, the mere proposal of bills cannot defend nor guarantee the rights of victims. </w:t>
      </w:r>
    </w:p>
    <w:p w:rsidR="00C95CD7" w:rsidRPr="00151FF4" w:rsidRDefault="00874B53" w:rsidP="00151FF4">
      <w:pPr>
        <w:rPr>
          <w:rFonts w:asciiTheme="majorHAnsi" w:hAnsiTheme="majorHAnsi" w:cstheme="majorHAnsi"/>
          <w:sz w:val="22"/>
          <w:szCs w:val="22"/>
        </w:rPr>
      </w:pPr>
      <w:bookmarkStart w:id="11" w:name="_kohpva6bf58i" w:colFirst="0" w:colLast="0"/>
      <w:bookmarkEnd w:id="11"/>
      <w:r w:rsidRPr="00151FF4">
        <w:rPr>
          <w:rFonts w:asciiTheme="majorHAnsi" w:hAnsiTheme="majorHAnsi" w:cstheme="majorHAnsi"/>
          <w:sz w:val="22"/>
          <w:szCs w:val="22"/>
        </w:rPr>
        <w:t>On the contrary, Yoon promised to ‘punish false accusations of sexual violence’ during his 2021 presidential campaign and in May 2023, the Ministry of Justice (MOJ) submitted its opinion to increase punishments for false accusations of sexual violence to the Supreme Court’s Sentencing Commission.</w:t>
      </w:r>
      <w:r w:rsidRPr="00151FF4">
        <w:rPr>
          <w:rFonts w:asciiTheme="majorHAnsi" w:hAnsiTheme="majorHAnsi" w:cstheme="majorHAnsi"/>
          <w:sz w:val="22"/>
          <w:szCs w:val="22"/>
          <w:vertAlign w:val="superscript"/>
        </w:rPr>
        <w:footnoteReference w:id="27"/>
      </w:r>
      <w:r w:rsidRPr="00151FF4">
        <w:rPr>
          <w:rFonts w:asciiTheme="majorHAnsi" w:hAnsiTheme="majorHAnsi" w:cstheme="majorHAnsi"/>
          <w:sz w:val="22"/>
          <w:szCs w:val="22"/>
        </w:rPr>
        <w:t xml:space="preserve"> In the face of such realities, victims who consider filing charges against their perpetrators face the fear of retaliatory countersuits in addition to the harm caused by the violence.</w:t>
      </w:r>
    </w:p>
    <w:p w:rsidR="00C95CD7" w:rsidRPr="00151FF4" w:rsidRDefault="00874B53" w:rsidP="00151FF4">
      <w:pPr>
        <w:rPr>
          <w:rFonts w:asciiTheme="majorHAnsi" w:hAnsiTheme="majorHAnsi" w:cstheme="majorHAnsi"/>
          <w:sz w:val="22"/>
          <w:szCs w:val="22"/>
        </w:rPr>
      </w:pPr>
      <w:bookmarkStart w:id="12" w:name="_z8rzl6xmpzac" w:colFirst="0" w:colLast="0"/>
      <w:bookmarkEnd w:id="12"/>
      <w:r w:rsidRPr="00151FF4">
        <w:rPr>
          <w:rFonts w:asciiTheme="majorHAnsi" w:hAnsiTheme="majorHAnsi" w:cstheme="majorHAnsi"/>
          <w:sz w:val="22"/>
          <w:szCs w:val="22"/>
        </w:rPr>
        <w:t>There is also the serious issue of the victim’s acts of self-defense, taken in the process of resisting the perpetrator’s domestic or intimate partner violence, being treated as ‘mutual abuse’, where both parties are treated as having caused equal offense.</w:t>
      </w:r>
      <w:r w:rsidRPr="00151FF4">
        <w:rPr>
          <w:rFonts w:asciiTheme="majorHAnsi" w:hAnsiTheme="majorHAnsi" w:cstheme="majorHAnsi"/>
          <w:b/>
          <w:sz w:val="22"/>
          <w:szCs w:val="22"/>
        </w:rPr>
        <w:t xml:space="preserve"> </w:t>
      </w:r>
      <w:r w:rsidRPr="00151FF4">
        <w:rPr>
          <w:rFonts w:asciiTheme="majorHAnsi" w:hAnsiTheme="majorHAnsi" w:cstheme="majorHAnsi"/>
          <w:sz w:val="22"/>
          <w:szCs w:val="22"/>
        </w:rPr>
        <w:t xml:space="preserve">Victims often experience law enforcement’s failure to understand GBVAW cases within context, such as perpetrators threatening to report the victims’ acts of self-defense and law enforcement wholly accepting the perpetrator’s claim of ‘mutual abuse’. Such behavior that victims experience in dealing with law enforcement deters victims from taking </w:t>
      </w:r>
      <w:r w:rsidRPr="00151FF4">
        <w:rPr>
          <w:rFonts w:asciiTheme="majorHAnsi" w:hAnsiTheme="majorHAnsi" w:cstheme="majorHAnsi"/>
          <w:sz w:val="22"/>
          <w:szCs w:val="22"/>
        </w:rPr>
        <w:lastRenderedPageBreak/>
        <w:t xml:space="preserve">issue with the perpetrators’ crimes and makes them reluctant to seek judicial intervention. Institutional improvements must be made to raise awareness within law enforcement. </w:t>
      </w:r>
    </w:p>
    <w:tbl>
      <w:tblPr>
        <w:tblStyle w:val="a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trPr>
          <w:trHeight w:val="2101"/>
        </w:trPr>
        <w:tc>
          <w:tcPr>
            <w:tcW w:w="9016" w:type="dxa"/>
            <w:vAlign w:val="center"/>
          </w:tcPr>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sz w:val="22"/>
                <w:szCs w:val="22"/>
              </w:rPr>
            </w:pPr>
            <w:r w:rsidRPr="00151FF4">
              <w:rPr>
                <w:rFonts w:asciiTheme="majorHAnsi" w:hAnsiTheme="majorHAnsi" w:cstheme="majorHAnsi"/>
                <w:b/>
                <w:sz w:val="22"/>
                <w:szCs w:val="22"/>
              </w:rPr>
              <w:t xml:space="preserve">The State must implement CEDAW’s recommendation to prevent perpetrator’s abuse of filing criminal suits against sexual violence victims, including suits of false accusations, and prohibit the use of victims’ sexual background as evidence in judicial proceedings. </w:t>
            </w:r>
          </w:p>
          <w:p w:rsidR="00C95CD7" w:rsidRPr="00151FF4" w:rsidRDefault="00874B53" w:rsidP="00151FF4">
            <w:pPr>
              <w:numPr>
                <w:ilvl w:val="0"/>
                <w:numId w:val="1"/>
              </w:numPr>
              <w:spacing w:after="200" w:line="276" w:lineRule="auto"/>
              <w:rPr>
                <w:rFonts w:asciiTheme="majorHAnsi" w:hAnsiTheme="majorHAnsi" w:cstheme="majorHAnsi"/>
                <w:b/>
                <w:sz w:val="22"/>
                <w:szCs w:val="22"/>
              </w:rPr>
            </w:pPr>
            <w:r w:rsidRPr="00151FF4">
              <w:rPr>
                <w:rFonts w:asciiTheme="majorHAnsi" w:hAnsiTheme="majorHAnsi" w:cstheme="majorHAnsi"/>
                <w:b/>
                <w:sz w:val="22"/>
                <w:szCs w:val="22"/>
              </w:rPr>
              <w:t xml:space="preserve">The State must improve awareness of law enforcement and the case-handling procedure to ensure that victims’ acts of self-defense are not treated as ‘mutual abuse’. </w:t>
            </w:r>
          </w:p>
        </w:tc>
      </w:tr>
    </w:tbl>
    <w:p w:rsidR="00C95CD7" w:rsidRPr="00151FF4" w:rsidRDefault="00C95CD7" w:rsidP="00151FF4">
      <w:pPr>
        <w:pStyle w:val="2"/>
        <w:jc w:val="both"/>
        <w:rPr>
          <w:rFonts w:asciiTheme="majorHAnsi" w:hAnsiTheme="majorHAnsi" w:cstheme="majorHAnsi"/>
          <w:color w:val="000000"/>
          <w:sz w:val="24"/>
          <w:szCs w:val="24"/>
        </w:rPr>
      </w:pPr>
    </w:p>
    <w:p w:rsidR="00C95CD7" w:rsidRPr="00151FF4" w:rsidRDefault="00D32E12" w:rsidP="00151FF4">
      <w:pPr>
        <w:pStyle w:val="2"/>
        <w:jc w:val="both"/>
        <w:rPr>
          <w:rFonts w:asciiTheme="majorHAnsi" w:hAnsiTheme="majorHAnsi" w:cstheme="majorHAnsi"/>
          <w:sz w:val="24"/>
          <w:szCs w:val="24"/>
        </w:rPr>
      </w:pPr>
      <w:bookmarkStart w:id="13" w:name="_Toc164087321"/>
      <w:r w:rsidRPr="00151FF4">
        <w:rPr>
          <w:rFonts w:asciiTheme="majorHAnsi" w:hAnsiTheme="majorHAnsi" w:cstheme="majorHAnsi"/>
          <w:color w:val="000000"/>
          <w:sz w:val="24"/>
          <w:szCs w:val="24"/>
        </w:rPr>
        <w:t xml:space="preserve">7. </w:t>
      </w:r>
      <w:r w:rsidR="00874B53" w:rsidRPr="00151FF4">
        <w:rPr>
          <w:rFonts w:asciiTheme="majorHAnsi" w:hAnsiTheme="majorHAnsi" w:cstheme="majorHAnsi"/>
          <w:color w:val="000000"/>
          <w:sz w:val="24"/>
          <w:szCs w:val="24"/>
        </w:rPr>
        <w:t>Substantializing punishment for online sexual harassment and specifying obligations of online platforms</w:t>
      </w:r>
      <w:bookmarkEnd w:id="13"/>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 xml:space="preserve">Sexual violence in online spaces </w:t>
      </w:r>
      <w:r w:rsidR="004E2C9F">
        <w:rPr>
          <w:rFonts w:asciiTheme="majorHAnsi" w:hAnsiTheme="majorHAnsi" w:cstheme="majorHAnsi" w:hint="eastAsia"/>
          <w:sz w:val="22"/>
          <w:szCs w:val="22"/>
        </w:rPr>
        <w:t>is</w:t>
      </w:r>
      <w:r w:rsidRPr="00151FF4">
        <w:rPr>
          <w:rFonts w:asciiTheme="majorHAnsi" w:hAnsiTheme="majorHAnsi" w:cstheme="majorHAnsi"/>
          <w:sz w:val="22"/>
          <w:szCs w:val="22"/>
        </w:rPr>
        <w:t xml:space="preserve"> evolving to become more blatant and severe. The State claims that it established legal and procedural measures to combat digital sexual crimes including a dedicated investigative system, however, all related agendas and discussions have been stalled since the 2020 law was enacted and amended. </w:t>
      </w:r>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The issue of online sexual harassment is particularly grave and still without laws in place for its punishment.</w:t>
      </w:r>
      <w:r w:rsidRPr="00151FF4">
        <w:rPr>
          <w:rFonts w:asciiTheme="majorHAnsi" w:hAnsiTheme="majorHAnsi" w:cstheme="majorHAnsi"/>
          <w:sz w:val="22"/>
          <w:szCs w:val="22"/>
          <w:vertAlign w:val="superscript"/>
        </w:rPr>
        <w:footnoteReference w:id="28"/>
      </w:r>
      <w:r w:rsidRPr="00151FF4">
        <w:rPr>
          <w:rFonts w:asciiTheme="majorHAnsi" w:hAnsiTheme="majorHAnsi" w:cstheme="majorHAnsi"/>
          <w:sz w:val="22"/>
          <w:szCs w:val="22"/>
        </w:rPr>
        <w:t xml:space="preserve"> ‘Acquaintance humiliation’,</w:t>
      </w:r>
      <w:r w:rsidRPr="00151FF4">
        <w:rPr>
          <w:rFonts w:asciiTheme="majorHAnsi" w:hAnsiTheme="majorHAnsi" w:cstheme="majorHAnsi"/>
          <w:sz w:val="22"/>
          <w:szCs w:val="22"/>
          <w:vertAlign w:val="superscript"/>
        </w:rPr>
        <w:footnoteReference w:id="29"/>
      </w:r>
      <w:r w:rsidRPr="00151FF4">
        <w:rPr>
          <w:rFonts w:asciiTheme="majorHAnsi" w:hAnsiTheme="majorHAnsi" w:cstheme="majorHAnsi"/>
          <w:sz w:val="22"/>
          <w:szCs w:val="22"/>
        </w:rPr>
        <w:t xml:space="preserve"> synthesizing photos of victims onto pornographic images and posting them online with the victim’s personal information to engage in sexual humiliation with random individuals online, has been a sort of game enjoyed by perpetrators for some time.</w:t>
      </w:r>
      <w:r w:rsidRPr="00151FF4">
        <w:rPr>
          <w:rFonts w:asciiTheme="majorHAnsi" w:hAnsiTheme="majorHAnsi" w:cstheme="majorHAnsi"/>
          <w:sz w:val="22"/>
          <w:szCs w:val="22"/>
          <w:vertAlign w:val="superscript"/>
        </w:rPr>
        <w:t xml:space="preserve"> </w:t>
      </w:r>
      <w:r w:rsidRPr="00151FF4">
        <w:rPr>
          <w:rFonts w:asciiTheme="majorHAnsi" w:hAnsiTheme="majorHAnsi" w:cstheme="majorHAnsi"/>
          <w:sz w:val="22"/>
          <w:szCs w:val="22"/>
        </w:rPr>
        <w:t xml:space="preserve">However, its punishment is still limited to the competence and gender sensitivity of individual investigators due to the lack of legal grounds for punishment. </w:t>
      </w:r>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In 2018, CEDAW recommended that the State strengthen preventive measures including “penalizing with considerable financial sanctions online platforms and online distributors that fail to delete or block criminal content from their platforms”.</w:t>
      </w:r>
      <w:r w:rsidRPr="00151FF4">
        <w:rPr>
          <w:rFonts w:asciiTheme="majorHAnsi" w:hAnsiTheme="majorHAnsi" w:cstheme="majorHAnsi"/>
          <w:sz w:val="22"/>
          <w:szCs w:val="22"/>
          <w:vertAlign w:val="superscript"/>
        </w:rPr>
        <w:footnoteReference w:id="30"/>
      </w:r>
      <w:r w:rsidRPr="00151FF4">
        <w:rPr>
          <w:rFonts w:asciiTheme="majorHAnsi" w:hAnsiTheme="majorHAnsi" w:cstheme="majorHAnsi"/>
          <w:sz w:val="22"/>
          <w:szCs w:val="22"/>
        </w:rPr>
        <w:t xml:space="preserve"> If sexually exploitative material is posted on an online platform, the platform must comply with requests for its removal. However, it is not required to take action unless a report is made, further sustaining the problem of sexually exploitative material circulation. Even if the platform is run by Korean citizens, platforms based overseas are not legally bound to take down the content in question. Often, removal requests will result in threats of </w:t>
      </w:r>
      <w:r w:rsidRPr="00151FF4">
        <w:rPr>
          <w:rFonts w:asciiTheme="majorHAnsi" w:hAnsiTheme="majorHAnsi" w:cstheme="majorHAnsi"/>
          <w:sz w:val="22"/>
          <w:szCs w:val="22"/>
        </w:rPr>
        <w:lastRenderedPageBreak/>
        <w:t xml:space="preserve">distribution, causing added difficulty in the victim support and investigative process. </w:t>
      </w:r>
    </w:p>
    <w:tbl>
      <w:tblPr>
        <w:tblStyle w:val="ab"/>
        <w:tblpPr w:leftFromText="142" w:rightFromText="142" w:vertAnchor="text" w:tblpY="57"/>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trPr>
          <w:trHeight w:val="2112"/>
        </w:trPr>
        <w:tc>
          <w:tcPr>
            <w:tcW w:w="9016" w:type="dxa"/>
            <w:vAlign w:val="center"/>
          </w:tcPr>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color w:val="000000"/>
                <w:sz w:val="22"/>
                <w:szCs w:val="22"/>
              </w:rPr>
            </w:pPr>
            <w:r w:rsidRPr="00151FF4">
              <w:rPr>
                <w:rFonts w:asciiTheme="majorHAnsi" w:hAnsiTheme="majorHAnsi" w:cstheme="majorHAnsi"/>
                <w:b/>
                <w:sz w:val="22"/>
                <w:szCs w:val="22"/>
              </w:rPr>
              <w:t xml:space="preserve">The State must conduct a comprehensive survey on online sexual harassment and establish laws and institutions for its criminalization. </w:t>
            </w:r>
          </w:p>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color w:val="000000"/>
                <w:sz w:val="22"/>
                <w:szCs w:val="22"/>
              </w:rPr>
            </w:pPr>
            <w:r w:rsidRPr="00151FF4">
              <w:rPr>
                <w:rFonts w:asciiTheme="majorHAnsi" w:hAnsiTheme="majorHAnsi" w:cstheme="majorHAnsi"/>
                <w:b/>
                <w:sz w:val="22"/>
                <w:szCs w:val="22"/>
              </w:rPr>
              <w:t xml:space="preserve">The State must enact legislation that obligates online platforms to actively remove and report to law enforcement sexually exploitative material found on its platform, and establish a system for active international cooperation in investigating online sexual violence so that investigations are not met with difficulties due to the platform being based overseas. </w:t>
            </w:r>
          </w:p>
        </w:tc>
      </w:tr>
    </w:tbl>
    <w:p w:rsidR="00C95CD7" w:rsidRPr="00151FF4" w:rsidRDefault="00C95CD7" w:rsidP="00151FF4">
      <w:pPr>
        <w:rPr>
          <w:rFonts w:asciiTheme="majorHAnsi" w:hAnsiTheme="majorHAnsi" w:cstheme="majorHAnsi"/>
          <w:sz w:val="22"/>
          <w:szCs w:val="22"/>
        </w:rPr>
      </w:pPr>
    </w:p>
    <w:p w:rsidR="00C95CD7" w:rsidRPr="00151FF4" w:rsidRDefault="00D32E12" w:rsidP="00151FF4">
      <w:pPr>
        <w:pStyle w:val="2"/>
        <w:jc w:val="both"/>
        <w:rPr>
          <w:rFonts w:asciiTheme="majorHAnsi" w:hAnsiTheme="majorHAnsi" w:cstheme="majorHAnsi"/>
          <w:sz w:val="24"/>
          <w:szCs w:val="24"/>
        </w:rPr>
      </w:pPr>
      <w:bookmarkStart w:id="14" w:name="_Toc164087322"/>
      <w:r w:rsidRPr="00151FF4">
        <w:rPr>
          <w:rFonts w:asciiTheme="majorHAnsi" w:hAnsiTheme="majorHAnsi" w:cstheme="majorHAnsi"/>
          <w:color w:val="000000"/>
          <w:sz w:val="24"/>
          <w:szCs w:val="24"/>
        </w:rPr>
        <w:t xml:space="preserve">8. </w:t>
      </w:r>
      <w:r w:rsidR="00874B53" w:rsidRPr="00151FF4">
        <w:rPr>
          <w:rFonts w:asciiTheme="majorHAnsi" w:hAnsiTheme="majorHAnsi" w:cstheme="majorHAnsi"/>
          <w:color w:val="000000"/>
          <w:sz w:val="24"/>
          <w:szCs w:val="24"/>
        </w:rPr>
        <w:t>Securing housing rights and a stable budget for victims of GBVAW</w:t>
      </w:r>
      <w:bookmarkEnd w:id="14"/>
      <w:r w:rsidR="00874B53" w:rsidRPr="00151FF4">
        <w:rPr>
          <w:rFonts w:asciiTheme="majorHAnsi" w:hAnsiTheme="majorHAnsi" w:cstheme="majorHAnsi"/>
          <w:color w:val="000000"/>
          <w:sz w:val="24"/>
          <w:szCs w:val="24"/>
        </w:rPr>
        <w:t xml:space="preserve">   </w:t>
      </w:r>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ROK’s Constitution states that the State shall endeavor to ensure comfortable housing for all citizens.</w:t>
      </w:r>
      <w:r w:rsidRPr="00151FF4">
        <w:rPr>
          <w:rFonts w:asciiTheme="majorHAnsi" w:hAnsiTheme="majorHAnsi" w:cstheme="majorHAnsi"/>
          <w:sz w:val="22"/>
          <w:szCs w:val="22"/>
          <w:vertAlign w:val="superscript"/>
        </w:rPr>
        <w:footnoteReference w:id="31"/>
      </w:r>
      <w:r w:rsidRPr="00151FF4">
        <w:rPr>
          <w:rFonts w:asciiTheme="majorHAnsi" w:hAnsiTheme="majorHAnsi" w:cstheme="majorHAnsi"/>
          <w:sz w:val="22"/>
          <w:szCs w:val="22"/>
        </w:rPr>
        <w:t xml:space="preserve"> However, GBVAW shelters where victims stay to escape violence have extremely poor conditions, that even the most basic right to housing is not guaranteed.</w:t>
      </w:r>
      <w:r w:rsidRPr="00151FF4">
        <w:rPr>
          <w:rFonts w:asciiTheme="majorHAnsi" w:hAnsiTheme="majorHAnsi" w:cstheme="majorHAnsi"/>
          <w:sz w:val="22"/>
          <w:szCs w:val="22"/>
          <w:vertAlign w:val="superscript"/>
        </w:rPr>
        <w:footnoteReference w:id="32"/>
      </w:r>
      <w:r w:rsidRPr="00151FF4">
        <w:rPr>
          <w:rFonts w:asciiTheme="majorHAnsi" w:hAnsiTheme="majorHAnsi" w:cstheme="majorHAnsi"/>
          <w:sz w:val="22"/>
          <w:szCs w:val="22"/>
        </w:rPr>
        <w:t xml:space="preserve"> After accounting for the spaces required for a staff office, living area, etc., the actual space allocated for each resident is even smaller. Such conditions make it difficult for shelters to provide adequate space for conducting various programs for self-reliance, recovery, and networking. Further, even after leaving the shelter, securing stable housing is extremely difficult for victims due to a severe shortage of supporting facilities and national public housing. </w:t>
      </w:r>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Stable support for victims is also lacking. Victims are screened through asset surveys to provide differential support, and the budget for supporting VAW victims is</w:t>
      </w:r>
      <w:r w:rsidR="00D32E12" w:rsidRPr="00151FF4">
        <w:rPr>
          <w:rFonts w:asciiTheme="majorHAnsi" w:hAnsiTheme="majorHAnsi" w:cstheme="majorHAnsi"/>
          <w:sz w:val="22"/>
          <w:szCs w:val="22"/>
        </w:rPr>
        <w:t xml:space="preserve"> operated as a fund</w:t>
      </w:r>
      <w:r w:rsidR="00D32E12" w:rsidRPr="00151FF4">
        <w:rPr>
          <w:rStyle w:val="af4"/>
          <w:rFonts w:asciiTheme="majorHAnsi" w:hAnsiTheme="majorHAnsi" w:cstheme="majorHAnsi"/>
          <w:sz w:val="22"/>
          <w:szCs w:val="22"/>
        </w:rPr>
        <w:footnoteReference w:id="33"/>
      </w:r>
      <w:r w:rsidR="00D32E12" w:rsidRPr="00151FF4">
        <w:rPr>
          <w:rFonts w:asciiTheme="majorHAnsi" w:hAnsiTheme="majorHAnsi" w:cstheme="majorHAnsi"/>
          <w:sz w:val="22"/>
          <w:szCs w:val="22"/>
        </w:rPr>
        <w:t xml:space="preserve"> rather than a general budget.</w:t>
      </w:r>
      <w:r w:rsidRPr="00151FF4">
        <w:rPr>
          <w:rFonts w:asciiTheme="majorHAnsi" w:hAnsiTheme="majorHAnsi" w:cstheme="majorHAnsi"/>
          <w:sz w:val="22"/>
          <w:szCs w:val="22"/>
        </w:rPr>
        <w:t xml:space="preserve"> The ministries responsible for organizing and executing the budget vary from MOGEF, MOJ, and Ministry of Health and Welfare, depending on the nature of the support, making it difficult to implement VAW victim support programs that the government should consistently provide. Furthermore, MOGEF’s budget for VAW prevention and victim support was cut by approximately 10 billion KRW in 2024. Citing reasons of efficiency and performance, MOGEF reduced funding for sex trafficking victims’ support, medical expenses for sexual violence victims, medical expenses and recovery programs for domestic violence victims, shelters for domestic violence victims, housing support for VAW victims, etc., and GBVAW victim support facilities are being mechanically integrated. In some local governments, the budget for domestic violence victim recovery programs at shelters in </w:t>
      </w:r>
      <w:r w:rsidRPr="00151FF4">
        <w:rPr>
          <w:rFonts w:asciiTheme="majorHAnsi" w:hAnsiTheme="majorHAnsi" w:cstheme="majorHAnsi"/>
          <w:sz w:val="22"/>
          <w:szCs w:val="22"/>
        </w:rPr>
        <w:lastRenderedPageBreak/>
        <w:t xml:space="preserve">some local governments were distributed more than a quarter late and reduced by more than half, revealing serious problems in victim support. </w:t>
      </w:r>
    </w:p>
    <w:tbl>
      <w:tblPr>
        <w:tblStyle w:val="ac"/>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trPr>
          <w:trHeight w:val="1182"/>
        </w:trPr>
        <w:tc>
          <w:tcPr>
            <w:tcW w:w="9016" w:type="dxa"/>
            <w:vAlign w:val="center"/>
          </w:tcPr>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color w:val="000000"/>
                <w:sz w:val="22"/>
                <w:szCs w:val="22"/>
              </w:rPr>
            </w:pPr>
            <w:r w:rsidRPr="00151FF4">
              <w:rPr>
                <w:rFonts w:asciiTheme="majorHAnsi" w:hAnsiTheme="majorHAnsi" w:cstheme="majorHAnsi"/>
                <w:b/>
                <w:sz w:val="22"/>
                <w:szCs w:val="22"/>
              </w:rPr>
              <w:t>The State must enact policies to ensure the victims’ right to housing, including improving and expanding spaces within shelters, as well as ensuring adequate housing supply.</w:t>
            </w:r>
          </w:p>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color w:val="000000"/>
                <w:sz w:val="22"/>
                <w:szCs w:val="22"/>
              </w:rPr>
            </w:pPr>
            <w:r w:rsidRPr="00151FF4">
              <w:rPr>
                <w:rFonts w:asciiTheme="majorHAnsi" w:hAnsiTheme="majorHAnsi" w:cstheme="majorHAnsi"/>
                <w:b/>
                <w:sz w:val="22"/>
                <w:szCs w:val="22"/>
              </w:rPr>
              <w:t xml:space="preserve">The State must establish an independent support system for VAW and include its budget in the general budget. </w:t>
            </w:r>
          </w:p>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color w:val="000000"/>
                <w:sz w:val="22"/>
                <w:szCs w:val="22"/>
              </w:rPr>
            </w:pPr>
            <w:r w:rsidRPr="00151FF4">
              <w:rPr>
                <w:rFonts w:asciiTheme="majorHAnsi" w:hAnsiTheme="majorHAnsi" w:cstheme="majorHAnsi"/>
                <w:b/>
                <w:sz w:val="22"/>
                <w:szCs w:val="22"/>
              </w:rPr>
              <w:t xml:space="preserve">The State must provide adequate support for GBVAW victims, including medical care, recovery programs, and support for self-reliance, etc., through stable organization and execution of its budget. </w:t>
            </w:r>
          </w:p>
        </w:tc>
      </w:tr>
    </w:tbl>
    <w:p w:rsidR="00C95CD7" w:rsidRPr="00151FF4" w:rsidRDefault="00C95CD7" w:rsidP="00151FF4">
      <w:pPr>
        <w:rPr>
          <w:rFonts w:asciiTheme="majorHAnsi" w:hAnsiTheme="majorHAnsi" w:cstheme="majorHAnsi"/>
          <w:b/>
          <w:sz w:val="22"/>
          <w:szCs w:val="22"/>
        </w:rPr>
      </w:pPr>
    </w:p>
    <w:p w:rsidR="00C95CD7" w:rsidRPr="00151FF4" w:rsidRDefault="00D32E12" w:rsidP="00151FF4">
      <w:pPr>
        <w:pStyle w:val="2"/>
        <w:jc w:val="both"/>
        <w:rPr>
          <w:rFonts w:asciiTheme="majorHAnsi" w:hAnsiTheme="majorHAnsi" w:cstheme="majorHAnsi"/>
          <w:sz w:val="24"/>
          <w:szCs w:val="24"/>
        </w:rPr>
      </w:pPr>
      <w:bookmarkStart w:id="15" w:name="_Toc164087323"/>
      <w:r w:rsidRPr="00151FF4">
        <w:rPr>
          <w:rFonts w:asciiTheme="majorHAnsi" w:hAnsiTheme="majorHAnsi" w:cstheme="majorHAnsi"/>
          <w:color w:val="000000"/>
          <w:sz w:val="24"/>
          <w:szCs w:val="24"/>
        </w:rPr>
        <w:t xml:space="preserve">9. </w:t>
      </w:r>
      <w:r w:rsidR="00874B53" w:rsidRPr="00151FF4">
        <w:rPr>
          <w:rFonts w:asciiTheme="majorHAnsi" w:hAnsiTheme="majorHAnsi" w:cstheme="majorHAnsi"/>
          <w:color w:val="000000"/>
          <w:sz w:val="24"/>
          <w:szCs w:val="24"/>
        </w:rPr>
        <w:t>Establishing GBVAW femicide statistics and conducting comprehensive survey</w:t>
      </w:r>
      <w:bookmarkEnd w:id="15"/>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Incidents of VAW continue to occur, with sexism and sexist perceptions worsening in Korean society. According to a 2023 KWHL statistic, at least 138 women were murdered by male partners with whom they had intimate relationships, such as their husbands or boyfriends, and at least 311 women survived attempted murder in such relationships.</w:t>
      </w:r>
      <w:r w:rsidRPr="00151FF4">
        <w:rPr>
          <w:rFonts w:asciiTheme="majorHAnsi" w:hAnsiTheme="majorHAnsi" w:cstheme="majorHAnsi"/>
          <w:sz w:val="22"/>
          <w:szCs w:val="22"/>
          <w:vertAlign w:val="superscript"/>
        </w:rPr>
        <w:footnoteReference w:id="34"/>
      </w:r>
      <w:r w:rsidRPr="00151FF4">
        <w:rPr>
          <w:rFonts w:asciiTheme="majorHAnsi" w:hAnsiTheme="majorHAnsi" w:cstheme="majorHAnsi"/>
          <w:sz w:val="22"/>
          <w:szCs w:val="22"/>
        </w:rPr>
        <w:t xml:space="preserve"> This statistic is a conservative figure, as it only accounts for cases reported in the media. The actual number of women killed or at risk of being killed by intimate male partners is expected to be much higher. According to the Supreme Prosecutors’ Office’s crime analysis data, 178 women died as a result of crime in 2022. The same data suggests that around 200 women are killed annually, from which it can be assumed that many of these women were victims of intimate partner violence. However, there are no official statistics on femicide provided by the government. </w:t>
      </w:r>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 xml:space="preserve">In 2022, MOGEF released statistics on the current status of VAW under the </w:t>
      </w:r>
      <w:r w:rsidRPr="00151FF4">
        <w:rPr>
          <w:rFonts w:asciiTheme="majorHAnsi" w:hAnsiTheme="majorHAnsi" w:cstheme="majorHAnsi"/>
          <w:sz w:val="22"/>
          <w:szCs w:val="22"/>
          <w:highlight w:val="white"/>
        </w:rPr>
        <w:t xml:space="preserve">Framework Act </w:t>
      </w:r>
      <w:proofErr w:type="gramStart"/>
      <w:r w:rsidRPr="00151FF4">
        <w:rPr>
          <w:rFonts w:asciiTheme="majorHAnsi" w:hAnsiTheme="majorHAnsi" w:cstheme="majorHAnsi"/>
          <w:sz w:val="22"/>
          <w:szCs w:val="22"/>
          <w:highlight w:val="white"/>
        </w:rPr>
        <w:t>On</w:t>
      </w:r>
      <w:proofErr w:type="gramEnd"/>
      <w:r w:rsidRPr="00151FF4">
        <w:rPr>
          <w:rFonts w:asciiTheme="majorHAnsi" w:hAnsiTheme="majorHAnsi" w:cstheme="majorHAnsi"/>
          <w:sz w:val="22"/>
          <w:szCs w:val="22"/>
          <w:highlight w:val="white"/>
        </w:rPr>
        <w:t xml:space="preserve"> Prevention Of Violence Against Women</w:t>
      </w:r>
      <w:r w:rsidRPr="00151FF4">
        <w:rPr>
          <w:rFonts w:asciiTheme="majorHAnsi" w:hAnsiTheme="majorHAnsi" w:cstheme="majorHAnsi"/>
          <w:sz w:val="22"/>
          <w:szCs w:val="22"/>
        </w:rPr>
        <w:t xml:space="preserve"> for the first time. However, it contained nothing more than a combination of existing fragmented surveys, lacking both perspective and purpose. In February 2023, the National Police Agency announced that it would release advanced criminal statistics in 2024, breaking down victim-suspect relationships of VAW, including romantic, common-law, and married </w:t>
      </w:r>
      <w:r w:rsidRPr="00151FF4">
        <w:rPr>
          <w:rFonts w:asciiTheme="majorHAnsi" w:hAnsiTheme="majorHAnsi" w:cstheme="majorHAnsi"/>
          <w:sz w:val="22"/>
          <w:szCs w:val="22"/>
        </w:rPr>
        <w:lastRenderedPageBreak/>
        <w:t xml:space="preserve">relationships, but no progress has been made. </w:t>
      </w:r>
    </w:p>
    <w:tbl>
      <w:tblPr>
        <w:tblStyle w:val="ad"/>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trPr>
          <w:trHeight w:val="750"/>
        </w:trPr>
        <w:tc>
          <w:tcPr>
            <w:tcW w:w="9016" w:type="dxa"/>
            <w:vAlign w:val="center"/>
          </w:tcPr>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color w:val="000000"/>
                <w:sz w:val="22"/>
                <w:szCs w:val="22"/>
              </w:rPr>
            </w:pPr>
            <w:r w:rsidRPr="00151FF4">
              <w:rPr>
                <w:rFonts w:asciiTheme="majorHAnsi" w:hAnsiTheme="majorHAnsi" w:cstheme="majorHAnsi"/>
                <w:b/>
                <w:sz w:val="22"/>
                <w:szCs w:val="22"/>
              </w:rPr>
              <w:t xml:space="preserve">The State must establish a statistical system for a detailed, thorough understanding of the current state of VAW including femicide. </w:t>
            </w:r>
          </w:p>
        </w:tc>
      </w:tr>
    </w:tbl>
    <w:p w:rsidR="00C95CD7" w:rsidRPr="00151FF4" w:rsidRDefault="00C95CD7" w:rsidP="00151FF4">
      <w:pPr>
        <w:rPr>
          <w:rFonts w:asciiTheme="majorHAnsi" w:hAnsiTheme="majorHAnsi" w:cstheme="majorHAnsi"/>
          <w:b/>
          <w:sz w:val="22"/>
          <w:szCs w:val="22"/>
        </w:rPr>
      </w:pPr>
    </w:p>
    <w:p w:rsidR="00C95CD7" w:rsidRPr="00151FF4" w:rsidRDefault="00874B53" w:rsidP="004757EB">
      <w:pPr>
        <w:pStyle w:val="1"/>
        <w:spacing w:after="0" w:line="240" w:lineRule="auto"/>
        <w:jc w:val="both"/>
        <w:rPr>
          <w:rFonts w:asciiTheme="majorHAnsi" w:hAnsiTheme="majorHAnsi" w:cstheme="majorHAnsi"/>
          <w:sz w:val="32"/>
          <w:szCs w:val="32"/>
        </w:rPr>
      </w:pPr>
      <w:bookmarkStart w:id="16" w:name="_Toc164087324"/>
      <w:r w:rsidRPr="00151FF4">
        <w:rPr>
          <w:rFonts w:asciiTheme="majorHAnsi" w:hAnsiTheme="majorHAnsi" w:cstheme="majorHAnsi"/>
          <w:sz w:val="32"/>
          <w:szCs w:val="32"/>
        </w:rPr>
        <w:t>Education</w:t>
      </w:r>
      <w:bookmarkEnd w:id="16"/>
    </w:p>
    <w:p w:rsidR="00C95CD7" w:rsidRPr="00151FF4" w:rsidRDefault="00874B53" w:rsidP="004757EB">
      <w:pPr>
        <w:spacing w:line="240" w:lineRule="auto"/>
        <w:jc w:val="left"/>
        <w:rPr>
          <w:rFonts w:asciiTheme="majorHAnsi" w:hAnsiTheme="majorHAnsi" w:cstheme="majorHAnsi"/>
          <w:b/>
          <w:sz w:val="28"/>
          <w:szCs w:val="28"/>
        </w:rPr>
      </w:pPr>
      <w:r w:rsidRPr="00151FF4">
        <w:rPr>
          <w:rFonts w:asciiTheme="majorHAnsi" w:hAnsiTheme="majorHAnsi" w:cstheme="majorHAnsi"/>
          <w:b/>
          <w:sz w:val="28"/>
          <w:szCs w:val="28"/>
        </w:rPr>
        <w:t>(Article 10, List of Issues 7, 15, 16)</w:t>
      </w:r>
      <w:r w:rsidRPr="00151FF4">
        <w:rPr>
          <w:rFonts w:asciiTheme="majorHAnsi" w:hAnsiTheme="majorHAnsi" w:cstheme="majorHAnsi"/>
          <w:b/>
          <w:sz w:val="28"/>
          <w:szCs w:val="28"/>
        </w:rPr>
        <w:br/>
      </w:r>
    </w:p>
    <w:p w:rsidR="00C95CD7" w:rsidRPr="00151FF4" w:rsidRDefault="00D32E12" w:rsidP="00151FF4">
      <w:pPr>
        <w:pStyle w:val="2"/>
        <w:jc w:val="both"/>
        <w:rPr>
          <w:rFonts w:asciiTheme="majorHAnsi" w:hAnsiTheme="majorHAnsi" w:cstheme="majorHAnsi"/>
          <w:sz w:val="24"/>
          <w:szCs w:val="24"/>
        </w:rPr>
      </w:pPr>
      <w:bookmarkStart w:id="17" w:name="_Toc164087325"/>
      <w:r w:rsidRPr="00151FF4">
        <w:rPr>
          <w:rFonts w:asciiTheme="majorHAnsi" w:hAnsiTheme="majorHAnsi" w:cstheme="majorHAnsi"/>
          <w:color w:val="000000"/>
          <w:sz w:val="24"/>
          <w:szCs w:val="24"/>
        </w:rPr>
        <w:t xml:space="preserve">10. </w:t>
      </w:r>
      <w:r w:rsidR="00874B53" w:rsidRPr="00151FF4">
        <w:rPr>
          <w:rFonts w:asciiTheme="majorHAnsi" w:hAnsiTheme="majorHAnsi" w:cstheme="majorHAnsi"/>
          <w:color w:val="000000"/>
          <w:sz w:val="24"/>
          <w:szCs w:val="24"/>
        </w:rPr>
        <w:t>Regression of gender equality education</w:t>
      </w:r>
      <w:bookmarkEnd w:id="17"/>
      <w:r w:rsidR="00874B53" w:rsidRPr="00151FF4">
        <w:rPr>
          <w:rFonts w:asciiTheme="majorHAnsi" w:hAnsiTheme="majorHAnsi" w:cstheme="majorHAnsi"/>
          <w:color w:val="000000"/>
          <w:sz w:val="24"/>
          <w:szCs w:val="24"/>
        </w:rPr>
        <w:t xml:space="preserve">  </w:t>
      </w:r>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In 2018, CEDAW recommended that the State revise its national School Sex Education Guidelines by “by eliminating discriminatory stereotypes and providing information on sexual and reproductive health and rights in an age-appropriate, evidence-based and scientifically accurate manner“.</w:t>
      </w:r>
      <w:r w:rsidRPr="00151FF4">
        <w:rPr>
          <w:rFonts w:asciiTheme="majorHAnsi" w:hAnsiTheme="majorHAnsi" w:cstheme="majorHAnsi"/>
          <w:sz w:val="22"/>
          <w:szCs w:val="22"/>
          <w:vertAlign w:val="superscript"/>
        </w:rPr>
        <w:footnoteReference w:id="35"/>
      </w:r>
      <w:r w:rsidRPr="00151FF4">
        <w:rPr>
          <w:rFonts w:asciiTheme="majorHAnsi" w:hAnsiTheme="majorHAnsi" w:cstheme="majorHAnsi"/>
          <w:sz w:val="22"/>
          <w:szCs w:val="22"/>
        </w:rPr>
        <w:t xml:space="preserve"> However, the Ministry of Education’s revised curriculum for primary, secondary, and special schools in 2022 had removed terms such as ‘sexual and gender minorities</w:t>
      </w:r>
      <w:r w:rsidRPr="00151FF4">
        <w:rPr>
          <w:rFonts w:asciiTheme="majorHAnsi" w:hAnsiTheme="majorHAnsi" w:cstheme="majorHAnsi"/>
          <w:b/>
          <w:sz w:val="22"/>
          <w:szCs w:val="22"/>
          <w:shd w:val="clear" w:color="auto" w:fill="FFF2CC"/>
        </w:rPr>
        <w:t>’</w:t>
      </w:r>
      <w:r w:rsidRPr="00151FF4">
        <w:rPr>
          <w:rFonts w:asciiTheme="majorHAnsi" w:hAnsiTheme="majorHAnsi" w:cstheme="majorHAnsi"/>
          <w:sz w:val="22"/>
          <w:szCs w:val="22"/>
        </w:rPr>
        <w:t>, ‘gender equality’, ‘reproductive rights’, and ‘sexuality’. Furthermore, four of six local governments that have enacted students’ rights ordinances, which include provisions to prevent discrimination based on sexual orientation and gender identity, are seeking to reduce or abolish said ordinances. In 2024, South Korea’s gender equality ministry, MOGEF, decided to end its gender rights education program. MOGEF cited the existence of violence prevention education as the reason for ending the 13-year-old program, but violence prevention education in schools is currently only held once a year for about an hour, and is conducted as a formality during other curriculum classes such as science and family or in large group settings or through audio-visual materials, all of which reduce the effectiveness of the education.</w:t>
      </w:r>
      <w:r w:rsidRPr="00151FF4">
        <w:rPr>
          <w:rFonts w:asciiTheme="majorHAnsi" w:hAnsiTheme="majorHAnsi" w:cstheme="majorHAnsi"/>
          <w:sz w:val="22"/>
          <w:szCs w:val="22"/>
        </w:rPr>
        <w:br/>
      </w:r>
    </w:p>
    <w:tbl>
      <w:tblPr>
        <w:tblStyle w:val="ae"/>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trPr>
          <w:trHeight w:val="1036"/>
        </w:trPr>
        <w:tc>
          <w:tcPr>
            <w:tcW w:w="9016" w:type="dxa"/>
            <w:vAlign w:val="center"/>
          </w:tcPr>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color w:val="000000"/>
                <w:sz w:val="22"/>
                <w:szCs w:val="22"/>
              </w:rPr>
            </w:pPr>
            <w:r w:rsidRPr="00151FF4">
              <w:rPr>
                <w:rFonts w:asciiTheme="majorHAnsi" w:hAnsiTheme="majorHAnsi" w:cstheme="majorHAnsi"/>
                <w:b/>
                <w:sz w:val="22"/>
                <w:szCs w:val="22"/>
              </w:rPr>
              <w:t>The State must mandate gender equality and human rights education to prevent VAW and foster gender and human rights sensitivity.</w:t>
            </w:r>
          </w:p>
        </w:tc>
      </w:tr>
    </w:tbl>
    <w:p w:rsidR="00C95CD7" w:rsidRPr="00151FF4" w:rsidRDefault="00C95CD7" w:rsidP="00151FF4">
      <w:pPr>
        <w:rPr>
          <w:rFonts w:asciiTheme="majorHAnsi" w:hAnsiTheme="majorHAnsi" w:cstheme="majorHAnsi"/>
          <w:b/>
          <w:sz w:val="28"/>
          <w:szCs w:val="28"/>
        </w:rPr>
      </w:pPr>
    </w:p>
    <w:p w:rsidR="004757EB" w:rsidRDefault="004757EB">
      <w:pPr>
        <w:rPr>
          <w:rFonts w:asciiTheme="majorHAnsi" w:hAnsiTheme="majorHAnsi" w:cstheme="majorHAnsi"/>
          <w:b/>
          <w:sz w:val="32"/>
          <w:szCs w:val="32"/>
          <w:highlight w:val="white"/>
        </w:rPr>
      </w:pPr>
      <w:r>
        <w:rPr>
          <w:rFonts w:asciiTheme="majorHAnsi" w:hAnsiTheme="majorHAnsi" w:cstheme="majorHAnsi"/>
          <w:sz w:val="32"/>
          <w:szCs w:val="32"/>
        </w:rPr>
        <w:br w:type="page"/>
      </w:r>
    </w:p>
    <w:p w:rsidR="00C95CD7" w:rsidRPr="00151FF4" w:rsidRDefault="00874B53" w:rsidP="004757EB">
      <w:pPr>
        <w:pStyle w:val="1"/>
        <w:spacing w:after="0" w:line="240" w:lineRule="auto"/>
        <w:jc w:val="both"/>
        <w:rPr>
          <w:rFonts w:asciiTheme="majorHAnsi" w:hAnsiTheme="majorHAnsi" w:cstheme="majorHAnsi"/>
          <w:sz w:val="32"/>
          <w:szCs w:val="32"/>
        </w:rPr>
      </w:pPr>
      <w:bookmarkStart w:id="18" w:name="_Toc164087326"/>
      <w:r w:rsidRPr="00151FF4">
        <w:rPr>
          <w:rFonts w:asciiTheme="majorHAnsi" w:hAnsiTheme="majorHAnsi" w:cstheme="majorHAnsi"/>
          <w:sz w:val="32"/>
          <w:szCs w:val="32"/>
        </w:rPr>
        <w:lastRenderedPageBreak/>
        <w:t>Marriage and family relations</w:t>
      </w:r>
      <w:bookmarkEnd w:id="18"/>
    </w:p>
    <w:p w:rsidR="00C95CD7" w:rsidRPr="00151FF4" w:rsidRDefault="00874B53" w:rsidP="004757EB">
      <w:pPr>
        <w:spacing w:line="240" w:lineRule="auto"/>
        <w:rPr>
          <w:rFonts w:asciiTheme="majorHAnsi" w:hAnsiTheme="majorHAnsi" w:cstheme="majorHAnsi"/>
          <w:b/>
          <w:sz w:val="28"/>
          <w:szCs w:val="28"/>
        </w:rPr>
      </w:pPr>
      <w:r w:rsidRPr="00151FF4">
        <w:rPr>
          <w:rFonts w:asciiTheme="majorHAnsi" w:hAnsiTheme="majorHAnsi" w:cstheme="majorHAnsi"/>
          <w:b/>
          <w:sz w:val="28"/>
          <w:szCs w:val="28"/>
        </w:rPr>
        <w:t>(Article 15 and 16, List of Issues 22, 23)</w:t>
      </w:r>
    </w:p>
    <w:p w:rsidR="00C95CD7" w:rsidRPr="00151FF4" w:rsidRDefault="00874B53" w:rsidP="004757EB">
      <w:pPr>
        <w:pStyle w:val="2"/>
        <w:spacing w:line="240" w:lineRule="auto"/>
        <w:jc w:val="both"/>
        <w:rPr>
          <w:rFonts w:asciiTheme="majorHAnsi" w:hAnsiTheme="majorHAnsi" w:cstheme="majorHAnsi"/>
          <w:color w:val="8064A2"/>
          <w:sz w:val="24"/>
          <w:szCs w:val="24"/>
        </w:rPr>
      </w:pPr>
      <w:r w:rsidRPr="00151FF4">
        <w:rPr>
          <w:rFonts w:asciiTheme="majorHAnsi" w:hAnsiTheme="majorHAnsi" w:cstheme="majorHAnsi"/>
          <w:color w:val="000000"/>
          <w:sz w:val="24"/>
          <w:szCs w:val="24"/>
        </w:rPr>
        <w:br/>
      </w:r>
      <w:bookmarkStart w:id="19" w:name="_Toc164087327"/>
      <w:r w:rsidR="00D32E12" w:rsidRPr="00151FF4">
        <w:rPr>
          <w:rFonts w:asciiTheme="majorHAnsi" w:hAnsiTheme="majorHAnsi" w:cstheme="majorHAnsi"/>
          <w:color w:val="000000"/>
          <w:sz w:val="24"/>
          <w:szCs w:val="24"/>
        </w:rPr>
        <w:t xml:space="preserve">11. </w:t>
      </w:r>
      <w:r w:rsidRPr="00151FF4">
        <w:rPr>
          <w:rFonts w:asciiTheme="majorHAnsi" w:hAnsiTheme="majorHAnsi" w:cstheme="majorHAnsi"/>
          <w:color w:val="000000"/>
          <w:sz w:val="24"/>
          <w:szCs w:val="24"/>
        </w:rPr>
        <w:t>The need for a comprehensive legislation to address VAW in intimate partner relationships</w:t>
      </w:r>
      <w:bookmarkEnd w:id="19"/>
      <w:r w:rsidRPr="00151FF4">
        <w:rPr>
          <w:rFonts w:asciiTheme="majorHAnsi" w:hAnsiTheme="majorHAnsi" w:cstheme="majorHAnsi"/>
          <w:color w:val="000000"/>
          <w:sz w:val="24"/>
          <w:szCs w:val="24"/>
        </w:rPr>
        <w:t xml:space="preserve"> </w:t>
      </w:r>
    </w:p>
    <w:p w:rsidR="00C95CD7" w:rsidRPr="00151FF4" w:rsidRDefault="00874B53" w:rsidP="00151FF4">
      <w:pPr>
        <w:rPr>
          <w:rFonts w:asciiTheme="majorHAnsi" w:hAnsiTheme="majorHAnsi" w:cstheme="majorHAnsi"/>
          <w:sz w:val="22"/>
          <w:szCs w:val="22"/>
        </w:rPr>
      </w:pPr>
      <w:bookmarkStart w:id="20" w:name="_35nkun2" w:colFirst="0" w:colLast="0"/>
      <w:bookmarkEnd w:id="20"/>
      <w:r w:rsidRPr="00151FF4">
        <w:rPr>
          <w:rFonts w:asciiTheme="majorHAnsi" w:hAnsiTheme="majorHAnsi" w:cstheme="majorHAnsi"/>
          <w:sz w:val="22"/>
          <w:szCs w:val="22"/>
        </w:rPr>
        <w:t xml:space="preserve">Currently, crimes of VAW fall under separate laws, including the Criminal Code, DVPA, Act </w:t>
      </w:r>
      <w:proofErr w:type="gramStart"/>
      <w:r w:rsidRPr="00151FF4">
        <w:rPr>
          <w:rFonts w:asciiTheme="majorHAnsi" w:hAnsiTheme="majorHAnsi" w:cstheme="majorHAnsi"/>
          <w:sz w:val="22"/>
          <w:szCs w:val="22"/>
        </w:rPr>
        <w:t>On</w:t>
      </w:r>
      <w:proofErr w:type="gramEnd"/>
      <w:r w:rsidRPr="00151FF4">
        <w:rPr>
          <w:rFonts w:asciiTheme="majorHAnsi" w:hAnsiTheme="majorHAnsi" w:cstheme="majorHAnsi"/>
          <w:sz w:val="22"/>
          <w:szCs w:val="22"/>
        </w:rPr>
        <w:t xml:space="preserve"> Special Cases Concerning The Punishment Of Sexual Crimes, Stalking Punishment Act. Among these, the DVPA is the one law that can regulate VAW in intimate partner relationships, but its narrow scope limits ‘family members’ to traditional family relationships, failing to ensure the rights of victims of dating violence. However, as the current DVPA allows perpetrators of domestic violence to be exempted from criminal punishment, mere expansion of its scope is not enough to guarantee the punishment of perpetrators of VAW in intimate partner relationships or ensure victims’ safety and rights throughout the judicial process. </w:t>
      </w:r>
    </w:p>
    <w:p w:rsidR="00C95CD7" w:rsidRPr="00151FF4" w:rsidRDefault="00874B53" w:rsidP="00151FF4">
      <w:pPr>
        <w:rPr>
          <w:rFonts w:asciiTheme="majorHAnsi" w:hAnsiTheme="majorHAnsi" w:cstheme="majorHAnsi"/>
          <w:sz w:val="22"/>
          <w:szCs w:val="22"/>
        </w:rPr>
      </w:pPr>
      <w:bookmarkStart w:id="21" w:name="_g49ub72ykeod" w:colFirst="0" w:colLast="0"/>
      <w:bookmarkEnd w:id="21"/>
      <w:r w:rsidRPr="00151FF4">
        <w:rPr>
          <w:rFonts w:asciiTheme="majorHAnsi" w:hAnsiTheme="majorHAnsi" w:cstheme="majorHAnsi"/>
          <w:sz w:val="22"/>
          <w:szCs w:val="22"/>
        </w:rPr>
        <w:t xml:space="preserve">The protection and support for VAW victims is also regulated by separate laws, including the Act </w:t>
      </w:r>
      <w:proofErr w:type="gramStart"/>
      <w:r w:rsidRPr="00151FF4">
        <w:rPr>
          <w:rFonts w:asciiTheme="majorHAnsi" w:hAnsiTheme="majorHAnsi" w:cstheme="majorHAnsi"/>
          <w:sz w:val="22"/>
          <w:szCs w:val="22"/>
        </w:rPr>
        <w:t>On</w:t>
      </w:r>
      <w:proofErr w:type="gramEnd"/>
      <w:r w:rsidRPr="00151FF4">
        <w:rPr>
          <w:rFonts w:asciiTheme="majorHAnsi" w:hAnsiTheme="majorHAnsi" w:cstheme="majorHAnsi"/>
          <w:sz w:val="22"/>
          <w:szCs w:val="22"/>
        </w:rPr>
        <w:t xml:space="preserve"> The Prevention Of Domestic Violence And Protection Of Victims, Sexual Violence Prevention And Victims Protection Act, and Act On Prevention Of Stalking And Protection Of Victims. Therefore, the eligibility criteria for free legal aid and the support available via shelters vary, depending on the law that applies. There are also legislative gaps </w:t>
      </w:r>
      <w:r w:rsidRPr="00151FF4">
        <w:rPr>
          <w:rFonts w:asciiTheme="majorHAnsi" w:hAnsiTheme="majorHAnsi" w:cstheme="majorHAnsi"/>
          <w:sz w:val="22"/>
          <w:szCs w:val="22"/>
          <w:highlight w:val="white"/>
        </w:rPr>
        <w:t>for victims of VAW whose case does not fall under any of the above individual laws, su</w:t>
      </w:r>
      <w:r w:rsidRPr="00151FF4">
        <w:rPr>
          <w:rFonts w:asciiTheme="majorHAnsi" w:hAnsiTheme="majorHAnsi" w:cstheme="majorHAnsi"/>
          <w:sz w:val="22"/>
          <w:szCs w:val="22"/>
        </w:rPr>
        <w:t xml:space="preserve">ch as dating violence. </w:t>
      </w:r>
    </w:p>
    <w:tbl>
      <w:tblPr>
        <w:tblStyle w:val="af"/>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trPr>
          <w:trHeight w:val="975"/>
        </w:trPr>
        <w:tc>
          <w:tcPr>
            <w:tcW w:w="9016" w:type="dxa"/>
            <w:vAlign w:val="center"/>
          </w:tcPr>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b/>
                <w:color w:val="000000"/>
                <w:sz w:val="22"/>
                <w:szCs w:val="22"/>
              </w:rPr>
            </w:pPr>
            <w:r w:rsidRPr="00151FF4">
              <w:rPr>
                <w:rFonts w:asciiTheme="majorHAnsi" w:hAnsiTheme="majorHAnsi" w:cstheme="majorHAnsi"/>
                <w:b/>
                <w:sz w:val="22"/>
                <w:szCs w:val="22"/>
              </w:rPr>
              <w:t>The State must enact laws that comprehensively address VAW in intimate partner relationships.</w:t>
            </w:r>
          </w:p>
        </w:tc>
      </w:tr>
    </w:tbl>
    <w:p w:rsidR="00C95CD7" w:rsidRPr="00151FF4" w:rsidRDefault="00C95CD7" w:rsidP="00151FF4">
      <w:pPr>
        <w:rPr>
          <w:rFonts w:asciiTheme="majorHAnsi" w:hAnsiTheme="majorHAnsi" w:cstheme="majorHAnsi"/>
          <w:b/>
          <w:sz w:val="22"/>
          <w:szCs w:val="22"/>
        </w:rPr>
      </w:pPr>
    </w:p>
    <w:p w:rsidR="00C95CD7" w:rsidRPr="00151FF4" w:rsidRDefault="00D32E12" w:rsidP="00151FF4">
      <w:pPr>
        <w:pStyle w:val="2"/>
        <w:jc w:val="both"/>
        <w:rPr>
          <w:rFonts w:asciiTheme="majorHAnsi" w:hAnsiTheme="majorHAnsi" w:cstheme="majorHAnsi"/>
          <w:color w:val="7030A0"/>
          <w:sz w:val="24"/>
          <w:szCs w:val="24"/>
        </w:rPr>
      </w:pPr>
      <w:bookmarkStart w:id="22" w:name="_Toc164087328"/>
      <w:r w:rsidRPr="00151FF4">
        <w:rPr>
          <w:rFonts w:asciiTheme="majorHAnsi" w:hAnsiTheme="majorHAnsi" w:cstheme="majorHAnsi"/>
          <w:color w:val="000000"/>
          <w:sz w:val="24"/>
          <w:szCs w:val="24"/>
        </w:rPr>
        <w:t xml:space="preserve">12. </w:t>
      </w:r>
      <w:r w:rsidR="00874B53" w:rsidRPr="00151FF4">
        <w:rPr>
          <w:rFonts w:asciiTheme="majorHAnsi" w:hAnsiTheme="majorHAnsi" w:cstheme="majorHAnsi"/>
          <w:color w:val="000000"/>
          <w:sz w:val="24"/>
          <w:szCs w:val="24"/>
        </w:rPr>
        <w:t>Ensuring the rights of VAW victims in the divorce process</w:t>
      </w:r>
      <w:bookmarkEnd w:id="22"/>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In 2018, CEDAW called on the State to “ensure that victims of domestic abuse seeking divorce are not forced to undergo reconciliation attempt or mediation with their aggressors prior to granting divorce”.</w:t>
      </w:r>
      <w:r w:rsidRPr="00151FF4">
        <w:rPr>
          <w:rFonts w:asciiTheme="majorHAnsi" w:hAnsiTheme="majorHAnsi" w:cstheme="majorHAnsi"/>
          <w:sz w:val="22"/>
          <w:szCs w:val="22"/>
          <w:vertAlign w:val="superscript"/>
        </w:rPr>
        <w:footnoteReference w:id="36"/>
      </w:r>
      <w:r w:rsidRPr="00151FF4">
        <w:rPr>
          <w:rFonts w:asciiTheme="majorHAnsi" w:hAnsiTheme="majorHAnsi" w:cstheme="majorHAnsi"/>
          <w:sz w:val="22"/>
          <w:szCs w:val="22"/>
        </w:rPr>
        <w:t xml:space="preserve"> However, South Korean courts still prioritize the ‘maintaining of family’ and ‘reconciliation’, resulting in orders of marriage counseling and child visitation rights. In cases where the perpetrator persistently stalks the victim, marriage counseling and visitation are often decisive in making the victim critically vulnerable to further harm. This drives the victim back into a violent situation and victims often decide to abandon the divorce proceedings altogether, overwhelmed with anxiety and fear of confronting the perpetrator. Although marriage counseling is legally only required ‘if the parties wish’ it in cases of litigated divorce, it is difficult to refuse a recommendation made by a judge who has the power to decide the outcome of the case. Visitation can also be restricted, excluded, or </w:t>
      </w:r>
      <w:r w:rsidRPr="00151FF4">
        <w:rPr>
          <w:rFonts w:asciiTheme="majorHAnsi" w:hAnsiTheme="majorHAnsi" w:cstheme="majorHAnsi"/>
          <w:sz w:val="22"/>
          <w:szCs w:val="22"/>
        </w:rPr>
        <w:lastRenderedPageBreak/>
        <w:t>modified by law, but it is rare for a victim to request such restrictions.</w:t>
      </w:r>
    </w:p>
    <w:p w:rsidR="00C95CD7" w:rsidRPr="00151FF4" w:rsidRDefault="00874B53" w:rsidP="00151FF4">
      <w:pPr>
        <w:rPr>
          <w:rFonts w:asciiTheme="majorHAnsi" w:hAnsiTheme="majorHAnsi" w:cstheme="majorHAnsi"/>
          <w:sz w:val="22"/>
          <w:szCs w:val="22"/>
        </w:rPr>
      </w:pPr>
      <w:bookmarkStart w:id="23" w:name="_cn8td3if8765" w:colFirst="0" w:colLast="0"/>
      <w:bookmarkEnd w:id="23"/>
      <w:r w:rsidRPr="00151FF4">
        <w:rPr>
          <w:rFonts w:asciiTheme="majorHAnsi" w:hAnsiTheme="majorHAnsi" w:cstheme="majorHAnsi"/>
          <w:sz w:val="22"/>
          <w:szCs w:val="22"/>
        </w:rPr>
        <w:t xml:space="preserve">Meanwhile, when a divorce case starts, a domestic investigation is conducted by a domestic investigator, many of whom have little awareness regarding domestic violence and often discourage divorce with a family-maintaining and protecting perspective or blame the victim for being the cause of the violence. The domestic investigator’s report has a significant impact on visitation and custody, but there are no education or training programs to ensure the investigator’s expertise and knowledge of domestic violence. </w:t>
      </w:r>
    </w:p>
    <w:tbl>
      <w:tblPr>
        <w:tblStyle w:val="af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trPr>
          <w:trHeight w:val="1116"/>
        </w:trPr>
        <w:tc>
          <w:tcPr>
            <w:tcW w:w="9016" w:type="dxa"/>
            <w:vAlign w:val="center"/>
          </w:tcPr>
          <w:p w:rsidR="00C95CD7" w:rsidRPr="00151FF4" w:rsidRDefault="00874B53" w:rsidP="00151FF4">
            <w:pPr>
              <w:numPr>
                <w:ilvl w:val="0"/>
                <w:numId w:val="1"/>
              </w:numPr>
              <w:spacing w:after="200" w:line="276" w:lineRule="auto"/>
              <w:rPr>
                <w:rFonts w:asciiTheme="majorHAnsi" w:hAnsiTheme="majorHAnsi" w:cstheme="majorHAnsi"/>
                <w:sz w:val="22"/>
                <w:szCs w:val="22"/>
              </w:rPr>
            </w:pPr>
            <w:r w:rsidRPr="00151FF4">
              <w:rPr>
                <w:rFonts w:asciiTheme="majorHAnsi" w:hAnsiTheme="majorHAnsi" w:cstheme="majorHAnsi"/>
                <w:b/>
                <w:sz w:val="22"/>
                <w:szCs w:val="22"/>
              </w:rPr>
              <w:t>The State must improve the entire judicial administrative system related to divorce to prioritize the safety and rights of victims of domestic violence.</w:t>
            </w:r>
          </w:p>
        </w:tc>
      </w:tr>
    </w:tbl>
    <w:p w:rsidR="00C95CD7" w:rsidRPr="00151FF4" w:rsidRDefault="00C95CD7" w:rsidP="00151FF4">
      <w:pPr>
        <w:rPr>
          <w:rFonts w:asciiTheme="majorHAnsi" w:hAnsiTheme="majorHAnsi" w:cstheme="majorHAnsi"/>
          <w:sz w:val="22"/>
          <w:szCs w:val="22"/>
        </w:rPr>
      </w:pPr>
    </w:p>
    <w:p w:rsidR="00C95CD7" w:rsidRPr="00151FF4" w:rsidRDefault="00D32E12" w:rsidP="00151FF4">
      <w:pPr>
        <w:pStyle w:val="2"/>
        <w:jc w:val="both"/>
        <w:rPr>
          <w:rFonts w:asciiTheme="majorHAnsi" w:hAnsiTheme="majorHAnsi" w:cstheme="majorHAnsi"/>
          <w:sz w:val="24"/>
          <w:szCs w:val="24"/>
        </w:rPr>
      </w:pPr>
      <w:bookmarkStart w:id="24" w:name="_Toc164087329"/>
      <w:r w:rsidRPr="00151FF4">
        <w:rPr>
          <w:rFonts w:asciiTheme="majorHAnsi" w:hAnsiTheme="majorHAnsi" w:cstheme="majorHAnsi"/>
          <w:color w:val="000000"/>
          <w:sz w:val="24"/>
          <w:szCs w:val="24"/>
        </w:rPr>
        <w:t xml:space="preserve">13. </w:t>
      </w:r>
      <w:r w:rsidR="00874B53" w:rsidRPr="00151FF4">
        <w:rPr>
          <w:rFonts w:asciiTheme="majorHAnsi" w:hAnsiTheme="majorHAnsi" w:cstheme="majorHAnsi"/>
          <w:color w:val="000000"/>
          <w:sz w:val="24"/>
          <w:szCs w:val="24"/>
        </w:rPr>
        <w:t>Promoting civil lawsuits and compensation orders for substantial recovery of GBVAW victims</w:t>
      </w:r>
      <w:bookmarkEnd w:id="24"/>
      <w:r w:rsidR="00874B53" w:rsidRPr="00151FF4">
        <w:rPr>
          <w:rFonts w:asciiTheme="majorHAnsi" w:hAnsiTheme="majorHAnsi" w:cstheme="majorHAnsi"/>
          <w:color w:val="000000"/>
          <w:sz w:val="24"/>
          <w:szCs w:val="24"/>
        </w:rPr>
        <w:t xml:space="preserve"> </w:t>
      </w:r>
    </w:p>
    <w:p w:rsidR="00C95CD7" w:rsidRPr="00151FF4" w:rsidRDefault="00874B53" w:rsidP="00151FF4">
      <w:pPr>
        <w:rPr>
          <w:rFonts w:asciiTheme="majorHAnsi" w:hAnsiTheme="majorHAnsi" w:cstheme="majorHAnsi"/>
          <w:sz w:val="22"/>
          <w:szCs w:val="22"/>
        </w:rPr>
      </w:pPr>
      <w:bookmarkStart w:id="25" w:name="_1ksv4uv" w:colFirst="0" w:colLast="0"/>
      <w:bookmarkEnd w:id="25"/>
      <w:r w:rsidRPr="00151FF4">
        <w:rPr>
          <w:rFonts w:asciiTheme="majorHAnsi" w:hAnsiTheme="majorHAnsi" w:cstheme="majorHAnsi"/>
          <w:sz w:val="22"/>
          <w:szCs w:val="22"/>
        </w:rPr>
        <w:t>Due to misconceptions about GBVAW and inadequate procedures, it is very difficult for GBVAW victims to receive compensation for reasons such as the short statute of limitations on damages, the fear of retaliation from the perpetrator, the burden of long litigation periods, the compensation amount being comparably lower than the criminal damages, and exposure of the victims' personal information.</w:t>
      </w:r>
    </w:p>
    <w:p w:rsidR="00C95CD7" w:rsidRPr="00151FF4" w:rsidRDefault="00874B53" w:rsidP="00151FF4">
      <w:pPr>
        <w:rPr>
          <w:rFonts w:asciiTheme="majorHAnsi" w:hAnsiTheme="majorHAnsi" w:cstheme="majorHAnsi"/>
          <w:sz w:val="22"/>
          <w:szCs w:val="22"/>
        </w:rPr>
      </w:pPr>
      <w:bookmarkStart w:id="26" w:name="_xdnlfyplva1c" w:colFirst="0" w:colLast="0"/>
      <w:bookmarkEnd w:id="26"/>
      <w:r w:rsidRPr="00151FF4">
        <w:rPr>
          <w:rFonts w:asciiTheme="majorHAnsi" w:hAnsiTheme="majorHAnsi" w:cstheme="majorHAnsi"/>
          <w:sz w:val="22"/>
          <w:szCs w:val="22"/>
        </w:rPr>
        <w:t xml:space="preserve">In civil litigation, there is a lack of protective mechanisms for safeguarding the personal information of GBVAW victims. Perpetrators even file lawsuits for the sole purpose of obtaining victims’ personal information. Victims must risk retaliation in order to file suit, but the compensation they receive is very low. Compensation typically </w:t>
      </w:r>
      <w:proofErr w:type="gramStart"/>
      <w:r w:rsidRPr="00151FF4">
        <w:rPr>
          <w:rFonts w:asciiTheme="majorHAnsi" w:hAnsiTheme="majorHAnsi" w:cstheme="majorHAnsi"/>
          <w:sz w:val="22"/>
          <w:szCs w:val="22"/>
        </w:rPr>
        <w:t>range</w:t>
      </w:r>
      <w:proofErr w:type="gramEnd"/>
      <w:r w:rsidRPr="00151FF4">
        <w:rPr>
          <w:rFonts w:asciiTheme="majorHAnsi" w:hAnsiTheme="majorHAnsi" w:cstheme="majorHAnsi"/>
          <w:sz w:val="22"/>
          <w:szCs w:val="22"/>
        </w:rPr>
        <w:t xml:space="preserve"> from 5 million to 30 million KRW,</w:t>
      </w:r>
      <w:r w:rsidRPr="00151FF4">
        <w:rPr>
          <w:rFonts w:asciiTheme="majorHAnsi" w:hAnsiTheme="majorHAnsi" w:cstheme="majorHAnsi"/>
          <w:sz w:val="22"/>
          <w:szCs w:val="22"/>
          <w:vertAlign w:val="superscript"/>
        </w:rPr>
        <w:footnoteReference w:id="37"/>
      </w:r>
      <w:r w:rsidRPr="00151FF4">
        <w:rPr>
          <w:rFonts w:asciiTheme="majorHAnsi" w:hAnsiTheme="majorHAnsi" w:cstheme="majorHAnsi"/>
          <w:sz w:val="22"/>
          <w:szCs w:val="22"/>
        </w:rPr>
        <w:t xml:space="preserve"> which is far from enough to cover the victim’s medical, relocation, and recovery costs. </w:t>
      </w:r>
    </w:p>
    <w:p w:rsidR="00151FF4" w:rsidRPr="00151FF4" w:rsidRDefault="00874B53" w:rsidP="00151FF4">
      <w:pPr>
        <w:rPr>
          <w:rFonts w:asciiTheme="majorHAnsi" w:hAnsiTheme="majorHAnsi" w:cstheme="majorHAnsi"/>
          <w:sz w:val="22"/>
          <w:szCs w:val="22"/>
        </w:rPr>
      </w:pPr>
      <w:bookmarkStart w:id="27" w:name="_4p62icz5o2h7" w:colFirst="0" w:colLast="0"/>
      <w:bookmarkEnd w:id="27"/>
      <w:r w:rsidRPr="00151FF4">
        <w:rPr>
          <w:rFonts w:asciiTheme="majorHAnsi" w:hAnsiTheme="majorHAnsi" w:cstheme="majorHAnsi"/>
          <w:sz w:val="22"/>
          <w:szCs w:val="22"/>
        </w:rPr>
        <w:t>There is a compensation order system that allows courts to order perpetrators to pay compensation if they are found guilty in criminal or family protection cases, but it virtually only exists on paper. According to a 2022 press release from the MOJ, property crimes accounted for the majority of the quoted amount of first-instance compensation orders in the five-year period ending in 2020, while sexual crimes accounted for only 0.49% of the quoted amount and the amount of compensation per case was mostly less than 5 million KRW.</w:t>
      </w:r>
    </w:p>
    <w:tbl>
      <w:tblPr>
        <w:tblStyle w:val="af1"/>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trPr>
          <w:trHeight w:val="1116"/>
        </w:trPr>
        <w:tc>
          <w:tcPr>
            <w:tcW w:w="9016" w:type="dxa"/>
            <w:vAlign w:val="center"/>
          </w:tcPr>
          <w:p w:rsidR="00C95CD7" w:rsidRPr="00151FF4" w:rsidRDefault="00874B53" w:rsidP="00151FF4">
            <w:pPr>
              <w:numPr>
                <w:ilvl w:val="0"/>
                <w:numId w:val="1"/>
              </w:numPr>
              <w:pBdr>
                <w:top w:val="nil"/>
                <w:left w:val="nil"/>
                <w:bottom w:val="nil"/>
                <w:right w:val="nil"/>
                <w:between w:val="nil"/>
              </w:pBdr>
              <w:spacing w:after="200" w:line="276" w:lineRule="auto"/>
              <w:rPr>
                <w:rFonts w:asciiTheme="majorHAnsi" w:hAnsiTheme="majorHAnsi" w:cstheme="majorHAnsi"/>
                <w:color w:val="000000"/>
                <w:sz w:val="22"/>
                <w:szCs w:val="22"/>
              </w:rPr>
            </w:pPr>
            <w:r w:rsidRPr="00151FF4">
              <w:rPr>
                <w:rFonts w:asciiTheme="majorHAnsi" w:hAnsiTheme="majorHAnsi" w:cstheme="majorHAnsi"/>
                <w:b/>
                <w:sz w:val="22"/>
                <w:szCs w:val="22"/>
              </w:rPr>
              <w:t>The State must improve the compensation order system and civil and divorce proceedings to expand victims' rights to compensation, including protecting victims’ privacy and providing substantial compensation.</w:t>
            </w:r>
          </w:p>
        </w:tc>
      </w:tr>
    </w:tbl>
    <w:p w:rsidR="00C95CD7" w:rsidRPr="00151FF4" w:rsidRDefault="00C95CD7" w:rsidP="00151FF4">
      <w:pPr>
        <w:rPr>
          <w:rFonts w:asciiTheme="majorHAnsi" w:hAnsiTheme="majorHAnsi" w:cstheme="majorHAnsi"/>
          <w:b/>
          <w:sz w:val="22"/>
          <w:szCs w:val="22"/>
        </w:rPr>
      </w:pPr>
    </w:p>
    <w:p w:rsidR="00C95CD7" w:rsidRPr="00151FF4" w:rsidRDefault="00874B53" w:rsidP="00151FF4">
      <w:pPr>
        <w:pStyle w:val="1"/>
        <w:widowControl/>
        <w:spacing w:after="0" w:line="276" w:lineRule="auto"/>
        <w:jc w:val="both"/>
        <w:rPr>
          <w:rFonts w:asciiTheme="majorHAnsi" w:hAnsiTheme="majorHAnsi" w:cstheme="majorHAnsi"/>
          <w:sz w:val="32"/>
          <w:szCs w:val="32"/>
        </w:rPr>
      </w:pPr>
      <w:bookmarkStart w:id="28" w:name="_Toc164087330"/>
      <w:r w:rsidRPr="00170168">
        <w:rPr>
          <w:rFonts w:asciiTheme="majorHAnsi" w:hAnsiTheme="majorHAnsi" w:cstheme="majorHAnsi"/>
        </w:rPr>
        <w:lastRenderedPageBreak/>
        <w:t xml:space="preserve">Matters That Are Not Covered by the List of Issues </w:t>
      </w:r>
      <w:proofErr w:type="gramStart"/>
      <w:r w:rsidRPr="00170168">
        <w:rPr>
          <w:rFonts w:asciiTheme="majorHAnsi" w:hAnsiTheme="majorHAnsi" w:cstheme="majorHAnsi"/>
        </w:rPr>
        <w:t>But</w:t>
      </w:r>
      <w:proofErr w:type="gramEnd"/>
      <w:r w:rsidRPr="00170168">
        <w:rPr>
          <w:rFonts w:asciiTheme="majorHAnsi" w:hAnsiTheme="majorHAnsi" w:cstheme="majorHAnsi"/>
        </w:rPr>
        <w:t xml:space="preserve"> Require Attention: </w:t>
      </w:r>
      <w:r w:rsidRPr="00151FF4">
        <w:rPr>
          <w:rFonts w:asciiTheme="majorHAnsi" w:hAnsiTheme="majorHAnsi" w:cstheme="majorHAnsi"/>
          <w:sz w:val="32"/>
          <w:szCs w:val="32"/>
        </w:rPr>
        <w:t>Employment</w:t>
      </w:r>
      <w:bookmarkEnd w:id="28"/>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b/>
          <w:sz w:val="28"/>
          <w:szCs w:val="28"/>
        </w:rPr>
        <w:t>(Article 11)</w:t>
      </w:r>
    </w:p>
    <w:p w:rsidR="00C95CD7" w:rsidRPr="00151FF4" w:rsidRDefault="00D32E12" w:rsidP="00151FF4">
      <w:pPr>
        <w:pStyle w:val="2"/>
        <w:jc w:val="both"/>
        <w:rPr>
          <w:rFonts w:asciiTheme="majorHAnsi" w:hAnsiTheme="majorHAnsi" w:cstheme="majorHAnsi"/>
          <w:sz w:val="24"/>
          <w:szCs w:val="24"/>
        </w:rPr>
      </w:pPr>
      <w:bookmarkStart w:id="29" w:name="_Toc164087331"/>
      <w:r w:rsidRPr="00151FF4">
        <w:rPr>
          <w:rFonts w:asciiTheme="majorHAnsi" w:hAnsiTheme="majorHAnsi" w:cstheme="majorHAnsi"/>
          <w:color w:val="000000"/>
          <w:sz w:val="24"/>
          <w:szCs w:val="24"/>
        </w:rPr>
        <w:t xml:space="preserve">14. </w:t>
      </w:r>
      <w:r w:rsidR="00874B53" w:rsidRPr="00151FF4">
        <w:rPr>
          <w:rFonts w:asciiTheme="majorHAnsi" w:hAnsiTheme="majorHAnsi" w:cstheme="majorHAnsi"/>
          <w:color w:val="000000"/>
          <w:sz w:val="24"/>
          <w:szCs w:val="24"/>
        </w:rPr>
        <w:t>Establishing a system of support for VAW victims in the workplace and mandating employer responsibility</w:t>
      </w:r>
      <w:bookmarkEnd w:id="29"/>
      <w:r w:rsidR="00874B53" w:rsidRPr="00151FF4">
        <w:rPr>
          <w:rFonts w:asciiTheme="majorHAnsi" w:hAnsiTheme="majorHAnsi" w:cstheme="majorHAnsi"/>
          <w:color w:val="000000"/>
          <w:sz w:val="24"/>
          <w:szCs w:val="24"/>
        </w:rPr>
        <w:t xml:space="preserve"> </w:t>
      </w:r>
    </w:p>
    <w:p w:rsidR="00C95CD7" w:rsidRPr="00151FF4" w:rsidRDefault="00874B53" w:rsidP="00151FF4">
      <w:pPr>
        <w:rPr>
          <w:rFonts w:asciiTheme="majorHAnsi" w:hAnsiTheme="majorHAnsi" w:cstheme="majorHAnsi"/>
          <w:sz w:val="22"/>
          <w:szCs w:val="22"/>
        </w:rPr>
      </w:pPr>
      <w:r w:rsidRPr="00151FF4">
        <w:rPr>
          <w:rFonts w:asciiTheme="majorHAnsi" w:hAnsiTheme="majorHAnsi" w:cstheme="majorHAnsi"/>
          <w:sz w:val="22"/>
          <w:szCs w:val="22"/>
        </w:rPr>
        <w:t>20. The workplace is one of the main areas of a victim’s life that is invaded by perpetrators of VAW. In June 2019, the International Labor Organization adopted the Violence and Harassment Convention at its 108th Session on its centenary. In it, ‘violence and harassment’ in the world of work is defined to include gender-based violence, and its scope includes all work-related sectors and areas.</w:t>
      </w:r>
      <w:r w:rsidRPr="00151FF4">
        <w:rPr>
          <w:rFonts w:asciiTheme="majorHAnsi" w:hAnsiTheme="majorHAnsi" w:cstheme="majorHAnsi"/>
          <w:sz w:val="22"/>
          <w:szCs w:val="22"/>
          <w:vertAlign w:val="superscript"/>
        </w:rPr>
        <w:footnoteReference w:id="38"/>
      </w:r>
      <w:r w:rsidRPr="00151FF4">
        <w:rPr>
          <w:rFonts w:asciiTheme="majorHAnsi" w:hAnsiTheme="majorHAnsi" w:cstheme="majorHAnsi"/>
          <w:sz w:val="22"/>
          <w:szCs w:val="22"/>
        </w:rPr>
        <w:t xml:space="preserve"> In South Korea, the workplace is not a safe space for VAW victims. In 2022, a man murdered his wife at her workplace, a hair salon, after she demanded a divorce, and in September, a victim who worked as a subway station attendant was killed by the perpetrator at her workplace. In March 2023, a perpetrator went to his ex-girlfriend's workplace and attacked her and her co-worker with a blunt object. Compounded violence by perpetrators destroys victims’ everyday lives and is devastating to their social and professional lives. Therefore, it is necessary to expand the response to VAW in intimate partner relationships and social responsibility from the national to the corporate level. </w:t>
      </w:r>
    </w:p>
    <w:tbl>
      <w:tblPr>
        <w:tblStyle w:val="af2"/>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95CD7" w:rsidRPr="00151FF4">
        <w:trPr>
          <w:trHeight w:val="1036"/>
        </w:trPr>
        <w:tc>
          <w:tcPr>
            <w:tcW w:w="9016" w:type="dxa"/>
            <w:vAlign w:val="center"/>
          </w:tcPr>
          <w:p w:rsidR="00C95CD7" w:rsidRPr="00151FF4" w:rsidRDefault="00874B53" w:rsidP="00151FF4">
            <w:pPr>
              <w:numPr>
                <w:ilvl w:val="0"/>
                <w:numId w:val="1"/>
              </w:numPr>
              <w:spacing w:after="200" w:line="276" w:lineRule="auto"/>
              <w:rPr>
                <w:rFonts w:asciiTheme="majorHAnsi" w:hAnsiTheme="majorHAnsi" w:cstheme="majorHAnsi"/>
                <w:b/>
                <w:sz w:val="22"/>
                <w:szCs w:val="22"/>
              </w:rPr>
            </w:pPr>
            <w:r w:rsidRPr="00151FF4">
              <w:rPr>
                <w:rFonts w:asciiTheme="majorHAnsi" w:hAnsiTheme="majorHAnsi" w:cstheme="majorHAnsi"/>
                <w:b/>
                <w:sz w:val="22"/>
                <w:szCs w:val="22"/>
              </w:rPr>
              <w:t xml:space="preserve">The State must establish a corporate VAW victim support system and define the responsibilities of employers to ensure the rights of VAW victims in the workplace. </w:t>
            </w:r>
          </w:p>
        </w:tc>
      </w:tr>
    </w:tbl>
    <w:p w:rsidR="00C95CD7" w:rsidRPr="00151FF4" w:rsidRDefault="00C95CD7" w:rsidP="00151FF4">
      <w:pPr>
        <w:rPr>
          <w:rFonts w:asciiTheme="majorHAnsi" w:hAnsiTheme="majorHAnsi" w:cstheme="majorHAnsi"/>
          <w:sz w:val="22"/>
          <w:szCs w:val="22"/>
        </w:rPr>
      </w:pPr>
    </w:p>
    <w:sectPr w:rsidR="00C95CD7" w:rsidRPr="00151FF4">
      <w:footerReference w:type="default" r:id="rId8"/>
      <w:pgSz w:w="11906" w:h="16838"/>
      <w:pgMar w:top="1701" w:right="1440" w:bottom="1440" w:left="144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74B53" w:rsidRDefault="00874B53">
      <w:pPr>
        <w:spacing w:after="0" w:line="240" w:lineRule="auto"/>
      </w:pPr>
      <w:r>
        <w:separator/>
      </w:r>
    </w:p>
  </w:endnote>
  <w:endnote w:type="continuationSeparator" w:id="0">
    <w:p w:rsidR="00874B53" w:rsidRDefault="00874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41580EE7-2BF3-4EB1-BA41-C957912E946A}"/>
  </w:font>
  <w:font w:name="맑은 고딕">
    <w:panose1 w:val="020B0503020000020004"/>
    <w:charset w:val="81"/>
    <w:family w:val="modern"/>
    <w:pitch w:val="variable"/>
    <w:sig w:usb0="9000002F" w:usb1="29D77CFB" w:usb2="00000012" w:usb3="00000000" w:csb0="00080001" w:csb1="00000000"/>
    <w:embedRegular r:id="rId2" w:subsetted="1" w:fontKey="{60618458-80D1-4EF2-BBAE-601F3C92D4E9}"/>
  </w:font>
  <w:font w:name="Calibri">
    <w:panose1 w:val="020F0502020204030204"/>
    <w:charset w:val="00"/>
    <w:family w:val="swiss"/>
    <w:pitch w:val="variable"/>
    <w:sig w:usb0="E4002EFF" w:usb1="C200247B" w:usb2="00000009" w:usb3="00000000" w:csb0="000001FF" w:csb1="00000000"/>
    <w:embedRegular r:id="rId3" w:fontKey="{3AE89B5F-5611-48EA-A318-8ADBF7F0EAF0}"/>
    <w:embedBold r:id="rId4" w:fontKey="{C9D3937E-457D-4432-8BC9-633F4088C153}"/>
    <w:embedItalic r:id="rId5" w:fontKey="{CDD65FCE-CC38-42F9-9724-A50410972964}"/>
  </w:font>
  <w:font w:name="Cambria">
    <w:panose1 w:val="02040503050406030204"/>
    <w:charset w:val="00"/>
    <w:family w:val="roman"/>
    <w:pitch w:val="variable"/>
    <w:sig w:usb0="E00006FF" w:usb1="420024FF" w:usb2="02000000" w:usb3="00000000" w:csb0="0000019F" w:csb1="00000000"/>
    <w:embedRegular r:id="rId6" w:fontKey="{A2B2B57E-2261-4977-AC28-EA0548AA4BE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95CD7" w:rsidRDefault="00C95CD7">
    <w:pPr>
      <w:pBdr>
        <w:top w:val="nil"/>
        <w:left w:val="nil"/>
        <w:bottom w:val="nil"/>
        <w:right w:val="nil"/>
        <w:between w:val="nil"/>
      </w:pBdr>
      <w:tabs>
        <w:tab w:val="center" w:pos="4513"/>
        <w:tab w:val="right" w:pos="9026"/>
      </w:tabs>
      <w:jc w:val="center"/>
      <w:rPr>
        <w:color w:val="000000"/>
      </w:rPr>
    </w:pPr>
  </w:p>
  <w:p w:rsidR="00C95CD7" w:rsidRDefault="00C95CD7">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95CD7" w:rsidRDefault="00874B53">
    <w:pPr>
      <w:pBdr>
        <w:top w:val="nil"/>
        <w:left w:val="nil"/>
        <w:bottom w:val="nil"/>
        <w:right w:val="nil"/>
        <w:between w:val="nil"/>
      </w:pBdr>
      <w:tabs>
        <w:tab w:val="center" w:pos="4513"/>
        <w:tab w:val="right" w:pos="9026"/>
      </w:tabs>
      <w:jc w:val="center"/>
      <w:rPr>
        <w:color w:val="000000"/>
      </w:rPr>
    </w:pPr>
    <w:r>
      <w:rPr>
        <w:color w:val="000000"/>
      </w:rPr>
      <w:fldChar w:fldCharType="begin"/>
    </w:r>
    <w:r>
      <w:rPr>
        <w:rFonts w:eastAsia="맑은 고딕"/>
        <w:color w:val="000000"/>
      </w:rPr>
      <w:instrText>PAGE</w:instrText>
    </w:r>
    <w:r>
      <w:rPr>
        <w:color w:val="000000"/>
      </w:rPr>
      <w:fldChar w:fldCharType="separate"/>
    </w:r>
    <w:r w:rsidR="00D32E12">
      <w:rPr>
        <w:noProof/>
        <w:color w:val="000000"/>
      </w:rPr>
      <w:t>1</w:t>
    </w:r>
    <w:r>
      <w:rPr>
        <w:color w:val="000000"/>
      </w:rPr>
      <w:fldChar w:fldCharType="end"/>
    </w:r>
  </w:p>
  <w:p w:rsidR="00C95CD7" w:rsidRDefault="00C95CD7">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74B53" w:rsidRDefault="00874B53">
      <w:pPr>
        <w:spacing w:after="0" w:line="240" w:lineRule="auto"/>
      </w:pPr>
      <w:r>
        <w:separator/>
      </w:r>
    </w:p>
  </w:footnote>
  <w:footnote w:type="continuationSeparator" w:id="0">
    <w:p w:rsidR="00874B53" w:rsidRDefault="00874B53">
      <w:pPr>
        <w:spacing w:after="0" w:line="240" w:lineRule="auto"/>
      </w:pPr>
      <w:r>
        <w:continuationSeparator/>
      </w:r>
    </w:p>
  </w:footnote>
  <w:footnote w:id="1">
    <w:p w:rsidR="00C95CD7" w:rsidRPr="00B9490A" w:rsidRDefault="00874B53" w:rsidP="00B9490A">
      <w:pPr>
        <w:spacing w:after="0"/>
        <w:ind w:left="425" w:hanging="283"/>
        <w:rPr>
          <w:rFonts w:asciiTheme="majorHAnsi" w:eastAsiaTheme="minorEastAsia" w:hAnsiTheme="majorHAnsi" w:cstheme="majorHAnsi"/>
          <w:sz w:val="19"/>
          <w:szCs w:val="19"/>
          <w:highlight w:val="white"/>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This report is submitted by the Korea Women’s Hot-Line and the National Network of Counseling </w:t>
      </w:r>
      <w:r w:rsidR="000F29BF">
        <w:rPr>
          <w:rFonts w:asciiTheme="majorHAnsi" w:hAnsiTheme="majorHAnsi" w:cstheme="majorHAnsi" w:hint="eastAsia"/>
          <w:sz w:val="19"/>
          <w:szCs w:val="19"/>
        </w:rPr>
        <w:t>C</w:t>
      </w:r>
      <w:r w:rsidRPr="00B9490A">
        <w:rPr>
          <w:rFonts w:asciiTheme="majorHAnsi" w:hAnsiTheme="majorHAnsi" w:cstheme="majorHAnsi"/>
          <w:sz w:val="19"/>
          <w:szCs w:val="19"/>
        </w:rPr>
        <w:t>enters to end Violence against Women</w:t>
      </w:r>
      <w:r w:rsidRPr="00B9490A">
        <w:rPr>
          <w:rFonts w:asciiTheme="majorHAnsi" w:eastAsia="Arial" w:hAnsiTheme="majorHAnsi" w:cstheme="majorHAnsi"/>
          <w:sz w:val="19"/>
          <w:szCs w:val="19"/>
          <w:highlight w:val="white"/>
        </w:rPr>
        <w:t xml:space="preserve">. </w:t>
      </w:r>
    </w:p>
    <w:p w:rsidR="00C95CD7" w:rsidRPr="00B9490A" w:rsidRDefault="00874B53" w:rsidP="00B9490A">
      <w:pPr>
        <w:spacing w:after="0"/>
        <w:ind w:left="141"/>
        <w:rPr>
          <w:rFonts w:asciiTheme="majorHAnsi" w:hAnsiTheme="majorHAnsi" w:cstheme="majorHAnsi"/>
          <w:sz w:val="19"/>
          <w:szCs w:val="19"/>
        </w:rPr>
      </w:pPr>
      <w:r w:rsidRPr="00B9490A">
        <w:rPr>
          <w:rFonts w:asciiTheme="majorHAnsi" w:eastAsia="Arial" w:hAnsiTheme="majorHAnsi" w:cstheme="majorHAnsi"/>
          <w:sz w:val="19"/>
          <w:szCs w:val="19"/>
          <w:highlight w:val="white"/>
        </w:rPr>
        <w:t xml:space="preserve">Coordinating organization: Korea Women’s Hot-Line, </w:t>
      </w:r>
      <w:hyperlink r:id="rId1">
        <w:r w:rsidRPr="00B9490A">
          <w:rPr>
            <w:rFonts w:asciiTheme="majorHAnsi" w:eastAsia="Arial" w:hAnsiTheme="majorHAnsi" w:cstheme="majorHAnsi"/>
            <w:sz w:val="19"/>
            <w:szCs w:val="19"/>
            <w:highlight w:val="white"/>
            <w:u w:val="single"/>
          </w:rPr>
          <w:t>hotline@hotline.or.kr</w:t>
        </w:r>
      </w:hyperlink>
      <w:r w:rsidRPr="00B9490A">
        <w:rPr>
          <w:rFonts w:asciiTheme="majorHAnsi" w:eastAsia="Arial" w:hAnsiTheme="majorHAnsi" w:cstheme="majorHAnsi"/>
          <w:sz w:val="19"/>
          <w:szCs w:val="19"/>
          <w:highlight w:val="white"/>
        </w:rPr>
        <w:t xml:space="preserve"> </w:t>
      </w:r>
    </w:p>
  </w:footnote>
  <w:footnote w:id="2">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Korea Women’s Hot-Line (KWHL) is a women’s rights organization in Korea that is committed to achieving a nonviolent world and promoting gender equality. Established in 1983, it is a nationwide organization with 24 branches and 10,000 members. The National Network of Counseling centers to end Violence against Women consists of 19 organizations nationwide that provide integrated support to victims of VAW through a feminist viewpoint. </w:t>
      </w:r>
    </w:p>
  </w:footnote>
  <w:footnote w:id="3">
    <w:p w:rsidR="00C95CD7" w:rsidRPr="00B9490A" w:rsidRDefault="00874B53" w:rsidP="00B9490A">
      <w:pPr>
        <w:pBdr>
          <w:top w:val="nil"/>
          <w:left w:val="nil"/>
          <w:bottom w:val="nil"/>
          <w:right w:val="nil"/>
          <w:between w:val="nil"/>
        </w:pBdr>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eastAsia="맑은 고딕" w:hAnsiTheme="majorHAnsi" w:cstheme="majorHAnsi"/>
          <w:sz w:val="19"/>
          <w:szCs w:val="19"/>
        </w:rPr>
        <w:t xml:space="preserve"> Democracy in Korea regressed under Yoon: research</w:t>
      </w:r>
      <w:r w:rsidRPr="00B9490A">
        <w:rPr>
          <w:rFonts w:asciiTheme="majorHAnsi" w:hAnsiTheme="majorHAnsi" w:cstheme="majorHAnsi"/>
          <w:sz w:val="19"/>
          <w:szCs w:val="19"/>
        </w:rPr>
        <w:t>, 10</w:t>
      </w:r>
      <w:r w:rsidRPr="00B9490A">
        <w:rPr>
          <w:rFonts w:asciiTheme="majorHAnsi" w:eastAsia="맑은 고딕" w:hAnsiTheme="majorHAnsi" w:cstheme="majorHAnsi"/>
          <w:sz w:val="19"/>
          <w:szCs w:val="19"/>
        </w:rPr>
        <w:t xml:space="preserve"> March 202</w:t>
      </w:r>
      <w:r w:rsidRPr="00B9490A">
        <w:rPr>
          <w:rFonts w:asciiTheme="majorHAnsi" w:hAnsiTheme="majorHAnsi" w:cstheme="majorHAnsi"/>
          <w:sz w:val="19"/>
          <w:szCs w:val="19"/>
        </w:rPr>
        <w:t>4,</w:t>
      </w:r>
      <w:r w:rsidRPr="00B9490A">
        <w:rPr>
          <w:rFonts w:asciiTheme="majorHAnsi" w:eastAsia="맑은 고딕" w:hAnsiTheme="majorHAnsi" w:cstheme="majorHAnsi"/>
          <w:sz w:val="19"/>
          <w:szCs w:val="19"/>
        </w:rPr>
        <w:t xml:space="preserve"> The Korea Times. Retrieved from </w:t>
      </w:r>
      <w:hyperlink r:id="rId2">
        <w:r w:rsidRPr="00B9490A">
          <w:rPr>
            <w:rFonts w:asciiTheme="majorHAnsi" w:eastAsia="맑은 고딕" w:hAnsiTheme="majorHAnsi" w:cstheme="majorHAnsi"/>
            <w:sz w:val="19"/>
            <w:szCs w:val="19"/>
            <w:u w:val="single"/>
          </w:rPr>
          <w:t>https://www.koreatimes.co.kr/www/nation/2024/04/113_370351.html</w:t>
        </w:r>
      </w:hyperlink>
      <w:r w:rsidRPr="00B9490A">
        <w:rPr>
          <w:rFonts w:asciiTheme="majorHAnsi" w:eastAsia="맑은 고딕" w:hAnsiTheme="majorHAnsi" w:cstheme="majorHAnsi"/>
          <w:sz w:val="19"/>
          <w:szCs w:val="19"/>
        </w:rPr>
        <w:t xml:space="preserve">. </w:t>
      </w:r>
    </w:p>
  </w:footnote>
  <w:footnote w:id="4">
    <w:p w:rsidR="00C95CD7" w:rsidRPr="00B9490A" w:rsidRDefault="00874B53" w:rsidP="00B9490A">
      <w:pPr>
        <w:pBdr>
          <w:top w:val="nil"/>
          <w:left w:val="nil"/>
          <w:bottom w:val="nil"/>
          <w:right w:val="nil"/>
          <w:between w:val="nil"/>
        </w:pBdr>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eastAsia="맑은 고딕" w:hAnsiTheme="majorHAnsi" w:cstheme="majorHAnsi"/>
          <w:sz w:val="19"/>
          <w:szCs w:val="19"/>
        </w:rPr>
        <w:t xml:space="preserve"> World Economic Forum, Global Gender Gap Report 2023, 20 June 2023</w:t>
      </w:r>
      <w:r w:rsidRPr="00B9490A">
        <w:rPr>
          <w:rFonts w:asciiTheme="majorHAnsi" w:hAnsiTheme="majorHAnsi" w:cstheme="majorHAnsi"/>
          <w:sz w:val="19"/>
          <w:szCs w:val="19"/>
        </w:rPr>
        <w:t xml:space="preserve">. Retrieved from </w:t>
      </w:r>
      <w:hyperlink r:id="rId3">
        <w:r w:rsidRPr="00B9490A">
          <w:rPr>
            <w:rFonts w:asciiTheme="majorHAnsi" w:eastAsia="맑은 고딕" w:hAnsiTheme="majorHAnsi" w:cstheme="majorHAnsi"/>
            <w:sz w:val="19"/>
            <w:szCs w:val="19"/>
            <w:u w:val="single"/>
          </w:rPr>
          <w:t>https://www.weforum.org/publications/global-gender-gap-report-2023/</w:t>
        </w:r>
      </w:hyperlink>
      <w:r w:rsidRPr="00B9490A">
        <w:rPr>
          <w:rFonts w:asciiTheme="majorHAnsi" w:eastAsia="맑은 고딕" w:hAnsiTheme="majorHAnsi" w:cstheme="majorHAnsi"/>
          <w:sz w:val="19"/>
          <w:szCs w:val="19"/>
          <w:u w:val="single"/>
        </w:rPr>
        <w:t>.</w:t>
      </w:r>
    </w:p>
  </w:footnote>
  <w:footnote w:id="5">
    <w:p w:rsidR="00C95CD7" w:rsidRPr="00B9490A" w:rsidRDefault="00874B53" w:rsidP="00B9490A">
      <w:pPr>
        <w:pBdr>
          <w:top w:val="nil"/>
          <w:left w:val="nil"/>
          <w:bottom w:val="nil"/>
          <w:right w:val="nil"/>
          <w:between w:val="nil"/>
        </w:pBdr>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eastAsia="맑은 고딕" w:hAnsiTheme="majorHAnsi" w:cstheme="majorHAnsi"/>
          <w:sz w:val="19"/>
          <w:szCs w:val="19"/>
        </w:rPr>
        <w:t xml:space="preserve"> U</w:t>
      </w:r>
      <w:r w:rsidRPr="00B9490A">
        <w:rPr>
          <w:rFonts w:asciiTheme="majorHAnsi" w:hAnsiTheme="majorHAnsi" w:cstheme="majorHAnsi"/>
          <w:sz w:val="19"/>
          <w:szCs w:val="19"/>
        </w:rPr>
        <w:t xml:space="preserve">nited Nations Development </w:t>
      </w:r>
      <w:proofErr w:type="spellStart"/>
      <w:r w:rsidRPr="00B9490A">
        <w:rPr>
          <w:rFonts w:asciiTheme="majorHAnsi" w:hAnsiTheme="majorHAnsi" w:cstheme="majorHAnsi"/>
          <w:sz w:val="19"/>
          <w:szCs w:val="19"/>
        </w:rPr>
        <w:t>Programme</w:t>
      </w:r>
      <w:proofErr w:type="spellEnd"/>
      <w:r w:rsidRPr="00B9490A">
        <w:rPr>
          <w:rFonts w:asciiTheme="majorHAnsi" w:eastAsia="맑은 고딕" w:hAnsiTheme="majorHAnsi" w:cstheme="majorHAnsi"/>
          <w:sz w:val="19"/>
          <w:szCs w:val="19"/>
        </w:rPr>
        <w:t>, 2023 G</w:t>
      </w:r>
      <w:r w:rsidRPr="00B9490A">
        <w:rPr>
          <w:rFonts w:asciiTheme="majorHAnsi" w:hAnsiTheme="majorHAnsi" w:cstheme="majorHAnsi"/>
          <w:sz w:val="19"/>
          <w:szCs w:val="19"/>
        </w:rPr>
        <w:t>ender</w:t>
      </w:r>
      <w:r w:rsidRPr="00B9490A">
        <w:rPr>
          <w:rFonts w:asciiTheme="majorHAnsi" w:eastAsia="맑은 고딕" w:hAnsiTheme="majorHAnsi" w:cstheme="majorHAnsi"/>
          <w:sz w:val="19"/>
          <w:szCs w:val="19"/>
        </w:rPr>
        <w:t xml:space="preserve"> S</w:t>
      </w:r>
      <w:r w:rsidRPr="00B9490A">
        <w:rPr>
          <w:rFonts w:asciiTheme="majorHAnsi" w:hAnsiTheme="majorHAnsi" w:cstheme="majorHAnsi"/>
          <w:sz w:val="19"/>
          <w:szCs w:val="19"/>
        </w:rPr>
        <w:t>ocial</w:t>
      </w:r>
      <w:r w:rsidRPr="00B9490A">
        <w:rPr>
          <w:rFonts w:asciiTheme="majorHAnsi" w:eastAsia="맑은 고딕" w:hAnsiTheme="majorHAnsi" w:cstheme="majorHAnsi"/>
          <w:sz w:val="19"/>
          <w:szCs w:val="19"/>
        </w:rPr>
        <w:t xml:space="preserve"> N</w:t>
      </w:r>
      <w:r w:rsidRPr="00B9490A">
        <w:rPr>
          <w:rFonts w:asciiTheme="majorHAnsi" w:hAnsiTheme="majorHAnsi" w:cstheme="majorHAnsi"/>
          <w:sz w:val="19"/>
          <w:szCs w:val="19"/>
        </w:rPr>
        <w:t xml:space="preserve">orms </w:t>
      </w:r>
      <w:r w:rsidRPr="00B9490A">
        <w:rPr>
          <w:rFonts w:asciiTheme="majorHAnsi" w:eastAsia="맑은 고딕" w:hAnsiTheme="majorHAnsi" w:cstheme="majorHAnsi"/>
          <w:sz w:val="19"/>
          <w:szCs w:val="19"/>
        </w:rPr>
        <w:t>I</w:t>
      </w:r>
      <w:r w:rsidRPr="00B9490A">
        <w:rPr>
          <w:rFonts w:asciiTheme="majorHAnsi" w:hAnsiTheme="majorHAnsi" w:cstheme="majorHAnsi"/>
          <w:sz w:val="19"/>
          <w:szCs w:val="19"/>
        </w:rPr>
        <w:t>ndex</w:t>
      </w:r>
      <w:r w:rsidRPr="00B9490A">
        <w:rPr>
          <w:rFonts w:asciiTheme="majorHAnsi" w:eastAsia="맑은 고딕" w:hAnsiTheme="majorHAnsi" w:cstheme="majorHAnsi"/>
          <w:sz w:val="19"/>
          <w:szCs w:val="19"/>
        </w:rPr>
        <w:t xml:space="preserve"> (GSNI), 12 June 2023</w:t>
      </w:r>
      <w:r w:rsidRPr="00B9490A">
        <w:rPr>
          <w:rFonts w:asciiTheme="majorHAnsi" w:hAnsiTheme="majorHAnsi" w:cstheme="majorHAnsi"/>
          <w:sz w:val="19"/>
          <w:szCs w:val="19"/>
        </w:rPr>
        <w:t>,</w:t>
      </w:r>
      <w:r w:rsidRPr="00B9490A">
        <w:rPr>
          <w:rFonts w:asciiTheme="majorHAnsi" w:eastAsia="맑은 고딕" w:hAnsiTheme="majorHAnsi" w:cstheme="majorHAnsi"/>
          <w:sz w:val="19"/>
          <w:szCs w:val="19"/>
        </w:rPr>
        <w:t xml:space="preserve"> </w:t>
      </w:r>
      <w:r w:rsidRPr="00B9490A">
        <w:rPr>
          <w:rFonts w:asciiTheme="majorHAnsi" w:hAnsiTheme="majorHAnsi" w:cstheme="majorHAnsi"/>
          <w:sz w:val="19"/>
          <w:szCs w:val="19"/>
        </w:rPr>
        <w:t>p</w:t>
      </w:r>
      <w:r w:rsidRPr="00B9490A">
        <w:rPr>
          <w:rFonts w:asciiTheme="majorHAnsi" w:eastAsia="맑은 고딕" w:hAnsiTheme="majorHAnsi" w:cstheme="majorHAnsi"/>
          <w:sz w:val="19"/>
          <w:szCs w:val="19"/>
        </w:rPr>
        <w:t xml:space="preserve">age 13. Retrieved from </w:t>
      </w:r>
      <w:hyperlink r:id="rId4">
        <w:r w:rsidRPr="00B9490A">
          <w:rPr>
            <w:rFonts w:asciiTheme="majorHAnsi" w:eastAsia="맑은 고딕" w:hAnsiTheme="majorHAnsi" w:cstheme="majorHAnsi"/>
            <w:sz w:val="19"/>
            <w:szCs w:val="19"/>
            <w:u w:val="single"/>
          </w:rPr>
          <w:t>https://hdr.undp.org/system/files/documents/hdp-document/gsni202303.pdf</w:t>
        </w:r>
      </w:hyperlink>
      <w:r w:rsidRPr="00B9490A">
        <w:rPr>
          <w:rFonts w:asciiTheme="majorHAnsi" w:eastAsia="맑은 고딕" w:hAnsiTheme="majorHAnsi" w:cstheme="majorHAnsi"/>
          <w:sz w:val="19"/>
          <w:szCs w:val="19"/>
        </w:rPr>
        <w:t xml:space="preserve">. </w:t>
      </w:r>
    </w:p>
  </w:footnote>
  <w:footnote w:id="6">
    <w:p w:rsidR="00C95CD7" w:rsidRPr="00B9490A" w:rsidRDefault="00874B53" w:rsidP="00B9490A">
      <w:pPr>
        <w:pBdr>
          <w:top w:val="nil"/>
          <w:left w:val="nil"/>
          <w:bottom w:val="nil"/>
          <w:right w:val="nil"/>
          <w:between w:val="nil"/>
        </w:pBdr>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eastAsia="맑은 고딕" w:hAnsiTheme="majorHAnsi" w:cstheme="majorHAnsi"/>
          <w:sz w:val="19"/>
          <w:szCs w:val="19"/>
        </w:rPr>
        <w:t xml:space="preserve"> Certain members of the National Human Rights Commission of Korea who have been appointed to their positions by the current president have constantly thwarted the discussion of the commission’s independent report to CEDAW during multiple plenary sessions with anti-human rights statements. As a result, it was decided that the submitted commission’s independent report will have minimized certain issues, like the criminalization of rape on the basis of lack of consent, or even exclude them altogether as in the case of the comprehensive anti-discrimination law, the adoption of which was recommended by CEDAW during its eight concluding observations in 2018 and has yet to be adopted today. </w:t>
      </w:r>
      <w:r w:rsidR="00B9490A">
        <w:rPr>
          <w:rFonts w:asciiTheme="majorHAnsi" w:eastAsia="맑은 고딕" w:hAnsiTheme="majorHAnsi" w:cstheme="majorHAnsi"/>
          <w:sz w:val="19"/>
          <w:szCs w:val="19"/>
        </w:rPr>
        <w:br/>
      </w:r>
      <w:r w:rsidRPr="00B9490A">
        <w:rPr>
          <w:rFonts w:asciiTheme="majorHAnsi" w:eastAsia="맑은 고딕" w:hAnsiTheme="majorHAnsi" w:cstheme="majorHAnsi"/>
          <w:sz w:val="19"/>
          <w:szCs w:val="19"/>
        </w:rPr>
        <w:t xml:space="preserve">See: [Statement] Is it gender discrimination or gender equality that the NHRCK is trying to eliminate? (2024, March 26). People’s Solidarity for Participatory Democracy. Retrieved from </w:t>
      </w:r>
      <w:hyperlink r:id="rId5">
        <w:r w:rsidRPr="00B9490A">
          <w:rPr>
            <w:rFonts w:asciiTheme="majorHAnsi" w:eastAsia="맑은 고딕" w:hAnsiTheme="majorHAnsi" w:cstheme="majorHAnsi"/>
            <w:sz w:val="19"/>
            <w:szCs w:val="19"/>
            <w:u w:val="single"/>
          </w:rPr>
          <w:t>https://www.peoplepower21.org/english/1962604</w:t>
        </w:r>
      </w:hyperlink>
      <w:r w:rsidRPr="00B9490A">
        <w:rPr>
          <w:rFonts w:asciiTheme="majorHAnsi" w:eastAsia="맑은 고딕" w:hAnsiTheme="majorHAnsi" w:cstheme="majorHAnsi"/>
          <w:sz w:val="19"/>
          <w:szCs w:val="19"/>
        </w:rPr>
        <w:t xml:space="preserve">, [Editorial] How could a person charged with protecting human rights dismiss sexual </w:t>
      </w:r>
      <w:proofErr w:type="gramStart"/>
      <w:r w:rsidRPr="00B9490A">
        <w:rPr>
          <w:rFonts w:asciiTheme="majorHAnsi" w:eastAsia="맑은 고딕" w:hAnsiTheme="majorHAnsi" w:cstheme="majorHAnsi"/>
          <w:sz w:val="19"/>
          <w:szCs w:val="19"/>
        </w:rPr>
        <w:t>slavery?</w:t>
      </w:r>
      <w:r w:rsidRPr="00B9490A">
        <w:rPr>
          <w:rFonts w:asciiTheme="majorHAnsi" w:hAnsiTheme="majorHAnsi" w:cstheme="majorHAnsi"/>
          <w:sz w:val="19"/>
          <w:szCs w:val="19"/>
        </w:rPr>
        <w:t>,</w:t>
      </w:r>
      <w:proofErr w:type="gramEnd"/>
      <w:r w:rsidRPr="00B9490A">
        <w:rPr>
          <w:rFonts w:asciiTheme="majorHAnsi" w:hAnsiTheme="majorHAnsi" w:cstheme="majorHAnsi"/>
          <w:sz w:val="19"/>
          <w:szCs w:val="19"/>
        </w:rPr>
        <w:t xml:space="preserve"> March 13, 2024, </w:t>
      </w:r>
      <w:r w:rsidRPr="00B9490A">
        <w:rPr>
          <w:rFonts w:asciiTheme="majorHAnsi" w:eastAsia="맑은 고딕" w:hAnsiTheme="majorHAnsi" w:cstheme="majorHAnsi"/>
          <w:sz w:val="19"/>
          <w:szCs w:val="19"/>
        </w:rPr>
        <w:t xml:space="preserve">Hankyoreh. Retrieved from </w:t>
      </w:r>
      <w:hyperlink r:id="rId6">
        <w:r w:rsidRPr="00B9490A">
          <w:rPr>
            <w:rFonts w:asciiTheme="majorHAnsi" w:eastAsia="맑은 고딕" w:hAnsiTheme="majorHAnsi" w:cstheme="majorHAnsi"/>
            <w:sz w:val="19"/>
            <w:szCs w:val="19"/>
            <w:u w:val="single"/>
          </w:rPr>
          <w:t>https://english.hani.co.kr/arti/english_edition/english_editorials/1132127</w:t>
        </w:r>
      </w:hyperlink>
      <w:r w:rsidRPr="00B9490A">
        <w:rPr>
          <w:rFonts w:asciiTheme="majorHAnsi" w:eastAsia="맑은 고딕" w:hAnsiTheme="majorHAnsi" w:cstheme="majorHAnsi"/>
          <w:sz w:val="19"/>
          <w:szCs w:val="19"/>
        </w:rPr>
        <w:t>.</w:t>
      </w:r>
    </w:p>
  </w:footnote>
  <w:footnote w:id="7">
    <w:p w:rsidR="00C95CD7" w:rsidRPr="00B9490A" w:rsidRDefault="00874B53" w:rsidP="00B9490A">
      <w:pPr>
        <w:spacing w:after="0"/>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CEDAW/C/KOR/RQ/9 para 18. </w:t>
      </w:r>
    </w:p>
  </w:footnote>
  <w:footnote w:id="8">
    <w:p w:rsidR="00C95CD7" w:rsidRPr="00B9490A" w:rsidRDefault="00874B53" w:rsidP="00B9490A">
      <w:pPr>
        <w:spacing w:after="0"/>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Ministry of Gender Equality and Family, </w:t>
      </w:r>
      <w:proofErr w:type="gramStart"/>
      <w:r w:rsidRPr="00B9490A">
        <w:rPr>
          <w:rFonts w:asciiTheme="majorHAnsi" w:hAnsiTheme="majorHAnsi" w:cstheme="majorHAnsi"/>
          <w:sz w:val="19"/>
          <w:szCs w:val="19"/>
        </w:rPr>
        <w:t>The</w:t>
      </w:r>
      <w:proofErr w:type="gramEnd"/>
      <w:r w:rsidRPr="00B9490A">
        <w:rPr>
          <w:rFonts w:asciiTheme="majorHAnsi" w:hAnsiTheme="majorHAnsi" w:cstheme="majorHAnsi"/>
          <w:sz w:val="19"/>
          <w:szCs w:val="19"/>
        </w:rPr>
        <w:t xml:space="preserve"> 3rd Basic Plan of Policies to Prevent Violence Against Women</w:t>
      </w:r>
      <w:r w:rsidR="0020285A" w:rsidRPr="00B9490A">
        <w:rPr>
          <w:rFonts w:asciiTheme="majorHAnsi" w:hAnsiTheme="majorHAnsi" w:cstheme="majorHAnsi" w:hint="eastAsia"/>
          <w:sz w:val="19"/>
          <w:szCs w:val="19"/>
        </w:rPr>
        <w:t xml:space="preserve"> (</w:t>
      </w:r>
      <w:r w:rsidRPr="00B9490A">
        <w:rPr>
          <w:rFonts w:asciiTheme="majorHAnsi" w:hAnsiTheme="majorHAnsi" w:cstheme="majorHAnsi"/>
          <w:sz w:val="19"/>
          <w:szCs w:val="19"/>
        </w:rPr>
        <w:t xml:space="preserve">2023~2027), 2023. </w:t>
      </w:r>
    </w:p>
  </w:footnote>
  <w:footnote w:id="9">
    <w:p w:rsidR="00C95CD7" w:rsidRPr="00B9490A" w:rsidRDefault="00874B53" w:rsidP="00B9490A">
      <w:pPr>
        <w:spacing w:after="0"/>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Victim support organizations take joint action to oppose budget cuts for violence against Women Prevention and Support Programs, 30 October 2023, Hankyoreh via newsdirectory3. Retrieved from </w:t>
      </w:r>
      <w:hyperlink r:id="rId7" w:anchor="google_vignette">
        <w:r w:rsidRPr="00B9490A">
          <w:rPr>
            <w:rFonts w:asciiTheme="majorHAnsi" w:hAnsiTheme="majorHAnsi" w:cstheme="majorHAnsi"/>
            <w:sz w:val="19"/>
            <w:szCs w:val="19"/>
            <w:u w:val="single"/>
          </w:rPr>
          <w:t>https://www.newsdirectory3.com/victim-support-organizations-take-joint-action-to-oppose-budget-cuts-for-violence-against-women-prevention-and-support-programs/#google_vignette</w:t>
        </w:r>
      </w:hyperlink>
      <w:r w:rsidRPr="00B9490A">
        <w:rPr>
          <w:rFonts w:asciiTheme="majorHAnsi" w:hAnsiTheme="majorHAnsi" w:cstheme="majorHAnsi"/>
          <w:sz w:val="19"/>
          <w:szCs w:val="19"/>
        </w:rPr>
        <w:t>.</w:t>
      </w:r>
    </w:p>
  </w:footnote>
  <w:footnote w:id="10">
    <w:p w:rsidR="00C95CD7" w:rsidRPr="00B9490A" w:rsidRDefault="00874B53" w:rsidP="00B9490A">
      <w:pPr>
        <w:spacing w:after="0"/>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Proposal to abolish gender equality ministry reemerges as key issue ahead of elections: Women’s groups demand Yoon to appoint a new minister, 23 February 2024, The Korea Times. Retrieved from </w:t>
      </w:r>
      <w:hyperlink r:id="rId8">
        <w:r w:rsidRPr="00B9490A">
          <w:rPr>
            <w:rFonts w:asciiTheme="majorHAnsi" w:hAnsiTheme="majorHAnsi" w:cstheme="majorHAnsi"/>
            <w:sz w:val="19"/>
            <w:szCs w:val="19"/>
            <w:u w:val="single"/>
          </w:rPr>
          <w:t>https://www.koreatimes.co.kr/www/nation/2024/04/113_369380.html</w:t>
        </w:r>
      </w:hyperlink>
      <w:r w:rsidRPr="00B9490A">
        <w:rPr>
          <w:rFonts w:asciiTheme="majorHAnsi" w:hAnsiTheme="majorHAnsi" w:cstheme="majorHAnsi"/>
          <w:sz w:val="19"/>
          <w:szCs w:val="19"/>
        </w:rPr>
        <w:t>.</w:t>
      </w:r>
    </w:p>
  </w:footnote>
  <w:footnote w:id="11">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The Act on Special Cases Concerning </w:t>
      </w:r>
      <w:proofErr w:type="gramStart"/>
      <w:r w:rsidRPr="00B9490A">
        <w:rPr>
          <w:rFonts w:asciiTheme="majorHAnsi" w:hAnsiTheme="majorHAnsi" w:cstheme="majorHAnsi"/>
          <w:sz w:val="19"/>
          <w:szCs w:val="19"/>
        </w:rPr>
        <w:t>The</w:t>
      </w:r>
      <w:proofErr w:type="gramEnd"/>
      <w:r w:rsidRPr="00B9490A">
        <w:rPr>
          <w:rFonts w:asciiTheme="majorHAnsi" w:hAnsiTheme="majorHAnsi" w:cstheme="majorHAnsi"/>
          <w:sz w:val="19"/>
          <w:szCs w:val="19"/>
        </w:rPr>
        <w:t xml:space="preserve"> Punishment of Crimes of Domestic Violence 2022.  Also known as the Domestic Violence Punishment Act or DVPA.</w:t>
      </w:r>
    </w:p>
  </w:footnote>
  <w:footnote w:id="12">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b/>
          <w:sz w:val="19"/>
          <w:szCs w:val="19"/>
          <w:highlight w:val="white"/>
        </w:rPr>
        <w:t xml:space="preserve"> </w:t>
      </w:r>
      <w:r w:rsidRPr="00B9490A">
        <w:rPr>
          <w:rFonts w:asciiTheme="majorHAnsi" w:hAnsiTheme="majorHAnsi" w:cstheme="majorHAnsi"/>
          <w:sz w:val="19"/>
          <w:szCs w:val="19"/>
          <w:highlight w:val="white"/>
        </w:rPr>
        <w:t>Ibid article 1 (Purpose) states “the purpose of this Act is to help restore the peace and stability of a family destroyed by criminal domestic violence, maintain a healthy family environment …”.</w:t>
      </w:r>
    </w:p>
  </w:footnote>
  <w:footnote w:id="13">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Committee on the Elimination of Discrimination Against Women, </w:t>
      </w:r>
      <w:proofErr w:type="gramStart"/>
      <w:r w:rsidRPr="00B9490A">
        <w:rPr>
          <w:rFonts w:asciiTheme="majorHAnsi" w:hAnsiTheme="majorHAnsi" w:cstheme="majorHAnsi"/>
          <w:sz w:val="19"/>
          <w:szCs w:val="19"/>
        </w:rPr>
        <w:t>Concluding</w:t>
      </w:r>
      <w:proofErr w:type="gramEnd"/>
      <w:r w:rsidRPr="00B9490A">
        <w:rPr>
          <w:rFonts w:asciiTheme="majorHAnsi" w:hAnsiTheme="majorHAnsi" w:cstheme="majorHAnsi"/>
          <w:sz w:val="19"/>
          <w:szCs w:val="19"/>
        </w:rPr>
        <w:t xml:space="preserve"> observations on the eight periodic report on the Republic of Korea, 14 March 2018, UN Doc. CEDAW/C/KOR/CO/8 para 22(b)a.</w:t>
      </w:r>
    </w:p>
  </w:footnote>
  <w:footnote w:id="14">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CEDAW/C/KOR/CO/8 para 23(b); Committee against Torture, Concluding observations on the combined third - fifth periodic reports of the Republic of Korea, 30 May 2017, UN Doc. CAT/C/KOR/CO/3-5, para 37(c).</w:t>
      </w:r>
    </w:p>
  </w:footnote>
  <w:footnote w:id="15">
    <w:p w:rsidR="00C95CD7" w:rsidRPr="00B9490A" w:rsidRDefault="00874B53" w:rsidP="00B9490A">
      <w:pPr>
        <w:pBdr>
          <w:top w:val="nil"/>
          <w:left w:val="nil"/>
          <w:bottom w:val="nil"/>
          <w:right w:val="nil"/>
          <w:between w:val="nil"/>
        </w:pBdr>
        <w:spacing w:after="0"/>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eastAsia="맑은 고딕" w:hAnsiTheme="majorHAnsi" w:cstheme="majorHAnsi"/>
          <w:sz w:val="19"/>
          <w:szCs w:val="19"/>
        </w:rPr>
        <w:t xml:space="preserve"> CEDAW/C/KOR/RQ/9 </w:t>
      </w:r>
      <w:r w:rsidRPr="00B9490A">
        <w:rPr>
          <w:rFonts w:asciiTheme="majorHAnsi" w:hAnsiTheme="majorHAnsi" w:cstheme="majorHAnsi"/>
          <w:sz w:val="19"/>
          <w:szCs w:val="19"/>
        </w:rPr>
        <w:t>para 19.</w:t>
      </w:r>
    </w:p>
  </w:footnote>
  <w:footnote w:id="16">
    <w:p w:rsidR="00C95CD7" w:rsidRPr="00B9490A" w:rsidRDefault="00874B53" w:rsidP="00B9490A">
      <w:pPr>
        <w:spacing w:after="0"/>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Comments on the </w:t>
      </w:r>
      <w:r w:rsidRPr="00B9490A">
        <w:rPr>
          <w:rFonts w:asciiTheme="majorHAnsi" w:hAnsiTheme="majorHAnsi" w:cstheme="majorHAnsi"/>
          <w:i/>
          <w:sz w:val="19"/>
          <w:szCs w:val="19"/>
        </w:rPr>
        <w:t xml:space="preserve">&lt; Status of amendment of the Act on Special Cases concerning the Punishment, etc. of Crimes of Domestic Violence related to the suspension of indictment on condition of counseling&gt;  </w:t>
      </w:r>
      <w:r w:rsidRPr="00B9490A">
        <w:rPr>
          <w:rFonts w:asciiTheme="majorHAnsi" w:hAnsiTheme="majorHAnsi" w:cstheme="majorHAnsi"/>
          <w:sz w:val="19"/>
          <w:szCs w:val="19"/>
        </w:rPr>
        <w:t xml:space="preserve">found in CEDAW/C/KOR/RQ/9 para 19: </w:t>
      </w:r>
      <w:r w:rsidRPr="00B9490A">
        <w:rPr>
          <w:rFonts w:asciiTheme="majorHAnsi" w:hAnsiTheme="majorHAnsi" w:cstheme="majorHAnsi"/>
          <w:sz w:val="19"/>
          <w:szCs w:val="19"/>
        </w:rPr>
        <w:br/>
        <w:t xml:space="preserve">Bill No. 11988: no progress since the 400th assembly(regular session), 4th sub-committee on bill review, 1st session on 23 November 2022; Bill No. 17809: no progress since its referral to the judiciary committee on 17 October 2022; Bill No. 20931: no progress since its referral to the judiciary committee 29 March 2023. </w:t>
      </w:r>
    </w:p>
  </w:footnote>
  <w:footnote w:id="17">
    <w:p w:rsidR="00C95CD7" w:rsidRPr="00B9490A" w:rsidRDefault="00874B53" w:rsidP="00B9490A">
      <w:pPr>
        <w:pBdr>
          <w:top w:val="nil"/>
          <w:left w:val="nil"/>
          <w:bottom w:val="nil"/>
          <w:right w:val="nil"/>
          <w:between w:val="nil"/>
        </w:pBdr>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eastAsia="맑은 고딕" w:hAnsiTheme="majorHAnsi" w:cstheme="majorHAnsi"/>
          <w:sz w:val="19"/>
          <w:szCs w:val="19"/>
        </w:rPr>
        <w:t xml:space="preserve"> </w:t>
      </w:r>
      <w:r w:rsidRPr="00B9490A">
        <w:rPr>
          <w:rFonts w:asciiTheme="majorHAnsi" w:hAnsiTheme="majorHAnsi" w:cstheme="majorHAnsi"/>
          <w:sz w:val="19"/>
          <w:szCs w:val="19"/>
        </w:rPr>
        <w:t>The t</w:t>
      </w:r>
      <w:r w:rsidRPr="00B9490A">
        <w:rPr>
          <w:rFonts w:asciiTheme="majorHAnsi" w:eastAsia="맑은 고딕" w:hAnsiTheme="majorHAnsi" w:cstheme="majorHAnsi"/>
          <w:sz w:val="19"/>
          <w:szCs w:val="19"/>
        </w:rPr>
        <w:t>erm of the 21st nati</w:t>
      </w:r>
      <w:r w:rsidRPr="00B9490A">
        <w:rPr>
          <w:rFonts w:asciiTheme="majorHAnsi" w:hAnsiTheme="majorHAnsi" w:cstheme="majorHAnsi"/>
          <w:sz w:val="19"/>
          <w:szCs w:val="19"/>
        </w:rPr>
        <w:t xml:space="preserve">onal assembly is 30 May </w:t>
      </w:r>
      <w:r w:rsidRPr="00B9490A">
        <w:rPr>
          <w:rFonts w:asciiTheme="majorHAnsi" w:eastAsia="맑은 고딕" w:hAnsiTheme="majorHAnsi" w:cstheme="majorHAnsi"/>
          <w:sz w:val="19"/>
          <w:szCs w:val="19"/>
        </w:rPr>
        <w:t>2020</w:t>
      </w:r>
      <w:r w:rsidRPr="00B9490A">
        <w:rPr>
          <w:rFonts w:asciiTheme="majorHAnsi" w:hAnsiTheme="majorHAnsi" w:cstheme="majorHAnsi"/>
          <w:sz w:val="19"/>
          <w:szCs w:val="19"/>
        </w:rPr>
        <w:t>~ 29 May 2024 and the term of the 22nd national assembly: 30 May 2024~ 29 May 2028</w:t>
      </w:r>
      <w:r w:rsidRPr="00B9490A">
        <w:rPr>
          <w:rFonts w:asciiTheme="majorHAnsi" w:eastAsia="맑은 고딕" w:hAnsiTheme="majorHAnsi" w:cstheme="majorHAnsi"/>
          <w:sz w:val="19"/>
          <w:szCs w:val="19"/>
        </w:rPr>
        <w:t>.</w:t>
      </w:r>
    </w:p>
  </w:footnote>
  <w:footnote w:id="18">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CEDAW/C/KOR/CO/8 para 23(b).</w:t>
      </w:r>
    </w:p>
  </w:footnote>
  <w:footnote w:id="19">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Act on the Punishment of Crime of Stalking 2021, also known as the Stalking Punishment Act </w:t>
      </w:r>
    </w:p>
  </w:footnote>
  <w:footnote w:id="20">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Ministry of Gender Equality and Family, Domestic Violence Survey of 2022, 2023. </w:t>
      </w:r>
    </w:p>
  </w:footnote>
  <w:footnote w:id="21">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National Police Agency Data, 2023. </w:t>
      </w:r>
    </w:p>
  </w:footnote>
  <w:footnote w:id="22">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CEDAW/C/KOR/RQ/9 para 21.</w:t>
      </w:r>
    </w:p>
  </w:footnote>
  <w:footnote w:id="23">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Supreme Court 2012Do14788, En Banc Ruling.</w:t>
      </w:r>
    </w:p>
  </w:footnote>
  <w:footnote w:id="24">
    <w:p w:rsidR="00C95CD7" w:rsidRPr="00B9490A" w:rsidRDefault="00874B53" w:rsidP="00B9490A">
      <w:pPr>
        <w:pBdr>
          <w:top w:val="nil"/>
          <w:left w:val="nil"/>
          <w:bottom w:val="nil"/>
          <w:right w:val="nil"/>
          <w:between w:val="nil"/>
        </w:pBdr>
        <w:spacing w:after="0"/>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eastAsia="맑은 고딕" w:hAnsiTheme="majorHAnsi" w:cstheme="majorHAnsi"/>
          <w:sz w:val="19"/>
          <w:szCs w:val="19"/>
        </w:rPr>
        <w:t xml:space="preserve"> </w:t>
      </w:r>
      <w:r w:rsidRPr="00B9490A">
        <w:rPr>
          <w:rFonts w:asciiTheme="majorHAnsi" w:eastAsia="Arial" w:hAnsiTheme="majorHAnsi" w:cstheme="majorHAnsi"/>
          <w:sz w:val="19"/>
          <w:szCs w:val="19"/>
          <w:highlight w:val="white"/>
        </w:rPr>
        <w:t xml:space="preserve">Korean Association of Sexual Violence Relief Centers (KASVRC), </w:t>
      </w:r>
      <w:r w:rsidRPr="00B9490A">
        <w:rPr>
          <w:rFonts w:asciiTheme="majorHAnsi" w:eastAsia="맑은 고딕" w:hAnsiTheme="majorHAnsi" w:cstheme="majorHAnsi"/>
          <w:sz w:val="19"/>
          <w:szCs w:val="19"/>
        </w:rPr>
        <w:t xml:space="preserve">&lt;Analysis of </w:t>
      </w:r>
      <w:r w:rsidRPr="00B9490A">
        <w:rPr>
          <w:rFonts w:asciiTheme="majorHAnsi" w:hAnsiTheme="majorHAnsi" w:cstheme="majorHAnsi"/>
          <w:sz w:val="19"/>
          <w:szCs w:val="19"/>
        </w:rPr>
        <w:t>Rape Counseling Cases in 2022</w:t>
      </w:r>
      <w:r w:rsidRPr="00B9490A">
        <w:rPr>
          <w:rFonts w:asciiTheme="majorHAnsi" w:eastAsia="맑은 고딕" w:hAnsiTheme="majorHAnsi" w:cstheme="majorHAnsi"/>
          <w:sz w:val="19"/>
          <w:szCs w:val="19"/>
        </w:rPr>
        <w:t>&gt;</w:t>
      </w:r>
      <w:r w:rsidRPr="00B9490A">
        <w:rPr>
          <w:rFonts w:asciiTheme="majorHAnsi" w:hAnsiTheme="majorHAnsi" w:cstheme="majorHAnsi"/>
          <w:sz w:val="19"/>
          <w:szCs w:val="19"/>
        </w:rPr>
        <w:t xml:space="preserve">, 2022. The KASVRC currently consists of 133 counseling centers nationwide. </w:t>
      </w:r>
    </w:p>
  </w:footnote>
  <w:footnote w:id="25">
    <w:p w:rsidR="00C95CD7" w:rsidRPr="00B9490A" w:rsidRDefault="00874B53" w:rsidP="00B9490A">
      <w:pPr>
        <w:pBdr>
          <w:top w:val="nil"/>
          <w:left w:val="nil"/>
          <w:bottom w:val="nil"/>
          <w:right w:val="nil"/>
          <w:between w:val="nil"/>
        </w:pBdr>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w:t>
      </w:r>
      <w:r w:rsidRPr="00B9490A">
        <w:rPr>
          <w:rFonts w:asciiTheme="majorHAnsi" w:eastAsia="맑은 고딕" w:hAnsiTheme="majorHAnsi" w:cstheme="majorHAnsi"/>
          <w:sz w:val="19"/>
          <w:szCs w:val="19"/>
        </w:rPr>
        <w:t>Supreme Court Decision 2018</w:t>
      </w:r>
      <w:r w:rsidRPr="00B9490A">
        <w:rPr>
          <w:rFonts w:asciiTheme="majorHAnsi" w:hAnsiTheme="majorHAnsi" w:cstheme="majorHAnsi"/>
          <w:sz w:val="19"/>
          <w:szCs w:val="19"/>
        </w:rPr>
        <w:t>Do13877</w:t>
      </w:r>
      <w:r w:rsidRPr="00B9490A">
        <w:rPr>
          <w:rFonts w:asciiTheme="majorHAnsi" w:eastAsia="맑은 고딕" w:hAnsiTheme="majorHAnsi" w:cstheme="majorHAnsi"/>
          <w:sz w:val="19"/>
          <w:szCs w:val="19"/>
        </w:rPr>
        <w:t xml:space="preserve"> decided </w:t>
      </w:r>
      <w:r w:rsidRPr="00B9490A">
        <w:rPr>
          <w:rFonts w:asciiTheme="majorHAnsi" w:hAnsiTheme="majorHAnsi" w:cstheme="majorHAnsi"/>
          <w:sz w:val="19"/>
          <w:szCs w:val="19"/>
        </w:rPr>
        <w:t>September 21</w:t>
      </w:r>
      <w:r w:rsidRPr="00B9490A">
        <w:rPr>
          <w:rFonts w:asciiTheme="majorHAnsi" w:eastAsia="맑은 고딕" w:hAnsiTheme="majorHAnsi" w:cstheme="majorHAnsi"/>
          <w:sz w:val="19"/>
          <w:szCs w:val="19"/>
        </w:rPr>
        <w:t>, 20</w:t>
      </w:r>
      <w:r w:rsidRPr="00B9490A">
        <w:rPr>
          <w:rFonts w:asciiTheme="majorHAnsi" w:hAnsiTheme="majorHAnsi" w:cstheme="majorHAnsi"/>
          <w:sz w:val="19"/>
          <w:szCs w:val="19"/>
        </w:rPr>
        <w:t>23, En Banc Ruling.</w:t>
      </w:r>
    </w:p>
  </w:footnote>
  <w:footnote w:id="26">
    <w:p w:rsidR="00C95CD7" w:rsidRPr="00B9490A" w:rsidRDefault="00874B53" w:rsidP="00B9490A">
      <w:pPr>
        <w:spacing w:after="0"/>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CEDAW/C/KOR/RQ/9, paras 23- 24. </w:t>
      </w:r>
    </w:p>
  </w:footnote>
  <w:footnote w:id="27">
    <w:p w:rsidR="00C95CD7" w:rsidRPr="00B9490A" w:rsidRDefault="00874B53" w:rsidP="00B9490A">
      <w:pPr>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In its submission to the Sentencing Commission, the Ministry of Justice argued that "the punishment for innocence is too light, in light of the public's sentiment toward the law," but the Sentencing Commission did not adopt the recommendation, </w:t>
      </w:r>
      <w:proofErr w:type="spellStart"/>
      <w:r w:rsidRPr="00B9490A">
        <w:rPr>
          <w:rFonts w:asciiTheme="majorHAnsi" w:hAnsiTheme="majorHAnsi" w:cstheme="majorHAnsi"/>
          <w:sz w:val="19"/>
          <w:szCs w:val="19"/>
        </w:rPr>
        <w:t>deeping</w:t>
      </w:r>
      <w:proofErr w:type="spellEnd"/>
      <w:r w:rsidRPr="00B9490A">
        <w:rPr>
          <w:rFonts w:asciiTheme="majorHAnsi" w:hAnsiTheme="majorHAnsi" w:cstheme="majorHAnsi"/>
          <w:sz w:val="19"/>
          <w:szCs w:val="19"/>
        </w:rPr>
        <w:t xml:space="preserve"> it unnecessary to change the sentencing guidelines at this time. See: The Supreme Court’s Sentencing Commission “decides not to discuss” President Yoon’s campaign promise to “strengthen false accusation punishment”, 16 June 2023, The </w:t>
      </w:r>
      <w:proofErr w:type="spellStart"/>
      <w:r w:rsidRPr="00B9490A">
        <w:rPr>
          <w:rFonts w:asciiTheme="majorHAnsi" w:hAnsiTheme="majorHAnsi" w:cstheme="majorHAnsi"/>
          <w:sz w:val="19"/>
          <w:szCs w:val="19"/>
        </w:rPr>
        <w:t>KyungHyang</w:t>
      </w:r>
      <w:proofErr w:type="spellEnd"/>
      <w:r w:rsidRPr="00B9490A">
        <w:rPr>
          <w:rFonts w:asciiTheme="majorHAnsi" w:hAnsiTheme="majorHAnsi" w:cstheme="majorHAnsi"/>
          <w:sz w:val="19"/>
          <w:szCs w:val="19"/>
        </w:rPr>
        <w:t xml:space="preserve"> </w:t>
      </w:r>
      <w:proofErr w:type="spellStart"/>
      <w:r w:rsidRPr="00B9490A">
        <w:rPr>
          <w:rFonts w:asciiTheme="majorHAnsi" w:hAnsiTheme="majorHAnsi" w:cstheme="majorHAnsi"/>
          <w:sz w:val="19"/>
          <w:szCs w:val="19"/>
        </w:rPr>
        <w:t>Shinmun</w:t>
      </w:r>
      <w:proofErr w:type="spellEnd"/>
      <w:r w:rsidRPr="00B9490A">
        <w:rPr>
          <w:rFonts w:asciiTheme="majorHAnsi" w:hAnsiTheme="majorHAnsi" w:cstheme="majorHAnsi"/>
          <w:sz w:val="19"/>
          <w:szCs w:val="19"/>
        </w:rPr>
        <w:t xml:space="preserve">, retrieved from </w:t>
      </w:r>
      <w:hyperlink r:id="rId9">
        <w:r w:rsidRPr="00B9490A">
          <w:rPr>
            <w:rFonts w:asciiTheme="majorHAnsi" w:hAnsiTheme="majorHAnsi" w:cstheme="majorHAnsi"/>
            <w:sz w:val="19"/>
            <w:szCs w:val="19"/>
            <w:u w:val="single"/>
          </w:rPr>
          <w:t>https://m.khan.co.kr/national/national-general/article/202306161040001</w:t>
        </w:r>
      </w:hyperlink>
      <w:r w:rsidRPr="00B9490A">
        <w:rPr>
          <w:rFonts w:asciiTheme="majorHAnsi" w:hAnsiTheme="majorHAnsi" w:cstheme="majorHAnsi"/>
          <w:sz w:val="19"/>
          <w:szCs w:val="19"/>
        </w:rPr>
        <w:t>.</w:t>
      </w:r>
    </w:p>
  </w:footnote>
  <w:footnote w:id="28">
    <w:p w:rsidR="00C95CD7" w:rsidRPr="00B9490A" w:rsidRDefault="00874B53" w:rsidP="00B9490A">
      <w:pPr>
        <w:pBdr>
          <w:top w:val="nil"/>
          <w:left w:val="nil"/>
          <w:bottom w:val="nil"/>
          <w:right w:val="nil"/>
          <w:between w:val="nil"/>
        </w:pBdr>
        <w:spacing w:after="0"/>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Merely posting a victim's personal information, a photo of their face, and sexually offensive messages on the internet without accompanying images of the victim is not punishable under the </w:t>
      </w:r>
      <w:r w:rsidRPr="00B9490A">
        <w:rPr>
          <w:rFonts w:asciiTheme="majorHAnsi" w:hAnsiTheme="majorHAnsi" w:cstheme="majorHAnsi"/>
          <w:sz w:val="19"/>
          <w:szCs w:val="19"/>
          <w:highlight w:val="white"/>
        </w:rPr>
        <w:t xml:space="preserve">Act </w:t>
      </w:r>
      <w:proofErr w:type="gramStart"/>
      <w:r w:rsidRPr="00B9490A">
        <w:rPr>
          <w:rFonts w:asciiTheme="majorHAnsi" w:hAnsiTheme="majorHAnsi" w:cstheme="majorHAnsi"/>
          <w:sz w:val="19"/>
          <w:szCs w:val="19"/>
          <w:highlight w:val="white"/>
        </w:rPr>
        <w:t>On</w:t>
      </w:r>
      <w:proofErr w:type="gramEnd"/>
      <w:r w:rsidRPr="00B9490A">
        <w:rPr>
          <w:rFonts w:asciiTheme="majorHAnsi" w:hAnsiTheme="majorHAnsi" w:cstheme="majorHAnsi"/>
          <w:sz w:val="19"/>
          <w:szCs w:val="19"/>
          <w:highlight w:val="white"/>
        </w:rPr>
        <w:t xml:space="preserve"> Special Cases Concerning The Punishment Of Sexual Crimes.</w:t>
      </w:r>
      <w:r w:rsidRPr="00B9490A">
        <w:rPr>
          <w:rFonts w:asciiTheme="majorHAnsi" w:hAnsiTheme="majorHAnsi" w:cstheme="majorHAnsi"/>
          <w:sz w:val="19"/>
          <w:szCs w:val="19"/>
        </w:rPr>
        <w:t xml:space="preserve"> In addition, while there are grounds to punish the production and dissemination of false images such as 'deepfakes' (</w:t>
      </w:r>
      <w:r w:rsidRPr="00B9490A">
        <w:rPr>
          <w:rFonts w:asciiTheme="majorHAnsi" w:hAnsiTheme="majorHAnsi" w:cstheme="majorHAnsi"/>
          <w:sz w:val="19"/>
          <w:szCs w:val="19"/>
          <w:highlight w:val="white"/>
        </w:rPr>
        <w:t xml:space="preserve">Act </w:t>
      </w:r>
      <w:proofErr w:type="gramStart"/>
      <w:r w:rsidRPr="00B9490A">
        <w:rPr>
          <w:rFonts w:asciiTheme="majorHAnsi" w:hAnsiTheme="majorHAnsi" w:cstheme="majorHAnsi"/>
          <w:sz w:val="19"/>
          <w:szCs w:val="19"/>
          <w:highlight w:val="white"/>
        </w:rPr>
        <w:t>On</w:t>
      </w:r>
      <w:proofErr w:type="gramEnd"/>
      <w:r w:rsidRPr="00B9490A">
        <w:rPr>
          <w:rFonts w:asciiTheme="majorHAnsi" w:hAnsiTheme="majorHAnsi" w:cstheme="majorHAnsi"/>
          <w:sz w:val="19"/>
          <w:szCs w:val="19"/>
          <w:highlight w:val="white"/>
        </w:rPr>
        <w:t xml:space="preserve"> Special Cases Concerning The Punishment Of Sexual Crimes, </w:t>
      </w:r>
      <w:r w:rsidRPr="00B9490A">
        <w:rPr>
          <w:rFonts w:asciiTheme="majorHAnsi" w:hAnsiTheme="majorHAnsi" w:cstheme="majorHAnsi"/>
          <w:sz w:val="19"/>
          <w:szCs w:val="19"/>
        </w:rPr>
        <w:t xml:space="preserve">Article 14(2)), there are no grounds to punish the viewing, purchasing, or otherwise consuming fake images. </w:t>
      </w:r>
    </w:p>
  </w:footnote>
  <w:footnote w:id="29">
    <w:p w:rsidR="00C95CD7" w:rsidRPr="00B9490A" w:rsidRDefault="00874B53" w:rsidP="00B9490A">
      <w:pPr>
        <w:spacing w:after="0"/>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A combination of the </w:t>
      </w:r>
      <w:proofErr w:type="gramStart"/>
      <w:r w:rsidRPr="00B9490A">
        <w:rPr>
          <w:rFonts w:asciiTheme="majorHAnsi" w:hAnsiTheme="majorHAnsi" w:cstheme="majorHAnsi"/>
          <w:sz w:val="19"/>
          <w:szCs w:val="19"/>
        </w:rPr>
        <w:t>words</w:t>
      </w:r>
      <w:proofErr w:type="gramEnd"/>
      <w:r w:rsidRPr="00B9490A">
        <w:rPr>
          <w:rFonts w:asciiTheme="majorHAnsi" w:hAnsiTheme="majorHAnsi" w:cstheme="majorHAnsi"/>
          <w:sz w:val="19"/>
          <w:szCs w:val="19"/>
        </w:rPr>
        <w:t xml:space="preserve"> ‘acquaintance’(ji-in) and ‘humiliation’ or ‘violation’(</w:t>
      </w:r>
      <w:proofErr w:type="spellStart"/>
      <w:r w:rsidRPr="00B9490A">
        <w:rPr>
          <w:rFonts w:asciiTheme="majorHAnsi" w:hAnsiTheme="majorHAnsi" w:cstheme="majorHAnsi"/>
          <w:sz w:val="19"/>
          <w:szCs w:val="19"/>
        </w:rPr>
        <w:t>neungyok</w:t>
      </w:r>
      <w:proofErr w:type="spellEnd"/>
      <w:r w:rsidRPr="00B9490A">
        <w:rPr>
          <w:rFonts w:asciiTheme="majorHAnsi" w:hAnsiTheme="majorHAnsi" w:cstheme="majorHAnsi"/>
          <w:sz w:val="19"/>
          <w:szCs w:val="19"/>
        </w:rPr>
        <w:t xml:space="preserve">) which contains meanings of disdain and insult and is often used in the context of sexually abusing women </w:t>
      </w:r>
    </w:p>
  </w:footnote>
  <w:footnote w:id="30">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CEDAW/C/KOR/CO/8 para 23(d).</w:t>
      </w:r>
    </w:p>
  </w:footnote>
  <w:footnote w:id="31">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Constitution of the Republic of Korea 1987, art 35(3).</w:t>
      </w:r>
    </w:p>
  </w:footnote>
  <w:footnote w:id="32">
    <w:p w:rsidR="00C95CD7" w:rsidRPr="00B9490A" w:rsidRDefault="00874B53" w:rsidP="00B9490A">
      <w:pPr>
        <w:spacing w:after="0"/>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Article 17 of the Basic Housing Act (Establishment of Minimum Housing Standards) and Article 12 of the Enforcement Decree of the same Act state that the minimum housing standard required for citizens to lead a comfortable and livable life is 14 square meters of living area for one person. However, according to the MOGEF's "Operational Guidelines for Women's and Children's Rights Promotion Programs," the standard area for shelters is less than half of 14 square meters. </w:t>
      </w:r>
    </w:p>
  </w:footnote>
  <w:footnote w:id="33">
    <w:p w:rsidR="00D32E12" w:rsidRPr="00B9490A" w:rsidRDefault="00D32E12" w:rsidP="00B9490A">
      <w:pPr>
        <w:pStyle w:val="af3"/>
        <w:rPr>
          <w:rFonts w:asciiTheme="majorHAnsi" w:hAnsiTheme="majorHAnsi" w:cstheme="majorHAnsi"/>
          <w:sz w:val="19"/>
          <w:szCs w:val="19"/>
        </w:rPr>
      </w:pPr>
      <w:r w:rsidRPr="00B9490A">
        <w:rPr>
          <w:rStyle w:val="af4"/>
          <w:rFonts w:asciiTheme="majorHAnsi" w:hAnsiTheme="majorHAnsi" w:cstheme="majorHAnsi"/>
          <w:sz w:val="19"/>
          <w:szCs w:val="19"/>
        </w:rPr>
        <w:footnoteRef/>
      </w:r>
      <w:r w:rsidRPr="00B9490A">
        <w:rPr>
          <w:rFonts w:asciiTheme="majorHAnsi" w:hAnsiTheme="majorHAnsi" w:cstheme="majorHAnsi"/>
          <w:sz w:val="19"/>
          <w:szCs w:val="19"/>
        </w:rPr>
        <w:t xml:space="preserve"> This fund consists of lotto ticket sale and the protection fund for victims of crime, the bulk of which is made up of fines paid by perpetrators.</w:t>
      </w:r>
    </w:p>
  </w:footnote>
  <w:footnote w:id="34">
    <w:p w:rsidR="00C95CD7" w:rsidRPr="00B9490A" w:rsidRDefault="00874B53" w:rsidP="00B9490A">
      <w:pPr>
        <w:jc w:val="left"/>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Korea Women’s Hot-Line, 2023 Gauge of Rage: Analysis of Femicide committed by Male Partners in Intimate Relationships and Random Men as Reported in the Media, 7 March 2024, Retrieved from </w:t>
      </w:r>
      <w:hyperlink r:id="rId10">
        <w:r w:rsidRPr="00B9490A">
          <w:rPr>
            <w:rFonts w:asciiTheme="majorHAnsi" w:hAnsiTheme="majorHAnsi" w:cstheme="majorHAnsi"/>
            <w:sz w:val="19"/>
            <w:szCs w:val="19"/>
            <w:u w:val="single"/>
          </w:rPr>
          <w:t>https://hotline.or.kr/board_statistics/79480</w:t>
        </w:r>
      </w:hyperlink>
      <w:r w:rsidRPr="00B9490A">
        <w:rPr>
          <w:rFonts w:asciiTheme="majorHAnsi" w:hAnsiTheme="majorHAnsi" w:cstheme="majorHAnsi"/>
          <w:sz w:val="19"/>
          <w:szCs w:val="19"/>
        </w:rPr>
        <w:t xml:space="preserve">. </w:t>
      </w:r>
      <w:r w:rsidRPr="00B9490A">
        <w:rPr>
          <w:rFonts w:asciiTheme="majorHAnsi" w:hAnsiTheme="majorHAnsi" w:cstheme="majorHAnsi"/>
          <w:sz w:val="19"/>
          <w:szCs w:val="19"/>
        </w:rPr>
        <w:br/>
        <w:t>“According to an analysis of incidents reported in the media from January 1 to December 31, 2023 by the Korea Women's Hot-Line, at least 138 women were murdered by male partners in intimate relationships, such as husbands or boyfriends, and at least 311 women survived attempted murder in 2023. When the number of bystander victims, such as children, parents, and friends, is included, the number of women killed or at risk of being killed by intimate male partners reaches at least 568. At least one woman is killed or at risk of being killed by an intimate male partner, such as a husband or boyfriend, every 19 hours, or at least one every 15 hours when bystander victims are included.”</w:t>
      </w:r>
    </w:p>
  </w:footnote>
  <w:footnote w:id="35">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CEDAW/C/KOR/CO/8 para 37.</w:t>
      </w:r>
    </w:p>
  </w:footnote>
  <w:footnote w:id="36">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CEDAW/C/KOR/CO/8 para 47.</w:t>
      </w:r>
    </w:p>
  </w:footnote>
  <w:footnote w:id="37">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5 million to 30 million Korean Won is approximately 3,500 to 22,000 USD. </w:t>
      </w:r>
    </w:p>
  </w:footnote>
  <w:footnote w:id="38">
    <w:p w:rsidR="00C95CD7" w:rsidRPr="00B9490A" w:rsidRDefault="00874B53" w:rsidP="00B9490A">
      <w:pPr>
        <w:spacing w:after="0"/>
        <w:rPr>
          <w:rFonts w:asciiTheme="majorHAnsi" w:hAnsiTheme="majorHAnsi" w:cstheme="majorHAnsi"/>
          <w:sz w:val="19"/>
          <w:szCs w:val="19"/>
        </w:rPr>
      </w:pPr>
      <w:r w:rsidRPr="00B9490A">
        <w:rPr>
          <w:rFonts w:asciiTheme="majorHAnsi" w:hAnsiTheme="majorHAnsi" w:cstheme="majorHAnsi"/>
          <w:sz w:val="19"/>
          <w:szCs w:val="19"/>
          <w:vertAlign w:val="superscript"/>
        </w:rPr>
        <w:footnoteRef/>
      </w:r>
      <w:r w:rsidRPr="00B9490A">
        <w:rPr>
          <w:rFonts w:asciiTheme="majorHAnsi" w:hAnsiTheme="majorHAnsi" w:cstheme="majorHAnsi"/>
          <w:sz w:val="19"/>
          <w:szCs w:val="19"/>
        </w:rPr>
        <w:t xml:space="preserve"> International Labor Organization, C190 - Violence and Harassment Convention, 2019 (No. 190), arts 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8627F7C"/>
    <w:multiLevelType w:val="multilevel"/>
    <w:tmpl w:val="1D28F096"/>
    <w:lvl w:ilvl="0">
      <w:start w:val="1"/>
      <w:numFmt w:val="bullet"/>
      <w:lvlText w:val=""/>
      <w:lvlJc w:val="left"/>
      <w:pPr>
        <w:ind w:left="800" w:hanging="400"/>
      </w:pPr>
      <w:rPr>
        <w:rFonts w:ascii="Wingdings" w:hAnsi="Wingdings" w:hint="default"/>
      </w:rPr>
    </w:lvl>
    <w:lvl w:ilvl="1">
      <w:start w:val="1"/>
      <w:numFmt w:val="bullet"/>
      <w:lvlText w:val="○"/>
      <w:lvlJc w:val="left"/>
      <w:pPr>
        <w:ind w:left="1200" w:hanging="400"/>
      </w:pPr>
      <w:rPr>
        <w:rFonts w:ascii="Noto Sans Symbols" w:eastAsia="Noto Sans Symbols" w:hAnsi="Noto Sans Symbols" w:cs="Noto Sans Symbols"/>
      </w:rPr>
    </w:lvl>
    <w:lvl w:ilvl="2">
      <w:start w:val="1"/>
      <w:numFmt w:val="bullet"/>
      <w:lvlText w:val="■"/>
      <w:lvlJc w:val="left"/>
      <w:pPr>
        <w:ind w:left="1600" w:hanging="400"/>
      </w:pPr>
      <w:rPr>
        <w:rFonts w:ascii="Noto Sans Symbols" w:eastAsia="Noto Sans Symbols" w:hAnsi="Noto Sans Symbols" w:cs="Noto Sans Symbols"/>
      </w:rPr>
    </w:lvl>
    <w:lvl w:ilvl="3">
      <w:start w:val="1"/>
      <w:numFmt w:val="bullet"/>
      <w:lvlText w:val="●"/>
      <w:lvlJc w:val="left"/>
      <w:pPr>
        <w:ind w:left="2000" w:hanging="400"/>
      </w:pPr>
      <w:rPr>
        <w:rFonts w:ascii="Noto Sans Symbols" w:eastAsia="Noto Sans Symbols" w:hAnsi="Noto Sans Symbols" w:cs="Noto Sans Symbols"/>
      </w:rPr>
    </w:lvl>
    <w:lvl w:ilvl="4">
      <w:start w:val="1"/>
      <w:numFmt w:val="bullet"/>
      <w:lvlText w:val="○"/>
      <w:lvlJc w:val="left"/>
      <w:pPr>
        <w:ind w:left="2400" w:hanging="400"/>
      </w:pPr>
      <w:rPr>
        <w:rFonts w:ascii="Noto Sans Symbols" w:eastAsia="Noto Sans Symbols" w:hAnsi="Noto Sans Symbols" w:cs="Noto Sans Symbols"/>
      </w:rPr>
    </w:lvl>
    <w:lvl w:ilvl="5">
      <w:start w:val="1"/>
      <w:numFmt w:val="bullet"/>
      <w:lvlText w:val="■"/>
      <w:lvlJc w:val="left"/>
      <w:pPr>
        <w:ind w:left="2800" w:hanging="400"/>
      </w:pPr>
      <w:rPr>
        <w:rFonts w:ascii="Noto Sans Symbols" w:eastAsia="Noto Sans Symbols" w:hAnsi="Noto Sans Symbols" w:cs="Noto Sans Symbols"/>
      </w:rPr>
    </w:lvl>
    <w:lvl w:ilvl="6">
      <w:start w:val="1"/>
      <w:numFmt w:val="bullet"/>
      <w:lvlText w:val="●"/>
      <w:lvlJc w:val="left"/>
      <w:pPr>
        <w:ind w:left="3200" w:hanging="400"/>
      </w:pPr>
      <w:rPr>
        <w:rFonts w:ascii="Noto Sans Symbols" w:eastAsia="Noto Sans Symbols" w:hAnsi="Noto Sans Symbols" w:cs="Noto Sans Symbols"/>
      </w:rPr>
    </w:lvl>
    <w:lvl w:ilvl="7">
      <w:start w:val="1"/>
      <w:numFmt w:val="bullet"/>
      <w:lvlText w:val="○"/>
      <w:lvlJc w:val="left"/>
      <w:pPr>
        <w:ind w:left="3600" w:hanging="400"/>
      </w:pPr>
      <w:rPr>
        <w:rFonts w:ascii="Noto Sans Symbols" w:eastAsia="Noto Sans Symbols" w:hAnsi="Noto Sans Symbols" w:cs="Noto Sans Symbols"/>
      </w:rPr>
    </w:lvl>
    <w:lvl w:ilvl="8">
      <w:start w:val="1"/>
      <w:numFmt w:val="bullet"/>
      <w:lvlText w:val="■"/>
      <w:lvlJc w:val="left"/>
      <w:pPr>
        <w:ind w:left="4000" w:hanging="400"/>
      </w:pPr>
      <w:rPr>
        <w:rFonts w:ascii="Noto Sans Symbols" w:eastAsia="Noto Sans Symbols" w:hAnsi="Noto Sans Symbols" w:cs="Noto Sans Symbols"/>
      </w:rPr>
    </w:lvl>
  </w:abstractNum>
  <w:abstractNum w:abstractNumId="1" w15:restartNumberingAfterBreak="0">
    <w:nsid w:val="64E16243"/>
    <w:multiLevelType w:val="multilevel"/>
    <w:tmpl w:val="C0C270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50315512">
    <w:abstractNumId w:val="0"/>
  </w:num>
  <w:num w:numId="2" w16cid:durableId="1237125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TrueTypeFonts/>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CD7"/>
    <w:rsid w:val="000956A3"/>
    <w:rsid w:val="000F29BF"/>
    <w:rsid w:val="00151FF4"/>
    <w:rsid w:val="00170168"/>
    <w:rsid w:val="0020285A"/>
    <w:rsid w:val="003519D9"/>
    <w:rsid w:val="004757EB"/>
    <w:rsid w:val="004E2C9F"/>
    <w:rsid w:val="004F46BA"/>
    <w:rsid w:val="006036AA"/>
    <w:rsid w:val="00693593"/>
    <w:rsid w:val="00874B53"/>
    <w:rsid w:val="008E06AE"/>
    <w:rsid w:val="008E7C84"/>
    <w:rsid w:val="00B9490A"/>
    <w:rsid w:val="00C928E7"/>
    <w:rsid w:val="00C95CD7"/>
    <w:rsid w:val="00D32E12"/>
    <w:rsid w:val="00D60258"/>
    <w:rsid w:val="00E34E1B"/>
    <w:rsid w:val="00F874B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502E6"/>
  <w15:docId w15:val="{D45DBD1D-3855-4E91-9222-1E60F9D6E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맑은 고딕" w:eastAsia="맑은 고딕" w:hAnsi="맑은 고딕" w:cs="맑은 고딕"/>
        <w:lang w:val="en-US" w:eastAsia="ko-KR" w:bidi="ar-SA"/>
      </w:rPr>
    </w:rPrDefault>
    <w:pPrDefault>
      <w:pPr>
        <w:widowControl w:val="0"/>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1FF4"/>
    <w:rPr>
      <w:rFonts w:eastAsiaTheme="majorEastAsia"/>
    </w:rPr>
  </w:style>
  <w:style w:type="paragraph" w:styleId="1">
    <w:name w:val="heading 1"/>
    <w:basedOn w:val="a"/>
    <w:next w:val="a"/>
    <w:uiPriority w:val="9"/>
    <w:qFormat/>
    <w:rsid w:val="00151FF4"/>
    <w:pPr>
      <w:keepNext/>
      <w:tabs>
        <w:tab w:val="left" w:pos="4020"/>
        <w:tab w:val="center" w:pos="4513"/>
      </w:tabs>
      <w:spacing w:line="360" w:lineRule="auto"/>
      <w:jc w:val="left"/>
      <w:outlineLvl w:val="0"/>
    </w:pPr>
    <w:rPr>
      <w:b/>
      <w:sz w:val="28"/>
      <w:szCs w:val="28"/>
      <w:highlight w:val="white"/>
    </w:rPr>
  </w:style>
  <w:style w:type="paragraph" w:styleId="2">
    <w:name w:val="heading 2"/>
    <w:basedOn w:val="a"/>
    <w:next w:val="a"/>
    <w:uiPriority w:val="9"/>
    <w:unhideWhenUsed/>
    <w:qFormat/>
    <w:rsid w:val="00D32E12"/>
    <w:pPr>
      <w:keepNext/>
      <w:jc w:val="left"/>
      <w:outlineLvl w:val="1"/>
    </w:pPr>
    <w:rPr>
      <w:b/>
      <w:sz w:val="22"/>
      <w:szCs w:val="22"/>
    </w:rPr>
  </w:style>
  <w:style w:type="paragraph" w:styleId="3">
    <w:name w:val="heading 3"/>
    <w:basedOn w:val="a"/>
    <w:next w:val="a"/>
    <w:uiPriority w:val="9"/>
    <w:semiHidden/>
    <w:unhideWhenUsed/>
    <w:qFormat/>
    <w:pPr>
      <w:keepNext/>
      <w:ind w:left="300" w:hanging="2000"/>
      <w:outlineLvl w:val="2"/>
    </w:pPr>
    <w:rPr>
      <w:rFonts w:eastAsia="맑은 고딕"/>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spacing w:before="240" w:after="120"/>
      <w:jc w:val="center"/>
    </w:pPr>
    <w:rPr>
      <w:rFonts w:eastAsia="맑은 고딕"/>
      <w:b/>
      <w:sz w:val="32"/>
      <w:szCs w:val="32"/>
    </w:rPr>
  </w:style>
  <w:style w:type="paragraph" w:styleId="a4">
    <w:name w:val="Subtitle"/>
    <w:basedOn w:val="a"/>
    <w:next w:val="a"/>
    <w:uiPriority w:val="11"/>
    <w:qFormat/>
    <w:pPr>
      <w:tabs>
        <w:tab w:val="left" w:pos="3750"/>
        <w:tab w:val="center" w:pos="4513"/>
      </w:tabs>
      <w:spacing w:after="0" w:line="240" w:lineRule="auto"/>
      <w:jc w:val="center"/>
    </w:pPr>
    <w:rPr>
      <w:b/>
      <w:sz w:val="24"/>
      <w:szCs w:val="24"/>
    </w:r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table" w:customStyle="1" w:styleId="a7">
    <w:basedOn w:val="TableNormal"/>
    <w:pPr>
      <w:spacing w:after="0" w:line="240" w:lineRule="auto"/>
    </w:pPr>
    <w:tblPr>
      <w:tblStyleRowBandSize w:val="1"/>
      <w:tblStyleColBandSize w:val="1"/>
      <w:tblCellMar>
        <w:left w:w="108" w:type="dxa"/>
        <w:right w:w="108" w:type="dxa"/>
      </w:tblCellMar>
    </w:tblPr>
  </w:style>
  <w:style w:type="table" w:customStyle="1" w:styleId="a8">
    <w:basedOn w:val="TableNormal"/>
    <w:pPr>
      <w:spacing w:after="0" w:line="240" w:lineRule="auto"/>
    </w:pPr>
    <w:tblPr>
      <w:tblStyleRowBandSize w:val="1"/>
      <w:tblStyleColBandSize w:val="1"/>
      <w:tblCellMar>
        <w:left w:w="108" w:type="dxa"/>
        <w:right w:w="108" w:type="dxa"/>
      </w:tblCellMar>
    </w:tblPr>
  </w:style>
  <w:style w:type="table" w:customStyle="1" w:styleId="a9">
    <w:basedOn w:val="TableNormal"/>
    <w:pPr>
      <w:spacing w:after="0" w:line="240" w:lineRule="auto"/>
    </w:pPr>
    <w:tblPr>
      <w:tblStyleRowBandSize w:val="1"/>
      <w:tblStyleColBandSize w:val="1"/>
      <w:tblCellMar>
        <w:left w:w="108" w:type="dxa"/>
        <w:right w:w="108" w:type="dxa"/>
      </w:tblCellMar>
    </w:tblPr>
  </w:style>
  <w:style w:type="table" w:customStyle="1" w:styleId="aa">
    <w:basedOn w:val="TableNormal"/>
    <w:pPr>
      <w:spacing w:after="0" w:line="240" w:lineRule="auto"/>
    </w:pPr>
    <w:tblPr>
      <w:tblStyleRowBandSize w:val="1"/>
      <w:tblStyleColBandSize w:val="1"/>
      <w:tblCellMar>
        <w:left w:w="108" w:type="dxa"/>
        <w:right w:w="108" w:type="dxa"/>
      </w:tblCellMar>
    </w:tblPr>
  </w:style>
  <w:style w:type="table" w:customStyle="1" w:styleId="ab">
    <w:basedOn w:val="TableNormal"/>
    <w:pPr>
      <w:spacing w:after="0" w:line="240" w:lineRule="auto"/>
    </w:pPr>
    <w:tblPr>
      <w:tblStyleRowBandSize w:val="1"/>
      <w:tblStyleColBandSize w:val="1"/>
      <w:tblCellMar>
        <w:left w:w="108" w:type="dxa"/>
        <w:right w:w="108" w:type="dxa"/>
      </w:tblCellMar>
    </w:tblPr>
  </w:style>
  <w:style w:type="table" w:customStyle="1" w:styleId="ac">
    <w:basedOn w:val="TableNormal"/>
    <w:pPr>
      <w:spacing w:after="0" w:line="240" w:lineRule="auto"/>
    </w:pPr>
    <w:tblPr>
      <w:tblStyleRowBandSize w:val="1"/>
      <w:tblStyleColBandSize w:val="1"/>
      <w:tblCellMar>
        <w:left w:w="108" w:type="dxa"/>
        <w:right w:w="108" w:type="dxa"/>
      </w:tblCellMar>
    </w:tblPr>
  </w:style>
  <w:style w:type="table" w:customStyle="1" w:styleId="ad">
    <w:basedOn w:val="TableNormal"/>
    <w:pPr>
      <w:spacing w:after="0" w:line="240" w:lineRule="auto"/>
    </w:pPr>
    <w:tblPr>
      <w:tblStyleRowBandSize w:val="1"/>
      <w:tblStyleColBandSize w:val="1"/>
      <w:tblCellMar>
        <w:left w:w="108" w:type="dxa"/>
        <w:right w:w="108" w:type="dxa"/>
      </w:tblCellMar>
    </w:tblPr>
  </w:style>
  <w:style w:type="table" w:customStyle="1" w:styleId="ae">
    <w:basedOn w:val="TableNormal"/>
    <w:pPr>
      <w:spacing w:after="0" w:line="240" w:lineRule="auto"/>
    </w:pPr>
    <w:tblPr>
      <w:tblStyleRowBandSize w:val="1"/>
      <w:tblStyleColBandSize w:val="1"/>
      <w:tblCellMar>
        <w:left w:w="108" w:type="dxa"/>
        <w:right w:w="108" w:type="dxa"/>
      </w:tblCellMar>
    </w:tblPr>
  </w:style>
  <w:style w:type="table" w:customStyle="1" w:styleId="af">
    <w:basedOn w:val="TableNormal"/>
    <w:pPr>
      <w:spacing w:after="0" w:line="240" w:lineRule="auto"/>
    </w:pPr>
    <w:tblPr>
      <w:tblStyleRowBandSize w:val="1"/>
      <w:tblStyleColBandSize w:val="1"/>
      <w:tblCellMar>
        <w:left w:w="108" w:type="dxa"/>
        <w:right w:w="108" w:type="dxa"/>
      </w:tblCellMar>
    </w:tblPr>
  </w:style>
  <w:style w:type="table" w:customStyle="1" w:styleId="af0">
    <w:basedOn w:val="TableNormal"/>
    <w:pPr>
      <w:spacing w:after="0" w:line="240" w:lineRule="auto"/>
    </w:pPr>
    <w:tblPr>
      <w:tblStyleRowBandSize w:val="1"/>
      <w:tblStyleColBandSize w:val="1"/>
      <w:tblCellMar>
        <w:left w:w="108" w:type="dxa"/>
        <w:right w:w="108" w:type="dxa"/>
      </w:tblCellMar>
    </w:tblPr>
  </w:style>
  <w:style w:type="table" w:customStyle="1" w:styleId="af1">
    <w:basedOn w:val="TableNormal"/>
    <w:pPr>
      <w:spacing w:after="0" w:line="240" w:lineRule="auto"/>
    </w:pPr>
    <w:tblPr>
      <w:tblStyleRowBandSize w:val="1"/>
      <w:tblStyleColBandSize w:val="1"/>
      <w:tblCellMar>
        <w:left w:w="108" w:type="dxa"/>
        <w:right w:w="108" w:type="dxa"/>
      </w:tblCellMar>
    </w:tblPr>
  </w:style>
  <w:style w:type="table" w:customStyle="1" w:styleId="af2">
    <w:basedOn w:val="TableNormal"/>
    <w:pPr>
      <w:spacing w:after="0" w:line="240" w:lineRule="auto"/>
    </w:pPr>
    <w:tblPr>
      <w:tblStyleRowBandSize w:val="1"/>
      <w:tblStyleColBandSize w:val="1"/>
      <w:tblCellMar>
        <w:left w:w="108" w:type="dxa"/>
        <w:right w:w="108" w:type="dxa"/>
      </w:tblCellMar>
    </w:tblPr>
  </w:style>
  <w:style w:type="paragraph" w:styleId="af3">
    <w:name w:val="footnote text"/>
    <w:basedOn w:val="a"/>
    <w:link w:val="Char"/>
    <w:uiPriority w:val="99"/>
    <w:semiHidden/>
    <w:unhideWhenUsed/>
    <w:rsid w:val="00D32E12"/>
    <w:pPr>
      <w:snapToGrid w:val="0"/>
      <w:jc w:val="left"/>
    </w:pPr>
  </w:style>
  <w:style w:type="character" w:customStyle="1" w:styleId="Char">
    <w:name w:val="각주 텍스트 Char"/>
    <w:basedOn w:val="a0"/>
    <w:link w:val="af3"/>
    <w:uiPriority w:val="99"/>
    <w:semiHidden/>
    <w:rsid w:val="00D32E12"/>
  </w:style>
  <w:style w:type="character" w:styleId="af4">
    <w:name w:val="footnote reference"/>
    <w:basedOn w:val="a0"/>
    <w:uiPriority w:val="99"/>
    <w:semiHidden/>
    <w:unhideWhenUsed/>
    <w:rsid w:val="00D32E12"/>
    <w:rPr>
      <w:vertAlign w:val="superscript"/>
    </w:rPr>
  </w:style>
  <w:style w:type="paragraph" w:styleId="TOC">
    <w:name w:val="TOC Heading"/>
    <w:basedOn w:val="1"/>
    <w:next w:val="a"/>
    <w:uiPriority w:val="39"/>
    <w:unhideWhenUsed/>
    <w:qFormat/>
    <w:rsid w:val="00D32E12"/>
    <w:pPr>
      <w:keepLines/>
      <w:widowControl/>
      <w:tabs>
        <w:tab w:val="clear" w:pos="4020"/>
        <w:tab w:val="clear" w:pos="4513"/>
      </w:tabs>
      <w:spacing w:before="240" w:after="0" w:line="259" w:lineRule="auto"/>
      <w:outlineLvl w:val="9"/>
    </w:pPr>
    <w:rPr>
      <w:rFonts w:asciiTheme="majorHAnsi" w:hAnsiTheme="majorHAnsi" w:cstheme="majorBidi"/>
      <w:b w:val="0"/>
      <w:color w:val="365F91" w:themeColor="accent1" w:themeShade="BF"/>
      <w:sz w:val="32"/>
      <w:szCs w:val="32"/>
      <w:highlight w:val="none"/>
    </w:rPr>
  </w:style>
  <w:style w:type="paragraph" w:styleId="20">
    <w:name w:val="toc 2"/>
    <w:basedOn w:val="a"/>
    <w:next w:val="a"/>
    <w:autoRedefine/>
    <w:uiPriority w:val="39"/>
    <w:unhideWhenUsed/>
    <w:rsid w:val="006036AA"/>
    <w:pPr>
      <w:widowControl/>
      <w:tabs>
        <w:tab w:val="right" w:leader="dot" w:pos="9016"/>
      </w:tabs>
      <w:spacing w:after="100" w:line="259" w:lineRule="auto"/>
      <w:ind w:left="220"/>
    </w:pPr>
    <w:rPr>
      <w:rFonts w:asciiTheme="majorHAnsi" w:eastAsiaTheme="minorEastAsia" w:hAnsiTheme="majorHAnsi" w:cstheme="majorHAnsi"/>
      <w:noProof/>
      <w:sz w:val="22"/>
      <w:szCs w:val="22"/>
    </w:rPr>
  </w:style>
  <w:style w:type="paragraph" w:styleId="10">
    <w:name w:val="toc 1"/>
    <w:basedOn w:val="a"/>
    <w:next w:val="a"/>
    <w:autoRedefine/>
    <w:uiPriority w:val="39"/>
    <w:unhideWhenUsed/>
    <w:rsid w:val="00D32E12"/>
    <w:pPr>
      <w:widowControl/>
      <w:spacing w:after="100" w:line="259" w:lineRule="auto"/>
      <w:jc w:val="left"/>
    </w:pPr>
    <w:rPr>
      <w:rFonts w:asciiTheme="minorHAnsi" w:eastAsiaTheme="minorEastAsia" w:hAnsiTheme="minorHAnsi" w:cs="Times New Roman"/>
      <w:sz w:val="22"/>
      <w:szCs w:val="22"/>
    </w:rPr>
  </w:style>
  <w:style w:type="paragraph" w:styleId="30">
    <w:name w:val="toc 3"/>
    <w:basedOn w:val="a"/>
    <w:next w:val="a"/>
    <w:autoRedefine/>
    <w:uiPriority w:val="39"/>
    <w:unhideWhenUsed/>
    <w:rsid w:val="00D32E12"/>
    <w:pPr>
      <w:widowControl/>
      <w:spacing w:after="100" w:line="259" w:lineRule="auto"/>
      <w:ind w:left="440"/>
      <w:jc w:val="left"/>
    </w:pPr>
    <w:rPr>
      <w:rFonts w:asciiTheme="minorHAnsi" w:eastAsiaTheme="minorEastAsia" w:hAnsiTheme="minorHAnsi" w:cs="Times New Roman"/>
      <w:sz w:val="22"/>
      <w:szCs w:val="22"/>
    </w:rPr>
  </w:style>
  <w:style w:type="character" w:styleId="af5">
    <w:name w:val="Hyperlink"/>
    <w:basedOn w:val="a0"/>
    <w:uiPriority w:val="99"/>
    <w:unhideWhenUsed/>
    <w:rsid w:val="00D32E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www.koreatimes.co.kr/www/nation/2024/04/113_369380.html" TargetMode="External"/><Relationship Id="rId3" Type="http://schemas.openxmlformats.org/officeDocument/2006/relationships/hyperlink" Target="https://www.weforum.org/publications/global-gender-gap-report-2023/" TargetMode="External"/><Relationship Id="rId7" Type="http://schemas.openxmlformats.org/officeDocument/2006/relationships/hyperlink" Target="https://www.newsdirectory3.com/victim-support-organizations-take-joint-action-to-oppose-budget-cuts-for-violence-against-women-prevention-and-support-programs/" TargetMode="External"/><Relationship Id="rId2" Type="http://schemas.openxmlformats.org/officeDocument/2006/relationships/hyperlink" Target="https://www.koreatimes.co.kr/www/nation/2024/04/113_370351.html" TargetMode="External"/><Relationship Id="rId1" Type="http://schemas.openxmlformats.org/officeDocument/2006/relationships/hyperlink" Target="mailto:hotline@hotline.or.kr" TargetMode="External"/><Relationship Id="rId6" Type="http://schemas.openxmlformats.org/officeDocument/2006/relationships/hyperlink" Target="https://english.hani.co.kr/arti/english_edition/english_editorials/1132127" TargetMode="External"/><Relationship Id="rId5" Type="http://schemas.openxmlformats.org/officeDocument/2006/relationships/hyperlink" Target="https://www.peoplepower21.org/english/1962604" TargetMode="External"/><Relationship Id="rId10" Type="http://schemas.openxmlformats.org/officeDocument/2006/relationships/hyperlink" Target="https://hotline.or.kr/board_statistics/79480" TargetMode="External"/><Relationship Id="rId4" Type="http://schemas.openxmlformats.org/officeDocument/2006/relationships/hyperlink" Target="https://hdr.undp.org/system/files/documents/hdp-document/gsni202303.pdf" TargetMode="External"/><Relationship Id="rId9" Type="http://schemas.openxmlformats.org/officeDocument/2006/relationships/hyperlink" Target="https://m.khan.co.kr/national/national-general/article/20230616104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F4CFF0-1834-4E8B-AE8A-3A2289972892}"/>
</file>

<file path=customXml/itemProps2.xml><?xml version="1.0" encoding="utf-8"?>
<ds:datastoreItem xmlns:ds="http://schemas.openxmlformats.org/officeDocument/2006/customXml" ds:itemID="{8999DE6A-AF62-46EE-8088-4E38FC63151F}"/>
</file>

<file path=docProps/app.xml><?xml version="1.0" encoding="utf-8"?>
<Properties xmlns="http://schemas.openxmlformats.org/officeDocument/2006/extended-properties" xmlns:vt="http://schemas.openxmlformats.org/officeDocument/2006/docPropsVTypes">
  <Template>Normal</Template>
  <TotalTime>16</TotalTime>
  <Pages>15</Pages>
  <Words>4697</Words>
  <Characters>26779</Characters>
  <Application>Microsoft Office Word</Application>
  <DocSecurity>0</DocSecurity>
  <Lines>223</Lines>
  <Paragraphs>62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Korea Women's Hot-Line</dc:creator>
  <cp:lastModifiedBy>여전 한</cp:lastModifiedBy>
  <cp:revision>6</cp:revision>
  <cp:lastPrinted>2024-04-15T06:43:00Z</cp:lastPrinted>
  <dcterms:created xsi:type="dcterms:W3CDTF">2024-04-15T06:26:00Z</dcterms:created>
  <dcterms:modified xsi:type="dcterms:W3CDTF">2024-04-15T06:44:00Z</dcterms:modified>
</cp:coreProperties>
</file>