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7565" w14:textId="5AC5B969" w:rsidR="00321A19" w:rsidRPr="00DA051C" w:rsidRDefault="006A0C75">
      <w:pPr>
        <w:pStyle w:val="P68B1DB1-berschrift11"/>
        <w:rPr>
          <w:lang w:val="en-US"/>
        </w:rPr>
      </w:pPr>
      <w:r w:rsidRPr="00DA051C">
        <w:rPr>
          <w:lang w:val="en-US"/>
        </w:rPr>
        <w:t>Statement</w:t>
      </w:r>
      <w:r w:rsidR="00DA051C">
        <w:rPr>
          <w:lang w:val="en-US"/>
        </w:rPr>
        <w:t xml:space="preserve"> FROM</w:t>
      </w:r>
      <w:r w:rsidRPr="00DA051C">
        <w:rPr>
          <w:lang w:val="en-US"/>
        </w:rPr>
        <w:t xml:space="preserve"> the CEDAW Alliance Germany</w:t>
      </w:r>
    </w:p>
    <w:p w14:paraId="51CF6015" w14:textId="153939BD" w:rsidR="00321A19" w:rsidRPr="00DA051C" w:rsidRDefault="006A0C75">
      <w:pPr>
        <w:pStyle w:val="P68B1DB1-berschrift22"/>
        <w:rPr>
          <w:lang w:val="en-US"/>
        </w:rPr>
      </w:pPr>
      <w:r w:rsidRPr="00DA051C">
        <w:rPr>
          <w:lang w:val="en-US"/>
        </w:rPr>
        <w:t xml:space="preserve">Interim Report </w:t>
      </w:r>
      <w:r w:rsidR="0039521A">
        <w:rPr>
          <w:lang w:val="en-US"/>
        </w:rPr>
        <w:t>from</w:t>
      </w:r>
      <w:r w:rsidRPr="00DA051C">
        <w:rPr>
          <w:lang w:val="en-US"/>
        </w:rPr>
        <w:t xml:space="preserve"> the Federal Government on the Concluding Observations to Germany's Ninth Periodic State Report</w:t>
      </w:r>
    </w:p>
    <w:p w14:paraId="1C281B1B" w14:textId="77777777" w:rsidR="00321A19" w:rsidRPr="00DA051C" w:rsidRDefault="00321A19">
      <w:pPr>
        <w:spacing w:line="240" w:lineRule="auto"/>
        <w:rPr>
          <w:lang w:val="en-US"/>
        </w:rPr>
      </w:pPr>
    </w:p>
    <w:p w14:paraId="4298F011" w14:textId="337B0BBB" w:rsidR="00321A19" w:rsidRPr="00DA051C" w:rsidRDefault="006A0C75">
      <w:pPr>
        <w:pStyle w:val="P68B1DB1-berschrift43"/>
        <w:tabs>
          <w:tab w:val="left" w:pos="3990"/>
        </w:tabs>
        <w:spacing w:before="0"/>
        <w:rPr>
          <w:lang w:val="en-US"/>
        </w:rPr>
      </w:pPr>
      <w:r w:rsidRPr="00DA051C">
        <w:rPr>
          <w:lang w:val="en-US"/>
        </w:rPr>
        <w:t xml:space="preserve">Women in elected decision-making bodies (paragraph 40, Concluding </w:t>
      </w:r>
      <w:r w:rsidR="008B0092">
        <w:rPr>
          <w:lang w:val="en-US"/>
        </w:rPr>
        <w:t>Observations</w:t>
      </w:r>
      <w:r w:rsidRPr="00DA051C">
        <w:rPr>
          <w:lang w:val="en-US"/>
        </w:rPr>
        <w:t xml:space="preserve"> of the CEDAW committee)</w:t>
      </w:r>
    </w:p>
    <w:p w14:paraId="4443EEDF" w14:textId="77777777" w:rsidR="00321A19" w:rsidRPr="00DA051C" w:rsidRDefault="00321A19">
      <w:pPr>
        <w:rPr>
          <w:lang w:val="en-US"/>
        </w:rPr>
      </w:pPr>
    </w:p>
    <w:p w14:paraId="5C47B4A0" w14:textId="0C27527D" w:rsidR="00321A19" w:rsidRPr="00DA051C" w:rsidRDefault="006A0C75">
      <w:pPr>
        <w:tabs>
          <w:tab w:val="left" w:pos="9195"/>
        </w:tabs>
        <w:rPr>
          <w:rFonts w:ascii="Outfit" w:hAnsi="Outfit"/>
          <w:lang w:val="en-US"/>
        </w:rPr>
      </w:pPr>
      <w:r w:rsidRPr="00DA051C">
        <w:rPr>
          <w:rFonts w:ascii="Outfit" w:hAnsi="Outfit"/>
          <w:lang w:val="en-US"/>
        </w:rPr>
        <w:t>In the Federal Republic of Germany, women are in the minority in all parliaments, and their proportion is falling.</w:t>
      </w:r>
      <w:r w:rsidRPr="00DA051C">
        <w:rPr>
          <w:rStyle w:val="Funotenzeichen"/>
          <w:rFonts w:ascii="Outfit" w:hAnsi="Outfit"/>
          <w:lang w:val="en-US"/>
        </w:rPr>
        <w:footnoteReference w:id="2"/>
      </w:r>
    </w:p>
    <w:p w14:paraId="45E932B8" w14:textId="4169845F" w:rsidR="00321A19" w:rsidRPr="00DA051C" w:rsidRDefault="006A0C75">
      <w:pPr>
        <w:tabs>
          <w:tab w:val="left" w:pos="9195"/>
        </w:tabs>
        <w:rPr>
          <w:rFonts w:ascii="Outfit" w:hAnsi="Outfit"/>
          <w:lang w:val="en-US"/>
        </w:rPr>
      </w:pPr>
      <w:r w:rsidRPr="00DA051C">
        <w:rPr>
          <w:rFonts w:ascii="Outfit" w:hAnsi="Outfit"/>
          <w:lang w:val="en-US"/>
        </w:rPr>
        <w:t>In the 21st German Bundestag, the proportion of women is only 32.4%. This places Germany 57th in the global ranking for women's representation in national parliaments.</w:t>
      </w:r>
      <w:r w:rsidRPr="00DA051C">
        <w:rPr>
          <w:rStyle w:val="Funotenzeichen"/>
          <w:rFonts w:ascii="Outfit" w:hAnsi="Outfit"/>
          <w:lang w:val="en-US"/>
        </w:rPr>
        <w:footnoteReference w:id="3"/>
      </w:r>
    </w:p>
    <w:p w14:paraId="1E4B9975" w14:textId="1669C049" w:rsidR="00321A19" w:rsidRPr="00DA051C" w:rsidRDefault="006A0C75">
      <w:pPr>
        <w:tabs>
          <w:tab w:val="left" w:pos="9195"/>
        </w:tabs>
        <w:rPr>
          <w:rFonts w:ascii="Outfit" w:hAnsi="Outfit"/>
          <w:lang w:val="en-US"/>
        </w:rPr>
      </w:pPr>
      <w:r w:rsidRPr="00DA051C">
        <w:rPr>
          <w:rFonts w:ascii="Outfit" w:hAnsi="Outfit"/>
          <w:lang w:val="en-US"/>
        </w:rPr>
        <w:t xml:space="preserve">In the state parliaments, the proportion of women is similarly low at just under 33.2%. In municipal councils it </w:t>
      </w:r>
      <w:r w:rsidR="008D1BC5">
        <w:rPr>
          <w:rFonts w:ascii="Outfit" w:hAnsi="Outfit"/>
          <w:lang w:val="en-US"/>
        </w:rPr>
        <w:t>i</w:t>
      </w:r>
      <w:r w:rsidRPr="00DA051C">
        <w:rPr>
          <w:rFonts w:ascii="Outfit" w:hAnsi="Outfit"/>
          <w:lang w:val="en-US"/>
        </w:rPr>
        <w:t>s</w:t>
      </w:r>
      <w:r w:rsidR="008D1BC5">
        <w:rPr>
          <w:rFonts w:ascii="Outfit" w:hAnsi="Outfit"/>
          <w:lang w:val="en-US"/>
        </w:rPr>
        <w:t xml:space="preserve"> </w:t>
      </w:r>
      <w:r w:rsidRPr="00DA051C">
        <w:rPr>
          <w:rFonts w:ascii="Outfit" w:hAnsi="Outfit"/>
          <w:lang w:val="en-US"/>
        </w:rPr>
        <w:t>30.5%.</w:t>
      </w:r>
      <w:r w:rsidRPr="00DA051C">
        <w:rPr>
          <w:rStyle w:val="Funotenzeichen"/>
          <w:rFonts w:ascii="Outfit" w:hAnsi="Outfit"/>
          <w:lang w:val="en-US"/>
        </w:rPr>
        <w:footnoteReference w:id="4"/>
      </w:r>
      <w:r w:rsidRPr="00DA051C">
        <w:rPr>
          <w:rFonts w:ascii="Outfit" w:hAnsi="Outfit"/>
          <w:lang w:val="en-US"/>
        </w:rPr>
        <w:t xml:space="preserve"> The proportion of women in mayoral offices is 13.5%, meaning that only about one in seven municipalities is led by a woman.</w:t>
      </w:r>
      <w:r w:rsidRPr="00DA051C">
        <w:rPr>
          <w:rStyle w:val="Funotenzeichen"/>
          <w:rFonts w:ascii="Outfit" w:hAnsi="Outfit"/>
          <w:lang w:val="en-US"/>
        </w:rPr>
        <w:footnoteReference w:id="5"/>
      </w:r>
      <w:r w:rsidRPr="00DA051C">
        <w:rPr>
          <w:rFonts w:ascii="Outfit" w:hAnsi="Outfit"/>
          <w:lang w:val="en-US"/>
        </w:rPr>
        <w:t xml:space="preserve"> Women with a migration or refugee background are particularly disadvantaged: although they make up 13.5% of the population, they represent only 3.5% of elected officials.</w:t>
      </w:r>
      <w:r w:rsidRPr="00DA051C">
        <w:rPr>
          <w:rStyle w:val="Funotenzeichen"/>
          <w:rFonts w:ascii="Outfit" w:hAnsi="Outfit"/>
          <w:lang w:val="en-US"/>
        </w:rPr>
        <w:footnoteReference w:id="6"/>
      </w:r>
      <w:r w:rsidRPr="00DA051C">
        <w:rPr>
          <w:rFonts w:ascii="Outfit" w:hAnsi="Outfit"/>
          <w:lang w:val="en-US"/>
        </w:rPr>
        <w:t xml:space="preserve"> Electoral law, party nomination procedures, and the lack of compatibility between family, care responsibilities, professional work, and political volunteer service all contribute to the low proportion of women. </w:t>
      </w:r>
    </w:p>
    <w:p w14:paraId="554AE476" w14:textId="4842406C" w:rsidR="00321A19" w:rsidRPr="000100AB" w:rsidRDefault="006A0C75">
      <w:pPr>
        <w:tabs>
          <w:tab w:val="left" w:pos="9195"/>
        </w:tabs>
        <w:rPr>
          <w:rFonts w:ascii="Outfit" w:hAnsi="Outfit"/>
          <w:strike/>
          <w:lang w:val="en-US"/>
        </w:rPr>
      </w:pPr>
      <w:r w:rsidRPr="00DA051C">
        <w:rPr>
          <w:rFonts w:ascii="Outfit" w:hAnsi="Outfit"/>
          <w:lang w:val="en-US"/>
        </w:rPr>
        <w:t>There has already been a broad societal and legal debate about</w:t>
      </w:r>
      <w:r w:rsidR="0039521A">
        <w:rPr>
          <w:rFonts w:ascii="Outfit" w:hAnsi="Outfit"/>
          <w:lang w:val="en-US"/>
        </w:rPr>
        <w:t xml:space="preserve"> a</w:t>
      </w:r>
      <w:r w:rsidRPr="00DA051C">
        <w:rPr>
          <w:rFonts w:ascii="Outfit" w:hAnsi="Outfit"/>
          <w:lang w:val="en-US"/>
        </w:rPr>
        <w:t xml:space="preserve"> parity law. An electoral commission met over many months. Among other things, it presented a proposal for a new electoral regulation on parity-dependent allocation of mandates (Laskowski/Ferner, Commission Paper 61; Commission</w:t>
      </w:r>
      <w:r w:rsidR="00613158" w:rsidRPr="00DA051C">
        <w:rPr>
          <w:rFonts w:ascii="Outfit" w:hAnsi="Outfit"/>
          <w:lang w:val="en-US"/>
        </w:rPr>
        <w:t xml:space="preserve"> </w:t>
      </w:r>
      <w:r w:rsidRPr="00DA051C">
        <w:rPr>
          <w:rFonts w:ascii="Outfit" w:hAnsi="Outfit"/>
          <w:lang w:val="en-US"/>
        </w:rPr>
        <w:t>Doc. of 01/30/2023).</w:t>
      </w:r>
      <w:r w:rsidRPr="00DA051C">
        <w:rPr>
          <w:rStyle w:val="Funotenzeichen"/>
          <w:rFonts w:ascii="Outfit" w:hAnsi="Outfit"/>
          <w:lang w:val="en-US"/>
        </w:rPr>
        <w:footnoteReference w:id="7"/>
      </w:r>
      <w:r w:rsidRPr="00DA051C">
        <w:rPr>
          <w:rFonts w:ascii="Outfit" w:hAnsi="Outfit"/>
          <w:lang w:val="en-US"/>
        </w:rPr>
        <w:t xml:space="preserve"> This proposal is based on the new "second</w:t>
      </w:r>
      <w:r w:rsidR="004B73E3">
        <w:rPr>
          <w:rFonts w:ascii="Outfit" w:hAnsi="Outfit"/>
          <w:lang w:val="en-US"/>
        </w:rPr>
        <w:t xml:space="preserve"> </w:t>
      </w:r>
      <w:r w:rsidRPr="00DA051C">
        <w:rPr>
          <w:rFonts w:ascii="Outfit" w:hAnsi="Outfit"/>
          <w:lang w:val="en-US"/>
        </w:rPr>
        <w:t>vote</w:t>
      </w:r>
      <w:r w:rsidR="004B73E3">
        <w:rPr>
          <w:rFonts w:ascii="Outfit" w:hAnsi="Outfit"/>
          <w:lang w:val="en-US"/>
        </w:rPr>
        <w:t xml:space="preserve"> for the</w:t>
      </w:r>
      <w:r w:rsidRPr="00DA051C">
        <w:rPr>
          <w:rFonts w:ascii="Outfit" w:hAnsi="Outfit"/>
          <w:lang w:val="en-US"/>
        </w:rPr>
        <w:t xml:space="preserve"> allocation of mandates" in §6 (1) and (4) of the Federal Election Act (BWahlG), which the German Bundestag adopted on 03/17/2023 as part of the electoral reform (§55 BWahlG). This can and should be supplemented by a parity regulation, such as a "parity-dependent mandate allocation rule". </w:t>
      </w:r>
      <w:r w:rsidR="00703153" w:rsidRPr="000100AB">
        <w:rPr>
          <w:rFonts w:ascii="Outfit" w:hAnsi="Outfit"/>
          <w:lang w:val="en-US"/>
        </w:rPr>
        <w:t>As far as this is associated with an impairment of party freedom (Art. 21 of the Basic Law), as the Federal Government indicates in its interim report, it can be justified by Art. 3 Para. 2 and 3 of the Basic Law.</w:t>
      </w:r>
    </w:p>
    <w:p w14:paraId="3CB8A48E" w14:textId="57F36356" w:rsidR="00321A19" w:rsidRPr="00DA051C" w:rsidRDefault="006A0C75">
      <w:pPr>
        <w:pStyle w:val="P68B1DB1-Standard4"/>
        <w:tabs>
          <w:tab w:val="left" w:pos="9195"/>
        </w:tabs>
        <w:rPr>
          <w:lang w:val="en-US"/>
        </w:rPr>
      </w:pPr>
      <w:r w:rsidRPr="00DA051C">
        <w:rPr>
          <w:lang w:val="en-US"/>
        </w:rPr>
        <w:t xml:space="preserve">In the amendment of the Federal Election Act, the proposals from the commission regarding a parity law were ignored. Instead, the current coalition agreement foresees a new commission that will once again examine how equal representation of women in parliament can be ensured. </w:t>
      </w:r>
    </w:p>
    <w:p w14:paraId="0587DCF5" w14:textId="77777777" w:rsidR="00321A19" w:rsidRPr="00DA051C" w:rsidRDefault="00321A19">
      <w:pPr>
        <w:tabs>
          <w:tab w:val="left" w:pos="9195"/>
        </w:tabs>
        <w:spacing w:line="240" w:lineRule="auto"/>
        <w:rPr>
          <w:rFonts w:ascii="Outfit" w:hAnsi="Outfit"/>
          <w:lang w:val="en-US"/>
        </w:rPr>
      </w:pPr>
    </w:p>
    <w:p w14:paraId="0FD2E370" w14:textId="743D44F2" w:rsidR="00321A19" w:rsidRPr="00DA051C" w:rsidRDefault="006A0C75">
      <w:pPr>
        <w:pStyle w:val="P68B1DB1-berschrift45"/>
        <w:spacing w:before="0"/>
        <w:jc w:val="center"/>
        <w:rPr>
          <w:lang w:val="en-US"/>
        </w:rPr>
      </w:pPr>
      <w:r w:rsidRPr="00DA051C">
        <w:rPr>
          <w:lang w:val="en-US"/>
        </w:rPr>
        <w:lastRenderedPageBreak/>
        <w:t>The CEDAW Alliance Germany demands:</w:t>
      </w:r>
    </w:p>
    <w:p w14:paraId="1D9F6B76" w14:textId="77777777" w:rsidR="00321A19" w:rsidRPr="00DA051C" w:rsidRDefault="00321A19">
      <w:pPr>
        <w:rPr>
          <w:lang w:val="en-US"/>
        </w:rPr>
      </w:pPr>
    </w:p>
    <w:p w14:paraId="616788EA" w14:textId="37128939" w:rsidR="00321A19" w:rsidRPr="00DA051C" w:rsidRDefault="006A0C75">
      <w:pPr>
        <w:pStyle w:val="P68B1DB1-Listenabsatz6"/>
        <w:numPr>
          <w:ilvl w:val="0"/>
          <w:numId w:val="8"/>
        </w:numPr>
        <w:rPr>
          <w:lang w:val="en-US"/>
        </w:rPr>
      </w:pPr>
      <w:r w:rsidRPr="00DA051C">
        <w:rPr>
          <w:lang w:val="en-US"/>
        </w:rPr>
        <w:t>Electoral laws must be immediately revised to establish a parity-based electoral system at all political levels.</w:t>
      </w:r>
    </w:p>
    <w:p w14:paraId="121BE29F" w14:textId="549E2D11" w:rsidR="00321A19" w:rsidRPr="00DA051C" w:rsidRDefault="006A0C75">
      <w:pPr>
        <w:pStyle w:val="P68B1DB1-Listenabsatz6"/>
        <w:numPr>
          <w:ilvl w:val="0"/>
          <w:numId w:val="9"/>
        </w:numPr>
        <w:tabs>
          <w:tab w:val="left" w:pos="9195"/>
        </w:tabs>
        <w:rPr>
          <w:lang w:val="en-US"/>
        </w:rPr>
      </w:pPr>
      <w:r w:rsidRPr="00DA051C">
        <w:rPr>
          <w:lang w:val="en-US"/>
        </w:rPr>
        <w:t xml:space="preserve">Legislators at federal and state levels must implement regulations in their respective election laws that result in parity in Bundestag, state parliament, and municipal elections. </w:t>
      </w:r>
    </w:p>
    <w:p w14:paraId="450012D7" w14:textId="765A9D33" w:rsidR="00321A19" w:rsidRPr="00DA051C" w:rsidRDefault="006A0C75">
      <w:pPr>
        <w:pStyle w:val="P68B1DB1-Listenabsatz6"/>
        <w:numPr>
          <w:ilvl w:val="0"/>
          <w:numId w:val="9"/>
        </w:numPr>
        <w:tabs>
          <w:tab w:val="left" w:pos="9195"/>
        </w:tabs>
        <w:rPr>
          <w:lang w:val="en-US"/>
        </w:rPr>
      </w:pPr>
      <w:r w:rsidRPr="00DA051C">
        <w:rPr>
          <w:lang w:val="en-US"/>
        </w:rPr>
        <w:t>At federal level, we support the above-mentioned proposal from the Electoral Law Commission (Commission</w:t>
      </w:r>
      <w:r w:rsidR="00E04A8E" w:rsidRPr="00DA051C">
        <w:rPr>
          <w:lang w:val="en-US"/>
        </w:rPr>
        <w:t xml:space="preserve"> </w:t>
      </w:r>
      <w:r w:rsidRPr="00DA051C">
        <w:rPr>
          <w:lang w:val="en-US"/>
        </w:rPr>
        <w:t xml:space="preserve">Doc. 61 of 01/30/2023). </w:t>
      </w:r>
    </w:p>
    <w:p w14:paraId="4663988B" w14:textId="77777777" w:rsidR="00321A19" w:rsidRPr="00DA051C" w:rsidRDefault="00321A19">
      <w:pPr>
        <w:pStyle w:val="Listenabsatz"/>
        <w:tabs>
          <w:tab w:val="left" w:pos="9195"/>
        </w:tabs>
        <w:ind w:left="1068"/>
        <w:rPr>
          <w:rFonts w:ascii="Outfit" w:hAnsi="Outfit"/>
          <w:lang w:val="en-US"/>
        </w:rPr>
      </w:pPr>
    </w:p>
    <w:p w14:paraId="491082C4" w14:textId="0BD1483D" w:rsidR="00321A19" w:rsidRPr="00DA051C" w:rsidRDefault="006A0C75">
      <w:pPr>
        <w:pStyle w:val="P68B1DB1-Listenabsatz6"/>
        <w:numPr>
          <w:ilvl w:val="0"/>
          <w:numId w:val="8"/>
        </w:numPr>
        <w:rPr>
          <w:lang w:val="en-US"/>
        </w:rPr>
      </w:pPr>
      <w:r w:rsidRPr="00DA051C">
        <w:rPr>
          <w:lang w:val="en-US"/>
        </w:rPr>
        <w:t>Parity-based representation of men and women in all decision-making bodies, including in the (social) economy, must be legally anchored.</w:t>
      </w:r>
    </w:p>
    <w:p w14:paraId="7CEAF963" w14:textId="023F18E4" w:rsidR="00321A19" w:rsidRPr="00DA051C" w:rsidRDefault="006A0C75">
      <w:pPr>
        <w:pStyle w:val="P68B1DB1-Listenabsatz6"/>
        <w:rPr>
          <w:lang w:val="en-US"/>
        </w:rPr>
      </w:pPr>
      <w:r w:rsidRPr="00DA051C">
        <w:rPr>
          <w:lang w:val="en-US"/>
        </w:rPr>
        <w:t>For the economy, the applicability of the Second Leadership Positions Act – FüPoG II – must be extended to all publicly listed companies or companies with more than 500 employees and also anchored in executive boards.</w:t>
      </w:r>
    </w:p>
    <w:p w14:paraId="26E821B2" w14:textId="77777777" w:rsidR="00321A19" w:rsidRPr="00DA051C" w:rsidRDefault="00321A19">
      <w:pPr>
        <w:rPr>
          <w:rFonts w:ascii="Outfit" w:hAnsi="Outfit"/>
          <w:lang w:val="en-US"/>
        </w:rPr>
      </w:pPr>
    </w:p>
    <w:p w14:paraId="5D6E5342" w14:textId="5B8D8210" w:rsidR="00321A19" w:rsidRPr="00DA051C" w:rsidRDefault="006A0C75">
      <w:pPr>
        <w:pStyle w:val="P68B1DB1-Listenabsatz6"/>
        <w:numPr>
          <w:ilvl w:val="0"/>
          <w:numId w:val="8"/>
        </w:numPr>
        <w:tabs>
          <w:tab w:val="left" w:pos="9195"/>
        </w:tabs>
        <w:rPr>
          <w:lang w:val="en-US"/>
        </w:rPr>
      </w:pPr>
      <w:r w:rsidRPr="00DA051C">
        <w:rPr>
          <w:lang w:val="en-US"/>
        </w:rPr>
        <w:t>Articles 7 and 8 of the UN Convention on the Elimination of All Forms of Discrimination against Women, as well as CEDAW Committee General Recommendations No</w:t>
      </w:r>
      <w:r w:rsidR="00F57227">
        <w:rPr>
          <w:lang w:val="en-US"/>
        </w:rPr>
        <w:t>s</w:t>
      </w:r>
      <w:r w:rsidRPr="00DA051C">
        <w:rPr>
          <w:lang w:val="en-US"/>
        </w:rPr>
        <w:t>. 5 and 40, must be implemented:</w:t>
      </w:r>
    </w:p>
    <w:p w14:paraId="604E7DF1" w14:textId="25124EF6" w:rsidR="00321A19" w:rsidRPr="00DA051C" w:rsidRDefault="006A0C75">
      <w:pPr>
        <w:pStyle w:val="P68B1DB1-Listenabsatz6"/>
        <w:numPr>
          <w:ilvl w:val="0"/>
          <w:numId w:val="11"/>
        </w:numPr>
        <w:tabs>
          <w:tab w:val="left" w:pos="9195"/>
        </w:tabs>
        <w:rPr>
          <w:lang w:val="en-US"/>
        </w:rPr>
      </w:pPr>
      <w:r w:rsidRPr="00DA051C">
        <w:rPr>
          <w:lang w:val="en-US"/>
        </w:rPr>
        <w:t>New regulations must be enforced to ensure equal participation of women in all their diversity and gender competence in all relevant policy areas, particularly in sectors affected by fundamental transformation processes, such as AI applications, digitalization, peace policy, economic policy, climate policy, technical development, and all other relevant fields. In addition to appropriate laws, this includes training, changes in education and professional pathways, and working conditions in all (decision-making) bodies, taking into account that almost all people, particularly women, continue to bear caregiving responsibilities.</w:t>
      </w:r>
    </w:p>
    <w:p w14:paraId="545F51EE" w14:textId="77777777" w:rsidR="00321A19" w:rsidRPr="00DA051C" w:rsidRDefault="006A0C75">
      <w:pPr>
        <w:pStyle w:val="P68B1DB1-Listenabsatz7"/>
        <w:numPr>
          <w:ilvl w:val="0"/>
          <w:numId w:val="11"/>
        </w:numPr>
        <w:tabs>
          <w:tab w:val="left" w:pos="9195"/>
        </w:tabs>
        <w:rPr>
          <w:lang w:val="en-US"/>
        </w:rPr>
      </w:pPr>
      <w:r w:rsidRPr="00DA051C">
        <w:rPr>
          <w:lang w:val="en-US"/>
        </w:rPr>
        <w:t>Women's organizations must be actively involved at all levels and in all areas in planning, implementing, and evaluating political measures, for example through the institutionalization of regular consultations.</w:t>
      </w:r>
    </w:p>
    <w:p w14:paraId="2536AAB1" w14:textId="5EC39274" w:rsidR="00321A19" w:rsidRDefault="006A0C75">
      <w:pPr>
        <w:pStyle w:val="P68B1DB1-Listenabsatz7"/>
        <w:numPr>
          <w:ilvl w:val="0"/>
          <w:numId w:val="11"/>
        </w:numPr>
        <w:tabs>
          <w:tab w:val="left" w:pos="9195"/>
        </w:tabs>
        <w:rPr>
          <w:lang w:val="en-US"/>
        </w:rPr>
      </w:pPr>
      <w:r w:rsidRPr="00DA051C">
        <w:rPr>
          <w:lang w:val="en-US"/>
        </w:rPr>
        <w:t xml:space="preserve">Women's rights organizations must be sufficiently funded to enable substantial participation in all areas of decision-making, recognizing their importance in strengthening democracy. </w:t>
      </w:r>
    </w:p>
    <w:p w14:paraId="0FD64289" w14:textId="77777777" w:rsidR="00703153" w:rsidRPr="00DA051C" w:rsidRDefault="00703153" w:rsidP="000100AB">
      <w:pPr>
        <w:pStyle w:val="P68B1DB1-Listenabsatz7"/>
        <w:tabs>
          <w:tab w:val="left" w:pos="9195"/>
        </w:tabs>
        <w:ind w:left="708"/>
        <w:rPr>
          <w:lang w:val="en-US"/>
        </w:rPr>
      </w:pPr>
    </w:p>
    <w:p w14:paraId="4DB3122E" w14:textId="2263FE21" w:rsidR="00321A19" w:rsidRPr="00DA051C" w:rsidRDefault="006A0C75">
      <w:pPr>
        <w:pStyle w:val="P68B1DB1-Listenabsatz6"/>
        <w:numPr>
          <w:ilvl w:val="0"/>
          <w:numId w:val="8"/>
        </w:numPr>
        <w:rPr>
          <w:lang w:val="en-US"/>
        </w:rPr>
      </w:pPr>
      <w:r w:rsidRPr="00DA051C">
        <w:rPr>
          <w:lang w:val="en-US"/>
        </w:rPr>
        <w:t>The Federal Government and state governments are called upon to inform the judiciary about the UN Convention on the Elimination of All Forms of Discrimination against Women and the required parity, and to ensure that authorities and courts consider the Convention as part of German law in individual case decisions. This must also be reflected in legal education and training. For this purpose, federal and state governments have instruments at their disposal that are compatible with the principle of the separation of powers.</w:t>
      </w:r>
    </w:p>
    <w:p w14:paraId="09BC245A" w14:textId="698D6862" w:rsidR="008B0092" w:rsidRDefault="008B0092">
      <w:pPr>
        <w:spacing w:after="160" w:line="259" w:lineRule="auto"/>
        <w:rPr>
          <w:rFonts w:ascii="Outfit" w:eastAsiaTheme="majorEastAsia" w:hAnsi="Outfit" w:cstheme="majorBidi"/>
          <w:b/>
          <w:lang w:val="en-US"/>
        </w:rPr>
      </w:pPr>
      <w:r>
        <w:rPr>
          <w:lang w:val="en-US"/>
        </w:rPr>
        <w:br w:type="page"/>
      </w:r>
    </w:p>
    <w:p w14:paraId="48BC2E6A" w14:textId="6DDD64B9" w:rsidR="00321A19" w:rsidRPr="00DA051C" w:rsidRDefault="006A0C75">
      <w:pPr>
        <w:pStyle w:val="P68B1DB1-berschrift38"/>
        <w:rPr>
          <w:lang w:val="en-US"/>
        </w:rPr>
      </w:pPr>
      <w:r w:rsidRPr="00DA051C">
        <w:rPr>
          <w:lang w:val="en-US"/>
        </w:rPr>
        <w:lastRenderedPageBreak/>
        <w:t xml:space="preserve">Access to health care for women without or with unresolved residence status (Paragraph 46a Concluding </w:t>
      </w:r>
      <w:r w:rsidR="008B0092">
        <w:rPr>
          <w:lang w:val="en-US"/>
        </w:rPr>
        <w:t>Observations</w:t>
      </w:r>
      <w:r w:rsidRPr="00DA051C">
        <w:rPr>
          <w:lang w:val="en-US"/>
        </w:rPr>
        <w:t xml:space="preserve"> of the CEDAW committee)</w:t>
      </w:r>
    </w:p>
    <w:p w14:paraId="764D65D5" w14:textId="77777777" w:rsidR="00321A19" w:rsidRPr="00DA051C" w:rsidRDefault="00321A19">
      <w:pPr>
        <w:rPr>
          <w:lang w:val="en-US"/>
        </w:rPr>
      </w:pPr>
    </w:p>
    <w:p w14:paraId="1248879B" w14:textId="77777777" w:rsidR="00321A19" w:rsidRPr="00DA051C" w:rsidRDefault="006A0C75">
      <w:pPr>
        <w:rPr>
          <w:rFonts w:ascii="Outfit" w:hAnsi="Outfit"/>
          <w:lang w:val="en-US"/>
        </w:rPr>
      </w:pPr>
      <w:r w:rsidRPr="00DA051C">
        <w:rPr>
          <w:rFonts w:ascii="Outfit" w:hAnsi="Outfit"/>
          <w:lang w:val="en-US"/>
        </w:rPr>
        <w:t>Public authorities are required under §87 (1), (2), sentence 1, no. 1 of the Residence Act (AufenthG) to report persons without a valid residence permit to the immigration authorities.</w:t>
      </w:r>
      <w:r w:rsidRPr="00DA051C">
        <w:rPr>
          <w:rStyle w:val="Funotenzeichen"/>
          <w:rFonts w:ascii="Outfit" w:hAnsi="Outfit"/>
          <w:lang w:val="en-US"/>
        </w:rPr>
        <w:footnoteReference w:id="8"/>
      </w:r>
      <w:r w:rsidRPr="00DA051C">
        <w:rPr>
          <w:rFonts w:ascii="Outfit" w:hAnsi="Outfit"/>
          <w:lang w:val="en-US"/>
        </w:rPr>
        <w:t xml:space="preserve"> </w:t>
      </w:r>
    </w:p>
    <w:p w14:paraId="0386F617" w14:textId="79E0DE40" w:rsidR="00321A19" w:rsidRPr="00DA051C" w:rsidRDefault="006A0C75">
      <w:pPr>
        <w:rPr>
          <w:rFonts w:ascii="Outfit" w:hAnsi="Outfit"/>
          <w:lang w:val="en-US"/>
        </w:rPr>
      </w:pPr>
      <w:r w:rsidRPr="00DA051C">
        <w:rPr>
          <w:rFonts w:ascii="Outfit" w:hAnsi="Outfit"/>
          <w:lang w:val="en-US"/>
        </w:rPr>
        <w:t>For medical services to which women without regular residence status are also entitled</w:t>
      </w:r>
      <w:r w:rsidRPr="00DA051C">
        <w:rPr>
          <w:rStyle w:val="Funotenzeichen"/>
          <w:rFonts w:ascii="Outfit" w:hAnsi="Outfit"/>
          <w:lang w:val="en-US"/>
        </w:rPr>
        <w:footnoteReference w:id="9"/>
      </w:r>
      <w:r w:rsidRPr="00DA051C">
        <w:rPr>
          <w:rFonts w:ascii="Outfit" w:hAnsi="Outfit"/>
          <w:lang w:val="en-US"/>
        </w:rPr>
        <w:t xml:space="preserve">, a treatment certificate must be issued by the social welfare office. The social authority is obliged to transmit names, residence status, and location to the immigration authority. This leads many affected women to avoid contact with authorities for fear of detention in deportation custody or deportation. </w:t>
      </w:r>
      <w:r w:rsidR="00425B4F" w:rsidRPr="00DA051C">
        <w:rPr>
          <w:rFonts w:ascii="Outfit" w:hAnsi="Outfit"/>
          <w:lang w:val="en-US"/>
        </w:rPr>
        <w:t>Therefore</w:t>
      </w:r>
      <w:r w:rsidRPr="00DA051C">
        <w:rPr>
          <w:rFonts w:ascii="Outfit" w:hAnsi="Outfit"/>
          <w:lang w:val="en-US"/>
        </w:rPr>
        <w:t xml:space="preserve">, they refrain from </w:t>
      </w:r>
      <w:r w:rsidR="00425B4F">
        <w:rPr>
          <w:rFonts w:ascii="Outfit" w:hAnsi="Outfit"/>
          <w:lang w:val="en-US"/>
        </w:rPr>
        <w:t xml:space="preserve">seeking </w:t>
      </w:r>
      <w:r w:rsidRPr="00DA051C">
        <w:rPr>
          <w:rFonts w:ascii="Outfit" w:hAnsi="Outfit"/>
          <w:lang w:val="en-US"/>
        </w:rPr>
        <w:t xml:space="preserve">urgently needed medical treatment – even during pregnancy, in case of chronic diseases or after sexual violence. </w:t>
      </w:r>
    </w:p>
    <w:p w14:paraId="6B9B8D58" w14:textId="77777777" w:rsidR="00321A19" w:rsidRPr="00DA051C" w:rsidRDefault="006A0C75">
      <w:pPr>
        <w:pStyle w:val="P68B1DB1-Standard4"/>
        <w:rPr>
          <w:lang w:val="en-US"/>
        </w:rPr>
      </w:pPr>
      <w:r w:rsidRPr="00DA051C">
        <w:rPr>
          <w:lang w:val="en-US"/>
        </w:rPr>
        <w:t xml:space="preserve">This legal situation constitutes a violation of Art. 12 CEDAW, as access to medical care for women without a valid residence permit is effectively restricted. </w:t>
      </w:r>
    </w:p>
    <w:p w14:paraId="498A63A0" w14:textId="77777777" w:rsidR="00321A19" w:rsidRPr="00DA051C" w:rsidRDefault="006A0C75">
      <w:pPr>
        <w:pStyle w:val="P68B1DB1-Standard4"/>
        <w:rPr>
          <w:lang w:val="en-US"/>
        </w:rPr>
      </w:pPr>
      <w:r w:rsidRPr="00DA051C">
        <w:rPr>
          <w:lang w:val="en-US"/>
        </w:rPr>
        <w:t xml:space="preserve">The reporting obligation under §87 AufenthG may also prevent women without a valid residence permit from approaching authorities in cases of exploitation and (sexual) violence, thereby significantly hindering or denying access to protection, justice, and effective complaint mechanisms. </w:t>
      </w:r>
    </w:p>
    <w:p w14:paraId="5D1CD84D" w14:textId="77777777" w:rsidR="00321A19" w:rsidRPr="00DA051C" w:rsidRDefault="006A0C75">
      <w:pPr>
        <w:rPr>
          <w:rFonts w:ascii="Outfit" w:hAnsi="Outfit"/>
          <w:lang w:val="en-US"/>
        </w:rPr>
      </w:pPr>
      <w:r w:rsidRPr="00DA051C">
        <w:rPr>
          <w:rFonts w:ascii="Outfit" w:hAnsi="Outfit"/>
          <w:lang w:val="en-US"/>
        </w:rPr>
        <w:t>In its interim report, the Federal Government indicates that §87 AufenthG will be reviewed, among other things, to ensure healthcare for migrant women without residence status. This initiative is not mentioned in the coalition agreement between CDU, CSU, and SPD, which instead focuses on optimizing data exchange between security agencies and civil authorities.</w:t>
      </w:r>
      <w:r w:rsidRPr="00DA051C">
        <w:rPr>
          <w:rStyle w:val="Funotenzeichen"/>
          <w:rFonts w:ascii="Outfit" w:hAnsi="Outfit"/>
          <w:lang w:val="en-US"/>
        </w:rPr>
        <w:footnoteReference w:id="10"/>
      </w:r>
    </w:p>
    <w:p w14:paraId="36A2E062" w14:textId="77777777" w:rsidR="00321A19" w:rsidRPr="00DA051C" w:rsidRDefault="00321A19">
      <w:pPr>
        <w:spacing w:line="240" w:lineRule="atLeast"/>
        <w:contextualSpacing/>
        <w:rPr>
          <w:rFonts w:ascii="Outfit" w:hAnsi="Outfit"/>
          <w:lang w:val="en-US"/>
        </w:rPr>
      </w:pPr>
    </w:p>
    <w:p w14:paraId="2186E459" w14:textId="77777777" w:rsidR="00321A19" w:rsidRPr="00DA051C" w:rsidRDefault="006A0C75">
      <w:pPr>
        <w:pStyle w:val="P68B1DB1-berschrift45"/>
        <w:spacing w:before="0"/>
        <w:jc w:val="center"/>
        <w:rPr>
          <w:lang w:val="en-US"/>
        </w:rPr>
      </w:pPr>
      <w:r w:rsidRPr="00DA051C">
        <w:rPr>
          <w:lang w:val="en-US"/>
        </w:rPr>
        <w:t>The CEDAW Alliance Germany demands:</w:t>
      </w:r>
    </w:p>
    <w:p w14:paraId="4EF2EE84" w14:textId="77777777" w:rsidR="00321A19" w:rsidRPr="00DA051C" w:rsidRDefault="00321A19">
      <w:pPr>
        <w:rPr>
          <w:lang w:val="en-US"/>
        </w:rPr>
      </w:pPr>
    </w:p>
    <w:p w14:paraId="58B52308" w14:textId="77777777" w:rsidR="00321A19" w:rsidRPr="00DA051C" w:rsidRDefault="006A0C75">
      <w:pPr>
        <w:pStyle w:val="P68B1DB1-Listenabsatz6"/>
        <w:numPr>
          <w:ilvl w:val="0"/>
          <w:numId w:val="12"/>
        </w:numPr>
        <w:rPr>
          <w:lang w:val="en-US"/>
        </w:rPr>
      </w:pPr>
      <w:r w:rsidRPr="00DA051C">
        <w:rPr>
          <w:lang w:val="en-US"/>
        </w:rPr>
        <w:t>In line with CEDAW Committee General Recommendation No. 24, access to fundamental and human rights – such as health, education, protection from violence, and compensation – must be guaranteed for all women regardless of residence status, including medical care, pregnancy care, mental health services, and post-traumatic support following experiences of violence.</w:t>
      </w:r>
    </w:p>
    <w:p w14:paraId="194F61EA" w14:textId="23FD9F38" w:rsidR="00321A19" w:rsidRPr="00DA051C" w:rsidRDefault="006A0C75">
      <w:pPr>
        <w:pStyle w:val="pf0"/>
        <w:numPr>
          <w:ilvl w:val="0"/>
          <w:numId w:val="12"/>
        </w:numPr>
        <w:rPr>
          <w:rFonts w:ascii="Outfit" w:hAnsi="Outfit" w:cs="Arial"/>
          <w:lang w:val="en-US"/>
        </w:rPr>
      </w:pPr>
      <w:r w:rsidRPr="00DA051C">
        <w:rPr>
          <w:rStyle w:val="cf01"/>
          <w:rFonts w:ascii="Outfit" w:hAnsi="Outfit"/>
          <w:sz w:val="22"/>
          <w:lang w:val="en-US"/>
        </w:rPr>
        <w:t>§87(1) and</w:t>
      </w:r>
      <w:r w:rsidR="00E04A8E" w:rsidRPr="00DA051C">
        <w:rPr>
          <w:rStyle w:val="cf01"/>
          <w:rFonts w:ascii="Outfit" w:hAnsi="Outfit"/>
          <w:sz w:val="22"/>
          <w:lang w:val="en-US"/>
        </w:rPr>
        <w:t xml:space="preserve"> </w:t>
      </w:r>
      <w:r w:rsidRPr="00DA051C">
        <w:rPr>
          <w:rStyle w:val="cf01"/>
          <w:rFonts w:ascii="Outfit" w:hAnsi="Outfit"/>
          <w:sz w:val="22"/>
          <w:lang w:val="en-US"/>
        </w:rPr>
        <w:t>(2), sentence 1, no. 1 of the Residence Act must be immediately repealed. A</w:t>
      </w:r>
      <w:r w:rsidR="00425B4F">
        <w:rPr>
          <w:rStyle w:val="cf01"/>
          <w:rFonts w:ascii="Outfit" w:hAnsi="Outfit"/>
          <w:sz w:val="22"/>
          <w:lang w:val="en-US"/>
        </w:rPr>
        <w:t>s</w:t>
      </w:r>
      <w:r w:rsidRPr="00DA051C">
        <w:rPr>
          <w:rStyle w:val="cf01"/>
          <w:rFonts w:ascii="Outfit" w:hAnsi="Outfit"/>
          <w:sz w:val="22"/>
          <w:lang w:val="en-US"/>
        </w:rPr>
        <w:t xml:space="preserve"> a minimum, it must be comprehensively reformed to ensure access to healthcare and legal protection for women without regular residence status and to comply with human rights standards. The </w:t>
      </w:r>
      <w:r w:rsidRPr="00DA051C">
        <w:rPr>
          <w:rStyle w:val="cf21"/>
          <w:rFonts w:ascii="Outfit" w:hAnsi="Outfit"/>
          <w:i w:val="0"/>
          <w:sz w:val="22"/>
          <w:lang w:val="en-US"/>
        </w:rPr>
        <w:t>realities of migrant, refugee, and LGBTQI* persons</w:t>
      </w:r>
      <w:r w:rsidRPr="00DA051C">
        <w:rPr>
          <w:rStyle w:val="cf01"/>
          <w:rFonts w:ascii="Outfit" w:hAnsi="Outfit"/>
          <w:sz w:val="22"/>
          <w:lang w:val="en-US"/>
        </w:rPr>
        <w:t xml:space="preserve"> must be explicitly considered – including through </w:t>
      </w:r>
      <w:r w:rsidRPr="00DA051C">
        <w:rPr>
          <w:rStyle w:val="cf11"/>
          <w:rFonts w:ascii="Outfit" w:hAnsi="Outfit"/>
          <w:b w:val="0"/>
          <w:sz w:val="22"/>
          <w:lang w:val="en-US"/>
        </w:rPr>
        <w:t>systematic involvement of migrant and feminist organizations</w:t>
      </w:r>
      <w:r w:rsidRPr="00DA051C">
        <w:rPr>
          <w:rStyle w:val="cf01"/>
          <w:rFonts w:ascii="Outfit" w:hAnsi="Outfit"/>
          <w:sz w:val="22"/>
          <w:lang w:val="en-US"/>
        </w:rPr>
        <w:t xml:space="preserve"> in the reform process.</w:t>
      </w:r>
    </w:p>
    <w:sectPr w:rsidR="00321A19" w:rsidRPr="00DA051C">
      <w:headerReference w:type="default" r:id="rId11"/>
      <w:footerReference w:type="default" r:id="rId12"/>
      <w:headerReference w:type="first" r:id="rId13"/>
      <w:footerReference w:type="first" r:id="rId14"/>
      <w:pgSz w:w="11906" w:h="16838" w:code="9"/>
      <w:pgMar w:top="2552" w:right="964" w:bottom="1134" w:left="1361" w:header="28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624E0" w14:textId="77777777" w:rsidR="004B10A5" w:rsidRDefault="004B10A5">
      <w:pPr>
        <w:spacing w:line="240" w:lineRule="auto"/>
      </w:pPr>
      <w:r>
        <w:separator/>
      </w:r>
    </w:p>
  </w:endnote>
  <w:endnote w:type="continuationSeparator" w:id="0">
    <w:p w14:paraId="419A7F45" w14:textId="77777777" w:rsidR="004B10A5" w:rsidRDefault="004B10A5">
      <w:pPr>
        <w:spacing w:line="240" w:lineRule="auto"/>
      </w:pPr>
      <w:r>
        <w:continuationSeparator/>
      </w:r>
    </w:p>
  </w:endnote>
  <w:endnote w:type="continuationNotice" w:id="1">
    <w:p w14:paraId="371499B9" w14:textId="77777777" w:rsidR="004B10A5" w:rsidRDefault="004B10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utfi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0715585"/>
      <w:docPartObj>
        <w:docPartGallery w:val="Page Numbers (Bottom of Page)"/>
        <w:docPartUnique/>
      </w:docPartObj>
    </w:sdtPr>
    <w:sdtContent>
      <w:p w14:paraId="7AAB276E" w14:textId="77777777" w:rsidR="00321A19" w:rsidRDefault="006A0C75">
        <w:pPr>
          <w:pStyle w:val="Fuzeile"/>
          <w:jc w:val="right"/>
        </w:pPr>
        <w:r>
          <w:fldChar w:fldCharType="begin"/>
        </w:r>
        <w:r>
          <w:instrText>PAGE   \* MERGEFORMAT</w:instrText>
        </w:r>
        <w:r>
          <w:fldChar w:fldCharType="separate"/>
        </w:r>
        <w:r>
          <w:t>2</w:t>
        </w:r>
        <w:r>
          <w:fldChar w:fldCharType="end"/>
        </w:r>
      </w:p>
    </w:sdtContent>
  </w:sdt>
  <w:p w14:paraId="1314A43E" w14:textId="77777777" w:rsidR="00321A19" w:rsidRDefault="00321A1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23566" w14:textId="77777777" w:rsidR="00321A19" w:rsidRDefault="00321A19">
    <w:pPr>
      <w:pStyle w:val="Fuzeile"/>
      <w:jc w:val="right"/>
      <w:rPr>
        <w:sz w:val="18"/>
      </w:rPr>
    </w:pPr>
  </w:p>
  <w:p w14:paraId="29D761CC" w14:textId="77777777" w:rsidR="00321A19" w:rsidRDefault="00321A1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A7DC6" w14:textId="77777777" w:rsidR="004B10A5" w:rsidRDefault="004B10A5">
      <w:pPr>
        <w:spacing w:line="240" w:lineRule="auto"/>
      </w:pPr>
      <w:r>
        <w:separator/>
      </w:r>
    </w:p>
  </w:footnote>
  <w:footnote w:type="continuationSeparator" w:id="0">
    <w:p w14:paraId="0867F07A" w14:textId="77777777" w:rsidR="004B10A5" w:rsidRDefault="004B10A5">
      <w:pPr>
        <w:spacing w:line="240" w:lineRule="auto"/>
      </w:pPr>
      <w:r>
        <w:continuationSeparator/>
      </w:r>
    </w:p>
  </w:footnote>
  <w:footnote w:type="continuationNotice" w:id="1">
    <w:p w14:paraId="7299F860" w14:textId="77777777" w:rsidR="004B10A5" w:rsidRDefault="004B10A5">
      <w:pPr>
        <w:spacing w:line="240" w:lineRule="auto"/>
      </w:pPr>
    </w:p>
  </w:footnote>
  <w:footnote w:id="2">
    <w:p w14:paraId="5B942A33" w14:textId="4374AC48" w:rsidR="00321A19" w:rsidRDefault="006A0C75">
      <w:pPr>
        <w:pStyle w:val="Funotentext"/>
        <w:rPr>
          <w:rFonts w:ascii="Outfit" w:hAnsi="Outfit"/>
          <w:sz w:val="16"/>
        </w:rPr>
      </w:pPr>
      <w:r>
        <w:rPr>
          <w:rStyle w:val="Funotenzeichen"/>
        </w:rPr>
        <w:footnoteRef/>
      </w:r>
      <w:r>
        <w:t xml:space="preserve"> </w:t>
      </w:r>
      <w:r>
        <w:rPr>
          <w:rFonts w:ascii="Outfit" w:hAnsi="Outfit"/>
          <w:sz w:val="16"/>
        </w:rPr>
        <w:t xml:space="preserve">Weinrich, Sheyda (2025). Representation and participation of women in politics. </w:t>
      </w:r>
      <w:hyperlink r:id="rId1" w:history="1">
        <w:r w:rsidR="00321A19">
          <w:rPr>
            <w:rStyle w:val="Hyperlink"/>
            <w:rFonts w:ascii="Outfit" w:hAnsi="Outfit"/>
            <w:sz w:val="16"/>
          </w:rPr>
          <w:t>https://www.bundesstiftung-gleichstellung.de/wp-content/uploads/2025/05/Repraesentanz-und-Teilhabe-von-Frauen-in-der-Politik-Langfassung_05052025.pdf</w:t>
        </w:r>
      </w:hyperlink>
      <w:r>
        <w:rPr>
          <w:rFonts w:ascii="Outfit" w:hAnsi="Outfit"/>
          <w:sz w:val="16"/>
        </w:rPr>
        <w:t xml:space="preserve"> (last accessed on 08/05/2025).</w:t>
      </w:r>
    </w:p>
  </w:footnote>
  <w:footnote w:id="3">
    <w:p w14:paraId="3C8033ED" w14:textId="538C5C1C" w:rsidR="00321A19" w:rsidRDefault="006A0C75">
      <w:pPr>
        <w:pStyle w:val="Funotentext"/>
        <w:rPr>
          <w:rFonts w:ascii="Outfit" w:hAnsi="Outfit"/>
          <w:sz w:val="16"/>
        </w:rPr>
      </w:pPr>
      <w:r>
        <w:rPr>
          <w:rStyle w:val="Funotenzeichen"/>
          <w:rFonts w:ascii="Outfit" w:hAnsi="Outfit"/>
          <w:sz w:val="16"/>
        </w:rPr>
        <w:footnoteRef/>
      </w:r>
      <w:r>
        <w:rPr>
          <w:rFonts w:ascii="Outfit" w:hAnsi="Outfit"/>
          <w:sz w:val="16"/>
        </w:rPr>
        <w:t xml:space="preserve">Inter-Parliamentary Union (2025). Monthly ranking of women in national parliaments. </w:t>
      </w:r>
      <w:hyperlink r:id="rId2" w:history="1">
        <w:r w:rsidR="00321A19">
          <w:rPr>
            <w:rStyle w:val="Hyperlink"/>
            <w:rFonts w:ascii="Outfit" w:hAnsi="Outfit"/>
            <w:sz w:val="16"/>
          </w:rPr>
          <w:t>https://data.ipu.org/women-ranking/?date_month=7&amp;date_year=2025</w:t>
        </w:r>
      </w:hyperlink>
      <w:r>
        <w:rPr>
          <w:rFonts w:ascii="Outfit" w:hAnsi="Outfit"/>
          <w:sz w:val="16"/>
        </w:rPr>
        <w:t xml:space="preserve"> last accessed on 08/04/2025).</w:t>
      </w:r>
    </w:p>
  </w:footnote>
  <w:footnote w:id="4">
    <w:p w14:paraId="6C6D3D9D" w14:textId="412F8008" w:rsidR="00321A19" w:rsidRDefault="006A0C75">
      <w:pPr>
        <w:pStyle w:val="Funotentext"/>
        <w:rPr>
          <w:rFonts w:ascii="Outfit" w:hAnsi="Outfit"/>
          <w:sz w:val="16"/>
        </w:rPr>
      </w:pPr>
      <w:r>
        <w:rPr>
          <w:rStyle w:val="Funotenzeichen"/>
          <w:rFonts w:ascii="Outfit" w:hAnsi="Outfit"/>
          <w:sz w:val="16"/>
        </w:rPr>
        <w:footnoteRef/>
      </w:r>
      <w:r>
        <w:rPr>
          <w:rFonts w:ascii="Outfit" w:hAnsi="Outfit"/>
          <w:sz w:val="16"/>
        </w:rPr>
        <w:t xml:space="preserve">Federal Statistical Office of Germany (2025). Press release no. N010 of March 5, 2025: Women are still underrepresented in parliaments in Germany. </w:t>
      </w:r>
      <w:hyperlink r:id="rId3" w:history="1">
        <w:r w:rsidR="00321A19">
          <w:rPr>
            <w:rStyle w:val="Hyperlink"/>
            <w:rFonts w:ascii="Outfit" w:hAnsi="Outfit"/>
            <w:sz w:val="16"/>
          </w:rPr>
          <w:t>https://www.destatis.de/DE/Presse/Pressemitteilungen/2025/03/PD25_N010_13.html</w:t>
        </w:r>
      </w:hyperlink>
      <w:r>
        <w:rPr>
          <w:rFonts w:ascii="Outfit" w:hAnsi="Outfit"/>
          <w:sz w:val="16"/>
        </w:rPr>
        <w:t xml:space="preserve"> (last accessed on 08/05/2025).</w:t>
      </w:r>
    </w:p>
  </w:footnote>
  <w:footnote w:id="5">
    <w:p w14:paraId="5BE41D2F" w14:textId="38B3498F" w:rsidR="00321A19" w:rsidRDefault="006A0C75">
      <w:pPr>
        <w:pStyle w:val="Endnotentext"/>
        <w:rPr>
          <w:rFonts w:ascii="Outfit" w:hAnsi="Outfit"/>
          <w:sz w:val="16"/>
        </w:rPr>
      </w:pPr>
      <w:r>
        <w:rPr>
          <w:rStyle w:val="Funotenzeichen"/>
          <w:rFonts w:ascii="Outfit" w:hAnsi="Outfit"/>
          <w:sz w:val="16"/>
        </w:rPr>
        <w:footnoteRef/>
      </w:r>
      <w:r>
        <w:rPr>
          <w:rFonts w:ascii="Outfit" w:hAnsi="Outfit"/>
          <w:sz w:val="16"/>
        </w:rPr>
        <w:t xml:space="preserve"> Stocker, Simon (2024). Assessment of women's representation in mayoral offices across the cities and municipalities of the federal states. Institute of Social Sciences of the University of Stuttgart. </w:t>
      </w:r>
      <w:hyperlink r:id="rId4" w:history="1">
        <w:r w:rsidR="00321A19">
          <w:rPr>
            <w:rStyle w:val="Hyperlink"/>
            <w:rFonts w:ascii="Outfit" w:hAnsi="Outfit"/>
            <w:sz w:val="16"/>
          </w:rPr>
          <w:t>https://www.dstgb.de/themen/lokale-demokratie/aktuelles/neue-schaetzungen-zur-anzahl-der-buergermeisterinnen-in-deutschland/stug-0624-fin-stocker.pdf?cid=10n7</w:t>
        </w:r>
      </w:hyperlink>
      <w:r>
        <w:rPr>
          <w:rFonts w:ascii="Outfit" w:hAnsi="Outfit"/>
          <w:sz w:val="16"/>
        </w:rPr>
        <w:t xml:space="preserve"> (last accessed on 08/05/2025).</w:t>
      </w:r>
    </w:p>
  </w:footnote>
  <w:footnote w:id="6">
    <w:p w14:paraId="3F2F851A" w14:textId="6A48D394" w:rsidR="00321A19" w:rsidRDefault="006A0C75">
      <w:pPr>
        <w:pStyle w:val="Funotentext"/>
      </w:pPr>
      <w:r>
        <w:rPr>
          <w:rStyle w:val="Funotenzeichen"/>
          <w:rFonts w:ascii="Outfit" w:hAnsi="Outfit"/>
          <w:sz w:val="16"/>
        </w:rPr>
        <w:footnoteRef/>
      </w:r>
      <w:r>
        <w:rPr>
          <w:rFonts w:ascii="Outfit" w:hAnsi="Outfit"/>
          <w:sz w:val="16"/>
        </w:rPr>
        <w:t xml:space="preserve"> Baro, Lea; Gintova, Elena; Nowicka, Magdalena (2024). Experiences and strategies of women with a migration background in political entry and advancement. Accompanying study of the POLITFIX network in Lower Saxony. In: German Centre for Integration and Migration Research (ed.). DeZIM Policy Papers 1, </w:t>
      </w:r>
      <w:hyperlink r:id="rId5" w:history="1">
        <w:r w:rsidR="00321A19">
          <w:rPr>
            <w:rStyle w:val="Hyperlink"/>
            <w:rFonts w:ascii="Outfit" w:hAnsi="Outfit"/>
            <w:sz w:val="16"/>
          </w:rPr>
          <w:t>https://www.dezim-institut.de/fileadmin/user_upload/Demo_FIS/publikation_pdf/FA-6174.pdf</w:t>
        </w:r>
      </w:hyperlink>
      <w:r>
        <w:rPr>
          <w:rFonts w:ascii="Outfit" w:hAnsi="Outfit"/>
          <w:sz w:val="16"/>
        </w:rPr>
        <w:t xml:space="preserve"> (last accessed on 08/05/2025).</w:t>
      </w:r>
    </w:p>
  </w:footnote>
  <w:footnote w:id="7">
    <w:p w14:paraId="43C1AA33" w14:textId="65F8960A" w:rsidR="00321A19" w:rsidRDefault="006A0C75">
      <w:pPr>
        <w:pStyle w:val="Funotentext"/>
      </w:pPr>
      <w:r>
        <w:rPr>
          <w:rStyle w:val="Funotenzeichen"/>
        </w:rPr>
        <w:footnoteRef/>
      </w:r>
      <w:r>
        <w:t xml:space="preserve"> </w:t>
      </w:r>
      <w:hyperlink r:id="rId6" w:history="1">
        <w:r w:rsidR="00321A19">
          <w:rPr>
            <w:rStyle w:val="Hyperlink"/>
            <w:rFonts w:ascii="Outfit" w:hAnsi="Outfit"/>
            <w:sz w:val="16"/>
          </w:rPr>
          <w:t>https://www.bundestag.de/resource/blob/933878/K-Drs-061-Stellungnahme-Prof-Dr-Laskowski-und-Ferner-Hauptstimmen-und-paritaetsabhaengige-Mandatszuteilung.pdf</w:t>
        </w:r>
      </w:hyperlink>
      <w:r>
        <w:rPr>
          <w:rFonts w:ascii="Outfit" w:hAnsi="Outfit"/>
          <w:sz w:val="16"/>
        </w:rPr>
        <w:t xml:space="preserve"> (last accessed on 08/05/2025).</w:t>
      </w:r>
    </w:p>
  </w:footnote>
  <w:footnote w:id="8">
    <w:p w14:paraId="034C25DD" w14:textId="77777777" w:rsidR="00321A19" w:rsidRDefault="006A0C75">
      <w:pPr>
        <w:pStyle w:val="Funotentext"/>
      </w:pPr>
      <w:r>
        <w:rPr>
          <w:rStyle w:val="Funotenzeichen"/>
        </w:rPr>
        <w:footnoteRef/>
      </w:r>
      <w:r>
        <w:t xml:space="preserve"> </w:t>
      </w:r>
      <w:r>
        <w:rPr>
          <w:rFonts w:ascii="Outfit" w:hAnsi="Outfit"/>
          <w:sz w:val="16"/>
        </w:rPr>
        <w:t>§ 87 Transfers to immigration authorities.</w:t>
      </w:r>
      <w:r>
        <w:rPr>
          <w:sz w:val="16"/>
        </w:rPr>
        <w:t xml:space="preserve"> </w:t>
      </w:r>
      <w:hyperlink r:id="rId7" w:history="1">
        <w:r w:rsidR="00321A19">
          <w:rPr>
            <w:rStyle w:val="Hyperlink"/>
            <w:rFonts w:ascii="Outfit" w:hAnsi="Outfit"/>
            <w:sz w:val="16"/>
          </w:rPr>
          <w:t>https://www.migrationsrecht.net/kommentar-aufenthaltsgesetz-aufenthg-gesetz-aufenthalt-erwerbstaetigkeit-aufenthaltserlaubnis-niederlassungserlaubnis-aufenthg/paragraph-87-uebermittlungen-an-auslaenderbehoerden.html</w:t>
        </w:r>
      </w:hyperlink>
      <w:r>
        <w:rPr>
          <w:rFonts w:ascii="Outfit" w:hAnsi="Outfit"/>
          <w:sz w:val="16"/>
        </w:rPr>
        <w:t xml:space="preserve"> (last accessed on 08/05/2025).</w:t>
      </w:r>
    </w:p>
  </w:footnote>
  <w:footnote w:id="9">
    <w:p w14:paraId="1B5548FC" w14:textId="77777777" w:rsidR="00321A19" w:rsidRDefault="006A0C75">
      <w:pPr>
        <w:pStyle w:val="Funotentext"/>
        <w:rPr>
          <w:rFonts w:ascii="Outfit" w:hAnsi="Outfit"/>
        </w:rPr>
      </w:pPr>
      <w:r>
        <w:rPr>
          <w:rStyle w:val="Funotenzeichen"/>
          <w:rFonts w:ascii="Outfit" w:hAnsi="Outfit"/>
          <w:sz w:val="16"/>
        </w:rPr>
        <w:footnoteRef/>
      </w:r>
      <w:r>
        <w:rPr>
          <w:rFonts w:ascii="Outfit" w:hAnsi="Outfit"/>
          <w:sz w:val="16"/>
        </w:rPr>
        <w:t xml:space="preserve">In accordance with §§ 4.6 Asylum Seekers' Benefits Act. </w:t>
      </w:r>
      <w:hyperlink r:id="rId8" w:anchor="BJNR107410993BJNE000508130" w:history="1">
        <w:r w:rsidR="00321A19">
          <w:rPr>
            <w:rStyle w:val="Hyperlink"/>
            <w:rFonts w:ascii="Outfit" w:hAnsi="Outfit"/>
            <w:sz w:val="16"/>
          </w:rPr>
          <w:t>https://www.gesetze-im-internet.de/asylblg/index.html#BJNR107410993BJNE000508130</w:t>
        </w:r>
      </w:hyperlink>
      <w:r>
        <w:rPr>
          <w:rFonts w:ascii="Outfit" w:hAnsi="Outfit"/>
          <w:sz w:val="16"/>
        </w:rPr>
        <w:t xml:space="preserve"> (last accessed on 08/05/2025).</w:t>
      </w:r>
    </w:p>
  </w:footnote>
  <w:footnote w:id="10">
    <w:p w14:paraId="31DD99C8" w14:textId="77777777" w:rsidR="00321A19" w:rsidRDefault="006A0C75">
      <w:pPr>
        <w:pStyle w:val="Funotentext"/>
      </w:pPr>
      <w:r>
        <w:rPr>
          <w:rStyle w:val="Funotenzeichen"/>
        </w:rPr>
        <w:footnoteRef/>
      </w:r>
      <w:r>
        <w:t xml:space="preserve"> </w:t>
      </w:r>
      <w:r>
        <w:rPr>
          <w:rFonts w:ascii="Outfit" w:hAnsi="Outfit"/>
          <w:sz w:val="16"/>
        </w:rPr>
        <w:t xml:space="preserve">CDU, CSU, SPD (2025): Responsibility for Germany. Coalition agreement between the CDU, CSU and SPD 21. Legislative term (p. 82f.). </w:t>
      </w:r>
      <w:hyperlink r:id="rId9" w:history="1">
        <w:r w:rsidR="00321A19">
          <w:rPr>
            <w:rStyle w:val="Hyperlink"/>
            <w:rFonts w:ascii="Outfit" w:hAnsi="Outfit"/>
            <w:sz w:val="16"/>
          </w:rPr>
          <w:t>https://www.koalitionsvertrag2025.de/sites/www.koalitionsvertrag2025.de/files/koav_2025.pdf</w:t>
        </w:r>
      </w:hyperlink>
      <w:r>
        <w:rPr>
          <w:rFonts w:ascii="Outfit" w:hAnsi="Outfit"/>
          <w:sz w:val="16"/>
        </w:rPr>
        <w:t xml:space="preserve"> (last accessed on 08/05/2025).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EA22" w14:textId="77777777" w:rsidR="00321A19" w:rsidRDefault="00321A19">
    <w:pPr>
      <w:pStyle w:val="HeadStriche"/>
    </w:pPr>
  </w:p>
  <w:p w14:paraId="5A131156" w14:textId="77777777" w:rsidR="00321A19" w:rsidRDefault="00321A19">
    <w:pPr>
      <w:pStyle w:val="HeadStriche"/>
    </w:pPr>
  </w:p>
  <w:p w14:paraId="288CFB2B" w14:textId="77777777" w:rsidR="00321A19" w:rsidRDefault="006A0C75">
    <w:pPr>
      <w:pStyle w:val="Head2"/>
    </w:pPr>
    <w:r>
      <w:rPr>
        <w:noProof/>
      </w:rPr>
      <w:drawing>
        <wp:anchor distT="0" distB="0" distL="114300" distR="114300" simplePos="0" relativeHeight="251658241" behindDoc="1" locked="0" layoutInCell="1" allowOverlap="1" wp14:anchorId="22D35166" wp14:editId="1FE67153">
          <wp:simplePos x="0" y="0"/>
          <wp:positionH relativeFrom="margin">
            <wp:align>right</wp:align>
          </wp:positionH>
          <wp:positionV relativeFrom="paragraph">
            <wp:posOffset>208280</wp:posOffset>
          </wp:positionV>
          <wp:extent cx="2324100" cy="671195"/>
          <wp:effectExtent l="0" t="0" r="0" b="0"/>
          <wp:wrapThrough wrapText="bothSides">
            <wp:wrapPolygon edited="0">
              <wp:start x="0" y="0"/>
              <wp:lineTo x="0" y="20844"/>
              <wp:lineTo x="21423" y="20844"/>
              <wp:lineTo x="21423" y="0"/>
              <wp:lineTo x="0" y="0"/>
            </wp:wrapPolygon>
          </wp:wrapThrough>
          <wp:docPr id="78629390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4100" cy="67119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1AD1D" w14:textId="77777777" w:rsidR="00321A19" w:rsidRDefault="00321A19"/>
  <w:p w14:paraId="172B1784" w14:textId="77777777" w:rsidR="00321A19" w:rsidRDefault="006A0C75">
    <w:pPr>
      <w:pStyle w:val="HeadStriche"/>
    </w:pPr>
    <w:r>
      <w:rPr>
        <w:noProof/>
      </w:rPr>
      <w:drawing>
        <wp:anchor distT="0" distB="0" distL="114300" distR="114300" simplePos="0" relativeHeight="251658240" behindDoc="0" locked="0" layoutInCell="1" allowOverlap="1" wp14:anchorId="66964AA0" wp14:editId="2EB9D549">
          <wp:simplePos x="0" y="0"/>
          <wp:positionH relativeFrom="rightMargin">
            <wp:posOffset>-756285</wp:posOffset>
          </wp:positionH>
          <wp:positionV relativeFrom="page">
            <wp:posOffset>485775</wp:posOffset>
          </wp:positionV>
          <wp:extent cx="720000" cy="964800"/>
          <wp:effectExtent l="0" t="0" r="4445" b="6985"/>
          <wp:wrapNone/>
          <wp:docPr id="6" name="Grafik 6" descr="Hier steht das Logo des Deutschen Frauenrats" title="Logo Deutscher Frauen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Logo-print-weisser-h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964800"/>
                  </a:xfrm>
                  <a:prstGeom prst="rect">
                    <a:avLst/>
                  </a:prstGeom>
                </pic:spPr>
              </pic:pic>
            </a:graphicData>
          </a:graphic>
          <wp14:sizeRelH relativeFrom="margin">
            <wp14:pctWidth>0</wp14:pctWidth>
          </wp14:sizeRelH>
          <wp14:sizeRelV relativeFrom="margin">
            <wp14:pctHeight>0</wp14:pctHeight>
          </wp14:sizeRelV>
        </wp:anchor>
      </w:drawing>
    </w:r>
    <w:r>
      <w:t>///////////////////////////////////////////</w:t>
    </w:r>
  </w:p>
  <w:p w14:paraId="6B31DE98" w14:textId="77777777" w:rsidR="00321A19" w:rsidRDefault="006A0C75">
    <w:pPr>
      <w:pStyle w:val="Head2"/>
    </w:pPr>
    <w:r>
      <w:t>Category: Heading 2: 9 pt., dark blue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06C4C"/>
    <w:multiLevelType w:val="hybridMultilevel"/>
    <w:tmpl w:val="F294C680"/>
    <w:lvl w:ilvl="0" w:tplc="5FC0D8E2">
      <w:start w:val="1"/>
      <w:numFmt w:val="bullet"/>
      <w:lvlText w:val=""/>
      <w:lvlJc w:val="left"/>
      <w:pPr>
        <w:ind w:left="1145" w:hanging="360"/>
      </w:pPr>
      <w:rPr>
        <w:rFonts w:ascii="Symbol" w:hAnsi="Symbol" w:hint="default"/>
        <w:color w:val="0C2847"/>
      </w:rPr>
    </w:lvl>
    <w:lvl w:ilvl="1" w:tplc="04070003" w:tentative="1">
      <w:start w:val="1"/>
      <w:numFmt w:val="bullet"/>
      <w:lvlText w:val="o"/>
      <w:lvlJc w:val="left"/>
      <w:pPr>
        <w:ind w:left="1865" w:hanging="360"/>
      </w:pPr>
      <w:rPr>
        <w:rFonts w:ascii="Courier New" w:hAnsi="Courier New" w:cs="Courier New" w:hint="default"/>
      </w:rPr>
    </w:lvl>
    <w:lvl w:ilvl="2" w:tplc="04070005" w:tentative="1">
      <w:start w:val="1"/>
      <w:numFmt w:val="bullet"/>
      <w:lvlText w:val=""/>
      <w:lvlJc w:val="left"/>
      <w:pPr>
        <w:ind w:left="2585" w:hanging="360"/>
      </w:pPr>
      <w:rPr>
        <w:rFonts w:ascii="Wingdings" w:hAnsi="Wingdings" w:hint="default"/>
      </w:rPr>
    </w:lvl>
    <w:lvl w:ilvl="3" w:tplc="04070001" w:tentative="1">
      <w:start w:val="1"/>
      <w:numFmt w:val="bullet"/>
      <w:lvlText w:val=""/>
      <w:lvlJc w:val="left"/>
      <w:pPr>
        <w:ind w:left="3305" w:hanging="360"/>
      </w:pPr>
      <w:rPr>
        <w:rFonts w:ascii="Symbol" w:hAnsi="Symbol" w:hint="default"/>
      </w:rPr>
    </w:lvl>
    <w:lvl w:ilvl="4" w:tplc="04070003" w:tentative="1">
      <w:start w:val="1"/>
      <w:numFmt w:val="bullet"/>
      <w:lvlText w:val="o"/>
      <w:lvlJc w:val="left"/>
      <w:pPr>
        <w:ind w:left="4025" w:hanging="360"/>
      </w:pPr>
      <w:rPr>
        <w:rFonts w:ascii="Courier New" w:hAnsi="Courier New" w:cs="Courier New" w:hint="default"/>
      </w:rPr>
    </w:lvl>
    <w:lvl w:ilvl="5" w:tplc="04070005" w:tentative="1">
      <w:start w:val="1"/>
      <w:numFmt w:val="bullet"/>
      <w:lvlText w:val=""/>
      <w:lvlJc w:val="left"/>
      <w:pPr>
        <w:ind w:left="4745" w:hanging="360"/>
      </w:pPr>
      <w:rPr>
        <w:rFonts w:ascii="Wingdings" w:hAnsi="Wingdings" w:hint="default"/>
      </w:rPr>
    </w:lvl>
    <w:lvl w:ilvl="6" w:tplc="04070001" w:tentative="1">
      <w:start w:val="1"/>
      <w:numFmt w:val="bullet"/>
      <w:lvlText w:val=""/>
      <w:lvlJc w:val="left"/>
      <w:pPr>
        <w:ind w:left="5465" w:hanging="360"/>
      </w:pPr>
      <w:rPr>
        <w:rFonts w:ascii="Symbol" w:hAnsi="Symbol" w:hint="default"/>
      </w:rPr>
    </w:lvl>
    <w:lvl w:ilvl="7" w:tplc="04070003" w:tentative="1">
      <w:start w:val="1"/>
      <w:numFmt w:val="bullet"/>
      <w:lvlText w:val="o"/>
      <w:lvlJc w:val="left"/>
      <w:pPr>
        <w:ind w:left="6185" w:hanging="360"/>
      </w:pPr>
      <w:rPr>
        <w:rFonts w:ascii="Courier New" w:hAnsi="Courier New" w:cs="Courier New" w:hint="default"/>
      </w:rPr>
    </w:lvl>
    <w:lvl w:ilvl="8" w:tplc="04070005" w:tentative="1">
      <w:start w:val="1"/>
      <w:numFmt w:val="bullet"/>
      <w:lvlText w:val=""/>
      <w:lvlJc w:val="left"/>
      <w:pPr>
        <w:ind w:left="6905" w:hanging="360"/>
      </w:pPr>
      <w:rPr>
        <w:rFonts w:ascii="Wingdings" w:hAnsi="Wingdings" w:hint="default"/>
      </w:rPr>
    </w:lvl>
  </w:abstractNum>
  <w:abstractNum w:abstractNumId="1" w15:restartNumberingAfterBreak="0">
    <w:nsid w:val="0D104AFC"/>
    <w:multiLevelType w:val="hybridMultilevel"/>
    <w:tmpl w:val="AE4ACAC8"/>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 w15:restartNumberingAfterBreak="0">
    <w:nsid w:val="11714EFD"/>
    <w:multiLevelType w:val="hybridMultilevel"/>
    <w:tmpl w:val="D5825946"/>
    <w:lvl w:ilvl="0" w:tplc="04070017">
      <w:start w:val="1"/>
      <w:numFmt w:val="lowerLetter"/>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15:restartNumberingAfterBreak="0">
    <w:nsid w:val="1248067F"/>
    <w:multiLevelType w:val="hybridMultilevel"/>
    <w:tmpl w:val="D47AD6EE"/>
    <w:lvl w:ilvl="0" w:tplc="04070017">
      <w:start w:val="1"/>
      <w:numFmt w:val="lowerLetter"/>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4" w15:restartNumberingAfterBreak="0">
    <w:nsid w:val="2CCB2C47"/>
    <w:multiLevelType w:val="hybridMultilevel"/>
    <w:tmpl w:val="4BAEB262"/>
    <w:lvl w:ilvl="0" w:tplc="B3F4213C">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5" w15:restartNumberingAfterBreak="0">
    <w:nsid w:val="40221B61"/>
    <w:multiLevelType w:val="hybridMultilevel"/>
    <w:tmpl w:val="A6826206"/>
    <w:lvl w:ilvl="0" w:tplc="DBD4FEAA">
      <w:start w:val="1"/>
      <w:numFmt w:val="bullet"/>
      <w:pStyle w:val="Aufzberschrif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0856FDF"/>
    <w:multiLevelType w:val="hybridMultilevel"/>
    <w:tmpl w:val="001A3484"/>
    <w:lvl w:ilvl="0" w:tplc="784C8140">
      <w:numFmt w:val="bullet"/>
      <w:lvlText w:val="-"/>
      <w:lvlJc w:val="left"/>
      <w:pPr>
        <w:ind w:left="558" w:hanging="360"/>
      </w:pPr>
      <w:rPr>
        <w:rFonts w:ascii="Outfit" w:eastAsiaTheme="minorHAnsi" w:hAnsi="Outfit" w:cstheme="minorHAnsi" w:hint="default"/>
      </w:rPr>
    </w:lvl>
    <w:lvl w:ilvl="1" w:tplc="04070003" w:tentative="1">
      <w:start w:val="1"/>
      <w:numFmt w:val="bullet"/>
      <w:lvlText w:val="o"/>
      <w:lvlJc w:val="left"/>
      <w:pPr>
        <w:ind w:left="1278" w:hanging="360"/>
      </w:pPr>
      <w:rPr>
        <w:rFonts w:ascii="Courier New" w:hAnsi="Courier New" w:cs="Courier New" w:hint="default"/>
      </w:rPr>
    </w:lvl>
    <w:lvl w:ilvl="2" w:tplc="04070005" w:tentative="1">
      <w:start w:val="1"/>
      <w:numFmt w:val="bullet"/>
      <w:lvlText w:val=""/>
      <w:lvlJc w:val="left"/>
      <w:pPr>
        <w:ind w:left="1998" w:hanging="360"/>
      </w:pPr>
      <w:rPr>
        <w:rFonts w:ascii="Wingdings" w:hAnsi="Wingdings" w:hint="default"/>
      </w:rPr>
    </w:lvl>
    <w:lvl w:ilvl="3" w:tplc="04070001" w:tentative="1">
      <w:start w:val="1"/>
      <w:numFmt w:val="bullet"/>
      <w:lvlText w:val=""/>
      <w:lvlJc w:val="left"/>
      <w:pPr>
        <w:ind w:left="2718" w:hanging="360"/>
      </w:pPr>
      <w:rPr>
        <w:rFonts w:ascii="Symbol" w:hAnsi="Symbol" w:hint="default"/>
      </w:rPr>
    </w:lvl>
    <w:lvl w:ilvl="4" w:tplc="04070003" w:tentative="1">
      <w:start w:val="1"/>
      <w:numFmt w:val="bullet"/>
      <w:lvlText w:val="o"/>
      <w:lvlJc w:val="left"/>
      <w:pPr>
        <w:ind w:left="3438" w:hanging="360"/>
      </w:pPr>
      <w:rPr>
        <w:rFonts w:ascii="Courier New" w:hAnsi="Courier New" w:cs="Courier New" w:hint="default"/>
      </w:rPr>
    </w:lvl>
    <w:lvl w:ilvl="5" w:tplc="04070005" w:tentative="1">
      <w:start w:val="1"/>
      <w:numFmt w:val="bullet"/>
      <w:lvlText w:val=""/>
      <w:lvlJc w:val="left"/>
      <w:pPr>
        <w:ind w:left="4158" w:hanging="360"/>
      </w:pPr>
      <w:rPr>
        <w:rFonts w:ascii="Wingdings" w:hAnsi="Wingdings" w:hint="default"/>
      </w:rPr>
    </w:lvl>
    <w:lvl w:ilvl="6" w:tplc="04070001" w:tentative="1">
      <w:start w:val="1"/>
      <w:numFmt w:val="bullet"/>
      <w:lvlText w:val=""/>
      <w:lvlJc w:val="left"/>
      <w:pPr>
        <w:ind w:left="4878" w:hanging="360"/>
      </w:pPr>
      <w:rPr>
        <w:rFonts w:ascii="Symbol" w:hAnsi="Symbol" w:hint="default"/>
      </w:rPr>
    </w:lvl>
    <w:lvl w:ilvl="7" w:tplc="04070003" w:tentative="1">
      <w:start w:val="1"/>
      <w:numFmt w:val="bullet"/>
      <w:lvlText w:val="o"/>
      <w:lvlJc w:val="left"/>
      <w:pPr>
        <w:ind w:left="5598" w:hanging="360"/>
      </w:pPr>
      <w:rPr>
        <w:rFonts w:ascii="Courier New" w:hAnsi="Courier New" w:cs="Courier New" w:hint="default"/>
      </w:rPr>
    </w:lvl>
    <w:lvl w:ilvl="8" w:tplc="04070005" w:tentative="1">
      <w:start w:val="1"/>
      <w:numFmt w:val="bullet"/>
      <w:lvlText w:val=""/>
      <w:lvlJc w:val="left"/>
      <w:pPr>
        <w:ind w:left="6318" w:hanging="360"/>
      </w:pPr>
      <w:rPr>
        <w:rFonts w:ascii="Wingdings" w:hAnsi="Wingdings" w:hint="default"/>
      </w:rPr>
    </w:lvl>
  </w:abstractNum>
  <w:abstractNum w:abstractNumId="7" w15:restartNumberingAfterBreak="0">
    <w:nsid w:val="4116323A"/>
    <w:multiLevelType w:val="hybridMultilevel"/>
    <w:tmpl w:val="1E00299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8965823"/>
    <w:multiLevelType w:val="hybridMultilevel"/>
    <w:tmpl w:val="FD868BDC"/>
    <w:lvl w:ilvl="0" w:tplc="68BA1668">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565244F8"/>
    <w:multiLevelType w:val="hybridMultilevel"/>
    <w:tmpl w:val="02E69186"/>
    <w:lvl w:ilvl="0" w:tplc="695AFA3E">
      <w:start w:val="1"/>
      <w:numFmt w:val="decimal"/>
      <w:pStyle w:val="Numberschrift"/>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F4867C6"/>
    <w:multiLevelType w:val="hybridMultilevel"/>
    <w:tmpl w:val="7D42F030"/>
    <w:lvl w:ilvl="0" w:tplc="30AEEC76">
      <w:start w:val="1"/>
      <w:numFmt w:val="bullet"/>
      <w:pStyle w:val="Aufz1"/>
      <w:lvlText w:val=""/>
      <w:lvlJc w:val="left"/>
      <w:pPr>
        <w:ind w:left="720" w:hanging="360"/>
      </w:pPr>
      <w:rPr>
        <w:rFonts w:ascii="Symbol" w:hAnsi="Symbol" w:hint="default"/>
        <w:color w:val="auto"/>
      </w:rPr>
    </w:lvl>
    <w:lvl w:ilvl="1" w:tplc="7FD6A8AE">
      <w:start w:val="1"/>
      <w:numFmt w:val="bullet"/>
      <w:pStyle w:val="Auf2"/>
      <w:lvlText w:val=""/>
      <w:lvlJc w:val="left"/>
      <w:pPr>
        <w:ind w:left="1440" w:hanging="360"/>
      </w:pPr>
      <w:rPr>
        <w:rFonts w:ascii="Symbol" w:hAnsi="Symbol" w:hint="default"/>
        <w:color w:val="0C2847"/>
        <w:sz w:val="16"/>
      </w:rPr>
    </w:lvl>
    <w:lvl w:ilvl="2" w:tplc="08AE49A4">
      <w:start w:val="1"/>
      <w:numFmt w:val="bullet"/>
      <w:pStyle w:val="Aufz3"/>
      <w:lvlText w:val=""/>
      <w:lvlJc w:val="left"/>
      <w:pPr>
        <w:ind w:left="2160" w:hanging="360"/>
      </w:pPr>
      <w:rPr>
        <w:rFonts w:ascii="Symbol" w:hAnsi="Symbol" w:hint="default"/>
        <w:color w:val="000000" w:themeColor="text1"/>
        <w:sz w:val="16"/>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8133C25"/>
    <w:multiLevelType w:val="hybridMultilevel"/>
    <w:tmpl w:val="1D94FEF4"/>
    <w:lvl w:ilvl="0" w:tplc="04070017">
      <w:start w:val="1"/>
      <w:numFmt w:val="lowerLetter"/>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num w:numId="1" w16cid:durableId="1884948891">
    <w:abstractNumId w:val="10"/>
  </w:num>
  <w:num w:numId="2" w16cid:durableId="273362792">
    <w:abstractNumId w:val="10"/>
    <w:lvlOverride w:ilvl="0">
      <w:startOverride w:val="1"/>
    </w:lvlOverride>
  </w:num>
  <w:num w:numId="3" w16cid:durableId="507059162">
    <w:abstractNumId w:val="0"/>
  </w:num>
  <w:num w:numId="4" w16cid:durableId="1823086417">
    <w:abstractNumId w:val="9"/>
  </w:num>
  <w:num w:numId="5" w16cid:durableId="1939747655">
    <w:abstractNumId w:val="5"/>
  </w:num>
  <w:num w:numId="6" w16cid:durableId="1029910544">
    <w:abstractNumId w:val="6"/>
  </w:num>
  <w:num w:numId="7" w16cid:durableId="1448432665">
    <w:abstractNumId w:val="10"/>
  </w:num>
  <w:num w:numId="8" w16cid:durableId="637221258">
    <w:abstractNumId w:val="7"/>
  </w:num>
  <w:num w:numId="9" w16cid:durableId="70591578">
    <w:abstractNumId w:val="2"/>
  </w:num>
  <w:num w:numId="10" w16cid:durableId="425854499">
    <w:abstractNumId w:val="3"/>
  </w:num>
  <w:num w:numId="11" w16cid:durableId="1475483380">
    <w:abstractNumId w:val="11"/>
  </w:num>
  <w:num w:numId="12" w16cid:durableId="605969183">
    <w:abstractNumId w:val="8"/>
  </w:num>
  <w:num w:numId="13" w16cid:durableId="1903640722">
    <w:abstractNumId w:val="1"/>
  </w:num>
  <w:num w:numId="14" w16cid:durableId="972516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B3F"/>
    <w:rsid w:val="000100AB"/>
    <w:rsid w:val="00017C10"/>
    <w:rsid w:val="00021F6D"/>
    <w:rsid w:val="00031069"/>
    <w:rsid w:val="00032A7C"/>
    <w:rsid w:val="0003670B"/>
    <w:rsid w:val="000404F8"/>
    <w:rsid w:val="00046392"/>
    <w:rsid w:val="00047909"/>
    <w:rsid w:val="00062532"/>
    <w:rsid w:val="00064084"/>
    <w:rsid w:val="00066DAA"/>
    <w:rsid w:val="00083FD3"/>
    <w:rsid w:val="00091B51"/>
    <w:rsid w:val="000A17E4"/>
    <w:rsid w:val="000A4300"/>
    <w:rsid w:val="000C0F14"/>
    <w:rsid w:val="000C5941"/>
    <w:rsid w:val="000D37A2"/>
    <w:rsid w:val="000D5CEA"/>
    <w:rsid w:val="000D6039"/>
    <w:rsid w:val="000E0D39"/>
    <w:rsid w:val="000F473B"/>
    <w:rsid w:val="00107367"/>
    <w:rsid w:val="0010787D"/>
    <w:rsid w:val="001132DD"/>
    <w:rsid w:val="00113722"/>
    <w:rsid w:val="00141355"/>
    <w:rsid w:val="001440A5"/>
    <w:rsid w:val="001650FF"/>
    <w:rsid w:val="001B0D4C"/>
    <w:rsid w:val="001B5646"/>
    <w:rsid w:val="001C308F"/>
    <w:rsid w:val="001D2C14"/>
    <w:rsid w:val="002050C4"/>
    <w:rsid w:val="00217D06"/>
    <w:rsid w:val="0023071D"/>
    <w:rsid w:val="002319CB"/>
    <w:rsid w:val="0023217F"/>
    <w:rsid w:val="0023394D"/>
    <w:rsid w:val="00234EEB"/>
    <w:rsid w:val="002412F9"/>
    <w:rsid w:val="0024140C"/>
    <w:rsid w:val="00245CD9"/>
    <w:rsid w:val="00256AD1"/>
    <w:rsid w:val="0027075D"/>
    <w:rsid w:val="0028089D"/>
    <w:rsid w:val="00281727"/>
    <w:rsid w:val="0028198F"/>
    <w:rsid w:val="00282870"/>
    <w:rsid w:val="002904D9"/>
    <w:rsid w:val="002D1452"/>
    <w:rsid w:val="002D67EB"/>
    <w:rsid w:val="002F2CB9"/>
    <w:rsid w:val="00302C23"/>
    <w:rsid w:val="00307C1C"/>
    <w:rsid w:val="00321A19"/>
    <w:rsid w:val="00362647"/>
    <w:rsid w:val="00382F8C"/>
    <w:rsid w:val="00385574"/>
    <w:rsid w:val="0039521A"/>
    <w:rsid w:val="003B1116"/>
    <w:rsid w:val="003B3283"/>
    <w:rsid w:val="003C1498"/>
    <w:rsid w:val="003C1CAF"/>
    <w:rsid w:val="003C5641"/>
    <w:rsid w:val="003D2151"/>
    <w:rsid w:val="003F3CD6"/>
    <w:rsid w:val="0040143F"/>
    <w:rsid w:val="004028B6"/>
    <w:rsid w:val="00404E54"/>
    <w:rsid w:val="004106EB"/>
    <w:rsid w:val="00425B4F"/>
    <w:rsid w:val="004404F7"/>
    <w:rsid w:val="00472599"/>
    <w:rsid w:val="00474659"/>
    <w:rsid w:val="004A7805"/>
    <w:rsid w:val="004B0B0B"/>
    <w:rsid w:val="004B10A5"/>
    <w:rsid w:val="004B4065"/>
    <w:rsid w:val="004B73E3"/>
    <w:rsid w:val="004C2719"/>
    <w:rsid w:val="004C7D4E"/>
    <w:rsid w:val="004E1C48"/>
    <w:rsid w:val="004E2845"/>
    <w:rsid w:val="004E526A"/>
    <w:rsid w:val="004F0469"/>
    <w:rsid w:val="0050423A"/>
    <w:rsid w:val="0051046B"/>
    <w:rsid w:val="00516D78"/>
    <w:rsid w:val="00531E02"/>
    <w:rsid w:val="005320D2"/>
    <w:rsid w:val="005341F8"/>
    <w:rsid w:val="005379C5"/>
    <w:rsid w:val="005516BE"/>
    <w:rsid w:val="00555894"/>
    <w:rsid w:val="00562FDD"/>
    <w:rsid w:val="00571AB0"/>
    <w:rsid w:val="005815F7"/>
    <w:rsid w:val="00581CEF"/>
    <w:rsid w:val="00582631"/>
    <w:rsid w:val="0059021F"/>
    <w:rsid w:val="005A5BD8"/>
    <w:rsid w:val="005E4463"/>
    <w:rsid w:val="005F0260"/>
    <w:rsid w:val="005F499B"/>
    <w:rsid w:val="005F5BF5"/>
    <w:rsid w:val="00601F18"/>
    <w:rsid w:val="00605597"/>
    <w:rsid w:val="00613158"/>
    <w:rsid w:val="00616EBE"/>
    <w:rsid w:val="00620286"/>
    <w:rsid w:val="006432F2"/>
    <w:rsid w:val="0066213A"/>
    <w:rsid w:val="00663F7F"/>
    <w:rsid w:val="00671BCA"/>
    <w:rsid w:val="00671C46"/>
    <w:rsid w:val="0067376E"/>
    <w:rsid w:val="00674CAA"/>
    <w:rsid w:val="006925A6"/>
    <w:rsid w:val="00694AA5"/>
    <w:rsid w:val="00695D96"/>
    <w:rsid w:val="006A0C75"/>
    <w:rsid w:val="006A76F6"/>
    <w:rsid w:val="006B0A3C"/>
    <w:rsid w:val="006B7B60"/>
    <w:rsid w:val="006C20D8"/>
    <w:rsid w:val="006C2D18"/>
    <w:rsid w:val="006D3351"/>
    <w:rsid w:val="006E361B"/>
    <w:rsid w:val="00703153"/>
    <w:rsid w:val="0071339B"/>
    <w:rsid w:val="00713A7B"/>
    <w:rsid w:val="007234BA"/>
    <w:rsid w:val="007252C7"/>
    <w:rsid w:val="00762F38"/>
    <w:rsid w:val="0076372B"/>
    <w:rsid w:val="00767A1D"/>
    <w:rsid w:val="007A232B"/>
    <w:rsid w:val="007A2643"/>
    <w:rsid w:val="007D7A37"/>
    <w:rsid w:val="007E5868"/>
    <w:rsid w:val="00821FCA"/>
    <w:rsid w:val="008258DC"/>
    <w:rsid w:val="00844086"/>
    <w:rsid w:val="00845F4C"/>
    <w:rsid w:val="0085140D"/>
    <w:rsid w:val="00871B15"/>
    <w:rsid w:val="00873771"/>
    <w:rsid w:val="00876806"/>
    <w:rsid w:val="008849F7"/>
    <w:rsid w:val="0088538A"/>
    <w:rsid w:val="00890C86"/>
    <w:rsid w:val="00895F28"/>
    <w:rsid w:val="008B0092"/>
    <w:rsid w:val="008B29B4"/>
    <w:rsid w:val="008B7DBC"/>
    <w:rsid w:val="008D1BC5"/>
    <w:rsid w:val="008E2E5C"/>
    <w:rsid w:val="008E3735"/>
    <w:rsid w:val="008E37FB"/>
    <w:rsid w:val="008E442E"/>
    <w:rsid w:val="008F4A7A"/>
    <w:rsid w:val="00905536"/>
    <w:rsid w:val="009323E4"/>
    <w:rsid w:val="009405E1"/>
    <w:rsid w:val="0097159F"/>
    <w:rsid w:val="009747E3"/>
    <w:rsid w:val="00974DD6"/>
    <w:rsid w:val="00981578"/>
    <w:rsid w:val="009915C9"/>
    <w:rsid w:val="009946F3"/>
    <w:rsid w:val="009B2CDC"/>
    <w:rsid w:val="009B7C50"/>
    <w:rsid w:val="009C5ED4"/>
    <w:rsid w:val="009D334B"/>
    <w:rsid w:val="009D3898"/>
    <w:rsid w:val="009D4893"/>
    <w:rsid w:val="009D7330"/>
    <w:rsid w:val="009E2BD6"/>
    <w:rsid w:val="00A1057F"/>
    <w:rsid w:val="00A106DF"/>
    <w:rsid w:val="00A27829"/>
    <w:rsid w:val="00A30AC5"/>
    <w:rsid w:val="00A34C75"/>
    <w:rsid w:val="00A35CD8"/>
    <w:rsid w:val="00A37431"/>
    <w:rsid w:val="00A556C0"/>
    <w:rsid w:val="00A606E9"/>
    <w:rsid w:val="00A65FA6"/>
    <w:rsid w:val="00A831FA"/>
    <w:rsid w:val="00A87E3B"/>
    <w:rsid w:val="00A901C8"/>
    <w:rsid w:val="00AB19C7"/>
    <w:rsid w:val="00AC7C8A"/>
    <w:rsid w:val="00AF3CF5"/>
    <w:rsid w:val="00AF7D85"/>
    <w:rsid w:val="00B0309A"/>
    <w:rsid w:val="00B3134C"/>
    <w:rsid w:val="00B358A7"/>
    <w:rsid w:val="00B41415"/>
    <w:rsid w:val="00B4589D"/>
    <w:rsid w:val="00B66378"/>
    <w:rsid w:val="00B77B2E"/>
    <w:rsid w:val="00B84883"/>
    <w:rsid w:val="00BA017C"/>
    <w:rsid w:val="00BA4C1D"/>
    <w:rsid w:val="00BA7562"/>
    <w:rsid w:val="00BA7929"/>
    <w:rsid w:val="00BB1D50"/>
    <w:rsid w:val="00BB6EB5"/>
    <w:rsid w:val="00BB7B6F"/>
    <w:rsid w:val="00BC1342"/>
    <w:rsid w:val="00BD1219"/>
    <w:rsid w:val="00BD5EE3"/>
    <w:rsid w:val="00BF0E67"/>
    <w:rsid w:val="00BF254D"/>
    <w:rsid w:val="00BF68E6"/>
    <w:rsid w:val="00C045BF"/>
    <w:rsid w:val="00C07414"/>
    <w:rsid w:val="00C24961"/>
    <w:rsid w:val="00C41540"/>
    <w:rsid w:val="00C44C70"/>
    <w:rsid w:val="00C460BD"/>
    <w:rsid w:val="00C47CCD"/>
    <w:rsid w:val="00C61D2D"/>
    <w:rsid w:val="00C63816"/>
    <w:rsid w:val="00C64355"/>
    <w:rsid w:val="00C6447F"/>
    <w:rsid w:val="00C72165"/>
    <w:rsid w:val="00C82DCC"/>
    <w:rsid w:val="00CB5DBA"/>
    <w:rsid w:val="00CE7A11"/>
    <w:rsid w:val="00D437EE"/>
    <w:rsid w:val="00D73193"/>
    <w:rsid w:val="00D83470"/>
    <w:rsid w:val="00D83785"/>
    <w:rsid w:val="00D9382B"/>
    <w:rsid w:val="00D95C7D"/>
    <w:rsid w:val="00D95D76"/>
    <w:rsid w:val="00DA051C"/>
    <w:rsid w:val="00DA52F1"/>
    <w:rsid w:val="00DA56D1"/>
    <w:rsid w:val="00DA7606"/>
    <w:rsid w:val="00DB16A3"/>
    <w:rsid w:val="00DB3E56"/>
    <w:rsid w:val="00DC4683"/>
    <w:rsid w:val="00DD0004"/>
    <w:rsid w:val="00DD3F88"/>
    <w:rsid w:val="00DD6B28"/>
    <w:rsid w:val="00DD7D67"/>
    <w:rsid w:val="00DE1660"/>
    <w:rsid w:val="00DE33A9"/>
    <w:rsid w:val="00DF3FF5"/>
    <w:rsid w:val="00E04A8E"/>
    <w:rsid w:val="00E106E9"/>
    <w:rsid w:val="00E1653E"/>
    <w:rsid w:val="00E231E9"/>
    <w:rsid w:val="00E479CF"/>
    <w:rsid w:val="00E60182"/>
    <w:rsid w:val="00E66C14"/>
    <w:rsid w:val="00E766EF"/>
    <w:rsid w:val="00E7688E"/>
    <w:rsid w:val="00EA0F0A"/>
    <w:rsid w:val="00EA5B3F"/>
    <w:rsid w:val="00EA6E10"/>
    <w:rsid w:val="00ED0EB6"/>
    <w:rsid w:val="00F44438"/>
    <w:rsid w:val="00F47A2F"/>
    <w:rsid w:val="00F50A90"/>
    <w:rsid w:val="00F5267B"/>
    <w:rsid w:val="00F57227"/>
    <w:rsid w:val="00F73E04"/>
    <w:rsid w:val="00F864CC"/>
    <w:rsid w:val="00F969C8"/>
    <w:rsid w:val="00FA20E1"/>
    <w:rsid w:val="00FB5B30"/>
    <w:rsid w:val="00FC1DFC"/>
    <w:rsid w:val="00FD37D0"/>
    <w:rsid w:val="03B472D7"/>
    <w:rsid w:val="03E41C76"/>
    <w:rsid w:val="05E80D14"/>
    <w:rsid w:val="05EF2443"/>
    <w:rsid w:val="073DB946"/>
    <w:rsid w:val="07C21284"/>
    <w:rsid w:val="09DCEFA4"/>
    <w:rsid w:val="0AE5A0F6"/>
    <w:rsid w:val="0C45A774"/>
    <w:rsid w:val="0CB6AC8F"/>
    <w:rsid w:val="0EAA200B"/>
    <w:rsid w:val="1029D002"/>
    <w:rsid w:val="125120FA"/>
    <w:rsid w:val="1316AADC"/>
    <w:rsid w:val="1389A34B"/>
    <w:rsid w:val="1430B9BF"/>
    <w:rsid w:val="158ED83D"/>
    <w:rsid w:val="1FDCF105"/>
    <w:rsid w:val="20C9B2BA"/>
    <w:rsid w:val="2291CA1E"/>
    <w:rsid w:val="2568705B"/>
    <w:rsid w:val="28C00239"/>
    <w:rsid w:val="28E6E5FB"/>
    <w:rsid w:val="28FD592D"/>
    <w:rsid w:val="2C6EC73B"/>
    <w:rsid w:val="300631CD"/>
    <w:rsid w:val="34989ECA"/>
    <w:rsid w:val="35253578"/>
    <w:rsid w:val="359C14C4"/>
    <w:rsid w:val="3893F898"/>
    <w:rsid w:val="38D20357"/>
    <w:rsid w:val="3928133A"/>
    <w:rsid w:val="39CE09C2"/>
    <w:rsid w:val="3B09767B"/>
    <w:rsid w:val="3B3E76BE"/>
    <w:rsid w:val="3C5F2673"/>
    <w:rsid w:val="3D17672D"/>
    <w:rsid w:val="3D61590C"/>
    <w:rsid w:val="40B042BA"/>
    <w:rsid w:val="41B24094"/>
    <w:rsid w:val="48307C3B"/>
    <w:rsid w:val="487B7496"/>
    <w:rsid w:val="491B9CBC"/>
    <w:rsid w:val="4B1A8557"/>
    <w:rsid w:val="4E01E243"/>
    <w:rsid w:val="4EC9A0E6"/>
    <w:rsid w:val="4F2A9FC9"/>
    <w:rsid w:val="51A695AB"/>
    <w:rsid w:val="524877DE"/>
    <w:rsid w:val="542F9743"/>
    <w:rsid w:val="54B79383"/>
    <w:rsid w:val="55E19111"/>
    <w:rsid w:val="56369085"/>
    <w:rsid w:val="5680DEB7"/>
    <w:rsid w:val="58702231"/>
    <w:rsid w:val="5C2F7C04"/>
    <w:rsid w:val="5C4658CB"/>
    <w:rsid w:val="5CFA51E2"/>
    <w:rsid w:val="5D9D8AFB"/>
    <w:rsid w:val="5DB3648E"/>
    <w:rsid w:val="60AB4354"/>
    <w:rsid w:val="63DB18CA"/>
    <w:rsid w:val="642CFA40"/>
    <w:rsid w:val="65BCCA08"/>
    <w:rsid w:val="66E9C45F"/>
    <w:rsid w:val="671FE6C8"/>
    <w:rsid w:val="68D06DE8"/>
    <w:rsid w:val="6952BF56"/>
    <w:rsid w:val="6BBD708B"/>
    <w:rsid w:val="6BCEBC13"/>
    <w:rsid w:val="6F1ECB0B"/>
    <w:rsid w:val="6FFEF8F7"/>
    <w:rsid w:val="704AA4B6"/>
    <w:rsid w:val="734C1D9B"/>
    <w:rsid w:val="73675428"/>
    <w:rsid w:val="792E824C"/>
    <w:rsid w:val="795D9044"/>
    <w:rsid w:val="7A350304"/>
    <w:rsid w:val="7ACC1DAA"/>
    <w:rsid w:val="7BC7F5D0"/>
    <w:rsid w:val="7BF68510"/>
    <w:rsid w:val="7D92F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DAD1B"/>
  <w15:docId w15:val="{F8BAF751-645E-478C-AB6D-726F4255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B29B4"/>
    <w:pPr>
      <w:spacing w:after="0" w:line="300" w:lineRule="atLeast"/>
    </w:pPr>
    <w:rPr>
      <w:rFonts w:cstheme="minorHAnsi"/>
    </w:rPr>
  </w:style>
  <w:style w:type="paragraph" w:styleId="berschrift1">
    <w:name w:val="heading 1"/>
    <w:basedOn w:val="Standard"/>
    <w:next w:val="Standard"/>
    <w:link w:val="berschrift1Zchn"/>
    <w:uiPriority w:val="9"/>
    <w:qFormat/>
    <w:rsid w:val="000C5941"/>
    <w:pPr>
      <w:keepNext/>
      <w:keepLines/>
      <w:spacing w:before="120"/>
      <w:outlineLvl w:val="0"/>
    </w:pPr>
    <w:rPr>
      <w:rFonts w:eastAsiaTheme="majorEastAsia" w:cstheme="majorBidi"/>
      <w:b/>
      <w:caps/>
      <w:color w:val="0C2847"/>
      <w:sz w:val="28"/>
    </w:rPr>
  </w:style>
  <w:style w:type="paragraph" w:styleId="berschrift2">
    <w:name w:val="heading 2"/>
    <w:basedOn w:val="Standard"/>
    <w:next w:val="Standard"/>
    <w:link w:val="berschrift2Zchn"/>
    <w:uiPriority w:val="9"/>
    <w:unhideWhenUsed/>
    <w:qFormat/>
    <w:rsid w:val="009D334B"/>
    <w:pPr>
      <w:keepNext/>
      <w:keepLines/>
      <w:spacing w:before="120"/>
      <w:outlineLvl w:val="1"/>
    </w:pPr>
    <w:rPr>
      <w:rFonts w:eastAsiaTheme="majorEastAsia" w:cstheme="majorBidi"/>
      <w:b/>
      <w:color w:val="2E74B5" w:themeColor="accent1" w:themeShade="BF"/>
      <w:sz w:val="24"/>
    </w:rPr>
  </w:style>
  <w:style w:type="paragraph" w:styleId="berschrift3">
    <w:name w:val="heading 3"/>
    <w:basedOn w:val="Standard"/>
    <w:next w:val="Standard"/>
    <w:link w:val="berschrift3Zchn"/>
    <w:uiPriority w:val="9"/>
    <w:unhideWhenUsed/>
    <w:qFormat/>
    <w:rsid w:val="009D334B"/>
    <w:pPr>
      <w:keepNext/>
      <w:keepLines/>
      <w:spacing w:before="120"/>
      <w:outlineLvl w:val="2"/>
    </w:pPr>
    <w:rPr>
      <w:rFonts w:eastAsiaTheme="majorEastAsia" w:cstheme="majorBidi"/>
      <w:b/>
    </w:rPr>
  </w:style>
  <w:style w:type="paragraph" w:styleId="berschrift4">
    <w:name w:val="heading 4"/>
    <w:basedOn w:val="Standard"/>
    <w:next w:val="Standard"/>
    <w:link w:val="berschrift4Zchn"/>
    <w:uiPriority w:val="9"/>
    <w:unhideWhenUsed/>
    <w:qFormat/>
    <w:rsid w:val="009D334B"/>
    <w:pPr>
      <w:keepNext/>
      <w:keepLines/>
      <w:spacing w:before="120"/>
      <w:outlineLvl w:val="3"/>
    </w:pPr>
    <w:rPr>
      <w:rFonts w:eastAsiaTheme="majorEastAsia" w:cstheme="majorBidi"/>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9D3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9D334B"/>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9D334B"/>
    <w:rPr>
      <w:rFonts w:cstheme="minorHAnsi"/>
    </w:rPr>
  </w:style>
  <w:style w:type="paragraph" w:styleId="Fuzeile">
    <w:name w:val="footer"/>
    <w:basedOn w:val="Standard"/>
    <w:link w:val="FuzeileZchn"/>
    <w:uiPriority w:val="99"/>
    <w:unhideWhenUsed/>
    <w:rsid w:val="009D334B"/>
    <w:pPr>
      <w:tabs>
        <w:tab w:val="center" w:pos="4536"/>
        <w:tab w:val="right" w:pos="9072"/>
      </w:tabs>
      <w:spacing w:line="240" w:lineRule="auto"/>
    </w:pPr>
  </w:style>
  <w:style w:type="character" w:customStyle="1" w:styleId="FuzeileZchn">
    <w:name w:val="Fußzeile Zchn"/>
    <w:basedOn w:val="Absatz-Standardschriftart"/>
    <w:link w:val="Fuzeile"/>
    <w:uiPriority w:val="99"/>
    <w:rsid w:val="009D334B"/>
    <w:rPr>
      <w:rFonts w:cstheme="minorHAnsi"/>
    </w:rPr>
  </w:style>
  <w:style w:type="paragraph" w:customStyle="1" w:styleId="Aufz1">
    <w:name w:val="Aufz. 1"/>
    <w:basedOn w:val="Listenabsatz"/>
    <w:link w:val="Aufz1Zchn"/>
    <w:qFormat/>
    <w:rsid w:val="009D334B"/>
    <w:pPr>
      <w:numPr>
        <w:numId w:val="1"/>
      </w:numPr>
      <w:ind w:left="425" w:hanging="425"/>
    </w:pPr>
  </w:style>
  <w:style w:type="paragraph" w:customStyle="1" w:styleId="Auf2">
    <w:name w:val="Auf 2"/>
    <w:basedOn w:val="Aufz1"/>
    <w:link w:val="Auf2Zchn"/>
    <w:rsid w:val="009D334B"/>
    <w:pPr>
      <w:numPr>
        <w:ilvl w:val="1"/>
      </w:numPr>
      <w:ind w:left="850" w:hanging="357"/>
    </w:pPr>
  </w:style>
  <w:style w:type="character" w:customStyle="1" w:styleId="Aufz1Zchn">
    <w:name w:val="Aufz. 1 Zchn"/>
    <w:basedOn w:val="Absatz-Standardschriftart"/>
    <w:link w:val="Aufz1"/>
    <w:rsid w:val="009D334B"/>
    <w:rPr>
      <w:rFonts w:cstheme="minorHAnsi"/>
    </w:rPr>
  </w:style>
  <w:style w:type="character" w:customStyle="1" w:styleId="Auf2Zchn">
    <w:name w:val="Auf 2 Zchn"/>
    <w:basedOn w:val="Aufz1Zchn"/>
    <w:link w:val="Auf2"/>
    <w:rsid w:val="009D334B"/>
    <w:rPr>
      <w:rFonts w:cstheme="minorHAnsi"/>
    </w:rPr>
  </w:style>
  <w:style w:type="paragraph" w:customStyle="1" w:styleId="1">
    <w:name w:val="Ü1"/>
    <w:basedOn w:val="Standard"/>
    <w:link w:val="1Zchn"/>
    <w:rsid w:val="009D334B"/>
    <w:rPr>
      <w:rFonts w:ascii="Calibri" w:hAnsi="Calibri" w:cs="Calibri"/>
      <w:b/>
      <w:caps/>
      <w:color w:val="0C2847"/>
      <w:sz w:val="28"/>
    </w:rPr>
  </w:style>
  <w:style w:type="paragraph" w:customStyle="1" w:styleId="Tab1">
    <w:name w:val="TabÜ1"/>
    <w:basedOn w:val="Standard"/>
    <w:link w:val="Tab1Zchn"/>
    <w:qFormat/>
    <w:rsid w:val="009D334B"/>
    <w:pPr>
      <w:spacing w:after="50"/>
    </w:pPr>
    <w:rPr>
      <w:rFonts w:ascii="Calibri" w:eastAsia="Times" w:hAnsi="Calibri" w:cs="Calibri"/>
      <w:b/>
      <w:color w:val="FFFFFF" w:themeColor="background1"/>
    </w:rPr>
  </w:style>
  <w:style w:type="character" w:customStyle="1" w:styleId="1Zchn">
    <w:name w:val="Ü1 Zchn"/>
    <w:basedOn w:val="Absatz-Standardschriftart"/>
    <w:link w:val="1"/>
    <w:rsid w:val="009D334B"/>
    <w:rPr>
      <w:rFonts w:ascii="Calibri" w:hAnsi="Calibri" w:cs="Calibri"/>
      <w:b/>
      <w:caps/>
      <w:color w:val="0C2847"/>
      <w:sz w:val="28"/>
    </w:rPr>
  </w:style>
  <w:style w:type="character" w:customStyle="1" w:styleId="Tab1Zchn">
    <w:name w:val="TabÜ1 Zchn"/>
    <w:link w:val="Tab1"/>
    <w:rsid w:val="009D334B"/>
    <w:rPr>
      <w:rFonts w:ascii="Calibri" w:eastAsia="Times" w:hAnsi="Calibri" w:cs="Calibri"/>
      <w:b/>
      <w:color w:val="FFFFFF" w:themeColor="background1"/>
    </w:rPr>
  </w:style>
  <w:style w:type="paragraph" w:customStyle="1" w:styleId="3">
    <w:name w:val="Ü3"/>
    <w:basedOn w:val="Standard"/>
    <w:link w:val="3Zchn"/>
    <w:rsid w:val="009D334B"/>
    <w:rPr>
      <w:rFonts w:ascii="Calibri" w:eastAsia="Times" w:hAnsi="Calibri" w:cs="Calibri"/>
      <w:b/>
    </w:rPr>
  </w:style>
  <w:style w:type="character" w:customStyle="1" w:styleId="3Zchn">
    <w:name w:val="Ü3 Zchn"/>
    <w:link w:val="3"/>
    <w:rsid w:val="009D334B"/>
    <w:rPr>
      <w:rFonts w:ascii="Calibri" w:eastAsia="Times" w:hAnsi="Calibri" w:cs="Calibri"/>
      <w:b/>
    </w:rPr>
  </w:style>
  <w:style w:type="paragraph" w:customStyle="1" w:styleId="4">
    <w:name w:val="Ü4"/>
    <w:basedOn w:val="3"/>
    <w:link w:val="4Zchn"/>
    <w:rsid w:val="009D334B"/>
    <w:rPr>
      <w:b w:val="0"/>
      <w:i/>
    </w:rPr>
  </w:style>
  <w:style w:type="character" w:customStyle="1" w:styleId="4Zchn">
    <w:name w:val="Ü4 Zchn"/>
    <w:basedOn w:val="3Zchn"/>
    <w:link w:val="4"/>
    <w:rsid w:val="009D334B"/>
    <w:rPr>
      <w:rFonts w:ascii="Calibri" w:eastAsia="Times" w:hAnsi="Calibri" w:cs="Calibri"/>
      <w:b w:val="0"/>
      <w:i/>
    </w:rPr>
  </w:style>
  <w:style w:type="paragraph" w:customStyle="1" w:styleId="E2">
    <w:name w:val="EÜ2"/>
    <w:basedOn w:val="Standard"/>
    <w:link w:val="E2Zchn"/>
    <w:rsid w:val="009D334B"/>
    <w:pPr>
      <w:spacing w:after="120"/>
    </w:pPr>
    <w:rPr>
      <w:rFonts w:ascii="Calibri" w:hAnsi="Calibri" w:cs="Calibri"/>
      <w:b/>
      <w:color w:val="0071A6"/>
      <w:sz w:val="24"/>
    </w:rPr>
  </w:style>
  <w:style w:type="character" w:customStyle="1" w:styleId="E2Zchn">
    <w:name w:val="EÜ2 Zchn"/>
    <w:basedOn w:val="Absatz-Standardschriftart"/>
    <w:link w:val="E2"/>
    <w:rsid w:val="009D334B"/>
    <w:rPr>
      <w:rFonts w:ascii="Calibri" w:hAnsi="Calibri" w:cs="Calibri"/>
      <w:b/>
      <w:color w:val="0071A6"/>
      <w:sz w:val="24"/>
    </w:rPr>
  </w:style>
  <w:style w:type="paragraph" w:customStyle="1" w:styleId="Aufz3">
    <w:name w:val="Aufz. 3"/>
    <w:basedOn w:val="Auf2"/>
    <w:link w:val="Aufz3Zchn"/>
    <w:qFormat/>
    <w:rsid w:val="009D334B"/>
    <w:pPr>
      <w:numPr>
        <w:ilvl w:val="2"/>
      </w:numPr>
      <w:ind w:left="993" w:hanging="284"/>
    </w:pPr>
  </w:style>
  <w:style w:type="paragraph" w:customStyle="1" w:styleId="Aufz2">
    <w:name w:val="Aufz. 2"/>
    <w:basedOn w:val="Auf2"/>
    <w:link w:val="Aufz2Zchn"/>
    <w:qFormat/>
    <w:rsid w:val="009D334B"/>
    <w:pPr>
      <w:ind w:left="709" w:hanging="283"/>
    </w:pPr>
  </w:style>
  <w:style w:type="character" w:customStyle="1" w:styleId="Aufz3Zchn">
    <w:name w:val="Aufz. 3 Zchn"/>
    <w:basedOn w:val="Auf2Zchn"/>
    <w:link w:val="Aufz3"/>
    <w:rsid w:val="009D334B"/>
    <w:rPr>
      <w:rFonts w:cstheme="minorHAnsi"/>
    </w:rPr>
  </w:style>
  <w:style w:type="paragraph" w:customStyle="1" w:styleId="Tab2">
    <w:name w:val="TabÜ2"/>
    <w:basedOn w:val="Standard"/>
    <w:link w:val="Tab2Zchn"/>
    <w:qFormat/>
    <w:rsid w:val="008B29B4"/>
    <w:rPr>
      <w:b/>
      <w:color w:val="0C2847"/>
    </w:rPr>
  </w:style>
  <w:style w:type="character" w:customStyle="1" w:styleId="Aufz2Zchn">
    <w:name w:val="Aufz. 2 Zchn"/>
    <w:basedOn w:val="Auf2Zchn"/>
    <w:link w:val="Aufz2"/>
    <w:rsid w:val="009D334B"/>
    <w:rPr>
      <w:rFonts w:cstheme="minorHAnsi"/>
    </w:rPr>
  </w:style>
  <w:style w:type="character" w:customStyle="1" w:styleId="Tab2Zchn">
    <w:name w:val="TabÜ2 Zchn"/>
    <w:basedOn w:val="Absatz-Standardschriftart"/>
    <w:link w:val="Tab2"/>
    <w:rsid w:val="008B29B4"/>
    <w:rPr>
      <w:rFonts w:cstheme="minorHAnsi"/>
      <w:b/>
      <w:color w:val="0C2847"/>
    </w:rPr>
  </w:style>
  <w:style w:type="paragraph" w:customStyle="1" w:styleId="2">
    <w:name w:val="Ü 2"/>
    <w:basedOn w:val="E2"/>
    <w:link w:val="2Zchn"/>
    <w:rsid w:val="009D334B"/>
    <w:pPr>
      <w:spacing w:after="0"/>
    </w:pPr>
  </w:style>
  <w:style w:type="character" w:customStyle="1" w:styleId="2Zchn">
    <w:name w:val="Ü 2 Zchn"/>
    <w:basedOn w:val="E2Zchn"/>
    <w:link w:val="2"/>
    <w:rsid w:val="009D334B"/>
    <w:rPr>
      <w:rFonts w:ascii="Calibri" w:hAnsi="Calibri" w:cs="Calibri"/>
      <w:b/>
      <w:color w:val="0071A6"/>
      <w:sz w:val="24"/>
    </w:rPr>
  </w:style>
  <w:style w:type="paragraph" w:customStyle="1" w:styleId="Head2">
    <w:name w:val="Head2"/>
    <w:basedOn w:val="Standard"/>
    <w:link w:val="Head2Zchn"/>
    <w:qFormat/>
    <w:rsid w:val="009D334B"/>
    <w:pPr>
      <w:spacing w:line="240" w:lineRule="auto"/>
    </w:pPr>
    <w:rPr>
      <w:color w:val="0C2847"/>
      <w:sz w:val="18"/>
    </w:rPr>
  </w:style>
  <w:style w:type="paragraph" w:customStyle="1" w:styleId="HeadStriche">
    <w:name w:val="HeadStriche"/>
    <w:basedOn w:val="berschrift1"/>
    <w:link w:val="HeadStricheZchn"/>
    <w:qFormat/>
    <w:rsid w:val="009D334B"/>
    <w:pPr>
      <w:spacing w:before="0"/>
    </w:pPr>
    <w:rPr>
      <w:rFonts w:ascii="Calibri" w:hAnsi="Calibri" w:cs="Calibri"/>
      <w:b w:val="0"/>
      <w:color w:val="0071A6"/>
      <w:sz w:val="14"/>
    </w:rPr>
  </w:style>
  <w:style w:type="character" w:customStyle="1" w:styleId="Head2Zchn">
    <w:name w:val="Head2 Zchn"/>
    <w:basedOn w:val="Absatz-Standardschriftart"/>
    <w:link w:val="Head2"/>
    <w:rsid w:val="009D334B"/>
    <w:rPr>
      <w:rFonts w:cstheme="minorHAnsi"/>
      <w:color w:val="0C2847"/>
      <w:sz w:val="18"/>
    </w:rPr>
  </w:style>
  <w:style w:type="character" w:customStyle="1" w:styleId="HeadStricheZchn">
    <w:name w:val="HeadStriche Zchn"/>
    <w:basedOn w:val="berschrift1Zchn"/>
    <w:link w:val="HeadStriche"/>
    <w:rsid w:val="009D334B"/>
    <w:rPr>
      <w:rFonts w:ascii="Calibri" w:eastAsiaTheme="majorEastAsia" w:hAnsi="Calibri" w:cs="Calibri"/>
      <w:b w:val="0"/>
      <w:caps/>
      <w:color w:val="0071A6"/>
      <w:sz w:val="14"/>
    </w:rPr>
  </w:style>
  <w:style w:type="paragraph" w:styleId="Listenabsatz">
    <w:name w:val="List Paragraph"/>
    <w:basedOn w:val="Standard"/>
    <w:uiPriority w:val="34"/>
    <w:rsid w:val="009D334B"/>
    <w:pPr>
      <w:ind w:left="720"/>
      <w:contextualSpacing/>
    </w:pPr>
  </w:style>
  <w:style w:type="character" w:customStyle="1" w:styleId="berschrift1Zchn">
    <w:name w:val="Überschrift 1 Zchn"/>
    <w:basedOn w:val="Absatz-Standardschriftart"/>
    <w:link w:val="berschrift1"/>
    <w:uiPriority w:val="9"/>
    <w:rsid w:val="000C5941"/>
    <w:rPr>
      <w:rFonts w:eastAsiaTheme="majorEastAsia" w:cstheme="majorBidi"/>
      <w:b/>
      <w:caps/>
      <w:color w:val="0C2847"/>
      <w:sz w:val="28"/>
    </w:rPr>
  </w:style>
  <w:style w:type="character" w:customStyle="1" w:styleId="berschrift2Zchn">
    <w:name w:val="Überschrift 2 Zchn"/>
    <w:basedOn w:val="Absatz-Standardschriftart"/>
    <w:link w:val="berschrift2"/>
    <w:uiPriority w:val="9"/>
    <w:rsid w:val="009D334B"/>
    <w:rPr>
      <w:rFonts w:eastAsiaTheme="majorEastAsia" w:cstheme="majorBidi"/>
      <w:b/>
      <w:color w:val="2E74B5" w:themeColor="accent1" w:themeShade="BF"/>
      <w:sz w:val="24"/>
    </w:rPr>
  </w:style>
  <w:style w:type="character" w:customStyle="1" w:styleId="berschrift3Zchn">
    <w:name w:val="Überschrift 3 Zchn"/>
    <w:basedOn w:val="Absatz-Standardschriftart"/>
    <w:link w:val="berschrift3"/>
    <w:uiPriority w:val="9"/>
    <w:rsid w:val="009D334B"/>
    <w:rPr>
      <w:rFonts w:eastAsiaTheme="majorEastAsia" w:cstheme="majorBidi"/>
      <w:b/>
    </w:rPr>
  </w:style>
  <w:style w:type="character" w:customStyle="1" w:styleId="berschrift4Zchn">
    <w:name w:val="Überschrift 4 Zchn"/>
    <w:basedOn w:val="Absatz-Standardschriftart"/>
    <w:link w:val="berschrift4"/>
    <w:uiPriority w:val="9"/>
    <w:rsid w:val="009D334B"/>
    <w:rPr>
      <w:rFonts w:eastAsiaTheme="majorEastAsia" w:cstheme="majorBidi"/>
      <w:i/>
    </w:rPr>
  </w:style>
  <w:style w:type="paragraph" w:styleId="Inhaltsverzeichnisberschrift">
    <w:name w:val="TOC Heading"/>
    <w:basedOn w:val="berschrift1"/>
    <w:next w:val="Standard"/>
    <w:uiPriority w:val="39"/>
    <w:unhideWhenUsed/>
    <w:qFormat/>
    <w:rsid w:val="009D334B"/>
    <w:pPr>
      <w:spacing w:line="259" w:lineRule="auto"/>
      <w:outlineLvl w:val="9"/>
    </w:pPr>
  </w:style>
  <w:style w:type="paragraph" w:styleId="Verzeichnis1">
    <w:name w:val="toc 1"/>
    <w:basedOn w:val="Standard"/>
    <w:next w:val="Standard"/>
    <w:autoRedefine/>
    <w:uiPriority w:val="39"/>
    <w:unhideWhenUsed/>
    <w:rsid w:val="009D334B"/>
    <w:pPr>
      <w:spacing w:after="100"/>
    </w:pPr>
  </w:style>
  <w:style w:type="paragraph" w:styleId="Verzeichnis2">
    <w:name w:val="toc 2"/>
    <w:basedOn w:val="Standard"/>
    <w:next w:val="Standard"/>
    <w:autoRedefine/>
    <w:uiPriority w:val="39"/>
    <w:unhideWhenUsed/>
    <w:rsid w:val="009D334B"/>
    <w:pPr>
      <w:spacing w:after="100"/>
      <w:ind w:left="220"/>
    </w:pPr>
  </w:style>
  <w:style w:type="paragraph" w:styleId="Verzeichnis3">
    <w:name w:val="toc 3"/>
    <w:basedOn w:val="Standard"/>
    <w:next w:val="Standard"/>
    <w:autoRedefine/>
    <w:uiPriority w:val="39"/>
    <w:unhideWhenUsed/>
    <w:rsid w:val="009D334B"/>
    <w:pPr>
      <w:spacing w:after="100"/>
      <w:ind w:left="440"/>
    </w:pPr>
  </w:style>
  <w:style w:type="character" w:styleId="Hyperlink">
    <w:name w:val="Hyperlink"/>
    <w:basedOn w:val="Absatz-Standardschriftart"/>
    <w:uiPriority w:val="99"/>
    <w:unhideWhenUsed/>
    <w:rsid w:val="009D334B"/>
    <w:rPr>
      <w:color w:val="0563C1" w:themeColor="hyperlink"/>
      <w:u w:val="single"/>
    </w:rPr>
  </w:style>
  <w:style w:type="paragraph" w:customStyle="1" w:styleId="Tab20">
    <w:name w:val="Tab Ü2"/>
    <w:basedOn w:val="Auf2"/>
    <w:rsid w:val="00245CD9"/>
    <w:pPr>
      <w:ind w:left="425" w:hanging="227"/>
    </w:pPr>
  </w:style>
  <w:style w:type="paragraph" w:customStyle="1" w:styleId="TabAufz1">
    <w:name w:val="Tab Aufz1"/>
    <w:basedOn w:val="Aufz1"/>
    <w:qFormat/>
    <w:rsid w:val="00245CD9"/>
    <w:pPr>
      <w:ind w:hanging="227"/>
    </w:pPr>
  </w:style>
  <w:style w:type="character" w:styleId="IntensiverVerweis">
    <w:name w:val="Intense Reference"/>
    <w:basedOn w:val="Absatz-Standardschriftart"/>
    <w:uiPriority w:val="32"/>
    <w:rsid w:val="003D2151"/>
    <w:rPr>
      <w:b/>
      <w:smallCaps/>
      <w:color w:val="5B9BD5" w:themeColor="accent1"/>
    </w:rPr>
  </w:style>
  <w:style w:type="paragraph" w:customStyle="1" w:styleId="TabAufz2">
    <w:name w:val="Tab Aufz2"/>
    <w:basedOn w:val="Tab20"/>
    <w:qFormat/>
    <w:rsid w:val="008B29B4"/>
    <w:pPr>
      <w:ind w:left="1440" w:hanging="360"/>
    </w:pPr>
  </w:style>
  <w:style w:type="paragraph" w:customStyle="1" w:styleId="TabAufz3">
    <w:name w:val="Tab Aufz3"/>
    <w:basedOn w:val="Aufz3"/>
    <w:qFormat/>
    <w:rsid w:val="008B29B4"/>
    <w:pPr>
      <w:ind w:left="425" w:hanging="227"/>
    </w:pPr>
  </w:style>
  <w:style w:type="paragraph" w:styleId="Sprechblasentext">
    <w:name w:val="Balloon Text"/>
    <w:basedOn w:val="Standard"/>
    <w:link w:val="SprechblasentextZchn"/>
    <w:uiPriority w:val="99"/>
    <w:semiHidden/>
    <w:unhideWhenUsed/>
    <w:rsid w:val="004B0B0B"/>
    <w:pPr>
      <w:spacing w:line="240" w:lineRule="auto"/>
    </w:pPr>
    <w:rPr>
      <w:rFonts w:ascii="Tahoma" w:hAnsi="Tahoma" w:cs="Tahoma"/>
      <w:sz w:val="16"/>
    </w:rPr>
  </w:style>
  <w:style w:type="character" w:customStyle="1" w:styleId="SprechblasentextZchn">
    <w:name w:val="Sprechblasentext Zchn"/>
    <w:basedOn w:val="Absatz-Standardschriftart"/>
    <w:link w:val="Sprechblasentext"/>
    <w:uiPriority w:val="99"/>
    <w:semiHidden/>
    <w:rsid w:val="004B0B0B"/>
    <w:rPr>
      <w:rFonts w:ascii="Tahoma" w:hAnsi="Tahoma" w:cs="Tahoma"/>
      <w:sz w:val="16"/>
    </w:rPr>
  </w:style>
  <w:style w:type="paragraph" w:customStyle="1" w:styleId="Numberschrift">
    <w:name w:val="Num. Überschrift"/>
    <w:basedOn w:val="berschrift1"/>
    <w:link w:val="NumberschriftZchn"/>
    <w:qFormat/>
    <w:rsid w:val="00F969C8"/>
    <w:pPr>
      <w:numPr>
        <w:numId w:val="4"/>
      </w:numPr>
      <w:ind w:left="284" w:hanging="284"/>
    </w:pPr>
  </w:style>
  <w:style w:type="paragraph" w:customStyle="1" w:styleId="Aufzberschrift">
    <w:name w:val="Aufz. Überschrift"/>
    <w:basedOn w:val="Numberschrift"/>
    <w:qFormat/>
    <w:rsid w:val="00F969C8"/>
    <w:pPr>
      <w:numPr>
        <w:numId w:val="5"/>
      </w:numPr>
      <w:ind w:left="284" w:hanging="284"/>
    </w:pPr>
  </w:style>
  <w:style w:type="character" w:customStyle="1" w:styleId="NumberschriftZchn">
    <w:name w:val="Num. Überschrift Zchn"/>
    <w:basedOn w:val="berschrift1Zchn"/>
    <w:link w:val="Numberschrift"/>
    <w:rsid w:val="00F969C8"/>
    <w:rPr>
      <w:rFonts w:eastAsiaTheme="majorEastAsia" w:cstheme="majorBidi"/>
      <w:b/>
      <w:caps/>
      <w:color w:val="0C2847"/>
      <w:sz w:val="28"/>
    </w:rPr>
  </w:style>
  <w:style w:type="paragraph" w:styleId="Funotentext">
    <w:name w:val="footnote text"/>
    <w:basedOn w:val="Standard"/>
    <w:link w:val="FunotentextZchn"/>
    <w:uiPriority w:val="99"/>
    <w:semiHidden/>
    <w:unhideWhenUsed/>
    <w:rsid w:val="00905536"/>
    <w:pPr>
      <w:spacing w:line="240" w:lineRule="auto"/>
    </w:pPr>
    <w:rPr>
      <w:sz w:val="20"/>
    </w:rPr>
  </w:style>
  <w:style w:type="character" w:customStyle="1" w:styleId="FunotentextZchn">
    <w:name w:val="Fußnotentext Zchn"/>
    <w:basedOn w:val="Absatz-Standardschriftart"/>
    <w:link w:val="Funotentext"/>
    <w:uiPriority w:val="99"/>
    <w:semiHidden/>
    <w:rsid w:val="00905536"/>
    <w:rPr>
      <w:rFonts w:cstheme="minorHAnsi"/>
      <w:sz w:val="20"/>
    </w:rPr>
  </w:style>
  <w:style w:type="character" w:styleId="Funotenzeichen">
    <w:name w:val="footnote reference"/>
    <w:basedOn w:val="Absatz-Standardschriftart"/>
    <w:uiPriority w:val="99"/>
    <w:semiHidden/>
    <w:unhideWhenUsed/>
    <w:rsid w:val="00905536"/>
    <w:rPr>
      <w:vertAlign w:val="superscript"/>
    </w:rPr>
  </w:style>
  <w:style w:type="character" w:styleId="BesuchterLink">
    <w:name w:val="FollowedHyperlink"/>
    <w:basedOn w:val="Absatz-Standardschriftart"/>
    <w:uiPriority w:val="99"/>
    <w:semiHidden/>
    <w:unhideWhenUsed/>
    <w:rsid w:val="00905536"/>
    <w:rPr>
      <w:color w:val="954F72" w:themeColor="followedHyperlink"/>
      <w:u w:val="single"/>
    </w:rPr>
  </w:style>
  <w:style w:type="paragraph" w:styleId="Endnotentext">
    <w:name w:val="endnote text"/>
    <w:basedOn w:val="Standard"/>
    <w:link w:val="EndnotentextZchn"/>
    <w:uiPriority w:val="99"/>
    <w:unhideWhenUsed/>
    <w:rsid w:val="0010787D"/>
    <w:pPr>
      <w:spacing w:line="240" w:lineRule="auto"/>
    </w:pPr>
    <w:rPr>
      <w:rFonts w:ascii="Calibri" w:hAnsi="Calibri" w:cs="Times New Roman"/>
      <w:sz w:val="20"/>
    </w:rPr>
  </w:style>
  <w:style w:type="character" w:customStyle="1" w:styleId="EndnotentextZchn">
    <w:name w:val="Endnotentext Zchn"/>
    <w:basedOn w:val="Absatz-Standardschriftart"/>
    <w:link w:val="Endnotentext"/>
    <w:uiPriority w:val="99"/>
    <w:rsid w:val="0010787D"/>
    <w:rPr>
      <w:rFonts w:ascii="Calibri" w:hAnsi="Calibri" w:cs="Times New Roman"/>
      <w:sz w:val="20"/>
    </w:rPr>
  </w:style>
  <w:style w:type="paragraph" w:styleId="KeinLeerraum">
    <w:name w:val="No Spacing"/>
    <w:uiPriority w:val="1"/>
    <w:qFormat/>
    <w:rsid w:val="00BB7B6F"/>
    <w:pPr>
      <w:spacing w:after="0" w:line="240" w:lineRule="auto"/>
    </w:pPr>
    <w:rPr>
      <w:rFonts w:cstheme="minorHAnsi"/>
    </w:rPr>
  </w:style>
  <w:style w:type="paragraph" w:styleId="Kommentartext">
    <w:name w:val="annotation text"/>
    <w:basedOn w:val="Standard"/>
    <w:link w:val="KommentartextZchn"/>
    <w:uiPriority w:val="99"/>
    <w:unhideWhenUsed/>
    <w:pPr>
      <w:spacing w:line="240" w:lineRule="auto"/>
    </w:pPr>
    <w:rPr>
      <w:sz w:val="20"/>
    </w:rPr>
  </w:style>
  <w:style w:type="character" w:customStyle="1" w:styleId="KommentartextZchn">
    <w:name w:val="Kommentartext Zchn"/>
    <w:basedOn w:val="Absatz-Standardschriftart"/>
    <w:link w:val="Kommentartext"/>
    <w:uiPriority w:val="99"/>
    <w:rPr>
      <w:rFonts w:cstheme="minorHAnsi"/>
      <w:sz w:val="20"/>
    </w:rPr>
  </w:style>
  <w:style w:type="character" w:styleId="Kommentarzeichen">
    <w:name w:val="annotation reference"/>
    <w:basedOn w:val="Absatz-Standardschriftart"/>
    <w:uiPriority w:val="99"/>
    <w:semiHidden/>
    <w:unhideWhenUsed/>
    <w:rPr>
      <w:sz w:val="16"/>
    </w:rPr>
  </w:style>
  <w:style w:type="paragraph" w:styleId="Kommentarthema">
    <w:name w:val="annotation subject"/>
    <w:basedOn w:val="Kommentartext"/>
    <w:next w:val="Kommentartext"/>
    <w:link w:val="KommentarthemaZchn"/>
    <w:uiPriority w:val="99"/>
    <w:semiHidden/>
    <w:unhideWhenUsed/>
    <w:rsid w:val="00E66C14"/>
    <w:rPr>
      <w:b/>
    </w:rPr>
  </w:style>
  <w:style w:type="character" w:customStyle="1" w:styleId="KommentarthemaZchn">
    <w:name w:val="Kommentarthema Zchn"/>
    <w:basedOn w:val="KommentartextZchn"/>
    <w:link w:val="Kommentarthema"/>
    <w:uiPriority w:val="99"/>
    <w:semiHidden/>
    <w:rsid w:val="00E66C14"/>
    <w:rPr>
      <w:rFonts w:cstheme="minorHAnsi"/>
      <w:b/>
      <w:sz w:val="20"/>
    </w:rPr>
  </w:style>
  <w:style w:type="character" w:styleId="NichtaufgelsteErwhnung">
    <w:name w:val="Unresolved Mention"/>
    <w:basedOn w:val="Absatz-Standardschriftart"/>
    <w:uiPriority w:val="99"/>
    <w:semiHidden/>
    <w:unhideWhenUsed/>
    <w:rsid w:val="00BA7929"/>
    <w:rPr>
      <w:color w:val="605E5C"/>
      <w:shd w:val="clear" w:color="auto" w:fill="E1DFDD"/>
    </w:rPr>
  </w:style>
  <w:style w:type="paragraph" w:customStyle="1" w:styleId="pf0">
    <w:name w:val="pf0"/>
    <w:basedOn w:val="Standard"/>
    <w:rsid w:val="00762F38"/>
    <w:pPr>
      <w:spacing w:before="100" w:beforeAutospacing="1" w:after="100" w:afterAutospacing="1" w:line="240" w:lineRule="auto"/>
    </w:pPr>
    <w:rPr>
      <w:rFonts w:ascii="Times New Roman" w:eastAsia="Times New Roman" w:hAnsi="Times New Roman" w:cs="Times New Roman"/>
      <w:sz w:val="24"/>
    </w:rPr>
  </w:style>
  <w:style w:type="character" w:customStyle="1" w:styleId="cf01">
    <w:name w:val="cf01"/>
    <w:basedOn w:val="Absatz-Standardschriftart"/>
    <w:rsid w:val="00762F38"/>
    <w:rPr>
      <w:rFonts w:ascii="Segoe UI" w:hAnsi="Segoe UI" w:cs="Segoe UI" w:hint="default"/>
      <w:sz w:val="18"/>
    </w:rPr>
  </w:style>
  <w:style w:type="character" w:customStyle="1" w:styleId="cf11">
    <w:name w:val="cf11"/>
    <w:basedOn w:val="Absatz-Standardschriftart"/>
    <w:rsid w:val="00762F38"/>
    <w:rPr>
      <w:rFonts w:ascii="Segoe UI" w:hAnsi="Segoe UI" w:cs="Segoe UI" w:hint="default"/>
      <w:b/>
      <w:sz w:val="18"/>
    </w:rPr>
  </w:style>
  <w:style w:type="character" w:customStyle="1" w:styleId="cf21">
    <w:name w:val="cf21"/>
    <w:basedOn w:val="Absatz-Standardschriftart"/>
    <w:rsid w:val="00762F38"/>
    <w:rPr>
      <w:rFonts w:ascii="Segoe UI" w:hAnsi="Segoe UI" w:cs="Segoe UI" w:hint="default"/>
      <w:i/>
      <w:sz w:val="18"/>
    </w:rPr>
  </w:style>
  <w:style w:type="paragraph" w:styleId="berarbeitung">
    <w:name w:val="Revision"/>
    <w:hidden/>
    <w:uiPriority w:val="99"/>
    <w:semiHidden/>
    <w:rsid w:val="00404E54"/>
    <w:pPr>
      <w:spacing w:after="0" w:line="240" w:lineRule="auto"/>
    </w:pPr>
    <w:rPr>
      <w:rFonts w:cstheme="minorHAnsi"/>
    </w:rPr>
  </w:style>
  <w:style w:type="paragraph" w:customStyle="1" w:styleId="P68B1DB1-berschrift11">
    <w:name w:val="P68B1DB1-berschrift11"/>
    <w:basedOn w:val="berschrift1"/>
    <w:rPr>
      <w:rFonts w:ascii="Outfit" w:hAnsi="Outfit"/>
      <w:color w:val="000000" w:themeColor="text1"/>
    </w:rPr>
  </w:style>
  <w:style w:type="paragraph" w:customStyle="1" w:styleId="P68B1DB1-berschrift22">
    <w:name w:val="P68B1DB1-berschrift22"/>
    <w:basedOn w:val="berschrift2"/>
    <w:rPr>
      <w:rFonts w:ascii="Outfit" w:hAnsi="Outfit"/>
      <w:color w:val="575178"/>
    </w:rPr>
  </w:style>
  <w:style w:type="paragraph" w:customStyle="1" w:styleId="P68B1DB1-berschrift43">
    <w:name w:val="P68B1DB1-berschrift43"/>
    <w:basedOn w:val="berschrift4"/>
    <w:rPr>
      <w:rFonts w:ascii="Outfit" w:hAnsi="Outfit"/>
      <w:b/>
      <w:i w:val="0"/>
    </w:rPr>
  </w:style>
  <w:style w:type="paragraph" w:customStyle="1" w:styleId="P68B1DB1-Standard4">
    <w:name w:val="P68B1DB1-Standard4"/>
    <w:basedOn w:val="Standard"/>
    <w:rPr>
      <w:rFonts w:ascii="Outfit" w:hAnsi="Outfit"/>
    </w:rPr>
  </w:style>
  <w:style w:type="paragraph" w:customStyle="1" w:styleId="P68B1DB1-berschrift45">
    <w:name w:val="P68B1DB1-berschrift45"/>
    <w:basedOn w:val="berschrift4"/>
    <w:rPr>
      <w:rFonts w:ascii="Outfit" w:hAnsi="Outfit"/>
    </w:rPr>
  </w:style>
  <w:style w:type="paragraph" w:customStyle="1" w:styleId="P68B1DB1-Listenabsatz6">
    <w:name w:val="P68B1DB1-Listenabsatz6"/>
    <w:basedOn w:val="Listenabsatz"/>
    <w:rPr>
      <w:rFonts w:ascii="Outfit" w:hAnsi="Outfit"/>
    </w:rPr>
  </w:style>
  <w:style w:type="paragraph" w:customStyle="1" w:styleId="P68B1DB1-Listenabsatz7">
    <w:name w:val="P68B1DB1-Listenabsatz7"/>
    <w:basedOn w:val="Listenabsatz"/>
    <w:rPr>
      <w:rFonts w:ascii="Outfit" w:eastAsia="Calibri" w:hAnsi="Outfit" w:cs="Calibri"/>
    </w:rPr>
  </w:style>
  <w:style w:type="paragraph" w:customStyle="1" w:styleId="P68B1DB1-berschrift38">
    <w:name w:val="P68B1DB1-berschrift38"/>
    <w:basedOn w:val="berschrift3"/>
    <w:rPr>
      <w:rFonts w:ascii="Outfit" w:hAnsi="Outf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87669">
      <w:bodyDiv w:val="1"/>
      <w:marLeft w:val="0"/>
      <w:marRight w:val="0"/>
      <w:marTop w:val="0"/>
      <w:marBottom w:val="0"/>
      <w:divBdr>
        <w:top w:val="none" w:sz="0" w:space="0" w:color="auto"/>
        <w:left w:val="none" w:sz="0" w:space="0" w:color="auto"/>
        <w:bottom w:val="none" w:sz="0" w:space="0" w:color="auto"/>
        <w:right w:val="none" w:sz="0" w:space="0" w:color="auto"/>
      </w:divBdr>
    </w:div>
    <w:div w:id="577712294">
      <w:bodyDiv w:val="1"/>
      <w:marLeft w:val="0"/>
      <w:marRight w:val="0"/>
      <w:marTop w:val="0"/>
      <w:marBottom w:val="0"/>
      <w:divBdr>
        <w:top w:val="none" w:sz="0" w:space="0" w:color="auto"/>
        <w:left w:val="none" w:sz="0" w:space="0" w:color="auto"/>
        <w:bottom w:val="none" w:sz="0" w:space="0" w:color="auto"/>
        <w:right w:val="none" w:sz="0" w:space="0" w:color="auto"/>
      </w:divBdr>
    </w:div>
    <w:div w:id="701170219">
      <w:bodyDiv w:val="1"/>
      <w:marLeft w:val="0"/>
      <w:marRight w:val="0"/>
      <w:marTop w:val="0"/>
      <w:marBottom w:val="0"/>
      <w:divBdr>
        <w:top w:val="none" w:sz="0" w:space="0" w:color="auto"/>
        <w:left w:val="none" w:sz="0" w:space="0" w:color="auto"/>
        <w:bottom w:val="none" w:sz="0" w:space="0" w:color="auto"/>
        <w:right w:val="none" w:sz="0" w:space="0" w:color="auto"/>
      </w:divBdr>
    </w:div>
    <w:div w:id="862590655">
      <w:bodyDiv w:val="1"/>
      <w:marLeft w:val="0"/>
      <w:marRight w:val="0"/>
      <w:marTop w:val="0"/>
      <w:marBottom w:val="0"/>
      <w:divBdr>
        <w:top w:val="none" w:sz="0" w:space="0" w:color="auto"/>
        <w:left w:val="none" w:sz="0" w:space="0" w:color="auto"/>
        <w:bottom w:val="none" w:sz="0" w:space="0" w:color="auto"/>
        <w:right w:val="none" w:sz="0" w:space="0" w:color="auto"/>
      </w:divBdr>
    </w:div>
    <w:div w:id="1009985480">
      <w:bodyDiv w:val="1"/>
      <w:marLeft w:val="0"/>
      <w:marRight w:val="0"/>
      <w:marTop w:val="0"/>
      <w:marBottom w:val="0"/>
      <w:divBdr>
        <w:top w:val="none" w:sz="0" w:space="0" w:color="auto"/>
        <w:left w:val="none" w:sz="0" w:space="0" w:color="auto"/>
        <w:bottom w:val="none" w:sz="0" w:space="0" w:color="auto"/>
        <w:right w:val="none" w:sz="0" w:space="0" w:color="auto"/>
      </w:divBdr>
    </w:div>
    <w:div w:id="1382286715">
      <w:bodyDiv w:val="1"/>
      <w:marLeft w:val="0"/>
      <w:marRight w:val="0"/>
      <w:marTop w:val="0"/>
      <w:marBottom w:val="0"/>
      <w:divBdr>
        <w:top w:val="none" w:sz="0" w:space="0" w:color="auto"/>
        <w:left w:val="none" w:sz="0" w:space="0" w:color="auto"/>
        <w:bottom w:val="none" w:sz="0" w:space="0" w:color="auto"/>
        <w:right w:val="none" w:sz="0" w:space="0" w:color="auto"/>
      </w:divBdr>
    </w:div>
    <w:div w:id="1510950445">
      <w:bodyDiv w:val="1"/>
      <w:marLeft w:val="0"/>
      <w:marRight w:val="0"/>
      <w:marTop w:val="0"/>
      <w:marBottom w:val="0"/>
      <w:divBdr>
        <w:top w:val="none" w:sz="0" w:space="0" w:color="auto"/>
        <w:left w:val="none" w:sz="0" w:space="0" w:color="auto"/>
        <w:bottom w:val="none" w:sz="0" w:space="0" w:color="auto"/>
        <w:right w:val="none" w:sz="0" w:space="0" w:color="auto"/>
      </w:divBdr>
    </w:div>
    <w:div w:id="1722170618">
      <w:bodyDiv w:val="1"/>
      <w:marLeft w:val="0"/>
      <w:marRight w:val="0"/>
      <w:marTop w:val="0"/>
      <w:marBottom w:val="0"/>
      <w:divBdr>
        <w:top w:val="none" w:sz="0" w:space="0" w:color="auto"/>
        <w:left w:val="none" w:sz="0" w:space="0" w:color="auto"/>
        <w:bottom w:val="none" w:sz="0" w:space="0" w:color="auto"/>
        <w:right w:val="none" w:sz="0" w:space="0" w:color="auto"/>
      </w:divBdr>
    </w:div>
    <w:div w:id="190225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gesetze-im-internet.de/asylblg/index.html" TargetMode="External"/><Relationship Id="rId3" Type="http://schemas.openxmlformats.org/officeDocument/2006/relationships/hyperlink" Target="https://www.destatis.de/DE/Presse/Pressemitteilungen/2025/03/PD25_N010_13.html" TargetMode="External"/><Relationship Id="rId7" Type="http://schemas.openxmlformats.org/officeDocument/2006/relationships/hyperlink" Target="https://www.migrationsrecht.net/kommentar-aufenthaltsgesetz-aufenthg-gesetz-aufenthalt-erwerbstaetigkeit-aufenthaltserlaubnis-niederlassungserlaubnis-aufenthg/paragraph-87-uebermittlungen-an-auslaenderbehoerden.html" TargetMode="External"/><Relationship Id="rId2" Type="http://schemas.openxmlformats.org/officeDocument/2006/relationships/hyperlink" Target="https://data.ipu.org/women-ranking/?date_month=7&amp;date_year=2025" TargetMode="External"/><Relationship Id="rId1" Type="http://schemas.openxmlformats.org/officeDocument/2006/relationships/hyperlink" Target="https://www.bundesstiftung-gleichstellung.de/wp-content/uploads/2025/05/Repraesentanz-und-Teilhabe-von-Frauen-in-der-Politik-Langfassung_05052025.pdf" TargetMode="External"/><Relationship Id="rId6" Type="http://schemas.openxmlformats.org/officeDocument/2006/relationships/hyperlink" Target="https://www.bundestag.de/resource/blob/933878/K-Drs-061-Stellungnahme-Prof-Dr-Laskowski-und-Ferner-Hauptstimmen-und-paritaetsabhaengige-Mandatszuteilung.pdf" TargetMode="External"/><Relationship Id="rId5" Type="http://schemas.openxmlformats.org/officeDocument/2006/relationships/hyperlink" Target="https://www.dezim-institut.de/fileadmin/user_upload/Demo_FIS/publikation_pdf/FA-6174.pdf" TargetMode="External"/><Relationship Id="rId4" Type="http://schemas.openxmlformats.org/officeDocument/2006/relationships/hyperlink" Target="https://www.dstgb.de/themen/lokale-demokratie/aktuelles/neue-schaetzungen-zur-anzahl-der-buergermeisterinnen-in-deutschland/stug-0624-fin-stocker.pdf?cid=10n7" TargetMode="External"/><Relationship Id="rId9" Type="http://schemas.openxmlformats.org/officeDocument/2006/relationships/hyperlink" Target="https://www.koalitionsvertrag2025.de/sites/www.koalitionsvertrag2025.de/files/koav_202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99fd6ed-e212-4469-b4f0-00e6a37c222e" xsi:nil="true"/>
    <lcf76f155ced4ddcb4097134ff3c332f xmlns="b7c6f89e-fe46-4492-91f2-63ee57bf36aa">
      <Terms xmlns="http://schemas.microsoft.com/office/infopath/2007/PartnerControls"/>
    </lcf76f155ced4ddcb4097134ff3c332f>
    <SharedWithUsers xmlns="299fd6ed-e212-4469-b4f0-00e6a37c222e">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DCDA9B14A185A4ABF6FEC2274C0C82C" ma:contentTypeVersion="16" ma:contentTypeDescription="Ein neues Dokument erstellen." ma:contentTypeScope="" ma:versionID="0b1b99ac7f6a9197d5f9d174da49b131">
  <xsd:schema xmlns:xsd="http://www.w3.org/2001/XMLSchema" xmlns:xs="http://www.w3.org/2001/XMLSchema" xmlns:p="http://schemas.microsoft.com/office/2006/metadata/properties" xmlns:ns2="b7c6f89e-fe46-4492-91f2-63ee57bf36aa" xmlns:ns3="299fd6ed-e212-4469-b4f0-00e6a37c222e" targetNamespace="http://schemas.microsoft.com/office/2006/metadata/properties" ma:root="true" ma:fieldsID="9b46c8bb17f9b1d5d646edcbdeb1da08" ns2:_="" ns3:_="">
    <xsd:import namespace="b7c6f89e-fe46-4492-91f2-63ee57bf36aa"/>
    <xsd:import namespace="299fd6ed-e212-4469-b4f0-00e6a37c22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c6f89e-fe46-4492-91f2-63ee57bf36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2da76827-2a5a-4ae8-b42d-b34705802a5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9fd6ed-e212-4469-b4f0-00e6a37c22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1466ea-2d50-4112-96b7-a076e6fb447e}" ma:internalName="TaxCatchAll" ma:showField="CatchAllData" ma:web="299fd6ed-e212-4469-b4f0-00e6a37c222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5EADAC-3F75-4A4F-B2E1-62EE60C7DD87}">
  <ds:schemaRefs>
    <ds:schemaRef ds:uri="http://schemas.microsoft.com/office/2006/metadata/properties"/>
    <ds:schemaRef ds:uri="http://schemas.microsoft.com/office/infopath/2007/PartnerControls"/>
    <ds:schemaRef ds:uri="299fd6ed-e212-4469-b4f0-00e6a37c222e"/>
    <ds:schemaRef ds:uri="b7c6f89e-fe46-4492-91f2-63ee57bf36aa"/>
  </ds:schemaRefs>
</ds:datastoreItem>
</file>

<file path=customXml/itemProps2.xml><?xml version="1.0" encoding="utf-8"?>
<ds:datastoreItem xmlns:ds="http://schemas.openxmlformats.org/officeDocument/2006/customXml" ds:itemID="{6925C8FE-FB26-475E-AD1B-522250CE3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c6f89e-fe46-4492-91f2-63ee57bf36aa"/>
    <ds:schemaRef ds:uri="299fd6ed-e212-4469-b4f0-00e6a37c2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0E1DC-FA9C-4E0A-A9AB-443DF3350946}">
  <ds:schemaRefs>
    <ds:schemaRef ds:uri="http://schemas.openxmlformats.org/officeDocument/2006/bibliography"/>
  </ds:schemaRefs>
</ds:datastoreItem>
</file>

<file path=customXml/itemProps4.xml><?xml version="1.0" encoding="utf-8"?>
<ds:datastoreItem xmlns:ds="http://schemas.openxmlformats.org/officeDocument/2006/customXml" ds:itemID="{EEE85FC0-A8CB-4E8D-9133-72D0DDE948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926</Words>
  <Characters>6523</Characters>
  <Application>Microsoft Office Word</Application>
  <DocSecurity>0</DocSecurity>
  <Lines>103</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Gey | CEDAW-Allianz</dc:creator>
  <cp:keywords/>
  <dc:description/>
  <cp:lastModifiedBy>Laura Gey | CEDAW-Allianz</cp:lastModifiedBy>
  <cp:revision>8</cp:revision>
  <dcterms:created xsi:type="dcterms:W3CDTF">2025-09-15T07:20:00Z</dcterms:created>
  <dcterms:modified xsi:type="dcterms:W3CDTF">2025-09-16T09:13:00Z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0x0101009DCDA9B14A185A4ABF6FEC2274C0C82C</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