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93E48" w14:textId="77777777" w:rsidR="00B27002" w:rsidRDefault="00B27002" w:rsidP="00573E0E">
      <w:pPr>
        <w:jc w:val="center"/>
        <w:rPr>
          <w:rFonts w:ascii="Calibri" w:hAnsi="Calibri" w:cs="Calibri"/>
          <w:b/>
          <w:bCs/>
          <w:color w:val="000000" w:themeColor="text1"/>
          <w:lang w:val="es-ES"/>
        </w:rPr>
      </w:pPr>
    </w:p>
    <w:p w14:paraId="2B44DED3" w14:textId="77777777" w:rsidR="00B27002" w:rsidRDefault="00B27002" w:rsidP="00573E0E">
      <w:pPr>
        <w:jc w:val="center"/>
        <w:rPr>
          <w:rFonts w:ascii="Calibri" w:hAnsi="Calibri" w:cs="Calibri"/>
          <w:b/>
          <w:bCs/>
          <w:color w:val="000000" w:themeColor="text1"/>
          <w:lang w:val="es-ES"/>
        </w:rPr>
      </w:pPr>
    </w:p>
    <w:p w14:paraId="5CF80EB7" w14:textId="77777777" w:rsidR="00B27002" w:rsidRDefault="00B27002" w:rsidP="00573E0E">
      <w:pPr>
        <w:jc w:val="center"/>
        <w:rPr>
          <w:rFonts w:ascii="Calibri" w:hAnsi="Calibri" w:cs="Calibri"/>
          <w:b/>
          <w:bCs/>
          <w:color w:val="000000" w:themeColor="text1"/>
          <w:lang w:val="es-ES"/>
        </w:rPr>
      </w:pPr>
    </w:p>
    <w:p w14:paraId="1CF2E380" w14:textId="3ADD5A0D" w:rsidR="00573E0E" w:rsidRPr="00CE1598" w:rsidRDefault="0021493D" w:rsidP="008E484E">
      <w:pPr>
        <w:jc w:val="center"/>
        <w:rPr>
          <w:rFonts w:ascii="Calibri" w:hAnsi="Calibri" w:cs="Calibri"/>
          <w:b/>
          <w:bCs/>
          <w:color w:val="000000" w:themeColor="text1"/>
          <w:lang w:val="es-ES"/>
        </w:rPr>
      </w:pPr>
      <w:r w:rsidRPr="00CE1598">
        <w:rPr>
          <w:rFonts w:ascii="Calibri" w:hAnsi="Calibri" w:cs="Calibri"/>
          <w:b/>
          <w:bCs/>
          <w:color w:val="000000" w:themeColor="text1"/>
          <w:lang w:val="es-ES"/>
        </w:rPr>
        <w:t>Informe Paralelo</w:t>
      </w:r>
    </w:p>
    <w:p w14:paraId="798CC031" w14:textId="760EAB22" w:rsidR="00573E0E" w:rsidRPr="00CE1598" w:rsidRDefault="00573E0E" w:rsidP="00573E0E">
      <w:pPr>
        <w:jc w:val="center"/>
        <w:rPr>
          <w:rFonts w:ascii="Calibri" w:hAnsi="Calibri" w:cs="Calibri"/>
          <w:lang w:val="es-ES"/>
        </w:rPr>
      </w:pPr>
    </w:p>
    <w:p w14:paraId="2BC82DD1" w14:textId="376B7B50" w:rsidR="00B27002" w:rsidRPr="00CE1598" w:rsidRDefault="00B27002" w:rsidP="00573E0E">
      <w:pPr>
        <w:jc w:val="center"/>
        <w:rPr>
          <w:rFonts w:ascii="Calibri" w:hAnsi="Calibri" w:cs="Calibri"/>
          <w:lang w:val="es-ES"/>
        </w:rPr>
      </w:pPr>
    </w:p>
    <w:p w14:paraId="31667CD6" w14:textId="77777777" w:rsidR="00BE5857" w:rsidRPr="0014281C" w:rsidRDefault="00BE5857" w:rsidP="00573E0E">
      <w:pPr>
        <w:jc w:val="center"/>
        <w:rPr>
          <w:rFonts w:ascii="Calibri" w:hAnsi="Calibri" w:cs="Calibri"/>
          <w:lang w:val="es-ES"/>
        </w:rPr>
      </w:pPr>
    </w:p>
    <w:p w14:paraId="412B31E1" w14:textId="2D532153" w:rsidR="00573E0E" w:rsidRPr="00CE1598" w:rsidRDefault="00573E0E" w:rsidP="00573E0E">
      <w:pPr>
        <w:jc w:val="center"/>
        <w:rPr>
          <w:rFonts w:ascii="Calibri" w:hAnsi="Calibri" w:cs="Calibri"/>
          <w:lang w:val="es-ES"/>
        </w:rPr>
      </w:pPr>
      <w:r w:rsidRPr="00CE1598">
        <w:rPr>
          <w:rFonts w:ascii="Calibri" w:hAnsi="Calibri" w:cs="Calibri"/>
          <w:lang w:val="es-ES"/>
        </w:rPr>
        <w:t>Presentado por</w:t>
      </w:r>
      <w:r w:rsidR="002D3B21" w:rsidRPr="00CE1598">
        <w:rPr>
          <w:rFonts w:ascii="Calibri" w:hAnsi="Calibri" w:cs="Calibri"/>
          <w:lang w:val="es-ES"/>
        </w:rPr>
        <w:t>:</w:t>
      </w:r>
    </w:p>
    <w:p w14:paraId="31255DE7" w14:textId="58E4E236" w:rsidR="00573E0E" w:rsidRPr="00CE1598" w:rsidRDefault="00573E0E" w:rsidP="00573E0E">
      <w:pPr>
        <w:jc w:val="center"/>
        <w:rPr>
          <w:rFonts w:ascii="Calibri" w:hAnsi="Calibri" w:cs="Calibri"/>
          <w:lang w:val="es-ES"/>
        </w:rPr>
      </w:pPr>
    </w:p>
    <w:p w14:paraId="5FC72621" w14:textId="77777777" w:rsidR="00B27002" w:rsidRPr="00CE1598" w:rsidRDefault="00B27002" w:rsidP="00573E0E">
      <w:pPr>
        <w:jc w:val="center"/>
        <w:rPr>
          <w:rFonts w:ascii="Calibri" w:hAnsi="Calibri" w:cs="Calibri"/>
          <w:lang w:val="es-ES"/>
        </w:rPr>
      </w:pPr>
    </w:p>
    <w:p w14:paraId="0190469B" w14:textId="79FD2258" w:rsidR="00573E0E" w:rsidRPr="00CE1598" w:rsidRDefault="009515BA" w:rsidP="00573E0E">
      <w:pPr>
        <w:jc w:val="center"/>
        <w:rPr>
          <w:rFonts w:ascii="Calibri" w:hAnsi="Calibri" w:cs="Calibri"/>
          <w:b/>
          <w:bCs/>
          <w:lang w:val="es-ES"/>
        </w:rPr>
      </w:pPr>
      <w:r w:rsidRPr="00CE1598">
        <w:rPr>
          <w:rFonts w:ascii="Calibri" w:hAnsi="Calibri" w:cs="Calibri"/>
          <w:b/>
          <w:bCs/>
          <w:lang w:val="es-ES"/>
        </w:rPr>
        <w:t xml:space="preserve">El </w:t>
      </w:r>
      <w:r w:rsidR="00573E0E" w:rsidRPr="00CE1598">
        <w:rPr>
          <w:rFonts w:ascii="Calibri" w:hAnsi="Calibri" w:cs="Calibri"/>
          <w:b/>
          <w:bCs/>
          <w:lang w:val="es-ES"/>
        </w:rPr>
        <w:t>Movimiento por la Defensa de los Territorios y Ecosistemas de Bocas del Toro (MODETEAB)</w:t>
      </w:r>
    </w:p>
    <w:p w14:paraId="212215FA" w14:textId="77777777" w:rsidR="00573E0E" w:rsidRPr="00CE1598" w:rsidRDefault="00573E0E" w:rsidP="00573E0E">
      <w:pPr>
        <w:jc w:val="center"/>
        <w:rPr>
          <w:rFonts w:ascii="Calibri" w:hAnsi="Calibri" w:cs="Calibri"/>
          <w:b/>
          <w:bCs/>
          <w:lang w:val="es-ES"/>
        </w:rPr>
      </w:pPr>
    </w:p>
    <w:p w14:paraId="33B1D197" w14:textId="46529C48" w:rsidR="00573E0E" w:rsidRPr="00CE1598" w:rsidRDefault="009515BA" w:rsidP="00573E0E">
      <w:pPr>
        <w:jc w:val="center"/>
        <w:rPr>
          <w:rFonts w:ascii="Calibri" w:hAnsi="Calibri" w:cs="Calibri"/>
          <w:b/>
          <w:bCs/>
          <w:lang w:val="es-ES"/>
        </w:rPr>
      </w:pPr>
      <w:r w:rsidRPr="003C0384">
        <w:rPr>
          <w:rFonts w:ascii="Calibri" w:hAnsi="Calibri" w:cs="Calibri"/>
          <w:b/>
          <w:bCs/>
          <w:lang w:val="es-ES"/>
        </w:rPr>
        <w:t xml:space="preserve">La </w:t>
      </w:r>
      <w:r w:rsidR="00573E0E" w:rsidRPr="003C0384">
        <w:rPr>
          <w:rFonts w:ascii="Calibri" w:hAnsi="Calibri" w:cs="Calibri"/>
          <w:b/>
          <w:bCs/>
          <w:lang w:val="es-ES"/>
        </w:rPr>
        <w:t xml:space="preserve">Organización Territorial Ngäbe, </w:t>
      </w:r>
      <w:r w:rsidR="00FE58C7" w:rsidRPr="003C0384">
        <w:rPr>
          <w:rFonts w:ascii="Calibri" w:hAnsi="Calibri" w:cs="Calibri"/>
          <w:b/>
          <w:bCs/>
          <w:lang w:val="es-ES"/>
        </w:rPr>
        <w:t>Buglé</w:t>
      </w:r>
      <w:r w:rsidR="00573E0E" w:rsidRPr="003C0384">
        <w:rPr>
          <w:rFonts w:ascii="Calibri" w:hAnsi="Calibri" w:cs="Calibri"/>
          <w:b/>
          <w:bCs/>
          <w:lang w:val="es-ES"/>
        </w:rPr>
        <w:t xml:space="preserve"> y Campesina de la Región Norte de Santa Fe</w:t>
      </w:r>
    </w:p>
    <w:p w14:paraId="6FFC936A" w14:textId="4E3FBCF0" w:rsidR="00573E0E" w:rsidRPr="00CE1598" w:rsidRDefault="00573E0E" w:rsidP="0021493D">
      <w:pPr>
        <w:rPr>
          <w:rFonts w:ascii="Calibri" w:hAnsi="Calibri" w:cs="Calibri"/>
          <w:lang w:val="es-ES"/>
        </w:rPr>
      </w:pPr>
    </w:p>
    <w:p w14:paraId="7E4015C1" w14:textId="589D58A7" w:rsidR="00573E0E" w:rsidRPr="0021349A" w:rsidRDefault="00573E0E" w:rsidP="00573E0E">
      <w:pPr>
        <w:jc w:val="center"/>
        <w:rPr>
          <w:rFonts w:ascii="Calibri" w:hAnsi="Calibri" w:cs="Calibri"/>
        </w:rPr>
      </w:pPr>
      <w:r w:rsidRPr="0021349A">
        <w:rPr>
          <w:rFonts w:ascii="Calibri" w:hAnsi="Calibri" w:cs="Calibri"/>
        </w:rPr>
        <w:t>y</w:t>
      </w:r>
    </w:p>
    <w:p w14:paraId="4E24630D" w14:textId="77777777" w:rsidR="00573E0E" w:rsidRPr="0021349A" w:rsidRDefault="00573E0E" w:rsidP="00573E0E">
      <w:pPr>
        <w:jc w:val="center"/>
        <w:rPr>
          <w:rFonts w:ascii="Calibri" w:hAnsi="Calibri" w:cs="Calibri"/>
        </w:rPr>
      </w:pPr>
    </w:p>
    <w:p w14:paraId="0A9C0A83" w14:textId="1DC417AD" w:rsidR="008E484E" w:rsidRPr="0021349A" w:rsidRDefault="0021349A" w:rsidP="004F2B93">
      <w:pPr>
        <w:jc w:val="center"/>
        <w:rPr>
          <w:rFonts w:ascii="Calibri" w:hAnsi="Calibri" w:cs="Calibri"/>
          <w:b/>
          <w:bCs/>
        </w:rPr>
      </w:pPr>
      <w:r w:rsidRPr="0021349A">
        <w:rPr>
          <w:rFonts w:ascii="Calibri" w:hAnsi="Calibri" w:cs="Calibri"/>
          <w:b/>
          <w:bCs/>
        </w:rPr>
        <w:t>The Center for International Environmental Law</w:t>
      </w:r>
      <w:r w:rsidR="00573E0E" w:rsidRPr="0021349A">
        <w:rPr>
          <w:rFonts w:ascii="Calibri" w:hAnsi="Calibri" w:cs="Calibri"/>
          <w:b/>
          <w:bCs/>
        </w:rPr>
        <w:t xml:space="preserve"> (CIEL)</w:t>
      </w:r>
    </w:p>
    <w:p w14:paraId="1076670B" w14:textId="77777777" w:rsidR="0021493D" w:rsidRPr="0021349A" w:rsidRDefault="0021493D" w:rsidP="00573E0E">
      <w:pPr>
        <w:jc w:val="center"/>
        <w:rPr>
          <w:rFonts w:ascii="Calibri" w:hAnsi="Calibri" w:cs="Calibri"/>
        </w:rPr>
      </w:pPr>
    </w:p>
    <w:p w14:paraId="3F79340B" w14:textId="77777777" w:rsidR="0021493D" w:rsidRPr="0021349A" w:rsidRDefault="0021493D" w:rsidP="00573E0E">
      <w:pPr>
        <w:jc w:val="center"/>
        <w:rPr>
          <w:rFonts w:ascii="Calibri" w:hAnsi="Calibri" w:cs="Calibri"/>
        </w:rPr>
      </w:pPr>
    </w:p>
    <w:p w14:paraId="40FB5EB1" w14:textId="295BBD48" w:rsidR="00573E0E" w:rsidRPr="00CE1598" w:rsidRDefault="00573E0E" w:rsidP="00573E0E">
      <w:pPr>
        <w:jc w:val="center"/>
        <w:rPr>
          <w:rFonts w:ascii="Calibri" w:hAnsi="Calibri" w:cs="Calibri"/>
          <w:lang w:val="es-ES"/>
        </w:rPr>
      </w:pPr>
      <w:r w:rsidRPr="00CE1598">
        <w:rPr>
          <w:rFonts w:ascii="Calibri" w:hAnsi="Calibri" w:cs="Calibri"/>
          <w:lang w:val="es-ES"/>
        </w:rPr>
        <w:t>a</w:t>
      </w:r>
      <w:r w:rsidR="0021493D" w:rsidRPr="00CE1598">
        <w:rPr>
          <w:rFonts w:ascii="Calibri" w:hAnsi="Calibri" w:cs="Calibri"/>
          <w:lang w:val="es-ES"/>
        </w:rPr>
        <w:t>l</w:t>
      </w:r>
    </w:p>
    <w:p w14:paraId="3F1E86B0" w14:textId="66D5B536" w:rsidR="008E484E" w:rsidRPr="00CE1598" w:rsidRDefault="008E484E" w:rsidP="00C54AA7">
      <w:pPr>
        <w:rPr>
          <w:rFonts w:ascii="Calibri" w:hAnsi="Calibri" w:cs="Calibri"/>
          <w:lang w:val="es-ES"/>
        </w:rPr>
      </w:pPr>
    </w:p>
    <w:p w14:paraId="2F95B5D4" w14:textId="77777777" w:rsidR="004F2B93" w:rsidRPr="00CE1598" w:rsidRDefault="004F2B93" w:rsidP="00C54AA7">
      <w:pPr>
        <w:rPr>
          <w:rFonts w:ascii="Calibri" w:hAnsi="Calibri" w:cs="Calibri"/>
          <w:lang w:val="es-ES"/>
        </w:rPr>
      </w:pPr>
    </w:p>
    <w:p w14:paraId="42D0CE51" w14:textId="7DB68094" w:rsidR="00573E0E" w:rsidRPr="00CE1598" w:rsidRDefault="0021493D" w:rsidP="00B27002">
      <w:pPr>
        <w:jc w:val="center"/>
        <w:rPr>
          <w:rFonts w:ascii="Calibri" w:hAnsi="Calibri" w:cs="Calibri"/>
          <w:b/>
          <w:bCs/>
          <w:lang w:val="es-ES"/>
        </w:rPr>
      </w:pPr>
      <w:r w:rsidRPr="00CE1598">
        <w:rPr>
          <w:rFonts w:ascii="Calibri" w:hAnsi="Calibri" w:cs="Calibri"/>
          <w:b/>
          <w:bCs/>
          <w:lang w:val="es-ES"/>
        </w:rPr>
        <w:t>Comité de Derechos Económicos, Sociales y Culturales</w:t>
      </w:r>
    </w:p>
    <w:p w14:paraId="0F4175F2" w14:textId="6661B9A7" w:rsidR="00573E0E" w:rsidRPr="00CE1598" w:rsidRDefault="00573E0E" w:rsidP="00573E0E">
      <w:pPr>
        <w:jc w:val="center"/>
        <w:rPr>
          <w:rFonts w:ascii="Calibri" w:hAnsi="Calibri" w:cs="Calibri"/>
          <w:lang w:val="es-ES"/>
        </w:rPr>
      </w:pPr>
    </w:p>
    <w:p w14:paraId="4E1C294A" w14:textId="5547F02E" w:rsidR="00B27002" w:rsidRPr="00CE1598" w:rsidRDefault="00B27002" w:rsidP="00573E0E">
      <w:pPr>
        <w:jc w:val="center"/>
        <w:rPr>
          <w:rFonts w:ascii="Calibri" w:hAnsi="Calibri" w:cs="Calibri"/>
          <w:lang w:val="es-ES"/>
        </w:rPr>
      </w:pPr>
    </w:p>
    <w:p w14:paraId="43D5F931" w14:textId="77777777" w:rsidR="00BE5857" w:rsidRPr="00CE1598" w:rsidRDefault="00BE5857" w:rsidP="00573E0E">
      <w:pPr>
        <w:jc w:val="center"/>
        <w:rPr>
          <w:rFonts w:ascii="Calibri" w:hAnsi="Calibri" w:cs="Calibri"/>
          <w:lang w:val="es-ES"/>
        </w:rPr>
      </w:pPr>
    </w:p>
    <w:p w14:paraId="25B9C246" w14:textId="77777777" w:rsidR="00A81DD3" w:rsidRDefault="00A81DD3" w:rsidP="00A81DD3">
      <w:pPr>
        <w:jc w:val="center"/>
        <w:rPr>
          <w:rFonts w:ascii="Calibri" w:hAnsi="Calibri" w:cs="Calibri"/>
          <w:lang w:val="es-ES"/>
        </w:rPr>
      </w:pPr>
      <w:r w:rsidRPr="00CE1598">
        <w:rPr>
          <w:rFonts w:ascii="Calibri" w:hAnsi="Calibri" w:cs="Calibri"/>
          <w:lang w:val="es-ES"/>
        </w:rPr>
        <w:t xml:space="preserve">con motivo de </w:t>
      </w:r>
    </w:p>
    <w:p w14:paraId="625EB8EA" w14:textId="77777777" w:rsidR="00A81DD3" w:rsidRDefault="00A81DD3" w:rsidP="00A81DD3">
      <w:pPr>
        <w:jc w:val="center"/>
        <w:rPr>
          <w:rFonts w:ascii="Calibri" w:hAnsi="Calibri" w:cs="Calibri"/>
          <w:lang w:val="es-ES"/>
        </w:rPr>
      </w:pPr>
    </w:p>
    <w:p w14:paraId="66E8DFC4" w14:textId="77777777" w:rsidR="00A81DD3" w:rsidRPr="00CE1598" w:rsidRDefault="00A81DD3" w:rsidP="00A81DD3">
      <w:pPr>
        <w:jc w:val="center"/>
        <w:rPr>
          <w:rFonts w:ascii="Calibri" w:hAnsi="Calibri" w:cs="Calibri"/>
          <w:lang w:val="es-ES"/>
        </w:rPr>
      </w:pPr>
      <w:r>
        <w:rPr>
          <w:rFonts w:ascii="Calibri" w:hAnsi="Calibri" w:cs="Calibri"/>
          <w:b/>
          <w:bCs/>
          <w:lang w:val="es-ES"/>
        </w:rPr>
        <w:t>El Examen del Tercer Informe Periódico de Panamá</w:t>
      </w:r>
    </w:p>
    <w:p w14:paraId="0EDD5E96" w14:textId="77777777" w:rsidR="00A81DD3" w:rsidRDefault="00A81DD3" w:rsidP="00A81DD3">
      <w:pPr>
        <w:jc w:val="center"/>
        <w:rPr>
          <w:rFonts w:ascii="Calibri" w:hAnsi="Calibri" w:cs="Calibri"/>
          <w:lang w:val="es-ES"/>
        </w:rPr>
      </w:pPr>
      <w:r w:rsidRPr="00CE1598">
        <w:rPr>
          <w:rFonts w:ascii="Calibri" w:hAnsi="Calibri" w:cs="Calibri"/>
          <w:lang w:val="es-ES"/>
        </w:rPr>
        <w:t xml:space="preserve">durante </w:t>
      </w:r>
      <w:r>
        <w:rPr>
          <w:rFonts w:ascii="Calibri" w:hAnsi="Calibri" w:cs="Calibri"/>
          <w:lang w:val="es-ES"/>
        </w:rPr>
        <w:t>la</w:t>
      </w:r>
      <w:r w:rsidRPr="00CE1598">
        <w:rPr>
          <w:rFonts w:ascii="Calibri" w:hAnsi="Calibri" w:cs="Calibri"/>
          <w:lang w:val="es-ES"/>
        </w:rPr>
        <w:t xml:space="preserve"> </w:t>
      </w:r>
      <w:r>
        <w:rPr>
          <w:rFonts w:ascii="Calibri" w:hAnsi="Calibri" w:cs="Calibri"/>
          <w:lang w:val="es-ES"/>
        </w:rPr>
        <w:t>s</w:t>
      </w:r>
      <w:r w:rsidRPr="00CE1598">
        <w:rPr>
          <w:rFonts w:ascii="Calibri" w:hAnsi="Calibri" w:cs="Calibri"/>
          <w:lang w:val="es-ES"/>
        </w:rPr>
        <w:t>e</w:t>
      </w:r>
      <w:r>
        <w:rPr>
          <w:rFonts w:ascii="Calibri" w:hAnsi="Calibri" w:cs="Calibri"/>
          <w:lang w:val="es-ES"/>
        </w:rPr>
        <w:t>pt</w:t>
      </w:r>
      <w:r w:rsidRPr="00CE1598">
        <w:rPr>
          <w:rFonts w:ascii="Calibri" w:hAnsi="Calibri" w:cs="Calibri"/>
          <w:lang w:val="es-ES"/>
        </w:rPr>
        <w:t>uagési</w:t>
      </w:r>
      <w:r>
        <w:rPr>
          <w:rFonts w:ascii="Calibri" w:hAnsi="Calibri" w:cs="Calibri"/>
          <w:lang w:val="es-ES"/>
        </w:rPr>
        <w:t>ma</w:t>
      </w:r>
      <w:r w:rsidRPr="00CE1598">
        <w:rPr>
          <w:rFonts w:ascii="Calibri" w:hAnsi="Calibri" w:cs="Calibri"/>
          <w:lang w:val="es-ES"/>
        </w:rPr>
        <w:t xml:space="preserve"> </w:t>
      </w:r>
      <w:r>
        <w:rPr>
          <w:rFonts w:ascii="Calibri" w:hAnsi="Calibri" w:cs="Calibri"/>
          <w:lang w:val="es-ES"/>
        </w:rPr>
        <w:t>tercera sesión del Comité</w:t>
      </w:r>
    </w:p>
    <w:p w14:paraId="5D82680C" w14:textId="77777777" w:rsidR="00A81DD3" w:rsidRPr="00CE1598" w:rsidRDefault="00A81DD3" w:rsidP="00A81DD3">
      <w:pPr>
        <w:jc w:val="center"/>
        <w:rPr>
          <w:rFonts w:ascii="Calibri" w:hAnsi="Calibri" w:cs="Calibri"/>
          <w:lang w:val="es-ES"/>
        </w:rPr>
      </w:pPr>
      <w:r>
        <w:rPr>
          <w:rFonts w:ascii="Calibri" w:hAnsi="Calibri" w:cs="Calibri"/>
          <w:lang w:val="es-ES"/>
        </w:rPr>
        <w:t>13 de febrero</w:t>
      </w:r>
      <w:r w:rsidRPr="00CE1598">
        <w:rPr>
          <w:rFonts w:ascii="Calibri" w:hAnsi="Calibri" w:cs="Calibri"/>
          <w:lang w:val="es-ES"/>
        </w:rPr>
        <w:t xml:space="preserve"> – </w:t>
      </w:r>
      <w:r>
        <w:rPr>
          <w:rFonts w:ascii="Calibri" w:hAnsi="Calibri" w:cs="Calibri"/>
          <w:lang w:val="es-ES"/>
        </w:rPr>
        <w:t>03</w:t>
      </w:r>
      <w:r w:rsidRPr="00CE1598">
        <w:rPr>
          <w:rFonts w:ascii="Calibri" w:hAnsi="Calibri" w:cs="Calibri"/>
          <w:lang w:val="es-ES"/>
        </w:rPr>
        <w:t xml:space="preserve"> de marzo de 202</w:t>
      </w:r>
      <w:r>
        <w:rPr>
          <w:rFonts w:ascii="Calibri" w:hAnsi="Calibri" w:cs="Calibri"/>
          <w:lang w:val="es-ES"/>
        </w:rPr>
        <w:t>3</w:t>
      </w:r>
    </w:p>
    <w:p w14:paraId="6EDE801B" w14:textId="77777777" w:rsidR="00A81DD3" w:rsidRPr="00CE1598" w:rsidRDefault="00A81DD3" w:rsidP="00A81DD3">
      <w:pPr>
        <w:jc w:val="center"/>
        <w:rPr>
          <w:rFonts w:ascii="Calibri" w:hAnsi="Calibri" w:cs="Calibri"/>
          <w:lang w:val="es-ES"/>
        </w:rPr>
      </w:pPr>
    </w:p>
    <w:p w14:paraId="68E56D4A" w14:textId="77777777" w:rsidR="00A81DD3" w:rsidRPr="00CE1598" w:rsidRDefault="00A81DD3" w:rsidP="00A81DD3">
      <w:pPr>
        <w:jc w:val="center"/>
        <w:rPr>
          <w:rFonts w:ascii="Calibri" w:hAnsi="Calibri" w:cs="Calibri"/>
          <w:lang w:val="es-ES"/>
        </w:rPr>
      </w:pPr>
    </w:p>
    <w:p w14:paraId="449E95DC" w14:textId="77777777" w:rsidR="00A81DD3" w:rsidRPr="00CE1598" w:rsidRDefault="00A81DD3" w:rsidP="00A81DD3">
      <w:pPr>
        <w:jc w:val="center"/>
        <w:rPr>
          <w:rFonts w:ascii="Calibri" w:hAnsi="Calibri" w:cs="Calibri"/>
          <w:lang w:val="es-ES"/>
        </w:rPr>
      </w:pPr>
    </w:p>
    <w:p w14:paraId="12E7FAEE" w14:textId="77777777" w:rsidR="00A81DD3" w:rsidRPr="00CE1598" w:rsidRDefault="00A81DD3" w:rsidP="00A81DD3">
      <w:pPr>
        <w:rPr>
          <w:rFonts w:ascii="Calibri" w:hAnsi="Calibri" w:cs="Calibri"/>
          <w:lang w:val="es-ES"/>
        </w:rPr>
      </w:pPr>
    </w:p>
    <w:p w14:paraId="6892466A" w14:textId="77777777" w:rsidR="00A81DD3" w:rsidRPr="00CE1598" w:rsidRDefault="00A81DD3" w:rsidP="00A81DD3">
      <w:pPr>
        <w:jc w:val="center"/>
        <w:rPr>
          <w:rFonts w:ascii="Calibri" w:hAnsi="Calibri" w:cs="Calibri"/>
          <w:lang w:val="es-ES"/>
        </w:rPr>
      </w:pPr>
      <w:r w:rsidRPr="00CE1598">
        <w:rPr>
          <w:rFonts w:ascii="Calibri" w:hAnsi="Calibri" w:cs="Calibri"/>
          <w:lang w:val="es-ES"/>
        </w:rPr>
        <w:t>Presentado el 1</w:t>
      </w:r>
      <w:r>
        <w:rPr>
          <w:rFonts w:ascii="Calibri" w:hAnsi="Calibri" w:cs="Calibri"/>
          <w:lang w:val="es-ES"/>
        </w:rPr>
        <w:t>6</w:t>
      </w:r>
      <w:r w:rsidRPr="00CE1598">
        <w:rPr>
          <w:rFonts w:ascii="Calibri" w:hAnsi="Calibri" w:cs="Calibri"/>
          <w:lang w:val="es-ES"/>
        </w:rPr>
        <w:t xml:space="preserve"> de </w:t>
      </w:r>
      <w:r>
        <w:rPr>
          <w:rFonts w:ascii="Calibri" w:hAnsi="Calibri" w:cs="Calibri"/>
          <w:lang w:val="es-ES"/>
        </w:rPr>
        <w:t>enero de 2023</w:t>
      </w:r>
    </w:p>
    <w:p w14:paraId="708A0943" w14:textId="4673CF8A" w:rsidR="00F04226" w:rsidRDefault="00F04226" w:rsidP="00B27002">
      <w:pPr>
        <w:jc w:val="center"/>
        <w:rPr>
          <w:rFonts w:ascii="Calibri" w:hAnsi="Calibri" w:cs="Calibri"/>
          <w:lang w:val="es-ES"/>
        </w:rPr>
      </w:pPr>
    </w:p>
    <w:p w14:paraId="389F83B1" w14:textId="77777777" w:rsidR="00A81DD3" w:rsidRDefault="00A81DD3">
      <w:pPr>
        <w:rPr>
          <w:rFonts w:ascii="Calibri" w:hAnsi="Calibri" w:cs="Calibri"/>
          <w:lang w:val="es-ES"/>
        </w:rPr>
      </w:pPr>
      <w:r>
        <w:rPr>
          <w:rFonts w:ascii="Calibri" w:hAnsi="Calibri" w:cs="Calibri"/>
          <w:lang w:val="es-ES"/>
        </w:rPr>
        <w:br w:type="page"/>
      </w:r>
    </w:p>
    <w:p w14:paraId="11C7528A" w14:textId="10526768" w:rsidR="0021349A" w:rsidRDefault="0021349A" w:rsidP="0021349A">
      <w:pPr>
        <w:jc w:val="center"/>
        <w:rPr>
          <w:rFonts w:ascii="Calibri" w:hAnsi="Calibri" w:cs="Calibri"/>
          <w:b/>
          <w:bCs/>
          <w:color w:val="046B8C"/>
          <w:lang w:val="es-ES"/>
        </w:rPr>
      </w:pPr>
      <w:r>
        <w:rPr>
          <w:rFonts w:ascii="Calibri" w:hAnsi="Calibri" w:cs="Calibri"/>
          <w:b/>
          <w:bCs/>
          <w:color w:val="046B8C"/>
          <w:lang w:val="es-ES"/>
        </w:rPr>
        <w:lastRenderedPageBreak/>
        <w:t>Introducción</w:t>
      </w:r>
    </w:p>
    <w:p w14:paraId="4455BF0C" w14:textId="77777777" w:rsidR="0021349A" w:rsidRDefault="0021349A" w:rsidP="0021349A">
      <w:pPr>
        <w:jc w:val="center"/>
        <w:rPr>
          <w:rFonts w:ascii="Calibri" w:hAnsi="Calibri" w:cs="Calibri"/>
          <w:lang w:val="es-ES"/>
        </w:rPr>
      </w:pPr>
    </w:p>
    <w:p w14:paraId="2D159EF6" w14:textId="506462B3" w:rsidR="0021349A" w:rsidRDefault="0021349A" w:rsidP="0021349A">
      <w:pPr>
        <w:jc w:val="both"/>
        <w:rPr>
          <w:rFonts w:ascii="Calibri" w:hAnsi="Calibri" w:cs="Calibri"/>
          <w:lang w:val="es-ES"/>
        </w:rPr>
      </w:pPr>
      <w:r>
        <w:rPr>
          <w:rFonts w:ascii="Calibri" w:hAnsi="Calibri" w:cs="Calibri"/>
          <w:lang w:val="es-ES"/>
        </w:rPr>
        <w:t xml:space="preserve">Durante muchos años, las actividades extractivas, la especulación inmobiliaria y los proyectos de infraestructura han contribuido a severas vulneraciones de los derechos humanos de los pueblos indígenas en Panamá, incluidos sus derechos económicos, sociales y culturales.  En múltiples ocasiones, las autoridades </w:t>
      </w:r>
      <w:r w:rsidRPr="00FE4491">
        <w:rPr>
          <w:rFonts w:ascii="Calibri" w:hAnsi="Calibri" w:cs="Calibri"/>
          <w:lang w:val="es-ES"/>
        </w:rPr>
        <w:t xml:space="preserve">panameñas han permitido la operación de proyectos carreteros, extractivos e hidroeléctricos, sin consultar ni obtener el consentimiento previo, libre e informado de los pueblos indígenas afectados, </w:t>
      </w:r>
      <w:r>
        <w:rPr>
          <w:rFonts w:ascii="Calibri" w:hAnsi="Calibri" w:cs="Calibri"/>
          <w:lang w:val="es-ES"/>
        </w:rPr>
        <w:t>contraviniendo</w:t>
      </w:r>
      <w:r w:rsidRPr="00FE4491">
        <w:rPr>
          <w:rFonts w:ascii="Calibri" w:hAnsi="Calibri" w:cs="Calibri"/>
          <w:lang w:val="es-ES"/>
        </w:rPr>
        <w:t xml:space="preserve"> la Ley 37 de 2016</w:t>
      </w:r>
      <w:r>
        <w:rPr>
          <w:rFonts w:ascii="Calibri" w:hAnsi="Calibri" w:cs="Calibri"/>
          <w:lang w:val="es-ES"/>
        </w:rPr>
        <w:t xml:space="preserve"> y</w:t>
      </w:r>
      <w:r w:rsidRPr="00FE4491">
        <w:rPr>
          <w:rFonts w:ascii="Calibri" w:hAnsi="Calibri" w:cs="Calibri"/>
          <w:lang w:val="es-ES"/>
        </w:rPr>
        <w:t xml:space="preserve"> </w:t>
      </w:r>
      <w:r>
        <w:rPr>
          <w:rFonts w:ascii="Calibri" w:hAnsi="Calibri" w:cs="Calibri"/>
          <w:lang w:val="es-ES"/>
        </w:rPr>
        <w:t>d</w:t>
      </w:r>
      <w:r w:rsidRPr="00FE4491">
        <w:rPr>
          <w:rFonts w:ascii="Calibri" w:hAnsi="Calibri" w:cs="Calibri"/>
          <w:lang w:val="es-ES"/>
        </w:rPr>
        <w:t>el Artículo 127 de la Constitución de Panamá</w:t>
      </w:r>
      <w:r>
        <w:rPr>
          <w:rFonts w:ascii="Calibri" w:hAnsi="Calibri" w:cs="Calibri"/>
          <w:lang w:val="es-ES"/>
        </w:rPr>
        <w:t xml:space="preserve">. Estas incursiones inconsultas han dado lugar al </w:t>
      </w:r>
      <w:r w:rsidRPr="00CE1598">
        <w:rPr>
          <w:rFonts w:ascii="Calibri" w:hAnsi="Calibri" w:cs="Calibri"/>
          <w:lang w:val="es-ES"/>
        </w:rPr>
        <w:t>despojo de numerosas comunidades indígenas de sus tierras</w:t>
      </w:r>
      <w:r>
        <w:rPr>
          <w:rFonts w:ascii="Calibri" w:hAnsi="Calibri" w:cs="Calibri"/>
          <w:lang w:val="es-ES"/>
        </w:rPr>
        <w:t xml:space="preserve"> y la destrucción de sus medios de vida tradicionales</w:t>
      </w:r>
      <w:r w:rsidRPr="00CE1598">
        <w:rPr>
          <w:rFonts w:ascii="Calibri" w:hAnsi="Calibri" w:cs="Calibri"/>
          <w:lang w:val="es-ES"/>
        </w:rPr>
        <w:t>, poniendo en riesgo su forma de vivir en armonía con la naturaleza</w:t>
      </w:r>
      <w:r>
        <w:rPr>
          <w:rFonts w:ascii="Calibri" w:hAnsi="Calibri" w:cs="Calibri"/>
          <w:lang w:val="es-ES"/>
        </w:rPr>
        <w:t>, así como</w:t>
      </w:r>
      <w:r w:rsidRPr="00CE1598">
        <w:rPr>
          <w:rFonts w:ascii="Calibri" w:hAnsi="Calibri" w:cs="Calibri"/>
          <w:lang w:val="es-ES"/>
        </w:rPr>
        <w:t xml:space="preserve"> su cultura e identidad étnica forjadas en esos territorios por miles de años.</w:t>
      </w:r>
      <w:r>
        <w:rPr>
          <w:rFonts w:ascii="Calibri" w:hAnsi="Calibri" w:cs="Calibri"/>
          <w:lang w:val="es-ES"/>
        </w:rPr>
        <w:t xml:space="preserve"> </w:t>
      </w:r>
    </w:p>
    <w:p w14:paraId="1A5212E9" w14:textId="77777777" w:rsidR="0021349A" w:rsidRDefault="0021349A" w:rsidP="0021349A">
      <w:pPr>
        <w:jc w:val="both"/>
        <w:rPr>
          <w:rFonts w:ascii="Calibri" w:hAnsi="Calibri" w:cs="Calibri"/>
          <w:lang w:val="es-ES"/>
        </w:rPr>
      </w:pPr>
    </w:p>
    <w:p w14:paraId="49B67AED" w14:textId="08BEBDDE" w:rsidR="0021349A" w:rsidRDefault="0021349A" w:rsidP="0021349A">
      <w:pPr>
        <w:jc w:val="both"/>
        <w:rPr>
          <w:rFonts w:ascii="Calibri" w:hAnsi="Calibri" w:cs="Calibri"/>
          <w:lang w:val="es-ES"/>
        </w:rPr>
      </w:pPr>
      <w:r>
        <w:rPr>
          <w:rFonts w:ascii="Calibri" w:hAnsi="Calibri" w:cs="Calibri"/>
          <w:lang w:val="es-ES"/>
        </w:rPr>
        <w:t>Por las razones delineadas arriba, las organizaciones firmantes dirigimos el presente informe paralelo al Comité de Derechos Económicos, Sociales y Culturales con el motivo de proporcionar información relevante a dos cuestiones relativas a los derechos de los pueblos indígenas que fueron incluidas en la Lista de Cuestiones de este Comité, con la expectativa de que serían abordadas durante el examen del tercer informe periódico de Panamá (específicamente: cuestiones no. 5 y no. 20).</w:t>
      </w:r>
    </w:p>
    <w:p w14:paraId="47B1BE51" w14:textId="77777777" w:rsidR="0021349A" w:rsidRDefault="0021349A" w:rsidP="0021349A">
      <w:pPr>
        <w:jc w:val="both"/>
        <w:rPr>
          <w:rFonts w:ascii="Calibri" w:hAnsi="Calibri" w:cs="Calibri"/>
          <w:lang w:val="es-ES"/>
        </w:rPr>
      </w:pPr>
    </w:p>
    <w:p w14:paraId="2C689BE4" w14:textId="3F0D82CA" w:rsidR="0021349A" w:rsidRDefault="0021349A" w:rsidP="0021349A">
      <w:pPr>
        <w:jc w:val="both"/>
        <w:rPr>
          <w:rFonts w:ascii="Calibri" w:hAnsi="Calibri" w:cs="Calibri"/>
          <w:lang w:val="es-ES"/>
        </w:rPr>
      </w:pPr>
      <w:r>
        <w:rPr>
          <w:rFonts w:ascii="Calibri" w:hAnsi="Calibri" w:cs="Calibri"/>
          <w:lang w:val="es-ES"/>
        </w:rPr>
        <w:t xml:space="preserve">Agradecemos nuevamente la oportunidad que tuvimos para presentar información a este Comité en el contexto de la consideración de la Lista de Cuestiones relativa al tercer informe periódico de Panamá, durante el sexagésimo octavo Grupo de Trabajo de la Pre-Sesión, el cual se llevó a cabo entre el 8 y el 12 de marzo de 2021. </w:t>
      </w:r>
      <w:r w:rsidRPr="0021349A">
        <w:rPr>
          <w:rFonts w:ascii="Calibri" w:hAnsi="Calibri" w:cs="Calibri"/>
          <w:lang w:val="es-ES"/>
        </w:rPr>
        <w:t>En esa ocasión</w:t>
      </w:r>
      <w:r>
        <w:rPr>
          <w:rFonts w:ascii="Calibri" w:hAnsi="Calibri" w:cs="Calibri"/>
          <w:lang w:val="es-ES"/>
        </w:rPr>
        <w:t>, presentamos otro informe paralelo al Comité,</w:t>
      </w:r>
      <w:r>
        <w:rPr>
          <w:rStyle w:val="FootnoteReference"/>
          <w:rFonts w:ascii="Calibri" w:hAnsi="Calibri" w:cs="Calibri"/>
          <w:lang w:val="es-ES"/>
        </w:rPr>
        <w:footnoteReference w:id="1"/>
      </w:r>
      <w:r>
        <w:rPr>
          <w:rFonts w:ascii="Calibri" w:hAnsi="Calibri" w:cs="Calibri"/>
          <w:lang w:val="es-ES"/>
        </w:rPr>
        <w:t xml:space="preserve"> en el cual señalamos las vulneraciones a los derechos de los pueblos indígenas que se han generado en el contexto de la</w:t>
      </w:r>
      <w:r w:rsidRPr="00FE4491">
        <w:rPr>
          <w:rFonts w:ascii="Calibri" w:hAnsi="Calibri" w:cs="Calibri"/>
          <w:lang w:val="es-ES"/>
        </w:rPr>
        <w:t xml:space="preserve"> </w:t>
      </w:r>
      <w:r w:rsidRPr="00CE1598">
        <w:rPr>
          <w:rFonts w:ascii="Calibri" w:hAnsi="Calibri" w:cs="Calibri"/>
          <w:lang w:val="es-ES"/>
        </w:rPr>
        <w:t>infraestructura carretera</w:t>
      </w:r>
      <w:r>
        <w:rPr>
          <w:rFonts w:ascii="Calibri" w:hAnsi="Calibri" w:cs="Calibri"/>
          <w:lang w:val="es-ES"/>
        </w:rPr>
        <w:t xml:space="preserve"> que se construyó en</w:t>
      </w:r>
      <w:r w:rsidRPr="00CE1598">
        <w:rPr>
          <w:rFonts w:ascii="Calibri" w:hAnsi="Calibri" w:cs="Calibri"/>
          <w:lang w:val="es-ES"/>
        </w:rPr>
        <w:t xml:space="preserve"> el distrito de Donoso en la Provincia de Colón y en los distritos de Changuinola y Bocas del Toro en la provincia de Bocas del Toro</w:t>
      </w:r>
      <w:r w:rsidRPr="00FE4491">
        <w:rPr>
          <w:rFonts w:ascii="Calibri" w:hAnsi="Calibri" w:cs="Calibri"/>
          <w:lang w:val="es-ES"/>
        </w:rPr>
        <w:t xml:space="preserve"> (ver p. 2</w:t>
      </w:r>
      <w:r>
        <w:rPr>
          <w:rFonts w:ascii="Calibri" w:hAnsi="Calibri" w:cs="Calibri"/>
          <w:lang w:val="es-ES"/>
        </w:rPr>
        <w:t xml:space="preserve"> de nuestro informe paralelo anterior</w:t>
      </w:r>
      <w:r w:rsidRPr="00FE4491">
        <w:rPr>
          <w:rFonts w:ascii="Calibri" w:hAnsi="Calibri" w:cs="Calibri"/>
          <w:lang w:val="es-ES"/>
        </w:rPr>
        <w:t xml:space="preserve">), además de las hidroeléctricas Chan 75 (ver p. </w:t>
      </w:r>
      <w:r>
        <w:rPr>
          <w:rFonts w:ascii="Calibri" w:hAnsi="Calibri" w:cs="Calibri"/>
          <w:lang w:val="es-ES"/>
        </w:rPr>
        <w:t>8 de nuestro informe paralelo anterior</w:t>
      </w:r>
      <w:r w:rsidRPr="00FE4491">
        <w:rPr>
          <w:rFonts w:ascii="Calibri" w:hAnsi="Calibri" w:cs="Calibri"/>
          <w:lang w:val="es-ES"/>
        </w:rPr>
        <w:t>) y Barro Blanco</w:t>
      </w:r>
      <w:r>
        <w:rPr>
          <w:rFonts w:ascii="Calibri" w:hAnsi="Calibri" w:cs="Calibri"/>
          <w:lang w:val="es-ES"/>
        </w:rPr>
        <w:t xml:space="preserve"> (ver p. 11 de nuestro informe paralelo anterior)</w:t>
      </w:r>
      <w:r w:rsidRPr="00FE4491">
        <w:rPr>
          <w:rFonts w:ascii="Calibri" w:hAnsi="Calibri" w:cs="Calibri"/>
          <w:lang w:val="es-ES"/>
        </w:rPr>
        <w:t xml:space="preserve">. </w:t>
      </w:r>
      <w:r>
        <w:rPr>
          <w:rFonts w:ascii="Calibri" w:hAnsi="Calibri" w:cs="Calibri"/>
          <w:lang w:val="es-ES"/>
        </w:rPr>
        <w:t xml:space="preserve">En el mismo informe, describimos con detalle nuestras preocupaciones para los derechos de los pueblos </w:t>
      </w:r>
      <w:bookmarkStart w:id="0" w:name="_Hlk124763600"/>
      <w:r>
        <w:rPr>
          <w:rFonts w:ascii="Calibri" w:hAnsi="Calibri" w:cs="Calibri"/>
          <w:lang w:val="es-ES"/>
        </w:rPr>
        <w:t xml:space="preserve">Ngäbe y Buglé </w:t>
      </w:r>
      <w:bookmarkEnd w:id="0"/>
      <w:r>
        <w:rPr>
          <w:rFonts w:ascii="Calibri" w:hAnsi="Calibri" w:cs="Calibri"/>
          <w:lang w:val="es-ES"/>
        </w:rPr>
        <w:t>frente al proyecto para construir la Cuarta Línea de Transmisión Eléctrica, debido a que este proyecto evidencia un patrón persistente de imposición ilegítima de proyectos y prioridades económicas ajenas a los territorios ancestrales de los pueblos indígenas de Panamá.</w:t>
      </w:r>
    </w:p>
    <w:p w14:paraId="47B1AC19" w14:textId="06241BBE" w:rsidR="0021349A" w:rsidRDefault="0021349A" w:rsidP="0021349A">
      <w:pPr>
        <w:jc w:val="both"/>
        <w:rPr>
          <w:rFonts w:ascii="Calibri" w:hAnsi="Calibri" w:cs="Calibri"/>
          <w:lang w:val="es-ES"/>
        </w:rPr>
      </w:pPr>
    </w:p>
    <w:p w14:paraId="6553C4DF" w14:textId="610B32CB" w:rsidR="0021349A" w:rsidRDefault="0021349A" w:rsidP="0021349A">
      <w:pPr>
        <w:jc w:val="both"/>
        <w:rPr>
          <w:rFonts w:ascii="Calibri" w:hAnsi="Calibri" w:cs="Calibri"/>
          <w:lang w:val="es-ES"/>
        </w:rPr>
      </w:pPr>
      <w:r>
        <w:rPr>
          <w:rFonts w:ascii="Calibri" w:hAnsi="Calibri" w:cs="Calibri"/>
          <w:lang w:val="es-ES"/>
        </w:rPr>
        <w:t xml:space="preserve">A continuación, brindaremos una actualización sobre el estado de los derechos de los pueblos indígenas en Panamá, enfocándonos primero en el estado actual del proyecto para construir la Cuarta Línea de Transmisión Eléctrica y, en segundo lugar, en una situación que surgió en el contexto del Proyecto Hidroeléctrico Barro Blanco a finales de 2021.  Consideramos que estas </w:t>
      </w:r>
      <w:r>
        <w:rPr>
          <w:rFonts w:ascii="Calibri" w:hAnsi="Calibri" w:cs="Calibri"/>
          <w:lang w:val="es-ES"/>
        </w:rPr>
        <w:lastRenderedPageBreak/>
        <w:t>actualizaciones son emblemáticas de las situaciones que enfrentan los pueblos indígenas en Panamá, y que tienen relevancia para las siguientes cuestiones del Comité en particular:</w:t>
      </w:r>
    </w:p>
    <w:p w14:paraId="299072EA" w14:textId="2595530D" w:rsidR="0021349A" w:rsidRDefault="0021349A" w:rsidP="0021349A">
      <w:pPr>
        <w:jc w:val="both"/>
        <w:rPr>
          <w:rFonts w:ascii="Calibri" w:hAnsi="Calibri" w:cs="Calibri"/>
          <w:lang w:val="es-ES"/>
        </w:rPr>
      </w:pPr>
    </w:p>
    <w:p w14:paraId="0934C91B" w14:textId="17580AF1" w:rsidR="0021349A" w:rsidRDefault="0021349A" w:rsidP="0021349A">
      <w:pPr>
        <w:ind w:left="720"/>
        <w:jc w:val="both"/>
        <w:rPr>
          <w:rFonts w:ascii="Calibri" w:hAnsi="Calibri" w:cs="Calibri"/>
          <w:i/>
          <w:iCs/>
          <w:color w:val="000000" w:themeColor="text1"/>
          <w:lang w:val="es-ES"/>
        </w:rPr>
      </w:pPr>
      <w:r w:rsidRPr="0021349A">
        <w:rPr>
          <w:rFonts w:ascii="Calibri" w:hAnsi="Calibri" w:cs="Calibri"/>
          <w:b/>
          <w:bCs/>
          <w:color w:val="000000" w:themeColor="text1"/>
          <w:lang w:val="es-ES"/>
        </w:rPr>
        <w:t>Cuestión no. 5</w:t>
      </w:r>
      <w:r w:rsidRPr="0021349A">
        <w:rPr>
          <w:rFonts w:ascii="Calibri" w:hAnsi="Calibri" w:cs="Calibri"/>
          <w:color w:val="000000" w:themeColor="text1"/>
          <w:lang w:val="es-ES"/>
        </w:rPr>
        <w:t xml:space="preserve">: </w:t>
      </w:r>
      <w:r w:rsidRPr="0021349A">
        <w:rPr>
          <w:rFonts w:ascii="Calibri" w:hAnsi="Calibri" w:cs="Calibri"/>
          <w:i/>
          <w:iCs/>
          <w:color w:val="000000" w:themeColor="text1"/>
          <w:lang w:val="es-ES"/>
        </w:rPr>
        <w:t xml:space="preserve">Sírvanse brindar información sobre los mecanismos concretos que ha adoptado el Estado parte </w:t>
      </w:r>
      <w:r w:rsidRPr="008318C7">
        <w:rPr>
          <w:rFonts w:ascii="Calibri" w:hAnsi="Calibri" w:cs="Calibri"/>
          <w:i/>
          <w:iCs/>
          <w:color w:val="000000" w:themeColor="text1"/>
          <w:lang w:val="es-ES"/>
        </w:rPr>
        <w:t>para la implementación efectiva del derecho a la consulta y el consentimiento libre, previo e informado de los pueblos indígenas –reconocido en la Ley núm. 37 de 2016– en particular sobre proyectos de infraestructura tales como proyectos hidroeléctricos y de transmisión eléctrica con impacto en las tierras reconocidas o reclamadas por estos pueblos, o de otros de sus derechos humanos. Asimismo, se agradecerá indicar el estado de cumplimiento de los acuerdos alcanzados con los pueblos indígenas afectados por este tipo de proyectos, en particular las indemnizaciones económicas acordadas. Sírvanse informar también acerca de los avances relativos a la ratificación del Convenio s</w:t>
      </w:r>
      <w:r w:rsidRPr="0021349A">
        <w:rPr>
          <w:rFonts w:ascii="Calibri" w:hAnsi="Calibri" w:cs="Calibri"/>
          <w:i/>
          <w:iCs/>
          <w:color w:val="000000" w:themeColor="text1"/>
          <w:lang w:val="es-ES"/>
        </w:rPr>
        <w:t>obre Pueblos Indígenas y Tribales, 1989 (núm. 169) de la Organización Internacional del Trabajo (OIT).</w:t>
      </w:r>
    </w:p>
    <w:p w14:paraId="27A88BAE" w14:textId="08035AAC" w:rsidR="0021349A" w:rsidRDefault="0021349A" w:rsidP="0021349A">
      <w:pPr>
        <w:ind w:left="720"/>
        <w:jc w:val="both"/>
        <w:rPr>
          <w:rFonts w:ascii="Calibri" w:hAnsi="Calibri" w:cs="Calibri"/>
          <w:i/>
          <w:iCs/>
          <w:color w:val="000000" w:themeColor="text1"/>
          <w:lang w:val="es-ES"/>
        </w:rPr>
      </w:pPr>
    </w:p>
    <w:p w14:paraId="03BA1E67" w14:textId="7AC9D8F7" w:rsidR="0021349A" w:rsidRPr="0021349A" w:rsidRDefault="0021349A" w:rsidP="0021349A">
      <w:pPr>
        <w:ind w:left="720"/>
        <w:jc w:val="both"/>
        <w:rPr>
          <w:rFonts w:ascii="Calibri" w:hAnsi="Calibri" w:cs="Calibri"/>
          <w:color w:val="000000" w:themeColor="text1"/>
          <w:lang w:val="es-ES"/>
        </w:rPr>
      </w:pPr>
      <w:r>
        <w:rPr>
          <w:rFonts w:ascii="Calibri" w:hAnsi="Calibri" w:cs="Calibri"/>
          <w:b/>
          <w:bCs/>
          <w:color w:val="000000" w:themeColor="text1"/>
          <w:lang w:val="es-ES"/>
        </w:rPr>
        <w:t>Cuestión no. 20</w:t>
      </w:r>
      <w:r>
        <w:rPr>
          <w:rFonts w:ascii="Calibri" w:hAnsi="Calibri" w:cs="Calibri"/>
          <w:color w:val="000000" w:themeColor="text1"/>
          <w:lang w:val="es-ES"/>
        </w:rPr>
        <w:t xml:space="preserve">: </w:t>
      </w:r>
      <w:r w:rsidRPr="0021349A">
        <w:rPr>
          <w:rFonts w:ascii="Calibri" w:hAnsi="Calibri" w:cs="Calibri"/>
          <w:i/>
          <w:iCs/>
          <w:color w:val="000000" w:themeColor="text1"/>
          <w:lang w:val="es-ES"/>
        </w:rPr>
        <w:t xml:space="preserve">Sírvanse </w:t>
      </w:r>
      <w:r w:rsidRPr="008318C7">
        <w:rPr>
          <w:rFonts w:ascii="Calibri" w:hAnsi="Calibri" w:cs="Calibri"/>
          <w:i/>
          <w:iCs/>
          <w:color w:val="000000" w:themeColor="text1"/>
          <w:lang w:val="es-ES"/>
        </w:rPr>
        <w:t>proporcionar información sobre los avances en la implementación del procedimiento especial para la adjudicación de la propiedad colectiva de tierras de los pueblos indígenas que no están dentro de las comarcas (párrafo 158 del informe del Estado parte</w:t>
      </w:r>
      <w:r w:rsidRPr="0021349A">
        <w:rPr>
          <w:rFonts w:ascii="Calibri" w:hAnsi="Calibri" w:cs="Calibri"/>
          <w:i/>
          <w:iCs/>
          <w:color w:val="000000" w:themeColor="text1"/>
          <w:lang w:val="es-ES"/>
        </w:rPr>
        <w:t>), a fin de que puedan preservar sus modos de vida tradicionales, sus medios de subsistencia y sus culturas. Se agradecerá brindar información sobre las medidas adoptadas para prevenir la intrusión de terceros (colonos, empresas privadas agrícolas, mineros y madereros ilegales) en las tierras de los pueblos indígenas dentro y fuera de las comarcas.</w:t>
      </w:r>
    </w:p>
    <w:p w14:paraId="1347BF71" w14:textId="77777777" w:rsidR="0021349A" w:rsidRDefault="0021349A" w:rsidP="0021349A">
      <w:pPr>
        <w:jc w:val="both"/>
        <w:rPr>
          <w:rFonts w:ascii="Calibri" w:hAnsi="Calibri" w:cs="Calibri"/>
          <w:lang w:val="es-ES"/>
        </w:rPr>
      </w:pPr>
    </w:p>
    <w:p w14:paraId="351011D1" w14:textId="4CF61855" w:rsidR="0021349A" w:rsidRDefault="0021349A" w:rsidP="0021349A">
      <w:pPr>
        <w:jc w:val="both"/>
        <w:rPr>
          <w:rFonts w:ascii="Calibri" w:hAnsi="Calibri" w:cs="Calibri"/>
          <w:lang w:val="es-ES"/>
        </w:rPr>
      </w:pPr>
      <w:r>
        <w:rPr>
          <w:rFonts w:ascii="Calibri" w:hAnsi="Calibri" w:cs="Calibri"/>
          <w:lang w:val="es-ES"/>
        </w:rPr>
        <w:t>Por último, presentamos nuestras conclusiones y recomendaciones para la consideración de este Comité.</w:t>
      </w:r>
    </w:p>
    <w:p w14:paraId="5439C5E9" w14:textId="1B514EA3" w:rsidR="0021349A" w:rsidRDefault="0021349A" w:rsidP="0021349A">
      <w:pPr>
        <w:rPr>
          <w:rFonts w:ascii="Calibri" w:hAnsi="Calibri" w:cs="Calibri"/>
          <w:b/>
          <w:bCs/>
          <w:color w:val="046B8C"/>
          <w:lang w:val="es-ES"/>
        </w:rPr>
      </w:pPr>
    </w:p>
    <w:p w14:paraId="021FFE1B" w14:textId="2264E9FB" w:rsidR="0021349A" w:rsidRDefault="0021349A" w:rsidP="0021349A">
      <w:pPr>
        <w:rPr>
          <w:rFonts w:ascii="Calibri" w:hAnsi="Calibri" w:cs="Calibri"/>
          <w:b/>
          <w:bCs/>
          <w:color w:val="046B8C"/>
          <w:lang w:val="es-ES"/>
        </w:rPr>
      </w:pPr>
    </w:p>
    <w:p w14:paraId="07AA2415" w14:textId="2F2589D3" w:rsidR="0021349A" w:rsidRPr="00DC2ED5" w:rsidRDefault="0021349A" w:rsidP="00DC2ED5">
      <w:pPr>
        <w:pStyle w:val="ListParagraph"/>
        <w:numPr>
          <w:ilvl w:val="0"/>
          <w:numId w:val="18"/>
        </w:numPr>
        <w:jc w:val="both"/>
        <w:rPr>
          <w:rFonts w:ascii="Calibri" w:hAnsi="Calibri" w:cs="Calibri"/>
          <w:b/>
          <w:bCs/>
          <w:color w:val="046B8C"/>
          <w:lang w:val="es-ES"/>
        </w:rPr>
      </w:pPr>
      <w:r w:rsidRPr="00DC2ED5">
        <w:rPr>
          <w:rFonts w:ascii="Calibri" w:hAnsi="Calibri" w:cs="Calibri"/>
          <w:b/>
          <w:bCs/>
          <w:color w:val="046B8C"/>
          <w:lang w:val="es-ES"/>
        </w:rPr>
        <w:t>Actualización sobre l</w:t>
      </w:r>
      <w:r w:rsidR="00691E99" w:rsidRPr="00DC2ED5">
        <w:rPr>
          <w:rFonts w:ascii="Calibri" w:hAnsi="Calibri" w:cs="Calibri"/>
          <w:b/>
          <w:bCs/>
          <w:color w:val="046B8C"/>
          <w:lang w:val="es-ES"/>
        </w:rPr>
        <w:t>a situación de l</w:t>
      </w:r>
      <w:r w:rsidR="00DC2ED5">
        <w:rPr>
          <w:rFonts w:ascii="Calibri" w:hAnsi="Calibri" w:cs="Calibri"/>
          <w:b/>
          <w:bCs/>
          <w:color w:val="046B8C"/>
          <w:lang w:val="es-ES"/>
        </w:rPr>
        <w:t xml:space="preserve">as comunidades </w:t>
      </w:r>
      <w:r w:rsidR="00691E99" w:rsidRPr="00DC2ED5">
        <w:rPr>
          <w:rFonts w:ascii="Calibri" w:hAnsi="Calibri" w:cs="Calibri"/>
          <w:b/>
          <w:bCs/>
          <w:color w:val="046B8C"/>
          <w:lang w:val="es-ES"/>
        </w:rPr>
        <w:t>indígenas Ngäbe y Buglé</w:t>
      </w:r>
      <w:r w:rsidR="00DC2ED5">
        <w:rPr>
          <w:rFonts w:ascii="Calibri" w:hAnsi="Calibri" w:cs="Calibri"/>
          <w:b/>
          <w:bCs/>
          <w:color w:val="046B8C"/>
          <w:lang w:val="es-ES"/>
        </w:rPr>
        <w:t xml:space="preserve"> afectadas por la </w:t>
      </w:r>
      <w:r w:rsidR="00DC2ED5" w:rsidRPr="00DC2ED5">
        <w:rPr>
          <w:rFonts w:ascii="Calibri" w:hAnsi="Calibri" w:cs="Calibri"/>
          <w:b/>
          <w:bCs/>
          <w:color w:val="046B8C"/>
          <w:lang w:val="es-ES"/>
        </w:rPr>
        <w:t>Cuarta Línea de Transmisión Eléctrica de Panamá</w:t>
      </w:r>
      <w:r w:rsidR="00DC2ED5">
        <w:rPr>
          <w:rFonts w:ascii="Calibri" w:hAnsi="Calibri" w:cs="Calibri"/>
          <w:b/>
          <w:bCs/>
          <w:color w:val="046B8C"/>
          <w:lang w:val="es-ES"/>
        </w:rPr>
        <w:t xml:space="preserve"> en la provincia de Veraguas, la provincia de Bocas del Toro y la Comarca Ngäbe, Buglé y Campesinos</w:t>
      </w:r>
    </w:p>
    <w:p w14:paraId="54DFCD68" w14:textId="77777777" w:rsidR="0021349A" w:rsidRPr="0021349A" w:rsidRDefault="0021349A" w:rsidP="0021349A">
      <w:pPr>
        <w:jc w:val="both"/>
        <w:rPr>
          <w:rFonts w:ascii="Calibri" w:hAnsi="Calibri" w:cs="Calibri"/>
          <w:color w:val="046B8C"/>
          <w:lang w:val="es-ES"/>
        </w:rPr>
      </w:pPr>
    </w:p>
    <w:p w14:paraId="3E66C1AB" w14:textId="30679D05" w:rsidR="0021349A" w:rsidRPr="0021349A" w:rsidRDefault="0021349A" w:rsidP="0021349A">
      <w:pPr>
        <w:jc w:val="both"/>
        <w:rPr>
          <w:rFonts w:ascii="Calibri" w:hAnsi="Calibri" w:cs="Calibri"/>
          <w:b/>
          <w:bCs/>
          <w:lang w:val="es-ES"/>
        </w:rPr>
      </w:pPr>
      <w:r>
        <w:rPr>
          <w:rFonts w:ascii="Calibri" w:hAnsi="Calibri" w:cs="Calibri"/>
          <w:lang w:val="es-ES"/>
        </w:rPr>
        <w:tab/>
      </w:r>
      <w:r w:rsidRPr="0021349A">
        <w:rPr>
          <w:rFonts w:ascii="Calibri" w:hAnsi="Calibri" w:cs="Calibri"/>
          <w:b/>
          <w:bCs/>
          <w:lang w:val="es-ES"/>
        </w:rPr>
        <w:t>Contexto</w:t>
      </w:r>
      <w:r w:rsidR="000D44DD">
        <w:rPr>
          <w:rFonts w:ascii="Calibri" w:hAnsi="Calibri" w:cs="Calibri"/>
          <w:b/>
          <w:bCs/>
          <w:lang w:val="es-ES"/>
        </w:rPr>
        <w:t xml:space="preserve"> actual</w:t>
      </w:r>
    </w:p>
    <w:p w14:paraId="07BC7382" w14:textId="77777777" w:rsidR="0021349A" w:rsidRDefault="0021349A" w:rsidP="0021349A">
      <w:pPr>
        <w:jc w:val="both"/>
        <w:rPr>
          <w:rFonts w:ascii="Calibri" w:hAnsi="Calibri" w:cs="Calibri"/>
          <w:lang w:val="es-ES"/>
        </w:rPr>
      </w:pPr>
    </w:p>
    <w:p w14:paraId="15AAEB5F" w14:textId="6B09C6B5" w:rsidR="0021349A" w:rsidRDefault="0021349A" w:rsidP="0021349A">
      <w:pPr>
        <w:jc w:val="both"/>
        <w:rPr>
          <w:rFonts w:ascii="Calibri" w:hAnsi="Calibri" w:cs="Calibri"/>
          <w:lang w:val="es-ES"/>
        </w:rPr>
      </w:pPr>
      <w:r>
        <w:rPr>
          <w:rFonts w:ascii="Calibri" w:hAnsi="Calibri" w:cs="Calibri"/>
          <w:lang w:val="es-ES"/>
        </w:rPr>
        <w:t xml:space="preserve">Las organizaciones firmantes reiteramos </w:t>
      </w:r>
      <w:r w:rsidRPr="00CE1598">
        <w:rPr>
          <w:rFonts w:ascii="Calibri" w:hAnsi="Calibri" w:cs="Calibri"/>
          <w:lang w:val="es-ES"/>
        </w:rPr>
        <w:t xml:space="preserve">nuestra preocupación con respecto del proyecto para construir una línea de transmisión eléctrica, denominada la </w:t>
      </w:r>
      <w:r w:rsidRPr="00CE1598">
        <w:rPr>
          <w:rFonts w:ascii="Calibri" w:eastAsia="Times New Roman" w:hAnsi="Calibri" w:cs="Calibri"/>
          <w:lang w:val="es-ES"/>
        </w:rPr>
        <w:t xml:space="preserve">«Cuarta </w:t>
      </w:r>
      <w:r w:rsidRPr="00CE1598">
        <w:rPr>
          <w:rFonts w:ascii="Calibri" w:hAnsi="Calibri" w:cs="Calibri"/>
          <w:lang w:val="es-ES"/>
        </w:rPr>
        <w:t>Línea de Transmisión». Dicha línea de transmisión cruzaría más de 330 kilómetros a lo largo de la costa atlántica de Panamá, atravesando numerosas tierras las cuales incluyen territorios y comunidades indígenas quienes han habitado esta región por generaciones.</w:t>
      </w:r>
      <w:r>
        <w:rPr>
          <w:rFonts w:ascii="Calibri" w:hAnsi="Calibri" w:cs="Calibri"/>
          <w:lang w:val="es-ES"/>
        </w:rPr>
        <w:t xml:space="preserve"> (Ver nuestro informe paralelo anterior, p. 1.)</w:t>
      </w:r>
    </w:p>
    <w:p w14:paraId="71190F3A" w14:textId="696A1F7A" w:rsidR="0021349A" w:rsidRDefault="0021349A" w:rsidP="0021349A">
      <w:pPr>
        <w:jc w:val="both"/>
        <w:rPr>
          <w:rFonts w:ascii="Calibri" w:hAnsi="Calibri" w:cs="Calibri"/>
          <w:lang w:val="es-ES"/>
        </w:rPr>
      </w:pPr>
    </w:p>
    <w:p w14:paraId="48D7D52A" w14:textId="1F6397CB" w:rsidR="0021349A" w:rsidRDefault="0021349A" w:rsidP="0021349A">
      <w:pPr>
        <w:jc w:val="both"/>
        <w:rPr>
          <w:rFonts w:ascii="Calibri" w:hAnsi="Calibri" w:cs="Calibri"/>
          <w:lang w:val="es-ES"/>
        </w:rPr>
      </w:pPr>
      <w:r>
        <w:rPr>
          <w:rFonts w:ascii="Calibri" w:hAnsi="Calibri" w:cs="Calibri"/>
          <w:lang w:val="es-ES"/>
        </w:rPr>
        <w:t>Como señalamos en nuestro informe paralelo anterior, l</w:t>
      </w:r>
      <w:r w:rsidRPr="00CE1598">
        <w:rPr>
          <w:rFonts w:ascii="Calibri" w:hAnsi="Calibri" w:cs="Calibri"/>
          <w:lang w:val="es-ES"/>
        </w:rPr>
        <w:t xml:space="preserve">a Empresa de Transmisión Eléctrica S.A. (ETESA), compañía de transmisión del Estado Panameño, ha impulsado </w:t>
      </w:r>
      <w:r>
        <w:rPr>
          <w:rFonts w:ascii="Calibri" w:hAnsi="Calibri" w:cs="Calibri"/>
          <w:lang w:val="es-ES"/>
        </w:rPr>
        <w:t>este</w:t>
      </w:r>
      <w:r w:rsidRPr="00CE1598">
        <w:rPr>
          <w:rFonts w:ascii="Calibri" w:hAnsi="Calibri" w:cs="Calibri"/>
          <w:lang w:val="es-ES"/>
        </w:rPr>
        <w:t xml:space="preserve"> proyecto para construir y operar la Cuarta Línea de Transmisión</w:t>
      </w:r>
      <w:r>
        <w:rPr>
          <w:rFonts w:ascii="Calibri" w:hAnsi="Calibri" w:cs="Calibri"/>
          <w:lang w:val="es-ES"/>
        </w:rPr>
        <w:t xml:space="preserve"> Eléctrica de Panamá. Por su parte, l</w:t>
      </w:r>
      <w:r w:rsidRPr="00CE1598">
        <w:rPr>
          <w:rFonts w:ascii="Calibri" w:hAnsi="Calibri" w:cs="Calibri"/>
          <w:lang w:val="es-ES"/>
        </w:rPr>
        <w:t>a Corporación Financiera Internacional (IFC) del Banco Mundial</w:t>
      </w:r>
      <w:r>
        <w:rPr>
          <w:rFonts w:ascii="Calibri" w:hAnsi="Calibri" w:cs="Calibri"/>
          <w:lang w:val="es-ES"/>
        </w:rPr>
        <w:t xml:space="preserve"> está </w:t>
      </w:r>
      <w:r w:rsidRPr="0021349A">
        <w:rPr>
          <w:lang w:val="es-ES"/>
        </w:rPr>
        <w:t xml:space="preserve">coadyuvando con la </w:t>
      </w:r>
      <w:r w:rsidRPr="0021349A">
        <w:rPr>
          <w:lang w:val="es-ES"/>
        </w:rPr>
        <w:lastRenderedPageBreak/>
        <w:t>estructuración y licitación de una asociación público-privada para la financiación, construcción y operación del proyecto</w:t>
      </w:r>
      <w:r>
        <w:rPr>
          <w:rFonts w:ascii="Calibri" w:hAnsi="Calibri" w:cs="Calibri"/>
          <w:lang w:val="es-ES"/>
        </w:rPr>
        <w:t xml:space="preserve">. </w:t>
      </w:r>
    </w:p>
    <w:p w14:paraId="28CA5D30" w14:textId="77777777" w:rsidR="0021349A" w:rsidRDefault="0021349A" w:rsidP="0021349A">
      <w:pPr>
        <w:jc w:val="both"/>
        <w:rPr>
          <w:rFonts w:ascii="Calibri" w:hAnsi="Calibri" w:cs="Calibri"/>
          <w:lang w:val="es-ES"/>
        </w:rPr>
      </w:pPr>
    </w:p>
    <w:p w14:paraId="27466B75" w14:textId="045F66DD" w:rsidR="0021349A" w:rsidRDefault="0021349A" w:rsidP="0021349A">
      <w:pPr>
        <w:jc w:val="both"/>
        <w:rPr>
          <w:rFonts w:ascii="Calibri" w:hAnsi="Calibri" w:cs="Calibri"/>
          <w:lang w:val="es-ES"/>
        </w:rPr>
      </w:pPr>
      <w:r w:rsidRPr="00CE1598">
        <w:rPr>
          <w:rFonts w:ascii="Calibri" w:hAnsi="Calibri" w:cs="Calibri"/>
          <w:lang w:val="es-ES"/>
        </w:rPr>
        <w:t xml:space="preserve">En junio de 2018, las </w:t>
      </w:r>
      <w:r w:rsidRPr="00CE1598">
        <w:rPr>
          <w:rFonts w:ascii="Calibri" w:hAnsi="Calibri" w:cs="Calibri"/>
          <w:color w:val="000000" w:themeColor="text1"/>
          <w:lang w:val="es-ES"/>
        </w:rPr>
        <w:t xml:space="preserve">organizaciones firmantes interpusieron una queja ante la </w:t>
      </w:r>
      <w:r w:rsidRPr="00CE1598">
        <w:rPr>
          <w:rFonts w:ascii="Calibri" w:hAnsi="Calibri" w:cs="Calibri"/>
          <w:lang w:val="es-ES"/>
        </w:rPr>
        <w:t xml:space="preserve">Oficina del Asesor en Cumplimiento Ombudsman (CAO), el mecanismo de rendición de cuentas de la IFC, impugnando la decisión de la IFC de </w:t>
      </w:r>
      <w:r>
        <w:rPr>
          <w:rFonts w:ascii="Calibri" w:hAnsi="Calibri" w:cs="Calibri"/>
          <w:lang w:val="es-ES"/>
        </w:rPr>
        <w:t>apoyar</w:t>
      </w:r>
      <w:r w:rsidRPr="00CE1598">
        <w:rPr>
          <w:rFonts w:ascii="Calibri" w:hAnsi="Calibri" w:cs="Calibri"/>
          <w:lang w:val="es-ES"/>
        </w:rPr>
        <w:t xml:space="preserve"> este proyecto en contravención del marco de sostenibilidad de la institución.</w:t>
      </w:r>
      <w:r w:rsidRPr="00CE1598">
        <w:rPr>
          <w:rStyle w:val="FootnoteReference"/>
          <w:rFonts w:ascii="Calibri" w:hAnsi="Calibri" w:cs="Calibri"/>
          <w:lang w:val="es-ES"/>
        </w:rPr>
        <w:footnoteReference w:id="2"/>
      </w:r>
      <w:r>
        <w:rPr>
          <w:rFonts w:ascii="Calibri" w:hAnsi="Calibri" w:cs="Calibri"/>
          <w:lang w:val="es-ES"/>
        </w:rPr>
        <w:t xml:space="preserve"> </w:t>
      </w:r>
      <w:r w:rsidRPr="00CE1598">
        <w:rPr>
          <w:rFonts w:ascii="Calibri" w:hAnsi="Calibri" w:cs="Calibri"/>
          <w:lang w:val="es-ES"/>
        </w:rPr>
        <w:t>La CAO declaró admisible la queja en julio de 2018 y anunció en enero de 2020 que investigaría el proyecto.</w:t>
      </w:r>
    </w:p>
    <w:p w14:paraId="0030C6E3" w14:textId="6A4A9CDF" w:rsidR="0021349A" w:rsidRDefault="0021349A" w:rsidP="0021349A">
      <w:pPr>
        <w:jc w:val="both"/>
        <w:rPr>
          <w:rFonts w:ascii="Calibri" w:hAnsi="Calibri" w:cs="Calibri"/>
          <w:lang w:val="es-ES"/>
        </w:rPr>
      </w:pPr>
    </w:p>
    <w:p w14:paraId="1DF7A812" w14:textId="4B25CC04" w:rsidR="0021349A" w:rsidRDefault="0021349A" w:rsidP="0021349A">
      <w:pPr>
        <w:jc w:val="both"/>
        <w:rPr>
          <w:lang w:val="es-ES"/>
        </w:rPr>
      </w:pPr>
      <w:r>
        <w:rPr>
          <w:rFonts w:ascii="Calibri" w:hAnsi="Calibri" w:cs="Calibri"/>
          <w:lang w:val="es-ES"/>
        </w:rPr>
        <w:t xml:space="preserve">La CAO publicó su informe de investigación en junio de 2022, en el cual determinó </w:t>
      </w:r>
      <w:r w:rsidRPr="0021349A">
        <w:rPr>
          <w:lang w:val="es-ES"/>
        </w:rPr>
        <w:t>que la IFC no actuó de acuerdo con su propia política de sostenibilidad</w:t>
      </w:r>
      <w:r>
        <w:rPr>
          <w:lang w:val="es-ES"/>
        </w:rPr>
        <w:t>.</w:t>
      </w:r>
      <w:r>
        <w:rPr>
          <w:rStyle w:val="FootnoteReference"/>
          <w:lang w:val="es-ES"/>
        </w:rPr>
        <w:footnoteReference w:id="3"/>
      </w:r>
      <w:r>
        <w:rPr>
          <w:lang w:val="es-ES"/>
        </w:rPr>
        <w:t xml:space="preserve"> Adicionalmente, la CAO concluyó que </w:t>
      </w:r>
      <w:r w:rsidRPr="0021349A">
        <w:rPr>
          <w:lang w:val="es-ES"/>
        </w:rPr>
        <w:t xml:space="preserve">los procesos de </w:t>
      </w:r>
      <w:r w:rsidR="00174521">
        <w:rPr>
          <w:lang w:val="es-ES"/>
        </w:rPr>
        <w:t>C</w:t>
      </w:r>
      <w:r w:rsidRPr="0021349A">
        <w:rPr>
          <w:lang w:val="es-ES"/>
        </w:rPr>
        <w:t xml:space="preserve">onsentimiento </w:t>
      </w:r>
      <w:r w:rsidR="00174521">
        <w:rPr>
          <w:lang w:val="es-ES"/>
        </w:rPr>
        <w:t>L</w:t>
      </w:r>
      <w:r w:rsidRPr="0021349A">
        <w:rPr>
          <w:lang w:val="es-ES"/>
        </w:rPr>
        <w:t xml:space="preserve">ibre, </w:t>
      </w:r>
      <w:r w:rsidR="00174521">
        <w:rPr>
          <w:lang w:val="es-ES"/>
        </w:rPr>
        <w:t>P</w:t>
      </w:r>
      <w:r w:rsidRPr="0021349A">
        <w:rPr>
          <w:lang w:val="es-ES"/>
        </w:rPr>
        <w:t xml:space="preserve">revio e </w:t>
      </w:r>
      <w:r w:rsidR="00174521">
        <w:rPr>
          <w:lang w:val="es-ES"/>
        </w:rPr>
        <w:t>I</w:t>
      </w:r>
      <w:r w:rsidRPr="0021349A">
        <w:rPr>
          <w:lang w:val="es-ES"/>
        </w:rPr>
        <w:t xml:space="preserve">nformado (CLPI) no se han llevado a cabo adecuadamente con los pueblos indígenas de la región quienes podrían verse afectados. </w:t>
      </w:r>
      <w:r>
        <w:rPr>
          <w:lang w:val="es-ES"/>
        </w:rPr>
        <w:t xml:space="preserve">Es importante señalar que la CAO diferencia entre el </w:t>
      </w:r>
      <w:r w:rsidRPr="0021349A">
        <w:rPr>
          <w:lang w:val="es-ES"/>
        </w:rPr>
        <w:t xml:space="preserve">“proceso preliminar de </w:t>
      </w:r>
      <w:r>
        <w:rPr>
          <w:lang w:val="es-ES"/>
        </w:rPr>
        <w:t>CLPI” —el cual fue iniciado por ETESA en diciembre de 2017 con el propósito original de obtener el consentimiento de los pueblos indígenas afectados para realizar la Evaluación de Impactos Ambientales y Sociales (EIAS) del proyecto, pero cuyo alcance se extendió y resultó “en acuerdos sobre temas clave referentes al desarrollo de la línea de transmisión</w:t>
      </w:r>
      <w:r w:rsidRPr="0021349A">
        <w:rPr>
          <w:lang w:val="es-ES"/>
        </w:rPr>
        <w:t>”</w:t>
      </w:r>
      <w:r>
        <w:rPr>
          <w:rStyle w:val="FootnoteReference"/>
          <w:lang w:val="es-ES"/>
        </w:rPr>
        <w:footnoteReference w:id="4"/>
      </w:r>
      <w:r>
        <w:rPr>
          <w:lang w:val="es-ES"/>
        </w:rPr>
        <w:t>— y el “proceso primario de CLPI”, el cual consistirá en una fase posterior que buscará obtener el consentimiento para la construcción del proyecto.</w:t>
      </w:r>
      <w:r>
        <w:rPr>
          <w:rStyle w:val="FootnoteReference"/>
          <w:lang w:val="es-ES"/>
        </w:rPr>
        <w:footnoteReference w:id="5"/>
      </w:r>
      <w:r>
        <w:rPr>
          <w:lang w:val="es-ES"/>
        </w:rPr>
        <w:t xml:space="preserve"> Hasta donde tenemos conocimiento, aún no se ha iniciado el proceso primario de CLPI.</w:t>
      </w:r>
    </w:p>
    <w:p w14:paraId="7149C9D8" w14:textId="77777777" w:rsidR="0021349A" w:rsidRDefault="0021349A" w:rsidP="0021349A">
      <w:pPr>
        <w:jc w:val="both"/>
        <w:rPr>
          <w:lang w:val="es-ES"/>
        </w:rPr>
      </w:pPr>
    </w:p>
    <w:p w14:paraId="555AB96C" w14:textId="41B602A2" w:rsidR="0021349A" w:rsidRDefault="0021349A" w:rsidP="0021349A">
      <w:pPr>
        <w:jc w:val="both"/>
        <w:rPr>
          <w:lang w:val="es-ES"/>
        </w:rPr>
      </w:pPr>
      <w:r>
        <w:rPr>
          <w:lang w:val="es-ES"/>
        </w:rPr>
        <w:t>En cuanto al proceso preliminar de CLPI, l</w:t>
      </w:r>
      <w:r w:rsidRPr="0021349A">
        <w:rPr>
          <w:lang w:val="es-ES"/>
        </w:rPr>
        <w:t>as conclusiones de la CAO reconocen que las comunidades indígenas situadas fuera del territorio oficialmente reconocido de la Comarca Ngäbe-Buglé han sido excluidas por completo de los procesos de CLPI.</w:t>
      </w:r>
      <w:r>
        <w:rPr>
          <w:rStyle w:val="FootnoteReference"/>
          <w:lang w:val="es-ES"/>
        </w:rPr>
        <w:footnoteReference w:id="6"/>
      </w:r>
      <w:r>
        <w:rPr>
          <w:lang w:val="es-ES"/>
        </w:rPr>
        <w:t xml:space="preserve"> El informe de la CAO también establece que el proceso preliminar de CLPI se condujo solamente con representantes de la Comarca Ngäbe-Buglé reconocidos por el gobierno, lo cual </w:t>
      </w:r>
      <w:r w:rsidRPr="0021349A">
        <w:rPr>
          <w:lang w:val="es-ES"/>
        </w:rPr>
        <w:t>“</w:t>
      </w:r>
      <w:r>
        <w:rPr>
          <w:lang w:val="es-ES"/>
        </w:rPr>
        <w:t>resultó en la exclusión de comunidades afectadas y autoridades Indígenas tradicionales…que, según se documenta, gozan de altos niveles de legitimidad e influencia</w:t>
      </w:r>
      <w:r w:rsidRPr="0021349A">
        <w:rPr>
          <w:lang w:val="es-ES"/>
        </w:rPr>
        <w:t>”.</w:t>
      </w:r>
      <w:r>
        <w:rPr>
          <w:rStyle w:val="FootnoteReference"/>
          <w:lang w:val="es-ES"/>
        </w:rPr>
        <w:footnoteReference w:id="7"/>
      </w:r>
      <w:r w:rsidRPr="0021349A">
        <w:rPr>
          <w:lang w:val="es-ES"/>
        </w:rPr>
        <w:t xml:space="preserve"> </w:t>
      </w:r>
      <w:r>
        <w:rPr>
          <w:lang w:val="es-ES"/>
        </w:rPr>
        <w:t xml:space="preserve"> Adicionalmente, determina que </w:t>
      </w:r>
      <w:r w:rsidRPr="0021349A">
        <w:rPr>
          <w:lang w:val="es-ES"/>
        </w:rPr>
        <w:t>“[n]o se prestó atención al hecho de asegurarse de que el proceso preliminar del CLPI se condujera de manera culturalmente adecuada, incluida la divulgación de información y documentos pertinentes en las lenguas Indígenas locales</w:t>
      </w:r>
      <w:r>
        <w:rPr>
          <w:lang w:val="es-ES"/>
        </w:rPr>
        <w:t>.</w:t>
      </w:r>
      <w:r w:rsidRPr="0021349A">
        <w:rPr>
          <w:lang w:val="es-ES"/>
        </w:rPr>
        <w:t>”</w:t>
      </w:r>
      <w:r>
        <w:rPr>
          <w:rStyle w:val="FootnoteReference"/>
          <w:lang w:val="es-ES"/>
        </w:rPr>
        <w:footnoteReference w:id="8"/>
      </w:r>
    </w:p>
    <w:p w14:paraId="3ED1E232" w14:textId="14DF8064" w:rsidR="0021349A" w:rsidRDefault="0021349A" w:rsidP="0021349A">
      <w:pPr>
        <w:jc w:val="both"/>
        <w:rPr>
          <w:lang w:val="es-ES"/>
        </w:rPr>
      </w:pPr>
    </w:p>
    <w:p w14:paraId="2DC8DC4F" w14:textId="10571639" w:rsidR="0021349A" w:rsidRDefault="0021349A" w:rsidP="0021349A">
      <w:pPr>
        <w:jc w:val="both"/>
        <w:rPr>
          <w:lang w:val="es-ES"/>
        </w:rPr>
      </w:pPr>
      <w:r>
        <w:rPr>
          <w:lang w:val="es-ES"/>
        </w:rPr>
        <w:t>De igual manera, los hallazgos de la CAO identifican deficiencias en términos de la preparación para el proceso primario de CLPI, las cuales repitieron las brechas claves del proceso preliminar de CLPI.  Según el informe de la CAO, estas deficiencias son las siguientes:</w:t>
      </w:r>
    </w:p>
    <w:p w14:paraId="7A243C4C" w14:textId="77777777" w:rsidR="0021349A" w:rsidRDefault="0021349A" w:rsidP="0021349A">
      <w:pPr>
        <w:jc w:val="both"/>
        <w:rPr>
          <w:lang w:val="es-ES"/>
        </w:rPr>
      </w:pPr>
    </w:p>
    <w:p w14:paraId="5D4D4934" w14:textId="0930083A" w:rsidR="0021349A" w:rsidRPr="008318C7" w:rsidRDefault="008318C7" w:rsidP="008318C7">
      <w:pPr>
        <w:ind w:left="720" w:right="720"/>
        <w:jc w:val="both"/>
        <w:rPr>
          <w:i/>
          <w:iCs/>
          <w:lang w:val="es-ES"/>
        </w:rPr>
      </w:pPr>
      <w:r w:rsidRPr="008318C7">
        <w:rPr>
          <w:i/>
          <w:iCs/>
          <w:lang w:val="es-ES"/>
        </w:rPr>
        <w:t>(a) en el proceso primario del CLPI, la falta de participación de los Pueblos</w:t>
      </w:r>
      <w:r>
        <w:rPr>
          <w:i/>
          <w:iCs/>
          <w:lang w:val="es-ES"/>
        </w:rPr>
        <w:t xml:space="preserve"> </w:t>
      </w:r>
      <w:r w:rsidRPr="008318C7">
        <w:rPr>
          <w:i/>
          <w:iCs/>
          <w:lang w:val="es-ES"/>
        </w:rPr>
        <w:t>Indígenas que están</w:t>
      </w:r>
      <w:r>
        <w:rPr>
          <w:i/>
          <w:iCs/>
          <w:lang w:val="es-ES"/>
        </w:rPr>
        <w:t xml:space="preserve"> </w:t>
      </w:r>
      <w:r w:rsidRPr="008318C7">
        <w:rPr>
          <w:i/>
          <w:iCs/>
          <w:lang w:val="es-ES"/>
        </w:rPr>
        <w:t>fuera de la Comarca, sobre todo los que se encuentran en la</w:t>
      </w:r>
      <w:r>
        <w:rPr>
          <w:i/>
          <w:iCs/>
          <w:lang w:val="es-ES"/>
        </w:rPr>
        <w:t xml:space="preserve"> </w:t>
      </w:r>
      <w:r w:rsidRPr="008318C7">
        <w:rPr>
          <w:i/>
          <w:iCs/>
          <w:lang w:val="es-ES"/>
        </w:rPr>
        <w:t xml:space="preserve">región Norte de Santa </w:t>
      </w:r>
      <w:proofErr w:type="spellStart"/>
      <w:r w:rsidRPr="008318C7">
        <w:rPr>
          <w:i/>
          <w:iCs/>
          <w:lang w:val="es-ES"/>
        </w:rPr>
        <w:t>Fé</w:t>
      </w:r>
      <w:proofErr w:type="spellEnd"/>
      <w:r w:rsidRPr="008318C7">
        <w:rPr>
          <w:i/>
          <w:iCs/>
          <w:lang w:val="es-ES"/>
        </w:rPr>
        <w:t xml:space="preserve"> y en las</w:t>
      </w:r>
      <w:r>
        <w:rPr>
          <w:i/>
          <w:iCs/>
          <w:lang w:val="es-ES"/>
        </w:rPr>
        <w:t xml:space="preserve"> </w:t>
      </w:r>
      <w:r w:rsidRPr="008318C7">
        <w:rPr>
          <w:i/>
          <w:iCs/>
          <w:lang w:val="es-ES"/>
        </w:rPr>
        <w:t>áreas anexas; (b) el enfoque continuado en</w:t>
      </w:r>
      <w:r>
        <w:rPr>
          <w:i/>
          <w:iCs/>
          <w:lang w:val="es-ES"/>
        </w:rPr>
        <w:t xml:space="preserve"> </w:t>
      </w:r>
      <w:r w:rsidRPr="008318C7">
        <w:rPr>
          <w:i/>
          <w:iCs/>
          <w:lang w:val="es-ES"/>
        </w:rPr>
        <w:t>consultar a las autoridades de la Comarca</w:t>
      </w:r>
      <w:r>
        <w:rPr>
          <w:i/>
          <w:iCs/>
          <w:lang w:val="es-ES"/>
        </w:rPr>
        <w:t xml:space="preserve"> </w:t>
      </w:r>
      <w:r w:rsidRPr="008318C7">
        <w:rPr>
          <w:i/>
          <w:iCs/>
          <w:lang w:val="es-ES"/>
        </w:rPr>
        <w:t>reconocidas por el gobierno, con</w:t>
      </w:r>
      <w:r>
        <w:rPr>
          <w:i/>
          <w:iCs/>
          <w:lang w:val="es-ES"/>
        </w:rPr>
        <w:t xml:space="preserve"> </w:t>
      </w:r>
      <w:r w:rsidRPr="008318C7">
        <w:rPr>
          <w:i/>
          <w:iCs/>
          <w:lang w:val="es-ES"/>
        </w:rPr>
        <w:t>exclusión de las autoridades tradicionales y otros</w:t>
      </w:r>
      <w:r>
        <w:rPr>
          <w:i/>
          <w:iCs/>
          <w:lang w:val="es-ES"/>
        </w:rPr>
        <w:t xml:space="preserve"> </w:t>
      </w:r>
      <w:r w:rsidRPr="008318C7">
        <w:rPr>
          <w:i/>
          <w:iCs/>
          <w:lang w:val="es-ES"/>
        </w:rPr>
        <w:t>representantes comunitarios,</w:t>
      </w:r>
      <w:r>
        <w:rPr>
          <w:i/>
          <w:iCs/>
          <w:lang w:val="es-ES"/>
        </w:rPr>
        <w:t xml:space="preserve"> </w:t>
      </w:r>
      <w:r w:rsidRPr="008318C7">
        <w:rPr>
          <w:i/>
          <w:iCs/>
          <w:lang w:val="es-ES"/>
        </w:rPr>
        <w:t>tales como los de congresos tradicionales de masas y los caciques;</w:t>
      </w:r>
      <w:r>
        <w:rPr>
          <w:i/>
          <w:iCs/>
          <w:lang w:val="es-ES"/>
        </w:rPr>
        <w:t xml:space="preserve"> </w:t>
      </w:r>
      <w:r w:rsidRPr="008318C7">
        <w:rPr>
          <w:i/>
          <w:iCs/>
          <w:lang w:val="es-ES"/>
        </w:rPr>
        <w:t>(c) la falta de</w:t>
      </w:r>
      <w:r>
        <w:rPr>
          <w:i/>
          <w:iCs/>
          <w:lang w:val="es-ES"/>
        </w:rPr>
        <w:t xml:space="preserve"> </w:t>
      </w:r>
      <w:r w:rsidRPr="008318C7">
        <w:rPr>
          <w:i/>
          <w:iCs/>
          <w:lang w:val="es-ES"/>
        </w:rPr>
        <w:t>reconocimiento de lo importantes que son las consultas horizontales</w:t>
      </w:r>
      <w:r>
        <w:rPr>
          <w:i/>
          <w:iCs/>
          <w:lang w:val="es-ES"/>
        </w:rPr>
        <w:t xml:space="preserve"> </w:t>
      </w:r>
      <w:r w:rsidRPr="008318C7">
        <w:rPr>
          <w:i/>
          <w:iCs/>
          <w:lang w:val="es-ES"/>
        </w:rPr>
        <w:t>participativas</w:t>
      </w:r>
      <w:r>
        <w:rPr>
          <w:i/>
          <w:iCs/>
          <w:lang w:val="es-ES"/>
        </w:rPr>
        <w:t xml:space="preserve"> </w:t>
      </w:r>
      <w:r w:rsidRPr="008318C7">
        <w:rPr>
          <w:i/>
          <w:iCs/>
          <w:lang w:val="es-ES"/>
        </w:rPr>
        <w:t>(bottom-up) para reflejar los procesos de toma de decisiones en el</w:t>
      </w:r>
      <w:r>
        <w:rPr>
          <w:i/>
          <w:iCs/>
          <w:lang w:val="es-ES"/>
        </w:rPr>
        <w:t xml:space="preserve"> </w:t>
      </w:r>
      <w:r w:rsidRPr="008318C7">
        <w:rPr>
          <w:i/>
          <w:iCs/>
          <w:lang w:val="es-ES"/>
        </w:rPr>
        <w:t>nivel comunitario; (d) las</w:t>
      </w:r>
      <w:r>
        <w:rPr>
          <w:i/>
          <w:iCs/>
          <w:lang w:val="es-ES"/>
        </w:rPr>
        <w:t xml:space="preserve"> </w:t>
      </w:r>
      <w:r w:rsidRPr="008318C7">
        <w:rPr>
          <w:i/>
          <w:iCs/>
          <w:lang w:val="es-ES"/>
        </w:rPr>
        <w:t>insuficientes disposiciones para que las mujeres</w:t>
      </w:r>
      <w:r>
        <w:rPr>
          <w:i/>
          <w:iCs/>
          <w:lang w:val="es-ES"/>
        </w:rPr>
        <w:t xml:space="preserve"> </w:t>
      </w:r>
      <w:r w:rsidRPr="008318C7">
        <w:rPr>
          <w:i/>
          <w:iCs/>
          <w:lang w:val="es-ES"/>
        </w:rPr>
        <w:t>participaran en el proceso de consulta; y (e) la</w:t>
      </w:r>
      <w:r>
        <w:rPr>
          <w:i/>
          <w:iCs/>
          <w:lang w:val="es-ES"/>
        </w:rPr>
        <w:t xml:space="preserve"> </w:t>
      </w:r>
      <w:r w:rsidRPr="008318C7">
        <w:rPr>
          <w:i/>
          <w:iCs/>
          <w:lang w:val="es-ES"/>
        </w:rPr>
        <w:t>falta de especificidad sobre la</w:t>
      </w:r>
      <w:r>
        <w:rPr>
          <w:i/>
          <w:iCs/>
          <w:lang w:val="es-ES"/>
        </w:rPr>
        <w:t xml:space="preserve"> </w:t>
      </w:r>
      <w:r w:rsidRPr="008318C7">
        <w:rPr>
          <w:i/>
          <w:iCs/>
          <w:lang w:val="es-ES"/>
        </w:rPr>
        <w:t>necesidad de divulgar información en las lenguas Indígenas locales</w:t>
      </w:r>
      <w:r>
        <w:rPr>
          <w:i/>
          <w:iCs/>
          <w:lang w:val="es-ES"/>
        </w:rPr>
        <w:t xml:space="preserve"> </w:t>
      </w:r>
      <w:r w:rsidRPr="008318C7">
        <w:rPr>
          <w:i/>
          <w:iCs/>
          <w:lang w:val="es-ES"/>
        </w:rPr>
        <w:t>durante todo el ciclo del proyecto.</w:t>
      </w:r>
      <w:r>
        <w:rPr>
          <w:rStyle w:val="FootnoteReference"/>
          <w:lang w:val="es-ES"/>
        </w:rPr>
        <w:footnoteReference w:id="9"/>
      </w:r>
    </w:p>
    <w:p w14:paraId="6D367F9E" w14:textId="5DEF4923" w:rsidR="0021349A" w:rsidRDefault="0021349A" w:rsidP="0021349A">
      <w:pPr>
        <w:jc w:val="both"/>
        <w:rPr>
          <w:lang w:val="es-ES"/>
        </w:rPr>
      </w:pPr>
    </w:p>
    <w:p w14:paraId="3FD5A9B1" w14:textId="46D41D94" w:rsidR="0021349A" w:rsidRDefault="0021349A" w:rsidP="0021349A">
      <w:pPr>
        <w:jc w:val="both"/>
        <w:rPr>
          <w:lang w:val="es-ES"/>
        </w:rPr>
      </w:pPr>
      <w:r w:rsidRPr="0021349A">
        <w:rPr>
          <w:lang w:val="es-ES"/>
        </w:rPr>
        <w:t>En respuesta a los hallazgos de la CAO, la IFC creó un Plan de Acción y se comprometió a asesorar a ETESA de manera continua sobre las medidas requeridas para asegurar que todas las comunidades indígenas que podrían ser afectadas por el proyecto sean identificadas y debidamente incluidas en los procesos obligatorios de CLPI.</w:t>
      </w:r>
      <w:r>
        <w:rPr>
          <w:rStyle w:val="FootnoteReference"/>
          <w:lang w:val="es-ES"/>
        </w:rPr>
        <w:footnoteReference w:id="10"/>
      </w:r>
      <w:r>
        <w:rPr>
          <w:lang w:val="es-ES"/>
        </w:rPr>
        <w:t xml:space="preserve">  Si bien este compromiso </w:t>
      </w:r>
      <w:r w:rsidR="000D44DD">
        <w:rPr>
          <w:lang w:val="es-ES"/>
        </w:rPr>
        <w:t xml:space="preserve">por parte de la IFC </w:t>
      </w:r>
      <w:r>
        <w:rPr>
          <w:lang w:val="es-ES"/>
        </w:rPr>
        <w:t>representa un logro importante para las comunidades indígenas que serían afectadas por la Cuarta Línea, las organizaciones firmantes insistimos en que todavía queda por delante el trabajo de garantizar el pleno respeto de los derechos de los pueblos indígenas en la práctica y así salvaguardar su patrimonio cultural, sus tierras y sus recursos naturales frente a</w:t>
      </w:r>
      <w:r w:rsidR="000D44DD">
        <w:rPr>
          <w:lang w:val="es-ES"/>
        </w:rPr>
        <w:t>l</w:t>
      </w:r>
      <w:r>
        <w:rPr>
          <w:lang w:val="es-ES"/>
        </w:rPr>
        <w:t xml:space="preserve"> proyecto</w:t>
      </w:r>
      <w:r w:rsidR="000D44DD">
        <w:rPr>
          <w:lang w:val="es-ES"/>
        </w:rPr>
        <w:t xml:space="preserve"> de la Cuarta Línea de Transmisión</w:t>
      </w:r>
      <w:r>
        <w:rPr>
          <w:lang w:val="es-ES"/>
        </w:rPr>
        <w:t>.</w:t>
      </w:r>
    </w:p>
    <w:p w14:paraId="2BFB2CB8" w14:textId="77777777" w:rsidR="0021349A" w:rsidRDefault="0021349A" w:rsidP="0021349A">
      <w:pPr>
        <w:jc w:val="both"/>
        <w:rPr>
          <w:lang w:val="es-ES"/>
        </w:rPr>
      </w:pPr>
    </w:p>
    <w:p w14:paraId="5C390BF4" w14:textId="6D338367" w:rsidR="0021349A" w:rsidRPr="0021349A" w:rsidRDefault="0021349A" w:rsidP="0021349A">
      <w:pPr>
        <w:jc w:val="both"/>
        <w:rPr>
          <w:lang w:val="es-ES"/>
        </w:rPr>
      </w:pPr>
      <w:r>
        <w:rPr>
          <w:lang w:val="es-ES"/>
        </w:rPr>
        <w:t>Es importante señalar que, a principios 2022, ETESA llevó a cabo una licitación para realizar “Servicio de Análisis, Estudios Preliminares y Consultoría para la Elaboración de Estudio de Impacto Ambiental” para el Proyecto de la Cuarta Línea, adjudicándola al proponente Consultores Ambientales y Multiservicios, S.A. (Consorcio CAMSA-ENGIMORE).</w:t>
      </w:r>
      <w:r>
        <w:rPr>
          <w:rStyle w:val="FootnoteReference"/>
          <w:lang w:val="es-ES"/>
        </w:rPr>
        <w:footnoteReference w:id="11"/>
      </w:r>
      <w:r>
        <w:rPr>
          <w:lang w:val="es-ES"/>
        </w:rPr>
        <w:t xml:space="preserve"> Tenemos entendido que el Consorcio CAMSA-ENGIMORE ha iniciado el estudio de impactos ambientales</w:t>
      </w:r>
      <w:r w:rsidR="00174521">
        <w:rPr>
          <w:lang w:val="es-ES"/>
        </w:rPr>
        <w:t xml:space="preserve"> (EIA)</w:t>
      </w:r>
      <w:r>
        <w:rPr>
          <w:lang w:val="es-ES"/>
        </w:rPr>
        <w:t xml:space="preserve">, incluso ha convocado a reuniones con algunas comunidades indígenas, particularmente en la región Norte de Santa Fe.  Sin embargo, hasta la fecha no tenemos información clara sobre el </w:t>
      </w:r>
      <w:r>
        <w:rPr>
          <w:lang w:val="es-ES"/>
        </w:rPr>
        <w:lastRenderedPageBreak/>
        <w:t>proceso de participación pública en este EIA. Tenemos entendido que el proceso primario de CLPI aún no ha dado inicio.</w:t>
      </w:r>
    </w:p>
    <w:p w14:paraId="66281A46" w14:textId="2B84D8A1" w:rsidR="0021349A" w:rsidRDefault="0021349A" w:rsidP="0021349A">
      <w:pPr>
        <w:jc w:val="both"/>
        <w:rPr>
          <w:rFonts w:ascii="Calibri" w:hAnsi="Calibri" w:cs="Calibri"/>
          <w:lang w:val="es-ES"/>
        </w:rPr>
      </w:pPr>
    </w:p>
    <w:p w14:paraId="2277733B" w14:textId="577F4F24" w:rsidR="0021349A" w:rsidRPr="0021349A" w:rsidRDefault="0021349A" w:rsidP="0021349A">
      <w:pPr>
        <w:jc w:val="both"/>
        <w:rPr>
          <w:rFonts w:ascii="Calibri" w:hAnsi="Calibri" w:cs="Calibri"/>
          <w:b/>
          <w:bCs/>
          <w:lang w:val="es-ES"/>
        </w:rPr>
      </w:pPr>
      <w:r>
        <w:rPr>
          <w:rFonts w:ascii="Calibri" w:hAnsi="Calibri" w:cs="Calibri"/>
          <w:lang w:val="es-ES"/>
        </w:rPr>
        <w:tab/>
      </w:r>
      <w:r>
        <w:rPr>
          <w:rFonts w:ascii="Calibri" w:hAnsi="Calibri" w:cs="Calibri"/>
          <w:b/>
          <w:bCs/>
          <w:lang w:val="es-ES"/>
        </w:rPr>
        <w:t xml:space="preserve">Impactos </w:t>
      </w:r>
      <w:r w:rsidR="00DC2ED5">
        <w:rPr>
          <w:rFonts w:ascii="Calibri" w:hAnsi="Calibri" w:cs="Calibri"/>
          <w:b/>
          <w:bCs/>
          <w:lang w:val="es-ES"/>
        </w:rPr>
        <w:t>p</w:t>
      </w:r>
      <w:r>
        <w:rPr>
          <w:rFonts w:ascii="Calibri" w:hAnsi="Calibri" w:cs="Calibri"/>
          <w:b/>
          <w:bCs/>
          <w:lang w:val="es-ES"/>
        </w:rPr>
        <w:t xml:space="preserve">revistos de la Cuarta Línea en los </w:t>
      </w:r>
      <w:r w:rsidR="00DC2ED5">
        <w:rPr>
          <w:rFonts w:ascii="Calibri" w:hAnsi="Calibri" w:cs="Calibri"/>
          <w:b/>
          <w:bCs/>
          <w:lang w:val="es-ES"/>
        </w:rPr>
        <w:t>d</w:t>
      </w:r>
      <w:r>
        <w:rPr>
          <w:rFonts w:ascii="Calibri" w:hAnsi="Calibri" w:cs="Calibri"/>
          <w:b/>
          <w:bCs/>
          <w:lang w:val="es-ES"/>
        </w:rPr>
        <w:t xml:space="preserve">erechos de los </w:t>
      </w:r>
      <w:r w:rsidR="00DC2ED5">
        <w:rPr>
          <w:rFonts w:ascii="Calibri" w:hAnsi="Calibri" w:cs="Calibri"/>
          <w:b/>
          <w:bCs/>
          <w:lang w:val="es-ES"/>
        </w:rPr>
        <w:t>p</w:t>
      </w:r>
      <w:r>
        <w:rPr>
          <w:rFonts w:ascii="Calibri" w:hAnsi="Calibri" w:cs="Calibri"/>
          <w:b/>
          <w:bCs/>
          <w:lang w:val="es-ES"/>
        </w:rPr>
        <w:t xml:space="preserve">ueblos </w:t>
      </w:r>
      <w:r w:rsidR="00DC2ED5">
        <w:rPr>
          <w:rFonts w:ascii="Calibri" w:hAnsi="Calibri" w:cs="Calibri"/>
          <w:b/>
          <w:bCs/>
          <w:lang w:val="es-ES"/>
        </w:rPr>
        <w:t>i</w:t>
      </w:r>
      <w:r>
        <w:rPr>
          <w:rFonts w:ascii="Calibri" w:hAnsi="Calibri" w:cs="Calibri"/>
          <w:b/>
          <w:bCs/>
          <w:lang w:val="es-ES"/>
        </w:rPr>
        <w:t>ndígenas</w:t>
      </w:r>
    </w:p>
    <w:p w14:paraId="5CE3A64D" w14:textId="026EBA65" w:rsidR="0021349A" w:rsidRDefault="0021349A" w:rsidP="0021349A">
      <w:pPr>
        <w:jc w:val="both"/>
        <w:rPr>
          <w:rFonts w:ascii="Calibri" w:hAnsi="Calibri" w:cs="Calibri"/>
          <w:lang w:val="es-ES"/>
        </w:rPr>
      </w:pPr>
    </w:p>
    <w:p w14:paraId="3D42EE00" w14:textId="2252F56D" w:rsidR="0021349A" w:rsidRPr="0021349A" w:rsidRDefault="0021349A" w:rsidP="0021349A">
      <w:pPr>
        <w:jc w:val="both"/>
        <w:rPr>
          <w:rFonts w:ascii="Calibri" w:hAnsi="Calibri" w:cs="Calibri"/>
          <w:lang w:val="es-ES"/>
        </w:rPr>
      </w:pPr>
      <w:r>
        <w:rPr>
          <w:rFonts w:ascii="Calibri" w:hAnsi="Calibri" w:cs="Calibri"/>
          <w:lang w:val="es-ES"/>
        </w:rPr>
        <w:t xml:space="preserve">Las organizaciones firmantes subrayamos que, afortunadamente, aún estamos a tiempo para evitar </w:t>
      </w:r>
      <w:r w:rsidRPr="007B6DE2">
        <w:rPr>
          <w:rFonts w:ascii="Calibri" w:hAnsi="Calibri" w:cs="Calibri"/>
          <w:lang w:val="es-ES"/>
        </w:rPr>
        <w:t xml:space="preserve">los impactos </w:t>
      </w:r>
      <w:r w:rsidR="00995C5C">
        <w:rPr>
          <w:rFonts w:ascii="Calibri" w:hAnsi="Calibri" w:cs="Calibri"/>
          <w:lang w:val="es-ES"/>
        </w:rPr>
        <w:t xml:space="preserve">negativos </w:t>
      </w:r>
      <w:r w:rsidRPr="007B6DE2">
        <w:rPr>
          <w:rFonts w:ascii="Calibri" w:hAnsi="Calibri" w:cs="Calibri"/>
          <w:lang w:val="es-ES"/>
        </w:rPr>
        <w:t>de este proyecto</w:t>
      </w:r>
      <w:r>
        <w:rPr>
          <w:rFonts w:ascii="Calibri" w:hAnsi="Calibri" w:cs="Calibri"/>
          <w:lang w:val="es-ES"/>
        </w:rPr>
        <w:t xml:space="preserve"> en las comunidades indígenas,</w:t>
      </w:r>
      <w:r w:rsidRPr="007B6DE2">
        <w:rPr>
          <w:rFonts w:ascii="Calibri" w:hAnsi="Calibri" w:cs="Calibri"/>
          <w:lang w:val="es-ES"/>
        </w:rPr>
        <w:t xml:space="preserve"> </w:t>
      </w:r>
      <w:r w:rsidRPr="003621E3">
        <w:rPr>
          <w:rFonts w:ascii="Calibri" w:hAnsi="Calibri" w:cs="Calibri"/>
          <w:lang w:val="es-ES"/>
        </w:rPr>
        <w:t xml:space="preserve">dado que la construcción de la </w:t>
      </w:r>
      <w:r w:rsidRPr="007B6DE2">
        <w:rPr>
          <w:rFonts w:ascii="Calibri" w:hAnsi="Calibri" w:cs="Calibri"/>
          <w:lang w:val="es-ES"/>
        </w:rPr>
        <w:t>Cuarta</w:t>
      </w:r>
      <w:r w:rsidRPr="003621E3">
        <w:rPr>
          <w:rFonts w:ascii="Calibri" w:hAnsi="Calibri" w:cs="Calibri"/>
          <w:lang w:val="es-ES"/>
        </w:rPr>
        <w:t xml:space="preserve"> Línea aún no ha </w:t>
      </w:r>
      <w:r w:rsidRPr="007B6DE2">
        <w:rPr>
          <w:rFonts w:ascii="Calibri" w:hAnsi="Calibri" w:cs="Calibri"/>
          <w:lang w:val="es-ES"/>
        </w:rPr>
        <w:t>iniciado</w:t>
      </w:r>
      <w:r>
        <w:rPr>
          <w:rFonts w:ascii="Calibri" w:hAnsi="Calibri" w:cs="Calibri"/>
          <w:lang w:val="es-ES"/>
        </w:rPr>
        <w:t xml:space="preserve">.  </w:t>
      </w:r>
      <w:r w:rsidRPr="0021349A">
        <w:rPr>
          <w:rFonts w:ascii="Calibri" w:hAnsi="Calibri" w:cs="Calibri"/>
          <w:lang w:val="es-ES"/>
        </w:rPr>
        <w:t xml:space="preserve">Enfatizamos esto para valorar que, de haber avanzado la </w:t>
      </w:r>
      <w:r w:rsidR="00DC2ED5" w:rsidRPr="0021349A">
        <w:rPr>
          <w:rFonts w:ascii="Calibri" w:hAnsi="Calibri" w:cs="Calibri"/>
          <w:lang w:val="es-ES"/>
        </w:rPr>
        <w:t>construcción</w:t>
      </w:r>
      <w:r w:rsidRPr="0021349A">
        <w:rPr>
          <w:rFonts w:ascii="Calibri" w:hAnsi="Calibri" w:cs="Calibri"/>
          <w:lang w:val="es-ES"/>
        </w:rPr>
        <w:t xml:space="preserve"> del proyecto, no </w:t>
      </w:r>
      <w:r w:rsidR="00DC2ED5" w:rsidRPr="0021349A">
        <w:rPr>
          <w:rFonts w:ascii="Calibri" w:hAnsi="Calibri" w:cs="Calibri"/>
          <w:lang w:val="es-ES"/>
        </w:rPr>
        <w:t>estaríamos</w:t>
      </w:r>
      <w:r w:rsidRPr="0021349A">
        <w:rPr>
          <w:rFonts w:ascii="Calibri" w:hAnsi="Calibri" w:cs="Calibri"/>
          <w:lang w:val="es-ES"/>
        </w:rPr>
        <w:t xml:space="preserve"> en la posibilidad de </w:t>
      </w:r>
      <w:r w:rsidR="00995C5C">
        <w:rPr>
          <w:rFonts w:ascii="Calibri" w:hAnsi="Calibri" w:cs="Calibri"/>
          <w:lang w:val="es-ES"/>
        </w:rPr>
        <w:t xml:space="preserve">asegurar que se </w:t>
      </w:r>
      <w:r w:rsidR="000D44DD">
        <w:rPr>
          <w:rFonts w:ascii="Calibri" w:hAnsi="Calibri" w:cs="Calibri"/>
          <w:lang w:val="es-ES"/>
        </w:rPr>
        <w:t>respeten los derechos de los pueblos indígenas en el contexto de este proyecto, incluido su derecho a la</w:t>
      </w:r>
      <w:r w:rsidRPr="0021349A">
        <w:rPr>
          <w:rFonts w:ascii="Calibri" w:hAnsi="Calibri" w:cs="Calibri"/>
          <w:lang w:val="es-ES"/>
        </w:rPr>
        <w:t xml:space="preserve"> consulta y </w:t>
      </w:r>
      <w:r w:rsidR="000D44DD">
        <w:rPr>
          <w:rFonts w:ascii="Calibri" w:hAnsi="Calibri" w:cs="Calibri"/>
          <w:lang w:val="es-ES"/>
        </w:rPr>
        <w:t xml:space="preserve">el </w:t>
      </w:r>
      <w:r w:rsidRPr="0021349A">
        <w:rPr>
          <w:rFonts w:ascii="Calibri" w:hAnsi="Calibri" w:cs="Calibri"/>
          <w:lang w:val="es-ES"/>
        </w:rPr>
        <w:t xml:space="preserve">Consentimiento Libre, Previo e Informado (CLPI). </w:t>
      </w:r>
    </w:p>
    <w:p w14:paraId="2D419E05" w14:textId="77777777" w:rsidR="0021349A" w:rsidRPr="0021349A" w:rsidRDefault="0021349A" w:rsidP="0021349A">
      <w:pPr>
        <w:jc w:val="both"/>
        <w:rPr>
          <w:rFonts w:ascii="Calibri" w:hAnsi="Calibri" w:cs="Calibri"/>
          <w:lang w:val="es-ES"/>
        </w:rPr>
      </w:pPr>
    </w:p>
    <w:p w14:paraId="79BDFF6E" w14:textId="09C686FF" w:rsidR="0021349A" w:rsidRDefault="00995C5C" w:rsidP="0021349A">
      <w:pPr>
        <w:jc w:val="both"/>
        <w:rPr>
          <w:rFonts w:ascii="Calibri" w:hAnsi="Calibri" w:cs="Calibri"/>
          <w:lang w:val="es-ES"/>
        </w:rPr>
      </w:pPr>
      <w:r>
        <w:rPr>
          <w:rFonts w:ascii="Calibri" w:hAnsi="Calibri" w:cs="Calibri"/>
          <w:lang w:val="es-ES"/>
        </w:rPr>
        <w:t>Se prevé que, de construirse, la Cuarta Línea de Transmisión tendría una serie de impactos en los derechos de los pueblos indígenas, como describimos en nuestro informe paralelo anterior.  Es importante recordar que entre las consecuencias previstas de la Cuarta Línea figuran nuevos proyectos de desarrollo, así como la especulación inmobiliaria, las repercusiones de los cuales pondrían en riesgo las selvas tropicales hogar de los pueblos Ngäbe y Buglé y amenazarían con destruir los medios de vida tradicionales de dichos pueblos, incluidas sus prácticas agrícolas y artesanías tradicionales.</w:t>
      </w:r>
    </w:p>
    <w:p w14:paraId="20359006" w14:textId="41E2F02D" w:rsidR="00995C5C" w:rsidRDefault="00995C5C" w:rsidP="0021349A">
      <w:pPr>
        <w:jc w:val="both"/>
        <w:rPr>
          <w:rFonts w:ascii="Calibri" w:hAnsi="Calibri" w:cs="Calibri"/>
          <w:lang w:val="es-ES"/>
        </w:rPr>
      </w:pPr>
    </w:p>
    <w:p w14:paraId="149E1DD4" w14:textId="6BC117A3" w:rsidR="00995C5C" w:rsidRDefault="00995C5C" w:rsidP="00995C5C">
      <w:pPr>
        <w:jc w:val="both"/>
        <w:rPr>
          <w:rFonts w:ascii="Calibri" w:hAnsi="Calibri" w:cs="Calibri"/>
          <w:lang w:val="es-ES"/>
        </w:rPr>
      </w:pPr>
      <w:r>
        <w:rPr>
          <w:rFonts w:ascii="Calibri" w:hAnsi="Calibri" w:cs="Calibri"/>
          <w:lang w:val="es-ES"/>
        </w:rPr>
        <w:t>Las comunidades Ngäbe y Buglé</w:t>
      </w:r>
      <w:r w:rsidRPr="00CE1598">
        <w:rPr>
          <w:rFonts w:ascii="Calibri" w:hAnsi="Calibri" w:cs="Calibri"/>
          <w:lang w:val="es-ES"/>
        </w:rPr>
        <w:t xml:space="preserve"> reiteran que están acostumbrados a vivir en plena tranquilidad con la naturaleza, y </w:t>
      </w:r>
      <w:r>
        <w:rPr>
          <w:rFonts w:ascii="Calibri" w:hAnsi="Calibri" w:cs="Calibri"/>
          <w:lang w:val="es-ES"/>
        </w:rPr>
        <w:t xml:space="preserve">que </w:t>
      </w:r>
      <w:r w:rsidRPr="00CE1598">
        <w:rPr>
          <w:rFonts w:ascii="Calibri" w:hAnsi="Calibri" w:cs="Calibri"/>
          <w:lang w:val="es-ES"/>
        </w:rPr>
        <w:t xml:space="preserve">tienen pleno conocimiento del riesgo </w:t>
      </w:r>
      <w:r>
        <w:rPr>
          <w:rFonts w:ascii="Calibri" w:hAnsi="Calibri" w:cs="Calibri"/>
          <w:lang w:val="es-ES"/>
        </w:rPr>
        <w:t xml:space="preserve">persistente </w:t>
      </w:r>
      <w:r w:rsidRPr="00CE1598">
        <w:rPr>
          <w:rFonts w:ascii="Calibri" w:hAnsi="Calibri" w:cs="Calibri"/>
          <w:lang w:val="es-ES"/>
        </w:rPr>
        <w:t>de perder sus tradiciones, su cultura y su lenguaje</w:t>
      </w:r>
      <w:r>
        <w:rPr>
          <w:rFonts w:ascii="Calibri" w:hAnsi="Calibri" w:cs="Calibri"/>
          <w:lang w:val="es-ES"/>
        </w:rPr>
        <w:t xml:space="preserve">. </w:t>
      </w:r>
      <w:r w:rsidRPr="00CE1598">
        <w:rPr>
          <w:rFonts w:ascii="Calibri" w:eastAsia="Times New Roman" w:hAnsi="Calibri" w:cs="Calibri"/>
          <w:lang w:val="es-ES"/>
        </w:rPr>
        <w:t>E</w:t>
      </w:r>
      <w:r>
        <w:rPr>
          <w:rFonts w:ascii="Calibri" w:eastAsia="Times New Roman" w:hAnsi="Calibri" w:cs="Calibri"/>
          <w:lang w:val="es-ES"/>
        </w:rPr>
        <w:t>stas comunidades e</w:t>
      </w:r>
      <w:r w:rsidRPr="00CE1598">
        <w:rPr>
          <w:rFonts w:ascii="Calibri" w:eastAsia="Times New Roman" w:hAnsi="Calibri" w:cs="Calibri"/>
          <w:lang w:val="es-ES"/>
        </w:rPr>
        <w:t>n</w:t>
      </w:r>
      <w:r>
        <w:rPr>
          <w:rFonts w:ascii="Calibri" w:hAnsi="Calibri" w:cs="Calibri"/>
          <w:lang w:val="es-ES"/>
        </w:rPr>
        <w:t>fatizan que,</w:t>
      </w:r>
      <w:r w:rsidRPr="00CE1598">
        <w:rPr>
          <w:rFonts w:ascii="Calibri" w:hAnsi="Calibri" w:cs="Calibri"/>
          <w:lang w:val="es-ES"/>
        </w:rPr>
        <w:t xml:space="preserve"> si </w:t>
      </w:r>
      <w:r>
        <w:rPr>
          <w:rFonts w:ascii="Calibri" w:hAnsi="Calibri" w:cs="Calibri"/>
          <w:lang w:val="es-ES"/>
        </w:rPr>
        <w:t>se vieran</w:t>
      </w:r>
      <w:r w:rsidRPr="00CE1598">
        <w:rPr>
          <w:rFonts w:ascii="Calibri" w:hAnsi="Calibri" w:cs="Calibri"/>
          <w:lang w:val="es-ES"/>
        </w:rPr>
        <w:t xml:space="preserve"> forzad</w:t>
      </w:r>
      <w:r>
        <w:rPr>
          <w:rFonts w:ascii="Calibri" w:hAnsi="Calibri" w:cs="Calibri"/>
          <w:lang w:val="es-ES"/>
        </w:rPr>
        <w:t>a</w:t>
      </w:r>
      <w:r w:rsidRPr="00CE1598">
        <w:rPr>
          <w:rFonts w:ascii="Calibri" w:hAnsi="Calibri" w:cs="Calibri"/>
          <w:lang w:val="es-ES"/>
        </w:rPr>
        <w:t>s a dejar sus tierras</w:t>
      </w:r>
      <w:r>
        <w:rPr>
          <w:rFonts w:ascii="Calibri" w:hAnsi="Calibri" w:cs="Calibri"/>
          <w:lang w:val="es-ES"/>
        </w:rPr>
        <w:t>,</w:t>
      </w:r>
      <w:r w:rsidRPr="00CE1598">
        <w:rPr>
          <w:rFonts w:ascii="Calibri" w:hAnsi="Calibri" w:cs="Calibri"/>
          <w:lang w:val="es-ES"/>
        </w:rPr>
        <w:t xml:space="preserve"> cambiaría completamente su modo de vida, su núcleo familiar, su tejido social y cultural, hasta el punto de sentir como si se asesinara su cultura y su propia mentalidad</w:t>
      </w:r>
      <w:r>
        <w:rPr>
          <w:rFonts w:ascii="Calibri" w:hAnsi="Calibri" w:cs="Calibri"/>
          <w:lang w:val="es-ES"/>
        </w:rPr>
        <w:t>.</w:t>
      </w:r>
    </w:p>
    <w:p w14:paraId="3A24B874" w14:textId="77777777" w:rsidR="00995C5C" w:rsidRDefault="00995C5C" w:rsidP="0021349A">
      <w:pPr>
        <w:jc w:val="both"/>
        <w:rPr>
          <w:rFonts w:ascii="Calibri" w:hAnsi="Calibri" w:cs="Calibri"/>
          <w:lang w:val="es-ES"/>
        </w:rPr>
      </w:pPr>
    </w:p>
    <w:p w14:paraId="720E9B16" w14:textId="594DA526" w:rsidR="0021349A" w:rsidRPr="00995C5C" w:rsidRDefault="00995C5C" w:rsidP="00995C5C">
      <w:pPr>
        <w:jc w:val="both"/>
        <w:rPr>
          <w:rFonts w:ascii="Calibri" w:eastAsia="Times New Roman" w:hAnsi="Calibri" w:cs="Calibri"/>
          <w:lang w:val="es-ES"/>
        </w:rPr>
      </w:pPr>
      <w:r>
        <w:rPr>
          <w:rFonts w:ascii="Calibri" w:hAnsi="Calibri" w:cs="Calibri"/>
          <w:lang w:val="es-ES"/>
        </w:rPr>
        <w:t>A pesar de su estrecha relación con sus tierras ancestrales, varias comunidades Ngäbe y Buglé continúan viviendo en una situación de incertidumbre e invisibilidad jurídica, debido a que el Estado Panameño ha incumplido con sus obligaciones de otorgar el reconocimiento y protección jurídica de sus territorios ancestrales. Esto es el caso de las comunidades indígenas que habitan en el distrito del Norte de Santa Fe, en la provincia de Veraguas, donde el</w:t>
      </w:r>
      <w:r w:rsidRPr="00CE1598">
        <w:rPr>
          <w:rFonts w:ascii="Calibri" w:hAnsi="Calibri" w:cs="Calibri"/>
          <w:color w:val="000000" w:themeColor="text1"/>
          <w:lang w:val="es-ES"/>
        </w:rPr>
        <w:t xml:space="preserve"> gobierno de Panamá no les ha otorgado ningún reconocimiento jurídico al derecho que tienen sobre sus terrenos y territorios</w:t>
      </w:r>
      <w:r w:rsidRPr="00CE1598">
        <w:rPr>
          <w:rFonts w:ascii="Calibri" w:eastAsia="Times New Roman" w:hAnsi="Calibri" w:cs="Calibri"/>
          <w:lang w:val="es-ES"/>
        </w:rPr>
        <w:t>, los cuales quedaron</w:t>
      </w:r>
      <w:r w:rsidRPr="00CE1598">
        <w:rPr>
          <w:rFonts w:ascii="Calibri" w:hAnsi="Calibri" w:cs="Calibri"/>
          <w:color w:val="000000" w:themeColor="text1"/>
          <w:lang w:val="es-ES"/>
        </w:rPr>
        <w:t xml:space="preserve"> fuera de la Comarca </w:t>
      </w:r>
      <w:r w:rsidRPr="00CE1598">
        <w:rPr>
          <w:rFonts w:ascii="Calibri" w:eastAsia="Times New Roman" w:hAnsi="Calibri" w:cs="Calibri"/>
          <w:lang w:val="es-ES"/>
        </w:rPr>
        <w:t>Ngäbe, Buglé y Campesinos cuando fue creada en 1997.</w:t>
      </w:r>
      <w:r>
        <w:rPr>
          <w:rFonts w:ascii="Calibri" w:eastAsia="Times New Roman" w:hAnsi="Calibri" w:cs="Calibri"/>
          <w:lang w:val="es-ES"/>
        </w:rPr>
        <w:t xml:space="preserve"> Una situación de inseguridad jurídica parecida afecta a las comunidades que viven en las </w:t>
      </w:r>
      <w:r>
        <w:rPr>
          <w:rFonts w:ascii="Calibri" w:eastAsia="Times New Roman" w:hAnsi="Calibri" w:cs="Calibri"/>
          <w:i/>
          <w:iCs/>
          <w:lang w:val="es-ES"/>
        </w:rPr>
        <w:t>áreas anexas</w:t>
      </w:r>
      <w:r>
        <w:rPr>
          <w:rFonts w:ascii="Calibri" w:eastAsia="Times New Roman" w:hAnsi="Calibri" w:cs="Calibri"/>
          <w:lang w:val="es-ES"/>
        </w:rPr>
        <w:t xml:space="preserve"> a la Comarca Ngäbe, Buglé y Campesinos en la provincia de Bocas del Toro. A pesar de que la Ley no. 10 de 1997 identificó ciertos terrenos como </w:t>
      </w:r>
      <w:r>
        <w:rPr>
          <w:rFonts w:ascii="Calibri" w:eastAsia="Times New Roman" w:hAnsi="Calibri" w:cs="Calibri"/>
          <w:i/>
          <w:iCs/>
          <w:lang w:val="es-ES"/>
        </w:rPr>
        <w:t>áreas anexas</w:t>
      </w:r>
      <w:r>
        <w:rPr>
          <w:rFonts w:ascii="Calibri" w:eastAsia="Times New Roman" w:hAnsi="Calibri" w:cs="Calibri"/>
          <w:lang w:val="es-ES"/>
        </w:rPr>
        <w:t xml:space="preserve"> al crear la Comarca y estipuló que se tenían que demarcar como tal, esto nunca se llevó a cabo. Como consecuencia, tanto las comunidades indígenas en Norte de Santa Fe como las que viven en las </w:t>
      </w:r>
      <w:r>
        <w:rPr>
          <w:rFonts w:ascii="Calibri" w:eastAsia="Times New Roman" w:hAnsi="Calibri" w:cs="Calibri"/>
          <w:i/>
          <w:iCs/>
          <w:lang w:val="es-ES"/>
        </w:rPr>
        <w:t>áreas anexas</w:t>
      </w:r>
      <w:r>
        <w:rPr>
          <w:rFonts w:ascii="Calibri" w:eastAsia="Times New Roman" w:hAnsi="Calibri" w:cs="Calibri"/>
          <w:lang w:val="es-ES"/>
        </w:rPr>
        <w:t xml:space="preserve"> han sido excluidas de los procesos del CLPI en el contexto de la Cuarta Línea hasta la fecha, como señalamos anteriormente.</w:t>
      </w:r>
    </w:p>
    <w:p w14:paraId="1BACA81E" w14:textId="77777777" w:rsidR="00995C5C" w:rsidRDefault="00995C5C" w:rsidP="0021349A">
      <w:pPr>
        <w:jc w:val="both"/>
        <w:rPr>
          <w:rFonts w:ascii="Calibri" w:hAnsi="Calibri" w:cs="Calibri"/>
          <w:lang w:val="es-ES"/>
        </w:rPr>
      </w:pPr>
    </w:p>
    <w:p w14:paraId="4BB15DED" w14:textId="68E86B5C" w:rsidR="0021349A" w:rsidRPr="0021349A" w:rsidRDefault="0021349A" w:rsidP="0021349A">
      <w:pPr>
        <w:jc w:val="both"/>
        <w:rPr>
          <w:rFonts w:ascii="Calibri" w:hAnsi="Calibri" w:cs="Calibri"/>
          <w:lang w:val="es-ES"/>
        </w:rPr>
      </w:pPr>
      <w:r>
        <w:rPr>
          <w:rFonts w:ascii="Calibri" w:hAnsi="Calibri" w:cs="Calibri"/>
          <w:lang w:val="es-ES"/>
        </w:rPr>
        <w:t>Por último, reiteramos l</w:t>
      </w:r>
      <w:r w:rsidRPr="0021349A">
        <w:rPr>
          <w:rFonts w:ascii="Calibri" w:hAnsi="Calibri" w:cs="Calibri"/>
          <w:lang w:val="es-ES"/>
        </w:rPr>
        <w:t xml:space="preserve">a importancia de que todas las comunidades afectadas de los pueblos </w:t>
      </w:r>
      <w:r w:rsidR="00DC2ED5" w:rsidRPr="0021349A">
        <w:rPr>
          <w:rFonts w:ascii="Calibri" w:hAnsi="Calibri" w:cs="Calibri"/>
          <w:lang w:val="es-ES"/>
        </w:rPr>
        <w:t>indígenas</w:t>
      </w:r>
      <w:r w:rsidRPr="0021349A">
        <w:rPr>
          <w:rFonts w:ascii="Calibri" w:hAnsi="Calibri" w:cs="Calibri"/>
          <w:lang w:val="es-ES"/>
        </w:rPr>
        <w:t xml:space="preserve"> sean identificadas e incluidas en las etapas de </w:t>
      </w:r>
      <w:r w:rsidR="00DC2ED5" w:rsidRPr="0021349A">
        <w:rPr>
          <w:rFonts w:ascii="Calibri" w:hAnsi="Calibri" w:cs="Calibri"/>
          <w:lang w:val="es-ES"/>
        </w:rPr>
        <w:t>diseño</w:t>
      </w:r>
      <w:r w:rsidRPr="0021349A">
        <w:rPr>
          <w:rFonts w:ascii="Calibri" w:hAnsi="Calibri" w:cs="Calibri"/>
          <w:lang w:val="es-ES"/>
        </w:rPr>
        <w:t xml:space="preserve"> de los proyectos </w:t>
      </w:r>
      <w:r>
        <w:rPr>
          <w:rFonts w:ascii="Calibri" w:hAnsi="Calibri" w:cs="Calibri"/>
          <w:lang w:val="es-ES"/>
        </w:rPr>
        <w:t>con la finalidad de</w:t>
      </w:r>
      <w:r w:rsidRPr="0021349A">
        <w:rPr>
          <w:rFonts w:ascii="Calibri" w:hAnsi="Calibri" w:cs="Calibri"/>
          <w:lang w:val="es-ES"/>
        </w:rPr>
        <w:t xml:space="preserve"> </w:t>
      </w:r>
      <w:r>
        <w:rPr>
          <w:rFonts w:ascii="Calibri" w:hAnsi="Calibri" w:cs="Calibri"/>
          <w:lang w:val="es-ES"/>
        </w:rPr>
        <w:t>asegurar</w:t>
      </w:r>
      <w:r w:rsidRPr="0021349A">
        <w:rPr>
          <w:rFonts w:ascii="Calibri" w:hAnsi="Calibri" w:cs="Calibri"/>
          <w:lang w:val="es-ES"/>
        </w:rPr>
        <w:t xml:space="preserve"> el respeto y </w:t>
      </w:r>
      <w:r w:rsidR="00DC2ED5" w:rsidRPr="0021349A">
        <w:rPr>
          <w:rFonts w:ascii="Calibri" w:hAnsi="Calibri" w:cs="Calibri"/>
          <w:lang w:val="es-ES"/>
        </w:rPr>
        <w:t>protección</w:t>
      </w:r>
      <w:r w:rsidRPr="0021349A">
        <w:rPr>
          <w:rFonts w:ascii="Calibri" w:hAnsi="Calibri" w:cs="Calibri"/>
          <w:lang w:val="es-ES"/>
        </w:rPr>
        <w:t xml:space="preserve"> plena de los derechos de los pueblos </w:t>
      </w:r>
      <w:r w:rsidR="00DC2ED5" w:rsidRPr="0021349A">
        <w:rPr>
          <w:rFonts w:ascii="Calibri" w:hAnsi="Calibri" w:cs="Calibri"/>
          <w:lang w:val="es-ES"/>
        </w:rPr>
        <w:t>indígenas</w:t>
      </w:r>
      <w:r w:rsidRPr="0021349A">
        <w:rPr>
          <w:rFonts w:ascii="Calibri" w:hAnsi="Calibri" w:cs="Calibri"/>
          <w:lang w:val="es-ES"/>
        </w:rPr>
        <w:t xml:space="preserve"> y del ambiente </w:t>
      </w:r>
      <w:r w:rsidRPr="0021349A">
        <w:rPr>
          <w:rFonts w:ascii="Calibri" w:hAnsi="Calibri" w:cs="Calibri"/>
          <w:lang w:val="es-ES"/>
        </w:rPr>
        <w:lastRenderedPageBreak/>
        <w:t xml:space="preserve">en las </w:t>
      </w:r>
      <w:r w:rsidR="00DC2ED5" w:rsidRPr="0021349A">
        <w:rPr>
          <w:rFonts w:ascii="Calibri" w:hAnsi="Calibri" w:cs="Calibri"/>
          <w:lang w:val="es-ES"/>
        </w:rPr>
        <w:t>áreas</w:t>
      </w:r>
      <w:r w:rsidRPr="0021349A">
        <w:rPr>
          <w:rFonts w:ascii="Calibri" w:hAnsi="Calibri" w:cs="Calibri"/>
          <w:lang w:val="es-ES"/>
        </w:rPr>
        <w:t xml:space="preserve"> donde han </w:t>
      </w:r>
      <w:r>
        <w:rPr>
          <w:rFonts w:ascii="Calibri" w:hAnsi="Calibri" w:cs="Calibri"/>
          <w:lang w:val="es-ES"/>
        </w:rPr>
        <w:t>habitado</w:t>
      </w:r>
      <w:r w:rsidRPr="0021349A">
        <w:rPr>
          <w:rFonts w:ascii="Calibri" w:hAnsi="Calibri" w:cs="Calibri"/>
          <w:lang w:val="es-ES"/>
        </w:rPr>
        <w:t xml:space="preserve"> en plena </w:t>
      </w:r>
      <w:r w:rsidR="00DC2ED5" w:rsidRPr="0021349A">
        <w:rPr>
          <w:rFonts w:ascii="Calibri" w:hAnsi="Calibri" w:cs="Calibri"/>
          <w:lang w:val="es-ES"/>
        </w:rPr>
        <w:t>armonía</w:t>
      </w:r>
      <w:r w:rsidRPr="0021349A">
        <w:rPr>
          <w:rFonts w:ascii="Calibri" w:hAnsi="Calibri" w:cs="Calibri"/>
          <w:lang w:val="es-ES"/>
        </w:rPr>
        <w:t xml:space="preserve"> con la naturaleza durante generaciones</w:t>
      </w:r>
      <w:r>
        <w:rPr>
          <w:rFonts w:ascii="Calibri" w:hAnsi="Calibri" w:cs="Calibri"/>
          <w:lang w:val="es-ES"/>
        </w:rPr>
        <w:t>. D</w:t>
      </w:r>
      <w:r w:rsidRPr="0021349A">
        <w:rPr>
          <w:rFonts w:ascii="Calibri" w:hAnsi="Calibri" w:cs="Calibri"/>
          <w:lang w:val="es-ES"/>
        </w:rPr>
        <w:t>e otra manera</w:t>
      </w:r>
      <w:r>
        <w:rPr>
          <w:rFonts w:ascii="Calibri" w:hAnsi="Calibri" w:cs="Calibri"/>
          <w:lang w:val="es-ES"/>
        </w:rPr>
        <w:t>,</w:t>
      </w:r>
      <w:r w:rsidRPr="0021349A">
        <w:rPr>
          <w:rFonts w:ascii="Calibri" w:hAnsi="Calibri" w:cs="Calibri"/>
          <w:lang w:val="es-ES"/>
        </w:rPr>
        <w:t xml:space="preserve"> se corre el riesgo de que queden en un estado de </w:t>
      </w:r>
      <w:r w:rsidR="00DC2ED5" w:rsidRPr="0021349A">
        <w:rPr>
          <w:rFonts w:ascii="Calibri" w:hAnsi="Calibri" w:cs="Calibri"/>
          <w:lang w:val="es-ES"/>
        </w:rPr>
        <w:t>indefensión</w:t>
      </w:r>
      <w:r w:rsidRPr="0021349A">
        <w:rPr>
          <w:rFonts w:ascii="Calibri" w:hAnsi="Calibri" w:cs="Calibri"/>
          <w:lang w:val="es-ES"/>
        </w:rPr>
        <w:t xml:space="preserve">, cuando las decisiones sobre los proyectos que pudieran afectar sus vidas, territorios y formas de vida son tomadas en su ausencia. </w:t>
      </w:r>
    </w:p>
    <w:p w14:paraId="4266BD3A" w14:textId="77777777" w:rsidR="0021349A" w:rsidRPr="0021349A" w:rsidRDefault="0021349A" w:rsidP="0021349A">
      <w:pPr>
        <w:jc w:val="both"/>
        <w:rPr>
          <w:rFonts w:ascii="Calibri" w:hAnsi="Calibri" w:cs="Calibri"/>
          <w:lang w:val="es-ES"/>
        </w:rPr>
      </w:pPr>
    </w:p>
    <w:p w14:paraId="48E92AB8" w14:textId="77777777" w:rsidR="0021349A" w:rsidRDefault="0021349A" w:rsidP="0021349A">
      <w:pPr>
        <w:jc w:val="both"/>
        <w:rPr>
          <w:rFonts w:ascii="Calibri" w:hAnsi="Calibri" w:cs="Calibri"/>
          <w:lang w:val="es-ES"/>
        </w:rPr>
      </w:pPr>
    </w:p>
    <w:p w14:paraId="01A485B6" w14:textId="6EAFC0E9" w:rsidR="0021349A" w:rsidRPr="00DC2ED5" w:rsidRDefault="0021349A" w:rsidP="00174521">
      <w:pPr>
        <w:pStyle w:val="ListParagraph"/>
        <w:numPr>
          <w:ilvl w:val="0"/>
          <w:numId w:val="18"/>
        </w:numPr>
        <w:jc w:val="both"/>
        <w:rPr>
          <w:rFonts w:ascii="Calibri" w:hAnsi="Calibri" w:cs="Calibri"/>
          <w:b/>
          <w:bCs/>
          <w:color w:val="046B8C"/>
          <w:lang w:val="es-ES"/>
        </w:rPr>
      </w:pPr>
      <w:r w:rsidRPr="00DC2ED5">
        <w:rPr>
          <w:rFonts w:ascii="Calibri" w:hAnsi="Calibri" w:cs="Calibri"/>
          <w:b/>
          <w:bCs/>
          <w:color w:val="046B8C"/>
          <w:lang w:val="es-ES"/>
        </w:rPr>
        <w:t xml:space="preserve">Actualización sobre </w:t>
      </w:r>
      <w:r w:rsidR="00691E99" w:rsidRPr="00DC2ED5">
        <w:rPr>
          <w:rFonts w:ascii="Calibri" w:hAnsi="Calibri" w:cs="Calibri"/>
          <w:b/>
          <w:bCs/>
          <w:color w:val="046B8C"/>
          <w:lang w:val="es-ES"/>
        </w:rPr>
        <w:t>la situación de</w:t>
      </w:r>
      <w:r w:rsidR="00DC2ED5">
        <w:rPr>
          <w:rFonts w:ascii="Calibri" w:hAnsi="Calibri" w:cs="Calibri"/>
          <w:b/>
          <w:bCs/>
          <w:color w:val="046B8C"/>
          <w:lang w:val="es-ES"/>
        </w:rPr>
        <w:t xml:space="preserve"> las comunidades </w:t>
      </w:r>
      <w:r w:rsidR="00691E99" w:rsidRPr="00DC2ED5">
        <w:rPr>
          <w:rFonts w:ascii="Calibri" w:hAnsi="Calibri" w:cs="Calibri"/>
          <w:b/>
          <w:bCs/>
          <w:color w:val="046B8C"/>
          <w:lang w:val="es-ES"/>
        </w:rPr>
        <w:t>indígena</w:t>
      </w:r>
      <w:r w:rsidR="00DC2ED5">
        <w:rPr>
          <w:rFonts w:ascii="Calibri" w:hAnsi="Calibri" w:cs="Calibri"/>
          <w:b/>
          <w:bCs/>
          <w:color w:val="046B8C"/>
          <w:lang w:val="es-ES"/>
        </w:rPr>
        <w:t>s</w:t>
      </w:r>
      <w:r w:rsidR="00691E99" w:rsidRPr="00DC2ED5">
        <w:rPr>
          <w:lang w:val="es-ES"/>
        </w:rPr>
        <w:t xml:space="preserve"> </w:t>
      </w:r>
      <w:r w:rsidR="00691E99" w:rsidRPr="00DC2ED5">
        <w:rPr>
          <w:rFonts w:ascii="Calibri" w:hAnsi="Calibri" w:cs="Calibri"/>
          <w:b/>
          <w:bCs/>
          <w:color w:val="046B8C"/>
          <w:lang w:val="es-ES"/>
        </w:rPr>
        <w:t>Ngäbe</w:t>
      </w:r>
      <w:r w:rsidR="004D26FE" w:rsidRPr="00DC2ED5">
        <w:rPr>
          <w:rFonts w:ascii="Calibri" w:hAnsi="Calibri" w:cs="Calibri"/>
          <w:b/>
          <w:bCs/>
          <w:color w:val="046B8C"/>
          <w:lang w:val="es-ES"/>
        </w:rPr>
        <w:t xml:space="preserve"> </w:t>
      </w:r>
      <w:r w:rsidR="00DC2ED5">
        <w:rPr>
          <w:rFonts w:ascii="Calibri" w:hAnsi="Calibri" w:cs="Calibri"/>
          <w:b/>
          <w:bCs/>
          <w:color w:val="046B8C"/>
          <w:lang w:val="es-ES"/>
        </w:rPr>
        <w:t xml:space="preserve">afectadas por el </w:t>
      </w:r>
      <w:r w:rsidR="00DC2ED5" w:rsidRPr="00DC2ED5">
        <w:rPr>
          <w:rFonts w:ascii="Calibri" w:hAnsi="Calibri" w:cs="Calibri"/>
          <w:b/>
          <w:bCs/>
          <w:color w:val="046B8C"/>
          <w:lang w:val="es-ES"/>
        </w:rPr>
        <w:t xml:space="preserve">Proyecto Hidroeléctrico Barro Blanco </w:t>
      </w:r>
      <w:r w:rsidR="004D26FE" w:rsidRPr="00DC2ED5">
        <w:rPr>
          <w:rFonts w:ascii="Calibri" w:hAnsi="Calibri" w:cs="Calibri"/>
          <w:b/>
          <w:bCs/>
          <w:color w:val="046B8C"/>
          <w:lang w:val="es-ES"/>
        </w:rPr>
        <w:t>en la provincia de Chiriquí</w:t>
      </w:r>
      <w:r w:rsidR="00691E99" w:rsidRPr="00DC2ED5">
        <w:rPr>
          <w:rFonts w:ascii="Calibri" w:hAnsi="Calibri" w:cs="Calibri"/>
          <w:b/>
          <w:bCs/>
          <w:color w:val="046B8C"/>
          <w:lang w:val="es-ES"/>
        </w:rPr>
        <w:t xml:space="preserve">  </w:t>
      </w:r>
    </w:p>
    <w:p w14:paraId="6EA5EBF8" w14:textId="1FAA4CC5" w:rsidR="0021349A" w:rsidRDefault="0021349A" w:rsidP="0021349A">
      <w:pPr>
        <w:jc w:val="both"/>
        <w:rPr>
          <w:rFonts w:ascii="Calibri" w:hAnsi="Calibri" w:cs="Calibri"/>
          <w:lang w:val="es-ES"/>
        </w:rPr>
      </w:pPr>
    </w:p>
    <w:p w14:paraId="2FD223BA" w14:textId="2AA4C469" w:rsidR="0021349A" w:rsidRPr="0021349A" w:rsidRDefault="000D44DD" w:rsidP="0021349A">
      <w:pPr>
        <w:ind w:firstLine="720"/>
        <w:jc w:val="both"/>
        <w:rPr>
          <w:rFonts w:ascii="Calibri" w:hAnsi="Calibri" w:cs="Calibri"/>
          <w:b/>
          <w:bCs/>
          <w:lang w:val="es-PA"/>
        </w:rPr>
      </w:pPr>
      <w:r>
        <w:rPr>
          <w:rFonts w:ascii="Calibri" w:hAnsi="Calibri" w:cs="Calibri"/>
          <w:b/>
          <w:bCs/>
          <w:lang w:val="es-PA"/>
        </w:rPr>
        <w:t>Antecedentes</w:t>
      </w:r>
    </w:p>
    <w:p w14:paraId="19DD0389" w14:textId="77777777" w:rsidR="0021349A" w:rsidRPr="0021349A" w:rsidRDefault="0021349A" w:rsidP="0021349A">
      <w:pPr>
        <w:jc w:val="both"/>
        <w:rPr>
          <w:rFonts w:ascii="Calibri" w:hAnsi="Calibri" w:cs="Calibri"/>
          <w:b/>
          <w:bCs/>
          <w:i/>
          <w:iCs/>
          <w:lang w:val="es-PA"/>
        </w:rPr>
      </w:pPr>
    </w:p>
    <w:p w14:paraId="681CA40F" w14:textId="52D73666" w:rsidR="0021349A" w:rsidRDefault="0021349A" w:rsidP="0021349A">
      <w:pPr>
        <w:jc w:val="both"/>
        <w:rPr>
          <w:rFonts w:ascii="Calibri" w:hAnsi="Calibri" w:cs="Calibri"/>
          <w:lang w:val="es-ES"/>
        </w:rPr>
      </w:pPr>
      <w:r w:rsidRPr="0021349A">
        <w:rPr>
          <w:rFonts w:ascii="Calibri" w:hAnsi="Calibri" w:cs="Calibri"/>
          <w:lang w:val="es-PA"/>
        </w:rPr>
        <w:t xml:space="preserve">El Proyecto </w:t>
      </w:r>
      <w:r w:rsidR="00DC2ED5">
        <w:rPr>
          <w:rFonts w:ascii="Calibri" w:hAnsi="Calibri" w:cs="Calibri"/>
          <w:lang w:val="es-PA"/>
        </w:rPr>
        <w:t>Hidroel</w:t>
      </w:r>
      <w:r w:rsidR="00DC2ED5">
        <w:rPr>
          <w:rFonts w:ascii="Calibri" w:hAnsi="Calibri" w:cs="Calibri"/>
          <w:lang w:val="es-ES"/>
        </w:rPr>
        <w:t>éctrico</w:t>
      </w:r>
      <w:r w:rsidRPr="0021349A">
        <w:rPr>
          <w:rFonts w:ascii="Calibri" w:hAnsi="Calibri" w:cs="Calibri"/>
          <w:lang w:val="es-ES"/>
        </w:rPr>
        <w:t xml:space="preserve"> </w:t>
      </w:r>
      <w:r w:rsidRPr="0021349A">
        <w:rPr>
          <w:rFonts w:ascii="Calibri" w:hAnsi="Calibri" w:cs="Calibri"/>
          <w:lang w:val="es-PA"/>
        </w:rPr>
        <w:t>Barro Blanco, construido sobre el Río Tabasará en territorios ancestrales del Pueblo Indígena Ngäbe en la provincia de Chiriquí en Panamá, ha tenido impactos negativos en las comunidades pertenecientes al Pueblo Ngäbe</w:t>
      </w:r>
      <w:r w:rsidRPr="0021349A">
        <w:rPr>
          <w:rFonts w:ascii="Calibri" w:hAnsi="Calibri" w:cs="Calibri"/>
          <w:lang w:val="es-ES"/>
        </w:rPr>
        <w:t xml:space="preserve"> durante más de una década, con consecuencias que continúan repercutiendo hasta el día de hoy.</w:t>
      </w:r>
    </w:p>
    <w:p w14:paraId="37AD4A16" w14:textId="77777777" w:rsidR="0021349A" w:rsidRPr="0021349A" w:rsidRDefault="0021349A" w:rsidP="0021349A">
      <w:pPr>
        <w:jc w:val="both"/>
        <w:rPr>
          <w:rFonts w:ascii="Calibri" w:hAnsi="Calibri" w:cs="Calibri"/>
          <w:lang w:val="es-ES"/>
        </w:rPr>
      </w:pPr>
    </w:p>
    <w:p w14:paraId="2DCEB7C8" w14:textId="4D8329DF" w:rsidR="0021349A" w:rsidRDefault="0021349A" w:rsidP="0021349A">
      <w:pPr>
        <w:jc w:val="both"/>
        <w:rPr>
          <w:rFonts w:ascii="Calibri" w:hAnsi="Calibri" w:cs="Calibri"/>
          <w:lang w:val="es-ES"/>
        </w:rPr>
      </w:pPr>
      <w:r w:rsidRPr="0021349A">
        <w:rPr>
          <w:rFonts w:ascii="Calibri" w:hAnsi="Calibri" w:cs="Calibri"/>
          <w:lang w:val="es-PA"/>
        </w:rPr>
        <w:t>Antes de aprobar y construir el proyecto, ni el gobierno panameño ni la empresa impulsora del proyecto, Generadora del Istmo S.A. (GENISA), consultó adecuadamente con las comunidades Indígenas que se verían afectadas, lo cual constituye una violación flagrante de su derecho a la consulta y el consentimiento libre, previo e informado.</w:t>
      </w:r>
      <w:r w:rsidRPr="0021349A">
        <w:rPr>
          <w:rFonts w:ascii="Calibri" w:hAnsi="Calibri" w:cs="Calibri"/>
          <w:vertAlign w:val="superscript"/>
          <w:lang w:val="es-PA"/>
        </w:rPr>
        <w:footnoteReference w:id="12"/>
      </w:r>
      <w:r w:rsidRPr="0021349A">
        <w:rPr>
          <w:rFonts w:ascii="Calibri" w:hAnsi="Calibri" w:cs="Calibri"/>
          <w:lang w:val="es-PA"/>
        </w:rPr>
        <w:t xml:space="preserve"> </w:t>
      </w:r>
      <w:r w:rsidRPr="0021349A">
        <w:rPr>
          <w:rFonts w:ascii="Calibri" w:hAnsi="Calibri" w:cs="Calibri"/>
          <w:lang w:val="es-ES"/>
        </w:rPr>
        <w:t>Según el informe del entonces Relator Especial sobre los derechos de los pueblos indígenas de la ONU, James Anaya, tras una visita a Panamá en 2013, “[r]epresentantes del Gobierno y de los pueblos indígenas coinciden en que las deficiencias en el proceso de consulta han contribuido en gran parte a las tensiones existentes y al rechazo continuo del proyecto por parte del pueblo indígena [N]gäbe”, agregando que “[o]</w:t>
      </w:r>
      <w:proofErr w:type="spellStart"/>
      <w:r w:rsidRPr="0021349A">
        <w:rPr>
          <w:rFonts w:ascii="Calibri" w:hAnsi="Calibri" w:cs="Calibri"/>
          <w:lang w:val="es-ES"/>
        </w:rPr>
        <w:t>tro</w:t>
      </w:r>
      <w:proofErr w:type="spellEnd"/>
      <w:r w:rsidRPr="0021349A">
        <w:rPr>
          <w:rFonts w:ascii="Calibri" w:hAnsi="Calibri" w:cs="Calibri"/>
          <w:lang w:val="es-ES"/>
        </w:rPr>
        <w:t xml:space="preserve"> aspecto de preocupación fue el contenido del estudio de impacto ambiental aprobado por la [Autoridad Nacional del Ambiente], el cual no evaluaba los impactos sobre las tierras y territorios del pueblo [N]</w:t>
      </w:r>
      <w:proofErr w:type="spellStart"/>
      <w:r w:rsidRPr="0021349A">
        <w:rPr>
          <w:rFonts w:ascii="Calibri" w:hAnsi="Calibri" w:cs="Calibri"/>
          <w:lang w:val="es-ES"/>
        </w:rPr>
        <w:t>gäbe</w:t>
      </w:r>
      <w:proofErr w:type="spellEnd"/>
      <w:r w:rsidRPr="0021349A">
        <w:rPr>
          <w:rFonts w:ascii="Calibri" w:hAnsi="Calibri" w:cs="Calibri"/>
          <w:lang w:val="es-ES"/>
        </w:rPr>
        <w:t xml:space="preserve"> [B]</w:t>
      </w:r>
      <w:proofErr w:type="spellStart"/>
      <w:r w:rsidRPr="0021349A">
        <w:rPr>
          <w:rFonts w:ascii="Calibri" w:hAnsi="Calibri" w:cs="Calibri"/>
          <w:lang w:val="es-ES"/>
        </w:rPr>
        <w:t>uglé</w:t>
      </w:r>
      <w:proofErr w:type="spellEnd"/>
      <w:r w:rsidRPr="0021349A">
        <w:rPr>
          <w:rFonts w:ascii="Calibri" w:hAnsi="Calibri" w:cs="Calibri"/>
          <w:lang w:val="es-ES"/>
        </w:rPr>
        <w:t>.”</w:t>
      </w:r>
      <w:r w:rsidRPr="0021349A">
        <w:rPr>
          <w:rFonts w:ascii="Calibri" w:hAnsi="Calibri" w:cs="Calibri"/>
          <w:vertAlign w:val="superscript"/>
          <w:lang w:val="es-ES"/>
        </w:rPr>
        <w:footnoteReference w:id="13"/>
      </w:r>
    </w:p>
    <w:p w14:paraId="3BEA37A3" w14:textId="77777777" w:rsidR="0021349A" w:rsidRPr="0021349A" w:rsidRDefault="0021349A" w:rsidP="0021349A">
      <w:pPr>
        <w:jc w:val="both"/>
        <w:rPr>
          <w:rFonts w:ascii="Calibri" w:hAnsi="Calibri" w:cs="Calibri"/>
          <w:lang w:val="es-ES"/>
        </w:rPr>
      </w:pPr>
    </w:p>
    <w:p w14:paraId="6E6D2F72" w14:textId="77777777" w:rsidR="0021349A" w:rsidRPr="0021349A" w:rsidRDefault="0021349A" w:rsidP="0021349A">
      <w:pPr>
        <w:jc w:val="both"/>
        <w:rPr>
          <w:rFonts w:ascii="Calibri" w:hAnsi="Calibri" w:cs="Calibri"/>
          <w:lang w:val="es-PA"/>
        </w:rPr>
      </w:pPr>
      <w:r w:rsidRPr="0021349A">
        <w:rPr>
          <w:rFonts w:ascii="Calibri" w:hAnsi="Calibri" w:cs="Calibri"/>
          <w:lang w:val="es-PA"/>
        </w:rPr>
        <w:t>Antes de la inundación del embalse, los miembros de las comunidades afectadas se oponían a que los terrenos fueran inundados, insistiendo en que la maquinaria de GENISA no entrara en la zona y que el proyecto no se iniciara.</w:t>
      </w:r>
    </w:p>
    <w:p w14:paraId="7FD776EB" w14:textId="77777777" w:rsidR="0021349A" w:rsidRDefault="0021349A" w:rsidP="0021349A">
      <w:pPr>
        <w:jc w:val="both"/>
        <w:rPr>
          <w:rFonts w:ascii="Calibri" w:hAnsi="Calibri" w:cs="Calibri"/>
          <w:lang w:val="es-ES"/>
        </w:rPr>
      </w:pPr>
    </w:p>
    <w:p w14:paraId="6DC226AA" w14:textId="07FA022C" w:rsidR="0021349A" w:rsidRDefault="0021349A" w:rsidP="0021349A">
      <w:pPr>
        <w:jc w:val="both"/>
        <w:rPr>
          <w:rFonts w:ascii="Calibri" w:hAnsi="Calibri" w:cs="Calibri"/>
          <w:lang w:val="es-ES"/>
        </w:rPr>
      </w:pPr>
      <w:r w:rsidRPr="0021349A">
        <w:rPr>
          <w:rFonts w:ascii="Calibri" w:hAnsi="Calibri" w:cs="Calibri"/>
          <w:lang w:val="es-ES"/>
        </w:rPr>
        <w:lastRenderedPageBreak/>
        <w:t>Sin embargo, una vez terminada la construcción de la represa, GENISA empezó a llenar el embalse en 2016,</w:t>
      </w:r>
      <w:r w:rsidRPr="0021349A">
        <w:rPr>
          <w:rFonts w:ascii="Calibri" w:hAnsi="Calibri" w:cs="Calibri"/>
          <w:vertAlign w:val="superscript"/>
          <w:lang w:val="es-ES"/>
        </w:rPr>
        <w:footnoteReference w:id="14"/>
      </w:r>
      <w:r w:rsidRPr="0021349A">
        <w:rPr>
          <w:rFonts w:ascii="Calibri" w:hAnsi="Calibri" w:cs="Calibri"/>
          <w:lang w:val="es-ES"/>
        </w:rPr>
        <w:t xml:space="preserve"> a pesar del rechazo continuo al proyecto por parte de las comunidades Ngäbe afectadas.</w:t>
      </w:r>
      <w:r w:rsidRPr="0021349A">
        <w:rPr>
          <w:rFonts w:ascii="Calibri" w:hAnsi="Calibri" w:cs="Calibri"/>
          <w:vertAlign w:val="superscript"/>
          <w:lang w:val="es-ES"/>
        </w:rPr>
        <w:footnoteReference w:id="15"/>
      </w:r>
      <w:r w:rsidRPr="0021349A">
        <w:rPr>
          <w:rFonts w:ascii="Calibri" w:hAnsi="Calibri" w:cs="Calibri"/>
          <w:lang w:val="es-ES"/>
        </w:rPr>
        <w:t xml:space="preserve"> Esto generó el desplazamiento forzoso de varias comunidades Ngäbe, quienes se vieron obligadas a huir ante las aguas crecientes para salvaguardar sus vidas y las de sus familias, así como rescatar su ganado.</w:t>
      </w:r>
      <w:r w:rsidRPr="0021349A">
        <w:rPr>
          <w:rFonts w:ascii="Calibri" w:hAnsi="Calibri" w:cs="Calibri"/>
          <w:vertAlign w:val="superscript"/>
          <w:lang w:val="es-ES"/>
        </w:rPr>
        <w:footnoteReference w:id="16"/>
      </w:r>
      <w:r w:rsidRPr="0021349A">
        <w:rPr>
          <w:rFonts w:ascii="Calibri" w:hAnsi="Calibri" w:cs="Calibri"/>
          <w:lang w:val="es-ES"/>
        </w:rPr>
        <w:t xml:space="preserve"> El embalse inundó una superficie de más de 200 hectáreas, incluyendo 6 hectáreas de tierras reclamadas por el pueblo Ngäbe como parte de su territorio ancestral,</w:t>
      </w:r>
      <w:r w:rsidRPr="0021349A">
        <w:rPr>
          <w:rFonts w:ascii="Calibri" w:hAnsi="Calibri" w:cs="Calibri"/>
          <w:vertAlign w:val="superscript"/>
          <w:lang w:val="es-ES"/>
        </w:rPr>
        <w:footnoteReference w:id="17"/>
      </w:r>
      <w:r w:rsidRPr="0021349A">
        <w:rPr>
          <w:rFonts w:ascii="Calibri" w:hAnsi="Calibri" w:cs="Calibri"/>
          <w:lang w:val="es-ES"/>
        </w:rPr>
        <w:t xml:space="preserve"> y donde varias comunidades Ngäbe perdieron sus casas y cultivos, además de sitios </w:t>
      </w:r>
      <w:r w:rsidRPr="0021349A">
        <w:rPr>
          <w:rFonts w:ascii="Calibri" w:hAnsi="Calibri" w:cs="Calibri"/>
          <w:lang w:val="es-PA"/>
        </w:rPr>
        <w:t>con valor cultural, historico, educativo y religioso</w:t>
      </w:r>
      <w:r w:rsidRPr="0021349A">
        <w:rPr>
          <w:rFonts w:ascii="Calibri" w:hAnsi="Calibri" w:cs="Calibri"/>
          <w:lang w:val="es-ES"/>
        </w:rPr>
        <w:t xml:space="preserve">. </w:t>
      </w:r>
    </w:p>
    <w:p w14:paraId="1D31FB92" w14:textId="77777777" w:rsidR="0021349A" w:rsidRPr="0021349A" w:rsidRDefault="0021349A" w:rsidP="0021349A">
      <w:pPr>
        <w:jc w:val="both"/>
        <w:rPr>
          <w:rFonts w:ascii="Calibri" w:hAnsi="Calibri" w:cs="Calibri"/>
          <w:lang w:val="es-ES"/>
        </w:rPr>
      </w:pPr>
    </w:p>
    <w:p w14:paraId="4C524A82" w14:textId="77777777" w:rsidR="0021349A" w:rsidRPr="0021349A" w:rsidRDefault="0021349A" w:rsidP="0021349A">
      <w:pPr>
        <w:jc w:val="both"/>
        <w:rPr>
          <w:rFonts w:ascii="Calibri" w:hAnsi="Calibri" w:cs="Calibri"/>
          <w:lang w:val="es-PA"/>
        </w:rPr>
      </w:pPr>
      <w:r w:rsidRPr="0021349A">
        <w:rPr>
          <w:rFonts w:ascii="Calibri" w:hAnsi="Calibri" w:cs="Calibri"/>
          <w:lang w:val="es-PA"/>
        </w:rPr>
        <w:t>Enfatizamos que, además de imponer este proyecto sin consultar debidamente con las comunidades Ngäbe afectadas, GENISA no tomó las medidas necesarias para reubicar o compensar a las comunidades desplazadas. Fue a raíz de esta situación de desplazamiento que, en octubre de 2021, las familias Ngäbe se encontraban viviendo a la orilla del embalse, habiendo construido nuevas casas y cultivado la tierra en esta área. Las comunidades se asentaron en este lugar por la perdida territorial que causó el proyecto Barro Blanco, por no haber sido indemnizadas ni reubicadas debidamente.</w:t>
      </w:r>
    </w:p>
    <w:p w14:paraId="634FD724" w14:textId="218CE29D" w:rsidR="0021349A" w:rsidRDefault="0021349A" w:rsidP="0021349A">
      <w:pPr>
        <w:jc w:val="both"/>
        <w:rPr>
          <w:rFonts w:ascii="Calibri" w:hAnsi="Calibri" w:cs="Calibri"/>
          <w:lang w:val="es-ES"/>
        </w:rPr>
      </w:pPr>
    </w:p>
    <w:p w14:paraId="51542C24" w14:textId="6B573CF9" w:rsidR="0021349A" w:rsidRPr="0021349A" w:rsidRDefault="0021349A" w:rsidP="0021349A">
      <w:pPr>
        <w:ind w:firstLine="720"/>
        <w:jc w:val="both"/>
        <w:rPr>
          <w:rFonts w:ascii="Calibri" w:hAnsi="Calibri" w:cs="Calibri"/>
          <w:b/>
          <w:bCs/>
          <w:iCs/>
          <w:color w:val="000000" w:themeColor="text1"/>
          <w:lang w:val="es-ES"/>
        </w:rPr>
      </w:pPr>
      <w:r w:rsidRPr="0021349A">
        <w:rPr>
          <w:rFonts w:ascii="Calibri" w:hAnsi="Calibri" w:cs="Calibri"/>
          <w:b/>
          <w:bCs/>
          <w:iCs/>
          <w:color w:val="000000" w:themeColor="text1"/>
          <w:lang w:val="es-ES"/>
        </w:rPr>
        <w:t>Violencia cometida contra la comunidad Ngäbe el día 29 de octubre de 2021</w:t>
      </w:r>
    </w:p>
    <w:p w14:paraId="252E3154" w14:textId="77777777" w:rsidR="0021349A" w:rsidRPr="0021349A" w:rsidRDefault="0021349A" w:rsidP="0021349A">
      <w:pPr>
        <w:jc w:val="both"/>
        <w:rPr>
          <w:rFonts w:ascii="Calibri" w:hAnsi="Calibri" w:cs="Calibri"/>
          <w:lang w:val="es-ES"/>
        </w:rPr>
      </w:pPr>
    </w:p>
    <w:p w14:paraId="78272B98" w14:textId="45E7CC29" w:rsidR="0021349A" w:rsidRPr="0021349A" w:rsidRDefault="0021349A" w:rsidP="0021349A">
      <w:pPr>
        <w:jc w:val="both"/>
        <w:rPr>
          <w:rFonts w:ascii="Calibri" w:hAnsi="Calibri" w:cs="Calibri"/>
          <w:lang w:val="es-ES"/>
        </w:rPr>
      </w:pPr>
      <w:r w:rsidRPr="0021349A">
        <w:rPr>
          <w:rFonts w:ascii="Calibri" w:hAnsi="Calibri" w:cs="Calibri"/>
          <w:lang w:val="es-ES"/>
        </w:rPr>
        <w:t>El viernes, 29 de octubre de 2021, los miembros del pueblo Ngäbe que se mantenían en las orillas del embalse de la Hidroeléctrica Barro Blanco, cerca de la servidumbre de la Carretera Panamericana en la provincia de Chiriquí, fueron sujetos a represión y actos de violencia por parte de la policía nacional.</w:t>
      </w:r>
      <w:r>
        <w:rPr>
          <w:rStyle w:val="FootnoteReference"/>
          <w:rFonts w:ascii="Calibri" w:hAnsi="Calibri" w:cs="Calibri"/>
        </w:rPr>
        <w:footnoteReference w:id="18"/>
      </w:r>
      <w:r w:rsidRPr="0021349A">
        <w:rPr>
          <w:rFonts w:ascii="Calibri" w:hAnsi="Calibri" w:cs="Calibri"/>
          <w:lang w:val="es-ES"/>
        </w:rPr>
        <w:t xml:space="preserve"> Alrededor de las 7 a.m., la policía inició una acción de desalojo al disparar bombas lacrimógenas, utilizando balas de goma para amedrentar y dispersar a los </w:t>
      </w:r>
      <w:r w:rsidRPr="0021349A">
        <w:rPr>
          <w:rFonts w:ascii="Calibri" w:hAnsi="Calibri" w:cs="Calibri"/>
          <w:lang w:val="es-ES"/>
        </w:rPr>
        <w:lastRenderedPageBreak/>
        <w:t>hombres y mujeres —incluidas mujeres embarazadas— así como niños y ancianos que se encontraban en el lugar. Estas acciones generaron un enfrentamiento con algunas personas indígenas quienes se resistieron ser desalojadas.</w:t>
      </w:r>
    </w:p>
    <w:p w14:paraId="11C05C62" w14:textId="77777777" w:rsidR="0021349A" w:rsidRPr="0021349A" w:rsidRDefault="0021349A" w:rsidP="0021349A">
      <w:pPr>
        <w:jc w:val="both"/>
        <w:rPr>
          <w:rFonts w:ascii="Calibri" w:hAnsi="Calibri" w:cs="Calibri"/>
          <w:lang w:val="es-ES"/>
        </w:rPr>
      </w:pPr>
    </w:p>
    <w:p w14:paraId="1BA4E050" w14:textId="280DFCE0" w:rsidR="0021349A" w:rsidRPr="0021349A" w:rsidRDefault="0021349A" w:rsidP="0021349A">
      <w:pPr>
        <w:jc w:val="both"/>
        <w:rPr>
          <w:rFonts w:ascii="Calibri" w:hAnsi="Calibri" w:cs="Calibri"/>
          <w:lang w:val="es-ES"/>
        </w:rPr>
      </w:pPr>
      <w:r w:rsidRPr="0021349A">
        <w:rPr>
          <w:rFonts w:ascii="Calibri" w:hAnsi="Calibri" w:cs="Calibri"/>
          <w:lang w:val="es-ES"/>
        </w:rPr>
        <w:t>La comunidad afectada manifiesta que estas acciones policiales dejaron a 12 personas indígenas heridas y lesionadas, debido al uso de gas lacrimógeno y balas de goma por parte de la policía. Entre las personas agredidas estuvieron mujeres, niñas y niños. En algunos casos, se generaron heridas graves, incluyendo el caso de una persona quien perdió la vista. Tenemos entendido que</w:t>
      </w:r>
      <w:r>
        <w:rPr>
          <w:rFonts w:ascii="Calibri" w:hAnsi="Calibri" w:cs="Calibri"/>
          <w:lang w:val="es-ES"/>
        </w:rPr>
        <w:t>,</w:t>
      </w:r>
      <w:r w:rsidRPr="0021349A">
        <w:rPr>
          <w:rFonts w:ascii="Calibri" w:hAnsi="Calibri" w:cs="Calibri"/>
          <w:lang w:val="es-ES"/>
        </w:rPr>
        <w:t xml:space="preserve"> en otro caso, una persona estuvo en peligro de perder el brazo tras las heridas recibidas durante el desalojo.</w:t>
      </w:r>
    </w:p>
    <w:p w14:paraId="1F3E2632" w14:textId="77777777" w:rsidR="0021349A" w:rsidRPr="0021349A" w:rsidRDefault="0021349A" w:rsidP="0021349A">
      <w:pPr>
        <w:jc w:val="both"/>
        <w:rPr>
          <w:rFonts w:ascii="Calibri" w:hAnsi="Calibri" w:cs="Calibri"/>
          <w:lang w:val="es-ES"/>
        </w:rPr>
      </w:pPr>
    </w:p>
    <w:p w14:paraId="2E4C0A6E" w14:textId="77777777" w:rsidR="0021349A" w:rsidRPr="0021349A" w:rsidRDefault="0021349A" w:rsidP="0021349A">
      <w:pPr>
        <w:jc w:val="both"/>
        <w:rPr>
          <w:rFonts w:ascii="Calibri" w:hAnsi="Calibri" w:cs="Calibri"/>
          <w:lang w:val="es-ES"/>
        </w:rPr>
      </w:pPr>
      <w:r w:rsidRPr="0021349A">
        <w:rPr>
          <w:rFonts w:ascii="Calibri" w:hAnsi="Calibri" w:cs="Calibri"/>
          <w:lang w:val="es-ES"/>
        </w:rPr>
        <w:t>Además, los estamentos de la policía demolieron las casas que las personas habían construido en esta área e incendiaron las pertenencias de las personas.</w:t>
      </w:r>
    </w:p>
    <w:p w14:paraId="3638F5A1" w14:textId="77777777" w:rsidR="0021349A" w:rsidRPr="0021349A" w:rsidRDefault="0021349A" w:rsidP="0021349A">
      <w:pPr>
        <w:jc w:val="both"/>
        <w:rPr>
          <w:rFonts w:ascii="Calibri" w:hAnsi="Calibri" w:cs="Calibri"/>
          <w:lang w:val="es-ES"/>
        </w:rPr>
      </w:pPr>
    </w:p>
    <w:p w14:paraId="4233E8E5" w14:textId="77777777" w:rsidR="0021349A" w:rsidRPr="0021349A" w:rsidRDefault="0021349A" w:rsidP="0021349A">
      <w:pPr>
        <w:jc w:val="both"/>
        <w:rPr>
          <w:rFonts w:ascii="Calibri" w:hAnsi="Calibri" w:cs="Calibri"/>
          <w:lang w:val="es-ES"/>
        </w:rPr>
      </w:pPr>
      <w:r w:rsidRPr="0021349A">
        <w:rPr>
          <w:rFonts w:ascii="Calibri" w:hAnsi="Calibri" w:cs="Calibri"/>
          <w:lang w:val="es-ES"/>
        </w:rPr>
        <w:t>Algunos miembros de la policía también resultaron heridos, según informes públicos.</w:t>
      </w:r>
      <w:r>
        <w:rPr>
          <w:rStyle w:val="FootnoteReference"/>
          <w:rFonts w:ascii="Calibri" w:hAnsi="Calibri" w:cs="Calibri"/>
        </w:rPr>
        <w:footnoteReference w:id="19"/>
      </w:r>
    </w:p>
    <w:p w14:paraId="5C7A7700" w14:textId="77777777" w:rsidR="0021349A" w:rsidRPr="0021349A" w:rsidRDefault="0021349A" w:rsidP="0021349A">
      <w:pPr>
        <w:jc w:val="both"/>
        <w:rPr>
          <w:rFonts w:ascii="Calibri" w:hAnsi="Calibri" w:cs="Calibri"/>
          <w:lang w:val="es-ES"/>
        </w:rPr>
      </w:pPr>
    </w:p>
    <w:p w14:paraId="613424B9" w14:textId="77777777" w:rsidR="0021349A" w:rsidRPr="00A97E0C" w:rsidRDefault="0021349A" w:rsidP="0021349A">
      <w:pPr>
        <w:jc w:val="both"/>
        <w:rPr>
          <w:rFonts w:ascii="Calibri" w:hAnsi="Calibri" w:cs="Calibri"/>
          <w:lang w:val="es-ES"/>
        </w:rPr>
      </w:pPr>
      <w:r w:rsidRPr="0021349A">
        <w:rPr>
          <w:rFonts w:ascii="Calibri" w:hAnsi="Calibri" w:cs="Calibri"/>
          <w:lang w:val="es-ES"/>
        </w:rPr>
        <w:t xml:space="preserve">El día siguiente, la Defensoría del Pueblo emitió una declaración informando que iniciaría una investigación </w:t>
      </w:r>
      <w:r w:rsidRPr="00846745">
        <w:rPr>
          <w:rFonts w:ascii="Calibri" w:hAnsi="Calibri" w:cs="Calibri"/>
          <w:lang w:val="es-ES"/>
        </w:rPr>
        <w:t>“</w:t>
      </w:r>
      <w:r>
        <w:rPr>
          <w:rFonts w:ascii="Calibri" w:hAnsi="Calibri" w:cs="Calibri"/>
          <w:lang w:val="es-ES"/>
        </w:rPr>
        <w:t>para determinar las vulneraciones a los derechos humanos”.</w:t>
      </w:r>
      <w:r>
        <w:rPr>
          <w:rStyle w:val="FootnoteReference"/>
          <w:rFonts w:ascii="Calibri" w:hAnsi="Calibri" w:cs="Calibri"/>
          <w:lang w:val="es-ES"/>
        </w:rPr>
        <w:footnoteReference w:id="20"/>
      </w:r>
      <w:r>
        <w:rPr>
          <w:rFonts w:ascii="Calibri" w:hAnsi="Calibri" w:cs="Calibri"/>
          <w:lang w:val="es-ES"/>
        </w:rPr>
        <w:t xml:space="preserve"> Varios meses después, en mayo de 2022, la Defensoría publicó un comunicado sobre los hallazgos de esta investigación, en el cual confirmó la vulneración de derechos humanos en este contexto, incluyendo los derechos a la integridad física de </w:t>
      </w:r>
      <w:r w:rsidRPr="00403CF5">
        <w:rPr>
          <w:rFonts w:ascii="Calibri" w:hAnsi="Calibri" w:cs="Calibri"/>
          <w:lang w:val="es-ES"/>
        </w:rPr>
        <w:t>tres niños</w:t>
      </w:r>
      <w:r>
        <w:rPr>
          <w:rFonts w:ascii="Calibri" w:hAnsi="Calibri" w:cs="Calibri"/>
          <w:lang w:val="es-ES"/>
        </w:rPr>
        <w:t xml:space="preserve"> </w:t>
      </w:r>
      <w:r w:rsidRPr="0038563D">
        <w:rPr>
          <w:rFonts w:ascii="Calibri" w:hAnsi="Calibri" w:cs="Calibri"/>
          <w:lang w:val="es-ES"/>
        </w:rPr>
        <w:t>Ng</w:t>
      </w:r>
      <w:r>
        <w:rPr>
          <w:rFonts w:ascii="Calibri" w:hAnsi="Calibri" w:cs="Calibri"/>
          <w:lang w:val="es-ES"/>
        </w:rPr>
        <w:t xml:space="preserve">äbe que sufrieron heridas a causa de proyectiles de goma, así como </w:t>
      </w:r>
      <w:r w:rsidRPr="00403CF5">
        <w:rPr>
          <w:rFonts w:ascii="Calibri" w:hAnsi="Calibri" w:cs="Calibri"/>
          <w:lang w:val="es-ES"/>
        </w:rPr>
        <w:t>tres adultos</w:t>
      </w:r>
      <w:r>
        <w:rPr>
          <w:rFonts w:ascii="Calibri" w:hAnsi="Calibri" w:cs="Calibri"/>
          <w:lang w:val="es-ES"/>
        </w:rPr>
        <w:t xml:space="preserve"> que también sufrieron lesiones.</w:t>
      </w:r>
      <w:r>
        <w:rPr>
          <w:rStyle w:val="FootnoteReference"/>
          <w:rFonts w:ascii="Calibri" w:hAnsi="Calibri" w:cs="Calibri"/>
          <w:lang w:val="es-ES"/>
        </w:rPr>
        <w:footnoteReference w:id="21"/>
      </w:r>
    </w:p>
    <w:p w14:paraId="2871B25D" w14:textId="77777777" w:rsidR="0021349A" w:rsidRPr="0021349A" w:rsidRDefault="0021349A" w:rsidP="0021349A">
      <w:pPr>
        <w:jc w:val="both"/>
        <w:rPr>
          <w:rFonts w:ascii="Calibri" w:hAnsi="Calibri" w:cs="Calibri"/>
          <w:lang w:val="es-ES"/>
        </w:rPr>
      </w:pPr>
    </w:p>
    <w:p w14:paraId="2CD45581" w14:textId="77777777" w:rsidR="0021349A" w:rsidRPr="0021349A" w:rsidRDefault="0021349A" w:rsidP="0021349A">
      <w:pPr>
        <w:jc w:val="both"/>
        <w:rPr>
          <w:rFonts w:ascii="Calibri" w:hAnsi="Calibri" w:cs="Calibri"/>
          <w:lang w:val="es-ES"/>
        </w:rPr>
      </w:pPr>
      <w:r w:rsidRPr="0021349A">
        <w:rPr>
          <w:rFonts w:ascii="Calibri" w:hAnsi="Calibri" w:cs="Calibri"/>
          <w:lang w:val="es-ES"/>
        </w:rPr>
        <w:t>Tras estos acontecimientos, las personas Ngäbe volvieron al mismo lugar, donde se refugiaban bajo carpas azules, las cuales fueron donadas por grupos sin fines de lucro.</w:t>
      </w:r>
    </w:p>
    <w:p w14:paraId="68E106C9" w14:textId="77777777" w:rsidR="0021349A" w:rsidRPr="0021349A" w:rsidRDefault="0021349A" w:rsidP="0021349A">
      <w:pPr>
        <w:jc w:val="both"/>
        <w:rPr>
          <w:rFonts w:ascii="Calibri" w:hAnsi="Calibri" w:cs="Calibri"/>
          <w:lang w:val="es-ES"/>
        </w:rPr>
      </w:pPr>
    </w:p>
    <w:p w14:paraId="1BCE2D74" w14:textId="77777777" w:rsidR="0021349A" w:rsidRPr="0021349A" w:rsidRDefault="0021349A" w:rsidP="0021349A">
      <w:pPr>
        <w:jc w:val="both"/>
        <w:rPr>
          <w:rFonts w:ascii="Calibri" w:hAnsi="Calibri" w:cs="Calibri"/>
          <w:lang w:val="es-ES"/>
        </w:rPr>
      </w:pPr>
      <w:r w:rsidRPr="0021349A">
        <w:rPr>
          <w:rFonts w:ascii="Calibri" w:hAnsi="Calibri" w:cs="Calibri"/>
          <w:lang w:val="es-ES"/>
        </w:rPr>
        <w:t>Los hechos de octubre ocurrieron después de que la Juez de Paz del corregimiento de Bella Vista, distrito de Tolé en la provincia de Chiriquí, ordenara el desalojo</w:t>
      </w:r>
      <w:r>
        <w:rPr>
          <w:rStyle w:val="FootnoteReference"/>
          <w:rFonts w:ascii="Calibri" w:hAnsi="Calibri" w:cs="Calibri"/>
        </w:rPr>
        <w:footnoteReference w:id="22"/>
      </w:r>
      <w:r w:rsidRPr="0021349A">
        <w:rPr>
          <w:rFonts w:ascii="Calibri" w:hAnsi="Calibri" w:cs="Calibri"/>
          <w:lang w:val="es-ES"/>
        </w:rPr>
        <w:t xml:space="preserve"> de las personas indígenas que se encontraban en el área próximas a la orilla del embalse. Esta orden se derivó de una solicitud de un propietario privado quien alegaba ser dueño del área donde habitaban estas personas. Sin embargo, las comunidades indígenas cuestionan las ventas de tierra que dieron lugar a estos </w:t>
      </w:r>
      <w:r w:rsidRPr="0021349A">
        <w:rPr>
          <w:rFonts w:ascii="Calibri" w:hAnsi="Calibri" w:cs="Calibri"/>
          <w:lang w:val="es-ES"/>
        </w:rPr>
        <w:lastRenderedPageBreak/>
        <w:t xml:space="preserve">supuestos derechos de propiedad, primordialmente porque las comunidades indígenas han reclamado estas tierras como parte de su territorio ancestral el cual han ocupado a lo largo del tiempo. </w:t>
      </w:r>
    </w:p>
    <w:p w14:paraId="4FB28C36" w14:textId="77777777" w:rsidR="0021349A" w:rsidRPr="0021349A" w:rsidRDefault="0021349A" w:rsidP="0021349A">
      <w:pPr>
        <w:jc w:val="both"/>
        <w:rPr>
          <w:rFonts w:ascii="Calibri" w:hAnsi="Calibri" w:cs="Calibri"/>
          <w:lang w:val="es-ES"/>
        </w:rPr>
      </w:pPr>
    </w:p>
    <w:p w14:paraId="0FB9E1FD" w14:textId="77777777" w:rsidR="0021349A" w:rsidRPr="0021349A" w:rsidRDefault="0021349A" w:rsidP="0021349A">
      <w:pPr>
        <w:jc w:val="both"/>
        <w:rPr>
          <w:rFonts w:ascii="Calibri" w:hAnsi="Calibri" w:cs="Calibri"/>
          <w:lang w:val="es-ES"/>
        </w:rPr>
      </w:pPr>
      <w:r w:rsidRPr="0021349A">
        <w:rPr>
          <w:rFonts w:ascii="Calibri" w:hAnsi="Calibri" w:cs="Calibri"/>
          <w:lang w:val="es-ES"/>
        </w:rPr>
        <w:t>Insistimos que estas acciones tomadas por parte de la policía el día 29 de octubre de 2021 representan una violación de los derechos humanos de las personas indígenas que se encontraban en el lugar, incluido su derecho a la integridad física. Además, son una continuación y agravación de las violaciones que se habían cometido en el contexto del proyecto Barro Blanco, incluyendo de los derechos de los pueblos indígenas al territorio y al consentimiento libre, previo e informado.</w:t>
      </w:r>
    </w:p>
    <w:p w14:paraId="34DE5AF5" w14:textId="5B47B778" w:rsidR="0021349A" w:rsidRDefault="0021349A" w:rsidP="0021349A">
      <w:pPr>
        <w:jc w:val="both"/>
        <w:rPr>
          <w:rFonts w:ascii="Calibri" w:hAnsi="Calibri" w:cs="Calibri"/>
          <w:lang w:val="es-ES"/>
        </w:rPr>
      </w:pPr>
    </w:p>
    <w:p w14:paraId="32E4DB21" w14:textId="77777777" w:rsidR="0021349A" w:rsidRPr="0021349A" w:rsidRDefault="0021349A" w:rsidP="0021349A">
      <w:pPr>
        <w:ind w:firstLine="720"/>
        <w:rPr>
          <w:rFonts w:ascii="Calibri" w:hAnsi="Calibri" w:cs="Calibri"/>
          <w:b/>
          <w:bCs/>
          <w:iCs/>
          <w:color w:val="000000" w:themeColor="text1"/>
          <w:lang w:val="es-ES"/>
        </w:rPr>
      </w:pPr>
      <w:r w:rsidRPr="0021349A">
        <w:rPr>
          <w:rFonts w:ascii="Calibri" w:hAnsi="Calibri" w:cs="Calibri"/>
          <w:b/>
          <w:bCs/>
          <w:iCs/>
          <w:color w:val="000000" w:themeColor="text1"/>
          <w:lang w:val="es-ES"/>
        </w:rPr>
        <w:t>Hostigamiento judicial contra miembros del pueblo Ngäbe</w:t>
      </w:r>
    </w:p>
    <w:p w14:paraId="1E3F63A7" w14:textId="77777777" w:rsidR="0021349A" w:rsidRPr="0021349A" w:rsidRDefault="0021349A" w:rsidP="0021349A">
      <w:pPr>
        <w:jc w:val="both"/>
        <w:rPr>
          <w:rFonts w:ascii="Calibri" w:hAnsi="Calibri" w:cs="Calibri"/>
          <w:iCs/>
          <w:color w:val="000000" w:themeColor="text1"/>
          <w:lang w:val="es-ES"/>
        </w:rPr>
      </w:pPr>
    </w:p>
    <w:p w14:paraId="10B75C7B" w14:textId="0F8FCA1C" w:rsidR="0021349A" w:rsidRPr="0021349A" w:rsidRDefault="0021349A" w:rsidP="0021349A">
      <w:pPr>
        <w:jc w:val="both"/>
        <w:rPr>
          <w:rFonts w:ascii="Calibri" w:hAnsi="Calibri" w:cs="Calibri"/>
          <w:iCs/>
          <w:color w:val="000000" w:themeColor="text1"/>
          <w:lang w:val="es-ES"/>
        </w:rPr>
      </w:pPr>
      <w:r w:rsidRPr="0021349A">
        <w:rPr>
          <w:rFonts w:ascii="Calibri" w:hAnsi="Calibri" w:cs="Calibri"/>
          <w:iCs/>
          <w:color w:val="000000" w:themeColor="text1"/>
          <w:lang w:val="es-ES"/>
        </w:rPr>
        <w:t>Cabe señalar que cinco personas, las cuales se resistieron a ser desalojadas, fueron detenidas tras esta confrontación con la policía. Tenemos conocimiento de que dichas personas fueron golpeadas por la policía antes de ser llevadas ante la Juez de Paz de Tolé. Posteriormente fueron trasladadas a un centro de detención en David, la capital de la provincia de Chiriquí.</w:t>
      </w:r>
    </w:p>
    <w:p w14:paraId="656385D7" w14:textId="77777777" w:rsidR="0021349A" w:rsidRPr="0021349A" w:rsidRDefault="0021349A" w:rsidP="0021349A">
      <w:pPr>
        <w:jc w:val="both"/>
        <w:rPr>
          <w:rFonts w:ascii="Calibri" w:hAnsi="Calibri" w:cs="Calibri"/>
          <w:iCs/>
          <w:color w:val="000000" w:themeColor="text1"/>
          <w:lang w:val="es-ES"/>
        </w:rPr>
      </w:pPr>
    </w:p>
    <w:p w14:paraId="36127AEC" w14:textId="77777777" w:rsidR="0021349A" w:rsidRPr="0021349A" w:rsidRDefault="0021349A" w:rsidP="0021349A">
      <w:pPr>
        <w:jc w:val="both"/>
        <w:rPr>
          <w:rFonts w:ascii="Calibri" w:hAnsi="Calibri" w:cs="Calibri"/>
          <w:iCs/>
          <w:color w:val="000000" w:themeColor="text1"/>
          <w:lang w:val="es-ES"/>
        </w:rPr>
      </w:pPr>
      <w:r w:rsidRPr="0021349A">
        <w:rPr>
          <w:rFonts w:ascii="Calibri" w:hAnsi="Calibri" w:cs="Calibri"/>
          <w:iCs/>
          <w:color w:val="000000" w:themeColor="text1"/>
          <w:lang w:val="es-ES"/>
        </w:rPr>
        <w:t>Al tener conocimiento de los hechos, varios abogados Ngäbe, pertenecientes a la Firma Forense de Abogados SISSAG &amp; ASOCIADOS, acudieron al centro de detención para indagar sobre las personas detenidas. Los abogados manifestaron que no existía razón justificada para la detención de cuatro de estas personas, dado que nunca se presentó ningún cargo en su contra. En cuanto a la quinta persona detenida, fue acusada de agredir a la unidad de policía.</w:t>
      </w:r>
      <w:r>
        <w:rPr>
          <w:rStyle w:val="FootnoteReference"/>
          <w:rFonts w:ascii="Calibri" w:hAnsi="Calibri" w:cs="Calibri"/>
          <w:iCs/>
          <w:color w:val="000000" w:themeColor="text1"/>
        </w:rPr>
        <w:footnoteReference w:id="23"/>
      </w:r>
      <w:r w:rsidRPr="0021349A">
        <w:rPr>
          <w:rFonts w:ascii="Calibri" w:hAnsi="Calibri" w:cs="Calibri"/>
          <w:iCs/>
          <w:color w:val="000000" w:themeColor="text1"/>
          <w:lang w:val="es-ES"/>
        </w:rPr>
        <w:t xml:space="preserve"> Los abogados solicitaron la expedición de medidas cautelares para lograr la liberación de este y de los demás compañeros. Hasta donde tenemos entendido el proceso penal en su contra continua.</w:t>
      </w:r>
    </w:p>
    <w:p w14:paraId="7E028633" w14:textId="77777777" w:rsidR="0021349A" w:rsidRPr="0021349A" w:rsidRDefault="0021349A" w:rsidP="0021349A">
      <w:pPr>
        <w:jc w:val="both"/>
        <w:rPr>
          <w:rFonts w:ascii="Calibri" w:hAnsi="Calibri" w:cs="Calibri"/>
          <w:iCs/>
          <w:color w:val="000000" w:themeColor="text1"/>
          <w:lang w:val="es-ES"/>
        </w:rPr>
      </w:pPr>
    </w:p>
    <w:p w14:paraId="41E343E5" w14:textId="77777777" w:rsidR="0021349A" w:rsidRPr="0021349A" w:rsidRDefault="0021349A" w:rsidP="0021349A">
      <w:pPr>
        <w:jc w:val="both"/>
        <w:rPr>
          <w:rFonts w:ascii="Calibri" w:hAnsi="Calibri" w:cs="Calibri"/>
          <w:lang w:val="es-ES"/>
        </w:rPr>
      </w:pPr>
      <w:r w:rsidRPr="0021349A">
        <w:rPr>
          <w:rFonts w:ascii="Calibri" w:hAnsi="Calibri" w:cs="Calibri"/>
          <w:iCs/>
          <w:color w:val="000000" w:themeColor="text1"/>
          <w:lang w:val="es-ES"/>
        </w:rPr>
        <w:t xml:space="preserve">Si bien todas las personas detenidas en este contexto fueron liberadas dentro de un día, las comunidades Ngäbe afirman que existe un patrón de maltrato, amenazas e intimidación en contra de las personas indígenas por parte del sistema jurídico en Panamá, inclusive con la finalidad de que se declaren culpables para poder insinuar que la población indígena es ignorante, rebelde y problemática.  </w:t>
      </w:r>
      <w:r w:rsidRPr="0021349A">
        <w:rPr>
          <w:rFonts w:ascii="Calibri" w:hAnsi="Calibri" w:cs="Calibri"/>
          <w:lang w:val="es-ES"/>
        </w:rPr>
        <w:t xml:space="preserve">Suele pasar que enjuician a una persona sin elementos probatorios y posteriormente se manifiesta que fue condenado injustamente. Sin embargo, pelear el juicio en estos casos es difícil. </w:t>
      </w:r>
    </w:p>
    <w:p w14:paraId="46B07B49" w14:textId="77777777" w:rsidR="0021349A" w:rsidRPr="0021349A" w:rsidRDefault="0021349A" w:rsidP="0021349A">
      <w:pPr>
        <w:jc w:val="both"/>
        <w:rPr>
          <w:rFonts w:ascii="Calibri" w:hAnsi="Calibri" w:cs="Calibri"/>
          <w:lang w:val="es-ES"/>
        </w:rPr>
      </w:pPr>
    </w:p>
    <w:p w14:paraId="7B768A37" w14:textId="77777777" w:rsidR="0021349A" w:rsidRPr="0021349A" w:rsidRDefault="0021349A" w:rsidP="0021349A">
      <w:pPr>
        <w:jc w:val="both"/>
        <w:rPr>
          <w:rFonts w:ascii="Calibri" w:hAnsi="Calibri" w:cs="Calibri"/>
          <w:iCs/>
          <w:color w:val="000000" w:themeColor="text1"/>
          <w:lang w:val="es-ES"/>
        </w:rPr>
      </w:pPr>
      <w:r w:rsidRPr="0021349A">
        <w:rPr>
          <w:rFonts w:ascii="Calibri" w:hAnsi="Calibri" w:cs="Calibri"/>
          <w:lang w:val="es-ES"/>
        </w:rPr>
        <w:t xml:space="preserve">Además, en muchos de estos casos, el acusado no cuenta con una representación legal adecuada, esto por carecer de recursos económicos, lo cual permite a la administración de justicia nombrarle un abogado de oficio, que no garantiza una defensa legal adecuada. Muchos de estos casos terminan a través de un acuerdo de pena negociado, lo cual afecta al individuo de manera severa, al tener que pagar una sanción o cumplir una sentencia sin gozar de las garantías de </w:t>
      </w:r>
      <w:r w:rsidRPr="0021349A">
        <w:rPr>
          <w:rFonts w:ascii="Calibri" w:hAnsi="Calibri" w:cs="Calibri"/>
          <w:lang w:val="es-ES"/>
        </w:rPr>
        <w:lastRenderedPageBreak/>
        <w:t>debido proceso, incluyendo la realización de una investigación para determinar debidamente su culpabilidad o inocencia.</w:t>
      </w:r>
    </w:p>
    <w:p w14:paraId="0DA15300" w14:textId="77777777" w:rsidR="0021349A" w:rsidRPr="0021349A" w:rsidRDefault="0021349A" w:rsidP="0021349A">
      <w:pPr>
        <w:contextualSpacing/>
        <w:jc w:val="both"/>
        <w:rPr>
          <w:rFonts w:ascii="Calibri" w:hAnsi="Calibri" w:cs="Calibri"/>
          <w:lang w:val="es-ES"/>
        </w:rPr>
      </w:pPr>
    </w:p>
    <w:p w14:paraId="00F9D396" w14:textId="77777777" w:rsidR="0021349A" w:rsidRPr="0021349A" w:rsidRDefault="0021349A" w:rsidP="0021349A">
      <w:pPr>
        <w:contextualSpacing/>
        <w:jc w:val="both"/>
        <w:rPr>
          <w:rFonts w:ascii="Calibri" w:hAnsi="Calibri" w:cs="Calibri"/>
          <w:lang w:val="es-ES"/>
        </w:rPr>
      </w:pPr>
      <w:r w:rsidRPr="0021349A">
        <w:rPr>
          <w:rFonts w:ascii="Calibri" w:hAnsi="Calibri" w:cs="Calibri"/>
          <w:lang w:val="es-ES"/>
        </w:rPr>
        <w:t xml:space="preserve">Al mismo tiempo, los delitos que se cometen contra nuestros pueblos no se castigan, porque las personas indígenas no cuentan con la capacidad económica para poder defenderse. </w:t>
      </w:r>
    </w:p>
    <w:p w14:paraId="017C0933" w14:textId="77777777" w:rsidR="0021349A" w:rsidRDefault="0021349A" w:rsidP="003C0384">
      <w:pPr>
        <w:rPr>
          <w:rFonts w:ascii="Calibri" w:hAnsi="Calibri" w:cs="Calibri"/>
          <w:b/>
          <w:bCs/>
          <w:color w:val="046B8C"/>
          <w:lang w:val="es-ES"/>
        </w:rPr>
      </w:pPr>
    </w:p>
    <w:p w14:paraId="35CC3C3D" w14:textId="77777777" w:rsidR="0021349A" w:rsidRDefault="0021349A" w:rsidP="0021349A">
      <w:pPr>
        <w:rPr>
          <w:rFonts w:ascii="Calibri" w:hAnsi="Calibri" w:cs="Calibri"/>
          <w:b/>
          <w:bCs/>
          <w:color w:val="046B8C"/>
          <w:lang w:val="es-ES"/>
        </w:rPr>
      </w:pPr>
    </w:p>
    <w:p w14:paraId="6F55040D" w14:textId="1A300AD9" w:rsidR="0021349A" w:rsidRDefault="00995C5C" w:rsidP="0021349A">
      <w:pPr>
        <w:rPr>
          <w:rFonts w:ascii="Calibri" w:hAnsi="Calibri" w:cs="Calibri"/>
          <w:lang w:val="es-ES"/>
        </w:rPr>
      </w:pPr>
      <w:r>
        <w:rPr>
          <w:rFonts w:ascii="Calibri" w:hAnsi="Calibri" w:cs="Calibri"/>
          <w:b/>
          <w:bCs/>
          <w:color w:val="046B8C"/>
          <w:lang w:val="es-ES"/>
        </w:rPr>
        <w:t xml:space="preserve">Conclusiones y </w:t>
      </w:r>
      <w:r w:rsidR="0021349A">
        <w:rPr>
          <w:rFonts w:ascii="Calibri" w:hAnsi="Calibri" w:cs="Calibri"/>
          <w:b/>
          <w:bCs/>
          <w:color w:val="046B8C"/>
          <w:lang w:val="es-ES"/>
        </w:rPr>
        <w:t xml:space="preserve">Recomendaciones: </w:t>
      </w:r>
    </w:p>
    <w:p w14:paraId="248606D3" w14:textId="44C081DA" w:rsidR="0021349A" w:rsidRDefault="0021349A" w:rsidP="0021349A">
      <w:pPr>
        <w:rPr>
          <w:rFonts w:ascii="Calibri" w:hAnsi="Calibri" w:cs="Calibri"/>
          <w:lang w:val="es-ES"/>
        </w:rPr>
      </w:pPr>
    </w:p>
    <w:p w14:paraId="2E37B724" w14:textId="375AC9CC" w:rsidR="00995C5C" w:rsidRDefault="000D44DD" w:rsidP="000D44DD">
      <w:pPr>
        <w:jc w:val="both"/>
        <w:rPr>
          <w:rFonts w:ascii="Calibri" w:hAnsi="Calibri" w:cs="Calibri"/>
          <w:lang w:val="es-ES"/>
        </w:rPr>
      </w:pPr>
      <w:r>
        <w:rPr>
          <w:rFonts w:ascii="Calibri" w:hAnsi="Calibri" w:cs="Calibri"/>
          <w:lang w:val="es-ES"/>
        </w:rPr>
        <w:t>La Cuarta Línea de Transmisión Eléctrica y el Proyecto Hidroeléctrico Barro Blanco son ejemplos paradigmáticos de los impactos negativos que han tenido —que continúan teniendo— los proyectos inconsultos en los derechos de los pueblos indígenas en Panamá. Estos proyectos ilustran claramente la manera en que los derechos, territorios y recursos de los pueblos indígenas están siendo sometidos frente a presiones de desarrollo energético, minero y turístico.</w:t>
      </w:r>
    </w:p>
    <w:p w14:paraId="55BE7154" w14:textId="060E7A10" w:rsidR="000D44DD" w:rsidRDefault="000D44DD" w:rsidP="0021349A">
      <w:pPr>
        <w:rPr>
          <w:rFonts w:ascii="Calibri" w:hAnsi="Calibri" w:cs="Calibri"/>
          <w:lang w:val="es-ES"/>
        </w:rPr>
      </w:pPr>
    </w:p>
    <w:p w14:paraId="746D636B" w14:textId="384B06F3" w:rsidR="000D44DD" w:rsidRDefault="000D44DD" w:rsidP="000D44DD">
      <w:pPr>
        <w:jc w:val="both"/>
        <w:rPr>
          <w:rFonts w:ascii="Calibri" w:hAnsi="Calibri" w:cs="Calibri"/>
          <w:lang w:val="es-ES"/>
        </w:rPr>
      </w:pPr>
      <w:r>
        <w:rPr>
          <w:rFonts w:ascii="Calibri" w:hAnsi="Calibri" w:cs="Calibri"/>
          <w:lang w:val="es-ES"/>
        </w:rPr>
        <w:t xml:space="preserve">Los ejemplos de Barro Blanco y de la Cuarta Línea </w:t>
      </w:r>
      <w:r w:rsidR="00174521">
        <w:rPr>
          <w:rFonts w:ascii="Calibri" w:hAnsi="Calibri" w:cs="Calibri"/>
          <w:lang w:val="es-ES"/>
        </w:rPr>
        <w:t xml:space="preserve">de Transmisión </w:t>
      </w:r>
      <w:r>
        <w:rPr>
          <w:rFonts w:ascii="Calibri" w:hAnsi="Calibri" w:cs="Calibri"/>
          <w:lang w:val="es-ES"/>
        </w:rPr>
        <w:t>también demuestran la importancia de los derechos territoriales y el derecho al Consentimiento Libre, Previo e Informado de los pueblos indígenas para la protección de sus demás derechos humanos, en particular sus derechos económicos, sociales y culturales.</w:t>
      </w:r>
      <w:r w:rsidR="003C0384">
        <w:rPr>
          <w:rFonts w:ascii="Calibri" w:hAnsi="Calibri" w:cs="Calibri"/>
          <w:lang w:val="es-ES"/>
        </w:rPr>
        <w:t xml:space="preserve"> Consideramos que este Comité tiene una oportunidad inmejorable para entablar un diálogo con el gobierno panameño sobre las medidas que debe tomar para proteger los derechos de los pueblos indígenas en el contexto de este tipo de proyectos a futuro.</w:t>
      </w:r>
    </w:p>
    <w:p w14:paraId="16DC0C37" w14:textId="77777777" w:rsidR="00995C5C" w:rsidRDefault="00995C5C" w:rsidP="0021349A">
      <w:pPr>
        <w:rPr>
          <w:rFonts w:ascii="Calibri" w:hAnsi="Calibri" w:cs="Calibri"/>
          <w:lang w:val="es-ES"/>
        </w:rPr>
      </w:pPr>
    </w:p>
    <w:p w14:paraId="284260B0" w14:textId="52F90548" w:rsidR="0021349A" w:rsidRDefault="0021349A" w:rsidP="000D44DD">
      <w:pPr>
        <w:jc w:val="both"/>
        <w:rPr>
          <w:rFonts w:ascii="Calibri" w:hAnsi="Calibri" w:cs="Calibri"/>
          <w:lang w:val="es-ES"/>
        </w:rPr>
      </w:pPr>
      <w:r>
        <w:rPr>
          <w:rFonts w:ascii="Calibri" w:hAnsi="Calibri" w:cs="Calibri"/>
          <w:lang w:val="es-ES"/>
        </w:rPr>
        <w:t>Con sustento en lo expuesto arriba</w:t>
      </w:r>
      <w:r w:rsidR="00995C5C">
        <w:rPr>
          <w:rFonts w:ascii="Calibri" w:hAnsi="Calibri" w:cs="Calibri"/>
          <w:lang w:val="es-ES"/>
        </w:rPr>
        <w:t xml:space="preserve">, así como </w:t>
      </w:r>
      <w:r>
        <w:rPr>
          <w:rFonts w:ascii="Calibri" w:hAnsi="Calibri" w:cs="Calibri"/>
          <w:lang w:val="es-ES"/>
        </w:rPr>
        <w:t xml:space="preserve">en nuestro informe paralelo </w:t>
      </w:r>
      <w:r w:rsidR="00995C5C">
        <w:rPr>
          <w:rFonts w:ascii="Calibri" w:hAnsi="Calibri" w:cs="Calibri"/>
          <w:lang w:val="es-ES"/>
        </w:rPr>
        <w:t>que se presentó al Comité en diciembre de 2020</w:t>
      </w:r>
      <w:r>
        <w:rPr>
          <w:rFonts w:ascii="Calibri" w:hAnsi="Calibri" w:cs="Calibri"/>
          <w:lang w:val="es-ES"/>
        </w:rPr>
        <w:t>, instamos al Comité a:</w:t>
      </w:r>
    </w:p>
    <w:p w14:paraId="55B13FDC" w14:textId="0BEBADCC" w:rsidR="0021349A" w:rsidRDefault="0021349A" w:rsidP="0021349A">
      <w:pPr>
        <w:rPr>
          <w:rFonts w:ascii="Calibri" w:hAnsi="Calibri" w:cs="Calibri"/>
          <w:lang w:val="es-ES"/>
        </w:rPr>
      </w:pPr>
    </w:p>
    <w:p w14:paraId="6B771A89" w14:textId="7963C8A8" w:rsidR="0021349A" w:rsidRDefault="0021349A" w:rsidP="00995C5C">
      <w:pPr>
        <w:pStyle w:val="ListParagraph"/>
        <w:numPr>
          <w:ilvl w:val="0"/>
          <w:numId w:val="16"/>
        </w:numPr>
        <w:jc w:val="both"/>
        <w:rPr>
          <w:rFonts w:ascii="Calibri" w:hAnsi="Calibri" w:cs="Calibri"/>
          <w:b/>
          <w:bCs/>
          <w:lang w:val="es-ES"/>
        </w:rPr>
      </w:pPr>
      <w:r>
        <w:rPr>
          <w:rFonts w:ascii="Calibri" w:hAnsi="Calibri" w:cs="Calibri"/>
          <w:b/>
          <w:bCs/>
          <w:lang w:val="es-ES"/>
        </w:rPr>
        <w:t xml:space="preserve">Expresar su preocupación frente a los impactos negativos que han tenido </w:t>
      </w:r>
      <w:r w:rsidR="00995C5C">
        <w:rPr>
          <w:rFonts w:ascii="Calibri" w:hAnsi="Calibri" w:cs="Calibri"/>
          <w:b/>
          <w:bCs/>
          <w:lang w:val="es-ES"/>
        </w:rPr>
        <w:t xml:space="preserve">y continúan </w:t>
      </w:r>
      <w:r w:rsidR="00BB7A15">
        <w:rPr>
          <w:rFonts w:ascii="Calibri" w:hAnsi="Calibri" w:cs="Calibri"/>
          <w:b/>
          <w:bCs/>
          <w:lang w:val="es-ES"/>
        </w:rPr>
        <w:t xml:space="preserve">dejando </w:t>
      </w:r>
      <w:r>
        <w:rPr>
          <w:rFonts w:ascii="Calibri" w:hAnsi="Calibri" w:cs="Calibri"/>
          <w:b/>
          <w:bCs/>
          <w:lang w:val="es-ES"/>
        </w:rPr>
        <w:t xml:space="preserve">las actividades extractivas y los proyectos </w:t>
      </w:r>
      <w:r w:rsidR="000D44DD">
        <w:rPr>
          <w:rFonts w:ascii="Calibri" w:hAnsi="Calibri" w:cs="Calibri"/>
          <w:b/>
          <w:bCs/>
          <w:lang w:val="es-ES"/>
        </w:rPr>
        <w:t>inconsultos</w:t>
      </w:r>
      <w:r>
        <w:rPr>
          <w:rFonts w:ascii="Calibri" w:hAnsi="Calibri" w:cs="Calibri"/>
          <w:b/>
          <w:bCs/>
          <w:lang w:val="es-ES"/>
        </w:rPr>
        <w:t xml:space="preserve"> en los pueblos indígenas en Panamá, incluyendo </w:t>
      </w:r>
      <w:r w:rsidR="00995C5C">
        <w:rPr>
          <w:rFonts w:ascii="Calibri" w:hAnsi="Calibri" w:cs="Calibri"/>
          <w:b/>
          <w:bCs/>
          <w:lang w:val="es-ES"/>
        </w:rPr>
        <w:t>en el contexto del Proyecto Hidroeléctrico Barro Blanco.</w:t>
      </w:r>
      <w:r>
        <w:rPr>
          <w:rFonts w:ascii="Calibri" w:hAnsi="Calibri" w:cs="Calibri"/>
          <w:b/>
          <w:bCs/>
          <w:lang w:val="es-ES"/>
        </w:rPr>
        <w:t xml:space="preserve"> </w:t>
      </w:r>
    </w:p>
    <w:p w14:paraId="6C7DB12C" w14:textId="16E28A40" w:rsidR="009515BA" w:rsidRPr="0021349A" w:rsidRDefault="0021349A" w:rsidP="00995C5C">
      <w:pPr>
        <w:pStyle w:val="ListParagraph"/>
        <w:numPr>
          <w:ilvl w:val="0"/>
          <w:numId w:val="16"/>
        </w:numPr>
        <w:jc w:val="both"/>
        <w:rPr>
          <w:rFonts w:ascii="Calibri" w:hAnsi="Calibri" w:cs="Calibri"/>
          <w:b/>
          <w:bCs/>
          <w:lang w:val="es-ES"/>
        </w:rPr>
      </w:pPr>
      <w:r>
        <w:rPr>
          <w:rFonts w:ascii="Calibri" w:hAnsi="Calibri" w:cs="Calibri"/>
          <w:b/>
          <w:bCs/>
          <w:lang w:val="es-ES"/>
        </w:rPr>
        <w:t>Recomendar al Estado Panameño que</w:t>
      </w:r>
      <w:r w:rsidR="000D44DD">
        <w:rPr>
          <w:rFonts w:ascii="Calibri" w:hAnsi="Calibri" w:cs="Calibri"/>
          <w:b/>
          <w:bCs/>
          <w:lang w:val="es-ES"/>
        </w:rPr>
        <w:t xml:space="preserve"> a</w:t>
      </w:r>
      <w:r>
        <w:rPr>
          <w:rFonts w:ascii="Calibri" w:hAnsi="Calibri" w:cs="Calibri"/>
          <w:b/>
          <w:bCs/>
          <w:lang w:val="es-ES"/>
        </w:rPr>
        <w:t xml:space="preserve">dopte </w:t>
      </w:r>
      <w:r w:rsidR="00995C5C">
        <w:rPr>
          <w:rFonts w:ascii="Calibri" w:hAnsi="Calibri" w:cs="Calibri"/>
          <w:b/>
          <w:bCs/>
          <w:lang w:val="es-ES"/>
        </w:rPr>
        <w:t>todas las medidas necesarias para proteger los derechos económicos, sociales y culturales de los pueblos indígenas, así como sus derechos territoriales y su derecho al Consentimiento Libre, Previo e Informado, antes de avanzar con cualquier proyecto o iniciativa que les pueda afectar, incluida la Cuarta Línea de Transmisión Eléctrica.</w:t>
      </w:r>
      <w:r>
        <w:rPr>
          <w:rFonts w:ascii="Calibri" w:hAnsi="Calibri" w:cs="Calibri"/>
          <w:b/>
          <w:bCs/>
          <w:lang w:val="es-ES"/>
        </w:rPr>
        <w:t xml:space="preserve"> </w:t>
      </w:r>
    </w:p>
    <w:p w14:paraId="1E1D56B7" w14:textId="6694654C" w:rsidR="004E7405" w:rsidRPr="00995C5C" w:rsidRDefault="004E7405" w:rsidP="003E718B">
      <w:pPr>
        <w:jc w:val="both"/>
        <w:rPr>
          <w:rFonts w:ascii="Calibri" w:hAnsi="Calibri" w:cs="Calibri"/>
          <w:lang w:val="es-ES"/>
        </w:rPr>
      </w:pPr>
    </w:p>
    <w:p w14:paraId="64DB6CFD" w14:textId="77777777" w:rsidR="00B52891" w:rsidRDefault="003C0384" w:rsidP="003C0384">
      <w:pPr>
        <w:jc w:val="both"/>
        <w:rPr>
          <w:rFonts w:ascii="Calibri" w:hAnsi="Calibri" w:cs="Calibri"/>
          <w:lang w:val="es-ES"/>
        </w:rPr>
      </w:pPr>
      <w:r>
        <w:rPr>
          <w:rFonts w:ascii="Calibri" w:hAnsi="Calibri" w:cs="Calibri"/>
          <w:lang w:val="es-ES"/>
        </w:rPr>
        <w:t>Aprovechamos la ocasión para expresarles nuestras más altas muestras de consideración, agradeciendo de antemano su atención, quedando a su disposición para cualquier otra aportación al respecto.</w:t>
      </w:r>
    </w:p>
    <w:p w14:paraId="50F1230A" w14:textId="77777777" w:rsidR="00B52891" w:rsidRDefault="00B52891" w:rsidP="003C0384">
      <w:pPr>
        <w:jc w:val="both"/>
        <w:rPr>
          <w:rFonts w:ascii="Calibri" w:hAnsi="Calibri" w:cs="Calibri"/>
          <w:lang w:val="es-ES"/>
        </w:rPr>
        <w:sectPr w:rsidR="00B52891" w:rsidSect="0021349A">
          <w:headerReference w:type="default" r:id="rId8"/>
          <w:footerReference w:type="default" r:id="rId9"/>
          <w:pgSz w:w="12240" w:h="15840"/>
          <w:pgMar w:top="1440" w:right="1440" w:bottom="1440" w:left="1440" w:header="720" w:footer="720" w:gutter="0"/>
          <w:pgNumType w:start="0"/>
          <w:cols w:space="720"/>
          <w:titlePg/>
          <w:docGrid w:linePitch="360"/>
        </w:sectPr>
      </w:pPr>
    </w:p>
    <w:p w14:paraId="3FD329AE" w14:textId="77777777" w:rsidR="000D44DD" w:rsidRPr="00CE1598" w:rsidRDefault="000D44DD" w:rsidP="000D44DD">
      <w:pPr>
        <w:jc w:val="center"/>
        <w:rPr>
          <w:rFonts w:ascii="Calibri" w:hAnsi="Calibri" w:cs="Calibri"/>
          <w:b/>
          <w:bCs/>
          <w:color w:val="046B8C"/>
          <w:lang w:val="es-ES"/>
        </w:rPr>
      </w:pPr>
      <w:r w:rsidRPr="00CE1598">
        <w:rPr>
          <w:rFonts w:ascii="Calibri" w:hAnsi="Calibri" w:cs="Calibri"/>
          <w:b/>
          <w:bCs/>
          <w:color w:val="046B8C"/>
          <w:lang w:val="es-ES"/>
        </w:rPr>
        <w:lastRenderedPageBreak/>
        <w:t>Anexo: Información sobre las Organizaciones Firmantes</w:t>
      </w:r>
    </w:p>
    <w:p w14:paraId="22F2D127" w14:textId="77777777" w:rsidR="000D44DD" w:rsidRPr="00CE1598" w:rsidRDefault="000D44DD" w:rsidP="000D44DD">
      <w:pPr>
        <w:rPr>
          <w:rFonts w:ascii="Calibri" w:hAnsi="Calibri" w:cs="Calibri"/>
          <w:b/>
          <w:bCs/>
          <w:color w:val="046B8C"/>
          <w:lang w:val="es-ES"/>
        </w:rPr>
      </w:pPr>
    </w:p>
    <w:p w14:paraId="584E8FF2" w14:textId="5E827A0A" w:rsidR="000D44DD" w:rsidRPr="00CE1598" w:rsidRDefault="000D44DD" w:rsidP="000D44DD">
      <w:pPr>
        <w:jc w:val="both"/>
        <w:rPr>
          <w:rFonts w:ascii="Calibri" w:hAnsi="Calibri" w:cs="Calibri"/>
          <w:lang w:val="es-ES"/>
        </w:rPr>
      </w:pPr>
      <w:r w:rsidRPr="00CE1598">
        <w:rPr>
          <w:rFonts w:ascii="Calibri" w:hAnsi="Calibri" w:cs="Calibri"/>
          <w:lang w:val="es-ES"/>
        </w:rPr>
        <w:t>Las organizaciones de sociedad civil firmantes de</w:t>
      </w:r>
      <w:r>
        <w:rPr>
          <w:rFonts w:ascii="Calibri" w:hAnsi="Calibri" w:cs="Calibri"/>
          <w:lang w:val="es-ES"/>
        </w:rPr>
        <w:t>l</w:t>
      </w:r>
      <w:r w:rsidRPr="00CE1598">
        <w:rPr>
          <w:rFonts w:ascii="Calibri" w:hAnsi="Calibri" w:cs="Calibri"/>
          <w:lang w:val="es-ES"/>
        </w:rPr>
        <w:t xml:space="preserve"> presente </w:t>
      </w:r>
      <w:r>
        <w:rPr>
          <w:rFonts w:ascii="Calibri" w:hAnsi="Calibri" w:cs="Calibri"/>
          <w:lang w:val="es-ES"/>
        </w:rPr>
        <w:t>informe paralelo</w:t>
      </w:r>
      <w:r w:rsidRPr="00CE1598">
        <w:rPr>
          <w:rFonts w:ascii="Calibri" w:hAnsi="Calibri" w:cs="Calibri"/>
          <w:lang w:val="es-ES"/>
        </w:rPr>
        <w:t xml:space="preserve"> nos dirigimos al Comité de las Naciones Unidas sobre los Derechos Económicos, Sociales y Culturales en nuestra capacidad de representantes de </w:t>
      </w:r>
      <w:r>
        <w:rPr>
          <w:rFonts w:ascii="Calibri" w:hAnsi="Calibri" w:cs="Calibri"/>
          <w:lang w:val="es-ES"/>
        </w:rPr>
        <w:t>comunidades indígenas</w:t>
      </w:r>
      <w:r w:rsidRPr="00CE1598">
        <w:rPr>
          <w:rFonts w:ascii="Calibri" w:hAnsi="Calibri" w:cs="Calibri"/>
          <w:lang w:val="es-ES"/>
        </w:rPr>
        <w:t xml:space="preserve"> del distrito de Norte de Santa Fe de la provincia de Veraguas; del distrito de Chiriquí Grande de la provincia de Bocas del Toro; y de la Región </w:t>
      </w:r>
      <w:proofErr w:type="spellStart"/>
      <w:r w:rsidRPr="00CE1598">
        <w:rPr>
          <w:rFonts w:ascii="Calibri" w:hAnsi="Calibri" w:cs="Calibri"/>
          <w:lang w:val="es-ES"/>
        </w:rPr>
        <w:t>Ño</w:t>
      </w:r>
      <w:proofErr w:type="spellEnd"/>
      <w:r w:rsidRPr="00CE1598">
        <w:rPr>
          <w:rFonts w:ascii="Calibri" w:hAnsi="Calibri" w:cs="Calibri"/>
          <w:lang w:val="es-ES"/>
        </w:rPr>
        <w:t xml:space="preserve"> </w:t>
      </w:r>
      <w:proofErr w:type="spellStart"/>
      <w:r w:rsidRPr="00CE1598">
        <w:rPr>
          <w:rFonts w:ascii="Calibri" w:hAnsi="Calibri" w:cs="Calibri"/>
          <w:lang w:val="es-ES"/>
        </w:rPr>
        <w:t>Kribo</w:t>
      </w:r>
      <w:proofErr w:type="spellEnd"/>
      <w:r w:rsidRPr="00CE1598">
        <w:rPr>
          <w:rFonts w:ascii="Calibri" w:hAnsi="Calibri" w:cs="Calibri"/>
          <w:lang w:val="es-ES"/>
        </w:rPr>
        <w:t xml:space="preserve"> de la Comarca Ngäbe, Buglé y Campesinos, y también como personas </w:t>
      </w:r>
      <w:r>
        <w:rPr>
          <w:rFonts w:ascii="Calibri" w:hAnsi="Calibri" w:cs="Calibri"/>
          <w:lang w:val="es-ES"/>
        </w:rPr>
        <w:t xml:space="preserve">que serían </w:t>
      </w:r>
      <w:r w:rsidRPr="00CE1598">
        <w:rPr>
          <w:rFonts w:ascii="Calibri" w:hAnsi="Calibri" w:cs="Calibri"/>
          <w:lang w:val="es-ES"/>
        </w:rPr>
        <w:t xml:space="preserve">afectadas por la construcción de </w:t>
      </w:r>
      <w:r>
        <w:rPr>
          <w:rFonts w:ascii="Calibri" w:hAnsi="Calibri" w:cs="Calibri"/>
          <w:lang w:val="es-ES"/>
        </w:rPr>
        <w:t>l</w:t>
      </w:r>
      <w:r w:rsidRPr="00CE1598">
        <w:rPr>
          <w:rFonts w:ascii="Calibri" w:hAnsi="Calibri" w:cs="Calibri"/>
          <w:lang w:val="es-ES"/>
        </w:rPr>
        <w:t xml:space="preserve">a </w:t>
      </w:r>
      <w:r>
        <w:rPr>
          <w:rFonts w:ascii="Calibri" w:hAnsi="Calibri" w:cs="Calibri"/>
          <w:lang w:val="es-ES"/>
        </w:rPr>
        <w:t>Cuarta L</w:t>
      </w:r>
      <w:r w:rsidRPr="00CE1598">
        <w:rPr>
          <w:rFonts w:ascii="Calibri" w:hAnsi="Calibri" w:cs="Calibri"/>
          <w:lang w:val="es-ES"/>
        </w:rPr>
        <w:t xml:space="preserve">ínea de </w:t>
      </w:r>
      <w:r>
        <w:rPr>
          <w:rFonts w:ascii="Calibri" w:hAnsi="Calibri" w:cs="Calibri"/>
          <w:lang w:val="es-ES"/>
        </w:rPr>
        <w:t>T</w:t>
      </w:r>
      <w:r w:rsidRPr="00CE1598">
        <w:rPr>
          <w:rFonts w:ascii="Calibri" w:hAnsi="Calibri" w:cs="Calibri"/>
          <w:lang w:val="es-ES"/>
        </w:rPr>
        <w:t xml:space="preserve">ransmisión </w:t>
      </w:r>
      <w:r>
        <w:rPr>
          <w:rFonts w:ascii="Calibri" w:hAnsi="Calibri" w:cs="Calibri"/>
          <w:lang w:val="es-ES"/>
        </w:rPr>
        <w:t>E</w:t>
      </w:r>
      <w:r w:rsidRPr="00CE1598">
        <w:rPr>
          <w:rFonts w:ascii="Calibri" w:hAnsi="Calibri" w:cs="Calibri"/>
          <w:lang w:val="es-ES"/>
        </w:rPr>
        <w:t xml:space="preserve">léctrica.  </w:t>
      </w:r>
    </w:p>
    <w:p w14:paraId="58F51B64" w14:textId="77777777" w:rsidR="000D44DD" w:rsidRPr="00CE1598" w:rsidRDefault="000D44DD" w:rsidP="000D44DD">
      <w:pPr>
        <w:jc w:val="both"/>
        <w:rPr>
          <w:rFonts w:ascii="Calibri" w:hAnsi="Calibri" w:cs="Calibri"/>
          <w:lang w:val="es-ES"/>
        </w:rPr>
      </w:pPr>
    </w:p>
    <w:p w14:paraId="4E28BB6C" w14:textId="77777777" w:rsidR="000D44DD" w:rsidRPr="00CE1598" w:rsidRDefault="000D44DD" w:rsidP="000D44DD">
      <w:pPr>
        <w:jc w:val="both"/>
        <w:rPr>
          <w:rFonts w:ascii="Calibri" w:hAnsi="Calibri" w:cs="Calibri"/>
          <w:b/>
          <w:bCs/>
          <w:lang w:val="es-ES"/>
        </w:rPr>
      </w:pPr>
    </w:p>
    <w:p w14:paraId="0BAAEDE3" w14:textId="77777777" w:rsidR="000D44DD" w:rsidRPr="00CE1598" w:rsidRDefault="000D44DD" w:rsidP="000D44DD">
      <w:pPr>
        <w:jc w:val="both"/>
        <w:rPr>
          <w:rFonts w:ascii="Calibri" w:hAnsi="Calibri" w:cs="Calibri"/>
          <w:b/>
          <w:bCs/>
          <w:lang w:val="es-ES"/>
        </w:rPr>
      </w:pPr>
      <w:r w:rsidRPr="00CE1598">
        <w:rPr>
          <w:rFonts w:ascii="Calibri" w:hAnsi="Calibri" w:cs="Calibri"/>
          <w:b/>
          <w:bCs/>
          <w:lang w:val="es-ES"/>
        </w:rPr>
        <w:t>Movimiento por la Defensa de los Territorios y Ecosistemas de Bocas del Toro (MODETEAB)</w:t>
      </w:r>
    </w:p>
    <w:p w14:paraId="3774D42A" w14:textId="77777777" w:rsidR="000D44DD" w:rsidRPr="00CE1598" w:rsidRDefault="000D44DD" w:rsidP="000D44DD">
      <w:pPr>
        <w:jc w:val="both"/>
        <w:rPr>
          <w:rFonts w:ascii="Calibri" w:hAnsi="Calibri" w:cs="Calibri"/>
          <w:lang w:val="es-ES"/>
        </w:rPr>
      </w:pPr>
      <w:r w:rsidRPr="00CE1598">
        <w:rPr>
          <w:rFonts w:ascii="Calibri" w:hAnsi="Calibri" w:cs="Calibri"/>
          <w:lang w:val="es-ES"/>
        </w:rPr>
        <w:t>Changuinola, Provincia de Bocas del Toro</w:t>
      </w:r>
    </w:p>
    <w:p w14:paraId="17FC19AA" w14:textId="77777777" w:rsidR="000D44DD" w:rsidRPr="00CE1598" w:rsidRDefault="000D44DD" w:rsidP="000D44DD">
      <w:pPr>
        <w:jc w:val="both"/>
        <w:rPr>
          <w:rFonts w:ascii="Calibri" w:hAnsi="Calibri" w:cs="Calibri"/>
          <w:lang w:val="es-ES"/>
        </w:rPr>
      </w:pPr>
      <w:r w:rsidRPr="00CE1598">
        <w:rPr>
          <w:rFonts w:ascii="Calibri" w:hAnsi="Calibri" w:cs="Calibri"/>
          <w:lang w:val="es-ES"/>
        </w:rPr>
        <w:t>Panamá</w:t>
      </w:r>
    </w:p>
    <w:p w14:paraId="3D715065" w14:textId="77777777" w:rsidR="000D44DD" w:rsidRPr="00CE1598" w:rsidRDefault="000D44DD" w:rsidP="000D44DD">
      <w:pPr>
        <w:jc w:val="both"/>
        <w:rPr>
          <w:rFonts w:ascii="Calibri" w:hAnsi="Calibri" w:cs="Calibri"/>
          <w:i/>
          <w:iCs/>
          <w:lang w:val="es-ES"/>
        </w:rPr>
      </w:pPr>
      <w:r w:rsidRPr="00CE1598">
        <w:rPr>
          <w:rFonts w:ascii="Calibri" w:hAnsi="Calibri" w:cs="Calibri"/>
          <w:i/>
          <w:iCs/>
          <w:lang w:val="es-ES"/>
        </w:rPr>
        <w:t>MODETEAB representa a las comunidades afectadas por este proyecto.</w:t>
      </w:r>
    </w:p>
    <w:p w14:paraId="3F261107" w14:textId="04B8D0CE" w:rsidR="000D44DD" w:rsidRDefault="000D44DD" w:rsidP="000D44DD">
      <w:pPr>
        <w:jc w:val="both"/>
        <w:rPr>
          <w:rFonts w:ascii="Calibri" w:hAnsi="Calibri" w:cs="Calibri"/>
          <w:b/>
          <w:bCs/>
          <w:lang w:val="es-ES"/>
        </w:rPr>
      </w:pPr>
    </w:p>
    <w:p w14:paraId="412F2682" w14:textId="77777777" w:rsidR="000D44DD" w:rsidRPr="00CE1598" w:rsidRDefault="000D44DD" w:rsidP="000D44DD">
      <w:pPr>
        <w:jc w:val="both"/>
        <w:rPr>
          <w:rFonts w:ascii="Calibri" w:hAnsi="Calibri" w:cs="Calibri"/>
          <w:b/>
          <w:bCs/>
          <w:lang w:val="es-ES"/>
        </w:rPr>
      </w:pPr>
    </w:p>
    <w:p w14:paraId="32680752" w14:textId="77777777" w:rsidR="000D44DD" w:rsidRPr="00CE1598" w:rsidRDefault="000D44DD" w:rsidP="000D44DD">
      <w:pPr>
        <w:jc w:val="both"/>
        <w:rPr>
          <w:rFonts w:ascii="Calibri" w:hAnsi="Calibri" w:cs="Calibri"/>
          <w:b/>
          <w:bCs/>
          <w:lang w:val="es-ES"/>
        </w:rPr>
      </w:pPr>
      <w:r w:rsidRPr="00CE1598">
        <w:rPr>
          <w:rFonts w:ascii="Calibri" w:hAnsi="Calibri" w:cs="Calibri"/>
          <w:b/>
          <w:bCs/>
          <w:lang w:val="es-ES"/>
        </w:rPr>
        <w:t>Organización Territorial Ngäbe, Buglé y Campesina de la Región Norte de Santa Fe</w:t>
      </w:r>
    </w:p>
    <w:p w14:paraId="5BED9D18" w14:textId="77777777" w:rsidR="000D44DD" w:rsidRPr="00CE1598" w:rsidRDefault="000D44DD" w:rsidP="000D44DD">
      <w:pPr>
        <w:jc w:val="both"/>
        <w:rPr>
          <w:rFonts w:ascii="Calibri" w:hAnsi="Calibri" w:cs="Calibri"/>
          <w:lang w:val="es-ES"/>
        </w:rPr>
      </w:pPr>
      <w:r w:rsidRPr="00CE1598">
        <w:rPr>
          <w:rFonts w:ascii="Calibri" w:hAnsi="Calibri" w:cs="Calibri"/>
          <w:lang w:val="es-ES"/>
        </w:rPr>
        <w:t>Norte de Santa Fe, Provincia de Veraguas</w:t>
      </w:r>
    </w:p>
    <w:p w14:paraId="45B0866C" w14:textId="77777777" w:rsidR="000D44DD" w:rsidRPr="00CE1598" w:rsidRDefault="000D44DD" w:rsidP="000D44DD">
      <w:pPr>
        <w:jc w:val="both"/>
        <w:rPr>
          <w:rFonts w:ascii="Calibri" w:hAnsi="Calibri" w:cs="Calibri"/>
          <w:lang w:val="es-ES"/>
        </w:rPr>
      </w:pPr>
      <w:r w:rsidRPr="00CE1598">
        <w:rPr>
          <w:rFonts w:ascii="Calibri" w:hAnsi="Calibri" w:cs="Calibri"/>
          <w:lang w:val="es-ES"/>
        </w:rPr>
        <w:t>Panamá</w:t>
      </w:r>
    </w:p>
    <w:p w14:paraId="2021BBDF" w14:textId="77777777" w:rsidR="000D44DD" w:rsidRPr="00CE1598" w:rsidRDefault="000D44DD" w:rsidP="000D44DD">
      <w:pPr>
        <w:jc w:val="both"/>
        <w:rPr>
          <w:rFonts w:ascii="Calibri" w:hAnsi="Calibri" w:cs="Calibri"/>
          <w:i/>
          <w:iCs/>
          <w:lang w:val="es-ES"/>
        </w:rPr>
      </w:pPr>
      <w:r w:rsidRPr="00CE1598">
        <w:rPr>
          <w:rFonts w:ascii="Calibri" w:hAnsi="Calibri" w:cs="Calibri"/>
          <w:i/>
          <w:iCs/>
          <w:lang w:val="es-ES"/>
        </w:rPr>
        <w:t>La Organización Territorial Ngäbe, Buglé y Campesina de la Región Norte de Santa Fe representa a las comunidades afectadas por este proyecto.</w:t>
      </w:r>
    </w:p>
    <w:p w14:paraId="49311D4C" w14:textId="48E5217E" w:rsidR="000D44DD" w:rsidRDefault="000D44DD" w:rsidP="000D44DD">
      <w:pPr>
        <w:jc w:val="both"/>
        <w:rPr>
          <w:rFonts w:ascii="Calibri" w:hAnsi="Calibri" w:cs="Calibri"/>
          <w:lang w:val="es-ES"/>
        </w:rPr>
      </w:pPr>
    </w:p>
    <w:p w14:paraId="1942B791" w14:textId="77777777" w:rsidR="000D44DD" w:rsidRPr="00CE1598" w:rsidRDefault="000D44DD" w:rsidP="000D44DD">
      <w:pPr>
        <w:jc w:val="both"/>
        <w:rPr>
          <w:rFonts w:ascii="Calibri" w:hAnsi="Calibri" w:cs="Calibri"/>
          <w:lang w:val="es-ES"/>
        </w:rPr>
      </w:pPr>
    </w:p>
    <w:p w14:paraId="7C3DCACA" w14:textId="56E6DDAC" w:rsidR="000D44DD" w:rsidRPr="00DC2ED5" w:rsidRDefault="000D44DD" w:rsidP="000D44DD">
      <w:pPr>
        <w:jc w:val="both"/>
        <w:rPr>
          <w:rFonts w:ascii="Calibri" w:hAnsi="Calibri" w:cs="Calibri"/>
          <w:b/>
          <w:bCs/>
        </w:rPr>
      </w:pPr>
      <w:r w:rsidRPr="00DC2ED5">
        <w:rPr>
          <w:rFonts w:ascii="Calibri" w:hAnsi="Calibri" w:cs="Calibri"/>
          <w:b/>
          <w:bCs/>
        </w:rPr>
        <w:t>Center for International Environmental Law (CIEL)</w:t>
      </w:r>
    </w:p>
    <w:p w14:paraId="6999B3F2" w14:textId="77777777" w:rsidR="000D44DD" w:rsidRPr="00DC2ED5" w:rsidRDefault="000D44DD" w:rsidP="000D44DD">
      <w:pPr>
        <w:jc w:val="both"/>
        <w:rPr>
          <w:rFonts w:ascii="Calibri" w:hAnsi="Calibri" w:cs="Calibri"/>
        </w:rPr>
      </w:pPr>
      <w:r w:rsidRPr="00DC2ED5">
        <w:rPr>
          <w:rFonts w:ascii="Calibri" w:hAnsi="Calibri" w:cs="Calibri"/>
        </w:rPr>
        <w:t>Washington, D.C.</w:t>
      </w:r>
    </w:p>
    <w:p w14:paraId="489941D3" w14:textId="77777777" w:rsidR="000D44DD" w:rsidRPr="00CE1598" w:rsidRDefault="000D44DD" w:rsidP="000D44DD">
      <w:pPr>
        <w:jc w:val="both"/>
        <w:rPr>
          <w:rFonts w:ascii="Calibri" w:hAnsi="Calibri" w:cs="Calibri"/>
          <w:lang w:val="es-ES"/>
        </w:rPr>
      </w:pPr>
      <w:r w:rsidRPr="00CE1598">
        <w:rPr>
          <w:rFonts w:ascii="Calibri" w:hAnsi="Calibri" w:cs="Calibri"/>
          <w:lang w:val="es-ES"/>
        </w:rPr>
        <w:t>Estados Unidos de América</w:t>
      </w:r>
    </w:p>
    <w:p w14:paraId="75685D60" w14:textId="3056468C" w:rsidR="00263CBB" w:rsidRPr="000D44DD" w:rsidRDefault="000D44DD" w:rsidP="000D44DD">
      <w:pPr>
        <w:jc w:val="both"/>
        <w:rPr>
          <w:rFonts w:ascii="Calibri" w:hAnsi="Calibri" w:cs="Calibri"/>
          <w:i/>
          <w:iCs/>
          <w:lang w:val="es-ES"/>
        </w:rPr>
      </w:pPr>
      <w:r w:rsidRPr="00CE1598">
        <w:rPr>
          <w:rFonts w:ascii="Calibri" w:hAnsi="Calibri" w:cs="Calibri"/>
          <w:i/>
          <w:iCs/>
          <w:lang w:val="es-ES"/>
        </w:rPr>
        <w:t xml:space="preserve">Desde 1989, CIEL ha empleado la fuerza del derecho para la </w:t>
      </w:r>
      <w:r w:rsidR="00DC2ED5" w:rsidRPr="00CE1598">
        <w:rPr>
          <w:rFonts w:ascii="Calibri" w:hAnsi="Calibri" w:cs="Calibri"/>
          <w:i/>
          <w:iCs/>
          <w:lang w:val="es-ES"/>
        </w:rPr>
        <w:t>protección</w:t>
      </w:r>
      <w:r w:rsidRPr="00CE1598">
        <w:rPr>
          <w:rFonts w:ascii="Calibri" w:hAnsi="Calibri" w:cs="Calibri"/>
          <w:i/>
          <w:iCs/>
          <w:lang w:val="es-ES"/>
        </w:rPr>
        <w:t xml:space="preserve"> del ambiente, la </w:t>
      </w:r>
      <w:r w:rsidR="00DC2ED5" w:rsidRPr="00CE1598">
        <w:rPr>
          <w:rFonts w:ascii="Calibri" w:hAnsi="Calibri" w:cs="Calibri"/>
          <w:i/>
          <w:iCs/>
          <w:lang w:val="es-ES"/>
        </w:rPr>
        <w:t>promoción</w:t>
      </w:r>
      <w:r w:rsidRPr="00CE1598">
        <w:rPr>
          <w:rFonts w:ascii="Calibri" w:hAnsi="Calibri" w:cs="Calibri"/>
          <w:i/>
          <w:iCs/>
          <w:lang w:val="es-ES"/>
        </w:rPr>
        <w:t xml:space="preserve"> de los derechos humanos y la </w:t>
      </w:r>
      <w:r w:rsidR="00DC2ED5" w:rsidRPr="00CE1598">
        <w:rPr>
          <w:rFonts w:ascii="Calibri" w:hAnsi="Calibri" w:cs="Calibri"/>
          <w:i/>
          <w:iCs/>
          <w:lang w:val="es-ES"/>
        </w:rPr>
        <w:t>promoción</w:t>
      </w:r>
      <w:r w:rsidRPr="00CE1598">
        <w:rPr>
          <w:rFonts w:ascii="Calibri" w:hAnsi="Calibri" w:cs="Calibri"/>
          <w:i/>
          <w:iCs/>
          <w:lang w:val="es-ES"/>
        </w:rPr>
        <w:t xml:space="preserve"> de una sociedad justa y sustentable. CIEL apoya a MODETEAB</w:t>
      </w:r>
      <w:r>
        <w:rPr>
          <w:rFonts w:ascii="Calibri" w:hAnsi="Calibri" w:cs="Calibri"/>
          <w:i/>
          <w:iCs/>
          <w:lang w:val="es-ES"/>
        </w:rPr>
        <w:t xml:space="preserve"> y</w:t>
      </w:r>
      <w:r w:rsidRPr="00CE1598">
        <w:rPr>
          <w:rFonts w:ascii="Calibri" w:hAnsi="Calibri" w:cs="Calibri"/>
          <w:i/>
          <w:iCs/>
          <w:lang w:val="es-ES"/>
        </w:rPr>
        <w:t xml:space="preserve"> la Organización Territorial Ngäbe, Buglé y Campesina de la Región Norte de Santa Fe a través de acciones de incidencia enfocadas en resaltar la falta de procesos de consulta adecuados con las comunidades indígenas en este caso.</w:t>
      </w:r>
    </w:p>
    <w:sectPr w:rsidR="00263CBB" w:rsidRPr="000D44DD" w:rsidSect="0021349A">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3ED65" w14:textId="77777777" w:rsidR="00CB0D6B" w:rsidRDefault="00CB0D6B" w:rsidP="00D7132E">
      <w:r>
        <w:separator/>
      </w:r>
    </w:p>
  </w:endnote>
  <w:endnote w:type="continuationSeparator" w:id="0">
    <w:p w14:paraId="3446F02F" w14:textId="77777777" w:rsidR="00CB0D6B" w:rsidRDefault="00CB0D6B" w:rsidP="00D71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8227123"/>
      <w:docPartObj>
        <w:docPartGallery w:val="Page Numbers (Bottom of Page)"/>
        <w:docPartUnique/>
      </w:docPartObj>
    </w:sdtPr>
    <w:sdtEndPr>
      <w:rPr>
        <w:rStyle w:val="PageNumber"/>
      </w:rPr>
    </w:sdtEndPr>
    <w:sdtContent>
      <w:p w14:paraId="610CD884" w14:textId="1FE5C30D" w:rsidR="00A81DD3" w:rsidRDefault="00A81DD3" w:rsidP="000A26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E12756" w14:textId="77AED160" w:rsidR="00A81DD3" w:rsidRDefault="00A81DD3">
    <w:pPr>
      <w:pStyle w:val="Footer"/>
    </w:pP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D69CA" w14:textId="77777777" w:rsidR="00CB0D6B" w:rsidRDefault="00CB0D6B" w:rsidP="00D7132E">
      <w:r>
        <w:separator/>
      </w:r>
    </w:p>
  </w:footnote>
  <w:footnote w:type="continuationSeparator" w:id="0">
    <w:p w14:paraId="4AF0FCED" w14:textId="77777777" w:rsidR="00CB0D6B" w:rsidRDefault="00CB0D6B" w:rsidP="00D7132E">
      <w:r>
        <w:continuationSeparator/>
      </w:r>
    </w:p>
  </w:footnote>
  <w:footnote w:id="1">
    <w:p w14:paraId="511EF900" w14:textId="77777777" w:rsidR="0021349A" w:rsidRPr="0021349A" w:rsidRDefault="0021349A" w:rsidP="0021349A">
      <w:pPr>
        <w:pStyle w:val="FootnoteText"/>
        <w:rPr>
          <w:lang w:val="es-ES"/>
        </w:rPr>
      </w:pPr>
      <w:r>
        <w:rPr>
          <w:rStyle w:val="FootnoteReference"/>
        </w:rPr>
        <w:footnoteRef/>
      </w:r>
      <w:r w:rsidRPr="0021349A">
        <w:rPr>
          <w:lang w:val="es-ES"/>
        </w:rPr>
        <w:t xml:space="preserve"> </w:t>
      </w:r>
      <w:r>
        <w:rPr>
          <w:lang w:val="es-ES"/>
        </w:rPr>
        <w:t xml:space="preserve">Este informe paralelo se puede consultar en: </w:t>
      </w:r>
      <w:hyperlink r:id="rId1" w:history="1">
        <w:r w:rsidRPr="000A2601">
          <w:rPr>
            <w:rStyle w:val="Hyperlink"/>
            <w:lang w:val="es-ES"/>
          </w:rPr>
          <w:t>https://tbinternet.ohchr.org/_layouts/15/treatybodyexternal/Download.aspx?symbolno=INT%2FCESCR%2FICO%2FPAN%2F43895&amp;Lang=en</w:t>
        </w:r>
      </w:hyperlink>
      <w:r>
        <w:rPr>
          <w:lang w:val="es-ES"/>
        </w:rPr>
        <w:t xml:space="preserve"> </w:t>
      </w:r>
    </w:p>
  </w:footnote>
  <w:footnote w:id="2">
    <w:p w14:paraId="443E9D27" w14:textId="77777777" w:rsidR="0021349A" w:rsidRPr="001575CD" w:rsidRDefault="0021349A" w:rsidP="0021349A">
      <w:pPr>
        <w:pStyle w:val="FootnoteText"/>
        <w:rPr>
          <w:rFonts w:ascii="Calibri" w:hAnsi="Calibri" w:cs="Calibri"/>
          <w:lang w:val="es-ES"/>
        </w:rPr>
      </w:pPr>
      <w:r w:rsidRPr="001575CD">
        <w:rPr>
          <w:rStyle w:val="FootnoteReference"/>
          <w:rFonts w:ascii="Calibri" w:hAnsi="Calibri" w:cs="Calibri"/>
        </w:rPr>
        <w:footnoteRef/>
      </w:r>
      <w:r w:rsidRPr="001575CD">
        <w:rPr>
          <w:rFonts w:ascii="Calibri" w:hAnsi="Calibri" w:cs="Calibri"/>
          <w:lang w:val="es-ES"/>
        </w:rPr>
        <w:t xml:space="preserve"> Ver Reclamo ante la Oficina del Ombudsman y Asesor en Materia de Observancia, CAO en relación con el proyecto no. 602084 de la Corporación Financiera Internacional en Panamá, disponible en: </w:t>
      </w:r>
      <w:hyperlink r:id="rId2" w:history="1">
        <w:r w:rsidRPr="001575CD">
          <w:rPr>
            <w:rStyle w:val="Hyperlink"/>
            <w:rFonts w:ascii="Calibri" w:hAnsi="Calibri" w:cs="Calibri"/>
            <w:lang w:val="es-ES"/>
          </w:rPr>
          <w:t>http://www.cao-ombudsman.org/cases/document-links/documents/CAOcomplaintPLIVpanama.pdf</w:t>
        </w:r>
      </w:hyperlink>
      <w:r>
        <w:rPr>
          <w:rFonts w:ascii="Calibri" w:hAnsi="Calibri" w:cs="Calibri"/>
          <w:lang w:val="es-ES"/>
        </w:rPr>
        <w:t>.</w:t>
      </w:r>
    </w:p>
  </w:footnote>
  <w:footnote w:id="3">
    <w:p w14:paraId="7B71915E" w14:textId="2A9CB3C5" w:rsidR="0021349A" w:rsidRPr="0021349A" w:rsidRDefault="0021349A" w:rsidP="0021349A">
      <w:pPr>
        <w:pStyle w:val="FootnoteText"/>
        <w:rPr>
          <w:lang w:val="es-ES"/>
        </w:rPr>
      </w:pPr>
      <w:r>
        <w:rPr>
          <w:rStyle w:val="FootnoteReference"/>
        </w:rPr>
        <w:footnoteRef/>
      </w:r>
      <w:r w:rsidRPr="0021349A">
        <w:rPr>
          <w:lang w:val="es-ES"/>
        </w:rPr>
        <w:t xml:space="preserve"> Ver Informe </w:t>
      </w:r>
      <w:r>
        <w:rPr>
          <w:lang w:val="es-ES"/>
        </w:rPr>
        <w:t xml:space="preserve">de Investigación sobre Cumplimiento </w:t>
      </w:r>
      <w:r w:rsidRPr="0021349A">
        <w:rPr>
          <w:lang w:val="es-ES"/>
        </w:rPr>
        <w:t>de la CAO</w:t>
      </w:r>
      <w:r>
        <w:rPr>
          <w:lang w:val="es-ES"/>
        </w:rPr>
        <w:t xml:space="preserve"> en relación con el Proyecto de Asesoría PLIV (IFC Proyecto # 602084), Panamá, disponible en español en: </w:t>
      </w:r>
      <w:hyperlink r:id="rId3" w:history="1">
        <w:r w:rsidRPr="000A2601">
          <w:rPr>
            <w:rStyle w:val="Hyperlink"/>
            <w:lang w:val="es-ES"/>
          </w:rPr>
          <w:t>https://www.cao-ombudsman.org/sites/default/files/downloads/CAO_CompliancInvestigation_PLIV_February_ES.pdf</w:t>
        </w:r>
      </w:hyperlink>
      <w:r>
        <w:rPr>
          <w:lang w:val="es-ES"/>
        </w:rPr>
        <w:t xml:space="preserve"> </w:t>
      </w:r>
      <w:r>
        <w:rPr>
          <w:lang w:val="es-ES"/>
        </w:rPr>
        <w:br/>
        <w:t xml:space="preserve">y en inglés en: </w:t>
      </w:r>
      <w:hyperlink r:id="rId4" w:history="1">
        <w:r w:rsidRPr="000A2601">
          <w:rPr>
            <w:rStyle w:val="Hyperlink"/>
            <w:lang w:val="es-ES"/>
          </w:rPr>
          <w:t>https://www.cao-ombudsman.org/sites/default/files/downloads/CAO_Compliance_Investigation_PLIV__Panama_Feb_2022_EN.pdf</w:t>
        </w:r>
      </w:hyperlink>
      <w:r>
        <w:rPr>
          <w:lang w:val="es-ES"/>
        </w:rPr>
        <w:t xml:space="preserve">. </w:t>
      </w:r>
    </w:p>
  </w:footnote>
  <w:footnote w:id="4">
    <w:p w14:paraId="62B87672" w14:textId="2085A483" w:rsidR="0021349A" w:rsidRPr="0021349A" w:rsidRDefault="0021349A" w:rsidP="0021349A">
      <w:pPr>
        <w:pStyle w:val="FootnoteText"/>
      </w:pPr>
      <w:r>
        <w:rPr>
          <w:rStyle w:val="FootnoteReference"/>
        </w:rPr>
        <w:footnoteRef/>
      </w:r>
      <w:r>
        <w:t xml:space="preserve"> </w:t>
      </w:r>
      <w:r>
        <w:rPr>
          <w:i/>
          <w:iCs/>
        </w:rPr>
        <w:t>Id</w:t>
      </w:r>
      <w:r>
        <w:t>., p. 6.</w:t>
      </w:r>
    </w:p>
  </w:footnote>
  <w:footnote w:id="5">
    <w:p w14:paraId="06256491" w14:textId="43F385E0" w:rsidR="0021349A" w:rsidRPr="0021349A" w:rsidRDefault="0021349A">
      <w:pPr>
        <w:pStyle w:val="FootnoteText"/>
      </w:pPr>
      <w:r>
        <w:rPr>
          <w:rStyle w:val="FootnoteReference"/>
        </w:rPr>
        <w:footnoteRef/>
      </w:r>
      <w:r>
        <w:t xml:space="preserve"> </w:t>
      </w:r>
      <w:r>
        <w:rPr>
          <w:i/>
          <w:iCs/>
        </w:rPr>
        <w:t>Id</w:t>
      </w:r>
      <w:r>
        <w:t>., p. 6.</w:t>
      </w:r>
    </w:p>
  </w:footnote>
  <w:footnote w:id="6">
    <w:p w14:paraId="29E4DB0D" w14:textId="4D286DED" w:rsidR="0021349A" w:rsidRPr="0021349A" w:rsidRDefault="0021349A">
      <w:pPr>
        <w:pStyle w:val="FootnoteText"/>
      </w:pPr>
      <w:r>
        <w:rPr>
          <w:rStyle w:val="FootnoteReference"/>
        </w:rPr>
        <w:footnoteRef/>
      </w:r>
      <w:r>
        <w:t xml:space="preserve"> </w:t>
      </w:r>
      <w:r>
        <w:rPr>
          <w:i/>
          <w:iCs/>
        </w:rPr>
        <w:t>Id.</w:t>
      </w:r>
      <w:r>
        <w:t>, p. 8.</w:t>
      </w:r>
    </w:p>
  </w:footnote>
  <w:footnote w:id="7">
    <w:p w14:paraId="79140677" w14:textId="6E79A633" w:rsidR="0021349A" w:rsidRPr="0021349A" w:rsidRDefault="0021349A">
      <w:pPr>
        <w:pStyle w:val="FootnoteText"/>
      </w:pPr>
      <w:r>
        <w:rPr>
          <w:rStyle w:val="FootnoteReference"/>
        </w:rPr>
        <w:footnoteRef/>
      </w:r>
      <w:r>
        <w:t xml:space="preserve"> </w:t>
      </w:r>
      <w:r>
        <w:rPr>
          <w:i/>
          <w:iCs/>
        </w:rPr>
        <w:t>Id.</w:t>
      </w:r>
      <w:r>
        <w:t>, p. 9.</w:t>
      </w:r>
    </w:p>
  </w:footnote>
  <w:footnote w:id="8">
    <w:p w14:paraId="4DBD3144" w14:textId="5911AD4E" w:rsidR="0021349A" w:rsidRPr="00DC2ED5" w:rsidRDefault="0021349A">
      <w:pPr>
        <w:pStyle w:val="FootnoteText"/>
        <w:rPr>
          <w:lang w:val="es-ES"/>
        </w:rPr>
      </w:pPr>
      <w:r>
        <w:rPr>
          <w:rStyle w:val="FootnoteReference"/>
        </w:rPr>
        <w:footnoteRef/>
      </w:r>
      <w:r w:rsidRPr="00DC2ED5">
        <w:rPr>
          <w:lang w:val="es-ES"/>
        </w:rPr>
        <w:t xml:space="preserve"> </w:t>
      </w:r>
      <w:r w:rsidRPr="00DC2ED5">
        <w:rPr>
          <w:i/>
          <w:iCs/>
          <w:lang w:val="es-ES"/>
        </w:rPr>
        <w:t>Id</w:t>
      </w:r>
      <w:r w:rsidRPr="00DC2ED5">
        <w:rPr>
          <w:lang w:val="es-ES"/>
        </w:rPr>
        <w:t>., p. 9.</w:t>
      </w:r>
    </w:p>
  </w:footnote>
  <w:footnote w:id="9">
    <w:p w14:paraId="230AE3D5" w14:textId="77777777" w:rsidR="008318C7" w:rsidRPr="0021349A" w:rsidRDefault="008318C7" w:rsidP="008318C7">
      <w:pPr>
        <w:pStyle w:val="FootnoteText"/>
        <w:rPr>
          <w:lang w:val="es-ES"/>
        </w:rPr>
      </w:pPr>
      <w:r>
        <w:rPr>
          <w:rStyle w:val="FootnoteReference"/>
        </w:rPr>
        <w:footnoteRef/>
      </w:r>
      <w:r w:rsidRPr="0021349A">
        <w:rPr>
          <w:lang w:val="es-ES"/>
        </w:rPr>
        <w:t xml:space="preserve"> </w:t>
      </w:r>
      <w:r w:rsidRPr="0021349A">
        <w:rPr>
          <w:i/>
          <w:iCs/>
          <w:lang w:val="es-ES"/>
        </w:rPr>
        <w:t>Id.</w:t>
      </w:r>
      <w:r w:rsidRPr="0021349A">
        <w:rPr>
          <w:lang w:val="es-ES"/>
        </w:rPr>
        <w:t>, p. 10.</w:t>
      </w:r>
    </w:p>
  </w:footnote>
  <w:footnote w:id="10">
    <w:p w14:paraId="55F31A48" w14:textId="4932D953" w:rsidR="0021349A" w:rsidRPr="007410D7" w:rsidRDefault="0021349A" w:rsidP="000D44DD">
      <w:pPr>
        <w:rPr>
          <w:sz w:val="20"/>
          <w:szCs w:val="20"/>
        </w:rPr>
      </w:pPr>
      <w:r w:rsidRPr="0021349A">
        <w:rPr>
          <w:rStyle w:val="FootnoteReference"/>
          <w:sz w:val="20"/>
          <w:szCs w:val="20"/>
        </w:rPr>
        <w:footnoteRef/>
      </w:r>
      <w:r w:rsidRPr="0021349A">
        <w:rPr>
          <w:sz w:val="20"/>
          <w:szCs w:val="20"/>
          <w:lang w:val="es-ES"/>
        </w:rPr>
        <w:t xml:space="preserve"> El caso se encuentra actualmente en una fase de monitoreo, durante la cual la IFC tendrá que informar cada seis meses a la CAO y a la Junta Directiva de la IFC sobre las acciones que ha tomado para cumplir con los compromisos acordados para abordar las deficiencias identificadas en el informe de investigación de la CAO. </w:t>
      </w:r>
      <w:r w:rsidRPr="007410D7">
        <w:rPr>
          <w:sz w:val="20"/>
          <w:szCs w:val="20"/>
        </w:rPr>
        <w:t xml:space="preserve">Ver </w:t>
      </w:r>
      <w:r w:rsidRPr="007410D7">
        <w:rPr>
          <w:i/>
          <w:iCs/>
          <w:sz w:val="20"/>
          <w:szCs w:val="20"/>
        </w:rPr>
        <w:t>IFC Board Approves Action Plan in Response to CAO Investigation of IFC’s Advisory Services to Panama’s State Electricity Transmission Company, ETESA</w:t>
      </w:r>
      <w:r w:rsidRPr="007410D7">
        <w:rPr>
          <w:sz w:val="20"/>
          <w:szCs w:val="20"/>
        </w:rPr>
        <w:t xml:space="preserve"> (10 de </w:t>
      </w:r>
      <w:r w:rsidRPr="007410D7">
        <w:rPr>
          <w:sz w:val="20"/>
          <w:szCs w:val="20"/>
        </w:rPr>
        <w:t xml:space="preserve">junio de 2022), disponible en inglés en: </w:t>
      </w:r>
      <w:hyperlink r:id="rId5" w:history="1">
        <w:r w:rsidRPr="007410D7">
          <w:rPr>
            <w:rStyle w:val="Hyperlink"/>
            <w:sz w:val="20"/>
            <w:szCs w:val="20"/>
          </w:rPr>
          <w:t>https://pressroom.ifc.org/all/pages/PressDetail.aspx?ID=27028</w:t>
        </w:r>
      </w:hyperlink>
      <w:r w:rsidRPr="007410D7">
        <w:rPr>
          <w:sz w:val="20"/>
          <w:szCs w:val="20"/>
        </w:rPr>
        <w:t xml:space="preserve">. </w:t>
      </w:r>
    </w:p>
  </w:footnote>
  <w:footnote w:id="11">
    <w:p w14:paraId="5478B6EF" w14:textId="2A454918" w:rsidR="0021349A" w:rsidRPr="0021349A" w:rsidRDefault="0021349A">
      <w:pPr>
        <w:pStyle w:val="FootnoteText"/>
        <w:rPr>
          <w:lang w:val="es-ES"/>
        </w:rPr>
      </w:pPr>
      <w:r>
        <w:rPr>
          <w:rStyle w:val="FootnoteReference"/>
        </w:rPr>
        <w:footnoteRef/>
      </w:r>
      <w:r w:rsidRPr="0021349A">
        <w:rPr>
          <w:lang w:val="es-ES"/>
        </w:rPr>
        <w:t xml:space="preserve"> Para mayor información, ver: </w:t>
      </w:r>
      <w:hyperlink r:id="rId6" w:anchor="!/vistaPreviaCP?NumLc=2021-2-78-0-04-LV-013730&amp;esap=0&amp;nnc=2&amp;it=1" w:history="1">
        <w:r w:rsidRPr="000A2601">
          <w:rPr>
            <w:rStyle w:val="Hyperlink"/>
            <w:lang w:val="es-ES"/>
          </w:rPr>
          <w:t>https://www.panamacompra.gob.pa/Inicio/v2/#!/vistaPreviaCP?NumLc=2021-2-78-0-04-LV-013730&amp;esap=0&amp;nnc=2&amp;it=1</w:t>
        </w:r>
      </w:hyperlink>
      <w:r w:rsidRPr="0021349A">
        <w:rPr>
          <w:lang w:val="es-ES"/>
        </w:rPr>
        <w:t>.</w:t>
      </w:r>
      <w:r>
        <w:rPr>
          <w:lang w:val="es-ES"/>
        </w:rPr>
        <w:t xml:space="preserve"> </w:t>
      </w:r>
    </w:p>
  </w:footnote>
  <w:footnote w:id="12">
    <w:p w14:paraId="0C0135B8" w14:textId="77777777" w:rsidR="0021349A" w:rsidRPr="009A36E4" w:rsidRDefault="0021349A" w:rsidP="0021349A">
      <w:pPr>
        <w:pStyle w:val="FootnoteText"/>
      </w:pPr>
      <w:r>
        <w:rPr>
          <w:rStyle w:val="FootnoteReference"/>
        </w:rPr>
        <w:footnoteRef/>
      </w:r>
      <w:r w:rsidRPr="00944029">
        <w:t xml:space="preserve"> Ver Center for International Environmental Law, </w:t>
      </w:r>
      <w:r w:rsidRPr="00944029">
        <w:rPr>
          <w:i/>
          <w:iCs/>
        </w:rPr>
        <w:t xml:space="preserve">Barro Blanco Hydroelectric Dam Threatens </w:t>
      </w:r>
      <w:r>
        <w:rPr>
          <w:i/>
          <w:iCs/>
        </w:rPr>
        <w:t>Indigenous Communities, Panama</w:t>
      </w:r>
      <w:r>
        <w:t xml:space="preserve">, </w:t>
      </w:r>
      <w:r>
        <w:t xml:space="preserve">diciembre de 2016, disponible (en inglés) en: </w:t>
      </w:r>
      <w:hyperlink r:id="rId7" w:history="1">
        <w:r w:rsidRPr="00EA126E">
          <w:rPr>
            <w:rStyle w:val="Hyperlink"/>
          </w:rPr>
          <w:t>https://www.ciel.org/project-update/barro-blanco/</w:t>
        </w:r>
      </w:hyperlink>
      <w:r>
        <w:t xml:space="preserve">; ver además Center for International Law, </w:t>
      </w:r>
      <w:r>
        <w:rPr>
          <w:i/>
          <w:iCs/>
        </w:rPr>
        <w:t>Independent report finds Dutch and German development banks failed to comply with environmental and human rights standards in financing the Barro Blanco dam in Panama</w:t>
      </w:r>
      <w:r>
        <w:t>, 1 de junio de 2015, disponible (en inglés) en:</w:t>
      </w:r>
      <w:r w:rsidRPr="008D4B15">
        <w:t xml:space="preserve"> </w:t>
      </w:r>
      <w:hyperlink r:id="rId8" w:history="1">
        <w:r w:rsidRPr="00EA126E">
          <w:rPr>
            <w:rStyle w:val="Hyperlink"/>
          </w:rPr>
          <w:t>https://www.ciel.org/news/independent-report-finds-dutch-and-german-development-banks-failed-to-comply-with-environmental-and-human-rights-standards-in-financing-the-barro-blanco-dam-in-panama</w:t>
        </w:r>
      </w:hyperlink>
      <w:r>
        <w:t xml:space="preserve">. </w:t>
      </w:r>
    </w:p>
  </w:footnote>
  <w:footnote w:id="13">
    <w:p w14:paraId="25769B2D" w14:textId="77777777" w:rsidR="0021349A" w:rsidRPr="00767DE6" w:rsidRDefault="0021349A" w:rsidP="0021349A">
      <w:pPr>
        <w:pStyle w:val="FootnoteText"/>
        <w:rPr>
          <w:lang w:val="es-ES"/>
        </w:rPr>
      </w:pPr>
      <w:r>
        <w:rPr>
          <w:rStyle w:val="FootnoteReference"/>
        </w:rPr>
        <w:footnoteRef/>
      </w:r>
      <w:r w:rsidRPr="0021349A">
        <w:rPr>
          <w:lang w:val="es-ES"/>
        </w:rPr>
        <w:t xml:space="preserve"> </w:t>
      </w:r>
      <w:r w:rsidRPr="00767DE6">
        <w:rPr>
          <w:lang w:val="es-ES"/>
        </w:rPr>
        <w:t>Informe del Relator Especial sobre los derechos de los pueblos in</w:t>
      </w:r>
      <w:r>
        <w:rPr>
          <w:lang w:val="es-ES"/>
        </w:rPr>
        <w:t xml:space="preserve">dígenas, James Anaya, </w:t>
      </w:r>
      <w:r>
        <w:rPr>
          <w:i/>
          <w:iCs/>
          <w:lang w:val="es-ES"/>
        </w:rPr>
        <w:t>La situación de los derechos de los pueblos indígenas en Panamá</w:t>
      </w:r>
      <w:r>
        <w:rPr>
          <w:lang w:val="es-ES"/>
        </w:rPr>
        <w:t>, presentado al Consejo de Derechos Humanos de las Naciones Unidas con fecha del 3 de julio de 2014, A</w:t>
      </w:r>
      <w:r w:rsidRPr="00767DE6">
        <w:rPr>
          <w:lang w:val="es-ES"/>
        </w:rPr>
        <w:t>/</w:t>
      </w:r>
      <w:r>
        <w:rPr>
          <w:lang w:val="es-ES"/>
        </w:rPr>
        <w:t xml:space="preserve">HRC/27/52/Add.1, párr. 42, disponible en: </w:t>
      </w:r>
      <w:hyperlink r:id="rId9" w:history="1">
        <w:r w:rsidRPr="00275615">
          <w:rPr>
            <w:rStyle w:val="Hyperlink"/>
            <w:lang w:val="es-ES"/>
          </w:rPr>
          <w:t>https://documents-dds-ny.un.org/doc/UNDOC/GEN/G14/072/37/PDF/G1407237.pdf?OpenElement</w:t>
        </w:r>
      </w:hyperlink>
      <w:r>
        <w:rPr>
          <w:lang w:val="es-ES"/>
        </w:rPr>
        <w:t xml:space="preserve">. </w:t>
      </w:r>
    </w:p>
  </w:footnote>
  <w:footnote w:id="14">
    <w:p w14:paraId="522BE430" w14:textId="77777777" w:rsidR="0021349A" w:rsidRPr="0061718E" w:rsidRDefault="0021349A" w:rsidP="0021349A">
      <w:pPr>
        <w:pStyle w:val="FootnoteText"/>
        <w:rPr>
          <w:lang w:val="es-ES"/>
        </w:rPr>
      </w:pPr>
      <w:r>
        <w:rPr>
          <w:rStyle w:val="FootnoteReference"/>
        </w:rPr>
        <w:footnoteRef/>
      </w:r>
      <w:r w:rsidRPr="0061718E">
        <w:rPr>
          <w:lang w:val="es-ES"/>
        </w:rPr>
        <w:t xml:space="preserve"> Ver Center </w:t>
      </w:r>
      <w:r w:rsidRPr="0061718E">
        <w:rPr>
          <w:lang w:val="es-ES"/>
        </w:rPr>
        <w:t xml:space="preserve">for International Environmental Law, </w:t>
      </w:r>
      <w:r w:rsidRPr="0061718E">
        <w:rPr>
          <w:i/>
          <w:iCs/>
          <w:lang w:val="es-ES"/>
        </w:rPr>
        <w:t>Barro Blanco: Flooding begins on UN approved hydro dam as indigenous defenders are forcefully removed</w:t>
      </w:r>
      <w:r w:rsidRPr="0061718E">
        <w:rPr>
          <w:lang w:val="es-ES"/>
        </w:rPr>
        <w:t xml:space="preserve">, 24 de mayo de 2016, disponible (en inglés) en: </w:t>
      </w:r>
      <w:hyperlink r:id="rId10" w:history="1">
        <w:r w:rsidRPr="00275615">
          <w:rPr>
            <w:rStyle w:val="Hyperlink"/>
            <w:lang w:val="es-ES"/>
          </w:rPr>
          <w:t>https://www.ciel.org/news/barro-blanco-flooding-begins-un-approved-hydro-dam-indigenous-defenders-forcefully-evicted/</w:t>
        </w:r>
      </w:hyperlink>
      <w:r>
        <w:rPr>
          <w:lang w:val="es-ES"/>
        </w:rPr>
        <w:t xml:space="preserve">. </w:t>
      </w:r>
    </w:p>
  </w:footnote>
  <w:footnote w:id="15">
    <w:p w14:paraId="78DDF347" w14:textId="77777777" w:rsidR="0021349A" w:rsidRPr="00EA2F8F" w:rsidRDefault="0021349A" w:rsidP="0021349A">
      <w:pPr>
        <w:pStyle w:val="FootnoteText"/>
        <w:rPr>
          <w:lang w:val="es-ES"/>
        </w:rPr>
      </w:pPr>
      <w:r>
        <w:rPr>
          <w:rStyle w:val="FootnoteReference"/>
        </w:rPr>
        <w:footnoteRef/>
      </w:r>
      <w:r w:rsidRPr="0021349A">
        <w:rPr>
          <w:lang w:val="es-ES"/>
        </w:rPr>
        <w:t xml:space="preserve"> A modo de ejemplo, ver la carta enviada por el Movimiento 10 de Abril con el apoyo de 11 organizaciones panameñas e internacionales al Relator Anaya con fecha del 14 de junio de 2013, disponible en: </w:t>
      </w:r>
      <w:hyperlink r:id="rId11" w:history="1">
        <w:r w:rsidRPr="0021349A">
          <w:rPr>
            <w:rStyle w:val="Hyperlink"/>
            <w:lang w:val="es-ES"/>
          </w:rPr>
          <w:t>https://ciel.org/Publications/BarroBlanco_Anaya_14Jun2013.pdf</w:t>
        </w:r>
      </w:hyperlink>
      <w:r w:rsidRPr="0021349A">
        <w:rPr>
          <w:lang w:val="es-ES"/>
        </w:rPr>
        <w:t xml:space="preserve">; ver además La Estrella de Panamá, </w:t>
      </w:r>
      <w:r w:rsidRPr="0021349A">
        <w:rPr>
          <w:i/>
          <w:iCs/>
          <w:lang w:val="es-ES"/>
        </w:rPr>
        <w:t>La polémica del proyecto Barro Blanco es expuesta ante la CIDH</w:t>
      </w:r>
      <w:r w:rsidRPr="0021349A">
        <w:rPr>
          <w:lang w:val="es-ES"/>
        </w:rPr>
        <w:t xml:space="preserve">, 6 de septiembre de 2015, disponible en: </w:t>
      </w:r>
      <w:hyperlink r:id="rId12" w:history="1">
        <w:r w:rsidRPr="0021349A">
          <w:rPr>
            <w:rStyle w:val="Hyperlink"/>
            <w:lang w:val="es-ES"/>
          </w:rPr>
          <w:t>https://www.laestrella.com.pa/nacional/150906/barro-blanco-polemica-proyecto</w:t>
        </w:r>
      </w:hyperlink>
      <w:r w:rsidRPr="0021349A">
        <w:rPr>
          <w:lang w:val="es-ES"/>
        </w:rPr>
        <w:t xml:space="preserve">. </w:t>
      </w:r>
    </w:p>
  </w:footnote>
  <w:footnote w:id="16">
    <w:p w14:paraId="75CAF5EF" w14:textId="77777777" w:rsidR="0021349A" w:rsidRPr="00C273C7" w:rsidRDefault="0021349A" w:rsidP="0021349A">
      <w:pPr>
        <w:pStyle w:val="FootnoteText"/>
        <w:rPr>
          <w:lang w:val="es-ES"/>
        </w:rPr>
      </w:pPr>
      <w:r>
        <w:rPr>
          <w:rStyle w:val="FootnoteReference"/>
        </w:rPr>
        <w:footnoteRef/>
      </w:r>
      <w:r w:rsidRPr="0021349A">
        <w:rPr>
          <w:lang w:val="es-ES"/>
        </w:rPr>
        <w:t xml:space="preserve"> A modo de ejemplo, ver Panamá América, </w:t>
      </w:r>
      <w:r w:rsidRPr="0021349A">
        <w:rPr>
          <w:i/>
          <w:iCs/>
          <w:lang w:val="es-ES"/>
        </w:rPr>
        <w:t>Ngabes denuncian inundación de tierras tras continuidad de llenado de Barro Blanco</w:t>
      </w:r>
      <w:r w:rsidRPr="0021349A">
        <w:rPr>
          <w:lang w:val="es-ES"/>
        </w:rPr>
        <w:t xml:space="preserve">, 21 de agosto de 2016, disponible en: </w:t>
      </w:r>
      <w:hyperlink r:id="rId13" w:history="1">
        <w:r w:rsidRPr="0021349A">
          <w:rPr>
            <w:rStyle w:val="Hyperlink"/>
            <w:lang w:val="es-ES"/>
          </w:rPr>
          <w:t>https://www.panamaamerica.com.pa/provincias/ngabes-denuncian-inundacion-de-tierras-tras-continuidad-de-llenado-de-barro-blanco</w:t>
        </w:r>
      </w:hyperlink>
      <w:r w:rsidRPr="0021349A">
        <w:rPr>
          <w:lang w:val="es-ES"/>
        </w:rPr>
        <w:t xml:space="preserve">. Para mayor información, ver Cultural Survival, </w:t>
      </w:r>
      <w:r w:rsidRPr="0021349A">
        <w:rPr>
          <w:i/>
          <w:iCs/>
          <w:lang w:val="es-ES"/>
        </w:rPr>
        <w:t>Underwater: Barro Blanco Displaces Three Ngäbe Bugle Communities in Panama</w:t>
      </w:r>
      <w:r w:rsidRPr="0021349A">
        <w:rPr>
          <w:lang w:val="es-ES"/>
        </w:rPr>
        <w:t xml:space="preserve">, diciembre de 2016, disponible (en inglés) en: </w:t>
      </w:r>
      <w:hyperlink r:id="rId14" w:history="1">
        <w:r w:rsidRPr="0021349A">
          <w:rPr>
            <w:rStyle w:val="Hyperlink"/>
            <w:lang w:val="es-ES"/>
          </w:rPr>
          <w:t>https://www.culturalsurvival.org/publications/cultural-survival-quarterly/underwater-barro-blanco-displaces-three-ngabe-bugle</w:t>
        </w:r>
      </w:hyperlink>
      <w:r w:rsidRPr="0021349A">
        <w:rPr>
          <w:lang w:val="es-ES"/>
        </w:rPr>
        <w:t xml:space="preserve">. </w:t>
      </w:r>
    </w:p>
  </w:footnote>
  <w:footnote w:id="17">
    <w:p w14:paraId="0649B781" w14:textId="77777777" w:rsidR="0021349A" w:rsidRPr="002A745D" w:rsidRDefault="0021349A" w:rsidP="0021349A">
      <w:pPr>
        <w:pStyle w:val="FootnoteText"/>
        <w:rPr>
          <w:lang w:val="es-ES"/>
        </w:rPr>
      </w:pPr>
      <w:r>
        <w:rPr>
          <w:rStyle w:val="FootnoteReference"/>
        </w:rPr>
        <w:footnoteRef/>
      </w:r>
      <w:r w:rsidRPr="002A745D">
        <w:rPr>
          <w:lang w:val="es-ES"/>
        </w:rPr>
        <w:t xml:space="preserve"> </w:t>
      </w:r>
      <w:r w:rsidRPr="002A745D">
        <w:rPr>
          <w:lang w:val="es-ES"/>
        </w:rPr>
        <w:t xml:space="preserve">Rainforest Rescue, </w:t>
      </w:r>
      <w:r w:rsidRPr="002A745D">
        <w:rPr>
          <w:i/>
          <w:iCs/>
          <w:lang w:val="es-ES"/>
        </w:rPr>
        <w:t>Panama: Don’t evict Ngäbe families for the Barro Blanco dam</w:t>
      </w:r>
      <w:r w:rsidRPr="002A745D">
        <w:rPr>
          <w:lang w:val="es-ES"/>
        </w:rPr>
        <w:t xml:space="preserve">, disponible (en inglés) en: </w:t>
      </w:r>
      <w:hyperlink r:id="rId15" w:anchor="letter" w:history="1">
        <w:r w:rsidRPr="003A4195">
          <w:rPr>
            <w:rStyle w:val="Hyperlink"/>
            <w:lang w:val="es-ES"/>
          </w:rPr>
          <w:t>https://www.rainforest-rescue.org/petitions/1051/panama-dont-evict-ngaebe-families-for-the-barro-blanco-dam#letter</w:t>
        </w:r>
      </w:hyperlink>
      <w:r>
        <w:rPr>
          <w:lang w:val="es-ES"/>
        </w:rPr>
        <w:t xml:space="preserve">. </w:t>
      </w:r>
    </w:p>
  </w:footnote>
  <w:footnote w:id="18">
    <w:p w14:paraId="691F6FBD" w14:textId="77777777" w:rsidR="0021349A" w:rsidRPr="0021349A" w:rsidRDefault="0021349A" w:rsidP="0021349A">
      <w:pPr>
        <w:pStyle w:val="FootnoteText"/>
        <w:rPr>
          <w:lang w:val="es-ES"/>
        </w:rPr>
      </w:pPr>
      <w:r>
        <w:rPr>
          <w:rStyle w:val="FootnoteReference"/>
        </w:rPr>
        <w:footnoteRef/>
      </w:r>
      <w:r w:rsidRPr="0021349A">
        <w:rPr>
          <w:lang w:val="es-ES"/>
        </w:rPr>
        <w:t xml:space="preserve"> Radio Panamá, </w:t>
      </w:r>
      <w:r w:rsidRPr="0021349A">
        <w:rPr>
          <w:i/>
          <w:iCs/>
          <w:lang w:val="es-ES"/>
        </w:rPr>
        <w:t>Organizaciones indígenas convocan piqueteo para este lunes en rechazo a agresiones en Barro Blanco</w:t>
      </w:r>
      <w:r w:rsidRPr="0021349A">
        <w:rPr>
          <w:lang w:val="es-ES"/>
        </w:rPr>
        <w:t xml:space="preserve">, 31 de octubre de 2021, disponible en: </w:t>
      </w:r>
      <w:hyperlink r:id="rId16" w:history="1">
        <w:r w:rsidRPr="0021349A">
          <w:rPr>
            <w:rStyle w:val="Hyperlink"/>
            <w:lang w:val="es-ES"/>
          </w:rPr>
          <w:t>https://www.radiopanama.com.pa/noticias/actualidad/organizaciones-indigenas-convocan-piqueteo-para-este-lunes-en-rechazo-a-agresiones-en-barro-blanco/20211031/nota/4175107.aspx</w:t>
        </w:r>
      </w:hyperlink>
      <w:r w:rsidRPr="0021349A">
        <w:rPr>
          <w:lang w:val="es-ES"/>
        </w:rPr>
        <w:t xml:space="preserve">. </w:t>
      </w:r>
    </w:p>
  </w:footnote>
  <w:footnote w:id="19">
    <w:p w14:paraId="760E94C7" w14:textId="77777777" w:rsidR="0021349A" w:rsidRPr="0021349A" w:rsidRDefault="0021349A" w:rsidP="0021349A">
      <w:pPr>
        <w:pStyle w:val="FootnoteText"/>
        <w:rPr>
          <w:lang w:val="es-ES"/>
        </w:rPr>
      </w:pPr>
      <w:r>
        <w:rPr>
          <w:rStyle w:val="FootnoteReference"/>
        </w:rPr>
        <w:footnoteRef/>
      </w:r>
      <w:r w:rsidRPr="0021349A">
        <w:rPr>
          <w:lang w:val="es-ES"/>
        </w:rPr>
        <w:t xml:space="preserve"> La Prensa, </w:t>
      </w:r>
      <w:r w:rsidRPr="0021349A">
        <w:rPr>
          <w:i/>
          <w:iCs/>
          <w:lang w:val="es-ES"/>
        </w:rPr>
        <w:t>Desalojo en Barro Blanco termina con varios heridos entre indígenas y policías</w:t>
      </w:r>
      <w:r w:rsidRPr="0021349A">
        <w:rPr>
          <w:lang w:val="es-ES"/>
        </w:rPr>
        <w:t xml:space="preserve">, 29 de octubre de 2021, disponible en: </w:t>
      </w:r>
      <w:hyperlink r:id="rId17" w:history="1">
        <w:r w:rsidRPr="0021349A">
          <w:rPr>
            <w:rStyle w:val="Hyperlink"/>
            <w:lang w:val="es-ES"/>
          </w:rPr>
          <w:t>https://www.prensa.com/provincias/desalojo-en-barro-blanco-termina-con-varios-heridos-entre-indigenas-y-policias/</w:t>
        </w:r>
      </w:hyperlink>
      <w:r w:rsidRPr="0021349A">
        <w:rPr>
          <w:lang w:val="es-ES"/>
        </w:rPr>
        <w:t xml:space="preserve">. </w:t>
      </w:r>
    </w:p>
  </w:footnote>
  <w:footnote w:id="20">
    <w:p w14:paraId="286E7E72" w14:textId="77777777" w:rsidR="0021349A" w:rsidRPr="00285DC1" w:rsidRDefault="0021349A" w:rsidP="0021349A">
      <w:pPr>
        <w:pStyle w:val="FootnoteText"/>
        <w:rPr>
          <w:lang w:val="es-ES"/>
        </w:rPr>
      </w:pPr>
      <w:r>
        <w:rPr>
          <w:rStyle w:val="FootnoteReference"/>
        </w:rPr>
        <w:footnoteRef/>
      </w:r>
      <w:r w:rsidRPr="0021349A">
        <w:rPr>
          <w:lang w:val="es-ES"/>
        </w:rPr>
        <w:t xml:space="preserve"> Defensoría del Pueblo de la República de Panamá, </w:t>
      </w:r>
      <w:r w:rsidRPr="0021349A">
        <w:rPr>
          <w:i/>
          <w:iCs/>
          <w:lang w:val="es-ES"/>
        </w:rPr>
        <w:t>Comunicado</w:t>
      </w:r>
      <w:r w:rsidRPr="0021349A">
        <w:rPr>
          <w:lang w:val="es-ES"/>
        </w:rPr>
        <w:t xml:space="preserve">, 30 de octubre de 2021, </w:t>
      </w:r>
      <w:r>
        <w:rPr>
          <w:lang w:val="es-ES"/>
        </w:rPr>
        <w:t>disponible en:</w:t>
      </w:r>
      <w:r w:rsidRPr="0021349A">
        <w:rPr>
          <w:lang w:val="es-ES"/>
        </w:rPr>
        <w:t xml:space="preserve"> </w:t>
      </w:r>
      <w:hyperlink r:id="rId18" w:history="1">
        <w:r w:rsidRPr="003A4195">
          <w:rPr>
            <w:rStyle w:val="Hyperlink"/>
            <w:lang w:val="es-ES"/>
          </w:rPr>
          <w:t>https://www.defensoria.gob.pa/comunicado-7/</w:t>
        </w:r>
      </w:hyperlink>
      <w:r>
        <w:rPr>
          <w:lang w:val="es-ES"/>
        </w:rPr>
        <w:t xml:space="preserve">; ver además La Prensa, </w:t>
      </w:r>
      <w:r>
        <w:rPr>
          <w:i/>
          <w:iCs/>
          <w:lang w:val="es-ES"/>
        </w:rPr>
        <w:t>Defensoría del Pueblo inicia investigación de oficio tras enfrentamiento entre indígenas y policías en Barro Blanco</w:t>
      </w:r>
      <w:r>
        <w:rPr>
          <w:lang w:val="es-ES"/>
        </w:rPr>
        <w:t xml:space="preserve">, 30 de octubre de 2021, disponible en: </w:t>
      </w:r>
      <w:hyperlink r:id="rId19" w:history="1">
        <w:r w:rsidRPr="00275615">
          <w:rPr>
            <w:rStyle w:val="Hyperlink"/>
            <w:lang w:val="es-ES"/>
          </w:rPr>
          <w:t>https://www.prensa.com/provincias/defensoria-del-pueblo-inicia-investigacion-de-oficio-tras-enfrentamiento-entre-indigenas-y-policias-en-barro-blanco/</w:t>
        </w:r>
      </w:hyperlink>
      <w:r>
        <w:rPr>
          <w:lang w:val="es-ES"/>
        </w:rPr>
        <w:t xml:space="preserve">. </w:t>
      </w:r>
    </w:p>
  </w:footnote>
  <w:footnote w:id="21">
    <w:p w14:paraId="31F5A179" w14:textId="77777777" w:rsidR="0021349A" w:rsidRPr="0021349A" w:rsidRDefault="0021349A" w:rsidP="0021349A">
      <w:pPr>
        <w:pStyle w:val="FootnoteText"/>
        <w:rPr>
          <w:lang w:val="es-ES"/>
        </w:rPr>
      </w:pPr>
      <w:r>
        <w:rPr>
          <w:rStyle w:val="FootnoteReference"/>
        </w:rPr>
        <w:footnoteRef/>
      </w:r>
      <w:r w:rsidRPr="0021349A">
        <w:rPr>
          <w:lang w:val="es-ES"/>
        </w:rPr>
        <w:t xml:space="preserve"> Defensoría del Pueblo de la República de Panamá, </w:t>
      </w:r>
      <w:r w:rsidRPr="0021349A">
        <w:rPr>
          <w:i/>
          <w:iCs/>
          <w:lang w:val="es-ES"/>
        </w:rPr>
        <w:t>Defensoría del Pueblo acredita vulneración de derechos humanos durante enfrentamiento en Barro Blanco</w:t>
      </w:r>
      <w:r w:rsidRPr="0021349A">
        <w:rPr>
          <w:lang w:val="es-ES"/>
        </w:rPr>
        <w:t xml:space="preserve">, 23 de mayo de 2022, disponible en: </w:t>
      </w:r>
      <w:hyperlink r:id="rId20" w:history="1">
        <w:r w:rsidRPr="0021349A">
          <w:rPr>
            <w:rStyle w:val="Hyperlink"/>
            <w:lang w:val="es-ES"/>
          </w:rPr>
          <w:t>https://www.defensoria.gob.pa/defensoria-del-pueblo-acredita-vulneracion-de-derechos-humanos-durante-enfrentamiento-en-barro-blanco/</w:t>
        </w:r>
      </w:hyperlink>
      <w:r w:rsidRPr="0021349A">
        <w:rPr>
          <w:lang w:val="es-ES"/>
        </w:rPr>
        <w:t xml:space="preserve">. </w:t>
      </w:r>
    </w:p>
  </w:footnote>
  <w:footnote w:id="22">
    <w:p w14:paraId="3740726E" w14:textId="77777777" w:rsidR="0021349A" w:rsidRPr="0021349A" w:rsidRDefault="0021349A" w:rsidP="0021349A">
      <w:pPr>
        <w:pStyle w:val="FootnoteText"/>
        <w:rPr>
          <w:lang w:val="es-ES"/>
        </w:rPr>
      </w:pPr>
      <w:r>
        <w:rPr>
          <w:rStyle w:val="FootnoteReference"/>
        </w:rPr>
        <w:footnoteRef/>
      </w:r>
      <w:r w:rsidRPr="0021349A">
        <w:rPr>
          <w:lang w:val="es-ES"/>
        </w:rPr>
        <w:t xml:space="preserve"> La Estrella de Panamá, </w:t>
      </w:r>
      <w:r w:rsidRPr="0021349A">
        <w:rPr>
          <w:i/>
          <w:iCs/>
          <w:lang w:val="es-ES"/>
        </w:rPr>
        <w:t>Autoridades: Invasión de tierras en Barro Blanco es ilegal</w:t>
      </w:r>
      <w:r w:rsidRPr="0021349A">
        <w:rPr>
          <w:lang w:val="es-ES"/>
        </w:rPr>
        <w:t xml:space="preserve">, 31 de octubre de 2021, disponible en: </w:t>
      </w:r>
      <w:hyperlink r:id="rId21" w:history="1">
        <w:r w:rsidRPr="0021349A">
          <w:rPr>
            <w:rStyle w:val="Hyperlink"/>
            <w:lang w:val="es-ES"/>
          </w:rPr>
          <w:t>https://www.laestrella.com.pa/nacional/211031/autoridades-invasion-tierras-barro-blanco</w:t>
        </w:r>
      </w:hyperlink>
      <w:r w:rsidRPr="0021349A">
        <w:rPr>
          <w:lang w:val="es-ES"/>
        </w:rPr>
        <w:t xml:space="preserve">. </w:t>
      </w:r>
    </w:p>
  </w:footnote>
  <w:footnote w:id="23">
    <w:p w14:paraId="0B36D7E5" w14:textId="12FDFE9F" w:rsidR="0021349A" w:rsidRPr="0021349A" w:rsidRDefault="0021349A" w:rsidP="0021349A">
      <w:pPr>
        <w:pStyle w:val="FootnoteText"/>
        <w:rPr>
          <w:lang w:val="es-ES"/>
        </w:rPr>
      </w:pPr>
      <w:r>
        <w:rPr>
          <w:rStyle w:val="FootnoteReference"/>
        </w:rPr>
        <w:footnoteRef/>
      </w:r>
      <w:r w:rsidRPr="0021349A">
        <w:rPr>
          <w:lang w:val="es-ES"/>
        </w:rPr>
        <w:t xml:space="preserve"> Ver Panamá América, </w:t>
      </w:r>
      <w:r w:rsidRPr="0021349A">
        <w:rPr>
          <w:i/>
          <w:iCs/>
          <w:lang w:val="es-ES"/>
        </w:rPr>
        <w:t>Defensoría investigará enfrentamientos entre indígenas y policías en Barro Blanco</w:t>
      </w:r>
      <w:r w:rsidRPr="0021349A">
        <w:rPr>
          <w:lang w:val="es-ES"/>
        </w:rPr>
        <w:t xml:space="preserve">, 31 de octubre de 2021, disponible en: </w:t>
      </w:r>
      <w:hyperlink r:id="rId22" w:history="1">
        <w:r w:rsidR="00B52891" w:rsidRPr="000A2601">
          <w:rPr>
            <w:rStyle w:val="Hyperlink"/>
            <w:lang w:val="es-ES"/>
          </w:rPr>
          <w:t>https://www.panamaamerica.com.pa/sociedad/defensoria-investigara-enfrentamientos-entre-indigenas-y-policias-en-barro-blanco-1196582</w:t>
        </w:r>
      </w:hyperlink>
      <w:r w:rsidRPr="0021349A">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05F97" w14:textId="6934A4C0" w:rsidR="00A81DD3" w:rsidRPr="00A81DD3" w:rsidRDefault="00A81DD3" w:rsidP="00A81DD3">
    <w:pPr>
      <w:pStyle w:val="Header"/>
      <w:jc w:val="center"/>
      <w:rPr>
        <w:sz w:val="20"/>
        <w:szCs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735EB"/>
    <w:multiLevelType w:val="hybridMultilevel"/>
    <w:tmpl w:val="ADBCAC8E"/>
    <w:lvl w:ilvl="0" w:tplc="485A2996">
      <w:start w:val="1"/>
      <w:numFmt w:val="upperLetter"/>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6E00D1"/>
    <w:multiLevelType w:val="hybridMultilevel"/>
    <w:tmpl w:val="E2708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040B8"/>
    <w:multiLevelType w:val="hybridMultilevel"/>
    <w:tmpl w:val="DB98E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E5441C"/>
    <w:multiLevelType w:val="hybridMultilevel"/>
    <w:tmpl w:val="F0E6361C"/>
    <w:lvl w:ilvl="0" w:tplc="3FF2BAC2">
      <w:start w:val="1"/>
      <w:numFmt w:val="upperRoman"/>
      <w:lvlText w:val="%1."/>
      <w:lvlJc w:val="left"/>
      <w:pPr>
        <w:ind w:left="1080" w:hanging="720"/>
      </w:pPr>
      <w:rPr>
        <w:rFonts w:hint="default"/>
        <w:b/>
        <w:color w:val="046B8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370BBD"/>
    <w:multiLevelType w:val="hybridMultilevel"/>
    <w:tmpl w:val="38A2197C"/>
    <w:lvl w:ilvl="0" w:tplc="FFA27DD2">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561235"/>
    <w:multiLevelType w:val="hybridMultilevel"/>
    <w:tmpl w:val="74DCB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2B6B10"/>
    <w:multiLevelType w:val="hybridMultilevel"/>
    <w:tmpl w:val="FAA895A4"/>
    <w:lvl w:ilvl="0" w:tplc="8D7074B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CE72869"/>
    <w:multiLevelType w:val="hybridMultilevel"/>
    <w:tmpl w:val="CF16FD2E"/>
    <w:lvl w:ilvl="0" w:tplc="3FF2BAC2">
      <w:start w:val="1"/>
      <w:numFmt w:val="upperRoman"/>
      <w:lvlText w:val="%1."/>
      <w:lvlJc w:val="left"/>
      <w:pPr>
        <w:ind w:left="1080" w:hanging="720"/>
      </w:pPr>
      <w:rPr>
        <w:rFonts w:hint="default"/>
        <w:b/>
        <w:color w:val="046B8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6A392E"/>
    <w:multiLevelType w:val="hybridMultilevel"/>
    <w:tmpl w:val="22FEE830"/>
    <w:lvl w:ilvl="0" w:tplc="485A2996">
      <w:start w:val="1"/>
      <w:numFmt w:val="upperLetter"/>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480EB8"/>
    <w:multiLevelType w:val="hybridMultilevel"/>
    <w:tmpl w:val="F342DEB8"/>
    <w:lvl w:ilvl="0" w:tplc="3FF2BAC2">
      <w:start w:val="1"/>
      <w:numFmt w:val="upperRoman"/>
      <w:lvlText w:val="%1."/>
      <w:lvlJc w:val="left"/>
      <w:pPr>
        <w:ind w:left="1080" w:hanging="720"/>
      </w:pPr>
      <w:rPr>
        <w:rFonts w:hint="default"/>
        <w:b/>
        <w:color w:val="046B8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0A1EA1"/>
    <w:multiLevelType w:val="hybridMultilevel"/>
    <w:tmpl w:val="6D5AB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6A4C0C"/>
    <w:multiLevelType w:val="multilevel"/>
    <w:tmpl w:val="7B54E422"/>
    <w:lvl w:ilvl="0">
      <w:start w:val="1"/>
      <w:numFmt w:val="lowerLetter"/>
      <w:lvlText w:val="%1."/>
      <w:lvlJc w:val="left"/>
      <w:pPr>
        <w:ind w:left="1080" w:hanging="360"/>
      </w:pPr>
      <w:rPr>
        <w:u w:val="none"/>
      </w:rPr>
    </w:lvl>
    <w:lvl w:ilvl="1">
      <w:start w:val="1"/>
      <w:numFmt w:val="bullet"/>
      <w:lvlText w:val="○"/>
      <w:lvlJc w:val="left"/>
      <w:pPr>
        <w:ind w:left="1440" w:hanging="360"/>
      </w:pPr>
      <w:rPr>
        <w:color w:val="000000"/>
        <w:u w:val="none"/>
      </w:rPr>
    </w:lvl>
    <w:lvl w:ilvl="2">
      <w:start w:val="1"/>
      <w:numFmt w:val="bullet"/>
      <w:lvlText w:val="■"/>
      <w:lvlJc w:val="left"/>
      <w:pPr>
        <w:ind w:left="1800" w:hanging="360"/>
      </w:pPr>
      <w:rPr>
        <w:color w:val="000000"/>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2" w15:restartNumberingAfterBreak="0">
    <w:nsid w:val="57896B82"/>
    <w:multiLevelType w:val="hybridMultilevel"/>
    <w:tmpl w:val="38A2197C"/>
    <w:lvl w:ilvl="0" w:tplc="FFA27DD2">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1A22CA"/>
    <w:multiLevelType w:val="hybridMultilevel"/>
    <w:tmpl w:val="23BC6550"/>
    <w:lvl w:ilvl="0" w:tplc="2EBC5F7A">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806037A"/>
    <w:multiLevelType w:val="hybridMultilevel"/>
    <w:tmpl w:val="32647B90"/>
    <w:lvl w:ilvl="0" w:tplc="2EBC5F7A">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1D71C86"/>
    <w:multiLevelType w:val="hybridMultilevel"/>
    <w:tmpl w:val="9C10A2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C139F2"/>
    <w:multiLevelType w:val="hybridMultilevel"/>
    <w:tmpl w:val="F72E6494"/>
    <w:lvl w:ilvl="0" w:tplc="E80A468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F876B4"/>
    <w:multiLevelType w:val="hybridMultilevel"/>
    <w:tmpl w:val="0F06DDA2"/>
    <w:lvl w:ilvl="0" w:tplc="08646616">
      <w:start w:val="1"/>
      <w:numFmt w:val="decimal"/>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8"/>
  </w:num>
  <w:num w:numId="3">
    <w:abstractNumId w:val="9"/>
  </w:num>
  <w:num w:numId="4">
    <w:abstractNumId w:val="12"/>
  </w:num>
  <w:num w:numId="5">
    <w:abstractNumId w:val="5"/>
  </w:num>
  <w:num w:numId="6">
    <w:abstractNumId w:val="11"/>
  </w:num>
  <w:num w:numId="7">
    <w:abstractNumId w:val="13"/>
  </w:num>
  <w:num w:numId="8">
    <w:abstractNumId w:val="14"/>
  </w:num>
  <w:num w:numId="9">
    <w:abstractNumId w:val="10"/>
  </w:num>
  <w:num w:numId="10">
    <w:abstractNumId w:val="4"/>
  </w:num>
  <w:num w:numId="11">
    <w:abstractNumId w:val="3"/>
  </w:num>
  <w:num w:numId="12">
    <w:abstractNumId w:val="15"/>
  </w:num>
  <w:num w:numId="13">
    <w:abstractNumId w:val="7"/>
  </w:num>
  <w:num w:numId="14">
    <w:abstractNumId w:val="0"/>
  </w:num>
  <w:num w:numId="15">
    <w:abstractNumId w:val="16"/>
  </w:num>
  <w:num w:numId="16">
    <w:abstractNumId w:val="2"/>
  </w:num>
  <w:num w:numId="17">
    <w:abstractNumId w:val="1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32E"/>
    <w:rsid w:val="000005CC"/>
    <w:rsid w:val="00003C1A"/>
    <w:rsid w:val="00010233"/>
    <w:rsid w:val="00016102"/>
    <w:rsid w:val="00021EC9"/>
    <w:rsid w:val="00024869"/>
    <w:rsid w:val="00031F54"/>
    <w:rsid w:val="00032B1B"/>
    <w:rsid w:val="000331FB"/>
    <w:rsid w:val="0003321D"/>
    <w:rsid w:val="00033A4D"/>
    <w:rsid w:val="0003456C"/>
    <w:rsid w:val="00034EF8"/>
    <w:rsid w:val="00037A67"/>
    <w:rsid w:val="00037B9A"/>
    <w:rsid w:val="00043930"/>
    <w:rsid w:val="0004468B"/>
    <w:rsid w:val="0004776D"/>
    <w:rsid w:val="00051087"/>
    <w:rsid w:val="00061536"/>
    <w:rsid w:val="000627CB"/>
    <w:rsid w:val="00063B2F"/>
    <w:rsid w:val="00063B6D"/>
    <w:rsid w:val="000664DE"/>
    <w:rsid w:val="00066A06"/>
    <w:rsid w:val="00067DCA"/>
    <w:rsid w:val="00070450"/>
    <w:rsid w:val="00070C21"/>
    <w:rsid w:val="00081B92"/>
    <w:rsid w:val="0009698B"/>
    <w:rsid w:val="000A0793"/>
    <w:rsid w:val="000A1DE0"/>
    <w:rsid w:val="000A3E10"/>
    <w:rsid w:val="000B07EF"/>
    <w:rsid w:val="000B0ED1"/>
    <w:rsid w:val="000B28E7"/>
    <w:rsid w:val="000C0F57"/>
    <w:rsid w:val="000C2885"/>
    <w:rsid w:val="000C2ED6"/>
    <w:rsid w:val="000C31DC"/>
    <w:rsid w:val="000C56A6"/>
    <w:rsid w:val="000C724C"/>
    <w:rsid w:val="000C7A2F"/>
    <w:rsid w:val="000D39F3"/>
    <w:rsid w:val="000D44DD"/>
    <w:rsid w:val="000D6C34"/>
    <w:rsid w:val="000E139D"/>
    <w:rsid w:val="000E1953"/>
    <w:rsid w:val="000E3F9E"/>
    <w:rsid w:val="000E4211"/>
    <w:rsid w:val="000E4945"/>
    <w:rsid w:val="000E70A6"/>
    <w:rsid w:val="000F0C25"/>
    <w:rsid w:val="000F0CE1"/>
    <w:rsid w:val="000F5207"/>
    <w:rsid w:val="000F734B"/>
    <w:rsid w:val="001050BE"/>
    <w:rsid w:val="001058DD"/>
    <w:rsid w:val="00105942"/>
    <w:rsid w:val="00105EE7"/>
    <w:rsid w:val="00106069"/>
    <w:rsid w:val="0011100E"/>
    <w:rsid w:val="00116A27"/>
    <w:rsid w:val="0011798C"/>
    <w:rsid w:val="00117B52"/>
    <w:rsid w:val="001228D3"/>
    <w:rsid w:val="00123CCA"/>
    <w:rsid w:val="00125C9C"/>
    <w:rsid w:val="00131A3D"/>
    <w:rsid w:val="00132320"/>
    <w:rsid w:val="001333D6"/>
    <w:rsid w:val="0014281C"/>
    <w:rsid w:val="0014439D"/>
    <w:rsid w:val="0015076C"/>
    <w:rsid w:val="00152B1C"/>
    <w:rsid w:val="0015546D"/>
    <w:rsid w:val="00156F41"/>
    <w:rsid w:val="001575CD"/>
    <w:rsid w:val="0017037B"/>
    <w:rsid w:val="0017145D"/>
    <w:rsid w:val="00174521"/>
    <w:rsid w:val="001760B3"/>
    <w:rsid w:val="00181133"/>
    <w:rsid w:val="00181F93"/>
    <w:rsid w:val="00183990"/>
    <w:rsid w:val="00184328"/>
    <w:rsid w:val="001863C0"/>
    <w:rsid w:val="0019302D"/>
    <w:rsid w:val="00193A7C"/>
    <w:rsid w:val="00195340"/>
    <w:rsid w:val="00197364"/>
    <w:rsid w:val="001975E0"/>
    <w:rsid w:val="00197E0F"/>
    <w:rsid w:val="00197E9A"/>
    <w:rsid w:val="001A203F"/>
    <w:rsid w:val="001A37EE"/>
    <w:rsid w:val="001A5329"/>
    <w:rsid w:val="001A5AD0"/>
    <w:rsid w:val="001B1F18"/>
    <w:rsid w:val="001B22B5"/>
    <w:rsid w:val="001B75CF"/>
    <w:rsid w:val="001B76C2"/>
    <w:rsid w:val="001C003D"/>
    <w:rsid w:val="001C1D0F"/>
    <w:rsid w:val="001C2F56"/>
    <w:rsid w:val="001D2018"/>
    <w:rsid w:val="001D7B61"/>
    <w:rsid w:val="001D7EFD"/>
    <w:rsid w:val="001E13D9"/>
    <w:rsid w:val="001E1EFC"/>
    <w:rsid w:val="001E2E8C"/>
    <w:rsid w:val="001E5D14"/>
    <w:rsid w:val="001F1127"/>
    <w:rsid w:val="001F21A1"/>
    <w:rsid w:val="001F2CE6"/>
    <w:rsid w:val="001F4F32"/>
    <w:rsid w:val="002000A2"/>
    <w:rsid w:val="002034A5"/>
    <w:rsid w:val="0020388C"/>
    <w:rsid w:val="002049AE"/>
    <w:rsid w:val="00206076"/>
    <w:rsid w:val="00206EF1"/>
    <w:rsid w:val="00207FBE"/>
    <w:rsid w:val="0021349A"/>
    <w:rsid w:val="0021493D"/>
    <w:rsid w:val="00214BDB"/>
    <w:rsid w:val="0021640E"/>
    <w:rsid w:val="002179E9"/>
    <w:rsid w:val="00220738"/>
    <w:rsid w:val="002221DE"/>
    <w:rsid w:val="00226FB8"/>
    <w:rsid w:val="002301E2"/>
    <w:rsid w:val="0023068E"/>
    <w:rsid w:val="0023235C"/>
    <w:rsid w:val="002325EA"/>
    <w:rsid w:val="00232DDC"/>
    <w:rsid w:val="00233341"/>
    <w:rsid w:val="00255C31"/>
    <w:rsid w:val="002629F5"/>
    <w:rsid w:val="00263CBB"/>
    <w:rsid w:val="00265B78"/>
    <w:rsid w:val="002668EE"/>
    <w:rsid w:val="002724F8"/>
    <w:rsid w:val="002739E8"/>
    <w:rsid w:val="00283C7D"/>
    <w:rsid w:val="0028687E"/>
    <w:rsid w:val="00293A7B"/>
    <w:rsid w:val="002A227D"/>
    <w:rsid w:val="002A2D01"/>
    <w:rsid w:val="002A388D"/>
    <w:rsid w:val="002B6C58"/>
    <w:rsid w:val="002C00A7"/>
    <w:rsid w:val="002C284B"/>
    <w:rsid w:val="002C3812"/>
    <w:rsid w:val="002C443C"/>
    <w:rsid w:val="002C4D05"/>
    <w:rsid w:val="002C5A31"/>
    <w:rsid w:val="002D3B21"/>
    <w:rsid w:val="002D4170"/>
    <w:rsid w:val="002D6AFE"/>
    <w:rsid w:val="002E1639"/>
    <w:rsid w:val="002F1FD3"/>
    <w:rsid w:val="002F2C7C"/>
    <w:rsid w:val="002F5BC9"/>
    <w:rsid w:val="002F73BB"/>
    <w:rsid w:val="003035CC"/>
    <w:rsid w:val="00303658"/>
    <w:rsid w:val="00305CD0"/>
    <w:rsid w:val="00306110"/>
    <w:rsid w:val="00307071"/>
    <w:rsid w:val="00307A11"/>
    <w:rsid w:val="00307FE6"/>
    <w:rsid w:val="00311B28"/>
    <w:rsid w:val="003167AB"/>
    <w:rsid w:val="003202C3"/>
    <w:rsid w:val="00320B70"/>
    <w:rsid w:val="003218A1"/>
    <w:rsid w:val="0032313E"/>
    <w:rsid w:val="00325AD5"/>
    <w:rsid w:val="0032731A"/>
    <w:rsid w:val="0033086E"/>
    <w:rsid w:val="003316D8"/>
    <w:rsid w:val="00331A6E"/>
    <w:rsid w:val="00332332"/>
    <w:rsid w:val="003327D1"/>
    <w:rsid w:val="00332B08"/>
    <w:rsid w:val="00332FCF"/>
    <w:rsid w:val="00334E53"/>
    <w:rsid w:val="00340079"/>
    <w:rsid w:val="00340FC6"/>
    <w:rsid w:val="00341F67"/>
    <w:rsid w:val="00344DF0"/>
    <w:rsid w:val="003508DD"/>
    <w:rsid w:val="00350B53"/>
    <w:rsid w:val="00351CDA"/>
    <w:rsid w:val="00353A63"/>
    <w:rsid w:val="00354B08"/>
    <w:rsid w:val="0035569E"/>
    <w:rsid w:val="00355A26"/>
    <w:rsid w:val="00362D28"/>
    <w:rsid w:val="0036466B"/>
    <w:rsid w:val="003656CB"/>
    <w:rsid w:val="00367FD1"/>
    <w:rsid w:val="00375A3B"/>
    <w:rsid w:val="00377D23"/>
    <w:rsid w:val="00380D10"/>
    <w:rsid w:val="00380FA6"/>
    <w:rsid w:val="00382A51"/>
    <w:rsid w:val="00382D24"/>
    <w:rsid w:val="003904F8"/>
    <w:rsid w:val="003912E4"/>
    <w:rsid w:val="00396C20"/>
    <w:rsid w:val="00397487"/>
    <w:rsid w:val="003A5D20"/>
    <w:rsid w:val="003A72C2"/>
    <w:rsid w:val="003B42CB"/>
    <w:rsid w:val="003B4808"/>
    <w:rsid w:val="003B71F3"/>
    <w:rsid w:val="003C0384"/>
    <w:rsid w:val="003C513F"/>
    <w:rsid w:val="003C551D"/>
    <w:rsid w:val="003D03F4"/>
    <w:rsid w:val="003D3410"/>
    <w:rsid w:val="003D3F5E"/>
    <w:rsid w:val="003D7E2F"/>
    <w:rsid w:val="003E1E82"/>
    <w:rsid w:val="003E420D"/>
    <w:rsid w:val="003E4724"/>
    <w:rsid w:val="003E57F6"/>
    <w:rsid w:val="003E61C1"/>
    <w:rsid w:val="003E718B"/>
    <w:rsid w:val="00400E1B"/>
    <w:rsid w:val="00401080"/>
    <w:rsid w:val="0040476B"/>
    <w:rsid w:val="00411EEF"/>
    <w:rsid w:val="004207B6"/>
    <w:rsid w:val="004209E1"/>
    <w:rsid w:val="00427936"/>
    <w:rsid w:val="00432399"/>
    <w:rsid w:val="004335B8"/>
    <w:rsid w:val="00440B92"/>
    <w:rsid w:val="00440FDF"/>
    <w:rsid w:val="00441898"/>
    <w:rsid w:val="00442607"/>
    <w:rsid w:val="00443641"/>
    <w:rsid w:val="00444680"/>
    <w:rsid w:val="00447E05"/>
    <w:rsid w:val="00453DE0"/>
    <w:rsid w:val="00457001"/>
    <w:rsid w:val="00462229"/>
    <w:rsid w:val="004641F4"/>
    <w:rsid w:val="004707DE"/>
    <w:rsid w:val="00472387"/>
    <w:rsid w:val="00472BC7"/>
    <w:rsid w:val="00473F9E"/>
    <w:rsid w:val="00475D2E"/>
    <w:rsid w:val="004823D6"/>
    <w:rsid w:val="00484181"/>
    <w:rsid w:val="00485307"/>
    <w:rsid w:val="00492D25"/>
    <w:rsid w:val="0049428C"/>
    <w:rsid w:val="00494369"/>
    <w:rsid w:val="00494DAE"/>
    <w:rsid w:val="00495062"/>
    <w:rsid w:val="00495865"/>
    <w:rsid w:val="00495B8C"/>
    <w:rsid w:val="004A035D"/>
    <w:rsid w:val="004A156A"/>
    <w:rsid w:val="004A2200"/>
    <w:rsid w:val="004A2F75"/>
    <w:rsid w:val="004A44EC"/>
    <w:rsid w:val="004A4F95"/>
    <w:rsid w:val="004A54A2"/>
    <w:rsid w:val="004A5718"/>
    <w:rsid w:val="004A72E6"/>
    <w:rsid w:val="004B557C"/>
    <w:rsid w:val="004B7345"/>
    <w:rsid w:val="004C2E94"/>
    <w:rsid w:val="004D26FE"/>
    <w:rsid w:val="004D4370"/>
    <w:rsid w:val="004D55C1"/>
    <w:rsid w:val="004E1E78"/>
    <w:rsid w:val="004E5047"/>
    <w:rsid w:val="004E7033"/>
    <w:rsid w:val="004E7405"/>
    <w:rsid w:val="004E79F3"/>
    <w:rsid w:val="004F0CEF"/>
    <w:rsid w:val="004F2B93"/>
    <w:rsid w:val="004F65BA"/>
    <w:rsid w:val="00500F7C"/>
    <w:rsid w:val="0050292D"/>
    <w:rsid w:val="00506D27"/>
    <w:rsid w:val="00507F0B"/>
    <w:rsid w:val="005103D6"/>
    <w:rsid w:val="00512260"/>
    <w:rsid w:val="00515EB2"/>
    <w:rsid w:val="00517882"/>
    <w:rsid w:val="005234E4"/>
    <w:rsid w:val="00532DD8"/>
    <w:rsid w:val="00533DB0"/>
    <w:rsid w:val="005343DF"/>
    <w:rsid w:val="00535827"/>
    <w:rsid w:val="005360A2"/>
    <w:rsid w:val="0054110A"/>
    <w:rsid w:val="0054112E"/>
    <w:rsid w:val="00546A6B"/>
    <w:rsid w:val="005577C8"/>
    <w:rsid w:val="0056166B"/>
    <w:rsid w:val="0056213B"/>
    <w:rsid w:val="0056394F"/>
    <w:rsid w:val="00563A12"/>
    <w:rsid w:val="00564E7F"/>
    <w:rsid w:val="00566ACE"/>
    <w:rsid w:val="00567A49"/>
    <w:rsid w:val="00570DC1"/>
    <w:rsid w:val="00573E0E"/>
    <w:rsid w:val="005761FC"/>
    <w:rsid w:val="00576448"/>
    <w:rsid w:val="00576A85"/>
    <w:rsid w:val="0058074B"/>
    <w:rsid w:val="0058534B"/>
    <w:rsid w:val="00591A7F"/>
    <w:rsid w:val="00595167"/>
    <w:rsid w:val="005A3BBA"/>
    <w:rsid w:val="005B59AE"/>
    <w:rsid w:val="005B5D20"/>
    <w:rsid w:val="005C1F4C"/>
    <w:rsid w:val="005C2827"/>
    <w:rsid w:val="005C4E18"/>
    <w:rsid w:val="005D01A1"/>
    <w:rsid w:val="005D5F93"/>
    <w:rsid w:val="005D796B"/>
    <w:rsid w:val="005E22E5"/>
    <w:rsid w:val="005E5C39"/>
    <w:rsid w:val="005E7975"/>
    <w:rsid w:val="005F1AA3"/>
    <w:rsid w:val="00600807"/>
    <w:rsid w:val="00601798"/>
    <w:rsid w:val="00601A24"/>
    <w:rsid w:val="00601A44"/>
    <w:rsid w:val="0060410A"/>
    <w:rsid w:val="00605B99"/>
    <w:rsid w:val="00605CD2"/>
    <w:rsid w:val="00610BF0"/>
    <w:rsid w:val="0061469B"/>
    <w:rsid w:val="006222AD"/>
    <w:rsid w:val="00622690"/>
    <w:rsid w:val="00623A57"/>
    <w:rsid w:val="00623E3C"/>
    <w:rsid w:val="00632C93"/>
    <w:rsid w:val="006330D1"/>
    <w:rsid w:val="0063626E"/>
    <w:rsid w:val="006451C7"/>
    <w:rsid w:val="00646E61"/>
    <w:rsid w:val="0064753F"/>
    <w:rsid w:val="00652521"/>
    <w:rsid w:val="0065496A"/>
    <w:rsid w:val="00655034"/>
    <w:rsid w:val="00660818"/>
    <w:rsid w:val="00661998"/>
    <w:rsid w:val="00661D8D"/>
    <w:rsid w:val="0066215C"/>
    <w:rsid w:val="006623D3"/>
    <w:rsid w:val="00671068"/>
    <w:rsid w:val="006718D1"/>
    <w:rsid w:val="006745FE"/>
    <w:rsid w:val="00675B38"/>
    <w:rsid w:val="006814A7"/>
    <w:rsid w:val="00681CCC"/>
    <w:rsid w:val="006841E2"/>
    <w:rsid w:val="00684498"/>
    <w:rsid w:val="00685FEF"/>
    <w:rsid w:val="006879C8"/>
    <w:rsid w:val="00691E99"/>
    <w:rsid w:val="00691EF8"/>
    <w:rsid w:val="00693249"/>
    <w:rsid w:val="00696777"/>
    <w:rsid w:val="006971B4"/>
    <w:rsid w:val="006A4DC9"/>
    <w:rsid w:val="006A6F79"/>
    <w:rsid w:val="006B21D5"/>
    <w:rsid w:val="006B21F4"/>
    <w:rsid w:val="006B3896"/>
    <w:rsid w:val="006B6D7A"/>
    <w:rsid w:val="006C2545"/>
    <w:rsid w:val="006C2558"/>
    <w:rsid w:val="006C2B74"/>
    <w:rsid w:val="006C4BFC"/>
    <w:rsid w:val="006C7DBA"/>
    <w:rsid w:val="006D1506"/>
    <w:rsid w:val="006D36D7"/>
    <w:rsid w:val="006D47C7"/>
    <w:rsid w:val="006D7215"/>
    <w:rsid w:val="006D7B3B"/>
    <w:rsid w:val="006E2DAA"/>
    <w:rsid w:val="006E583D"/>
    <w:rsid w:val="006E7B4A"/>
    <w:rsid w:val="006F1D5A"/>
    <w:rsid w:val="006F4145"/>
    <w:rsid w:val="006F49FD"/>
    <w:rsid w:val="00700951"/>
    <w:rsid w:val="00703A8B"/>
    <w:rsid w:val="007054A7"/>
    <w:rsid w:val="00705D13"/>
    <w:rsid w:val="00707F27"/>
    <w:rsid w:val="00710B3C"/>
    <w:rsid w:val="007110BB"/>
    <w:rsid w:val="00711E17"/>
    <w:rsid w:val="00716CC1"/>
    <w:rsid w:val="00721C3B"/>
    <w:rsid w:val="00723042"/>
    <w:rsid w:val="00724426"/>
    <w:rsid w:val="00731A8F"/>
    <w:rsid w:val="007352EB"/>
    <w:rsid w:val="007410D7"/>
    <w:rsid w:val="00742E88"/>
    <w:rsid w:val="0075023F"/>
    <w:rsid w:val="00753F3F"/>
    <w:rsid w:val="007556BB"/>
    <w:rsid w:val="00761283"/>
    <w:rsid w:val="00770178"/>
    <w:rsid w:val="00772356"/>
    <w:rsid w:val="0077333E"/>
    <w:rsid w:val="00773572"/>
    <w:rsid w:val="007737BA"/>
    <w:rsid w:val="00774472"/>
    <w:rsid w:val="0077459C"/>
    <w:rsid w:val="00774951"/>
    <w:rsid w:val="007749F7"/>
    <w:rsid w:val="00777E19"/>
    <w:rsid w:val="007814B3"/>
    <w:rsid w:val="00782631"/>
    <w:rsid w:val="007835D9"/>
    <w:rsid w:val="00786EAD"/>
    <w:rsid w:val="0078702E"/>
    <w:rsid w:val="007873B4"/>
    <w:rsid w:val="0078759A"/>
    <w:rsid w:val="00790812"/>
    <w:rsid w:val="00790FFB"/>
    <w:rsid w:val="00792195"/>
    <w:rsid w:val="00792BC5"/>
    <w:rsid w:val="00796102"/>
    <w:rsid w:val="007A0931"/>
    <w:rsid w:val="007A113F"/>
    <w:rsid w:val="007A30F5"/>
    <w:rsid w:val="007A32A9"/>
    <w:rsid w:val="007A6024"/>
    <w:rsid w:val="007A6B98"/>
    <w:rsid w:val="007A716B"/>
    <w:rsid w:val="007B0BEA"/>
    <w:rsid w:val="007B1F2A"/>
    <w:rsid w:val="007B228B"/>
    <w:rsid w:val="007B43DD"/>
    <w:rsid w:val="007B4B1B"/>
    <w:rsid w:val="007C0BBF"/>
    <w:rsid w:val="007C27F4"/>
    <w:rsid w:val="007C3C6E"/>
    <w:rsid w:val="007D34EF"/>
    <w:rsid w:val="007D59E7"/>
    <w:rsid w:val="007F05D4"/>
    <w:rsid w:val="007F0695"/>
    <w:rsid w:val="007F0D17"/>
    <w:rsid w:val="007F0E69"/>
    <w:rsid w:val="007F25B5"/>
    <w:rsid w:val="007F633F"/>
    <w:rsid w:val="0080066A"/>
    <w:rsid w:val="008014A4"/>
    <w:rsid w:val="0080634E"/>
    <w:rsid w:val="0080680F"/>
    <w:rsid w:val="0081087B"/>
    <w:rsid w:val="00814C83"/>
    <w:rsid w:val="00820464"/>
    <w:rsid w:val="00822F05"/>
    <w:rsid w:val="008318C7"/>
    <w:rsid w:val="00834F0D"/>
    <w:rsid w:val="0083720C"/>
    <w:rsid w:val="00840109"/>
    <w:rsid w:val="008418A7"/>
    <w:rsid w:val="00841AA8"/>
    <w:rsid w:val="00842248"/>
    <w:rsid w:val="00842DEF"/>
    <w:rsid w:val="00844EC8"/>
    <w:rsid w:val="00846496"/>
    <w:rsid w:val="008541FD"/>
    <w:rsid w:val="008558EE"/>
    <w:rsid w:val="00856ED7"/>
    <w:rsid w:val="00857849"/>
    <w:rsid w:val="00864160"/>
    <w:rsid w:val="00864E6A"/>
    <w:rsid w:val="00866168"/>
    <w:rsid w:val="00866BB2"/>
    <w:rsid w:val="0087211B"/>
    <w:rsid w:val="00872A17"/>
    <w:rsid w:val="00872EF8"/>
    <w:rsid w:val="00875843"/>
    <w:rsid w:val="00895335"/>
    <w:rsid w:val="00897B86"/>
    <w:rsid w:val="008A2BB5"/>
    <w:rsid w:val="008A3910"/>
    <w:rsid w:val="008B1B25"/>
    <w:rsid w:val="008B1C99"/>
    <w:rsid w:val="008B31F4"/>
    <w:rsid w:val="008B38A1"/>
    <w:rsid w:val="008B4C84"/>
    <w:rsid w:val="008B57E4"/>
    <w:rsid w:val="008B5B92"/>
    <w:rsid w:val="008B6942"/>
    <w:rsid w:val="008B7417"/>
    <w:rsid w:val="008C199A"/>
    <w:rsid w:val="008C2E71"/>
    <w:rsid w:val="008C4BF4"/>
    <w:rsid w:val="008C7241"/>
    <w:rsid w:val="008D006B"/>
    <w:rsid w:val="008D3CC8"/>
    <w:rsid w:val="008D5DE1"/>
    <w:rsid w:val="008D64E9"/>
    <w:rsid w:val="008D7257"/>
    <w:rsid w:val="008E13DF"/>
    <w:rsid w:val="008E484E"/>
    <w:rsid w:val="008F0067"/>
    <w:rsid w:val="008F5F9B"/>
    <w:rsid w:val="008F64A7"/>
    <w:rsid w:val="008F7556"/>
    <w:rsid w:val="008F79C3"/>
    <w:rsid w:val="0090238A"/>
    <w:rsid w:val="00902966"/>
    <w:rsid w:val="00905A3F"/>
    <w:rsid w:val="009104B6"/>
    <w:rsid w:val="00911A5F"/>
    <w:rsid w:val="009128D0"/>
    <w:rsid w:val="00915063"/>
    <w:rsid w:val="00915D29"/>
    <w:rsid w:val="0091714C"/>
    <w:rsid w:val="009224B1"/>
    <w:rsid w:val="009234EC"/>
    <w:rsid w:val="009272C8"/>
    <w:rsid w:val="0092792F"/>
    <w:rsid w:val="00931EC5"/>
    <w:rsid w:val="0093268C"/>
    <w:rsid w:val="009338E4"/>
    <w:rsid w:val="0093601D"/>
    <w:rsid w:val="00936CE0"/>
    <w:rsid w:val="00943B7B"/>
    <w:rsid w:val="00946787"/>
    <w:rsid w:val="00951521"/>
    <w:rsid w:val="009515BA"/>
    <w:rsid w:val="00953D15"/>
    <w:rsid w:val="00957B4E"/>
    <w:rsid w:val="009623BB"/>
    <w:rsid w:val="009663A8"/>
    <w:rsid w:val="0097275D"/>
    <w:rsid w:val="0097589F"/>
    <w:rsid w:val="009802FF"/>
    <w:rsid w:val="00982C7C"/>
    <w:rsid w:val="00985AF4"/>
    <w:rsid w:val="00990975"/>
    <w:rsid w:val="009923BF"/>
    <w:rsid w:val="00992860"/>
    <w:rsid w:val="00994191"/>
    <w:rsid w:val="009946FB"/>
    <w:rsid w:val="009948F5"/>
    <w:rsid w:val="00995C5C"/>
    <w:rsid w:val="00996BF1"/>
    <w:rsid w:val="009A0538"/>
    <w:rsid w:val="009A36DA"/>
    <w:rsid w:val="009A3BBB"/>
    <w:rsid w:val="009A4F29"/>
    <w:rsid w:val="009A552D"/>
    <w:rsid w:val="009B02AE"/>
    <w:rsid w:val="009B3FA3"/>
    <w:rsid w:val="009C1D2E"/>
    <w:rsid w:val="009C3902"/>
    <w:rsid w:val="009C4714"/>
    <w:rsid w:val="009D3E77"/>
    <w:rsid w:val="009E7D20"/>
    <w:rsid w:val="009F409B"/>
    <w:rsid w:val="009F7308"/>
    <w:rsid w:val="00A02348"/>
    <w:rsid w:val="00A030C3"/>
    <w:rsid w:val="00A03A4C"/>
    <w:rsid w:val="00A1659D"/>
    <w:rsid w:val="00A20DE3"/>
    <w:rsid w:val="00A230A9"/>
    <w:rsid w:val="00A245D4"/>
    <w:rsid w:val="00A2539F"/>
    <w:rsid w:val="00A2572F"/>
    <w:rsid w:val="00A25D1F"/>
    <w:rsid w:val="00A31191"/>
    <w:rsid w:val="00A31B6F"/>
    <w:rsid w:val="00A3728F"/>
    <w:rsid w:val="00A4028B"/>
    <w:rsid w:val="00A50DF0"/>
    <w:rsid w:val="00A60BD8"/>
    <w:rsid w:val="00A6174E"/>
    <w:rsid w:val="00A65484"/>
    <w:rsid w:val="00A657AB"/>
    <w:rsid w:val="00A65D39"/>
    <w:rsid w:val="00A72ED9"/>
    <w:rsid w:val="00A74948"/>
    <w:rsid w:val="00A7606F"/>
    <w:rsid w:val="00A76546"/>
    <w:rsid w:val="00A76740"/>
    <w:rsid w:val="00A80B3A"/>
    <w:rsid w:val="00A80ED8"/>
    <w:rsid w:val="00A81DD3"/>
    <w:rsid w:val="00A8342A"/>
    <w:rsid w:val="00A865FA"/>
    <w:rsid w:val="00A914C1"/>
    <w:rsid w:val="00A91736"/>
    <w:rsid w:val="00A95B81"/>
    <w:rsid w:val="00A971D2"/>
    <w:rsid w:val="00AA3BCE"/>
    <w:rsid w:val="00AA718B"/>
    <w:rsid w:val="00AB03DA"/>
    <w:rsid w:val="00AB28FC"/>
    <w:rsid w:val="00AB2AA9"/>
    <w:rsid w:val="00AC0E2A"/>
    <w:rsid w:val="00AC33BD"/>
    <w:rsid w:val="00AC3A68"/>
    <w:rsid w:val="00AC4358"/>
    <w:rsid w:val="00AC47B4"/>
    <w:rsid w:val="00AC4D12"/>
    <w:rsid w:val="00AC63CC"/>
    <w:rsid w:val="00AC6EE4"/>
    <w:rsid w:val="00AD0F0B"/>
    <w:rsid w:val="00AD112B"/>
    <w:rsid w:val="00AD16D8"/>
    <w:rsid w:val="00AD2FF4"/>
    <w:rsid w:val="00AD3423"/>
    <w:rsid w:val="00AE1DDB"/>
    <w:rsid w:val="00AE36A6"/>
    <w:rsid w:val="00AE5574"/>
    <w:rsid w:val="00AF0E31"/>
    <w:rsid w:val="00AF123A"/>
    <w:rsid w:val="00AF3758"/>
    <w:rsid w:val="00AF587A"/>
    <w:rsid w:val="00AF7773"/>
    <w:rsid w:val="00AF7DA3"/>
    <w:rsid w:val="00B01750"/>
    <w:rsid w:val="00B02ABC"/>
    <w:rsid w:val="00B03587"/>
    <w:rsid w:val="00B101EA"/>
    <w:rsid w:val="00B10D2B"/>
    <w:rsid w:val="00B111EF"/>
    <w:rsid w:val="00B1253D"/>
    <w:rsid w:val="00B15113"/>
    <w:rsid w:val="00B157C3"/>
    <w:rsid w:val="00B17062"/>
    <w:rsid w:val="00B22A1A"/>
    <w:rsid w:val="00B264C1"/>
    <w:rsid w:val="00B26539"/>
    <w:rsid w:val="00B27002"/>
    <w:rsid w:val="00B32AA0"/>
    <w:rsid w:val="00B33FAB"/>
    <w:rsid w:val="00B341A7"/>
    <w:rsid w:val="00B350CD"/>
    <w:rsid w:val="00B36041"/>
    <w:rsid w:val="00B37EE4"/>
    <w:rsid w:val="00B46673"/>
    <w:rsid w:val="00B46D5A"/>
    <w:rsid w:val="00B50DE2"/>
    <w:rsid w:val="00B51BED"/>
    <w:rsid w:val="00B52891"/>
    <w:rsid w:val="00B53DFE"/>
    <w:rsid w:val="00B60301"/>
    <w:rsid w:val="00B63390"/>
    <w:rsid w:val="00B72375"/>
    <w:rsid w:val="00B8048E"/>
    <w:rsid w:val="00B82A5B"/>
    <w:rsid w:val="00B83640"/>
    <w:rsid w:val="00B862E3"/>
    <w:rsid w:val="00B873B8"/>
    <w:rsid w:val="00B905FD"/>
    <w:rsid w:val="00B93481"/>
    <w:rsid w:val="00B93540"/>
    <w:rsid w:val="00B975CF"/>
    <w:rsid w:val="00BA18A0"/>
    <w:rsid w:val="00BA691A"/>
    <w:rsid w:val="00BA6D31"/>
    <w:rsid w:val="00BB6BA4"/>
    <w:rsid w:val="00BB7A15"/>
    <w:rsid w:val="00BC48CE"/>
    <w:rsid w:val="00BC5C88"/>
    <w:rsid w:val="00BE17AA"/>
    <w:rsid w:val="00BE4436"/>
    <w:rsid w:val="00BE4F93"/>
    <w:rsid w:val="00BE5341"/>
    <w:rsid w:val="00BE546D"/>
    <w:rsid w:val="00BE5857"/>
    <w:rsid w:val="00BE7D0E"/>
    <w:rsid w:val="00BF16FE"/>
    <w:rsid w:val="00C009E9"/>
    <w:rsid w:val="00C03255"/>
    <w:rsid w:val="00C03DAA"/>
    <w:rsid w:val="00C044FF"/>
    <w:rsid w:val="00C1561A"/>
    <w:rsid w:val="00C175FE"/>
    <w:rsid w:val="00C202D9"/>
    <w:rsid w:val="00C238A0"/>
    <w:rsid w:val="00C25FEC"/>
    <w:rsid w:val="00C308F6"/>
    <w:rsid w:val="00C33A3A"/>
    <w:rsid w:val="00C368BB"/>
    <w:rsid w:val="00C36A76"/>
    <w:rsid w:val="00C409A3"/>
    <w:rsid w:val="00C42AEC"/>
    <w:rsid w:val="00C4466D"/>
    <w:rsid w:val="00C45506"/>
    <w:rsid w:val="00C45FFD"/>
    <w:rsid w:val="00C47C2E"/>
    <w:rsid w:val="00C500C9"/>
    <w:rsid w:val="00C54AA7"/>
    <w:rsid w:val="00C54C30"/>
    <w:rsid w:val="00C600F8"/>
    <w:rsid w:val="00C6077E"/>
    <w:rsid w:val="00C61D30"/>
    <w:rsid w:val="00C62337"/>
    <w:rsid w:val="00C62386"/>
    <w:rsid w:val="00C630FB"/>
    <w:rsid w:val="00C67CD2"/>
    <w:rsid w:val="00C70F4B"/>
    <w:rsid w:val="00C73809"/>
    <w:rsid w:val="00C758EB"/>
    <w:rsid w:val="00C90C16"/>
    <w:rsid w:val="00C943DD"/>
    <w:rsid w:val="00C96726"/>
    <w:rsid w:val="00C97214"/>
    <w:rsid w:val="00C9744A"/>
    <w:rsid w:val="00C97552"/>
    <w:rsid w:val="00CA24F1"/>
    <w:rsid w:val="00CA2656"/>
    <w:rsid w:val="00CB0D6B"/>
    <w:rsid w:val="00CB1149"/>
    <w:rsid w:val="00CB688E"/>
    <w:rsid w:val="00CC5326"/>
    <w:rsid w:val="00CD405A"/>
    <w:rsid w:val="00CE1598"/>
    <w:rsid w:val="00CE2518"/>
    <w:rsid w:val="00CE63AE"/>
    <w:rsid w:val="00CE6D8F"/>
    <w:rsid w:val="00CE75F7"/>
    <w:rsid w:val="00CF16DE"/>
    <w:rsid w:val="00CF3FD2"/>
    <w:rsid w:val="00D01AF0"/>
    <w:rsid w:val="00D0203B"/>
    <w:rsid w:val="00D04E77"/>
    <w:rsid w:val="00D05DE0"/>
    <w:rsid w:val="00D0696F"/>
    <w:rsid w:val="00D10FD0"/>
    <w:rsid w:val="00D112A6"/>
    <w:rsid w:val="00D13A98"/>
    <w:rsid w:val="00D210F6"/>
    <w:rsid w:val="00D21770"/>
    <w:rsid w:val="00D227D4"/>
    <w:rsid w:val="00D22B3C"/>
    <w:rsid w:val="00D22DD4"/>
    <w:rsid w:val="00D23B53"/>
    <w:rsid w:val="00D24C10"/>
    <w:rsid w:val="00D262CC"/>
    <w:rsid w:val="00D317DD"/>
    <w:rsid w:val="00D35058"/>
    <w:rsid w:val="00D43E08"/>
    <w:rsid w:val="00D44653"/>
    <w:rsid w:val="00D4537F"/>
    <w:rsid w:val="00D4625B"/>
    <w:rsid w:val="00D463B5"/>
    <w:rsid w:val="00D46EAB"/>
    <w:rsid w:val="00D50811"/>
    <w:rsid w:val="00D548EE"/>
    <w:rsid w:val="00D55512"/>
    <w:rsid w:val="00D55A5A"/>
    <w:rsid w:val="00D56280"/>
    <w:rsid w:val="00D570B0"/>
    <w:rsid w:val="00D62F59"/>
    <w:rsid w:val="00D67C55"/>
    <w:rsid w:val="00D67DAF"/>
    <w:rsid w:val="00D70DBC"/>
    <w:rsid w:val="00D7132E"/>
    <w:rsid w:val="00D760C2"/>
    <w:rsid w:val="00D7754F"/>
    <w:rsid w:val="00D876F4"/>
    <w:rsid w:val="00D87DF1"/>
    <w:rsid w:val="00D925D0"/>
    <w:rsid w:val="00D96367"/>
    <w:rsid w:val="00DA1B76"/>
    <w:rsid w:val="00DA6193"/>
    <w:rsid w:val="00DA6E97"/>
    <w:rsid w:val="00DB74A6"/>
    <w:rsid w:val="00DC2EA1"/>
    <w:rsid w:val="00DC2ED5"/>
    <w:rsid w:val="00DC3BAE"/>
    <w:rsid w:val="00DC5803"/>
    <w:rsid w:val="00DD127A"/>
    <w:rsid w:val="00DD56EB"/>
    <w:rsid w:val="00DE34AB"/>
    <w:rsid w:val="00DE7567"/>
    <w:rsid w:val="00DF03C2"/>
    <w:rsid w:val="00DF3AE0"/>
    <w:rsid w:val="00DF3CD7"/>
    <w:rsid w:val="00E00478"/>
    <w:rsid w:val="00E004AF"/>
    <w:rsid w:val="00E04CE6"/>
    <w:rsid w:val="00E05F44"/>
    <w:rsid w:val="00E06509"/>
    <w:rsid w:val="00E117E5"/>
    <w:rsid w:val="00E126BF"/>
    <w:rsid w:val="00E14C9B"/>
    <w:rsid w:val="00E17115"/>
    <w:rsid w:val="00E20A4B"/>
    <w:rsid w:val="00E21E83"/>
    <w:rsid w:val="00E24506"/>
    <w:rsid w:val="00E24D3E"/>
    <w:rsid w:val="00E343F1"/>
    <w:rsid w:val="00E343F4"/>
    <w:rsid w:val="00E4016C"/>
    <w:rsid w:val="00E409B6"/>
    <w:rsid w:val="00E41F46"/>
    <w:rsid w:val="00E42456"/>
    <w:rsid w:val="00E42DBA"/>
    <w:rsid w:val="00E452CB"/>
    <w:rsid w:val="00E458A4"/>
    <w:rsid w:val="00E4725A"/>
    <w:rsid w:val="00E5221A"/>
    <w:rsid w:val="00E52E30"/>
    <w:rsid w:val="00E530A9"/>
    <w:rsid w:val="00E5515B"/>
    <w:rsid w:val="00E60D29"/>
    <w:rsid w:val="00E625B7"/>
    <w:rsid w:val="00E6451E"/>
    <w:rsid w:val="00E75B85"/>
    <w:rsid w:val="00E81F71"/>
    <w:rsid w:val="00E82B21"/>
    <w:rsid w:val="00E82C69"/>
    <w:rsid w:val="00E87985"/>
    <w:rsid w:val="00E9088D"/>
    <w:rsid w:val="00E90E1F"/>
    <w:rsid w:val="00E914A1"/>
    <w:rsid w:val="00E96DC0"/>
    <w:rsid w:val="00EA0BDA"/>
    <w:rsid w:val="00EA0EE0"/>
    <w:rsid w:val="00EA1C2E"/>
    <w:rsid w:val="00EA3B4C"/>
    <w:rsid w:val="00EA4B13"/>
    <w:rsid w:val="00EC15F0"/>
    <w:rsid w:val="00EC1C70"/>
    <w:rsid w:val="00EC626A"/>
    <w:rsid w:val="00EC6BEC"/>
    <w:rsid w:val="00ED0583"/>
    <w:rsid w:val="00ED3494"/>
    <w:rsid w:val="00EE1BF9"/>
    <w:rsid w:val="00EE1CF9"/>
    <w:rsid w:val="00EE41E1"/>
    <w:rsid w:val="00EE561D"/>
    <w:rsid w:val="00EE7156"/>
    <w:rsid w:val="00EE7941"/>
    <w:rsid w:val="00EF2E17"/>
    <w:rsid w:val="00EF3C46"/>
    <w:rsid w:val="00EF76AE"/>
    <w:rsid w:val="00F00A56"/>
    <w:rsid w:val="00F01D18"/>
    <w:rsid w:val="00F03C07"/>
    <w:rsid w:val="00F04226"/>
    <w:rsid w:val="00F04297"/>
    <w:rsid w:val="00F068F5"/>
    <w:rsid w:val="00F07700"/>
    <w:rsid w:val="00F11B8E"/>
    <w:rsid w:val="00F121AE"/>
    <w:rsid w:val="00F12E4C"/>
    <w:rsid w:val="00F13161"/>
    <w:rsid w:val="00F213B7"/>
    <w:rsid w:val="00F240F2"/>
    <w:rsid w:val="00F25874"/>
    <w:rsid w:val="00F33EE6"/>
    <w:rsid w:val="00F342C3"/>
    <w:rsid w:val="00F40BA5"/>
    <w:rsid w:val="00F43DA9"/>
    <w:rsid w:val="00F55491"/>
    <w:rsid w:val="00F55965"/>
    <w:rsid w:val="00F5597A"/>
    <w:rsid w:val="00F57F4E"/>
    <w:rsid w:val="00F6017E"/>
    <w:rsid w:val="00F609A0"/>
    <w:rsid w:val="00F63CF2"/>
    <w:rsid w:val="00F72EAD"/>
    <w:rsid w:val="00F7314E"/>
    <w:rsid w:val="00F734D8"/>
    <w:rsid w:val="00F75B35"/>
    <w:rsid w:val="00F7766B"/>
    <w:rsid w:val="00F8027D"/>
    <w:rsid w:val="00F83D5B"/>
    <w:rsid w:val="00F846F4"/>
    <w:rsid w:val="00F8544E"/>
    <w:rsid w:val="00F8635D"/>
    <w:rsid w:val="00F8663D"/>
    <w:rsid w:val="00F86E8A"/>
    <w:rsid w:val="00F9107F"/>
    <w:rsid w:val="00F91656"/>
    <w:rsid w:val="00F9274E"/>
    <w:rsid w:val="00F93CB9"/>
    <w:rsid w:val="00F95F40"/>
    <w:rsid w:val="00FA4D96"/>
    <w:rsid w:val="00FA5E84"/>
    <w:rsid w:val="00FA7B55"/>
    <w:rsid w:val="00FB25A6"/>
    <w:rsid w:val="00FB369F"/>
    <w:rsid w:val="00FB6142"/>
    <w:rsid w:val="00FB624A"/>
    <w:rsid w:val="00FB7CA5"/>
    <w:rsid w:val="00FC1A5E"/>
    <w:rsid w:val="00FC3E95"/>
    <w:rsid w:val="00FC5A62"/>
    <w:rsid w:val="00FC7C76"/>
    <w:rsid w:val="00FD167C"/>
    <w:rsid w:val="00FD4D33"/>
    <w:rsid w:val="00FD5B41"/>
    <w:rsid w:val="00FD709F"/>
    <w:rsid w:val="00FD76D4"/>
    <w:rsid w:val="00FE0AD4"/>
    <w:rsid w:val="00FE1B7D"/>
    <w:rsid w:val="00FE222C"/>
    <w:rsid w:val="00FE25F1"/>
    <w:rsid w:val="00FE4491"/>
    <w:rsid w:val="00FE4F6F"/>
    <w:rsid w:val="00FE58C7"/>
    <w:rsid w:val="00FE7647"/>
    <w:rsid w:val="00FF0DE0"/>
    <w:rsid w:val="00FF66AF"/>
    <w:rsid w:val="00FF7C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D8242B"/>
  <w15:docId w15:val="{2081A727-C624-6C49-88D2-4293762C5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32E"/>
    <w:pPr>
      <w:tabs>
        <w:tab w:val="center" w:pos="4680"/>
        <w:tab w:val="right" w:pos="9360"/>
      </w:tabs>
    </w:pPr>
  </w:style>
  <w:style w:type="character" w:customStyle="1" w:styleId="HeaderChar">
    <w:name w:val="Header Char"/>
    <w:basedOn w:val="DefaultParagraphFont"/>
    <w:link w:val="Header"/>
    <w:uiPriority w:val="99"/>
    <w:rsid w:val="00D7132E"/>
  </w:style>
  <w:style w:type="paragraph" w:styleId="Footer">
    <w:name w:val="footer"/>
    <w:basedOn w:val="Normal"/>
    <w:link w:val="FooterChar"/>
    <w:uiPriority w:val="99"/>
    <w:unhideWhenUsed/>
    <w:rsid w:val="00D7132E"/>
    <w:pPr>
      <w:tabs>
        <w:tab w:val="center" w:pos="4680"/>
        <w:tab w:val="right" w:pos="9360"/>
      </w:tabs>
    </w:pPr>
  </w:style>
  <w:style w:type="character" w:customStyle="1" w:styleId="FooterChar">
    <w:name w:val="Footer Char"/>
    <w:basedOn w:val="DefaultParagraphFont"/>
    <w:link w:val="Footer"/>
    <w:uiPriority w:val="99"/>
    <w:rsid w:val="00D7132E"/>
  </w:style>
  <w:style w:type="character" w:styleId="Hyperlink">
    <w:name w:val="Hyperlink"/>
    <w:basedOn w:val="DefaultParagraphFont"/>
    <w:uiPriority w:val="99"/>
    <w:unhideWhenUsed/>
    <w:rsid w:val="0087211B"/>
    <w:rPr>
      <w:color w:val="0563C1" w:themeColor="hyperlink"/>
      <w:u w:val="single"/>
    </w:rPr>
  </w:style>
  <w:style w:type="character" w:customStyle="1" w:styleId="UnresolvedMention1">
    <w:name w:val="Unresolved Mention1"/>
    <w:basedOn w:val="DefaultParagraphFont"/>
    <w:uiPriority w:val="99"/>
    <w:semiHidden/>
    <w:unhideWhenUsed/>
    <w:rsid w:val="0087211B"/>
    <w:rPr>
      <w:color w:val="605E5C"/>
      <w:shd w:val="clear" w:color="auto" w:fill="E1DFDD"/>
    </w:rPr>
  </w:style>
  <w:style w:type="paragraph" w:styleId="ListParagraph">
    <w:name w:val="List Paragraph"/>
    <w:basedOn w:val="Normal"/>
    <w:uiPriority w:val="34"/>
    <w:qFormat/>
    <w:rsid w:val="00761283"/>
    <w:pPr>
      <w:ind w:left="720"/>
      <w:contextualSpacing/>
    </w:pPr>
  </w:style>
  <w:style w:type="paragraph" w:styleId="FootnoteText">
    <w:name w:val="footnote text"/>
    <w:basedOn w:val="Normal"/>
    <w:link w:val="FootnoteTextChar"/>
    <w:uiPriority w:val="99"/>
    <w:unhideWhenUsed/>
    <w:rsid w:val="00D35058"/>
    <w:rPr>
      <w:sz w:val="20"/>
      <w:szCs w:val="20"/>
    </w:rPr>
  </w:style>
  <w:style w:type="character" w:customStyle="1" w:styleId="FootnoteTextChar">
    <w:name w:val="Footnote Text Char"/>
    <w:basedOn w:val="DefaultParagraphFont"/>
    <w:link w:val="FootnoteText"/>
    <w:uiPriority w:val="99"/>
    <w:rsid w:val="00D35058"/>
    <w:rPr>
      <w:sz w:val="20"/>
      <w:szCs w:val="20"/>
    </w:rPr>
  </w:style>
  <w:style w:type="character" w:styleId="FootnoteReference">
    <w:name w:val="footnote reference"/>
    <w:basedOn w:val="DefaultParagraphFont"/>
    <w:uiPriority w:val="99"/>
    <w:semiHidden/>
    <w:unhideWhenUsed/>
    <w:rsid w:val="00D35058"/>
    <w:rPr>
      <w:vertAlign w:val="superscript"/>
    </w:rPr>
  </w:style>
  <w:style w:type="character" w:customStyle="1" w:styleId="e24kjd">
    <w:name w:val="e24kjd"/>
    <w:basedOn w:val="DefaultParagraphFont"/>
    <w:rsid w:val="00C90C16"/>
  </w:style>
  <w:style w:type="character" w:styleId="FollowedHyperlink">
    <w:name w:val="FollowedHyperlink"/>
    <w:basedOn w:val="DefaultParagraphFont"/>
    <w:uiPriority w:val="99"/>
    <w:semiHidden/>
    <w:unhideWhenUsed/>
    <w:rsid w:val="00842DEF"/>
    <w:rPr>
      <w:color w:val="954F72" w:themeColor="followedHyperlink"/>
      <w:u w:val="single"/>
    </w:rPr>
  </w:style>
  <w:style w:type="character" w:styleId="CommentReference">
    <w:name w:val="annotation reference"/>
    <w:basedOn w:val="DefaultParagraphFont"/>
    <w:uiPriority w:val="99"/>
    <w:semiHidden/>
    <w:unhideWhenUsed/>
    <w:rsid w:val="005B5D20"/>
    <w:rPr>
      <w:sz w:val="16"/>
      <w:szCs w:val="16"/>
    </w:rPr>
  </w:style>
  <w:style w:type="paragraph" w:styleId="CommentText">
    <w:name w:val="annotation text"/>
    <w:basedOn w:val="Normal"/>
    <w:link w:val="CommentTextChar"/>
    <w:uiPriority w:val="99"/>
    <w:unhideWhenUsed/>
    <w:rsid w:val="005B5D20"/>
    <w:rPr>
      <w:sz w:val="20"/>
      <w:szCs w:val="20"/>
    </w:rPr>
  </w:style>
  <w:style w:type="character" w:customStyle="1" w:styleId="CommentTextChar">
    <w:name w:val="Comment Text Char"/>
    <w:basedOn w:val="DefaultParagraphFont"/>
    <w:link w:val="CommentText"/>
    <w:uiPriority w:val="99"/>
    <w:rsid w:val="005B5D20"/>
    <w:rPr>
      <w:sz w:val="20"/>
      <w:szCs w:val="20"/>
    </w:rPr>
  </w:style>
  <w:style w:type="paragraph" w:styleId="CommentSubject">
    <w:name w:val="annotation subject"/>
    <w:basedOn w:val="CommentText"/>
    <w:next w:val="CommentText"/>
    <w:link w:val="CommentSubjectChar"/>
    <w:uiPriority w:val="99"/>
    <w:semiHidden/>
    <w:unhideWhenUsed/>
    <w:rsid w:val="005B5D20"/>
    <w:rPr>
      <w:b/>
      <w:bCs/>
    </w:rPr>
  </w:style>
  <w:style w:type="character" w:customStyle="1" w:styleId="CommentSubjectChar">
    <w:name w:val="Comment Subject Char"/>
    <w:basedOn w:val="CommentTextChar"/>
    <w:link w:val="CommentSubject"/>
    <w:uiPriority w:val="99"/>
    <w:semiHidden/>
    <w:rsid w:val="005B5D20"/>
    <w:rPr>
      <w:b/>
      <w:bCs/>
      <w:sz w:val="20"/>
      <w:szCs w:val="20"/>
    </w:rPr>
  </w:style>
  <w:style w:type="paragraph" w:styleId="BalloonText">
    <w:name w:val="Balloon Text"/>
    <w:basedOn w:val="Normal"/>
    <w:link w:val="BalloonTextChar"/>
    <w:uiPriority w:val="99"/>
    <w:semiHidden/>
    <w:unhideWhenUsed/>
    <w:rsid w:val="005B5D2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B5D20"/>
    <w:rPr>
      <w:rFonts w:ascii="Times New Roman" w:hAnsi="Times New Roman" w:cs="Times New Roman"/>
      <w:sz w:val="18"/>
      <w:szCs w:val="18"/>
    </w:rPr>
  </w:style>
  <w:style w:type="character" w:styleId="PageNumber">
    <w:name w:val="page number"/>
    <w:basedOn w:val="DefaultParagraphFont"/>
    <w:uiPriority w:val="99"/>
    <w:semiHidden/>
    <w:unhideWhenUsed/>
    <w:rsid w:val="00C758EB"/>
  </w:style>
  <w:style w:type="character" w:customStyle="1" w:styleId="UnresolvedMention2">
    <w:name w:val="Unresolved Mention2"/>
    <w:basedOn w:val="DefaultParagraphFont"/>
    <w:uiPriority w:val="99"/>
    <w:semiHidden/>
    <w:unhideWhenUsed/>
    <w:rsid w:val="00E24D3E"/>
    <w:rPr>
      <w:color w:val="605E5C"/>
      <w:shd w:val="clear" w:color="auto" w:fill="E1DFDD"/>
    </w:rPr>
  </w:style>
  <w:style w:type="paragraph" w:styleId="EndnoteText">
    <w:name w:val="endnote text"/>
    <w:basedOn w:val="Normal"/>
    <w:link w:val="EndnoteTextChar"/>
    <w:uiPriority w:val="99"/>
    <w:semiHidden/>
    <w:unhideWhenUsed/>
    <w:rsid w:val="002E1639"/>
    <w:rPr>
      <w:sz w:val="20"/>
      <w:szCs w:val="20"/>
    </w:rPr>
  </w:style>
  <w:style w:type="character" w:customStyle="1" w:styleId="EndnoteTextChar">
    <w:name w:val="Endnote Text Char"/>
    <w:basedOn w:val="DefaultParagraphFont"/>
    <w:link w:val="EndnoteText"/>
    <w:uiPriority w:val="99"/>
    <w:semiHidden/>
    <w:rsid w:val="002E1639"/>
    <w:rPr>
      <w:sz w:val="20"/>
      <w:szCs w:val="20"/>
    </w:rPr>
  </w:style>
  <w:style w:type="character" w:styleId="EndnoteReference">
    <w:name w:val="endnote reference"/>
    <w:basedOn w:val="DefaultParagraphFont"/>
    <w:uiPriority w:val="99"/>
    <w:semiHidden/>
    <w:unhideWhenUsed/>
    <w:rsid w:val="002E1639"/>
    <w:rPr>
      <w:vertAlign w:val="superscript"/>
    </w:rPr>
  </w:style>
  <w:style w:type="paragraph" w:styleId="Revision">
    <w:name w:val="Revision"/>
    <w:hidden/>
    <w:uiPriority w:val="99"/>
    <w:semiHidden/>
    <w:rsid w:val="006B6D7A"/>
  </w:style>
  <w:style w:type="character" w:styleId="UnresolvedMention">
    <w:name w:val="Unresolved Mention"/>
    <w:basedOn w:val="DefaultParagraphFont"/>
    <w:uiPriority w:val="99"/>
    <w:semiHidden/>
    <w:unhideWhenUsed/>
    <w:rsid w:val="00105EE7"/>
    <w:rPr>
      <w:color w:val="605E5C"/>
      <w:shd w:val="clear" w:color="auto" w:fill="E1DFDD"/>
    </w:rPr>
  </w:style>
  <w:style w:type="character" w:customStyle="1" w:styleId="markedcontent">
    <w:name w:val="markedcontent"/>
    <w:basedOn w:val="DefaultParagraphFont"/>
    <w:rsid w:val="00213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5700">
      <w:bodyDiv w:val="1"/>
      <w:marLeft w:val="0"/>
      <w:marRight w:val="0"/>
      <w:marTop w:val="0"/>
      <w:marBottom w:val="0"/>
      <w:divBdr>
        <w:top w:val="none" w:sz="0" w:space="0" w:color="auto"/>
        <w:left w:val="none" w:sz="0" w:space="0" w:color="auto"/>
        <w:bottom w:val="none" w:sz="0" w:space="0" w:color="auto"/>
        <w:right w:val="none" w:sz="0" w:space="0" w:color="auto"/>
      </w:divBdr>
    </w:div>
    <w:div w:id="33847257">
      <w:bodyDiv w:val="1"/>
      <w:marLeft w:val="0"/>
      <w:marRight w:val="0"/>
      <w:marTop w:val="0"/>
      <w:marBottom w:val="0"/>
      <w:divBdr>
        <w:top w:val="none" w:sz="0" w:space="0" w:color="auto"/>
        <w:left w:val="none" w:sz="0" w:space="0" w:color="auto"/>
        <w:bottom w:val="none" w:sz="0" w:space="0" w:color="auto"/>
        <w:right w:val="none" w:sz="0" w:space="0" w:color="auto"/>
      </w:divBdr>
    </w:div>
    <w:div w:id="57017315">
      <w:bodyDiv w:val="1"/>
      <w:marLeft w:val="0"/>
      <w:marRight w:val="0"/>
      <w:marTop w:val="0"/>
      <w:marBottom w:val="0"/>
      <w:divBdr>
        <w:top w:val="none" w:sz="0" w:space="0" w:color="auto"/>
        <w:left w:val="none" w:sz="0" w:space="0" w:color="auto"/>
        <w:bottom w:val="none" w:sz="0" w:space="0" w:color="auto"/>
        <w:right w:val="none" w:sz="0" w:space="0" w:color="auto"/>
      </w:divBdr>
    </w:div>
    <w:div w:id="83454270">
      <w:bodyDiv w:val="1"/>
      <w:marLeft w:val="0"/>
      <w:marRight w:val="0"/>
      <w:marTop w:val="0"/>
      <w:marBottom w:val="0"/>
      <w:divBdr>
        <w:top w:val="none" w:sz="0" w:space="0" w:color="auto"/>
        <w:left w:val="none" w:sz="0" w:space="0" w:color="auto"/>
        <w:bottom w:val="none" w:sz="0" w:space="0" w:color="auto"/>
        <w:right w:val="none" w:sz="0" w:space="0" w:color="auto"/>
      </w:divBdr>
    </w:div>
    <w:div w:id="165218778">
      <w:bodyDiv w:val="1"/>
      <w:marLeft w:val="0"/>
      <w:marRight w:val="0"/>
      <w:marTop w:val="0"/>
      <w:marBottom w:val="0"/>
      <w:divBdr>
        <w:top w:val="none" w:sz="0" w:space="0" w:color="auto"/>
        <w:left w:val="none" w:sz="0" w:space="0" w:color="auto"/>
        <w:bottom w:val="none" w:sz="0" w:space="0" w:color="auto"/>
        <w:right w:val="none" w:sz="0" w:space="0" w:color="auto"/>
      </w:divBdr>
    </w:div>
    <w:div w:id="305596512">
      <w:bodyDiv w:val="1"/>
      <w:marLeft w:val="0"/>
      <w:marRight w:val="0"/>
      <w:marTop w:val="0"/>
      <w:marBottom w:val="0"/>
      <w:divBdr>
        <w:top w:val="none" w:sz="0" w:space="0" w:color="auto"/>
        <w:left w:val="none" w:sz="0" w:space="0" w:color="auto"/>
        <w:bottom w:val="none" w:sz="0" w:space="0" w:color="auto"/>
        <w:right w:val="none" w:sz="0" w:space="0" w:color="auto"/>
      </w:divBdr>
    </w:div>
    <w:div w:id="328798543">
      <w:bodyDiv w:val="1"/>
      <w:marLeft w:val="0"/>
      <w:marRight w:val="0"/>
      <w:marTop w:val="0"/>
      <w:marBottom w:val="0"/>
      <w:divBdr>
        <w:top w:val="none" w:sz="0" w:space="0" w:color="auto"/>
        <w:left w:val="none" w:sz="0" w:space="0" w:color="auto"/>
        <w:bottom w:val="none" w:sz="0" w:space="0" w:color="auto"/>
        <w:right w:val="none" w:sz="0" w:space="0" w:color="auto"/>
      </w:divBdr>
    </w:div>
    <w:div w:id="498428114">
      <w:bodyDiv w:val="1"/>
      <w:marLeft w:val="0"/>
      <w:marRight w:val="0"/>
      <w:marTop w:val="0"/>
      <w:marBottom w:val="0"/>
      <w:divBdr>
        <w:top w:val="none" w:sz="0" w:space="0" w:color="auto"/>
        <w:left w:val="none" w:sz="0" w:space="0" w:color="auto"/>
        <w:bottom w:val="none" w:sz="0" w:space="0" w:color="auto"/>
        <w:right w:val="none" w:sz="0" w:space="0" w:color="auto"/>
      </w:divBdr>
    </w:div>
    <w:div w:id="599487790">
      <w:bodyDiv w:val="1"/>
      <w:marLeft w:val="0"/>
      <w:marRight w:val="0"/>
      <w:marTop w:val="0"/>
      <w:marBottom w:val="0"/>
      <w:divBdr>
        <w:top w:val="none" w:sz="0" w:space="0" w:color="auto"/>
        <w:left w:val="none" w:sz="0" w:space="0" w:color="auto"/>
        <w:bottom w:val="none" w:sz="0" w:space="0" w:color="auto"/>
        <w:right w:val="none" w:sz="0" w:space="0" w:color="auto"/>
      </w:divBdr>
    </w:div>
    <w:div w:id="612516418">
      <w:bodyDiv w:val="1"/>
      <w:marLeft w:val="0"/>
      <w:marRight w:val="0"/>
      <w:marTop w:val="0"/>
      <w:marBottom w:val="0"/>
      <w:divBdr>
        <w:top w:val="none" w:sz="0" w:space="0" w:color="auto"/>
        <w:left w:val="none" w:sz="0" w:space="0" w:color="auto"/>
        <w:bottom w:val="none" w:sz="0" w:space="0" w:color="auto"/>
        <w:right w:val="none" w:sz="0" w:space="0" w:color="auto"/>
      </w:divBdr>
      <w:divsChild>
        <w:div w:id="1002970432">
          <w:marLeft w:val="600"/>
          <w:marRight w:val="0"/>
          <w:marTop w:val="0"/>
          <w:marBottom w:val="0"/>
          <w:divBdr>
            <w:top w:val="none" w:sz="0" w:space="0" w:color="auto"/>
            <w:left w:val="none" w:sz="0" w:space="0" w:color="auto"/>
            <w:bottom w:val="none" w:sz="0" w:space="0" w:color="auto"/>
            <w:right w:val="none" w:sz="0" w:space="0" w:color="auto"/>
          </w:divBdr>
        </w:div>
      </w:divsChild>
    </w:div>
    <w:div w:id="648175045">
      <w:bodyDiv w:val="1"/>
      <w:marLeft w:val="0"/>
      <w:marRight w:val="0"/>
      <w:marTop w:val="0"/>
      <w:marBottom w:val="0"/>
      <w:divBdr>
        <w:top w:val="none" w:sz="0" w:space="0" w:color="auto"/>
        <w:left w:val="none" w:sz="0" w:space="0" w:color="auto"/>
        <w:bottom w:val="none" w:sz="0" w:space="0" w:color="auto"/>
        <w:right w:val="none" w:sz="0" w:space="0" w:color="auto"/>
      </w:divBdr>
    </w:div>
    <w:div w:id="688988878">
      <w:bodyDiv w:val="1"/>
      <w:marLeft w:val="0"/>
      <w:marRight w:val="0"/>
      <w:marTop w:val="0"/>
      <w:marBottom w:val="0"/>
      <w:divBdr>
        <w:top w:val="none" w:sz="0" w:space="0" w:color="auto"/>
        <w:left w:val="none" w:sz="0" w:space="0" w:color="auto"/>
        <w:bottom w:val="none" w:sz="0" w:space="0" w:color="auto"/>
        <w:right w:val="none" w:sz="0" w:space="0" w:color="auto"/>
      </w:divBdr>
    </w:div>
    <w:div w:id="720058384">
      <w:bodyDiv w:val="1"/>
      <w:marLeft w:val="0"/>
      <w:marRight w:val="0"/>
      <w:marTop w:val="0"/>
      <w:marBottom w:val="0"/>
      <w:divBdr>
        <w:top w:val="none" w:sz="0" w:space="0" w:color="auto"/>
        <w:left w:val="none" w:sz="0" w:space="0" w:color="auto"/>
        <w:bottom w:val="none" w:sz="0" w:space="0" w:color="auto"/>
        <w:right w:val="none" w:sz="0" w:space="0" w:color="auto"/>
      </w:divBdr>
    </w:div>
    <w:div w:id="722876085">
      <w:bodyDiv w:val="1"/>
      <w:marLeft w:val="0"/>
      <w:marRight w:val="0"/>
      <w:marTop w:val="0"/>
      <w:marBottom w:val="0"/>
      <w:divBdr>
        <w:top w:val="none" w:sz="0" w:space="0" w:color="auto"/>
        <w:left w:val="none" w:sz="0" w:space="0" w:color="auto"/>
        <w:bottom w:val="none" w:sz="0" w:space="0" w:color="auto"/>
        <w:right w:val="none" w:sz="0" w:space="0" w:color="auto"/>
      </w:divBdr>
      <w:divsChild>
        <w:div w:id="29186966">
          <w:marLeft w:val="0"/>
          <w:marRight w:val="0"/>
          <w:marTop w:val="0"/>
          <w:marBottom w:val="0"/>
          <w:divBdr>
            <w:top w:val="none" w:sz="0" w:space="0" w:color="auto"/>
            <w:left w:val="none" w:sz="0" w:space="0" w:color="auto"/>
            <w:bottom w:val="none" w:sz="0" w:space="0" w:color="auto"/>
            <w:right w:val="none" w:sz="0" w:space="0" w:color="auto"/>
          </w:divBdr>
          <w:divsChild>
            <w:div w:id="158892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608362">
      <w:bodyDiv w:val="1"/>
      <w:marLeft w:val="0"/>
      <w:marRight w:val="0"/>
      <w:marTop w:val="0"/>
      <w:marBottom w:val="0"/>
      <w:divBdr>
        <w:top w:val="none" w:sz="0" w:space="0" w:color="auto"/>
        <w:left w:val="none" w:sz="0" w:space="0" w:color="auto"/>
        <w:bottom w:val="none" w:sz="0" w:space="0" w:color="auto"/>
        <w:right w:val="none" w:sz="0" w:space="0" w:color="auto"/>
      </w:divBdr>
    </w:div>
    <w:div w:id="869494642">
      <w:bodyDiv w:val="1"/>
      <w:marLeft w:val="0"/>
      <w:marRight w:val="0"/>
      <w:marTop w:val="0"/>
      <w:marBottom w:val="0"/>
      <w:divBdr>
        <w:top w:val="none" w:sz="0" w:space="0" w:color="auto"/>
        <w:left w:val="none" w:sz="0" w:space="0" w:color="auto"/>
        <w:bottom w:val="none" w:sz="0" w:space="0" w:color="auto"/>
        <w:right w:val="none" w:sz="0" w:space="0" w:color="auto"/>
      </w:divBdr>
      <w:divsChild>
        <w:div w:id="334915349">
          <w:marLeft w:val="0"/>
          <w:marRight w:val="0"/>
          <w:marTop w:val="0"/>
          <w:marBottom w:val="0"/>
          <w:divBdr>
            <w:top w:val="none" w:sz="0" w:space="0" w:color="auto"/>
            <w:left w:val="none" w:sz="0" w:space="0" w:color="auto"/>
            <w:bottom w:val="none" w:sz="0" w:space="0" w:color="auto"/>
            <w:right w:val="none" w:sz="0" w:space="0" w:color="auto"/>
          </w:divBdr>
          <w:divsChild>
            <w:div w:id="1712341724">
              <w:marLeft w:val="0"/>
              <w:marRight w:val="0"/>
              <w:marTop w:val="0"/>
              <w:marBottom w:val="0"/>
              <w:divBdr>
                <w:top w:val="none" w:sz="0" w:space="0" w:color="auto"/>
                <w:left w:val="none" w:sz="0" w:space="0" w:color="auto"/>
                <w:bottom w:val="none" w:sz="0" w:space="0" w:color="auto"/>
                <w:right w:val="none" w:sz="0" w:space="0" w:color="auto"/>
              </w:divBdr>
              <w:divsChild>
                <w:div w:id="26719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4587">
      <w:bodyDiv w:val="1"/>
      <w:marLeft w:val="0"/>
      <w:marRight w:val="0"/>
      <w:marTop w:val="0"/>
      <w:marBottom w:val="0"/>
      <w:divBdr>
        <w:top w:val="none" w:sz="0" w:space="0" w:color="auto"/>
        <w:left w:val="none" w:sz="0" w:space="0" w:color="auto"/>
        <w:bottom w:val="none" w:sz="0" w:space="0" w:color="auto"/>
        <w:right w:val="none" w:sz="0" w:space="0" w:color="auto"/>
      </w:divBdr>
    </w:div>
    <w:div w:id="1121460668">
      <w:bodyDiv w:val="1"/>
      <w:marLeft w:val="0"/>
      <w:marRight w:val="0"/>
      <w:marTop w:val="0"/>
      <w:marBottom w:val="0"/>
      <w:divBdr>
        <w:top w:val="none" w:sz="0" w:space="0" w:color="auto"/>
        <w:left w:val="none" w:sz="0" w:space="0" w:color="auto"/>
        <w:bottom w:val="none" w:sz="0" w:space="0" w:color="auto"/>
        <w:right w:val="none" w:sz="0" w:space="0" w:color="auto"/>
      </w:divBdr>
    </w:div>
    <w:div w:id="1124738661">
      <w:bodyDiv w:val="1"/>
      <w:marLeft w:val="0"/>
      <w:marRight w:val="0"/>
      <w:marTop w:val="0"/>
      <w:marBottom w:val="0"/>
      <w:divBdr>
        <w:top w:val="none" w:sz="0" w:space="0" w:color="auto"/>
        <w:left w:val="none" w:sz="0" w:space="0" w:color="auto"/>
        <w:bottom w:val="none" w:sz="0" w:space="0" w:color="auto"/>
        <w:right w:val="none" w:sz="0" w:space="0" w:color="auto"/>
      </w:divBdr>
    </w:div>
    <w:div w:id="1206719436">
      <w:bodyDiv w:val="1"/>
      <w:marLeft w:val="0"/>
      <w:marRight w:val="0"/>
      <w:marTop w:val="0"/>
      <w:marBottom w:val="0"/>
      <w:divBdr>
        <w:top w:val="none" w:sz="0" w:space="0" w:color="auto"/>
        <w:left w:val="none" w:sz="0" w:space="0" w:color="auto"/>
        <w:bottom w:val="none" w:sz="0" w:space="0" w:color="auto"/>
        <w:right w:val="none" w:sz="0" w:space="0" w:color="auto"/>
      </w:divBdr>
    </w:div>
    <w:div w:id="1227689852">
      <w:bodyDiv w:val="1"/>
      <w:marLeft w:val="0"/>
      <w:marRight w:val="0"/>
      <w:marTop w:val="0"/>
      <w:marBottom w:val="0"/>
      <w:divBdr>
        <w:top w:val="none" w:sz="0" w:space="0" w:color="auto"/>
        <w:left w:val="none" w:sz="0" w:space="0" w:color="auto"/>
        <w:bottom w:val="none" w:sz="0" w:space="0" w:color="auto"/>
        <w:right w:val="none" w:sz="0" w:space="0" w:color="auto"/>
      </w:divBdr>
    </w:div>
    <w:div w:id="1249727600">
      <w:bodyDiv w:val="1"/>
      <w:marLeft w:val="0"/>
      <w:marRight w:val="0"/>
      <w:marTop w:val="0"/>
      <w:marBottom w:val="0"/>
      <w:divBdr>
        <w:top w:val="none" w:sz="0" w:space="0" w:color="auto"/>
        <w:left w:val="none" w:sz="0" w:space="0" w:color="auto"/>
        <w:bottom w:val="none" w:sz="0" w:space="0" w:color="auto"/>
        <w:right w:val="none" w:sz="0" w:space="0" w:color="auto"/>
      </w:divBdr>
    </w:div>
    <w:div w:id="1251356817">
      <w:bodyDiv w:val="1"/>
      <w:marLeft w:val="0"/>
      <w:marRight w:val="0"/>
      <w:marTop w:val="0"/>
      <w:marBottom w:val="0"/>
      <w:divBdr>
        <w:top w:val="none" w:sz="0" w:space="0" w:color="auto"/>
        <w:left w:val="none" w:sz="0" w:space="0" w:color="auto"/>
        <w:bottom w:val="none" w:sz="0" w:space="0" w:color="auto"/>
        <w:right w:val="none" w:sz="0" w:space="0" w:color="auto"/>
      </w:divBdr>
    </w:div>
    <w:div w:id="1263687399">
      <w:bodyDiv w:val="1"/>
      <w:marLeft w:val="0"/>
      <w:marRight w:val="0"/>
      <w:marTop w:val="0"/>
      <w:marBottom w:val="0"/>
      <w:divBdr>
        <w:top w:val="none" w:sz="0" w:space="0" w:color="auto"/>
        <w:left w:val="none" w:sz="0" w:space="0" w:color="auto"/>
        <w:bottom w:val="none" w:sz="0" w:space="0" w:color="auto"/>
        <w:right w:val="none" w:sz="0" w:space="0" w:color="auto"/>
      </w:divBdr>
      <w:divsChild>
        <w:div w:id="854425150">
          <w:marLeft w:val="0"/>
          <w:marRight w:val="0"/>
          <w:marTop w:val="0"/>
          <w:marBottom w:val="0"/>
          <w:divBdr>
            <w:top w:val="none" w:sz="0" w:space="0" w:color="auto"/>
            <w:left w:val="none" w:sz="0" w:space="0" w:color="auto"/>
            <w:bottom w:val="none" w:sz="0" w:space="0" w:color="auto"/>
            <w:right w:val="none" w:sz="0" w:space="0" w:color="auto"/>
          </w:divBdr>
          <w:divsChild>
            <w:div w:id="760489801">
              <w:marLeft w:val="0"/>
              <w:marRight w:val="0"/>
              <w:marTop w:val="0"/>
              <w:marBottom w:val="0"/>
              <w:divBdr>
                <w:top w:val="none" w:sz="0" w:space="0" w:color="auto"/>
                <w:left w:val="none" w:sz="0" w:space="0" w:color="auto"/>
                <w:bottom w:val="none" w:sz="0" w:space="0" w:color="auto"/>
                <w:right w:val="none" w:sz="0" w:space="0" w:color="auto"/>
              </w:divBdr>
              <w:divsChild>
                <w:div w:id="193797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568902">
      <w:bodyDiv w:val="1"/>
      <w:marLeft w:val="0"/>
      <w:marRight w:val="0"/>
      <w:marTop w:val="0"/>
      <w:marBottom w:val="0"/>
      <w:divBdr>
        <w:top w:val="none" w:sz="0" w:space="0" w:color="auto"/>
        <w:left w:val="none" w:sz="0" w:space="0" w:color="auto"/>
        <w:bottom w:val="none" w:sz="0" w:space="0" w:color="auto"/>
        <w:right w:val="none" w:sz="0" w:space="0" w:color="auto"/>
      </w:divBdr>
      <w:divsChild>
        <w:div w:id="155195762">
          <w:marLeft w:val="0"/>
          <w:marRight w:val="0"/>
          <w:marTop w:val="0"/>
          <w:marBottom w:val="0"/>
          <w:divBdr>
            <w:top w:val="none" w:sz="0" w:space="0" w:color="auto"/>
            <w:left w:val="none" w:sz="0" w:space="0" w:color="auto"/>
            <w:bottom w:val="none" w:sz="0" w:space="0" w:color="auto"/>
            <w:right w:val="none" w:sz="0" w:space="0" w:color="auto"/>
          </w:divBdr>
          <w:divsChild>
            <w:div w:id="542787826">
              <w:marLeft w:val="0"/>
              <w:marRight w:val="0"/>
              <w:marTop w:val="0"/>
              <w:marBottom w:val="0"/>
              <w:divBdr>
                <w:top w:val="none" w:sz="0" w:space="0" w:color="auto"/>
                <w:left w:val="none" w:sz="0" w:space="0" w:color="auto"/>
                <w:bottom w:val="none" w:sz="0" w:space="0" w:color="auto"/>
                <w:right w:val="none" w:sz="0" w:space="0" w:color="auto"/>
              </w:divBdr>
              <w:divsChild>
                <w:div w:id="1513495344">
                  <w:marLeft w:val="0"/>
                  <w:marRight w:val="0"/>
                  <w:marTop w:val="0"/>
                  <w:marBottom w:val="0"/>
                  <w:divBdr>
                    <w:top w:val="none" w:sz="0" w:space="0" w:color="auto"/>
                    <w:left w:val="none" w:sz="0" w:space="0" w:color="auto"/>
                    <w:bottom w:val="none" w:sz="0" w:space="0" w:color="auto"/>
                    <w:right w:val="none" w:sz="0" w:space="0" w:color="auto"/>
                  </w:divBdr>
                  <w:divsChild>
                    <w:div w:id="1057585059">
                      <w:marLeft w:val="0"/>
                      <w:marRight w:val="0"/>
                      <w:marTop w:val="0"/>
                      <w:marBottom w:val="0"/>
                      <w:divBdr>
                        <w:top w:val="none" w:sz="0" w:space="0" w:color="auto"/>
                        <w:left w:val="none" w:sz="0" w:space="0" w:color="auto"/>
                        <w:bottom w:val="none" w:sz="0" w:space="0" w:color="auto"/>
                        <w:right w:val="none" w:sz="0" w:space="0" w:color="auto"/>
                      </w:divBdr>
                    </w:div>
                  </w:divsChild>
                </w:div>
                <w:div w:id="1398548846">
                  <w:marLeft w:val="0"/>
                  <w:marRight w:val="0"/>
                  <w:marTop w:val="0"/>
                  <w:marBottom w:val="0"/>
                  <w:divBdr>
                    <w:top w:val="none" w:sz="0" w:space="0" w:color="auto"/>
                    <w:left w:val="none" w:sz="0" w:space="0" w:color="auto"/>
                    <w:bottom w:val="none" w:sz="0" w:space="0" w:color="auto"/>
                    <w:right w:val="none" w:sz="0" w:space="0" w:color="auto"/>
                  </w:divBdr>
                  <w:divsChild>
                    <w:div w:id="3675980">
                      <w:marLeft w:val="0"/>
                      <w:marRight w:val="0"/>
                      <w:marTop w:val="0"/>
                      <w:marBottom w:val="0"/>
                      <w:divBdr>
                        <w:top w:val="none" w:sz="0" w:space="0" w:color="auto"/>
                        <w:left w:val="none" w:sz="0" w:space="0" w:color="auto"/>
                        <w:bottom w:val="none" w:sz="0" w:space="0" w:color="auto"/>
                        <w:right w:val="none" w:sz="0" w:space="0" w:color="auto"/>
                      </w:divBdr>
                    </w:div>
                  </w:divsChild>
                </w:div>
                <w:div w:id="11541747">
                  <w:marLeft w:val="0"/>
                  <w:marRight w:val="0"/>
                  <w:marTop w:val="0"/>
                  <w:marBottom w:val="0"/>
                  <w:divBdr>
                    <w:top w:val="none" w:sz="0" w:space="0" w:color="auto"/>
                    <w:left w:val="none" w:sz="0" w:space="0" w:color="auto"/>
                    <w:bottom w:val="none" w:sz="0" w:space="0" w:color="auto"/>
                    <w:right w:val="none" w:sz="0" w:space="0" w:color="auto"/>
                  </w:divBdr>
                  <w:divsChild>
                    <w:div w:id="7891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137751">
      <w:bodyDiv w:val="1"/>
      <w:marLeft w:val="0"/>
      <w:marRight w:val="0"/>
      <w:marTop w:val="0"/>
      <w:marBottom w:val="0"/>
      <w:divBdr>
        <w:top w:val="none" w:sz="0" w:space="0" w:color="auto"/>
        <w:left w:val="none" w:sz="0" w:space="0" w:color="auto"/>
        <w:bottom w:val="none" w:sz="0" w:space="0" w:color="auto"/>
        <w:right w:val="none" w:sz="0" w:space="0" w:color="auto"/>
      </w:divBdr>
      <w:divsChild>
        <w:div w:id="1429884522">
          <w:marLeft w:val="0"/>
          <w:marRight w:val="0"/>
          <w:marTop w:val="0"/>
          <w:marBottom w:val="0"/>
          <w:divBdr>
            <w:top w:val="none" w:sz="0" w:space="0" w:color="auto"/>
            <w:left w:val="none" w:sz="0" w:space="0" w:color="auto"/>
            <w:bottom w:val="none" w:sz="0" w:space="0" w:color="auto"/>
            <w:right w:val="none" w:sz="0" w:space="0" w:color="auto"/>
          </w:divBdr>
          <w:divsChild>
            <w:div w:id="171920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739446">
      <w:bodyDiv w:val="1"/>
      <w:marLeft w:val="0"/>
      <w:marRight w:val="0"/>
      <w:marTop w:val="0"/>
      <w:marBottom w:val="0"/>
      <w:divBdr>
        <w:top w:val="none" w:sz="0" w:space="0" w:color="auto"/>
        <w:left w:val="none" w:sz="0" w:space="0" w:color="auto"/>
        <w:bottom w:val="none" w:sz="0" w:space="0" w:color="auto"/>
        <w:right w:val="none" w:sz="0" w:space="0" w:color="auto"/>
      </w:divBdr>
    </w:div>
    <w:div w:id="1504591013">
      <w:bodyDiv w:val="1"/>
      <w:marLeft w:val="0"/>
      <w:marRight w:val="0"/>
      <w:marTop w:val="0"/>
      <w:marBottom w:val="0"/>
      <w:divBdr>
        <w:top w:val="none" w:sz="0" w:space="0" w:color="auto"/>
        <w:left w:val="none" w:sz="0" w:space="0" w:color="auto"/>
        <w:bottom w:val="none" w:sz="0" w:space="0" w:color="auto"/>
        <w:right w:val="none" w:sz="0" w:space="0" w:color="auto"/>
      </w:divBdr>
    </w:div>
    <w:div w:id="1505363320">
      <w:bodyDiv w:val="1"/>
      <w:marLeft w:val="0"/>
      <w:marRight w:val="0"/>
      <w:marTop w:val="0"/>
      <w:marBottom w:val="0"/>
      <w:divBdr>
        <w:top w:val="none" w:sz="0" w:space="0" w:color="auto"/>
        <w:left w:val="none" w:sz="0" w:space="0" w:color="auto"/>
        <w:bottom w:val="none" w:sz="0" w:space="0" w:color="auto"/>
        <w:right w:val="none" w:sz="0" w:space="0" w:color="auto"/>
      </w:divBdr>
      <w:divsChild>
        <w:div w:id="1874461658">
          <w:marLeft w:val="0"/>
          <w:marRight w:val="0"/>
          <w:marTop w:val="0"/>
          <w:marBottom w:val="0"/>
          <w:divBdr>
            <w:top w:val="none" w:sz="0" w:space="0" w:color="auto"/>
            <w:left w:val="none" w:sz="0" w:space="0" w:color="auto"/>
            <w:bottom w:val="none" w:sz="0" w:space="0" w:color="auto"/>
            <w:right w:val="none" w:sz="0" w:space="0" w:color="auto"/>
          </w:divBdr>
          <w:divsChild>
            <w:div w:id="193574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22084">
      <w:bodyDiv w:val="1"/>
      <w:marLeft w:val="0"/>
      <w:marRight w:val="0"/>
      <w:marTop w:val="0"/>
      <w:marBottom w:val="0"/>
      <w:divBdr>
        <w:top w:val="none" w:sz="0" w:space="0" w:color="auto"/>
        <w:left w:val="none" w:sz="0" w:space="0" w:color="auto"/>
        <w:bottom w:val="none" w:sz="0" w:space="0" w:color="auto"/>
        <w:right w:val="none" w:sz="0" w:space="0" w:color="auto"/>
      </w:divBdr>
    </w:div>
    <w:div w:id="1616671291">
      <w:bodyDiv w:val="1"/>
      <w:marLeft w:val="0"/>
      <w:marRight w:val="0"/>
      <w:marTop w:val="0"/>
      <w:marBottom w:val="0"/>
      <w:divBdr>
        <w:top w:val="none" w:sz="0" w:space="0" w:color="auto"/>
        <w:left w:val="none" w:sz="0" w:space="0" w:color="auto"/>
        <w:bottom w:val="none" w:sz="0" w:space="0" w:color="auto"/>
        <w:right w:val="none" w:sz="0" w:space="0" w:color="auto"/>
      </w:divBdr>
    </w:div>
    <w:div w:id="1766922808">
      <w:bodyDiv w:val="1"/>
      <w:marLeft w:val="0"/>
      <w:marRight w:val="0"/>
      <w:marTop w:val="0"/>
      <w:marBottom w:val="0"/>
      <w:divBdr>
        <w:top w:val="none" w:sz="0" w:space="0" w:color="auto"/>
        <w:left w:val="none" w:sz="0" w:space="0" w:color="auto"/>
        <w:bottom w:val="none" w:sz="0" w:space="0" w:color="auto"/>
        <w:right w:val="none" w:sz="0" w:space="0" w:color="auto"/>
      </w:divBdr>
    </w:div>
    <w:div w:id="1785270744">
      <w:bodyDiv w:val="1"/>
      <w:marLeft w:val="0"/>
      <w:marRight w:val="0"/>
      <w:marTop w:val="0"/>
      <w:marBottom w:val="0"/>
      <w:divBdr>
        <w:top w:val="none" w:sz="0" w:space="0" w:color="auto"/>
        <w:left w:val="none" w:sz="0" w:space="0" w:color="auto"/>
        <w:bottom w:val="none" w:sz="0" w:space="0" w:color="auto"/>
        <w:right w:val="none" w:sz="0" w:space="0" w:color="auto"/>
      </w:divBdr>
      <w:divsChild>
        <w:div w:id="1009869683">
          <w:marLeft w:val="600"/>
          <w:marRight w:val="0"/>
          <w:marTop w:val="0"/>
          <w:marBottom w:val="0"/>
          <w:divBdr>
            <w:top w:val="none" w:sz="0" w:space="0" w:color="auto"/>
            <w:left w:val="none" w:sz="0" w:space="0" w:color="auto"/>
            <w:bottom w:val="none" w:sz="0" w:space="0" w:color="auto"/>
            <w:right w:val="none" w:sz="0" w:space="0" w:color="auto"/>
          </w:divBdr>
        </w:div>
      </w:divsChild>
    </w:div>
    <w:div w:id="1817910191">
      <w:bodyDiv w:val="1"/>
      <w:marLeft w:val="0"/>
      <w:marRight w:val="0"/>
      <w:marTop w:val="0"/>
      <w:marBottom w:val="0"/>
      <w:divBdr>
        <w:top w:val="none" w:sz="0" w:space="0" w:color="auto"/>
        <w:left w:val="none" w:sz="0" w:space="0" w:color="auto"/>
        <w:bottom w:val="none" w:sz="0" w:space="0" w:color="auto"/>
        <w:right w:val="none" w:sz="0" w:space="0" w:color="auto"/>
      </w:divBdr>
    </w:div>
    <w:div w:id="1856842776">
      <w:bodyDiv w:val="1"/>
      <w:marLeft w:val="0"/>
      <w:marRight w:val="0"/>
      <w:marTop w:val="0"/>
      <w:marBottom w:val="0"/>
      <w:divBdr>
        <w:top w:val="none" w:sz="0" w:space="0" w:color="auto"/>
        <w:left w:val="none" w:sz="0" w:space="0" w:color="auto"/>
        <w:bottom w:val="none" w:sz="0" w:space="0" w:color="auto"/>
        <w:right w:val="none" w:sz="0" w:space="0" w:color="auto"/>
      </w:divBdr>
    </w:div>
    <w:div w:id="1902062688">
      <w:bodyDiv w:val="1"/>
      <w:marLeft w:val="0"/>
      <w:marRight w:val="0"/>
      <w:marTop w:val="0"/>
      <w:marBottom w:val="0"/>
      <w:divBdr>
        <w:top w:val="none" w:sz="0" w:space="0" w:color="auto"/>
        <w:left w:val="none" w:sz="0" w:space="0" w:color="auto"/>
        <w:bottom w:val="none" w:sz="0" w:space="0" w:color="auto"/>
        <w:right w:val="none" w:sz="0" w:space="0" w:color="auto"/>
      </w:divBdr>
    </w:div>
    <w:div w:id="1905869873">
      <w:bodyDiv w:val="1"/>
      <w:marLeft w:val="0"/>
      <w:marRight w:val="0"/>
      <w:marTop w:val="0"/>
      <w:marBottom w:val="0"/>
      <w:divBdr>
        <w:top w:val="none" w:sz="0" w:space="0" w:color="auto"/>
        <w:left w:val="none" w:sz="0" w:space="0" w:color="auto"/>
        <w:bottom w:val="none" w:sz="0" w:space="0" w:color="auto"/>
        <w:right w:val="none" w:sz="0" w:space="0" w:color="auto"/>
      </w:divBdr>
    </w:div>
    <w:div w:id="2049795516">
      <w:bodyDiv w:val="1"/>
      <w:marLeft w:val="0"/>
      <w:marRight w:val="0"/>
      <w:marTop w:val="0"/>
      <w:marBottom w:val="0"/>
      <w:divBdr>
        <w:top w:val="none" w:sz="0" w:space="0" w:color="auto"/>
        <w:left w:val="none" w:sz="0" w:space="0" w:color="auto"/>
        <w:bottom w:val="none" w:sz="0" w:space="0" w:color="auto"/>
        <w:right w:val="none" w:sz="0" w:space="0" w:color="auto"/>
      </w:divBdr>
      <w:divsChild>
        <w:div w:id="843087474">
          <w:marLeft w:val="600"/>
          <w:marRight w:val="0"/>
          <w:marTop w:val="0"/>
          <w:marBottom w:val="0"/>
          <w:divBdr>
            <w:top w:val="none" w:sz="0" w:space="0" w:color="auto"/>
            <w:left w:val="none" w:sz="0" w:space="0" w:color="auto"/>
            <w:bottom w:val="none" w:sz="0" w:space="0" w:color="auto"/>
            <w:right w:val="none" w:sz="0" w:space="0" w:color="auto"/>
          </w:divBdr>
        </w:div>
      </w:divsChild>
    </w:div>
    <w:div w:id="211335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ciel.org/news/independent-report-finds-dutch-and-german-development-banks-failed-to-comply-with-environmental-and-human-rights-standards-in-financing-the-barro-blanco-dam-in-panama" TargetMode="External"/><Relationship Id="rId13" Type="http://schemas.openxmlformats.org/officeDocument/2006/relationships/hyperlink" Target="https://www.panamaamerica.com.pa/provincias/ngabes-denuncian-inundacion-de-tierras-tras-continuidad-de-llenado-de-barro-blanco" TargetMode="External"/><Relationship Id="rId18" Type="http://schemas.openxmlformats.org/officeDocument/2006/relationships/hyperlink" Target="https://www.defensoria.gob.pa/comunicado-7/" TargetMode="External"/><Relationship Id="rId3" Type="http://schemas.openxmlformats.org/officeDocument/2006/relationships/hyperlink" Target="https://www.cao-ombudsman.org/sites/default/files/downloads/CAO_CompliancInvestigation_PLIV_February_ES.pdf" TargetMode="External"/><Relationship Id="rId21" Type="http://schemas.openxmlformats.org/officeDocument/2006/relationships/hyperlink" Target="https://www.laestrella.com.pa/nacional/211031/autoridades-invasion-tierras-barro-blanco" TargetMode="External"/><Relationship Id="rId7" Type="http://schemas.openxmlformats.org/officeDocument/2006/relationships/hyperlink" Target="https://www.ciel.org/project-update/barro-blanco/" TargetMode="External"/><Relationship Id="rId12" Type="http://schemas.openxmlformats.org/officeDocument/2006/relationships/hyperlink" Target="https://www.laestrella.com.pa/nacional/150906/barro-blanco-polemica-proyecto" TargetMode="External"/><Relationship Id="rId17" Type="http://schemas.openxmlformats.org/officeDocument/2006/relationships/hyperlink" Target="https://www.prensa.com/provincias/desalojo-en-barro-blanco-termina-con-varios-heridos-entre-indigenas-y-policias/" TargetMode="External"/><Relationship Id="rId2" Type="http://schemas.openxmlformats.org/officeDocument/2006/relationships/hyperlink" Target="http://www.cao-ombudsman.org/cases/document-links/documents/CAOcomplaintPLIVpanama.pdf" TargetMode="External"/><Relationship Id="rId16" Type="http://schemas.openxmlformats.org/officeDocument/2006/relationships/hyperlink" Target="https://www.radiopanama.com.pa/noticias/actualidad/organizaciones-indigenas-convocan-piqueteo-para-este-lunes-en-rechazo-a-agresiones-en-barro-blanco/20211031/nota/4175107.aspx" TargetMode="External"/><Relationship Id="rId20" Type="http://schemas.openxmlformats.org/officeDocument/2006/relationships/hyperlink" Target="https://www.defensoria.gob.pa/defensoria-del-pueblo-acredita-vulneracion-de-derechos-humanos-durante-enfrentamiento-en-barro-blanco/" TargetMode="External"/><Relationship Id="rId1" Type="http://schemas.openxmlformats.org/officeDocument/2006/relationships/hyperlink" Target="https://tbinternet.ohchr.org/_layouts/15/treatybodyexternal/Download.aspx?symbolno=INT%2FCESCR%2FICO%2FPAN%2F43895&amp;Lang=en" TargetMode="External"/><Relationship Id="rId6" Type="http://schemas.openxmlformats.org/officeDocument/2006/relationships/hyperlink" Target="https://www.panamacompra.gob.pa/Inicio/v2/" TargetMode="External"/><Relationship Id="rId11" Type="http://schemas.openxmlformats.org/officeDocument/2006/relationships/hyperlink" Target="https://ciel.org/Publications/BarroBlanco_Anaya_14Jun2013.pdf" TargetMode="External"/><Relationship Id="rId5" Type="http://schemas.openxmlformats.org/officeDocument/2006/relationships/hyperlink" Target="https://pressroom.ifc.org/all/pages/PressDetail.aspx?ID=27028" TargetMode="External"/><Relationship Id="rId15" Type="http://schemas.openxmlformats.org/officeDocument/2006/relationships/hyperlink" Target="https://www.rainforest-rescue.org/petitions/1051/panama-dont-evict-ngaebe-families-for-the-barro-blanco-dam" TargetMode="External"/><Relationship Id="rId10" Type="http://schemas.openxmlformats.org/officeDocument/2006/relationships/hyperlink" Target="https://www.ciel.org/news/barro-blanco-flooding-begins-un-approved-hydro-dam-indigenous-defenders-forcefully-evicted/" TargetMode="External"/><Relationship Id="rId19" Type="http://schemas.openxmlformats.org/officeDocument/2006/relationships/hyperlink" Target="https://www.prensa.com/provincias/defensoria-del-pueblo-inicia-investigacion-de-oficio-tras-enfrentamiento-entre-indigenas-y-policias-en-barro-blanco/" TargetMode="External"/><Relationship Id="rId4" Type="http://schemas.openxmlformats.org/officeDocument/2006/relationships/hyperlink" Target="https://www.cao-ombudsman.org/sites/default/files/downloads/CAO_Compliance_Investigation_PLIV__Panama_Feb_2022_EN.pdf" TargetMode="External"/><Relationship Id="rId9" Type="http://schemas.openxmlformats.org/officeDocument/2006/relationships/hyperlink" Target="https://documents-dds-ny.un.org/doc/UNDOC/GEN/G14/072/37/PDF/G1407237.pdf?OpenElement" TargetMode="External"/><Relationship Id="rId14" Type="http://schemas.openxmlformats.org/officeDocument/2006/relationships/hyperlink" Target="https://www.culturalsurvival.org/publications/cultural-survival-quarterly/underwater-barro-blanco-displaces-three-ngabe-bugle" TargetMode="External"/><Relationship Id="rId22" Type="http://schemas.openxmlformats.org/officeDocument/2006/relationships/hyperlink" Target="https://www.panamaamerica.com.pa/sociedad/defensoria-investigara-enfrentamientos-entre-indigenas-y-policias-en-barro-blanco-1196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D69CE-24DB-43DA-A622-1AF8B9D50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4256</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Celine Reynaud</cp:lastModifiedBy>
  <cp:revision>2</cp:revision>
  <cp:lastPrinted>2020-12-18T15:51:00Z</cp:lastPrinted>
  <dcterms:created xsi:type="dcterms:W3CDTF">2023-01-17T09:34:00Z</dcterms:created>
  <dcterms:modified xsi:type="dcterms:W3CDTF">2023-01-17T09:34:00Z</dcterms:modified>
</cp:coreProperties>
</file>