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7056D" w:rsidRDefault="00000000">
      <w:pPr>
        <w:spacing w:before="80" w:line="240" w:lineRule="auto"/>
        <w:ind w:left="120"/>
        <w:rPr>
          <w:rFonts w:ascii="Calibri" w:eastAsia="Calibri" w:hAnsi="Calibri" w:cs="Calibri"/>
          <w:sz w:val="46"/>
          <w:szCs w:val="46"/>
        </w:rPr>
      </w:pPr>
      <w:r>
        <w:rPr>
          <w:rFonts w:ascii="Calibri" w:eastAsia="Calibri" w:hAnsi="Calibri" w:cs="Calibri"/>
          <w:sz w:val="46"/>
          <w:szCs w:val="46"/>
        </w:rPr>
        <w:t xml:space="preserve"> </w:t>
      </w:r>
    </w:p>
    <w:p w14:paraId="00000002" w14:textId="77777777" w:rsidR="00D7056D" w:rsidRDefault="00000000">
      <w:pPr>
        <w:shd w:val="clear" w:color="auto" w:fill="99FF99"/>
        <w:spacing w:before="80" w:line="240" w:lineRule="auto"/>
        <w:ind w:left="120"/>
        <w:rPr>
          <w:rFonts w:ascii="Calibri" w:eastAsia="Calibri" w:hAnsi="Calibri" w:cs="Calibri"/>
          <w:sz w:val="46"/>
          <w:szCs w:val="46"/>
        </w:rPr>
      </w:pPr>
      <w:r>
        <w:rPr>
          <w:rFonts w:ascii="Calibri" w:eastAsia="Calibri" w:hAnsi="Calibri" w:cs="Calibri"/>
          <w:sz w:val="46"/>
          <w:szCs w:val="46"/>
        </w:rPr>
        <w:t xml:space="preserve"> </w:t>
      </w:r>
    </w:p>
    <w:p w14:paraId="00000003" w14:textId="77777777" w:rsidR="00D7056D" w:rsidRPr="003B7911" w:rsidRDefault="00000000">
      <w:pPr>
        <w:shd w:val="clear" w:color="auto" w:fill="99FF99"/>
        <w:spacing w:before="80" w:line="240" w:lineRule="auto"/>
        <w:ind w:left="120"/>
        <w:rPr>
          <w:rFonts w:ascii="Calibri" w:eastAsia="Calibri" w:hAnsi="Calibri" w:cs="Calibri"/>
          <w:lang w:val="en-US"/>
        </w:rPr>
      </w:pPr>
      <w:r w:rsidRPr="003B7911">
        <w:rPr>
          <w:rFonts w:ascii="Calibri" w:eastAsia="Calibri" w:hAnsi="Calibri" w:cs="Calibri"/>
          <w:sz w:val="46"/>
          <w:szCs w:val="46"/>
          <w:lang w:val="en-US"/>
        </w:rPr>
        <w:t>ODRI – Office against Discrimination, Racism and Intolerance</w:t>
      </w:r>
    </w:p>
    <w:p w14:paraId="00000004" w14:textId="77777777" w:rsidR="00D7056D" w:rsidRPr="003B7911" w:rsidRDefault="00000000">
      <w:pPr>
        <w:shd w:val="clear" w:color="auto" w:fill="99FF99"/>
        <w:spacing w:before="240" w:after="240" w:line="240" w:lineRule="auto"/>
        <w:ind w:left="120"/>
        <w:rPr>
          <w:rFonts w:ascii="Calibri" w:eastAsia="Calibri" w:hAnsi="Calibri" w:cs="Calibri"/>
          <w:b/>
          <w:sz w:val="68"/>
          <w:szCs w:val="68"/>
          <w:lang w:val="en-US"/>
        </w:rPr>
      </w:pPr>
      <w:r w:rsidRPr="003B7911">
        <w:rPr>
          <w:rFonts w:ascii="Calibri" w:eastAsia="Calibri" w:hAnsi="Calibri" w:cs="Calibri"/>
          <w:b/>
          <w:sz w:val="68"/>
          <w:szCs w:val="68"/>
          <w:lang w:val="en-US"/>
        </w:rPr>
        <w:t>Contribution regarding the eighth periodic report of Chile (CEDAW/C/CHL/8)</w:t>
      </w:r>
    </w:p>
    <w:p w14:paraId="00000005" w14:textId="77777777" w:rsidR="00D7056D" w:rsidRPr="003B7911" w:rsidRDefault="00000000">
      <w:pPr>
        <w:shd w:val="clear" w:color="auto" w:fill="99FF99"/>
        <w:spacing w:before="240" w:after="240" w:line="240" w:lineRule="auto"/>
        <w:ind w:left="120"/>
        <w:rPr>
          <w:rFonts w:ascii="Calibri" w:eastAsia="Calibri" w:hAnsi="Calibri" w:cs="Calibri"/>
          <w:lang w:val="en-US"/>
        </w:rPr>
      </w:pPr>
      <w:r w:rsidRPr="003B7911">
        <w:rPr>
          <w:rFonts w:ascii="Calibri" w:eastAsia="Calibri" w:hAnsi="Calibri" w:cs="Calibri"/>
          <w:lang w:val="en-US"/>
        </w:rPr>
        <w:t xml:space="preserve"> </w:t>
      </w:r>
    </w:p>
    <w:p w14:paraId="00000006" w14:textId="202D2C51" w:rsidR="00D7056D" w:rsidRPr="003B7911" w:rsidRDefault="00000000">
      <w:pPr>
        <w:shd w:val="clear" w:color="auto" w:fill="99FF99"/>
        <w:spacing w:before="240" w:after="240" w:line="240" w:lineRule="auto"/>
        <w:ind w:left="120"/>
        <w:rPr>
          <w:rFonts w:ascii="Calibri" w:eastAsia="Calibri" w:hAnsi="Calibri" w:cs="Calibri"/>
          <w:sz w:val="76"/>
          <w:szCs w:val="76"/>
          <w:lang w:val="en-US"/>
        </w:rPr>
      </w:pPr>
      <w:r w:rsidRPr="003B7911">
        <w:rPr>
          <w:rFonts w:ascii="Calibri" w:eastAsia="Calibri" w:hAnsi="Calibri" w:cs="Calibri"/>
          <w:sz w:val="76"/>
          <w:szCs w:val="76"/>
          <w:lang w:val="en-US"/>
        </w:rPr>
        <w:t>September 9</w:t>
      </w:r>
      <w:r w:rsidR="003B7911" w:rsidRPr="003B7911">
        <w:rPr>
          <w:rFonts w:ascii="Calibri" w:eastAsia="Calibri" w:hAnsi="Calibri" w:cs="Calibri"/>
          <w:sz w:val="76"/>
          <w:szCs w:val="76"/>
          <w:lang w:val="en-US"/>
        </w:rPr>
        <w:t>, 2024</w:t>
      </w:r>
    </w:p>
    <w:p w14:paraId="00000007" w14:textId="77777777" w:rsidR="00D7056D" w:rsidRPr="003B7911" w:rsidRDefault="00000000">
      <w:pPr>
        <w:shd w:val="clear" w:color="auto" w:fill="99FF99"/>
        <w:spacing w:before="240" w:after="240" w:line="240" w:lineRule="auto"/>
        <w:ind w:left="120"/>
        <w:rPr>
          <w:rFonts w:ascii="Calibri" w:eastAsia="Calibri" w:hAnsi="Calibri" w:cs="Calibri"/>
          <w:sz w:val="76"/>
          <w:szCs w:val="76"/>
          <w:lang w:val="en-US"/>
        </w:rPr>
      </w:pPr>
      <w:r w:rsidRPr="003B7911">
        <w:rPr>
          <w:rFonts w:ascii="Calibri" w:eastAsia="Calibri" w:hAnsi="Calibri" w:cs="Calibri"/>
          <w:sz w:val="76"/>
          <w:szCs w:val="76"/>
          <w:lang w:val="en-US"/>
        </w:rPr>
        <w:t>(3221 words)</w:t>
      </w:r>
    </w:p>
    <w:p w14:paraId="00000008" w14:textId="77777777" w:rsidR="00D7056D" w:rsidRPr="003B7911" w:rsidRDefault="00000000">
      <w:pPr>
        <w:shd w:val="clear" w:color="auto" w:fill="99FF99"/>
        <w:spacing w:before="240" w:after="240" w:line="240" w:lineRule="auto"/>
        <w:ind w:left="120"/>
        <w:rPr>
          <w:rFonts w:ascii="Calibri" w:eastAsia="Calibri" w:hAnsi="Calibri" w:cs="Calibri"/>
          <w:sz w:val="76"/>
          <w:szCs w:val="76"/>
          <w:lang w:val="en-US"/>
        </w:rPr>
      </w:pPr>
      <w:r w:rsidRPr="003B7911">
        <w:rPr>
          <w:rFonts w:ascii="Calibri" w:eastAsia="Calibri" w:hAnsi="Calibri" w:cs="Calibri"/>
          <w:sz w:val="76"/>
          <w:szCs w:val="76"/>
          <w:lang w:val="en-US"/>
        </w:rPr>
        <w:t xml:space="preserve"> </w:t>
      </w:r>
    </w:p>
    <w:p w14:paraId="00000009" w14:textId="77777777" w:rsidR="00D7056D" w:rsidRPr="003B7911" w:rsidRDefault="00D7056D">
      <w:pPr>
        <w:rPr>
          <w:rFonts w:ascii="Calibri" w:eastAsia="Calibri" w:hAnsi="Calibri" w:cs="Calibri"/>
          <w:lang w:val="en-US"/>
        </w:rPr>
      </w:pPr>
    </w:p>
    <w:p w14:paraId="0000000A" w14:textId="77777777" w:rsidR="00D7056D" w:rsidRPr="003B7911" w:rsidRDefault="00D7056D">
      <w:pPr>
        <w:pStyle w:val="Ttulo1"/>
        <w:keepNext w:val="0"/>
        <w:keepLines w:val="0"/>
        <w:spacing w:before="120" w:after="0" w:line="204" w:lineRule="auto"/>
        <w:ind w:right="180"/>
        <w:rPr>
          <w:rFonts w:ascii="Calibri" w:eastAsia="Calibri" w:hAnsi="Calibri" w:cs="Calibri"/>
          <w:b/>
          <w:sz w:val="46"/>
          <w:szCs w:val="46"/>
          <w:lang w:val="en-US"/>
        </w:rPr>
      </w:pPr>
      <w:bookmarkStart w:id="0" w:name="_c6q2kt7r692" w:colFirst="0" w:colLast="0"/>
      <w:bookmarkEnd w:id="0"/>
    </w:p>
    <w:p w14:paraId="0000000B" w14:textId="77777777" w:rsidR="00D7056D" w:rsidRPr="003B7911" w:rsidRDefault="00D7056D">
      <w:pPr>
        <w:pStyle w:val="Ttulo1"/>
        <w:keepNext w:val="0"/>
        <w:keepLines w:val="0"/>
        <w:spacing w:before="120" w:after="0" w:line="204" w:lineRule="auto"/>
        <w:ind w:right="180"/>
        <w:rPr>
          <w:rFonts w:ascii="Calibri" w:eastAsia="Calibri" w:hAnsi="Calibri" w:cs="Calibri"/>
          <w:b/>
          <w:sz w:val="46"/>
          <w:szCs w:val="46"/>
          <w:lang w:val="en-US"/>
        </w:rPr>
      </w:pPr>
      <w:bookmarkStart w:id="1" w:name="_o1hr9waep3ea" w:colFirst="0" w:colLast="0"/>
      <w:bookmarkEnd w:id="1"/>
    </w:p>
    <w:p w14:paraId="0000000C" w14:textId="77777777" w:rsidR="00D7056D" w:rsidRPr="003B7911" w:rsidRDefault="00D7056D">
      <w:pPr>
        <w:rPr>
          <w:rFonts w:ascii="Calibri" w:eastAsia="Calibri" w:hAnsi="Calibri" w:cs="Calibri"/>
          <w:lang w:val="en-US"/>
        </w:rPr>
      </w:pPr>
    </w:p>
    <w:p w14:paraId="0000000D" w14:textId="77777777" w:rsidR="00D7056D" w:rsidRPr="003B7911" w:rsidRDefault="00D7056D">
      <w:pPr>
        <w:rPr>
          <w:rFonts w:ascii="Calibri" w:eastAsia="Calibri" w:hAnsi="Calibri" w:cs="Calibri"/>
          <w:lang w:val="en-US"/>
        </w:rPr>
      </w:pPr>
    </w:p>
    <w:p w14:paraId="0000000E" w14:textId="77777777" w:rsidR="00D7056D" w:rsidRPr="003B7911" w:rsidRDefault="00D7056D">
      <w:pPr>
        <w:rPr>
          <w:rFonts w:ascii="Calibri" w:eastAsia="Calibri" w:hAnsi="Calibri" w:cs="Calibri"/>
          <w:lang w:val="en-US"/>
        </w:rPr>
      </w:pPr>
    </w:p>
    <w:p w14:paraId="0000000F" w14:textId="77777777" w:rsidR="00D7056D" w:rsidRPr="003B7911" w:rsidRDefault="00D7056D">
      <w:pPr>
        <w:rPr>
          <w:rFonts w:ascii="Calibri" w:eastAsia="Calibri" w:hAnsi="Calibri" w:cs="Calibri"/>
          <w:lang w:val="en-US"/>
        </w:rPr>
      </w:pPr>
    </w:p>
    <w:p w14:paraId="00000010" w14:textId="77777777" w:rsidR="00D7056D" w:rsidRPr="003B7911" w:rsidRDefault="00D7056D">
      <w:pPr>
        <w:rPr>
          <w:rFonts w:ascii="Calibri" w:eastAsia="Calibri" w:hAnsi="Calibri" w:cs="Calibri"/>
          <w:lang w:val="en-US"/>
        </w:rPr>
      </w:pPr>
    </w:p>
    <w:p w14:paraId="00000011" w14:textId="77777777" w:rsidR="00D7056D" w:rsidRPr="003B7911" w:rsidRDefault="00D7056D">
      <w:pPr>
        <w:rPr>
          <w:rFonts w:ascii="Calibri" w:eastAsia="Calibri" w:hAnsi="Calibri" w:cs="Calibri"/>
          <w:lang w:val="en-US"/>
        </w:rPr>
      </w:pPr>
    </w:p>
    <w:p w14:paraId="00000012" w14:textId="77777777" w:rsidR="00D7056D" w:rsidRPr="003B7911" w:rsidRDefault="00D7056D">
      <w:pPr>
        <w:rPr>
          <w:rFonts w:ascii="Calibri" w:eastAsia="Calibri" w:hAnsi="Calibri" w:cs="Calibri"/>
          <w:lang w:val="en-US"/>
        </w:rPr>
      </w:pPr>
    </w:p>
    <w:p w14:paraId="00000013" w14:textId="77777777" w:rsidR="00D7056D" w:rsidRPr="003B7911" w:rsidRDefault="00D7056D">
      <w:pPr>
        <w:rPr>
          <w:rFonts w:ascii="Calibri" w:eastAsia="Calibri" w:hAnsi="Calibri" w:cs="Calibri"/>
          <w:lang w:val="en-US"/>
        </w:rPr>
      </w:pPr>
    </w:p>
    <w:p w14:paraId="00000014" w14:textId="77777777" w:rsidR="00D7056D" w:rsidRPr="003B7911" w:rsidRDefault="00D7056D">
      <w:pPr>
        <w:rPr>
          <w:rFonts w:ascii="Calibri" w:eastAsia="Calibri" w:hAnsi="Calibri" w:cs="Calibri"/>
          <w:lang w:val="en-US"/>
        </w:rPr>
      </w:pPr>
    </w:p>
    <w:p w14:paraId="00000015" w14:textId="77777777" w:rsidR="00D7056D" w:rsidRPr="003B7911" w:rsidRDefault="00D7056D">
      <w:pPr>
        <w:rPr>
          <w:rFonts w:ascii="Calibri" w:eastAsia="Calibri" w:hAnsi="Calibri" w:cs="Calibri"/>
          <w:lang w:val="en-US"/>
        </w:rPr>
      </w:pPr>
    </w:p>
    <w:p w14:paraId="00000016" w14:textId="77777777" w:rsidR="00D7056D" w:rsidRPr="003B7911" w:rsidRDefault="00D7056D">
      <w:pPr>
        <w:rPr>
          <w:rFonts w:ascii="Calibri" w:eastAsia="Calibri" w:hAnsi="Calibri" w:cs="Calibri"/>
          <w:lang w:val="en-US"/>
        </w:rPr>
      </w:pPr>
    </w:p>
    <w:p w14:paraId="00000017" w14:textId="77777777" w:rsidR="00D7056D" w:rsidRPr="003B7911" w:rsidRDefault="00000000">
      <w:pPr>
        <w:pStyle w:val="Ttulo1"/>
        <w:keepNext w:val="0"/>
        <w:keepLines w:val="0"/>
        <w:spacing w:before="120" w:after="0" w:line="204" w:lineRule="auto"/>
        <w:ind w:right="180"/>
        <w:rPr>
          <w:rFonts w:asciiTheme="majorHAnsi" w:eastAsia="Calibri" w:hAnsiTheme="majorHAnsi" w:cstheme="majorHAnsi"/>
          <w:b/>
          <w:sz w:val="22"/>
          <w:szCs w:val="22"/>
          <w:lang w:val="en-US"/>
        </w:rPr>
      </w:pPr>
      <w:bookmarkStart w:id="2" w:name="_r13b9dtkmyhu" w:colFirst="0" w:colLast="0"/>
      <w:bookmarkEnd w:id="2"/>
      <w:r w:rsidRPr="003B7911">
        <w:rPr>
          <w:rFonts w:asciiTheme="majorHAnsi" w:eastAsia="Calibri" w:hAnsiTheme="majorHAnsi" w:cstheme="majorHAnsi"/>
          <w:b/>
          <w:sz w:val="22"/>
          <w:szCs w:val="22"/>
          <w:lang w:val="en-US"/>
        </w:rPr>
        <w:t>Introduction</w:t>
      </w:r>
    </w:p>
    <w:p w14:paraId="00000018" w14:textId="77777777" w:rsidR="00D7056D" w:rsidRPr="003B7911" w:rsidRDefault="00000000">
      <w:pPr>
        <w:spacing w:before="280"/>
        <w:ind w:right="160"/>
        <w:jc w:val="both"/>
        <w:rPr>
          <w:rFonts w:asciiTheme="majorHAnsi" w:eastAsia="Calibri" w:hAnsiTheme="majorHAnsi" w:cstheme="majorHAnsi"/>
          <w:lang w:val="en-US"/>
        </w:rPr>
      </w:pPr>
      <w:r w:rsidRPr="003B7911">
        <w:rPr>
          <w:rFonts w:asciiTheme="majorHAnsi" w:eastAsia="Calibri" w:hAnsiTheme="majorHAnsi" w:cstheme="majorHAnsi"/>
          <w:b/>
          <w:lang w:val="en-US"/>
        </w:rPr>
        <w:t xml:space="preserve">ODRI - the Office against Discrimination, Racism, and Intolerance </w:t>
      </w:r>
      <w:r w:rsidRPr="003B7911">
        <w:rPr>
          <w:rFonts w:asciiTheme="majorHAnsi" w:eastAsia="Calibri" w:hAnsiTheme="majorHAnsi" w:cstheme="majorHAnsi"/>
          <w:lang w:val="en-US"/>
        </w:rPr>
        <w:t>is</w:t>
      </w:r>
      <w:r w:rsidRPr="003B7911">
        <w:rPr>
          <w:rFonts w:asciiTheme="majorHAnsi" w:eastAsia="Calibri" w:hAnsiTheme="majorHAnsi" w:cstheme="majorHAnsi"/>
          <w:b/>
          <w:lang w:val="en-US"/>
        </w:rPr>
        <w:t xml:space="preserve"> </w:t>
      </w:r>
      <w:r w:rsidRPr="003B7911">
        <w:rPr>
          <w:rFonts w:asciiTheme="majorHAnsi" w:eastAsia="Calibri" w:hAnsiTheme="majorHAnsi" w:cstheme="majorHAnsi"/>
          <w:lang w:val="en-US"/>
        </w:rPr>
        <w:t xml:space="preserve">pleased to contribute with the work of the Committee on the Elimination of Discrimination against Women. This document focuses on key aspects in Chile that require the Committee's attention: </w:t>
      </w:r>
    </w:p>
    <w:p w14:paraId="00000019" w14:textId="77777777" w:rsidR="00D7056D" w:rsidRPr="003B7911" w:rsidRDefault="00000000">
      <w:pPr>
        <w:spacing w:before="280"/>
        <w:ind w:right="160"/>
        <w:jc w:val="both"/>
        <w:rPr>
          <w:rFonts w:asciiTheme="majorHAnsi" w:eastAsia="Calibri" w:hAnsiTheme="majorHAnsi" w:cstheme="majorHAnsi"/>
          <w:b/>
          <w:lang w:val="en-US"/>
        </w:rPr>
      </w:pPr>
      <w:r w:rsidRPr="003B7911">
        <w:rPr>
          <w:rFonts w:asciiTheme="majorHAnsi" w:eastAsia="Calibri" w:hAnsiTheme="majorHAnsi" w:cstheme="majorHAnsi"/>
          <w:b/>
          <w:lang w:val="en-US"/>
        </w:rPr>
        <w:t>Legislative framework: A pending necessity to adequate the Ley Zamudio to articles 1 and 2 of CEDAW and target 5.1 of the SDGs to eliminate discrimination against women</w:t>
      </w:r>
    </w:p>
    <w:p w14:paraId="0000001A" w14:textId="5C9EC9DE" w:rsidR="00D7056D" w:rsidRPr="003B7911" w:rsidRDefault="00000000">
      <w:pPr>
        <w:numPr>
          <w:ilvl w:val="0"/>
          <w:numId w:val="1"/>
        </w:numPr>
        <w:spacing w:before="280"/>
        <w:ind w:left="283" w:right="160" w:hanging="283"/>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Since July 24, 2012, Law 20,609, </w:t>
      </w:r>
      <w:r w:rsidRPr="003B7911">
        <w:rPr>
          <w:rFonts w:asciiTheme="majorHAnsi" w:eastAsia="Calibri" w:hAnsiTheme="majorHAnsi" w:cstheme="majorHAnsi"/>
          <w:i/>
          <w:lang w:val="en-US"/>
        </w:rPr>
        <w:t>Ley Zamudio</w:t>
      </w:r>
      <w:r w:rsidRPr="003B7911">
        <w:rPr>
          <w:rFonts w:asciiTheme="majorHAnsi" w:eastAsia="Calibri" w:hAnsiTheme="majorHAnsi" w:cstheme="majorHAnsi"/>
          <w:lang w:val="en-US"/>
        </w:rPr>
        <w:t xml:space="preserve"> in memory of the hate crime perpetrated against Daniel Zamudio in San Borja </w:t>
      </w:r>
      <w:r w:rsidR="003B7911" w:rsidRPr="003B7911">
        <w:rPr>
          <w:rFonts w:asciiTheme="majorHAnsi" w:eastAsia="Calibri" w:hAnsiTheme="majorHAnsi" w:cstheme="majorHAnsi"/>
          <w:lang w:val="en-US"/>
        </w:rPr>
        <w:t>Park, represents</w:t>
      </w:r>
      <w:r w:rsidRPr="003B7911">
        <w:rPr>
          <w:rFonts w:asciiTheme="majorHAnsi" w:eastAsia="Calibri" w:hAnsiTheme="majorHAnsi" w:cstheme="majorHAnsi"/>
          <w:lang w:val="en-US"/>
        </w:rPr>
        <w:t xml:space="preserve"> a fundamental step forward in responding </w:t>
      </w:r>
      <w:r w:rsidR="003B7911" w:rsidRPr="003B7911">
        <w:rPr>
          <w:rFonts w:asciiTheme="majorHAnsi" w:eastAsia="Calibri" w:hAnsiTheme="majorHAnsi" w:cstheme="majorHAnsi"/>
          <w:lang w:val="en-US"/>
        </w:rPr>
        <w:t>to discrimination</w:t>
      </w:r>
      <w:r w:rsidRPr="003B7911">
        <w:rPr>
          <w:rFonts w:asciiTheme="majorHAnsi" w:eastAsia="Calibri" w:hAnsiTheme="majorHAnsi" w:cstheme="majorHAnsi"/>
          <w:lang w:val="en-US"/>
        </w:rPr>
        <w:t xml:space="preserve"> in </w:t>
      </w:r>
      <w:r w:rsidR="003B7911" w:rsidRPr="003B7911">
        <w:rPr>
          <w:rFonts w:asciiTheme="majorHAnsi" w:eastAsia="Calibri" w:hAnsiTheme="majorHAnsi" w:cstheme="majorHAnsi"/>
          <w:lang w:val="en-US"/>
        </w:rPr>
        <w:t>all</w:t>
      </w:r>
      <w:r w:rsidRPr="003B7911">
        <w:rPr>
          <w:rFonts w:asciiTheme="majorHAnsi" w:eastAsia="Calibri" w:hAnsiTheme="majorHAnsi" w:cstheme="majorHAnsi"/>
          <w:lang w:val="en-US"/>
        </w:rPr>
        <w:t xml:space="preserve"> its forms. This regulatory instrument establishes an </w:t>
      </w:r>
      <w:r w:rsidR="003B7911" w:rsidRPr="003B7911">
        <w:rPr>
          <w:rFonts w:asciiTheme="majorHAnsi" w:eastAsia="Calibri" w:hAnsiTheme="majorHAnsi" w:cstheme="majorHAnsi"/>
          <w:lang w:val="en-US"/>
        </w:rPr>
        <w:t>expedited judicial</w:t>
      </w:r>
      <w:r w:rsidRPr="003B7911">
        <w:rPr>
          <w:rFonts w:asciiTheme="majorHAnsi" w:eastAsia="Calibri" w:hAnsiTheme="majorHAnsi" w:cstheme="majorHAnsi"/>
          <w:lang w:val="en-US"/>
        </w:rPr>
        <w:t xml:space="preserve"> civil proceeding to determine the existence of any type of arbitrary discrimination when based on race, religion, sex, maternity, breastfeeding, nursing, sexual orientation, or gender identity or expression, imposing fines for the benefit of the tax authorities.</w:t>
      </w:r>
    </w:p>
    <w:p w14:paraId="0000001B" w14:textId="1DBEF46A" w:rsidR="00D7056D" w:rsidRPr="003B7911" w:rsidRDefault="00000000">
      <w:pPr>
        <w:numPr>
          <w:ilvl w:val="0"/>
          <w:numId w:val="1"/>
        </w:numPr>
        <w:ind w:left="283" w:right="160" w:hanging="283"/>
        <w:jc w:val="both"/>
        <w:rPr>
          <w:rFonts w:asciiTheme="majorHAnsi" w:eastAsia="Calibri" w:hAnsiTheme="majorHAnsi" w:cstheme="majorHAnsi"/>
          <w:lang w:val="en-US"/>
        </w:rPr>
      </w:pPr>
      <w:r w:rsidRPr="003B7911">
        <w:rPr>
          <w:rFonts w:asciiTheme="majorHAnsi" w:eastAsia="Calibri" w:hAnsiTheme="majorHAnsi" w:cstheme="majorHAnsi"/>
          <w:lang w:val="en-US"/>
        </w:rPr>
        <w:t>The Chilean state has reported in the annex to the periodic report that</w:t>
      </w:r>
      <w:r w:rsidRPr="003B7911">
        <w:rPr>
          <w:rFonts w:asciiTheme="majorHAnsi" w:eastAsia="Calibri" w:hAnsiTheme="majorHAnsi" w:cstheme="majorHAnsi"/>
          <w:vertAlign w:val="superscript"/>
        </w:rPr>
        <w:footnoteReference w:id="1"/>
      </w:r>
      <w:r w:rsidRPr="003B7911">
        <w:rPr>
          <w:rFonts w:asciiTheme="majorHAnsi" w:eastAsia="Calibri" w:hAnsiTheme="majorHAnsi" w:cstheme="majorHAnsi"/>
          <w:lang w:val="en-US"/>
        </w:rPr>
        <w:t xml:space="preserve"> Since the enactment of </w:t>
      </w:r>
      <w:r w:rsidRPr="003B7911">
        <w:rPr>
          <w:rFonts w:asciiTheme="majorHAnsi" w:eastAsia="Calibri" w:hAnsiTheme="majorHAnsi" w:cstheme="majorHAnsi"/>
          <w:i/>
          <w:lang w:val="en-US"/>
        </w:rPr>
        <w:t>Ley Zamudio</w:t>
      </w:r>
      <w:r w:rsidRPr="003B7911">
        <w:rPr>
          <w:rFonts w:asciiTheme="majorHAnsi" w:eastAsia="Calibri" w:hAnsiTheme="majorHAnsi" w:cstheme="majorHAnsi"/>
          <w:lang w:val="en-US"/>
        </w:rPr>
        <w:t xml:space="preserve"> only 199 cases have been filed, although this may seem positive, this low number of cases does not distinguish between gender-based discrimination, racial discrimination and xenophobia, nor intersectional forms of discrimination. In training sessions, the National Observatory for Civic Participation and </w:t>
      </w:r>
      <w:r w:rsidR="003B7911" w:rsidRPr="003B7911">
        <w:rPr>
          <w:rFonts w:asciiTheme="majorHAnsi" w:eastAsia="Calibri" w:hAnsiTheme="majorHAnsi" w:cstheme="majorHAnsi"/>
          <w:lang w:val="en-US"/>
        </w:rPr>
        <w:t>Non-Discrimination</w:t>
      </w:r>
      <w:r w:rsidRPr="003B7911">
        <w:rPr>
          <w:rFonts w:asciiTheme="majorHAnsi" w:eastAsia="Calibri" w:hAnsiTheme="majorHAnsi" w:cstheme="majorHAnsi"/>
          <w:lang w:val="en-US"/>
        </w:rPr>
        <w:t xml:space="preserve"> has unofficially confirmed that most of the cases substantiated under the Ley Zamudio are related to disability, as these cases are less contested by entities or respondents that have been accused of committing a discriminatory act. As a result, there is no disaggregated data on how cases of discrimination under Law Zamudio have responded to allegations presented by migrant women, women of African descent, LBTI women, or women with disabilities. In </w:t>
      </w:r>
      <w:r w:rsidR="003B7911" w:rsidRPr="003B7911">
        <w:rPr>
          <w:rFonts w:asciiTheme="majorHAnsi" w:eastAsia="Calibri" w:hAnsiTheme="majorHAnsi" w:cstheme="majorHAnsi"/>
          <w:lang w:val="en-US"/>
        </w:rPr>
        <w:t>addition, The</w:t>
      </w:r>
      <w:r w:rsidRPr="003B7911">
        <w:rPr>
          <w:rFonts w:asciiTheme="majorHAnsi" w:eastAsia="Calibri" w:hAnsiTheme="majorHAnsi" w:cstheme="majorHAnsi"/>
          <w:color w:val="00000A"/>
          <w:lang w:val="en-US"/>
        </w:rPr>
        <w:t xml:space="preserve"> government has not collected disaggregated information on the impact of the legislation on prevention, the types of abuse committed online by perpetrators, or the reparations provided to the victims.</w:t>
      </w:r>
    </w:p>
    <w:p w14:paraId="0000001C" w14:textId="5704F0F5" w:rsidR="00D7056D" w:rsidRPr="003B7911" w:rsidRDefault="00000000">
      <w:pPr>
        <w:numPr>
          <w:ilvl w:val="0"/>
          <w:numId w:val="1"/>
        </w:numPr>
        <w:ind w:left="283" w:right="160" w:hanging="283"/>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In this regard, the definition of discrimination contained in article 2 of Law </w:t>
      </w:r>
      <w:r w:rsidR="003B7911" w:rsidRPr="003B7911">
        <w:rPr>
          <w:rFonts w:asciiTheme="majorHAnsi" w:eastAsia="Calibri" w:hAnsiTheme="majorHAnsi" w:cstheme="majorHAnsi"/>
          <w:lang w:val="en-US"/>
        </w:rPr>
        <w:t>20.609 does</w:t>
      </w:r>
      <w:r w:rsidRPr="003B7911">
        <w:rPr>
          <w:rFonts w:asciiTheme="majorHAnsi" w:eastAsia="Calibri" w:hAnsiTheme="majorHAnsi" w:cstheme="majorHAnsi"/>
          <w:lang w:val="en-US"/>
        </w:rPr>
        <w:t xml:space="preserve"> not fully align to the comprehensive definition of discrimination covering all internationally recognized prohibited grounds of </w:t>
      </w:r>
      <w:r w:rsidR="003B7911" w:rsidRPr="003B7911">
        <w:rPr>
          <w:rFonts w:asciiTheme="majorHAnsi" w:eastAsia="Calibri" w:hAnsiTheme="majorHAnsi" w:cstheme="majorHAnsi"/>
          <w:lang w:val="en-US"/>
        </w:rPr>
        <w:t>discrimination as</w:t>
      </w:r>
      <w:r w:rsidRPr="003B7911">
        <w:rPr>
          <w:rFonts w:asciiTheme="majorHAnsi" w:eastAsia="Calibri" w:hAnsiTheme="majorHAnsi" w:cstheme="majorHAnsi"/>
          <w:lang w:val="en-US"/>
        </w:rPr>
        <w:t xml:space="preserve"> provided </w:t>
      </w:r>
      <w:r w:rsidR="003B7911" w:rsidRPr="003B7911">
        <w:rPr>
          <w:rFonts w:asciiTheme="majorHAnsi" w:eastAsia="Calibri" w:hAnsiTheme="majorHAnsi" w:cstheme="majorHAnsi"/>
          <w:lang w:val="en-US"/>
        </w:rPr>
        <w:t>by Articles</w:t>
      </w:r>
      <w:r w:rsidRPr="003B7911">
        <w:rPr>
          <w:rFonts w:asciiTheme="majorHAnsi" w:eastAsia="Calibri" w:hAnsiTheme="majorHAnsi" w:cstheme="majorHAnsi"/>
          <w:lang w:val="en-US"/>
        </w:rPr>
        <w:t xml:space="preserve"> 1 and 2 of the Convention on the Elimination of All Forms of Discrimination against Women. The national definition restricts the scope of discrimination   to specific “distinction, exclusion or restriction” that “lacks reasonable justification” (</w:t>
      </w:r>
      <w:r w:rsidR="003B7911" w:rsidRPr="003B7911">
        <w:rPr>
          <w:rFonts w:asciiTheme="majorHAnsi" w:eastAsia="Calibri" w:hAnsiTheme="majorHAnsi" w:cstheme="majorHAnsi"/>
          <w:i/>
          <w:lang w:val="en-US"/>
        </w:rPr>
        <w:t>que carezca</w:t>
      </w:r>
      <w:r w:rsidRPr="003B7911">
        <w:rPr>
          <w:rFonts w:asciiTheme="majorHAnsi" w:eastAsia="Calibri" w:hAnsiTheme="majorHAnsi" w:cstheme="majorHAnsi"/>
          <w:i/>
          <w:lang w:val="en-US"/>
        </w:rPr>
        <w:t xml:space="preserve"> justificación razonable</w:t>
      </w:r>
      <w:r w:rsidRPr="003B7911">
        <w:rPr>
          <w:rFonts w:asciiTheme="majorHAnsi" w:eastAsia="Calibri" w:hAnsiTheme="majorHAnsi" w:cstheme="majorHAnsi"/>
          <w:lang w:val="en-US"/>
        </w:rPr>
        <w:t xml:space="preserve">). Thus, categories of discrimination expressed in this law can be justified “in the legitimate exercise of another fundamental right”. Such a definition creates a sort of burden of proof on victims of discrimination that are required to prove that discrimination is unreasonable before any court. Furthermore, </w:t>
      </w:r>
      <w:r w:rsidRPr="003B7911">
        <w:rPr>
          <w:rFonts w:asciiTheme="majorHAnsi" w:eastAsia="Calibri" w:hAnsiTheme="majorHAnsi" w:cstheme="majorHAnsi"/>
          <w:i/>
          <w:lang w:val="en-US"/>
        </w:rPr>
        <w:t>Ley Zamudio</w:t>
      </w:r>
      <w:r w:rsidRPr="003B7911">
        <w:rPr>
          <w:rFonts w:asciiTheme="majorHAnsi" w:eastAsia="Calibri" w:hAnsiTheme="majorHAnsi" w:cstheme="majorHAnsi"/>
          <w:lang w:val="en-US"/>
        </w:rPr>
        <w:t xml:space="preserve"> introduced a defense for defendants to deny the claims from victims by justifying that their discriminatory act was a result of the exercise of a fundamental right, such as freedom of religion, freedom of speech, or freedom of enterprise and investment. Such </w:t>
      </w:r>
      <w:r w:rsidR="003B7911" w:rsidRPr="003B7911">
        <w:rPr>
          <w:rFonts w:asciiTheme="majorHAnsi" w:eastAsia="Calibri" w:hAnsiTheme="majorHAnsi" w:cstheme="majorHAnsi"/>
          <w:lang w:val="en-US"/>
        </w:rPr>
        <w:t>a defense</w:t>
      </w:r>
      <w:r w:rsidRPr="003B7911">
        <w:rPr>
          <w:rFonts w:asciiTheme="majorHAnsi" w:eastAsia="Calibri" w:hAnsiTheme="majorHAnsi" w:cstheme="majorHAnsi"/>
          <w:lang w:val="en-US"/>
        </w:rPr>
        <w:t xml:space="preserve"> has allowed a legal system where discrimination would go unsubstantiated or unpunished. There are other barriers to access to justice for victims of discrimination as </w:t>
      </w:r>
      <w:r w:rsidRPr="003B7911">
        <w:rPr>
          <w:rFonts w:asciiTheme="majorHAnsi" w:eastAsia="Calibri" w:hAnsiTheme="majorHAnsi" w:cstheme="majorHAnsi"/>
          <w:i/>
          <w:lang w:val="en-US"/>
        </w:rPr>
        <w:t>Ley Zamudio</w:t>
      </w:r>
      <w:r w:rsidRPr="003B7911">
        <w:rPr>
          <w:rFonts w:asciiTheme="majorHAnsi" w:eastAsia="Calibri" w:hAnsiTheme="majorHAnsi" w:cstheme="majorHAnsi"/>
          <w:lang w:val="en-US"/>
        </w:rPr>
        <w:t xml:space="preserve"> introduces a statutory limitation of </w:t>
      </w:r>
      <w:r w:rsidRPr="003B7911">
        <w:rPr>
          <w:rFonts w:asciiTheme="majorHAnsi" w:eastAsia="Calibri" w:hAnsiTheme="majorHAnsi" w:cstheme="majorHAnsi"/>
          <w:lang w:val="en-US"/>
        </w:rPr>
        <w:lastRenderedPageBreak/>
        <w:t>90 days to initiate a legal proceeding, and victims do not receive any economic compensations for pecuniary or non-pecuniary damages or other substantial reparations ordered by the civil courts. On the other hand, if discrimination has not been proved by the civil judiciary, victims could face fines ordered by the judiciary.</w:t>
      </w:r>
    </w:p>
    <w:p w14:paraId="0000001D" w14:textId="77777777" w:rsidR="00D7056D" w:rsidRPr="003B7911" w:rsidRDefault="00000000">
      <w:pPr>
        <w:numPr>
          <w:ilvl w:val="0"/>
          <w:numId w:val="1"/>
        </w:numPr>
        <w:ind w:left="283" w:right="160" w:hanging="283"/>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The Chilean Parliament is fully aware of the limits of national legislation and has discussed amendments to the </w:t>
      </w:r>
      <w:r w:rsidRPr="003B7911">
        <w:rPr>
          <w:rFonts w:asciiTheme="majorHAnsi" w:eastAsia="Calibri" w:hAnsiTheme="majorHAnsi" w:cstheme="majorHAnsi"/>
          <w:i/>
          <w:lang w:val="en-US"/>
        </w:rPr>
        <w:t>Ley Zamudio</w:t>
      </w:r>
      <w:r w:rsidRPr="003B7911">
        <w:rPr>
          <w:rFonts w:asciiTheme="majorHAnsi" w:eastAsia="Calibri" w:hAnsiTheme="majorHAnsi" w:cstheme="majorHAnsi"/>
          <w:lang w:val="en-US"/>
        </w:rPr>
        <w:t>. Bill proposal on Bulletin 12748-17 proposes to include both direct and indirect forms of discrimination, as well as structural and intersecting forms of discrimination. Moreover, the supreme court's report mentions how challenging it would be for judges to rule on the matter and find measures to combat structural discrimination. It also tries to address the barriers of victims of discrimination, introducing the reversal of the burden on proof during judicial proceedings</w:t>
      </w:r>
      <w:r w:rsidRPr="003B7911">
        <w:rPr>
          <w:rFonts w:asciiTheme="majorHAnsi" w:eastAsia="Calibri" w:hAnsiTheme="majorHAnsi" w:cstheme="majorHAnsi"/>
          <w:vertAlign w:val="superscript"/>
        </w:rPr>
        <w:footnoteReference w:id="2"/>
      </w:r>
      <w:r w:rsidRPr="003B7911">
        <w:rPr>
          <w:rFonts w:asciiTheme="majorHAnsi" w:eastAsia="Calibri" w:hAnsiTheme="majorHAnsi" w:cstheme="majorHAnsi"/>
          <w:lang w:val="en-US"/>
        </w:rPr>
        <w:t xml:space="preserve">. </w:t>
      </w:r>
    </w:p>
    <w:p w14:paraId="0000001E" w14:textId="14AB9AD8" w:rsidR="00D7056D" w:rsidRPr="003B7911" w:rsidRDefault="00000000">
      <w:pPr>
        <w:numPr>
          <w:ilvl w:val="0"/>
          <w:numId w:val="1"/>
        </w:numPr>
        <w:ind w:left="283" w:right="160" w:hanging="283"/>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 Furthermore, this draft legislation, Bulletin 12748-17, was rejected by the Senate on June 4th</w:t>
      </w:r>
      <w:r w:rsidR="003B7911" w:rsidRPr="003B7911">
        <w:rPr>
          <w:rFonts w:asciiTheme="majorHAnsi" w:eastAsia="Calibri" w:hAnsiTheme="majorHAnsi" w:cstheme="majorHAnsi"/>
          <w:lang w:val="en-US"/>
        </w:rPr>
        <w:t>, 2024,</w:t>
      </w:r>
      <w:r w:rsidRPr="003B7911">
        <w:rPr>
          <w:rFonts w:asciiTheme="majorHAnsi" w:eastAsia="Calibri" w:hAnsiTheme="majorHAnsi" w:cstheme="majorHAnsi"/>
          <w:lang w:val="en-US"/>
        </w:rPr>
        <w:t xml:space="preserve"> in the House of Representatives by a majority of votes against it. Consequently, a Joint Commission has been formed to continue the legislative processing of this project, </w:t>
      </w:r>
      <w:r w:rsidR="003B7911" w:rsidRPr="003B7911">
        <w:rPr>
          <w:rFonts w:asciiTheme="majorHAnsi" w:eastAsia="Calibri" w:hAnsiTheme="majorHAnsi" w:cstheme="majorHAnsi"/>
          <w:lang w:val="en-US"/>
        </w:rPr>
        <w:t>but</w:t>
      </w:r>
      <w:r w:rsidRPr="003B7911">
        <w:rPr>
          <w:rFonts w:asciiTheme="majorHAnsi" w:eastAsia="Calibri" w:hAnsiTheme="majorHAnsi" w:cstheme="majorHAnsi"/>
          <w:lang w:val="en-US"/>
        </w:rPr>
        <w:t xml:space="preserve"> this legislation might not be approved or would be approved with several changes that could impact on the alignment of this new proposal with international standards. Among the arguments against this bill, it has been argued that the indications incorporated in the Chamber of Deputies would go against the principles of equality before the law, the presumption of innocence, freedom of speech and freedom of religion. A misinformation campaign was promoted by conservative legislators that argue that the new proposal would be used by pro-LGTBI groups and extremist human rights activists to prosecute defenders of the rights of the family. Women with African descent and human rights defenders were not included in the consultations conducted by the government, while LBTI and disability organizations that addressed the Parliament were exposed to hate speech by politicians and public officials.</w:t>
      </w:r>
    </w:p>
    <w:p w14:paraId="0000001F" w14:textId="1368E07E" w:rsidR="00D7056D" w:rsidRPr="003B7911" w:rsidRDefault="00000000">
      <w:pPr>
        <w:numPr>
          <w:ilvl w:val="0"/>
          <w:numId w:val="1"/>
        </w:numPr>
        <w:ind w:left="283" w:right="160" w:hanging="283"/>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The role of parliaments in ratifying the CEDAW Convention and its Optional Protocol have been repeatedly recognized by the Committee and several HR Council resolutions. In that sense Chilean Parliament must ensure that the Convention guides and frames their legislative agenda, as well as the among of laws and policies, and give priority to recommendations of international and regional human rights mechanisms for legislative reform or budgetary adjustment, among </w:t>
      </w:r>
      <w:r w:rsidR="003B7911" w:rsidRPr="003B7911">
        <w:rPr>
          <w:rFonts w:asciiTheme="majorHAnsi" w:eastAsia="Calibri" w:hAnsiTheme="majorHAnsi" w:cstheme="majorHAnsi"/>
          <w:lang w:val="en-US"/>
        </w:rPr>
        <w:t>other</w:t>
      </w:r>
      <w:r w:rsidRPr="003B7911">
        <w:rPr>
          <w:rFonts w:asciiTheme="majorHAnsi" w:eastAsia="Calibri" w:hAnsiTheme="majorHAnsi" w:cstheme="majorHAnsi"/>
          <w:lang w:val="en-US"/>
        </w:rPr>
        <w:t xml:space="preserve"> actions to </w:t>
      </w:r>
      <w:r w:rsidR="003B7911" w:rsidRPr="003B7911">
        <w:rPr>
          <w:rFonts w:asciiTheme="majorHAnsi" w:eastAsia="Calibri" w:hAnsiTheme="majorHAnsi" w:cstheme="majorHAnsi"/>
          <w:lang w:val="en-US"/>
        </w:rPr>
        <w:t>enrich</w:t>
      </w:r>
      <w:r w:rsidRPr="003B7911">
        <w:rPr>
          <w:rFonts w:asciiTheme="majorHAnsi" w:eastAsia="Calibri" w:hAnsiTheme="majorHAnsi" w:cstheme="majorHAnsi"/>
          <w:lang w:val="en-US"/>
        </w:rPr>
        <w:t xml:space="preserve"> the principle of equality among women and men and achieve the goals of the Convention.</w:t>
      </w:r>
    </w:p>
    <w:p w14:paraId="00000020" w14:textId="77777777" w:rsidR="00D7056D" w:rsidRPr="003B7911" w:rsidRDefault="00000000">
      <w:pPr>
        <w:spacing w:before="240" w:after="160" w:line="256" w:lineRule="auto"/>
        <w:jc w:val="both"/>
        <w:rPr>
          <w:rFonts w:asciiTheme="majorHAnsi" w:eastAsia="Calibri" w:hAnsiTheme="majorHAnsi" w:cstheme="majorHAnsi"/>
          <w:shd w:val="clear" w:color="auto" w:fill="C6FFC6"/>
          <w:lang w:val="en-US"/>
        </w:rPr>
      </w:pPr>
      <w:r w:rsidRPr="003B7911">
        <w:rPr>
          <w:rFonts w:asciiTheme="majorHAnsi" w:eastAsia="Calibri" w:hAnsiTheme="majorHAnsi" w:cstheme="majorHAnsi"/>
          <w:shd w:val="clear" w:color="auto" w:fill="C6FFC6"/>
          <w:lang w:val="en-US"/>
        </w:rPr>
        <w:t>ODRI suggests respectfully that the Committee recommends the government:</w:t>
      </w:r>
    </w:p>
    <w:p w14:paraId="00000021" w14:textId="77777777" w:rsidR="00D7056D" w:rsidRPr="003B7911" w:rsidRDefault="00000000">
      <w:pPr>
        <w:spacing w:before="240" w:after="160" w:line="256" w:lineRule="auto"/>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Apply in its legislation a comprehensive definition of discrimination against women and girls contained in article 1 of the Convention, prohibit all discrimination against women, in accordance with article 2 (b) ensuring de jure and de facto formal and substantive equality, addressing both direct and indirect discrimination in the public and private spheres, as well as intersecting forms of discrimination faced by disadvantaged groups of women and girls, such as Women of African descent, lesbian, bisexual, intersex and transgender women, migrant women, women with disabilities, asylum seeking and refugee women, and Roma women in the public and private spheres.</w:t>
      </w:r>
    </w:p>
    <w:p w14:paraId="00000022" w14:textId="77777777" w:rsidR="00D7056D" w:rsidRPr="003B7911" w:rsidRDefault="00000000">
      <w:pPr>
        <w:spacing w:before="240" w:after="160" w:line="256" w:lineRule="auto"/>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 xml:space="preserve">Recall General Recommendation 28 on the core obligations of States parties under article 2 of the Convention and target SDG 5 to end all forms of discrimination against women and girls everywhere. </w:t>
      </w:r>
    </w:p>
    <w:p w14:paraId="00000023" w14:textId="77777777" w:rsidR="00D7056D" w:rsidRPr="003B7911" w:rsidRDefault="00000000">
      <w:pPr>
        <w:spacing w:before="240" w:after="160" w:line="256" w:lineRule="auto"/>
        <w:jc w:val="both"/>
        <w:rPr>
          <w:rFonts w:asciiTheme="majorHAnsi" w:eastAsia="Calibri" w:hAnsiTheme="majorHAnsi" w:cstheme="majorHAnsi"/>
          <w:b/>
          <w:lang w:val="en-US"/>
        </w:rPr>
      </w:pPr>
      <w:r w:rsidRPr="003B7911">
        <w:rPr>
          <w:rFonts w:asciiTheme="majorHAnsi" w:eastAsia="Calibri" w:hAnsiTheme="majorHAnsi" w:cstheme="majorHAnsi"/>
          <w:b/>
          <w:lang w:val="en-US"/>
        </w:rPr>
        <w:lastRenderedPageBreak/>
        <w:t>Stereotypes and gender-based violence against women: Online harassment and the use of artificial intelligence that contravene Articles 5, 7 and 8 of CEDAW</w:t>
      </w:r>
    </w:p>
    <w:p w14:paraId="00000024" w14:textId="77777777" w:rsidR="00D7056D" w:rsidRPr="003B7911" w:rsidRDefault="00000000">
      <w:pPr>
        <w:numPr>
          <w:ilvl w:val="0"/>
          <w:numId w:val="1"/>
        </w:numPr>
        <w:spacing w:before="240"/>
        <w:ind w:left="283"/>
        <w:jc w:val="both"/>
        <w:rPr>
          <w:rFonts w:asciiTheme="majorHAnsi" w:eastAsia="Calibri" w:hAnsiTheme="majorHAnsi" w:cstheme="majorHAnsi"/>
          <w:color w:val="00000A"/>
          <w:lang w:val="en-US"/>
        </w:rPr>
      </w:pPr>
      <w:r w:rsidRPr="003B7911">
        <w:rPr>
          <w:rFonts w:asciiTheme="majorHAnsi" w:eastAsia="Calibri" w:hAnsiTheme="majorHAnsi" w:cstheme="majorHAnsi"/>
          <w:color w:val="00000A"/>
          <w:lang w:val="en-US"/>
        </w:rPr>
        <w:t>Despite the relative progress achieved by the Chilean government following the last Concluding Observations, stereotypes persist in society, giving rise to online sexism, disinformation, sexual harassment and hate speech, thereby hindering the full realization of women's rights. In this section, ODRI would like to shed light on the nocive effects of online harassment and deep-fake pornography targeting girls and women.</w:t>
      </w:r>
    </w:p>
    <w:p w14:paraId="00000025" w14:textId="77777777" w:rsidR="00D7056D" w:rsidRPr="003B7911" w:rsidRDefault="00000000">
      <w:pPr>
        <w:numPr>
          <w:ilvl w:val="0"/>
          <w:numId w:val="1"/>
        </w:numPr>
        <w:ind w:left="283"/>
        <w:jc w:val="both"/>
        <w:rPr>
          <w:rFonts w:asciiTheme="majorHAnsi" w:eastAsia="Calibri" w:hAnsiTheme="majorHAnsi" w:cstheme="majorHAnsi"/>
          <w:color w:val="00000A"/>
          <w:lang w:val="en-US"/>
        </w:rPr>
      </w:pPr>
      <w:r w:rsidRPr="003B7911">
        <w:rPr>
          <w:rFonts w:asciiTheme="majorHAnsi" w:eastAsia="Calibri" w:hAnsiTheme="majorHAnsi" w:cstheme="majorHAnsi"/>
          <w:lang w:val="en-US"/>
        </w:rPr>
        <w:t xml:space="preserve">ODRI has documented different cases of online harassment and deep-fake pornography in Chile, affecting girls and women in male-dominated spaces or gaining notoriety, including female TV and radio presenters, journalists and politicians, students, athletes and women of African descent, Indigenous women and migrant women. Chilean lesbian and transgender activists have faced harassment and are being tormented in online forums where hate speech is propagated to intimidate them or punish them for their identity, or their opinions. In different forums there are several remarks concerning the genitalia of transgender activists arguing that they are not real women, and they will not be never truly feminine, or that they try to impose in female-led spaces to access benefits and pretend they represent womanhood.  Internet forums online allow the use of the N-word and the targeting of women of African descent and migrant women with different stereotypes. Those women are called openly “caribeñas”, “monkeys”, “apes” as replacements for the N-word. They are also hypersexualized online with the use of prejudices such as they carry sexually transmitted diseases and infections. Furthermore, some stereotypes remark that women with African descent and migrant women are only interested in obtaining Chilean nationality, and that they use their bodies as commodities and that Chileans can objectify them. </w:t>
      </w:r>
    </w:p>
    <w:p w14:paraId="00000026" w14:textId="706B29A9" w:rsidR="00D7056D" w:rsidRPr="003B7911" w:rsidRDefault="00000000">
      <w:pPr>
        <w:numPr>
          <w:ilvl w:val="0"/>
          <w:numId w:val="1"/>
        </w:numPr>
        <w:ind w:left="283"/>
        <w:jc w:val="both"/>
        <w:rPr>
          <w:rFonts w:asciiTheme="majorHAnsi" w:eastAsia="Calibri" w:hAnsiTheme="majorHAnsi" w:cstheme="majorHAnsi"/>
          <w:color w:val="00000A"/>
          <w:lang w:val="en-US"/>
        </w:rPr>
      </w:pPr>
      <w:r w:rsidRPr="003B7911">
        <w:rPr>
          <w:rFonts w:asciiTheme="majorHAnsi" w:eastAsia="Calibri" w:hAnsiTheme="majorHAnsi" w:cstheme="majorHAnsi"/>
          <w:lang w:val="en-US"/>
        </w:rPr>
        <w:t xml:space="preserve">Another additional threat is related to the use of artificial intelligence to promote technology-facilitated gender-based violence. In May 2024, a group of students </w:t>
      </w:r>
      <w:r w:rsidR="003B7911" w:rsidRPr="003B7911">
        <w:rPr>
          <w:rFonts w:asciiTheme="majorHAnsi" w:eastAsia="Calibri" w:hAnsiTheme="majorHAnsi" w:cstheme="majorHAnsi"/>
          <w:lang w:val="en-US"/>
        </w:rPr>
        <w:t>at</w:t>
      </w:r>
      <w:r w:rsidRPr="003B7911">
        <w:rPr>
          <w:rFonts w:asciiTheme="majorHAnsi" w:eastAsia="Calibri" w:hAnsiTheme="majorHAnsi" w:cstheme="majorHAnsi"/>
          <w:lang w:val="en-US"/>
        </w:rPr>
        <w:t xml:space="preserve"> a high elite school used artificial intelligence to harass at least seven girls using deep fakes. The school has decided not to suspend or expel the students. The victims issued a complaint against the school obtaining a judicial order by the Santiago`s Appeals Court that verify that the school did not </w:t>
      </w:r>
      <w:r w:rsidR="003B7911" w:rsidRPr="003B7911">
        <w:rPr>
          <w:rFonts w:asciiTheme="majorHAnsi" w:eastAsia="Calibri" w:hAnsiTheme="majorHAnsi" w:cstheme="majorHAnsi"/>
          <w:lang w:val="en-US"/>
        </w:rPr>
        <w:t>implement</w:t>
      </w:r>
      <w:r w:rsidRPr="003B7911">
        <w:rPr>
          <w:rFonts w:asciiTheme="majorHAnsi" w:eastAsia="Calibri" w:hAnsiTheme="majorHAnsi" w:cstheme="majorHAnsi"/>
          <w:lang w:val="en-US"/>
        </w:rPr>
        <w:t xml:space="preserve"> a sexual harassment </w:t>
      </w:r>
      <w:r w:rsidR="003B7911" w:rsidRPr="003B7911">
        <w:rPr>
          <w:rFonts w:asciiTheme="majorHAnsi" w:eastAsia="Calibri" w:hAnsiTheme="majorHAnsi" w:cstheme="majorHAnsi"/>
          <w:lang w:val="en-US"/>
        </w:rPr>
        <w:t>protocol and</w:t>
      </w:r>
      <w:r w:rsidRPr="003B7911">
        <w:rPr>
          <w:rFonts w:asciiTheme="majorHAnsi" w:eastAsia="Calibri" w:hAnsiTheme="majorHAnsi" w:cstheme="majorHAnsi"/>
          <w:lang w:val="en-US"/>
        </w:rPr>
        <w:t xml:space="preserve"> have put in risk victims by exposing them in proximity to their perpetrators. The Santiago Eastern Prosecutor's office has initiated criminal investigations for child pornography and sexual exploitation. </w:t>
      </w:r>
      <w:r w:rsidRPr="003B7911">
        <w:rPr>
          <w:rFonts w:asciiTheme="majorHAnsi" w:eastAsia="Calibri" w:hAnsiTheme="majorHAnsi" w:cstheme="majorHAnsi"/>
          <w:color w:val="00000A"/>
          <w:lang w:val="en-US"/>
        </w:rPr>
        <w:t>Victims of online gender-based violence and hate speech face barriers and must access the general mechanisms available where unfortunately they are still exposed to victim-blaming, and harm minimization attitudes towards image based sexual abuse offences by law enforcement authorities, media regulators, media broadcasters, among others.</w:t>
      </w:r>
      <w:r w:rsidRPr="003B7911">
        <w:rPr>
          <w:rFonts w:asciiTheme="majorHAnsi" w:eastAsia="Calibri" w:hAnsiTheme="majorHAnsi" w:cstheme="majorHAnsi"/>
          <w:lang w:val="en-US"/>
        </w:rPr>
        <w:t xml:space="preserve">  For instance, in the case of the school, the representation of the victims </w:t>
      </w:r>
      <w:r w:rsidR="003B7911" w:rsidRPr="003B7911">
        <w:rPr>
          <w:rFonts w:asciiTheme="majorHAnsi" w:eastAsia="Calibri" w:hAnsiTheme="majorHAnsi" w:cstheme="majorHAnsi"/>
          <w:lang w:val="en-US"/>
        </w:rPr>
        <w:t>has</w:t>
      </w:r>
      <w:r w:rsidRPr="003B7911">
        <w:rPr>
          <w:rFonts w:asciiTheme="majorHAnsi" w:eastAsia="Calibri" w:hAnsiTheme="majorHAnsi" w:cstheme="majorHAnsi"/>
          <w:lang w:val="en-US"/>
        </w:rPr>
        <w:t xml:space="preserve"> raised the issue that the investigations have been repetitive and intrusive, and that they have faced revictimization by sharing their painful experiences over and over with different concerned parties.</w:t>
      </w:r>
    </w:p>
    <w:p w14:paraId="00000027" w14:textId="14DF53E9" w:rsidR="00D7056D" w:rsidRPr="003B7911" w:rsidRDefault="00000000">
      <w:pPr>
        <w:numPr>
          <w:ilvl w:val="0"/>
          <w:numId w:val="1"/>
        </w:numPr>
        <w:ind w:left="283"/>
        <w:jc w:val="both"/>
        <w:rPr>
          <w:rFonts w:asciiTheme="majorHAnsi" w:eastAsia="Calibri" w:hAnsiTheme="majorHAnsi" w:cstheme="majorHAnsi"/>
          <w:color w:val="00000A"/>
          <w:lang w:val="en-US"/>
        </w:rPr>
      </w:pPr>
      <w:r w:rsidRPr="003B7911">
        <w:rPr>
          <w:rFonts w:asciiTheme="majorHAnsi" w:eastAsia="Calibri" w:hAnsiTheme="majorHAnsi" w:cstheme="majorHAnsi"/>
          <w:lang w:val="en-US"/>
        </w:rPr>
        <w:t xml:space="preserve">Despite the magnitude of these forms of violence, the governmental response to online deep-fake pornography and hate speech remains passive and symbolic. </w:t>
      </w:r>
      <w:r w:rsidRPr="003B7911">
        <w:rPr>
          <w:rFonts w:asciiTheme="majorHAnsi" w:eastAsia="Calibri" w:hAnsiTheme="majorHAnsi" w:cstheme="majorHAnsi"/>
          <w:color w:val="00000A"/>
          <w:lang w:val="en-US"/>
        </w:rPr>
        <w:t xml:space="preserve">Being mindful of this reality, Chile has approved some measures to address the impacts of hate speech and artificial intelligence. An Advisory Commission against Disinformation was created by the </w:t>
      </w:r>
      <w:r w:rsidR="003B7911" w:rsidRPr="003B7911">
        <w:rPr>
          <w:rFonts w:asciiTheme="majorHAnsi" w:eastAsia="Calibri" w:hAnsiTheme="majorHAnsi" w:cstheme="majorHAnsi"/>
          <w:color w:val="00000A"/>
          <w:lang w:val="en-US"/>
        </w:rPr>
        <w:t>government,</w:t>
      </w:r>
      <w:r w:rsidRPr="003B7911">
        <w:rPr>
          <w:rFonts w:asciiTheme="majorHAnsi" w:eastAsia="Calibri" w:hAnsiTheme="majorHAnsi" w:cstheme="majorHAnsi"/>
          <w:color w:val="00000A"/>
          <w:lang w:val="en-US"/>
        </w:rPr>
        <w:t xml:space="preserve"> and they have issued some studies concerning the impacts of hate speech on women, including LBTI women. In December 2023, the Commission recommended the adoption of gender-sensitive and gender-responsive measures to combat misinformation campaigns that have not yet applied. On the other hand, the government has issued guidelines on artificial intelligence and a protocol of algorithmic </w:t>
      </w:r>
      <w:r w:rsidRPr="003B7911">
        <w:rPr>
          <w:rFonts w:asciiTheme="majorHAnsi" w:eastAsia="Calibri" w:hAnsiTheme="majorHAnsi" w:cstheme="majorHAnsi"/>
          <w:color w:val="00000A"/>
          <w:lang w:val="en-US"/>
        </w:rPr>
        <w:lastRenderedPageBreak/>
        <w:t xml:space="preserve">transparency without specific references to gender disparities online or the impacts of artificial intelligence on gender equality. Up to this date, victims of deep-fake pornography bear the burden of appealing to hosting platforms to remove hundreds of image-based sexual </w:t>
      </w:r>
      <w:r w:rsidR="003B7911" w:rsidRPr="003B7911">
        <w:rPr>
          <w:rFonts w:asciiTheme="majorHAnsi" w:eastAsia="Calibri" w:hAnsiTheme="majorHAnsi" w:cstheme="majorHAnsi"/>
          <w:color w:val="00000A"/>
          <w:lang w:val="en-US"/>
        </w:rPr>
        <w:t>abuses</w:t>
      </w:r>
      <w:r w:rsidRPr="003B7911">
        <w:rPr>
          <w:rFonts w:asciiTheme="majorHAnsi" w:eastAsia="Calibri" w:hAnsiTheme="majorHAnsi" w:cstheme="majorHAnsi"/>
          <w:color w:val="00000A"/>
          <w:lang w:val="en-US"/>
        </w:rPr>
        <w:t xml:space="preserve">. From time to time, these victims express publicly their dissatisfaction with legal action as abusers remain concealed, change IP addresses, and use fake personal data. </w:t>
      </w:r>
    </w:p>
    <w:p w14:paraId="00000028" w14:textId="6AC0827A" w:rsidR="00D7056D" w:rsidRPr="003B7911" w:rsidRDefault="00000000">
      <w:pPr>
        <w:numPr>
          <w:ilvl w:val="0"/>
          <w:numId w:val="1"/>
        </w:numPr>
        <w:spacing w:after="160"/>
        <w:ind w:left="283"/>
        <w:jc w:val="both"/>
        <w:rPr>
          <w:rFonts w:asciiTheme="majorHAnsi" w:eastAsia="Calibri" w:hAnsiTheme="majorHAnsi" w:cstheme="majorHAnsi"/>
          <w:color w:val="00000A"/>
          <w:lang w:val="en-US"/>
        </w:rPr>
      </w:pPr>
      <w:r w:rsidRPr="003B7911">
        <w:rPr>
          <w:rFonts w:asciiTheme="majorHAnsi" w:eastAsia="Calibri" w:hAnsiTheme="majorHAnsi" w:cstheme="majorHAnsi"/>
          <w:color w:val="00000A"/>
          <w:lang w:val="en-US"/>
        </w:rPr>
        <w:t xml:space="preserve">Victims have to pay specialized technicians and considerable economic resources </w:t>
      </w:r>
      <w:r w:rsidR="003B7911" w:rsidRPr="003B7911">
        <w:rPr>
          <w:rFonts w:asciiTheme="majorHAnsi" w:eastAsia="Calibri" w:hAnsiTheme="majorHAnsi" w:cstheme="majorHAnsi"/>
          <w:color w:val="00000A"/>
          <w:lang w:val="en-US"/>
        </w:rPr>
        <w:t>to</w:t>
      </w:r>
      <w:r w:rsidRPr="003B7911">
        <w:rPr>
          <w:rFonts w:asciiTheme="majorHAnsi" w:eastAsia="Calibri" w:hAnsiTheme="majorHAnsi" w:cstheme="majorHAnsi"/>
          <w:color w:val="00000A"/>
          <w:lang w:val="en-US"/>
        </w:rPr>
        <w:t xml:space="preserve"> ensure the content removal of hate speech or deep-fake pornography, while abusers can create pornographic deep fakes for revenge with free resources, online tutorials or affordable prices available in the Dark Web or artificial intelligence systems. The rampant use of hate speech deep-fake technology by abusers in private groups or forums complicates the investigations, as this material cannot be easily accessed by victims and it is only removed when a complaint is filed by one member of those moderated networks, provided that the company has operational guidelines on the matter </w:t>
      </w:r>
      <w:r w:rsidR="003B7911" w:rsidRPr="003B7911">
        <w:rPr>
          <w:rFonts w:asciiTheme="majorHAnsi" w:eastAsia="Calibri" w:hAnsiTheme="majorHAnsi" w:cstheme="majorHAnsi"/>
          <w:color w:val="00000A"/>
          <w:lang w:val="en-US"/>
        </w:rPr>
        <w:t>and</w:t>
      </w:r>
      <w:r w:rsidRPr="003B7911">
        <w:rPr>
          <w:rFonts w:asciiTheme="majorHAnsi" w:eastAsia="Calibri" w:hAnsiTheme="majorHAnsi" w:cstheme="majorHAnsi"/>
          <w:color w:val="00000A"/>
          <w:lang w:val="en-US"/>
        </w:rPr>
        <w:t xml:space="preserve"> provide remedies to the victims or third parties.</w:t>
      </w:r>
    </w:p>
    <w:p w14:paraId="00000029" w14:textId="77777777" w:rsidR="00D7056D" w:rsidRPr="003B7911" w:rsidRDefault="00000000">
      <w:pPr>
        <w:spacing w:before="240" w:after="160"/>
        <w:jc w:val="both"/>
        <w:rPr>
          <w:rFonts w:asciiTheme="majorHAnsi" w:eastAsia="Calibri" w:hAnsiTheme="majorHAnsi" w:cstheme="majorHAnsi"/>
          <w:color w:val="00000A"/>
          <w:lang w:val="en-US"/>
        </w:rPr>
      </w:pPr>
      <w:r w:rsidRPr="003B7911">
        <w:rPr>
          <w:rFonts w:asciiTheme="majorHAnsi" w:eastAsia="Calibri" w:hAnsiTheme="majorHAnsi" w:cstheme="majorHAnsi"/>
          <w:color w:val="00000A"/>
          <w:lang w:val="en-US"/>
        </w:rPr>
        <w:t>Considering all of the above, ODRI proposes to the members of CEDAW to consider raising the Chilean government to provide the following recommendation:</w:t>
      </w:r>
    </w:p>
    <w:p w14:paraId="0000002A" w14:textId="77777777" w:rsidR="00D7056D" w:rsidRPr="003B7911" w:rsidRDefault="00000000">
      <w:pPr>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Adopt and implement a comprehensive policy on hate speech targeting women and girls, including LBTI women, women with African descent and migrant women, and partner with victims, public and private entities, and boys and men, for its implementation.</w:t>
      </w:r>
    </w:p>
    <w:p w14:paraId="0000002B" w14:textId="77777777" w:rsidR="00D7056D" w:rsidRPr="003B7911" w:rsidRDefault="00D7056D">
      <w:pPr>
        <w:jc w:val="both"/>
        <w:rPr>
          <w:rFonts w:asciiTheme="majorHAnsi" w:eastAsia="Calibri" w:hAnsiTheme="majorHAnsi" w:cstheme="majorHAnsi"/>
          <w:i/>
          <w:shd w:val="clear" w:color="auto" w:fill="C6FFC6"/>
          <w:lang w:val="en-US"/>
        </w:rPr>
      </w:pPr>
    </w:p>
    <w:p w14:paraId="0000002C" w14:textId="77777777" w:rsidR="00D7056D" w:rsidRPr="003B7911" w:rsidRDefault="00000000">
      <w:pPr>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Create new educational programs to address artificial intelligence-driven gender-based violence against women and girls and establish a regulatory framework, issuing a blueprint for an artificial intelligence legislation and an artificial intelligence risk management framework to regulate private actors and technology companies in the mitigation of artificial intelligence-related substantial risks.</w:t>
      </w:r>
    </w:p>
    <w:p w14:paraId="0000002D" w14:textId="77777777" w:rsidR="00D7056D" w:rsidRPr="003B7911" w:rsidRDefault="00D7056D">
      <w:pPr>
        <w:jc w:val="both"/>
        <w:rPr>
          <w:rFonts w:asciiTheme="majorHAnsi" w:eastAsia="Calibri" w:hAnsiTheme="majorHAnsi" w:cstheme="majorHAnsi"/>
          <w:i/>
          <w:shd w:val="clear" w:color="auto" w:fill="C6FFC6"/>
          <w:lang w:val="en-US"/>
        </w:rPr>
      </w:pPr>
    </w:p>
    <w:p w14:paraId="0000002E" w14:textId="0845AC41" w:rsidR="00D7056D" w:rsidRPr="003B7911" w:rsidRDefault="00000000">
      <w:pPr>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 xml:space="preserve">Adopt and enforce stricter penalties for all forms of gender-based violence online, </w:t>
      </w:r>
      <w:r w:rsidR="003B7911" w:rsidRPr="003B7911">
        <w:rPr>
          <w:rFonts w:asciiTheme="majorHAnsi" w:eastAsia="Calibri" w:hAnsiTheme="majorHAnsi" w:cstheme="majorHAnsi"/>
          <w:i/>
          <w:shd w:val="clear" w:color="auto" w:fill="C6FFC6"/>
          <w:lang w:val="en-US"/>
        </w:rPr>
        <w:t>on</w:t>
      </w:r>
      <w:r w:rsidRPr="003B7911">
        <w:rPr>
          <w:rFonts w:asciiTheme="majorHAnsi" w:eastAsia="Calibri" w:hAnsiTheme="majorHAnsi" w:cstheme="majorHAnsi"/>
          <w:i/>
          <w:shd w:val="clear" w:color="auto" w:fill="C6FFC6"/>
          <w:lang w:val="en-US"/>
        </w:rPr>
        <w:t xml:space="preserve"> social media against girls and women, prosecute, adequately punish those responsible and provide effective redress.</w:t>
      </w:r>
    </w:p>
    <w:p w14:paraId="0000002F" w14:textId="77777777" w:rsidR="00D7056D" w:rsidRPr="003B7911" w:rsidRDefault="00D7056D">
      <w:pPr>
        <w:jc w:val="both"/>
        <w:rPr>
          <w:rFonts w:asciiTheme="majorHAnsi" w:eastAsia="Calibri" w:hAnsiTheme="majorHAnsi" w:cstheme="majorHAnsi"/>
          <w:i/>
          <w:shd w:val="clear" w:color="auto" w:fill="C6FFC6"/>
          <w:lang w:val="en-US"/>
        </w:rPr>
      </w:pPr>
    </w:p>
    <w:p w14:paraId="00000030" w14:textId="77777777" w:rsidR="00D7056D" w:rsidRPr="003B7911" w:rsidRDefault="00000000">
      <w:pPr>
        <w:spacing w:after="160" w:line="240" w:lineRule="auto"/>
        <w:jc w:val="both"/>
        <w:rPr>
          <w:rFonts w:asciiTheme="majorHAnsi" w:eastAsia="Calibri" w:hAnsiTheme="majorHAnsi" w:cstheme="majorHAnsi"/>
          <w:lang w:val="en-US"/>
        </w:rPr>
      </w:pPr>
      <w:r w:rsidRPr="003B7911">
        <w:rPr>
          <w:rFonts w:asciiTheme="majorHAnsi" w:eastAsia="Calibri" w:hAnsiTheme="majorHAnsi" w:cstheme="majorHAnsi"/>
          <w:b/>
          <w:lang w:val="en-US"/>
        </w:rPr>
        <w:t xml:space="preserve">Disadvantaged groups of women: Leaving behind women of African descent and LBTI women - SDG 5 to eliminate discrimination against women </w:t>
      </w:r>
    </w:p>
    <w:p w14:paraId="00000031" w14:textId="40EEFFB7" w:rsidR="00D7056D" w:rsidRPr="003B7911" w:rsidRDefault="00000000">
      <w:pPr>
        <w:numPr>
          <w:ilvl w:val="0"/>
          <w:numId w:val="1"/>
        </w:numPr>
        <w:spacing w:before="280"/>
        <w:ind w:left="283" w:right="160"/>
        <w:jc w:val="both"/>
        <w:rPr>
          <w:rFonts w:asciiTheme="majorHAnsi" w:eastAsia="Calibri" w:hAnsiTheme="majorHAnsi" w:cstheme="majorHAnsi"/>
          <w:lang w:val="en-US"/>
        </w:rPr>
      </w:pPr>
      <w:hyperlink r:id="rId7">
        <w:r w:rsidRPr="003B7911">
          <w:rPr>
            <w:rFonts w:asciiTheme="majorHAnsi" w:eastAsia="Calibri" w:hAnsiTheme="majorHAnsi" w:cstheme="majorHAnsi"/>
            <w:color w:val="1155CC"/>
            <w:u w:val="single"/>
            <w:lang w:val="en-US"/>
          </w:rPr>
          <w:t>The fourth national plan on equality between women and men for the period 2018–2030</w:t>
        </w:r>
      </w:hyperlink>
      <w:r w:rsidRPr="003B7911">
        <w:rPr>
          <w:rFonts w:asciiTheme="majorHAnsi" w:eastAsia="Calibri" w:hAnsiTheme="majorHAnsi" w:cstheme="majorHAnsi"/>
          <w:lang w:val="en-US"/>
        </w:rPr>
        <w:t xml:space="preserve"> aimed at eliminating all forms of arbitrary discrimination against women has 77 mentions to women of African descent. However said mentions focus only in women of African descent that are part of the Chilean Tribal people of African descent, leaving behind women of African descent that do not comply with the legal category of Chilean tribal people of African descent as established in Law 21151</w:t>
      </w:r>
      <w:r w:rsidRPr="003B7911">
        <w:rPr>
          <w:rFonts w:asciiTheme="majorHAnsi" w:eastAsia="Calibri" w:hAnsiTheme="majorHAnsi" w:cstheme="majorHAnsi"/>
          <w:vertAlign w:val="superscript"/>
        </w:rPr>
        <w:footnoteReference w:id="3"/>
      </w:r>
      <w:r w:rsidRPr="003B7911">
        <w:rPr>
          <w:rFonts w:asciiTheme="majorHAnsi" w:eastAsia="Calibri" w:hAnsiTheme="majorHAnsi" w:cstheme="majorHAnsi"/>
          <w:lang w:val="en-US"/>
        </w:rPr>
        <w:t xml:space="preserve"> such us: women of African descent that are also Chilean whose ancestors </w:t>
      </w:r>
      <w:r w:rsidR="003B7911" w:rsidRPr="003B7911">
        <w:rPr>
          <w:rFonts w:asciiTheme="majorHAnsi" w:eastAsia="Calibri" w:hAnsiTheme="majorHAnsi" w:cstheme="majorHAnsi"/>
          <w:lang w:val="en-US"/>
        </w:rPr>
        <w:t>cannot</w:t>
      </w:r>
      <w:r w:rsidRPr="003B7911">
        <w:rPr>
          <w:rFonts w:asciiTheme="majorHAnsi" w:eastAsia="Calibri" w:hAnsiTheme="majorHAnsi" w:cstheme="majorHAnsi"/>
          <w:lang w:val="en-US"/>
        </w:rPr>
        <w:t xml:space="preserve"> be traced to the transatlantic slave trade of Africans brought to the Chilean territory between the XVI and XIX centuries; and migrant women and girls of African descent.</w:t>
      </w:r>
    </w:p>
    <w:p w14:paraId="00000032" w14:textId="014C59C5" w:rsidR="00D7056D" w:rsidRPr="003B7911" w:rsidRDefault="003B7911">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Indeed,</w:t>
      </w:r>
      <w:r w:rsidR="00000000" w:rsidRPr="003B7911">
        <w:rPr>
          <w:rFonts w:asciiTheme="majorHAnsi" w:eastAsia="Calibri" w:hAnsiTheme="majorHAnsi" w:cstheme="majorHAnsi"/>
          <w:lang w:val="en-US"/>
        </w:rPr>
        <w:t xml:space="preserve"> when the State party report mentions the developments regarding women of African descent listed on page 126 and 127, the survey of 2013 only mentions Women of African descent </w:t>
      </w:r>
      <w:r w:rsidR="00000000" w:rsidRPr="003B7911">
        <w:rPr>
          <w:rFonts w:asciiTheme="majorHAnsi" w:eastAsia="Calibri" w:hAnsiTheme="majorHAnsi" w:cstheme="majorHAnsi"/>
          <w:lang w:val="en-US"/>
        </w:rPr>
        <w:lastRenderedPageBreak/>
        <w:t>that are part of the Chilean tribal people of African descent. As well, the national plan of action on violence against women for the period 2021‍–‍2030 does not include general recommendations nor the Convention on the Elimination of All Forms of Discrimination against Women for its drafting, showing the importance of an intersectional approach for leaving no one behind.</w:t>
      </w:r>
    </w:p>
    <w:p w14:paraId="00000033" w14:textId="0531E850"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We appreciate that the Chilean government is actively trying to </w:t>
      </w:r>
      <w:hyperlink r:id="rId8">
        <w:r w:rsidRPr="003B7911">
          <w:rPr>
            <w:rFonts w:asciiTheme="majorHAnsi" w:eastAsia="Calibri" w:hAnsiTheme="majorHAnsi" w:cstheme="majorHAnsi"/>
            <w:color w:val="1155CC"/>
            <w:u w:val="single"/>
            <w:lang w:val="en-US"/>
          </w:rPr>
          <w:t xml:space="preserve">update this plan of action </w:t>
        </w:r>
      </w:hyperlink>
      <w:r w:rsidRPr="003B7911">
        <w:rPr>
          <w:rFonts w:asciiTheme="majorHAnsi" w:eastAsia="Calibri" w:hAnsiTheme="majorHAnsi" w:cstheme="majorHAnsi"/>
          <w:lang w:val="en-US"/>
        </w:rPr>
        <w:t xml:space="preserve">with its Technical Committee to fulfill the purpose of preventing, confronting, eradicating and repairing all types of expressions of violence against women. Therefore, it is concerning that this redesign and implementation is not including different representatives of civil society of Women of African descent, as well as specialists in addressing violence against women with an intersectional approach. </w:t>
      </w:r>
      <w:r w:rsidR="003B7911" w:rsidRPr="003B7911">
        <w:rPr>
          <w:rFonts w:asciiTheme="majorHAnsi" w:eastAsia="Calibri" w:hAnsiTheme="majorHAnsi" w:cstheme="majorHAnsi"/>
          <w:highlight w:val="white"/>
          <w:lang w:val="en-US"/>
        </w:rPr>
        <w:t>This situation</w:t>
      </w:r>
      <w:r w:rsidRPr="003B7911">
        <w:rPr>
          <w:rFonts w:asciiTheme="majorHAnsi" w:eastAsia="Calibri" w:hAnsiTheme="majorHAnsi" w:cstheme="majorHAnsi"/>
          <w:highlight w:val="white"/>
          <w:lang w:val="en-US"/>
        </w:rPr>
        <w:t xml:space="preserve"> is specially concerning when the National Institute of Statistics estimated an increase of the migrant population in Chile to 1,492.522 migrants, with 49% of migrant women</w:t>
      </w:r>
      <w:r w:rsidRPr="003B7911">
        <w:rPr>
          <w:rFonts w:asciiTheme="majorHAnsi" w:eastAsia="Calibri" w:hAnsiTheme="majorHAnsi" w:cstheme="majorHAnsi"/>
          <w:highlight w:val="white"/>
          <w:vertAlign w:val="superscript"/>
        </w:rPr>
        <w:footnoteReference w:id="4"/>
      </w:r>
      <w:r w:rsidRPr="003B7911">
        <w:rPr>
          <w:rFonts w:asciiTheme="majorHAnsi" w:eastAsia="Calibri" w:hAnsiTheme="majorHAnsi" w:cstheme="majorHAnsi"/>
          <w:highlight w:val="white"/>
          <w:lang w:val="en-US"/>
        </w:rPr>
        <w:t>.</w:t>
      </w:r>
    </w:p>
    <w:p w14:paraId="00000034" w14:textId="14A8F9B6"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highlight w:val="white"/>
          <w:lang w:val="en-US"/>
        </w:rPr>
        <w:t xml:space="preserve">However, statistics submitted by the state party lack indicators that include gender-sensitive and ethnic self-identification variables for women of African descent. As a result, public data cannot provide guidance related to the inequalities on the enjoyment of the </w:t>
      </w:r>
      <w:r w:rsidR="003B7911" w:rsidRPr="003B7911">
        <w:rPr>
          <w:rFonts w:asciiTheme="majorHAnsi" w:eastAsia="Calibri" w:hAnsiTheme="majorHAnsi" w:cstheme="majorHAnsi"/>
          <w:highlight w:val="white"/>
          <w:lang w:val="en-US"/>
        </w:rPr>
        <w:t>rights for</w:t>
      </w:r>
      <w:r w:rsidRPr="003B7911">
        <w:rPr>
          <w:rFonts w:asciiTheme="majorHAnsi" w:eastAsia="Calibri" w:hAnsiTheme="majorHAnsi" w:cstheme="majorHAnsi"/>
          <w:highlight w:val="white"/>
          <w:lang w:val="en-US"/>
        </w:rPr>
        <w:t xml:space="preserve"> women of African descent. This data gap and the lack of information are results from structural racism and cycles of discrimination. Women of African descent </w:t>
      </w:r>
      <w:r w:rsidR="003B7911" w:rsidRPr="003B7911">
        <w:rPr>
          <w:rFonts w:asciiTheme="majorHAnsi" w:eastAsia="Calibri" w:hAnsiTheme="majorHAnsi" w:cstheme="majorHAnsi"/>
          <w:highlight w:val="white"/>
          <w:lang w:val="en-US"/>
        </w:rPr>
        <w:t>remain</w:t>
      </w:r>
      <w:r w:rsidRPr="003B7911">
        <w:rPr>
          <w:rFonts w:asciiTheme="majorHAnsi" w:eastAsia="Calibri" w:hAnsiTheme="majorHAnsi" w:cstheme="majorHAnsi"/>
          <w:highlight w:val="white"/>
          <w:lang w:val="en-US"/>
        </w:rPr>
        <w:t xml:space="preserve"> invisible from public policies, and their issues are not considered at the design and the implementation of such policies.</w:t>
      </w:r>
    </w:p>
    <w:p w14:paraId="00000035" w14:textId="08F5654F"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highlight w:val="white"/>
          <w:lang w:val="en-US"/>
        </w:rPr>
        <w:t xml:space="preserve">Recognizing the identity of women of </w:t>
      </w:r>
      <w:r w:rsidR="003B7911" w:rsidRPr="003B7911">
        <w:rPr>
          <w:rFonts w:asciiTheme="majorHAnsi" w:eastAsia="Calibri" w:hAnsiTheme="majorHAnsi" w:cstheme="majorHAnsi"/>
          <w:highlight w:val="white"/>
          <w:lang w:val="en-US"/>
        </w:rPr>
        <w:t>African</w:t>
      </w:r>
      <w:r w:rsidRPr="003B7911">
        <w:rPr>
          <w:rFonts w:asciiTheme="majorHAnsi" w:eastAsia="Calibri" w:hAnsiTheme="majorHAnsi" w:cstheme="majorHAnsi"/>
          <w:highlight w:val="white"/>
          <w:lang w:val="en-US"/>
        </w:rPr>
        <w:t xml:space="preserve"> descent in Chile goes beyond the concept of the laws regarding afro </w:t>
      </w:r>
      <w:r w:rsidR="003B7911" w:rsidRPr="003B7911">
        <w:rPr>
          <w:rFonts w:asciiTheme="majorHAnsi" w:eastAsia="Calibri" w:hAnsiTheme="majorHAnsi" w:cstheme="majorHAnsi"/>
          <w:highlight w:val="white"/>
          <w:lang w:val="en-US"/>
        </w:rPr>
        <w:t>Chilean</w:t>
      </w:r>
      <w:r w:rsidRPr="003B7911">
        <w:rPr>
          <w:rFonts w:asciiTheme="majorHAnsi" w:eastAsia="Calibri" w:hAnsiTheme="majorHAnsi" w:cstheme="majorHAnsi"/>
          <w:highlight w:val="white"/>
          <w:lang w:val="en-US"/>
        </w:rPr>
        <w:t xml:space="preserve"> tribal people in the northerns regions of Arica y Parinacota, and, </w:t>
      </w:r>
      <w:r w:rsidR="003B7911" w:rsidRPr="003B7911">
        <w:rPr>
          <w:rFonts w:asciiTheme="majorHAnsi" w:eastAsia="Calibri" w:hAnsiTheme="majorHAnsi" w:cstheme="majorHAnsi"/>
          <w:highlight w:val="white"/>
          <w:lang w:val="en-US"/>
        </w:rPr>
        <w:t>to</w:t>
      </w:r>
      <w:r w:rsidRPr="003B7911">
        <w:rPr>
          <w:rFonts w:asciiTheme="majorHAnsi" w:eastAsia="Calibri" w:hAnsiTheme="majorHAnsi" w:cstheme="majorHAnsi"/>
          <w:highlight w:val="white"/>
          <w:lang w:val="en-US"/>
        </w:rPr>
        <w:t xml:space="preserve"> highlight how structural racism works </w:t>
      </w:r>
      <w:r w:rsidR="003B7911" w:rsidRPr="003B7911">
        <w:rPr>
          <w:rFonts w:asciiTheme="majorHAnsi" w:eastAsia="Calibri" w:hAnsiTheme="majorHAnsi" w:cstheme="majorHAnsi"/>
          <w:highlight w:val="white"/>
          <w:lang w:val="en-US"/>
        </w:rPr>
        <w:t>race-based</w:t>
      </w:r>
      <w:r w:rsidRPr="003B7911">
        <w:rPr>
          <w:rFonts w:asciiTheme="majorHAnsi" w:eastAsia="Calibri" w:hAnsiTheme="majorHAnsi" w:cstheme="majorHAnsi"/>
          <w:highlight w:val="white"/>
          <w:lang w:val="en-US"/>
        </w:rPr>
        <w:t xml:space="preserve"> data must include women who are also migrants of African descent as well as nationals who recognized themselves as women of African descent. For this reason, an intersectional approach is needed to construct National Plans that fulfill the rights in the Convention. It is urgent for states to have comprehensive regulation to effectively combat racial discrimination, and a more effective coordination between the various entities to combat the intersection of racial discrimination and gender violence with adequate financial, technical and human resources.</w:t>
      </w:r>
    </w:p>
    <w:p w14:paraId="00000036" w14:textId="77777777" w:rsidR="00D7056D" w:rsidRPr="003B7911" w:rsidRDefault="00000000">
      <w:pPr>
        <w:spacing w:before="240" w:after="160" w:line="256" w:lineRule="auto"/>
        <w:jc w:val="both"/>
        <w:rPr>
          <w:rFonts w:asciiTheme="majorHAnsi" w:eastAsia="Calibri" w:hAnsiTheme="majorHAnsi" w:cstheme="majorHAnsi"/>
          <w:shd w:val="clear" w:color="auto" w:fill="C6FFC6"/>
          <w:lang w:val="en-US"/>
        </w:rPr>
      </w:pPr>
      <w:r w:rsidRPr="003B7911">
        <w:rPr>
          <w:rFonts w:asciiTheme="majorHAnsi" w:eastAsia="Calibri" w:hAnsiTheme="majorHAnsi" w:cstheme="majorHAnsi"/>
          <w:shd w:val="clear" w:color="auto" w:fill="C6FFC6"/>
          <w:lang w:val="en-US"/>
        </w:rPr>
        <w:t>Taking into consideration this information, ODRI suggests respectfully that the Committee recommends the government:</w:t>
      </w:r>
    </w:p>
    <w:p w14:paraId="00000037" w14:textId="42616F58" w:rsidR="00D7056D" w:rsidRPr="003B7911" w:rsidRDefault="00000000">
      <w:pPr>
        <w:spacing w:before="240" w:after="160" w:line="256" w:lineRule="auto"/>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shd w:val="clear" w:color="auto" w:fill="C6FFC6"/>
          <w:lang w:val="en-US"/>
        </w:rPr>
        <w:t>Understand the</w:t>
      </w:r>
      <w:r w:rsidRPr="003B7911">
        <w:rPr>
          <w:rFonts w:asciiTheme="majorHAnsi" w:eastAsia="Calibri" w:hAnsiTheme="majorHAnsi" w:cstheme="majorHAnsi"/>
          <w:i/>
          <w:shd w:val="clear" w:color="auto" w:fill="C6FFC6"/>
          <w:lang w:val="en-US"/>
        </w:rPr>
        <w:t xml:space="preserve"> importance of Goal 5 and of the mainstreaming of the principles of equality and non-discrimination throughout all 17 Goals. It urges the State party to recognize </w:t>
      </w:r>
      <w:r w:rsidRPr="003B7911">
        <w:rPr>
          <w:rFonts w:asciiTheme="majorHAnsi" w:eastAsia="Calibri" w:hAnsiTheme="majorHAnsi" w:cstheme="majorHAnsi"/>
          <w:b/>
          <w:i/>
          <w:shd w:val="clear" w:color="auto" w:fill="C6FFC6"/>
          <w:lang w:val="en-US"/>
        </w:rPr>
        <w:t>all</w:t>
      </w:r>
      <w:r w:rsidRPr="003B7911">
        <w:rPr>
          <w:rFonts w:asciiTheme="majorHAnsi" w:eastAsia="Calibri" w:hAnsiTheme="majorHAnsi" w:cstheme="majorHAnsi"/>
          <w:i/>
          <w:shd w:val="clear" w:color="auto" w:fill="C6FFC6"/>
          <w:lang w:val="en-US"/>
        </w:rPr>
        <w:t xml:space="preserve"> women as the driving force of the sustainable development of the State party and to adopt relevant policies and strategies to that effect that leave no one </w:t>
      </w:r>
      <w:r w:rsidR="003B7911" w:rsidRPr="003B7911">
        <w:rPr>
          <w:rFonts w:asciiTheme="majorHAnsi" w:eastAsia="Calibri" w:hAnsiTheme="majorHAnsi" w:cstheme="majorHAnsi"/>
          <w:i/>
          <w:shd w:val="clear" w:color="auto" w:fill="C6FFC6"/>
          <w:lang w:val="en-US"/>
        </w:rPr>
        <w:t>behind, in</w:t>
      </w:r>
      <w:r w:rsidRPr="003B7911">
        <w:rPr>
          <w:rFonts w:asciiTheme="majorHAnsi" w:eastAsia="Calibri" w:hAnsiTheme="majorHAnsi" w:cstheme="majorHAnsi"/>
          <w:i/>
          <w:shd w:val="clear" w:color="auto" w:fill="C6FFC6"/>
          <w:lang w:val="en-US"/>
        </w:rPr>
        <w:t xml:space="preserve"> line with its general recommendations No. 26 (2008) on women migrant workers and No. 32 (2014) on the gender-related dimensions of refugee status, asylum, nationality and statelessness of women.</w:t>
      </w:r>
    </w:p>
    <w:p w14:paraId="00000038" w14:textId="77777777" w:rsidR="00D7056D" w:rsidRPr="003B7911" w:rsidRDefault="00000000">
      <w:pPr>
        <w:spacing w:before="240" w:after="160" w:line="256" w:lineRule="auto"/>
        <w:jc w:val="both"/>
        <w:rPr>
          <w:rFonts w:asciiTheme="majorHAnsi" w:eastAsia="Calibri" w:hAnsiTheme="majorHAnsi" w:cstheme="majorHAnsi"/>
          <w:shd w:val="clear" w:color="auto" w:fill="C6FFC6"/>
          <w:lang w:val="en-US"/>
        </w:rPr>
      </w:pPr>
      <w:r w:rsidRPr="003B7911">
        <w:rPr>
          <w:rFonts w:asciiTheme="majorHAnsi" w:eastAsia="Calibri" w:hAnsiTheme="majorHAnsi" w:cstheme="majorHAnsi"/>
          <w:i/>
          <w:shd w:val="clear" w:color="auto" w:fill="C6FFC6"/>
          <w:lang w:val="en-US"/>
        </w:rPr>
        <w:t xml:space="preserve">Recall general recommendation N28 on the core obligations of States parties under article 2 of the Convention and target 5.1 of the Sustainable Development Goals to end all forms of discrimination against all women and girls specially those who face intersectional forms of discrimination. </w:t>
      </w:r>
    </w:p>
    <w:p w14:paraId="00000039" w14:textId="77777777" w:rsidR="00D7056D" w:rsidRPr="003B7911" w:rsidRDefault="00000000">
      <w:pPr>
        <w:spacing w:before="280"/>
        <w:ind w:right="160"/>
        <w:jc w:val="both"/>
        <w:rPr>
          <w:rFonts w:asciiTheme="majorHAnsi" w:eastAsia="Calibri" w:hAnsiTheme="majorHAnsi" w:cstheme="majorHAnsi"/>
          <w:b/>
        </w:rPr>
      </w:pPr>
      <w:r w:rsidRPr="003B7911">
        <w:rPr>
          <w:rFonts w:asciiTheme="majorHAnsi" w:eastAsia="Calibri" w:hAnsiTheme="majorHAnsi" w:cstheme="majorHAnsi"/>
          <w:b/>
        </w:rPr>
        <w:t>Migrant Women - Articles 5, 12 of CEDAW</w:t>
      </w:r>
    </w:p>
    <w:p w14:paraId="0000003A" w14:textId="77777777" w:rsidR="00D7056D" w:rsidRPr="003B7911" w:rsidRDefault="00000000">
      <w:pPr>
        <w:numPr>
          <w:ilvl w:val="0"/>
          <w:numId w:val="1"/>
        </w:numPr>
        <w:spacing w:before="280"/>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lastRenderedPageBreak/>
        <w:t>ODRI celebrates that the Chilean government has been conducting capacity-building sessions related with human rights education, and initiatives</w:t>
      </w:r>
      <w:r w:rsidRPr="003B7911">
        <w:rPr>
          <w:rFonts w:asciiTheme="majorHAnsi" w:eastAsia="Calibri" w:hAnsiTheme="majorHAnsi" w:cstheme="majorHAnsi"/>
          <w:vertAlign w:val="superscript"/>
        </w:rPr>
        <w:footnoteReference w:id="5"/>
      </w:r>
      <w:r w:rsidRPr="003B7911">
        <w:rPr>
          <w:rFonts w:asciiTheme="majorHAnsi" w:eastAsia="Calibri" w:hAnsiTheme="majorHAnsi" w:cstheme="majorHAnsi"/>
          <w:lang w:val="en-US"/>
        </w:rPr>
        <w:t xml:space="preserve"> to promote HR standards on gender equality and non-discrimination. Although in the state party report there is a lack of information related with the impact of said sessions and initiatives especially on disadvantaged groups of women who often face intersectional forms of discrimination such us women of African descent and LBTI.</w:t>
      </w:r>
    </w:p>
    <w:p w14:paraId="0000003B" w14:textId="1E6B1041"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Over the last years Chile has experienced a growing migratory flow, particularly of people from Latin American and Caribbean countries. According to estimates of the ministry of women and gender equality</w:t>
      </w:r>
      <w:r w:rsidRPr="003B7911">
        <w:rPr>
          <w:rFonts w:asciiTheme="majorHAnsi" w:eastAsia="Calibri" w:hAnsiTheme="majorHAnsi" w:cstheme="majorHAnsi"/>
          <w:vertAlign w:val="superscript"/>
        </w:rPr>
        <w:footnoteReference w:id="6"/>
      </w:r>
      <w:r w:rsidRPr="003B7911">
        <w:rPr>
          <w:rFonts w:asciiTheme="majorHAnsi" w:eastAsia="Calibri" w:hAnsiTheme="majorHAnsi" w:cstheme="majorHAnsi"/>
          <w:lang w:val="en-US"/>
        </w:rPr>
        <w:t xml:space="preserve"> 49% of migrants are women mainly from Venezuela 31%, Peru 17</w:t>
      </w:r>
      <w:r w:rsidR="003B7911" w:rsidRPr="003B7911">
        <w:rPr>
          <w:rFonts w:asciiTheme="majorHAnsi" w:eastAsia="Calibri" w:hAnsiTheme="majorHAnsi" w:cstheme="majorHAnsi"/>
          <w:lang w:val="en-US"/>
        </w:rPr>
        <w:t>% Colombia</w:t>
      </w:r>
      <w:r w:rsidRPr="003B7911">
        <w:rPr>
          <w:rFonts w:asciiTheme="majorHAnsi" w:eastAsia="Calibri" w:hAnsiTheme="majorHAnsi" w:cstheme="majorHAnsi"/>
          <w:lang w:val="en-US"/>
        </w:rPr>
        <w:t xml:space="preserve"> 12.5%, Bolivia 9.4%, Haiti 9.2%, Argentina 5.2% and Ecuador 2.8%. This situation has been used by extremist groups and politics to promote negative stereotypes against women who are also migrant specially on migrant women of African descent</w:t>
      </w:r>
      <w:r w:rsidRPr="003B7911">
        <w:rPr>
          <w:rFonts w:asciiTheme="majorHAnsi" w:eastAsia="Calibri" w:hAnsiTheme="majorHAnsi" w:cstheme="majorHAnsi"/>
          <w:vertAlign w:val="superscript"/>
        </w:rPr>
        <w:footnoteReference w:id="7"/>
      </w:r>
      <w:r w:rsidRPr="003B7911">
        <w:rPr>
          <w:rFonts w:asciiTheme="majorHAnsi" w:eastAsia="Calibri" w:hAnsiTheme="majorHAnsi" w:cstheme="majorHAnsi"/>
          <w:lang w:val="en-US"/>
        </w:rPr>
        <w:t xml:space="preserve">. Taking into consideration this context it is concerning that the data </w:t>
      </w:r>
      <w:r w:rsidR="003B7911" w:rsidRPr="003B7911">
        <w:rPr>
          <w:rFonts w:asciiTheme="majorHAnsi" w:eastAsia="Calibri" w:hAnsiTheme="majorHAnsi" w:cstheme="majorHAnsi"/>
          <w:lang w:val="en-US"/>
        </w:rPr>
        <w:t>provided in</w:t>
      </w:r>
      <w:r w:rsidRPr="003B7911">
        <w:rPr>
          <w:rFonts w:asciiTheme="majorHAnsi" w:eastAsia="Calibri" w:hAnsiTheme="majorHAnsi" w:cstheme="majorHAnsi"/>
          <w:lang w:val="en-US"/>
        </w:rPr>
        <w:t xml:space="preserve"> the state report, is not disaggregated making invisible migrant women who are also indigenous, of African descent and LBTI. </w:t>
      </w:r>
    </w:p>
    <w:p w14:paraId="0000003C" w14:textId="4E6C91ED"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 xml:space="preserve">The digitalization of the migratory procedure during COVID has been challenging for migrant women and for migrant women who are not Spanish speakers or fluent in Spanish since automatic responses do not solve the queries properly, and there is no option to turn to an officer of migration to answer them. This situation affected the </w:t>
      </w:r>
      <w:r w:rsidR="003B7911" w:rsidRPr="003B7911">
        <w:rPr>
          <w:rFonts w:asciiTheme="majorHAnsi" w:eastAsia="Calibri" w:hAnsiTheme="majorHAnsi" w:cstheme="majorHAnsi"/>
          <w:lang w:val="en-US"/>
        </w:rPr>
        <w:t>refugee’s</w:t>
      </w:r>
      <w:r w:rsidRPr="003B7911">
        <w:rPr>
          <w:rFonts w:asciiTheme="majorHAnsi" w:eastAsia="Calibri" w:hAnsiTheme="majorHAnsi" w:cstheme="majorHAnsi"/>
          <w:lang w:val="en-US"/>
        </w:rPr>
        <w:t xml:space="preserve"> applicants since they could not apply nor follow their refugee applications</w:t>
      </w:r>
      <w:r w:rsidRPr="003B7911">
        <w:rPr>
          <w:rFonts w:asciiTheme="majorHAnsi" w:eastAsia="Calibri" w:hAnsiTheme="majorHAnsi" w:cstheme="majorHAnsi"/>
          <w:vertAlign w:val="superscript"/>
        </w:rPr>
        <w:footnoteReference w:id="8"/>
      </w:r>
      <w:r w:rsidRPr="003B7911">
        <w:rPr>
          <w:rFonts w:asciiTheme="majorHAnsi" w:eastAsia="Calibri" w:hAnsiTheme="majorHAnsi" w:cstheme="majorHAnsi"/>
          <w:lang w:val="en-US"/>
        </w:rPr>
        <w:t xml:space="preserve">. Migrant women often face complex legal and bureaucratic obstacles to obtain residency and the </w:t>
      </w:r>
      <w:r w:rsidR="003B7911" w:rsidRPr="003B7911">
        <w:rPr>
          <w:rFonts w:asciiTheme="majorHAnsi" w:eastAsia="Calibri" w:hAnsiTheme="majorHAnsi" w:cstheme="majorHAnsi"/>
          <w:lang w:val="en-US"/>
        </w:rPr>
        <w:t>Chilean</w:t>
      </w:r>
      <w:r w:rsidRPr="003B7911">
        <w:rPr>
          <w:rFonts w:asciiTheme="majorHAnsi" w:eastAsia="Calibri" w:hAnsiTheme="majorHAnsi" w:cstheme="majorHAnsi"/>
          <w:lang w:val="en-US"/>
        </w:rPr>
        <w:t xml:space="preserve"> ID, </w:t>
      </w:r>
      <w:r w:rsidR="003B7911" w:rsidRPr="003B7911">
        <w:rPr>
          <w:rFonts w:asciiTheme="majorHAnsi" w:eastAsia="Calibri" w:hAnsiTheme="majorHAnsi" w:cstheme="majorHAnsi"/>
          <w:lang w:val="en-US"/>
        </w:rPr>
        <w:t>which restricts</w:t>
      </w:r>
      <w:r w:rsidRPr="003B7911">
        <w:rPr>
          <w:rFonts w:asciiTheme="majorHAnsi" w:eastAsia="Calibri" w:hAnsiTheme="majorHAnsi" w:cstheme="majorHAnsi"/>
          <w:lang w:val="en-US"/>
        </w:rPr>
        <w:t xml:space="preserve"> their opportunities for social integration.</w:t>
      </w:r>
    </w:p>
    <w:p w14:paraId="0000003D" w14:textId="31D48F93"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ODRI has documented</w:t>
      </w:r>
      <w:r w:rsidRPr="003B7911">
        <w:rPr>
          <w:rFonts w:asciiTheme="majorHAnsi" w:eastAsia="Calibri" w:hAnsiTheme="majorHAnsi" w:cstheme="majorHAnsi"/>
          <w:vertAlign w:val="superscript"/>
        </w:rPr>
        <w:footnoteReference w:id="9"/>
      </w:r>
      <w:r w:rsidRPr="003B7911">
        <w:rPr>
          <w:rFonts w:asciiTheme="majorHAnsi" w:eastAsia="Calibri" w:hAnsiTheme="majorHAnsi" w:cstheme="majorHAnsi"/>
          <w:lang w:val="en-US"/>
        </w:rPr>
        <w:t xml:space="preserve"> incidents </w:t>
      </w:r>
      <w:r w:rsidR="003B7911" w:rsidRPr="003B7911">
        <w:rPr>
          <w:rFonts w:asciiTheme="majorHAnsi" w:eastAsia="Calibri" w:hAnsiTheme="majorHAnsi" w:cstheme="majorHAnsi"/>
          <w:lang w:val="en-US"/>
        </w:rPr>
        <w:t>regarding allegations</w:t>
      </w:r>
      <w:r w:rsidRPr="003B7911">
        <w:rPr>
          <w:rFonts w:asciiTheme="majorHAnsi" w:eastAsia="Calibri" w:hAnsiTheme="majorHAnsi" w:cstheme="majorHAnsi"/>
          <w:lang w:val="en-US"/>
        </w:rPr>
        <w:t xml:space="preserve"> of discrimination of migrant women who are also of African descent</w:t>
      </w:r>
      <w:r w:rsidRPr="003B7911">
        <w:rPr>
          <w:rFonts w:asciiTheme="majorHAnsi" w:eastAsia="Calibri" w:hAnsiTheme="majorHAnsi" w:cstheme="majorHAnsi"/>
          <w:vertAlign w:val="superscript"/>
        </w:rPr>
        <w:footnoteReference w:id="10"/>
      </w:r>
      <w:r w:rsidRPr="003B7911">
        <w:rPr>
          <w:rFonts w:asciiTheme="majorHAnsi" w:eastAsia="Calibri" w:hAnsiTheme="majorHAnsi" w:cstheme="majorHAnsi"/>
          <w:lang w:val="en-US"/>
        </w:rPr>
        <w:t xml:space="preserve"> and LBTI, related with access to justice</w:t>
      </w:r>
      <w:r w:rsidRPr="003B7911">
        <w:rPr>
          <w:rFonts w:asciiTheme="majorHAnsi" w:eastAsia="Calibri" w:hAnsiTheme="majorHAnsi" w:cstheme="majorHAnsi"/>
          <w:vertAlign w:val="superscript"/>
        </w:rPr>
        <w:footnoteReference w:id="11"/>
      </w:r>
      <w:r w:rsidRPr="003B7911">
        <w:rPr>
          <w:rFonts w:asciiTheme="majorHAnsi" w:eastAsia="Calibri" w:hAnsiTheme="majorHAnsi" w:cstheme="majorHAnsi"/>
          <w:lang w:val="en-US"/>
        </w:rPr>
        <w:t>, care during covid</w:t>
      </w:r>
      <w:r w:rsidRPr="003B7911">
        <w:rPr>
          <w:rFonts w:asciiTheme="majorHAnsi" w:eastAsia="Calibri" w:hAnsiTheme="majorHAnsi" w:cstheme="majorHAnsi"/>
          <w:vertAlign w:val="superscript"/>
        </w:rPr>
        <w:footnoteReference w:id="12"/>
      </w:r>
      <w:r w:rsidRPr="003B7911">
        <w:rPr>
          <w:rFonts w:asciiTheme="majorHAnsi" w:eastAsia="Calibri" w:hAnsiTheme="majorHAnsi" w:cstheme="majorHAnsi"/>
          <w:lang w:val="en-US"/>
        </w:rPr>
        <w:t xml:space="preserve">, </w:t>
      </w:r>
      <w:r w:rsidR="003B7911" w:rsidRPr="003B7911">
        <w:rPr>
          <w:rFonts w:asciiTheme="majorHAnsi" w:eastAsia="Calibri" w:hAnsiTheme="majorHAnsi" w:cstheme="majorHAnsi"/>
          <w:lang w:val="en-US"/>
        </w:rPr>
        <w:t>xenophobia</w:t>
      </w:r>
      <w:r w:rsidRPr="003B7911">
        <w:rPr>
          <w:rFonts w:asciiTheme="majorHAnsi" w:eastAsia="Calibri" w:hAnsiTheme="majorHAnsi" w:cstheme="majorHAnsi"/>
          <w:vertAlign w:val="superscript"/>
        </w:rPr>
        <w:footnoteReference w:id="13"/>
      </w:r>
      <w:r w:rsidRPr="003B7911">
        <w:rPr>
          <w:rFonts w:asciiTheme="majorHAnsi" w:eastAsia="Calibri" w:hAnsiTheme="majorHAnsi" w:cstheme="majorHAnsi"/>
          <w:lang w:val="en-US"/>
        </w:rPr>
        <w:t>, among others, at least over the last 5 years; as well as the death of women and girls when crossing the border to Chile.</w:t>
      </w:r>
      <w:r w:rsidRPr="003B7911">
        <w:rPr>
          <w:rFonts w:asciiTheme="majorHAnsi" w:eastAsia="Calibri" w:hAnsiTheme="majorHAnsi" w:cstheme="majorHAnsi"/>
          <w:vertAlign w:val="superscript"/>
        </w:rPr>
        <w:footnoteReference w:id="14"/>
      </w:r>
      <w:r w:rsidRPr="003B7911">
        <w:rPr>
          <w:rFonts w:asciiTheme="majorHAnsi" w:eastAsia="Calibri" w:hAnsiTheme="majorHAnsi" w:cstheme="majorHAnsi"/>
          <w:lang w:val="en-US"/>
        </w:rPr>
        <w:t xml:space="preserve"> </w:t>
      </w:r>
    </w:p>
    <w:p w14:paraId="0000003E" w14:textId="616E6DE7"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In this context it is important to highlight that, racism, ableism,  classism, sexism, xenophobia, homophobia and transphobia are structural determinants of health</w:t>
      </w:r>
      <w:r w:rsidRPr="003B7911">
        <w:rPr>
          <w:rFonts w:asciiTheme="majorHAnsi" w:eastAsia="Calibri" w:hAnsiTheme="majorHAnsi" w:cstheme="majorHAnsi"/>
          <w:vertAlign w:val="superscript"/>
        </w:rPr>
        <w:footnoteReference w:id="15"/>
      </w:r>
      <w:r w:rsidRPr="003B7911">
        <w:rPr>
          <w:rFonts w:asciiTheme="majorHAnsi" w:eastAsia="Calibri" w:hAnsiTheme="majorHAnsi" w:cstheme="majorHAnsi"/>
          <w:lang w:val="en-US"/>
        </w:rPr>
        <w:t>.ODRI has received reports related with the lack of access to health care</w:t>
      </w:r>
      <w:r w:rsidRPr="003B7911">
        <w:rPr>
          <w:rFonts w:asciiTheme="majorHAnsi" w:eastAsia="Calibri" w:hAnsiTheme="majorHAnsi" w:cstheme="majorHAnsi"/>
          <w:vertAlign w:val="superscript"/>
        </w:rPr>
        <w:footnoteReference w:id="16"/>
      </w:r>
      <w:r w:rsidRPr="003B7911">
        <w:rPr>
          <w:rFonts w:asciiTheme="majorHAnsi" w:eastAsia="Calibri" w:hAnsiTheme="majorHAnsi" w:cstheme="majorHAnsi"/>
          <w:lang w:val="en-US"/>
        </w:rPr>
        <w:t xml:space="preserve"> during covid, lack of access to vaccines by women of African descent who are also migrants, and during 2022 many migrant women reported in the </w:t>
      </w:r>
      <w:r w:rsidRPr="003B7911">
        <w:rPr>
          <w:rFonts w:asciiTheme="majorHAnsi" w:eastAsia="Calibri" w:hAnsiTheme="majorHAnsi" w:cstheme="majorHAnsi"/>
          <w:lang w:val="en-US"/>
        </w:rPr>
        <w:lastRenderedPageBreak/>
        <w:t>media being victims of forced sterilizations</w:t>
      </w:r>
      <w:r w:rsidRPr="003B7911">
        <w:rPr>
          <w:rFonts w:asciiTheme="majorHAnsi" w:eastAsia="Calibri" w:hAnsiTheme="majorHAnsi" w:cstheme="majorHAnsi"/>
          <w:vertAlign w:val="superscript"/>
        </w:rPr>
        <w:footnoteReference w:id="17"/>
      </w:r>
      <w:r w:rsidRPr="003B7911">
        <w:rPr>
          <w:rFonts w:asciiTheme="majorHAnsi" w:eastAsia="Calibri" w:hAnsiTheme="majorHAnsi" w:cstheme="majorHAnsi"/>
          <w:lang w:val="en-US"/>
        </w:rPr>
        <w:t>. Some of them were women of African descent that spoke creole/</w:t>
      </w:r>
      <w:r w:rsidR="003B7911" w:rsidRPr="003B7911">
        <w:rPr>
          <w:rFonts w:asciiTheme="majorHAnsi" w:eastAsia="Calibri" w:hAnsiTheme="majorHAnsi" w:cstheme="majorHAnsi"/>
          <w:i/>
          <w:lang w:val="en-US"/>
        </w:rPr>
        <w:t>Kreyol</w:t>
      </w:r>
      <w:r w:rsidRPr="003B7911">
        <w:rPr>
          <w:rFonts w:asciiTheme="majorHAnsi" w:eastAsia="Calibri" w:hAnsiTheme="majorHAnsi" w:cstheme="majorHAnsi"/>
          <w:lang w:val="en-US"/>
        </w:rPr>
        <w:t xml:space="preserve"> as their mother tongue which impeded the understanding of the medical procedure they would undergo.</w:t>
      </w:r>
    </w:p>
    <w:p w14:paraId="0000003F" w14:textId="77777777" w:rsidR="00D7056D" w:rsidRPr="003B7911" w:rsidRDefault="00000000">
      <w:pPr>
        <w:numPr>
          <w:ilvl w:val="0"/>
          <w:numId w:val="1"/>
        </w:numPr>
        <w:ind w:left="283" w:right="160"/>
        <w:jc w:val="both"/>
        <w:rPr>
          <w:rFonts w:asciiTheme="majorHAnsi" w:eastAsia="Calibri" w:hAnsiTheme="majorHAnsi" w:cstheme="majorHAnsi"/>
          <w:lang w:val="en-US"/>
        </w:rPr>
      </w:pPr>
      <w:r w:rsidRPr="003B7911">
        <w:rPr>
          <w:rFonts w:asciiTheme="majorHAnsi" w:eastAsia="Calibri" w:hAnsiTheme="majorHAnsi" w:cstheme="majorHAnsi"/>
          <w:lang w:val="en-US"/>
        </w:rPr>
        <w:t>In cases related with gender violence against women of African descent there is an urgent need to apply an intersectional perspective in all policies and strategies for combating discrimination against women. Women from Haiti face language barriers, and inadequate knowledge of their rights and negative stereotypes which limit their access to healthcare.</w:t>
      </w:r>
    </w:p>
    <w:p w14:paraId="00000040" w14:textId="5C9785A2" w:rsidR="00D7056D" w:rsidRPr="003B7911" w:rsidRDefault="00000000">
      <w:pPr>
        <w:spacing w:before="280"/>
        <w:ind w:right="160"/>
        <w:jc w:val="both"/>
        <w:rPr>
          <w:rFonts w:asciiTheme="majorHAnsi" w:eastAsia="Calibri" w:hAnsiTheme="majorHAnsi" w:cstheme="majorHAnsi"/>
          <w:lang w:val="en-US"/>
        </w:rPr>
      </w:pPr>
      <w:r w:rsidRPr="003B7911">
        <w:rPr>
          <w:rFonts w:asciiTheme="majorHAnsi" w:eastAsia="Calibri" w:hAnsiTheme="majorHAnsi" w:cstheme="majorHAnsi"/>
          <w:color w:val="00000A"/>
          <w:lang w:val="en-US"/>
        </w:rPr>
        <w:t xml:space="preserve">ODRI respectfully </w:t>
      </w:r>
      <w:r w:rsidR="003B7911" w:rsidRPr="003B7911">
        <w:rPr>
          <w:rFonts w:asciiTheme="majorHAnsi" w:eastAsia="Calibri" w:hAnsiTheme="majorHAnsi" w:cstheme="majorHAnsi"/>
          <w:color w:val="00000A"/>
          <w:lang w:val="en-US"/>
        </w:rPr>
        <w:t xml:space="preserve">proposes </w:t>
      </w:r>
      <w:r w:rsidR="003B7911" w:rsidRPr="003B7911">
        <w:rPr>
          <w:rFonts w:asciiTheme="majorHAnsi" w:eastAsia="Calibri" w:hAnsiTheme="majorHAnsi" w:cstheme="majorHAnsi"/>
          <w:lang w:val="en-US"/>
        </w:rPr>
        <w:t>that</w:t>
      </w:r>
      <w:r w:rsidRPr="003B7911">
        <w:rPr>
          <w:rFonts w:asciiTheme="majorHAnsi" w:eastAsia="Calibri" w:hAnsiTheme="majorHAnsi" w:cstheme="majorHAnsi"/>
          <w:lang w:val="en-US"/>
        </w:rPr>
        <w:t xml:space="preserve"> the Committee recommends the government:</w:t>
      </w:r>
    </w:p>
    <w:p w14:paraId="00000041" w14:textId="492CDB33" w:rsidR="00D7056D" w:rsidRPr="003B7911" w:rsidRDefault="00000000">
      <w:pPr>
        <w:pBdr>
          <w:top w:val="nil"/>
          <w:left w:val="nil"/>
          <w:bottom w:val="nil"/>
          <w:right w:val="nil"/>
          <w:between w:val="nil"/>
        </w:pBdr>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 xml:space="preserve">According to general recommendation N°24 ensure that women, especially women and girls of African descent, with disabilities and refugee, asylum-seeking and migrant women and girls, have access to adequate sexual and reproductive health services and </w:t>
      </w:r>
      <w:r w:rsidR="003B7911" w:rsidRPr="003B7911">
        <w:rPr>
          <w:rFonts w:asciiTheme="majorHAnsi" w:eastAsia="Calibri" w:hAnsiTheme="majorHAnsi" w:cstheme="majorHAnsi"/>
          <w:i/>
          <w:shd w:val="clear" w:color="auto" w:fill="C6FFC6"/>
          <w:lang w:val="en-US"/>
        </w:rPr>
        <w:t>information.</w:t>
      </w:r>
    </w:p>
    <w:p w14:paraId="00000042" w14:textId="77777777" w:rsidR="00D7056D" w:rsidRPr="003B7911" w:rsidRDefault="00D7056D">
      <w:pPr>
        <w:pBdr>
          <w:top w:val="nil"/>
          <w:left w:val="nil"/>
          <w:bottom w:val="nil"/>
          <w:right w:val="nil"/>
          <w:between w:val="nil"/>
        </w:pBdr>
        <w:jc w:val="both"/>
        <w:rPr>
          <w:rFonts w:asciiTheme="majorHAnsi" w:eastAsia="Calibri" w:hAnsiTheme="majorHAnsi" w:cstheme="majorHAnsi"/>
          <w:i/>
          <w:shd w:val="clear" w:color="auto" w:fill="C6FFC6"/>
          <w:lang w:val="en-US"/>
        </w:rPr>
      </w:pPr>
    </w:p>
    <w:p w14:paraId="00000043" w14:textId="1F7CA655" w:rsidR="00D7056D" w:rsidRPr="003B7911" w:rsidRDefault="00000000">
      <w:pPr>
        <w:pBdr>
          <w:top w:val="nil"/>
          <w:left w:val="nil"/>
          <w:bottom w:val="nil"/>
          <w:right w:val="nil"/>
          <w:between w:val="nil"/>
        </w:pBdr>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 xml:space="preserve">Enhance women’s and girls’ knowledge of their rights and the remedies available to them in cases of violations of such rights, expanding </w:t>
      </w:r>
      <w:r w:rsidR="003B7911" w:rsidRPr="003B7911">
        <w:rPr>
          <w:rFonts w:asciiTheme="majorHAnsi" w:eastAsia="Calibri" w:hAnsiTheme="majorHAnsi" w:cstheme="majorHAnsi"/>
          <w:i/>
          <w:shd w:val="clear" w:color="auto" w:fill="C6FFC6"/>
          <w:lang w:val="en-US"/>
        </w:rPr>
        <w:t>these measures</w:t>
      </w:r>
      <w:r w:rsidRPr="003B7911">
        <w:rPr>
          <w:rFonts w:asciiTheme="majorHAnsi" w:eastAsia="Calibri" w:hAnsiTheme="majorHAnsi" w:cstheme="majorHAnsi"/>
          <w:i/>
          <w:shd w:val="clear" w:color="auto" w:fill="C6FFC6"/>
          <w:lang w:val="en-US"/>
        </w:rPr>
        <w:t xml:space="preserve"> to inform migrant women who are also of African descent, including through dedicated websites and social media, in accessible </w:t>
      </w:r>
      <w:r w:rsidR="003B7911" w:rsidRPr="003B7911">
        <w:rPr>
          <w:rFonts w:asciiTheme="majorHAnsi" w:eastAsia="Calibri" w:hAnsiTheme="majorHAnsi" w:cstheme="majorHAnsi"/>
          <w:i/>
          <w:shd w:val="clear" w:color="auto" w:fill="C6FFC6"/>
          <w:lang w:val="en-US"/>
        </w:rPr>
        <w:t>languages.</w:t>
      </w:r>
    </w:p>
    <w:p w14:paraId="00000044" w14:textId="77777777" w:rsidR="00D7056D" w:rsidRPr="003B7911" w:rsidRDefault="00D7056D">
      <w:pPr>
        <w:pBdr>
          <w:top w:val="nil"/>
          <w:left w:val="nil"/>
          <w:bottom w:val="nil"/>
          <w:right w:val="nil"/>
          <w:between w:val="nil"/>
        </w:pBdr>
        <w:jc w:val="both"/>
        <w:rPr>
          <w:rFonts w:asciiTheme="majorHAnsi" w:eastAsia="Calibri" w:hAnsiTheme="majorHAnsi" w:cstheme="majorHAnsi"/>
          <w:i/>
          <w:shd w:val="clear" w:color="auto" w:fill="C6FFC6"/>
          <w:lang w:val="en-US"/>
        </w:rPr>
      </w:pPr>
    </w:p>
    <w:p w14:paraId="00000045" w14:textId="77777777" w:rsidR="00D7056D" w:rsidRPr="003B7911" w:rsidRDefault="00000000">
      <w:pPr>
        <w:pBdr>
          <w:top w:val="nil"/>
          <w:left w:val="nil"/>
          <w:bottom w:val="nil"/>
          <w:right w:val="nil"/>
          <w:between w:val="nil"/>
        </w:pBdr>
        <w:jc w:val="both"/>
        <w:rPr>
          <w:rFonts w:asciiTheme="majorHAnsi" w:eastAsia="Calibri" w:hAnsiTheme="majorHAnsi" w:cstheme="majorHAnsi"/>
          <w:i/>
          <w:shd w:val="clear" w:color="auto" w:fill="C6FFC6"/>
          <w:lang w:val="en-US"/>
        </w:rPr>
      </w:pPr>
      <w:r w:rsidRPr="003B7911">
        <w:rPr>
          <w:rFonts w:asciiTheme="majorHAnsi" w:eastAsia="Calibri" w:hAnsiTheme="majorHAnsi" w:cstheme="majorHAnsi"/>
          <w:i/>
          <w:shd w:val="clear" w:color="auto" w:fill="C6FFC6"/>
          <w:lang w:val="en-US"/>
        </w:rPr>
        <w:t xml:space="preserve">Adopt awareness-raising campaigns aimed at eliminating patriarchal attitudes and stereotypes against migrant women and migrant women of African descent highlighting the importance of women’s full and equal access to justice, health, education, and to combat all forms of discriminations against women. </w:t>
      </w:r>
    </w:p>
    <w:p w14:paraId="00000046" w14:textId="77777777" w:rsidR="00D7056D" w:rsidRPr="003B7911" w:rsidRDefault="00D7056D">
      <w:pPr>
        <w:numPr>
          <w:ilvl w:val="0"/>
          <w:numId w:val="2"/>
        </w:numPr>
        <w:spacing w:before="240" w:after="240"/>
        <w:rPr>
          <w:rFonts w:asciiTheme="majorHAnsi" w:eastAsia="Calibri" w:hAnsiTheme="majorHAnsi" w:cstheme="majorHAnsi"/>
          <w:lang w:val="en-US"/>
        </w:rPr>
      </w:pPr>
    </w:p>
    <w:p w14:paraId="00000047" w14:textId="77777777" w:rsidR="00D7056D" w:rsidRPr="003B7911" w:rsidRDefault="00D7056D">
      <w:pPr>
        <w:spacing w:before="240" w:after="240"/>
        <w:ind w:left="720"/>
        <w:rPr>
          <w:rFonts w:asciiTheme="majorHAnsi" w:eastAsia="Calibri" w:hAnsiTheme="majorHAnsi" w:cstheme="majorHAnsi"/>
          <w:lang w:val="en-US"/>
        </w:rPr>
      </w:pPr>
    </w:p>
    <w:p w14:paraId="00000048" w14:textId="77777777" w:rsidR="00D7056D" w:rsidRPr="003B7911" w:rsidRDefault="00D7056D">
      <w:pPr>
        <w:spacing w:before="240" w:after="240"/>
        <w:ind w:left="720"/>
        <w:rPr>
          <w:rFonts w:asciiTheme="majorHAnsi" w:eastAsia="Calibri" w:hAnsiTheme="majorHAnsi" w:cstheme="majorHAnsi"/>
          <w:lang w:val="en-US"/>
        </w:rPr>
      </w:pPr>
    </w:p>
    <w:p w14:paraId="00000049" w14:textId="77777777" w:rsidR="00D7056D" w:rsidRPr="003B7911" w:rsidRDefault="00D7056D">
      <w:pPr>
        <w:spacing w:before="280"/>
        <w:ind w:right="160"/>
        <w:jc w:val="both"/>
        <w:rPr>
          <w:rFonts w:asciiTheme="majorHAnsi" w:eastAsia="Calibri" w:hAnsiTheme="majorHAnsi" w:cstheme="majorHAnsi"/>
          <w:b/>
          <w:lang w:val="en-US"/>
        </w:rPr>
      </w:pPr>
    </w:p>
    <w:p w14:paraId="0000004A" w14:textId="77777777" w:rsidR="00D7056D" w:rsidRPr="003B7911" w:rsidRDefault="00D7056D">
      <w:pPr>
        <w:rPr>
          <w:rFonts w:asciiTheme="majorHAnsi" w:eastAsia="Calibri" w:hAnsiTheme="majorHAnsi" w:cstheme="majorHAnsi"/>
          <w:lang w:val="en-US"/>
        </w:rPr>
      </w:pPr>
    </w:p>
    <w:sectPr w:rsidR="00D7056D" w:rsidRPr="003B79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72073" w14:textId="77777777" w:rsidR="00DE01C4" w:rsidRDefault="00DE01C4">
      <w:pPr>
        <w:spacing w:line="240" w:lineRule="auto"/>
      </w:pPr>
      <w:r>
        <w:separator/>
      </w:r>
    </w:p>
  </w:endnote>
  <w:endnote w:type="continuationSeparator" w:id="0">
    <w:p w14:paraId="197CD74C" w14:textId="77777777" w:rsidR="00DE01C4" w:rsidRDefault="00DE01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165C9" w14:textId="77777777" w:rsidR="00DE01C4" w:rsidRDefault="00DE01C4">
      <w:pPr>
        <w:spacing w:line="240" w:lineRule="auto"/>
      </w:pPr>
      <w:r>
        <w:separator/>
      </w:r>
    </w:p>
  </w:footnote>
  <w:footnote w:type="continuationSeparator" w:id="0">
    <w:p w14:paraId="2DFAF6DB" w14:textId="77777777" w:rsidR="00DE01C4" w:rsidRDefault="00DE01C4">
      <w:pPr>
        <w:spacing w:line="240" w:lineRule="auto"/>
      </w:pPr>
      <w:r>
        <w:continuationSeparator/>
      </w:r>
    </w:p>
  </w:footnote>
  <w:footnote w:id="1">
    <w:p w14:paraId="0000004C" w14:textId="77777777" w:rsidR="00D7056D" w:rsidRPr="003B7911" w:rsidRDefault="00000000">
      <w:pPr>
        <w:spacing w:line="240" w:lineRule="auto"/>
        <w:ind w:left="141"/>
        <w:rPr>
          <w:sz w:val="12"/>
          <w:szCs w:val="12"/>
          <w:lang w:val="en-US"/>
        </w:rPr>
      </w:pPr>
      <w:r>
        <w:rPr>
          <w:vertAlign w:val="superscript"/>
        </w:rPr>
        <w:footnoteRef/>
      </w:r>
      <w:r w:rsidRPr="003B7911">
        <w:rPr>
          <w:sz w:val="20"/>
          <w:szCs w:val="20"/>
          <w:lang w:val="en-US"/>
        </w:rPr>
        <w:t xml:space="preserve"> </w:t>
      </w:r>
      <w:r w:rsidRPr="003B7911">
        <w:rPr>
          <w:sz w:val="12"/>
          <w:szCs w:val="12"/>
          <w:lang w:val="en-US"/>
        </w:rPr>
        <w:t xml:space="preserve">See Anex 2 filed by the Chilean state on the periodic report CEDAW/C/CHL/8 </w:t>
      </w:r>
      <w:hyperlink r:id="rId1">
        <w:r w:rsidRPr="003B7911">
          <w:rPr>
            <w:color w:val="1155CC"/>
            <w:sz w:val="12"/>
            <w:szCs w:val="12"/>
            <w:u w:val="single"/>
            <w:lang w:val="en-US"/>
          </w:rPr>
          <w:t>https://tbinternet.ohchr.org/_layouts/15/treatybodyexternal/Download.aspx?symbolno=INT%2FCEDAW%2FADR%2FCHL%2F48214&amp;Lang=en</w:t>
        </w:r>
      </w:hyperlink>
      <w:r w:rsidRPr="003B7911">
        <w:rPr>
          <w:sz w:val="12"/>
          <w:szCs w:val="12"/>
          <w:lang w:val="en-US"/>
        </w:rPr>
        <w:t xml:space="preserve"> </w:t>
      </w:r>
    </w:p>
  </w:footnote>
  <w:footnote w:id="2">
    <w:p w14:paraId="0000004D" w14:textId="6BB81195" w:rsidR="00D7056D" w:rsidRPr="003B7911" w:rsidRDefault="00000000">
      <w:pPr>
        <w:spacing w:line="240" w:lineRule="auto"/>
        <w:ind w:left="141" w:hanging="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Chilean Supreme Court report </w:t>
      </w:r>
      <w:r w:rsidR="003B7911" w:rsidRPr="003B7911">
        <w:rPr>
          <w:sz w:val="12"/>
          <w:szCs w:val="12"/>
          <w:lang w:val="en-US"/>
        </w:rPr>
        <w:t>on Bulletin</w:t>
      </w:r>
      <w:r w:rsidRPr="003B7911">
        <w:rPr>
          <w:sz w:val="12"/>
          <w:szCs w:val="12"/>
          <w:lang w:val="en-US"/>
        </w:rPr>
        <w:t xml:space="preserve"> 12748-17. pages 5 and 8: </w:t>
      </w:r>
      <w:hyperlink r:id="rId2">
        <w:r w:rsidRPr="003B7911">
          <w:rPr>
            <w:color w:val="1155CC"/>
            <w:sz w:val="12"/>
            <w:szCs w:val="12"/>
            <w:u w:val="single"/>
            <w:lang w:val="en-US"/>
          </w:rPr>
          <w:t>https://www.camara.cl/verDoc.aspx?prmID=33060&amp;prmTIPO=OFICIOPLEY</w:t>
        </w:r>
      </w:hyperlink>
      <w:r w:rsidRPr="003B7911">
        <w:rPr>
          <w:sz w:val="12"/>
          <w:szCs w:val="12"/>
          <w:lang w:val="en-US"/>
        </w:rPr>
        <w:t xml:space="preserve"> </w:t>
      </w:r>
    </w:p>
  </w:footnote>
  <w:footnote w:id="3">
    <w:p w14:paraId="00000058" w14:textId="0CB2579E" w:rsidR="00D7056D" w:rsidRPr="003B7911" w:rsidRDefault="00000000">
      <w:pPr>
        <w:spacing w:line="240" w:lineRule="auto"/>
        <w:ind w:left="141"/>
        <w:rPr>
          <w:sz w:val="20"/>
          <w:szCs w:val="20"/>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Law 21151 stablishes a legal concept of </w:t>
      </w:r>
      <w:r w:rsidR="003B7911" w:rsidRPr="003B7911">
        <w:rPr>
          <w:sz w:val="12"/>
          <w:szCs w:val="12"/>
          <w:lang w:val="en-US"/>
        </w:rPr>
        <w:t>Chilean</w:t>
      </w:r>
      <w:r w:rsidRPr="003B7911">
        <w:rPr>
          <w:sz w:val="12"/>
          <w:szCs w:val="12"/>
          <w:lang w:val="en-US"/>
        </w:rPr>
        <w:t xml:space="preserve"> tribal people of </w:t>
      </w:r>
      <w:r w:rsidR="003B7911" w:rsidRPr="003B7911">
        <w:rPr>
          <w:sz w:val="12"/>
          <w:szCs w:val="12"/>
          <w:lang w:val="en-US"/>
        </w:rPr>
        <w:t>African</w:t>
      </w:r>
      <w:r w:rsidRPr="003B7911">
        <w:rPr>
          <w:sz w:val="12"/>
          <w:szCs w:val="12"/>
          <w:lang w:val="en-US"/>
        </w:rPr>
        <w:t xml:space="preserve"> descent as” the human group that, having Chilean nationality in accordance with the Political Constitution, share the same culture, history, customs, united by the consciousness of identity and anthropological discourse, descendants of the transatlantic slave trade of Africans brought to the current national territory between the XVI and XIX centuries and that self-identifies as such” For more information click here  </w:t>
      </w:r>
      <w:hyperlink r:id="rId3">
        <w:r w:rsidRPr="003B7911">
          <w:rPr>
            <w:color w:val="1155CC"/>
            <w:sz w:val="12"/>
            <w:szCs w:val="12"/>
            <w:u w:val="single"/>
            <w:lang w:val="en-US"/>
          </w:rPr>
          <w:t>https://www.bcn.cl/leychile/navegar?idNorma=1130641</w:t>
        </w:r>
      </w:hyperlink>
      <w:r w:rsidRPr="003B7911">
        <w:rPr>
          <w:sz w:val="12"/>
          <w:szCs w:val="12"/>
          <w:lang w:val="en-US"/>
        </w:rPr>
        <w:t xml:space="preserve"> </w:t>
      </w:r>
    </w:p>
  </w:footnote>
  <w:footnote w:id="4">
    <w:p w14:paraId="00000059" w14:textId="77777777" w:rsidR="00D7056D" w:rsidRPr="003B7911" w:rsidRDefault="00000000">
      <w:pPr>
        <w:spacing w:line="240" w:lineRule="auto"/>
        <w:ind w:left="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National Institute of Statistics - </w:t>
      </w:r>
      <w:hyperlink r:id="rId4">
        <w:r w:rsidRPr="003B7911">
          <w:rPr>
            <w:color w:val="1155CC"/>
            <w:sz w:val="12"/>
            <w:szCs w:val="12"/>
            <w:u w:val="single"/>
            <w:lang w:val="en-US"/>
          </w:rPr>
          <w:t>https://www.ine.cl/docs/default-source/demografia-y-migracion/publicaciones-y-anuarios/migraci%C3%B3n-internacional/estimaci%C3%B3n-poblaci%C3%B3n-extranjera-en-chile-2018/estimaci%C3%B3n-poblaci%C3%B3n-extranjera-en-chile-2020-metodolog%C3%ADa.pdf?sfvrsn=48d432b1</w:t>
        </w:r>
      </w:hyperlink>
      <w:r w:rsidRPr="003B7911">
        <w:rPr>
          <w:sz w:val="12"/>
          <w:szCs w:val="12"/>
          <w:lang w:val="en-US"/>
        </w:rPr>
        <w:t xml:space="preserve"> </w:t>
      </w:r>
    </w:p>
  </w:footnote>
  <w:footnote w:id="5">
    <w:p w14:paraId="0000004B" w14:textId="77777777" w:rsidR="00D7056D" w:rsidRPr="003B7911" w:rsidRDefault="00000000">
      <w:pPr>
        <w:spacing w:line="240" w:lineRule="auto"/>
        <w:rPr>
          <w:sz w:val="12"/>
          <w:szCs w:val="12"/>
          <w:lang w:val="en-US"/>
        </w:rPr>
      </w:pPr>
      <w:r w:rsidRPr="003B7911">
        <w:rPr>
          <w:vertAlign w:val="superscript"/>
        </w:rPr>
        <w:footnoteRef/>
      </w:r>
      <w:r w:rsidRPr="003B7911">
        <w:rPr>
          <w:sz w:val="20"/>
          <w:szCs w:val="20"/>
          <w:lang w:val="en-US"/>
        </w:rPr>
        <w:t xml:space="preserve"> </w:t>
      </w:r>
      <w:hyperlink r:id="rId5">
        <w:r w:rsidRPr="003B7911">
          <w:rPr>
            <w:color w:val="1155CC"/>
            <w:sz w:val="12"/>
            <w:szCs w:val="12"/>
            <w:u w:val="single"/>
            <w:lang w:val="en-US"/>
          </w:rPr>
          <w:t>https://serviciomigraciones.cl/en/migration-and-gender/</w:t>
        </w:r>
      </w:hyperlink>
      <w:r w:rsidRPr="003B7911">
        <w:rPr>
          <w:sz w:val="12"/>
          <w:szCs w:val="12"/>
          <w:lang w:val="en-US"/>
        </w:rPr>
        <w:t xml:space="preserve"> </w:t>
      </w:r>
    </w:p>
  </w:footnote>
  <w:footnote w:id="6">
    <w:p w14:paraId="0000004E" w14:textId="77777777" w:rsidR="00D7056D" w:rsidRPr="003B7911" w:rsidRDefault="00000000">
      <w:pPr>
        <w:spacing w:line="240" w:lineRule="auto"/>
        <w:ind w:left="141" w:hanging="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Data on Migrant women of the ministry of women and gender equality </w:t>
      </w:r>
      <w:hyperlink r:id="rId6">
        <w:r w:rsidRPr="003B7911">
          <w:rPr>
            <w:b/>
            <w:color w:val="1155CC"/>
            <w:sz w:val="12"/>
            <w:szCs w:val="12"/>
            <w:u w:val="single"/>
            <w:lang w:val="en-US"/>
          </w:rPr>
          <w:t>https://minmujeryeg.gob.cl/wp-content/uploads/2021/12/mujeres-migrantes-infografi%CC%81a.pdf</w:t>
        </w:r>
      </w:hyperlink>
      <w:r w:rsidRPr="003B7911">
        <w:rPr>
          <w:b/>
          <w:sz w:val="12"/>
          <w:szCs w:val="12"/>
          <w:lang w:val="en-US"/>
        </w:rPr>
        <w:t xml:space="preserve"> </w:t>
      </w:r>
    </w:p>
  </w:footnote>
  <w:footnote w:id="7">
    <w:p w14:paraId="0000005B" w14:textId="77777777" w:rsidR="00D7056D" w:rsidRPr="003B7911" w:rsidRDefault="00000000">
      <w:pPr>
        <w:spacing w:line="240" w:lineRule="auto"/>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For further information please consult </w:t>
      </w:r>
      <w:hyperlink r:id="rId7">
        <w:r w:rsidRPr="003B7911">
          <w:rPr>
            <w:color w:val="1155CC"/>
            <w:sz w:val="12"/>
            <w:szCs w:val="12"/>
            <w:u w:val="single"/>
            <w:lang w:val="en-US"/>
          </w:rPr>
          <w:t>https://ojs.uc.cl/index.php/RTS/article/download/2548/2514/</w:t>
        </w:r>
      </w:hyperlink>
      <w:r w:rsidRPr="003B7911">
        <w:rPr>
          <w:sz w:val="12"/>
          <w:szCs w:val="12"/>
          <w:lang w:val="en-US"/>
        </w:rPr>
        <w:t xml:space="preserve"> </w:t>
      </w:r>
    </w:p>
  </w:footnote>
  <w:footnote w:id="8">
    <w:p w14:paraId="00000055" w14:textId="77777777" w:rsidR="00D7056D" w:rsidRPr="003B7911" w:rsidRDefault="00000000">
      <w:pPr>
        <w:spacing w:line="240" w:lineRule="auto"/>
        <w:ind w:left="141" w:hanging="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For further information please read </w:t>
      </w:r>
      <w:hyperlink r:id="rId8">
        <w:r w:rsidRPr="003B7911">
          <w:rPr>
            <w:color w:val="1155CC"/>
            <w:sz w:val="12"/>
            <w:szCs w:val="12"/>
            <w:u w:val="single"/>
            <w:lang w:val="en-US"/>
          </w:rPr>
          <w:t>https://www.indh.cl/ante-solicitud-indh-y-por-covid-19-corte-de-iquique-ordena-tramitacion-de-solicitud-de-refugio-via-correo-electronico/</w:t>
        </w:r>
      </w:hyperlink>
      <w:r w:rsidRPr="003B7911">
        <w:rPr>
          <w:sz w:val="12"/>
          <w:szCs w:val="12"/>
          <w:lang w:val="en-US"/>
        </w:rPr>
        <w:t xml:space="preserve"> </w:t>
      </w:r>
    </w:p>
  </w:footnote>
  <w:footnote w:id="9">
    <w:p w14:paraId="00000053" w14:textId="77777777" w:rsidR="00D7056D" w:rsidRPr="003B7911" w:rsidRDefault="00000000">
      <w:pPr>
        <w:spacing w:line="240" w:lineRule="auto"/>
        <w:ind w:left="141" w:hanging="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ODRI’s contribution to CERD </w:t>
      </w:r>
      <w:hyperlink r:id="rId9">
        <w:r w:rsidRPr="003B7911">
          <w:rPr>
            <w:color w:val="1155CC"/>
            <w:sz w:val="12"/>
            <w:szCs w:val="12"/>
            <w:u w:val="single"/>
            <w:lang w:val="en-US"/>
          </w:rPr>
          <w:t>https://tbinternet.ohchr.org/_layouts/15/treatybodyexternal/Download.aspx?symbolno=INT%2FCERD%2FNGO%2FCHL%2F47109&amp;Lang=es</w:t>
        </w:r>
      </w:hyperlink>
      <w:r w:rsidRPr="003B7911">
        <w:rPr>
          <w:sz w:val="12"/>
          <w:szCs w:val="12"/>
          <w:lang w:val="en-US"/>
        </w:rPr>
        <w:t xml:space="preserve"> </w:t>
      </w:r>
    </w:p>
  </w:footnote>
  <w:footnote w:id="10">
    <w:p w14:paraId="00000056" w14:textId="62669B51" w:rsidR="00D7056D" w:rsidRPr="003B7911" w:rsidRDefault="00000000">
      <w:pPr>
        <w:spacing w:line="240" w:lineRule="auto"/>
        <w:ind w:left="141" w:hanging="141"/>
        <w:rPr>
          <w:sz w:val="12"/>
          <w:szCs w:val="12"/>
        </w:rPr>
      </w:pPr>
      <w:r w:rsidRPr="003B7911">
        <w:rPr>
          <w:vertAlign w:val="superscript"/>
        </w:rPr>
        <w:footnoteRef/>
      </w:r>
      <w:r w:rsidRPr="003B7911">
        <w:rPr>
          <w:sz w:val="20"/>
          <w:szCs w:val="20"/>
        </w:rPr>
        <w:t xml:space="preserve"> </w:t>
      </w:r>
      <w:r w:rsidRPr="003B7911">
        <w:rPr>
          <w:rFonts w:eastAsia="Calibri"/>
          <w:sz w:val="12"/>
          <w:szCs w:val="12"/>
        </w:rPr>
        <w:t xml:space="preserve">Migrant women of African descent during </w:t>
      </w:r>
      <w:r w:rsidR="003B7911" w:rsidRPr="003B7911">
        <w:rPr>
          <w:rFonts w:eastAsia="Calibri"/>
          <w:sz w:val="12"/>
          <w:szCs w:val="12"/>
        </w:rPr>
        <w:t>COVID</w:t>
      </w:r>
      <w:r w:rsidRPr="003B7911">
        <w:rPr>
          <w:rFonts w:eastAsia="Calibri"/>
          <w:sz w:val="12"/>
          <w:szCs w:val="12"/>
        </w:rPr>
        <w:t xml:space="preserve"> </w:t>
      </w:r>
      <w:hyperlink r:id="rId10">
        <w:r w:rsidRPr="003B7911">
          <w:rPr>
            <w:rFonts w:eastAsia="Calibri"/>
            <w:color w:val="1155CC"/>
            <w:sz w:val="12"/>
            <w:szCs w:val="12"/>
            <w:u w:val="single"/>
          </w:rPr>
          <w:t>PIENSA PRENSA 350 mil seguidores en X: "CHILE:"Por favor, por favor, (llantos) no me lleven por favor." Carabineros detiene y golpea a comerciantes ambulantes en Quilpué. https://t.co/dvX2UFqCen" / X</w:t>
        </w:r>
      </w:hyperlink>
    </w:p>
  </w:footnote>
  <w:footnote w:id="11">
    <w:p w14:paraId="0000004F" w14:textId="77777777" w:rsidR="00D7056D" w:rsidRPr="003B7911" w:rsidRDefault="00000000">
      <w:pPr>
        <w:spacing w:line="240" w:lineRule="auto"/>
        <w:ind w:left="141" w:hanging="141"/>
        <w:rPr>
          <w:sz w:val="12"/>
          <w:szCs w:val="12"/>
          <w:lang w:val="en-US"/>
        </w:rPr>
      </w:pPr>
      <w:r w:rsidRPr="003B7911">
        <w:rPr>
          <w:vertAlign w:val="superscript"/>
        </w:rPr>
        <w:footnoteRef/>
      </w:r>
      <w:r w:rsidRPr="003B7911">
        <w:rPr>
          <w:sz w:val="20"/>
          <w:szCs w:val="20"/>
          <w:lang w:val="en-US"/>
        </w:rPr>
        <w:t xml:space="preserve"> </w:t>
      </w:r>
      <w:r w:rsidRPr="003B7911">
        <w:rPr>
          <w:b/>
          <w:sz w:val="12"/>
          <w:szCs w:val="12"/>
          <w:lang w:val="en-US"/>
        </w:rPr>
        <w:t>Joanne Florvil</w:t>
      </w:r>
      <w:r w:rsidRPr="003B7911">
        <w:rPr>
          <w:sz w:val="12"/>
          <w:szCs w:val="12"/>
          <w:lang w:val="en-US"/>
        </w:rPr>
        <w:t xml:space="preserve">: look for </w:t>
      </w:r>
      <w:r w:rsidRPr="003B7911">
        <w:rPr>
          <w:b/>
          <w:color w:val="333333"/>
          <w:sz w:val="12"/>
          <w:szCs w:val="12"/>
          <w:highlight w:val="white"/>
          <w:lang w:val="en-US"/>
        </w:rPr>
        <w:t>ROL:</w:t>
      </w:r>
      <w:r w:rsidRPr="003B7911">
        <w:rPr>
          <w:color w:val="333333"/>
          <w:sz w:val="12"/>
          <w:szCs w:val="12"/>
          <w:highlight w:val="white"/>
          <w:lang w:val="en-US"/>
        </w:rPr>
        <w:t xml:space="preserve"> C-34592-2017</w:t>
      </w:r>
      <w:r w:rsidRPr="003B7911">
        <w:rPr>
          <w:color w:val="333333"/>
          <w:sz w:val="21"/>
          <w:szCs w:val="21"/>
          <w:highlight w:val="white"/>
          <w:lang w:val="en-US"/>
        </w:rPr>
        <w:t xml:space="preserve"> </w:t>
      </w:r>
      <w:r w:rsidRPr="003B7911">
        <w:rPr>
          <w:sz w:val="12"/>
          <w:szCs w:val="12"/>
          <w:lang w:val="en-US"/>
        </w:rPr>
        <w:t xml:space="preserve">of Santiago  5th civil court on </w:t>
      </w:r>
      <w:hyperlink r:id="rId11">
        <w:r w:rsidRPr="003B7911">
          <w:rPr>
            <w:color w:val="1155CC"/>
            <w:sz w:val="12"/>
            <w:szCs w:val="12"/>
            <w:u w:val="single"/>
            <w:lang w:val="en-US"/>
          </w:rPr>
          <w:t>https://www.pjud.cl/</w:t>
        </w:r>
      </w:hyperlink>
      <w:r w:rsidRPr="003B7911">
        <w:rPr>
          <w:sz w:val="12"/>
          <w:szCs w:val="12"/>
          <w:lang w:val="en-US"/>
        </w:rPr>
        <w:t xml:space="preserve">  , please find more information in the following links:   </w:t>
      </w:r>
      <w:hyperlink r:id="rId12">
        <w:r w:rsidRPr="003B7911">
          <w:rPr>
            <w:color w:val="1155CC"/>
            <w:sz w:val="12"/>
            <w:szCs w:val="12"/>
            <w:u w:val="single"/>
            <w:lang w:val="en-US"/>
          </w:rPr>
          <w:t>https://revistas.udec.cl/index.php/atenea/article/view/7721/6858</w:t>
        </w:r>
      </w:hyperlink>
      <w:r w:rsidRPr="003B7911">
        <w:rPr>
          <w:sz w:val="12"/>
          <w:szCs w:val="12"/>
          <w:lang w:val="en-US"/>
        </w:rPr>
        <w:t xml:space="preserve">; </w:t>
      </w:r>
      <w:hyperlink r:id="rId13">
        <w:r w:rsidRPr="003B7911">
          <w:rPr>
            <w:color w:val="1155CC"/>
            <w:sz w:val="12"/>
            <w:szCs w:val="12"/>
            <w:u w:val="single"/>
            <w:lang w:val="en-US"/>
          </w:rPr>
          <w:t>https://rehuirelolvido.indh.cl/caso/joaneflorvil/</w:t>
        </w:r>
      </w:hyperlink>
      <w:r w:rsidRPr="003B7911">
        <w:rPr>
          <w:sz w:val="12"/>
          <w:szCs w:val="12"/>
          <w:lang w:val="en-US"/>
        </w:rPr>
        <w:t xml:space="preserve">; </w:t>
      </w:r>
      <w:r w:rsidRPr="003B7911">
        <w:rPr>
          <w:b/>
          <w:sz w:val="12"/>
          <w:szCs w:val="12"/>
          <w:lang w:val="en-US"/>
        </w:rPr>
        <w:t>Mirabel</w:t>
      </w:r>
      <w:r w:rsidRPr="003B7911">
        <w:rPr>
          <w:sz w:val="12"/>
          <w:szCs w:val="12"/>
          <w:lang w:val="en-US"/>
        </w:rPr>
        <w:t>::</w:t>
      </w:r>
      <w:hyperlink r:id="rId14">
        <w:r w:rsidRPr="003B7911">
          <w:rPr>
            <w:color w:val="1155CC"/>
            <w:sz w:val="12"/>
            <w:szCs w:val="12"/>
            <w:u w:val="single"/>
            <w:lang w:val="en-US"/>
          </w:rPr>
          <w:t>https://www.theclinic.cl/2021/01/05/perder-un-hijo-la-desproteccion-de-una-madre-haitiana-en-chile/</w:t>
        </w:r>
      </w:hyperlink>
      <w:r w:rsidRPr="003B7911">
        <w:rPr>
          <w:sz w:val="12"/>
          <w:szCs w:val="12"/>
          <w:lang w:val="en-US"/>
        </w:rPr>
        <w:t xml:space="preserve"> ; </w:t>
      </w:r>
      <w:hyperlink r:id="rId15">
        <w:r w:rsidRPr="003B7911">
          <w:rPr>
            <w:rFonts w:eastAsia="Calibri"/>
            <w:color w:val="1155CC"/>
            <w:sz w:val="12"/>
            <w:szCs w:val="12"/>
            <w:u w:val="single"/>
            <w:lang w:val="en-US"/>
          </w:rPr>
          <w:t>https://www.biobiochile.cl/noticias/nacional/region-de-tarapaca/2024/05/09/encuentran-cuerpo-de-mujer-venezolana-en-bofedal-de-paso-fronterizo-colchane.shtml</w:t>
        </w:r>
      </w:hyperlink>
    </w:p>
  </w:footnote>
  <w:footnote w:id="12">
    <w:p w14:paraId="00000051" w14:textId="77777777" w:rsidR="00D7056D" w:rsidRPr="003B7911" w:rsidRDefault="00000000">
      <w:pPr>
        <w:spacing w:line="240" w:lineRule="auto"/>
        <w:ind w:left="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Migrants report lack of access to vaccines due to their migratory status </w:t>
      </w:r>
      <w:hyperlink r:id="rId16">
        <w:r w:rsidRPr="003B7911">
          <w:rPr>
            <w:color w:val="1155CC"/>
            <w:sz w:val="12"/>
            <w:szCs w:val="12"/>
            <w:u w:val="single"/>
            <w:lang w:val="en-US"/>
          </w:rPr>
          <w:t>https://radio.uchile.cl/2021/05/31/minsal-aclara-universalidad-de-la-vacuna-ante-denuncias-de-discriminacion-a-migrantes/</w:t>
        </w:r>
      </w:hyperlink>
      <w:r w:rsidRPr="003B7911">
        <w:rPr>
          <w:sz w:val="12"/>
          <w:szCs w:val="12"/>
          <w:lang w:val="en-US"/>
        </w:rPr>
        <w:t xml:space="preserve"> </w:t>
      </w:r>
    </w:p>
  </w:footnote>
  <w:footnote w:id="13">
    <w:p w14:paraId="00000057" w14:textId="77777777" w:rsidR="00D7056D" w:rsidRPr="003B7911" w:rsidRDefault="00000000">
      <w:pPr>
        <w:spacing w:line="240" w:lineRule="auto"/>
        <w:ind w:left="141" w:hanging="141"/>
        <w:rPr>
          <w:sz w:val="12"/>
          <w:szCs w:val="12"/>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Anti migrant protest in Chile - protesters burns migrant belongings </w:t>
      </w:r>
      <w:hyperlink r:id="rId17">
        <w:r w:rsidRPr="003B7911">
          <w:rPr>
            <w:color w:val="1155CC"/>
            <w:sz w:val="12"/>
            <w:szCs w:val="12"/>
            <w:u w:val="single"/>
            <w:lang w:val="en-US"/>
          </w:rPr>
          <w:t>https://elpais.com/internacional/2021-09-26/colchones-y-juguetes-de-venezolanos-sin-techo-quemados-tras-una-marcha-contra-la-inmigracion-en-chile.html</w:t>
        </w:r>
      </w:hyperlink>
      <w:r w:rsidRPr="003B7911">
        <w:rPr>
          <w:sz w:val="12"/>
          <w:szCs w:val="12"/>
          <w:lang w:val="en-US"/>
        </w:rPr>
        <w:t xml:space="preserve"> </w:t>
      </w:r>
    </w:p>
  </w:footnote>
  <w:footnote w:id="14">
    <w:p w14:paraId="00000052" w14:textId="77777777" w:rsidR="00D7056D" w:rsidRPr="003B7911" w:rsidRDefault="00000000">
      <w:pPr>
        <w:spacing w:line="240" w:lineRule="auto"/>
        <w:ind w:left="141" w:hanging="141"/>
        <w:rPr>
          <w:rFonts w:eastAsia="Calibri"/>
          <w:color w:val="1155CC"/>
          <w:sz w:val="12"/>
          <w:szCs w:val="12"/>
          <w:u w:val="single"/>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News related with deaths of migrant women  </w:t>
      </w:r>
      <w:hyperlink r:id="rId18">
        <w:r w:rsidRPr="003B7911">
          <w:rPr>
            <w:rFonts w:eastAsia="Calibri"/>
            <w:color w:val="1155CC"/>
            <w:sz w:val="12"/>
            <w:szCs w:val="12"/>
            <w:u w:val="single"/>
            <w:lang w:val="en-US"/>
          </w:rPr>
          <w:t>https://www.migracionenchile.cl/migrantes-fallecidos-en-la-frontera-se-elevan-a-seis-tras-muerte-de-mujer/</w:t>
        </w:r>
      </w:hyperlink>
      <w:r w:rsidRPr="003B7911">
        <w:rPr>
          <w:rFonts w:eastAsia="Calibri"/>
          <w:sz w:val="12"/>
          <w:szCs w:val="12"/>
          <w:lang w:val="en-US"/>
        </w:rPr>
        <w:t xml:space="preserve"> ; </w:t>
      </w:r>
      <w:hyperlink r:id="rId19">
        <w:r w:rsidRPr="003B7911">
          <w:rPr>
            <w:rFonts w:eastAsia="Calibri"/>
            <w:color w:val="1155CC"/>
            <w:sz w:val="12"/>
            <w:szCs w:val="12"/>
            <w:u w:val="single"/>
            <w:lang w:val="en-US"/>
          </w:rPr>
          <w:t>https://www.migracionenchile.cl/migrantes-fallecidos-en-la-frontera-se-elevan-a-seis-tras-muerte-de-mujer/</w:t>
        </w:r>
      </w:hyperlink>
      <w:r w:rsidRPr="003B7911">
        <w:rPr>
          <w:rFonts w:eastAsia="Calibri"/>
          <w:color w:val="1155CC"/>
          <w:sz w:val="12"/>
          <w:szCs w:val="12"/>
          <w:u w:val="single"/>
          <w:lang w:val="en-US"/>
        </w:rPr>
        <w:t xml:space="preserve"> ; </w:t>
      </w:r>
    </w:p>
  </w:footnote>
  <w:footnote w:id="15">
    <w:p w14:paraId="00000050" w14:textId="77777777" w:rsidR="00D7056D" w:rsidRPr="003B7911" w:rsidRDefault="00000000">
      <w:pPr>
        <w:spacing w:line="240" w:lineRule="auto"/>
        <w:rPr>
          <w:sz w:val="20"/>
          <w:szCs w:val="20"/>
          <w:lang w:val="en-US"/>
        </w:rPr>
      </w:pPr>
      <w:r w:rsidRPr="003B7911">
        <w:rPr>
          <w:vertAlign w:val="superscript"/>
        </w:rPr>
        <w:footnoteRef/>
      </w:r>
      <w:r w:rsidRPr="003B7911">
        <w:rPr>
          <w:sz w:val="20"/>
          <w:szCs w:val="20"/>
          <w:lang w:val="en-US"/>
        </w:rPr>
        <w:t xml:space="preserve"> </w:t>
      </w:r>
      <w:r w:rsidRPr="003B7911">
        <w:rPr>
          <w:sz w:val="12"/>
          <w:szCs w:val="12"/>
          <w:lang w:val="en-US"/>
        </w:rPr>
        <w:t xml:space="preserve">WHO, Operational framework for monitoring social determinants of health equity (2024). </w:t>
      </w:r>
    </w:p>
  </w:footnote>
  <w:footnote w:id="16">
    <w:p w14:paraId="0000005A" w14:textId="77777777" w:rsidR="00D7056D" w:rsidRPr="003B7911" w:rsidRDefault="00000000">
      <w:pPr>
        <w:spacing w:line="240" w:lineRule="auto"/>
        <w:ind w:left="141" w:hanging="141"/>
        <w:rPr>
          <w:sz w:val="12"/>
          <w:szCs w:val="12"/>
        </w:rPr>
      </w:pPr>
      <w:r w:rsidRPr="003B7911">
        <w:rPr>
          <w:vertAlign w:val="superscript"/>
        </w:rPr>
        <w:footnoteRef/>
      </w:r>
      <w:r w:rsidRPr="003B7911">
        <w:rPr>
          <w:sz w:val="20"/>
          <w:szCs w:val="20"/>
        </w:rPr>
        <w:t xml:space="preserve"> </w:t>
      </w:r>
      <w:r w:rsidRPr="003B7911">
        <w:rPr>
          <w:sz w:val="12"/>
          <w:szCs w:val="12"/>
        </w:rPr>
        <w:t xml:space="preserve">For further information please read </w:t>
      </w:r>
      <w:hyperlink r:id="rId20">
        <w:r w:rsidRPr="003B7911">
          <w:rPr>
            <w:color w:val="1155CC"/>
            <w:sz w:val="12"/>
            <w:szCs w:val="12"/>
            <w:u w:val="single"/>
          </w:rPr>
          <w:t>Otro caso de racismo en Chile: denuncian a Oficina de Protección de Derechos de Infancia de arrebatar hijos de mujer haitiana con procedimiento irregular y sin apoyo de traductores (elmostrador.cl)</w:t>
        </w:r>
      </w:hyperlink>
    </w:p>
  </w:footnote>
  <w:footnote w:id="17">
    <w:p w14:paraId="00000054" w14:textId="77777777" w:rsidR="00D7056D" w:rsidRPr="003B7911" w:rsidRDefault="00000000">
      <w:pPr>
        <w:spacing w:line="240" w:lineRule="auto"/>
        <w:ind w:left="141" w:hanging="135"/>
        <w:rPr>
          <w:sz w:val="12"/>
          <w:szCs w:val="12"/>
          <w:lang w:val="en-US"/>
        </w:rPr>
      </w:pPr>
      <w:r w:rsidRPr="003B7911">
        <w:rPr>
          <w:vertAlign w:val="superscript"/>
        </w:rPr>
        <w:footnoteRef/>
      </w:r>
      <w:r w:rsidRPr="003B7911">
        <w:rPr>
          <w:sz w:val="12"/>
          <w:szCs w:val="12"/>
          <w:lang w:val="en-US"/>
        </w:rPr>
        <w:t xml:space="preserve"> News related to forced sterilization of migrants  </w:t>
      </w:r>
      <w:hyperlink r:id="rId21">
        <w:r w:rsidRPr="003B7911">
          <w:rPr>
            <w:color w:val="1155CC"/>
            <w:sz w:val="12"/>
            <w:szCs w:val="12"/>
            <w:u w:val="single"/>
            <w:lang w:val="en-US"/>
          </w:rPr>
          <w:t>https://web.facebook.com/CoordinadoraMigranteChile/videos/denuncias-sobre-esterilizaciones-forzadas-a-mujeres-inmigrantescomo-coordinadora/1717669691919734/?locale=ms_MY&amp;_rdc=1&amp;_rdr</w:t>
        </w:r>
      </w:hyperlink>
      <w:r w:rsidRPr="003B7911">
        <w:rPr>
          <w:sz w:val="12"/>
          <w:szCs w:val="12"/>
          <w:lang w:val="en-US"/>
        </w:rPr>
        <w:t xml:space="preserve">; </w:t>
      </w:r>
      <w:hyperlink r:id="rId22">
        <w:r w:rsidRPr="003B7911">
          <w:rPr>
            <w:color w:val="1155CC"/>
            <w:sz w:val="12"/>
            <w:szCs w:val="12"/>
            <w:u w:val="single"/>
            <w:lang w:val="en-US"/>
          </w:rPr>
          <w:t>https://www.elmostrador.cl/braga/2022/08/26/exigimos-medidas-de-reparacion-organizaciones-feministas-hacen-un-llamado-a-investigar-esterilizaciones-forzadas-ocurridas-en-hospitales-del-pais/</w:t>
        </w:r>
      </w:hyperlink>
      <w:r w:rsidRPr="003B7911">
        <w:rPr>
          <w:sz w:val="12"/>
          <w:szCs w:val="12"/>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56334"/>
    <w:multiLevelType w:val="multilevel"/>
    <w:tmpl w:val="28F6ED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F1424FB"/>
    <w:multiLevelType w:val="multilevel"/>
    <w:tmpl w:val="B1685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3967023">
    <w:abstractNumId w:val="0"/>
  </w:num>
  <w:num w:numId="2" w16cid:durableId="1776554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56D"/>
    <w:rsid w:val="00344671"/>
    <w:rsid w:val="003B7911"/>
    <w:rsid w:val="00D6672B"/>
    <w:rsid w:val="00D7056D"/>
    <w:rsid w:val="00DE01C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AEEF6"/>
  <w15:docId w15:val="{96AB42DB-B80A-4776-B372-86686D81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inmujeryeg.gob.cl/?p=49436" TargetMode="External"/><Relationship Id="rId3" Type="http://schemas.openxmlformats.org/officeDocument/2006/relationships/settings" Target="settings.xml"/><Relationship Id="rId7" Type="http://schemas.openxmlformats.org/officeDocument/2006/relationships/hyperlink" Target="https://minmujeryeg.gob.cl/wp-content/uploads/2023/10/CUARTO-PLAN-NACIONAL-DE-IGUALDAD.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ndh.cl/ante-solicitud-indh-y-por-covid-19-corte-de-iquique-ordena-tramitacion-de-solicitud-de-refugio-via-correo-electronico/" TargetMode="External"/><Relationship Id="rId13" Type="http://schemas.openxmlformats.org/officeDocument/2006/relationships/hyperlink" Target="https://rehuirelolvido.indh.cl/caso/joaneflorvil/" TargetMode="External"/><Relationship Id="rId18" Type="http://schemas.openxmlformats.org/officeDocument/2006/relationships/hyperlink" Target="https://www.migracionenchile.cl/migrantes-fallecidos-en-la-frontera-se-elevan-a-seis-tras-muerte-de-mujer/" TargetMode="External"/><Relationship Id="rId3" Type="http://schemas.openxmlformats.org/officeDocument/2006/relationships/hyperlink" Target="https://www.bcn.cl/leychile/navegar?idNorma=1130641" TargetMode="External"/><Relationship Id="rId21" Type="http://schemas.openxmlformats.org/officeDocument/2006/relationships/hyperlink" Target="https://web.facebook.com/CoordinadoraMigranteChile/videos/denuncias-sobre-esterilizaciones-forzadas-a-mujeres-inmigrantescomo-coordinadora/1717669691919734/?locale=ms_MY&amp;_rdc=1&amp;_rdr" TargetMode="External"/><Relationship Id="rId7" Type="http://schemas.openxmlformats.org/officeDocument/2006/relationships/hyperlink" Target="https://ojs.uc.cl/index.php/RTS/article/download/2548/2514/" TargetMode="External"/><Relationship Id="rId12" Type="http://schemas.openxmlformats.org/officeDocument/2006/relationships/hyperlink" Target="https://revistas.udec.cl/index.php/atenea/article/view/7721/6858" TargetMode="External"/><Relationship Id="rId17" Type="http://schemas.openxmlformats.org/officeDocument/2006/relationships/hyperlink" Target="https://elpais.com/internacional/2021-09-26/colchones-y-juguetes-de-venezolanos-sin-techo-quemados-tras-una-marcha-contra-la-inmigracion-en-chile.html" TargetMode="External"/><Relationship Id="rId2" Type="http://schemas.openxmlformats.org/officeDocument/2006/relationships/hyperlink" Target="https://www.camara.cl/verDoc.aspx?prmID=33060&amp;prmTIPO=OFICIOPLEY" TargetMode="External"/><Relationship Id="rId16" Type="http://schemas.openxmlformats.org/officeDocument/2006/relationships/hyperlink" Target="https://radio.uchile.cl/2021/05/31/minsal-aclara-universalidad-de-la-vacuna-ante-denuncias-de-discriminacion-a-migrantes/" TargetMode="External"/><Relationship Id="rId20" Type="http://schemas.openxmlformats.org/officeDocument/2006/relationships/hyperlink" Target="https://www.elmostrador.cl/braga/2020/10/20/oficina-de-proteccion-de-derechos-de-infancia-arrebata-hijos-de-mujer-haitiana-con-informe-falso-y-sin-apoyo-de-traductores/" TargetMode="External"/><Relationship Id="rId1" Type="http://schemas.openxmlformats.org/officeDocument/2006/relationships/hyperlink" Target="https://tbinternet.ohchr.org/_layouts/15/treatybodyexternal/Download.aspx?symbolno=INT%2FCEDAW%2FADR%2FCHL%2F48214&amp;Lang=en" TargetMode="External"/><Relationship Id="rId6" Type="http://schemas.openxmlformats.org/officeDocument/2006/relationships/hyperlink" Target="https://minmujeryeg.gob.cl/wp-content/uploads/2021/12/mujeres-migrantes-infografi%CC%81a.pdf" TargetMode="External"/><Relationship Id="rId11" Type="http://schemas.openxmlformats.org/officeDocument/2006/relationships/hyperlink" Target="https://www.pjud.cl/" TargetMode="External"/><Relationship Id="rId5" Type="http://schemas.openxmlformats.org/officeDocument/2006/relationships/hyperlink" Target="https://serviciomigraciones.cl/en/migration-and-gender/" TargetMode="External"/><Relationship Id="rId15" Type="http://schemas.openxmlformats.org/officeDocument/2006/relationships/hyperlink" Target="https://www.biobiochile.cl/noticias/nacional/region-de-tarapaca/2024/05/09/encuentran-cuerpo-de-mujer-venezolana-en-bofedal-de-paso-fronterizo-colchane.shtml" TargetMode="External"/><Relationship Id="rId10" Type="http://schemas.openxmlformats.org/officeDocument/2006/relationships/hyperlink" Target="https://x.com/PiensaPrensa/status/1275906148449869826" TargetMode="External"/><Relationship Id="rId19" Type="http://schemas.openxmlformats.org/officeDocument/2006/relationships/hyperlink" Target="https://www.migracionenchile.cl/migrantes-fallecidos-en-la-frontera-se-elevan-a-seis-tras-muerte-de-mujer/" TargetMode="External"/><Relationship Id="rId4" Type="http://schemas.openxmlformats.org/officeDocument/2006/relationships/hyperlink" Target="https://www.ine.cl/docs/default-source/demografia-y-migracion/publicaciones-y-anuarios/migraci%C3%B3n-internacional/estimaci%C3%B3n-poblaci%C3%B3n-extranjera-en-chile-2018/estimaci%C3%B3n-poblaci%C3%B3n-extranjera-en-chile-2020-metodolog%C3%ADa.pdf?sfvrsn=48d432b1" TargetMode="External"/><Relationship Id="rId9" Type="http://schemas.openxmlformats.org/officeDocument/2006/relationships/hyperlink" Target="https://tbinternet.ohchr.org/_layouts/15/treatybodyexternal/Download.aspx?symbolno=INT%2FCERD%2FNGO%2FCHL%2F47109&amp;Lang=es" TargetMode="External"/><Relationship Id="rId14" Type="http://schemas.openxmlformats.org/officeDocument/2006/relationships/hyperlink" Target="https://www.theclinic.cl/2021/01/05/perder-un-hijo-la-desproteccion-de-una-madre-haitiana-en-chile/" TargetMode="External"/><Relationship Id="rId22" Type="http://schemas.openxmlformats.org/officeDocument/2006/relationships/hyperlink" Target="https://www.elmostrador.cl/braga/2022/08/26/exigimos-medidas-de-reparacion-organizaciones-feministas-hacen-un-llamado-a-investigar-esterilizaciones-forzadas-ocurridas-en-hospitales-del-pa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74D006-8DF9-4098-AD53-6551CDE352D4}"/>
</file>

<file path=customXml/itemProps2.xml><?xml version="1.0" encoding="utf-8"?>
<ds:datastoreItem xmlns:ds="http://schemas.openxmlformats.org/officeDocument/2006/customXml" ds:itemID="{8C201E2E-FA36-4AA3-ACDE-91C64AFDFFF7}"/>
</file>

<file path=docProps/app.xml><?xml version="1.0" encoding="utf-8"?>
<Properties xmlns="http://schemas.openxmlformats.org/officeDocument/2006/extended-properties" xmlns:vt="http://schemas.openxmlformats.org/officeDocument/2006/docPropsVTypes">
  <Template>Normal.dotm</Template>
  <TotalTime>0</TotalTime>
  <Pages>8</Pages>
  <Words>3404</Words>
  <Characters>18724</Characters>
  <Application>Microsoft Office Word</Application>
  <DocSecurity>0</DocSecurity>
  <Lines>156</Lines>
  <Paragraphs>44</Paragraphs>
  <ScaleCrop>false</ScaleCrop>
  <Company/>
  <LinksUpToDate>false</LinksUpToDate>
  <CharactersWithSpaces>22084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Regina Pajares Carrillo (OHCHR-Consultant)</cp:lastModifiedBy>
  <cp:revision>2</cp:revision>
  <cp:lastPrinted>2024-09-08T19:05:00Z</cp:lastPrinted>
  <dcterms:created xsi:type="dcterms:W3CDTF">2024-09-08T19:05:00Z</dcterms:created>
  <dcterms:modified xsi:type="dcterms:W3CDTF">2024-09-08T19:05:00Z</dcterms:modified>
</cp:coreProperties>
</file>