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92E" w:rsidRDefault="0039343E">
      <w:pPr>
        <w:jc w:val="both"/>
        <w:rPr>
          <w:rFonts w:ascii="Century Gothic" w:hAnsi="Century Gothic"/>
          <w:sz w:val="22"/>
        </w:rPr>
      </w:pPr>
      <w:r>
        <w:rPr>
          <w:rFonts w:ascii="Century Gothic" w:hAnsi="Century Gothic"/>
          <w:sz w:val="22"/>
        </w:rPr>
        <w:t>Señores</w:t>
      </w:r>
    </w:p>
    <w:p w:rsidR="0092592E" w:rsidRDefault="0039343E">
      <w:pPr>
        <w:jc w:val="both"/>
        <w:rPr>
          <w:rFonts w:ascii="Century Gothic" w:hAnsi="Century Gothic"/>
          <w:sz w:val="22"/>
        </w:rPr>
      </w:pPr>
      <w:r>
        <w:rPr>
          <w:rFonts w:ascii="Century Gothic" w:hAnsi="Century Gothic"/>
          <w:sz w:val="22"/>
        </w:rPr>
        <w:t>COMITÉ DE LOS DERECHOS DEL NIÑO (CRC) DE NACIONES UNIDAS</w:t>
      </w:r>
    </w:p>
    <w:p w:rsidR="0092592E" w:rsidRDefault="0039343E">
      <w:pPr>
        <w:jc w:val="both"/>
      </w:pPr>
      <w:r>
        <w:rPr>
          <w:rFonts w:ascii="Century Gothic" w:hAnsi="Century Gothic"/>
          <w:sz w:val="22"/>
        </w:rPr>
        <w:t xml:space="preserve">Nosotras las decenas de organizaciones de defensa de los animales que nos hemos aglutinado en el Movimiento Animalista Nacional, a </w:t>
      </w:r>
      <w:proofErr w:type="gramStart"/>
      <w:r>
        <w:rPr>
          <w:rFonts w:ascii="Century Gothic" w:hAnsi="Century Gothic"/>
          <w:sz w:val="22"/>
        </w:rPr>
        <w:t>continuación</w:t>
      </w:r>
      <w:proofErr w:type="gramEnd"/>
      <w:r>
        <w:rPr>
          <w:rFonts w:ascii="Century Gothic" w:hAnsi="Century Gothic"/>
          <w:sz w:val="22"/>
        </w:rPr>
        <w:t xml:space="preserve"> un informe de la afectación que ejerce </w:t>
      </w:r>
      <w:r>
        <w:rPr>
          <w:rFonts w:ascii="Century Gothic" w:hAnsi="Century Gothic"/>
          <w:sz w:val="22"/>
        </w:rPr>
        <w:t xml:space="preserve">la Tauromaquia en los niños del Ecuador: </w:t>
      </w:r>
    </w:p>
    <w:p w:rsidR="0092592E" w:rsidRDefault="0039343E">
      <w:pPr>
        <w:jc w:val="both"/>
        <w:rPr>
          <w:rFonts w:ascii="Century Gothic" w:hAnsi="Century Gothic" w:cstheme="minorHAnsi"/>
          <w:sz w:val="22"/>
          <w:lang w:val="es-ES"/>
        </w:rPr>
      </w:pPr>
      <w:r>
        <w:rPr>
          <w:rFonts w:ascii="Century Gothic" w:hAnsi="Century Gothic" w:cstheme="minorHAnsi"/>
          <w:sz w:val="22"/>
          <w:lang w:val="es-ES"/>
        </w:rPr>
        <w:t>El Ecuador es signatario del C</w:t>
      </w:r>
      <w:r>
        <w:rPr>
          <w:rFonts w:ascii="Century Gothic" w:hAnsi="Century Gothic" w:cstheme="minorHAnsi"/>
          <w:sz w:val="22"/>
          <w:lang w:val="es-ES"/>
        </w:rPr>
        <w:t xml:space="preserve">omité desde el año 1990, lo que configura nuestra participación en las resoluciones emanadas en calidad de parte. </w:t>
      </w:r>
    </w:p>
    <w:p w:rsidR="0092592E" w:rsidRDefault="0039343E">
      <w:pPr>
        <w:jc w:val="both"/>
      </w:pPr>
      <w:r>
        <w:rPr>
          <w:rFonts w:ascii="Century Gothic" w:hAnsi="Century Gothic" w:cstheme="minorHAnsi"/>
          <w:sz w:val="22"/>
          <w:lang w:val="es-ES"/>
        </w:rPr>
        <w:t>Como bien sostiene el Comité en relación a la necesidad de evitar que NNA sean sometidos a presenciar actos de violencia, la afectación que s</w:t>
      </w:r>
      <w:r>
        <w:rPr>
          <w:rFonts w:ascii="Century Gothic" w:hAnsi="Century Gothic" w:cstheme="minorHAnsi"/>
          <w:sz w:val="22"/>
          <w:lang w:val="es-ES"/>
        </w:rPr>
        <w:t>ufre un niño/ o adolescente que está aprendiendo a valorar los principios que regirán su vida, son vulnerados al ser expuestos a estos eventos, tales como la tauromaquia, que presenta a los matadores como héroes al victimar al toro, inocente ser, que, asus</w:t>
      </w:r>
      <w:r>
        <w:rPr>
          <w:rFonts w:ascii="Century Gothic" w:hAnsi="Century Gothic" w:cstheme="minorHAnsi"/>
          <w:sz w:val="22"/>
          <w:lang w:val="es-ES"/>
        </w:rPr>
        <w:t>tado es forzado a permanecer dentro de la plaza recibiendo puyas, banderillazos y más vejámenes, que lo van torturando hasta la muerte.</w:t>
      </w:r>
    </w:p>
    <w:p w:rsidR="0092592E" w:rsidRDefault="0039343E">
      <w:pPr>
        <w:jc w:val="both"/>
        <w:rPr>
          <w:rStyle w:val="Textoennegrita"/>
          <w:rFonts w:ascii="Century Gothic" w:hAnsi="Century Gothic" w:cstheme="minorHAnsi"/>
          <w:b w:val="0"/>
          <w:color w:val="444444"/>
          <w:sz w:val="22"/>
          <w:lang w:val="es-ES"/>
        </w:rPr>
      </w:pPr>
      <w:r>
        <w:rPr>
          <w:rStyle w:val="Textoennegrita"/>
          <w:rFonts w:ascii="Century Gothic" w:hAnsi="Century Gothic" w:cstheme="minorHAnsi"/>
          <w:b w:val="0"/>
          <w:color w:val="444444"/>
          <w:sz w:val="22"/>
          <w:lang w:val="es-ES"/>
        </w:rPr>
        <w:t xml:space="preserve">La Constitución de la República en su Art. 44 determina a </w:t>
      </w:r>
      <w:proofErr w:type="gramStart"/>
      <w:r>
        <w:rPr>
          <w:rStyle w:val="Textoennegrita"/>
          <w:rFonts w:ascii="Century Gothic" w:hAnsi="Century Gothic" w:cstheme="minorHAnsi"/>
          <w:b w:val="0"/>
          <w:color w:val="444444"/>
          <w:sz w:val="22"/>
          <w:lang w:val="es-ES"/>
        </w:rPr>
        <w:t>los  niños</w:t>
      </w:r>
      <w:proofErr w:type="gramEnd"/>
      <w:r>
        <w:rPr>
          <w:rStyle w:val="Textoennegrita"/>
          <w:rFonts w:ascii="Century Gothic" w:hAnsi="Century Gothic" w:cstheme="minorHAnsi"/>
          <w:b w:val="0"/>
          <w:color w:val="444444"/>
          <w:sz w:val="22"/>
          <w:lang w:val="es-ES"/>
        </w:rPr>
        <w:t>, niñas y adolescentes como grupo de atención priori</w:t>
      </w:r>
      <w:r>
        <w:rPr>
          <w:rStyle w:val="Textoennegrita"/>
          <w:rFonts w:ascii="Century Gothic" w:hAnsi="Century Gothic" w:cstheme="minorHAnsi"/>
          <w:b w:val="0"/>
          <w:color w:val="444444"/>
          <w:sz w:val="22"/>
          <w:lang w:val="es-ES"/>
        </w:rPr>
        <w:t>taria, en especial en lo que se refiere al derecho a una vida libre de violencia. (Art. 46, numerales 4 y 7)</w:t>
      </w:r>
    </w:p>
    <w:p w:rsidR="0092592E" w:rsidRDefault="0039343E">
      <w:pPr>
        <w:jc w:val="both"/>
      </w:pPr>
      <w:r>
        <w:rPr>
          <w:rStyle w:val="Textoennegrita"/>
          <w:rFonts w:ascii="Century Gothic" w:hAnsi="Century Gothic" w:cstheme="minorHAnsi"/>
          <w:b w:val="0"/>
          <w:color w:val="444444"/>
          <w:sz w:val="22"/>
          <w:lang w:val="es-ES"/>
        </w:rPr>
        <w:t xml:space="preserve">La norma específica es el Reglamento que Regula el Acceso de niños, niñas y adolescentes a espectáculos públicos, que señala en su </w:t>
      </w:r>
      <w:r>
        <w:rPr>
          <w:rStyle w:val="Textoennegrita"/>
          <w:rFonts w:ascii="Century Gothic" w:hAnsi="Century Gothic" w:cstheme="minorHAnsi"/>
          <w:b w:val="0"/>
          <w:color w:val="444444"/>
          <w:sz w:val="22"/>
        </w:rPr>
        <w:t>A</w:t>
      </w:r>
      <w:r>
        <w:rPr>
          <w:rFonts w:ascii="Century Gothic" w:hAnsi="Century Gothic" w:cstheme="minorHAnsi"/>
          <w:color w:val="444444"/>
          <w:sz w:val="22"/>
        </w:rPr>
        <w:t>rtículo 11.- Lo</w:t>
      </w:r>
      <w:r>
        <w:rPr>
          <w:rFonts w:ascii="Century Gothic" w:hAnsi="Century Gothic" w:cstheme="minorHAnsi"/>
          <w:color w:val="444444"/>
          <w:sz w:val="22"/>
        </w:rPr>
        <w:t>s espectáculos públicos que tengan contenidos sexuales, violencia, que incluyan información que pueda atentar contra la integridad moral y psíquica o afecten la intimidad personal y familiar, mensajes con lenguaje obsceno y ofensivo,</w:t>
      </w:r>
      <w:r>
        <w:rPr>
          <w:rStyle w:val="apple-converted-space"/>
          <w:rFonts w:ascii="Century Gothic" w:hAnsi="Century Gothic" w:cstheme="minorHAnsi"/>
          <w:color w:val="444444"/>
          <w:sz w:val="22"/>
        </w:rPr>
        <w:t xml:space="preserve"> </w:t>
      </w:r>
      <w:r>
        <w:rPr>
          <w:rFonts w:ascii="Century Gothic" w:hAnsi="Century Gothic" w:cstheme="minorHAnsi"/>
          <w:color w:val="444444"/>
          <w:sz w:val="22"/>
          <w:u w:val="single"/>
        </w:rPr>
        <w:t>maltrato de animales t</w:t>
      </w:r>
      <w:r>
        <w:rPr>
          <w:rFonts w:ascii="Century Gothic" w:hAnsi="Century Gothic" w:cstheme="minorHAnsi"/>
          <w:color w:val="444444"/>
          <w:sz w:val="22"/>
          <w:u w:val="single"/>
        </w:rPr>
        <w:t>ales como corrida de toros, peleas de gallos y perros, entre otros; están prohibidos para l</w:t>
      </w:r>
      <w:bookmarkStart w:id="0" w:name="_GoBack"/>
      <w:bookmarkEnd w:id="0"/>
      <w:r>
        <w:rPr>
          <w:rFonts w:ascii="Century Gothic" w:hAnsi="Century Gothic" w:cstheme="minorHAnsi"/>
          <w:color w:val="444444"/>
          <w:sz w:val="22"/>
          <w:u w:val="single"/>
        </w:rPr>
        <w:t xml:space="preserve">as personas menores de 16 años. </w:t>
      </w:r>
      <w:r>
        <w:rPr>
          <w:rFonts w:ascii="Century Gothic" w:hAnsi="Century Gothic" w:cstheme="minorHAnsi"/>
          <w:color w:val="444444"/>
          <w:sz w:val="22"/>
        </w:rPr>
        <w:t>(subrayado nuestro).</w:t>
      </w:r>
    </w:p>
    <w:p w:rsidR="0092592E" w:rsidRDefault="0039343E">
      <w:pPr>
        <w:jc w:val="both"/>
        <w:rPr>
          <w:rFonts w:ascii="Century Gothic" w:hAnsi="Century Gothic"/>
          <w:sz w:val="22"/>
          <w:lang w:val="es-ES"/>
        </w:rPr>
      </w:pPr>
      <w:r>
        <w:rPr>
          <w:rFonts w:ascii="Century Gothic" w:hAnsi="Century Gothic" w:cstheme="minorHAnsi"/>
          <w:color w:val="444444"/>
          <w:sz w:val="22"/>
        </w:rPr>
        <w:t>El Art. 15 por su parte, ordena la colocación de advertencias en la entrada de los eventos censurados para el in</w:t>
      </w:r>
      <w:r>
        <w:rPr>
          <w:rFonts w:ascii="Century Gothic" w:hAnsi="Century Gothic" w:cstheme="minorHAnsi"/>
          <w:color w:val="444444"/>
          <w:sz w:val="22"/>
        </w:rPr>
        <w:t xml:space="preserve">greso de </w:t>
      </w:r>
      <w:proofErr w:type="gramStart"/>
      <w:r>
        <w:rPr>
          <w:rFonts w:ascii="Century Gothic" w:hAnsi="Century Gothic" w:cstheme="minorHAnsi"/>
          <w:color w:val="444444"/>
          <w:sz w:val="22"/>
        </w:rPr>
        <w:t>NNA</w:t>
      </w:r>
      <w:proofErr w:type="gramEnd"/>
      <w:r>
        <w:rPr>
          <w:rFonts w:ascii="Century Gothic" w:hAnsi="Century Gothic" w:cstheme="minorHAnsi"/>
          <w:color w:val="444444"/>
          <w:sz w:val="22"/>
        </w:rPr>
        <w:t xml:space="preserve"> así como la prohibición de propaganda de este tipo de actos en medios públicos.</w:t>
      </w:r>
    </w:p>
    <w:p w:rsidR="0092592E" w:rsidRDefault="0039343E">
      <w:pPr>
        <w:jc w:val="both"/>
      </w:pPr>
      <w:r>
        <w:rPr>
          <w:rFonts w:ascii="Century Gothic" w:hAnsi="Century Gothic"/>
          <w:sz w:val="22"/>
        </w:rPr>
        <w:t>En febrero de 2015, amparados por la normativa invocada, ciudadanos ecuatorianos, defensores de la vida, acompañados por el Defensor del Pueblo, y con participació</w:t>
      </w:r>
      <w:r>
        <w:rPr>
          <w:rFonts w:ascii="Century Gothic" w:hAnsi="Century Gothic"/>
          <w:sz w:val="22"/>
        </w:rPr>
        <w:t xml:space="preserve">n de un delegado del Consejo de Igualdad Intergeneracional, mediante </w:t>
      </w:r>
      <w:proofErr w:type="spellStart"/>
      <w:r>
        <w:rPr>
          <w:rFonts w:ascii="Century Gothic" w:hAnsi="Century Gothic"/>
          <w:sz w:val="22"/>
        </w:rPr>
        <w:t>amicus</w:t>
      </w:r>
      <w:proofErr w:type="spellEnd"/>
      <w:r>
        <w:rPr>
          <w:rFonts w:ascii="Century Gothic" w:hAnsi="Century Gothic"/>
          <w:sz w:val="22"/>
        </w:rPr>
        <w:t xml:space="preserve"> </w:t>
      </w:r>
      <w:proofErr w:type="spellStart"/>
      <w:proofErr w:type="gramStart"/>
      <w:r>
        <w:rPr>
          <w:rFonts w:ascii="Century Gothic" w:hAnsi="Century Gothic"/>
          <w:sz w:val="22"/>
        </w:rPr>
        <w:t>curiae</w:t>
      </w:r>
      <w:proofErr w:type="spellEnd"/>
      <w:r>
        <w:rPr>
          <w:rFonts w:ascii="Century Gothic" w:hAnsi="Century Gothic"/>
          <w:sz w:val="22"/>
        </w:rPr>
        <w:t>,  demandan</w:t>
      </w:r>
      <w:proofErr w:type="gramEnd"/>
      <w:r>
        <w:rPr>
          <w:rFonts w:ascii="Century Gothic" w:hAnsi="Century Gothic"/>
          <w:sz w:val="22"/>
        </w:rPr>
        <w:t xml:space="preserve"> que ante un Juez Civil de la ciudad de Ambato al Municipio y a los organizadores del evento taurino “Feria de Ambato Nuestra Señora de la Merced” organizado para </w:t>
      </w:r>
      <w:r>
        <w:rPr>
          <w:rFonts w:ascii="Century Gothic" w:hAnsi="Century Gothic"/>
          <w:sz w:val="22"/>
        </w:rPr>
        <w:t>las fiestas de aquella.</w:t>
      </w:r>
    </w:p>
    <w:p w:rsidR="0092592E" w:rsidRDefault="0039343E">
      <w:pPr>
        <w:jc w:val="both"/>
        <w:rPr>
          <w:rFonts w:ascii="Century Gothic" w:hAnsi="Century Gothic"/>
          <w:sz w:val="22"/>
        </w:rPr>
      </w:pPr>
      <w:r>
        <w:rPr>
          <w:rFonts w:ascii="Century Gothic" w:hAnsi="Century Gothic"/>
          <w:sz w:val="22"/>
        </w:rPr>
        <w:t>El permiso había sido dado permitiendo el ingreso de NNA desde 12 años acompañados de un adulto.</w:t>
      </w:r>
    </w:p>
    <w:p w:rsidR="0092592E" w:rsidRDefault="0039343E">
      <w:pPr>
        <w:jc w:val="both"/>
        <w:rPr>
          <w:rFonts w:ascii="Century Gothic" w:hAnsi="Century Gothic"/>
          <w:sz w:val="22"/>
        </w:rPr>
      </w:pPr>
      <w:r>
        <w:rPr>
          <w:rFonts w:ascii="Century Gothic" w:hAnsi="Century Gothic"/>
          <w:sz w:val="22"/>
        </w:rPr>
        <w:t xml:space="preserve"> En dicha sentencia, dice el Juez:  </w:t>
      </w:r>
    </w:p>
    <w:p w:rsidR="0092592E" w:rsidRDefault="0039343E">
      <w:pPr>
        <w:jc w:val="both"/>
      </w:pPr>
      <w:r>
        <w:rPr>
          <w:rFonts w:ascii="Century Gothic" w:hAnsi="Century Gothic"/>
          <w:sz w:val="22"/>
        </w:rPr>
        <w:lastRenderedPageBreak/>
        <w:t>“Que el alcance y establecimiento de la autorización de 16 años</w:t>
      </w:r>
      <w:r>
        <w:rPr>
          <w:rFonts w:ascii="Century Gothic" w:hAnsi="Century Gothic"/>
          <w:color w:val="FF0000"/>
          <w:sz w:val="22"/>
        </w:rPr>
        <w:t xml:space="preserve"> </w:t>
      </w:r>
      <w:r>
        <w:rPr>
          <w:rFonts w:ascii="Century Gothic" w:hAnsi="Century Gothic"/>
          <w:sz w:val="22"/>
        </w:rPr>
        <w:t>para el ingreso tiene su fundament</w:t>
      </w:r>
      <w:r>
        <w:rPr>
          <w:rFonts w:ascii="Century Gothic" w:hAnsi="Century Gothic"/>
          <w:sz w:val="22"/>
        </w:rPr>
        <w:t>o en garantizar el adecuado desarrollo de niñas, niños y adolescentes dentro de un ambiente libre de violencia a protección, considerando los graves efectos que puede ocasionar la exposición a este tipo de eventos, que tiene su fundamento en lo establecido</w:t>
      </w:r>
      <w:r>
        <w:rPr>
          <w:rFonts w:ascii="Century Gothic" w:hAnsi="Century Gothic"/>
          <w:sz w:val="22"/>
        </w:rPr>
        <w:t xml:space="preserve"> en el Art. 49 del Código de la Niñez y Adolescencia que señala: Normas sobre el acceso a espectáculos públicos.- Se prohíbe el ingreso de niños, niñas y adolescentes a los espectáculos que hayan sido calificados como inconvenientes para su edad…”</w:t>
      </w:r>
    </w:p>
    <w:p w:rsidR="0092592E" w:rsidRDefault="0039343E">
      <w:pPr>
        <w:jc w:val="both"/>
        <w:rPr>
          <w:rFonts w:ascii="Century Gothic" w:hAnsi="Century Gothic"/>
          <w:sz w:val="22"/>
        </w:rPr>
      </w:pPr>
      <w:r>
        <w:rPr>
          <w:rFonts w:ascii="Century Gothic" w:hAnsi="Century Gothic"/>
          <w:sz w:val="22"/>
        </w:rPr>
        <w:t>“</w:t>
      </w:r>
      <w:r>
        <w:rPr>
          <w:rFonts w:ascii="Century Gothic" w:hAnsi="Century Gothic"/>
          <w:sz w:val="22"/>
        </w:rPr>
        <w:t xml:space="preserve">Dictamine de forma urgente, que mientras se procesa la presente acción de protección, se prohíba el ingreso de niñas y niños menores de 16 años a las corridas de toros que se darán el 7 y 8 de febrero de 2016 en la ciudad de Ambato conforme al artículo 33 </w:t>
      </w:r>
      <w:r>
        <w:rPr>
          <w:rFonts w:ascii="Century Gothic" w:hAnsi="Century Gothic"/>
          <w:sz w:val="22"/>
        </w:rPr>
        <w:t>de la Ley de Garantías Jurisdiccionales.”</w:t>
      </w:r>
    </w:p>
    <w:p w:rsidR="0092592E" w:rsidRDefault="0039343E">
      <w:pPr>
        <w:jc w:val="both"/>
        <w:rPr>
          <w:rFonts w:ascii="Century Gothic" w:hAnsi="Century Gothic"/>
          <w:sz w:val="22"/>
        </w:rPr>
      </w:pPr>
      <w:r>
        <w:rPr>
          <w:rFonts w:ascii="Century Gothic" w:hAnsi="Century Gothic"/>
          <w:sz w:val="22"/>
        </w:rPr>
        <w:t>“Declare que el ingreso de niñas, niños y adolescentes menores de 16 años a corridas de toros vulnera sus derechos a la integridad y una vida libre de violencia, su derecho al desarrollo integral, el principio de i</w:t>
      </w:r>
      <w:r>
        <w:rPr>
          <w:rFonts w:ascii="Century Gothic" w:hAnsi="Century Gothic"/>
          <w:sz w:val="22"/>
        </w:rPr>
        <w:t>nterés superior y el derecho a la seguridad jurídica. Llame la atención a las autoridades del gobierno autónomo descentralizado al implementar medidas regresivas en el desarrollo de derechos que ponen en riesgo derechos de niñas y niños en Ambato”</w:t>
      </w:r>
    </w:p>
    <w:p w:rsidR="0092592E" w:rsidRDefault="0039343E">
      <w:pPr>
        <w:jc w:val="both"/>
        <w:rPr>
          <w:rFonts w:ascii="Century Gothic" w:hAnsi="Century Gothic"/>
          <w:sz w:val="22"/>
        </w:rPr>
      </w:pPr>
      <w:r>
        <w:rPr>
          <w:rFonts w:ascii="Century Gothic" w:hAnsi="Century Gothic"/>
          <w:sz w:val="22"/>
        </w:rPr>
        <w:t>Así mism</w:t>
      </w:r>
      <w:r>
        <w:rPr>
          <w:rFonts w:ascii="Century Gothic" w:hAnsi="Century Gothic"/>
          <w:sz w:val="22"/>
        </w:rPr>
        <w:t>o declara responsables de esta vulneración del derecho de interés de NNA al Alcalde de la ciudad y a la Secretaria Ejecutiva, responsables del permiso.</w:t>
      </w:r>
    </w:p>
    <w:p w:rsidR="0092592E" w:rsidRDefault="0039343E">
      <w:pPr>
        <w:jc w:val="both"/>
        <w:rPr>
          <w:rFonts w:ascii="Century Gothic" w:hAnsi="Century Gothic"/>
          <w:sz w:val="22"/>
        </w:rPr>
      </w:pPr>
      <w:r>
        <w:rPr>
          <w:rFonts w:ascii="Century Gothic" w:hAnsi="Century Gothic"/>
          <w:sz w:val="22"/>
        </w:rPr>
        <w:t>Ordena la derogatoria inmediata de Resoluciones que atenten a lo dispuesto en el Reglamento y la consigu</w:t>
      </w:r>
      <w:r>
        <w:rPr>
          <w:rFonts w:ascii="Century Gothic" w:hAnsi="Century Gothic"/>
          <w:sz w:val="22"/>
        </w:rPr>
        <w:t xml:space="preserve">iente emisión de nuevo ordenamiento jurídico homogéneo </w:t>
      </w:r>
    </w:p>
    <w:p w:rsidR="0092592E" w:rsidRDefault="0039343E">
      <w:pPr>
        <w:jc w:val="both"/>
        <w:rPr>
          <w:rFonts w:ascii="Century Gothic" w:hAnsi="Century Gothic"/>
          <w:sz w:val="22"/>
        </w:rPr>
      </w:pPr>
      <w:r>
        <w:rPr>
          <w:rFonts w:ascii="Century Gothic" w:hAnsi="Century Gothic"/>
          <w:sz w:val="22"/>
        </w:rPr>
        <w:t>“Uno de los derechos en discusión ha sido el Derecho a la Integridad y a una Vida libre de violencia, el mismo que forma parte de los denominados Derechos de Libertad, contemplados en el capítulo sext</w:t>
      </w:r>
      <w:r>
        <w:rPr>
          <w:rFonts w:ascii="Century Gothic" w:hAnsi="Century Gothic"/>
          <w:sz w:val="22"/>
        </w:rPr>
        <w:t xml:space="preserve">o de la Constitución de la República del Ecuador, en el Art. 66 No. 3 que manifiesta </w:t>
      </w:r>
      <w:proofErr w:type="gramStart"/>
      <w:r>
        <w:rPr>
          <w:rFonts w:ascii="Century Gothic" w:hAnsi="Century Gothic"/>
          <w:sz w:val="22"/>
        </w:rPr>
        <w:t>“ El</w:t>
      </w:r>
      <w:proofErr w:type="gramEnd"/>
      <w:r>
        <w:rPr>
          <w:rFonts w:ascii="Century Gothic" w:hAnsi="Century Gothic"/>
          <w:sz w:val="22"/>
        </w:rPr>
        <w:t xml:space="preserve"> derecho a la integridad personal, que incluye: a) La integridad física, psíquica, moral y sexual. b) Una vida libre de violencia en el ámbito público y privado. El Es</w:t>
      </w:r>
      <w:r>
        <w:rPr>
          <w:rFonts w:ascii="Century Gothic" w:hAnsi="Century Gothic"/>
          <w:sz w:val="22"/>
        </w:rPr>
        <w:t>tado adoptará las medidas necesarias para prevenir, eliminar y sancionar toda forma de violencia, en especial la ejercida contra las mujeres, niñas, niños y adolescentes, personas adultas mayores, personas con discapacidad y contra toda persona en situació</w:t>
      </w:r>
      <w:r>
        <w:rPr>
          <w:rFonts w:ascii="Century Gothic" w:hAnsi="Century Gothic"/>
          <w:sz w:val="22"/>
        </w:rPr>
        <w:t>n de desventaja o vulnerabilidad….”; Como se observa de la norma citada es obligación del Estado garantizar, asegurar y prevenir toda forma de violencia en especial cuando está dirigida a uno de los grupos vulnerables; en este punto se debe analizar tambié</w:t>
      </w:r>
      <w:r>
        <w:rPr>
          <w:rFonts w:ascii="Century Gothic" w:hAnsi="Century Gothic"/>
          <w:sz w:val="22"/>
        </w:rPr>
        <w:t>n si existe o no influencia del medio en el desarrollo de la personalidad de un adolescente de manera general y de manera particular ante las escenas que entrañan violencia contra los animales en las jornadas taurinas.</w:t>
      </w:r>
    </w:p>
    <w:p w:rsidR="0092592E" w:rsidRDefault="0039343E">
      <w:pPr>
        <w:jc w:val="both"/>
        <w:rPr>
          <w:rFonts w:ascii="Century Gothic" w:hAnsi="Century Gothic"/>
          <w:sz w:val="22"/>
        </w:rPr>
      </w:pPr>
      <w:r>
        <w:rPr>
          <w:rFonts w:ascii="Century Gothic" w:hAnsi="Century Gothic"/>
          <w:sz w:val="22"/>
        </w:rPr>
        <w:lastRenderedPageBreak/>
        <w:t>Un menor entre 12 y 18 años es una pe</w:t>
      </w:r>
      <w:r>
        <w:rPr>
          <w:rFonts w:ascii="Century Gothic" w:hAnsi="Century Gothic"/>
          <w:sz w:val="22"/>
        </w:rPr>
        <w:t xml:space="preserve">rsona que no alcanzado su madurez de manera integral, y por ende es proclive a que su entorno y los elementos exógenos con los que se desenvuelve el día a día influyan en su identidad y personalidad, asistir eventos en los cuales se hace ver como normales </w:t>
      </w:r>
      <w:r>
        <w:rPr>
          <w:rFonts w:ascii="Century Gothic" w:hAnsi="Century Gothic"/>
          <w:sz w:val="22"/>
        </w:rPr>
        <w:t>los maltratos o tratos crueles a los animales que se experimentan no solo en eventos taurinos, sino también en otro tipo de eventos y entretenimientos como peleas de gallos, peleas de canes incluso en los famosos y poco contralados video juegos, son factor</w:t>
      </w:r>
      <w:r>
        <w:rPr>
          <w:rFonts w:ascii="Century Gothic" w:hAnsi="Century Gothic"/>
          <w:sz w:val="22"/>
        </w:rPr>
        <w:t>es que van a desencadenar que en el futuro ese niño, joven o adolescente considere estos actos en su vida cotidiana como normales, que la presencia del dolor, del sufrimiento de la sangre no lo inmute, y por ende una sociedad con menos valores, El Estado n</w:t>
      </w:r>
      <w:r>
        <w:rPr>
          <w:rFonts w:ascii="Century Gothic" w:hAnsi="Century Gothic"/>
          <w:sz w:val="22"/>
        </w:rPr>
        <w:t xml:space="preserve">o puede quedarse impávido frente a eventos o hechos que se consideren </w:t>
      </w:r>
      <w:proofErr w:type="spellStart"/>
      <w:r>
        <w:rPr>
          <w:rFonts w:ascii="Century Gothic" w:hAnsi="Century Gothic"/>
          <w:sz w:val="22"/>
        </w:rPr>
        <w:t>vulneratorios</w:t>
      </w:r>
      <w:proofErr w:type="spellEnd"/>
      <w:r>
        <w:rPr>
          <w:rFonts w:ascii="Century Gothic" w:hAnsi="Century Gothic"/>
          <w:sz w:val="22"/>
        </w:rPr>
        <w:t xml:space="preserve"> o puedan amenazar el pleno goce de derechos reconocidos uno de los legitimados pasivos en una de sus intervenciones ha manifestado si hay muchas más formas de violencia a l</w:t>
      </w:r>
      <w:r>
        <w:rPr>
          <w:rFonts w:ascii="Century Gothic" w:hAnsi="Century Gothic"/>
          <w:sz w:val="22"/>
        </w:rPr>
        <w:t>as cuales están expuestos los niños, niñas y adolescentes y porque se hacen problema solo a los toros, es decir que aceptan que son escenas violentas a las que se pretende exponer a los menores pero como hay otro tipo de eventos violentos a los que están e</w:t>
      </w:r>
      <w:r>
        <w:rPr>
          <w:rFonts w:ascii="Century Gothic" w:hAnsi="Century Gothic"/>
          <w:sz w:val="22"/>
        </w:rPr>
        <w:t>xpuestos los menores porque se debe normar únicamente las corridas taurinas, el Estado está para aquello para regular y normar en lo posible este tipo eventos lesivos al pleno goce de derechos”</w:t>
      </w:r>
    </w:p>
    <w:p w:rsidR="0092592E" w:rsidRDefault="0039343E">
      <w:pPr>
        <w:jc w:val="both"/>
        <w:rPr>
          <w:rFonts w:ascii="Century Gothic" w:hAnsi="Century Gothic"/>
          <w:sz w:val="22"/>
        </w:rPr>
      </w:pPr>
      <w:r>
        <w:rPr>
          <w:rFonts w:ascii="Century Gothic" w:hAnsi="Century Gothic"/>
          <w:sz w:val="22"/>
        </w:rPr>
        <w:t xml:space="preserve">También al respecto se ha pronunciado la Corte Interamericana </w:t>
      </w:r>
      <w:r>
        <w:rPr>
          <w:rFonts w:ascii="Century Gothic" w:hAnsi="Century Gothic"/>
          <w:sz w:val="22"/>
        </w:rPr>
        <w:t xml:space="preserve">de Derechos Humanos, y ha establecido: “la responsabilidad del Estado respecto de los derechos del niño (refiriéndose como niño a toda persona que no ha cumplido la edad de 18 años- criterio Internacional) no se limita a sus </w:t>
      </w:r>
      <w:proofErr w:type="gramStart"/>
      <w:r>
        <w:rPr>
          <w:rFonts w:ascii="Century Gothic" w:hAnsi="Century Gothic"/>
          <w:sz w:val="22"/>
        </w:rPr>
        <w:t>agentes</w:t>
      </w:r>
      <w:proofErr w:type="gramEnd"/>
      <w:r>
        <w:rPr>
          <w:rFonts w:ascii="Century Gothic" w:hAnsi="Century Gothic"/>
          <w:sz w:val="22"/>
        </w:rPr>
        <w:t xml:space="preserve"> sino que se extiende a </w:t>
      </w:r>
      <w:r>
        <w:rPr>
          <w:rFonts w:ascii="Century Gothic" w:hAnsi="Century Gothic"/>
          <w:sz w:val="22"/>
        </w:rPr>
        <w:t>actos de terceros particulares también, en principio no atribuibles al Estado. Si bien como regla general son los Estados Partes en la Convención Americana los que deben hacer respetar las normas de protección y asegurar la efectividad de los derechos cons</w:t>
      </w:r>
      <w:r>
        <w:rPr>
          <w:rFonts w:ascii="Century Gothic" w:hAnsi="Century Gothic"/>
          <w:sz w:val="22"/>
        </w:rPr>
        <w:t>agrados respecto de toda persona, esas obligaciones del Estado se extienden más allá de la relación entre sus agentes y las personas sometidas a su jurisdicción, al tornarse una obligación positiva del Estado la de adoptar las medidas necesarias para asegu</w:t>
      </w:r>
      <w:r>
        <w:rPr>
          <w:rFonts w:ascii="Century Gothic" w:hAnsi="Century Gothic"/>
          <w:sz w:val="22"/>
        </w:rPr>
        <w:t xml:space="preserve">rar la efectiva protección de los derechos humanos también en las relaciones inter-individuales y privadas, ámbitos en donde los derechos de los niños tienen una centralidad evidente”. </w:t>
      </w:r>
    </w:p>
    <w:p w:rsidR="0092592E" w:rsidRDefault="0039343E">
      <w:pPr>
        <w:jc w:val="both"/>
        <w:rPr>
          <w:rFonts w:ascii="Century Gothic" w:hAnsi="Century Gothic"/>
          <w:sz w:val="22"/>
        </w:rPr>
      </w:pPr>
      <w:r>
        <w:rPr>
          <w:rFonts w:ascii="Century Gothic" w:hAnsi="Century Gothic"/>
          <w:sz w:val="22"/>
        </w:rPr>
        <w:t>En tal sentido, en toda circunstancia en la cual un órgano o funcionar</w:t>
      </w:r>
      <w:r>
        <w:rPr>
          <w:rFonts w:ascii="Century Gothic" w:hAnsi="Century Gothic"/>
          <w:sz w:val="22"/>
        </w:rPr>
        <w:t>io del Estado o de una institución de carácter público lesione indebidamente uno de tales derechos (por acción u omisión)”</w:t>
      </w:r>
    </w:p>
    <w:p w:rsidR="0092592E" w:rsidRDefault="0039343E">
      <w:pPr>
        <w:jc w:val="both"/>
        <w:rPr>
          <w:rFonts w:ascii="Century Gothic" w:hAnsi="Century Gothic"/>
          <w:sz w:val="22"/>
        </w:rPr>
      </w:pPr>
      <w:r>
        <w:rPr>
          <w:rFonts w:ascii="Century Gothic" w:hAnsi="Century Gothic"/>
          <w:sz w:val="22"/>
        </w:rPr>
        <w:t xml:space="preserve">“Un Estado Constitucional de Derechos como es el </w:t>
      </w:r>
      <w:proofErr w:type="gramStart"/>
      <w:r>
        <w:rPr>
          <w:rFonts w:ascii="Century Gothic" w:hAnsi="Century Gothic"/>
          <w:sz w:val="22"/>
        </w:rPr>
        <w:t>Ecuatoriano</w:t>
      </w:r>
      <w:proofErr w:type="gramEnd"/>
      <w:r>
        <w:rPr>
          <w:rFonts w:ascii="Century Gothic" w:hAnsi="Century Gothic"/>
          <w:sz w:val="22"/>
        </w:rPr>
        <w:t xml:space="preserve"> no puede permitir violaciones a los derechos de los niños, niñas y adole</w:t>
      </w:r>
      <w:r>
        <w:rPr>
          <w:rFonts w:ascii="Century Gothic" w:hAnsi="Century Gothic"/>
          <w:sz w:val="22"/>
        </w:rPr>
        <w:t>scentes provengan de agentes estatales o de particulares, debiéndose tomar las medidas necesarias y más eficaces para garantizarlos.”</w:t>
      </w:r>
    </w:p>
    <w:p w:rsidR="0092592E" w:rsidRDefault="0039343E">
      <w:pPr>
        <w:jc w:val="both"/>
        <w:rPr>
          <w:rFonts w:ascii="Century Gothic" w:hAnsi="Century Gothic"/>
          <w:sz w:val="22"/>
          <w:lang w:val="es-ES"/>
        </w:rPr>
      </w:pPr>
      <w:r>
        <w:rPr>
          <w:rFonts w:ascii="Century Gothic" w:hAnsi="Century Gothic"/>
          <w:sz w:val="22"/>
          <w:lang w:val="es-ES"/>
        </w:rPr>
        <w:lastRenderedPageBreak/>
        <w:t>En el mismo año, 2015, en Quito se presentó demanda de medidas cautelares con el mismo fin y la Juez ordenó la prohibición</w:t>
      </w:r>
      <w:r>
        <w:rPr>
          <w:rFonts w:ascii="Century Gothic" w:hAnsi="Century Gothic"/>
          <w:sz w:val="22"/>
          <w:lang w:val="es-ES"/>
        </w:rPr>
        <w:t xml:space="preserve"> de entrada a NNA, sin </w:t>
      </w:r>
      <w:proofErr w:type="gramStart"/>
      <w:r>
        <w:rPr>
          <w:rFonts w:ascii="Century Gothic" w:hAnsi="Century Gothic"/>
          <w:sz w:val="22"/>
          <w:lang w:val="es-ES"/>
        </w:rPr>
        <w:t>embargo</w:t>
      </w:r>
      <w:proofErr w:type="gramEnd"/>
      <w:r>
        <w:rPr>
          <w:rFonts w:ascii="Century Gothic" w:hAnsi="Century Gothic"/>
          <w:sz w:val="22"/>
          <w:lang w:val="es-ES"/>
        </w:rPr>
        <w:t xml:space="preserve"> la Intendente de ese entonces y los miembros de la DINAPEN no hicieron cumplir esta medida orden judicial, lo que ha dado lugar a investigación por parte de la fiscalía.</w:t>
      </w:r>
    </w:p>
    <w:p w:rsidR="0092592E" w:rsidRDefault="0039343E">
      <w:pPr>
        <w:jc w:val="both"/>
        <w:rPr>
          <w:rFonts w:ascii="Century Gothic" w:hAnsi="Century Gothic"/>
          <w:sz w:val="22"/>
          <w:lang w:val="es-ES"/>
        </w:rPr>
      </w:pPr>
      <w:r>
        <w:rPr>
          <w:rFonts w:ascii="Century Gothic" w:hAnsi="Century Gothic"/>
          <w:sz w:val="22"/>
          <w:lang w:val="es-ES"/>
        </w:rPr>
        <w:t>Las palabras de esta sentencia marcan un hito en la jur</w:t>
      </w:r>
      <w:r>
        <w:rPr>
          <w:rFonts w:ascii="Century Gothic" w:hAnsi="Century Gothic"/>
          <w:sz w:val="22"/>
          <w:lang w:val="es-ES"/>
        </w:rPr>
        <w:t xml:space="preserve">isprudencia del país que da oídos a la necesidad urgente de cambio en esta forma de diversión </w:t>
      </w:r>
    </w:p>
    <w:p w:rsidR="0092592E" w:rsidRDefault="0039343E">
      <w:pPr>
        <w:jc w:val="both"/>
        <w:rPr>
          <w:rFonts w:ascii="Century Gothic" w:hAnsi="Century Gothic"/>
          <w:sz w:val="22"/>
          <w:lang w:val="es-ES"/>
        </w:rPr>
      </w:pPr>
      <w:r>
        <w:rPr>
          <w:rFonts w:ascii="Century Gothic" w:hAnsi="Century Gothic"/>
          <w:sz w:val="22"/>
          <w:lang w:val="es-ES"/>
        </w:rPr>
        <w:t>Actualmente, se hace seguimiento a cada espectáculo taurino respecto a la entrada de NNA, no siempre se cumple.  Este año, en Ambato, esta prohibición causó sorp</w:t>
      </w:r>
      <w:r>
        <w:rPr>
          <w:rFonts w:ascii="Century Gothic" w:hAnsi="Century Gothic"/>
          <w:sz w:val="22"/>
          <w:lang w:val="es-ES"/>
        </w:rPr>
        <w:t>resa en los asistentes que llevaban a sus hijos a las corridas, argumentaban que iban acompañados por ellos, adultos.</w:t>
      </w:r>
    </w:p>
    <w:p w:rsidR="0092592E" w:rsidRDefault="0039343E">
      <w:pPr>
        <w:jc w:val="both"/>
      </w:pPr>
      <w:r>
        <w:rPr>
          <w:rFonts w:ascii="Century Gothic" w:hAnsi="Century Gothic"/>
          <w:sz w:val="22"/>
          <w:lang w:val="es-ES"/>
        </w:rPr>
        <w:t>El cambio social es lento, y parte de la construcción de la nueva sociedad ética y compasiva del mañana es elaborada con cada uno de estos</w:t>
      </w:r>
      <w:r>
        <w:rPr>
          <w:rFonts w:ascii="Century Gothic" w:hAnsi="Century Gothic"/>
          <w:sz w:val="22"/>
          <w:lang w:val="es-ES"/>
        </w:rPr>
        <w:t xml:space="preserve"> pasos, que protegen a la niñez y juventud, apostando por un desarrollo psicológico sano y libre de violencia para las nuevas generaciones.</w:t>
      </w:r>
    </w:p>
    <w:p w:rsidR="0092592E" w:rsidRDefault="0039343E">
      <w:pPr>
        <w:jc w:val="both"/>
      </w:pPr>
      <w:r>
        <w:rPr>
          <w:rFonts w:ascii="Century Gothic" w:hAnsi="Century Gothic"/>
          <w:sz w:val="22"/>
          <w:lang w:val="es-ES"/>
        </w:rPr>
        <w:t>SOLICITUD</w:t>
      </w:r>
    </w:p>
    <w:p w:rsidR="0092592E" w:rsidRDefault="0039343E">
      <w:pPr>
        <w:numPr>
          <w:ilvl w:val="0"/>
          <w:numId w:val="1"/>
        </w:numPr>
        <w:jc w:val="both"/>
      </w:pPr>
      <w:r>
        <w:rPr>
          <w:rFonts w:ascii="Century Gothic" w:hAnsi="Century Gothic"/>
          <w:sz w:val="22"/>
          <w:lang w:val="es-ES"/>
        </w:rPr>
        <w:t xml:space="preserve">Los desacatos y desobediencias ante a la reglamentación vigente son continuos por lo </w:t>
      </w:r>
      <w:proofErr w:type="spellStart"/>
      <w:r>
        <w:rPr>
          <w:rFonts w:ascii="Century Gothic" w:hAnsi="Century Gothic"/>
          <w:sz w:val="22"/>
          <w:lang w:val="es-ES"/>
        </w:rPr>
        <w:t>cuál</w:t>
      </w:r>
      <w:proofErr w:type="spellEnd"/>
      <w:r>
        <w:rPr>
          <w:rFonts w:ascii="Century Gothic" w:hAnsi="Century Gothic"/>
          <w:sz w:val="22"/>
          <w:lang w:val="es-ES"/>
        </w:rPr>
        <w:t xml:space="preserve"> solicitamos se e</w:t>
      </w:r>
      <w:r>
        <w:rPr>
          <w:rFonts w:ascii="Century Gothic" w:hAnsi="Century Gothic"/>
          <w:sz w:val="22"/>
          <w:lang w:val="es-ES"/>
        </w:rPr>
        <w:t xml:space="preserve">xija al Estado Ecuatoriano colocar en forma de ley la prohibición para menores de 18 años y no para 16 años como consta en un reglamento. Hacemos esta solicitud pues el Reglamento no tiene la misma jerarquía que una ley y muchas de </w:t>
      </w:r>
      <w:proofErr w:type="gramStart"/>
      <w:r>
        <w:rPr>
          <w:rFonts w:ascii="Century Gothic" w:hAnsi="Century Gothic"/>
          <w:sz w:val="22"/>
          <w:lang w:val="es-ES"/>
        </w:rPr>
        <w:t>la autoridades</w:t>
      </w:r>
      <w:proofErr w:type="gramEnd"/>
      <w:r>
        <w:rPr>
          <w:rFonts w:ascii="Century Gothic" w:hAnsi="Century Gothic"/>
          <w:sz w:val="22"/>
          <w:lang w:val="es-ES"/>
        </w:rPr>
        <w:t xml:space="preserve"> que viola</w:t>
      </w:r>
      <w:r>
        <w:rPr>
          <w:rFonts w:ascii="Century Gothic" w:hAnsi="Century Gothic"/>
          <w:sz w:val="22"/>
          <w:lang w:val="es-ES"/>
        </w:rPr>
        <w:t>n constantemente la prohibición usan este hecho como argumento.</w:t>
      </w:r>
    </w:p>
    <w:p w:rsidR="0092592E" w:rsidRDefault="0039343E">
      <w:pPr>
        <w:numPr>
          <w:ilvl w:val="0"/>
          <w:numId w:val="1"/>
        </w:numPr>
        <w:jc w:val="both"/>
      </w:pPr>
      <w:r>
        <w:rPr>
          <w:rFonts w:ascii="Century Gothic" w:hAnsi="Century Gothic"/>
          <w:sz w:val="22"/>
          <w:lang w:val="es-ES"/>
        </w:rPr>
        <w:t>Solicitamos que el Estado Ecuatoriano garantice una vida libre de violencia en las comunidades y pueblos del sector rural donde se permite la entrada libre de Niños, Niñas y Adolescentes a esp</w:t>
      </w:r>
      <w:r>
        <w:rPr>
          <w:rFonts w:ascii="Century Gothic" w:hAnsi="Century Gothic"/>
          <w:sz w:val="22"/>
          <w:lang w:val="es-ES"/>
        </w:rPr>
        <w:t>ectáculos de Peleas de Gallos y Corridas de Toros de Pueblo en los cuales se atormentan, torturan y en muchos casos matan animales, además de existir un desaforado consumo de alcohol y cigarrillo, las peleas son muy frecuentes como los son los accidentes d</w:t>
      </w:r>
      <w:r>
        <w:rPr>
          <w:rFonts w:ascii="Century Gothic" w:hAnsi="Century Gothic"/>
          <w:sz w:val="22"/>
          <w:lang w:val="es-ES"/>
        </w:rPr>
        <w:t>e personas ebrias atropelladas por el Toro o por la aglomeración de gente.</w:t>
      </w:r>
    </w:p>
    <w:p w:rsidR="0092592E" w:rsidRDefault="0092592E">
      <w:pPr>
        <w:jc w:val="both"/>
      </w:pPr>
    </w:p>
    <w:sectPr w:rsidR="0092592E">
      <w:headerReference w:type="default" r:id="rId7"/>
      <w:pgSz w:w="11906" w:h="16838"/>
      <w:pgMar w:top="1417" w:right="1701" w:bottom="1417" w:left="1701" w:header="708" w:footer="0"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43E" w:rsidRDefault="0039343E">
      <w:pPr>
        <w:spacing w:after="0" w:line="240" w:lineRule="auto"/>
      </w:pPr>
      <w:r>
        <w:separator/>
      </w:r>
    </w:p>
  </w:endnote>
  <w:endnote w:type="continuationSeparator" w:id="0">
    <w:p w:rsidR="0039343E" w:rsidRDefault="00393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iberation Sans">
    <w:altName w:val="Arial"/>
    <w:charset w:val="01"/>
    <w:family w:val="swiss"/>
    <w:pitch w:val="variable"/>
  </w:font>
  <w:font w:name="Noto Sans CJK SC Regular">
    <w:panose1 w:val="00000000000000000000"/>
    <w:charset w:val="00"/>
    <w:family w:val="roman"/>
    <w:notTrueType/>
    <w:pitch w:val="default"/>
  </w:font>
  <w:font w:name="FreeSans">
    <w:altName w:val="Arial"/>
    <w:charset w:val="00"/>
    <w:family w:val="swiss"/>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43E" w:rsidRDefault="0039343E">
      <w:pPr>
        <w:spacing w:after="0" w:line="240" w:lineRule="auto"/>
      </w:pPr>
      <w:r>
        <w:separator/>
      </w:r>
    </w:p>
  </w:footnote>
  <w:footnote w:type="continuationSeparator" w:id="0">
    <w:p w:rsidR="0039343E" w:rsidRDefault="00393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92E" w:rsidRDefault="0039343E">
    <w:pPr>
      <w:pStyle w:val="Encabezado1"/>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54BD3"/>
    <w:multiLevelType w:val="multilevel"/>
    <w:tmpl w:val="42CABA7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8572D90"/>
    <w:multiLevelType w:val="multilevel"/>
    <w:tmpl w:val="35101CE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92E"/>
    <w:rsid w:val="0039343E"/>
    <w:rsid w:val="003E0795"/>
    <w:rsid w:val="0092592E"/>
  </w:rsids>
  <m:mathPr>
    <m:mathFont m:val="Cambria Math"/>
    <m:brkBin m:val="before"/>
    <m:brkBinSub m:val="--"/>
    <m:smallFrac m:val="0"/>
    <m:dispDef/>
    <m:lMargin m:val="0"/>
    <m:rMargin m:val="0"/>
    <m:defJc m:val="centerGroup"/>
    <m:wrapIndent m:val="1440"/>
    <m:intLim m:val="subSup"/>
    <m:naryLim m:val="undOvr"/>
  </m:mathPr>
  <w:themeFontLang w:val="es-EC"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BEEACD-B8F0-4558-A1B1-DB21B4A43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es-EC"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Encabezado1"/>
    <w:qFormat/>
  </w:style>
  <w:style w:type="paragraph" w:customStyle="1" w:styleId="Ttulo21">
    <w:name w:val="Título 21"/>
    <w:basedOn w:val="Encabezado1"/>
    <w:qFormat/>
  </w:style>
  <w:style w:type="paragraph" w:customStyle="1" w:styleId="Ttulo31">
    <w:name w:val="Título 31"/>
    <w:basedOn w:val="Encabezado1"/>
    <w:qFormat/>
  </w:style>
  <w:style w:type="character" w:customStyle="1" w:styleId="apple-converted-space">
    <w:name w:val="apple-converted-space"/>
    <w:basedOn w:val="Fuentedeprrafopredeter"/>
    <w:qFormat/>
    <w:rsid w:val="00D815BA"/>
  </w:style>
  <w:style w:type="character" w:styleId="Textoennegrita">
    <w:name w:val="Strong"/>
    <w:basedOn w:val="Fuentedeprrafopredeter"/>
    <w:uiPriority w:val="22"/>
    <w:qFormat/>
    <w:rsid w:val="00D815BA"/>
    <w:rPr>
      <w:b/>
      <w:bCs/>
    </w:rPr>
  </w:style>
  <w:style w:type="character" w:customStyle="1" w:styleId="EncabezadoCar">
    <w:name w:val="Encabezado Car"/>
    <w:basedOn w:val="Fuentedeprrafopredeter"/>
    <w:link w:val="Encabezado"/>
    <w:uiPriority w:val="99"/>
    <w:qFormat/>
    <w:rsid w:val="00E84656"/>
  </w:style>
  <w:style w:type="character" w:customStyle="1" w:styleId="PiedepginaCar">
    <w:name w:val="Pie de página Car"/>
    <w:basedOn w:val="Fuentedeprrafopredeter"/>
    <w:link w:val="Piedepgina"/>
    <w:uiPriority w:val="99"/>
    <w:qFormat/>
    <w:rsid w:val="00E84656"/>
  </w:style>
  <w:style w:type="character" w:customStyle="1" w:styleId="ListLabel1">
    <w:name w:val="ListLabel 1"/>
    <w:qFormat/>
    <w:rPr>
      <w:strike w:val="0"/>
      <w:dstrike w:val="0"/>
      <w:u w:val="none"/>
      <w:effect w:val="none"/>
    </w:rPr>
  </w:style>
  <w:style w:type="character" w:customStyle="1" w:styleId="Smbolosdenumeracin">
    <w:name w:val="Símbolos de numeración"/>
    <w:qFormat/>
  </w:style>
  <w:style w:type="paragraph" w:styleId="Encabezado">
    <w:name w:val="header"/>
    <w:basedOn w:val="Normal"/>
    <w:next w:val="Textoindependiente1"/>
    <w:link w:val="EncabezadoCar"/>
    <w:qFormat/>
    <w:pPr>
      <w:keepNext/>
      <w:spacing w:before="240" w:after="120"/>
    </w:pPr>
    <w:rPr>
      <w:rFonts w:ascii="Liberation Sans" w:eastAsia="Noto Sans CJK SC Regular" w:hAnsi="Liberation Sans" w:cs="FreeSans"/>
      <w:sz w:val="28"/>
      <w:szCs w:val="28"/>
    </w:rPr>
  </w:style>
  <w:style w:type="paragraph" w:customStyle="1" w:styleId="Textoindependiente1">
    <w:name w:val="Texto independiente1"/>
    <w:basedOn w:val="Normal"/>
    <w:pPr>
      <w:spacing w:after="140" w:line="288" w:lineRule="auto"/>
    </w:pPr>
  </w:style>
  <w:style w:type="paragraph" w:styleId="Lista">
    <w:name w:val="List"/>
    <w:basedOn w:val="Textoindependiente1"/>
    <w:rPr>
      <w:rFonts w:cs="FreeSans"/>
    </w:rPr>
  </w:style>
  <w:style w:type="paragraph" w:customStyle="1" w:styleId="Descripcin1">
    <w:name w:val="Descripción1"/>
    <w:basedOn w:val="Normal"/>
    <w:qFormat/>
    <w:pPr>
      <w:suppressLineNumbers/>
      <w:spacing w:before="120" w:after="120"/>
    </w:pPr>
    <w:rPr>
      <w:rFonts w:cs="FreeSans"/>
      <w:i/>
      <w:iCs/>
      <w:szCs w:val="24"/>
    </w:rPr>
  </w:style>
  <w:style w:type="paragraph" w:customStyle="1" w:styleId="ndice">
    <w:name w:val="Índice"/>
    <w:basedOn w:val="Normal"/>
    <w:qFormat/>
    <w:pPr>
      <w:suppressLineNumbers/>
    </w:pPr>
    <w:rPr>
      <w:rFonts w:cs="FreeSans"/>
    </w:rPr>
  </w:style>
  <w:style w:type="paragraph" w:customStyle="1" w:styleId="Encabezado1">
    <w:name w:val="Encabezado1"/>
    <w:basedOn w:val="Normal"/>
    <w:uiPriority w:val="99"/>
    <w:unhideWhenUsed/>
    <w:rsid w:val="00E84656"/>
    <w:pPr>
      <w:tabs>
        <w:tab w:val="center" w:pos="4252"/>
        <w:tab w:val="right" w:pos="8504"/>
      </w:tabs>
      <w:spacing w:after="0" w:line="240" w:lineRule="auto"/>
    </w:pPr>
  </w:style>
  <w:style w:type="paragraph" w:styleId="NormalWeb">
    <w:name w:val="Normal (Web)"/>
    <w:basedOn w:val="Normal"/>
    <w:uiPriority w:val="99"/>
    <w:semiHidden/>
    <w:unhideWhenUsed/>
    <w:qFormat/>
    <w:rsid w:val="00D815BA"/>
    <w:pPr>
      <w:spacing w:beforeAutospacing="1" w:afterAutospacing="1" w:line="240" w:lineRule="auto"/>
    </w:pPr>
    <w:rPr>
      <w:rFonts w:ascii="Times New Roman" w:eastAsia="Times New Roman" w:hAnsi="Times New Roman" w:cs="Times New Roman"/>
      <w:szCs w:val="24"/>
      <w:lang w:val="es-ES" w:eastAsia="es-ES"/>
    </w:rPr>
  </w:style>
  <w:style w:type="paragraph" w:styleId="Piedepgina">
    <w:name w:val="footer"/>
    <w:basedOn w:val="Normal"/>
    <w:link w:val="PiedepginaCar"/>
    <w:uiPriority w:val="99"/>
    <w:unhideWhenUsed/>
    <w:rsid w:val="00E84656"/>
    <w:pPr>
      <w:tabs>
        <w:tab w:val="center" w:pos="4252"/>
        <w:tab w:val="right" w:pos="8504"/>
      </w:tabs>
      <w:spacing w:after="0" w:line="240" w:lineRule="auto"/>
    </w:pPr>
  </w:style>
  <w:style w:type="paragraph" w:styleId="Cita">
    <w:name w:val="Quote"/>
    <w:basedOn w:val="Normal"/>
    <w:qFormat/>
  </w:style>
  <w:style w:type="paragraph" w:customStyle="1" w:styleId="Ttulo1">
    <w:name w:val="Título1"/>
    <w:basedOn w:val="Encabezado1"/>
    <w:qFormat/>
  </w:style>
  <w:style w:type="paragraph" w:styleId="Subttulo">
    <w:name w:val="Subtitle"/>
    <w:basedOn w:val="Encabezado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01B07-9354-4EF3-A792-C2C30A37BA26}"/>
</file>

<file path=customXml/itemProps2.xml><?xml version="1.0" encoding="utf-8"?>
<ds:datastoreItem xmlns:ds="http://schemas.openxmlformats.org/officeDocument/2006/customXml" ds:itemID="{282D8899-82EB-4A04-B7D6-880ABE72D860}"/>
</file>

<file path=customXml/itemProps3.xml><?xml version="1.0" encoding="utf-8"?>
<ds:datastoreItem xmlns:ds="http://schemas.openxmlformats.org/officeDocument/2006/customXml" ds:itemID="{55F2C9FD-21A8-4E35-87FD-A27BC351C32A}"/>
</file>

<file path=docProps/app.xml><?xml version="1.0" encoding="utf-8"?>
<Properties xmlns="http://schemas.openxmlformats.org/officeDocument/2006/extended-properties" xmlns:vt="http://schemas.openxmlformats.org/officeDocument/2006/docPropsVTypes">
  <Template>Normal</Template>
  <TotalTime>1</TotalTime>
  <Pages>4</Pages>
  <Words>1595</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Windows User</cp:lastModifiedBy>
  <cp:revision>2</cp:revision>
  <dcterms:created xsi:type="dcterms:W3CDTF">2017-02-06T13:23:00Z</dcterms:created>
  <dcterms:modified xsi:type="dcterms:W3CDTF">2017-02-06T13:23:00Z</dcterms:modified>
  <dc:language>es-EC</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0x0101000A2EFB0846309C4280BBEF2F95FCFF71</vt:lpwstr>
  </property>
</Properties>
</file>