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416061195"/>
        <w:docPartObj>
          <w:docPartGallery w:val="Cover Pages"/>
          <w:docPartUnique/>
        </w:docPartObj>
      </w:sdtPr>
      <w:sdtEndPr>
        <w:rPr>
          <w:noProof/>
        </w:rPr>
      </w:sdtEndPr>
      <w:sdtContent>
        <w:p w:rsidR="000F56C9" w:rsidRDefault="000F56C9"/>
        <w:p w:rsidR="000F56C9" w:rsidRDefault="000F56C9">
          <w:pPr>
            <w:rPr>
              <w:noProof/>
            </w:rPr>
          </w:pPr>
          <w:r>
            <w:rPr>
              <w:noProof/>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0F56C9" w:rsidRDefault="00100891">
                                  <w:pPr>
                                    <w:rPr>
                                      <w:color w:val="FFFFFF" w:themeColor="background1"/>
                                      <w:sz w:val="72"/>
                                      <w:szCs w:val="72"/>
                                    </w:rPr>
                                  </w:pPr>
                                  <w:sdt>
                                    <w:sdtPr>
                                      <w:rPr>
                                        <w:color w:val="FFFFFF" w:themeColor="background1"/>
                                        <w:sz w:val="3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475BD" w:rsidRPr="00037955">
                                        <w:rPr>
                                          <w:color w:val="FFFFFF" w:themeColor="background1"/>
                                          <w:sz w:val="36"/>
                                        </w:rPr>
                                        <w:t xml:space="preserve">ALTERNATIVE REPORT ON THE IMPLEMENTATION OF THE </w:t>
                                      </w:r>
                                      <w:r w:rsidR="00D475BD">
                                        <w:rPr>
                                          <w:color w:val="FFFFFF" w:themeColor="background1"/>
                                          <w:sz w:val="36"/>
                                        </w:rPr>
                                        <w:t>CONVENTION ON THE ELEMINATION OF ALL FORMS OF DISCRIMINATION AGAINST WOMEN (</w:t>
                                      </w:r>
                                      <w:r w:rsidR="00D475BD" w:rsidRPr="00037955">
                                        <w:rPr>
                                          <w:color w:val="FFFFFF" w:themeColor="background1"/>
                                          <w:sz w:val="36"/>
                                        </w:rPr>
                                        <w:t>CEDAW</w:t>
                                      </w:r>
                                      <w:r w:rsidR="00D475BD">
                                        <w:rPr>
                                          <w:color w:val="FFFFFF" w:themeColor="background1"/>
                                          <w:sz w:val="36"/>
                                        </w:rPr>
                                        <w:t xml:space="preserve">) </w:t>
                                      </w:r>
                                      <w:r w:rsidR="00D475BD" w:rsidRPr="00037955">
                                        <w:rPr>
                                          <w:color w:val="FFFFFF" w:themeColor="background1"/>
                                          <w:sz w:val="36"/>
                                        </w:rPr>
                                        <w:t>IN ALBANIA (2016-2020</w:t>
                                      </w:r>
                                      <w:r w:rsidR="00D475BD">
                                        <w:rPr>
                                          <w:color w:val="FFFFFF" w:themeColor="background1"/>
                                          <w:sz w:val="36"/>
                                        </w:rPr>
                                        <w: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0F56C9" w:rsidRDefault="00D475BD">
                            <w:pPr>
                              <w:rPr>
                                <w:color w:val="FFFFFF" w:themeColor="background1"/>
                                <w:sz w:val="72"/>
                                <w:szCs w:val="72"/>
                              </w:rPr>
                            </w:pPr>
                            <w:sdt>
                              <w:sdtPr>
                                <w:rPr>
                                  <w:color w:val="FFFFFF" w:themeColor="background1"/>
                                  <w:sz w:val="3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037955">
                                  <w:rPr>
                                    <w:color w:val="FFFFFF" w:themeColor="background1"/>
                                    <w:sz w:val="36"/>
                                  </w:rPr>
                                  <w:t xml:space="preserve">ALTERNATIVE REPORT ON THE IMPLEMENTATION OF THE </w:t>
                                </w:r>
                                <w:r>
                                  <w:rPr>
                                    <w:color w:val="FFFFFF" w:themeColor="background1"/>
                                    <w:sz w:val="36"/>
                                  </w:rPr>
                                  <w:t>CONVENTION ON THE ELEMINATION OF ALL FORMS OF DISCRIMINATION AGAINST WOMEN (</w:t>
                                </w:r>
                                <w:r w:rsidRPr="00037955">
                                  <w:rPr>
                                    <w:color w:val="FFFFFF" w:themeColor="background1"/>
                                    <w:sz w:val="36"/>
                                  </w:rPr>
                                  <w:t>CEDAW</w:t>
                                </w:r>
                                <w:r>
                                  <w:rPr>
                                    <w:color w:val="FFFFFF" w:themeColor="background1"/>
                                    <w:sz w:val="36"/>
                                  </w:rPr>
                                  <w:t xml:space="preserve">) </w:t>
                                </w:r>
                                <w:r w:rsidRPr="00037955">
                                  <w:rPr>
                                    <w:color w:val="FFFFFF" w:themeColor="background1"/>
                                    <w:sz w:val="36"/>
                                  </w:rPr>
                                  <w:t>IN ALBANIA (2016-2020</w:t>
                                </w:r>
                                <w:r>
                                  <w:rPr>
                                    <w:color w:val="FFFFFF" w:themeColor="background1"/>
                                    <w:sz w:val="36"/>
                                  </w:rPr>
                                  <w: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F56C9" w:rsidRDefault="00100891">
                                <w:pPr>
                                  <w:pStyle w:val="NoSpacing"/>
                                  <w:rPr>
                                    <w:color w:val="7F7F7F" w:themeColor="text1" w:themeTint="80"/>
                                    <w:sz w:val="18"/>
                                    <w:szCs w:val="18"/>
                                  </w:rPr>
                                </w:pP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037955">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0F56C9" w:rsidRDefault="000F56C9">
                          <w:pPr>
                            <w:pStyle w:val="NoSpacing"/>
                            <w:rPr>
                              <w:color w:val="7F7F7F" w:themeColor="text1" w:themeTint="80"/>
                              <w:sz w:val="18"/>
                              <w:szCs w:val="18"/>
                            </w:rPr>
                          </w:pP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037955">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i/>
                                    <w:sz w:val="24"/>
                                    <w:szCs w:val="24"/>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0F56C9" w:rsidRPr="00037955" w:rsidRDefault="00B96F27">
                                    <w:pPr>
                                      <w:pStyle w:val="NoSpacing"/>
                                      <w:spacing w:before="40" w:after="40"/>
                                      <w:rPr>
                                        <w:b/>
                                        <w:i/>
                                        <w:caps/>
                                        <w:color w:val="5B9BD5" w:themeColor="accent1"/>
                                        <w:sz w:val="24"/>
                                        <w:szCs w:val="24"/>
                                      </w:rPr>
                                    </w:pPr>
                                    <w:r>
                                      <w:rPr>
                                        <w:b/>
                                        <w:i/>
                                        <w:sz w:val="24"/>
                                        <w:szCs w:val="24"/>
                                      </w:rPr>
                                      <w:t>Prepared by Ombudsman of Republic of Albania for the presentation before the United Nations Committee on the Elimination of All Forms of Discrimination against Women.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b/>
                              <w:i/>
                              <w:sz w:val="24"/>
                              <w:szCs w:val="24"/>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0F56C9" w:rsidRPr="00037955" w:rsidRDefault="00B96F27">
                              <w:pPr>
                                <w:pStyle w:val="NoSpacing"/>
                                <w:spacing w:before="40" w:after="40"/>
                                <w:rPr>
                                  <w:b/>
                                  <w:i/>
                                  <w:caps/>
                                  <w:color w:val="5B9BD5" w:themeColor="accent1"/>
                                  <w:sz w:val="24"/>
                                  <w:szCs w:val="24"/>
                                </w:rPr>
                              </w:pPr>
                              <w:r>
                                <w:rPr>
                                  <w:b/>
                                  <w:i/>
                                  <w:sz w:val="24"/>
                                  <w:szCs w:val="24"/>
                                </w:rPr>
                                <w:t>Prepared by Ombudsman of Republic of Albania for the presentation before the United Nations Committee on the Elimination of All Forms of Discrimination against Women.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8-28T00:00:00Z">
                                    <w:dateFormat w:val="yyyy"/>
                                    <w:lid w:val="en-US"/>
                                    <w:storeMappedDataAs w:val="dateTime"/>
                                    <w:calendar w:val="gregorian"/>
                                  </w:date>
                                </w:sdtPr>
                                <w:sdtEndPr/>
                                <w:sdtContent>
                                  <w:p w:rsidR="000F56C9" w:rsidRDefault="00037955">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8-28T00:00:00Z">
                              <w:dateFormat w:val="yyyy"/>
                              <w:lid w:val="en-US"/>
                              <w:storeMappedDataAs w:val="dateTime"/>
                              <w:calendar w:val="gregorian"/>
                            </w:date>
                          </w:sdtPr>
                          <w:sdtContent>
                            <w:p w:rsidR="000F56C9" w:rsidRDefault="00037955">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Pr>
              <w:noProof/>
            </w:rPr>
            <w:br w:type="page"/>
          </w:r>
        </w:p>
      </w:sdtContent>
    </w:sdt>
    <w:p w:rsidR="000F56C9" w:rsidRDefault="000F56C9" w:rsidP="00B17883">
      <w:pPr>
        <w:spacing w:after="0" w:line="240" w:lineRule="auto"/>
        <w:jc w:val="both"/>
        <w:rPr>
          <w:b/>
          <w:szCs w:val="24"/>
        </w:rPr>
      </w:pPr>
    </w:p>
    <w:p w:rsidR="000F56C9" w:rsidRDefault="000F56C9" w:rsidP="00B17883">
      <w:pPr>
        <w:spacing w:after="0" w:line="240" w:lineRule="auto"/>
        <w:jc w:val="both"/>
        <w:rPr>
          <w:b/>
          <w:szCs w:val="24"/>
        </w:rPr>
      </w:pPr>
    </w:p>
    <w:p w:rsidR="000F56C9" w:rsidRPr="002B4F99" w:rsidRDefault="000F56C9" w:rsidP="000F56C9">
      <w:pPr>
        <w:pStyle w:val="Heading2"/>
        <w:rPr>
          <w:szCs w:val="24"/>
        </w:rPr>
      </w:pPr>
      <w:r w:rsidRPr="002B4F99">
        <w:t>LIST OF ACRONYMS</w:t>
      </w:r>
    </w:p>
    <w:p w:rsidR="000F56C9" w:rsidRPr="002B4F99" w:rsidRDefault="000F56C9" w:rsidP="000F56C9">
      <w:pPr>
        <w:rPr>
          <w:szCs w:val="24"/>
        </w:rPr>
      </w:pPr>
      <w:r w:rsidRPr="002B4F99">
        <w:t>OP - Ombudsperson</w:t>
      </w:r>
    </w:p>
    <w:p w:rsidR="000F56C9" w:rsidRPr="002B4F99" w:rsidRDefault="000F56C9" w:rsidP="000F56C9">
      <w:pPr>
        <w:rPr>
          <w:szCs w:val="24"/>
        </w:rPr>
      </w:pPr>
      <w:r w:rsidRPr="002B4F99">
        <w:t xml:space="preserve">CEDAW- Convention on the Elimination of All Forms of Discrimination Against Women </w:t>
      </w:r>
    </w:p>
    <w:p w:rsidR="000F56C9" w:rsidRPr="002B4F99" w:rsidRDefault="000F56C9" w:rsidP="000F56C9">
      <w:pPr>
        <w:rPr>
          <w:szCs w:val="24"/>
        </w:rPr>
      </w:pPr>
      <w:proofErr w:type="spellStart"/>
      <w:r w:rsidRPr="002B4F99">
        <w:t>MoJ</w:t>
      </w:r>
      <w:proofErr w:type="spellEnd"/>
      <w:r w:rsidRPr="002B4F99">
        <w:t xml:space="preserve">- Ministry of Justice </w:t>
      </w:r>
    </w:p>
    <w:p w:rsidR="000F56C9" w:rsidRPr="002B4F99" w:rsidRDefault="000F56C9" w:rsidP="000F56C9">
      <w:pPr>
        <w:rPr>
          <w:szCs w:val="24"/>
        </w:rPr>
      </w:pPr>
      <w:r w:rsidRPr="002B4F99">
        <w:t xml:space="preserve">EPO - Emergency Protective Order </w:t>
      </w:r>
    </w:p>
    <w:p w:rsidR="000F56C9" w:rsidRPr="002B4F99" w:rsidRDefault="000F56C9" w:rsidP="000F56C9">
      <w:pPr>
        <w:rPr>
          <w:szCs w:val="24"/>
        </w:rPr>
      </w:pPr>
      <w:r w:rsidRPr="002B4F99">
        <w:t xml:space="preserve">PO - Protective Order </w:t>
      </w:r>
    </w:p>
    <w:p w:rsidR="000F56C9" w:rsidRDefault="000F56C9" w:rsidP="000F56C9">
      <w:r w:rsidRPr="002B4F99">
        <w:t xml:space="preserve">CO - Concluding Observation </w:t>
      </w:r>
    </w:p>
    <w:p w:rsidR="000F56C9" w:rsidRDefault="000F56C9" w:rsidP="000F56C9">
      <w:r>
        <w:t>GE – Gender Equality</w:t>
      </w:r>
    </w:p>
    <w:p w:rsidR="000F56C9" w:rsidRDefault="000F56C9" w:rsidP="000F56C9">
      <w:r>
        <w:t>GRB- Gender Responsive Budget</w:t>
      </w:r>
    </w:p>
    <w:p w:rsidR="000F56C9" w:rsidRDefault="000F56C9" w:rsidP="000F56C9">
      <w:r>
        <w:t>LRM - Local Referral Mechanisms</w:t>
      </w:r>
    </w:p>
    <w:p w:rsidR="000F56C9" w:rsidRDefault="000F56C9" w:rsidP="000F56C9">
      <w:r>
        <w:t>GBV- Gender Based Violence</w:t>
      </w:r>
    </w:p>
    <w:p w:rsidR="000F56C9" w:rsidRPr="002B4F99" w:rsidRDefault="000F56C9" w:rsidP="000F56C9">
      <w:pPr>
        <w:rPr>
          <w:szCs w:val="24"/>
        </w:rPr>
      </w:pPr>
      <w:r>
        <w:t xml:space="preserve">DV – Domestic Violence </w:t>
      </w:r>
    </w:p>
    <w:p w:rsidR="000F56C9" w:rsidRDefault="000F56C9" w:rsidP="00B17883">
      <w:pPr>
        <w:spacing w:after="0" w:line="240" w:lineRule="auto"/>
        <w:jc w:val="both"/>
        <w:rPr>
          <w:b/>
          <w:szCs w:val="24"/>
        </w:rPr>
      </w:pPr>
    </w:p>
    <w:p w:rsidR="00B17883" w:rsidRDefault="00B17883" w:rsidP="00B17883">
      <w:pPr>
        <w:spacing w:after="0" w:line="240" w:lineRule="auto"/>
        <w:jc w:val="both"/>
        <w:rPr>
          <w:b/>
          <w:szCs w:val="24"/>
        </w:rPr>
      </w:pPr>
      <w:r w:rsidRPr="002B4F99">
        <w:rPr>
          <w:b/>
          <w:szCs w:val="24"/>
        </w:rPr>
        <w:t>INTRODUCTION</w:t>
      </w:r>
    </w:p>
    <w:p w:rsidR="000813D1" w:rsidRPr="002B4F99" w:rsidRDefault="000813D1" w:rsidP="00B17883">
      <w:pPr>
        <w:spacing w:after="0" w:line="240" w:lineRule="auto"/>
        <w:jc w:val="both"/>
        <w:rPr>
          <w:b/>
          <w:szCs w:val="24"/>
        </w:rPr>
      </w:pPr>
    </w:p>
    <w:p w:rsidR="000813D1" w:rsidRPr="000813D1" w:rsidRDefault="000813D1" w:rsidP="000813D1">
      <w:pPr>
        <w:pStyle w:val="ListParagraph"/>
        <w:numPr>
          <w:ilvl w:val="1"/>
          <w:numId w:val="3"/>
        </w:numPr>
        <w:jc w:val="both"/>
        <w:rPr>
          <w:szCs w:val="24"/>
        </w:rPr>
      </w:pPr>
      <w:r w:rsidRPr="002B4F99">
        <w:t xml:space="preserve">This </w:t>
      </w:r>
      <w:r>
        <w:t>alternative</w:t>
      </w:r>
      <w:r w:rsidRPr="002B4F99">
        <w:t xml:space="preserve"> Report, </w:t>
      </w:r>
      <w:r>
        <w:t>prepared</w:t>
      </w:r>
      <w:r w:rsidRPr="002B4F99">
        <w:t xml:space="preserve"> by the </w:t>
      </w:r>
      <w:r w:rsidR="003C284D">
        <w:t>o</w:t>
      </w:r>
      <w:r w:rsidRPr="002B4F99">
        <w:t>ffice of the Ombudsperson</w:t>
      </w:r>
      <w:r w:rsidR="003C284D">
        <w:t xml:space="preserve"> (OP)</w:t>
      </w:r>
      <w:r w:rsidRPr="002B4F99">
        <w:t xml:space="preserve"> </w:t>
      </w:r>
      <w:r>
        <w:t>in relation to</w:t>
      </w:r>
      <w:r w:rsidRPr="002B4F99">
        <w:t xml:space="preserve"> the Albanian State Fifth Periodic Report to the CEDAW Committee, </w:t>
      </w:r>
      <w:r>
        <w:t xml:space="preserve">provides information about </w:t>
      </w:r>
      <w:r w:rsidRPr="002B4F99">
        <w:t>the extent the recommendations made by the said Committee to Albania</w:t>
      </w:r>
      <w:r w:rsidR="003C284D">
        <w:t xml:space="preserve"> during </w:t>
      </w:r>
      <w:r w:rsidRPr="002B4F99">
        <w:t>the preceding  report</w:t>
      </w:r>
      <w:r w:rsidR="003C284D">
        <w:t>ing period</w:t>
      </w:r>
      <w:r w:rsidRPr="002B4F99">
        <w:t xml:space="preserve"> </w:t>
      </w:r>
      <w:r>
        <w:t>have been implemented</w:t>
      </w:r>
      <w:r w:rsidRPr="002B4F99">
        <w:t>.</w:t>
      </w:r>
      <w:r w:rsidRPr="002B4F99">
        <w:rPr>
          <w:rStyle w:val="FootnoteReference"/>
          <w:szCs w:val="24"/>
        </w:rPr>
        <w:footnoteReference w:id="1"/>
      </w:r>
      <w:r w:rsidRPr="002B4F99">
        <w:t xml:space="preserve"> </w:t>
      </w:r>
    </w:p>
    <w:p w:rsidR="00B17883" w:rsidRDefault="00B17883" w:rsidP="001553BE">
      <w:pPr>
        <w:pStyle w:val="ListParagraph"/>
        <w:numPr>
          <w:ilvl w:val="1"/>
          <w:numId w:val="3"/>
        </w:numPr>
        <w:spacing w:after="0" w:line="240" w:lineRule="auto"/>
        <w:jc w:val="both"/>
      </w:pPr>
      <w:r w:rsidRPr="002B4F99">
        <w:t xml:space="preserve">This report unfolds the findings of the Ombudsperson's Institution on CEDAW Convention implementation by the Albanian State </w:t>
      </w:r>
      <w:r w:rsidR="003C284D">
        <w:t xml:space="preserve">during </w:t>
      </w:r>
      <w:r w:rsidRPr="002B4F99">
        <w:t xml:space="preserve">2016-2020. The report </w:t>
      </w:r>
      <w:r>
        <w:t>highlights</w:t>
      </w:r>
      <w:r w:rsidRPr="002B4F99">
        <w:t xml:space="preserve"> the progress made in relation to a series of recommendations addressed by the CEDAW Committee in its Concluding Observations to Albania </w:t>
      </w:r>
      <w:r w:rsidR="003C284D">
        <w:t xml:space="preserve">in </w:t>
      </w:r>
      <w:r w:rsidRPr="002B4F99">
        <w:t xml:space="preserve">2016 on a) access to justice and free state legal aid; b) </w:t>
      </w:r>
      <w:r>
        <w:t xml:space="preserve">challenges of the </w:t>
      </w:r>
      <w:r w:rsidRPr="002B4F99">
        <w:t xml:space="preserve">machinery for gender equality </w:t>
      </w:r>
      <w:r>
        <w:t xml:space="preserve">to </w:t>
      </w:r>
      <w:r w:rsidRPr="002B4F99">
        <w:t>guaranteeing women’s rights and gender responsive budgeting; c) gender-based violence d) women’s social and economic</w:t>
      </w:r>
      <w:r>
        <w:t xml:space="preserve"> rights</w:t>
      </w:r>
      <w:r w:rsidRPr="002B4F99">
        <w:t xml:space="preserve">; and e) situation of women residing in rural areas and </w:t>
      </w:r>
      <w:r>
        <w:t xml:space="preserve">those from </w:t>
      </w:r>
      <w:r w:rsidRPr="002B4F99">
        <w:t xml:space="preserve">disadvantaged groups. Recommendations are </w:t>
      </w:r>
      <w:r w:rsidR="003C284D">
        <w:t xml:space="preserve">addressed to the </w:t>
      </w:r>
      <w:r w:rsidRPr="002B4F99">
        <w:t xml:space="preserve">Albanian </w:t>
      </w:r>
      <w:r w:rsidR="003C284D">
        <w:t xml:space="preserve">authorities </w:t>
      </w:r>
      <w:r w:rsidRPr="002B4F99">
        <w:t>at the central and local level</w:t>
      </w:r>
      <w:r w:rsidR="00DA0B3E">
        <w:t xml:space="preserve">s with the aim of </w:t>
      </w:r>
      <w:r w:rsidRPr="002B4F99">
        <w:t>improv</w:t>
      </w:r>
      <w:r w:rsidR="00DA0B3E">
        <w:t>ing</w:t>
      </w:r>
      <w:r w:rsidRPr="002B4F99">
        <w:t xml:space="preserve"> the legal</w:t>
      </w:r>
      <w:r w:rsidR="00DA0B3E">
        <w:t xml:space="preserve"> and policy</w:t>
      </w:r>
      <w:r w:rsidRPr="002B4F99">
        <w:t xml:space="preserve"> framework</w:t>
      </w:r>
      <w:r w:rsidR="00DA0B3E">
        <w:t xml:space="preserve">s as well their implementation on </w:t>
      </w:r>
      <w:r w:rsidRPr="002B4F99">
        <w:t>protect</w:t>
      </w:r>
      <w:r w:rsidR="00DA0B3E">
        <w:t xml:space="preserve">ion of </w:t>
      </w:r>
      <w:r w:rsidRPr="002B4F99">
        <w:t>women’s rights.</w:t>
      </w:r>
      <w:bookmarkStart w:id="1" w:name="_Toc36849661"/>
    </w:p>
    <w:p w:rsidR="001553BE" w:rsidRPr="001553BE" w:rsidRDefault="001553BE" w:rsidP="001553BE">
      <w:pPr>
        <w:pStyle w:val="ListParagraph"/>
        <w:numPr>
          <w:ilvl w:val="1"/>
          <w:numId w:val="3"/>
        </w:numPr>
        <w:jc w:val="both"/>
        <w:rPr>
          <w:szCs w:val="24"/>
        </w:rPr>
      </w:pPr>
      <w:r w:rsidRPr="002B4F99">
        <w:t xml:space="preserve">In order to assess the actual situation and state of women’s rights, the entire OP activity in each of the areas covered herein for the 2016-2020 period has been thoroughly examined, concluding with findings upon analyzing a) requests and complaints filed with the OP; b) OP </w:t>
      </w:r>
      <w:r w:rsidRPr="002B4F99">
        <w:lastRenderedPageBreak/>
        <w:t xml:space="preserve">legal recommendations to state institutions; c) OP inspection reports; d) OP thematic and annual reports, including its legal opinions  on amending the current laws so that the protection of women's rights becomes more wide-reaching. </w:t>
      </w:r>
    </w:p>
    <w:p w:rsidR="00B17883" w:rsidRPr="00037955" w:rsidRDefault="00B17883" w:rsidP="00B17883">
      <w:pPr>
        <w:spacing w:after="0" w:line="240" w:lineRule="auto"/>
        <w:jc w:val="both"/>
        <w:rPr>
          <w:b/>
          <w:i/>
          <w:szCs w:val="24"/>
        </w:rPr>
      </w:pPr>
    </w:p>
    <w:p w:rsidR="000813D1" w:rsidRPr="000813D1" w:rsidRDefault="00037955" w:rsidP="00037955">
      <w:pPr>
        <w:pStyle w:val="ListParagraph"/>
        <w:numPr>
          <w:ilvl w:val="0"/>
          <w:numId w:val="9"/>
        </w:numPr>
        <w:spacing w:after="0" w:line="240" w:lineRule="auto"/>
        <w:ind w:left="360"/>
        <w:jc w:val="both"/>
        <w:rPr>
          <w:b/>
          <w:szCs w:val="24"/>
        </w:rPr>
      </w:pPr>
      <w:r w:rsidRPr="00037955">
        <w:rPr>
          <w:b/>
          <w:bCs/>
          <w:i/>
        </w:rPr>
        <w:t>ACCESS TO JUSTICE AND STATE LEGAL AID</w:t>
      </w:r>
      <w:bookmarkEnd w:id="1"/>
      <w:r w:rsidRPr="000813D1">
        <w:rPr>
          <w:b/>
          <w:szCs w:val="24"/>
        </w:rPr>
        <w:t xml:space="preserve"> </w:t>
      </w:r>
      <w:bookmarkStart w:id="2" w:name="_Toc36849662"/>
    </w:p>
    <w:p w:rsidR="00037955" w:rsidRDefault="00037955" w:rsidP="00037955">
      <w:pPr>
        <w:spacing w:after="0" w:line="240" w:lineRule="auto"/>
        <w:jc w:val="both"/>
        <w:rPr>
          <w:b/>
          <w:i/>
          <w:szCs w:val="24"/>
        </w:rPr>
      </w:pPr>
    </w:p>
    <w:p w:rsidR="000813D1" w:rsidRDefault="00B17883" w:rsidP="00037955">
      <w:pPr>
        <w:spacing w:after="0" w:line="240" w:lineRule="auto"/>
        <w:jc w:val="both"/>
        <w:rPr>
          <w:b/>
          <w:i/>
          <w:szCs w:val="24"/>
        </w:rPr>
      </w:pPr>
      <w:r w:rsidRPr="000813D1">
        <w:rPr>
          <w:b/>
          <w:i/>
          <w:szCs w:val="24"/>
        </w:rPr>
        <w:t>Concerning issue 1: Guaranteeing women's access to justice by providing free legal aid (Recommendation No.13 a/b, CEDAW Committee, COs 2010-201</w:t>
      </w:r>
      <w:bookmarkEnd w:id="2"/>
      <w:r w:rsidR="000813D1">
        <w:rPr>
          <w:b/>
          <w:i/>
          <w:szCs w:val="24"/>
        </w:rPr>
        <w:t>6</w:t>
      </w:r>
    </w:p>
    <w:p w:rsidR="000813D1" w:rsidRDefault="000813D1" w:rsidP="000813D1">
      <w:pPr>
        <w:spacing w:after="0" w:line="240" w:lineRule="auto"/>
        <w:ind w:left="360"/>
        <w:jc w:val="both"/>
        <w:rPr>
          <w:b/>
          <w:i/>
          <w:szCs w:val="24"/>
        </w:rPr>
      </w:pPr>
    </w:p>
    <w:p w:rsidR="00B17883" w:rsidRPr="002B4F99" w:rsidRDefault="00B17883" w:rsidP="000813D1">
      <w:pPr>
        <w:spacing w:after="0" w:line="240" w:lineRule="auto"/>
        <w:jc w:val="both"/>
        <w:rPr>
          <w:b/>
          <w:i/>
          <w:szCs w:val="24"/>
        </w:rPr>
      </w:pPr>
      <w:r w:rsidRPr="002B4F99">
        <w:rPr>
          <w:szCs w:val="24"/>
        </w:rPr>
        <w:t>1.2 The legal framework on access to justice has been improved. Law No. 111/2017 “On Free Legal Aid Guaranteed by the State”</w:t>
      </w:r>
      <w:r w:rsidR="00054DD9">
        <w:rPr>
          <w:b/>
          <w:i/>
          <w:szCs w:val="24"/>
        </w:rPr>
        <w:t xml:space="preserve">, </w:t>
      </w:r>
      <w:r>
        <w:rPr>
          <w:szCs w:val="24"/>
        </w:rPr>
        <w:t xml:space="preserve">in force since </w:t>
      </w:r>
      <w:r w:rsidRPr="002B4F99">
        <w:rPr>
          <w:szCs w:val="24"/>
        </w:rPr>
        <w:t>June</w:t>
      </w:r>
      <w:r>
        <w:rPr>
          <w:szCs w:val="24"/>
        </w:rPr>
        <w:t xml:space="preserve"> 1</w:t>
      </w:r>
      <w:r w:rsidRPr="00096248">
        <w:rPr>
          <w:szCs w:val="24"/>
          <w:vertAlign w:val="superscript"/>
        </w:rPr>
        <w:t>st</w:t>
      </w:r>
      <w:r>
        <w:rPr>
          <w:szCs w:val="24"/>
        </w:rPr>
        <w:t xml:space="preserve">, </w:t>
      </w:r>
      <w:r w:rsidRPr="002B4F99">
        <w:rPr>
          <w:szCs w:val="24"/>
        </w:rPr>
        <w:t>2018 further expanded the category of vulnerable women eligible to benefit legal aid. All victims of domestic violence, trafficking and sexual abuse benefit free legal aid regardless of their personal income</w:t>
      </w:r>
      <w:r w:rsidRPr="000F56C9">
        <w:rPr>
          <w:szCs w:val="24"/>
        </w:rPr>
        <w:t xml:space="preserve">. </w:t>
      </w:r>
      <w:r w:rsidR="001553BE" w:rsidRPr="000F56C9">
        <w:t xml:space="preserve">The new law foresees a new scheme and a series of new mechanisms for </w:t>
      </w:r>
      <w:r w:rsidR="00E12058">
        <w:t xml:space="preserve">the administration of the </w:t>
      </w:r>
      <w:r w:rsidR="001553BE" w:rsidRPr="000F56C9">
        <w:t>free legal aid service</w:t>
      </w:r>
      <w:r w:rsidR="00E12058">
        <w:t>s</w:t>
      </w:r>
      <w:r w:rsidR="001553BE" w:rsidRPr="000F56C9">
        <w:t>.</w:t>
      </w:r>
      <w:r w:rsidR="001553BE" w:rsidRPr="000F56C9">
        <w:rPr>
          <w:szCs w:val="24"/>
        </w:rPr>
        <w:t xml:space="preserve"> </w:t>
      </w:r>
      <w:r w:rsidRPr="000F56C9">
        <w:rPr>
          <w:szCs w:val="24"/>
        </w:rPr>
        <w:t xml:space="preserve">However, </w:t>
      </w:r>
      <w:r w:rsidR="00E12058">
        <w:rPr>
          <w:szCs w:val="24"/>
        </w:rPr>
        <w:t xml:space="preserve">the </w:t>
      </w:r>
      <w:r w:rsidRPr="000F56C9">
        <w:rPr>
          <w:szCs w:val="24"/>
        </w:rPr>
        <w:t xml:space="preserve">(unjustifiably) delayed approval </w:t>
      </w:r>
      <w:r w:rsidR="00E12058">
        <w:rPr>
          <w:szCs w:val="24"/>
        </w:rPr>
        <w:t xml:space="preserve">of the secondary legislation </w:t>
      </w:r>
      <w:r w:rsidRPr="000F56C9">
        <w:rPr>
          <w:szCs w:val="24"/>
        </w:rPr>
        <w:t xml:space="preserve">and </w:t>
      </w:r>
      <w:r w:rsidR="00E12058">
        <w:rPr>
          <w:szCs w:val="24"/>
        </w:rPr>
        <w:t xml:space="preserve">establishment of the </w:t>
      </w:r>
      <w:r w:rsidRPr="000F56C9">
        <w:rPr>
          <w:szCs w:val="24"/>
        </w:rPr>
        <w:t xml:space="preserve">institutional mechanisms </w:t>
      </w:r>
      <w:r w:rsidRPr="002B4F99">
        <w:rPr>
          <w:szCs w:val="24"/>
        </w:rPr>
        <w:t xml:space="preserve">beyond reasonable deadlines hindered the </w:t>
      </w:r>
      <w:r>
        <w:rPr>
          <w:szCs w:val="24"/>
        </w:rPr>
        <w:t>f</w:t>
      </w:r>
      <w:r w:rsidRPr="002B4F99">
        <w:rPr>
          <w:szCs w:val="24"/>
        </w:rPr>
        <w:t>actual guarantee of legal aid to women, thus jeopardizing the legal aid system efficiency for many</w:t>
      </w:r>
      <w:r>
        <w:rPr>
          <w:szCs w:val="24"/>
        </w:rPr>
        <w:t xml:space="preserve"> of them</w:t>
      </w:r>
      <w:r w:rsidRPr="002B4F99">
        <w:rPr>
          <w:szCs w:val="24"/>
        </w:rPr>
        <w:t>. There is no sufficient allocation of state funds to guarantee legal aid provision. Low awareness-raising</w:t>
      </w:r>
      <w:r w:rsidRPr="000F56C9">
        <w:rPr>
          <w:szCs w:val="24"/>
        </w:rPr>
        <w:t>, lack of legal clinics country-wide, multiple discrimination and unfavorable economic standing contribu</w:t>
      </w:r>
      <w:r w:rsidR="00054DD9" w:rsidRPr="000F56C9">
        <w:rPr>
          <w:szCs w:val="24"/>
        </w:rPr>
        <w:t xml:space="preserve">te to </w:t>
      </w:r>
      <w:r w:rsidR="00E12058" w:rsidRPr="000F56C9">
        <w:rPr>
          <w:szCs w:val="24"/>
        </w:rPr>
        <w:t xml:space="preserve">limited access to justice </w:t>
      </w:r>
      <w:r w:rsidR="00E12058">
        <w:rPr>
          <w:szCs w:val="24"/>
        </w:rPr>
        <w:t xml:space="preserve">for </w:t>
      </w:r>
      <w:r w:rsidR="00054DD9" w:rsidRPr="000F56C9">
        <w:rPr>
          <w:szCs w:val="24"/>
        </w:rPr>
        <w:t xml:space="preserve">Roma and Egyptian, LGBTI </w:t>
      </w:r>
      <w:r w:rsidRPr="000F56C9">
        <w:rPr>
          <w:szCs w:val="24"/>
        </w:rPr>
        <w:t>and elderly women</w:t>
      </w:r>
      <w:r w:rsidR="00E12058">
        <w:rPr>
          <w:szCs w:val="24"/>
        </w:rPr>
        <w:t xml:space="preserve">. </w:t>
      </w:r>
      <w:r w:rsidR="00054DD9" w:rsidRPr="000F56C9">
        <w:t>Legal aid provision is far less accessible by women with disabilities. Inability to physically access courts or other institutions makes it impossible for this category to receive</w:t>
      </w:r>
      <w:r w:rsidR="000813D1" w:rsidRPr="000F56C9">
        <w:t xml:space="preserve"> </w:t>
      </w:r>
      <w:r w:rsidR="00054DD9" w:rsidRPr="000F56C9">
        <w:t xml:space="preserve">such service. </w:t>
      </w:r>
      <w:r w:rsidRPr="000F56C9">
        <w:rPr>
          <w:szCs w:val="24"/>
        </w:rPr>
        <w:t>The Ministry of Justice (</w:t>
      </w:r>
      <w:proofErr w:type="spellStart"/>
      <w:r w:rsidRPr="000F56C9">
        <w:rPr>
          <w:szCs w:val="24"/>
        </w:rPr>
        <w:t>MoJ</w:t>
      </w:r>
      <w:proofErr w:type="spellEnd"/>
      <w:r w:rsidRPr="000F56C9">
        <w:rPr>
          <w:szCs w:val="24"/>
        </w:rPr>
        <w:t>) needs to</w:t>
      </w:r>
      <w:r w:rsidRPr="002B4F99">
        <w:rPr>
          <w:szCs w:val="24"/>
        </w:rPr>
        <w:t xml:space="preserve"> step in the quickest possible and take all the necessary measures so that all vulnerable women get access to justice irrespective of their disability, education, economic standing</w:t>
      </w:r>
      <w:r>
        <w:rPr>
          <w:szCs w:val="24"/>
        </w:rPr>
        <w:t>, ethnic origin</w:t>
      </w:r>
      <w:r w:rsidRPr="002B4F99">
        <w:rPr>
          <w:szCs w:val="24"/>
        </w:rPr>
        <w:t xml:space="preserve"> or social status. </w:t>
      </w:r>
      <w:bookmarkStart w:id="3" w:name="_Toc36849667"/>
    </w:p>
    <w:p w:rsidR="00B17883" w:rsidRPr="002B4F99" w:rsidRDefault="00B17883" w:rsidP="00B17883">
      <w:pPr>
        <w:spacing w:after="0" w:line="240" w:lineRule="auto"/>
        <w:jc w:val="both"/>
        <w:rPr>
          <w:b/>
          <w:i/>
          <w:szCs w:val="24"/>
        </w:rPr>
      </w:pPr>
    </w:p>
    <w:p w:rsidR="00B17883" w:rsidRDefault="00B17883" w:rsidP="00B17883">
      <w:pPr>
        <w:spacing w:after="0" w:line="240" w:lineRule="auto"/>
        <w:jc w:val="both"/>
        <w:rPr>
          <w:b/>
          <w:i/>
          <w:szCs w:val="24"/>
        </w:rPr>
      </w:pPr>
      <w:r w:rsidRPr="002B4F99">
        <w:rPr>
          <w:b/>
          <w:i/>
          <w:szCs w:val="24"/>
        </w:rPr>
        <w:t xml:space="preserve">Concerning issue 2:  </w:t>
      </w:r>
      <w:r w:rsidRPr="002B4F99">
        <w:rPr>
          <w:b/>
          <w:bCs/>
        </w:rPr>
        <w:t>Enforcement of court decisions to ensure women’s rights are guaranteed</w:t>
      </w:r>
      <w:r w:rsidRPr="002B4F99">
        <w:t xml:space="preserve"> (</w:t>
      </w:r>
      <w:bookmarkEnd w:id="3"/>
      <w:r w:rsidRPr="002B4F99">
        <w:rPr>
          <w:b/>
          <w:i/>
          <w:szCs w:val="24"/>
        </w:rPr>
        <w:t>Recommendation No.13 c, CEDAW Committee COs, 2010-2016)</w:t>
      </w:r>
    </w:p>
    <w:p w:rsidR="00037955" w:rsidRPr="002B4F99" w:rsidRDefault="00037955" w:rsidP="00B17883">
      <w:pPr>
        <w:spacing w:after="0" w:line="240" w:lineRule="auto"/>
        <w:jc w:val="both"/>
        <w:rPr>
          <w:b/>
          <w:i/>
          <w:szCs w:val="24"/>
        </w:rPr>
      </w:pPr>
    </w:p>
    <w:p w:rsidR="00B17883" w:rsidRPr="002B4F99" w:rsidRDefault="00B17883" w:rsidP="00B17883">
      <w:pPr>
        <w:pStyle w:val="ListParagraph"/>
        <w:numPr>
          <w:ilvl w:val="0"/>
          <w:numId w:val="2"/>
        </w:numPr>
        <w:spacing w:after="0" w:line="240" w:lineRule="auto"/>
        <w:jc w:val="both"/>
        <w:rPr>
          <w:vanish/>
          <w:szCs w:val="24"/>
        </w:rPr>
      </w:pPr>
    </w:p>
    <w:p w:rsidR="00B17883" w:rsidRPr="002B4F99" w:rsidRDefault="00B17883" w:rsidP="00B17883">
      <w:pPr>
        <w:spacing w:after="0" w:line="240" w:lineRule="auto"/>
        <w:jc w:val="both"/>
        <w:rPr>
          <w:szCs w:val="24"/>
        </w:rPr>
      </w:pPr>
      <w:r w:rsidRPr="002B4F99">
        <w:t xml:space="preserve">1.2 Legal amendments </w:t>
      </w:r>
      <w:r w:rsidR="00E12058">
        <w:t>related to</w:t>
      </w:r>
      <w:r w:rsidRPr="002B4F99">
        <w:t xml:space="preserve"> the private bailiff service and </w:t>
      </w:r>
      <w:r w:rsidR="00E12058">
        <w:t xml:space="preserve">to the </w:t>
      </w:r>
      <w:r w:rsidRPr="002B4F99">
        <w:t>Law No. 9669</w:t>
      </w:r>
      <w:r w:rsidR="00E12058">
        <w:t>/</w:t>
      </w:r>
      <w:r w:rsidRPr="002B4F99">
        <w:t xml:space="preserve">2006 “On Measures against Violence in Family Relations”, despite their positive effects, failed to bring about a meaningful change when it comes to guaranteeing </w:t>
      </w:r>
      <w:r w:rsidR="00E12058">
        <w:t xml:space="preserve">women’s </w:t>
      </w:r>
      <w:r w:rsidRPr="002B4F99">
        <w:t xml:space="preserve">rights through court decisions enforcement. </w:t>
      </w:r>
      <w:r w:rsidR="00E12058">
        <w:t>T</w:t>
      </w:r>
      <w:r w:rsidRPr="002B4F99">
        <w:t xml:space="preserve">he non-execution of court decisions on alimony from former spouses, child arrangement or property division </w:t>
      </w:r>
      <w:r w:rsidR="00E12058">
        <w:t>remains</w:t>
      </w:r>
      <w:r w:rsidRPr="002B4F99">
        <w:t xml:space="preserve"> a distressing issue. The non-execution of court decisions granting </w:t>
      </w:r>
      <w:r>
        <w:t>Protection Orders (</w:t>
      </w:r>
      <w:r w:rsidRPr="002B4F99">
        <w:t>Pos</w:t>
      </w:r>
      <w:r>
        <w:t>)</w:t>
      </w:r>
      <w:r w:rsidRPr="002B4F99">
        <w:t xml:space="preserve"> and </w:t>
      </w:r>
      <w:r>
        <w:t>Emergency Protection Orders (</w:t>
      </w:r>
      <w:r w:rsidRPr="002B4F99">
        <w:t>EPOs</w:t>
      </w:r>
      <w:r>
        <w:t>)</w:t>
      </w:r>
      <w:r w:rsidRPr="002B4F99">
        <w:t xml:space="preserve"> further jeopardizes the lives of women victims of gender-based violence, thus giving room to domestic violence to relapse. </w:t>
      </w:r>
      <w:r w:rsidR="00E12058">
        <w:t>The r</w:t>
      </w:r>
      <w:r w:rsidRPr="002B4F99">
        <w:t xml:space="preserve">esponsible bodies, including bailiff service, need to intensify their responses so that court decisions guaranteeing women’s rights are fully and timely executed. The legal framework in force gives priority to bailiffs’ specialized training and capacity enhancement, as well as to the professional handling of requests filed by women. The </w:t>
      </w:r>
      <w:proofErr w:type="spellStart"/>
      <w:r w:rsidRPr="002B4F99">
        <w:t>MoJ</w:t>
      </w:r>
      <w:proofErr w:type="spellEnd"/>
      <w:r w:rsidRPr="002B4F99">
        <w:t xml:space="preserve"> needs to pay due attention to the ongoing monitoring of legal final court decisions granting EPOs/POs being enforced within defined time frames and to take measures so that sanctions apply to entities and/or bailiffs omitting to enforce/hindering the timely enforcement of court decisions. </w:t>
      </w:r>
      <w:bookmarkStart w:id="4" w:name="_Toc36849672"/>
    </w:p>
    <w:p w:rsidR="00B17883" w:rsidRPr="002B4F99" w:rsidRDefault="00B17883" w:rsidP="00B17883">
      <w:pPr>
        <w:pStyle w:val="Heading2"/>
        <w:spacing w:before="0" w:line="240" w:lineRule="auto"/>
        <w:jc w:val="both"/>
        <w:rPr>
          <w:color w:val="auto"/>
          <w:szCs w:val="24"/>
        </w:rPr>
      </w:pPr>
    </w:p>
    <w:p w:rsidR="00B17883" w:rsidRPr="002B4F99" w:rsidRDefault="00B17883" w:rsidP="00B17883">
      <w:pPr>
        <w:pStyle w:val="Heading2"/>
        <w:spacing w:before="0" w:line="240" w:lineRule="auto"/>
        <w:jc w:val="both"/>
        <w:rPr>
          <w:color w:val="auto"/>
          <w:szCs w:val="24"/>
        </w:rPr>
      </w:pPr>
      <w:r w:rsidRPr="002B4F99">
        <w:rPr>
          <w:color w:val="auto"/>
          <w:szCs w:val="24"/>
        </w:rPr>
        <w:t xml:space="preserve">Concerning issue 3: </w:t>
      </w:r>
      <w:r w:rsidRPr="002B4F99">
        <w:t>Displacing the burden of proof in gender-based discrimination cases</w:t>
      </w:r>
      <w:bookmarkStart w:id="5" w:name="_Toc36849673"/>
      <w:bookmarkEnd w:id="4"/>
      <w:r w:rsidRPr="002B4F99">
        <w:rPr>
          <w:color w:val="auto"/>
          <w:szCs w:val="24"/>
        </w:rPr>
        <w:t xml:space="preserve"> (Recommendation No. 13/d, CEDAW Committee COs, 2010-2016</w:t>
      </w:r>
      <w:bookmarkEnd w:id="5"/>
      <w:r w:rsidRPr="002B4F99">
        <w:rPr>
          <w:color w:val="auto"/>
          <w:szCs w:val="24"/>
        </w:rPr>
        <w:t>)</w:t>
      </w:r>
    </w:p>
    <w:p w:rsidR="00B17883" w:rsidRPr="002B4F99" w:rsidRDefault="00B17883" w:rsidP="00B17883">
      <w:pPr>
        <w:pStyle w:val="Heading2"/>
        <w:spacing w:before="0" w:line="240" w:lineRule="auto"/>
        <w:jc w:val="both"/>
        <w:rPr>
          <w:b w:val="0"/>
          <w:i w:val="0"/>
          <w:color w:val="auto"/>
          <w:szCs w:val="24"/>
        </w:rPr>
      </w:pPr>
    </w:p>
    <w:p w:rsidR="00B17883" w:rsidRPr="002B4F99" w:rsidRDefault="00B17883" w:rsidP="00B17883">
      <w:pPr>
        <w:pStyle w:val="Heading2"/>
        <w:spacing w:before="0" w:line="240" w:lineRule="auto"/>
        <w:jc w:val="both"/>
        <w:rPr>
          <w:b w:val="0"/>
          <w:i w:val="0"/>
          <w:color w:val="auto"/>
          <w:szCs w:val="24"/>
        </w:rPr>
      </w:pPr>
      <w:r w:rsidRPr="002B4F99">
        <w:rPr>
          <w:b w:val="0"/>
          <w:i w:val="0"/>
          <w:color w:val="auto"/>
          <w:szCs w:val="24"/>
        </w:rPr>
        <w:t xml:space="preserve">1.3 The OP views the Albanian State initiative to provide for a reversed burden of proof by amending the provisions under the Labor Code and Administrative Procedure Code in a positive light. However, the principle of reversed burden of proof has not been </w:t>
      </w:r>
      <w:r>
        <w:rPr>
          <w:b w:val="0"/>
          <w:i w:val="0"/>
          <w:color w:val="auto"/>
          <w:szCs w:val="24"/>
        </w:rPr>
        <w:t xml:space="preserve">reflected </w:t>
      </w:r>
      <w:r w:rsidRPr="002B4F99">
        <w:rPr>
          <w:b w:val="0"/>
          <w:i w:val="0"/>
          <w:color w:val="auto"/>
          <w:szCs w:val="24"/>
        </w:rPr>
        <w:t>in the Civil Procedure Code</w:t>
      </w:r>
      <w:r>
        <w:rPr>
          <w:b w:val="0"/>
          <w:i w:val="0"/>
          <w:color w:val="auto"/>
          <w:szCs w:val="24"/>
        </w:rPr>
        <w:t xml:space="preserve"> (</w:t>
      </w:r>
      <w:proofErr w:type="spellStart"/>
      <w:r>
        <w:rPr>
          <w:b w:val="0"/>
          <w:i w:val="0"/>
          <w:color w:val="auto"/>
          <w:szCs w:val="24"/>
        </w:rPr>
        <w:t>CrC</w:t>
      </w:r>
      <w:proofErr w:type="spellEnd"/>
      <w:r>
        <w:rPr>
          <w:b w:val="0"/>
          <w:i w:val="0"/>
          <w:color w:val="auto"/>
          <w:szCs w:val="24"/>
        </w:rPr>
        <w:t>).</w:t>
      </w:r>
      <w:r w:rsidRPr="002B4F99">
        <w:rPr>
          <w:b w:val="0"/>
          <w:i w:val="0"/>
          <w:color w:val="auto"/>
          <w:szCs w:val="24"/>
        </w:rPr>
        <w:t xml:space="preserve"> Judges do not opt all the times for a reversed burden of proof. This amendment to the </w:t>
      </w:r>
      <w:proofErr w:type="spellStart"/>
      <w:r w:rsidRPr="002B4F99">
        <w:rPr>
          <w:b w:val="0"/>
          <w:i w:val="0"/>
          <w:color w:val="auto"/>
          <w:szCs w:val="24"/>
        </w:rPr>
        <w:t>CrC</w:t>
      </w:r>
      <w:proofErr w:type="spellEnd"/>
      <w:r w:rsidRPr="002B4F99">
        <w:rPr>
          <w:b w:val="0"/>
          <w:i w:val="0"/>
          <w:color w:val="auto"/>
          <w:szCs w:val="24"/>
        </w:rPr>
        <w:t xml:space="preserve"> needs to be addressed and measures should be adopted to enhance court capacities in order for them to correctly implement legal provisions.</w:t>
      </w:r>
    </w:p>
    <w:p w:rsidR="00B17883" w:rsidRPr="002B4F99" w:rsidRDefault="00B17883" w:rsidP="00B17883">
      <w:pPr>
        <w:spacing w:after="0" w:line="240" w:lineRule="auto"/>
        <w:jc w:val="both"/>
        <w:rPr>
          <w:szCs w:val="24"/>
        </w:rPr>
      </w:pPr>
    </w:p>
    <w:p w:rsidR="00B17883" w:rsidRPr="002B4F99" w:rsidRDefault="00B17883" w:rsidP="00B17883">
      <w:pPr>
        <w:pStyle w:val="Heading2"/>
        <w:spacing w:before="0" w:line="240" w:lineRule="auto"/>
        <w:jc w:val="both"/>
        <w:rPr>
          <w:color w:val="auto"/>
          <w:szCs w:val="24"/>
        </w:rPr>
      </w:pPr>
      <w:r w:rsidRPr="002B4F99">
        <w:rPr>
          <w:color w:val="auto"/>
          <w:szCs w:val="24"/>
        </w:rPr>
        <w:t>B. NATIONAL MACHINERY FOR THE ADVANCEMENT OF WOME</w:t>
      </w:r>
      <w:r w:rsidR="00E12058">
        <w:rPr>
          <w:color w:val="auto"/>
          <w:szCs w:val="24"/>
        </w:rPr>
        <w:t xml:space="preserve">’s RIGHTS </w:t>
      </w:r>
    </w:p>
    <w:p w:rsidR="00B17883" w:rsidRPr="002B4F99" w:rsidRDefault="00B17883" w:rsidP="00B17883">
      <w:pPr>
        <w:pStyle w:val="Heading2"/>
        <w:spacing w:before="0" w:line="240" w:lineRule="auto"/>
        <w:jc w:val="both"/>
        <w:rPr>
          <w:color w:val="auto"/>
          <w:szCs w:val="24"/>
        </w:rPr>
      </w:pPr>
      <w:r w:rsidRPr="002B4F99">
        <w:rPr>
          <w:color w:val="auto"/>
          <w:szCs w:val="24"/>
        </w:rPr>
        <w:t>General Recommendation No.6 (1988), CEDAW Committee/ Recommendation No.15a</w:t>
      </w:r>
      <w:bookmarkStart w:id="6" w:name="_Toc36849679"/>
      <w:r w:rsidRPr="002B4F99">
        <w:rPr>
          <w:color w:val="auto"/>
          <w:szCs w:val="24"/>
        </w:rPr>
        <w:t xml:space="preserve"> </w:t>
      </w:r>
    </w:p>
    <w:p w:rsidR="00B17883" w:rsidRPr="002B4F99" w:rsidRDefault="00B17883" w:rsidP="00B17883">
      <w:pPr>
        <w:spacing w:after="0" w:line="240" w:lineRule="auto"/>
        <w:jc w:val="both"/>
        <w:rPr>
          <w:szCs w:val="24"/>
        </w:rPr>
      </w:pPr>
    </w:p>
    <w:p w:rsidR="00B17883" w:rsidRPr="002B4F99" w:rsidRDefault="00B17883" w:rsidP="00B17883">
      <w:pPr>
        <w:pStyle w:val="Heading2"/>
        <w:spacing w:before="0" w:line="240" w:lineRule="auto"/>
        <w:jc w:val="both"/>
        <w:rPr>
          <w:color w:val="auto"/>
          <w:szCs w:val="24"/>
        </w:rPr>
      </w:pPr>
      <w:r w:rsidRPr="002B4F99">
        <w:rPr>
          <w:color w:val="auto"/>
          <w:szCs w:val="24"/>
        </w:rPr>
        <w:t xml:space="preserve">Concerning issue 1: </w:t>
      </w:r>
      <w:r w:rsidRPr="002B4F99">
        <w:t xml:space="preserve">Strengthening the machinery for gender equality with the adequate human and financial resources at the central and local level </w:t>
      </w:r>
      <w:bookmarkEnd w:id="6"/>
    </w:p>
    <w:p w:rsidR="00B17883" w:rsidRPr="002B4F99" w:rsidRDefault="00B17883" w:rsidP="00B17883">
      <w:pPr>
        <w:spacing w:after="0" w:line="240" w:lineRule="auto"/>
        <w:jc w:val="both"/>
        <w:rPr>
          <w:szCs w:val="24"/>
        </w:rPr>
      </w:pPr>
    </w:p>
    <w:p w:rsidR="00B17883" w:rsidRPr="002B4F99" w:rsidRDefault="00B17883" w:rsidP="00B17883">
      <w:pPr>
        <w:spacing w:after="0" w:line="240" w:lineRule="auto"/>
        <w:jc w:val="both"/>
        <w:rPr>
          <w:szCs w:val="24"/>
        </w:rPr>
      </w:pPr>
      <w:r w:rsidRPr="002B4F99">
        <w:t>1.4 Gender equality mechanism needs to be fundamentally strengthened. The Ministry of Health and Social Protection restructuring</w:t>
      </w:r>
      <w:r w:rsidR="007D1D41">
        <w:t xml:space="preserve"> in 2017 </w:t>
      </w:r>
      <w:r w:rsidRPr="002B4F99">
        <w:t xml:space="preserve">was shortly followed by </w:t>
      </w:r>
      <w:r>
        <w:t xml:space="preserve">the </w:t>
      </w:r>
      <w:r w:rsidRPr="002B4F99">
        <w:t xml:space="preserve">GE mechanisms reduction, in plain opposition to </w:t>
      </w:r>
      <w:r w:rsidR="007D1D41">
        <w:t xml:space="preserve">the </w:t>
      </w:r>
      <w:r w:rsidRPr="002B4F99">
        <w:t xml:space="preserve">Albanian State strategic objectives. Dedicated gender equality officers </w:t>
      </w:r>
      <w:r>
        <w:t xml:space="preserve">(GEO) </w:t>
      </w:r>
      <w:r w:rsidRPr="002B4F99">
        <w:t>are lacking in all ministries and municipalities of the country.</w:t>
      </w:r>
      <w:r w:rsidR="007E59A0" w:rsidRPr="007E59A0">
        <w:t xml:space="preserve"> </w:t>
      </w:r>
      <w:r w:rsidR="007E59A0" w:rsidRPr="002B4F99">
        <w:t xml:space="preserve">Lack of human recourses is </w:t>
      </w:r>
      <w:r w:rsidR="007D1D41">
        <w:t>coupled with</w:t>
      </w:r>
      <w:r w:rsidR="007D1D41" w:rsidRPr="002B4F99">
        <w:t xml:space="preserve"> </w:t>
      </w:r>
      <w:r w:rsidR="007E59A0" w:rsidRPr="002B4F99">
        <w:t xml:space="preserve">the lack of sufficient financial resources, contributing to the efficient operation of </w:t>
      </w:r>
      <w:r w:rsidR="007D1D41">
        <w:t xml:space="preserve">the </w:t>
      </w:r>
      <w:r w:rsidR="007E59A0" w:rsidRPr="002B4F99">
        <w:t>GE</w:t>
      </w:r>
      <w:r w:rsidR="007D1D41">
        <w:t xml:space="preserve"> machinery</w:t>
      </w:r>
      <w:r w:rsidR="007E59A0">
        <w:t>.</w:t>
      </w:r>
      <w:r w:rsidRPr="002B4F99">
        <w:t xml:space="preserve"> At the local level, there is no clear-cut division of powers among GEOs, social workers and domestic violence coordinators. There is a need to add up budget allocations for gender equality programs and to earmark a budget share for GEOs capacity enhancement and continuous training.  </w:t>
      </w:r>
    </w:p>
    <w:p w:rsidR="00B17883" w:rsidRPr="002B4F99" w:rsidRDefault="00B17883" w:rsidP="00B17883">
      <w:pPr>
        <w:spacing w:after="0" w:line="240" w:lineRule="auto"/>
        <w:jc w:val="both"/>
        <w:rPr>
          <w:b/>
          <w:szCs w:val="24"/>
        </w:rPr>
      </w:pPr>
    </w:p>
    <w:p w:rsidR="00B17883" w:rsidRPr="002B4F99" w:rsidRDefault="00B17883" w:rsidP="00B17883">
      <w:pPr>
        <w:spacing w:after="0" w:line="240" w:lineRule="auto"/>
        <w:jc w:val="both"/>
        <w:rPr>
          <w:b/>
          <w:vanish/>
          <w:szCs w:val="24"/>
        </w:rPr>
      </w:pPr>
      <w:bookmarkStart w:id="7" w:name="_Toc36849684"/>
    </w:p>
    <w:p w:rsidR="00B17883" w:rsidRPr="002B4F99" w:rsidRDefault="00B17883" w:rsidP="00B17883">
      <w:pPr>
        <w:pStyle w:val="Heading2"/>
        <w:spacing w:before="0" w:line="240" w:lineRule="auto"/>
        <w:jc w:val="both"/>
        <w:rPr>
          <w:color w:val="auto"/>
          <w:szCs w:val="24"/>
        </w:rPr>
      </w:pPr>
      <w:r w:rsidRPr="002B4F99">
        <w:rPr>
          <w:color w:val="auto"/>
          <w:szCs w:val="24"/>
        </w:rPr>
        <w:t>Concerning issue 2: Including gender responsive budgeting</w:t>
      </w:r>
      <w:r w:rsidR="007D1D41">
        <w:rPr>
          <w:color w:val="auto"/>
          <w:szCs w:val="24"/>
        </w:rPr>
        <w:t xml:space="preserve"> (GRB)</w:t>
      </w:r>
      <w:r w:rsidRPr="002B4F99">
        <w:rPr>
          <w:color w:val="auto"/>
          <w:szCs w:val="24"/>
        </w:rPr>
        <w:t xml:space="preserve"> in medium-term budgetary frameworks</w:t>
      </w:r>
      <w:bookmarkEnd w:id="7"/>
      <w:r w:rsidRPr="002B4F99">
        <w:rPr>
          <w:color w:val="auto"/>
          <w:szCs w:val="24"/>
        </w:rPr>
        <w:t xml:space="preserve"> (Recommendation No.15/c, CEDAW Committee, COs 2010-2016)</w:t>
      </w:r>
    </w:p>
    <w:p w:rsidR="00B17883" w:rsidRPr="002B4F99" w:rsidRDefault="00B17883" w:rsidP="00B17883">
      <w:pPr>
        <w:spacing w:after="0" w:line="240" w:lineRule="auto"/>
        <w:jc w:val="both"/>
        <w:rPr>
          <w:szCs w:val="24"/>
        </w:rPr>
      </w:pPr>
    </w:p>
    <w:p w:rsidR="00B17883" w:rsidRPr="002B4F99" w:rsidRDefault="00B17883" w:rsidP="00B17883">
      <w:pPr>
        <w:spacing w:after="0" w:line="240" w:lineRule="auto"/>
        <w:jc w:val="both"/>
        <w:rPr>
          <w:b/>
          <w:szCs w:val="24"/>
        </w:rPr>
      </w:pPr>
      <w:r w:rsidRPr="002B4F99">
        <w:t xml:space="preserve">1.5 </w:t>
      </w:r>
      <w:r>
        <w:t xml:space="preserve">During </w:t>
      </w:r>
      <w:r w:rsidRPr="002B4F99">
        <w:t>2016-2018</w:t>
      </w:r>
      <w:r w:rsidR="007D1D41">
        <w:t>,</w:t>
      </w:r>
      <w:r w:rsidRPr="002B4F99">
        <w:t xml:space="preserve"> the Albanian Government pa</w:t>
      </w:r>
      <w:r w:rsidR="00BC02EA">
        <w:t>yed</w:t>
      </w:r>
      <w:r w:rsidRPr="002B4F99">
        <w:t xml:space="preserve"> increased attention to GRB integration into strategic documents and legal and sub-legal framework</w:t>
      </w:r>
      <w:r>
        <w:t>s</w:t>
      </w:r>
      <w:r w:rsidRPr="002B4F99">
        <w:t>. This added up the number of GRB-inclusive budgetary frameworks and led to more budget expenses being planned for the former's realization. However, the budget line for addressing gender inequality and fight against gender-based violence is nearly insignificant if compared to the overall annual institutional budget. No measurements to the impact of budget frameworks targeting gender equality, women/men situation improvement and poverty reduction for both genders are being made.</w:t>
      </w:r>
      <w:r w:rsidR="00BC02EA" w:rsidRPr="00BC02EA">
        <w:t xml:space="preserve"> </w:t>
      </w:r>
      <w:r w:rsidR="00BC02EA" w:rsidRPr="002B4F99">
        <w:t>At the local level, municipalities are unable to produce appropriate midterm budget framework documents, which negatively impacts GRB program reflection in all Local Government Units</w:t>
      </w:r>
      <w:r w:rsidR="00BC02EA">
        <w:t xml:space="preserve">. </w:t>
      </w:r>
      <w:r w:rsidRPr="002B4F99">
        <w:t>No monitoring reports have been produced on GRB realization at the central and local level.</w:t>
      </w:r>
      <w:r w:rsidRPr="002B4F99">
        <w:rPr>
          <w:b/>
          <w:szCs w:val="24"/>
        </w:rPr>
        <w:t xml:space="preserve"> </w:t>
      </w:r>
      <w:r w:rsidRPr="002B4F99">
        <w:t xml:space="preserve">Institutions need to collect gender disaggregated data on any output they budget so as to ensure public funds are fairly and effectively used and detailed analyses of gender/political/financial/legal/institutional gaps hindering implementation are conducted. </w:t>
      </w:r>
      <w:r w:rsidR="00BC02EA" w:rsidRPr="002B4F99">
        <w:t>There are no data of gender analysis results before the MTBF development.</w:t>
      </w:r>
      <w:r w:rsidR="00BC02EA">
        <w:t xml:space="preserve"> </w:t>
      </w:r>
      <w:r w:rsidRPr="002B4F99">
        <w:t xml:space="preserve">A gender analysis needs to be conducted by any budgetary institution as a preliminary stage to GRB drafting in order to identify the real needs, priorities, restrictions and issues concerning both men and women. </w:t>
      </w:r>
      <w:bookmarkStart w:id="8" w:name="_Toc36849689"/>
      <w:r w:rsidR="00BC02EA">
        <w:t xml:space="preserve">There is a need </w:t>
      </w:r>
      <w:r w:rsidR="007D1D41">
        <w:t xml:space="preserve">for </w:t>
      </w:r>
      <w:r w:rsidR="00BC02EA" w:rsidRPr="002B4F99">
        <w:t xml:space="preserve">institutions </w:t>
      </w:r>
      <w:r w:rsidR="007D1D41">
        <w:t>to</w:t>
      </w:r>
      <w:r w:rsidR="007D1D41" w:rsidRPr="002B4F99">
        <w:t xml:space="preserve"> </w:t>
      </w:r>
      <w:r w:rsidR="00BC02EA" w:rsidRPr="002B4F99">
        <w:t xml:space="preserve">record gender </w:t>
      </w:r>
      <w:r w:rsidR="00BC02EA" w:rsidRPr="002B4F99">
        <w:lastRenderedPageBreak/>
        <w:t>disaggregated data for any output budgeted, so that public funds are appropriately and effectively used and to allow for detailed gender gap/policy/financial/legal and institutional analysis hampering implementation</w:t>
      </w:r>
    </w:p>
    <w:p w:rsidR="00B17883" w:rsidRPr="002B4F99" w:rsidRDefault="00B17883" w:rsidP="00B17883">
      <w:pPr>
        <w:spacing w:after="0" w:line="240" w:lineRule="auto"/>
        <w:jc w:val="both"/>
        <w:rPr>
          <w:szCs w:val="24"/>
        </w:rPr>
      </w:pPr>
    </w:p>
    <w:p w:rsidR="00B17883" w:rsidRPr="002B4F99" w:rsidRDefault="00B17883" w:rsidP="00B17883">
      <w:pPr>
        <w:spacing w:after="0" w:line="240" w:lineRule="auto"/>
        <w:jc w:val="both"/>
        <w:rPr>
          <w:b/>
          <w:szCs w:val="24"/>
        </w:rPr>
      </w:pPr>
      <w:r w:rsidRPr="002B4F99">
        <w:rPr>
          <w:b/>
          <w:szCs w:val="24"/>
        </w:rPr>
        <w:t>C. GENDER-BASED VIOLENCE AGAINST WOMEN</w:t>
      </w:r>
      <w:bookmarkEnd w:id="8"/>
    </w:p>
    <w:p w:rsidR="00B17883" w:rsidRPr="002B4F99" w:rsidRDefault="00B17883" w:rsidP="00B17883">
      <w:pPr>
        <w:spacing w:after="0" w:line="240" w:lineRule="auto"/>
        <w:jc w:val="both"/>
        <w:rPr>
          <w:b/>
          <w:i/>
          <w:szCs w:val="24"/>
        </w:rPr>
      </w:pPr>
      <w:r w:rsidRPr="002B4F99">
        <w:rPr>
          <w:b/>
          <w:i/>
          <w:szCs w:val="24"/>
        </w:rPr>
        <w:t>Article 2 under CEDAW Convention; CEDAW Committee General Recommendation No. 35 on gender-based violence; Recommendation No. 23a, CEDAW Committee, COs 2010-2016.</w:t>
      </w:r>
    </w:p>
    <w:p w:rsidR="00B17883" w:rsidRPr="002B4F99" w:rsidRDefault="00B17883" w:rsidP="00B17883">
      <w:pPr>
        <w:spacing w:after="0" w:line="240" w:lineRule="auto"/>
        <w:jc w:val="both"/>
        <w:rPr>
          <w:b/>
          <w:i/>
          <w:szCs w:val="24"/>
        </w:rPr>
      </w:pPr>
      <w:bookmarkStart w:id="9" w:name="_Toc36849690"/>
    </w:p>
    <w:p w:rsidR="00B17883" w:rsidRPr="002B4F99" w:rsidRDefault="00B17883" w:rsidP="00B17883">
      <w:pPr>
        <w:pStyle w:val="Heading2"/>
        <w:spacing w:before="0" w:line="240" w:lineRule="auto"/>
        <w:jc w:val="both"/>
        <w:rPr>
          <w:color w:val="auto"/>
          <w:szCs w:val="24"/>
        </w:rPr>
      </w:pPr>
      <w:r w:rsidRPr="002B4F99">
        <w:rPr>
          <w:color w:val="auto"/>
          <w:szCs w:val="24"/>
        </w:rPr>
        <w:t>Concerning issue 1: Improving the level of reporting on gender-based violence by providing free legal aid to women and making 24-hour helplines fully operational</w:t>
      </w:r>
      <w:bookmarkEnd w:id="9"/>
    </w:p>
    <w:p w:rsidR="00B17883" w:rsidRPr="002B4F99" w:rsidRDefault="00B17883" w:rsidP="00B17883">
      <w:pPr>
        <w:spacing w:after="0" w:line="240" w:lineRule="auto"/>
        <w:jc w:val="both"/>
        <w:rPr>
          <w:szCs w:val="24"/>
        </w:rPr>
      </w:pPr>
    </w:p>
    <w:p w:rsidR="00B17883" w:rsidRPr="00205D45" w:rsidRDefault="00B17883" w:rsidP="00205D45">
      <w:pPr>
        <w:jc w:val="both"/>
        <w:rPr>
          <w:szCs w:val="24"/>
        </w:rPr>
      </w:pPr>
      <w:r w:rsidRPr="002B4F99">
        <w:t xml:space="preserve">1.6 The 2016-2020 period featured major </w:t>
      </w:r>
      <w:r w:rsidR="007D1D41">
        <w:t xml:space="preserve">amendments </w:t>
      </w:r>
      <w:r w:rsidRPr="002B4F99">
        <w:t>to legal frameworks on fighting and prev</w:t>
      </w:r>
      <w:r w:rsidR="00205D45">
        <w:t xml:space="preserve">enting gender-based violence.  </w:t>
      </w:r>
      <w:r w:rsidRPr="002B4F99">
        <w:t xml:space="preserve">The OP fully supports a National Domestic Abuse Helpline for women and girls victims of violence and calls for such helplines to be established at the local level. However, </w:t>
      </w:r>
      <w:r w:rsidR="00205D45">
        <w:t>t</w:t>
      </w:r>
      <w:r w:rsidR="00205D45" w:rsidRPr="002B4F99">
        <w:t xml:space="preserve">he state budget funds allocated to </w:t>
      </w:r>
      <w:r w:rsidRPr="002B4F99">
        <w:t xml:space="preserve">these helplines are </w:t>
      </w:r>
      <w:r w:rsidR="00205D45" w:rsidRPr="002B4F99">
        <w:t>very low, further impacting their full time and full capacity operation</w:t>
      </w:r>
      <w:r w:rsidR="00205D45" w:rsidRPr="00205D45">
        <w:t xml:space="preserve"> </w:t>
      </w:r>
      <w:r w:rsidR="007D1D41">
        <w:t>around</w:t>
      </w:r>
      <w:r w:rsidR="00205D45" w:rsidRPr="002B4F99">
        <w:t xml:space="preserve"> the country.</w:t>
      </w:r>
      <w:r w:rsidR="00205D45">
        <w:t xml:space="preserve"> </w:t>
      </w:r>
      <w:r w:rsidRPr="002B4F99">
        <w:t>Vulnerable and disadvantaged groups</w:t>
      </w:r>
      <w:r w:rsidR="007D1D41">
        <w:t>,</w:t>
      </w:r>
      <w:r w:rsidRPr="002B4F99">
        <w:t xml:space="preserve"> in particular</w:t>
      </w:r>
      <w:r w:rsidR="007D1D41">
        <w:t>,</w:t>
      </w:r>
      <w:r w:rsidRPr="002B4F99">
        <w:t xml:space="preserve"> are almost completely uninformed on these helplines’ activity. The level of reporting on gender-based violence, especially on sexual harassment and sexual violence is considerably low. </w:t>
      </w:r>
      <w:r w:rsidR="00205D45">
        <w:t xml:space="preserve">In </w:t>
      </w:r>
      <w:r w:rsidR="00205D45" w:rsidRPr="002B4F99">
        <w:t xml:space="preserve">remote or rural area </w:t>
      </w:r>
      <w:r w:rsidR="00205D45">
        <w:t xml:space="preserve">the reporting level </w:t>
      </w:r>
      <w:r w:rsidR="00205D45" w:rsidRPr="002B4F99">
        <w:t>is much lower, because of the mentality and cultural development in these areas, the l</w:t>
      </w:r>
      <w:r w:rsidR="00205D45">
        <w:t>ack of information on services women</w:t>
      </w:r>
      <w:r w:rsidR="00205D45" w:rsidRPr="002B4F99">
        <w:t xml:space="preserve"> can seek, the lack of free legal aid services, or the lack of referral mechanisms for violence in these areas</w:t>
      </w:r>
      <w:r w:rsidR="00205D45">
        <w:t xml:space="preserve">. </w:t>
      </w:r>
      <w:r w:rsidRPr="002B4F99">
        <w:t>There are no gender disaggregated data on all forms of gender-based violence being periodically collected. The OP highlights that adequate amounts of financial funds need to be allocated in order for gender-based and domestic violence to be properly addressed. Employees charged with providing over-the-phone counseling to GBV victims should be trained. Free legal aid clinics should be established at every municipality and should be rendered easily acces</w:t>
      </w:r>
      <w:bookmarkStart w:id="10" w:name="_Toc36849695"/>
      <w:r w:rsidR="00205D45">
        <w:t xml:space="preserve">sible by all vulnerable women. </w:t>
      </w:r>
      <w:r w:rsidR="00205D45" w:rsidRPr="00205D45">
        <w:rPr>
          <w:color w:val="222222"/>
          <w:szCs w:val="24"/>
        </w:rPr>
        <w:t>Institutional gender equality mechanisms should implement the law regarding measures for domestic relations violence, including the disability perspective, while also considering the special risks and greater barriers faced by women with disabilities that are victims of violence.</w:t>
      </w:r>
    </w:p>
    <w:p w:rsidR="00B17883" w:rsidRPr="002B4F99" w:rsidRDefault="00B17883" w:rsidP="00B17883">
      <w:pPr>
        <w:pStyle w:val="Heading2"/>
        <w:spacing w:before="0" w:line="240" w:lineRule="auto"/>
        <w:jc w:val="both"/>
        <w:rPr>
          <w:color w:val="auto"/>
          <w:szCs w:val="24"/>
        </w:rPr>
      </w:pPr>
    </w:p>
    <w:p w:rsidR="00B17883" w:rsidRPr="002B4F99" w:rsidRDefault="00B17883" w:rsidP="00B17883">
      <w:pPr>
        <w:pStyle w:val="Heading2"/>
        <w:spacing w:before="0" w:line="240" w:lineRule="auto"/>
        <w:jc w:val="both"/>
        <w:rPr>
          <w:color w:val="auto"/>
          <w:szCs w:val="24"/>
        </w:rPr>
      </w:pPr>
      <w:r w:rsidRPr="002B4F99">
        <w:rPr>
          <w:color w:val="auto"/>
          <w:szCs w:val="24"/>
        </w:rPr>
        <w:t>Concerning issue 2: Strengthening the GBV coordination mechanism</w:t>
      </w:r>
      <w:bookmarkEnd w:id="10"/>
      <w:r w:rsidRPr="002B4F99">
        <w:rPr>
          <w:color w:val="auto"/>
          <w:szCs w:val="24"/>
        </w:rPr>
        <w:t xml:space="preserve"> (Recommendation No. 23 b/</w:t>
      </w:r>
      <w:proofErr w:type="gramStart"/>
      <w:r w:rsidRPr="002B4F99">
        <w:rPr>
          <w:color w:val="auto"/>
          <w:szCs w:val="24"/>
        </w:rPr>
        <w:t>c ,</w:t>
      </w:r>
      <w:proofErr w:type="gramEnd"/>
      <w:r w:rsidRPr="002B4F99">
        <w:rPr>
          <w:color w:val="auto"/>
          <w:szCs w:val="24"/>
        </w:rPr>
        <w:t xml:space="preserve"> CEDAW Committee, COs 2010-2016).</w:t>
      </w:r>
    </w:p>
    <w:p w:rsidR="00B17883" w:rsidRPr="002B4F99" w:rsidRDefault="00B17883" w:rsidP="00B17883">
      <w:pPr>
        <w:spacing w:after="0" w:line="240" w:lineRule="auto"/>
        <w:jc w:val="both"/>
        <w:rPr>
          <w:szCs w:val="24"/>
        </w:rPr>
      </w:pPr>
      <w:r w:rsidRPr="002B4F99">
        <w:t>1.7 The initiative to establish a D</w:t>
      </w:r>
      <w:r>
        <w:t xml:space="preserve">omestic </w:t>
      </w:r>
      <w:r w:rsidRPr="002B4F99">
        <w:t>V</w:t>
      </w:r>
      <w:r>
        <w:t>iolence</w:t>
      </w:r>
      <w:r w:rsidRPr="002B4F99">
        <w:t xml:space="preserve"> coordinated mechanisms network in Albania is not </w:t>
      </w:r>
      <w:r>
        <w:t xml:space="preserve">sufficient </w:t>
      </w:r>
      <w:r w:rsidRPr="002B4F99">
        <w:t xml:space="preserve">to guarantee women’s protections from all forms of violence. </w:t>
      </w:r>
      <w:r w:rsidR="00533A3B">
        <w:t>Until recently, m</w:t>
      </w:r>
      <w:r w:rsidRPr="002B4F99">
        <w:t>ore than half the number of overall municipalities lack</w:t>
      </w:r>
      <w:r w:rsidR="007D1D41">
        <w:t>ed the</w:t>
      </w:r>
      <w:r w:rsidRPr="002B4F99">
        <w:t xml:space="preserve"> </w:t>
      </w:r>
      <w:r>
        <w:t xml:space="preserve">Local </w:t>
      </w:r>
      <w:r w:rsidRPr="002B4F99">
        <w:t xml:space="preserve">Referral Mechanisms. The </w:t>
      </w:r>
      <w:r>
        <w:t>LRM</w:t>
      </w:r>
      <w:r w:rsidRPr="002B4F99">
        <w:t xml:space="preserve"> limited financial support from the state budget and the frequent turnover of human resources are quite distressing. </w:t>
      </w:r>
      <w:r w:rsidR="00342E9D">
        <w:t>The first</w:t>
      </w:r>
      <w:r w:rsidR="00342E9D" w:rsidRPr="002B4F99">
        <w:t xml:space="preserve"> sexual violence crisis management center “Lilium”, focusing on providing 24/7 one stop shop emergency services, was established in 2018 to address emergency cases and provide short term services</w:t>
      </w:r>
      <w:r w:rsidR="007D1D41">
        <w:t xml:space="preserve">, but </w:t>
      </w:r>
      <w:r w:rsidR="00342E9D">
        <w:t>such centers</w:t>
      </w:r>
      <w:r w:rsidR="007D1D41">
        <w:t xml:space="preserve"> do not exist</w:t>
      </w:r>
      <w:r w:rsidR="00342E9D">
        <w:t xml:space="preserve"> at</w:t>
      </w:r>
      <w:r w:rsidR="007D1D41">
        <w:t xml:space="preserve"> the</w:t>
      </w:r>
      <w:r w:rsidR="00342E9D">
        <w:t xml:space="preserve"> municipality level. </w:t>
      </w:r>
      <w:r w:rsidRPr="002B4F99">
        <w:t xml:space="preserve">Allocation of sufficient funds and capacity enhancement of employees in domestic violence treatment centers is deemed necessary to </w:t>
      </w:r>
      <w:r w:rsidR="007D1D41">
        <w:t xml:space="preserve">ensure </w:t>
      </w:r>
      <w:r w:rsidR="00587370">
        <w:t xml:space="preserve">prevention of violence, </w:t>
      </w:r>
      <w:r w:rsidRPr="002B4F99">
        <w:t xml:space="preserve">women’s protection and </w:t>
      </w:r>
      <w:r w:rsidR="007D1D41">
        <w:t xml:space="preserve">their </w:t>
      </w:r>
      <w:r w:rsidRPr="002B4F99">
        <w:t>reintegration in the society.</w:t>
      </w:r>
      <w:r w:rsidR="00342E9D">
        <w:t xml:space="preserve"> T</w:t>
      </w:r>
      <w:r w:rsidR="00342E9D" w:rsidRPr="002B4F99">
        <w:t xml:space="preserve">he specialized DV </w:t>
      </w:r>
      <w:proofErr w:type="gramStart"/>
      <w:r w:rsidR="00342E9D" w:rsidRPr="002B4F99">
        <w:t>victims</w:t>
      </w:r>
      <w:proofErr w:type="gramEnd"/>
      <w:r w:rsidR="00342E9D" w:rsidRPr="002B4F99">
        <w:t xml:space="preserve"> center staff</w:t>
      </w:r>
      <w:r w:rsidR="00342E9D">
        <w:t xml:space="preserve"> need to be trained</w:t>
      </w:r>
      <w:r w:rsidR="00342E9D" w:rsidRPr="002B4F99">
        <w:t xml:space="preserve"> on the specific </w:t>
      </w:r>
      <w:r w:rsidR="007D1D41">
        <w:t xml:space="preserve">obligations </w:t>
      </w:r>
      <w:r w:rsidR="00342E9D" w:rsidRPr="002B4F99">
        <w:t>related to the treatment of women and girls</w:t>
      </w:r>
      <w:r w:rsidR="007D1D41">
        <w:t xml:space="preserve"> victims of violence</w:t>
      </w:r>
      <w:r w:rsidR="00342E9D" w:rsidRPr="002B4F99">
        <w:t xml:space="preserve"> to enable the awareness raising and dignified reintegration of the latter in the society</w:t>
      </w:r>
      <w:r w:rsidR="00342E9D">
        <w:t>.</w:t>
      </w:r>
    </w:p>
    <w:p w:rsidR="00B17883" w:rsidRPr="002B4F99" w:rsidRDefault="00B17883" w:rsidP="00B17883">
      <w:pPr>
        <w:spacing w:after="0" w:line="240" w:lineRule="auto"/>
        <w:jc w:val="both"/>
        <w:rPr>
          <w:szCs w:val="24"/>
        </w:rPr>
      </w:pPr>
      <w:bookmarkStart w:id="11" w:name="_Toc36849700"/>
    </w:p>
    <w:p w:rsidR="00B17883" w:rsidRPr="002B4F99" w:rsidRDefault="00B17883" w:rsidP="00B17883">
      <w:pPr>
        <w:pStyle w:val="Heading2"/>
        <w:spacing w:before="0" w:line="240" w:lineRule="auto"/>
        <w:jc w:val="both"/>
        <w:rPr>
          <w:color w:val="auto"/>
          <w:szCs w:val="24"/>
        </w:rPr>
      </w:pPr>
      <w:r w:rsidRPr="002B4F99">
        <w:rPr>
          <w:color w:val="auto"/>
          <w:szCs w:val="24"/>
        </w:rPr>
        <w:t>Concerning issue 3: Strengthening the enforcement of court decisions granting POs and EPOs</w:t>
      </w:r>
      <w:bookmarkEnd w:id="11"/>
      <w:r w:rsidRPr="002B4F99">
        <w:rPr>
          <w:color w:val="auto"/>
          <w:szCs w:val="24"/>
        </w:rPr>
        <w:t xml:space="preserve"> (Recommendation No. 23/d, CEDAW Committee, COs 2010-2016.)</w:t>
      </w:r>
    </w:p>
    <w:p w:rsidR="00B17883" w:rsidRPr="002B4F99" w:rsidRDefault="00B17883" w:rsidP="00342E9D">
      <w:pPr>
        <w:jc w:val="both"/>
        <w:rPr>
          <w:szCs w:val="24"/>
        </w:rPr>
      </w:pPr>
      <w:r w:rsidRPr="002B4F99">
        <w:t>1.8</w:t>
      </w:r>
      <w:r>
        <w:t xml:space="preserve"> The</w:t>
      </w:r>
      <w:r w:rsidRPr="002B4F99">
        <w:t xml:space="preserve"> Law on Domestic Violence </w:t>
      </w:r>
      <w:r>
        <w:t xml:space="preserve">underwent several amendments </w:t>
      </w:r>
      <w:r w:rsidRPr="002B4F99">
        <w:t>to provide greater guarantees on DV victims’ protection. The</w:t>
      </w:r>
      <w:r w:rsidR="00587370">
        <w:t xml:space="preserve">se include </w:t>
      </w:r>
      <w:r w:rsidRPr="002B4F99">
        <w:t xml:space="preserve">preliminary protective order (PPO) in addition to PO/EPO. The 2016-2019 period features an increase of domestic violence victims requesting POs/EPOs. However, courts refraining from granting or limiting the instances of granting POs/EPOs for other forms of gender-based violence is quite distressing. In several cases, POs/EPOs are not enforced by authorities. </w:t>
      </w:r>
      <w:r w:rsidR="00342E9D" w:rsidRPr="002B4F99">
        <w:t>With regard to children of DV victims, it has been found that authorities do not undertake ex officio risk assessments for children to identify whether there is a need to also obtain a protection order for the children themselves, as provided by the amendments made to the DV Law in 2018.</w:t>
      </w:r>
      <w:r w:rsidR="00342E9D">
        <w:rPr>
          <w:szCs w:val="24"/>
        </w:rPr>
        <w:t xml:space="preserve"> </w:t>
      </w:r>
      <w:r w:rsidRPr="002B4F99">
        <w:t>The POs/EPOs enforcement needs to be monitored and sanctions must apply to all officers hindering/delaying POs/EPOs enforcement.  Court should diligently reason all decisions granting POs/EPOs to avoid all vacuums possible which may lead to judicial decisions’ delayed execution or non-execution. State Police officers handling domestic violence cases should be continuously trained on DV case identification, risk assessment and victim or perpetrator’s interviewing.</w:t>
      </w:r>
    </w:p>
    <w:p w:rsidR="00B17883" w:rsidRPr="002B4F99" w:rsidRDefault="00B17883" w:rsidP="00B17883">
      <w:pPr>
        <w:spacing w:after="0" w:line="240" w:lineRule="auto"/>
        <w:jc w:val="both"/>
        <w:rPr>
          <w:b/>
          <w:szCs w:val="24"/>
        </w:rPr>
      </w:pPr>
      <w:bookmarkStart w:id="12" w:name="_Toc36849705"/>
    </w:p>
    <w:p w:rsidR="00B17883" w:rsidRPr="002B4F99" w:rsidRDefault="00B17883" w:rsidP="00B17883">
      <w:pPr>
        <w:pStyle w:val="Heading1"/>
        <w:spacing w:before="0" w:line="240" w:lineRule="auto"/>
        <w:jc w:val="both"/>
        <w:rPr>
          <w:b w:val="0"/>
          <w:color w:val="auto"/>
          <w:szCs w:val="24"/>
        </w:rPr>
      </w:pPr>
      <w:r w:rsidRPr="002B4F99">
        <w:rPr>
          <w:color w:val="auto"/>
          <w:szCs w:val="24"/>
        </w:rPr>
        <w:t>D. WOMEN’S ECONOMIC AND SOCIAL RIGHTS</w:t>
      </w:r>
      <w:bookmarkEnd w:id="12"/>
    </w:p>
    <w:p w:rsidR="00B17883" w:rsidRPr="002B4F99" w:rsidRDefault="00B17883" w:rsidP="00B17883">
      <w:pPr>
        <w:spacing w:after="0" w:line="240" w:lineRule="auto"/>
        <w:jc w:val="both"/>
        <w:rPr>
          <w:b/>
          <w:szCs w:val="24"/>
        </w:rPr>
      </w:pPr>
      <w:r w:rsidRPr="002B4F99">
        <w:rPr>
          <w:b/>
          <w:i/>
          <w:szCs w:val="24"/>
        </w:rPr>
        <w:t>Article 13 under CEDAW Convention, Recommendation No. 35/a, CEDAW Committee, COs 2010-2016</w:t>
      </w:r>
      <w:bookmarkStart w:id="13" w:name="_Toc36849706"/>
    </w:p>
    <w:p w:rsidR="00B17883" w:rsidRPr="002B4F99" w:rsidRDefault="00B17883" w:rsidP="00B17883">
      <w:pPr>
        <w:pStyle w:val="Heading2"/>
        <w:spacing w:before="0" w:line="240" w:lineRule="auto"/>
        <w:jc w:val="both"/>
        <w:rPr>
          <w:color w:val="auto"/>
          <w:szCs w:val="24"/>
        </w:rPr>
      </w:pPr>
    </w:p>
    <w:p w:rsidR="00037955" w:rsidRPr="00037955" w:rsidRDefault="00B17883" w:rsidP="00037955">
      <w:pPr>
        <w:pStyle w:val="Heading2"/>
        <w:spacing w:before="0" w:line="240" w:lineRule="auto"/>
        <w:jc w:val="both"/>
        <w:rPr>
          <w:color w:val="auto"/>
          <w:szCs w:val="24"/>
        </w:rPr>
      </w:pPr>
      <w:r w:rsidRPr="002B4F99">
        <w:rPr>
          <w:color w:val="auto"/>
          <w:szCs w:val="24"/>
        </w:rPr>
        <w:t>Concerning issue 1: Improving women’s access to economic assistance and housing</w:t>
      </w:r>
      <w:bookmarkEnd w:id="13"/>
    </w:p>
    <w:p w:rsidR="00B17883" w:rsidRDefault="00B17883" w:rsidP="00B17883">
      <w:pPr>
        <w:spacing w:after="0" w:line="240" w:lineRule="auto"/>
        <w:jc w:val="both"/>
      </w:pPr>
      <w:r w:rsidRPr="002B4F99">
        <w:t xml:space="preserve">1.9 Legal </w:t>
      </w:r>
      <w:r>
        <w:t xml:space="preserve">amendments during </w:t>
      </w:r>
      <w:r w:rsidRPr="00096248">
        <w:rPr>
          <w:color w:val="000000" w:themeColor="text1"/>
        </w:rPr>
        <w:t xml:space="preserve">2016-2019 </w:t>
      </w:r>
      <w:r w:rsidRPr="002B4F99">
        <w:t>improve</w:t>
      </w:r>
      <w:r>
        <w:t xml:space="preserve">d considerably </w:t>
      </w:r>
      <w:r w:rsidRPr="002B4F99">
        <w:t>the legal s</w:t>
      </w:r>
      <w:r>
        <w:t>ituation</w:t>
      </w:r>
      <w:r w:rsidRPr="002B4F99">
        <w:t xml:space="preserve"> of women in terms of economic services and social protection. </w:t>
      </w:r>
      <w:r>
        <w:t xml:space="preserve">The </w:t>
      </w:r>
      <w:r w:rsidRPr="002B4F99">
        <w:t>Law 59/2019 “</w:t>
      </w:r>
      <w:r w:rsidRPr="002B4F99">
        <w:rPr>
          <w:i/>
          <w:szCs w:val="24"/>
        </w:rPr>
        <w:t>On Social Assistance in the Republic of Albania”</w:t>
      </w:r>
      <w:r w:rsidRPr="002B4F99">
        <w:t xml:space="preserve"> expressly defined victims of domestic violence and victims of trafficking as categories benefiting economic assistance. </w:t>
      </w:r>
      <w:r>
        <w:t>The ceiling of the economic assistance was removed in order to increase its profitability.</w:t>
      </w:r>
      <w:r w:rsidRPr="002B4F99">
        <w:t xml:space="preserve"> Law No. 22/2018 “On Social Housing” expressly prioritized victims of domestic violence, victims of trafficking, and teenage mothers as categories benefiting housing services. </w:t>
      </w:r>
    </w:p>
    <w:p w:rsidR="00037955" w:rsidRPr="002B4F99" w:rsidRDefault="00037955" w:rsidP="00B17883">
      <w:pPr>
        <w:spacing w:after="0" w:line="240" w:lineRule="auto"/>
        <w:jc w:val="both"/>
        <w:rPr>
          <w:szCs w:val="24"/>
        </w:rPr>
      </w:pPr>
    </w:p>
    <w:p w:rsidR="00B17883" w:rsidRPr="002B4F99" w:rsidRDefault="00B17883" w:rsidP="00330AAA">
      <w:pPr>
        <w:jc w:val="both"/>
        <w:rPr>
          <w:szCs w:val="24"/>
        </w:rPr>
      </w:pPr>
      <w:r w:rsidRPr="002B4F99">
        <w:t>1.</w:t>
      </w:r>
      <w:r w:rsidRPr="00330AAA">
        <w:rPr>
          <w:color w:val="000000" w:themeColor="text1"/>
        </w:rPr>
        <w:t xml:space="preserve">10 However, the </w:t>
      </w:r>
      <w:r w:rsidR="00533A3B">
        <w:rPr>
          <w:color w:val="000000" w:themeColor="text1"/>
        </w:rPr>
        <w:t xml:space="preserve">absence of an established </w:t>
      </w:r>
      <w:r w:rsidRPr="00330AAA">
        <w:rPr>
          <w:color w:val="000000" w:themeColor="text1"/>
        </w:rPr>
        <w:t xml:space="preserve">minimum living level and the law level of economic assistance remain very fundamental problems in Albania.  The economic </w:t>
      </w:r>
      <w:r w:rsidRPr="003B4DEE">
        <w:t>assistance digit</w:t>
      </w:r>
      <w:r w:rsidR="00533A3B">
        <w:t>ali</w:t>
      </w:r>
      <w:r w:rsidRPr="003B4DEE">
        <w:t>zed system has brought about multiple uncertainties and confusion arisi</w:t>
      </w:r>
      <w:r w:rsidRPr="002B4F99">
        <w:t xml:space="preserve">ng not only for </w:t>
      </w:r>
      <w:r>
        <w:t xml:space="preserve">disadvantaged </w:t>
      </w:r>
      <w:r w:rsidRPr="002B4F99">
        <w:t xml:space="preserve">women and girls, but also for public officials making use of it. There are no gender disaggregated data about </w:t>
      </w:r>
      <w:r>
        <w:t>economic aid</w:t>
      </w:r>
      <w:r w:rsidRPr="002B4F99">
        <w:t xml:space="preserve"> and social housing beneficiaries, which has led to many difficulties when analyzing the situation of women and girls’ rights protection in line with strategic objectives.  </w:t>
      </w:r>
      <w:r>
        <w:t>W</w:t>
      </w:r>
      <w:r w:rsidRPr="002B4F99">
        <w:t>omen residing mainly in rural areas in the suburbs</w:t>
      </w:r>
      <w:r>
        <w:t xml:space="preserve">, who do not have a house, </w:t>
      </w:r>
      <w:r w:rsidRPr="002B4F99">
        <w:t xml:space="preserve"> are still having a hard time finding solutions to their situation. </w:t>
      </w:r>
      <w:r w:rsidR="00330AAA">
        <w:t>Most of them l</w:t>
      </w:r>
      <w:r w:rsidR="00330AAA" w:rsidRPr="002B4F99">
        <w:t xml:space="preserve">ack awareness </w:t>
      </w:r>
      <w:r w:rsidR="00533A3B">
        <w:t>about</w:t>
      </w:r>
      <w:r w:rsidR="00330AAA" w:rsidRPr="002B4F99">
        <w:t xml:space="preserve"> legal criteria to benefit from housing programs. </w:t>
      </w:r>
      <w:r w:rsidRPr="002B4F99">
        <w:t xml:space="preserve">The number of victims of violence/trafficking benefiting social housing or rental bonuses is still low. Up to 2018, none of them benefited from social housing schemes. </w:t>
      </w:r>
      <w:r>
        <w:t xml:space="preserve">The approval </w:t>
      </w:r>
      <w:r w:rsidRPr="002B4F99">
        <w:t xml:space="preserve">of legislation on social housing should go along with budget increase and improvement of central government support for local governments with social housing projects. Economic assistance services should be further coordinated with employment boosting programs </w:t>
      </w:r>
      <w:r w:rsidRPr="002B4F99">
        <w:lastRenderedPageBreak/>
        <w:t>for vulnerable women and girls in line with the Albanian State strategic objectives.</w:t>
      </w:r>
      <w:r w:rsidR="00330AAA">
        <w:t xml:space="preserve"> </w:t>
      </w:r>
      <w:r w:rsidR="00330AAA" w:rsidRPr="002B4F99">
        <w:t>Municipalities should increase planned spending for the inclusion of GBV and trafficking victims in social housing programs.</w:t>
      </w:r>
      <w:r w:rsidR="00330AAA">
        <w:t xml:space="preserve"> In addition, they should </w:t>
      </w:r>
      <w:r w:rsidR="00330AAA" w:rsidRPr="002B4F99">
        <w:t xml:space="preserve">seriously address with the adequate attention any complaints filed by </w:t>
      </w:r>
      <w:r w:rsidR="00330AAA">
        <w:t>vulnerable women</w:t>
      </w:r>
      <w:r w:rsidR="00330AAA" w:rsidRPr="002B4F99">
        <w:t xml:space="preserve"> not benefiting from social </w:t>
      </w:r>
      <w:r w:rsidR="00330AAA">
        <w:t>assistance and housing programs</w:t>
      </w:r>
      <w:r w:rsidR="00330AAA" w:rsidRPr="002B4F99">
        <w:t xml:space="preserve"> and should provide reasoned decisions of why the legal requirements were not complied with</w:t>
      </w:r>
      <w:r w:rsidR="00330AAA">
        <w:t>.</w:t>
      </w:r>
    </w:p>
    <w:p w:rsidR="00B17883" w:rsidRPr="002B4F99" w:rsidRDefault="00B17883" w:rsidP="00B17883">
      <w:pPr>
        <w:pStyle w:val="ListParagraph"/>
        <w:numPr>
          <w:ilvl w:val="0"/>
          <w:numId w:val="1"/>
        </w:numPr>
        <w:spacing w:after="0" w:line="240" w:lineRule="auto"/>
        <w:jc w:val="both"/>
        <w:rPr>
          <w:b/>
          <w:vanish/>
          <w:szCs w:val="24"/>
        </w:rPr>
      </w:pPr>
      <w:bookmarkStart w:id="14" w:name="_Toc36849711"/>
    </w:p>
    <w:p w:rsidR="00B17883" w:rsidRPr="002B4F99" w:rsidRDefault="00B17883" w:rsidP="00B17883">
      <w:pPr>
        <w:pStyle w:val="Heading2"/>
        <w:spacing w:before="0" w:line="240" w:lineRule="auto"/>
        <w:jc w:val="both"/>
        <w:rPr>
          <w:color w:val="auto"/>
          <w:szCs w:val="24"/>
        </w:rPr>
      </w:pPr>
    </w:p>
    <w:p w:rsidR="00B17883" w:rsidRPr="002B4F99" w:rsidRDefault="00B17883" w:rsidP="00B17883">
      <w:pPr>
        <w:pStyle w:val="Heading2"/>
        <w:spacing w:before="0" w:line="240" w:lineRule="auto"/>
        <w:jc w:val="both"/>
        <w:rPr>
          <w:color w:val="auto"/>
          <w:szCs w:val="24"/>
        </w:rPr>
      </w:pPr>
      <w:r w:rsidRPr="002B4F99">
        <w:rPr>
          <w:color w:val="auto"/>
          <w:szCs w:val="24"/>
        </w:rPr>
        <w:t>Concerning issue 2:  Women’s access to property rights</w:t>
      </w:r>
      <w:bookmarkEnd w:id="14"/>
    </w:p>
    <w:p w:rsidR="00B17883" w:rsidRPr="002B4F99" w:rsidRDefault="00B17883" w:rsidP="00B17883">
      <w:pPr>
        <w:spacing w:after="0" w:line="240" w:lineRule="auto"/>
        <w:jc w:val="both"/>
        <w:rPr>
          <w:b/>
          <w:i/>
          <w:szCs w:val="24"/>
        </w:rPr>
      </w:pPr>
      <w:r w:rsidRPr="002B4F99">
        <w:rPr>
          <w:b/>
          <w:i/>
          <w:szCs w:val="24"/>
        </w:rPr>
        <w:t>Article 16 under CEDAW Convention; CEDAW Committee General Recommendation No. 21; Recommendation No. 35b, CEDAW Committee, COs 2010-2016.</w:t>
      </w:r>
    </w:p>
    <w:p w:rsidR="00B17883" w:rsidRPr="002B4F99" w:rsidRDefault="00B17883" w:rsidP="00B17883">
      <w:pPr>
        <w:spacing w:after="0" w:line="240" w:lineRule="auto"/>
        <w:jc w:val="both"/>
        <w:rPr>
          <w:szCs w:val="24"/>
        </w:rPr>
      </w:pPr>
    </w:p>
    <w:p w:rsidR="00B17883" w:rsidRPr="006E159D" w:rsidRDefault="00B17883" w:rsidP="006E159D">
      <w:pPr>
        <w:jc w:val="both"/>
        <w:rPr>
          <w:szCs w:val="24"/>
        </w:rPr>
      </w:pPr>
      <w:r w:rsidRPr="002B4F99">
        <w:t xml:space="preserve">1.11 Irrespective of legal provisions on granting women property rights equal to men, the practical implementation of the legal framework has not always led to such rights being protected. Joint property is occasionally not registered in the name of both spouses. Women residing in rural areas find the entitlement to such right much more difficult. As per the above, amendments made to Law No.111/2018 “On Notary” and </w:t>
      </w:r>
      <w:r w:rsidRPr="006E159D">
        <w:rPr>
          <w:bCs/>
          <w:szCs w:val="24"/>
          <w:shd w:val="clear" w:color="auto" w:fill="FFFFFF"/>
        </w:rPr>
        <w:t xml:space="preserve">Law No. 111/2018, </w:t>
      </w:r>
      <w:r w:rsidRPr="006E159D">
        <w:rPr>
          <w:bCs/>
          <w:i/>
          <w:szCs w:val="24"/>
          <w:shd w:val="clear" w:color="auto" w:fill="FFFFFF"/>
        </w:rPr>
        <w:t xml:space="preserve">“On Cadaster” </w:t>
      </w:r>
      <w:r>
        <w:t>aim at</w:t>
      </w:r>
      <w:r w:rsidRPr="002B4F99">
        <w:t xml:space="preserve"> guarantee</w:t>
      </w:r>
      <w:r>
        <w:t xml:space="preserve">ing the </w:t>
      </w:r>
      <w:r w:rsidRPr="002B4F99">
        <w:t xml:space="preserve">gender equality principle and women’s protection from gender-based discrimination </w:t>
      </w:r>
      <w:r>
        <w:t xml:space="preserve">and </w:t>
      </w:r>
      <w:r w:rsidRPr="002B4F99">
        <w:t>are regarded as positive</w:t>
      </w:r>
      <w:r>
        <w:t xml:space="preserve"> developments</w:t>
      </w:r>
      <w:r w:rsidRPr="002B4F99">
        <w:t xml:space="preserve">. However, </w:t>
      </w:r>
      <w:proofErr w:type="spellStart"/>
      <w:r w:rsidR="006E159D" w:rsidRPr="002B4F99">
        <w:t>MoJ</w:t>
      </w:r>
      <w:proofErr w:type="spellEnd"/>
      <w:r w:rsidR="006E159D" w:rsidRPr="002B4F99">
        <w:t xml:space="preserve"> is yet to undertake </w:t>
      </w:r>
      <w:r w:rsidR="003B5E99">
        <w:t xml:space="preserve">an </w:t>
      </w:r>
      <w:r w:rsidR="006E159D" w:rsidRPr="002B4F99">
        <w:t>assessment of the impact that these law</w:t>
      </w:r>
      <w:r w:rsidR="003B5E99">
        <w:t>s</w:t>
      </w:r>
      <w:r w:rsidR="006E159D" w:rsidRPr="002B4F99">
        <w:t xml:space="preserve"> might have had on improving wo</w:t>
      </w:r>
      <w:r w:rsidR="006E159D">
        <w:t xml:space="preserve">men’s access to property rights and </w:t>
      </w:r>
      <w:r w:rsidRPr="002B4F99">
        <w:t xml:space="preserve">there are still issues </w:t>
      </w:r>
      <w:r>
        <w:t xml:space="preserve">related to capacity gaps among </w:t>
      </w:r>
      <w:r w:rsidRPr="002B4F99">
        <w:t>l</w:t>
      </w:r>
      <w:r>
        <w:t>egal</w:t>
      </w:r>
      <w:r w:rsidRPr="002B4F99">
        <w:t xml:space="preserve"> professionals and law enforcement officers, including their information and training on the </w:t>
      </w:r>
      <w:r>
        <w:t xml:space="preserve">new </w:t>
      </w:r>
      <w:r w:rsidRPr="002B4F99">
        <w:t xml:space="preserve">legal </w:t>
      </w:r>
      <w:r>
        <w:t xml:space="preserve">developments </w:t>
      </w:r>
      <w:r w:rsidRPr="002B4F99">
        <w:t xml:space="preserve">in the </w:t>
      </w:r>
      <w:r>
        <w:t xml:space="preserve">area </w:t>
      </w:r>
      <w:r w:rsidR="00037955">
        <w:t>of</w:t>
      </w:r>
      <w:r w:rsidRPr="002B4F99">
        <w:t xml:space="preserve">  women's property rights and </w:t>
      </w:r>
      <w:r>
        <w:t>the effective</w:t>
      </w:r>
      <w:r w:rsidRPr="002B4F99">
        <w:t xml:space="preserve"> application</w:t>
      </w:r>
      <w:r>
        <w:t xml:space="preserve"> of the new legislation</w:t>
      </w:r>
      <w:r w:rsidRPr="002B4F99">
        <w:t xml:space="preserve">. There is also a growing need for women residing in rural and </w:t>
      </w:r>
      <w:r>
        <w:t xml:space="preserve">remote </w:t>
      </w:r>
      <w:r w:rsidRPr="002B4F99">
        <w:t xml:space="preserve">areas to be informed on </w:t>
      </w:r>
      <w:r w:rsidR="003B5E99">
        <w:t xml:space="preserve">the recent </w:t>
      </w:r>
      <w:r w:rsidRPr="002B4F99">
        <w:t xml:space="preserve">legal </w:t>
      </w:r>
      <w:r>
        <w:t>amendments</w:t>
      </w:r>
      <w:r w:rsidR="003B5E99">
        <w:t xml:space="preserve"> related to property rights</w:t>
      </w:r>
      <w:r w:rsidRPr="002B4F99">
        <w:t xml:space="preserve">. </w:t>
      </w:r>
      <w:bookmarkStart w:id="15" w:name="_Toc36849716"/>
    </w:p>
    <w:p w:rsidR="00B17883" w:rsidRPr="002B4F99" w:rsidRDefault="00B17883" w:rsidP="00B17883">
      <w:pPr>
        <w:pStyle w:val="Heading1"/>
        <w:spacing w:before="0" w:line="240" w:lineRule="auto"/>
        <w:jc w:val="both"/>
        <w:rPr>
          <w:color w:val="auto"/>
          <w:szCs w:val="24"/>
        </w:rPr>
      </w:pPr>
    </w:p>
    <w:p w:rsidR="00B17883" w:rsidRPr="002B4F99" w:rsidRDefault="00B17883" w:rsidP="00B17883">
      <w:pPr>
        <w:pStyle w:val="Heading1"/>
        <w:spacing w:before="0" w:line="240" w:lineRule="auto"/>
        <w:jc w:val="both"/>
        <w:rPr>
          <w:b w:val="0"/>
          <w:color w:val="auto"/>
          <w:szCs w:val="24"/>
        </w:rPr>
      </w:pPr>
      <w:r w:rsidRPr="002B4F99">
        <w:rPr>
          <w:color w:val="auto"/>
          <w:szCs w:val="24"/>
        </w:rPr>
        <w:t>E. SITUATION OF WOMEN RESIDING IN RURAL AREAS AND DISADVANTAGED GROUPS</w:t>
      </w:r>
      <w:bookmarkStart w:id="16" w:name="_Toc36849717"/>
      <w:bookmarkEnd w:id="15"/>
    </w:p>
    <w:p w:rsidR="00B17883" w:rsidRPr="002B4F99" w:rsidRDefault="00B17883" w:rsidP="00B17883">
      <w:pPr>
        <w:pStyle w:val="Heading2"/>
        <w:spacing w:before="0" w:line="240" w:lineRule="auto"/>
        <w:jc w:val="both"/>
        <w:rPr>
          <w:color w:val="auto"/>
          <w:szCs w:val="24"/>
        </w:rPr>
      </w:pPr>
    </w:p>
    <w:p w:rsidR="00B17883" w:rsidRPr="002B4F99" w:rsidRDefault="00B17883" w:rsidP="00B17883">
      <w:pPr>
        <w:pStyle w:val="Heading2"/>
        <w:spacing w:before="0" w:line="240" w:lineRule="auto"/>
        <w:jc w:val="both"/>
        <w:rPr>
          <w:color w:val="auto"/>
          <w:szCs w:val="24"/>
        </w:rPr>
      </w:pPr>
      <w:r w:rsidRPr="002B4F99">
        <w:rPr>
          <w:color w:val="auto"/>
          <w:szCs w:val="24"/>
        </w:rPr>
        <w:t>Concerning issue 1: Improving the situation of women residing in rural areas</w:t>
      </w:r>
      <w:bookmarkEnd w:id="16"/>
    </w:p>
    <w:p w:rsidR="00B17883" w:rsidRPr="002B4F99" w:rsidRDefault="00B17883" w:rsidP="00B17883">
      <w:pPr>
        <w:spacing w:after="0" w:line="240" w:lineRule="auto"/>
        <w:jc w:val="both"/>
        <w:rPr>
          <w:b/>
          <w:i/>
          <w:szCs w:val="24"/>
        </w:rPr>
      </w:pPr>
      <w:r w:rsidRPr="002B4F99">
        <w:rPr>
          <w:b/>
          <w:i/>
          <w:szCs w:val="24"/>
        </w:rPr>
        <w:t xml:space="preserve">Article 14 under CEDAW Convention; CEDAW Committee General Recommendation No. 36; Recommendation No. 37 a/b/c, CEDAW Committee, COs 2010-2016. </w:t>
      </w:r>
    </w:p>
    <w:p w:rsidR="00B17883" w:rsidRPr="002B4F99" w:rsidRDefault="00B17883" w:rsidP="004A73B7">
      <w:pPr>
        <w:tabs>
          <w:tab w:val="left" w:pos="810"/>
          <w:tab w:val="left" w:pos="900"/>
          <w:tab w:val="left" w:pos="990"/>
          <w:tab w:val="left" w:pos="1260"/>
        </w:tabs>
        <w:jc w:val="both"/>
        <w:rPr>
          <w:szCs w:val="24"/>
        </w:rPr>
      </w:pPr>
      <w:r w:rsidRPr="002B4F99">
        <w:t xml:space="preserve">1.12 </w:t>
      </w:r>
      <w:r w:rsidR="004A73B7">
        <w:t>In rural areas, w</w:t>
      </w:r>
      <w:r w:rsidR="004A73B7" w:rsidRPr="002B4F99">
        <w:t xml:space="preserve">omen are over represented in the informal work sector and the majority of </w:t>
      </w:r>
      <w:r w:rsidR="004A73B7">
        <w:t>them</w:t>
      </w:r>
      <w:r w:rsidR="004A73B7" w:rsidRPr="002B4F99">
        <w:t xml:space="preserve"> are employed in the agriculture sector. </w:t>
      </w:r>
      <w:r w:rsidR="004A73B7">
        <w:t>A</w:t>
      </w:r>
      <w:r w:rsidR="004A73B7" w:rsidRPr="002B4F99">
        <w:t xml:space="preserve"> considerable number of </w:t>
      </w:r>
      <w:r w:rsidR="004A73B7">
        <w:t>women in these areas</w:t>
      </w:r>
      <w:r w:rsidR="004A73B7" w:rsidRPr="002B4F99">
        <w:t xml:space="preserve"> f</w:t>
      </w:r>
      <w:r w:rsidR="004A73B7">
        <w:t>ace</w:t>
      </w:r>
      <w:r w:rsidR="004A73B7" w:rsidRPr="002B4F99">
        <w:t xml:space="preserve"> extreme hardship and needs in securing housing, because they have no ability to pay or to benefit from social housing programs that are currently provided by the local government in cooperation with the central government.</w:t>
      </w:r>
      <w:r w:rsidR="004A73B7">
        <w:t xml:space="preserve"> </w:t>
      </w:r>
      <w:r w:rsidRPr="002B4F99">
        <w:t xml:space="preserve">The OP views all the legal measures and strategic policies adopted by the Albanian state during the 2016-2020 period focusing on women residing in rural areas’ empowerment in a positive light. </w:t>
      </w:r>
      <w:r w:rsidR="006E159D" w:rsidRPr="002B4F99">
        <w:t>In line with the CEDAW Committee recommendation, the Albanian government has included the economic empowerment of rural women in its strategic objectives.</w:t>
      </w:r>
      <w:r w:rsidR="006E159D">
        <w:t xml:space="preserve"> </w:t>
      </w:r>
      <w:r w:rsidRPr="002B4F99">
        <w:t xml:space="preserve">However, these women’s access to rights, goods and services is still limited given the lack of infrastructure, gender-based discrimination, patriarchal mentality or lack of essential services especially in </w:t>
      </w:r>
      <w:r>
        <w:t>remote</w:t>
      </w:r>
      <w:r w:rsidRPr="002B4F99">
        <w:t xml:space="preserve"> areas. </w:t>
      </w:r>
      <w:r>
        <w:t xml:space="preserve">For these women, </w:t>
      </w:r>
      <w:r w:rsidRPr="002B4F99">
        <w:t xml:space="preserve">informal employment is still </w:t>
      </w:r>
      <w:r>
        <w:t>problematic</w:t>
      </w:r>
      <w:r w:rsidRPr="002B4F99">
        <w:t xml:space="preserve">, along with the insufficient guarantee of their access to health services, free legal aid services and right to education. </w:t>
      </w:r>
      <w:r>
        <w:t>In addition, a</w:t>
      </w:r>
      <w:r w:rsidRPr="002B4F99">
        <w:t xml:space="preserve">ccess to potable water supply of women residing in rural areas and </w:t>
      </w:r>
      <w:r w:rsidRPr="002B4F99">
        <w:lastRenderedPageBreak/>
        <w:t>Roma/Egyptian women is limited. There is a need to establish health care centers at all administrative units and improve the rural infrastructure so that accessibility and safety in these areas be upgraded. It is highly recommended that institutions at the central and local levels invest more efforts to raise the awareness of women residing in rural areas on their rights and legal guarantees.</w:t>
      </w:r>
      <w:bookmarkStart w:id="17" w:name="_Toc36849722"/>
      <w:r w:rsidR="004A73B7">
        <w:t xml:space="preserve"> To this aim, there is also a need </w:t>
      </w:r>
      <w:r w:rsidR="004A73B7" w:rsidRPr="002B4F99">
        <w:t>to raise rural women awareness of reproductive health and family planning, to avoid uncontrolled pregnancy interruptions in these areas.</w:t>
      </w:r>
    </w:p>
    <w:p w:rsidR="00B17883" w:rsidRPr="002B4F99" w:rsidRDefault="00B17883" w:rsidP="00B17883">
      <w:pPr>
        <w:pStyle w:val="Heading2"/>
        <w:spacing w:before="0" w:line="240" w:lineRule="auto"/>
        <w:jc w:val="both"/>
        <w:rPr>
          <w:color w:val="auto"/>
          <w:szCs w:val="24"/>
        </w:rPr>
      </w:pPr>
    </w:p>
    <w:p w:rsidR="00B17883" w:rsidRPr="002B4F99" w:rsidRDefault="00B17883" w:rsidP="00B17883">
      <w:pPr>
        <w:pStyle w:val="Heading2"/>
        <w:spacing w:before="0" w:line="240" w:lineRule="auto"/>
        <w:jc w:val="both"/>
        <w:rPr>
          <w:color w:val="auto"/>
          <w:szCs w:val="24"/>
        </w:rPr>
      </w:pPr>
      <w:r w:rsidRPr="002B4F99">
        <w:rPr>
          <w:color w:val="auto"/>
          <w:szCs w:val="24"/>
        </w:rPr>
        <w:t>Concerning issue 2: Empowering disadvantaged women</w:t>
      </w:r>
      <w:bookmarkEnd w:id="17"/>
    </w:p>
    <w:p w:rsidR="00B17883" w:rsidRPr="002B4F99" w:rsidRDefault="00B17883" w:rsidP="00B17883">
      <w:pPr>
        <w:tabs>
          <w:tab w:val="left" w:pos="810"/>
          <w:tab w:val="left" w:pos="900"/>
          <w:tab w:val="left" w:pos="990"/>
          <w:tab w:val="left" w:pos="1260"/>
        </w:tabs>
        <w:spacing w:after="0" w:line="240" w:lineRule="auto"/>
        <w:jc w:val="both"/>
        <w:rPr>
          <w:b/>
          <w:i/>
          <w:szCs w:val="24"/>
        </w:rPr>
      </w:pPr>
      <w:r w:rsidRPr="002B4F99">
        <w:rPr>
          <w:b/>
          <w:i/>
          <w:szCs w:val="24"/>
        </w:rPr>
        <w:t xml:space="preserve">CEDAW Committee General Recommendation No. 18, 26, 27, 32 </w:t>
      </w:r>
    </w:p>
    <w:p w:rsidR="00B17883" w:rsidRPr="002B4F99" w:rsidRDefault="00B17883" w:rsidP="00B17883">
      <w:pPr>
        <w:tabs>
          <w:tab w:val="left" w:pos="810"/>
          <w:tab w:val="left" w:pos="900"/>
          <w:tab w:val="left" w:pos="990"/>
          <w:tab w:val="left" w:pos="1260"/>
        </w:tabs>
        <w:spacing w:after="0" w:line="240" w:lineRule="auto"/>
        <w:jc w:val="both"/>
        <w:rPr>
          <w:b/>
          <w:i/>
          <w:szCs w:val="24"/>
        </w:rPr>
      </w:pPr>
    </w:p>
    <w:p w:rsidR="004A73B7" w:rsidRPr="004A73B7" w:rsidRDefault="00B17883" w:rsidP="004A73B7">
      <w:pPr>
        <w:tabs>
          <w:tab w:val="left" w:pos="810"/>
          <w:tab w:val="left" w:pos="900"/>
          <w:tab w:val="left" w:pos="990"/>
          <w:tab w:val="left" w:pos="1260"/>
        </w:tabs>
        <w:jc w:val="both"/>
        <w:rPr>
          <w:b/>
          <w:szCs w:val="24"/>
        </w:rPr>
      </w:pPr>
      <w:r w:rsidRPr="002B4F99">
        <w:t xml:space="preserve">1.13 </w:t>
      </w:r>
      <w:r w:rsidRPr="00096248">
        <w:t xml:space="preserve">Disadvantaged women's rights and access to justice are far more limited if compared to other groups of women given the ineffective implementation of the legal framework in force. Despite legal improvements, most women from these groups still have to deal with major barriers when accessing employment, education, housing or social protection. </w:t>
      </w:r>
      <w:r w:rsidR="004A73B7" w:rsidRPr="002B4F99">
        <w:t>The Albanian state has yet to adopt the Optional Protocol of the Convention of the Rights of Persons with Disabilities. In addition, both the N</w:t>
      </w:r>
      <w:r w:rsidR="004A73B7">
        <w:t xml:space="preserve">ational Strategy on Gender Equality and the Law “On the Protection from Discrimination” </w:t>
      </w:r>
      <w:r w:rsidR="004A73B7" w:rsidRPr="002B4F99">
        <w:t xml:space="preserve">lack the notion of multiple discrimination with regard to the discrimination of women with disabilities, based on their gender and disability. </w:t>
      </w:r>
    </w:p>
    <w:p w:rsidR="00037955" w:rsidRDefault="00B17883" w:rsidP="00037955">
      <w:pPr>
        <w:pStyle w:val="ListParagraph"/>
        <w:numPr>
          <w:ilvl w:val="1"/>
          <w:numId w:val="8"/>
        </w:numPr>
        <w:tabs>
          <w:tab w:val="left" w:pos="540"/>
          <w:tab w:val="left" w:pos="900"/>
          <w:tab w:val="left" w:pos="990"/>
          <w:tab w:val="left" w:pos="1260"/>
        </w:tabs>
        <w:ind w:left="0" w:firstLine="0"/>
        <w:jc w:val="both"/>
        <w:rPr>
          <w:szCs w:val="24"/>
        </w:rPr>
      </w:pPr>
      <w:r w:rsidRPr="00096248">
        <w:t xml:space="preserve">Limitations are much more serious for disadvantaged women residing in rural areas. Lack of a legal framework on elderly women’s rights protection in Albania leads to multiple barriers in the provision of legal guarantees. The situation is far more complicated for convicted women or women with mental health issues. There is a need to improve the </w:t>
      </w:r>
      <w:r w:rsidRPr="000813D1">
        <w:t>access of women with disabilities, Roma and Egyptian, and elderly women to health care centers.</w:t>
      </w:r>
      <w:r w:rsidR="000813D1" w:rsidRPr="000813D1">
        <w:t xml:space="preserve"> The lack of compensation for urban and interurban transport costs for persons with work related disabilities, or those with the status of the blind adversely impacts their economic situation, further deepening their vulnerability.</w:t>
      </w:r>
      <w:r w:rsidRPr="000813D1">
        <w:t xml:space="preserve"> </w:t>
      </w:r>
    </w:p>
    <w:p w:rsidR="00037955" w:rsidRDefault="00037955" w:rsidP="00037955">
      <w:pPr>
        <w:pStyle w:val="ListParagraph"/>
        <w:tabs>
          <w:tab w:val="left" w:pos="540"/>
          <w:tab w:val="left" w:pos="900"/>
          <w:tab w:val="left" w:pos="990"/>
          <w:tab w:val="left" w:pos="1260"/>
        </w:tabs>
        <w:ind w:left="0"/>
        <w:jc w:val="both"/>
        <w:rPr>
          <w:szCs w:val="24"/>
        </w:rPr>
      </w:pPr>
    </w:p>
    <w:p w:rsidR="000813D1" w:rsidRPr="00037955" w:rsidRDefault="000813D1" w:rsidP="00037955">
      <w:pPr>
        <w:pStyle w:val="ListParagraph"/>
        <w:tabs>
          <w:tab w:val="left" w:pos="540"/>
          <w:tab w:val="left" w:pos="900"/>
          <w:tab w:val="left" w:pos="990"/>
          <w:tab w:val="left" w:pos="1260"/>
        </w:tabs>
        <w:ind w:left="0"/>
        <w:jc w:val="both"/>
        <w:rPr>
          <w:szCs w:val="24"/>
        </w:rPr>
      </w:pPr>
      <w:r w:rsidRPr="00037955">
        <w:rPr>
          <w:iCs/>
        </w:rPr>
        <w:t>I</w:t>
      </w:r>
      <w:r w:rsidR="00B17883" w:rsidRPr="00037955">
        <w:rPr>
          <w:iCs/>
        </w:rPr>
        <w:t xml:space="preserve">t is necessary to increase the funds for improving the conditions and dignified treatment of convicted or detained women as well as of women hospitalized in mental health centers. </w:t>
      </w:r>
      <w:r w:rsidR="00B17883" w:rsidRPr="00037955">
        <w:t xml:space="preserve">There is an immediate need for a </w:t>
      </w:r>
      <w:r w:rsidRPr="00037955">
        <w:t>law on third age and to increase the number of residential and day care centers for elderly women in Albania. In the meanwhile, Roma/Egyptian women should be enabled to climb higher in the education ladder and be economically empowered by including them in employment boosting schemes. Moreover, measures need to be adopted to lower the number of Roma/Egyptian women being sexually harassed or abused on grounds of gender.</w:t>
      </w:r>
    </w:p>
    <w:p w:rsidR="000813D1" w:rsidRPr="002B4F99" w:rsidRDefault="000813D1" w:rsidP="000813D1">
      <w:pPr>
        <w:jc w:val="both"/>
        <w:rPr>
          <w:b/>
          <w:szCs w:val="24"/>
        </w:rPr>
        <w:sectPr w:rsidR="000813D1" w:rsidRPr="002B4F99" w:rsidSect="0098289B">
          <w:headerReference w:type="even" r:id="rId8"/>
          <w:headerReference w:type="default" r:id="rId9"/>
          <w:pgSz w:w="12240" w:h="15840"/>
          <w:pgMar w:top="1440" w:right="1440" w:bottom="1440" w:left="1440" w:header="720" w:footer="720" w:gutter="0"/>
          <w:pgNumType w:start="0"/>
          <w:cols w:space="720"/>
          <w:titlePg/>
          <w:docGrid w:linePitch="360"/>
        </w:sectPr>
      </w:pPr>
    </w:p>
    <w:p w:rsidR="00B86373" w:rsidRDefault="00B86373" w:rsidP="000813D1">
      <w:pPr>
        <w:jc w:val="both"/>
      </w:pPr>
    </w:p>
    <w:sectPr w:rsidR="00B86373">
      <w:headerReference w:type="even" r:id="rId1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0891" w:rsidRDefault="00100891" w:rsidP="00BC02EA">
      <w:pPr>
        <w:spacing w:after="0" w:line="240" w:lineRule="auto"/>
      </w:pPr>
      <w:r>
        <w:separator/>
      </w:r>
    </w:p>
  </w:endnote>
  <w:endnote w:type="continuationSeparator" w:id="0">
    <w:p w:rsidR="00100891" w:rsidRDefault="00100891" w:rsidP="00BC0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0891" w:rsidRDefault="00100891" w:rsidP="00BC02EA">
      <w:pPr>
        <w:spacing w:after="0" w:line="240" w:lineRule="auto"/>
      </w:pPr>
      <w:r>
        <w:separator/>
      </w:r>
    </w:p>
  </w:footnote>
  <w:footnote w:type="continuationSeparator" w:id="0">
    <w:p w:rsidR="00100891" w:rsidRDefault="00100891" w:rsidP="00BC02EA">
      <w:pPr>
        <w:spacing w:after="0" w:line="240" w:lineRule="auto"/>
      </w:pPr>
      <w:r>
        <w:continuationSeparator/>
      </w:r>
    </w:p>
  </w:footnote>
  <w:footnote w:id="1">
    <w:p w:rsidR="000813D1" w:rsidRPr="00E82FC4" w:rsidRDefault="000813D1" w:rsidP="000813D1">
      <w:pPr>
        <w:pStyle w:val="FootnoteText"/>
        <w:jc w:val="both"/>
      </w:pPr>
      <w:r>
        <w:rPr>
          <w:rStyle w:val="FootnoteReference"/>
        </w:rPr>
        <w:footnoteRef/>
      </w:r>
      <w:r>
        <w:t xml:space="preserve">Committee on the Elimination of Discrimination Against Women (2016), “Concluding Observations in the Fourth Albanian State Periodic Report”, retrieved on 29 January 2020 in </w:t>
      </w:r>
      <w:hyperlink r:id="rId1" w:history="1">
        <w:r>
          <w:rPr>
            <w:rStyle w:val="Hyperlink"/>
          </w:rPr>
          <w:t>https://tbinternet.ohchr.org/_layouts/15/treatybodyexternal/Doënload.aspx?symbolno=CEDAW%2fC%2fALB%2fCO%2f4&amp;Lang=en</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3D1" w:rsidRDefault="000813D1">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3D1" w:rsidRDefault="000813D1">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314" w:rsidRDefault="00373150">
    <w:r>
      <w:c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314" w:rsidRDefault="00373150">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E71B1"/>
    <w:multiLevelType w:val="multilevel"/>
    <w:tmpl w:val="A31CDB6C"/>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4E54771"/>
    <w:multiLevelType w:val="multilevel"/>
    <w:tmpl w:val="18B67C6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B0F50D5"/>
    <w:multiLevelType w:val="multilevel"/>
    <w:tmpl w:val="A3D2500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D6F4644"/>
    <w:multiLevelType w:val="multilevel"/>
    <w:tmpl w:val="18B67C6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3119519B"/>
    <w:multiLevelType w:val="multilevel"/>
    <w:tmpl w:val="C866716E"/>
    <w:lvl w:ilvl="0">
      <w:start w:val="1"/>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1C7EAB"/>
    <w:multiLevelType w:val="multilevel"/>
    <w:tmpl w:val="8F0E740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DD2356B"/>
    <w:multiLevelType w:val="hybridMultilevel"/>
    <w:tmpl w:val="1A2E9F22"/>
    <w:lvl w:ilvl="0" w:tplc="BF886942">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3EF6840"/>
    <w:multiLevelType w:val="multilevel"/>
    <w:tmpl w:val="34120AD4"/>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4303957"/>
    <w:multiLevelType w:val="hybridMultilevel"/>
    <w:tmpl w:val="51B623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0"/>
  </w:num>
  <w:num w:numId="5">
    <w:abstractNumId w:val="7"/>
  </w:num>
  <w:num w:numId="6">
    <w:abstractNumId w:val="1"/>
  </w:num>
  <w:num w:numId="7">
    <w:abstractNumId w:val="5"/>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883"/>
    <w:rsid w:val="00037955"/>
    <w:rsid w:val="00054DD9"/>
    <w:rsid w:val="0005664C"/>
    <w:rsid w:val="000813D1"/>
    <w:rsid w:val="000F56C9"/>
    <w:rsid w:val="00100891"/>
    <w:rsid w:val="001553BE"/>
    <w:rsid w:val="00181BE7"/>
    <w:rsid w:val="001A3E74"/>
    <w:rsid w:val="00205D45"/>
    <w:rsid w:val="00330AAA"/>
    <w:rsid w:val="00342E9D"/>
    <w:rsid w:val="00373150"/>
    <w:rsid w:val="003B5E99"/>
    <w:rsid w:val="003C284D"/>
    <w:rsid w:val="00471205"/>
    <w:rsid w:val="004A73B7"/>
    <w:rsid w:val="00533A3B"/>
    <w:rsid w:val="00551E67"/>
    <w:rsid w:val="00587370"/>
    <w:rsid w:val="00680A1B"/>
    <w:rsid w:val="006D1C80"/>
    <w:rsid w:val="006E159D"/>
    <w:rsid w:val="006F4562"/>
    <w:rsid w:val="007D1D41"/>
    <w:rsid w:val="007E59A0"/>
    <w:rsid w:val="00AD2D1C"/>
    <w:rsid w:val="00B17883"/>
    <w:rsid w:val="00B86373"/>
    <w:rsid w:val="00B96F27"/>
    <w:rsid w:val="00BC02EA"/>
    <w:rsid w:val="00CA571A"/>
    <w:rsid w:val="00D475BD"/>
    <w:rsid w:val="00DA0B3E"/>
    <w:rsid w:val="00E04376"/>
    <w:rsid w:val="00E12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C1E84A-4301-4C13-B77C-8DEFE4194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883"/>
    <w:rPr>
      <w:rFonts w:ascii="Times New Roman" w:eastAsia="Calibri" w:hAnsi="Times New Roman" w:cs="Times New Roman"/>
      <w:sz w:val="24"/>
    </w:rPr>
  </w:style>
  <w:style w:type="paragraph" w:styleId="Heading1">
    <w:name w:val="heading 1"/>
    <w:basedOn w:val="Normal"/>
    <w:next w:val="Normal"/>
    <w:link w:val="Heading1Char"/>
    <w:uiPriority w:val="9"/>
    <w:qFormat/>
    <w:rsid w:val="00B17883"/>
    <w:pPr>
      <w:keepNext/>
      <w:keepLines/>
      <w:spacing w:before="240" w:after="0" w:line="276" w:lineRule="auto"/>
      <w:outlineLvl w:val="0"/>
    </w:pPr>
    <w:rPr>
      <w:rFonts w:eastAsia="Times New Roman"/>
      <w:b/>
      <w:color w:val="000000"/>
      <w:szCs w:val="32"/>
    </w:rPr>
  </w:style>
  <w:style w:type="paragraph" w:styleId="Heading2">
    <w:name w:val="heading 2"/>
    <w:basedOn w:val="Normal"/>
    <w:next w:val="Normal"/>
    <w:link w:val="Heading2Char"/>
    <w:uiPriority w:val="9"/>
    <w:unhideWhenUsed/>
    <w:qFormat/>
    <w:rsid w:val="00B17883"/>
    <w:pPr>
      <w:keepNext/>
      <w:keepLines/>
      <w:spacing w:before="40" w:after="0"/>
      <w:outlineLvl w:val="1"/>
    </w:pPr>
    <w:rPr>
      <w:rFonts w:eastAsia="Times New Roman"/>
      <w:b/>
      <w:i/>
      <w:color w:val="000000"/>
      <w:szCs w:val="26"/>
    </w:rPr>
  </w:style>
  <w:style w:type="paragraph" w:styleId="Heading3">
    <w:name w:val="heading 3"/>
    <w:basedOn w:val="Normal"/>
    <w:next w:val="Normal"/>
    <w:link w:val="Heading3Char"/>
    <w:uiPriority w:val="9"/>
    <w:unhideWhenUsed/>
    <w:qFormat/>
    <w:rsid w:val="00B17883"/>
    <w:pPr>
      <w:keepNext/>
      <w:keepLines/>
      <w:spacing w:before="40" w:after="0"/>
      <w:outlineLvl w:val="2"/>
    </w:pPr>
    <w:rPr>
      <w:rFonts w:eastAsia="Times New Roman"/>
      <w:b/>
      <w:i/>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883"/>
    <w:rPr>
      <w:rFonts w:ascii="Times New Roman" w:eastAsia="Times New Roman" w:hAnsi="Times New Roman" w:cs="Times New Roman"/>
      <w:b/>
      <w:color w:val="000000"/>
      <w:sz w:val="24"/>
      <w:szCs w:val="32"/>
    </w:rPr>
  </w:style>
  <w:style w:type="character" w:customStyle="1" w:styleId="Heading2Char">
    <w:name w:val="Heading 2 Char"/>
    <w:basedOn w:val="DefaultParagraphFont"/>
    <w:link w:val="Heading2"/>
    <w:uiPriority w:val="9"/>
    <w:rsid w:val="00B17883"/>
    <w:rPr>
      <w:rFonts w:ascii="Times New Roman" w:eastAsia="Times New Roman" w:hAnsi="Times New Roman" w:cs="Times New Roman"/>
      <w:b/>
      <w:i/>
      <w:color w:val="000000"/>
      <w:sz w:val="24"/>
      <w:szCs w:val="26"/>
    </w:rPr>
  </w:style>
  <w:style w:type="character" w:customStyle="1" w:styleId="Heading3Char">
    <w:name w:val="Heading 3 Char"/>
    <w:basedOn w:val="DefaultParagraphFont"/>
    <w:link w:val="Heading3"/>
    <w:uiPriority w:val="9"/>
    <w:rsid w:val="00B17883"/>
    <w:rPr>
      <w:rFonts w:ascii="Times New Roman" w:eastAsia="Times New Roman" w:hAnsi="Times New Roman" w:cs="Times New Roman"/>
      <w:b/>
      <w:i/>
      <w:color w:val="000000"/>
      <w:sz w:val="24"/>
      <w:szCs w:val="24"/>
    </w:rPr>
  </w:style>
  <w:style w:type="paragraph" w:styleId="ListParagraph">
    <w:name w:val="List Paragraph"/>
    <w:aliases w:val="Colorful List - Accent 11,Normal 1,List Paragraph 1,Akapit z listą BS,List Paragraph1,Dot pt,F5 List Paragraph,List Paragraph Char Char Char,Indicator Text,Numbered Para 1,Bullet 1,Bullet Points,MAIN CONTENT,Párrafo de lista"/>
    <w:basedOn w:val="Normal"/>
    <w:link w:val="ListParagraphChar"/>
    <w:uiPriority w:val="34"/>
    <w:qFormat/>
    <w:rsid w:val="00B17883"/>
    <w:pPr>
      <w:ind w:left="720"/>
      <w:contextualSpacing/>
    </w:pPr>
  </w:style>
  <w:style w:type="character" w:customStyle="1" w:styleId="ListParagraphChar">
    <w:name w:val="List Paragraph Char"/>
    <w:aliases w:val="Colorful List - Accent 11 Char,Normal 1 Char,List Paragraph 1 Char,Akapit z listą BS Char,List Paragraph1 Char,Dot pt Char,F5 List Paragraph Char,List Paragraph Char Char Char Char,Indicator Text Char,Numbered Para 1 Char"/>
    <w:link w:val="ListParagraph"/>
    <w:uiPriority w:val="34"/>
    <w:qFormat/>
    <w:locked/>
    <w:rsid w:val="00B17883"/>
    <w:rPr>
      <w:rFonts w:ascii="Times New Roman" w:eastAsia="Calibri" w:hAnsi="Times New Roman" w:cs="Times New Roman"/>
      <w:sz w:val="24"/>
    </w:rPr>
  </w:style>
  <w:style w:type="paragraph" w:styleId="FootnoteText">
    <w:name w:val="footnote text"/>
    <w:aliases w:val="5_G,single space,footnote text,FOOTNOTES,fn Char Char,fn Char,fn,Footnote Text1 Char Char,Footnote Text1 Char Char Char Char Char,Footnote Text1 Char Char Char Char,ADB,pod carou Char Char,pod carou Ch,Char,pod carou,Fußnote,Footnotes,ft"/>
    <w:basedOn w:val="Normal"/>
    <w:link w:val="FootnoteTextChar"/>
    <w:uiPriority w:val="99"/>
    <w:unhideWhenUsed/>
    <w:qFormat/>
    <w:rsid w:val="00BC02EA"/>
    <w:pPr>
      <w:spacing w:after="0" w:line="240" w:lineRule="auto"/>
    </w:pPr>
    <w:rPr>
      <w:sz w:val="20"/>
      <w:szCs w:val="20"/>
    </w:rPr>
  </w:style>
  <w:style w:type="character" w:customStyle="1" w:styleId="FootnoteTextChar">
    <w:name w:val="Footnote Text Char"/>
    <w:aliases w:val="5_G Char,single space Char,footnote text Char,FOOTNOTES Char,fn Char Char Char,fn Char Char1,fn Char1,Footnote Text1 Char Char Char,Footnote Text1 Char Char Char Char Char Char,Footnote Text1 Char Char Char Char Char1,ADB Char,ft Char"/>
    <w:basedOn w:val="DefaultParagraphFont"/>
    <w:link w:val="FootnoteText"/>
    <w:uiPriority w:val="99"/>
    <w:rsid w:val="00BC02EA"/>
    <w:rPr>
      <w:rFonts w:ascii="Times New Roman" w:eastAsia="Calibri" w:hAnsi="Times New Roman" w:cs="Times New Roman"/>
      <w:sz w:val="20"/>
      <w:szCs w:val="20"/>
    </w:rPr>
  </w:style>
  <w:style w:type="character" w:styleId="FootnoteReference">
    <w:name w:val="footnote reference"/>
    <w:aliases w:val="16 Point Char,Superscript 6 Point Char,Odwołanie przypisu Char,Footnote symbol Char,ftref Char,BVI fnr Char,Footnote Reference Number Char,Footnote Reference_LVL6 Char,Footnote Reference_LVL61 Char,Footnote Reference_LVL62 Char,4_G Ch"/>
    <w:link w:val="16Point"/>
    <w:unhideWhenUsed/>
    <w:qFormat/>
    <w:rsid w:val="00BC02EA"/>
    <w:rPr>
      <w:vertAlign w:val="superscript"/>
    </w:rPr>
  </w:style>
  <w:style w:type="paragraph" w:customStyle="1" w:styleId="16Point">
    <w:name w:val="16 Point"/>
    <w:aliases w:val="Superscript 6 Point,Odwołanie przypisu,Footnote symbol,ftref,BVI fnr,Footnote Reference Number,Footnote Reference_LVL6,Footnote Reference_LVL61,Footnote Reference_LVL62,Footnote Reference_LVL63,Footnote Reference_LVL64,fr,Footnote Car Zchn Zchn"/>
    <w:basedOn w:val="Normal"/>
    <w:link w:val="FootnoteReference"/>
    <w:rsid w:val="00BC02EA"/>
    <w:pPr>
      <w:spacing w:line="240" w:lineRule="exact"/>
    </w:pPr>
    <w:rPr>
      <w:rFonts w:asciiTheme="minorHAnsi" w:eastAsiaTheme="minorHAnsi" w:hAnsiTheme="minorHAnsi" w:cstheme="minorBidi"/>
      <w:sz w:val="22"/>
      <w:vertAlign w:val="superscript"/>
    </w:rPr>
  </w:style>
  <w:style w:type="character" w:styleId="Hyperlink">
    <w:name w:val="Hyperlink"/>
    <w:uiPriority w:val="99"/>
    <w:unhideWhenUsed/>
    <w:rsid w:val="000813D1"/>
    <w:rPr>
      <w:color w:val="0000FF"/>
      <w:u w:val="single"/>
    </w:rPr>
  </w:style>
  <w:style w:type="paragraph" w:styleId="NoSpacing">
    <w:name w:val="No Spacing"/>
    <w:link w:val="NoSpacingChar"/>
    <w:uiPriority w:val="1"/>
    <w:qFormat/>
    <w:rsid w:val="000F56C9"/>
    <w:pPr>
      <w:spacing w:after="0" w:line="240" w:lineRule="auto"/>
    </w:pPr>
    <w:rPr>
      <w:rFonts w:eastAsiaTheme="minorEastAsia"/>
    </w:rPr>
  </w:style>
  <w:style w:type="character" w:customStyle="1" w:styleId="NoSpacingChar">
    <w:name w:val="No Spacing Char"/>
    <w:basedOn w:val="DefaultParagraphFont"/>
    <w:link w:val="NoSpacing"/>
    <w:uiPriority w:val="1"/>
    <w:rsid w:val="000F56C9"/>
    <w:rPr>
      <w:rFonts w:eastAsiaTheme="minorEastAsia"/>
    </w:rPr>
  </w:style>
  <w:style w:type="paragraph" w:styleId="Footer">
    <w:name w:val="footer"/>
    <w:basedOn w:val="Normal"/>
    <w:link w:val="FooterChar"/>
    <w:uiPriority w:val="99"/>
    <w:unhideWhenUsed/>
    <w:rsid w:val="000379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955"/>
    <w:rPr>
      <w:rFonts w:ascii="Times New Roman" w:eastAsia="Calibri" w:hAnsi="Times New Roman" w:cs="Times New Roman"/>
      <w:sz w:val="24"/>
    </w:rPr>
  </w:style>
  <w:style w:type="paragraph" w:styleId="Header">
    <w:name w:val="header"/>
    <w:basedOn w:val="Normal"/>
    <w:link w:val="HeaderChar"/>
    <w:uiPriority w:val="99"/>
    <w:unhideWhenUsed/>
    <w:rsid w:val="000379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7955"/>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3C284D"/>
    <w:pPr>
      <w:spacing w:after="0" w:line="240" w:lineRule="auto"/>
    </w:pPr>
    <w:rPr>
      <w:sz w:val="18"/>
      <w:szCs w:val="18"/>
    </w:rPr>
  </w:style>
  <w:style w:type="character" w:customStyle="1" w:styleId="BalloonTextChar">
    <w:name w:val="Balloon Text Char"/>
    <w:basedOn w:val="DefaultParagraphFont"/>
    <w:link w:val="BalloonText"/>
    <w:uiPriority w:val="99"/>
    <w:semiHidden/>
    <w:rsid w:val="003C284D"/>
    <w:rPr>
      <w:rFonts w:ascii="Times New Roman" w:eastAsia="Calibri"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EDAW/C/ALB/CO/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2020-08-28T00:00:00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F191D5-E193-4960-8814-F39787F4DB2A}"/>
</file>

<file path=customXml/itemProps3.xml><?xml version="1.0" encoding="utf-8"?>
<ds:datastoreItem xmlns:ds="http://schemas.openxmlformats.org/officeDocument/2006/customXml" ds:itemID="{CFA48C1B-2D19-4E27-B9AB-B645F455F0F9}"/>
</file>

<file path=customXml/itemProps4.xml><?xml version="1.0" encoding="utf-8"?>
<ds:datastoreItem xmlns:ds="http://schemas.openxmlformats.org/officeDocument/2006/customXml" ds:itemID="{61A10FB2-3EA1-42CB-88D1-4CBA91A5CE00}"/>
</file>

<file path=docProps/app.xml><?xml version="1.0" encoding="utf-8"?>
<Properties xmlns="http://schemas.openxmlformats.org/officeDocument/2006/extended-properties" xmlns:vt="http://schemas.openxmlformats.org/officeDocument/2006/docPropsVTypes">
  <Template>Normal</Template>
  <TotalTime>1</TotalTime>
  <Pages>9</Pages>
  <Words>3240</Words>
  <Characters>18472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ALTERNATIVE REPORT ON THE IMPLEMENTATION OF THE CONVENTION ON THE ELEMINATION OF ALL FORMS OF DISCRIMINATION AGAINST WOMEN (CEDAW) IN ALBANIA (2016-2020)</vt:lpstr>
    </vt:vector>
  </TitlesOfParts>
  <Company/>
  <LinksUpToDate>false</LinksUpToDate>
  <CharactersWithSpaces>21669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 ON THE IMPLEMENTATION OF THE CONVENTION ON THE ELEMINATION OF ALL FORMS OF DISCRIMINATION AGAINST WOMEN (CEDAW) IN ALBANIA (2016-2020)</dc:title>
  <dc:subject>Prepared by Ombudsman of Republic of Albania for the presentation before the United Nations Committee on the Elimination of All Forms of Discrimination against Women.</dc:subject>
  <dc:creator>Nadia Rusi</dc:creator>
  <cp:keywords/>
  <dc:description/>
  <cp:lastModifiedBy>Etleva Sheshi</cp:lastModifiedBy>
  <cp:revision>2</cp:revision>
  <dcterms:created xsi:type="dcterms:W3CDTF">2021-01-27T12:09:00Z</dcterms:created>
  <dcterms:modified xsi:type="dcterms:W3CDTF">2021-01-27T12:09:00Z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