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5D6F9" w14:textId="77777777" w:rsidR="00CF4BEB" w:rsidRDefault="00CF4BEB" w:rsidP="00CF4BEB">
      <w:pPr>
        <w:pBdr>
          <w:bottom w:val="single" w:sz="6" w:space="1" w:color="auto"/>
        </w:pBdr>
        <w:jc w:val="both"/>
        <w:outlineLvl w:val="0"/>
        <w:rPr>
          <w:rFonts w:ascii="Arial" w:eastAsia="Times New Roman" w:hAnsi="Arial" w:cs="Arial"/>
          <w:b/>
          <w:bCs/>
          <w:color w:val="000000"/>
          <w:kern w:val="36"/>
          <w:sz w:val="32"/>
          <w:szCs w:val="32"/>
          <w:lang w:eastAsia="en-GB"/>
          <w14:ligatures w14:val="none"/>
        </w:rPr>
      </w:pPr>
      <w:r w:rsidRPr="00403A75">
        <w:rPr>
          <w:rFonts w:ascii="Arial" w:eastAsia="Times New Roman" w:hAnsi="Arial" w:cs="Arial"/>
          <w:b/>
          <w:bCs/>
          <w:color w:val="000000"/>
          <w:kern w:val="36"/>
          <w:sz w:val="32"/>
          <w:szCs w:val="32"/>
          <w:lang w:eastAsia="en-GB"/>
          <w14:ligatures w14:val="none"/>
        </w:rPr>
        <w:t>Child Marriage in Malaysia: Structural Gaps, Systemic Failures and Ongoing Non-Compliance with the Convention on the Rights of the Child</w:t>
      </w:r>
    </w:p>
    <w:p w14:paraId="4D006464" w14:textId="6749F2DD" w:rsidR="00403A75" w:rsidRDefault="00403A75" w:rsidP="00CF4BEB">
      <w:pPr>
        <w:pBdr>
          <w:bottom w:val="single" w:sz="6" w:space="1" w:color="auto"/>
        </w:pBdr>
        <w:jc w:val="both"/>
        <w:outlineLvl w:val="0"/>
        <w:rPr>
          <w:rFonts w:ascii="Arial" w:eastAsia="Times New Roman" w:hAnsi="Arial" w:cs="Arial"/>
          <w:color w:val="000000"/>
          <w:kern w:val="36"/>
          <w:lang w:eastAsia="en-GB"/>
          <w14:ligatures w14:val="none"/>
        </w:rPr>
      </w:pPr>
      <w:r>
        <w:rPr>
          <w:rFonts w:ascii="Arial" w:eastAsia="Times New Roman" w:hAnsi="Arial" w:cs="Arial"/>
          <w:color w:val="000000"/>
          <w:kern w:val="36"/>
          <w:lang w:eastAsia="en-GB"/>
          <w14:ligatures w14:val="none"/>
        </w:rPr>
        <w:t>Reported by : SIS Forum (Malaysia)</w:t>
      </w:r>
    </w:p>
    <w:p w14:paraId="0F83D250" w14:textId="77777777" w:rsidR="00403A75" w:rsidRPr="00403A75" w:rsidRDefault="00403A75" w:rsidP="00CF4BEB">
      <w:pPr>
        <w:pBdr>
          <w:bottom w:val="single" w:sz="6" w:space="1" w:color="auto"/>
        </w:pBdr>
        <w:jc w:val="both"/>
        <w:outlineLvl w:val="0"/>
        <w:rPr>
          <w:rFonts w:ascii="Arial" w:eastAsia="Times New Roman" w:hAnsi="Arial" w:cs="Arial"/>
          <w:color w:val="000000"/>
          <w:kern w:val="36"/>
          <w:lang w:eastAsia="en-GB"/>
          <w14:ligatures w14:val="none"/>
        </w:rPr>
      </w:pPr>
    </w:p>
    <w:p w14:paraId="50C647A1" w14:textId="77777777" w:rsidR="00403A75" w:rsidRDefault="00403A75" w:rsidP="00CF4BEB">
      <w:pPr>
        <w:jc w:val="both"/>
        <w:rPr>
          <w:rFonts w:ascii="Arial" w:eastAsia="Times New Roman" w:hAnsi="Arial" w:cs="Arial"/>
          <w:kern w:val="0"/>
          <w:lang w:eastAsia="en-GB"/>
          <w14:ligatures w14:val="none"/>
        </w:rPr>
      </w:pPr>
    </w:p>
    <w:p w14:paraId="628250D0" w14:textId="6DAF04D8" w:rsidR="00171BCF" w:rsidRPr="00325C8C" w:rsidRDefault="00325C8C" w:rsidP="00325C8C">
      <w:pPr>
        <w:jc w:val="both"/>
        <w:outlineLvl w:val="1"/>
        <w:rPr>
          <w:rFonts w:ascii="Arial" w:eastAsia="Times New Roman" w:hAnsi="Arial" w:cs="Arial"/>
          <w:b/>
          <w:bCs/>
          <w:color w:val="000000"/>
          <w:kern w:val="0"/>
          <w:lang w:eastAsia="en-GB"/>
          <w14:ligatures w14:val="none"/>
        </w:rPr>
      </w:pPr>
      <w:r w:rsidRPr="00325C8C">
        <w:rPr>
          <w:rFonts w:ascii="Arial" w:eastAsia="Times New Roman" w:hAnsi="Arial" w:cs="Arial"/>
          <w:b/>
          <w:bCs/>
          <w:color w:val="000000"/>
          <w:kern w:val="0"/>
          <w:lang w:eastAsia="en-GB"/>
          <w14:ligatures w14:val="none"/>
        </w:rPr>
        <w:t xml:space="preserve">A. </w:t>
      </w:r>
      <w:r w:rsidRPr="00325C8C">
        <w:rPr>
          <w:rFonts w:ascii="Arial" w:eastAsia="Times New Roman" w:hAnsi="Arial" w:cs="Arial"/>
          <w:b/>
          <w:bCs/>
          <w:color w:val="000000"/>
          <w:kern w:val="0"/>
          <w:lang w:eastAsia="en-GB"/>
          <w14:ligatures w14:val="none"/>
        </w:rPr>
        <w:tab/>
      </w:r>
      <w:r w:rsidR="00171BCF" w:rsidRPr="00325C8C">
        <w:rPr>
          <w:rFonts w:ascii="Arial" w:eastAsia="Times New Roman" w:hAnsi="Arial" w:cs="Arial"/>
          <w:b/>
          <w:bCs/>
          <w:color w:val="000000"/>
          <w:kern w:val="0"/>
          <w:lang w:eastAsia="en-GB"/>
          <w14:ligatures w14:val="none"/>
        </w:rPr>
        <w:t>Executive Summary</w:t>
      </w:r>
    </w:p>
    <w:p w14:paraId="1514E1A0" w14:textId="77777777" w:rsidR="00171BCF" w:rsidRPr="00325C8C" w:rsidRDefault="00171BCF" w:rsidP="00325C8C">
      <w:pPr>
        <w:jc w:val="both"/>
        <w:outlineLvl w:val="1"/>
        <w:rPr>
          <w:rFonts w:ascii="Arial" w:eastAsia="Times New Roman" w:hAnsi="Arial" w:cs="Arial"/>
          <w:b/>
          <w:bCs/>
          <w:color w:val="000000"/>
          <w:kern w:val="0"/>
          <w:u w:val="single"/>
          <w:lang w:eastAsia="en-GB"/>
          <w14:ligatures w14:val="none"/>
        </w:rPr>
      </w:pPr>
    </w:p>
    <w:p w14:paraId="01C4CED0" w14:textId="77777777" w:rsidR="00325C8C" w:rsidRDefault="00325C8C" w:rsidP="00325C8C">
      <w:pPr>
        <w:pStyle w:val="NormalWeb"/>
        <w:spacing w:before="0" w:beforeAutospacing="0" w:after="0" w:afterAutospacing="0"/>
        <w:jc w:val="both"/>
        <w:rPr>
          <w:rFonts w:ascii="Arial" w:hAnsi="Arial" w:cs="Arial"/>
          <w:color w:val="000000"/>
        </w:rPr>
      </w:pPr>
      <w:r w:rsidRPr="00325C8C">
        <w:rPr>
          <w:rFonts w:ascii="Arial" w:hAnsi="Arial" w:cs="Arial"/>
          <w:color w:val="000000"/>
        </w:rPr>
        <w:t>Child marriage remains a persistent human rights concern in Malaysia, enabled by fragmented legal frameworks and discretionary exceptions that permit marriage below the age of eighteen. While official statistics indicate a decline in recorded cases, these figures reflect only formally registered marriages and do not capture unregistered Syariah, customary, cross-border or informal unions, particularly among marginalised populations. The true scale of child marriage therefore remains underestimated.</w:t>
      </w:r>
    </w:p>
    <w:p w14:paraId="11D0112F" w14:textId="77777777" w:rsidR="00325C8C" w:rsidRPr="00325C8C" w:rsidRDefault="00325C8C" w:rsidP="00325C8C">
      <w:pPr>
        <w:pStyle w:val="NormalWeb"/>
        <w:spacing w:before="0" w:beforeAutospacing="0" w:after="0" w:afterAutospacing="0"/>
        <w:jc w:val="both"/>
        <w:rPr>
          <w:rFonts w:ascii="Arial" w:hAnsi="Arial" w:cs="Arial"/>
          <w:color w:val="000000"/>
        </w:rPr>
      </w:pPr>
    </w:p>
    <w:p w14:paraId="763EBE54" w14:textId="77777777" w:rsidR="00325C8C" w:rsidRDefault="00325C8C" w:rsidP="00325C8C">
      <w:pPr>
        <w:pStyle w:val="NormalWeb"/>
        <w:spacing w:before="0" w:beforeAutospacing="0" w:after="0" w:afterAutospacing="0"/>
        <w:jc w:val="both"/>
        <w:rPr>
          <w:rFonts w:ascii="Arial" w:hAnsi="Arial" w:cs="Arial"/>
          <w:color w:val="000000"/>
        </w:rPr>
      </w:pPr>
      <w:r w:rsidRPr="00325C8C">
        <w:rPr>
          <w:rFonts w:ascii="Arial" w:hAnsi="Arial" w:cs="Arial"/>
          <w:color w:val="000000"/>
        </w:rPr>
        <w:t>Malaysia’s marriage laws are divided across civil, Syariah and customary systems, each applying different minimum age standards and allowing judicial or administrative approval for underage marriages. These discretionary pathways undermine the protective purpose of age-based safeguards and fall short of international standards, which require a clear and unconditional minimum age of marriage at eighteen. Procedural guidelines and standard operating procedures do not address this structural deficiency and continue to legitimise child marriage in law and practice.</w:t>
      </w:r>
    </w:p>
    <w:p w14:paraId="2B1B277A" w14:textId="77777777" w:rsidR="00325C8C" w:rsidRPr="00325C8C" w:rsidRDefault="00325C8C" w:rsidP="00325C8C">
      <w:pPr>
        <w:pStyle w:val="NormalWeb"/>
        <w:spacing w:before="0" w:beforeAutospacing="0" w:after="0" w:afterAutospacing="0"/>
        <w:jc w:val="both"/>
        <w:rPr>
          <w:rFonts w:ascii="Arial" w:hAnsi="Arial" w:cs="Arial"/>
          <w:color w:val="000000"/>
        </w:rPr>
      </w:pPr>
    </w:p>
    <w:p w14:paraId="60188245" w14:textId="77777777" w:rsidR="00325C8C" w:rsidRDefault="00325C8C" w:rsidP="00325C8C">
      <w:pPr>
        <w:pStyle w:val="NormalWeb"/>
        <w:spacing w:before="0" w:beforeAutospacing="0" w:after="0" w:afterAutospacing="0"/>
        <w:jc w:val="both"/>
        <w:rPr>
          <w:rFonts w:ascii="Arial" w:hAnsi="Arial" w:cs="Arial"/>
          <w:color w:val="000000"/>
        </w:rPr>
      </w:pPr>
      <w:r w:rsidRPr="00325C8C">
        <w:rPr>
          <w:rFonts w:ascii="Arial" w:hAnsi="Arial" w:cs="Arial"/>
          <w:color w:val="000000"/>
        </w:rPr>
        <w:t>Government responses have focused largely on administrative coordination, awareness programmes and sector-specific initiatives. However, enforcement of child-protection laws remains inconsistent, child-friendly justice mechanisms are limited and children rarely have access to independent legal representation in marriage-related proceedings. Decision-making continues to be adult driven and influenced by parental authority, social norms and moral considerations rather than being firmly grounded in the best interests of the child.</w:t>
      </w:r>
    </w:p>
    <w:p w14:paraId="1020BFDD" w14:textId="77777777" w:rsidR="00325C8C" w:rsidRPr="00325C8C" w:rsidRDefault="00325C8C" w:rsidP="00325C8C">
      <w:pPr>
        <w:pStyle w:val="NormalWeb"/>
        <w:spacing w:before="0" w:beforeAutospacing="0" w:after="0" w:afterAutospacing="0"/>
        <w:jc w:val="both"/>
        <w:rPr>
          <w:rFonts w:ascii="Arial" w:hAnsi="Arial" w:cs="Arial"/>
          <w:color w:val="000000"/>
        </w:rPr>
      </w:pPr>
    </w:p>
    <w:p w14:paraId="274A7519" w14:textId="77777777" w:rsidR="00325C8C" w:rsidRDefault="00325C8C" w:rsidP="00325C8C">
      <w:pPr>
        <w:pStyle w:val="NormalWeb"/>
        <w:spacing w:before="0" w:beforeAutospacing="0" w:after="0" w:afterAutospacing="0"/>
        <w:jc w:val="both"/>
        <w:rPr>
          <w:rFonts w:ascii="Arial" w:hAnsi="Arial" w:cs="Arial"/>
          <w:color w:val="000000"/>
        </w:rPr>
      </w:pPr>
      <w:r w:rsidRPr="00325C8C">
        <w:rPr>
          <w:rFonts w:ascii="Arial" w:hAnsi="Arial" w:cs="Arial"/>
          <w:color w:val="000000"/>
        </w:rPr>
        <w:t>Structural factors including poverty, gender inequality, limited access to sexual and reproductive health services and gaps in social protection further contribute to early marriage. Indigenous children, stateless and undocumented children, refugees and children living in poverty face heightened risks due to exclusion from education and essential services. Weak and fragmented data systems impede effective monitoring, accountability and policy development.</w:t>
      </w:r>
    </w:p>
    <w:p w14:paraId="22904BDB" w14:textId="77777777" w:rsidR="00325C8C" w:rsidRPr="00325C8C" w:rsidRDefault="00325C8C" w:rsidP="00325C8C">
      <w:pPr>
        <w:pStyle w:val="NormalWeb"/>
        <w:spacing w:before="0" w:beforeAutospacing="0" w:after="0" w:afterAutospacing="0"/>
        <w:jc w:val="both"/>
        <w:rPr>
          <w:rFonts w:ascii="Arial" w:hAnsi="Arial" w:cs="Arial"/>
          <w:color w:val="000000"/>
        </w:rPr>
      </w:pPr>
    </w:p>
    <w:p w14:paraId="6E7B065D" w14:textId="77777777" w:rsidR="00325C8C" w:rsidRDefault="00325C8C" w:rsidP="00325C8C">
      <w:pPr>
        <w:pStyle w:val="NormalWeb"/>
        <w:spacing w:before="0" w:beforeAutospacing="0" w:after="0" w:afterAutospacing="0"/>
        <w:jc w:val="both"/>
        <w:rPr>
          <w:rFonts w:ascii="Arial" w:hAnsi="Arial" w:cs="Arial"/>
          <w:color w:val="000000"/>
        </w:rPr>
      </w:pPr>
      <w:r w:rsidRPr="00325C8C">
        <w:rPr>
          <w:rFonts w:ascii="Arial" w:hAnsi="Arial" w:cs="Arial"/>
          <w:color w:val="000000"/>
        </w:rPr>
        <w:t>In 2025, compulsory secondary education was introduced, representing a potentially important protective measure. However, its impact has yet to be assessed, and concerns remain regarding enforcement, dropout prevention and inclusive access for marginalised children.</w:t>
      </w:r>
    </w:p>
    <w:p w14:paraId="5D2491C0" w14:textId="77777777" w:rsidR="00325C8C" w:rsidRPr="00325C8C" w:rsidRDefault="00325C8C" w:rsidP="00325C8C">
      <w:pPr>
        <w:pStyle w:val="NormalWeb"/>
        <w:spacing w:before="0" w:beforeAutospacing="0" w:after="0" w:afterAutospacing="0"/>
        <w:jc w:val="both"/>
        <w:rPr>
          <w:rFonts w:ascii="Arial" w:hAnsi="Arial" w:cs="Arial"/>
          <w:color w:val="000000"/>
        </w:rPr>
      </w:pPr>
    </w:p>
    <w:p w14:paraId="4B7BCA0A" w14:textId="5EF84DC9" w:rsidR="00403A75" w:rsidRPr="00325C8C" w:rsidRDefault="00325C8C" w:rsidP="00325C8C">
      <w:pPr>
        <w:pStyle w:val="NormalWeb"/>
        <w:spacing w:before="0" w:beforeAutospacing="0" w:after="0" w:afterAutospacing="0"/>
        <w:jc w:val="both"/>
        <w:rPr>
          <w:rFonts w:ascii="Arial" w:hAnsi="Arial" w:cs="Arial"/>
          <w:color w:val="000000"/>
        </w:rPr>
      </w:pPr>
      <w:r w:rsidRPr="00325C8C">
        <w:rPr>
          <w:rFonts w:ascii="Arial" w:hAnsi="Arial" w:cs="Arial"/>
          <w:color w:val="000000"/>
        </w:rPr>
        <w:t>This report finds that child marriage in Malaysia is sustained by systemic legal and governance failures rather than isolated practices. Without establishing a uniform minimum age of marriage at eighteen without exceptions, strengthening child-protection mechanisms and ensuring coordinated federal leadership, Malaysia will remain in partial non-compliance with its obligations under the Convention on the Rights of the Child.</w:t>
      </w:r>
    </w:p>
    <w:p w14:paraId="13318A2A" w14:textId="7CDF1393" w:rsidR="00CF4BEB" w:rsidRPr="001D3039" w:rsidRDefault="00171BCF" w:rsidP="001D3039">
      <w:pPr>
        <w:jc w:val="both"/>
        <w:outlineLvl w:val="1"/>
        <w:rPr>
          <w:rFonts w:ascii="Arial" w:eastAsia="Times New Roman" w:hAnsi="Arial" w:cs="Arial"/>
          <w:b/>
          <w:bCs/>
          <w:color w:val="000000"/>
          <w:kern w:val="0"/>
          <w:lang w:eastAsia="en-GB"/>
          <w14:ligatures w14:val="none"/>
        </w:rPr>
      </w:pPr>
      <w:r w:rsidRPr="001D3039">
        <w:rPr>
          <w:rFonts w:ascii="Arial" w:eastAsia="Times New Roman" w:hAnsi="Arial" w:cs="Arial"/>
          <w:b/>
          <w:bCs/>
          <w:color w:val="000000"/>
          <w:kern w:val="0"/>
          <w:lang w:eastAsia="en-GB"/>
          <w14:ligatures w14:val="none"/>
        </w:rPr>
        <w:lastRenderedPageBreak/>
        <w:t>B</w:t>
      </w:r>
      <w:r w:rsidR="00CF4BEB" w:rsidRPr="001D3039">
        <w:rPr>
          <w:rFonts w:ascii="Arial" w:eastAsia="Times New Roman" w:hAnsi="Arial" w:cs="Arial"/>
          <w:b/>
          <w:bCs/>
          <w:color w:val="000000"/>
          <w:kern w:val="0"/>
          <w:lang w:eastAsia="en-GB"/>
          <w14:ligatures w14:val="none"/>
        </w:rPr>
        <w:t>.</w:t>
      </w:r>
      <w:r w:rsidR="00DB2352" w:rsidRPr="001D3039">
        <w:rPr>
          <w:rFonts w:ascii="Arial" w:eastAsia="Times New Roman" w:hAnsi="Arial" w:cs="Arial"/>
          <w:b/>
          <w:bCs/>
          <w:color w:val="000000"/>
          <w:kern w:val="0"/>
          <w:lang w:eastAsia="en-GB"/>
          <w14:ligatures w14:val="none"/>
        </w:rPr>
        <w:tab/>
      </w:r>
      <w:r w:rsidR="00CF4BEB" w:rsidRPr="001D3039">
        <w:rPr>
          <w:rFonts w:ascii="Arial" w:eastAsia="Times New Roman" w:hAnsi="Arial" w:cs="Arial"/>
          <w:b/>
          <w:bCs/>
          <w:color w:val="000000"/>
          <w:kern w:val="0"/>
          <w:lang w:eastAsia="en-GB"/>
          <w14:ligatures w14:val="none"/>
        </w:rPr>
        <w:t>Legal Fragmentation and the Absence of a Uniform Minimum Age</w:t>
      </w:r>
    </w:p>
    <w:p w14:paraId="6E8E32CA" w14:textId="77777777" w:rsidR="000F48F6" w:rsidRPr="001D3039" w:rsidRDefault="000F48F6" w:rsidP="001D3039">
      <w:pPr>
        <w:jc w:val="both"/>
        <w:rPr>
          <w:rFonts w:ascii="Arial" w:eastAsia="Times New Roman" w:hAnsi="Arial" w:cs="Arial"/>
          <w:color w:val="000000"/>
          <w:kern w:val="0"/>
          <w:lang w:eastAsia="en-GB"/>
          <w14:ligatures w14:val="none"/>
        </w:rPr>
      </w:pPr>
    </w:p>
    <w:p w14:paraId="0CEA6131" w14:textId="77777777" w:rsidR="001D3039" w:rsidRDefault="001D3039" w:rsidP="001D3039">
      <w:pPr>
        <w:pStyle w:val="NormalWeb"/>
        <w:spacing w:before="0" w:beforeAutospacing="0" w:after="0" w:afterAutospacing="0"/>
        <w:jc w:val="both"/>
        <w:rPr>
          <w:rFonts w:ascii="Arial" w:hAnsi="Arial" w:cs="Arial"/>
          <w:color w:val="000000"/>
        </w:rPr>
      </w:pPr>
      <w:r w:rsidRPr="001D3039">
        <w:rPr>
          <w:rFonts w:ascii="Arial" w:hAnsi="Arial" w:cs="Arial"/>
          <w:color w:val="000000"/>
        </w:rPr>
        <w:t>Malaysia’s marriage laws remain structurally fragmented across civil, Syariah and customary systems, each applying different minimum age standards and preserving broad discretionary exceptions. This fragmentation remains the principal barrier to establishing a uniform minimum marriage age consistent with the Convention on the Rights of the Child. Across these regimes, marriage below eighteen is permitted through administrative or judicial approval, undermining the protective purpose of age-based safeguards.</w:t>
      </w:r>
    </w:p>
    <w:p w14:paraId="79D1B593" w14:textId="77777777" w:rsidR="001D3039" w:rsidRPr="001D3039" w:rsidRDefault="001D3039" w:rsidP="001D3039">
      <w:pPr>
        <w:pStyle w:val="NormalWeb"/>
        <w:spacing w:before="0" w:beforeAutospacing="0" w:after="0" w:afterAutospacing="0"/>
        <w:jc w:val="both"/>
        <w:rPr>
          <w:rFonts w:ascii="Arial" w:hAnsi="Arial" w:cs="Arial"/>
          <w:color w:val="000000"/>
        </w:rPr>
      </w:pPr>
    </w:p>
    <w:p w14:paraId="169F3BB1" w14:textId="77777777" w:rsidR="001D3039" w:rsidRDefault="001D3039" w:rsidP="001D3039">
      <w:pPr>
        <w:pStyle w:val="NormalWeb"/>
        <w:spacing w:before="0" w:beforeAutospacing="0" w:after="0" w:afterAutospacing="0"/>
        <w:jc w:val="both"/>
        <w:rPr>
          <w:rFonts w:ascii="Arial" w:hAnsi="Arial" w:cs="Arial"/>
          <w:color w:val="000000"/>
        </w:rPr>
      </w:pPr>
      <w:r w:rsidRPr="001D3039">
        <w:rPr>
          <w:rFonts w:ascii="Arial" w:hAnsi="Arial" w:cs="Arial"/>
          <w:color w:val="000000"/>
        </w:rPr>
        <w:t>Under civil law, girls may marry at sixteen with ministerial consent. Under Islamic law, the minimum age is generally eighteen for males and sixteen for females, with Syariah courts empowered to approve marriages below these thresholds in exceptional circumstances. Such approvals are not governed by clear statutory criteria and rely heavily on judicial discretion, resulting in subjective decision-making rather than a rights-based assessment grounded in the best interests of the child.</w:t>
      </w:r>
    </w:p>
    <w:p w14:paraId="2C1600BB" w14:textId="77777777" w:rsidR="001D3039" w:rsidRPr="001D3039" w:rsidRDefault="001D3039" w:rsidP="001D3039">
      <w:pPr>
        <w:pStyle w:val="NormalWeb"/>
        <w:spacing w:before="0" w:beforeAutospacing="0" w:after="0" w:afterAutospacing="0"/>
        <w:jc w:val="both"/>
        <w:rPr>
          <w:rFonts w:ascii="Arial" w:hAnsi="Arial" w:cs="Arial"/>
          <w:color w:val="000000"/>
        </w:rPr>
      </w:pPr>
    </w:p>
    <w:p w14:paraId="75C1B330" w14:textId="77777777" w:rsidR="001D3039" w:rsidRDefault="001D3039" w:rsidP="001D3039">
      <w:pPr>
        <w:pStyle w:val="NormalWeb"/>
        <w:spacing w:before="0" w:beforeAutospacing="0" w:after="0" w:afterAutospacing="0"/>
        <w:jc w:val="both"/>
        <w:rPr>
          <w:rFonts w:ascii="Arial" w:hAnsi="Arial" w:cs="Arial"/>
          <w:color w:val="000000"/>
        </w:rPr>
      </w:pPr>
      <w:r w:rsidRPr="001D3039">
        <w:rPr>
          <w:rFonts w:ascii="Arial" w:hAnsi="Arial" w:cs="Arial"/>
          <w:color w:val="000000"/>
        </w:rPr>
        <w:t>Although official data presented in Parliament indicates a decline in recorded child marriages from 1,467 cases in 2019 to 923 cases in 2023, these figures must be interpreted with caution. Legal pathways permitting underage marriage ensure that official statistics capture only a limited segment of the practice. Many cases occur outside civil registration or through Syariah processes that are not consistently integrated into national data systems. State approval of marriages below the minimum age continues to sanction and legitimise child marriage.</w:t>
      </w:r>
    </w:p>
    <w:p w14:paraId="63A8D484" w14:textId="77777777" w:rsidR="001D3039" w:rsidRPr="001D3039" w:rsidRDefault="001D3039" w:rsidP="001D3039">
      <w:pPr>
        <w:pStyle w:val="NormalWeb"/>
        <w:spacing w:before="0" w:beforeAutospacing="0" w:after="0" w:afterAutospacing="0"/>
        <w:jc w:val="both"/>
        <w:rPr>
          <w:rFonts w:ascii="Arial" w:hAnsi="Arial" w:cs="Arial"/>
          <w:color w:val="000000"/>
        </w:rPr>
      </w:pPr>
    </w:p>
    <w:p w14:paraId="230439FE" w14:textId="77777777" w:rsidR="001D3039" w:rsidRDefault="001D3039" w:rsidP="001D3039">
      <w:pPr>
        <w:pStyle w:val="NormalWeb"/>
        <w:spacing w:before="0" w:beforeAutospacing="0" w:after="0" w:afterAutospacing="0"/>
        <w:jc w:val="both"/>
        <w:rPr>
          <w:rFonts w:ascii="Arial" w:hAnsi="Arial" w:cs="Arial"/>
          <w:color w:val="000000"/>
        </w:rPr>
      </w:pPr>
      <w:r w:rsidRPr="001D3039">
        <w:rPr>
          <w:rFonts w:ascii="Arial" w:hAnsi="Arial" w:cs="Arial"/>
          <w:color w:val="000000"/>
        </w:rPr>
        <w:t>State-level reforms, including amendments in Selangor setting eighteen as the minimum marriage age for both sexes, have not eliminated this risk. Judicial discretion remains, allowing Syariah courts to approve underage marriages. This discretion is further reinforced through a Standard Operating Procedure referenced in parliamentary proceedings, which guides judges to assess factors such as family circumstances, education, health and perceived readiness for marriage.</w:t>
      </w:r>
    </w:p>
    <w:p w14:paraId="610C0B3D" w14:textId="77777777" w:rsidR="001D3039" w:rsidRPr="001D3039" w:rsidRDefault="001D3039" w:rsidP="001D3039">
      <w:pPr>
        <w:pStyle w:val="NormalWeb"/>
        <w:spacing w:before="0" w:beforeAutospacing="0" w:after="0" w:afterAutospacing="0"/>
        <w:jc w:val="both"/>
        <w:rPr>
          <w:rFonts w:ascii="Arial" w:hAnsi="Arial" w:cs="Arial"/>
          <w:color w:val="000000"/>
        </w:rPr>
      </w:pPr>
    </w:p>
    <w:p w14:paraId="74317AFF" w14:textId="77777777" w:rsidR="001D3039" w:rsidRDefault="001D3039" w:rsidP="001D3039">
      <w:pPr>
        <w:pStyle w:val="NormalWeb"/>
        <w:spacing w:before="0" w:beforeAutospacing="0" w:after="0" w:afterAutospacing="0"/>
        <w:jc w:val="both"/>
        <w:rPr>
          <w:rFonts w:ascii="Arial" w:hAnsi="Arial" w:cs="Arial"/>
          <w:color w:val="000000"/>
        </w:rPr>
      </w:pPr>
      <w:r w:rsidRPr="001D3039">
        <w:rPr>
          <w:rFonts w:ascii="Arial" w:hAnsi="Arial" w:cs="Arial"/>
          <w:color w:val="000000"/>
        </w:rPr>
        <w:t>However, procedural guidelines do not remedy the underlying structural flaw. A minimum age subject to judicial exception fails to meet international human rights standards, which require a clear and unconditional minimum age of marriage at eighteen. Discretionary regimes remain adult driven, prioritising accommodation of marriage over prevention of harm, with limited assurance of child participation, independent representation or safeguards against coercion.</w:t>
      </w:r>
    </w:p>
    <w:p w14:paraId="05BE47B9" w14:textId="77777777" w:rsidR="001D3039" w:rsidRPr="001D3039" w:rsidRDefault="001D3039" w:rsidP="001D3039">
      <w:pPr>
        <w:pStyle w:val="NormalWeb"/>
        <w:spacing w:before="0" w:beforeAutospacing="0" w:after="0" w:afterAutospacing="0"/>
        <w:jc w:val="both"/>
        <w:rPr>
          <w:rFonts w:ascii="Arial" w:hAnsi="Arial" w:cs="Arial"/>
          <w:color w:val="000000"/>
        </w:rPr>
      </w:pPr>
    </w:p>
    <w:p w14:paraId="29486B8B" w14:textId="77777777" w:rsidR="001D3039" w:rsidRPr="001D3039" w:rsidRDefault="001D3039" w:rsidP="001D3039">
      <w:pPr>
        <w:pStyle w:val="NormalWeb"/>
        <w:spacing w:before="0" w:beforeAutospacing="0" w:after="0" w:afterAutospacing="0"/>
        <w:jc w:val="both"/>
        <w:rPr>
          <w:rFonts w:ascii="Arial" w:hAnsi="Arial" w:cs="Arial"/>
          <w:color w:val="000000"/>
        </w:rPr>
      </w:pPr>
      <w:r w:rsidRPr="001D3039">
        <w:rPr>
          <w:rFonts w:ascii="Arial" w:hAnsi="Arial" w:cs="Arial"/>
          <w:color w:val="000000"/>
        </w:rPr>
        <w:t>The federal government frequently cites state jurisdiction over Islamic law as a barrier to uniform reform. Yet this division has not been accompanied by sustained federal leadership to promote harmonisation. The absence of model legislation, consistent engagement with State Islamic Councils and a national commitment to an unconditional minimum age reflects reluctance to challenge entrenched institutional practices. As long as discretionary exceptions persist, child marriage remains legally permissible and Malaysia remains in partial non-compliance with its obligations under the Convention on the Rights of the Child.</w:t>
      </w:r>
    </w:p>
    <w:p w14:paraId="59241822" w14:textId="77777777" w:rsidR="004910E8" w:rsidRPr="001D3039" w:rsidRDefault="004910E8" w:rsidP="001D3039">
      <w:pPr>
        <w:pStyle w:val="NormalWeb"/>
        <w:spacing w:before="0" w:beforeAutospacing="0" w:after="0" w:afterAutospacing="0"/>
        <w:jc w:val="both"/>
        <w:rPr>
          <w:rFonts w:ascii="Arial" w:hAnsi="Arial" w:cs="Arial"/>
          <w:color w:val="000000"/>
        </w:rPr>
      </w:pPr>
    </w:p>
    <w:p w14:paraId="6883F29F" w14:textId="77777777" w:rsidR="00CF4BEB" w:rsidRDefault="00CF4BEB" w:rsidP="001D3039">
      <w:pPr>
        <w:jc w:val="both"/>
        <w:rPr>
          <w:rFonts w:ascii="Arial" w:eastAsia="Times New Roman" w:hAnsi="Arial" w:cs="Arial"/>
          <w:kern w:val="0"/>
          <w:lang w:eastAsia="en-GB"/>
          <w14:ligatures w14:val="none"/>
        </w:rPr>
      </w:pPr>
    </w:p>
    <w:p w14:paraId="6CC09C7D" w14:textId="77777777" w:rsidR="001D3039" w:rsidRPr="001D3039" w:rsidRDefault="001D3039" w:rsidP="001D3039">
      <w:pPr>
        <w:jc w:val="both"/>
        <w:rPr>
          <w:rFonts w:ascii="Arial" w:eastAsia="Times New Roman" w:hAnsi="Arial" w:cs="Arial"/>
          <w:kern w:val="0"/>
          <w:lang w:eastAsia="en-GB"/>
          <w14:ligatures w14:val="none"/>
        </w:rPr>
      </w:pPr>
    </w:p>
    <w:p w14:paraId="28FF9BF3" w14:textId="13CF5994" w:rsidR="00CF4BEB" w:rsidRPr="001D3039" w:rsidRDefault="00DB2352" w:rsidP="001D3039">
      <w:pPr>
        <w:jc w:val="both"/>
        <w:outlineLvl w:val="1"/>
        <w:rPr>
          <w:rFonts w:ascii="Arial" w:eastAsia="Times New Roman" w:hAnsi="Arial" w:cs="Arial"/>
          <w:b/>
          <w:bCs/>
          <w:color w:val="000000"/>
          <w:kern w:val="0"/>
          <w:lang w:eastAsia="en-GB"/>
          <w14:ligatures w14:val="none"/>
        </w:rPr>
      </w:pPr>
      <w:r w:rsidRPr="001D3039">
        <w:rPr>
          <w:rFonts w:ascii="Arial" w:eastAsia="Times New Roman" w:hAnsi="Arial" w:cs="Arial"/>
          <w:b/>
          <w:bCs/>
          <w:color w:val="000000"/>
          <w:kern w:val="0"/>
          <w:lang w:eastAsia="en-GB"/>
          <w14:ligatures w14:val="none"/>
        </w:rPr>
        <w:t>C.</w:t>
      </w:r>
      <w:r w:rsidRPr="001D3039">
        <w:rPr>
          <w:rFonts w:ascii="Arial" w:eastAsia="Times New Roman" w:hAnsi="Arial" w:cs="Arial"/>
          <w:b/>
          <w:bCs/>
          <w:color w:val="000000"/>
          <w:kern w:val="0"/>
          <w:lang w:eastAsia="en-GB"/>
          <w14:ligatures w14:val="none"/>
        </w:rPr>
        <w:tab/>
      </w:r>
      <w:r w:rsidR="00CF4BEB" w:rsidRPr="001D3039">
        <w:rPr>
          <w:rFonts w:ascii="Arial" w:eastAsia="Times New Roman" w:hAnsi="Arial" w:cs="Arial"/>
          <w:b/>
          <w:bCs/>
          <w:color w:val="000000"/>
          <w:kern w:val="0"/>
          <w:lang w:eastAsia="en-GB"/>
          <w14:ligatures w14:val="none"/>
        </w:rPr>
        <w:t>Weak Enforcement and Limited Child-Friendly Justice Mechanisms</w:t>
      </w:r>
    </w:p>
    <w:p w14:paraId="710E791D" w14:textId="77777777" w:rsidR="000F48F6" w:rsidRDefault="000F48F6" w:rsidP="00CF4BEB">
      <w:pPr>
        <w:jc w:val="both"/>
        <w:rPr>
          <w:rFonts w:ascii="Arial" w:eastAsia="Times New Roman" w:hAnsi="Arial" w:cs="Arial"/>
          <w:color w:val="000000"/>
          <w:kern w:val="0"/>
          <w:lang w:eastAsia="en-GB"/>
          <w14:ligatures w14:val="none"/>
        </w:rPr>
      </w:pPr>
    </w:p>
    <w:p w14:paraId="53494472" w14:textId="77777777" w:rsidR="00CF4BEB" w:rsidRDefault="00CF4BEB" w:rsidP="00CF4BEB">
      <w:pPr>
        <w:jc w:val="both"/>
        <w:rPr>
          <w:rFonts w:ascii="Arial" w:eastAsia="Times New Roman" w:hAnsi="Arial" w:cs="Arial"/>
          <w:color w:val="000000"/>
          <w:kern w:val="0"/>
          <w:lang w:eastAsia="en-GB"/>
          <w14:ligatures w14:val="none"/>
        </w:rPr>
      </w:pPr>
      <w:r w:rsidRPr="00CF4BEB">
        <w:rPr>
          <w:rFonts w:ascii="Arial" w:eastAsia="Times New Roman" w:hAnsi="Arial" w:cs="Arial"/>
          <w:color w:val="000000"/>
          <w:kern w:val="0"/>
          <w:lang w:eastAsia="en-GB"/>
          <w14:ligatures w14:val="none"/>
        </w:rPr>
        <w:t xml:space="preserve">Although Malaysia has enacted several laws designed to protect children, including the Child Act and the Sexual Offences Against Children Act, their enforcement remains inconsistent and often </w:t>
      </w:r>
      <w:commentRangeStart w:id="0"/>
      <w:r w:rsidRPr="00CF4BEB">
        <w:rPr>
          <w:rFonts w:ascii="Arial" w:eastAsia="Times New Roman" w:hAnsi="Arial" w:cs="Arial"/>
          <w:color w:val="000000"/>
          <w:kern w:val="0"/>
          <w:lang w:eastAsia="en-GB"/>
          <w14:ligatures w14:val="none"/>
        </w:rPr>
        <w:t>inadequate</w:t>
      </w:r>
      <w:commentRangeEnd w:id="0"/>
      <w:r w:rsidR="002B30F2" w:rsidRPr="00CF4BEB">
        <w:rPr>
          <w:rStyle w:val="CommentReference"/>
          <w:rFonts w:ascii="Arial" w:eastAsia="Times New Roman" w:hAnsi="Arial" w:cs="Arial"/>
          <w:color w:val="000000"/>
          <w:kern w:val="0"/>
          <w:sz w:val="24"/>
          <w:szCs w:val="24"/>
          <w:lang w:eastAsia="en-GB"/>
          <w14:ligatures w14:val="none"/>
        </w:rPr>
        <w:commentReference w:id="0"/>
      </w:r>
      <w:r w:rsidRPr="00CF4BEB">
        <w:rPr>
          <w:rFonts w:ascii="Arial" w:eastAsia="Times New Roman" w:hAnsi="Arial" w:cs="Arial"/>
          <w:color w:val="000000"/>
          <w:kern w:val="0"/>
          <w:lang w:eastAsia="en-GB"/>
          <w14:ligatures w14:val="none"/>
        </w:rPr>
        <w:t>. These laws operate within separate institutional silos and do not automatically invalidate marriages involving minors. When a child is married, investigations into potential coercion, sexual exploitation or abuse are rarely undertaken. The assumption that marriage legitimises sexual relations undermines the application of criminal laws intended to protect minors.</w:t>
      </w:r>
    </w:p>
    <w:p w14:paraId="3CD3AD72" w14:textId="77777777" w:rsidR="000F48F6" w:rsidRPr="00CF4BEB" w:rsidRDefault="000F48F6" w:rsidP="00CF4BEB">
      <w:pPr>
        <w:jc w:val="both"/>
        <w:rPr>
          <w:rFonts w:ascii="Arial" w:eastAsia="Times New Roman" w:hAnsi="Arial" w:cs="Arial"/>
          <w:color w:val="000000"/>
          <w:kern w:val="0"/>
          <w:lang w:eastAsia="en-GB"/>
          <w14:ligatures w14:val="none"/>
        </w:rPr>
      </w:pPr>
    </w:p>
    <w:p w14:paraId="1FB1B4B3" w14:textId="47E136EB" w:rsidR="00CF4BEB" w:rsidRDefault="00CF4BEB" w:rsidP="00CF4BEB">
      <w:pPr>
        <w:jc w:val="both"/>
        <w:rPr>
          <w:rFonts w:ascii="Arial" w:eastAsia="Times New Roman" w:hAnsi="Arial" w:cs="Arial"/>
          <w:color w:val="000000"/>
          <w:kern w:val="0"/>
          <w:lang w:eastAsia="en-GB"/>
          <w14:ligatures w14:val="none"/>
        </w:rPr>
      </w:pPr>
      <w:r w:rsidRPr="00CF4BEB">
        <w:rPr>
          <w:rFonts w:ascii="Arial" w:eastAsia="Times New Roman" w:hAnsi="Arial" w:cs="Arial"/>
          <w:color w:val="000000"/>
          <w:kern w:val="0"/>
          <w:lang w:eastAsia="en-GB"/>
          <w14:ligatures w14:val="none"/>
        </w:rPr>
        <w:t xml:space="preserve">Access to justice remains particularly limited for children seeking to challenge or escape early marriages. </w:t>
      </w:r>
      <w:r w:rsidRPr="00DB2352">
        <w:rPr>
          <w:rFonts w:ascii="Arial" w:eastAsia="Times New Roman" w:hAnsi="Arial" w:cs="Arial"/>
          <w:color w:val="000000"/>
          <w:kern w:val="0"/>
          <w:lang w:eastAsia="en-GB"/>
          <w14:ligatures w14:val="none"/>
        </w:rPr>
        <w:t>There are no formalised child-friendly complaint mechanisms for children who object to marriage arrangements</w:t>
      </w:r>
      <w:r w:rsidRPr="00CF4BEB">
        <w:rPr>
          <w:rFonts w:ascii="Arial" w:eastAsia="Times New Roman" w:hAnsi="Arial" w:cs="Arial"/>
          <w:color w:val="000000"/>
          <w:kern w:val="0"/>
          <w:lang w:eastAsia="en-GB"/>
          <w14:ligatures w14:val="none"/>
        </w:rPr>
        <w:t>. Syariah court processes are intimidating and inaccessible to minors. Judges often prioritise family stability and cultural expectations over the autonomy and best interests of the child. Children are seldom provided legal representation and decisions are typically made based on parental consent rather than the child’s own will. The absence of child-sensitive procedures within religious court systems significantly compromises the protection of children.</w:t>
      </w:r>
    </w:p>
    <w:p w14:paraId="7F6DF909" w14:textId="77777777" w:rsidR="000F48F6" w:rsidRPr="00CF4BEB" w:rsidRDefault="000F48F6" w:rsidP="00CF4BEB">
      <w:pPr>
        <w:jc w:val="both"/>
        <w:rPr>
          <w:rFonts w:ascii="Arial" w:eastAsia="Times New Roman" w:hAnsi="Arial" w:cs="Arial"/>
          <w:color w:val="000000"/>
          <w:kern w:val="0"/>
          <w:lang w:eastAsia="en-GB"/>
          <w14:ligatures w14:val="none"/>
        </w:rPr>
      </w:pPr>
    </w:p>
    <w:p w14:paraId="38F7CF72" w14:textId="26049DFB" w:rsidR="00CF4BEB" w:rsidRPr="00CF4BEB" w:rsidRDefault="00CF4BEB" w:rsidP="00CF4BEB">
      <w:pPr>
        <w:jc w:val="both"/>
        <w:rPr>
          <w:rFonts w:ascii="Arial" w:eastAsia="Times New Roman" w:hAnsi="Arial" w:cs="Arial"/>
          <w:color w:val="000000"/>
          <w:kern w:val="0"/>
          <w:lang w:eastAsia="en-GB"/>
          <w14:ligatures w14:val="none"/>
        </w:rPr>
      </w:pPr>
      <w:r w:rsidRPr="00CF4BEB">
        <w:rPr>
          <w:rFonts w:ascii="Arial" w:eastAsia="Times New Roman" w:hAnsi="Arial" w:cs="Arial"/>
          <w:color w:val="000000"/>
          <w:kern w:val="0"/>
          <w:lang w:eastAsia="en-GB"/>
          <w14:ligatures w14:val="none"/>
        </w:rPr>
        <w:t xml:space="preserve">The lack of monitoring mechanisms also weakens enforcement. There is no national body mandated to systematically review, approve or oversee cases of underage marriage across all legal systems. </w:t>
      </w:r>
      <w:r w:rsidRPr="00DB2352">
        <w:rPr>
          <w:rFonts w:ascii="Arial" w:eastAsia="Times New Roman" w:hAnsi="Arial" w:cs="Arial"/>
          <w:color w:val="000000"/>
          <w:kern w:val="0"/>
          <w:lang w:eastAsia="en-GB"/>
          <w14:ligatures w14:val="none"/>
        </w:rPr>
        <w:t>Data from religious courts, civil registries and customary institutions is not consolidated and no independent oversight exists to ensure that decisions made by courts or traditional leaders consider the rights of the child.</w:t>
      </w:r>
      <w:r w:rsidRPr="00CF4BEB">
        <w:rPr>
          <w:rFonts w:ascii="Arial" w:eastAsia="Times New Roman" w:hAnsi="Arial" w:cs="Arial"/>
          <w:color w:val="000000"/>
          <w:kern w:val="0"/>
          <w:lang w:eastAsia="en-GB"/>
          <w14:ligatures w14:val="none"/>
        </w:rPr>
        <w:t xml:space="preserve"> Malaysia’s institutional architecture thus creates a permissive environment where child marriage can be approved, conducted or hidden without accountability.</w:t>
      </w:r>
    </w:p>
    <w:p w14:paraId="15DE27F3" w14:textId="77777777" w:rsidR="00CF4BEB" w:rsidRPr="00CF4BEB" w:rsidRDefault="00CF4BEB" w:rsidP="00CF4BEB">
      <w:pPr>
        <w:jc w:val="both"/>
        <w:rPr>
          <w:rFonts w:ascii="Arial" w:eastAsia="Times New Roman" w:hAnsi="Arial" w:cs="Arial"/>
          <w:kern w:val="0"/>
          <w:lang w:eastAsia="en-GB"/>
          <w14:ligatures w14:val="none"/>
        </w:rPr>
      </w:pPr>
    </w:p>
    <w:p w14:paraId="06AF5F76" w14:textId="37FD2CB0" w:rsidR="00CF4BEB" w:rsidRPr="00CF4BEB" w:rsidRDefault="00DB2352" w:rsidP="00CF4BEB">
      <w:pPr>
        <w:jc w:val="both"/>
        <w:outlineLvl w:val="1"/>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D.</w:t>
      </w:r>
      <w:r>
        <w:rPr>
          <w:rFonts w:ascii="Arial" w:eastAsia="Times New Roman" w:hAnsi="Arial" w:cs="Arial"/>
          <w:b/>
          <w:bCs/>
          <w:color w:val="000000"/>
          <w:kern w:val="0"/>
          <w:lang w:eastAsia="en-GB"/>
          <w14:ligatures w14:val="none"/>
        </w:rPr>
        <w:tab/>
      </w:r>
      <w:r w:rsidR="00CF4BEB" w:rsidRPr="00CF4BEB">
        <w:rPr>
          <w:rFonts w:ascii="Arial" w:eastAsia="Times New Roman" w:hAnsi="Arial" w:cs="Arial"/>
          <w:b/>
          <w:bCs/>
          <w:color w:val="000000"/>
          <w:kern w:val="0"/>
          <w:lang w:eastAsia="en-GB"/>
          <w14:ligatures w14:val="none"/>
        </w:rPr>
        <w:t>Inadequate Data, Underreporting and Invisible Marriages</w:t>
      </w:r>
    </w:p>
    <w:p w14:paraId="10EDDE9A" w14:textId="77777777" w:rsidR="000F48F6" w:rsidRDefault="000F48F6" w:rsidP="00CF4BEB">
      <w:pPr>
        <w:jc w:val="both"/>
        <w:rPr>
          <w:rFonts w:ascii="Arial" w:eastAsia="Times New Roman" w:hAnsi="Arial" w:cs="Arial"/>
          <w:color w:val="000000"/>
          <w:kern w:val="0"/>
          <w:lang w:eastAsia="en-GB"/>
          <w14:ligatures w14:val="none"/>
        </w:rPr>
      </w:pPr>
    </w:p>
    <w:p w14:paraId="10817E48" w14:textId="341F80CD" w:rsidR="00CF4BEB" w:rsidRDefault="00CF4BEB" w:rsidP="00CF4BEB">
      <w:pPr>
        <w:jc w:val="both"/>
        <w:rPr>
          <w:rFonts w:ascii="Arial" w:eastAsia="Times New Roman" w:hAnsi="Arial" w:cs="Arial"/>
          <w:color w:val="000000"/>
          <w:kern w:val="0"/>
          <w:lang w:eastAsia="en-GB"/>
          <w14:ligatures w14:val="none"/>
        </w:rPr>
      </w:pPr>
      <w:r w:rsidRPr="00CF4BEB">
        <w:rPr>
          <w:rFonts w:ascii="Arial" w:eastAsia="Times New Roman" w:hAnsi="Arial" w:cs="Arial"/>
          <w:color w:val="000000"/>
          <w:kern w:val="0"/>
          <w:lang w:eastAsia="en-GB"/>
          <w14:ligatures w14:val="none"/>
        </w:rPr>
        <w:t xml:space="preserve">Malaysia lacks a comprehensive, integrated and disaggregated data system on child marriage. Existing data focuses almost exclusively on registered civil marriages, omitting the diverse forms through which marriage occurs. Unregistered Syariah marriages, customary marriages within </w:t>
      </w:r>
      <w:r w:rsidR="002B30F2">
        <w:rPr>
          <w:rFonts w:ascii="Arial" w:eastAsia="Times New Roman" w:hAnsi="Arial" w:cs="Arial"/>
          <w:color w:val="000000"/>
          <w:kern w:val="0"/>
          <w:lang w:eastAsia="en-GB"/>
          <w14:ligatures w14:val="none"/>
        </w:rPr>
        <w:t xml:space="preserve">native and </w:t>
      </w:r>
      <w:r w:rsidRPr="00CF4BEB">
        <w:rPr>
          <w:rFonts w:ascii="Arial" w:eastAsia="Times New Roman" w:hAnsi="Arial" w:cs="Arial"/>
          <w:color w:val="000000"/>
          <w:kern w:val="0"/>
          <w:lang w:eastAsia="en-GB"/>
          <w14:ligatures w14:val="none"/>
        </w:rPr>
        <w:t>Indigenous communities, cross-border unions involving children and marriages among refugees and stateless populations remain largely invisible in official statistics. The government’s reliance on DOSM figures gives a misleading impression of progress by capturing only the narrowest and most regulated segment of marriages.</w:t>
      </w:r>
    </w:p>
    <w:p w14:paraId="57AF912F" w14:textId="77777777" w:rsidR="00E632D6" w:rsidRDefault="00E632D6" w:rsidP="00CF4BEB">
      <w:pPr>
        <w:jc w:val="both"/>
        <w:rPr>
          <w:rFonts w:ascii="Arial" w:eastAsia="Times New Roman" w:hAnsi="Arial" w:cs="Arial"/>
          <w:color w:val="000000"/>
          <w:kern w:val="0"/>
          <w:lang w:eastAsia="en-GB"/>
          <w14:ligatures w14:val="none"/>
        </w:rPr>
      </w:pPr>
    </w:p>
    <w:p w14:paraId="09F6DD64" w14:textId="3DF4B0C3" w:rsidR="00E632D6" w:rsidRPr="00CF4BEB" w:rsidRDefault="00E632D6" w:rsidP="00CF4BEB">
      <w:pPr>
        <w:jc w:val="both"/>
        <w:rPr>
          <w:rFonts w:ascii="Arial" w:eastAsia="Times New Roman" w:hAnsi="Arial" w:cs="Arial"/>
          <w:color w:val="000000"/>
          <w:kern w:val="0"/>
          <w:lang w:eastAsia="en-GB"/>
          <w14:ligatures w14:val="none"/>
        </w:rPr>
      </w:pPr>
      <w:r w:rsidRPr="00325C8C">
        <w:rPr>
          <w:rFonts w:ascii="Arial" w:eastAsia="Times New Roman" w:hAnsi="Arial" w:cs="Arial"/>
          <w:color w:val="000000"/>
          <w:kern w:val="0"/>
          <w:lang w:eastAsia="en-GB"/>
          <w14:ligatures w14:val="none"/>
        </w:rPr>
        <w:t>These challenges should be explicitly documented because they reflect broader structural weaknesses in Malaysia’s data governance and accountability framework, rather than isolated operational difficulties faced by civil society organisations. While it remains possible to raise data and reporting issues in Parliament, reliance on parliamentary questions is structurally unreliable as a pathway to continuous access to information. It creates an automatic barrier for NGOs, which must repeatedly secure Members of Parliament willing to table the same questions across successive parliamentary sessions, with no guarantee that such questions will be prioritised or answered consistently. This ad hoc mechanism shifts the burden of monitoring and continuity onto civil society rather than the State, undermining systematic data collection, transparency and long-term accountability in addressing child marriage.</w:t>
      </w:r>
    </w:p>
    <w:p w14:paraId="52D65CCF" w14:textId="77777777" w:rsidR="000F48F6" w:rsidRDefault="000F48F6" w:rsidP="00CF4BEB">
      <w:pPr>
        <w:jc w:val="both"/>
        <w:rPr>
          <w:rFonts w:ascii="Arial" w:eastAsia="Times New Roman" w:hAnsi="Arial" w:cs="Arial"/>
          <w:color w:val="000000"/>
          <w:kern w:val="0"/>
          <w:lang w:eastAsia="en-GB"/>
          <w14:ligatures w14:val="none"/>
        </w:rPr>
      </w:pPr>
    </w:p>
    <w:p w14:paraId="04B34413" w14:textId="4C91F0F8" w:rsidR="00CF4BEB" w:rsidRPr="00CF4BEB" w:rsidRDefault="00CF4BEB" w:rsidP="00CF4BEB">
      <w:pPr>
        <w:jc w:val="both"/>
        <w:rPr>
          <w:rFonts w:ascii="Arial" w:eastAsia="Times New Roman" w:hAnsi="Arial" w:cs="Arial"/>
          <w:color w:val="000000"/>
          <w:kern w:val="0"/>
          <w:lang w:eastAsia="en-GB"/>
          <w14:ligatures w14:val="none"/>
        </w:rPr>
      </w:pPr>
      <w:r w:rsidRPr="00CF4BEB">
        <w:rPr>
          <w:rFonts w:ascii="Arial" w:eastAsia="Times New Roman" w:hAnsi="Arial" w:cs="Arial"/>
          <w:color w:val="000000"/>
          <w:kern w:val="0"/>
          <w:lang w:eastAsia="en-GB"/>
          <w14:ligatures w14:val="none"/>
        </w:rPr>
        <w:t>This absence of accurate data hinders effective policy formulation and creates blind spots that obscure high-risk communities. Indigenous communities, migrant families, plantation workers, urban poor children and undocumented populations are systematically underrepresented in official records. The data gaps reflect a deeper issue</w:t>
      </w:r>
      <w:r w:rsidR="002B30F2">
        <w:rPr>
          <w:rFonts w:ascii="Arial" w:eastAsia="Times New Roman" w:hAnsi="Arial" w:cs="Arial"/>
          <w:color w:val="000000"/>
          <w:kern w:val="0"/>
          <w:lang w:eastAsia="en-GB"/>
          <w14:ligatures w14:val="none"/>
        </w:rPr>
        <w:t xml:space="preserve">. </w:t>
      </w:r>
      <w:r w:rsidRPr="00CF4BEB">
        <w:rPr>
          <w:rFonts w:ascii="Arial" w:eastAsia="Times New Roman" w:hAnsi="Arial" w:cs="Arial"/>
          <w:color w:val="000000"/>
          <w:kern w:val="0"/>
          <w:lang w:eastAsia="en-GB"/>
          <w14:ligatures w14:val="none"/>
        </w:rPr>
        <w:t>Malaysia lacks a child-rights-based monitoring system capable of tracking outcomes across multiple sectors, including welfare, education, health, religious affairs and civil registration. Without such a system, early marriages occurring outside the state’s formal institutions remain unaddressed.</w:t>
      </w:r>
    </w:p>
    <w:p w14:paraId="6C473C54" w14:textId="77777777" w:rsidR="000F48F6" w:rsidRDefault="000F48F6" w:rsidP="00CF4BEB">
      <w:pPr>
        <w:jc w:val="both"/>
        <w:rPr>
          <w:rFonts w:ascii="Arial" w:eastAsia="Times New Roman" w:hAnsi="Arial" w:cs="Arial"/>
          <w:color w:val="000000"/>
          <w:kern w:val="0"/>
          <w:lang w:eastAsia="en-GB"/>
          <w14:ligatures w14:val="none"/>
        </w:rPr>
      </w:pPr>
    </w:p>
    <w:p w14:paraId="4A25FEB3" w14:textId="629E30B3" w:rsidR="001D3039" w:rsidRPr="00413ED0" w:rsidRDefault="00CF4BEB" w:rsidP="00413ED0">
      <w:pPr>
        <w:jc w:val="both"/>
        <w:rPr>
          <w:rFonts w:ascii="Arial" w:eastAsia="Times New Roman" w:hAnsi="Arial" w:cs="Arial"/>
          <w:color w:val="000000"/>
          <w:kern w:val="0"/>
          <w:lang w:eastAsia="en-GB"/>
          <w14:ligatures w14:val="none"/>
        </w:rPr>
      </w:pPr>
      <w:r w:rsidRPr="00CF4BEB">
        <w:rPr>
          <w:rFonts w:ascii="Arial" w:eastAsia="Times New Roman" w:hAnsi="Arial" w:cs="Arial"/>
          <w:color w:val="000000"/>
          <w:kern w:val="0"/>
          <w:lang w:eastAsia="en-GB"/>
          <w14:ligatures w14:val="none"/>
        </w:rPr>
        <w:t>The government’s national strategic plan for addressing child marriage does not include a robust data strategy or measurable indicators that allow for long-term evaluation. Reporting mechanisms remain fragmented across ministries and state agencies. A rights-based approach requires real-time, disaggregated and transparent data to identify patterns, monitor compliance and design targeted interventions. Malaysia’s present framework fails to meet this standard, resulting in systematic underreporting and policy blind spots.</w:t>
      </w:r>
    </w:p>
    <w:p w14:paraId="21E1A72D" w14:textId="77777777" w:rsidR="001D3039" w:rsidRDefault="001D3039" w:rsidP="00CF4BEB">
      <w:pPr>
        <w:jc w:val="both"/>
        <w:outlineLvl w:val="1"/>
        <w:rPr>
          <w:rFonts w:ascii="Arial" w:eastAsia="Times New Roman" w:hAnsi="Arial" w:cs="Arial"/>
          <w:b/>
          <w:bCs/>
          <w:color w:val="000000"/>
          <w:kern w:val="0"/>
          <w:lang w:eastAsia="en-GB"/>
          <w14:ligatures w14:val="none"/>
        </w:rPr>
      </w:pPr>
    </w:p>
    <w:p w14:paraId="07B75A8D" w14:textId="2EA8EEE6" w:rsidR="00CF4BEB" w:rsidRPr="00CF4BEB" w:rsidRDefault="00DB2352" w:rsidP="00CF4BEB">
      <w:pPr>
        <w:jc w:val="both"/>
        <w:outlineLvl w:val="1"/>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E.</w:t>
      </w:r>
      <w:r>
        <w:rPr>
          <w:rFonts w:ascii="Arial" w:eastAsia="Times New Roman" w:hAnsi="Arial" w:cs="Arial"/>
          <w:b/>
          <w:bCs/>
          <w:color w:val="000000"/>
          <w:kern w:val="0"/>
          <w:lang w:eastAsia="en-GB"/>
          <w14:ligatures w14:val="none"/>
        </w:rPr>
        <w:tab/>
      </w:r>
      <w:r w:rsidR="00CF4BEB" w:rsidRPr="00CF4BEB">
        <w:rPr>
          <w:rFonts w:ascii="Arial" w:eastAsia="Times New Roman" w:hAnsi="Arial" w:cs="Arial"/>
          <w:b/>
          <w:bCs/>
          <w:color w:val="000000"/>
          <w:kern w:val="0"/>
          <w:lang w:eastAsia="en-GB"/>
          <w14:ligatures w14:val="none"/>
        </w:rPr>
        <w:t>Root Causes</w:t>
      </w:r>
      <w:r w:rsidR="000F48F6">
        <w:rPr>
          <w:rFonts w:ascii="Arial" w:eastAsia="Times New Roman" w:hAnsi="Arial" w:cs="Arial"/>
          <w:b/>
          <w:bCs/>
          <w:color w:val="000000"/>
          <w:kern w:val="0"/>
          <w:lang w:eastAsia="en-GB"/>
          <w14:ligatures w14:val="none"/>
        </w:rPr>
        <w:t xml:space="preserve">- </w:t>
      </w:r>
      <w:r w:rsidR="00CF4BEB" w:rsidRPr="00CF4BEB">
        <w:rPr>
          <w:rFonts w:ascii="Arial" w:eastAsia="Times New Roman" w:hAnsi="Arial" w:cs="Arial"/>
          <w:b/>
          <w:bCs/>
          <w:color w:val="000000"/>
          <w:kern w:val="0"/>
          <w:lang w:eastAsia="en-GB"/>
          <w14:ligatures w14:val="none"/>
        </w:rPr>
        <w:t>Poverty, Gender Norms and Lack of Social Protection</w:t>
      </w:r>
    </w:p>
    <w:p w14:paraId="201976F7" w14:textId="77777777" w:rsidR="000F48F6" w:rsidRDefault="000F48F6" w:rsidP="00CF4BEB">
      <w:pPr>
        <w:jc w:val="both"/>
        <w:rPr>
          <w:rFonts w:ascii="Arial" w:eastAsia="Times New Roman" w:hAnsi="Arial" w:cs="Arial"/>
          <w:color w:val="000000"/>
          <w:kern w:val="0"/>
          <w:lang w:eastAsia="en-GB"/>
          <w14:ligatures w14:val="none"/>
        </w:rPr>
      </w:pPr>
    </w:p>
    <w:p w14:paraId="0BF5ADDC" w14:textId="77777777" w:rsidR="00CF4BEB" w:rsidRPr="00CF4BEB" w:rsidRDefault="00CF4BEB" w:rsidP="00CF4BEB">
      <w:pPr>
        <w:jc w:val="both"/>
        <w:rPr>
          <w:rFonts w:ascii="Arial" w:eastAsia="Times New Roman" w:hAnsi="Arial" w:cs="Arial"/>
          <w:color w:val="000000"/>
          <w:kern w:val="0"/>
          <w:lang w:eastAsia="en-GB"/>
          <w14:ligatures w14:val="none"/>
        </w:rPr>
      </w:pPr>
      <w:r w:rsidRPr="00CF4BEB">
        <w:rPr>
          <w:rFonts w:ascii="Arial" w:eastAsia="Times New Roman" w:hAnsi="Arial" w:cs="Arial"/>
          <w:color w:val="000000"/>
          <w:kern w:val="0"/>
          <w:lang w:eastAsia="en-GB"/>
          <w14:ligatures w14:val="none"/>
        </w:rPr>
        <w:t>Child marriage in Malaysia is closely linked to structural socio-economic inequalities. Families experiencing poverty often view early marriage as a strategy to reduce financial strain, particularly in communities where economic opportunities for girls are limited. This dynamic is especially pronounced in rural areas, agricultural estates and Indigenous communities where access to social protection is limited. The absence of comprehensive economic support programmes for vulnerable families exacerbates these risks.</w:t>
      </w:r>
    </w:p>
    <w:p w14:paraId="6B1B9960" w14:textId="77777777" w:rsidR="000F48F6" w:rsidRDefault="000F48F6" w:rsidP="00CF4BEB">
      <w:pPr>
        <w:jc w:val="both"/>
        <w:rPr>
          <w:rFonts w:ascii="Arial" w:eastAsia="Times New Roman" w:hAnsi="Arial" w:cs="Arial"/>
          <w:color w:val="000000"/>
          <w:kern w:val="0"/>
          <w:lang w:eastAsia="en-GB"/>
          <w14:ligatures w14:val="none"/>
        </w:rPr>
      </w:pPr>
    </w:p>
    <w:p w14:paraId="1CD7EA85" w14:textId="77777777" w:rsidR="00CF4BEB" w:rsidRPr="00CF4BEB" w:rsidRDefault="00CF4BEB" w:rsidP="00CF4BEB">
      <w:pPr>
        <w:jc w:val="both"/>
        <w:rPr>
          <w:rFonts w:ascii="Arial" w:eastAsia="Times New Roman" w:hAnsi="Arial" w:cs="Arial"/>
          <w:color w:val="000000"/>
          <w:kern w:val="0"/>
          <w:lang w:eastAsia="en-GB"/>
          <w14:ligatures w14:val="none"/>
        </w:rPr>
      </w:pPr>
      <w:r w:rsidRPr="00CF4BEB">
        <w:rPr>
          <w:rFonts w:ascii="Arial" w:eastAsia="Times New Roman" w:hAnsi="Arial" w:cs="Arial"/>
          <w:color w:val="000000"/>
          <w:kern w:val="0"/>
          <w:lang w:eastAsia="en-GB"/>
          <w14:ligatures w14:val="none"/>
        </w:rPr>
        <w:t>Gender norms are deeply embedded in cultural and religious narratives that frame girls as bearers of family honour and sexual purity. Families often view marriage as a protective mechanism to prevent perceived moral transgressions or to address pre-marital pregnancy. Such beliefs shape legal interpretations, parental decisions and judicial reasoning within Syariah courts. Without confronting these gendered norms, awareness campaigns and education initiatives remain superficial and ineffective.</w:t>
      </w:r>
    </w:p>
    <w:p w14:paraId="224CA059" w14:textId="77777777" w:rsidR="000F48F6" w:rsidRDefault="000F48F6" w:rsidP="00CF4BEB">
      <w:pPr>
        <w:jc w:val="both"/>
        <w:rPr>
          <w:rFonts w:ascii="Arial" w:eastAsia="Times New Roman" w:hAnsi="Arial" w:cs="Arial"/>
          <w:color w:val="000000"/>
          <w:kern w:val="0"/>
          <w:lang w:eastAsia="en-GB"/>
          <w14:ligatures w14:val="none"/>
        </w:rPr>
      </w:pPr>
    </w:p>
    <w:p w14:paraId="70B03A5D" w14:textId="77777777" w:rsidR="00CF4BEB" w:rsidRPr="00CF4BEB" w:rsidRDefault="00CF4BEB" w:rsidP="00CF4BEB">
      <w:pPr>
        <w:jc w:val="both"/>
        <w:rPr>
          <w:rFonts w:ascii="Arial" w:eastAsia="Times New Roman" w:hAnsi="Arial" w:cs="Arial"/>
          <w:color w:val="000000"/>
          <w:kern w:val="0"/>
          <w:lang w:eastAsia="en-GB"/>
          <w14:ligatures w14:val="none"/>
        </w:rPr>
      </w:pPr>
      <w:r w:rsidRPr="00CF4BEB">
        <w:rPr>
          <w:rFonts w:ascii="Arial" w:eastAsia="Times New Roman" w:hAnsi="Arial" w:cs="Arial"/>
          <w:color w:val="000000"/>
          <w:kern w:val="0"/>
          <w:lang w:eastAsia="en-GB"/>
          <w14:ligatures w14:val="none"/>
        </w:rPr>
        <w:t>Children’s lack of access to sexual and reproductive health services further intensifies the problem. Many adolescents cannot obtain contraception or seek reproductive health advice without parental consent. Schools often deliver inconsistent or incomplete sexuality education, and community-level resistance limits the reach of youth-focused health programmes. As a result, adolescent pregnancies remain a significant driver of early marriage, particularly in communities where pregnancy outside marriage carries strong social stigma.</w:t>
      </w:r>
    </w:p>
    <w:p w14:paraId="33BBFF4B" w14:textId="77777777" w:rsidR="000F48F6" w:rsidRDefault="000F48F6" w:rsidP="00CF4BEB">
      <w:pPr>
        <w:jc w:val="both"/>
        <w:rPr>
          <w:rFonts w:ascii="Arial" w:eastAsia="Times New Roman" w:hAnsi="Arial" w:cs="Arial"/>
          <w:color w:val="000000"/>
          <w:kern w:val="0"/>
          <w:lang w:eastAsia="en-GB"/>
          <w14:ligatures w14:val="none"/>
        </w:rPr>
      </w:pPr>
    </w:p>
    <w:p w14:paraId="4E3D9D50" w14:textId="77777777" w:rsidR="00CF4BEB" w:rsidRPr="00CF4BEB" w:rsidRDefault="00CF4BEB" w:rsidP="00CF4BEB">
      <w:pPr>
        <w:jc w:val="both"/>
        <w:rPr>
          <w:rFonts w:ascii="Arial" w:eastAsia="Times New Roman" w:hAnsi="Arial" w:cs="Arial"/>
          <w:color w:val="000000"/>
          <w:kern w:val="0"/>
          <w:lang w:eastAsia="en-GB"/>
          <w14:ligatures w14:val="none"/>
        </w:rPr>
      </w:pPr>
      <w:r w:rsidRPr="00CF4BEB">
        <w:rPr>
          <w:rFonts w:ascii="Arial" w:eastAsia="Times New Roman" w:hAnsi="Arial" w:cs="Arial"/>
          <w:color w:val="000000"/>
          <w:kern w:val="0"/>
          <w:lang w:eastAsia="en-GB"/>
          <w14:ligatures w14:val="none"/>
        </w:rPr>
        <w:t>The absence of a comprehensive social protection framework also leaves children vulnerable. Cash assistance, poverty alleviation programmes and family support services remain unevenly distributed and do not sufficiently target high-risk populations. Social workers are under-resourced, overburdened and constrained by bureaucratic limitations. Without addressing these socio-economic determinants, child marriage will continue to be used as a coping mechanism among marginalised families.</w:t>
      </w:r>
    </w:p>
    <w:p w14:paraId="2CC8E154" w14:textId="77777777" w:rsidR="00CF4BEB" w:rsidRPr="00CF4BEB" w:rsidRDefault="00CF4BEB" w:rsidP="00CF4BEB">
      <w:pPr>
        <w:jc w:val="both"/>
        <w:rPr>
          <w:rFonts w:ascii="Arial" w:eastAsia="Times New Roman" w:hAnsi="Arial" w:cs="Arial"/>
          <w:kern w:val="0"/>
          <w:lang w:eastAsia="en-GB"/>
          <w14:ligatures w14:val="none"/>
        </w:rPr>
      </w:pPr>
    </w:p>
    <w:p w14:paraId="31791022" w14:textId="5035A0E5" w:rsidR="00CF4BEB" w:rsidRDefault="00E632D6" w:rsidP="00CF4BEB">
      <w:pPr>
        <w:jc w:val="both"/>
        <w:outlineLvl w:val="1"/>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F</w:t>
      </w:r>
      <w:r w:rsidR="00DB2352">
        <w:rPr>
          <w:rFonts w:ascii="Arial" w:eastAsia="Times New Roman" w:hAnsi="Arial" w:cs="Arial"/>
          <w:b/>
          <w:bCs/>
          <w:color w:val="000000"/>
          <w:kern w:val="0"/>
          <w:lang w:eastAsia="en-GB"/>
          <w14:ligatures w14:val="none"/>
        </w:rPr>
        <w:t>.</w:t>
      </w:r>
      <w:r w:rsidR="00DB2352">
        <w:rPr>
          <w:rFonts w:ascii="Arial" w:eastAsia="Times New Roman" w:hAnsi="Arial" w:cs="Arial"/>
          <w:b/>
          <w:bCs/>
          <w:color w:val="000000"/>
          <w:kern w:val="0"/>
          <w:lang w:eastAsia="en-GB"/>
          <w14:ligatures w14:val="none"/>
        </w:rPr>
        <w:tab/>
      </w:r>
      <w:r w:rsidR="00CF4BEB" w:rsidRPr="00CF4BEB">
        <w:rPr>
          <w:rFonts w:ascii="Arial" w:eastAsia="Times New Roman" w:hAnsi="Arial" w:cs="Arial"/>
          <w:b/>
          <w:bCs/>
          <w:color w:val="000000"/>
          <w:kern w:val="0"/>
          <w:lang w:eastAsia="en-GB"/>
          <w14:ligatures w14:val="none"/>
        </w:rPr>
        <w:t>Discrimination and Vulnerabilities Among Marginalised Children</w:t>
      </w:r>
    </w:p>
    <w:p w14:paraId="0C6CC02C" w14:textId="77777777" w:rsidR="000F48F6" w:rsidRPr="00CF4BEB" w:rsidRDefault="000F48F6" w:rsidP="00CF4BEB">
      <w:pPr>
        <w:jc w:val="both"/>
        <w:outlineLvl w:val="1"/>
        <w:rPr>
          <w:rFonts w:ascii="Arial" w:eastAsia="Times New Roman" w:hAnsi="Arial" w:cs="Arial"/>
          <w:b/>
          <w:bCs/>
          <w:color w:val="000000"/>
          <w:kern w:val="0"/>
          <w:lang w:eastAsia="en-GB"/>
          <w14:ligatures w14:val="none"/>
        </w:rPr>
      </w:pPr>
    </w:p>
    <w:p w14:paraId="431506F7" w14:textId="77777777" w:rsidR="00CF4BEB" w:rsidRDefault="00CF4BEB" w:rsidP="00CF4BEB">
      <w:pPr>
        <w:jc w:val="both"/>
        <w:rPr>
          <w:rFonts w:ascii="Arial" w:eastAsia="Times New Roman" w:hAnsi="Arial" w:cs="Arial"/>
          <w:color w:val="000000"/>
          <w:kern w:val="0"/>
          <w:lang w:eastAsia="en-GB"/>
          <w14:ligatures w14:val="none"/>
        </w:rPr>
      </w:pPr>
      <w:r w:rsidRPr="00CF4BEB">
        <w:rPr>
          <w:rFonts w:ascii="Arial" w:eastAsia="Times New Roman" w:hAnsi="Arial" w:cs="Arial"/>
          <w:color w:val="000000"/>
          <w:kern w:val="0"/>
          <w:lang w:eastAsia="en-GB"/>
          <w14:ligatures w14:val="none"/>
        </w:rPr>
        <w:t>Child marriage disproportionately affects children from marginalised and structurally excluded communities. Indigenous children, particularly those in remote areas of Sabah and Sarawak, face multiple layers of vulnerability due to limited access to schooling, healthcare, birth registration and state services. Customary marriages often occur without formal oversight, exposing children to unregulated unions that are invisible to state authorities.</w:t>
      </w:r>
    </w:p>
    <w:p w14:paraId="18B9074D" w14:textId="77777777" w:rsidR="000F48F6" w:rsidRPr="00CF4BEB" w:rsidRDefault="000F48F6" w:rsidP="00CF4BEB">
      <w:pPr>
        <w:jc w:val="both"/>
        <w:rPr>
          <w:rFonts w:ascii="Arial" w:eastAsia="Times New Roman" w:hAnsi="Arial" w:cs="Arial"/>
          <w:color w:val="000000"/>
          <w:kern w:val="0"/>
          <w:lang w:eastAsia="en-GB"/>
          <w14:ligatures w14:val="none"/>
        </w:rPr>
      </w:pPr>
    </w:p>
    <w:p w14:paraId="0D59D916" w14:textId="77777777" w:rsidR="00CF4BEB" w:rsidRDefault="00CF4BEB" w:rsidP="00CF4BEB">
      <w:pPr>
        <w:jc w:val="both"/>
        <w:rPr>
          <w:rFonts w:ascii="Arial" w:eastAsia="Times New Roman" w:hAnsi="Arial" w:cs="Arial"/>
          <w:color w:val="000000"/>
          <w:kern w:val="0"/>
          <w:lang w:eastAsia="en-GB"/>
          <w14:ligatures w14:val="none"/>
        </w:rPr>
      </w:pPr>
      <w:r w:rsidRPr="00CF4BEB">
        <w:rPr>
          <w:rFonts w:ascii="Arial" w:eastAsia="Times New Roman" w:hAnsi="Arial" w:cs="Arial"/>
          <w:color w:val="000000"/>
          <w:kern w:val="0"/>
          <w:lang w:eastAsia="en-GB"/>
          <w14:ligatures w14:val="none"/>
        </w:rPr>
        <w:t>Stateless and undocumented children face heightened risks of early marriage because they lack access to education and social protection. Without legal identity, these children are excluded from formal schooling and are often pressured into early unions as a perceived path to stability. Refugee communities face similar vulnerabilities, particularly in urban low-income areas and border regions. Malaysia’s non-recognition of refugee status and its policies on detention and deportation create an environment where families may resort to early marriage as a means of protection or economic survival.</w:t>
      </w:r>
    </w:p>
    <w:p w14:paraId="4AE9D8BD" w14:textId="77777777" w:rsidR="000F48F6" w:rsidRPr="00CF4BEB" w:rsidRDefault="000F48F6" w:rsidP="00CF4BEB">
      <w:pPr>
        <w:jc w:val="both"/>
        <w:rPr>
          <w:rFonts w:ascii="Arial" w:eastAsia="Times New Roman" w:hAnsi="Arial" w:cs="Arial"/>
          <w:color w:val="000000"/>
          <w:kern w:val="0"/>
          <w:lang w:eastAsia="en-GB"/>
          <w14:ligatures w14:val="none"/>
        </w:rPr>
      </w:pPr>
    </w:p>
    <w:p w14:paraId="082CA9E6" w14:textId="77777777" w:rsidR="00CF4BEB" w:rsidRDefault="00CF4BEB" w:rsidP="00CF4BEB">
      <w:pPr>
        <w:jc w:val="both"/>
        <w:rPr>
          <w:rFonts w:ascii="Arial" w:eastAsia="Times New Roman" w:hAnsi="Arial" w:cs="Arial"/>
          <w:color w:val="000000"/>
          <w:kern w:val="0"/>
          <w:lang w:eastAsia="en-GB"/>
          <w14:ligatures w14:val="none"/>
        </w:rPr>
      </w:pPr>
      <w:r w:rsidRPr="00CF4BEB">
        <w:rPr>
          <w:rFonts w:ascii="Arial" w:eastAsia="Times New Roman" w:hAnsi="Arial" w:cs="Arial"/>
          <w:color w:val="000000"/>
          <w:kern w:val="0"/>
          <w:lang w:eastAsia="en-GB"/>
          <w14:ligatures w14:val="none"/>
        </w:rPr>
        <w:t>Children in street situations or living in urban poverty frequently experience exploitation, trafficking and coercion, with early marriage used as a survival strategy. Their invisibility within official systems further increases their vulnerability. Government programmes rarely reach these children due to institutional fragmentation and a lack of targeted interventions.</w:t>
      </w:r>
    </w:p>
    <w:p w14:paraId="347E8ADD" w14:textId="77777777" w:rsidR="000F48F6" w:rsidRPr="00CF4BEB" w:rsidRDefault="000F48F6" w:rsidP="00CF4BEB">
      <w:pPr>
        <w:jc w:val="both"/>
        <w:rPr>
          <w:rFonts w:ascii="Arial" w:eastAsia="Times New Roman" w:hAnsi="Arial" w:cs="Arial"/>
          <w:color w:val="000000"/>
          <w:kern w:val="0"/>
          <w:lang w:eastAsia="en-GB"/>
          <w14:ligatures w14:val="none"/>
        </w:rPr>
      </w:pPr>
    </w:p>
    <w:p w14:paraId="75A1FD80" w14:textId="77777777" w:rsidR="00CF4BEB" w:rsidRPr="00CF4BEB" w:rsidRDefault="00CF4BEB" w:rsidP="00CF4BEB">
      <w:pPr>
        <w:jc w:val="both"/>
        <w:rPr>
          <w:rFonts w:ascii="Arial" w:eastAsia="Times New Roman" w:hAnsi="Arial" w:cs="Arial"/>
          <w:color w:val="000000"/>
          <w:kern w:val="0"/>
          <w:lang w:eastAsia="en-GB"/>
          <w14:ligatures w14:val="none"/>
        </w:rPr>
      </w:pPr>
      <w:r w:rsidRPr="00CF4BEB">
        <w:rPr>
          <w:rFonts w:ascii="Arial" w:eastAsia="Times New Roman" w:hAnsi="Arial" w:cs="Arial"/>
          <w:color w:val="000000"/>
          <w:kern w:val="0"/>
          <w:lang w:eastAsia="en-GB"/>
          <w14:ligatures w14:val="none"/>
        </w:rPr>
        <w:t>These patterns reveal that child marriage is fundamentally a symptom of discrimination and systemic exclusion. Any effective national strategy must be grounded in a rights-based approach that addresses these structural inequalities.</w:t>
      </w:r>
    </w:p>
    <w:p w14:paraId="628700B3" w14:textId="77777777" w:rsidR="00CF4BEB" w:rsidRPr="00CF4BEB" w:rsidRDefault="00CF4BEB" w:rsidP="00CF4BEB">
      <w:pPr>
        <w:jc w:val="both"/>
        <w:rPr>
          <w:rFonts w:ascii="Arial" w:eastAsia="Times New Roman" w:hAnsi="Arial" w:cs="Arial"/>
          <w:kern w:val="0"/>
          <w:lang w:eastAsia="en-GB"/>
          <w14:ligatures w14:val="none"/>
        </w:rPr>
      </w:pPr>
    </w:p>
    <w:p w14:paraId="7032ADC3" w14:textId="6E31B38A" w:rsidR="00CF4BEB" w:rsidRPr="00325C8C" w:rsidRDefault="00E632D6" w:rsidP="00325C8C">
      <w:pPr>
        <w:jc w:val="both"/>
        <w:outlineLvl w:val="1"/>
        <w:rPr>
          <w:rFonts w:ascii="Arial" w:eastAsia="Times New Roman" w:hAnsi="Arial" w:cs="Arial"/>
          <w:b/>
          <w:bCs/>
          <w:color w:val="000000"/>
          <w:kern w:val="0"/>
          <w:lang w:eastAsia="en-GB"/>
          <w14:ligatures w14:val="none"/>
        </w:rPr>
      </w:pPr>
      <w:r w:rsidRPr="00325C8C">
        <w:rPr>
          <w:rFonts w:ascii="Arial" w:eastAsia="Times New Roman" w:hAnsi="Arial" w:cs="Arial"/>
          <w:b/>
          <w:bCs/>
          <w:color w:val="000000"/>
          <w:kern w:val="0"/>
          <w:lang w:eastAsia="en-GB"/>
          <w14:ligatures w14:val="none"/>
        </w:rPr>
        <w:t>G</w:t>
      </w:r>
      <w:r w:rsidR="00DB2352" w:rsidRPr="00325C8C">
        <w:rPr>
          <w:rFonts w:ascii="Arial" w:eastAsia="Times New Roman" w:hAnsi="Arial" w:cs="Arial"/>
          <w:b/>
          <w:bCs/>
          <w:color w:val="000000"/>
          <w:kern w:val="0"/>
          <w:lang w:eastAsia="en-GB"/>
          <w14:ligatures w14:val="none"/>
        </w:rPr>
        <w:t>.</w:t>
      </w:r>
      <w:r w:rsidR="00DB2352" w:rsidRPr="00325C8C">
        <w:rPr>
          <w:rFonts w:ascii="Arial" w:eastAsia="Times New Roman" w:hAnsi="Arial" w:cs="Arial"/>
          <w:b/>
          <w:bCs/>
          <w:color w:val="000000"/>
          <w:kern w:val="0"/>
          <w:lang w:eastAsia="en-GB"/>
          <w14:ligatures w14:val="none"/>
        </w:rPr>
        <w:tab/>
      </w:r>
      <w:r w:rsidR="00CF4BEB" w:rsidRPr="00325C8C">
        <w:rPr>
          <w:rFonts w:ascii="Arial" w:eastAsia="Times New Roman" w:hAnsi="Arial" w:cs="Arial"/>
          <w:b/>
          <w:bCs/>
          <w:color w:val="000000"/>
          <w:kern w:val="0"/>
          <w:lang w:eastAsia="en-GB"/>
          <w14:ligatures w14:val="none"/>
        </w:rPr>
        <w:t>Education Barriers and Limited Access to Opportunities</w:t>
      </w:r>
    </w:p>
    <w:p w14:paraId="634110C4" w14:textId="77777777" w:rsidR="000F48F6" w:rsidRPr="00325C8C" w:rsidRDefault="000F48F6" w:rsidP="00325C8C">
      <w:pPr>
        <w:jc w:val="both"/>
        <w:rPr>
          <w:rFonts w:ascii="Arial" w:eastAsia="Times New Roman" w:hAnsi="Arial" w:cs="Arial"/>
          <w:color w:val="000000"/>
          <w:kern w:val="0"/>
          <w:lang w:eastAsia="en-GB"/>
          <w14:ligatures w14:val="none"/>
        </w:rPr>
      </w:pPr>
    </w:p>
    <w:p w14:paraId="3AE8FB05" w14:textId="77777777" w:rsidR="00325C8C" w:rsidRDefault="00325C8C" w:rsidP="00325C8C">
      <w:pPr>
        <w:pStyle w:val="NormalWeb"/>
        <w:spacing w:before="0" w:beforeAutospacing="0" w:after="0" w:afterAutospacing="0"/>
        <w:jc w:val="both"/>
        <w:rPr>
          <w:rFonts w:ascii="Arial" w:hAnsi="Arial" w:cs="Arial"/>
          <w:color w:val="000000"/>
        </w:rPr>
      </w:pPr>
      <w:r w:rsidRPr="00325C8C">
        <w:rPr>
          <w:rFonts w:ascii="Arial" w:hAnsi="Arial" w:cs="Arial"/>
          <w:color w:val="000000"/>
        </w:rPr>
        <w:t>Access to education is one of the most significant protective factors against child marriage, as continued schooling expands girls’ life choices and delays early marriage. Previously, the absence of compulsory secondary education was frequently cited as a contributing factor, as girls who left school after primary education faced limited alternatives beyond marriage. In 2025, secondary education was made compulsory, marking an important policy shift. However, given the recency of this reform, its effectiveness in reducing child marriage has yet to be assessed.</w:t>
      </w:r>
    </w:p>
    <w:p w14:paraId="2F044164" w14:textId="77777777" w:rsidR="00325C8C" w:rsidRPr="00325C8C" w:rsidRDefault="00325C8C" w:rsidP="00325C8C">
      <w:pPr>
        <w:pStyle w:val="NormalWeb"/>
        <w:spacing w:before="0" w:beforeAutospacing="0" w:after="0" w:afterAutospacing="0"/>
        <w:jc w:val="both"/>
        <w:rPr>
          <w:rFonts w:ascii="Arial" w:hAnsi="Arial" w:cs="Arial"/>
          <w:color w:val="000000"/>
        </w:rPr>
      </w:pPr>
    </w:p>
    <w:p w14:paraId="16F2CEBA" w14:textId="77777777" w:rsidR="00325C8C" w:rsidRDefault="00325C8C" w:rsidP="00325C8C">
      <w:pPr>
        <w:pStyle w:val="NormalWeb"/>
        <w:spacing w:before="0" w:beforeAutospacing="0" w:after="0" w:afterAutospacing="0"/>
        <w:jc w:val="both"/>
        <w:rPr>
          <w:rFonts w:ascii="Arial" w:hAnsi="Arial" w:cs="Arial"/>
          <w:color w:val="000000"/>
        </w:rPr>
      </w:pPr>
      <w:r w:rsidRPr="00325C8C">
        <w:rPr>
          <w:rFonts w:ascii="Arial" w:hAnsi="Arial" w:cs="Arial"/>
          <w:color w:val="000000"/>
        </w:rPr>
        <w:t>Concerns remain regarding enforcement. Clear mechanisms for monitoring attendance, addressing dropout risks and responding to non-compliance by parents or guardians have not been fully articulated or implemented. Long-standing structural barriers, including poverty, transportation challenges, caregiving responsibilities, school-related costs and documentation issues affecting stateless and undocumented children, are likely to continue undermining access unless addressed through targeted measures. These barriers are particularly pronounced in rural Indigenous and urban poor communities.</w:t>
      </w:r>
    </w:p>
    <w:p w14:paraId="1EAD7F52" w14:textId="77777777" w:rsidR="00325C8C" w:rsidRPr="00325C8C" w:rsidRDefault="00325C8C" w:rsidP="00325C8C">
      <w:pPr>
        <w:pStyle w:val="NormalWeb"/>
        <w:spacing w:before="0" w:beforeAutospacing="0" w:after="0" w:afterAutospacing="0"/>
        <w:jc w:val="both"/>
        <w:rPr>
          <w:rFonts w:ascii="Arial" w:hAnsi="Arial" w:cs="Arial"/>
          <w:color w:val="000000"/>
        </w:rPr>
      </w:pPr>
    </w:p>
    <w:p w14:paraId="7BF17C39" w14:textId="77777777" w:rsidR="00325C8C" w:rsidRDefault="00325C8C" w:rsidP="00325C8C">
      <w:pPr>
        <w:pStyle w:val="NormalWeb"/>
        <w:spacing w:before="0" w:beforeAutospacing="0" w:after="0" w:afterAutospacing="0"/>
        <w:jc w:val="both"/>
        <w:rPr>
          <w:rFonts w:ascii="Arial" w:hAnsi="Arial" w:cs="Arial"/>
          <w:color w:val="000000"/>
        </w:rPr>
      </w:pPr>
      <w:r w:rsidRPr="00325C8C">
        <w:rPr>
          <w:rFonts w:ascii="Arial" w:hAnsi="Arial" w:cs="Arial"/>
          <w:color w:val="000000"/>
        </w:rPr>
        <w:t>Without effective enforcement and supportive implementation, compulsory education risks remaining a formal legal requirement rather than a meaningful protective measure. Dropout rates among marginalised groups may persist, leaving girls without access to education, support networks or alternative pathways to resist early marriage. School-based reproductive health education also remains inconsistently delivered, and teachers and counsellors may lack adequate training to identify early warning signs of marriage pressure or school withdrawal.</w:t>
      </w:r>
    </w:p>
    <w:p w14:paraId="16E2A04F" w14:textId="77777777" w:rsidR="00325C8C" w:rsidRPr="00325C8C" w:rsidRDefault="00325C8C" w:rsidP="00325C8C">
      <w:pPr>
        <w:pStyle w:val="NormalWeb"/>
        <w:spacing w:before="0" w:beforeAutospacing="0" w:after="0" w:afterAutospacing="0"/>
        <w:jc w:val="both"/>
        <w:rPr>
          <w:rFonts w:ascii="Arial" w:hAnsi="Arial" w:cs="Arial"/>
          <w:color w:val="000000"/>
        </w:rPr>
      </w:pPr>
    </w:p>
    <w:p w14:paraId="15D7FA7D" w14:textId="69BF20C3" w:rsidR="001D3039" w:rsidRPr="00413ED0" w:rsidRDefault="00325C8C" w:rsidP="00413ED0">
      <w:pPr>
        <w:pStyle w:val="NormalWeb"/>
        <w:spacing w:before="0" w:beforeAutospacing="0" w:after="0" w:afterAutospacing="0"/>
        <w:jc w:val="both"/>
        <w:rPr>
          <w:rFonts w:ascii="Arial" w:hAnsi="Arial" w:cs="Arial"/>
          <w:color w:val="000000"/>
        </w:rPr>
      </w:pPr>
      <w:r w:rsidRPr="00325C8C">
        <w:rPr>
          <w:rFonts w:ascii="Arial" w:hAnsi="Arial" w:cs="Arial"/>
          <w:color w:val="000000"/>
        </w:rPr>
        <w:t>For compulsory secondary education to contribute to a measurable reduction in child marriage, policy and practice must prioritise implementation. This includes establishing monitoring and early intervention mechanisms, providing targeted financial and transportation assistance, ensuring inclusive enrolment for stateless and undocumented children and strengthening school-based psychosocial support and referral pathways to child protection services. Without these complementary measures, the reform is unlikely to significantly alter the structural conditions that place girls at risk of early marriage.</w:t>
      </w:r>
    </w:p>
    <w:p w14:paraId="4382AE90" w14:textId="77777777" w:rsidR="001D3039" w:rsidRDefault="001D3039" w:rsidP="00325C8C">
      <w:pPr>
        <w:jc w:val="both"/>
        <w:outlineLvl w:val="1"/>
        <w:rPr>
          <w:rFonts w:ascii="Arial" w:eastAsia="Times New Roman" w:hAnsi="Arial" w:cs="Arial"/>
          <w:b/>
          <w:bCs/>
          <w:color w:val="000000"/>
          <w:kern w:val="0"/>
          <w:lang w:eastAsia="en-GB"/>
          <w14:ligatures w14:val="none"/>
        </w:rPr>
      </w:pPr>
    </w:p>
    <w:p w14:paraId="49894BC7" w14:textId="19B157D1" w:rsidR="00CF4BEB" w:rsidRPr="00CF4BEB" w:rsidRDefault="00E632D6" w:rsidP="00325C8C">
      <w:pPr>
        <w:jc w:val="both"/>
        <w:outlineLvl w:val="1"/>
        <w:rPr>
          <w:rFonts w:ascii="Arial" w:eastAsia="Times New Roman" w:hAnsi="Arial" w:cs="Arial"/>
          <w:b/>
          <w:bCs/>
          <w:color w:val="000000"/>
          <w:kern w:val="0"/>
          <w:lang w:eastAsia="en-GB"/>
          <w14:ligatures w14:val="none"/>
        </w:rPr>
      </w:pPr>
      <w:r>
        <w:rPr>
          <w:rFonts w:ascii="Arial" w:eastAsia="Times New Roman" w:hAnsi="Arial" w:cs="Arial"/>
          <w:b/>
          <w:bCs/>
          <w:color w:val="000000"/>
          <w:kern w:val="0"/>
          <w:lang w:eastAsia="en-GB"/>
          <w14:ligatures w14:val="none"/>
        </w:rPr>
        <w:t>H</w:t>
      </w:r>
      <w:r w:rsidR="00DB2352">
        <w:rPr>
          <w:rFonts w:ascii="Arial" w:eastAsia="Times New Roman" w:hAnsi="Arial" w:cs="Arial"/>
          <w:b/>
          <w:bCs/>
          <w:color w:val="000000"/>
          <w:kern w:val="0"/>
          <w:lang w:eastAsia="en-GB"/>
          <w14:ligatures w14:val="none"/>
        </w:rPr>
        <w:t>.</w:t>
      </w:r>
      <w:r w:rsidR="00DB2352">
        <w:rPr>
          <w:rFonts w:ascii="Arial" w:eastAsia="Times New Roman" w:hAnsi="Arial" w:cs="Arial"/>
          <w:b/>
          <w:bCs/>
          <w:color w:val="000000"/>
          <w:kern w:val="0"/>
          <w:lang w:eastAsia="en-GB"/>
          <w14:ligatures w14:val="none"/>
        </w:rPr>
        <w:tab/>
      </w:r>
      <w:r w:rsidR="00CF4BEB" w:rsidRPr="00CF4BEB">
        <w:rPr>
          <w:rFonts w:ascii="Arial" w:eastAsia="Times New Roman" w:hAnsi="Arial" w:cs="Arial"/>
          <w:b/>
          <w:bCs/>
          <w:color w:val="000000"/>
          <w:kern w:val="0"/>
          <w:lang w:eastAsia="en-GB"/>
          <w14:ligatures w14:val="none"/>
        </w:rPr>
        <w:t>Government Responses and Their Limitations</w:t>
      </w:r>
    </w:p>
    <w:p w14:paraId="332CF8B2" w14:textId="77777777" w:rsidR="000F48F6" w:rsidRDefault="000F48F6" w:rsidP="00CF4BEB">
      <w:pPr>
        <w:jc w:val="both"/>
        <w:rPr>
          <w:rFonts w:ascii="Arial" w:eastAsia="Times New Roman" w:hAnsi="Arial" w:cs="Arial"/>
          <w:color w:val="000000"/>
          <w:kern w:val="0"/>
          <w:lang w:eastAsia="en-GB"/>
          <w14:ligatures w14:val="none"/>
        </w:rPr>
      </w:pPr>
    </w:p>
    <w:p w14:paraId="5F4D919D" w14:textId="77777777" w:rsidR="00CF4BEB" w:rsidRPr="00CF4BEB" w:rsidRDefault="00CF4BEB" w:rsidP="00CF4BEB">
      <w:pPr>
        <w:jc w:val="both"/>
        <w:rPr>
          <w:rFonts w:ascii="Arial" w:eastAsia="Times New Roman" w:hAnsi="Arial" w:cs="Arial"/>
          <w:color w:val="000000"/>
          <w:kern w:val="0"/>
          <w:lang w:eastAsia="en-GB"/>
          <w14:ligatures w14:val="none"/>
        </w:rPr>
      </w:pPr>
      <w:r w:rsidRPr="00CF4BEB">
        <w:rPr>
          <w:rFonts w:ascii="Arial" w:eastAsia="Times New Roman" w:hAnsi="Arial" w:cs="Arial"/>
          <w:color w:val="000000"/>
          <w:kern w:val="0"/>
          <w:lang w:eastAsia="en-GB"/>
          <w14:ligatures w14:val="none"/>
        </w:rPr>
        <w:t>While Malaysia has introduced national strategies and awareness programmes to address child marriage, these initiatives remain largely administrative rather than transformative. The government frequently highlights multi-sectoral plans, reproductive health education projects and family support programmes. However, these efforts do not address the root causes or challenge the normative structures that sustain child marriage.</w:t>
      </w:r>
    </w:p>
    <w:p w14:paraId="3DD822C8" w14:textId="77777777" w:rsidR="000F48F6" w:rsidRDefault="000F48F6" w:rsidP="00CF4BEB">
      <w:pPr>
        <w:jc w:val="both"/>
        <w:rPr>
          <w:rFonts w:ascii="Arial" w:eastAsia="Times New Roman" w:hAnsi="Arial" w:cs="Arial"/>
          <w:color w:val="000000"/>
          <w:kern w:val="0"/>
          <w:lang w:eastAsia="en-GB"/>
          <w14:ligatures w14:val="none"/>
        </w:rPr>
      </w:pPr>
    </w:p>
    <w:p w14:paraId="27BB17F7" w14:textId="77777777" w:rsidR="00CF4BEB" w:rsidRPr="00CF4BEB" w:rsidRDefault="00CF4BEB" w:rsidP="00CF4BEB">
      <w:pPr>
        <w:jc w:val="both"/>
        <w:rPr>
          <w:rFonts w:ascii="Arial" w:eastAsia="Times New Roman" w:hAnsi="Arial" w:cs="Arial"/>
          <w:color w:val="000000"/>
          <w:kern w:val="0"/>
          <w:lang w:eastAsia="en-GB"/>
          <w14:ligatures w14:val="none"/>
        </w:rPr>
      </w:pPr>
      <w:r w:rsidRPr="00CF4BEB">
        <w:rPr>
          <w:rFonts w:ascii="Arial" w:eastAsia="Times New Roman" w:hAnsi="Arial" w:cs="Arial"/>
          <w:color w:val="000000"/>
          <w:kern w:val="0"/>
          <w:lang w:eastAsia="en-GB"/>
          <w14:ligatures w14:val="none"/>
        </w:rPr>
        <w:t>Many programmes remain urban-centric and fail to reach high-risk, remote or marginalised communities. Awareness campaigns often adopt messaging that reinforces traditional gender roles rather than challenging harmful norms. Youth programmes lack meaningful evaluation, and their impact remains unclear. Coordination among ministries is weak, and state–federal divisions impede uniform implementation of reforms.</w:t>
      </w:r>
    </w:p>
    <w:p w14:paraId="4F93393E" w14:textId="77777777" w:rsidR="000F48F6" w:rsidRDefault="000F48F6" w:rsidP="00CF4BEB">
      <w:pPr>
        <w:jc w:val="both"/>
        <w:rPr>
          <w:rFonts w:ascii="Arial" w:eastAsia="Times New Roman" w:hAnsi="Arial" w:cs="Arial"/>
          <w:color w:val="000000"/>
          <w:kern w:val="0"/>
          <w:lang w:eastAsia="en-GB"/>
          <w14:ligatures w14:val="none"/>
        </w:rPr>
      </w:pPr>
    </w:p>
    <w:p w14:paraId="5E07E98C" w14:textId="77777777" w:rsidR="00CF4BEB" w:rsidRPr="00CF4BEB" w:rsidRDefault="00CF4BEB" w:rsidP="00CF4BEB">
      <w:pPr>
        <w:jc w:val="both"/>
        <w:rPr>
          <w:rFonts w:ascii="Arial" w:eastAsia="Times New Roman" w:hAnsi="Arial" w:cs="Arial"/>
          <w:color w:val="000000"/>
          <w:kern w:val="0"/>
          <w:lang w:eastAsia="en-GB"/>
          <w14:ligatures w14:val="none"/>
        </w:rPr>
      </w:pPr>
      <w:r w:rsidRPr="00CF4BEB">
        <w:rPr>
          <w:rFonts w:ascii="Arial" w:eastAsia="Times New Roman" w:hAnsi="Arial" w:cs="Arial"/>
          <w:color w:val="000000"/>
          <w:kern w:val="0"/>
          <w:lang w:eastAsia="en-GB"/>
          <w14:ligatures w14:val="none"/>
        </w:rPr>
        <w:t>The government’s continued assertion that cultural and religious considerations must be respected serves as a barrier to reform rather than a basis for constructive dialogue. The invocation of constitutional protections for state jurisdiction over Islamic law is used to deflect responsibility rather than facilitate harmonisation. Without political will to pursue substantive legal reform, existing programmes serve more as symbolic gestures than as effective strategies for eliminating child marriage.</w:t>
      </w:r>
    </w:p>
    <w:p w14:paraId="2E7E41F5" w14:textId="77777777" w:rsidR="00413ED0" w:rsidRDefault="00413ED0" w:rsidP="001D3039">
      <w:pPr>
        <w:jc w:val="both"/>
        <w:outlineLvl w:val="1"/>
        <w:rPr>
          <w:rFonts w:ascii="Arial" w:eastAsia="Times New Roman" w:hAnsi="Arial" w:cs="Arial"/>
          <w:kern w:val="0"/>
          <w:lang w:eastAsia="en-GB"/>
          <w14:ligatures w14:val="none"/>
        </w:rPr>
      </w:pPr>
    </w:p>
    <w:p w14:paraId="0DA3E988" w14:textId="77777777" w:rsidR="00413ED0" w:rsidRDefault="00413ED0" w:rsidP="001D3039">
      <w:pPr>
        <w:jc w:val="both"/>
        <w:outlineLvl w:val="1"/>
        <w:rPr>
          <w:rFonts w:ascii="Arial" w:eastAsia="Times New Roman" w:hAnsi="Arial" w:cs="Arial"/>
          <w:b/>
          <w:bCs/>
          <w:color w:val="000000"/>
          <w:kern w:val="0"/>
          <w:lang w:eastAsia="en-GB"/>
          <w14:ligatures w14:val="none"/>
        </w:rPr>
      </w:pPr>
    </w:p>
    <w:p w14:paraId="7E443846" w14:textId="62292E6E" w:rsidR="00CF4BEB" w:rsidRPr="00413ED0" w:rsidRDefault="00CF4BEB" w:rsidP="001D3039">
      <w:pPr>
        <w:jc w:val="both"/>
        <w:outlineLvl w:val="1"/>
        <w:rPr>
          <w:rFonts w:ascii="Arial" w:eastAsia="Times New Roman" w:hAnsi="Arial" w:cs="Arial"/>
          <w:b/>
          <w:bCs/>
          <w:color w:val="000000"/>
          <w:kern w:val="0"/>
          <w:lang w:eastAsia="en-GB"/>
          <w14:ligatures w14:val="none"/>
        </w:rPr>
      </w:pPr>
      <w:r w:rsidRPr="00413ED0">
        <w:rPr>
          <w:rFonts w:ascii="Arial" w:eastAsia="Times New Roman" w:hAnsi="Arial" w:cs="Arial"/>
          <w:b/>
          <w:bCs/>
          <w:color w:val="000000"/>
          <w:kern w:val="0"/>
          <w:lang w:eastAsia="en-GB"/>
          <w14:ligatures w14:val="none"/>
        </w:rPr>
        <w:t>Pathways for Structural Reform</w:t>
      </w:r>
    </w:p>
    <w:p w14:paraId="1A2FCE4B" w14:textId="77777777" w:rsidR="000F48F6" w:rsidRPr="001D3039" w:rsidRDefault="000F48F6" w:rsidP="001D3039">
      <w:pPr>
        <w:jc w:val="both"/>
        <w:rPr>
          <w:rFonts w:ascii="Arial" w:eastAsia="Times New Roman" w:hAnsi="Arial" w:cs="Arial"/>
          <w:color w:val="000000"/>
          <w:kern w:val="0"/>
          <w:lang w:eastAsia="en-GB"/>
          <w14:ligatures w14:val="none"/>
        </w:rPr>
      </w:pPr>
    </w:p>
    <w:p w14:paraId="2A1C6622" w14:textId="77777777" w:rsidR="001D3039" w:rsidRDefault="001D3039" w:rsidP="001D3039">
      <w:pPr>
        <w:pStyle w:val="NormalWeb"/>
        <w:numPr>
          <w:ilvl w:val="0"/>
          <w:numId w:val="3"/>
        </w:numPr>
        <w:tabs>
          <w:tab w:val="clear" w:pos="720"/>
        </w:tabs>
        <w:spacing w:before="0" w:beforeAutospacing="0" w:after="0" w:afterAutospacing="0"/>
        <w:ind w:left="567" w:hanging="567"/>
        <w:jc w:val="both"/>
        <w:rPr>
          <w:rFonts w:ascii="Arial" w:hAnsi="Arial" w:cs="Arial"/>
          <w:color w:val="000000"/>
        </w:rPr>
      </w:pPr>
      <w:r w:rsidRPr="001D3039">
        <w:rPr>
          <w:rStyle w:val="Strong"/>
          <w:rFonts w:ascii="Arial" w:eastAsiaTheme="majorEastAsia" w:hAnsi="Arial" w:cs="Arial"/>
          <w:color w:val="000000"/>
        </w:rPr>
        <w:t>Establish a uniform minimum age of marriage at eighteen without exceptions</w:t>
      </w:r>
      <w:r w:rsidRPr="001D3039">
        <w:rPr>
          <w:rStyle w:val="apple-converted-space"/>
          <w:rFonts w:ascii="Arial" w:eastAsiaTheme="majorEastAsia" w:hAnsi="Arial" w:cs="Arial"/>
          <w:color w:val="000000"/>
        </w:rPr>
        <w:t> </w:t>
      </w:r>
      <w:r w:rsidRPr="001D3039">
        <w:rPr>
          <w:rFonts w:ascii="Arial" w:hAnsi="Arial" w:cs="Arial"/>
          <w:color w:val="000000"/>
        </w:rPr>
        <w:t>across all legal systems, through coordinated federal and state action.</w:t>
      </w:r>
    </w:p>
    <w:p w14:paraId="3907119A" w14:textId="77777777" w:rsidR="001D3039" w:rsidRPr="001D3039" w:rsidRDefault="001D3039" w:rsidP="001D3039">
      <w:pPr>
        <w:pStyle w:val="NormalWeb"/>
        <w:spacing w:before="0" w:beforeAutospacing="0" w:after="0" w:afterAutospacing="0"/>
        <w:ind w:left="567"/>
        <w:jc w:val="both"/>
        <w:rPr>
          <w:rFonts w:ascii="Arial" w:hAnsi="Arial" w:cs="Arial"/>
          <w:color w:val="000000"/>
        </w:rPr>
      </w:pPr>
    </w:p>
    <w:p w14:paraId="1E86E8F7" w14:textId="77777777" w:rsidR="001D3039" w:rsidRDefault="001D3039" w:rsidP="001D3039">
      <w:pPr>
        <w:pStyle w:val="NormalWeb"/>
        <w:numPr>
          <w:ilvl w:val="0"/>
          <w:numId w:val="3"/>
        </w:numPr>
        <w:tabs>
          <w:tab w:val="clear" w:pos="720"/>
        </w:tabs>
        <w:spacing w:before="0" w:beforeAutospacing="0" w:after="0" w:afterAutospacing="0"/>
        <w:ind w:left="567" w:hanging="567"/>
        <w:jc w:val="both"/>
        <w:rPr>
          <w:rFonts w:ascii="Arial" w:hAnsi="Arial" w:cs="Arial"/>
          <w:color w:val="000000"/>
        </w:rPr>
      </w:pPr>
      <w:r w:rsidRPr="001D3039">
        <w:rPr>
          <w:rStyle w:val="Strong"/>
          <w:rFonts w:ascii="Arial" w:eastAsiaTheme="majorEastAsia" w:hAnsi="Arial" w:cs="Arial"/>
          <w:color w:val="000000"/>
        </w:rPr>
        <w:t>Adopt a national child-protection framework</w:t>
      </w:r>
      <w:r w:rsidRPr="001D3039">
        <w:rPr>
          <w:rStyle w:val="apple-converted-space"/>
          <w:rFonts w:ascii="Arial" w:eastAsiaTheme="majorEastAsia" w:hAnsi="Arial" w:cs="Arial"/>
          <w:color w:val="000000"/>
        </w:rPr>
        <w:t> </w:t>
      </w:r>
      <w:r w:rsidRPr="001D3039">
        <w:rPr>
          <w:rFonts w:ascii="Arial" w:hAnsi="Arial" w:cs="Arial"/>
          <w:color w:val="000000"/>
        </w:rPr>
        <w:t>that includes integrated data collection, mandatory monitoring of underage marriage cases, independent oversight and child-friendly justice mechanisms.</w:t>
      </w:r>
    </w:p>
    <w:p w14:paraId="0A80D22D" w14:textId="77777777" w:rsidR="001D3039" w:rsidRPr="001D3039" w:rsidRDefault="001D3039" w:rsidP="001D3039">
      <w:pPr>
        <w:pStyle w:val="NormalWeb"/>
        <w:spacing w:before="0" w:beforeAutospacing="0" w:after="0" w:afterAutospacing="0"/>
        <w:jc w:val="both"/>
        <w:rPr>
          <w:rFonts w:ascii="Arial" w:hAnsi="Arial" w:cs="Arial"/>
          <w:color w:val="000000"/>
        </w:rPr>
      </w:pPr>
    </w:p>
    <w:p w14:paraId="38A41190" w14:textId="77777777" w:rsidR="001D3039" w:rsidRDefault="001D3039" w:rsidP="001D3039">
      <w:pPr>
        <w:pStyle w:val="NormalWeb"/>
        <w:numPr>
          <w:ilvl w:val="0"/>
          <w:numId w:val="3"/>
        </w:numPr>
        <w:tabs>
          <w:tab w:val="clear" w:pos="720"/>
        </w:tabs>
        <w:spacing w:before="0" w:beforeAutospacing="0" w:after="0" w:afterAutospacing="0"/>
        <w:ind w:left="567" w:hanging="567"/>
        <w:jc w:val="both"/>
        <w:rPr>
          <w:rFonts w:ascii="Arial" w:hAnsi="Arial" w:cs="Arial"/>
          <w:color w:val="000000"/>
        </w:rPr>
      </w:pPr>
      <w:r w:rsidRPr="001D3039">
        <w:rPr>
          <w:rStyle w:val="Strong"/>
          <w:rFonts w:ascii="Arial" w:eastAsiaTheme="majorEastAsia" w:hAnsi="Arial" w:cs="Arial"/>
          <w:color w:val="000000"/>
        </w:rPr>
        <w:t>Strengthen preventive measures</w:t>
      </w:r>
      <w:r w:rsidRPr="001D3039">
        <w:rPr>
          <w:rFonts w:ascii="Arial" w:hAnsi="Arial" w:cs="Arial"/>
          <w:color w:val="000000"/>
        </w:rPr>
        <w:t>, including social protection for vulnerable families, access to adolescent sexual and reproductive health services and inclusive education for all children regardless of legal status.</w:t>
      </w:r>
    </w:p>
    <w:p w14:paraId="7AD751CC" w14:textId="77777777" w:rsidR="001D3039" w:rsidRPr="001D3039" w:rsidRDefault="001D3039" w:rsidP="001D3039">
      <w:pPr>
        <w:pStyle w:val="NormalWeb"/>
        <w:spacing w:before="0" w:beforeAutospacing="0" w:after="0" w:afterAutospacing="0"/>
        <w:jc w:val="both"/>
        <w:rPr>
          <w:rFonts w:ascii="Arial" w:hAnsi="Arial" w:cs="Arial"/>
          <w:color w:val="000000"/>
        </w:rPr>
      </w:pPr>
    </w:p>
    <w:p w14:paraId="0942A63F" w14:textId="77777777" w:rsidR="001D3039" w:rsidRDefault="001D3039" w:rsidP="001D3039">
      <w:pPr>
        <w:pStyle w:val="NormalWeb"/>
        <w:numPr>
          <w:ilvl w:val="0"/>
          <w:numId w:val="3"/>
        </w:numPr>
        <w:tabs>
          <w:tab w:val="clear" w:pos="720"/>
        </w:tabs>
        <w:spacing w:before="0" w:beforeAutospacing="0" w:after="0" w:afterAutospacing="0"/>
        <w:ind w:left="567" w:hanging="567"/>
        <w:jc w:val="both"/>
        <w:rPr>
          <w:rFonts w:ascii="Arial" w:hAnsi="Arial" w:cs="Arial"/>
          <w:color w:val="000000"/>
        </w:rPr>
      </w:pPr>
      <w:r w:rsidRPr="001D3039">
        <w:rPr>
          <w:rStyle w:val="Strong"/>
          <w:rFonts w:ascii="Arial" w:eastAsiaTheme="majorEastAsia" w:hAnsi="Arial" w:cs="Arial"/>
          <w:color w:val="000000"/>
        </w:rPr>
        <w:t>Address harmful social norms</w:t>
      </w:r>
      <w:r w:rsidRPr="001D3039">
        <w:rPr>
          <w:rStyle w:val="apple-converted-space"/>
          <w:rFonts w:ascii="Arial" w:eastAsiaTheme="majorEastAsia" w:hAnsi="Arial" w:cs="Arial"/>
          <w:color w:val="000000"/>
        </w:rPr>
        <w:t> </w:t>
      </w:r>
      <w:r w:rsidRPr="001D3039">
        <w:rPr>
          <w:rFonts w:ascii="Arial" w:hAnsi="Arial" w:cs="Arial"/>
          <w:color w:val="000000"/>
        </w:rPr>
        <w:t>through sustained partnerships with civil society, including women’s rights organisations, youth groups, Indigenous leaders and religious actors.</w:t>
      </w:r>
    </w:p>
    <w:p w14:paraId="7AFE88C0" w14:textId="77777777" w:rsidR="001D3039" w:rsidRPr="001D3039" w:rsidRDefault="001D3039" w:rsidP="001D3039">
      <w:pPr>
        <w:pStyle w:val="NormalWeb"/>
        <w:spacing w:before="0" w:beforeAutospacing="0" w:after="0" w:afterAutospacing="0"/>
        <w:jc w:val="both"/>
        <w:rPr>
          <w:rFonts w:ascii="Arial" w:hAnsi="Arial" w:cs="Arial"/>
          <w:color w:val="000000"/>
        </w:rPr>
      </w:pPr>
    </w:p>
    <w:p w14:paraId="5CF065B3" w14:textId="77777777" w:rsidR="001D3039" w:rsidRPr="001D3039" w:rsidRDefault="001D3039" w:rsidP="001D3039">
      <w:pPr>
        <w:pStyle w:val="NormalWeb"/>
        <w:numPr>
          <w:ilvl w:val="0"/>
          <w:numId w:val="3"/>
        </w:numPr>
        <w:tabs>
          <w:tab w:val="clear" w:pos="720"/>
        </w:tabs>
        <w:spacing w:before="0" w:beforeAutospacing="0" w:after="0" w:afterAutospacing="0"/>
        <w:ind w:left="567" w:hanging="567"/>
        <w:jc w:val="both"/>
        <w:rPr>
          <w:rFonts w:ascii="Arial" w:hAnsi="Arial" w:cs="Arial"/>
          <w:color w:val="000000"/>
        </w:rPr>
      </w:pPr>
      <w:r w:rsidRPr="001D3039">
        <w:rPr>
          <w:rStyle w:val="Strong"/>
          <w:rFonts w:ascii="Arial" w:eastAsiaTheme="majorEastAsia" w:hAnsi="Arial" w:cs="Arial"/>
          <w:color w:val="000000"/>
        </w:rPr>
        <w:t>Ensure meaningful child participation</w:t>
      </w:r>
      <w:r w:rsidRPr="001D3039">
        <w:rPr>
          <w:rStyle w:val="apple-converted-space"/>
          <w:rFonts w:ascii="Arial" w:eastAsiaTheme="majorEastAsia" w:hAnsi="Arial" w:cs="Arial"/>
          <w:color w:val="000000"/>
        </w:rPr>
        <w:t> </w:t>
      </w:r>
      <w:r w:rsidRPr="001D3039">
        <w:rPr>
          <w:rFonts w:ascii="Arial" w:hAnsi="Arial" w:cs="Arial"/>
          <w:color w:val="000000"/>
        </w:rPr>
        <w:t>in all policies and decisions affecting children.</w:t>
      </w:r>
    </w:p>
    <w:p w14:paraId="11A59097" w14:textId="77777777" w:rsidR="001D3039" w:rsidRDefault="001D3039" w:rsidP="001D3039">
      <w:pPr>
        <w:jc w:val="both"/>
        <w:outlineLvl w:val="1"/>
        <w:rPr>
          <w:rFonts w:ascii="Arial" w:eastAsia="Times New Roman" w:hAnsi="Arial" w:cs="Arial"/>
          <w:b/>
          <w:bCs/>
          <w:color w:val="000000"/>
          <w:kern w:val="0"/>
          <w:lang w:eastAsia="en-GB"/>
          <w14:ligatures w14:val="none"/>
        </w:rPr>
      </w:pPr>
    </w:p>
    <w:p w14:paraId="7D813DB4" w14:textId="77777777" w:rsidR="001D3039" w:rsidRDefault="001D3039" w:rsidP="001D3039">
      <w:pPr>
        <w:jc w:val="both"/>
        <w:outlineLvl w:val="1"/>
        <w:rPr>
          <w:rFonts w:ascii="Arial" w:eastAsia="Times New Roman" w:hAnsi="Arial" w:cs="Arial"/>
          <w:b/>
          <w:bCs/>
          <w:color w:val="000000"/>
          <w:kern w:val="0"/>
          <w:lang w:eastAsia="en-GB"/>
          <w14:ligatures w14:val="none"/>
        </w:rPr>
      </w:pPr>
    </w:p>
    <w:p w14:paraId="44E11F42" w14:textId="207682B6" w:rsidR="00CF4BEB" w:rsidRPr="001D3039" w:rsidRDefault="00CF4BEB" w:rsidP="001D3039">
      <w:pPr>
        <w:jc w:val="both"/>
        <w:outlineLvl w:val="1"/>
        <w:rPr>
          <w:rFonts w:ascii="Arial" w:eastAsia="Times New Roman" w:hAnsi="Arial" w:cs="Arial"/>
          <w:b/>
          <w:bCs/>
          <w:color w:val="000000"/>
          <w:kern w:val="0"/>
          <w:lang w:eastAsia="en-GB"/>
          <w14:ligatures w14:val="none"/>
        </w:rPr>
      </w:pPr>
      <w:r w:rsidRPr="001D3039">
        <w:rPr>
          <w:rFonts w:ascii="Arial" w:eastAsia="Times New Roman" w:hAnsi="Arial" w:cs="Arial"/>
          <w:b/>
          <w:bCs/>
          <w:color w:val="000000"/>
          <w:kern w:val="0"/>
          <w:lang w:eastAsia="en-GB"/>
          <w14:ligatures w14:val="none"/>
        </w:rPr>
        <w:t>Conclusion</w:t>
      </w:r>
    </w:p>
    <w:p w14:paraId="0B78EDF0" w14:textId="77777777" w:rsidR="000F48F6" w:rsidRPr="00CF4BEB" w:rsidRDefault="000F48F6" w:rsidP="00CF4BEB">
      <w:pPr>
        <w:jc w:val="both"/>
        <w:outlineLvl w:val="1"/>
        <w:rPr>
          <w:rFonts w:ascii="Arial" w:eastAsia="Times New Roman" w:hAnsi="Arial" w:cs="Arial"/>
          <w:b/>
          <w:bCs/>
          <w:color w:val="000000"/>
          <w:kern w:val="0"/>
          <w:lang w:eastAsia="en-GB"/>
          <w14:ligatures w14:val="none"/>
        </w:rPr>
      </w:pPr>
    </w:p>
    <w:p w14:paraId="394CC430" w14:textId="77777777" w:rsidR="00CF4BEB" w:rsidRDefault="00CF4BEB" w:rsidP="00CF4BEB">
      <w:pPr>
        <w:jc w:val="both"/>
        <w:rPr>
          <w:rFonts w:ascii="Arial" w:eastAsia="Times New Roman" w:hAnsi="Arial" w:cs="Arial"/>
          <w:color w:val="000000"/>
          <w:kern w:val="0"/>
          <w:lang w:eastAsia="en-GB"/>
          <w14:ligatures w14:val="none"/>
        </w:rPr>
      </w:pPr>
      <w:r w:rsidRPr="00DB2352">
        <w:rPr>
          <w:rFonts w:ascii="Arial" w:eastAsia="Times New Roman" w:hAnsi="Arial" w:cs="Arial"/>
          <w:color w:val="000000"/>
          <w:kern w:val="0"/>
          <w:lang w:eastAsia="en-GB"/>
          <w14:ligatures w14:val="none"/>
        </w:rPr>
        <w:t>Child marriage in Malaysia cannot be understood as merely a cultural practice or as a series of isolated incidents.</w:t>
      </w:r>
      <w:r w:rsidRPr="00CF4BEB">
        <w:rPr>
          <w:rFonts w:ascii="Arial" w:eastAsia="Times New Roman" w:hAnsi="Arial" w:cs="Arial"/>
          <w:color w:val="000000"/>
          <w:kern w:val="0"/>
          <w:lang w:eastAsia="en-GB"/>
          <w14:ligatures w14:val="none"/>
        </w:rPr>
        <w:t xml:space="preserve"> It is a structural issue shaped by deep legal inconsistencies, patriarchal norms, socio-economic inequalities and systemic discrimination. Although Malaysia has taken steps to address the problem, these efforts remain insufficient and do not address the underlying factors that enable early marriage to persist. Without harmonising laws, strengthening child-protection mechanisms and confronting harmful social norms, Malaysia will remain in partial non-compliance with its obligations under the CRC.</w:t>
      </w:r>
    </w:p>
    <w:p w14:paraId="510F4186" w14:textId="77777777" w:rsidR="000F48F6" w:rsidRPr="00CF4BEB" w:rsidRDefault="000F48F6" w:rsidP="00CF4BEB">
      <w:pPr>
        <w:jc w:val="both"/>
        <w:rPr>
          <w:rFonts w:ascii="Arial" w:eastAsia="Times New Roman" w:hAnsi="Arial" w:cs="Arial"/>
          <w:color w:val="000000"/>
          <w:kern w:val="0"/>
          <w:lang w:eastAsia="en-GB"/>
          <w14:ligatures w14:val="none"/>
        </w:rPr>
      </w:pPr>
    </w:p>
    <w:p w14:paraId="51519496" w14:textId="77777777" w:rsidR="00CF4BEB" w:rsidRPr="00CF4BEB" w:rsidRDefault="00CF4BEB" w:rsidP="00CF4BEB">
      <w:pPr>
        <w:jc w:val="both"/>
        <w:rPr>
          <w:rFonts w:ascii="Arial" w:eastAsia="Times New Roman" w:hAnsi="Arial" w:cs="Arial"/>
          <w:color w:val="000000"/>
          <w:kern w:val="0"/>
          <w:lang w:eastAsia="en-GB"/>
          <w14:ligatures w14:val="none"/>
        </w:rPr>
      </w:pPr>
      <w:r w:rsidRPr="00CF4BEB">
        <w:rPr>
          <w:rFonts w:ascii="Arial" w:eastAsia="Times New Roman" w:hAnsi="Arial" w:cs="Arial"/>
          <w:color w:val="000000"/>
          <w:kern w:val="0"/>
          <w:lang w:eastAsia="en-GB"/>
          <w14:ligatures w14:val="none"/>
        </w:rPr>
        <w:t>The government must move beyond symbolic actions and commit to substantive reforms that prioritise the rights, safety and dignity of every child. The elimination of child marriage requires a comprehensive, coordinated and rights-based approach that centres children’s voices, challenges harmful traditions and confronts the structural inequalities that make the practice possible. Only through such transformative efforts can Malaysia progress toward full compliance with the Convention and ensure that every child is protected, empowered and able to realise their full potential.</w:t>
      </w:r>
    </w:p>
    <w:p w14:paraId="41BE0F57" w14:textId="77777777" w:rsidR="00110F3E" w:rsidRDefault="00110F3E" w:rsidP="00CF4BEB">
      <w:pPr>
        <w:jc w:val="both"/>
        <w:rPr>
          <w:rFonts w:ascii="Arial" w:hAnsi="Arial" w:cs="Arial"/>
        </w:rPr>
      </w:pPr>
    </w:p>
    <w:p w14:paraId="406881F3" w14:textId="77777777" w:rsidR="009946E2" w:rsidRDefault="009946E2" w:rsidP="00CF4BEB">
      <w:pPr>
        <w:jc w:val="both"/>
        <w:rPr>
          <w:rFonts w:ascii="Arial" w:hAnsi="Arial" w:cs="Arial"/>
        </w:rPr>
      </w:pPr>
    </w:p>
    <w:p w14:paraId="43DDB322" w14:textId="77777777" w:rsidR="009946E2" w:rsidRDefault="009946E2" w:rsidP="00CF4BEB">
      <w:pPr>
        <w:jc w:val="both"/>
        <w:rPr>
          <w:rFonts w:ascii="Arial" w:hAnsi="Arial" w:cs="Arial"/>
        </w:rPr>
      </w:pPr>
    </w:p>
    <w:p w14:paraId="3DA3CCF8" w14:textId="77777777" w:rsidR="009946E2" w:rsidRDefault="009946E2" w:rsidP="00CF4BEB">
      <w:pPr>
        <w:jc w:val="both"/>
        <w:rPr>
          <w:rFonts w:ascii="Arial" w:hAnsi="Arial" w:cs="Arial"/>
        </w:rPr>
      </w:pPr>
    </w:p>
    <w:p w14:paraId="6EDFB2AF" w14:textId="77777777" w:rsidR="009946E2" w:rsidRDefault="009946E2" w:rsidP="00CF4BEB">
      <w:pPr>
        <w:jc w:val="both"/>
        <w:rPr>
          <w:rFonts w:ascii="Arial" w:hAnsi="Arial" w:cs="Arial"/>
        </w:rPr>
      </w:pPr>
    </w:p>
    <w:p w14:paraId="4C9C9EA9" w14:textId="77777777" w:rsidR="009946E2" w:rsidRDefault="009946E2" w:rsidP="00CF4BEB">
      <w:pPr>
        <w:jc w:val="both"/>
        <w:rPr>
          <w:rFonts w:ascii="Arial" w:hAnsi="Arial" w:cs="Arial"/>
        </w:rPr>
      </w:pPr>
    </w:p>
    <w:p w14:paraId="11B91C0A" w14:textId="77777777" w:rsidR="009946E2" w:rsidRDefault="009946E2" w:rsidP="00CF4BEB">
      <w:pPr>
        <w:jc w:val="both"/>
        <w:rPr>
          <w:rFonts w:ascii="Arial" w:hAnsi="Arial" w:cs="Arial"/>
        </w:rPr>
      </w:pPr>
    </w:p>
    <w:p w14:paraId="0485E4BE" w14:textId="77777777" w:rsidR="009946E2" w:rsidRDefault="009946E2" w:rsidP="00CF4BEB">
      <w:pPr>
        <w:jc w:val="both"/>
        <w:rPr>
          <w:rFonts w:ascii="Arial" w:hAnsi="Arial" w:cs="Arial"/>
        </w:rPr>
      </w:pPr>
    </w:p>
    <w:p w14:paraId="161FB68C" w14:textId="77777777" w:rsidR="009946E2" w:rsidRDefault="009946E2" w:rsidP="00CF4BEB">
      <w:pPr>
        <w:jc w:val="both"/>
        <w:rPr>
          <w:rFonts w:ascii="Arial" w:hAnsi="Arial" w:cs="Arial"/>
        </w:rPr>
      </w:pPr>
    </w:p>
    <w:p w14:paraId="0BB80B06" w14:textId="77777777" w:rsidR="009946E2" w:rsidRDefault="009946E2" w:rsidP="00CF4BEB">
      <w:pPr>
        <w:jc w:val="both"/>
        <w:rPr>
          <w:rFonts w:ascii="Arial" w:hAnsi="Arial" w:cs="Arial"/>
        </w:rPr>
      </w:pPr>
    </w:p>
    <w:p w14:paraId="3F6034B1" w14:textId="77777777" w:rsidR="009946E2" w:rsidRDefault="009946E2" w:rsidP="00CF4BEB">
      <w:pPr>
        <w:jc w:val="both"/>
        <w:rPr>
          <w:rFonts w:ascii="Arial" w:hAnsi="Arial" w:cs="Arial"/>
        </w:rPr>
      </w:pPr>
    </w:p>
    <w:p w14:paraId="6408DC35" w14:textId="77777777" w:rsidR="009946E2" w:rsidRDefault="009946E2" w:rsidP="00CF4BEB">
      <w:pPr>
        <w:jc w:val="both"/>
        <w:rPr>
          <w:rFonts w:ascii="Arial" w:hAnsi="Arial" w:cs="Arial"/>
        </w:rPr>
      </w:pPr>
    </w:p>
    <w:p w14:paraId="43F264EE" w14:textId="77777777" w:rsidR="009946E2" w:rsidRDefault="009946E2" w:rsidP="00CF4BEB">
      <w:pPr>
        <w:jc w:val="both"/>
        <w:rPr>
          <w:rFonts w:ascii="Arial" w:hAnsi="Arial" w:cs="Arial"/>
        </w:rPr>
      </w:pPr>
    </w:p>
    <w:p w14:paraId="189A31F7" w14:textId="77777777" w:rsidR="009946E2" w:rsidRDefault="009946E2" w:rsidP="00CF4BEB">
      <w:pPr>
        <w:jc w:val="both"/>
        <w:rPr>
          <w:rFonts w:ascii="Arial" w:hAnsi="Arial" w:cs="Arial"/>
        </w:rPr>
      </w:pPr>
    </w:p>
    <w:p w14:paraId="3A17AFA9" w14:textId="77777777" w:rsidR="00BC0245" w:rsidRDefault="00BC0245" w:rsidP="00CF4BEB">
      <w:pPr>
        <w:jc w:val="both"/>
        <w:rPr>
          <w:rFonts w:ascii="Arial" w:hAnsi="Arial" w:cs="Arial"/>
        </w:rPr>
      </w:pPr>
    </w:p>
    <w:p w14:paraId="70AAF035" w14:textId="77777777" w:rsidR="00413ED0" w:rsidRDefault="00413ED0" w:rsidP="00CF4BEB">
      <w:pPr>
        <w:jc w:val="both"/>
        <w:rPr>
          <w:rFonts w:ascii="Arial" w:hAnsi="Arial" w:cs="Arial"/>
        </w:rPr>
      </w:pPr>
    </w:p>
    <w:p w14:paraId="465F3D41" w14:textId="77777777" w:rsidR="00413ED0" w:rsidRDefault="00413ED0" w:rsidP="00CF4BEB">
      <w:pPr>
        <w:jc w:val="both"/>
        <w:rPr>
          <w:rFonts w:ascii="Arial" w:hAnsi="Arial" w:cs="Arial"/>
        </w:rPr>
      </w:pPr>
    </w:p>
    <w:p w14:paraId="60C3915B" w14:textId="77777777" w:rsidR="00413ED0" w:rsidRDefault="00413ED0" w:rsidP="00CF4BEB">
      <w:pPr>
        <w:jc w:val="both"/>
        <w:rPr>
          <w:rFonts w:ascii="Arial" w:hAnsi="Arial" w:cs="Arial"/>
        </w:rPr>
      </w:pPr>
    </w:p>
    <w:p w14:paraId="6C8291B7" w14:textId="77777777" w:rsidR="00413ED0" w:rsidRDefault="00413ED0" w:rsidP="00CF4BEB">
      <w:pPr>
        <w:jc w:val="both"/>
        <w:rPr>
          <w:rFonts w:ascii="Arial" w:hAnsi="Arial" w:cs="Arial"/>
        </w:rPr>
      </w:pPr>
    </w:p>
    <w:p w14:paraId="3ECB479E" w14:textId="77777777" w:rsidR="00413ED0" w:rsidRDefault="00413ED0" w:rsidP="00CF4BEB">
      <w:pPr>
        <w:jc w:val="both"/>
        <w:rPr>
          <w:rFonts w:ascii="Arial" w:hAnsi="Arial" w:cs="Arial"/>
        </w:rPr>
      </w:pPr>
    </w:p>
    <w:p w14:paraId="313968CD" w14:textId="681D1569" w:rsidR="009946E2" w:rsidRPr="00413ED0" w:rsidRDefault="009946E2" w:rsidP="00CF4BEB">
      <w:pPr>
        <w:jc w:val="both"/>
        <w:rPr>
          <w:rFonts w:ascii="Arial" w:hAnsi="Arial" w:cs="Arial"/>
          <w:b/>
          <w:bCs/>
          <w:u w:val="single"/>
        </w:rPr>
      </w:pPr>
      <w:r w:rsidRPr="00413ED0">
        <w:rPr>
          <w:rFonts w:ascii="Arial" w:hAnsi="Arial" w:cs="Arial"/>
          <w:b/>
          <w:bCs/>
          <w:u w:val="single"/>
        </w:rPr>
        <w:t>References:</w:t>
      </w:r>
    </w:p>
    <w:p w14:paraId="01A55947" w14:textId="77777777" w:rsidR="009946E2" w:rsidRPr="00BC0245" w:rsidRDefault="009946E2" w:rsidP="00CF4BEB">
      <w:pPr>
        <w:jc w:val="both"/>
        <w:rPr>
          <w:rFonts w:ascii="Arial" w:hAnsi="Arial" w:cs="Arial"/>
        </w:rPr>
      </w:pPr>
    </w:p>
    <w:p w14:paraId="5F9160F7" w14:textId="77777777" w:rsidR="00BC0245" w:rsidRPr="00BC0245" w:rsidRDefault="00BC0245" w:rsidP="00BC0245">
      <w:pPr>
        <w:pStyle w:val="FootnoteText"/>
        <w:numPr>
          <w:ilvl w:val="0"/>
          <w:numId w:val="1"/>
        </w:numPr>
        <w:ind w:left="567" w:hanging="567"/>
        <w:jc w:val="both"/>
        <w:rPr>
          <w:rFonts w:ascii="Arial" w:hAnsi="Arial" w:cs="Arial"/>
          <w:sz w:val="24"/>
          <w:szCs w:val="24"/>
        </w:rPr>
      </w:pPr>
      <w:r w:rsidRPr="00BC0245">
        <w:rPr>
          <w:rFonts w:ascii="Arial" w:hAnsi="Arial" w:cs="Arial"/>
          <w:sz w:val="24"/>
          <w:szCs w:val="24"/>
        </w:rPr>
        <w:t xml:space="preserve">Dewan Rakyat Malaysia. (2021, December 16). </w:t>
      </w:r>
      <w:r w:rsidRPr="00BC0245">
        <w:rPr>
          <w:rFonts w:ascii="Arial" w:hAnsi="Arial" w:cs="Arial"/>
          <w:i/>
          <w:iCs/>
          <w:sz w:val="24"/>
          <w:szCs w:val="24"/>
        </w:rPr>
        <w:t>Parliamentary debates (Hansard): Fourteenth Parliament, Fourth Session, Second Meeting, No. 49</w:t>
      </w:r>
      <w:r w:rsidRPr="00BC0245">
        <w:rPr>
          <w:rFonts w:ascii="Arial" w:hAnsi="Arial" w:cs="Arial"/>
          <w:sz w:val="24"/>
          <w:szCs w:val="24"/>
        </w:rPr>
        <w:t xml:space="preserve"> (Question No. 2). Government Printer.</w:t>
      </w:r>
    </w:p>
    <w:p w14:paraId="6741D2EC" w14:textId="77777777" w:rsidR="00BC0245" w:rsidRPr="00BC0245" w:rsidRDefault="00BC0245" w:rsidP="00BC0245">
      <w:pPr>
        <w:pStyle w:val="FootnoteText"/>
        <w:numPr>
          <w:ilvl w:val="0"/>
          <w:numId w:val="1"/>
        </w:numPr>
        <w:ind w:left="567" w:hanging="567"/>
        <w:jc w:val="both"/>
        <w:rPr>
          <w:rFonts w:ascii="Arial" w:hAnsi="Arial" w:cs="Arial"/>
          <w:sz w:val="24"/>
          <w:szCs w:val="24"/>
        </w:rPr>
      </w:pPr>
      <w:r w:rsidRPr="00BC0245">
        <w:rPr>
          <w:rFonts w:ascii="Arial" w:hAnsi="Arial" w:cs="Arial"/>
          <w:sz w:val="24"/>
          <w:szCs w:val="24"/>
        </w:rPr>
        <w:t xml:space="preserve">Free Malaysia Today. (2025, February 20). </w:t>
      </w:r>
      <w:r w:rsidRPr="00BC0245">
        <w:rPr>
          <w:rFonts w:ascii="Arial" w:hAnsi="Arial" w:cs="Arial"/>
          <w:i/>
          <w:iCs/>
          <w:sz w:val="24"/>
          <w:szCs w:val="24"/>
        </w:rPr>
        <w:t>Child marriages on the decline, says Nancy</w:t>
      </w:r>
      <w:r w:rsidRPr="00BC0245">
        <w:rPr>
          <w:rFonts w:ascii="Arial" w:hAnsi="Arial" w:cs="Arial"/>
          <w:sz w:val="24"/>
          <w:szCs w:val="24"/>
        </w:rPr>
        <w:t xml:space="preserve">. </w:t>
      </w:r>
      <w:hyperlink r:id="rId12" w:tgtFrame="_new" w:history="1">
        <w:r w:rsidRPr="00BC0245">
          <w:rPr>
            <w:rStyle w:val="Hyperlink"/>
            <w:rFonts w:ascii="Arial" w:hAnsi="Arial" w:cs="Arial"/>
            <w:sz w:val="24"/>
            <w:szCs w:val="24"/>
          </w:rPr>
          <w:t>https://www.freemalaysiatoday.com/category/nation/2025/02/20/child-marriages-on-the-decline-says-nancy</w:t>
        </w:r>
      </w:hyperlink>
    </w:p>
    <w:p w14:paraId="634596DA" w14:textId="77777777" w:rsidR="00BC0245" w:rsidRPr="00BC0245" w:rsidRDefault="00BC0245" w:rsidP="00BC0245">
      <w:pPr>
        <w:pStyle w:val="FootnoteText"/>
        <w:numPr>
          <w:ilvl w:val="0"/>
          <w:numId w:val="1"/>
        </w:numPr>
        <w:ind w:left="567" w:hanging="567"/>
        <w:jc w:val="both"/>
        <w:rPr>
          <w:rFonts w:ascii="Arial" w:hAnsi="Arial" w:cs="Arial"/>
          <w:sz w:val="24"/>
          <w:szCs w:val="24"/>
        </w:rPr>
      </w:pPr>
      <w:r w:rsidRPr="00BC0245">
        <w:rPr>
          <w:rFonts w:ascii="Arial" w:hAnsi="Arial" w:cs="Arial"/>
          <w:sz w:val="24"/>
          <w:szCs w:val="24"/>
        </w:rPr>
        <w:t>Islamic Family Law (State of Selangor) Enactment 2003.</w:t>
      </w:r>
    </w:p>
    <w:p w14:paraId="7FB91158" w14:textId="77777777" w:rsidR="00BC0245" w:rsidRPr="00BC0245" w:rsidRDefault="00BC0245" w:rsidP="00BC0245">
      <w:pPr>
        <w:pStyle w:val="FootnoteText"/>
        <w:numPr>
          <w:ilvl w:val="0"/>
          <w:numId w:val="1"/>
        </w:numPr>
        <w:ind w:left="567" w:hanging="567"/>
        <w:jc w:val="both"/>
        <w:rPr>
          <w:rFonts w:ascii="Arial" w:hAnsi="Arial" w:cs="Arial"/>
          <w:sz w:val="24"/>
          <w:szCs w:val="24"/>
        </w:rPr>
      </w:pPr>
      <w:r w:rsidRPr="00BC0245">
        <w:rPr>
          <w:rFonts w:ascii="Arial" w:hAnsi="Arial" w:cs="Arial"/>
          <w:sz w:val="24"/>
          <w:szCs w:val="24"/>
        </w:rPr>
        <w:t>Law Reform (Marriage and Divorce) Act 1976.</w:t>
      </w:r>
    </w:p>
    <w:p w14:paraId="79DB493D" w14:textId="77777777" w:rsidR="00BC0245" w:rsidRPr="00BC0245" w:rsidRDefault="00BC0245" w:rsidP="00BC0245">
      <w:pPr>
        <w:pStyle w:val="FootnoteText"/>
        <w:numPr>
          <w:ilvl w:val="0"/>
          <w:numId w:val="1"/>
        </w:numPr>
        <w:ind w:left="567" w:hanging="567"/>
        <w:jc w:val="both"/>
        <w:rPr>
          <w:rFonts w:ascii="Arial" w:hAnsi="Arial" w:cs="Arial"/>
          <w:sz w:val="24"/>
          <w:szCs w:val="24"/>
        </w:rPr>
      </w:pPr>
      <w:r w:rsidRPr="00BC0245">
        <w:rPr>
          <w:rFonts w:ascii="Arial" w:hAnsi="Arial" w:cs="Arial"/>
          <w:sz w:val="24"/>
          <w:szCs w:val="24"/>
        </w:rPr>
        <w:t xml:space="preserve">Parliament of Malaysia. (2025, February 20). </w:t>
      </w:r>
      <w:r w:rsidRPr="00BC0245">
        <w:rPr>
          <w:rFonts w:ascii="Arial" w:hAnsi="Arial" w:cs="Arial"/>
          <w:i/>
          <w:iCs/>
          <w:sz w:val="24"/>
          <w:szCs w:val="24"/>
        </w:rPr>
        <w:t>Notice of parliamentary question for the Dewan Rakyat, First Meeting of the Fourth Session, Fifteenth Parliament of Malaysia</w:t>
      </w:r>
      <w:r w:rsidRPr="00BC0245">
        <w:rPr>
          <w:rFonts w:ascii="Arial" w:hAnsi="Arial" w:cs="Arial"/>
          <w:sz w:val="24"/>
          <w:szCs w:val="24"/>
        </w:rPr>
        <w:t xml:space="preserve"> (Question No. 70).</w:t>
      </w:r>
    </w:p>
    <w:p w14:paraId="6C959521" w14:textId="77777777" w:rsidR="00BC0245" w:rsidRPr="00BC0245" w:rsidRDefault="00BC0245" w:rsidP="00BC0245">
      <w:pPr>
        <w:pStyle w:val="FootnoteText"/>
        <w:numPr>
          <w:ilvl w:val="0"/>
          <w:numId w:val="1"/>
        </w:numPr>
        <w:ind w:left="567" w:hanging="567"/>
        <w:jc w:val="both"/>
        <w:rPr>
          <w:rFonts w:ascii="Arial" w:hAnsi="Arial" w:cs="Arial"/>
          <w:sz w:val="24"/>
          <w:szCs w:val="24"/>
        </w:rPr>
      </w:pPr>
      <w:r w:rsidRPr="00BC0245">
        <w:rPr>
          <w:rFonts w:ascii="Arial" w:hAnsi="Arial" w:cs="Arial"/>
          <w:sz w:val="24"/>
          <w:szCs w:val="24"/>
        </w:rPr>
        <w:t xml:space="preserve">South China Morning Post. (2024). </w:t>
      </w:r>
      <w:r w:rsidRPr="00BC0245">
        <w:rPr>
          <w:rFonts w:ascii="Arial" w:hAnsi="Arial" w:cs="Arial"/>
          <w:i/>
          <w:iCs/>
          <w:sz w:val="24"/>
          <w:szCs w:val="24"/>
        </w:rPr>
        <w:t>Rohingya child brides trapped in Malaysia’s refugee crisis: ‘We do not have a choice’</w:t>
      </w:r>
      <w:r w:rsidRPr="00BC0245">
        <w:rPr>
          <w:rFonts w:ascii="Arial" w:hAnsi="Arial" w:cs="Arial"/>
          <w:sz w:val="24"/>
          <w:szCs w:val="24"/>
        </w:rPr>
        <w:t xml:space="preserve">. </w:t>
      </w:r>
      <w:hyperlink r:id="rId13" w:tgtFrame="_new" w:history="1">
        <w:r w:rsidRPr="00BC0245">
          <w:rPr>
            <w:rStyle w:val="Hyperlink"/>
            <w:rFonts w:ascii="Arial" w:hAnsi="Arial" w:cs="Arial"/>
            <w:sz w:val="24"/>
            <w:szCs w:val="24"/>
          </w:rPr>
          <w:t>https://www.scmp.com/week-asia/people/article/3287831/rohingya-child-brides-trapped-malaysias-refugee-crisis-we-do-not-have-choice</w:t>
        </w:r>
      </w:hyperlink>
    </w:p>
    <w:p w14:paraId="2F2ACB98" w14:textId="77777777" w:rsidR="009946E2" w:rsidRPr="00BC0245" w:rsidRDefault="009946E2" w:rsidP="00BC0245">
      <w:pPr>
        <w:pStyle w:val="FootnoteText"/>
        <w:jc w:val="both"/>
        <w:rPr>
          <w:rFonts w:ascii="Arial" w:hAnsi="Arial" w:cs="Arial"/>
          <w:sz w:val="24"/>
          <w:szCs w:val="24"/>
        </w:rPr>
      </w:pPr>
    </w:p>
    <w:sectPr w:rsidR="009946E2" w:rsidRPr="00BC0245">
      <w:footerReference w:type="default" r:id="rId1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ara Warhead" w:date="2025-12-06T08:53:00Z" w:initials="DW">
    <w:p w14:paraId="7226D540" w14:textId="77777777" w:rsidR="002B30F2" w:rsidRDefault="002B30F2" w:rsidP="002B30F2">
      <w:r>
        <w:rPr>
          <w:rStyle w:val="CommentReference"/>
        </w:rPr>
        <w:annotationRef/>
      </w:r>
      <w:r>
        <w:rPr>
          <w:sz w:val="20"/>
          <w:szCs w:val="20"/>
        </w:rPr>
        <w:t>find. cases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226D540"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5891DE0" w16cex:dateUtc="2025-12-06T00: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226D540" w16cid:durableId="05891DE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7D897" w14:textId="77777777" w:rsidR="00787845" w:rsidRDefault="00787845" w:rsidP="00171BCF">
      <w:r>
        <w:separator/>
      </w:r>
    </w:p>
  </w:endnote>
  <w:endnote w:type="continuationSeparator" w:id="0">
    <w:p w14:paraId="0A49E289" w14:textId="77777777" w:rsidR="00787845" w:rsidRDefault="00787845" w:rsidP="00171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4140328"/>
      <w:docPartObj>
        <w:docPartGallery w:val="Page Numbers (Bottom of Page)"/>
        <w:docPartUnique/>
      </w:docPartObj>
    </w:sdtPr>
    <w:sdtEndPr>
      <w:rPr>
        <w:noProof/>
      </w:rPr>
    </w:sdtEndPr>
    <w:sdtContent>
      <w:p w14:paraId="184FAB75" w14:textId="1DF633DA" w:rsidR="00BC0245" w:rsidRDefault="00BC02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D590F3" w14:textId="0DAED321" w:rsidR="000E5399" w:rsidRPr="000E5399" w:rsidRDefault="000E5399">
    <w:pPr>
      <w:pStyle w:val="Footer"/>
      <w:rPr>
        <w:rFonts w:ascii="Arial" w:hAnsi="Arial" w:cs="Arial"/>
        <w:sz w:val="20"/>
        <w:szCs w:val="2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4511E" w14:textId="77777777" w:rsidR="00787845" w:rsidRDefault="00787845" w:rsidP="00171BCF">
      <w:r>
        <w:separator/>
      </w:r>
    </w:p>
  </w:footnote>
  <w:footnote w:type="continuationSeparator" w:id="0">
    <w:p w14:paraId="29797A40" w14:textId="77777777" w:rsidR="00787845" w:rsidRDefault="00787845" w:rsidP="00171B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5258E"/>
    <w:multiLevelType w:val="hybridMultilevel"/>
    <w:tmpl w:val="CFBA95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2928FB"/>
    <w:multiLevelType w:val="multilevel"/>
    <w:tmpl w:val="E00E2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FC869ED"/>
    <w:multiLevelType w:val="multilevel"/>
    <w:tmpl w:val="F476E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9181424">
    <w:abstractNumId w:val="0"/>
  </w:num>
  <w:num w:numId="2" w16cid:durableId="2002540036">
    <w:abstractNumId w:val="1"/>
  </w:num>
  <w:num w:numId="3" w16cid:durableId="1581717862">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ara Warhead">
    <w15:presenceInfo w15:providerId="Windows Live" w15:userId="a8f6705d61a3edc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BEB"/>
    <w:rsid w:val="00076E05"/>
    <w:rsid w:val="00080F4A"/>
    <w:rsid w:val="000E5399"/>
    <w:rsid w:val="000F48F6"/>
    <w:rsid w:val="00110F3E"/>
    <w:rsid w:val="00171BCF"/>
    <w:rsid w:val="001A367D"/>
    <w:rsid w:val="001D3039"/>
    <w:rsid w:val="002B30F2"/>
    <w:rsid w:val="00325C8C"/>
    <w:rsid w:val="003D2088"/>
    <w:rsid w:val="003E0411"/>
    <w:rsid w:val="00403A75"/>
    <w:rsid w:val="00413ED0"/>
    <w:rsid w:val="004910E8"/>
    <w:rsid w:val="00505DEC"/>
    <w:rsid w:val="006D714B"/>
    <w:rsid w:val="00714E91"/>
    <w:rsid w:val="00787845"/>
    <w:rsid w:val="00877BDB"/>
    <w:rsid w:val="009946E2"/>
    <w:rsid w:val="00A12246"/>
    <w:rsid w:val="00A373F3"/>
    <w:rsid w:val="00A57350"/>
    <w:rsid w:val="00A91C06"/>
    <w:rsid w:val="00BB0452"/>
    <w:rsid w:val="00BC0245"/>
    <w:rsid w:val="00BD7BB0"/>
    <w:rsid w:val="00CA5422"/>
    <w:rsid w:val="00CF4BEB"/>
    <w:rsid w:val="00D9097A"/>
    <w:rsid w:val="00DB2352"/>
    <w:rsid w:val="00DF65B5"/>
    <w:rsid w:val="00E632D6"/>
    <w:rsid w:val="00EE5660"/>
    <w:rsid w:val="00F0798D"/>
    <w:rsid w:val="00F65144"/>
    <w:rsid w:val="00FB48CF"/>
  </w:rsids>
  <m:mathPr>
    <m:mathFont m:val="Cambria Math"/>
    <m:brkBin m:val="before"/>
    <m:brkBinSub m:val="--"/>
    <m:smallFrac m:val="0"/>
    <m:dispDef/>
    <m:lMargin m:val="0"/>
    <m:rMargin m:val="0"/>
    <m:defJc m:val="centerGroup"/>
    <m:wrapIndent m:val="1440"/>
    <m:intLim m:val="subSup"/>
    <m:naryLim m:val="undOvr"/>
  </m:mathPr>
  <w:themeFontLang w:val="en-MY"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0B6AD0"/>
  <w15:chartTrackingRefBased/>
  <w15:docId w15:val="{AA5F0CA0-CDF4-924C-B9B8-31D17493C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MY"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4BE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F4BE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F4BE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F4BE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F4BE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F4BE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4BE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4BE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4BE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4BE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F4BE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F4BE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F4BE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F4BE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F4B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4B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4B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4BEB"/>
    <w:rPr>
      <w:rFonts w:eastAsiaTheme="majorEastAsia" w:cstheme="majorBidi"/>
      <w:color w:val="272727" w:themeColor="text1" w:themeTint="D8"/>
    </w:rPr>
  </w:style>
  <w:style w:type="paragraph" w:styleId="Title">
    <w:name w:val="Title"/>
    <w:basedOn w:val="Normal"/>
    <w:next w:val="Normal"/>
    <w:link w:val="TitleChar"/>
    <w:uiPriority w:val="10"/>
    <w:qFormat/>
    <w:rsid w:val="00CF4BE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4B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4BE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4B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4BE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F4BEB"/>
    <w:rPr>
      <w:i/>
      <w:iCs/>
      <w:color w:val="404040" w:themeColor="text1" w:themeTint="BF"/>
    </w:rPr>
  </w:style>
  <w:style w:type="paragraph" w:styleId="ListParagraph">
    <w:name w:val="List Paragraph"/>
    <w:basedOn w:val="Normal"/>
    <w:uiPriority w:val="34"/>
    <w:qFormat/>
    <w:rsid w:val="00CF4BEB"/>
    <w:pPr>
      <w:ind w:left="720"/>
      <w:contextualSpacing/>
    </w:pPr>
  </w:style>
  <w:style w:type="character" w:styleId="IntenseEmphasis">
    <w:name w:val="Intense Emphasis"/>
    <w:basedOn w:val="DefaultParagraphFont"/>
    <w:uiPriority w:val="21"/>
    <w:qFormat/>
    <w:rsid w:val="00CF4BEB"/>
    <w:rPr>
      <w:i/>
      <w:iCs/>
      <w:color w:val="2F5496" w:themeColor="accent1" w:themeShade="BF"/>
    </w:rPr>
  </w:style>
  <w:style w:type="paragraph" w:styleId="IntenseQuote">
    <w:name w:val="Intense Quote"/>
    <w:basedOn w:val="Normal"/>
    <w:next w:val="Normal"/>
    <w:link w:val="IntenseQuoteChar"/>
    <w:uiPriority w:val="30"/>
    <w:qFormat/>
    <w:rsid w:val="00CF4B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F4BEB"/>
    <w:rPr>
      <w:i/>
      <w:iCs/>
      <w:color w:val="2F5496" w:themeColor="accent1" w:themeShade="BF"/>
    </w:rPr>
  </w:style>
  <w:style w:type="character" w:styleId="IntenseReference">
    <w:name w:val="Intense Reference"/>
    <w:basedOn w:val="DefaultParagraphFont"/>
    <w:uiPriority w:val="32"/>
    <w:qFormat/>
    <w:rsid w:val="00CF4BEB"/>
    <w:rPr>
      <w:b/>
      <w:bCs/>
      <w:smallCaps/>
      <w:color w:val="2F5496" w:themeColor="accent1" w:themeShade="BF"/>
      <w:spacing w:val="5"/>
    </w:rPr>
  </w:style>
  <w:style w:type="character" w:styleId="Strong">
    <w:name w:val="Strong"/>
    <w:basedOn w:val="DefaultParagraphFont"/>
    <w:uiPriority w:val="22"/>
    <w:qFormat/>
    <w:rsid w:val="00CF4BEB"/>
    <w:rPr>
      <w:b/>
      <w:bCs/>
    </w:rPr>
  </w:style>
  <w:style w:type="paragraph" w:styleId="NormalWeb">
    <w:name w:val="Normal (Web)"/>
    <w:basedOn w:val="Normal"/>
    <w:uiPriority w:val="99"/>
    <w:unhideWhenUsed/>
    <w:rsid w:val="00CF4BEB"/>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F4BEB"/>
    <w:rPr>
      <w:i/>
      <w:iCs/>
    </w:rPr>
  </w:style>
  <w:style w:type="character" w:styleId="CommentReference">
    <w:name w:val="annotation reference"/>
    <w:basedOn w:val="DefaultParagraphFont"/>
    <w:uiPriority w:val="99"/>
    <w:semiHidden/>
    <w:unhideWhenUsed/>
    <w:rsid w:val="002B30F2"/>
    <w:rPr>
      <w:sz w:val="16"/>
      <w:szCs w:val="16"/>
    </w:rPr>
  </w:style>
  <w:style w:type="paragraph" w:styleId="CommentText">
    <w:name w:val="annotation text"/>
    <w:basedOn w:val="Normal"/>
    <w:link w:val="CommentTextChar"/>
    <w:uiPriority w:val="99"/>
    <w:semiHidden/>
    <w:unhideWhenUsed/>
    <w:rsid w:val="002B30F2"/>
    <w:rPr>
      <w:sz w:val="20"/>
      <w:szCs w:val="20"/>
    </w:rPr>
  </w:style>
  <w:style w:type="character" w:customStyle="1" w:styleId="CommentTextChar">
    <w:name w:val="Comment Text Char"/>
    <w:basedOn w:val="DefaultParagraphFont"/>
    <w:link w:val="CommentText"/>
    <w:uiPriority w:val="99"/>
    <w:semiHidden/>
    <w:rsid w:val="002B30F2"/>
    <w:rPr>
      <w:sz w:val="20"/>
      <w:szCs w:val="20"/>
    </w:rPr>
  </w:style>
  <w:style w:type="paragraph" w:styleId="CommentSubject">
    <w:name w:val="annotation subject"/>
    <w:basedOn w:val="CommentText"/>
    <w:next w:val="CommentText"/>
    <w:link w:val="CommentSubjectChar"/>
    <w:uiPriority w:val="99"/>
    <w:semiHidden/>
    <w:unhideWhenUsed/>
    <w:rsid w:val="002B30F2"/>
    <w:rPr>
      <w:b/>
      <w:bCs/>
    </w:rPr>
  </w:style>
  <w:style w:type="character" w:customStyle="1" w:styleId="CommentSubjectChar">
    <w:name w:val="Comment Subject Char"/>
    <w:basedOn w:val="CommentTextChar"/>
    <w:link w:val="CommentSubject"/>
    <w:uiPriority w:val="99"/>
    <w:semiHidden/>
    <w:rsid w:val="002B30F2"/>
    <w:rPr>
      <w:b/>
      <w:bCs/>
      <w:sz w:val="20"/>
      <w:szCs w:val="20"/>
    </w:rPr>
  </w:style>
  <w:style w:type="paragraph" w:styleId="FootnoteText">
    <w:name w:val="footnote text"/>
    <w:basedOn w:val="Normal"/>
    <w:link w:val="FootnoteTextChar"/>
    <w:uiPriority w:val="99"/>
    <w:unhideWhenUsed/>
    <w:rsid w:val="00171BCF"/>
    <w:rPr>
      <w:sz w:val="20"/>
      <w:szCs w:val="20"/>
    </w:rPr>
  </w:style>
  <w:style w:type="character" w:customStyle="1" w:styleId="FootnoteTextChar">
    <w:name w:val="Footnote Text Char"/>
    <w:basedOn w:val="DefaultParagraphFont"/>
    <w:link w:val="FootnoteText"/>
    <w:uiPriority w:val="99"/>
    <w:rsid w:val="00171BCF"/>
    <w:rPr>
      <w:sz w:val="20"/>
      <w:szCs w:val="20"/>
    </w:rPr>
  </w:style>
  <w:style w:type="character" w:styleId="FootnoteReference">
    <w:name w:val="footnote reference"/>
    <w:basedOn w:val="DefaultParagraphFont"/>
    <w:uiPriority w:val="99"/>
    <w:semiHidden/>
    <w:unhideWhenUsed/>
    <w:rsid w:val="00171BCF"/>
    <w:rPr>
      <w:vertAlign w:val="superscript"/>
    </w:rPr>
  </w:style>
  <w:style w:type="character" w:styleId="Hyperlink">
    <w:name w:val="Hyperlink"/>
    <w:basedOn w:val="DefaultParagraphFont"/>
    <w:uiPriority w:val="99"/>
    <w:unhideWhenUsed/>
    <w:rsid w:val="00171BCF"/>
    <w:rPr>
      <w:color w:val="0563C1" w:themeColor="hyperlink"/>
      <w:u w:val="single"/>
    </w:rPr>
  </w:style>
  <w:style w:type="character" w:styleId="UnresolvedMention">
    <w:name w:val="Unresolved Mention"/>
    <w:basedOn w:val="DefaultParagraphFont"/>
    <w:uiPriority w:val="99"/>
    <w:semiHidden/>
    <w:unhideWhenUsed/>
    <w:rsid w:val="00171BCF"/>
    <w:rPr>
      <w:color w:val="605E5C"/>
      <w:shd w:val="clear" w:color="auto" w:fill="E1DFDD"/>
    </w:rPr>
  </w:style>
  <w:style w:type="character" w:styleId="FollowedHyperlink">
    <w:name w:val="FollowedHyperlink"/>
    <w:basedOn w:val="DefaultParagraphFont"/>
    <w:uiPriority w:val="99"/>
    <w:semiHidden/>
    <w:unhideWhenUsed/>
    <w:rsid w:val="00F65144"/>
    <w:rPr>
      <w:color w:val="954F72" w:themeColor="followedHyperlink"/>
      <w:u w:val="single"/>
    </w:rPr>
  </w:style>
  <w:style w:type="paragraph" w:styleId="Header">
    <w:name w:val="header"/>
    <w:basedOn w:val="Normal"/>
    <w:link w:val="HeaderChar"/>
    <w:uiPriority w:val="99"/>
    <w:unhideWhenUsed/>
    <w:rsid w:val="000E5399"/>
    <w:pPr>
      <w:tabs>
        <w:tab w:val="center" w:pos="4513"/>
        <w:tab w:val="right" w:pos="9026"/>
      </w:tabs>
    </w:pPr>
  </w:style>
  <w:style w:type="character" w:customStyle="1" w:styleId="HeaderChar">
    <w:name w:val="Header Char"/>
    <w:basedOn w:val="DefaultParagraphFont"/>
    <w:link w:val="Header"/>
    <w:uiPriority w:val="99"/>
    <w:rsid w:val="000E5399"/>
  </w:style>
  <w:style w:type="paragraph" w:styleId="Footer">
    <w:name w:val="footer"/>
    <w:basedOn w:val="Normal"/>
    <w:link w:val="FooterChar"/>
    <w:uiPriority w:val="99"/>
    <w:unhideWhenUsed/>
    <w:rsid w:val="000E5399"/>
    <w:pPr>
      <w:tabs>
        <w:tab w:val="center" w:pos="4513"/>
        <w:tab w:val="right" w:pos="9026"/>
      </w:tabs>
    </w:pPr>
  </w:style>
  <w:style w:type="character" w:customStyle="1" w:styleId="FooterChar">
    <w:name w:val="Footer Char"/>
    <w:basedOn w:val="DefaultParagraphFont"/>
    <w:link w:val="Footer"/>
    <w:uiPriority w:val="99"/>
    <w:rsid w:val="000E5399"/>
  </w:style>
  <w:style w:type="character" w:customStyle="1" w:styleId="apple-converted-space">
    <w:name w:val="apple-converted-space"/>
    <w:basedOn w:val="DefaultParagraphFont"/>
    <w:rsid w:val="001D30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scmp.com/week-asia/people/article/3287831/rohingya-child-brides-trapped-malaysias-refugee-crisis-we-do-not-have-choi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reemalaysiatoday.com/category/nation/2025/02/20/child-marriages-on-the-decline-says-nancy" TargetMode="Externa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B631F1-9CAD-5C4D-B3B4-82A480DCF8AB}">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8</Pages>
  <Words>3238</Words>
  <Characters>18463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Dara Warhead</dc:creator>
  <cp:keywords/>
  <dc:description/>
  <cp:lastModifiedBy>James Boit</cp:lastModifiedBy>
  <cp:revision>2</cp:revision>
  <dcterms:created xsi:type="dcterms:W3CDTF">2026-01-07T10:04:00Z</dcterms:created>
  <dcterms:modified xsi:type="dcterms:W3CDTF">2026-01-07T10:04:00Z</dcterms:modified>
</cp:coreProperties>
</file>