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73AEE" w14:textId="77777777" w:rsidR="00DC760F" w:rsidRPr="00C73DA6" w:rsidRDefault="00DC760F" w:rsidP="00DC760F">
      <w:pPr>
        <w:pStyle w:val="Ttulo1"/>
        <w:spacing w:before="0" w:line="360" w:lineRule="auto"/>
        <w:jc w:val="both"/>
        <w:rPr>
          <w:rFonts w:ascii="Times New Roman" w:hAnsi="Times New Roman" w:cs="Times New Roman"/>
          <w:sz w:val="26"/>
          <w:szCs w:val="26"/>
        </w:rPr>
      </w:pPr>
      <w:r w:rsidRPr="00C73DA6">
        <w:rPr>
          <w:rFonts w:ascii="Times New Roman" w:hAnsi="Times New Roman" w:cs="Times New Roman"/>
          <w:sz w:val="26"/>
          <w:szCs w:val="26"/>
        </w:rPr>
        <w:t xml:space="preserve">Contribución Escrita del Comisionado Nacional de los Derechos Humanos al Comité </w:t>
      </w:r>
      <w:bookmarkStart w:id="0" w:name="_Hlk113544623"/>
      <w:r w:rsidRPr="00C73DA6">
        <w:rPr>
          <w:rFonts w:ascii="Times New Roman" w:hAnsi="Times New Roman" w:cs="Times New Roman"/>
          <w:sz w:val="26"/>
          <w:szCs w:val="26"/>
        </w:rPr>
        <w:t xml:space="preserve">para la Eliminación de la Discriminación contra la Mujer (CEDAW) </w:t>
      </w:r>
      <w:bookmarkStart w:id="1" w:name="_Hlk113544650"/>
      <w:bookmarkEnd w:id="0"/>
      <w:r w:rsidRPr="00C73DA6">
        <w:rPr>
          <w:rFonts w:ascii="Times New Roman" w:hAnsi="Times New Roman" w:cs="Times New Roman"/>
          <w:sz w:val="26"/>
          <w:szCs w:val="26"/>
        </w:rPr>
        <w:t xml:space="preserve">sobre el Noveno Informe Periódico de la República de Honduras </w:t>
      </w:r>
      <w:bookmarkEnd w:id="1"/>
    </w:p>
    <w:p w14:paraId="6DECB23F" w14:textId="77777777" w:rsidR="00DC760F" w:rsidRDefault="00DC760F" w:rsidP="00DC760F">
      <w:pPr>
        <w:spacing w:line="360" w:lineRule="auto"/>
        <w:jc w:val="both"/>
        <w:rPr>
          <w:rFonts w:ascii="Times New Roman" w:hAnsi="Times New Roman" w:cs="Times New Roman"/>
          <w:sz w:val="24"/>
          <w:szCs w:val="24"/>
        </w:rPr>
      </w:pPr>
      <w:r w:rsidRPr="00C73DA6">
        <w:rPr>
          <w:rFonts w:ascii="Times New Roman" w:hAnsi="Times New Roman" w:cs="Times New Roman"/>
          <w:sz w:val="24"/>
          <w:szCs w:val="24"/>
        </w:rPr>
        <w:t>En ocasión del 83</w:t>
      </w:r>
      <w:r w:rsidRPr="00C73DA6">
        <w:rPr>
          <w:rFonts w:ascii="Times New Roman" w:hAnsi="Times New Roman" w:cs="Times New Roman"/>
          <w:sz w:val="24"/>
          <w:szCs w:val="24"/>
          <w:vertAlign w:val="superscript"/>
        </w:rPr>
        <w:t xml:space="preserve"> </w:t>
      </w:r>
      <w:r w:rsidRPr="00C73DA6">
        <w:rPr>
          <w:rFonts w:ascii="Times New Roman" w:hAnsi="Times New Roman" w:cs="Times New Roman"/>
          <w:sz w:val="24"/>
          <w:szCs w:val="24"/>
        </w:rPr>
        <w:t>período de sesiones Comité para la Eliminación de la Discriminación contra las Mujeres (10 de octubre al 28 de octubre, 2022)</w:t>
      </w:r>
    </w:p>
    <w:p w14:paraId="2C7F0968" w14:textId="77777777" w:rsidR="00DC760F" w:rsidRDefault="00DC760F" w:rsidP="00DC760F">
      <w:pPr>
        <w:pStyle w:val="Ttulo2"/>
        <w:rPr>
          <w:rFonts w:ascii="Times New Roman" w:hAnsi="Times New Roman" w:cs="Times New Roman"/>
          <w:sz w:val="24"/>
          <w:szCs w:val="24"/>
        </w:rPr>
      </w:pPr>
      <w:bookmarkStart w:id="2" w:name="_Hlk113544369"/>
      <w:r w:rsidRPr="00341445">
        <w:rPr>
          <w:rFonts w:ascii="Times New Roman" w:hAnsi="Times New Roman" w:cs="Times New Roman"/>
          <w:sz w:val="24"/>
          <w:szCs w:val="24"/>
        </w:rPr>
        <w:t xml:space="preserve">Introducción </w:t>
      </w:r>
    </w:p>
    <w:p w14:paraId="2098B1A0"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635965">
        <w:rPr>
          <w:rFonts w:ascii="Times New Roman" w:hAnsi="Times New Roman" w:cs="Times New Roman"/>
          <w:sz w:val="24"/>
          <w:szCs w:val="24"/>
        </w:rPr>
        <w:t>El Comisionado Nacional de los Derechos Humanos (CONADEH o el Comisionado), es la Institución Nacional de los Derechos Humanos (INDH) de Honduras que goza de independencia funcional, administrativa, técnica y de criterio. El CONADEH tiene el mandato de velar por la prevención, promoción, protección y la defensa de los derechos humanos y libertades fundamentales de las y los habitantes, y especialmente, los de las personas en situación de vulnerabilidad, mediante la supervisión de las acciones u omisiones de las instituciones del Estado en su conjunto y entidades privadas que prestan servicios públicos, a fin de que cumplan las obligaciones en materia de derechos humanos para lograr el respeto de la dignidad de la persona humana, el fortalecimiento del Estado de Derecho y la gobernabilidad democrática.</w:t>
      </w:r>
    </w:p>
    <w:p w14:paraId="1CE30E9C"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635965">
        <w:rPr>
          <w:rFonts w:ascii="Times New Roman" w:hAnsi="Times New Roman" w:cs="Times New Roman"/>
          <w:sz w:val="24"/>
          <w:szCs w:val="24"/>
        </w:rPr>
        <w:t>En consecuencia, el CONADEH creó en 2015, la Defensoría de la Mujer con el objeto de brindar atención a mujeres, quienes se encuentran especialmente expuestas a violaciones de derechos humanos por su situación de vulnerabilidad y discriminación histórica. Adicionalmente, la Defensoría se encarga de fortalecer, impulsar y sistematizar el trabajo del propio CONADEH en ese tema.</w:t>
      </w:r>
    </w:p>
    <w:p w14:paraId="4DB43516"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635965">
        <w:rPr>
          <w:rFonts w:ascii="Times New Roman" w:eastAsia="Merriweather" w:hAnsi="Times New Roman" w:cs="Times New Roman"/>
          <w:sz w:val="24"/>
          <w:szCs w:val="24"/>
        </w:rPr>
        <w:t xml:space="preserve">En esta ocasión CONADEH se dirige al Comité para la Eliminación de la Discriminación contra la Mujer (CEDAW) para remitir su contribución escrita sobre el Noveno Informe Periódico de la República de Honduras, a ser examinado </w:t>
      </w:r>
      <w:r w:rsidRPr="00635965">
        <w:rPr>
          <w:rFonts w:ascii="Times New Roman" w:hAnsi="Times New Roman" w:cs="Times New Roman"/>
          <w:sz w:val="24"/>
          <w:szCs w:val="24"/>
        </w:rPr>
        <w:t>en el 83</w:t>
      </w:r>
      <w:r w:rsidRPr="00635965">
        <w:rPr>
          <w:rFonts w:ascii="Times New Roman" w:hAnsi="Times New Roman" w:cs="Times New Roman"/>
          <w:sz w:val="24"/>
          <w:szCs w:val="24"/>
          <w:vertAlign w:val="superscript"/>
        </w:rPr>
        <w:t xml:space="preserve"> </w:t>
      </w:r>
      <w:r w:rsidRPr="00635965">
        <w:rPr>
          <w:rFonts w:ascii="Times New Roman" w:hAnsi="Times New Roman" w:cs="Times New Roman"/>
          <w:sz w:val="24"/>
          <w:szCs w:val="24"/>
        </w:rPr>
        <w:t>período de sesiones de la CEDAW.</w:t>
      </w:r>
    </w:p>
    <w:p w14:paraId="15657299" w14:textId="77777777" w:rsidR="00DC760F" w:rsidRPr="00635965" w:rsidRDefault="00DC760F" w:rsidP="00DC760F">
      <w:pPr>
        <w:pStyle w:val="Prrafodelista"/>
        <w:numPr>
          <w:ilvl w:val="0"/>
          <w:numId w:val="1"/>
        </w:numPr>
        <w:spacing w:line="360" w:lineRule="auto"/>
        <w:jc w:val="both"/>
        <w:rPr>
          <w:rFonts w:ascii="Times New Roman" w:hAnsi="Times New Roman" w:cs="Times New Roman"/>
          <w:sz w:val="24"/>
          <w:szCs w:val="24"/>
        </w:rPr>
      </w:pPr>
      <w:r w:rsidRPr="00635965">
        <w:rPr>
          <w:rFonts w:ascii="Times New Roman" w:hAnsi="Times New Roman" w:cs="Times New Roman"/>
          <w:sz w:val="24"/>
          <w:szCs w:val="24"/>
        </w:rPr>
        <w:t xml:space="preserve">CONADEH ha priorizado </w:t>
      </w:r>
      <w:r>
        <w:rPr>
          <w:rFonts w:ascii="Times New Roman" w:hAnsi="Times New Roman" w:cs="Times New Roman"/>
          <w:sz w:val="24"/>
          <w:szCs w:val="24"/>
        </w:rPr>
        <w:t>los siguientes</w:t>
      </w:r>
      <w:r w:rsidRPr="00635965">
        <w:rPr>
          <w:rFonts w:ascii="Times New Roman" w:hAnsi="Times New Roman" w:cs="Times New Roman"/>
          <w:sz w:val="24"/>
          <w:szCs w:val="24"/>
        </w:rPr>
        <w:t xml:space="preserve"> aspectos</w:t>
      </w:r>
      <w:r>
        <w:rPr>
          <w:rFonts w:ascii="Times New Roman" w:hAnsi="Times New Roman" w:cs="Times New Roman"/>
          <w:sz w:val="24"/>
          <w:szCs w:val="24"/>
        </w:rPr>
        <w:t>:</w:t>
      </w:r>
      <w:r w:rsidRPr="00635965">
        <w:rPr>
          <w:rFonts w:ascii="Times New Roman" w:hAnsi="Times New Roman" w:cs="Times New Roman"/>
          <w:sz w:val="24"/>
          <w:szCs w:val="24"/>
        </w:rPr>
        <w:t xml:space="preserve"> la violencia contra las mujeres en Honduras, que incluye femicidios, violencia doméstica, maltrato intrafamiliar, acceso a la justicia y violencia política; derechos sexuales y reproductivos</w:t>
      </w:r>
      <w:r>
        <w:rPr>
          <w:rFonts w:ascii="Times New Roman" w:hAnsi="Times New Roman" w:cs="Times New Roman"/>
          <w:sz w:val="24"/>
          <w:szCs w:val="24"/>
        </w:rPr>
        <w:t xml:space="preserve">; tomando como referencias las quejas por violaciones de derechos humanos presentados por mujeres ante </w:t>
      </w:r>
      <w:r>
        <w:rPr>
          <w:rFonts w:ascii="Times New Roman" w:hAnsi="Times New Roman" w:cs="Times New Roman"/>
          <w:sz w:val="24"/>
          <w:szCs w:val="24"/>
        </w:rPr>
        <w:lastRenderedPageBreak/>
        <w:t>esta institución</w:t>
      </w:r>
      <w:r w:rsidRPr="00635965">
        <w:rPr>
          <w:rFonts w:ascii="Times New Roman" w:hAnsi="Times New Roman" w:cs="Times New Roman"/>
          <w:sz w:val="24"/>
          <w:szCs w:val="24"/>
        </w:rPr>
        <w:t xml:space="preserve"> y el fortalecimiento a la institución nacional de derechos humanos</w:t>
      </w:r>
      <w:r>
        <w:rPr>
          <w:rFonts w:ascii="Times New Roman" w:hAnsi="Times New Roman" w:cs="Times New Roman"/>
          <w:sz w:val="24"/>
          <w:szCs w:val="24"/>
        </w:rPr>
        <w:t xml:space="preserve">, </w:t>
      </w:r>
      <w:r w:rsidRPr="00635965">
        <w:rPr>
          <w:rFonts w:ascii="Times New Roman" w:hAnsi="Times New Roman" w:cs="Times New Roman"/>
          <w:sz w:val="24"/>
          <w:szCs w:val="24"/>
        </w:rPr>
        <w:t xml:space="preserve">CONADEH. </w:t>
      </w:r>
    </w:p>
    <w:p w14:paraId="6FEA16BE" w14:textId="77777777" w:rsidR="00DC760F" w:rsidRPr="00C73DA6" w:rsidRDefault="00DC760F" w:rsidP="00DC760F">
      <w:pPr>
        <w:pStyle w:val="Ttulo2"/>
        <w:spacing w:before="0" w:line="360" w:lineRule="auto"/>
        <w:jc w:val="both"/>
        <w:rPr>
          <w:rFonts w:ascii="Times New Roman" w:hAnsi="Times New Roman" w:cs="Times New Roman"/>
          <w:sz w:val="24"/>
          <w:szCs w:val="24"/>
        </w:rPr>
      </w:pPr>
      <w:r w:rsidRPr="00C73DA6">
        <w:rPr>
          <w:rFonts w:ascii="Times New Roman" w:hAnsi="Times New Roman" w:cs="Times New Roman"/>
          <w:sz w:val="24"/>
          <w:szCs w:val="24"/>
        </w:rPr>
        <w:t>Artículo</w:t>
      </w:r>
      <w:r>
        <w:rPr>
          <w:rFonts w:ascii="Times New Roman" w:hAnsi="Times New Roman" w:cs="Times New Roman"/>
          <w:sz w:val="24"/>
          <w:szCs w:val="24"/>
        </w:rPr>
        <w:t>s</w:t>
      </w:r>
      <w:r w:rsidRPr="00C73DA6">
        <w:rPr>
          <w:rFonts w:ascii="Times New Roman" w:hAnsi="Times New Roman" w:cs="Times New Roman"/>
          <w:sz w:val="24"/>
          <w:szCs w:val="24"/>
        </w:rPr>
        <w:t xml:space="preserve"> 1 y 2</w:t>
      </w:r>
      <w:bookmarkEnd w:id="2"/>
      <w:r w:rsidRPr="00C73DA6">
        <w:rPr>
          <w:rFonts w:ascii="Times New Roman" w:hAnsi="Times New Roman" w:cs="Times New Roman"/>
          <w:sz w:val="24"/>
          <w:szCs w:val="24"/>
        </w:rPr>
        <w:t>: Femicidios y Muerte Violenta de Mujeres</w:t>
      </w:r>
    </w:p>
    <w:p w14:paraId="02777BF3"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Entre 2021 y el primer semestre de 2022, CONADEH ha recibido 5,138 quejas</w:t>
      </w:r>
      <w:r w:rsidRPr="00C73DA6">
        <w:rPr>
          <w:rStyle w:val="Refdenotaalpie"/>
          <w:rFonts w:ascii="Times New Roman" w:hAnsi="Times New Roman" w:cs="Times New Roman"/>
          <w:sz w:val="24"/>
          <w:szCs w:val="24"/>
        </w:rPr>
        <w:footnoteReference w:id="1"/>
      </w:r>
      <w:r w:rsidRPr="003F5BBA">
        <w:rPr>
          <w:rFonts w:ascii="Times New Roman" w:hAnsi="Times New Roman" w:cs="Times New Roman"/>
          <w:sz w:val="24"/>
          <w:szCs w:val="24"/>
        </w:rPr>
        <w:t xml:space="preserve"> interpuestas por mujeres, de las cuales 1,</w:t>
      </w:r>
      <w:r>
        <w:rPr>
          <w:rFonts w:ascii="Times New Roman" w:hAnsi="Times New Roman" w:cs="Times New Roman"/>
          <w:sz w:val="24"/>
          <w:szCs w:val="24"/>
        </w:rPr>
        <w:t>652</w:t>
      </w:r>
      <w:r w:rsidRPr="003F5BBA">
        <w:rPr>
          <w:rFonts w:ascii="Times New Roman" w:hAnsi="Times New Roman" w:cs="Times New Roman"/>
          <w:sz w:val="24"/>
          <w:szCs w:val="24"/>
        </w:rPr>
        <w:t xml:space="preserve"> quejas están relacionadas con el derecho a la vida e integridad personal, que incluye amenazas a muerte, maltrato intrafamiliar, violencia doméstica, desplazamiento forzado, femicidios, entre otros</w:t>
      </w:r>
      <w:r>
        <w:rPr>
          <w:rFonts w:ascii="Times New Roman" w:hAnsi="Times New Roman" w:cs="Times New Roman"/>
          <w:sz w:val="24"/>
          <w:szCs w:val="24"/>
        </w:rPr>
        <w:t>; y</w:t>
      </w:r>
      <w:r w:rsidRPr="003F5BBA">
        <w:rPr>
          <w:rFonts w:ascii="Times New Roman" w:hAnsi="Times New Roman" w:cs="Times New Roman"/>
          <w:sz w:val="24"/>
          <w:szCs w:val="24"/>
        </w:rPr>
        <w:t xml:space="preserve"> 7</w:t>
      </w:r>
      <w:r>
        <w:rPr>
          <w:rFonts w:ascii="Times New Roman" w:hAnsi="Times New Roman" w:cs="Times New Roman"/>
          <w:sz w:val="24"/>
          <w:szCs w:val="24"/>
        </w:rPr>
        <w:t>52</w:t>
      </w:r>
      <w:r w:rsidRPr="003F5BBA">
        <w:rPr>
          <w:rFonts w:ascii="Times New Roman" w:hAnsi="Times New Roman" w:cs="Times New Roman"/>
          <w:sz w:val="24"/>
          <w:szCs w:val="24"/>
        </w:rPr>
        <w:t xml:space="preserve"> quejas están relacionadas con el acceso a la justicia, debido proceso legal o recepción de denuncia, retraso en la admisión de un recurso, abuso de autoridad; ejercicio indebido de autoridad del servidor público, negligencia en investigación preliminar de la denuncia, prevaricación en sentencia dictada, retraso en la investigación preliminar de la denuncia y retraso injustificado de un auto, resolución, fallo o sentencia. En 2021, y de acuerdo a datos oficiales del Sistema Nacional de Emergencia 911, se reportaron 46,016 denuncias de violencia doméstica y 61,450 por maltrato intrafamiliar. Estos datos son alarmantes y denotan la grave situación de violencia que enfrentan las mujeres.</w:t>
      </w:r>
    </w:p>
    <w:p w14:paraId="3CDAD5BF" w14:textId="77777777" w:rsidR="00DC760F" w:rsidRPr="00E32FC6" w:rsidRDefault="00DC760F" w:rsidP="00DC760F">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 </w:t>
      </w:r>
      <w:r w:rsidRPr="00E32FC6">
        <w:rPr>
          <w:rFonts w:ascii="Times New Roman" w:hAnsi="Times New Roman" w:cs="Times New Roman"/>
          <w:sz w:val="24"/>
          <w:szCs w:val="24"/>
        </w:rPr>
        <w:t xml:space="preserve">CONADEH </w:t>
      </w:r>
      <w:r>
        <w:rPr>
          <w:rFonts w:ascii="Times New Roman" w:hAnsi="Times New Roman" w:cs="Times New Roman"/>
          <w:sz w:val="24"/>
          <w:szCs w:val="24"/>
        </w:rPr>
        <w:t xml:space="preserve">le preocupa el alto índice de </w:t>
      </w:r>
      <w:r w:rsidRPr="00E32FC6">
        <w:rPr>
          <w:rFonts w:ascii="Times New Roman" w:hAnsi="Times New Roman" w:cs="Times New Roman"/>
          <w:sz w:val="24"/>
          <w:szCs w:val="24"/>
        </w:rPr>
        <w:t>muertes violentas de mujeres, sobre todo por el ensañamiento y el tipo de violencia que se utiliza en cada caso, situación que refleja un patrón de atentar y eliminar a las mujeres</w:t>
      </w:r>
      <w:r>
        <w:rPr>
          <w:rFonts w:ascii="Times New Roman" w:hAnsi="Times New Roman" w:cs="Times New Roman"/>
          <w:sz w:val="24"/>
          <w:szCs w:val="24"/>
        </w:rPr>
        <w:t>.</w:t>
      </w:r>
      <w:r w:rsidRPr="00E32FC6">
        <w:rPr>
          <w:rFonts w:ascii="Times New Roman" w:hAnsi="Times New Roman" w:cs="Times New Roman"/>
          <w:sz w:val="24"/>
          <w:szCs w:val="24"/>
        </w:rPr>
        <w:t xml:space="preserve"> </w:t>
      </w:r>
      <w:r>
        <w:rPr>
          <w:rFonts w:ascii="Times New Roman" w:hAnsi="Times New Roman" w:cs="Times New Roman"/>
          <w:sz w:val="24"/>
          <w:szCs w:val="24"/>
        </w:rPr>
        <w:t>En Honduras e</w:t>
      </w:r>
      <w:r w:rsidRPr="00E32FC6">
        <w:rPr>
          <w:rFonts w:ascii="Times New Roman" w:hAnsi="Times New Roman" w:cs="Times New Roman"/>
          <w:sz w:val="24"/>
          <w:szCs w:val="24"/>
        </w:rPr>
        <w:t>l femicidio constituye la mayor y más grave violación de los derechos humanos de la mujer. La falta de estrategias de carácter preventivo e investigativo, contribuye al predominio de la impunidad.</w:t>
      </w:r>
    </w:p>
    <w:p w14:paraId="3246CA45" w14:textId="77777777" w:rsidR="00DC760F" w:rsidRPr="00535E9D" w:rsidRDefault="00DC760F" w:rsidP="00DC760F">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 bien el Estado de Honduras ha informado al Comité CEDAW sobre la </w:t>
      </w:r>
      <w:r w:rsidRPr="00535E9D">
        <w:rPr>
          <w:rFonts w:ascii="Times New Roman" w:hAnsi="Times New Roman" w:cs="Times New Roman"/>
          <w:sz w:val="24"/>
          <w:szCs w:val="24"/>
        </w:rPr>
        <w:t>crea</w:t>
      </w:r>
      <w:r>
        <w:rPr>
          <w:rFonts w:ascii="Times New Roman" w:hAnsi="Times New Roman" w:cs="Times New Roman"/>
          <w:sz w:val="24"/>
          <w:szCs w:val="24"/>
        </w:rPr>
        <w:t>ción de</w:t>
      </w:r>
      <w:r w:rsidRPr="00535E9D">
        <w:rPr>
          <w:rFonts w:ascii="Times New Roman" w:hAnsi="Times New Roman" w:cs="Times New Roman"/>
          <w:sz w:val="24"/>
          <w:szCs w:val="24"/>
        </w:rPr>
        <w:t>: la Unidad de Investigación de Muertes Violentas de Mujeres y Femicidios, adscrita a la Agencia Técnica de Investigación Criminal (ATIC); y la Comisión Interinstitucional de Seguimiento a las Investigaciones de las Muertes Violentas de Mujeres y Femicidios esta última integrada por el</w:t>
      </w:r>
      <w:r>
        <w:rPr>
          <w:rFonts w:ascii="Times New Roman" w:hAnsi="Times New Roman" w:cs="Times New Roman"/>
          <w:sz w:val="24"/>
          <w:szCs w:val="24"/>
        </w:rPr>
        <w:t xml:space="preserve"> </w:t>
      </w:r>
      <w:r w:rsidRPr="00535E9D">
        <w:rPr>
          <w:rFonts w:ascii="Times New Roman" w:hAnsi="Times New Roman" w:cs="Times New Roman"/>
          <w:sz w:val="24"/>
          <w:szCs w:val="24"/>
        </w:rPr>
        <w:t>Ministerio Público a través de la ATIC y FEDCV, SEDS, SEDH, INAM, CONADEH y tres representantes de organizaciones de mujeres vinculadas al tema de femicidios en el país.</w:t>
      </w:r>
      <w:r>
        <w:rPr>
          <w:rFonts w:ascii="Times New Roman" w:hAnsi="Times New Roman" w:cs="Times New Roman"/>
          <w:sz w:val="24"/>
          <w:szCs w:val="24"/>
        </w:rPr>
        <w:t xml:space="preserve"> No ha asignado los recursos suficientes a las instituciones </w:t>
      </w:r>
      <w:r>
        <w:rPr>
          <w:rFonts w:ascii="Times New Roman" w:hAnsi="Times New Roman" w:cs="Times New Roman"/>
          <w:sz w:val="24"/>
          <w:szCs w:val="24"/>
        </w:rPr>
        <w:lastRenderedPageBreak/>
        <w:t xml:space="preserve">involucradas en la investigación de estas muertes. Desde dicha Comisión Interinstitucional se hizo incidencia para que las instituciones del Estado que la conforman fueran fortalecidas mediante la asignación de presupuesto, lográndose que se le asignaran fondos al Ministerio Público (40 millones de lempiras) y al Instituto Nacional de la Mujer (10 millones de lempiras) para el año 2019. Sin embargo, los fondos asignados al Ministerio Público nunca llegaron a asignarse a la Fiscalía de Delitos contra la Vida para la investigación de las muertes violentas de mujeres y femicidios ni a la Agencia Técnica de Investigación Criminal (ATIC). El presupuesto asignado al INAM (ahora Secretaría de Estado de Asuntos de la Mujer SE-MUJER), se dividió en 5 millones para apoyo a casas refugio y 5 millones para el Programa Ciudad Mujer. </w:t>
      </w:r>
    </w:p>
    <w:p w14:paraId="60CA874A"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Por otro lado, desde el 2018 se encuentra en el Congreso Nacional el Proyecto de Ley Casas Refugio, Alberg</w:t>
      </w:r>
      <w:r>
        <w:rPr>
          <w:rFonts w:ascii="Times New Roman" w:hAnsi="Times New Roman" w:cs="Times New Roman"/>
          <w:sz w:val="24"/>
          <w:szCs w:val="24"/>
        </w:rPr>
        <w:t>u</w:t>
      </w:r>
      <w:r w:rsidRPr="003F5BBA">
        <w:rPr>
          <w:rFonts w:ascii="Times New Roman" w:hAnsi="Times New Roman" w:cs="Times New Roman"/>
          <w:sz w:val="24"/>
          <w:szCs w:val="24"/>
        </w:rPr>
        <w:t xml:space="preserve">es o Casas de Acogida, orientado a proteger la vida de las mujeres, sus hijas e hijos víctimas de la violencia basada en género en Honduras, el cual no ha sido aprobado. </w:t>
      </w:r>
    </w:p>
    <w:p w14:paraId="54B513FF" w14:textId="253827D4" w:rsidR="00DC760F" w:rsidRPr="003F5BBA" w:rsidRDefault="00DC760F" w:rsidP="00DC760F">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Actualmente se </w:t>
      </w:r>
      <w:r w:rsidR="00AA3E0D">
        <w:rPr>
          <w:rFonts w:ascii="Times New Roman" w:hAnsi="Times New Roman" w:cs="Times New Roman"/>
          <w:sz w:val="24"/>
          <w:szCs w:val="24"/>
        </w:rPr>
        <w:t>está</w:t>
      </w:r>
      <w:r>
        <w:rPr>
          <w:rFonts w:ascii="Times New Roman" w:hAnsi="Times New Roman" w:cs="Times New Roman"/>
          <w:sz w:val="24"/>
          <w:szCs w:val="24"/>
        </w:rPr>
        <w:t xml:space="preserve"> haciendo incidencia con el nuevo Congreso Nacional para la aprobación del Proyecto de Ley Integral contra las Violencias hacia las Mujeres, pero es también importante que, de la mano con esta nueva Ley, se impulse también la aprobación de la Ley de Casas Refugio para mujeres sobrevivientes de violencia y sus hijos. </w:t>
      </w:r>
    </w:p>
    <w:p w14:paraId="41CD0FFA" w14:textId="77777777" w:rsidR="00DC760F" w:rsidRPr="00C73DA6" w:rsidRDefault="00DC760F" w:rsidP="00DC760F">
      <w:pPr>
        <w:pStyle w:val="Ttulo2"/>
        <w:spacing w:before="0" w:line="360" w:lineRule="auto"/>
        <w:jc w:val="both"/>
        <w:rPr>
          <w:rFonts w:ascii="Times New Roman" w:hAnsi="Times New Roman" w:cs="Times New Roman"/>
          <w:sz w:val="24"/>
          <w:szCs w:val="24"/>
        </w:rPr>
      </w:pPr>
      <w:r w:rsidRPr="00C73DA6">
        <w:rPr>
          <w:rFonts w:ascii="Times New Roman" w:hAnsi="Times New Roman" w:cs="Times New Roman"/>
          <w:sz w:val="24"/>
          <w:szCs w:val="24"/>
        </w:rPr>
        <w:t>Artículo 7: Violencia Política</w:t>
      </w:r>
    </w:p>
    <w:p w14:paraId="72EACAB3" w14:textId="77777777" w:rsidR="00DC760F" w:rsidRPr="003F5BBA"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 xml:space="preserve">Pese a que por primera vez en Honduras fue electa una mujer como presidenta, se incrementó el número de diputadas y regidoras y por primera vez se eligió a una mujer como Defensora del Pueblo, la violencia política que enfrentan las mujeres sigue siendo alarmante. </w:t>
      </w:r>
    </w:p>
    <w:p w14:paraId="346F2FE9" w14:textId="77777777" w:rsidR="00DC760F" w:rsidRPr="007B59F0" w:rsidRDefault="00DC760F" w:rsidP="00DC760F">
      <w:pPr>
        <w:pStyle w:val="Prrafodelista"/>
        <w:numPr>
          <w:ilvl w:val="0"/>
          <w:numId w:val="1"/>
        </w:numPr>
        <w:spacing w:line="360" w:lineRule="auto"/>
        <w:jc w:val="both"/>
        <w:rPr>
          <w:rFonts w:ascii="Times New Roman" w:hAnsi="Times New Roman" w:cs="Times New Roman"/>
          <w:sz w:val="24"/>
          <w:szCs w:val="24"/>
        </w:rPr>
      </w:pPr>
      <w:r w:rsidRPr="007B59F0">
        <w:rPr>
          <w:rFonts w:ascii="Times New Roman" w:hAnsi="Times New Roman" w:cs="Times New Roman"/>
          <w:sz w:val="24"/>
          <w:szCs w:val="24"/>
        </w:rPr>
        <w:t xml:space="preserve">Un análisis histórico de la participación femenina en elecciones desde 2013 evidencia que pese a la inclusión del principio de paridad en la Ley Electoral y de organizaciones políticas, la elección de mujeres en los tres niveles electivos (presidencia, diputaciones y </w:t>
      </w:r>
      <w:r w:rsidRPr="007B59F0">
        <w:rPr>
          <w:rFonts w:ascii="Times New Roman" w:hAnsi="Times New Roman" w:cs="Times New Roman"/>
          <w:sz w:val="24"/>
          <w:szCs w:val="24"/>
        </w:rPr>
        <w:lastRenderedPageBreak/>
        <w:t>alcaldías) dista de ser paritaria y conducirse en igualdad</w:t>
      </w:r>
      <w:r w:rsidRPr="00C73DA6">
        <w:rPr>
          <w:rStyle w:val="Refdenotaalpie"/>
          <w:rFonts w:ascii="Times New Roman" w:hAnsi="Times New Roman" w:cs="Times New Roman"/>
          <w:sz w:val="24"/>
          <w:szCs w:val="24"/>
        </w:rPr>
        <w:footnoteReference w:id="2"/>
      </w:r>
      <w:r w:rsidRPr="007B59F0">
        <w:rPr>
          <w:rFonts w:ascii="Times New Roman" w:hAnsi="Times New Roman" w:cs="Times New Roman"/>
          <w:sz w:val="24"/>
          <w:szCs w:val="24"/>
        </w:rPr>
        <w:t>.</w:t>
      </w:r>
      <w:r w:rsidRPr="007B59F0">
        <w:t xml:space="preserve"> </w:t>
      </w:r>
      <w:r w:rsidRPr="007B59F0">
        <w:rPr>
          <w:rFonts w:ascii="Times New Roman" w:hAnsi="Times New Roman" w:cs="Times New Roman"/>
          <w:sz w:val="24"/>
          <w:szCs w:val="24"/>
        </w:rPr>
        <w:t>Aunque Honduras cuenta actualmente con un histórico número de diputadas propietarias en el Congreso Nacional (34), en términos porcentuales la participación de la mujer nunca ha excedido del 30% en el Poder Legislativo</w:t>
      </w:r>
      <w:r w:rsidRPr="00C73DA6">
        <w:rPr>
          <w:rStyle w:val="Refdenotaalpie"/>
          <w:rFonts w:ascii="Times New Roman" w:hAnsi="Times New Roman" w:cs="Times New Roman"/>
          <w:sz w:val="24"/>
          <w:szCs w:val="24"/>
        </w:rPr>
        <w:footnoteReference w:id="3"/>
      </w:r>
      <w:r w:rsidRPr="007B59F0">
        <w:rPr>
          <w:rFonts w:ascii="Times New Roman" w:hAnsi="Times New Roman" w:cs="Times New Roman"/>
          <w:sz w:val="24"/>
          <w:szCs w:val="24"/>
        </w:rPr>
        <w:t>.</w:t>
      </w:r>
    </w:p>
    <w:p w14:paraId="288DD34A" w14:textId="77777777" w:rsidR="00DC760F" w:rsidRPr="003F5BBA"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En las últimas 4 elecciones el número de alcaldesas sigue siendo muy bajo, contando para el periodo 2022-2026 con un 5.7% del total de alcaldías, representado por 17 mujeres alcaldesas. Aun con la inclusión del principio de paridad, no se han experimentado cambios significativos en el número de alcaldesas y de diputadas propietarias</w:t>
      </w:r>
      <w:r>
        <w:rPr>
          <w:rFonts w:ascii="Times New Roman" w:hAnsi="Times New Roman" w:cs="Times New Roman"/>
          <w:sz w:val="24"/>
          <w:szCs w:val="24"/>
        </w:rPr>
        <w:t xml:space="preserve">. </w:t>
      </w:r>
      <w:r w:rsidRPr="003F5BBA">
        <w:rPr>
          <w:rFonts w:ascii="Times New Roman" w:hAnsi="Times New Roman" w:cs="Times New Roman"/>
          <w:sz w:val="24"/>
          <w:szCs w:val="24"/>
        </w:rPr>
        <w:t xml:space="preserve">En la práctica el principio de paridad ha relegado a la mujer a un rol secundario en las elecciones a diputadas y a nivel municipal como regidoras y vicealcaldesa. </w:t>
      </w:r>
    </w:p>
    <w:p w14:paraId="63EF88F6" w14:textId="77777777" w:rsidR="00DC760F" w:rsidRPr="003F5BBA"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 xml:space="preserve">Frente a este escenario de violencia institucional y desigualdad las mujeres han sido víctimas de diferentes agresiones físicas y verbales. El CONADEH recibió 28 denuncias de mujeres relacionadas con sus derechos políticos en 2017. </w:t>
      </w:r>
    </w:p>
    <w:p w14:paraId="77661F5A" w14:textId="77777777" w:rsidR="00DC760F" w:rsidRPr="003F5BBA"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Previo al proceso de elecciones generales de 2021, el Foro de Mujeres de Partidos Políticos manifestó su preocupación por varios hechos que obstaculizan la participación equitativa de las mujeres en los comicios y denunciaron públicamente que en varios partidos políticos les pedían la renuncia a las candidatas que fueron legítimamente electas</w:t>
      </w:r>
      <w:r w:rsidRPr="00C73DA6">
        <w:rPr>
          <w:rStyle w:val="Refdenotaalpie"/>
          <w:rFonts w:ascii="Times New Roman" w:hAnsi="Times New Roman" w:cs="Times New Roman"/>
          <w:sz w:val="24"/>
          <w:szCs w:val="24"/>
        </w:rPr>
        <w:footnoteReference w:id="4"/>
      </w:r>
      <w:r>
        <w:rPr>
          <w:rFonts w:ascii="Times New Roman" w:hAnsi="Times New Roman" w:cs="Times New Roman"/>
          <w:sz w:val="24"/>
          <w:szCs w:val="24"/>
        </w:rPr>
        <w:t xml:space="preserve">. </w:t>
      </w:r>
    </w:p>
    <w:p w14:paraId="23CDC5AB"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 xml:space="preserve">En el proceso electoral de 2021, el CONADEH recibió 260 denuncias que comprendieron 54 vulneraciones distintas de los derechos humanos. El 20% de las denuncias recibidas </w:t>
      </w:r>
      <w:r w:rsidRPr="003F5BBA">
        <w:rPr>
          <w:rFonts w:ascii="Times New Roman" w:hAnsi="Times New Roman" w:cs="Times New Roman"/>
          <w:sz w:val="24"/>
          <w:szCs w:val="24"/>
        </w:rPr>
        <w:lastRenderedPageBreak/>
        <w:t>fueron presentadas por mujeres y en un 35% de las veces la vulneración la cometió un particular</w:t>
      </w:r>
      <w:r w:rsidRPr="00C73DA6">
        <w:rPr>
          <w:rStyle w:val="Refdenotaalpie"/>
          <w:rFonts w:ascii="Times New Roman" w:hAnsi="Times New Roman" w:cs="Times New Roman"/>
          <w:sz w:val="24"/>
          <w:szCs w:val="24"/>
        </w:rPr>
        <w:footnoteReference w:id="5"/>
      </w:r>
      <w:r w:rsidRPr="003F5BBA">
        <w:rPr>
          <w:rFonts w:ascii="Times New Roman" w:hAnsi="Times New Roman" w:cs="Times New Roman"/>
          <w:sz w:val="24"/>
          <w:szCs w:val="24"/>
        </w:rPr>
        <w:t xml:space="preserve"> . </w:t>
      </w:r>
    </w:p>
    <w:p w14:paraId="28250245" w14:textId="77777777" w:rsidR="00DC760F" w:rsidRPr="003F5BBA" w:rsidRDefault="00DC760F" w:rsidP="00DC760F">
      <w:pPr>
        <w:pStyle w:val="Prrafodelista"/>
        <w:numPr>
          <w:ilvl w:val="0"/>
          <w:numId w:val="1"/>
        </w:numPr>
        <w:spacing w:line="360" w:lineRule="auto"/>
        <w:jc w:val="both"/>
        <w:rPr>
          <w:rFonts w:ascii="Times New Roman" w:hAnsi="Times New Roman" w:cs="Times New Roman"/>
          <w:sz w:val="24"/>
          <w:szCs w:val="24"/>
        </w:rPr>
      </w:pPr>
      <w:r w:rsidRPr="003F5BBA">
        <w:rPr>
          <w:rFonts w:ascii="Times New Roman" w:hAnsi="Times New Roman" w:cs="Times New Roman"/>
          <w:sz w:val="24"/>
          <w:szCs w:val="24"/>
        </w:rPr>
        <w:t>Como parte de la misión de observación electoral durante el proceso de elecciones primarias y generales en 2021, el CONADEH también registró del 13 de noviembre al 8 de diciembre de 2021, 120 informes de violencia electoral y 16 informes de violencia de género</w:t>
      </w:r>
      <w:r w:rsidRPr="00C73DA6">
        <w:rPr>
          <w:rStyle w:val="Refdenotaalpie"/>
          <w:rFonts w:ascii="Times New Roman" w:hAnsi="Times New Roman" w:cs="Times New Roman"/>
          <w:sz w:val="24"/>
          <w:szCs w:val="24"/>
        </w:rPr>
        <w:footnoteReference w:id="6"/>
      </w:r>
      <w:r w:rsidRPr="003F5BBA">
        <w:rPr>
          <w:rFonts w:ascii="Times New Roman" w:hAnsi="Times New Roman" w:cs="Times New Roman"/>
          <w:sz w:val="24"/>
          <w:szCs w:val="24"/>
        </w:rPr>
        <w:t>. Lastimosamente, la violencia política no concluye con las ya innumerables barreras de iure y de facto para acceder a los cargos, sino que una vez en el poder se siguen persiguiendo y minimizando las capacidades de las mujeres.</w:t>
      </w:r>
    </w:p>
    <w:p w14:paraId="2ED4E00B" w14:textId="77777777" w:rsidR="00DC760F" w:rsidRPr="008814EC" w:rsidRDefault="00DC760F" w:rsidP="00DC760F">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2021, </w:t>
      </w:r>
      <w:r w:rsidRPr="009A61F6">
        <w:rPr>
          <w:rFonts w:ascii="Times New Roman" w:hAnsi="Times New Roman" w:cs="Times New Roman"/>
          <w:sz w:val="24"/>
          <w:szCs w:val="24"/>
        </w:rPr>
        <w:t>el C</w:t>
      </w:r>
      <w:r>
        <w:rPr>
          <w:rFonts w:ascii="Times New Roman" w:hAnsi="Times New Roman" w:cs="Times New Roman"/>
          <w:sz w:val="24"/>
          <w:szCs w:val="24"/>
        </w:rPr>
        <w:t xml:space="preserve">onsejo </w:t>
      </w:r>
      <w:r w:rsidRPr="009A61F6">
        <w:rPr>
          <w:rFonts w:ascii="Times New Roman" w:hAnsi="Times New Roman" w:cs="Times New Roman"/>
          <w:sz w:val="24"/>
          <w:szCs w:val="24"/>
        </w:rPr>
        <w:t>N</w:t>
      </w:r>
      <w:r>
        <w:rPr>
          <w:rFonts w:ascii="Times New Roman" w:hAnsi="Times New Roman" w:cs="Times New Roman"/>
          <w:sz w:val="24"/>
          <w:szCs w:val="24"/>
        </w:rPr>
        <w:t xml:space="preserve">acional </w:t>
      </w:r>
      <w:r w:rsidRPr="009A61F6">
        <w:rPr>
          <w:rFonts w:ascii="Times New Roman" w:hAnsi="Times New Roman" w:cs="Times New Roman"/>
          <w:sz w:val="24"/>
          <w:szCs w:val="24"/>
        </w:rPr>
        <w:t>E</w:t>
      </w:r>
      <w:r>
        <w:rPr>
          <w:rFonts w:ascii="Times New Roman" w:hAnsi="Times New Roman" w:cs="Times New Roman"/>
          <w:sz w:val="24"/>
          <w:szCs w:val="24"/>
        </w:rPr>
        <w:t>lectoral (CNE)</w:t>
      </w:r>
      <w:r w:rsidRPr="009A61F6">
        <w:rPr>
          <w:rFonts w:ascii="Times New Roman" w:hAnsi="Times New Roman" w:cs="Times New Roman"/>
          <w:sz w:val="24"/>
          <w:szCs w:val="24"/>
        </w:rPr>
        <w:t xml:space="preserve"> presentó un proyecto de Ley contra la Violencia Política de Género</w:t>
      </w:r>
      <w:r>
        <w:rPr>
          <w:rFonts w:ascii="Times New Roman" w:hAnsi="Times New Roman" w:cs="Times New Roman"/>
          <w:sz w:val="24"/>
          <w:szCs w:val="24"/>
        </w:rPr>
        <w:t>, días antes de las elecciones generales. Dicha Ley no fue aprobada por el Congreso Nacional. Aunque el CNE aprobó el Protocolo contra la Violencia Política de Género de aplicación en todas las fases del ciclo electoral y para sensibilizar a la población sobre la violencia política de género, los datos compartidos en los párrafos anteriores nos muestran e</w:t>
      </w:r>
      <w:r w:rsidRPr="003F5BBA">
        <w:rPr>
          <w:rFonts w:ascii="Times New Roman" w:hAnsi="Times New Roman" w:cs="Times New Roman"/>
          <w:sz w:val="24"/>
          <w:szCs w:val="24"/>
        </w:rPr>
        <w:t xml:space="preserve">l contexto de violencia política hacia las mujeres </w:t>
      </w:r>
      <w:r>
        <w:rPr>
          <w:rFonts w:ascii="Times New Roman" w:hAnsi="Times New Roman" w:cs="Times New Roman"/>
          <w:sz w:val="24"/>
          <w:szCs w:val="24"/>
        </w:rPr>
        <w:t>con</w:t>
      </w:r>
      <w:r w:rsidRPr="003F5BBA">
        <w:rPr>
          <w:rFonts w:ascii="Times New Roman" w:hAnsi="Times New Roman" w:cs="Times New Roman"/>
          <w:sz w:val="24"/>
          <w:szCs w:val="24"/>
        </w:rPr>
        <w:t xml:space="preserve"> serias limitaciones estructurales para la plena participación femenina en la política nacional. El principio de paridad ha relegado a la mujer a un rol secundario en los niveles de diputación y municipal. Las prácticas sociales machistas han relegado a la mujer como un “relleno” de las planillas para cumplir un requisito formal. Por tales motivos el derecho de la mujer a acceder, en condiciones generales de igualdad, a las funciones públicas de su país es inexistente en el Estado Hondureño.</w:t>
      </w:r>
    </w:p>
    <w:p w14:paraId="37A3CAB5" w14:textId="77777777" w:rsidR="00DC760F" w:rsidRPr="00C73DA6" w:rsidRDefault="00DC760F" w:rsidP="00DC760F">
      <w:pPr>
        <w:pStyle w:val="Ttulo2"/>
        <w:spacing w:before="0" w:line="360" w:lineRule="auto"/>
        <w:jc w:val="both"/>
        <w:rPr>
          <w:rFonts w:ascii="Times New Roman" w:hAnsi="Times New Roman" w:cs="Times New Roman"/>
          <w:sz w:val="24"/>
          <w:szCs w:val="24"/>
        </w:rPr>
      </w:pPr>
      <w:r w:rsidRPr="00C73DA6">
        <w:rPr>
          <w:rFonts w:ascii="Times New Roman" w:hAnsi="Times New Roman" w:cs="Times New Roman"/>
          <w:sz w:val="24"/>
          <w:szCs w:val="24"/>
        </w:rPr>
        <w:t>Artículo 12: Derechos Sexuales y Reproductivos</w:t>
      </w:r>
    </w:p>
    <w:p w14:paraId="21A44AE3" w14:textId="77777777" w:rsidR="00DC760F" w:rsidRPr="008814EC" w:rsidRDefault="00DC760F" w:rsidP="00DC760F">
      <w:pPr>
        <w:pStyle w:val="Prrafodelista"/>
        <w:numPr>
          <w:ilvl w:val="0"/>
          <w:numId w:val="1"/>
        </w:numPr>
        <w:spacing w:line="360" w:lineRule="auto"/>
        <w:jc w:val="both"/>
        <w:rPr>
          <w:rFonts w:ascii="Times New Roman" w:hAnsi="Times New Roman" w:cs="Times New Roman"/>
          <w:sz w:val="24"/>
          <w:szCs w:val="24"/>
        </w:rPr>
      </w:pPr>
      <w:r w:rsidRPr="008814EC">
        <w:rPr>
          <w:rFonts w:ascii="Times New Roman" w:hAnsi="Times New Roman" w:cs="Times New Roman"/>
          <w:sz w:val="24"/>
          <w:szCs w:val="24"/>
        </w:rPr>
        <w:t>En enero de 2021, el Congreso Nacional de la República reformó el artículo 67 de la Constitución de la República relacionado con el derecho a la vida</w:t>
      </w:r>
      <w:r>
        <w:rPr>
          <w:rStyle w:val="Refdenotaalpie"/>
          <w:rFonts w:ascii="Times New Roman" w:hAnsi="Times New Roman" w:cs="Times New Roman"/>
          <w:sz w:val="24"/>
          <w:szCs w:val="24"/>
        </w:rPr>
        <w:footnoteReference w:id="7"/>
      </w:r>
      <w:r w:rsidRPr="008814EC">
        <w:rPr>
          <w:rFonts w:ascii="Times New Roman" w:hAnsi="Times New Roman" w:cs="Times New Roman"/>
          <w:sz w:val="24"/>
          <w:szCs w:val="24"/>
        </w:rPr>
        <w:t xml:space="preserve">. El cual luego de la reforma se lee de la forma siguiente: </w:t>
      </w:r>
    </w:p>
    <w:p w14:paraId="36D9A4BB" w14:textId="77777777" w:rsidR="00DC760F" w:rsidRPr="008814EC" w:rsidRDefault="00DC760F" w:rsidP="00DC760F">
      <w:pPr>
        <w:pStyle w:val="Prrafodelista"/>
        <w:numPr>
          <w:ilvl w:val="0"/>
          <w:numId w:val="1"/>
        </w:numPr>
        <w:spacing w:line="360" w:lineRule="auto"/>
        <w:jc w:val="both"/>
        <w:rPr>
          <w:rFonts w:ascii="Times New Roman" w:hAnsi="Times New Roman" w:cs="Times New Roman"/>
          <w:sz w:val="24"/>
          <w:szCs w:val="24"/>
        </w:rPr>
      </w:pPr>
      <w:r w:rsidRPr="008814EC">
        <w:rPr>
          <w:rFonts w:ascii="Times New Roman" w:hAnsi="Times New Roman" w:cs="Times New Roman"/>
          <w:sz w:val="24"/>
          <w:szCs w:val="24"/>
        </w:rPr>
        <w:t>“</w:t>
      </w:r>
      <w:r w:rsidRPr="008814EC">
        <w:rPr>
          <w:rFonts w:ascii="Times New Roman" w:hAnsi="Times New Roman" w:cs="Times New Roman"/>
          <w:b/>
          <w:bCs/>
          <w:sz w:val="24"/>
          <w:szCs w:val="24"/>
        </w:rPr>
        <w:t>ARTÍCULO 67.-</w:t>
      </w:r>
      <w:r w:rsidRPr="008814EC">
        <w:rPr>
          <w:rFonts w:ascii="Times New Roman" w:hAnsi="Times New Roman" w:cs="Times New Roman"/>
          <w:sz w:val="24"/>
          <w:szCs w:val="24"/>
        </w:rPr>
        <w:t xml:space="preserve">Al que está por nacer… </w:t>
      </w:r>
    </w:p>
    <w:p w14:paraId="56917199" w14:textId="77777777" w:rsidR="00DC760F" w:rsidRDefault="00DC760F" w:rsidP="00DC760F">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Se considera prohibida e ilegal la práctica de cualquier forma de interrupción de la vida por parte de la madre o un tercero al que está por nacer, a quien debe respetársele la vida desde su concepción. </w:t>
      </w:r>
    </w:p>
    <w:p w14:paraId="24BFE85B" w14:textId="77777777" w:rsidR="00DC760F" w:rsidRDefault="00DC760F" w:rsidP="00DC760F">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Lo dispuesto en este Artículo de la presente Constitución, solo podrán reformarse por una mayoría de tres cuartas partes de los miembros del Pleno del Congreso Nacional, sus disposiciones no perderán vigencia o dejarán de cumplirse cuando sea supuestamente derogado o modificado por otro precepto constitucional. </w:t>
      </w:r>
    </w:p>
    <w:p w14:paraId="7141A281" w14:textId="77777777" w:rsidR="00DC760F" w:rsidRDefault="00DC760F" w:rsidP="00DC760F">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Serán nulas e inválidas las disposiciones legales que se creen con posterioridad a la vigencia del presente Artículo que establezcan lo contrario”. </w:t>
      </w:r>
    </w:p>
    <w:p w14:paraId="7E041895" w14:textId="77777777" w:rsidR="00DC760F" w:rsidRPr="008814EC" w:rsidRDefault="00DC760F" w:rsidP="00DC760F">
      <w:pPr>
        <w:pStyle w:val="Prrafodelista"/>
        <w:numPr>
          <w:ilvl w:val="0"/>
          <w:numId w:val="1"/>
        </w:numPr>
        <w:spacing w:line="360" w:lineRule="auto"/>
        <w:jc w:val="both"/>
        <w:rPr>
          <w:rFonts w:ascii="Times New Roman" w:hAnsi="Times New Roman" w:cs="Times New Roman"/>
          <w:sz w:val="24"/>
          <w:szCs w:val="24"/>
        </w:rPr>
      </w:pPr>
      <w:r w:rsidRPr="008814EC">
        <w:rPr>
          <w:rFonts w:ascii="Times New Roman" w:hAnsi="Times New Roman" w:cs="Times New Roman"/>
          <w:sz w:val="24"/>
          <w:szCs w:val="24"/>
        </w:rPr>
        <w:t>En 2021, CONADEH recomendó y recordó al Congreso Nacional, que el Estado de Honduras debe tomar en cuenta las múltiples recomendaciones internacionales que ha recibido para la despenalización del aborto</w:t>
      </w:r>
      <w:r>
        <w:rPr>
          <w:rStyle w:val="Refdenotaalpie"/>
          <w:rFonts w:ascii="Times New Roman" w:hAnsi="Times New Roman" w:cs="Times New Roman"/>
          <w:sz w:val="24"/>
          <w:szCs w:val="24"/>
        </w:rPr>
        <w:footnoteReference w:id="8"/>
      </w:r>
      <w:r w:rsidRPr="008814EC">
        <w:rPr>
          <w:rFonts w:ascii="Times New Roman" w:hAnsi="Times New Roman" w:cs="Times New Roman"/>
          <w:sz w:val="24"/>
          <w:szCs w:val="24"/>
        </w:rPr>
        <w:t xml:space="preserve">. </w:t>
      </w:r>
    </w:p>
    <w:p w14:paraId="7E3017B8"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8814EC">
        <w:rPr>
          <w:rFonts w:ascii="Times New Roman" w:hAnsi="Times New Roman" w:cs="Times New Roman"/>
          <w:sz w:val="24"/>
          <w:szCs w:val="24"/>
        </w:rPr>
        <w:t xml:space="preserve">El 8 de marzo de 2022, en el marco de las atribuciones constitucionales, convencionales y legales, CONADEH presentó un </w:t>
      </w:r>
      <w:proofErr w:type="spellStart"/>
      <w:r w:rsidRPr="008814EC">
        <w:rPr>
          <w:rFonts w:ascii="Times New Roman" w:hAnsi="Times New Roman" w:cs="Times New Roman"/>
          <w:i/>
          <w:iCs/>
          <w:sz w:val="24"/>
          <w:szCs w:val="24"/>
        </w:rPr>
        <w:t>amicus</w:t>
      </w:r>
      <w:proofErr w:type="spellEnd"/>
      <w:r w:rsidRPr="008814EC">
        <w:rPr>
          <w:rFonts w:ascii="Times New Roman" w:hAnsi="Times New Roman" w:cs="Times New Roman"/>
          <w:i/>
          <w:iCs/>
          <w:sz w:val="24"/>
          <w:szCs w:val="24"/>
        </w:rPr>
        <w:t xml:space="preserve"> </w:t>
      </w:r>
      <w:proofErr w:type="spellStart"/>
      <w:r w:rsidRPr="008814EC">
        <w:rPr>
          <w:rFonts w:ascii="Times New Roman" w:hAnsi="Times New Roman" w:cs="Times New Roman"/>
          <w:i/>
          <w:iCs/>
          <w:sz w:val="24"/>
          <w:szCs w:val="24"/>
        </w:rPr>
        <w:t>curiae</w:t>
      </w:r>
      <w:proofErr w:type="spellEnd"/>
      <w:r w:rsidRPr="008814EC">
        <w:rPr>
          <w:rFonts w:ascii="Times New Roman" w:hAnsi="Times New Roman" w:cs="Times New Roman"/>
          <w:sz w:val="24"/>
          <w:szCs w:val="24"/>
        </w:rPr>
        <w:t xml:space="preserve"> ante la Sala de lo Constitucional, relacionado con el Recurso de Inconstitucionalidad No. SCO-0329-2021 interpuesto por la Plataforma Somos Muchas, en contra del Decreto Legislativo No. 130-2017 del Código Penal, Artículo 196 párrafo 1 y por razón de contenido en contra del artículo 1 del decreto 192-2020 que reforma el artículo 67 de la Constitución de la República, ratificado constitucionalmente mediante decreto 3-2021 del Congreso Nacional de la República, relativas a la prohibición absoluta del aborto en el país. </w:t>
      </w:r>
    </w:p>
    <w:p w14:paraId="160AD6F9"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8814EC">
        <w:rPr>
          <w:rFonts w:ascii="Times New Roman" w:hAnsi="Times New Roman" w:cs="Times New Roman"/>
          <w:sz w:val="24"/>
          <w:szCs w:val="24"/>
        </w:rPr>
        <w:t>El CONADEH ha observado con preocupación que, en relación a los derechos sexuales y reproductivos (fundamentales para la protección del derecho a la vida y salud de las mujeres y niñas), el Estado de Honduras ha retrocedido en el cumplimiento de sus obligaciones convencionales ante la CEDAW.</w:t>
      </w:r>
    </w:p>
    <w:p w14:paraId="38E5BBF0"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8814EC">
        <w:rPr>
          <w:rFonts w:ascii="Times New Roman" w:hAnsi="Times New Roman" w:cs="Times New Roman"/>
          <w:sz w:val="24"/>
          <w:szCs w:val="24"/>
        </w:rPr>
        <w:t xml:space="preserve">CONADEH es del criterio que la adopción de medidas idóneas para proteger la salud y eventualmente la vida de las mujeres y niñas debe comenzar por la protección de </w:t>
      </w:r>
      <w:r w:rsidRPr="008814EC">
        <w:rPr>
          <w:rFonts w:ascii="Times New Roman" w:hAnsi="Times New Roman" w:cs="Times New Roman"/>
          <w:sz w:val="24"/>
          <w:szCs w:val="24"/>
        </w:rPr>
        <w:lastRenderedPageBreak/>
        <w:t>garantías judiciales y a la protección judicial reconocidos en el artículo 15 de la CEDAW y la recomendación general número 33 sobre el acceso de las mujeres a la justicia, especialmente en aquellos casos que diriman sobre asuntos sobre derechos irreparables, como el derecho a la vida, a la integridad personal y a la salud.</w:t>
      </w:r>
    </w:p>
    <w:p w14:paraId="6067C9D7"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sidRPr="008814EC">
        <w:rPr>
          <w:rFonts w:ascii="Times New Roman" w:hAnsi="Times New Roman" w:cs="Times New Roman"/>
          <w:sz w:val="24"/>
          <w:szCs w:val="24"/>
        </w:rPr>
        <w:t>En esta misma línea, los órganos de tratados de derechos humanos han reconocido la importancia de aplicar una perspectiva de igualdad sustantiva para asegurar la igualdad de género en el contexto de los derechos sexuales y reproductivos, por lo que han expresado la urgencia de que los Estados adopten medidas para abordar la discriminación en la ley y en la práctica, eliminar los estereotipos de género y las prácticas que tienen un impacto desproporcionado en la vida de las mujeres</w:t>
      </w:r>
      <w:r w:rsidRPr="00C73DA6">
        <w:rPr>
          <w:rStyle w:val="Refdenotaalpie"/>
          <w:rFonts w:ascii="Times New Roman" w:hAnsi="Times New Roman" w:cs="Times New Roman"/>
          <w:sz w:val="24"/>
          <w:szCs w:val="24"/>
        </w:rPr>
        <w:footnoteReference w:id="9"/>
      </w:r>
      <w:r w:rsidRPr="008814EC">
        <w:rPr>
          <w:rFonts w:ascii="Times New Roman" w:hAnsi="Times New Roman" w:cs="Times New Roman"/>
          <w:sz w:val="24"/>
          <w:szCs w:val="24"/>
        </w:rPr>
        <w:t xml:space="preserve"> .</w:t>
      </w:r>
    </w:p>
    <w:p w14:paraId="08B72D47" w14:textId="77777777" w:rsidR="00DC760F" w:rsidRPr="007D37E2" w:rsidRDefault="00DC760F" w:rsidP="00DC760F">
      <w:pPr>
        <w:pStyle w:val="Prrafodelista"/>
        <w:numPr>
          <w:ilvl w:val="0"/>
          <w:numId w:val="1"/>
        </w:numPr>
        <w:spacing w:line="360" w:lineRule="auto"/>
        <w:jc w:val="both"/>
        <w:rPr>
          <w:rFonts w:ascii="Times New Roman" w:hAnsi="Times New Roman" w:cs="Times New Roman"/>
          <w:sz w:val="24"/>
          <w:szCs w:val="24"/>
          <w:lang w:val="es-ES"/>
        </w:rPr>
      </w:pPr>
      <w:r w:rsidRPr="007D37E2">
        <w:rPr>
          <w:rFonts w:ascii="Times New Roman" w:hAnsi="Times New Roman" w:cs="Times New Roman"/>
          <w:sz w:val="24"/>
          <w:szCs w:val="24"/>
          <w:lang w:val="es-ES"/>
        </w:rPr>
        <w:t>Retomar la recomendación del Comité CEDAW</w:t>
      </w:r>
      <w:r w:rsidRPr="00C73DA6">
        <w:rPr>
          <w:rStyle w:val="Refdenotaalpie"/>
          <w:rFonts w:ascii="Times New Roman" w:hAnsi="Times New Roman" w:cs="Times New Roman"/>
          <w:sz w:val="24"/>
          <w:szCs w:val="24"/>
        </w:rPr>
        <w:footnoteReference w:id="10"/>
      </w:r>
      <w:r>
        <w:rPr>
          <w:rFonts w:ascii="Times New Roman" w:hAnsi="Times New Roman" w:cs="Times New Roman"/>
          <w:sz w:val="24"/>
          <w:szCs w:val="24"/>
          <w:lang w:val="es-ES"/>
        </w:rPr>
        <w:t xml:space="preserve"> y de otros órganos de tratados hechas al Estado de Honduras, dada </w:t>
      </w:r>
      <w:r w:rsidRPr="007D37E2">
        <w:rPr>
          <w:rFonts w:ascii="Times New Roman" w:hAnsi="Times New Roman" w:cs="Times New Roman"/>
          <w:sz w:val="24"/>
          <w:szCs w:val="24"/>
          <w:lang w:val="es-ES"/>
        </w:rPr>
        <w:t>la evolución legislativa y situación propia del país, examinar las excepciones expresas que, en otras legislaciones y en la propia, se han también admitido para casos muy graves y fácilmente verificables. Como ser en los casos de amenaza a la vida o a la salud de la mujer, violación o incesto, y de feto inviable debido a anomalía.</w:t>
      </w:r>
    </w:p>
    <w:p w14:paraId="7650AD0B" w14:textId="77777777" w:rsidR="00DC760F" w:rsidRPr="004E688F" w:rsidRDefault="00DC760F" w:rsidP="00DC760F">
      <w:pPr>
        <w:pStyle w:val="Prrafodelista"/>
        <w:numPr>
          <w:ilvl w:val="0"/>
          <w:numId w:val="1"/>
        </w:numPr>
        <w:spacing w:line="360" w:lineRule="auto"/>
        <w:jc w:val="both"/>
        <w:rPr>
          <w:rFonts w:ascii="Times New Roman" w:hAnsi="Times New Roman" w:cs="Times New Roman"/>
          <w:sz w:val="24"/>
          <w:szCs w:val="24"/>
          <w:lang w:val="es-ES"/>
        </w:rPr>
      </w:pPr>
      <w:r w:rsidRPr="004E688F">
        <w:rPr>
          <w:rFonts w:ascii="Times New Roman" w:hAnsi="Times New Roman" w:cs="Times New Roman"/>
          <w:sz w:val="24"/>
          <w:szCs w:val="24"/>
          <w:lang w:val="es-ES"/>
        </w:rPr>
        <w:t>Actualmente el recurso</w:t>
      </w:r>
      <w:r>
        <w:rPr>
          <w:rFonts w:ascii="Times New Roman" w:hAnsi="Times New Roman" w:cs="Times New Roman"/>
          <w:sz w:val="24"/>
          <w:szCs w:val="24"/>
          <w:lang w:val="es-ES"/>
        </w:rPr>
        <w:t xml:space="preserve"> de inconstitucionalidad</w:t>
      </w:r>
      <w:r w:rsidRPr="004E688F">
        <w:rPr>
          <w:rFonts w:ascii="Times New Roman" w:hAnsi="Times New Roman" w:cs="Times New Roman"/>
          <w:sz w:val="24"/>
          <w:szCs w:val="24"/>
          <w:lang w:val="es-ES"/>
        </w:rPr>
        <w:t xml:space="preserve"> tiene 14 meses de haber sido admitido por la Sala de lo Constitucional, sin que exista respuesta de la Corte Suprema de Justicia. </w:t>
      </w:r>
    </w:p>
    <w:p w14:paraId="100B7E4D" w14:textId="77777777" w:rsidR="00DC760F" w:rsidRPr="004E688F" w:rsidRDefault="00DC760F" w:rsidP="00DC760F">
      <w:pPr>
        <w:pStyle w:val="Prrafodelista"/>
        <w:numPr>
          <w:ilvl w:val="0"/>
          <w:numId w:val="1"/>
        </w:numPr>
        <w:spacing w:line="360" w:lineRule="auto"/>
        <w:jc w:val="both"/>
        <w:rPr>
          <w:rFonts w:ascii="Times New Roman" w:hAnsi="Times New Roman" w:cs="Times New Roman"/>
          <w:sz w:val="24"/>
          <w:szCs w:val="24"/>
        </w:rPr>
      </w:pPr>
      <w:r w:rsidRPr="004E688F">
        <w:rPr>
          <w:rFonts w:ascii="Times New Roman" w:hAnsi="Times New Roman" w:cs="Times New Roman"/>
          <w:sz w:val="24"/>
          <w:szCs w:val="24"/>
        </w:rPr>
        <w:t>A más de 8 meses de la toma de posesión de la nueva administración y aunque fue un compromiso de la Presidenta de la República, de acuerdo a su discurso de toma de posesión</w:t>
      </w:r>
      <w:r>
        <w:rPr>
          <w:rFonts w:ascii="Times New Roman" w:hAnsi="Times New Roman" w:cs="Times New Roman"/>
          <w:sz w:val="24"/>
          <w:szCs w:val="24"/>
        </w:rPr>
        <w:t>,</w:t>
      </w:r>
      <w:r w:rsidRPr="004E688F">
        <w:rPr>
          <w:rFonts w:ascii="Times New Roman" w:hAnsi="Times New Roman" w:cs="Times New Roman"/>
          <w:sz w:val="24"/>
          <w:szCs w:val="24"/>
        </w:rPr>
        <w:t xml:space="preserve"> la Píldora Anticonceptiva de Emergencia (PAE) sigue siendo prohibida. Para remover tal prohibición únicamente se requiere un acuerdo ejecutivo de la Secretaría de Salud que derogue el acuerdo ministerial no. 2744, de fecha 21 de octubre de 2009, que prohíbe la promoción, el uso, venta y compra relacionada con la PAE. La prohibición del uso de la PAE, tiene como consecuencia que aún siga sin aprobarse el Protocolo Atención a Víctimas y/o Sobrevivientes de Violencia Sexual, presentado desde el año 2017.</w:t>
      </w:r>
    </w:p>
    <w:p w14:paraId="23F91AD4" w14:textId="77777777" w:rsidR="00DC760F" w:rsidRDefault="00DC760F" w:rsidP="00DC760F">
      <w:pPr>
        <w:pStyle w:val="Ttulo2"/>
        <w:spacing w:before="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Fortalecimiento de la institución nacional de derechos humanos (INDH) CONADEH </w:t>
      </w:r>
    </w:p>
    <w:p w14:paraId="2686FC1A"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sidRPr="004E688F">
        <w:rPr>
          <w:rFonts w:ascii="Times New Roman" w:hAnsi="Times New Roman" w:cs="Times New Roman"/>
          <w:sz w:val="24"/>
          <w:szCs w:val="24"/>
        </w:rPr>
        <w:t xml:space="preserve">En el año 2019, CONADEH fue calificada con la Categoría “A” conforme a los Principios de París. Sin embargo, el Estado de Honduras debe asumir financieramente, y en forma más significativa, sus compromisos formales con los derechos humanos, apoyando al CONADEH, en su condición de órgano constitucional que presta, directamente al pueblo, servicios públicos esenciales que garanticen la vía para lograr la efectividad de los derechos humanos. El Comité CEDAW </w:t>
      </w:r>
      <w:r w:rsidRPr="004E688F">
        <w:rPr>
          <w:rFonts w:ascii="Times New Roman" w:hAnsi="Times New Roman" w:cs="Times New Roman"/>
          <w:sz w:val="24"/>
          <w:szCs w:val="24"/>
          <w:lang w:val="es-MX"/>
        </w:rPr>
        <w:t>ya ha instado al Estado de Honduras que adopte las medidas legislativas y administrativas necesarias para aplicar las recomendaciones de la Alianza Global de Instituciones Nacionales de Derechos Humanos a fin de que el CONADEH desempeñe un papel fundamental en la protección y promoción de los derechos de la mujer y el fomento de la igualdad de género.</w:t>
      </w:r>
    </w:p>
    <w:p w14:paraId="2382370E"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sidRPr="004E688F">
        <w:rPr>
          <w:rFonts w:ascii="Times New Roman" w:hAnsi="Times New Roman" w:cs="Times New Roman"/>
          <w:sz w:val="24"/>
          <w:szCs w:val="24"/>
          <w:lang w:val="es-MX"/>
        </w:rPr>
        <w:t xml:space="preserve">Lastimosamente, el actual Congreso Nacional se ha enfocado en hostigar a la </w:t>
      </w:r>
      <w:r>
        <w:rPr>
          <w:rFonts w:ascii="Times New Roman" w:hAnsi="Times New Roman" w:cs="Times New Roman"/>
          <w:sz w:val="24"/>
          <w:szCs w:val="24"/>
          <w:lang w:val="es-MX"/>
        </w:rPr>
        <w:t xml:space="preserve">titular de CONADEH y primera mujer asignada a este puesto. El Presidente del Congreso Nacional instruyó a la Comisión de Justicia y Derechos Humanos del Congreso Nacional de la República, realizar una investigación respecto al procedimiento de la elección y nombramiento de la titular del CONADEH. </w:t>
      </w:r>
    </w:p>
    <w:p w14:paraId="5586E41C"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sidRPr="00762C8F">
        <w:rPr>
          <w:rFonts w:ascii="Times New Roman" w:hAnsi="Times New Roman" w:cs="Times New Roman"/>
          <w:sz w:val="24"/>
          <w:szCs w:val="24"/>
          <w:lang w:val="es-MX"/>
        </w:rPr>
        <w:t xml:space="preserve">CONADEH denuncia categóricamente que esta acción es un ataque por el papel que </w:t>
      </w:r>
      <w:r>
        <w:rPr>
          <w:rFonts w:ascii="Times New Roman" w:hAnsi="Times New Roman" w:cs="Times New Roman"/>
          <w:sz w:val="24"/>
          <w:szCs w:val="24"/>
          <w:lang w:val="es-MX"/>
        </w:rPr>
        <w:t>tiene esta Institución e</w:t>
      </w:r>
      <w:r w:rsidRPr="00762C8F">
        <w:rPr>
          <w:rFonts w:ascii="Times New Roman" w:hAnsi="Times New Roman" w:cs="Times New Roman"/>
          <w:sz w:val="24"/>
          <w:szCs w:val="24"/>
          <w:lang w:val="es-MX"/>
        </w:rPr>
        <w:t>n la junta nominadora para la elección de la nueva Corte Suprema de</w:t>
      </w:r>
      <w:r>
        <w:rPr>
          <w:rFonts w:ascii="Times New Roman" w:hAnsi="Times New Roman" w:cs="Times New Roman"/>
          <w:sz w:val="24"/>
          <w:szCs w:val="24"/>
          <w:lang w:val="es-MX"/>
        </w:rPr>
        <w:t xml:space="preserve"> </w:t>
      </w:r>
      <w:r w:rsidRPr="00203081">
        <w:rPr>
          <w:rFonts w:ascii="Times New Roman" w:hAnsi="Times New Roman" w:cs="Times New Roman"/>
          <w:sz w:val="24"/>
          <w:szCs w:val="24"/>
          <w:lang w:val="es-MX"/>
        </w:rPr>
        <w:t xml:space="preserve">Justicia (CSJ), que </w:t>
      </w:r>
      <w:r>
        <w:rPr>
          <w:rFonts w:ascii="Times New Roman" w:hAnsi="Times New Roman" w:cs="Times New Roman"/>
          <w:sz w:val="24"/>
          <w:szCs w:val="24"/>
          <w:lang w:val="es-MX"/>
        </w:rPr>
        <w:t>se espera</w:t>
      </w:r>
      <w:r w:rsidRPr="00203081">
        <w:rPr>
          <w:rFonts w:ascii="Times New Roman" w:hAnsi="Times New Roman" w:cs="Times New Roman"/>
          <w:sz w:val="24"/>
          <w:szCs w:val="24"/>
          <w:lang w:val="es-MX"/>
        </w:rPr>
        <w:t xml:space="preserve"> llevar a cabo con los estándares más altos de objetividad y</w:t>
      </w:r>
      <w:r>
        <w:rPr>
          <w:rFonts w:ascii="Times New Roman" w:hAnsi="Times New Roman" w:cs="Times New Roman"/>
          <w:sz w:val="24"/>
          <w:szCs w:val="24"/>
          <w:lang w:val="es-MX"/>
        </w:rPr>
        <w:t xml:space="preserve"> </w:t>
      </w:r>
      <w:r w:rsidRPr="00203081">
        <w:rPr>
          <w:rFonts w:ascii="Times New Roman" w:hAnsi="Times New Roman" w:cs="Times New Roman"/>
          <w:sz w:val="24"/>
          <w:szCs w:val="24"/>
          <w:lang w:val="es-MX"/>
        </w:rPr>
        <w:t>libre de todo posicionamiento político partidario.</w:t>
      </w:r>
    </w:p>
    <w:p w14:paraId="32E9DFB6" w14:textId="77777777" w:rsidR="00DC760F" w:rsidRPr="00203081"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sidRPr="00203081">
        <w:rPr>
          <w:rFonts w:ascii="Times New Roman" w:hAnsi="Times New Roman" w:cs="Times New Roman"/>
          <w:sz w:val="24"/>
          <w:szCs w:val="24"/>
          <w:lang w:val="es-MX"/>
        </w:rPr>
        <w:t>Estas amenazas contra la estabilidad de la institucionalidad del CONADEH como órgano</w:t>
      </w:r>
    </w:p>
    <w:p w14:paraId="51382547" w14:textId="77777777" w:rsidR="00DC760F" w:rsidRPr="00203081" w:rsidRDefault="00DC760F" w:rsidP="00DC760F">
      <w:pPr>
        <w:pStyle w:val="Prrafodelista"/>
        <w:spacing w:line="360" w:lineRule="auto"/>
        <w:ind w:left="360"/>
        <w:jc w:val="both"/>
        <w:rPr>
          <w:rFonts w:ascii="Times New Roman" w:hAnsi="Times New Roman" w:cs="Times New Roman"/>
          <w:sz w:val="24"/>
          <w:szCs w:val="24"/>
          <w:lang w:val="es-MX"/>
        </w:rPr>
      </w:pPr>
      <w:r w:rsidRPr="00203081">
        <w:rPr>
          <w:rFonts w:ascii="Times New Roman" w:hAnsi="Times New Roman" w:cs="Times New Roman"/>
          <w:sz w:val="24"/>
          <w:szCs w:val="24"/>
          <w:lang w:val="es-MX"/>
        </w:rPr>
        <w:t>contralor de los actos de la administración pública, se traduce a una afectación grave del</w:t>
      </w:r>
    </w:p>
    <w:p w14:paraId="71FAFEAA" w14:textId="77777777" w:rsidR="00DC760F" w:rsidRPr="00203081" w:rsidRDefault="00DC760F" w:rsidP="00DC760F">
      <w:pPr>
        <w:pStyle w:val="Prrafodelista"/>
        <w:spacing w:line="360" w:lineRule="auto"/>
        <w:ind w:left="360"/>
        <w:jc w:val="both"/>
        <w:rPr>
          <w:rFonts w:ascii="Times New Roman" w:hAnsi="Times New Roman" w:cs="Times New Roman"/>
          <w:sz w:val="24"/>
          <w:szCs w:val="24"/>
          <w:lang w:val="es-MX"/>
        </w:rPr>
      </w:pPr>
      <w:r w:rsidRPr="00203081">
        <w:rPr>
          <w:rFonts w:ascii="Times New Roman" w:hAnsi="Times New Roman" w:cs="Times New Roman"/>
          <w:sz w:val="24"/>
          <w:szCs w:val="24"/>
          <w:lang w:val="es-MX"/>
        </w:rPr>
        <w:t>Estado de Derecho y la Democracia en Honduras.</w:t>
      </w:r>
    </w:p>
    <w:p w14:paraId="4508B2D9"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sidRPr="004E688F">
        <w:rPr>
          <w:rFonts w:ascii="Times New Roman" w:hAnsi="Times New Roman" w:cs="Times New Roman"/>
          <w:sz w:val="24"/>
          <w:szCs w:val="24"/>
          <w:lang w:val="es-MX"/>
        </w:rPr>
        <w:t>El CONADEH desde 2019, ha realizado las gestiones para la ampliación de la asignación de recursos destinados para poner en marcha acciones para cerrar la brecha de discriminación entre hombres y mujeres garantizando; sin embargo, hasta la fecha no se ha tenido respuesta satisfactoria.</w:t>
      </w:r>
    </w:p>
    <w:p w14:paraId="79C208AB" w14:textId="77777777" w:rsidR="00DC760F" w:rsidRDefault="00DC760F" w:rsidP="00DC760F">
      <w:pPr>
        <w:pStyle w:val="Prrafodelista"/>
        <w:spacing w:line="360" w:lineRule="auto"/>
        <w:ind w:left="360"/>
        <w:jc w:val="both"/>
        <w:rPr>
          <w:rFonts w:ascii="Times New Roman" w:hAnsi="Times New Roman" w:cs="Times New Roman"/>
          <w:sz w:val="24"/>
          <w:szCs w:val="24"/>
          <w:lang w:val="es-MX"/>
        </w:rPr>
      </w:pPr>
    </w:p>
    <w:p w14:paraId="23D38029" w14:textId="77777777" w:rsidR="00DC760F" w:rsidRDefault="00DC760F" w:rsidP="00DC760F">
      <w:pPr>
        <w:pStyle w:val="Ttulo2"/>
        <w:spacing w:before="0" w:line="360" w:lineRule="auto"/>
        <w:jc w:val="both"/>
        <w:rPr>
          <w:rFonts w:ascii="Times New Roman" w:hAnsi="Times New Roman" w:cs="Times New Roman"/>
          <w:sz w:val="24"/>
          <w:szCs w:val="24"/>
        </w:rPr>
      </w:pPr>
      <w:r w:rsidRPr="003858DB">
        <w:rPr>
          <w:rFonts w:ascii="Times New Roman" w:hAnsi="Times New Roman" w:cs="Times New Roman"/>
          <w:sz w:val="24"/>
          <w:szCs w:val="24"/>
        </w:rPr>
        <w:lastRenderedPageBreak/>
        <w:t>Recomendaciones sugeridas</w:t>
      </w:r>
    </w:p>
    <w:p w14:paraId="03E85813"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CONADEH sugiere al Comité CEDAW recomendar al Estado de Honduras lo siguiente: </w:t>
      </w:r>
    </w:p>
    <w:p w14:paraId="038786B4"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El fortalecimiento de todas las instituciones del Estado que conforman la Comisión Interinstitucional de Seguimiento a las Investigaciones de Muertes Violentas de Mujeres y Femicidios (</w:t>
      </w:r>
      <w:proofErr w:type="spellStart"/>
      <w:r>
        <w:rPr>
          <w:rFonts w:ascii="Times New Roman" w:hAnsi="Times New Roman" w:cs="Times New Roman"/>
          <w:sz w:val="24"/>
          <w:szCs w:val="24"/>
          <w:lang w:val="es-MX"/>
        </w:rPr>
        <w:t>CISIMVMyF</w:t>
      </w:r>
      <w:proofErr w:type="spellEnd"/>
      <w:r>
        <w:rPr>
          <w:rFonts w:ascii="Times New Roman" w:hAnsi="Times New Roman" w:cs="Times New Roman"/>
          <w:sz w:val="24"/>
          <w:szCs w:val="24"/>
          <w:lang w:val="es-MX"/>
        </w:rPr>
        <w:t xml:space="preserve">), que incluyen al Ministerio Público (Fiscalía de Delitos contra la Vida y ATIC), Secretaría de Seguridad (DPI), Comisionado Nacional de los Derechos Humanos, Secretaría de Asuntos de la Mujer y Secretaría de Derechos Humanos, para que de acuerdo a sus mandatos brinden atención efectiva y oportuna a la investigación de los casos de muertes violentas de mujeres y femicidios así como acciones de prevención de la violencia contra la mujer. Estos recursos deben de estar debidamente etiquetados en el Presupuesto General de la República y los presupuestos de cada una de las instituciones mencionadas. </w:t>
      </w:r>
    </w:p>
    <w:p w14:paraId="01476AE8"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Urgir al Estado de Honduras para la aprobación de la Ley Integral contra las Violencias hacia las Mujeres, la cual incluye la violencia política contra las mujeres. </w:t>
      </w:r>
    </w:p>
    <w:p w14:paraId="2BDCECA5"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La aprobación de la Ley de Casas Refugio para Mujeres sobrevivientes de violencia y sus hijos. Además, que dicha Ley incluya la atención a mujeres con discapacidad víctimas de violencia, las cuales actualmente quedan completamente desprotegidas ya que no se cuenta con refugios que les brinden atención sino son acompañadas de otra familiar que les atienda en el refugio. </w:t>
      </w:r>
    </w:p>
    <w:p w14:paraId="556F4FC8"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lang w:val="es-MX"/>
        </w:rPr>
        <w:t xml:space="preserve">Exigir al Estado de Honduras una respuesta pronta al Recurso de Inconstitucionalidad presentado ante la Sala de lo Constitucional </w:t>
      </w:r>
      <w:r w:rsidRPr="008814EC">
        <w:rPr>
          <w:rFonts w:ascii="Times New Roman" w:hAnsi="Times New Roman" w:cs="Times New Roman"/>
          <w:sz w:val="24"/>
          <w:szCs w:val="24"/>
        </w:rPr>
        <w:t xml:space="preserve">interpuesto por la Plataforma Somos Muchas, en contra del Decreto Legislativo No. 130-2017 del Código Penal, Artículo 196 párrafo 1 y por razón de contenido en contra del artículo 1 del decreto 192-2020 que reforma el artículo 67 de la Constitución de la República, ratificado constitucionalmente mediante decreto 3-2021 del Congreso Nacional de la República, relativas a la prohibición absoluta del aborto en el país. </w:t>
      </w:r>
    </w:p>
    <w:p w14:paraId="2A5488D5"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Quitar la prohibición del uso y venta de la Píldora Anticonceptiva de Emergencia (PAE). Aunado a esto, aprobar el Protocolo de Atención Integral a Víctimas de Violencia Sexual. Dicho protocolo no ha sido aprobado por la prohibición de la PAE. </w:t>
      </w:r>
    </w:p>
    <w:p w14:paraId="08121505" w14:textId="77777777" w:rsidR="00DC760F"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sidRPr="00DF346B">
        <w:rPr>
          <w:rFonts w:ascii="Times New Roman" w:hAnsi="Times New Roman" w:cs="Times New Roman"/>
          <w:sz w:val="24"/>
          <w:szCs w:val="24"/>
          <w:lang w:val="es-MX"/>
        </w:rPr>
        <w:lastRenderedPageBreak/>
        <w:t xml:space="preserve">Exigir al Estado de Honduras el respeto a la independencia institucional del CONADEH, conforme a los Principios de París. Recordándole al Estado el rol fundamental de CONADEH en la promoción y la protección de los derechos humanos y en el fortalecimiento de una sociedad democrática. Para el adecuado desarrollo de su mandato, la institución debe contar con plena independencia. </w:t>
      </w:r>
    </w:p>
    <w:p w14:paraId="38BD18CA" w14:textId="77777777" w:rsidR="00DC760F" w:rsidRPr="00DF346B" w:rsidRDefault="00DC760F" w:rsidP="00DC760F">
      <w:pPr>
        <w:pStyle w:val="Prrafodelista"/>
        <w:numPr>
          <w:ilvl w:val="0"/>
          <w:numId w:val="1"/>
        </w:num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CONADEH</w:t>
      </w:r>
      <w:r w:rsidRPr="00DF346B">
        <w:rPr>
          <w:rFonts w:ascii="Times New Roman" w:hAnsi="Times New Roman" w:cs="Times New Roman"/>
          <w:sz w:val="24"/>
          <w:szCs w:val="24"/>
          <w:lang w:val="es-MX"/>
        </w:rPr>
        <w:t xml:space="preserve"> debe poseer un nivel apropiado de financiamiento que le garantice su independencia y su capacidad para determinar libremente sus</w:t>
      </w:r>
      <w:r>
        <w:rPr>
          <w:rFonts w:ascii="Times New Roman" w:hAnsi="Times New Roman" w:cs="Times New Roman"/>
          <w:sz w:val="24"/>
          <w:szCs w:val="24"/>
          <w:lang w:val="es-MX"/>
        </w:rPr>
        <w:t xml:space="preserve"> </w:t>
      </w:r>
      <w:r w:rsidRPr="00DF346B">
        <w:rPr>
          <w:rFonts w:ascii="Times New Roman" w:hAnsi="Times New Roman" w:cs="Times New Roman"/>
          <w:sz w:val="24"/>
          <w:szCs w:val="24"/>
          <w:lang w:val="es-MX"/>
        </w:rPr>
        <w:t>prioridades y actividades. También debe tener la facultad de asignar fondos según sus prioridades. En</w:t>
      </w:r>
      <w:r>
        <w:rPr>
          <w:rFonts w:ascii="Times New Roman" w:hAnsi="Times New Roman" w:cs="Times New Roman"/>
          <w:sz w:val="24"/>
          <w:szCs w:val="24"/>
          <w:lang w:val="es-MX"/>
        </w:rPr>
        <w:t xml:space="preserve"> </w:t>
      </w:r>
      <w:r w:rsidRPr="00DF346B">
        <w:rPr>
          <w:rFonts w:ascii="Times New Roman" w:hAnsi="Times New Roman" w:cs="Times New Roman"/>
          <w:sz w:val="24"/>
          <w:szCs w:val="24"/>
          <w:lang w:val="es-MX"/>
        </w:rPr>
        <w:t>particular, se deben garantizar los fondos suficientes, de modo razonable, para que la organización</w:t>
      </w:r>
      <w:r>
        <w:rPr>
          <w:rFonts w:ascii="Times New Roman" w:hAnsi="Times New Roman" w:cs="Times New Roman"/>
          <w:sz w:val="24"/>
          <w:szCs w:val="24"/>
          <w:lang w:val="es-MX"/>
        </w:rPr>
        <w:t xml:space="preserve"> </w:t>
      </w:r>
      <w:r w:rsidRPr="00DF346B">
        <w:rPr>
          <w:rFonts w:ascii="Times New Roman" w:hAnsi="Times New Roman" w:cs="Times New Roman"/>
          <w:sz w:val="24"/>
          <w:szCs w:val="24"/>
          <w:lang w:val="es-MX"/>
        </w:rPr>
        <w:t>optimice su funcionamiento y el cumplimiento de su mandato de forma gradual y progresiva</w:t>
      </w:r>
      <w:r>
        <w:rPr>
          <w:rFonts w:ascii="Times New Roman" w:hAnsi="Times New Roman" w:cs="Times New Roman"/>
          <w:sz w:val="24"/>
          <w:szCs w:val="24"/>
          <w:lang w:val="es-MX"/>
        </w:rPr>
        <w:t xml:space="preserve">. </w:t>
      </w:r>
    </w:p>
    <w:p w14:paraId="496CCB28" w14:textId="77777777" w:rsidR="00DC760F" w:rsidRPr="003858DB" w:rsidRDefault="00DC760F" w:rsidP="00DC760F">
      <w:pPr>
        <w:rPr>
          <w:rFonts w:ascii="Times New Roman" w:hAnsi="Times New Roman" w:cs="Times New Roman"/>
          <w:sz w:val="24"/>
          <w:szCs w:val="24"/>
          <w:lang w:val="es-MX"/>
        </w:rPr>
      </w:pPr>
    </w:p>
    <w:p w14:paraId="6460A81C" w14:textId="6D0EA817" w:rsidR="007E2C5B" w:rsidRDefault="007E2C5B"/>
    <w:sectPr w:rsidR="007E2C5B" w:rsidSect="0090549E">
      <w:headerReference w:type="default" r:id="rId7"/>
      <w:pgSz w:w="12240" w:h="15840" w:code="1"/>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1DAE1" w14:textId="77777777" w:rsidR="00F97539" w:rsidRDefault="00F97539" w:rsidP="00DC760F">
      <w:pPr>
        <w:spacing w:after="0" w:line="240" w:lineRule="auto"/>
      </w:pPr>
      <w:r>
        <w:separator/>
      </w:r>
    </w:p>
  </w:endnote>
  <w:endnote w:type="continuationSeparator" w:id="0">
    <w:p w14:paraId="3CBFFFD6" w14:textId="77777777" w:rsidR="00F97539" w:rsidRDefault="00F97539" w:rsidP="00DC7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D7198" w14:textId="77777777" w:rsidR="00F97539" w:rsidRDefault="00F97539" w:rsidP="00DC760F">
      <w:pPr>
        <w:spacing w:after="0" w:line="240" w:lineRule="auto"/>
      </w:pPr>
      <w:r>
        <w:separator/>
      </w:r>
    </w:p>
  </w:footnote>
  <w:footnote w:type="continuationSeparator" w:id="0">
    <w:p w14:paraId="347B7B27" w14:textId="77777777" w:rsidR="00F97539" w:rsidRDefault="00F97539" w:rsidP="00DC760F">
      <w:pPr>
        <w:spacing w:after="0" w:line="240" w:lineRule="auto"/>
      </w:pPr>
      <w:r>
        <w:continuationSeparator/>
      </w:r>
    </w:p>
  </w:footnote>
  <w:footnote w:id="1">
    <w:p w14:paraId="2C2571F8" w14:textId="77777777" w:rsidR="00DC760F" w:rsidRPr="00192B5F" w:rsidRDefault="00DC760F" w:rsidP="00DC760F">
      <w:pPr>
        <w:pStyle w:val="Textonotapie"/>
        <w:rPr>
          <w:rFonts w:ascii="Times New Roman" w:hAnsi="Times New Roman" w:cs="Times New Roman"/>
          <w:lang w:val="es-ES"/>
        </w:rPr>
      </w:pPr>
      <w:r>
        <w:rPr>
          <w:rStyle w:val="Refdenotaalpie"/>
        </w:rPr>
        <w:footnoteRef/>
      </w:r>
      <w:r>
        <w:rPr>
          <w:rFonts w:ascii="Times New Roman" w:hAnsi="Times New Roman" w:cs="Times New Roman"/>
        </w:rPr>
        <w:t xml:space="preserve">Datos </w:t>
      </w:r>
      <w:proofErr w:type="spellStart"/>
      <w:r>
        <w:rPr>
          <w:rFonts w:ascii="Times New Roman" w:hAnsi="Times New Roman" w:cs="Times New Roman"/>
        </w:rPr>
        <w:t>SiQuejas</w:t>
      </w:r>
      <w:proofErr w:type="spellEnd"/>
      <w:r>
        <w:rPr>
          <w:rFonts w:ascii="Times New Roman" w:hAnsi="Times New Roman" w:cs="Times New Roman"/>
        </w:rPr>
        <w:t xml:space="preserve"> CONADEH 2021-2022</w:t>
      </w:r>
    </w:p>
  </w:footnote>
  <w:footnote w:id="2">
    <w:p w14:paraId="33920971" w14:textId="77777777" w:rsidR="00DC760F" w:rsidRPr="003C19D6" w:rsidRDefault="00DC760F" w:rsidP="00DC760F">
      <w:pPr>
        <w:pStyle w:val="Textonotapie"/>
        <w:jc w:val="both"/>
        <w:rPr>
          <w:lang w:val="es-ES"/>
        </w:rPr>
      </w:pPr>
      <w:r>
        <w:rPr>
          <w:rStyle w:val="Refdenotaalpie"/>
        </w:rPr>
        <w:footnoteRef/>
      </w:r>
      <w:r>
        <w:t xml:space="preserve"> </w:t>
      </w:r>
      <w:r w:rsidRPr="003C19D6">
        <w:rPr>
          <w:rFonts w:ascii="Times New Roman" w:hAnsi="Times New Roman" w:cs="Times New Roman"/>
        </w:rPr>
        <w:t xml:space="preserve">Cfr. Observaciones finales sobre el segundo informe periódico de Honduras, por Comité de Derechos Humanos, CCPR/C/HND/CO/2 (Ginebra, Suiza, 2017) párr. 11; Observaciones finales sobre los informes periódicos séptimo y octavo combinados de Honduras, por Comité para la Eliminación de la </w:t>
      </w:r>
      <w:proofErr w:type="spellStart"/>
      <w:r w:rsidRPr="003C19D6">
        <w:rPr>
          <w:rFonts w:ascii="Times New Roman" w:hAnsi="Times New Roman" w:cs="Times New Roman"/>
        </w:rPr>
        <w:t>Discriminacion</w:t>
      </w:r>
      <w:proofErr w:type="spellEnd"/>
      <w:r w:rsidRPr="003C19D6">
        <w:rPr>
          <w:rFonts w:ascii="Times New Roman" w:hAnsi="Times New Roman" w:cs="Times New Roman"/>
        </w:rPr>
        <w:t xml:space="preserve"> contra la Mujer, CEDAW/C/HND/CO/7-8 (Ginebra, Suiza, 2016) </w:t>
      </w:r>
      <w:proofErr w:type="spellStart"/>
      <w:r w:rsidRPr="003C19D6">
        <w:rPr>
          <w:rFonts w:ascii="Times New Roman" w:hAnsi="Times New Roman" w:cs="Times New Roman"/>
        </w:rPr>
        <w:t>párrs</w:t>
      </w:r>
      <w:proofErr w:type="spellEnd"/>
      <w:r w:rsidRPr="003C19D6">
        <w:rPr>
          <w:rFonts w:ascii="Times New Roman" w:hAnsi="Times New Roman" w:cs="Times New Roman"/>
        </w:rPr>
        <w:t>. 19, 27; Observaciones finales sobre los informes periódicos primero a quinto de Honduras, por Comité para la Eliminación de la Discriminación Racial, CERD/C/HND/CO/1-5 (Ginebra, Suiza, 2014) párr. 21.</w:t>
      </w:r>
    </w:p>
  </w:footnote>
  <w:footnote w:id="3">
    <w:p w14:paraId="0480FF6F" w14:textId="77777777" w:rsidR="00DC760F" w:rsidRPr="00852570" w:rsidRDefault="00DC760F" w:rsidP="00DC760F">
      <w:pPr>
        <w:pStyle w:val="Textonotapie"/>
        <w:rPr>
          <w:lang w:val="es-ES"/>
        </w:rPr>
      </w:pPr>
      <w:r>
        <w:rPr>
          <w:rStyle w:val="Refdenotaalpie"/>
        </w:rPr>
        <w:footnoteRef/>
      </w:r>
      <w:r>
        <w:t xml:space="preserve"> </w:t>
      </w:r>
      <w:r w:rsidRPr="00852570">
        <w:rPr>
          <w:rFonts w:ascii="Times New Roman" w:hAnsi="Times New Roman" w:cs="Times New Roman"/>
          <w:i/>
          <w:iCs/>
        </w:rPr>
        <w:t>La Situación de los Derechos Humanos en Honduras</w:t>
      </w:r>
      <w:r w:rsidRPr="00852570">
        <w:rPr>
          <w:rFonts w:ascii="Times New Roman" w:hAnsi="Times New Roman" w:cs="Times New Roman"/>
        </w:rPr>
        <w:t xml:space="preserve">, </w:t>
      </w:r>
      <w:proofErr w:type="spellStart"/>
      <w:r w:rsidRPr="00852570">
        <w:rPr>
          <w:rFonts w:ascii="Times New Roman" w:hAnsi="Times New Roman" w:cs="Times New Roman"/>
        </w:rPr>
        <w:t>by</w:t>
      </w:r>
      <w:proofErr w:type="spellEnd"/>
      <w:r w:rsidRPr="00852570">
        <w:rPr>
          <w:rFonts w:ascii="Times New Roman" w:hAnsi="Times New Roman" w:cs="Times New Roman"/>
        </w:rPr>
        <w:t xml:space="preserve"> Oficina del Alto Comisionado de las Naciones Unidas para los Derechos Humanos (Honduras: OACNUDH, 2022) </w:t>
      </w:r>
      <w:proofErr w:type="spellStart"/>
      <w:r w:rsidRPr="00852570">
        <w:rPr>
          <w:rFonts w:ascii="Times New Roman" w:hAnsi="Times New Roman" w:cs="Times New Roman"/>
        </w:rPr>
        <w:t>párrs</w:t>
      </w:r>
      <w:proofErr w:type="spellEnd"/>
      <w:r w:rsidRPr="00852570">
        <w:rPr>
          <w:rFonts w:ascii="Times New Roman" w:hAnsi="Times New Roman" w:cs="Times New Roman"/>
        </w:rPr>
        <w:t>. 14.</w:t>
      </w:r>
    </w:p>
  </w:footnote>
  <w:footnote w:id="4">
    <w:p w14:paraId="63D3EE75" w14:textId="77777777" w:rsidR="00DC760F" w:rsidRPr="00192B5F" w:rsidRDefault="00DC760F" w:rsidP="00DC760F">
      <w:pPr>
        <w:pStyle w:val="Textonotapie"/>
        <w:rPr>
          <w:lang w:val="es-ES"/>
        </w:rPr>
      </w:pPr>
      <w:r>
        <w:rPr>
          <w:rStyle w:val="Refdenotaalpie"/>
        </w:rPr>
        <w:footnoteRef/>
      </w:r>
      <w:r>
        <w:t xml:space="preserve"> </w:t>
      </w:r>
      <w:r w:rsidRPr="0028048D">
        <w:rPr>
          <w:rFonts w:ascii="Times New Roman" w:hAnsi="Times New Roman" w:cs="Times New Roman"/>
        </w:rPr>
        <w:t xml:space="preserve">Flavio Pavón, “Foro de mujeres denuncian ante CNE que partidos políticos están pidiéndoles su renuncia cuando fueron electas”, Hoy Mismo (17 agosto 2021), online: Criterio HN, “Denuncian que partidos políticos buscan burlar principios de paridad y alternancia”, </w:t>
      </w:r>
      <w:proofErr w:type="spellStart"/>
      <w:r w:rsidRPr="0028048D">
        <w:rPr>
          <w:rFonts w:ascii="Times New Roman" w:hAnsi="Times New Roman" w:cs="Times New Roman"/>
        </w:rPr>
        <w:t>Cirterio</w:t>
      </w:r>
      <w:proofErr w:type="spellEnd"/>
      <w:r w:rsidRPr="0028048D">
        <w:rPr>
          <w:rFonts w:ascii="Times New Roman" w:hAnsi="Times New Roman" w:cs="Times New Roman"/>
        </w:rPr>
        <w:t xml:space="preserve"> HN (18 agosto 2021), </w:t>
      </w:r>
    </w:p>
  </w:footnote>
  <w:footnote w:id="5">
    <w:p w14:paraId="546FF3FE" w14:textId="77777777" w:rsidR="00DC760F" w:rsidRPr="00192B5F" w:rsidRDefault="00DC760F" w:rsidP="00DC760F">
      <w:pPr>
        <w:pStyle w:val="Textonotapie"/>
        <w:rPr>
          <w:lang w:val="es-ES"/>
        </w:rPr>
      </w:pPr>
      <w:r>
        <w:rPr>
          <w:rStyle w:val="Refdenotaalpie"/>
        </w:rPr>
        <w:footnoteRef/>
      </w:r>
      <w:r w:rsidRPr="00192B5F">
        <w:rPr>
          <w:rFonts w:ascii="Times New Roman" w:hAnsi="Times New Roman" w:cs="Times New Roman"/>
        </w:rPr>
        <w:t xml:space="preserve"> Informe Anual 2021, por CONADEH (CONADEH, 2021) pág. 28-29.</w:t>
      </w:r>
    </w:p>
  </w:footnote>
  <w:footnote w:id="6">
    <w:p w14:paraId="65F029EB" w14:textId="77777777" w:rsidR="00DC760F" w:rsidRPr="00192B5F" w:rsidRDefault="00DC760F" w:rsidP="00DC760F">
      <w:pPr>
        <w:pStyle w:val="Textonotapie"/>
        <w:rPr>
          <w:lang w:val="es-ES"/>
        </w:rPr>
      </w:pPr>
      <w:r>
        <w:rPr>
          <w:rStyle w:val="Refdenotaalpie"/>
        </w:rPr>
        <w:footnoteRef/>
      </w:r>
      <w:r>
        <w:t xml:space="preserve"> </w:t>
      </w:r>
      <w:r w:rsidRPr="00192B5F">
        <w:rPr>
          <w:rFonts w:ascii="Times New Roman" w:hAnsi="Times New Roman" w:cs="Times New Roman"/>
        </w:rPr>
        <w:t>Observación y Supervisión Electoral con Enfoque de Derechos Humanos Informe Especial con Recomendaciones al Estado de Honduras, por CONADEH (Tegucigalpa, Honduras, 2021) pág. 38</w:t>
      </w:r>
    </w:p>
  </w:footnote>
  <w:footnote w:id="7">
    <w:p w14:paraId="4985039F" w14:textId="77777777" w:rsidR="00DC760F" w:rsidRPr="006664A8" w:rsidRDefault="00DC760F" w:rsidP="00DC760F">
      <w:pPr>
        <w:pStyle w:val="Textonotapie"/>
        <w:rPr>
          <w:rFonts w:ascii="Times New Roman" w:hAnsi="Times New Roman" w:cs="Times New Roman"/>
          <w:lang w:val="es-ES"/>
        </w:rPr>
      </w:pPr>
      <w:r>
        <w:rPr>
          <w:rStyle w:val="Refdenotaalpie"/>
        </w:rPr>
        <w:footnoteRef/>
      </w:r>
      <w:r>
        <w:t xml:space="preserve"> </w:t>
      </w:r>
      <w:r>
        <w:rPr>
          <w:rFonts w:ascii="Times New Roman" w:hAnsi="Times New Roman" w:cs="Times New Roman"/>
          <w:lang w:val="es-ES"/>
        </w:rPr>
        <w:t>Decreto No. 192-2020</w:t>
      </w:r>
    </w:p>
  </w:footnote>
  <w:footnote w:id="8">
    <w:p w14:paraId="0EE8D025" w14:textId="77777777" w:rsidR="00DC760F" w:rsidRPr="00AD6AE7" w:rsidRDefault="00DC760F" w:rsidP="00DC760F">
      <w:pPr>
        <w:pStyle w:val="Textonotapie"/>
        <w:rPr>
          <w:rFonts w:ascii="Times New Roman" w:hAnsi="Times New Roman" w:cs="Times New Roman"/>
          <w:lang w:val="es-ES"/>
        </w:rPr>
      </w:pPr>
      <w:r>
        <w:rPr>
          <w:rStyle w:val="Refdenotaalpie"/>
        </w:rPr>
        <w:footnoteRef/>
      </w:r>
      <w:r>
        <w:t xml:space="preserve"> </w:t>
      </w:r>
      <w:r>
        <w:rPr>
          <w:rFonts w:ascii="Times New Roman" w:hAnsi="Times New Roman" w:cs="Times New Roman"/>
          <w:lang w:val="es-ES"/>
        </w:rPr>
        <w:t xml:space="preserve">Sobre proyecto de reforma para incorporar la prohibición absoluta del aborto en el artículo 67 de la Constitución de la República. 15 de enero, 2021. </w:t>
      </w:r>
      <w:hyperlink r:id="rId1" w:history="1">
        <w:r w:rsidRPr="00050112">
          <w:rPr>
            <w:rStyle w:val="Hipervnculo"/>
            <w:rFonts w:ascii="Times New Roman" w:hAnsi="Times New Roman" w:cs="Times New Roman"/>
            <w:lang w:val="es-ES"/>
          </w:rPr>
          <w:t>https://www.conadeh.hn/recomendacion-del-conadeh/</w:t>
        </w:r>
      </w:hyperlink>
      <w:r>
        <w:rPr>
          <w:rFonts w:ascii="Times New Roman" w:hAnsi="Times New Roman" w:cs="Times New Roman"/>
          <w:lang w:val="es-ES"/>
        </w:rPr>
        <w:t xml:space="preserve"> </w:t>
      </w:r>
    </w:p>
  </w:footnote>
  <w:footnote w:id="9">
    <w:p w14:paraId="1485C5B4" w14:textId="77777777" w:rsidR="00DC760F" w:rsidRPr="00A64C38" w:rsidRDefault="00DC760F" w:rsidP="00DC760F">
      <w:pPr>
        <w:pStyle w:val="Textonotapie"/>
        <w:jc w:val="both"/>
        <w:rPr>
          <w:rFonts w:ascii="Times New Roman" w:hAnsi="Times New Roman" w:cs="Times New Roman"/>
          <w:lang w:val="es-ES"/>
        </w:rPr>
      </w:pPr>
      <w:r w:rsidRPr="00A64C38">
        <w:rPr>
          <w:rStyle w:val="Refdenotaalpie"/>
          <w:rFonts w:ascii="Times New Roman" w:hAnsi="Times New Roman" w:cs="Times New Roman"/>
        </w:rPr>
        <w:footnoteRef/>
      </w:r>
      <w:r w:rsidRPr="00A64C38">
        <w:rPr>
          <w:rFonts w:ascii="Times New Roman" w:hAnsi="Times New Roman" w:cs="Times New Roman"/>
        </w:rPr>
        <w:t xml:space="preserve"> Comité de Derechos Humanos, Observaciones finales para Cabo Verde, Documento ONU CCPR/C/CPV/CO/1 (2012), párr. 8</w:t>
      </w:r>
    </w:p>
  </w:footnote>
  <w:footnote w:id="10">
    <w:p w14:paraId="6AFE4EF3" w14:textId="77777777" w:rsidR="00DC760F" w:rsidRPr="00CC2D12" w:rsidRDefault="00DC760F" w:rsidP="00DC760F">
      <w:pPr>
        <w:pStyle w:val="Textonotapie"/>
        <w:jc w:val="both"/>
        <w:rPr>
          <w:rFonts w:ascii="Times New Roman" w:hAnsi="Times New Roman" w:cs="Times New Roman"/>
        </w:rPr>
      </w:pPr>
      <w:r w:rsidRPr="00CC2D12">
        <w:rPr>
          <w:rStyle w:val="Refdenotaalpie"/>
          <w:rFonts w:ascii="Times New Roman" w:hAnsi="Times New Roman" w:cs="Times New Roman"/>
        </w:rPr>
        <w:footnoteRef/>
      </w:r>
      <w:r w:rsidRPr="00CC2D12">
        <w:rPr>
          <w:rFonts w:ascii="Times New Roman" w:hAnsi="Times New Roman" w:cs="Times New Roman"/>
        </w:rPr>
        <w:t xml:space="preserve"> Comité CEDAW, Observaciones finales, Recomendación 37, </w:t>
      </w:r>
      <w:r w:rsidRPr="00CC2D12">
        <w:rPr>
          <w:rStyle w:val="markedcontent"/>
          <w:rFonts w:ascii="Times New Roman" w:hAnsi="Times New Roman" w:cs="Times New Roman"/>
        </w:rPr>
        <w:t>de la Convención sobre la eliminación de todas las formas de discriminación contra la mujer.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A1D6" w14:textId="77777777" w:rsidR="00774F33" w:rsidRDefault="00000000" w:rsidP="002F1F66">
    <w:pPr>
      <w:pStyle w:val="Encabezado"/>
      <w:tabs>
        <w:tab w:val="clear" w:pos="4252"/>
        <w:tab w:val="clear" w:pos="8504"/>
        <w:tab w:val="left" w:pos="7384"/>
      </w:tabs>
    </w:pPr>
    <w:r>
      <w:rPr>
        <w:noProof/>
      </w:rPr>
      <w:drawing>
        <wp:anchor distT="0" distB="0" distL="114300" distR="114300" simplePos="0" relativeHeight="251659264" behindDoc="0" locked="0" layoutInCell="1" allowOverlap="1" wp14:anchorId="63710EE8" wp14:editId="0355C6DB">
          <wp:simplePos x="0" y="0"/>
          <wp:positionH relativeFrom="margin">
            <wp:align>right</wp:align>
          </wp:positionH>
          <wp:positionV relativeFrom="paragraph">
            <wp:posOffset>-321650</wp:posOffset>
          </wp:positionV>
          <wp:extent cx="1222375" cy="9220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222375" cy="922020"/>
                  </a:xfrm>
                  <a:prstGeom prst="rect">
                    <a:avLst/>
                  </a:prstGeom>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7B22"/>
    <w:multiLevelType w:val="hybridMultilevel"/>
    <w:tmpl w:val="F9524798"/>
    <w:lvl w:ilvl="0" w:tplc="D9F4F1EE">
      <w:start w:val="1"/>
      <w:numFmt w:val="decimal"/>
      <w:lvlText w:val="%1."/>
      <w:lvlJc w:val="left"/>
      <w:pPr>
        <w:ind w:left="36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16cid:durableId="213543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60F"/>
    <w:rsid w:val="007E2C5B"/>
    <w:rsid w:val="00873540"/>
    <w:rsid w:val="00AA3E0D"/>
    <w:rsid w:val="00DC760F"/>
    <w:rsid w:val="00F97539"/>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FEEE"/>
  <w15:chartTrackingRefBased/>
  <w15:docId w15:val="{50E90A83-DC54-441E-8C97-C7135FEB6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60F"/>
    <w:pPr>
      <w:spacing w:after="200" w:line="276" w:lineRule="auto"/>
    </w:pPr>
  </w:style>
  <w:style w:type="paragraph" w:styleId="Ttulo1">
    <w:name w:val="heading 1"/>
    <w:basedOn w:val="Normal"/>
    <w:next w:val="Normal"/>
    <w:link w:val="Ttulo1Car"/>
    <w:uiPriority w:val="9"/>
    <w:qFormat/>
    <w:rsid w:val="00DC760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DC76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C760F"/>
    <w:rPr>
      <w:color w:val="0563C1"/>
      <w:u w:val="single"/>
    </w:rPr>
  </w:style>
  <w:style w:type="character" w:customStyle="1" w:styleId="Ttulo1Car">
    <w:name w:val="Título 1 Car"/>
    <w:basedOn w:val="Fuentedeprrafopredeter"/>
    <w:link w:val="Ttulo1"/>
    <w:uiPriority w:val="9"/>
    <w:rsid w:val="00DC760F"/>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rsid w:val="00DC760F"/>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DC760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C760F"/>
  </w:style>
  <w:style w:type="paragraph" w:styleId="Textonotapie">
    <w:name w:val="footnote text"/>
    <w:aliases w:val="Ref. de nota al pie1,Footnotes refss,Appel note de bas de page,Footnote number,BVI fnr,f,4_G,16 Point,Superscript 6 Point,Texto nota al pie,Footnote Reference Char3,Footnote Reference Char1 Char,Footnote symbol,Texto de nota al pie"/>
    <w:basedOn w:val="Normal"/>
    <w:link w:val="TextonotapieCar"/>
    <w:uiPriority w:val="99"/>
    <w:unhideWhenUsed/>
    <w:qFormat/>
    <w:rsid w:val="00DC760F"/>
    <w:pPr>
      <w:spacing w:after="0" w:line="240" w:lineRule="auto"/>
    </w:pPr>
    <w:rPr>
      <w:sz w:val="20"/>
      <w:szCs w:val="20"/>
    </w:rPr>
  </w:style>
  <w:style w:type="character" w:customStyle="1" w:styleId="TextonotapieCar">
    <w:name w:val="Texto nota pie Car"/>
    <w:aliases w:val="Ref. de nota al pie1 Car,Footnotes refss Car,Appel note de bas de page Car,Footnote number Car,BVI fnr Car,f Car,4_G Car,16 Point Car,Superscript 6 Point Car,Texto nota al pie Car,Footnote Reference Char3 Car,Footnote symbol Car"/>
    <w:basedOn w:val="Fuentedeprrafopredeter"/>
    <w:link w:val="Textonotapie"/>
    <w:uiPriority w:val="99"/>
    <w:rsid w:val="00DC760F"/>
    <w:rPr>
      <w:sz w:val="20"/>
      <w:szCs w:val="20"/>
    </w:rPr>
  </w:style>
  <w:style w:type="character" w:styleId="Refdenotaalpie">
    <w:name w:val="footnote reference"/>
    <w:aliases w:val="referencia nota al pie,Fago Fußnotenzeichen,Ref. de nota al pie 2,Texto nota pie Car2,Footnote Text Char Char Char Char Char Car1,Footnote Text Char Char Char Char Car1"/>
    <w:basedOn w:val="Fuentedeprrafopredeter"/>
    <w:uiPriority w:val="99"/>
    <w:unhideWhenUsed/>
    <w:qFormat/>
    <w:rsid w:val="00DC760F"/>
    <w:rPr>
      <w:vertAlign w:val="superscript"/>
    </w:rPr>
  </w:style>
  <w:style w:type="character" w:customStyle="1" w:styleId="markedcontent">
    <w:name w:val="markedcontent"/>
    <w:basedOn w:val="Fuentedeprrafopredeter"/>
    <w:rsid w:val="00DC760F"/>
  </w:style>
  <w:style w:type="paragraph" w:styleId="Prrafodelista">
    <w:name w:val="List Paragraph"/>
    <w:basedOn w:val="Normal"/>
    <w:uiPriority w:val="34"/>
    <w:qFormat/>
    <w:rsid w:val="00DC760F"/>
    <w:pPr>
      <w:spacing w:after="160" w:line="259" w:lineRule="auto"/>
      <w:ind w:left="720"/>
      <w:contextualSpacing/>
    </w:pPr>
    <w:rPr>
      <w:lang w:val="es-US"/>
    </w:rPr>
  </w:style>
  <w:style w:type="character" w:styleId="Refdecomentario">
    <w:name w:val="annotation reference"/>
    <w:basedOn w:val="Fuentedeprrafopredeter"/>
    <w:uiPriority w:val="99"/>
    <w:semiHidden/>
    <w:unhideWhenUsed/>
    <w:rsid w:val="00DC760F"/>
    <w:rPr>
      <w:sz w:val="16"/>
      <w:szCs w:val="16"/>
    </w:rPr>
  </w:style>
  <w:style w:type="paragraph" w:styleId="Textocomentario">
    <w:name w:val="annotation text"/>
    <w:basedOn w:val="Normal"/>
    <w:link w:val="TextocomentarioCar"/>
    <w:uiPriority w:val="99"/>
    <w:unhideWhenUsed/>
    <w:rsid w:val="00DC760F"/>
    <w:pPr>
      <w:spacing w:line="240" w:lineRule="auto"/>
    </w:pPr>
    <w:rPr>
      <w:sz w:val="20"/>
      <w:szCs w:val="20"/>
    </w:rPr>
  </w:style>
  <w:style w:type="character" w:customStyle="1" w:styleId="TextocomentarioCar">
    <w:name w:val="Texto comentario Car"/>
    <w:basedOn w:val="Fuentedeprrafopredeter"/>
    <w:link w:val="Textocomentario"/>
    <w:uiPriority w:val="99"/>
    <w:rsid w:val="00DC760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onadeh.hn/recomendacion-del-conade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D51EC-13F0-40AA-BCF1-4A508E031438}"/>
</file>

<file path=customXml/itemProps2.xml><?xml version="1.0" encoding="utf-8"?>
<ds:datastoreItem xmlns:ds="http://schemas.openxmlformats.org/officeDocument/2006/customXml" ds:itemID="{2DADE9F8-7A2E-49A5-99C0-0EBCAC741740}"/>
</file>

<file path=customXml/itemProps3.xml><?xml version="1.0" encoding="utf-8"?>
<ds:datastoreItem xmlns:ds="http://schemas.openxmlformats.org/officeDocument/2006/customXml" ds:itemID="{5D50E2F3-253B-4730-BEBE-53051AB6C5CE}"/>
</file>

<file path=docProps/app.xml><?xml version="1.0" encoding="utf-8"?>
<Properties xmlns="http://schemas.openxmlformats.org/officeDocument/2006/extended-properties" xmlns:vt="http://schemas.openxmlformats.org/officeDocument/2006/docPropsVTypes">
  <Template>Normal</Template>
  <TotalTime>2</TotalTime>
  <Pages>10</Pages>
  <Words>2932</Words>
  <Characters>16127</Characters>
  <Application>Microsoft Office Word</Application>
  <DocSecurity>0</DocSecurity>
  <Lines>134</Lines>
  <Paragraphs>38</Paragraphs>
  <ScaleCrop>false</ScaleCrop>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Galvez</dc:creator>
  <cp:keywords/>
  <dc:description/>
  <cp:lastModifiedBy>Maria José Galvez</cp:lastModifiedBy>
  <cp:revision>2</cp:revision>
  <dcterms:created xsi:type="dcterms:W3CDTF">2022-09-12T21:43:00Z</dcterms:created>
  <dcterms:modified xsi:type="dcterms:W3CDTF">2022-09-12T21:54:00Z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