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7441A" w14:paraId="46D13C3E" w14:textId="77777777">
        <w:trPr>
          <w:cantSplit/>
          <w:trHeight w:hRule="exact" w:val="851"/>
        </w:trPr>
        <w:tc>
          <w:tcPr>
            <w:tcW w:w="1276" w:type="dxa"/>
            <w:tcBorders>
              <w:bottom w:val="single" w:sz="4" w:space="0" w:color="auto"/>
            </w:tcBorders>
            <w:vAlign w:val="bottom"/>
          </w:tcPr>
          <w:p w14:paraId="7248529E" w14:textId="77777777" w:rsidR="00F52D57" w:rsidRDefault="00F52D57">
            <w:pPr>
              <w:spacing w:after="80"/>
            </w:pPr>
          </w:p>
        </w:tc>
        <w:tc>
          <w:tcPr>
            <w:tcW w:w="2268" w:type="dxa"/>
            <w:tcBorders>
              <w:bottom w:val="single" w:sz="4" w:space="0" w:color="auto"/>
            </w:tcBorders>
            <w:vAlign w:val="bottom"/>
          </w:tcPr>
          <w:p w14:paraId="5B966611" w14:textId="62E92C3E" w:rsidR="00F52D57" w:rsidRDefault="00F52D57">
            <w:pPr>
              <w:spacing w:after="80" w:line="300" w:lineRule="exact"/>
              <w:rPr>
                <w:b/>
                <w:sz w:val="24"/>
                <w:szCs w:val="24"/>
              </w:rPr>
            </w:pPr>
          </w:p>
        </w:tc>
        <w:tc>
          <w:tcPr>
            <w:tcW w:w="6095" w:type="dxa"/>
            <w:gridSpan w:val="2"/>
            <w:tcBorders>
              <w:bottom w:val="single" w:sz="4" w:space="0" w:color="auto"/>
            </w:tcBorders>
            <w:vAlign w:val="bottom"/>
          </w:tcPr>
          <w:p w14:paraId="33D67EF5" w14:textId="77777777" w:rsidR="00F52D57" w:rsidRDefault="00506FF2">
            <w:pPr>
              <w:suppressAutoHyphens w:val="0"/>
              <w:spacing w:after="20"/>
              <w:jc w:val="right"/>
            </w:pPr>
            <w:r>
              <w:rPr>
                <w:sz w:val="40"/>
              </w:rPr>
              <w:t>CEDAW</w:t>
            </w:r>
            <w:r>
              <w:t>/C/COK/RQ/4-5</w:t>
            </w:r>
          </w:p>
        </w:tc>
      </w:tr>
      <w:tr w:rsidR="00C7441A" w14:paraId="2AF7343A" w14:textId="77777777">
        <w:trPr>
          <w:cantSplit/>
          <w:trHeight w:hRule="exact" w:val="2835"/>
        </w:trPr>
        <w:tc>
          <w:tcPr>
            <w:tcW w:w="1276" w:type="dxa"/>
            <w:tcBorders>
              <w:top w:val="single" w:sz="4" w:space="0" w:color="auto"/>
              <w:bottom w:val="single" w:sz="12" w:space="0" w:color="auto"/>
            </w:tcBorders>
          </w:tcPr>
          <w:p w14:paraId="6400FC0D" w14:textId="265320E4" w:rsidR="00F52D57" w:rsidRDefault="00F52D57">
            <w:pPr>
              <w:spacing w:before="120"/>
              <w:jc w:val="center"/>
            </w:pPr>
          </w:p>
        </w:tc>
        <w:tc>
          <w:tcPr>
            <w:tcW w:w="5528" w:type="dxa"/>
            <w:gridSpan w:val="2"/>
            <w:tcBorders>
              <w:top w:val="single" w:sz="4" w:space="0" w:color="auto"/>
              <w:bottom w:val="single" w:sz="12" w:space="0" w:color="auto"/>
            </w:tcBorders>
          </w:tcPr>
          <w:p w14:paraId="14D25D49" w14:textId="443612DD" w:rsidR="00F52D57" w:rsidRDefault="00343985">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55175D6" w14:textId="77777777" w:rsidR="00F52D57" w:rsidRPr="0013127A" w:rsidRDefault="00506FF2">
            <w:pPr>
              <w:suppressAutoHyphens w:val="0"/>
              <w:spacing w:before="240" w:line="240" w:lineRule="exact"/>
              <w:rPr>
                <w:lang w:val="en-US"/>
              </w:rPr>
            </w:pPr>
            <w:r w:rsidRPr="0013127A">
              <w:rPr>
                <w:lang w:val="en-US"/>
              </w:rPr>
              <w:t>Distr.: General</w:t>
            </w:r>
          </w:p>
          <w:p w14:paraId="0122750D" w14:textId="737DCFD9" w:rsidR="00F52D57" w:rsidRPr="0013127A" w:rsidRDefault="002750DE">
            <w:pPr>
              <w:suppressAutoHyphens w:val="0"/>
              <w:rPr>
                <w:lang w:val="en-US"/>
              </w:rPr>
            </w:pPr>
            <w:r>
              <w:rPr>
                <w:lang w:val="en-US"/>
              </w:rPr>
              <w:t>2</w:t>
            </w:r>
            <w:r w:rsidR="00446929">
              <w:rPr>
                <w:lang w:val="en-US"/>
              </w:rPr>
              <w:t>2</w:t>
            </w:r>
            <w:r w:rsidR="00554397" w:rsidRPr="0013127A">
              <w:rPr>
                <w:lang w:val="en-US"/>
              </w:rPr>
              <w:t xml:space="preserve"> July 2026</w:t>
            </w:r>
          </w:p>
          <w:p w14:paraId="21F13330" w14:textId="77777777" w:rsidR="00F52D57" w:rsidRPr="0013127A" w:rsidRDefault="00F52D57">
            <w:pPr>
              <w:suppressAutoHyphens w:val="0"/>
              <w:rPr>
                <w:lang w:val="en-US"/>
              </w:rPr>
            </w:pPr>
          </w:p>
          <w:p w14:paraId="3D458C82" w14:textId="77777777" w:rsidR="00F52D57" w:rsidRPr="0013127A" w:rsidRDefault="00506FF2">
            <w:pPr>
              <w:suppressAutoHyphens w:val="0"/>
              <w:rPr>
                <w:lang w:val="en-US"/>
              </w:rPr>
            </w:pPr>
            <w:r w:rsidRPr="0013127A">
              <w:rPr>
                <w:lang w:val="en-US"/>
              </w:rPr>
              <w:t>Original: English</w:t>
            </w:r>
          </w:p>
          <w:p w14:paraId="302C34ED" w14:textId="77777777" w:rsidR="00F52D57" w:rsidRDefault="00554397">
            <w:pPr>
              <w:suppressAutoHyphens w:val="0"/>
            </w:pPr>
            <w:r>
              <w:t>English, French and Spanish only</w:t>
            </w:r>
          </w:p>
        </w:tc>
      </w:tr>
    </w:tbl>
    <w:p w14:paraId="689B5D86" w14:textId="77777777" w:rsidR="00F52D57" w:rsidRDefault="00506FF2">
      <w:pPr>
        <w:spacing w:before="120"/>
        <w:rPr>
          <w:b/>
          <w:sz w:val="24"/>
          <w:szCs w:val="24"/>
        </w:rPr>
      </w:pPr>
      <w:r>
        <w:rPr>
          <w:b/>
          <w:sz w:val="24"/>
          <w:szCs w:val="24"/>
        </w:rPr>
        <w:t xml:space="preserve">Committee on the Elimination of Discrimination </w:t>
      </w:r>
      <w:r>
        <w:rPr>
          <w:b/>
          <w:sz w:val="24"/>
          <w:szCs w:val="24"/>
        </w:rPr>
        <w:br/>
        <w:t>against Women</w:t>
      </w:r>
    </w:p>
    <w:p w14:paraId="2B5FD052" w14:textId="77777777" w:rsidR="00F52D57" w:rsidRDefault="00506FF2">
      <w:pPr>
        <w:rPr>
          <w:b/>
        </w:rPr>
      </w:pPr>
      <w:r>
        <w:rPr>
          <w:b/>
        </w:rPr>
        <w:t>Ninety-third session</w:t>
      </w:r>
    </w:p>
    <w:p w14:paraId="15C7B02F" w14:textId="0A55ED0A" w:rsidR="00F52D57" w:rsidRDefault="0013127A">
      <w:r>
        <w:t xml:space="preserve">Geneva, </w:t>
      </w:r>
      <w:r w:rsidR="00554397">
        <w:t>5-30 October 2026</w:t>
      </w:r>
    </w:p>
    <w:p w14:paraId="38B66C50" w14:textId="01137119" w:rsidR="00F52D57" w:rsidRDefault="00506FF2">
      <w:pPr>
        <w:rPr>
          <w:b/>
          <w:bCs/>
          <w:sz w:val="24"/>
        </w:rPr>
      </w:pPr>
      <w:r>
        <w:rPr>
          <w:b/>
        </w:rPr>
        <w:t xml:space="preserve">Consideration of reports submitted by States parties under </w:t>
      </w:r>
      <w:r w:rsidR="0033555A">
        <w:rPr>
          <w:b/>
        </w:rPr>
        <w:br/>
      </w:r>
      <w:r>
        <w:rPr>
          <w:b/>
        </w:rPr>
        <w:t xml:space="preserve">article 18 of the Convention on the Elimination of All Forms </w:t>
      </w:r>
      <w:r w:rsidR="00305AFE">
        <w:rPr>
          <w:b/>
        </w:rPr>
        <w:br/>
      </w:r>
      <w:r>
        <w:rPr>
          <w:b/>
        </w:rPr>
        <w:t>of Discrimination against Women</w:t>
      </w:r>
    </w:p>
    <w:p w14:paraId="49661C6B" w14:textId="5C348E7B" w:rsidR="00F52D57" w:rsidRDefault="00506FF2" w:rsidP="00B1277C">
      <w:pPr>
        <w:pStyle w:val="HMG"/>
      </w:pPr>
      <w:r>
        <w:tab/>
      </w:r>
      <w:r>
        <w:tab/>
        <w:t>Replies of the Cook Islands to the list of issues</w:t>
      </w:r>
      <w:r w:rsidR="00BC54B6">
        <w:t xml:space="preserve"> and questions in relation to its </w:t>
      </w:r>
      <w:r w:rsidR="00305AFE">
        <w:t>combined fourth and fifth periodic reports</w:t>
      </w:r>
      <w:r>
        <w:rPr>
          <w:rStyle w:val="FootnoteReference"/>
          <w:b w:val="0"/>
          <w:sz w:val="20"/>
          <w:vertAlign w:val="baseline"/>
        </w:rPr>
        <w:footnoteReference w:customMarkFollows="1" w:id="2"/>
        <w:t>*</w:t>
      </w:r>
    </w:p>
    <w:p w14:paraId="6D5D092A" w14:textId="54171A98" w:rsidR="00F52D57" w:rsidRDefault="00506FF2">
      <w:pPr>
        <w:pStyle w:val="SingleTxtG"/>
        <w:jc w:val="right"/>
      </w:pPr>
      <w:r>
        <w:t xml:space="preserve">[Date received: </w:t>
      </w:r>
      <w:r w:rsidR="002750DE">
        <w:t>18 July 2026</w:t>
      </w:r>
      <w:r>
        <w:t>]</w:t>
      </w:r>
    </w:p>
    <w:p w14:paraId="0F30DBDE" w14:textId="39165E9B" w:rsidR="00F84C39" w:rsidRDefault="00F84C39">
      <w:pPr>
        <w:suppressAutoHyphens w:val="0"/>
        <w:spacing w:after="200" w:line="276" w:lineRule="auto"/>
        <w:rPr>
          <w:rFonts w:eastAsiaTheme="minorHAnsi"/>
          <w:color w:val="0000FF"/>
        </w:rPr>
      </w:pPr>
      <w:r>
        <w:rPr>
          <w:color w:val="0000FF"/>
        </w:rPr>
        <w:br w:type="page"/>
      </w:r>
    </w:p>
    <w:p w14:paraId="33BE3B5C" w14:textId="0303B9CC" w:rsidR="00F84C39" w:rsidRPr="00446929" w:rsidRDefault="004F5EF4" w:rsidP="004F5EF4">
      <w:pPr>
        <w:pStyle w:val="H1G"/>
        <w:rPr>
          <w:lang w:val="en-US"/>
        </w:rPr>
      </w:pPr>
      <w:r w:rsidRPr="00446929">
        <w:rPr>
          <w:lang w:val="en-US"/>
        </w:rPr>
        <w:lastRenderedPageBreak/>
        <w:tab/>
      </w:r>
      <w:r w:rsidRPr="00446929">
        <w:rPr>
          <w:lang w:val="en-US"/>
        </w:rPr>
        <w:tab/>
      </w:r>
      <w:r w:rsidR="00F84C39" w:rsidRPr="00446929">
        <w:rPr>
          <w:lang w:val="en-US"/>
        </w:rPr>
        <w:t>General</w:t>
      </w:r>
    </w:p>
    <w:p w14:paraId="654C9B1D" w14:textId="22B65792" w:rsidR="002750DE" w:rsidRPr="002750DE" w:rsidRDefault="004F5EF4" w:rsidP="004F5EF4">
      <w:pPr>
        <w:pStyle w:val="H23G"/>
        <w:rPr>
          <w:lang w:val="en-US"/>
        </w:rPr>
      </w:pPr>
      <w:r>
        <w:rPr>
          <w:lang w:val="en-US"/>
        </w:rPr>
        <w:tab/>
      </w:r>
      <w:r>
        <w:rPr>
          <w:lang w:val="en-US"/>
        </w:rPr>
        <w:tab/>
      </w:r>
      <w:r w:rsidR="002750DE" w:rsidRPr="002750DE">
        <w:rPr>
          <w:lang w:val="en-US"/>
        </w:rPr>
        <w:t>Reply to paragraph 1</w:t>
      </w:r>
    </w:p>
    <w:p w14:paraId="65773E98" w14:textId="49A417F1" w:rsidR="00F84C39" w:rsidRPr="00F84C39" w:rsidRDefault="00F84C39" w:rsidP="002750DE">
      <w:pPr>
        <w:pStyle w:val="SingleTxtG"/>
        <w:numPr>
          <w:ilvl w:val="0"/>
          <w:numId w:val="24"/>
        </w:numPr>
        <w:ind w:left="1134" w:firstLine="0"/>
        <w:rPr>
          <w:lang w:val="en-US"/>
        </w:rPr>
      </w:pPr>
      <w:r w:rsidRPr="00F84C39">
        <w:rPr>
          <w:lang w:val="en-US"/>
        </w:rPr>
        <w:t xml:space="preserve">The Cook Islands recognises that reliable, regularly updated and intersectional data are essential for monitoring implementation of the Convention, identifying disadvantaged groups of women and girls, and informing gender equality policies and programmes. The main source is the five-yearly Census of Population and Dwellings (2021), currently being updated in 2026, supported by the Household Income and Expenditure Survey (2015–2016), also being renewed in 2026, the Labour Force Survey (2023–2024), health surveys, and administrative data from government agencies and civil society organisations. </w:t>
      </w:r>
    </w:p>
    <w:p w14:paraId="2AA949AD" w14:textId="414FD136" w:rsidR="00F84C39" w:rsidRDefault="00705ED9" w:rsidP="002750DE">
      <w:pPr>
        <w:pStyle w:val="SingleTxtG"/>
        <w:numPr>
          <w:ilvl w:val="0"/>
          <w:numId w:val="24"/>
        </w:numPr>
        <w:ind w:left="1134" w:firstLine="0"/>
        <w:rPr>
          <w:lang w:val="en-US"/>
        </w:rPr>
      </w:pPr>
      <w:r>
        <w:t xml:space="preserve">The 2021 Census recorded 14,987 residents: 7,618 females and 7,369 males. This included 1,813 girls under 15 and 1,301 women aged 60 and over. Of all females, 5,594 lived in Rarotonga, 1,520 in the Southern Group and 504 in the Northern Group. </w:t>
      </w:r>
    </w:p>
    <w:p w14:paraId="6BCAC1C7" w14:textId="77777777" w:rsidR="00705ED9" w:rsidRPr="00705ED9" w:rsidRDefault="00705ED9" w:rsidP="002750DE">
      <w:pPr>
        <w:pStyle w:val="SingleTxtG"/>
        <w:numPr>
          <w:ilvl w:val="0"/>
          <w:numId w:val="24"/>
        </w:numPr>
        <w:ind w:left="1134" w:firstLine="0"/>
        <w:rPr>
          <w:lang w:val="en-US"/>
        </w:rPr>
      </w:pPr>
      <w:r>
        <w:t>Census data is disaggregated by sex, age, location, nationality, ethnicity, education, employment, income and disability. Using the Washington Group questions, 432 females aged five and over were identified with a disability: 274 in Rarotonga, 147 in the Southern Group and 11 in the Northern Group.</w:t>
      </w:r>
    </w:p>
    <w:p w14:paraId="28BE6424" w14:textId="33A20713" w:rsidR="00F84C39" w:rsidRPr="00F84C39" w:rsidRDefault="00F84C39" w:rsidP="002750DE">
      <w:pPr>
        <w:pStyle w:val="SingleTxtG"/>
        <w:numPr>
          <w:ilvl w:val="0"/>
          <w:numId w:val="24"/>
        </w:numPr>
        <w:ind w:left="1134" w:firstLine="0"/>
        <w:rPr>
          <w:lang w:val="en-US"/>
        </w:rPr>
      </w:pPr>
      <w:r w:rsidRPr="00F84C39">
        <w:rPr>
          <w:lang w:val="en-US"/>
        </w:rPr>
        <w:t xml:space="preserve">Nationality and ethnicity data are also disaggregated by sex. In 2021, the resident population included 13,257 New Zealand, 232 Australian, 519 Fijian, 422 Filipino, 220 other Pacific, and 111 Indonesian nationals, with smaller numbers from other groups. Female nationals included 6,828 New Zealanders, 109 Australians, 29 French, 228 Fijians, 97 from other Pacific countries, 215 Filipinos and 31 Indonesians. The Census also recorded 11,603 Cook Islands Māori, 1,246 part Cook Islands Māori and 2,138 people of other ethnic origins, further disaggregated by geographic location.  </w:t>
      </w:r>
    </w:p>
    <w:p w14:paraId="2B147493" w14:textId="7B09867E" w:rsidR="00F84C39" w:rsidRPr="00F84C39" w:rsidRDefault="00705ED9" w:rsidP="002750DE">
      <w:pPr>
        <w:pStyle w:val="SingleTxtG"/>
        <w:numPr>
          <w:ilvl w:val="0"/>
          <w:numId w:val="24"/>
        </w:numPr>
        <w:ind w:left="1134" w:firstLine="0"/>
        <w:rPr>
          <w:lang w:val="en-US"/>
        </w:rPr>
      </w:pPr>
      <w:r>
        <w:t xml:space="preserve">The 2021 Census identified continuing socioeconomic differences. Women’s labour-force participation was 64.29 per cent, compared with 72.16 per cent for men, and their average annual income was NZD 18,348, compared with NZD 20,209. Women also represented 2,073 of the 3,580 people outside the labour force and 735 of the 1,006 people mainly engaged in home duties, highlighting inequalities in employment, income and unpaid care responsibilities. </w:t>
      </w:r>
      <w:r w:rsidR="00F84C39" w:rsidRPr="00F84C39">
        <w:rPr>
          <w:lang w:val="en-US"/>
        </w:rPr>
        <w:t xml:space="preserve">These data assist the Government in examining women’s economic participation, care responsibilities and gender income inequalities. </w:t>
      </w:r>
    </w:p>
    <w:p w14:paraId="4AC8E76B" w14:textId="4D894FEF" w:rsidR="00F84C39" w:rsidRPr="00F84C39" w:rsidRDefault="00F84C39" w:rsidP="002750DE">
      <w:pPr>
        <w:pStyle w:val="SingleTxtG"/>
        <w:numPr>
          <w:ilvl w:val="0"/>
          <w:numId w:val="24"/>
        </w:numPr>
        <w:ind w:left="1134" w:firstLine="0"/>
        <w:rPr>
          <w:lang w:val="en-US"/>
        </w:rPr>
      </w:pPr>
      <w:r w:rsidRPr="00F84C39">
        <w:rPr>
          <w:lang w:val="en-US"/>
        </w:rPr>
        <w:t>Socio-economic information is collected through the Census and the Household Income and Expenditure Survey (HIES). The 2025-2026 Household Income and Expenditure Survey (replacing the 2015-2016 HIES) is currently collecting information on household income, wages, business earnings, pensions, remittances, expenditure, consumption and living standards. Results will provide updated information for assessing economic vulnerability, household composition and inequalities affecting women and girls, including differences between Rarotonga and the Pa Enua.</w:t>
      </w:r>
    </w:p>
    <w:p w14:paraId="1862E0AB" w14:textId="3D012679" w:rsidR="00F84C39" w:rsidRPr="00705ED9" w:rsidRDefault="00F84C39" w:rsidP="00FD544D">
      <w:pPr>
        <w:pStyle w:val="SingleTxtG"/>
        <w:numPr>
          <w:ilvl w:val="0"/>
          <w:numId w:val="24"/>
        </w:numPr>
        <w:ind w:left="1134" w:firstLine="0"/>
        <w:rPr>
          <w:lang w:val="fr-CA"/>
        </w:rPr>
      </w:pPr>
      <w:r w:rsidRPr="00705ED9">
        <w:rPr>
          <w:lang w:val="en-US"/>
        </w:rPr>
        <w:t xml:space="preserve">The State party acknowledges </w:t>
      </w:r>
      <w:r w:rsidR="00705ED9">
        <w:rPr>
          <w:lang w:val="en-US"/>
        </w:rPr>
        <w:t>e</w:t>
      </w:r>
      <w:r w:rsidR="00705ED9">
        <w:t>xisting health, education, employment, welfare, police and justice data cannot always be consistently disaggregated because agencies use different definitions and systems.</w:t>
      </w:r>
      <w:r w:rsidRPr="00705ED9">
        <w:rPr>
          <w:lang w:val="en-US"/>
        </w:rPr>
        <w:t xml:space="preserve"> Information on minority groups, migrant women, women with disabilities and women living in the smaller Pa Enua are incomplete and/or dispersed across agencies. To address these limitations, the Government is currently developing an inter-agency data-sharing agreement. The agreement will establish a secure framework through which government agencies can share appropriate administrative data, while protecting privacy, confidentiality and data security. </w:t>
      </w:r>
      <w:r w:rsidRPr="00705ED9">
        <w:rPr>
          <w:lang w:val="fr-CA"/>
        </w:rPr>
        <w:t>It is expected to:</w:t>
      </w:r>
    </w:p>
    <w:p w14:paraId="2451D012" w14:textId="30C133D2" w:rsidR="00F84C39" w:rsidRPr="002750DE" w:rsidRDefault="002750DE" w:rsidP="002750DE">
      <w:pPr>
        <w:pStyle w:val="Bullet1G"/>
      </w:pPr>
      <w:r>
        <w:t>I</w:t>
      </w:r>
      <w:r w:rsidR="00F84C39" w:rsidRPr="002750DE">
        <w:t xml:space="preserve">mprove inter-agencies coordination and reduce duplication in data collection; </w:t>
      </w:r>
    </w:p>
    <w:p w14:paraId="71A8151B" w14:textId="02489FDA" w:rsidR="00F84C39" w:rsidRPr="002750DE" w:rsidRDefault="002750DE" w:rsidP="002750DE">
      <w:pPr>
        <w:pStyle w:val="Bullet1G"/>
      </w:pPr>
      <w:r>
        <w:t>C</w:t>
      </w:r>
      <w:r w:rsidR="00F84C39" w:rsidRPr="002750DE">
        <w:t xml:space="preserve">larify responsibilities and procedures for accessing and using data; </w:t>
      </w:r>
    </w:p>
    <w:p w14:paraId="583EB374" w14:textId="3D5733AE" w:rsidR="00F84C39" w:rsidRPr="002750DE" w:rsidRDefault="002750DE" w:rsidP="002750DE">
      <w:pPr>
        <w:pStyle w:val="Bullet1G"/>
      </w:pPr>
      <w:r>
        <w:t>P</w:t>
      </w:r>
      <w:r w:rsidR="00F84C39" w:rsidRPr="002750DE">
        <w:t xml:space="preserve">romote common definitions, classifications and disaggregation standards; </w:t>
      </w:r>
    </w:p>
    <w:p w14:paraId="787752B6" w14:textId="5625CC67" w:rsidR="00F84C39" w:rsidRPr="002750DE" w:rsidRDefault="002750DE" w:rsidP="002750DE">
      <w:pPr>
        <w:pStyle w:val="Bullet1G"/>
      </w:pPr>
      <w:r>
        <w:t>E</w:t>
      </w:r>
      <w:r w:rsidR="00F84C39" w:rsidRPr="002750DE">
        <w:t xml:space="preserve">nable appropriately anonymised information from different sectors to be linked and analysed; </w:t>
      </w:r>
    </w:p>
    <w:p w14:paraId="14AD0DB3" w14:textId="6850F191" w:rsidR="00F84C39" w:rsidRPr="002750DE" w:rsidRDefault="002750DE" w:rsidP="002750DE">
      <w:pPr>
        <w:pStyle w:val="Bullet1G"/>
      </w:pPr>
      <w:r>
        <w:t>I</w:t>
      </w:r>
      <w:r w:rsidR="00F84C39" w:rsidRPr="002750DE">
        <w:t>mprove the tracking of women and girls’ access to services, referrals and outcomes across sectors;</w:t>
      </w:r>
    </w:p>
    <w:p w14:paraId="4DF34FFD" w14:textId="13E2EDF2" w:rsidR="00F84C39" w:rsidRPr="002750DE" w:rsidRDefault="002750DE" w:rsidP="002750DE">
      <w:pPr>
        <w:pStyle w:val="Bullet1G"/>
      </w:pPr>
      <w:r>
        <w:lastRenderedPageBreak/>
        <w:t>S</w:t>
      </w:r>
      <w:r w:rsidR="00F84C39" w:rsidRPr="002750DE">
        <w:t>upport more comprehensive analysis by sex, age, disability, nationality or ethnicity, island, income and relevant characteristics; and</w:t>
      </w:r>
    </w:p>
    <w:p w14:paraId="0A506D16" w14:textId="3C32C14A" w:rsidR="00F84C39" w:rsidRPr="002750DE" w:rsidRDefault="002750DE" w:rsidP="002750DE">
      <w:pPr>
        <w:pStyle w:val="Bullet1G"/>
      </w:pPr>
      <w:r>
        <w:t>I</w:t>
      </w:r>
      <w:r w:rsidR="00F84C39" w:rsidRPr="002750DE">
        <w:t>mprove reporting against CEDAW, the Sustainable Development Goals and national gender-equality priorities.</w:t>
      </w:r>
    </w:p>
    <w:p w14:paraId="1D512332" w14:textId="7426B6D3" w:rsidR="00F84C39" w:rsidRDefault="004F5EF4" w:rsidP="004F5EF4">
      <w:pPr>
        <w:pStyle w:val="H1G"/>
        <w:rPr>
          <w:lang w:val="en-US"/>
        </w:rPr>
      </w:pPr>
      <w:r>
        <w:rPr>
          <w:lang w:val="en-US"/>
        </w:rPr>
        <w:tab/>
      </w:r>
      <w:r>
        <w:rPr>
          <w:lang w:val="en-US"/>
        </w:rPr>
        <w:tab/>
      </w:r>
      <w:r w:rsidR="00F84C39" w:rsidRPr="00F84C39">
        <w:rPr>
          <w:lang w:val="en-US"/>
        </w:rPr>
        <w:t>Visibility of the Convention, the Optional Protocol thereto and the Committee’s general recommendations</w:t>
      </w:r>
    </w:p>
    <w:p w14:paraId="660084BC" w14:textId="2BBEEF2F" w:rsidR="002750DE" w:rsidRPr="002750DE" w:rsidRDefault="004F5EF4" w:rsidP="004F5EF4">
      <w:pPr>
        <w:pStyle w:val="H23G"/>
        <w:rPr>
          <w:lang w:val="en-US"/>
        </w:rPr>
      </w:pPr>
      <w:r>
        <w:rPr>
          <w:lang w:val="en-US"/>
        </w:rPr>
        <w:tab/>
      </w:r>
      <w:r>
        <w:rPr>
          <w:lang w:val="en-US"/>
        </w:rPr>
        <w:tab/>
      </w:r>
      <w:r w:rsidR="002750DE" w:rsidRPr="002750DE">
        <w:rPr>
          <w:lang w:val="en-US"/>
        </w:rPr>
        <w:t xml:space="preserve">Reply to paragraph </w:t>
      </w:r>
      <w:r w:rsidR="002750DE">
        <w:rPr>
          <w:lang w:val="en-US"/>
        </w:rPr>
        <w:t>2(a)</w:t>
      </w:r>
    </w:p>
    <w:p w14:paraId="54490813" w14:textId="6C20B68A" w:rsidR="00F84C39" w:rsidRPr="00F84C39" w:rsidRDefault="00F84C39" w:rsidP="007E1B72">
      <w:pPr>
        <w:pStyle w:val="SingleTxtG"/>
        <w:numPr>
          <w:ilvl w:val="0"/>
          <w:numId w:val="24"/>
        </w:numPr>
        <w:ind w:left="1134" w:firstLine="0"/>
        <w:rPr>
          <w:lang w:val="en-US"/>
        </w:rPr>
      </w:pPr>
      <w:r w:rsidRPr="00F84C39">
        <w:rPr>
          <w:lang w:val="en-US"/>
        </w:rPr>
        <w:t>The Cook Islands does not currently intend to incorporate the Convention directly into domestic law through a single enabling Act. As a dualist State, the Government gives effect to its obligations under the Convention through progressive legislative reform and the incorporation of CEDAW principles into domestic legislation. Legislative reform is undertaken on an ongoing basis as laws are reviewed and amended.</w:t>
      </w:r>
    </w:p>
    <w:p w14:paraId="10C7A742" w14:textId="77777777" w:rsidR="00F84C39" w:rsidRPr="00F84C39" w:rsidRDefault="00F84C39" w:rsidP="007E1B72">
      <w:pPr>
        <w:pStyle w:val="SingleTxtG"/>
        <w:numPr>
          <w:ilvl w:val="0"/>
          <w:numId w:val="24"/>
        </w:numPr>
        <w:ind w:left="1134" w:firstLine="0"/>
        <w:rPr>
          <w:lang w:val="fr-CA"/>
        </w:rPr>
      </w:pPr>
      <w:r w:rsidRPr="00F84C39">
        <w:rPr>
          <w:lang w:val="en-US"/>
        </w:rPr>
        <w:t xml:space="preserve">Certain amendments, and adoption of, legislation have been made specifically to become compliant with certain obligations under CEDAW. </w:t>
      </w:r>
      <w:r w:rsidRPr="00F84C39">
        <w:rPr>
          <w:lang w:val="fr-CA"/>
        </w:rPr>
        <w:t>This includes:</w:t>
      </w:r>
    </w:p>
    <w:p w14:paraId="56684719" w14:textId="484255BB" w:rsidR="00F84C39" w:rsidRPr="007E1B72" w:rsidRDefault="00F84C39" w:rsidP="007E1B72">
      <w:pPr>
        <w:pStyle w:val="Bullet1G"/>
      </w:pPr>
      <w:r w:rsidRPr="007E1B72">
        <w:t>The Family Protection and Support Act entered into force in July 2017. Hansard records from 12 July show that Parliament considered the Cook Islands’ obligations under CEDAW when adopting the Bill, recognising it as part of the Government’s commitment to protecting women and children</w:t>
      </w:r>
      <w:r w:rsidR="007E1B72">
        <w:t>;</w:t>
      </w:r>
    </w:p>
    <w:p w14:paraId="797C65CB" w14:textId="6DBB4D09" w:rsidR="00F84C39" w:rsidRPr="007E1B72" w:rsidRDefault="00F84C39" w:rsidP="007E1B72">
      <w:pPr>
        <w:pStyle w:val="Bullet1G"/>
      </w:pPr>
      <w:r w:rsidRPr="007E1B72">
        <w:t>The Crimes Amendment Act 2023, which introduced a range of new sexual offences, updating the Cook Islands’ Crimes Act 1969. This included removing marital status as a defence to rape</w:t>
      </w:r>
      <w:r w:rsidR="007E1B72">
        <w:t>;</w:t>
      </w:r>
    </w:p>
    <w:p w14:paraId="345A032D" w14:textId="28725C29" w:rsidR="00F84C39" w:rsidRPr="007E1B72" w:rsidRDefault="00F84C39" w:rsidP="007E1B72">
      <w:pPr>
        <w:pStyle w:val="Bullet1G"/>
      </w:pPr>
      <w:r w:rsidRPr="007E1B72">
        <w:t>The Employment Relations Amendment Act 2026 - Parliamentarians specifically made reference to protections and rights of women when discussing expansion of maternity leave</w:t>
      </w:r>
      <w:r w:rsidR="007E1B72">
        <w:t>.</w:t>
      </w:r>
    </w:p>
    <w:p w14:paraId="40FAA298" w14:textId="07DD22F7" w:rsidR="002750DE" w:rsidRDefault="004F5EF4" w:rsidP="004F5EF4">
      <w:pPr>
        <w:pStyle w:val="H23G"/>
        <w:rPr>
          <w:lang w:val="en-US"/>
        </w:rPr>
      </w:pPr>
      <w:r>
        <w:rPr>
          <w:lang w:val="en-US"/>
        </w:rPr>
        <w:tab/>
      </w:r>
      <w:r>
        <w:rPr>
          <w:lang w:val="en-US"/>
        </w:rPr>
        <w:tab/>
      </w:r>
      <w:r w:rsidR="002750DE" w:rsidRPr="002750DE">
        <w:rPr>
          <w:lang w:val="en-US"/>
        </w:rPr>
        <w:t xml:space="preserve">Reply to paragraph </w:t>
      </w:r>
      <w:r w:rsidR="002750DE">
        <w:rPr>
          <w:lang w:val="en-US"/>
        </w:rPr>
        <w:t>2(b)</w:t>
      </w:r>
    </w:p>
    <w:p w14:paraId="21A64427" w14:textId="13B851BE" w:rsidR="00F84C39" w:rsidRPr="00F84C39" w:rsidRDefault="00F84C39" w:rsidP="007E1B72">
      <w:pPr>
        <w:pStyle w:val="SingleTxtG"/>
        <w:numPr>
          <w:ilvl w:val="0"/>
          <w:numId w:val="24"/>
        </w:numPr>
        <w:ind w:left="1134" w:firstLine="0"/>
        <w:rPr>
          <w:lang w:val="en-US"/>
        </w:rPr>
      </w:pPr>
      <w:r w:rsidRPr="00F84C39">
        <w:rPr>
          <w:lang w:val="en-US"/>
        </w:rPr>
        <w:t>An infographic summarising the Committee’s general recommendations is currently being developed. Once completed, it will be widely disseminated among relevant stakeholders, including law enforcement officials, the judiciary, prosecutors, lawyers and the general public. Dissemination will use appropriate communication channels, including online platforms, to help ensure that the information reaches communities across Rarotonga and the Pa Enua.</w:t>
      </w:r>
    </w:p>
    <w:p w14:paraId="794B4FAA" w14:textId="09BC0CFB" w:rsidR="002750DE" w:rsidRDefault="004F5EF4" w:rsidP="004F5EF4">
      <w:pPr>
        <w:pStyle w:val="H23G"/>
        <w:rPr>
          <w:lang w:val="en-US"/>
        </w:rPr>
      </w:pPr>
      <w:r>
        <w:rPr>
          <w:lang w:val="en-US"/>
        </w:rPr>
        <w:tab/>
      </w:r>
      <w:r>
        <w:rPr>
          <w:lang w:val="en-US"/>
        </w:rPr>
        <w:tab/>
      </w:r>
      <w:r w:rsidR="002750DE" w:rsidRPr="002750DE">
        <w:rPr>
          <w:lang w:val="en-US"/>
        </w:rPr>
        <w:t xml:space="preserve">Reply to paragraph </w:t>
      </w:r>
      <w:r w:rsidR="002750DE">
        <w:rPr>
          <w:lang w:val="en-US"/>
        </w:rPr>
        <w:t>2(c)</w:t>
      </w:r>
    </w:p>
    <w:p w14:paraId="7BF8F94E" w14:textId="1FFE12A9" w:rsidR="00F84C39" w:rsidRPr="00F84C39" w:rsidRDefault="00F84C39" w:rsidP="007E1B72">
      <w:pPr>
        <w:pStyle w:val="SingleTxtG"/>
        <w:numPr>
          <w:ilvl w:val="0"/>
          <w:numId w:val="24"/>
        </w:numPr>
        <w:ind w:left="1134" w:firstLine="0"/>
        <w:rPr>
          <w:lang w:val="en-US"/>
        </w:rPr>
      </w:pPr>
      <w:r w:rsidRPr="00F84C39">
        <w:rPr>
          <w:lang w:val="en-US"/>
        </w:rPr>
        <w:t>To date, there are no known court decisions in the Cook Islands in which the Convention, the Committee’s general recommendations or its concluding observations have been expressly invoked. Other international human rights instruments, including the Convention on the Rights of the Child, have been referred to in judicial proceedings.</w:t>
      </w:r>
    </w:p>
    <w:p w14:paraId="19811129" w14:textId="77777777" w:rsidR="00F84C39" w:rsidRPr="00F84C39" w:rsidRDefault="00F84C39" w:rsidP="007E1B72">
      <w:pPr>
        <w:pStyle w:val="SingleTxtG"/>
        <w:numPr>
          <w:ilvl w:val="0"/>
          <w:numId w:val="24"/>
        </w:numPr>
        <w:ind w:left="1134" w:firstLine="0"/>
        <w:rPr>
          <w:lang w:val="en-US"/>
        </w:rPr>
      </w:pPr>
      <w:r w:rsidRPr="00F84C39">
        <w:rPr>
          <w:lang w:val="en-US"/>
        </w:rPr>
        <w:t>The absence of references to CEDAW appears to reflect the limited number of cases in which alleged discrimination on the basis of sex has been brought before the courts, rather than any restriction on the courts’ ability to consider the Convention and related international human rights standards.</w:t>
      </w:r>
    </w:p>
    <w:p w14:paraId="10F5FA09" w14:textId="7840DEB3" w:rsidR="00F84C39" w:rsidRDefault="004F5EF4" w:rsidP="004F5EF4">
      <w:pPr>
        <w:pStyle w:val="H1G"/>
        <w:rPr>
          <w:lang w:val="en-US"/>
        </w:rPr>
      </w:pPr>
      <w:r>
        <w:rPr>
          <w:lang w:val="en-US"/>
        </w:rPr>
        <w:tab/>
      </w:r>
      <w:r>
        <w:rPr>
          <w:lang w:val="en-US"/>
        </w:rPr>
        <w:tab/>
      </w:r>
      <w:r w:rsidR="00F84C39" w:rsidRPr="00F84C39">
        <w:rPr>
          <w:lang w:val="en-US"/>
        </w:rPr>
        <w:t>Legislative framework</w:t>
      </w:r>
    </w:p>
    <w:p w14:paraId="08366DA5" w14:textId="1C2BE4B9" w:rsidR="002750DE" w:rsidRPr="00F84C39" w:rsidRDefault="004F5EF4" w:rsidP="004F5EF4">
      <w:pPr>
        <w:pStyle w:val="H23G"/>
        <w:rPr>
          <w:lang w:val="en-US"/>
        </w:rPr>
      </w:pPr>
      <w:r>
        <w:rPr>
          <w:lang w:val="en-US"/>
        </w:rPr>
        <w:tab/>
      </w:r>
      <w:r>
        <w:rPr>
          <w:lang w:val="en-US"/>
        </w:rPr>
        <w:tab/>
      </w:r>
      <w:r w:rsidR="002750DE" w:rsidRPr="002750DE">
        <w:rPr>
          <w:lang w:val="en-US"/>
        </w:rPr>
        <w:t xml:space="preserve">Reply to paragraph </w:t>
      </w:r>
      <w:r w:rsidR="002750DE">
        <w:rPr>
          <w:lang w:val="en-US"/>
        </w:rPr>
        <w:t>3(a)</w:t>
      </w:r>
    </w:p>
    <w:p w14:paraId="658ADCF2" w14:textId="7AB4B9FB" w:rsidR="00F84C39" w:rsidRPr="00F84C39" w:rsidRDefault="00F84C39" w:rsidP="007E1B72">
      <w:pPr>
        <w:pStyle w:val="SingleTxtG"/>
        <w:numPr>
          <w:ilvl w:val="0"/>
          <w:numId w:val="24"/>
        </w:numPr>
        <w:ind w:left="1134" w:firstLine="0"/>
        <w:rPr>
          <w:lang w:val="en-US"/>
        </w:rPr>
      </w:pPr>
      <w:r w:rsidRPr="00F84C39">
        <w:rPr>
          <w:lang w:val="en-US"/>
        </w:rPr>
        <w:t xml:space="preserve">The Cook Islands has not yet adopted a standalone legislative definition of discrimination against women that fully reflects Article 1 of the Convention. Protection against discrimination is currently provided through the Constitution and a range of sector-specific legislation. The Government acknowledges the Committee's recommendation and </w:t>
      </w:r>
      <w:r w:rsidRPr="00F84C39">
        <w:rPr>
          <w:lang w:val="en-US"/>
        </w:rPr>
        <w:lastRenderedPageBreak/>
        <w:t>will continue to consider legislative reform as part of ongoing reviews of the domestic legal framework.</w:t>
      </w:r>
    </w:p>
    <w:p w14:paraId="1B4B13DF" w14:textId="77777777" w:rsidR="00F84C39" w:rsidRPr="00F84C39" w:rsidRDefault="00F84C39" w:rsidP="007E1B72">
      <w:pPr>
        <w:pStyle w:val="SingleTxtG"/>
        <w:numPr>
          <w:ilvl w:val="0"/>
          <w:numId w:val="24"/>
        </w:numPr>
        <w:ind w:left="1134" w:firstLine="0"/>
        <w:rPr>
          <w:lang w:val="en-US"/>
        </w:rPr>
      </w:pPr>
      <w:r w:rsidRPr="00F84C39">
        <w:rPr>
          <w:lang w:val="en-US"/>
        </w:rPr>
        <w:t>The Government notes the Committee’s recommendation to adopt a comprehensive definition of discrimination against women, consistent with article 1 of the Convention, including direct and indirect discrimination in the public and private spheres and intersecting forms of discrimination. The Constitution currently adopts a broad and inclusive approach by prohibiting discrimination on the basis of sex and other protected grounds and by guaranteeing equality before the law to all persons.</w:t>
      </w:r>
    </w:p>
    <w:p w14:paraId="2A461154" w14:textId="77777777" w:rsidR="00F84C39" w:rsidRPr="00F84C39" w:rsidRDefault="00F84C39" w:rsidP="007E1B72">
      <w:pPr>
        <w:pStyle w:val="SingleTxtG"/>
        <w:numPr>
          <w:ilvl w:val="0"/>
          <w:numId w:val="24"/>
        </w:numPr>
        <w:ind w:left="1134" w:firstLine="0"/>
        <w:rPr>
          <w:lang w:val="en-US"/>
        </w:rPr>
      </w:pPr>
      <w:r w:rsidRPr="00F84C39">
        <w:rPr>
          <w:lang w:val="en-US"/>
        </w:rPr>
        <w:t>As the supreme law of the Cook Islands, the Constitution provides an important safeguard against sex-based discrimination. Proposed legislation is assessed for consistency with constitutional rights and protections before enactment.</w:t>
      </w:r>
    </w:p>
    <w:p w14:paraId="5D1389A6" w14:textId="77777777" w:rsidR="00F84C39" w:rsidRPr="00F84C39" w:rsidRDefault="00F84C39" w:rsidP="007E1B72">
      <w:pPr>
        <w:pStyle w:val="SingleTxtG"/>
        <w:numPr>
          <w:ilvl w:val="0"/>
          <w:numId w:val="24"/>
        </w:numPr>
        <w:ind w:left="1134" w:firstLine="0"/>
        <w:rPr>
          <w:lang w:val="en-US"/>
        </w:rPr>
      </w:pPr>
      <w:r w:rsidRPr="00F84C39">
        <w:rPr>
          <w:lang w:val="en-US"/>
        </w:rPr>
        <w:t>The Ministry of Internal Affairs National Gender Policy actively advances gender equality and recognises that achieving equality requires the systematic identification and removal of the underlying causes of discrimination so that women and men can enjoy equal rights, opportunities and outcomes.</w:t>
      </w:r>
    </w:p>
    <w:p w14:paraId="5AAB892B" w14:textId="4772F036" w:rsidR="002750DE" w:rsidRPr="00F84C39" w:rsidRDefault="004F5EF4" w:rsidP="004F5EF4">
      <w:pPr>
        <w:pStyle w:val="H23G"/>
        <w:rPr>
          <w:lang w:val="en-US"/>
        </w:rPr>
      </w:pPr>
      <w:r>
        <w:rPr>
          <w:lang w:val="en-US"/>
        </w:rPr>
        <w:tab/>
      </w:r>
      <w:r>
        <w:rPr>
          <w:lang w:val="en-US"/>
        </w:rPr>
        <w:tab/>
      </w:r>
      <w:r w:rsidR="002750DE" w:rsidRPr="002750DE">
        <w:rPr>
          <w:lang w:val="en-US"/>
        </w:rPr>
        <w:t xml:space="preserve">Reply to paragraph </w:t>
      </w:r>
      <w:r w:rsidR="002750DE">
        <w:rPr>
          <w:lang w:val="en-US"/>
        </w:rPr>
        <w:t>3(b)</w:t>
      </w:r>
    </w:p>
    <w:p w14:paraId="60CA3FF4" w14:textId="77777777" w:rsidR="00307801" w:rsidRPr="00307801" w:rsidRDefault="00307801" w:rsidP="007E1B72">
      <w:pPr>
        <w:pStyle w:val="SingleTxtG"/>
        <w:numPr>
          <w:ilvl w:val="0"/>
          <w:numId w:val="24"/>
        </w:numPr>
        <w:ind w:left="1134" w:firstLine="0"/>
        <w:rPr>
          <w:lang w:val="en-US"/>
        </w:rPr>
      </w:pPr>
      <w:r>
        <w:t>From 1 July 2026, migrant workers became eligible for paid maternity and paternity leave under the Employment Relations Amendment Act 2026. Maternity leave increased to eight weeks and will progressively reach 14 weeks by July 2029, while paternity leave increased to two weeks. These provisions also cover qualifying adoptions.</w:t>
      </w:r>
    </w:p>
    <w:p w14:paraId="11D5D902" w14:textId="77777777" w:rsidR="00307801" w:rsidRPr="00307801" w:rsidRDefault="00307801" w:rsidP="007E1B72">
      <w:pPr>
        <w:pStyle w:val="SingleTxtG"/>
        <w:numPr>
          <w:ilvl w:val="0"/>
          <w:numId w:val="24"/>
        </w:numPr>
        <w:ind w:left="1134" w:firstLine="0"/>
        <w:rPr>
          <w:lang w:val="en-US"/>
        </w:rPr>
      </w:pPr>
      <w:r>
        <w:t>The Employment Relations Act prohibits discrimination based on national origin, gender and maternity. Migrant women may raise personal grievances and access mediation and employment-dispute procedures. Labour Services and Immigration review employment agreements and address concerns involving wages, leave, working conditions and discrimination.</w:t>
      </w:r>
    </w:p>
    <w:p w14:paraId="1EAF4F41" w14:textId="77777777" w:rsidR="00307801" w:rsidRPr="00307801" w:rsidRDefault="00307801" w:rsidP="007E1B72">
      <w:pPr>
        <w:pStyle w:val="SingleTxtG"/>
        <w:numPr>
          <w:ilvl w:val="0"/>
          <w:numId w:val="24"/>
        </w:numPr>
        <w:ind w:left="1134" w:firstLine="0"/>
        <w:rPr>
          <w:lang w:val="en-US"/>
        </w:rPr>
      </w:pPr>
      <w:r>
        <w:t>Child-benefit eligibility under the Welfare Act is primarily residence-based, and the Welfare Amendment Act 2026 extended eligibility from age 16 to 17. The Social Assistance Policy 2024–2028 further promotes gender-responsive social protection for women, men and children.</w:t>
      </w:r>
    </w:p>
    <w:p w14:paraId="1DDEB9DC" w14:textId="77777777" w:rsidR="00F84C39" w:rsidRPr="00F84C39" w:rsidRDefault="00F84C39" w:rsidP="007E1B72">
      <w:pPr>
        <w:pStyle w:val="SingleTxtG"/>
        <w:numPr>
          <w:ilvl w:val="0"/>
          <w:numId w:val="24"/>
        </w:numPr>
        <w:ind w:left="1134" w:firstLine="0"/>
        <w:rPr>
          <w:lang w:val="en-US"/>
        </w:rPr>
      </w:pPr>
      <w:r w:rsidRPr="00F84C39">
        <w:rPr>
          <w:lang w:val="en-US"/>
        </w:rPr>
        <w:t>These reforms are supported by the Social Assistance Policy 2024-2028, which promotes gender-responsive social protection and seeks to ensure that the different circumstances and needs of women, men and children are considered in the design and delivery of social assistance.</w:t>
      </w:r>
    </w:p>
    <w:p w14:paraId="50E954A2" w14:textId="23691C9E" w:rsidR="002750DE" w:rsidRPr="00F84C39" w:rsidRDefault="004F5EF4" w:rsidP="004F5EF4">
      <w:pPr>
        <w:pStyle w:val="H23G"/>
        <w:rPr>
          <w:lang w:val="en-US"/>
        </w:rPr>
      </w:pPr>
      <w:r>
        <w:rPr>
          <w:lang w:val="en-US"/>
        </w:rPr>
        <w:tab/>
      </w:r>
      <w:r>
        <w:rPr>
          <w:lang w:val="en-US"/>
        </w:rPr>
        <w:tab/>
      </w:r>
      <w:r w:rsidR="002750DE" w:rsidRPr="002750DE">
        <w:rPr>
          <w:lang w:val="en-US"/>
        </w:rPr>
        <w:t xml:space="preserve">Reply to paragraph </w:t>
      </w:r>
      <w:r w:rsidR="002750DE">
        <w:rPr>
          <w:lang w:val="en-US"/>
        </w:rPr>
        <w:t>3(c</w:t>
      </w:r>
      <w:r w:rsidR="007E1B72">
        <w:rPr>
          <w:lang w:val="en-US"/>
        </w:rPr>
        <w:t>)</w:t>
      </w:r>
    </w:p>
    <w:p w14:paraId="36586DD4" w14:textId="4EBE6978" w:rsidR="00F84C39" w:rsidRPr="00F84C39" w:rsidRDefault="00F84C39" w:rsidP="007E1B72">
      <w:pPr>
        <w:pStyle w:val="SingleTxtG"/>
        <w:numPr>
          <w:ilvl w:val="0"/>
          <w:numId w:val="24"/>
        </w:numPr>
        <w:ind w:left="1134" w:firstLine="0"/>
        <w:rPr>
          <w:lang w:val="en-US"/>
        </w:rPr>
      </w:pPr>
      <w:r w:rsidRPr="00F84C39">
        <w:rPr>
          <w:lang w:val="en-US"/>
        </w:rPr>
        <w:t>Gender impact assessment mechanisms are being progressively strengthened across governments. The National Gender Coordinator is a member of the National Policy Group and provides gender-mainstreaming advice during the development and review of government policies and programmes, helping identify their differing impacts on women and men.</w:t>
      </w:r>
    </w:p>
    <w:p w14:paraId="797A2113" w14:textId="77777777" w:rsidR="00F84C39" w:rsidRPr="00F84C39" w:rsidRDefault="00F84C39" w:rsidP="007E1B72">
      <w:pPr>
        <w:pStyle w:val="SingleTxtG"/>
        <w:numPr>
          <w:ilvl w:val="0"/>
          <w:numId w:val="24"/>
        </w:numPr>
        <w:ind w:left="1134" w:firstLine="0"/>
        <w:rPr>
          <w:lang w:val="en-US"/>
        </w:rPr>
      </w:pPr>
      <w:r w:rsidRPr="00F84C39">
        <w:rPr>
          <w:lang w:val="en-US"/>
        </w:rPr>
        <w:t>The National Gender Taskforce provides a whole-of-government and multi-stakeholder forum for examining the gender implications of proposed legislation, policies, programmes and major development initiatives. It brings together government agencies, civil society and relevant  stakeholders to identify gender-equality concerns, implementation gaps and emerging issues.</w:t>
      </w:r>
    </w:p>
    <w:p w14:paraId="5D53C58B" w14:textId="77777777" w:rsidR="00F84C39" w:rsidRPr="00F84C39" w:rsidRDefault="00F84C39" w:rsidP="007E1B72">
      <w:pPr>
        <w:pStyle w:val="SingleTxtG"/>
        <w:numPr>
          <w:ilvl w:val="0"/>
          <w:numId w:val="24"/>
        </w:numPr>
        <w:ind w:left="1134" w:firstLine="0"/>
        <w:rPr>
          <w:lang w:val="en-US"/>
        </w:rPr>
      </w:pPr>
      <w:r w:rsidRPr="00F84C39">
        <w:rPr>
          <w:lang w:val="en-US"/>
        </w:rPr>
        <w:t>The Government is also delivering gender equality, disability and social inclusion training to strengthen public officials’ ability to identify inclusion issues, use disaggregated data, consult affected groups and assess policy and project impacts.</w:t>
      </w:r>
    </w:p>
    <w:p w14:paraId="71CE5835" w14:textId="77777777" w:rsidR="00F84C39" w:rsidRPr="00F84C39" w:rsidRDefault="00F84C39" w:rsidP="007E1B72">
      <w:pPr>
        <w:pStyle w:val="SingleTxtG"/>
        <w:numPr>
          <w:ilvl w:val="0"/>
          <w:numId w:val="24"/>
        </w:numPr>
        <w:ind w:left="1134" w:firstLine="0"/>
        <w:rPr>
          <w:lang w:val="en-US"/>
        </w:rPr>
      </w:pPr>
      <w:r w:rsidRPr="00F84C39">
        <w:rPr>
          <w:lang w:val="en-US"/>
        </w:rPr>
        <w:t>A standardised and mandatory gender impact assessment framework has not yet been adopted across government, including for major projects such as deep-sea mining. However, these measures support the development of a more consistent, gender-responsive approach to policy and decision-making.</w:t>
      </w:r>
    </w:p>
    <w:p w14:paraId="141AECFB" w14:textId="77777777" w:rsidR="00F84C39" w:rsidRPr="00F84C39" w:rsidRDefault="00F84C39" w:rsidP="007E1B72">
      <w:pPr>
        <w:pStyle w:val="SingleTxtG"/>
        <w:numPr>
          <w:ilvl w:val="0"/>
          <w:numId w:val="24"/>
        </w:numPr>
        <w:ind w:left="1134" w:firstLine="0"/>
        <w:rPr>
          <w:lang w:val="en-US"/>
        </w:rPr>
      </w:pPr>
      <w:r w:rsidRPr="00F84C39">
        <w:rPr>
          <w:lang w:val="en-US"/>
        </w:rPr>
        <w:lastRenderedPageBreak/>
        <w:t>The Crown Law Office does not currently undertake a formal review of draft legislation specifically against CEDAW obligations. It does, however, review draft legislation for consistency with the Constitution. This includes consideration of Article 64, which protects individuals from discrimination, including discrimination on the basis of sex. As a result, proposed legislation is subject to constitutional scrutiny for consistency with the Cook Islands’ domestic equality and non-discrimination obligations.</w:t>
      </w:r>
    </w:p>
    <w:p w14:paraId="7D7B24F6" w14:textId="28ECED28" w:rsidR="00F84C39" w:rsidRDefault="004F5EF4" w:rsidP="004F5EF4">
      <w:pPr>
        <w:pStyle w:val="H1G"/>
        <w:rPr>
          <w:lang w:val="en-US"/>
        </w:rPr>
      </w:pPr>
      <w:r>
        <w:rPr>
          <w:lang w:val="en-US"/>
        </w:rPr>
        <w:tab/>
      </w:r>
      <w:r>
        <w:rPr>
          <w:lang w:val="en-US"/>
        </w:rPr>
        <w:tab/>
      </w:r>
      <w:r w:rsidR="00F84C39" w:rsidRPr="00F84C39">
        <w:rPr>
          <w:lang w:val="en-US"/>
        </w:rPr>
        <w:t>National machinery for the advancement of women</w:t>
      </w:r>
    </w:p>
    <w:p w14:paraId="6C6A1AEF" w14:textId="3676E71F" w:rsidR="007E1B72" w:rsidRPr="00F84C39" w:rsidRDefault="004F5EF4" w:rsidP="004F5EF4">
      <w:pPr>
        <w:pStyle w:val="H23G"/>
        <w:rPr>
          <w:lang w:val="en-US"/>
        </w:rPr>
      </w:pPr>
      <w:r>
        <w:rPr>
          <w:lang w:val="en-US"/>
        </w:rPr>
        <w:tab/>
      </w:r>
      <w:r>
        <w:rPr>
          <w:lang w:val="en-US"/>
        </w:rPr>
        <w:tab/>
      </w:r>
      <w:r w:rsidR="007E1B72" w:rsidRPr="002750DE">
        <w:rPr>
          <w:lang w:val="en-US"/>
        </w:rPr>
        <w:t xml:space="preserve">Reply to paragraph </w:t>
      </w:r>
      <w:r w:rsidR="007E1B72">
        <w:rPr>
          <w:lang w:val="en-US"/>
        </w:rPr>
        <w:t>4(a)</w:t>
      </w:r>
    </w:p>
    <w:p w14:paraId="7D3E4105" w14:textId="77777777" w:rsidR="00307801" w:rsidRPr="00307801" w:rsidRDefault="00307801" w:rsidP="007E1B72">
      <w:pPr>
        <w:pStyle w:val="SingleTxtG"/>
        <w:numPr>
          <w:ilvl w:val="0"/>
          <w:numId w:val="24"/>
        </w:numPr>
        <w:ind w:left="1134" w:firstLine="0"/>
        <w:rPr>
          <w:lang w:val="en-US"/>
        </w:rPr>
      </w:pPr>
      <w:r>
        <w:t>The Social Policy and Services Division includes a National Gender Coordinator and Senior Gender-Based Violence Adviser, supported by divisional staff and programme and development-partner funding.</w:t>
      </w:r>
    </w:p>
    <w:p w14:paraId="3FE97938" w14:textId="77777777" w:rsidR="00307801" w:rsidRPr="00307801" w:rsidRDefault="00307801" w:rsidP="007E1B72">
      <w:pPr>
        <w:pStyle w:val="SingleTxtG"/>
        <w:numPr>
          <w:ilvl w:val="0"/>
          <w:numId w:val="24"/>
        </w:numPr>
        <w:ind w:left="1134" w:firstLine="0"/>
        <w:rPr>
          <w:lang w:val="en-US"/>
        </w:rPr>
      </w:pPr>
      <w:r>
        <w:t>In 2026, the Government supported 15 community-led gender-equality projects through the Social Impact Fund and Australia–Cook Islands Partnership Programme. These covered leadership, economic empowerment, food security, mental health, sport, wellbeing and community participation.</w:t>
      </w:r>
    </w:p>
    <w:p w14:paraId="623D941E" w14:textId="77777777" w:rsidR="00307801" w:rsidRPr="00307801" w:rsidRDefault="00307801" w:rsidP="007E1B72">
      <w:pPr>
        <w:pStyle w:val="SingleTxtG"/>
        <w:numPr>
          <w:ilvl w:val="0"/>
          <w:numId w:val="24"/>
        </w:numPr>
        <w:ind w:left="1134" w:firstLine="0"/>
        <w:rPr>
          <w:lang w:val="en-US"/>
        </w:rPr>
      </w:pPr>
      <w:r>
        <w:t>The review of the National Policy on Gender Equality and Women’s Empowerment 2019–2024 identified progress, implementation gaps and emerging priorities and produced 33 recommendations for the renewed policy. Consultations were held in Rarotonga and the Southern and Northern Groups with government, civil society, women and youth, traditional leaders, persons with disabilities, service providers, the private sector and Pa Enua communities.</w:t>
      </w:r>
    </w:p>
    <w:p w14:paraId="7D67644D" w14:textId="12592C47" w:rsidR="007E1B72" w:rsidRDefault="004F5EF4" w:rsidP="004F5EF4">
      <w:pPr>
        <w:pStyle w:val="H23G"/>
        <w:rPr>
          <w:lang w:val="en-US"/>
        </w:rPr>
      </w:pPr>
      <w:r>
        <w:rPr>
          <w:lang w:val="en-US"/>
        </w:rPr>
        <w:tab/>
      </w:r>
      <w:r>
        <w:rPr>
          <w:lang w:val="en-US"/>
        </w:rPr>
        <w:tab/>
      </w:r>
      <w:r w:rsidR="007E1B72" w:rsidRPr="002750DE">
        <w:rPr>
          <w:lang w:val="en-US"/>
        </w:rPr>
        <w:t xml:space="preserve">Reply to paragraph </w:t>
      </w:r>
      <w:r w:rsidR="007E1B72">
        <w:rPr>
          <w:lang w:val="en-US"/>
        </w:rPr>
        <w:t>4(b)</w:t>
      </w:r>
    </w:p>
    <w:p w14:paraId="6FC06A78" w14:textId="77777777" w:rsidR="00307801" w:rsidRPr="00307801" w:rsidRDefault="00307801" w:rsidP="007E1B72">
      <w:pPr>
        <w:pStyle w:val="SingleTxtG"/>
        <w:numPr>
          <w:ilvl w:val="0"/>
          <w:numId w:val="24"/>
        </w:numPr>
        <w:ind w:left="1134" w:firstLine="0"/>
        <w:rPr>
          <w:lang w:val="en-US"/>
        </w:rPr>
      </w:pPr>
      <w:r>
        <w:t>Pacific Community funding for 2024–2026 supported the establishment and initial operation of the Cook Islands’ first National Gender-Based Violence Unit, including specialist staff, policy development, consultations, coordination and improved referral and service-delivery systems. Sustainable government resourcing will be required beyond 2026.</w:t>
      </w:r>
    </w:p>
    <w:p w14:paraId="779247FB" w14:textId="77777777" w:rsidR="00307801" w:rsidRPr="00307801" w:rsidRDefault="00307801" w:rsidP="007E1B72">
      <w:pPr>
        <w:pStyle w:val="SingleTxtG"/>
        <w:numPr>
          <w:ilvl w:val="0"/>
          <w:numId w:val="24"/>
        </w:numPr>
        <w:ind w:left="1134" w:firstLine="0"/>
        <w:rPr>
          <w:lang w:val="en-US"/>
        </w:rPr>
      </w:pPr>
      <w:r>
        <w:t>A key outcome is the National Gender-Based Violence Policy 2026–2031, validated on 26 June 2026 and scheduled for Cabinet consideration after the general election on 12 August 2026. Its action plan assigns responsibilities, timeframes, indicators and expected results.</w:t>
      </w:r>
    </w:p>
    <w:p w14:paraId="13E110F2" w14:textId="77777777" w:rsidR="00307801" w:rsidRPr="00307801" w:rsidRDefault="00307801" w:rsidP="007E1B72">
      <w:pPr>
        <w:pStyle w:val="SingleTxtG"/>
        <w:numPr>
          <w:ilvl w:val="0"/>
          <w:numId w:val="24"/>
        </w:numPr>
        <w:ind w:left="1134" w:firstLine="0"/>
        <w:rPr>
          <w:lang w:val="en-US"/>
        </w:rPr>
      </w:pPr>
      <w:r>
        <w:t>The Unit and civil society are developing a national service-delivery protocol to strengthen survivor-centred referrals and coordination among Police, Health, Justice, social services and support organisations. The National Gender Taskforce provides additional coordination among government, civil society and other stakeholders on policy implementation, prevention, service gaps and national commitments.</w:t>
      </w:r>
    </w:p>
    <w:p w14:paraId="34B0FB3B" w14:textId="4A2488FC" w:rsidR="007E1B72" w:rsidRDefault="004F5EF4" w:rsidP="004F5EF4">
      <w:pPr>
        <w:pStyle w:val="H23G"/>
        <w:rPr>
          <w:lang w:val="en-US"/>
        </w:rPr>
      </w:pPr>
      <w:r>
        <w:rPr>
          <w:lang w:val="en-US"/>
        </w:rPr>
        <w:tab/>
      </w:r>
      <w:r>
        <w:rPr>
          <w:lang w:val="en-US"/>
        </w:rPr>
        <w:tab/>
      </w:r>
      <w:r w:rsidR="007E1B72" w:rsidRPr="002750DE">
        <w:rPr>
          <w:lang w:val="en-US"/>
        </w:rPr>
        <w:t xml:space="preserve">Reply to paragraph </w:t>
      </w:r>
      <w:r w:rsidR="007E1B72">
        <w:rPr>
          <w:lang w:val="en-US"/>
        </w:rPr>
        <w:t>4(c)</w:t>
      </w:r>
    </w:p>
    <w:p w14:paraId="3A5E147A" w14:textId="7AB965DD" w:rsidR="00F84C39" w:rsidRPr="00F84C39" w:rsidRDefault="00F84C39" w:rsidP="007E1B72">
      <w:pPr>
        <w:pStyle w:val="SingleTxtG"/>
        <w:numPr>
          <w:ilvl w:val="0"/>
          <w:numId w:val="24"/>
        </w:numPr>
        <w:ind w:left="1134" w:firstLine="0"/>
        <w:rPr>
          <w:lang w:val="en-US"/>
        </w:rPr>
      </w:pPr>
      <w:r w:rsidRPr="00F84C39">
        <w:rPr>
          <w:lang w:val="en-US"/>
        </w:rPr>
        <w:t>In 2026, the Government established the Pae Tokerau Family Support Fund for the development and implementation of a coordinated multi-agency approach to preventing, responding to and recovering from high-risk cases involving gender-based violence, family violence, child protection and other high-risk welfare cases in the Northern Group Islands (Pae Tokerau). This allows key stakeholders to undertake coordinated case management, community awareness and GBV training, helping ensure that vulnerable women, children and families in remote islands can access timely, safe and coordinated support services.</w:t>
      </w:r>
    </w:p>
    <w:p w14:paraId="46445CF1" w14:textId="77777777" w:rsidR="00F84C39" w:rsidRPr="00F84C39" w:rsidRDefault="00F84C39" w:rsidP="007E1B72">
      <w:pPr>
        <w:pStyle w:val="SingleTxtG"/>
        <w:numPr>
          <w:ilvl w:val="0"/>
          <w:numId w:val="24"/>
        </w:numPr>
        <w:ind w:left="1134" w:firstLine="0"/>
        <w:rPr>
          <w:lang w:val="en-US"/>
        </w:rPr>
      </w:pPr>
      <w:r w:rsidRPr="00F84C39">
        <w:rPr>
          <w:lang w:val="en-US"/>
        </w:rPr>
        <w:t>However, further work is required to establish dedicated, recurrent government budget allocations for the full range of gender equality and women’s empowerment programs. While no formal implementation date has been established, the Government remains committed to progressing these reforms as resources become available.</w:t>
      </w:r>
    </w:p>
    <w:p w14:paraId="483232CB" w14:textId="23E20CC7" w:rsidR="007E1B72" w:rsidRDefault="004F5EF4" w:rsidP="004F5EF4">
      <w:pPr>
        <w:pStyle w:val="H23G"/>
        <w:rPr>
          <w:lang w:val="en-US"/>
        </w:rPr>
      </w:pPr>
      <w:r>
        <w:rPr>
          <w:lang w:val="en-US"/>
        </w:rPr>
        <w:lastRenderedPageBreak/>
        <w:tab/>
      </w:r>
      <w:r>
        <w:rPr>
          <w:lang w:val="en-US"/>
        </w:rPr>
        <w:tab/>
      </w:r>
      <w:r w:rsidR="007E1B72" w:rsidRPr="002750DE">
        <w:rPr>
          <w:lang w:val="en-US"/>
        </w:rPr>
        <w:t xml:space="preserve">Reply to paragraph </w:t>
      </w:r>
      <w:r w:rsidR="007E1B72">
        <w:rPr>
          <w:lang w:val="en-US"/>
        </w:rPr>
        <w:t>4(d)</w:t>
      </w:r>
    </w:p>
    <w:p w14:paraId="0AB72784" w14:textId="437A7E5A" w:rsidR="00F84C39" w:rsidRPr="00F84C39" w:rsidRDefault="00F84C39" w:rsidP="007E1B72">
      <w:pPr>
        <w:pStyle w:val="SingleTxtG"/>
        <w:numPr>
          <w:ilvl w:val="0"/>
          <w:numId w:val="24"/>
        </w:numPr>
        <w:ind w:left="1134" w:firstLine="0"/>
        <w:rPr>
          <w:lang w:val="en-US"/>
        </w:rPr>
      </w:pPr>
      <w:r w:rsidRPr="00F84C39">
        <w:rPr>
          <w:lang w:val="en-US"/>
        </w:rPr>
        <w:t>The feasibility of establishing a separate national body to coordinate gender policies is currently being reviewed. Consideration is being given to the potential overlap between the functions and areas of responsibility of a new body and those of the existing National Gender Coordinator within the Social Inclusion and Family Services Unit at the Ministry of Internal Affairs.</w:t>
      </w:r>
    </w:p>
    <w:p w14:paraId="2F73B976" w14:textId="77777777" w:rsidR="00F84C39" w:rsidRPr="00F84C39" w:rsidRDefault="00F84C39" w:rsidP="007E1B72">
      <w:pPr>
        <w:pStyle w:val="SingleTxtG"/>
        <w:numPr>
          <w:ilvl w:val="0"/>
          <w:numId w:val="24"/>
        </w:numPr>
        <w:ind w:left="1134" w:firstLine="0"/>
        <w:rPr>
          <w:lang w:val="en-US"/>
        </w:rPr>
      </w:pPr>
      <w:r w:rsidRPr="00F84C39">
        <w:rPr>
          <w:lang w:val="en-US"/>
        </w:rPr>
        <w:t>At present, the priority is to strengthen and adequately resource the existing gender coordinator position, including its capacity to coordinate implementation of national gender policies and work closely with women’s civil society organizations.</w:t>
      </w:r>
    </w:p>
    <w:p w14:paraId="37D6FF41" w14:textId="674D83E3" w:rsidR="00F84C39" w:rsidRDefault="004F5EF4" w:rsidP="004F5EF4">
      <w:pPr>
        <w:pStyle w:val="H1G"/>
        <w:rPr>
          <w:lang w:val="en-US"/>
        </w:rPr>
      </w:pPr>
      <w:r>
        <w:rPr>
          <w:lang w:val="en-US"/>
        </w:rPr>
        <w:tab/>
      </w:r>
      <w:r>
        <w:rPr>
          <w:lang w:val="en-US"/>
        </w:rPr>
        <w:tab/>
      </w:r>
      <w:r w:rsidR="00F84C39" w:rsidRPr="00F84C39">
        <w:rPr>
          <w:lang w:val="en-US"/>
        </w:rPr>
        <w:t>National human rights institution</w:t>
      </w:r>
    </w:p>
    <w:p w14:paraId="36A7B44C" w14:textId="61673E11" w:rsidR="007E1B72" w:rsidRPr="00F84C39" w:rsidRDefault="004F5EF4" w:rsidP="004F5EF4">
      <w:pPr>
        <w:pStyle w:val="H23G"/>
        <w:rPr>
          <w:lang w:val="en-US"/>
        </w:rPr>
      </w:pPr>
      <w:r>
        <w:rPr>
          <w:lang w:val="en-US"/>
        </w:rPr>
        <w:tab/>
      </w:r>
      <w:r>
        <w:rPr>
          <w:lang w:val="en-US"/>
        </w:rPr>
        <w:tab/>
      </w:r>
      <w:r w:rsidR="007E1B72" w:rsidRPr="002750DE">
        <w:rPr>
          <w:lang w:val="en-US"/>
        </w:rPr>
        <w:t xml:space="preserve">Reply to paragraph </w:t>
      </w:r>
      <w:r w:rsidR="007E1B72">
        <w:rPr>
          <w:lang w:val="en-US"/>
        </w:rPr>
        <w:t>5(a)</w:t>
      </w:r>
    </w:p>
    <w:p w14:paraId="3D5658E6" w14:textId="0A7C055C" w:rsidR="00F84C39" w:rsidRPr="00F84C39" w:rsidRDefault="00F84C39" w:rsidP="007E1B72">
      <w:pPr>
        <w:pStyle w:val="SingleTxtG"/>
        <w:numPr>
          <w:ilvl w:val="0"/>
          <w:numId w:val="24"/>
        </w:numPr>
        <w:ind w:left="1134" w:firstLine="0"/>
        <w:rPr>
          <w:lang w:val="en-US"/>
        </w:rPr>
      </w:pPr>
      <w:r w:rsidRPr="00F84C39">
        <w:rPr>
          <w:lang w:val="en-US"/>
        </w:rPr>
        <w:t>The Crown Law Office has worked closely with the Office of the Ombudsman to review the Ombudsman Act 1984 and consider the legislative arrangements required to establish a national human rights institution. The legislative review has been completed, and there is broad support for expanding the Ombudsman’s mandate to incorporate national human rights functions.</w:t>
      </w:r>
    </w:p>
    <w:p w14:paraId="0C9DFDFC" w14:textId="77777777" w:rsidR="007E1B72" w:rsidRDefault="00F84C39" w:rsidP="007E1B72">
      <w:pPr>
        <w:pStyle w:val="SingleTxtG"/>
        <w:numPr>
          <w:ilvl w:val="0"/>
          <w:numId w:val="24"/>
        </w:numPr>
        <w:ind w:left="1134" w:firstLine="0"/>
        <w:rPr>
          <w:lang w:val="en-US"/>
        </w:rPr>
      </w:pPr>
      <w:r w:rsidRPr="00F84C39">
        <w:rPr>
          <w:lang w:val="en-US"/>
        </w:rPr>
        <w:t>However, implementation remains dependent on securing adequate financial, technical and human resources. The Office of the Ombudsman was unable to obtain the required funding through the national budget process due to competing national priorities and is currently exploring external funding opportunities to support the establishment and operation of the institution.</w:t>
      </w:r>
    </w:p>
    <w:p w14:paraId="04832A22" w14:textId="09B88A8B" w:rsidR="007E1B72" w:rsidRPr="007E1B72" w:rsidRDefault="004F5EF4" w:rsidP="004F5EF4">
      <w:pPr>
        <w:pStyle w:val="H23G"/>
        <w:rPr>
          <w:lang w:val="en-US"/>
        </w:rPr>
      </w:pPr>
      <w:r>
        <w:rPr>
          <w:lang w:val="en-US"/>
        </w:rPr>
        <w:tab/>
      </w:r>
      <w:r>
        <w:rPr>
          <w:lang w:val="en-US"/>
        </w:rPr>
        <w:tab/>
      </w:r>
      <w:r w:rsidR="007E1B72" w:rsidRPr="007E1B72">
        <w:rPr>
          <w:lang w:val="en-US"/>
        </w:rPr>
        <w:t>Reply to paragraph 5(b)</w:t>
      </w:r>
    </w:p>
    <w:p w14:paraId="75C1BFCF" w14:textId="3B3EA757" w:rsidR="00F84C39" w:rsidRPr="00F84C39" w:rsidRDefault="00F84C39" w:rsidP="007E1B72">
      <w:pPr>
        <w:pStyle w:val="SingleTxtG"/>
        <w:numPr>
          <w:ilvl w:val="0"/>
          <w:numId w:val="24"/>
        </w:numPr>
        <w:ind w:left="1134" w:firstLine="0"/>
        <w:rPr>
          <w:lang w:val="en-US"/>
        </w:rPr>
      </w:pPr>
      <w:r w:rsidRPr="00F84C39">
        <w:rPr>
          <w:lang w:val="en-US"/>
        </w:rPr>
        <w:t>The Cook Islands recognises that the absence of formal sex or gender-discrimination complaints does not necessarily mean discrimination has not occurred. Under-reporting may reflect limited awareness of remedies, confidentiality or retaliation concerns, cultural and language barriers, disability-related barriers, or geographic isolation in the Pa Enua.</w:t>
      </w:r>
    </w:p>
    <w:p w14:paraId="38CDBE8A" w14:textId="77777777" w:rsidR="00307801" w:rsidRPr="00307801" w:rsidRDefault="00307801" w:rsidP="007E1B72">
      <w:pPr>
        <w:pStyle w:val="SingleTxtG"/>
        <w:numPr>
          <w:ilvl w:val="0"/>
          <w:numId w:val="24"/>
        </w:numPr>
        <w:ind w:left="1134" w:firstLine="0"/>
        <w:rPr>
          <w:lang w:val="en-US"/>
        </w:rPr>
      </w:pPr>
      <w:r>
        <w:t>Social Protection and Labour Services receives employment complaints concerning discrimination, harassment, wages, leave and workplace treatment. Labour Inspectors provide confidential advice, investigate complaints and support resolution through mediation, compliance or enforcement. Matters may also be referred to the Cook Islands Mediation Centre.</w:t>
      </w:r>
    </w:p>
    <w:p w14:paraId="5C276BE9" w14:textId="77777777" w:rsidR="00307801" w:rsidRPr="00307801" w:rsidRDefault="00307801" w:rsidP="007E1B72">
      <w:pPr>
        <w:pStyle w:val="SingleTxtG"/>
        <w:numPr>
          <w:ilvl w:val="0"/>
          <w:numId w:val="24"/>
        </w:numPr>
        <w:ind w:left="1134" w:firstLine="0"/>
        <w:rPr>
          <w:lang w:val="en-US"/>
        </w:rPr>
      </w:pPr>
      <w:r>
        <w:t>Awareness is promoted through monthly workplace inductions, employer sessions, employment-agreement reviews and public guidance. Services are available to local and migrant workers, supported by the Cook Islands Migrant Hub. Pa Enua Welfare Consultants provide local assistance and referrals to Police, Health, Immigration, social services and civil society organisations.</w:t>
      </w:r>
    </w:p>
    <w:p w14:paraId="69788903" w14:textId="77777777" w:rsidR="00307801" w:rsidRPr="00307801" w:rsidRDefault="00307801" w:rsidP="007E1B72">
      <w:pPr>
        <w:pStyle w:val="SingleTxtG"/>
        <w:numPr>
          <w:ilvl w:val="0"/>
          <w:numId w:val="24"/>
        </w:numPr>
        <w:ind w:left="1134" w:firstLine="0"/>
        <w:rPr>
          <w:lang w:val="en-US"/>
        </w:rPr>
      </w:pPr>
      <w:r>
        <w:t>A gender-responsive Media Code of Ethics is also being developed, including a process for complaints about content that objectifies or demeans women, reinforces stereotypes, normalises violence or promotes harmful masculinities. Public awareness and media training will support implementation.</w:t>
      </w:r>
    </w:p>
    <w:p w14:paraId="6A4F0797" w14:textId="3F1B92DE" w:rsidR="00F84C39" w:rsidRDefault="004F5EF4" w:rsidP="004F5EF4">
      <w:pPr>
        <w:pStyle w:val="H1G"/>
        <w:rPr>
          <w:lang w:val="en-US"/>
        </w:rPr>
      </w:pPr>
      <w:r>
        <w:rPr>
          <w:lang w:val="en-US"/>
        </w:rPr>
        <w:tab/>
      </w:r>
      <w:r>
        <w:rPr>
          <w:lang w:val="en-US"/>
        </w:rPr>
        <w:tab/>
      </w:r>
      <w:r w:rsidR="00F84C39" w:rsidRPr="00F84C39">
        <w:rPr>
          <w:lang w:val="en-US"/>
        </w:rPr>
        <w:t>Temporary special measures</w:t>
      </w:r>
    </w:p>
    <w:p w14:paraId="3683BD78" w14:textId="630080D4" w:rsidR="00F76734" w:rsidRPr="00F84C39"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6</w:t>
      </w:r>
    </w:p>
    <w:p w14:paraId="4E672476" w14:textId="77777777" w:rsidR="00920882" w:rsidRPr="00920882" w:rsidRDefault="00920882" w:rsidP="00F76734">
      <w:pPr>
        <w:pStyle w:val="SingleTxtG"/>
        <w:numPr>
          <w:ilvl w:val="0"/>
          <w:numId w:val="24"/>
        </w:numPr>
        <w:ind w:left="1134" w:firstLine="0"/>
        <w:rPr>
          <w:lang w:val="en-US"/>
        </w:rPr>
      </w:pPr>
      <w:r>
        <w:t>The Cook Islands has not adopted legislated quotas, reserved seats or other temporary special measures, and no formal timeline has been set. Future measures will be informed by updated census, labour-market and electoral data, public consultation and legal review.</w:t>
      </w:r>
    </w:p>
    <w:p w14:paraId="5FB84504" w14:textId="2E16D3F5" w:rsidR="00F84C39" w:rsidRPr="00F84C39" w:rsidRDefault="00F84C39" w:rsidP="00F76734">
      <w:pPr>
        <w:pStyle w:val="SingleTxtG"/>
        <w:numPr>
          <w:ilvl w:val="0"/>
          <w:numId w:val="24"/>
        </w:numPr>
        <w:ind w:left="1134" w:firstLine="0"/>
        <w:rPr>
          <w:lang w:val="en-US"/>
        </w:rPr>
      </w:pPr>
      <w:r w:rsidRPr="00F84C39">
        <w:rPr>
          <w:lang w:val="en-US"/>
        </w:rPr>
        <w:t xml:space="preserve">Women currently comprise almost 30 per cent of Members of Parliament and hold six of the fourteen public-sector agency head positions, including in traditionally male-dominated sectors such as marine resources and infrastructure. While this represents strong </w:t>
      </w:r>
      <w:r w:rsidRPr="00F84C39">
        <w:rPr>
          <w:lang w:val="en-US"/>
        </w:rPr>
        <w:lastRenderedPageBreak/>
        <w:t>regional participation, women remain underrepresented across political decision-making, certain occupations and senior leadership roles.</w:t>
      </w:r>
    </w:p>
    <w:p w14:paraId="4F8C3D3D" w14:textId="77777777" w:rsidR="00920882" w:rsidRPr="00920882" w:rsidRDefault="00920882" w:rsidP="00F76734">
      <w:pPr>
        <w:pStyle w:val="SingleTxtG"/>
        <w:numPr>
          <w:ilvl w:val="0"/>
          <w:numId w:val="24"/>
        </w:numPr>
        <w:ind w:left="1134" w:firstLine="0"/>
        <w:rPr>
          <w:lang w:val="en-US"/>
        </w:rPr>
      </w:pPr>
      <w:r>
        <w:t>The 2026 Census will provide updated evidence on gender disparities in employment, pay, leadership and occupational participation. Based on the findings, the Government may establish measurable targets and consider targeted scholarships, recruitment programmes, mentoring, professional development and support for women entering leadership and non-traditional occupations. The Law Commission may also review legislative and policy options, including quotas or reserved seats.</w:t>
      </w:r>
    </w:p>
    <w:p w14:paraId="2A87FE28" w14:textId="19E3B465" w:rsidR="00F84C39" w:rsidRPr="00F84C39" w:rsidRDefault="00F84C39" w:rsidP="00F76734">
      <w:pPr>
        <w:pStyle w:val="SingleTxtG"/>
        <w:numPr>
          <w:ilvl w:val="0"/>
          <w:numId w:val="24"/>
        </w:numPr>
        <w:ind w:left="1134" w:firstLine="0"/>
        <w:rPr>
          <w:lang w:val="en-US"/>
        </w:rPr>
      </w:pPr>
      <w:r w:rsidRPr="00F84C39">
        <w:rPr>
          <w:lang w:val="en-US"/>
        </w:rPr>
        <w:t>Awareness-raising will also clarify that temporary special measures are lawful, time-bound and targeted actions permitted under the Convention to address structural disadvantage and accelerate substantive equality. This will be supported through policy guidance, training, engagement with political parties and public-sector agencies, and public education.</w:t>
      </w:r>
    </w:p>
    <w:p w14:paraId="050EB0B6" w14:textId="4EE79C31" w:rsidR="00F84C39" w:rsidRDefault="004F5EF4" w:rsidP="004F5EF4">
      <w:pPr>
        <w:pStyle w:val="H1G"/>
        <w:rPr>
          <w:lang w:val="en-US"/>
        </w:rPr>
      </w:pPr>
      <w:r>
        <w:rPr>
          <w:lang w:val="en-US"/>
        </w:rPr>
        <w:tab/>
      </w:r>
      <w:r>
        <w:rPr>
          <w:lang w:val="en-US"/>
        </w:rPr>
        <w:tab/>
      </w:r>
      <w:r w:rsidR="00F84C39" w:rsidRPr="00F84C39">
        <w:rPr>
          <w:lang w:val="en-US"/>
        </w:rPr>
        <w:t>Access to justice</w:t>
      </w:r>
    </w:p>
    <w:p w14:paraId="122EF32E" w14:textId="7375CA1A" w:rsidR="00F76734" w:rsidRPr="00F84C39"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7</w:t>
      </w:r>
    </w:p>
    <w:p w14:paraId="37899A91" w14:textId="6E78BF3E" w:rsidR="00F84C39" w:rsidRPr="00F84C39" w:rsidRDefault="00F84C39" w:rsidP="00F76734">
      <w:pPr>
        <w:pStyle w:val="SingleTxtG"/>
        <w:numPr>
          <w:ilvl w:val="0"/>
          <w:numId w:val="24"/>
        </w:numPr>
        <w:ind w:left="1134" w:firstLine="0"/>
        <w:rPr>
          <w:lang w:val="en-US"/>
        </w:rPr>
      </w:pPr>
      <w:r w:rsidRPr="00F84C39">
        <w:rPr>
          <w:lang w:val="en-US"/>
        </w:rPr>
        <w:t>Legal aid in the Cook Islands is currently limited to specified criminal proceedings under the Legal Aid Act. The statutory purpose of the scheme is to assist persons who do not have sufficient means to pay for legal representation in criminal matters. Eligibility is available on an equal basis and is determined through a means and interests-of-justice assessment.</w:t>
      </w:r>
    </w:p>
    <w:p w14:paraId="34FB86BE" w14:textId="77777777" w:rsidR="00F84C39" w:rsidRPr="00F84C39" w:rsidRDefault="00F84C39" w:rsidP="00F76734">
      <w:pPr>
        <w:pStyle w:val="SingleTxtG"/>
        <w:numPr>
          <w:ilvl w:val="0"/>
          <w:numId w:val="24"/>
        </w:numPr>
        <w:ind w:left="1134" w:firstLine="0"/>
        <w:rPr>
          <w:lang w:val="en-US"/>
        </w:rPr>
      </w:pPr>
      <w:r w:rsidRPr="00F84C39">
        <w:rPr>
          <w:lang w:val="en-US"/>
        </w:rPr>
        <w:t>Under sections 9 and 10 of the Act, legal aid may be granted for criminal proceedings before the High Court, specified criminal appeals, parole proceedings and any other proceedings prescribed by law. In determining an application, consideration is given to whether the applicant has been charged with or convicted of an offence, whether the applicant can afford legal representation, and whether the interests of justice require assistance. Relevant considerations include the seriousness of the alleged offence, the potential consequences of refusing legal aid, the merits of an appeal and any other relevant circumstances.</w:t>
      </w:r>
    </w:p>
    <w:p w14:paraId="306CE73D" w14:textId="77777777" w:rsidR="00F84C39" w:rsidRPr="00F84C39" w:rsidRDefault="00F84C39" w:rsidP="00F76734">
      <w:pPr>
        <w:pStyle w:val="SingleTxtG"/>
        <w:numPr>
          <w:ilvl w:val="0"/>
          <w:numId w:val="24"/>
        </w:numPr>
        <w:ind w:left="1134" w:firstLine="0"/>
        <w:rPr>
          <w:lang w:val="en-US"/>
        </w:rPr>
      </w:pPr>
      <w:r w:rsidRPr="00F84C39">
        <w:rPr>
          <w:lang w:val="en-US"/>
        </w:rPr>
        <w:t>The present legal aid framework does not extend to civil claims involving discrimination on the basis of sex or gender. Where discriminatory conduct does not constitute a criminal offence, legal aid is therefore not currently available, irrespective of the complainant’s sex or gender. Where the conduct also amounts to criminal offending and the evidential and public-interest requirements for prosecution are met, the matter may be investigated and prosecuted by the State.</w:t>
      </w:r>
    </w:p>
    <w:p w14:paraId="5CEFDC2F" w14:textId="236C02B8" w:rsidR="00F84C39" w:rsidRPr="00F84C39" w:rsidRDefault="00F84C39" w:rsidP="00F76734">
      <w:pPr>
        <w:pStyle w:val="SingleTxtG"/>
        <w:numPr>
          <w:ilvl w:val="0"/>
          <w:numId w:val="24"/>
        </w:numPr>
        <w:ind w:left="1134" w:firstLine="0"/>
        <w:rPr>
          <w:lang w:val="en-US"/>
        </w:rPr>
      </w:pPr>
      <w:r w:rsidRPr="00F84C39">
        <w:rPr>
          <w:lang w:val="en-US"/>
        </w:rPr>
        <w:t>At present, no legislative reform proposal is before the Government to extend legal aid to civil discrimination matters.</w:t>
      </w:r>
      <w:r w:rsidR="00920882">
        <w:rPr>
          <w:lang w:val="en-US"/>
        </w:rPr>
        <w:t xml:space="preserve"> </w:t>
      </w:r>
      <w:r w:rsidRPr="00F84C39">
        <w:rPr>
          <w:lang w:val="en-US"/>
        </w:rPr>
        <w:t>The principal barriers are limited financial and human resources and the absence of a publicly funded community legal advice service. In the 2025/26 financial year, funding was allocated to legal aid, an amount that had remained unchanged for several years and was insufficient to meet all eligible demand. The allocation has since been increased. This additional funding will improve access to legal representation for persons involved in qualifying criminal proceedings, although it does not presently extend the scope of the scheme to civil discrimination matters.</w:t>
      </w:r>
    </w:p>
    <w:p w14:paraId="78DEECC9" w14:textId="77777777" w:rsidR="00F84C39" w:rsidRPr="00F84C39" w:rsidRDefault="00F84C39" w:rsidP="00F76734">
      <w:pPr>
        <w:pStyle w:val="SingleTxtG"/>
        <w:numPr>
          <w:ilvl w:val="0"/>
          <w:numId w:val="24"/>
        </w:numPr>
        <w:ind w:left="1134" w:firstLine="0"/>
        <w:rPr>
          <w:lang w:val="en-US"/>
        </w:rPr>
      </w:pPr>
      <w:r w:rsidRPr="00F84C39">
        <w:rPr>
          <w:lang w:val="en-US"/>
        </w:rPr>
        <w:t xml:space="preserve">Women in the Pa Enua face additional barriers to justice, including geographic isolation, travel costs, limited access to lawyers and specialist services, and delays in obtaining confidential legal advice. These challenges may be greater for women with disabilities, who may need accessible information and accommodation, and for migrant women facing language barriers, limited awareness of their rights, financial dependence, or concerns about immigration or employment status. Strong referral pathways between Police, courts, Labour Services, Social Protection, Immigration, health services and community organisations remain essential. </w:t>
      </w:r>
    </w:p>
    <w:p w14:paraId="608AD154" w14:textId="77777777" w:rsidR="00920882" w:rsidRPr="00920882" w:rsidRDefault="00920882" w:rsidP="00F76734">
      <w:pPr>
        <w:pStyle w:val="SingleTxtG"/>
        <w:numPr>
          <w:ilvl w:val="0"/>
          <w:numId w:val="24"/>
        </w:numPr>
        <w:ind w:left="1134" w:firstLine="0"/>
        <w:rPr>
          <w:lang w:val="en-US"/>
        </w:rPr>
      </w:pPr>
      <w:r>
        <w:t xml:space="preserve">Hate crimes and gender-based violence against lesbian, bisexual, transgender and intersex women may be investigated and prosecuted where the conduct constitutes an offence </w:t>
      </w:r>
      <w:r>
        <w:lastRenderedPageBreak/>
        <w:t>and meets evidential requirements. Priorities include justice-sector training, disaggregated data, safe reporting and access to legal, psychosocial and protection services.</w:t>
      </w:r>
    </w:p>
    <w:p w14:paraId="74D0CCEE" w14:textId="2E178373" w:rsidR="00F84C39" w:rsidRDefault="004F5EF4" w:rsidP="004F5EF4">
      <w:pPr>
        <w:pStyle w:val="H1G"/>
        <w:rPr>
          <w:lang w:val="en-US"/>
        </w:rPr>
      </w:pPr>
      <w:r>
        <w:rPr>
          <w:lang w:val="en-US"/>
        </w:rPr>
        <w:tab/>
      </w:r>
      <w:r>
        <w:rPr>
          <w:lang w:val="en-US"/>
        </w:rPr>
        <w:tab/>
      </w:r>
      <w:r w:rsidR="00F84C39" w:rsidRPr="00F84C39">
        <w:rPr>
          <w:lang w:val="en-US"/>
        </w:rPr>
        <w:t>Gender stereotypes and harmful practices</w:t>
      </w:r>
    </w:p>
    <w:p w14:paraId="48214407" w14:textId="5D14D8A8" w:rsidR="00F76734" w:rsidRPr="00F84C39"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8(a)</w:t>
      </w:r>
    </w:p>
    <w:p w14:paraId="37B4181B" w14:textId="77777777" w:rsidR="00920882" w:rsidRPr="00920882" w:rsidRDefault="00920882" w:rsidP="00BB7A24">
      <w:pPr>
        <w:pStyle w:val="SingleTxtG"/>
        <w:numPr>
          <w:ilvl w:val="0"/>
          <w:numId w:val="24"/>
        </w:numPr>
        <w:ind w:left="1134" w:firstLine="0"/>
        <w:rPr>
          <w:lang w:val="en-US"/>
        </w:rPr>
      </w:pPr>
      <w:r>
        <w:rPr>
          <w:rStyle w:val="Emphasis"/>
        </w:rPr>
        <w:t>Vai Marino 2026–2031</w:t>
      </w:r>
      <w:r>
        <w:t xml:space="preserve"> addresses patriarchal attitudes and gender stereotypes under its prevention priority. Its action plan identifies responsible agencies, timeframes, indicators and expected results. Initial work was supported by Pacific Community funding, while ongoing activities will require inclusion in agency and partner budgets.</w:t>
      </w:r>
    </w:p>
    <w:p w14:paraId="0B6CE7DB" w14:textId="251BD481" w:rsidR="00F84C39" w:rsidRPr="00F84C39" w:rsidRDefault="00F84C39" w:rsidP="00BB7A24">
      <w:pPr>
        <w:pStyle w:val="SingleTxtG"/>
        <w:numPr>
          <w:ilvl w:val="0"/>
          <w:numId w:val="24"/>
        </w:numPr>
        <w:ind w:left="1134" w:firstLine="0"/>
        <w:rPr>
          <w:lang w:val="en-US"/>
        </w:rPr>
      </w:pPr>
      <w:r w:rsidRPr="00F84C39">
        <w:rPr>
          <w:lang w:val="en-US"/>
        </w:rPr>
        <w:t>Preventive measures under the Policy include integrating gender equality, respectful relationships and gender-based violence prevention into education and public awareness programmes. Planned activities include working with schools to challenge harmful stereotypes and promote respectful, non-violent relationships, and developing parenting resources that encourage shared household and caregiving responsibilities.</w:t>
      </w:r>
    </w:p>
    <w:p w14:paraId="6C0769BD" w14:textId="77777777" w:rsidR="00F84C39" w:rsidRPr="00F84C39" w:rsidRDefault="00F84C39" w:rsidP="00BB7A24">
      <w:pPr>
        <w:pStyle w:val="SingleTxtG"/>
        <w:numPr>
          <w:ilvl w:val="0"/>
          <w:numId w:val="24"/>
        </w:numPr>
        <w:ind w:left="1134" w:firstLine="0"/>
        <w:rPr>
          <w:lang w:val="en-US"/>
        </w:rPr>
      </w:pPr>
      <w:r w:rsidRPr="00F84C39">
        <w:rPr>
          <w:lang w:val="en-US"/>
        </w:rPr>
        <w:t>Prevention activities have also been extended to the Pa Enua. Supported NGOs by the Government  like Punanga Turuturu Itivaine and Te Punanga Ora’anga Matutu have delivered community awareness on gender-based violence and available support services. The Vai Marino action plan provides a framework for expanding this work through partnerships with island governments, traditional and community leaders, churches, women’s and youth groups, and local service providers.</w:t>
      </w:r>
    </w:p>
    <w:p w14:paraId="737065CD" w14:textId="77777777" w:rsidR="00F84C39" w:rsidRPr="00F84C39" w:rsidRDefault="00F84C39" w:rsidP="00BB7A24">
      <w:pPr>
        <w:pStyle w:val="SingleTxtG"/>
        <w:numPr>
          <w:ilvl w:val="0"/>
          <w:numId w:val="24"/>
        </w:numPr>
        <w:ind w:left="1134" w:firstLine="0"/>
        <w:rPr>
          <w:lang w:val="en-US"/>
        </w:rPr>
      </w:pPr>
      <w:r w:rsidRPr="00F84C39">
        <w:rPr>
          <w:lang w:val="en-US"/>
        </w:rPr>
        <w:t>Men and boys are recognised as essential partners in preventing violence and changing harmful gender norms. In December 2025, the annual White Ribbon initiative included a public concert attended by hundreds of people, supported by government and donor funding. The event promoted men’s responsibility to reject violence, seek support and model respectful behaviour.</w:t>
      </w:r>
    </w:p>
    <w:p w14:paraId="39FE6A46" w14:textId="77777777" w:rsidR="00F84C39" w:rsidRPr="00F84C39" w:rsidRDefault="00F84C39" w:rsidP="00BB7A24">
      <w:pPr>
        <w:pStyle w:val="SingleTxtG"/>
        <w:numPr>
          <w:ilvl w:val="0"/>
          <w:numId w:val="24"/>
        </w:numPr>
        <w:ind w:left="1134" w:firstLine="0"/>
        <w:rPr>
          <w:lang w:val="en-US"/>
        </w:rPr>
      </w:pPr>
      <w:r w:rsidRPr="00F84C39">
        <w:rPr>
          <w:lang w:val="en-US"/>
        </w:rPr>
        <w:t>Further initiatives under the GBV Vai Marino Policy 2026-2031 will engage men and boys through schools, workplaces, churches, sports organisations, youth programmes and community education. Progress will be measured through indicators such as programme reach, participation, schools and communities engaged, use of educational resources, and changes in knowledge and attitudes.</w:t>
      </w:r>
    </w:p>
    <w:p w14:paraId="1E5B99A7" w14:textId="282FAB79" w:rsidR="00F76734"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8(b)</w:t>
      </w:r>
    </w:p>
    <w:p w14:paraId="5DE36DB3" w14:textId="1F931A60" w:rsidR="00F84C39" w:rsidRPr="00F84C39" w:rsidRDefault="00F84C39" w:rsidP="00BB7A24">
      <w:pPr>
        <w:pStyle w:val="SingleTxtG"/>
        <w:numPr>
          <w:ilvl w:val="0"/>
          <w:numId w:val="24"/>
        </w:numPr>
        <w:ind w:left="1134" w:firstLine="0"/>
        <w:rPr>
          <w:lang w:val="en-US"/>
        </w:rPr>
      </w:pPr>
      <w:r w:rsidRPr="00F84C39">
        <w:rPr>
          <w:lang w:val="en-US"/>
        </w:rPr>
        <w:t>The Government is developing a gender-specific Media Code of Ethics for consideration by the Media Council. It promotes accurate, respectful and diverse portrayals of women and discourages objectification, survivor-blaming, harmful stereotypes and the normalisation of violence.</w:t>
      </w:r>
    </w:p>
    <w:p w14:paraId="78F45FA3" w14:textId="77777777" w:rsidR="00F84C39" w:rsidRPr="00F84C39" w:rsidRDefault="00F84C39" w:rsidP="00BB7A24">
      <w:pPr>
        <w:pStyle w:val="SingleTxtG"/>
        <w:numPr>
          <w:ilvl w:val="0"/>
          <w:numId w:val="24"/>
        </w:numPr>
        <w:ind w:left="1134" w:firstLine="0"/>
        <w:rPr>
          <w:lang w:val="en-US"/>
        </w:rPr>
      </w:pPr>
      <w:r w:rsidRPr="00F84C39">
        <w:rPr>
          <w:lang w:val="en-US"/>
        </w:rPr>
        <w:t>The draft Code also addresses social media by discouraging misogyny, harassment, abusive commentary and harmful content, particularly concerning gender-based violence, children and survivors.</w:t>
      </w:r>
    </w:p>
    <w:p w14:paraId="5205FAD5" w14:textId="77777777" w:rsidR="00F84C39" w:rsidRPr="00F84C39" w:rsidRDefault="00F84C39" w:rsidP="00BB7A24">
      <w:pPr>
        <w:pStyle w:val="SingleTxtG"/>
        <w:numPr>
          <w:ilvl w:val="0"/>
          <w:numId w:val="24"/>
        </w:numPr>
        <w:ind w:left="1134" w:firstLine="0"/>
        <w:rPr>
          <w:lang w:val="en-US"/>
        </w:rPr>
      </w:pPr>
      <w:r w:rsidRPr="00F84C39">
        <w:rPr>
          <w:lang w:val="en-US"/>
        </w:rPr>
        <w:t>Following adoption, the Government intends to support training for journalists, editors and content creators on gender-sensitive reporting, confidentiality, appropriate language and imagery and online harms.</w:t>
      </w:r>
    </w:p>
    <w:p w14:paraId="44E3AAFD" w14:textId="13C96CC8" w:rsidR="00F76734"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8(c)</w:t>
      </w:r>
    </w:p>
    <w:p w14:paraId="76138E6D" w14:textId="41FC05B5" w:rsidR="00F84C39" w:rsidRPr="00F84C39" w:rsidRDefault="00F84C39" w:rsidP="00BB7A24">
      <w:pPr>
        <w:pStyle w:val="SingleTxtG"/>
        <w:numPr>
          <w:ilvl w:val="0"/>
          <w:numId w:val="24"/>
        </w:numPr>
        <w:ind w:left="1134" w:firstLine="0"/>
        <w:rPr>
          <w:lang w:val="en-US"/>
        </w:rPr>
      </w:pPr>
      <w:r w:rsidRPr="00F84C39">
        <w:rPr>
          <w:lang w:val="en-US"/>
        </w:rPr>
        <w:t>Section 17 of the Marriage Act 1973 currently permits persons aged 16 years or older to marry. The Government acknowledges the need to bring the legislation into line with international standards by establishing 18 years as the minimum age of marriage for all persons, irrespective of gender and without exception. The Ministry of Justice is aware of this legislative gap and intends to progress the necessary amendment within the next one to two years.</w:t>
      </w:r>
    </w:p>
    <w:p w14:paraId="65B633D2" w14:textId="7E51A92B" w:rsidR="00F84C39" w:rsidRPr="00F84C39" w:rsidRDefault="004F5EF4" w:rsidP="004F5EF4">
      <w:pPr>
        <w:pStyle w:val="H1G"/>
        <w:rPr>
          <w:lang w:val="en-US"/>
        </w:rPr>
      </w:pPr>
      <w:r>
        <w:rPr>
          <w:lang w:val="en-US"/>
        </w:rPr>
        <w:lastRenderedPageBreak/>
        <w:tab/>
      </w:r>
      <w:r>
        <w:rPr>
          <w:lang w:val="en-US"/>
        </w:rPr>
        <w:tab/>
      </w:r>
      <w:r w:rsidR="00F84C39" w:rsidRPr="00F84C39">
        <w:rPr>
          <w:lang w:val="en-US"/>
        </w:rPr>
        <w:t>Gender-based violence against women</w:t>
      </w:r>
    </w:p>
    <w:p w14:paraId="3CDCDEC4" w14:textId="52906C24" w:rsidR="00F76734"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9(a)</w:t>
      </w:r>
    </w:p>
    <w:p w14:paraId="680536D4" w14:textId="1C84F141" w:rsidR="00F84C39" w:rsidRPr="00F84C39" w:rsidRDefault="00F84C39" w:rsidP="00BB7A24">
      <w:pPr>
        <w:pStyle w:val="SingleTxtG"/>
        <w:numPr>
          <w:ilvl w:val="0"/>
          <w:numId w:val="24"/>
        </w:numPr>
        <w:ind w:left="1134" w:firstLine="0"/>
        <w:rPr>
          <w:lang w:val="en-US"/>
        </w:rPr>
      </w:pPr>
      <w:r w:rsidRPr="00F84C39">
        <w:rPr>
          <w:lang w:val="en-US"/>
        </w:rPr>
        <w:t>The Cook Islands established its first National Gender-Based Violence Unit within the Ministry of Internal Affairs in May 2025. Supported by Pacific Community funding for 2024–2026, the Unit coordinates policy development, awareness, referrals and services and strengthens cooperation between government and civil society.</w:t>
      </w:r>
    </w:p>
    <w:p w14:paraId="2B15611F" w14:textId="77777777" w:rsidR="00F84C39" w:rsidRPr="00F84C39" w:rsidRDefault="00F84C39" w:rsidP="00BB7A24">
      <w:pPr>
        <w:pStyle w:val="SingleTxtG"/>
        <w:numPr>
          <w:ilvl w:val="0"/>
          <w:numId w:val="24"/>
        </w:numPr>
        <w:ind w:left="1134" w:firstLine="0"/>
        <w:rPr>
          <w:lang w:val="en-US"/>
        </w:rPr>
      </w:pPr>
      <w:r w:rsidRPr="00F84C39">
        <w:rPr>
          <w:lang w:val="en-US"/>
        </w:rPr>
        <w:t>The Government will consider sustainable funding beyond 2026, including incorporating GBV activities into agency workplans and budgets and seeking development-partner support.</w:t>
      </w:r>
    </w:p>
    <w:p w14:paraId="6E3BB0A2" w14:textId="77777777" w:rsidR="00F84C39" w:rsidRPr="00F84C39" w:rsidRDefault="00F84C39" w:rsidP="00BB7A24">
      <w:pPr>
        <w:pStyle w:val="SingleTxtG"/>
        <w:numPr>
          <w:ilvl w:val="0"/>
          <w:numId w:val="24"/>
        </w:numPr>
        <w:ind w:left="1134" w:firstLine="0"/>
        <w:rPr>
          <w:lang w:val="en-US"/>
        </w:rPr>
      </w:pPr>
      <w:r w:rsidRPr="00F84C39">
        <w:rPr>
          <w:i/>
          <w:iCs/>
          <w:lang w:val="en-US"/>
        </w:rPr>
        <w:t>Vai Marino 2026–2031</w:t>
      </w:r>
      <w:r w:rsidRPr="00F84C39">
        <w:rPr>
          <w:lang w:val="en-US"/>
        </w:rPr>
        <w:t xml:space="preserve"> was nationally validated on 26 June 2026 and will be submitted to Cabinet after the August 2026 general election. Women’s, community and faith-based organisations, service providers and Pa Enua representatives contributed to its development and will support implementation, prevention, counselling and survivor services.</w:t>
      </w:r>
    </w:p>
    <w:p w14:paraId="3492657F" w14:textId="3E270D2E" w:rsidR="00F76734"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9(b)</w:t>
      </w:r>
    </w:p>
    <w:p w14:paraId="6DEB2617" w14:textId="5C7ECF17" w:rsidR="00F84C39" w:rsidRPr="00F84C39" w:rsidRDefault="00F84C39" w:rsidP="00BB7A24">
      <w:pPr>
        <w:pStyle w:val="SingleTxtG"/>
        <w:numPr>
          <w:ilvl w:val="0"/>
          <w:numId w:val="24"/>
        </w:numPr>
        <w:ind w:left="1134" w:firstLine="0"/>
        <w:rPr>
          <w:lang w:val="en-US"/>
        </w:rPr>
      </w:pPr>
      <w:r w:rsidRPr="00F84C39">
        <w:rPr>
          <w:lang w:val="en-US"/>
        </w:rPr>
        <w:t xml:space="preserve">In 2026, Punanga Turuturu Itivaine conducted a legislative review of the Family Protection and Support Act 2017. The review examined gaps in the Act and made recommendations to strengthen the legislative framework and its practical application. </w:t>
      </w:r>
    </w:p>
    <w:p w14:paraId="0ADF3083" w14:textId="43512E9C" w:rsidR="00F76734"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9(c)</w:t>
      </w:r>
    </w:p>
    <w:p w14:paraId="202D1F70" w14:textId="5C5D81DD" w:rsidR="00F84C39" w:rsidRPr="00F84C39" w:rsidRDefault="00F84C39" w:rsidP="00BB7A24">
      <w:pPr>
        <w:pStyle w:val="SingleTxtG"/>
        <w:numPr>
          <w:ilvl w:val="0"/>
          <w:numId w:val="24"/>
        </w:numPr>
        <w:ind w:left="1134" w:firstLine="0"/>
        <w:rPr>
          <w:lang w:val="en-US"/>
        </w:rPr>
      </w:pPr>
      <w:r w:rsidRPr="00F84C39">
        <w:rPr>
          <w:lang w:val="en-US"/>
        </w:rPr>
        <w:t>The GBV Policy Vai Marino 2026-2031 action plan includes measures to strengthen the knowledge and skills of judges, law-enforcement officers, healthcare providers, and other frontline personnel. Training is intended to cover gender-sensitive, survivor-centred and trauma-informed approaches; referral pathways; evidence collection; and the particular barriers faced by women with disabilities, migrant women, young and older women and women living in the Pa Enua.</w:t>
      </w:r>
    </w:p>
    <w:p w14:paraId="7FE58295" w14:textId="0356EAC2" w:rsidR="00F76734"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9(d)</w:t>
      </w:r>
      <w:r w:rsidR="00F76734" w:rsidRPr="00F84C39">
        <w:rPr>
          <w:lang w:val="en-US"/>
        </w:rPr>
        <w:t xml:space="preserve"> </w:t>
      </w:r>
    </w:p>
    <w:p w14:paraId="0DF3CCB8" w14:textId="4203A88C" w:rsidR="00F84C39" w:rsidRPr="00F84C39" w:rsidRDefault="00F84C39" w:rsidP="00BB7A24">
      <w:pPr>
        <w:pStyle w:val="SingleTxtG"/>
        <w:numPr>
          <w:ilvl w:val="0"/>
          <w:numId w:val="24"/>
        </w:numPr>
        <w:ind w:left="1134" w:firstLine="0"/>
        <w:rPr>
          <w:lang w:val="en-US"/>
        </w:rPr>
      </w:pPr>
      <w:r w:rsidRPr="00F84C39">
        <w:rPr>
          <w:lang w:val="en-US"/>
        </w:rPr>
        <w:t>The Cybercrime Legislation Amendment Act 2026 strengthens protections against stalking, emotional abuse, technology-facilitated gender-based violence and online child sexual exploitation. It introduces new offences, modernises investigative powers and enables digital-safety measures alongside existing domestic violence and sexual-offence laws.</w:t>
      </w:r>
    </w:p>
    <w:p w14:paraId="5D0173B4" w14:textId="77777777" w:rsidR="00F84C39" w:rsidRPr="00F84C39" w:rsidRDefault="00F84C39" w:rsidP="00BB7A24">
      <w:pPr>
        <w:pStyle w:val="SingleTxtG"/>
        <w:numPr>
          <w:ilvl w:val="0"/>
          <w:numId w:val="24"/>
        </w:numPr>
        <w:ind w:left="1134" w:firstLine="0"/>
        <w:rPr>
          <w:lang w:val="en-US"/>
        </w:rPr>
      </w:pPr>
      <w:r w:rsidRPr="00F84C39">
        <w:rPr>
          <w:lang w:val="en-US"/>
        </w:rPr>
        <w:t>The Office of the Prime Minister also plans to introduce a digital child-exploitation filtering system with support from the New Zealand Government.</w:t>
      </w:r>
    </w:p>
    <w:p w14:paraId="5A60A140" w14:textId="3BF0788A" w:rsidR="00F76734"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9(e)</w:t>
      </w:r>
    </w:p>
    <w:p w14:paraId="467F3FE4" w14:textId="42101655" w:rsidR="00F84C39" w:rsidRDefault="00F84C39" w:rsidP="00BB7A24">
      <w:pPr>
        <w:pStyle w:val="SingleTxtG"/>
        <w:numPr>
          <w:ilvl w:val="0"/>
          <w:numId w:val="24"/>
        </w:numPr>
        <w:ind w:left="1134" w:firstLine="0"/>
        <w:rPr>
          <w:lang w:val="en-US"/>
        </w:rPr>
      </w:pPr>
      <w:r w:rsidRPr="00F84C39">
        <w:rPr>
          <w:lang w:val="en-US"/>
        </w:rPr>
        <w:t xml:space="preserve">There are currently no formal alternative dispute resolution procedures established or routinely used for cases of gender-based violence in the Cook Islands. </w:t>
      </w:r>
    </w:p>
    <w:p w14:paraId="6AC1EF8E" w14:textId="7A3B0D8E" w:rsidR="00F76734" w:rsidRPr="00F84C39"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9(f)</w:t>
      </w:r>
    </w:p>
    <w:p w14:paraId="49393CBB" w14:textId="77777777" w:rsidR="00920882" w:rsidRPr="00920882" w:rsidRDefault="00920882" w:rsidP="00BB7A24">
      <w:pPr>
        <w:pStyle w:val="SingleTxtG"/>
        <w:numPr>
          <w:ilvl w:val="0"/>
          <w:numId w:val="24"/>
        </w:numPr>
        <w:ind w:left="1134" w:firstLine="0"/>
        <w:rPr>
          <w:lang w:val="en-US"/>
        </w:rPr>
      </w:pPr>
      <w:r>
        <w:t>Punanga Turuturu Itivaine provides safe accommodation and support for survivors in Rarotonga. In the Pa Enua, emergency housing is arranged case by case through churches and trusted community options, based on the survivor’s safety and confidentiality needs.</w:t>
      </w:r>
    </w:p>
    <w:p w14:paraId="3E40D537" w14:textId="53FDC346" w:rsidR="00F84C39" w:rsidRDefault="00F84C39" w:rsidP="00BB7A24">
      <w:pPr>
        <w:pStyle w:val="SingleTxtG"/>
        <w:numPr>
          <w:ilvl w:val="0"/>
          <w:numId w:val="24"/>
        </w:numPr>
        <w:ind w:left="1134" w:firstLine="0"/>
        <w:rPr>
          <w:lang w:val="en-US"/>
        </w:rPr>
      </w:pPr>
      <w:r w:rsidRPr="00F84C39">
        <w:rPr>
          <w:lang w:val="en-US"/>
        </w:rPr>
        <w:t>The establishment of a dedicated shelter on every island may not be the most practical or appropriate model in the Cook Islands context. The Cook Islands has small populations and close-knit communities, where the location of a permanent shelter could be difficult to keep confidential. A dedicated facility may therefore risk identifying survivors, increasing stigma or retaliation, and compromising their safety. Small populations, limited housing and the significant costs of staffing, maintaining and securing separate facilities on each island also present sustainability challenges.</w:t>
      </w:r>
    </w:p>
    <w:p w14:paraId="04C56D97" w14:textId="4FE509CC" w:rsidR="00F76734" w:rsidRPr="00F84C39" w:rsidRDefault="004F5EF4" w:rsidP="004F5EF4">
      <w:pPr>
        <w:pStyle w:val="H23G"/>
        <w:rPr>
          <w:lang w:val="en-US"/>
        </w:rPr>
      </w:pPr>
      <w:r>
        <w:rPr>
          <w:lang w:val="en-US"/>
        </w:rPr>
        <w:lastRenderedPageBreak/>
        <w:tab/>
      </w:r>
      <w:r>
        <w:rPr>
          <w:lang w:val="en-US"/>
        </w:rPr>
        <w:tab/>
      </w:r>
      <w:r w:rsidR="00F76734" w:rsidRPr="002750DE">
        <w:rPr>
          <w:lang w:val="en-US"/>
        </w:rPr>
        <w:t xml:space="preserve">Reply to paragraph </w:t>
      </w:r>
      <w:r w:rsidR="00F76734">
        <w:rPr>
          <w:lang w:val="en-US"/>
        </w:rPr>
        <w:t>9(g)</w:t>
      </w:r>
    </w:p>
    <w:p w14:paraId="3999424B" w14:textId="5DD426D7" w:rsidR="00F84C39" w:rsidRPr="00F84C39" w:rsidRDefault="00F84C39" w:rsidP="00BB7A24">
      <w:pPr>
        <w:pStyle w:val="SingleTxtG"/>
        <w:numPr>
          <w:ilvl w:val="0"/>
          <w:numId w:val="24"/>
        </w:numPr>
        <w:ind w:left="1134" w:firstLine="0"/>
        <w:rPr>
          <w:lang w:val="en-US"/>
        </w:rPr>
      </w:pPr>
      <w:r w:rsidRPr="00F84C39">
        <w:rPr>
          <w:lang w:val="en-US"/>
        </w:rPr>
        <w:t>The Ministry of Health has not formally adopted the WHO clinical guidelines for responding to sexual violence. However, survivors of sexual violence continue to receive confidential clinical care through existing health services. The Government recognises the value of aligning national clinical guidance with international best practice and will continue to consider this as part of future health-sector policy development.</w:t>
      </w:r>
    </w:p>
    <w:p w14:paraId="47910B17" w14:textId="77777777" w:rsidR="00F84C39" w:rsidRPr="00F84C39" w:rsidRDefault="00F84C39" w:rsidP="00BB7A24">
      <w:pPr>
        <w:pStyle w:val="SingleTxtG"/>
        <w:numPr>
          <w:ilvl w:val="0"/>
          <w:numId w:val="24"/>
        </w:numPr>
        <w:ind w:left="1134" w:firstLine="0"/>
        <w:rPr>
          <w:lang w:val="en-US"/>
        </w:rPr>
      </w:pPr>
      <w:r w:rsidRPr="00F84C39">
        <w:rPr>
          <w:lang w:val="en-US"/>
        </w:rPr>
        <w:t xml:space="preserve">All sexual violence cases that present to medical practices are attended to discretely with privacy at the Rarotonga Hospital until formal intervention requirements for the prosecution of perpetrators before the High Court.  </w:t>
      </w:r>
    </w:p>
    <w:p w14:paraId="51FAE9F9" w14:textId="1C982F5E" w:rsidR="00F76734" w:rsidRDefault="004F5EF4" w:rsidP="004F5EF4">
      <w:pPr>
        <w:pStyle w:val="H23G"/>
        <w:rPr>
          <w:lang w:val="en-US"/>
        </w:rPr>
      </w:pPr>
      <w:r>
        <w:rPr>
          <w:lang w:val="en-US"/>
        </w:rPr>
        <w:tab/>
      </w:r>
      <w:r>
        <w:rPr>
          <w:lang w:val="en-US"/>
        </w:rPr>
        <w:tab/>
      </w:r>
      <w:r w:rsidR="00F76734" w:rsidRPr="002750DE">
        <w:rPr>
          <w:lang w:val="en-US"/>
        </w:rPr>
        <w:t xml:space="preserve">Reply to paragraph </w:t>
      </w:r>
      <w:r w:rsidR="00F76734">
        <w:rPr>
          <w:lang w:val="en-US"/>
        </w:rPr>
        <w:t>9(h)</w:t>
      </w:r>
    </w:p>
    <w:p w14:paraId="57C11DE5" w14:textId="2FDB7D17" w:rsidR="00F84C39" w:rsidRPr="00F84C39" w:rsidRDefault="00F84C39" w:rsidP="00BB7A24">
      <w:pPr>
        <w:pStyle w:val="SingleTxtG"/>
        <w:numPr>
          <w:ilvl w:val="0"/>
          <w:numId w:val="24"/>
        </w:numPr>
        <w:ind w:left="1134" w:firstLine="0"/>
        <w:rPr>
          <w:lang w:val="en-US"/>
        </w:rPr>
      </w:pPr>
      <w:r w:rsidRPr="00F84C39">
        <w:rPr>
          <w:lang w:val="en-US"/>
        </w:rPr>
        <w:t>Due to current resource constraints, the Government has not been able to replicate the comprehensive 2014 prevalence study on violence against women. However, more recent data-collection efforts have been undertaken. Punanga Turuturu Itivaine conducted a survey involving approximately 600 respondents in 2025/2026, which has provided updated information on experiences and perceptions of gender-based violence.</w:t>
      </w:r>
    </w:p>
    <w:p w14:paraId="0AD0E5B8" w14:textId="77777777" w:rsidR="00BB7A24" w:rsidRDefault="00F84C39" w:rsidP="00BB7A24">
      <w:pPr>
        <w:pStyle w:val="SingleTxtG"/>
        <w:numPr>
          <w:ilvl w:val="0"/>
          <w:numId w:val="24"/>
        </w:numPr>
        <w:ind w:left="1134" w:firstLine="0"/>
        <w:rPr>
          <w:lang w:val="en-US"/>
        </w:rPr>
      </w:pPr>
      <w:r w:rsidRPr="00F84C39">
        <w:rPr>
          <w:lang w:val="en-US"/>
        </w:rPr>
        <w:t>In addition, the Cook Islands Gender-Based Violence Unit is currently conducting a Knowledge, Attitudes and Experiences Survey on GBV across the Cook Islands to strengthen the evidence base on gender-based violence and inform the implementation of the National Gender-Based Violence Policy 2026-2031. The Government also recognises the need to establish a more coordinated and sustainable data-collection system across relevant agencies, with information disaggregated, where possible, by age, sex, disability and location, including the Pa Enua.</w:t>
      </w:r>
    </w:p>
    <w:p w14:paraId="3A3405DB" w14:textId="763654AA" w:rsidR="00F84C39" w:rsidRDefault="004F5EF4" w:rsidP="004F5EF4">
      <w:pPr>
        <w:pStyle w:val="H1G"/>
        <w:rPr>
          <w:lang w:val="en-US"/>
        </w:rPr>
      </w:pPr>
      <w:r>
        <w:rPr>
          <w:lang w:val="en-US"/>
        </w:rPr>
        <w:tab/>
      </w:r>
      <w:r>
        <w:rPr>
          <w:lang w:val="en-US"/>
        </w:rPr>
        <w:tab/>
      </w:r>
      <w:r w:rsidR="00F84C39" w:rsidRPr="00F84C39">
        <w:rPr>
          <w:lang w:val="en-US"/>
        </w:rPr>
        <w:t>Trafficking and exploitation of prostitution</w:t>
      </w:r>
    </w:p>
    <w:p w14:paraId="2E7259AD" w14:textId="5AC1D02E" w:rsidR="00BB7A24" w:rsidRPr="00BB7A24" w:rsidRDefault="004F5EF4" w:rsidP="004F5EF4">
      <w:pPr>
        <w:pStyle w:val="H23G"/>
        <w:rPr>
          <w:lang w:val="en-US"/>
        </w:rPr>
      </w:pPr>
      <w:r>
        <w:rPr>
          <w:lang w:val="en-US"/>
        </w:rPr>
        <w:tab/>
      </w:r>
      <w:r>
        <w:rPr>
          <w:lang w:val="en-US"/>
        </w:rPr>
        <w:tab/>
      </w:r>
      <w:r w:rsidR="00BB7A24" w:rsidRPr="00BB7A24">
        <w:rPr>
          <w:lang w:val="en-US"/>
        </w:rPr>
        <w:t>Reply to paragraph 10(a)</w:t>
      </w:r>
    </w:p>
    <w:p w14:paraId="7FDAD662" w14:textId="42847140" w:rsidR="00F84C39" w:rsidRPr="00F84C39" w:rsidRDefault="00F84C39" w:rsidP="0015387D">
      <w:pPr>
        <w:pStyle w:val="SingleTxtG"/>
        <w:numPr>
          <w:ilvl w:val="0"/>
          <w:numId w:val="24"/>
        </w:numPr>
        <w:ind w:left="1134" w:firstLine="0"/>
        <w:rPr>
          <w:lang w:val="en-US"/>
        </w:rPr>
      </w:pPr>
      <w:r w:rsidRPr="00F84C39">
        <w:rPr>
          <w:lang w:val="en-US"/>
        </w:rPr>
        <w:t>Section 161 of the Crimes Act 1969 does not criminalise the act of prostitution itself. Rather, it makes it an offence for a person to knowingly profit from the prostitution of another person, including by living wholly or partly on that person’s earnings or by soliciting or receiving payment for procuring clients.</w:t>
      </w:r>
    </w:p>
    <w:p w14:paraId="095F5E5F" w14:textId="77777777" w:rsidR="00F84C39" w:rsidRPr="00F84C39" w:rsidRDefault="00F84C39" w:rsidP="0015387D">
      <w:pPr>
        <w:pStyle w:val="SingleTxtG"/>
        <w:numPr>
          <w:ilvl w:val="0"/>
          <w:numId w:val="24"/>
        </w:numPr>
        <w:ind w:left="1134" w:firstLine="0"/>
        <w:rPr>
          <w:lang w:val="en-US"/>
        </w:rPr>
      </w:pPr>
      <w:r w:rsidRPr="00F84C39">
        <w:rPr>
          <w:lang w:val="en-US"/>
        </w:rPr>
        <w:t>Other offences relating to prostitution under the Crimes Act 1969 include section 160, which concerns the keeping or management of a brothel; section 162, which prohibits procuring another person for prostitution in return for payment or other benefit; and section 163, which criminalises loitering or importuning by a person described in the Act as a “common prostitute” in a public place, with a penalty of up to one month’s imprisonment or a fine of $20.</w:t>
      </w:r>
    </w:p>
    <w:p w14:paraId="49A58B50" w14:textId="3C3427DC"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10(b)</w:t>
      </w:r>
    </w:p>
    <w:p w14:paraId="5BDE8402" w14:textId="0846D3EC" w:rsidR="00F84C39" w:rsidRPr="00F84C39" w:rsidRDefault="00F84C39" w:rsidP="0015387D">
      <w:pPr>
        <w:pStyle w:val="SingleTxtG"/>
        <w:numPr>
          <w:ilvl w:val="0"/>
          <w:numId w:val="24"/>
        </w:numPr>
        <w:ind w:left="1134" w:firstLine="0"/>
        <w:rPr>
          <w:lang w:val="en-US"/>
        </w:rPr>
      </w:pPr>
      <w:r w:rsidRPr="00F84C39">
        <w:rPr>
          <w:lang w:val="en-US"/>
        </w:rPr>
        <w:t xml:space="preserve">Punanga Turuturu Itivaine conducted a 2007 study on commercial sexual exploitation of children and child sexual abuse. However, no recent comprehensive study has examined trafficking in women and girls or its links to tourism, maritime employment, foreign fishers, deep-sea mining or other extractive industries. </w:t>
      </w:r>
    </w:p>
    <w:p w14:paraId="027B30C0" w14:textId="77777777" w:rsidR="00F84C39" w:rsidRPr="00F84C39" w:rsidRDefault="00F84C39" w:rsidP="0015387D">
      <w:pPr>
        <w:pStyle w:val="SingleTxtG"/>
        <w:numPr>
          <w:ilvl w:val="0"/>
          <w:numId w:val="24"/>
        </w:numPr>
        <w:ind w:left="1134" w:firstLine="0"/>
        <w:rPr>
          <w:lang w:val="en-US"/>
        </w:rPr>
      </w:pPr>
      <w:r w:rsidRPr="00F84C39">
        <w:rPr>
          <w:lang w:val="en-US"/>
        </w:rPr>
        <w:t xml:space="preserve">Subject to Cabinet endorsement and available resources, </w:t>
      </w:r>
      <w:r w:rsidRPr="00F84C39">
        <w:rPr>
          <w:i/>
          <w:iCs/>
          <w:lang w:val="en-US"/>
        </w:rPr>
        <w:t>Vai Marino 2026–2031</w:t>
      </w:r>
      <w:r w:rsidRPr="00F84C39">
        <w:rPr>
          <w:lang w:val="en-US"/>
        </w:rPr>
        <w:t xml:space="preserve"> provides for a study on trafficking and prostitution. It will examine technology-facilitated and underreported exploitation and include women and girls in Rarotonga and the Pa Enua. </w:t>
      </w:r>
    </w:p>
    <w:p w14:paraId="52295BAC" w14:textId="3E64B402"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10(c)</w:t>
      </w:r>
    </w:p>
    <w:p w14:paraId="53B2E55C" w14:textId="32723022" w:rsidR="00F84C39" w:rsidRPr="00F84C39" w:rsidRDefault="00F84C39" w:rsidP="0015387D">
      <w:pPr>
        <w:pStyle w:val="SingleTxtG"/>
        <w:numPr>
          <w:ilvl w:val="0"/>
          <w:numId w:val="24"/>
        </w:numPr>
        <w:ind w:left="1134" w:firstLine="0"/>
        <w:rPr>
          <w:lang w:val="en-US"/>
        </w:rPr>
      </w:pPr>
      <w:r w:rsidRPr="00F84C39">
        <w:rPr>
          <w:lang w:val="en-US"/>
        </w:rPr>
        <w:t>To date, no cases of human trafficking have been reported or identified in the Cook Islands. Consequently, there are currently no sex-disaggregated data on trafficking investigations, prosecutions, convictions, sentences, victim identification or support and rehabilitation services, including in relation to trafficking for the purpose of sexual exploitation.</w:t>
      </w:r>
    </w:p>
    <w:p w14:paraId="5201B5F7" w14:textId="5A1F5430" w:rsidR="0015387D" w:rsidRDefault="004F5EF4" w:rsidP="004F5EF4">
      <w:pPr>
        <w:pStyle w:val="H23G"/>
        <w:rPr>
          <w:lang w:val="en-US"/>
        </w:rPr>
      </w:pPr>
      <w:r>
        <w:rPr>
          <w:lang w:val="en-US"/>
        </w:rPr>
        <w:lastRenderedPageBreak/>
        <w:tab/>
      </w:r>
      <w:r>
        <w:rPr>
          <w:lang w:val="en-US"/>
        </w:rPr>
        <w:tab/>
      </w:r>
      <w:r w:rsidR="0015387D" w:rsidRPr="002750DE">
        <w:rPr>
          <w:lang w:val="en-US"/>
        </w:rPr>
        <w:t xml:space="preserve">Reply to paragraph </w:t>
      </w:r>
      <w:r w:rsidR="0015387D">
        <w:rPr>
          <w:lang w:val="en-US"/>
        </w:rPr>
        <w:t>10(d)</w:t>
      </w:r>
    </w:p>
    <w:p w14:paraId="0E90D39A" w14:textId="511F6ACB" w:rsidR="00F84C39" w:rsidRPr="00F84C39" w:rsidRDefault="00F84C39" w:rsidP="0015387D">
      <w:pPr>
        <w:pStyle w:val="SingleTxtG"/>
        <w:numPr>
          <w:ilvl w:val="0"/>
          <w:numId w:val="24"/>
        </w:numPr>
        <w:ind w:left="1134" w:firstLine="0"/>
        <w:rPr>
          <w:lang w:val="en-US"/>
        </w:rPr>
      </w:pPr>
      <w:r w:rsidRPr="00F84C39">
        <w:rPr>
          <w:lang w:val="en-US"/>
        </w:rPr>
        <w:t>The Cook Islands has not established dedicated exit programmes or alternative livelihood programmes for women wishing to leave prostitution. It is therefore currently unclear whether, and to what extent, prostitution is a significant problem, how many women or girls may be affected, or what specific support and livelihood needs may exist. Dedicated exit programmes and alternative sustainable income-generating opportunities have consequently not yet been established.</w:t>
      </w:r>
    </w:p>
    <w:p w14:paraId="651261FB" w14:textId="77777777" w:rsidR="00F84C39" w:rsidRPr="00F84C39" w:rsidRDefault="00F84C39" w:rsidP="0015387D">
      <w:pPr>
        <w:pStyle w:val="SingleTxtG"/>
        <w:numPr>
          <w:ilvl w:val="0"/>
          <w:numId w:val="24"/>
        </w:numPr>
        <w:ind w:left="1134" w:firstLine="0"/>
        <w:rPr>
          <w:lang w:val="en-US"/>
        </w:rPr>
      </w:pPr>
      <w:r w:rsidRPr="00F84C39">
        <w:rPr>
          <w:lang w:val="en-US"/>
        </w:rPr>
        <w:t xml:space="preserve">The validated National Gender-Based Violence Policy provides for a study on trafficking and prostitution to assess their nature, scale and related service gaps. Subject to Cabinet endorsement and available resources, the findings will inform survivor-centred referrals, psychosocial and legal assistance, skills development, employment support and sustainable livelihoods. </w:t>
      </w:r>
    </w:p>
    <w:p w14:paraId="624CF166" w14:textId="103DBC47"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10(e)</w:t>
      </w:r>
    </w:p>
    <w:p w14:paraId="49BE51D2" w14:textId="0A6931DC" w:rsidR="00F84C39" w:rsidRPr="00F84C39" w:rsidRDefault="00F84C39" w:rsidP="0015387D">
      <w:pPr>
        <w:pStyle w:val="SingleTxtG"/>
        <w:numPr>
          <w:ilvl w:val="0"/>
          <w:numId w:val="24"/>
        </w:numPr>
        <w:ind w:left="1134" w:firstLine="0"/>
        <w:rPr>
          <w:lang w:val="en-US"/>
        </w:rPr>
      </w:pPr>
      <w:r w:rsidRPr="00F84C39">
        <w:rPr>
          <w:lang w:val="en-US"/>
        </w:rPr>
        <w:t>The Cook Islands has not ratified the OPSC or Palermo Protocol, and no formal timeline or policy decision on accession has been established.</w:t>
      </w:r>
    </w:p>
    <w:p w14:paraId="2555C20D" w14:textId="77777777" w:rsidR="00F84C39" w:rsidRPr="00F84C39" w:rsidRDefault="00F84C39" w:rsidP="0015387D">
      <w:pPr>
        <w:pStyle w:val="SingleTxtG"/>
        <w:numPr>
          <w:ilvl w:val="0"/>
          <w:numId w:val="24"/>
        </w:numPr>
        <w:ind w:left="1134" w:firstLine="0"/>
        <w:rPr>
          <w:lang w:val="en-US"/>
        </w:rPr>
      </w:pPr>
      <w:r w:rsidRPr="00F84C39">
        <w:rPr>
          <w:lang w:val="en-US"/>
        </w:rPr>
        <w:t>Preventive measures include the Cybercrime Legislation Amendment Act 2026, the National Policy for Children 2026–2031, draft gender and GBV policies, and development of a Digital Child Exploitation Filtering System and Policy. No trafficking cases were identified during the reporting period.</w:t>
      </w:r>
    </w:p>
    <w:p w14:paraId="6602419D" w14:textId="77777777" w:rsidR="00F84C39" w:rsidRPr="00F84C39" w:rsidRDefault="00F84C39" w:rsidP="0015387D">
      <w:pPr>
        <w:pStyle w:val="SingleTxtG"/>
        <w:numPr>
          <w:ilvl w:val="0"/>
          <w:numId w:val="24"/>
        </w:numPr>
        <w:ind w:left="1134" w:firstLine="0"/>
        <w:rPr>
          <w:lang w:val="en-US"/>
        </w:rPr>
      </w:pPr>
      <w:r w:rsidRPr="00F84C39">
        <w:rPr>
          <w:lang w:val="en-US"/>
        </w:rPr>
        <w:t>Future consideration of ratification will depend on legislative review, implementation capacity, available resources, stakeholder consultation and Cabinet approval.</w:t>
      </w:r>
    </w:p>
    <w:p w14:paraId="22FEF728" w14:textId="0AADA5E3" w:rsidR="00F84C39" w:rsidRDefault="004F5EF4" w:rsidP="004F5EF4">
      <w:pPr>
        <w:pStyle w:val="H1G"/>
        <w:rPr>
          <w:lang w:val="en-US"/>
        </w:rPr>
      </w:pPr>
      <w:r>
        <w:rPr>
          <w:lang w:val="en-US"/>
        </w:rPr>
        <w:tab/>
      </w:r>
      <w:r>
        <w:rPr>
          <w:lang w:val="en-US"/>
        </w:rPr>
        <w:tab/>
      </w:r>
      <w:r w:rsidR="00F84C39" w:rsidRPr="00F84C39">
        <w:rPr>
          <w:lang w:val="en-US"/>
        </w:rPr>
        <w:t>Participation in political and public life</w:t>
      </w:r>
    </w:p>
    <w:p w14:paraId="68A90BCF" w14:textId="53D9E242"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11(a)</w:t>
      </w:r>
    </w:p>
    <w:p w14:paraId="2C23B251" w14:textId="2BCE5C34" w:rsidR="00F84C39" w:rsidRPr="00F84C39" w:rsidRDefault="00F84C39" w:rsidP="0015387D">
      <w:pPr>
        <w:pStyle w:val="SingleTxtG"/>
        <w:numPr>
          <w:ilvl w:val="0"/>
          <w:numId w:val="24"/>
        </w:numPr>
        <w:ind w:left="1134" w:firstLine="0"/>
        <w:rPr>
          <w:lang w:val="en-US"/>
        </w:rPr>
      </w:pPr>
      <w:r w:rsidRPr="00F84C39">
        <w:rPr>
          <w:lang w:val="en-US"/>
        </w:rPr>
        <w:t>The Electoral Act 2004 is widely considered to be due for reform, to ensure it is fit-for-purpose. Women presently comprise approximately 29 per cent of Members of Parliament, including one of six Ministers, one of three Associate Ministers and one of five Assistant Ministers. The current Leader of the Opposition is also a woman. In addition, 13 women are contesting the 2026 general election. These figures reflect comparatively strong women’s political participation within the Pacific region, achieved without the use of electoral quotas.</w:t>
      </w:r>
    </w:p>
    <w:p w14:paraId="5FE241EE" w14:textId="5BDAD31A"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11(b)</w:t>
      </w:r>
    </w:p>
    <w:p w14:paraId="7985A93C" w14:textId="4180AA27" w:rsidR="00F84C39" w:rsidRPr="00F84C39" w:rsidRDefault="00F84C39" w:rsidP="0015387D">
      <w:pPr>
        <w:pStyle w:val="SingleTxtG"/>
        <w:numPr>
          <w:ilvl w:val="0"/>
          <w:numId w:val="24"/>
        </w:numPr>
        <w:ind w:left="1134" w:firstLine="0"/>
        <w:rPr>
          <w:lang w:val="en-US"/>
        </w:rPr>
      </w:pPr>
      <w:r w:rsidRPr="00F84C39">
        <w:rPr>
          <w:lang w:val="en-US"/>
        </w:rPr>
        <w:t>The Island Government Act 2012-2013 is scheduled for review within the next year. As island government councils are elected bodies, the introduction of legislated quotas for women is not currently anticipated unless there is clear public support for such measures. Public consultations undertaken as part of the legislative review will provide an opportunity to assess community views on women’s representation. The Government will also consider other appropriate measures to encourage and strengthen women’s participation in island government councils, particularly in the Pa Enua.</w:t>
      </w:r>
      <w:r w:rsidRPr="00F84C39">
        <w:rPr>
          <w:lang w:val="en-US"/>
        </w:rPr>
        <w:tab/>
      </w:r>
    </w:p>
    <w:p w14:paraId="77D12DA6" w14:textId="63E0F0D5"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11(c)</w:t>
      </w:r>
    </w:p>
    <w:p w14:paraId="61E5663B" w14:textId="19FB9B32" w:rsidR="00F84C39" w:rsidRPr="00F84C39" w:rsidRDefault="00F84C39" w:rsidP="0015387D">
      <w:pPr>
        <w:pStyle w:val="SingleTxtG"/>
        <w:numPr>
          <w:ilvl w:val="0"/>
          <w:numId w:val="24"/>
        </w:numPr>
        <w:ind w:left="1134" w:firstLine="0"/>
        <w:rPr>
          <w:lang w:val="en-US"/>
        </w:rPr>
      </w:pPr>
      <w:r w:rsidRPr="00F84C39">
        <w:rPr>
          <w:lang w:val="en-US"/>
        </w:rPr>
        <w:t>Women comprised 53 per cent of the government workforce and 64.7 per cent of employees in the 14 public-service departments in January 2024. In 2023, women held 40 per cent of board-director and 29 per cent of chief-executive positions.</w:t>
      </w:r>
    </w:p>
    <w:p w14:paraId="388FD8AD" w14:textId="77777777" w:rsidR="00F84C39" w:rsidRPr="00F84C39" w:rsidRDefault="00F84C39" w:rsidP="0015387D">
      <w:pPr>
        <w:pStyle w:val="SingleTxtG"/>
        <w:numPr>
          <w:ilvl w:val="0"/>
          <w:numId w:val="24"/>
        </w:numPr>
        <w:ind w:left="1134" w:firstLine="0"/>
        <w:rPr>
          <w:lang w:val="en-US"/>
        </w:rPr>
      </w:pPr>
      <w:r w:rsidRPr="00F84C39">
        <w:rPr>
          <w:lang w:val="en-US"/>
        </w:rPr>
        <w:t>Women represented 29.1 per cent of Parliament in 2024, close to the 30 per cent national target. The cross-party Cook Islands Women Parliamentarians Caucus promotes gender-responsive legislation and women’s political leadership.</w:t>
      </w:r>
    </w:p>
    <w:p w14:paraId="01782644" w14:textId="77777777" w:rsidR="00F84C39" w:rsidRPr="00F84C39" w:rsidRDefault="00F84C39" w:rsidP="0015387D">
      <w:pPr>
        <w:pStyle w:val="SingleTxtG"/>
        <w:numPr>
          <w:ilvl w:val="0"/>
          <w:numId w:val="24"/>
        </w:numPr>
        <w:ind w:left="1134" w:firstLine="0"/>
        <w:rPr>
          <w:lang w:val="en-US"/>
        </w:rPr>
      </w:pPr>
      <w:r w:rsidRPr="00F84C39">
        <w:rPr>
          <w:lang w:val="en-US"/>
        </w:rPr>
        <w:t xml:space="preserve">In May 2026, the Caucus, Parliament and the National Council of Women delivered Women’s Parliament, providing practical experience in parliamentary procedures, public </w:t>
      </w:r>
      <w:r w:rsidRPr="00F84C39">
        <w:rPr>
          <w:lang w:val="en-US"/>
        </w:rPr>
        <w:lastRenderedPageBreak/>
        <w:t>speaking, policy debate and leadership and encouraging more women to enter political decision-making.</w:t>
      </w:r>
    </w:p>
    <w:p w14:paraId="405D86FD" w14:textId="35FE610E"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12</w:t>
      </w:r>
    </w:p>
    <w:p w14:paraId="0B2ADCB6" w14:textId="178ACE27" w:rsidR="00F84C39" w:rsidRPr="00F84C39" w:rsidRDefault="00F84C39" w:rsidP="0015387D">
      <w:pPr>
        <w:pStyle w:val="SingleTxtG"/>
        <w:numPr>
          <w:ilvl w:val="0"/>
          <w:numId w:val="24"/>
        </w:numPr>
        <w:ind w:left="1134" w:firstLine="0"/>
        <w:rPr>
          <w:lang w:val="en-US"/>
        </w:rPr>
      </w:pPr>
      <w:r w:rsidRPr="00F84C39">
        <w:rPr>
          <w:lang w:val="en-US"/>
        </w:rPr>
        <w:t>Women remain underrepresented in the senior judiciary. Two of the six High Court judges are women, while no women currently serve on the Court of Appeal. High Court appointments are made from New Zealand following a joint recommendation by the Chief Justice and Attorney-General; therefore, representation is influenced by the available New Zealand judicial pool.</w:t>
      </w:r>
    </w:p>
    <w:p w14:paraId="0661DE8E" w14:textId="77777777" w:rsidR="00F84C39" w:rsidRPr="00F84C39" w:rsidRDefault="00F84C39" w:rsidP="0015387D">
      <w:pPr>
        <w:pStyle w:val="SingleTxtG"/>
        <w:numPr>
          <w:ilvl w:val="0"/>
          <w:numId w:val="24"/>
        </w:numPr>
        <w:ind w:left="1134" w:firstLine="0"/>
        <w:rPr>
          <w:b/>
          <w:bCs/>
          <w:lang w:val="en-US"/>
        </w:rPr>
      </w:pPr>
      <w:r w:rsidRPr="00F84C39">
        <w:rPr>
          <w:lang w:val="en-US"/>
        </w:rPr>
        <w:t>Women comprise approximately 50 per cent of active Justices of the Peace, who are appointed under Article 62 on the recommendation of the Minister of Justice.</w:t>
      </w:r>
    </w:p>
    <w:p w14:paraId="73A3960B" w14:textId="283BBE7B" w:rsidR="00F84C39" w:rsidRPr="00F84C39" w:rsidRDefault="004F5EF4" w:rsidP="004F5EF4">
      <w:pPr>
        <w:pStyle w:val="H1G"/>
        <w:rPr>
          <w:lang w:val="en-US"/>
        </w:rPr>
      </w:pPr>
      <w:r>
        <w:rPr>
          <w:lang w:val="en-US"/>
        </w:rPr>
        <w:tab/>
      </w:r>
      <w:r>
        <w:rPr>
          <w:lang w:val="en-US"/>
        </w:rPr>
        <w:tab/>
      </w:r>
      <w:r w:rsidR="00F84C39" w:rsidRPr="00F84C39">
        <w:rPr>
          <w:lang w:val="en-US"/>
        </w:rPr>
        <w:t>Education</w:t>
      </w:r>
    </w:p>
    <w:p w14:paraId="3E8102C5" w14:textId="3115D4B5"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13(a)</w:t>
      </w:r>
    </w:p>
    <w:p w14:paraId="28A2FB69" w14:textId="0E9C5401" w:rsidR="00F84C39" w:rsidRPr="00F84C39" w:rsidRDefault="00F84C39" w:rsidP="00BB379D">
      <w:pPr>
        <w:pStyle w:val="SingleTxtG"/>
        <w:numPr>
          <w:ilvl w:val="0"/>
          <w:numId w:val="24"/>
        </w:numPr>
        <w:ind w:left="1134" w:firstLine="0"/>
        <w:rPr>
          <w:lang w:val="en-US"/>
        </w:rPr>
      </w:pPr>
      <w:r w:rsidRPr="00F84C39">
        <w:rPr>
          <w:lang w:val="en-US"/>
        </w:rPr>
        <w:t>The Ministry of Education maintains a centralised Student Management System that collects and stores information on students enrolled across the Cook Islands education system. The system enables education data to be disaggregated by sex, age, disability status, geographic location and school type. It can therefore be used to monitor enrolment, attendance, retention, progression and school completion at the student and system levels.</w:t>
      </w:r>
    </w:p>
    <w:p w14:paraId="0F93B5C7" w14:textId="77777777" w:rsidR="00F84C39" w:rsidRPr="00F84C39" w:rsidRDefault="00F84C39" w:rsidP="00BB379D">
      <w:pPr>
        <w:pStyle w:val="SingleTxtG"/>
        <w:numPr>
          <w:ilvl w:val="0"/>
          <w:numId w:val="24"/>
        </w:numPr>
        <w:ind w:left="1134" w:firstLine="0"/>
        <w:rPr>
          <w:lang w:val="en-US"/>
        </w:rPr>
      </w:pPr>
      <w:r w:rsidRPr="00F84C39">
        <w:rPr>
          <w:lang w:val="en-US"/>
        </w:rPr>
        <w:t xml:space="preserve">Available information indicates that retention and engagement challenges are currently more pronounced among boys than girls. The Ministry continues to consider how curriculum delivery, subject options and teaching approaches can be made more engaging and responsive to the interests and learning needs of all students. </w:t>
      </w:r>
    </w:p>
    <w:p w14:paraId="64AD7FD6" w14:textId="6CAE862F"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13(b)</w:t>
      </w:r>
    </w:p>
    <w:p w14:paraId="1B764AEE" w14:textId="75CF54AE" w:rsidR="00F84C39" w:rsidRPr="00F84C39" w:rsidRDefault="00F84C39" w:rsidP="00BB379D">
      <w:pPr>
        <w:pStyle w:val="SingleTxtG"/>
        <w:numPr>
          <w:ilvl w:val="0"/>
          <w:numId w:val="24"/>
        </w:numPr>
        <w:ind w:left="1134" w:firstLine="0"/>
        <w:rPr>
          <w:lang w:val="en-US"/>
        </w:rPr>
      </w:pPr>
      <w:r w:rsidRPr="00F84C39">
        <w:rPr>
          <w:lang w:val="en-US"/>
        </w:rPr>
        <w:t>The Education Act 2012 prohibits discrimination in access to education, including discrimination against students because of pregnancy or motherhood. Schools are not permitted to dismiss or exclude a student on the basis of pregnancy or motherhood.</w:t>
      </w:r>
    </w:p>
    <w:p w14:paraId="24255B5D" w14:textId="77777777" w:rsidR="00F84C39" w:rsidRPr="00F84C39" w:rsidRDefault="00F84C39" w:rsidP="00BB379D">
      <w:pPr>
        <w:pStyle w:val="SingleTxtG"/>
        <w:numPr>
          <w:ilvl w:val="0"/>
          <w:numId w:val="24"/>
        </w:numPr>
        <w:ind w:left="1134" w:firstLine="0"/>
        <w:rPr>
          <w:lang w:val="en-US"/>
        </w:rPr>
      </w:pPr>
      <w:r w:rsidRPr="00F84C39">
        <w:rPr>
          <w:lang w:val="en-US"/>
        </w:rPr>
        <w:t>Support is provided by schools and the Ministry of Education’s social worker to assist pregnant students to continue their education for as long as they are medically able to attend. This includes psychosocial support, coordination with teachers and assistance to keep up with schoolwork during pregnancy and following childbirth. Teachers provide learning materials, catch-up support and flexible arrangements to facilitate continued participation and reintegration into education.</w:t>
      </w:r>
    </w:p>
    <w:p w14:paraId="00E51B28" w14:textId="22CCECC7"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13(c)</w:t>
      </w:r>
    </w:p>
    <w:p w14:paraId="4403544B" w14:textId="3F5E9974" w:rsidR="00F84C39" w:rsidRPr="00F84C39" w:rsidRDefault="00F84C39" w:rsidP="00BB379D">
      <w:pPr>
        <w:pStyle w:val="SingleTxtG"/>
        <w:numPr>
          <w:ilvl w:val="0"/>
          <w:numId w:val="24"/>
        </w:numPr>
        <w:ind w:left="1134" w:firstLine="0"/>
        <w:rPr>
          <w:lang w:val="en-US"/>
        </w:rPr>
      </w:pPr>
      <w:r w:rsidRPr="00F84C39">
        <w:rPr>
          <w:lang w:val="en-US"/>
        </w:rPr>
        <w:t>The Ministry of Education implements the Inclusive Education Policy 2017 to reduce social, economic, geographic and physical barriers for students with disabilities, additional learning needs and those in remote communities.</w:t>
      </w:r>
    </w:p>
    <w:p w14:paraId="4EC5A580" w14:textId="77777777" w:rsidR="00F84C39" w:rsidRPr="00F84C39" w:rsidRDefault="00F84C39" w:rsidP="00BB379D">
      <w:pPr>
        <w:pStyle w:val="SingleTxtG"/>
        <w:numPr>
          <w:ilvl w:val="0"/>
          <w:numId w:val="24"/>
        </w:numPr>
        <w:ind w:left="1134" w:firstLine="0"/>
        <w:rPr>
          <w:lang w:val="en-US"/>
        </w:rPr>
      </w:pPr>
      <w:r w:rsidRPr="00F84C39">
        <w:rPr>
          <w:lang w:val="en-US"/>
        </w:rPr>
        <w:t>The Inclusive Education Team assesses individual needs with schools, families and health professionals. Support may include adapted materials, assistive technology, individual learning plans, classroom modifications, specialist services and one-to-one teacher aides.</w:t>
      </w:r>
    </w:p>
    <w:p w14:paraId="0F6AFAB1" w14:textId="77777777" w:rsidR="00F84C39" w:rsidRPr="00F84C39" w:rsidRDefault="00F84C39" w:rsidP="00BB379D">
      <w:pPr>
        <w:pStyle w:val="SingleTxtG"/>
        <w:numPr>
          <w:ilvl w:val="0"/>
          <w:numId w:val="24"/>
        </w:numPr>
        <w:ind w:left="1134" w:firstLine="0"/>
        <w:rPr>
          <w:lang w:val="en-US"/>
        </w:rPr>
      </w:pPr>
      <w:r w:rsidRPr="00F84C39">
        <w:rPr>
          <w:lang w:val="en-US"/>
        </w:rPr>
        <w:t>The Team conducts Pa Enua outreach and coordinates with island health personnel, teachers and families where specialists are unavailable. The Ministry also partners with organisations such as Autism Cook Islands and Dyslexia Cook Islands, supported by UNESCO and other funding, to provide assessments and specialist assistance</w:t>
      </w:r>
    </w:p>
    <w:p w14:paraId="2F1736C8" w14:textId="581B45E0"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13(d)</w:t>
      </w:r>
    </w:p>
    <w:p w14:paraId="66C3FF36" w14:textId="102E6F91" w:rsidR="00F84C39" w:rsidRPr="00F84C39" w:rsidRDefault="00F84C39" w:rsidP="00BB379D">
      <w:pPr>
        <w:pStyle w:val="SingleTxtG"/>
        <w:numPr>
          <w:ilvl w:val="0"/>
          <w:numId w:val="24"/>
        </w:numPr>
        <w:ind w:left="1134" w:firstLine="0"/>
        <w:rPr>
          <w:lang w:val="en-US"/>
        </w:rPr>
      </w:pPr>
      <w:r w:rsidRPr="00F84C39">
        <w:rPr>
          <w:lang w:val="en-US"/>
        </w:rPr>
        <w:t xml:space="preserve">Sexual and reproductive health education is provided through optional science and health classes from Year 7, supported by education on respect, dignity and positive relationships. Health professionals, counsellors, social workers, the Cook Islands Family </w:t>
      </w:r>
      <w:r w:rsidRPr="00F84C39">
        <w:rPr>
          <w:lang w:val="en-US"/>
        </w:rPr>
        <w:lastRenderedPageBreak/>
        <w:t>Welfare Association and Punanga Tauturu Inc. provide additional education on sexual health, healthy relationships, safety and gender-based violence.</w:t>
      </w:r>
    </w:p>
    <w:p w14:paraId="0822B5F4" w14:textId="77777777" w:rsidR="00F84C39" w:rsidRPr="00F84C39" w:rsidRDefault="00F84C39" w:rsidP="00BB379D">
      <w:pPr>
        <w:pStyle w:val="SingleTxtG"/>
        <w:numPr>
          <w:ilvl w:val="0"/>
          <w:numId w:val="24"/>
        </w:numPr>
        <w:ind w:left="1134" w:firstLine="0"/>
        <w:rPr>
          <w:lang w:val="en-US"/>
        </w:rPr>
      </w:pPr>
      <w:r w:rsidRPr="00F84C39">
        <w:rPr>
          <w:lang w:val="en-US"/>
        </w:rPr>
        <w:t>Comprehensive SRHR education is not yet mandatory or standardised across all schools and year levels. Coverage varies by subject choice, school capacity, location and provider availability, with limited data on student outcomes, discriminatory stereotypes and out-of-school delivery.</w:t>
      </w:r>
    </w:p>
    <w:p w14:paraId="36AB045E" w14:textId="77777777" w:rsidR="00F84C39" w:rsidRPr="00F84C39" w:rsidRDefault="00F84C39" w:rsidP="00BB379D">
      <w:pPr>
        <w:pStyle w:val="SingleTxtG"/>
        <w:numPr>
          <w:ilvl w:val="0"/>
          <w:numId w:val="24"/>
        </w:numPr>
        <w:ind w:left="1134" w:firstLine="0"/>
        <w:rPr>
          <w:lang w:val="en-US"/>
        </w:rPr>
      </w:pPr>
      <w:r w:rsidRPr="00F84C39">
        <w:rPr>
          <w:i/>
          <w:iCs/>
          <w:lang w:val="en-US"/>
        </w:rPr>
        <w:t>Vai Marino 2026–2031</w:t>
      </w:r>
      <w:r w:rsidRPr="00F84C39">
        <w:rPr>
          <w:lang w:val="en-US"/>
        </w:rPr>
        <w:t xml:space="preserve"> provides for comprehensive, age-appropriate education across all islands on consent, bodily autonomy, contraception, sexual health, healthy relationships and gender-based violence. Further work will standardise content, monitoring and Pa Enua coverage.</w:t>
      </w:r>
    </w:p>
    <w:p w14:paraId="5F79308A" w14:textId="6AA08384"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13(e)</w:t>
      </w:r>
    </w:p>
    <w:p w14:paraId="6CADA12C" w14:textId="77777777" w:rsidR="00933A1A" w:rsidRPr="00933A1A" w:rsidRDefault="00933A1A" w:rsidP="00BB379D">
      <w:pPr>
        <w:pStyle w:val="SingleTxtG"/>
        <w:numPr>
          <w:ilvl w:val="0"/>
          <w:numId w:val="24"/>
        </w:numPr>
        <w:ind w:left="1134" w:firstLine="0"/>
        <w:rPr>
          <w:lang w:val="en-US"/>
        </w:rPr>
      </w:pPr>
      <w:r>
        <w:t>All students may select specialised subjects based on their interests and intended pathways, without academic entry requirements</w:t>
      </w:r>
    </w:p>
    <w:p w14:paraId="14B1DC39" w14:textId="77777777" w:rsidR="00933A1A" w:rsidRPr="00933A1A" w:rsidRDefault="00933A1A" w:rsidP="00BB379D">
      <w:pPr>
        <w:pStyle w:val="SingleTxtG"/>
        <w:numPr>
          <w:ilvl w:val="0"/>
          <w:numId w:val="24"/>
        </w:numPr>
        <w:ind w:left="1134" w:firstLine="0"/>
        <w:rPr>
          <w:lang w:val="en-US"/>
        </w:rPr>
      </w:pPr>
      <w:r>
        <w:t>Beyond science expos and robotics, schools participate in team-based STEM projects using technology to address community challenges. In 2025, five secondary schools entered teams in a Samsung-supported competition, developing solutions to environmental issues and Māori-language applications. Girls comprised most participants, demonstrating strong interest and capability in STEM.</w:t>
      </w:r>
    </w:p>
    <w:p w14:paraId="69E540A9" w14:textId="56A28873"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13(f)</w:t>
      </w:r>
    </w:p>
    <w:p w14:paraId="38757DA2" w14:textId="449301BE" w:rsidR="00F84C39" w:rsidRPr="00F84C39" w:rsidRDefault="00F84C39" w:rsidP="00BB379D">
      <w:pPr>
        <w:pStyle w:val="SingleTxtG"/>
        <w:numPr>
          <w:ilvl w:val="0"/>
          <w:numId w:val="24"/>
        </w:numPr>
        <w:ind w:left="1134" w:firstLine="0"/>
        <w:rPr>
          <w:lang w:val="en-US"/>
        </w:rPr>
      </w:pPr>
      <w:r w:rsidRPr="00F84C39">
        <w:rPr>
          <w:lang w:val="en-US"/>
        </w:rPr>
        <w:t>Cook Islands Māori language instruction forms part of the national curriculum and is standardised across schools. The promotion of Māori language and culture is regarded as an important component of preserving national identity and supporting the intergenerational transmission of language and cultural knowledge among girls, boys and their communities.</w:t>
      </w:r>
    </w:p>
    <w:p w14:paraId="0E6191F0" w14:textId="77777777" w:rsidR="00F84C39" w:rsidRPr="00F84C39" w:rsidRDefault="00F84C39" w:rsidP="00BB379D">
      <w:pPr>
        <w:pStyle w:val="SingleTxtG"/>
        <w:numPr>
          <w:ilvl w:val="0"/>
          <w:numId w:val="24"/>
        </w:numPr>
        <w:ind w:left="1134" w:firstLine="0"/>
        <w:rPr>
          <w:lang w:val="en-US"/>
        </w:rPr>
      </w:pPr>
      <w:r w:rsidRPr="00F84C39">
        <w:rPr>
          <w:lang w:val="en-US"/>
        </w:rPr>
        <w:t xml:space="preserve">The Ministry of Education has mandated Cook Islands Māori as the principal language of instruction in early childhood education. Māori language is also taught throughout primary education until Year 8. At the secondary level, students can continue Māori language studies as a subject option. Māori-language immersion education is also being advanced. Rutaki School is a full Māori-language immersion school. </w:t>
      </w:r>
    </w:p>
    <w:p w14:paraId="381E3320" w14:textId="57CCCD3C"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13(g)</w:t>
      </w:r>
    </w:p>
    <w:p w14:paraId="3561D5D2" w14:textId="5A0A47F1" w:rsidR="00F84C39" w:rsidRPr="00F84C39" w:rsidRDefault="00F84C39" w:rsidP="00BB379D">
      <w:pPr>
        <w:pStyle w:val="SingleTxtG"/>
        <w:numPr>
          <w:ilvl w:val="0"/>
          <w:numId w:val="24"/>
        </w:numPr>
        <w:ind w:left="1134" w:firstLine="0"/>
        <w:rPr>
          <w:lang w:val="en-US"/>
        </w:rPr>
      </w:pPr>
      <w:r w:rsidRPr="00F84C39">
        <w:rPr>
          <w:lang w:val="en-US"/>
        </w:rPr>
        <w:t>Girls and women with disabilities have equal rights to education. The Ministry of Education and schools assess individual needs and provide reasonable accommodation, including adapted learning spaces, accessible pathways, ramps, handrails, bathrooms, assistive-device power access, class relocation and timetable adjustments.</w:t>
      </w:r>
    </w:p>
    <w:p w14:paraId="0554AA5E" w14:textId="77777777" w:rsidR="00F84C39" w:rsidRPr="00F84C39" w:rsidRDefault="00F84C39" w:rsidP="00BB379D">
      <w:pPr>
        <w:pStyle w:val="SingleTxtG"/>
        <w:numPr>
          <w:ilvl w:val="0"/>
          <w:numId w:val="24"/>
        </w:numPr>
        <w:ind w:left="1134" w:firstLine="0"/>
        <w:rPr>
          <w:lang w:val="en-US"/>
        </w:rPr>
      </w:pPr>
      <w:r w:rsidRPr="00F84C39">
        <w:rPr>
          <w:lang w:val="en-US"/>
        </w:rPr>
        <w:t>New school buildings include accessibility measures, while existing facilities are modified with support from relevant agencies. In the Pa Enua, the Ministry works with Island Governments, health personnel and schools to identify and provide appropriate support.</w:t>
      </w:r>
    </w:p>
    <w:p w14:paraId="046ACCB7" w14:textId="0FD7669C"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13(h)</w:t>
      </w:r>
    </w:p>
    <w:p w14:paraId="72052993" w14:textId="05F23D1F" w:rsidR="00F84C39" w:rsidRPr="00F84C39" w:rsidRDefault="00F84C39" w:rsidP="00BB379D">
      <w:pPr>
        <w:pStyle w:val="SingleTxtG"/>
        <w:numPr>
          <w:ilvl w:val="0"/>
          <w:numId w:val="24"/>
        </w:numPr>
        <w:ind w:left="1134" w:firstLine="0"/>
        <w:rPr>
          <w:lang w:val="en-US"/>
        </w:rPr>
      </w:pPr>
      <w:r w:rsidRPr="00F84C39">
        <w:rPr>
          <w:lang w:val="en-US"/>
        </w:rPr>
        <w:t>Immigration requirements support school enrolment by requiring migrant workers who bring dependent school-aged children to provide confirmation of the children’s enrolment as part of the work-permit process. Once enrolled, children of migrant workers are entitled to participate in education on the same basis as other children.</w:t>
      </w:r>
    </w:p>
    <w:p w14:paraId="13AA658B" w14:textId="1137E23C" w:rsidR="00F84C39" w:rsidRPr="00F84C39" w:rsidRDefault="004F5EF4" w:rsidP="004F5EF4">
      <w:pPr>
        <w:pStyle w:val="H1G"/>
        <w:rPr>
          <w:lang w:val="en-US"/>
        </w:rPr>
      </w:pPr>
      <w:r>
        <w:rPr>
          <w:lang w:val="en-US"/>
        </w:rPr>
        <w:tab/>
      </w:r>
      <w:r>
        <w:rPr>
          <w:lang w:val="en-US"/>
        </w:rPr>
        <w:tab/>
      </w:r>
      <w:r w:rsidR="00F84C39" w:rsidRPr="00F84C39">
        <w:rPr>
          <w:lang w:val="en-US"/>
        </w:rPr>
        <w:t>Employment</w:t>
      </w:r>
    </w:p>
    <w:p w14:paraId="0ACF09AB" w14:textId="5833E52E" w:rsidR="0015387D" w:rsidRDefault="004F5EF4" w:rsidP="004F5EF4">
      <w:pPr>
        <w:pStyle w:val="H23G"/>
        <w:rPr>
          <w:lang w:val="en-US"/>
        </w:rPr>
      </w:pPr>
      <w:r>
        <w:rPr>
          <w:lang w:val="en-US"/>
        </w:rPr>
        <w:tab/>
      </w:r>
      <w:r>
        <w:rPr>
          <w:lang w:val="en-US"/>
        </w:rPr>
        <w:tab/>
      </w:r>
      <w:r w:rsidR="0015387D" w:rsidRPr="002750DE">
        <w:rPr>
          <w:lang w:val="en-US"/>
        </w:rPr>
        <w:t xml:space="preserve">Reply to paragraph </w:t>
      </w:r>
      <w:r w:rsidR="0015387D">
        <w:rPr>
          <w:lang w:val="en-US"/>
        </w:rPr>
        <w:t>14(a)</w:t>
      </w:r>
    </w:p>
    <w:p w14:paraId="69181533" w14:textId="5E700AF9" w:rsidR="00F84C39" w:rsidRPr="00F84C39" w:rsidRDefault="00F84C39" w:rsidP="00BB379D">
      <w:pPr>
        <w:pStyle w:val="SingleTxtG"/>
        <w:numPr>
          <w:ilvl w:val="0"/>
          <w:numId w:val="24"/>
        </w:numPr>
        <w:ind w:left="1134" w:firstLine="0"/>
        <w:rPr>
          <w:lang w:val="en-US"/>
        </w:rPr>
      </w:pPr>
      <w:bookmarkStart w:id="0" w:name="_Hlk235519263"/>
      <w:r w:rsidRPr="00F84C39">
        <w:rPr>
          <w:lang w:val="en-US"/>
        </w:rPr>
        <w:t xml:space="preserve">In 2023, 38.2 per cent of employed women worked informally, compared with 42.4 per cent of men. However, women were more likely to undertake unpaid care, work fewer than 30 hours weekly (24.2 per cent compared with 18.2 per cent) and remain outside the labour force (31.1 per cent compared with 25.5 per cent). </w:t>
      </w:r>
    </w:p>
    <w:p w14:paraId="5BF23325" w14:textId="36BE7440" w:rsidR="00F84C39" w:rsidRPr="00F84C39" w:rsidRDefault="00933A1A" w:rsidP="00BB379D">
      <w:pPr>
        <w:pStyle w:val="SingleTxtG"/>
        <w:numPr>
          <w:ilvl w:val="0"/>
          <w:numId w:val="24"/>
        </w:numPr>
        <w:ind w:left="1134" w:firstLine="0"/>
        <w:rPr>
          <w:lang w:val="en-US"/>
        </w:rPr>
      </w:pPr>
      <w:r>
        <w:lastRenderedPageBreak/>
        <w:t xml:space="preserve">The validated National Employment Policy 2026–2031, pending Cabinet consideration, aims to increase women’s labour-force participation to at least 70 per cent by 2030. Measures include childcare subsidies, flexible work, expanded parental leave and support for women entering STEM, construction, agriculture, industry and leadership. </w:t>
      </w:r>
      <w:r w:rsidR="00F84C39" w:rsidRPr="00F84C39">
        <w:rPr>
          <w:lang w:val="en-US"/>
        </w:rPr>
        <w:t>This is complemented by the National Workforce Development Plan and the Decent Work Country Programme 2025-2028, which promote skills development, equal opportunity, decent work and women’s advancement into technical and leadership roles.</w:t>
      </w:r>
    </w:p>
    <w:p w14:paraId="651B9168" w14:textId="77777777" w:rsidR="00933A1A" w:rsidRPr="00933A1A" w:rsidRDefault="00933A1A" w:rsidP="00BB379D">
      <w:pPr>
        <w:pStyle w:val="SingleTxtG"/>
        <w:numPr>
          <w:ilvl w:val="0"/>
          <w:numId w:val="24"/>
        </w:numPr>
        <w:ind w:left="1134" w:firstLine="0"/>
        <w:rPr>
          <w:lang w:val="en-US"/>
        </w:rPr>
      </w:pPr>
      <w:r>
        <w:t>The Policy also aims to reduce informal employment to 35 per cent or below and establish formalisation pathways in two industries by 2030, improving access to employment agreements, labour rights and social protection.</w:t>
      </w:r>
    </w:p>
    <w:bookmarkEnd w:id="0"/>
    <w:p w14:paraId="42FB44DE" w14:textId="30ACCD7F" w:rsidR="009343DB" w:rsidRDefault="004F5EF4" w:rsidP="004F5EF4">
      <w:pPr>
        <w:pStyle w:val="H23G"/>
        <w:rPr>
          <w:lang w:val="en-US"/>
        </w:rPr>
      </w:pPr>
      <w:r>
        <w:rPr>
          <w:lang w:val="en-US"/>
        </w:rPr>
        <w:tab/>
      </w:r>
      <w:r>
        <w:rPr>
          <w:lang w:val="en-US"/>
        </w:rPr>
        <w:tab/>
      </w:r>
      <w:r w:rsidR="009343DB" w:rsidRPr="002750DE">
        <w:rPr>
          <w:lang w:val="en-US"/>
        </w:rPr>
        <w:t xml:space="preserve">Reply to paragraph </w:t>
      </w:r>
      <w:r w:rsidR="009343DB">
        <w:rPr>
          <w:lang w:val="en-US"/>
        </w:rPr>
        <w:t>14(b)</w:t>
      </w:r>
    </w:p>
    <w:p w14:paraId="7395FE0A" w14:textId="661D03D8" w:rsidR="00F84C39" w:rsidRPr="00F84C39" w:rsidRDefault="00F84C39" w:rsidP="00BB379D">
      <w:pPr>
        <w:pStyle w:val="SingleTxtG"/>
        <w:numPr>
          <w:ilvl w:val="0"/>
          <w:numId w:val="24"/>
        </w:numPr>
        <w:ind w:left="1134" w:firstLine="0"/>
        <w:rPr>
          <w:lang w:val="en-US"/>
        </w:rPr>
      </w:pPr>
      <w:r w:rsidRPr="00F84C39">
        <w:rPr>
          <w:lang w:val="en-US"/>
        </w:rPr>
        <w:t>The Employment Relations Act 2012 prohibits gender and maternity discrimination in employment conditions. Women may challenge discriminatory pay through personal grievance, mediation or arbitration and seek remedies. Labour Inspectors may examine payroll and employment records, inspect workplaces and enforce minimum employment standards.</w:t>
      </w:r>
    </w:p>
    <w:p w14:paraId="5C3FB5B9" w14:textId="77777777" w:rsidR="00F84C39" w:rsidRPr="00F84C39" w:rsidRDefault="00F84C39" w:rsidP="00BB379D">
      <w:pPr>
        <w:pStyle w:val="SingleTxtG"/>
        <w:numPr>
          <w:ilvl w:val="0"/>
          <w:numId w:val="24"/>
        </w:numPr>
        <w:ind w:left="1134" w:firstLine="0"/>
        <w:rPr>
          <w:lang w:val="en-US"/>
        </w:rPr>
      </w:pPr>
      <w:r w:rsidRPr="00F84C39">
        <w:rPr>
          <w:lang w:val="en-US"/>
        </w:rPr>
        <w:t>However, there is no specific legal guarantee of equal pay for work of equal value or requirements for gender-pay audits, pay-transparency reporting or gender-neutral job evaluations. Pay disparities are generally reviewed following complaints or workplace inspections.</w:t>
      </w:r>
    </w:p>
    <w:p w14:paraId="132B7039" w14:textId="77777777" w:rsidR="00F84C39" w:rsidRPr="00F84C39" w:rsidRDefault="00F84C39" w:rsidP="00BB379D">
      <w:pPr>
        <w:pStyle w:val="SingleTxtG"/>
        <w:numPr>
          <w:ilvl w:val="0"/>
          <w:numId w:val="24"/>
        </w:numPr>
        <w:ind w:left="1134" w:firstLine="0"/>
        <w:rPr>
          <w:lang w:val="en-US"/>
        </w:rPr>
      </w:pPr>
      <w:r w:rsidRPr="00F84C39">
        <w:rPr>
          <w:lang w:val="en-US"/>
        </w:rPr>
        <w:t>The 2023-2024 Labour Force Survey found women’s average monthly earnings were 1.6 per cent higher than men’s, but women were more likely to be in low-paid employment (10.4 per cent compared with 6.9 per cent). The National Employment Policy 2026–2031 provides for a gender and social-inclusion audit of the Act, legislative review, stronger inspections and disaggregated reporting to inform stronger equal-pay measures.</w:t>
      </w:r>
    </w:p>
    <w:p w14:paraId="0B941929" w14:textId="28CA3344" w:rsidR="009343DB" w:rsidRDefault="004F5EF4" w:rsidP="004F5EF4">
      <w:pPr>
        <w:pStyle w:val="H23G"/>
        <w:rPr>
          <w:lang w:val="en-US"/>
        </w:rPr>
      </w:pPr>
      <w:r>
        <w:rPr>
          <w:lang w:val="en-US"/>
        </w:rPr>
        <w:tab/>
      </w:r>
      <w:r>
        <w:rPr>
          <w:lang w:val="en-US"/>
        </w:rPr>
        <w:tab/>
      </w:r>
      <w:r w:rsidR="009343DB" w:rsidRPr="002750DE">
        <w:rPr>
          <w:lang w:val="en-US"/>
        </w:rPr>
        <w:t xml:space="preserve">Reply to paragraph </w:t>
      </w:r>
      <w:r w:rsidR="009343DB">
        <w:rPr>
          <w:lang w:val="en-US"/>
        </w:rPr>
        <w:t>14(c)</w:t>
      </w:r>
    </w:p>
    <w:p w14:paraId="4845ED2F" w14:textId="56BE8820" w:rsidR="00F84C39" w:rsidRPr="00F84C39" w:rsidRDefault="00F84C39" w:rsidP="00BB379D">
      <w:pPr>
        <w:pStyle w:val="SingleTxtG"/>
        <w:numPr>
          <w:ilvl w:val="0"/>
          <w:numId w:val="24"/>
        </w:numPr>
        <w:ind w:left="1134" w:firstLine="0"/>
        <w:rPr>
          <w:lang w:val="en-US"/>
        </w:rPr>
      </w:pPr>
      <w:r w:rsidRPr="00F84C39">
        <w:rPr>
          <w:lang w:val="en-US"/>
        </w:rPr>
        <w:t>The Employment Relations Act 2012 prohibits workplace sexual harassment and allows affected employees to raise personal grievances. Labour Services provides confidential advice, investigates complaints and permits survivors to have representation or a support person. Its approach prioritises safety, dignity, confidentiality and informed choice.</w:t>
      </w:r>
    </w:p>
    <w:p w14:paraId="3DA90C13" w14:textId="77777777" w:rsidR="00F84C39" w:rsidRPr="00F84C39" w:rsidRDefault="00F84C39" w:rsidP="00BB379D">
      <w:pPr>
        <w:pStyle w:val="SingleTxtG"/>
        <w:numPr>
          <w:ilvl w:val="0"/>
          <w:numId w:val="24"/>
        </w:numPr>
        <w:ind w:left="1134" w:firstLine="0"/>
        <w:rPr>
          <w:lang w:val="en-US"/>
        </w:rPr>
      </w:pPr>
      <w:r w:rsidRPr="00F84C39">
        <w:rPr>
          <w:lang w:val="en-US"/>
        </w:rPr>
        <w:t xml:space="preserve">Where complaints involve exploitation, assault or coercion, referrals may be made to Police, Health, Social Inclusion and Family Services, Immigration and specialist support services. </w:t>
      </w:r>
      <w:r w:rsidRPr="00F84C39">
        <w:rPr>
          <w:i/>
          <w:iCs/>
          <w:lang w:val="en-US"/>
        </w:rPr>
        <w:t>Vai Marino 2026–2031</w:t>
      </w:r>
      <w:r w:rsidRPr="00F84C39">
        <w:rPr>
          <w:lang w:val="en-US"/>
        </w:rPr>
        <w:t xml:space="preserve"> further promotes survivor-centred responses, coordinated referrals and inter-agency cooperation.</w:t>
      </w:r>
    </w:p>
    <w:p w14:paraId="1941133D" w14:textId="77777777" w:rsidR="00F84C39" w:rsidRPr="00F84C39" w:rsidRDefault="00F84C39" w:rsidP="00BB379D">
      <w:pPr>
        <w:pStyle w:val="SingleTxtG"/>
        <w:numPr>
          <w:ilvl w:val="0"/>
          <w:numId w:val="24"/>
        </w:numPr>
        <w:ind w:left="1134" w:firstLine="0"/>
        <w:rPr>
          <w:lang w:val="en-US"/>
        </w:rPr>
      </w:pPr>
      <w:r w:rsidRPr="00F84C39">
        <w:rPr>
          <w:lang w:val="en-US"/>
        </w:rPr>
        <w:t>No specific screening process examines investors’ previous involvement in sexual exploitation, abuse or harassment. Foreign investors undergo BTIB fit-and-proper assessments, including business, financial and Interpol checks. Future measures may include safeguarding declarations, background checks, workplace protection policies and sanctions.</w:t>
      </w:r>
    </w:p>
    <w:p w14:paraId="4E11B3E0" w14:textId="6F637F87" w:rsidR="009343DB" w:rsidRDefault="004F5EF4" w:rsidP="004F5EF4">
      <w:pPr>
        <w:pStyle w:val="H23G"/>
        <w:rPr>
          <w:lang w:val="en-US"/>
        </w:rPr>
      </w:pPr>
      <w:r>
        <w:rPr>
          <w:lang w:val="en-US"/>
        </w:rPr>
        <w:tab/>
      </w:r>
      <w:r>
        <w:rPr>
          <w:lang w:val="en-US"/>
        </w:rPr>
        <w:tab/>
      </w:r>
      <w:r w:rsidR="009343DB" w:rsidRPr="002750DE">
        <w:rPr>
          <w:lang w:val="en-US"/>
        </w:rPr>
        <w:t xml:space="preserve">Reply to paragraph </w:t>
      </w:r>
      <w:r w:rsidR="009343DB">
        <w:rPr>
          <w:lang w:val="en-US"/>
        </w:rPr>
        <w:t>14(d)</w:t>
      </w:r>
    </w:p>
    <w:p w14:paraId="7C73C18C" w14:textId="1DDEFDF7" w:rsidR="00F84C39" w:rsidRPr="00F84C39" w:rsidRDefault="00F84C39" w:rsidP="00BB379D">
      <w:pPr>
        <w:pStyle w:val="SingleTxtG"/>
        <w:numPr>
          <w:ilvl w:val="0"/>
          <w:numId w:val="24"/>
        </w:numPr>
        <w:ind w:left="1134" w:firstLine="0"/>
        <w:rPr>
          <w:lang w:val="en-US"/>
        </w:rPr>
      </w:pPr>
      <w:r w:rsidRPr="00F84C39">
        <w:rPr>
          <w:lang w:val="en-US"/>
        </w:rPr>
        <w:t>Women and men have equal access to the Old Age Pension, a residence-based benefit available from age 60, and the Cook Islands National Superannuation Fund, a compulsory employment-based scheme. Paid maternity leave is treated as earnings and attracts superannuation contributions.</w:t>
      </w:r>
    </w:p>
    <w:p w14:paraId="7FD523D2" w14:textId="77777777" w:rsidR="00F84C39" w:rsidRPr="00F84C39" w:rsidRDefault="00F84C39" w:rsidP="00BB379D">
      <w:pPr>
        <w:pStyle w:val="SingleTxtG"/>
        <w:numPr>
          <w:ilvl w:val="0"/>
          <w:numId w:val="24"/>
        </w:numPr>
        <w:ind w:left="1134" w:firstLine="0"/>
        <w:rPr>
          <w:lang w:val="en-US"/>
        </w:rPr>
      </w:pPr>
      <w:r w:rsidRPr="00F84C39">
        <w:rPr>
          <w:lang w:val="en-US"/>
        </w:rPr>
        <w:t>Unpaid child-raising and caregiving periods are not credited under the contributory scheme. Women who leave or reduce paid work for care may therefore accumulate lower savings, although the Old Age Pension remains available subject to eligibility.</w:t>
      </w:r>
    </w:p>
    <w:p w14:paraId="2ECC3B2E" w14:textId="77777777" w:rsidR="00F84C39" w:rsidRPr="00F84C39" w:rsidRDefault="00F84C39" w:rsidP="00BB379D">
      <w:pPr>
        <w:pStyle w:val="SingleTxtG"/>
        <w:numPr>
          <w:ilvl w:val="0"/>
          <w:numId w:val="24"/>
        </w:numPr>
        <w:ind w:left="1134" w:firstLine="0"/>
        <w:rPr>
          <w:lang w:val="en-US"/>
        </w:rPr>
      </w:pPr>
      <w:r w:rsidRPr="00F84C39">
        <w:rPr>
          <w:lang w:val="en-US"/>
        </w:rPr>
        <w:t>Employment reforms and the National Positive Ageing Policy 2026-2030 aim to strengthen women’s workforce participation and increase superannuation coverage by 20 per cent by 2030. The Government will continue working with the Cook Islands National Superannuation Fund to monitor women’s coverage and consider measures addressing retirement-income losses associated with unpaid caregiving.</w:t>
      </w:r>
    </w:p>
    <w:p w14:paraId="397E9123" w14:textId="465F6082" w:rsidR="00BB379D" w:rsidRDefault="004F5EF4" w:rsidP="004F5EF4">
      <w:pPr>
        <w:pStyle w:val="H23G"/>
        <w:rPr>
          <w:lang w:val="en-US"/>
        </w:rPr>
      </w:pPr>
      <w:r>
        <w:rPr>
          <w:lang w:val="en-US"/>
        </w:rPr>
        <w:lastRenderedPageBreak/>
        <w:tab/>
      </w:r>
      <w:r>
        <w:rPr>
          <w:lang w:val="en-US"/>
        </w:rPr>
        <w:tab/>
      </w:r>
      <w:r w:rsidR="00BB379D" w:rsidRPr="002750DE">
        <w:rPr>
          <w:lang w:val="en-US"/>
        </w:rPr>
        <w:t xml:space="preserve">Reply to paragraph </w:t>
      </w:r>
      <w:r w:rsidR="00BB379D">
        <w:rPr>
          <w:lang w:val="en-US"/>
        </w:rPr>
        <w:t>14(e)</w:t>
      </w:r>
    </w:p>
    <w:p w14:paraId="6B23439E" w14:textId="291EFFE9" w:rsidR="00F84C39" w:rsidRPr="00F84C39" w:rsidRDefault="00F84C39" w:rsidP="00BB379D">
      <w:pPr>
        <w:pStyle w:val="SingleTxtG"/>
        <w:numPr>
          <w:ilvl w:val="0"/>
          <w:numId w:val="24"/>
        </w:numPr>
        <w:ind w:left="1134" w:firstLine="0"/>
        <w:rPr>
          <w:lang w:val="en-US"/>
        </w:rPr>
      </w:pPr>
      <w:r w:rsidRPr="00F84C39">
        <w:rPr>
          <w:lang w:val="en-US"/>
        </w:rPr>
        <w:t>The Cook Islands promotes shared family responsibilities through parental leave, childcare support and family-friendly employment. From 1 July 2026, paid paternity leave increased to two weeks and maternity leave to eight weeks, progressively increasing to 14 weeks by July 2029.</w:t>
      </w:r>
    </w:p>
    <w:p w14:paraId="42E5E2BC" w14:textId="77777777" w:rsidR="00F84C39" w:rsidRPr="00F84C39" w:rsidRDefault="00F84C39" w:rsidP="00BB379D">
      <w:pPr>
        <w:pStyle w:val="SingleTxtG"/>
        <w:numPr>
          <w:ilvl w:val="0"/>
          <w:numId w:val="24"/>
        </w:numPr>
        <w:ind w:left="1134" w:firstLine="0"/>
        <w:rPr>
          <w:lang w:val="en-US"/>
        </w:rPr>
      </w:pPr>
      <w:r w:rsidRPr="00F84C39">
        <w:rPr>
          <w:lang w:val="en-US"/>
        </w:rPr>
        <w:t>The National Employment Policy and Action Plan 2026-2031 and the National Children’s Policy 2025-2030 promotes childcare support and flexible, remote and digital work. Labour Services also provides guidance on parental leave, discrimination and family-friendly workplaces.</w:t>
      </w:r>
    </w:p>
    <w:p w14:paraId="7C3C9378" w14:textId="38DEFA61" w:rsidR="00BB379D" w:rsidRDefault="004F5EF4" w:rsidP="004F5EF4">
      <w:pPr>
        <w:pStyle w:val="H23G"/>
        <w:rPr>
          <w:lang w:val="en-US"/>
        </w:rPr>
      </w:pPr>
      <w:r>
        <w:rPr>
          <w:lang w:val="en-US"/>
        </w:rPr>
        <w:tab/>
      </w:r>
      <w:r>
        <w:rPr>
          <w:lang w:val="en-US"/>
        </w:rPr>
        <w:tab/>
      </w:r>
      <w:r w:rsidR="00BB379D" w:rsidRPr="002750DE">
        <w:rPr>
          <w:lang w:val="en-US"/>
        </w:rPr>
        <w:t xml:space="preserve">Reply to paragraph </w:t>
      </w:r>
      <w:r w:rsidR="00BB379D">
        <w:rPr>
          <w:lang w:val="en-US"/>
        </w:rPr>
        <w:t>14(f)</w:t>
      </w:r>
    </w:p>
    <w:p w14:paraId="6A69C514" w14:textId="799BDF4D" w:rsidR="00F84C39" w:rsidRPr="00F84C39" w:rsidRDefault="00F84C39" w:rsidP="00BB379D">
      <w:pPr>
        <w:pStyle w:val="SingleTxtG"/>
        <w:numPr>
          <w:ilvl w:val="0"/>
          <w:numId w:val="24"/>
        </w:numPr>
        <w:ind w:left="1134" w:firstLine="0"/>
        <w:rPr>
          <w:lang w:val="en-US"/>
        </w:rPr>
      </w:pPr>
      <w:r w:rsidRPr="00F84C39">
        <w:rPr>
          <w:lang w:val="en-US"/>
        </w:rPr>
        <w:t>The Employment Relations Act 2012 and Disability Act 2008 prohibit disability discrimination in recruitment, employment, training, promotion and termination and require reasonable accommodation. Complaints may be made to the Ombudsman.</w:t>
      </w:r>
    </w:p>
    <w:p w14:paraId="76BA70D8" w14:textId="77777777" w:rsidR="00F84C39" w:rsidRPr="00F84C39" w:rsidRDefault="00F84C39" w:rsidP="00BB379D">
      <w:pPr>
        <w:pStyle w:val="SingleTxtG"/>
        <w:numPr>
          <w:ilvl w:val="0"/>
          <w:numId w:val="24"/>
        </w:numPr>
        <w:ind w:left="1134" w:firstLine="0"/>
        <w:rPr>
          <w:lang w:val="en-US"/>
        </w:rPr>
      </w:pPr>
      <w:r w:rsidRPr="00F84C39">
        <w:rPr>
          <w:lang w:val="en-US"/>
        </w:rPr>
        <w:t>Vocational training is available through the Cook Islands Tertiary Training Institute, the Creative Centre and Pa Enua disability centres, with individual learning support where required. Women unable to work may access welfare benefits and caregiver support.</w:t>
      </w:r>
    </w:p>
    <w:p w14:paraId="698813D7" w14:textId="77777777" w:rsidR="00F84C39" w:rsidRPr="00F84C39" w:rsidRDefault="00F84C39" w:rsidP="00BB379D">
      <w:pPr>
        <w:pStyle w:val="SingleTxtG"/>
        <w:numPr>
          <w:ilvl w:val="0"/>
          <w:numId w:val="24"/>
        </w:numPr>
        <w:ind w:left="1134" w:firstLine="0"/>
        <w:rPr>
          <w:lang w:val="en-US"/>
        </w:rPr>
      </w:pPr>
      <w:r w:rsidRPr="00F84C39">
        <w:rPr>
          <w:lang w:val="en-US"/>
        </w:rPr>
        <w:t>The National Employment Policy and Decent Work Country Programme promote inclusive recruitment, vocational pathways, workplace accessibility and reasonable accommodation. Further priorities include employer guidance and improved sex- and disability-disaggregated employment data.</w:t>
      </w:r>
    </w:p>
    <w:p w14:paraId="2BCB9861" w14:textId="4B1033C1" w:rsidR="00F84C39" w:rsidRPr="00F84C39" w:rsidRDefault="004F5EF4" w:rsidP="004F5EF4">
      <w:pPr>
        <w:pStyle w:val="H1G"/>
        <w:rPr>
          <w:lang w:val="en-US"/>
        </w:rPr>
      </w:pPr>
      <w:r>
        <w:rPr>
          <w:lang w:val="en-US"/>
        </w:rPr>
        <w:tab/>
      </w:r>
      <w:r>
        <w:rPr>
          <w:lang w:val="en-US"/>
        </w:rPr>
        <w:tab/>
      </w:r>
      <w:r w:rsidR="00F84C39" w:rsidRPr="00F84C39">
        <w:rPr>
          <w:lang w:val="en-US"/>
        </w:rPr>
        <w:t xml:space="preserve">Health </w:t>
      </w:r>
    </w:p>
    <w:p w14:paraId="46434ECC" w14:textId="526A4837" w:rsidR="00BB379D" w:rsidRDefault="004F5EF4" w:rsidP="004F5EF4">
      <w:pPr>
        <w:pStyle w:val="H23G"/>
        <w:rPr>
          <w:lang w:val="en-US"/>
        </w:rPr>
      </w:pPr>
      <w:r>
        <w:rPr>
          <w:lang w:val="en-US"/>
        </w:rPr>
        <w:tab/>
      </w:r>
      <w:r>
        <w:rPr>
          <w:lang w:val="en-US"/>
        </w:rPr>
        <w:tab/>
      </w:r>
      <w:r w:rsidR="00BB379D" w:rsidRPr="002750DE">
        <w:rPr>
          <w:lang w:val="en-US"/>
        </w:rPr>
        <w:t xml:space="preserve">Reply to paragraph </w:t>
      </w:r>
      <w:r w:rsidR="00BB379D">
        <w:rPr>
          <w:lang w:val="en-US"/>
        </w:rPr>
        <w:t>15(a)</w:t>
      </w:r>
    </w:p>
    <w:p w14:paraId="61FC01B3" w14:textId="10074016" w:rsidR="00F84C39" w:rsidRPr="00F84C39" w:rsidRDefault="00F84C39" w:rsidP="00BB379D">
      <w:pPr>
        <w:pStyle w:val="SingleTxtG"/>
        <w:numPr>
          <w:ilvl w:val="0"/>
          <w:numId w:val="24"/>
        </w:numPr>
        <w:ind w:left="1134" w:firstLine="0"/>
        <w:rPr>
          <w:lang w:val="en-US"/>
        </w:rPr>
      </w:pPr>
      <w:r w:rsidRPr="00F84C39">
        <w:rPr>
          <w:lang w:val="en-US"/>
        </w:rPr>
        <w:t>According to the National Health Information Bulletin 2025, the adolescent birth rate was 34.4 per 1,000, while the contraceptive prevalence rate was 29.3 per cent. These figures indicate limited uptake and consistent use of contraceptives among adolescents. Inadequate knowledge, missed contraceptive doses and inconsistent use may contribute to unintended adolescent pregnancies. However, limited survey data mean that the causes of early pregnancy cannot be determined conclusively.</w:t>
      </w:r>
    </w:p>
    <w:p w14:paraId="010FC0E1" w14:textId="26A0071E" w:rsidR="00BB379D" w:rsidRDefault="004F5EF4" w:rsidP="004F5EF4">
      <w:pPr>
        <w:pStyle w:val="H23G"/>
        <w:rPr>
          <w:lang w:val="en-US"/>
        </w:rPr>
      </w:pPr>
      <w:r>
        <w:rPr>
          <w:lang w:val="en-US"/>
        </w:rPr>
        <w:tab/>
      </w:r>
      <w:r>
        <w:rPr>
          <w:lang w:val="en-US"/>
        </w:rPr>
        <w:tab/>
      </w:r>
      <w:r w:rsidR="00BB379D" w:rsidRPr="002750DE">
        <w:rPr>
          <w:lang w:val="en-US"/>
        </w:rPr>
        <w:t xml:space="preserve">Reply to paragraph </w:t>
      </w:r>
      <w:r w:rsidR="00BB379D">
        <w:rPr>
          <w:lang w:val="en-US"/>
        </w:rPr>
        <w:t>15(b)</w:t>
      </w:r>
    </w:p>
    <w:p w14:paraId="17D30EA6" w14:textId="4A6EFAF8" w:rsidR="00F84C39" w:rsidRPr="00F84C39" w:rsidRDefault="00F84C39" w:rsidP="00BB379D">
      <w:pPr>
        <w:pStyle w:val="SingleTxtG"/>
        <w:numPr>
          <w:ilvl w:val="0"/>
          <w:numId w:val="24"/>
        </w:numPr>
        <w:ind w:left="1134" w:firstLine="0"/>
        <w:rPr>
          <w:lang w:val="en-US"/>
        </w:rPr>
      </w:pPr>
      <w:r w:rsidRPr="00F84C39">
        <w:rPr>
          <w:lang w:val="en-US"/>
        </w:rPr>
        <w:t>Abortion remains a criminal offence under the Crimes Act 1969. However, a lawful abortion may be permitted where two medical practitioners certify that continuation of the pregnancy would pose a serious risk to the woman’s life or physical or mental health.</w:t>
      </w:r>
    </w:p>
    <w:p w14:paraId="16E5BB77" w14:textId="77777777" w:rsidR="00F84C39" w:rsidRPr="00F84C39" w:rsidRDefault="00F84C39" w:rsidP="00BB379D">
      <w:pPr>
        <w:pStyle w:val="SingleTxtG"/>
        <w:numPr>
          <w:ilvl w:val="0"/>
          <w:numId w:val="24"/>
        </w:numPr>
        <w:ind w:left="1134" w:firstLine="0"/>
        <w:rPr>
          <w:lang w:val="en-US"/>
        </w:rPr>
      </w:pPr>
      <w:r w:rsidRPr="00F84C39">
        <w:rPr>
          <w:lang w:val="en-US"/>
        </w:rPr>
        <w:t>Post-abortion care is provided through hospital and healthcare facilities in accordance with universal health coverage principles and relevant World Health Organization standards for the treatment of complications.</w:t>
      </w:r>
    </w:p>
    <w:p w14:paraId="065590D0" w14:textId="77777777" w:rsidR="00F84C39" w:rsidRPr="00F84C39" w:rsidRDefault="00F84C39" w:rsidP="00BB379D">
      <w:pPr>
        <w:pStyle w:val="SingleTxtG"/>
        <w:numPr>
          <w:ilvl w:val="0"/>
          <w:numId w:val="24"/>
        </w:numPr>
        <w:ind w:left="1134" w:firstLine="0"/>
        <w:rPr>
          <w:lang w:val="en-US"/>
        </w:rPr>
      </w:pPr>
      <w:r w:rsidRPr="00F84C39">
        <w:rPr>
          <w:lang w:val="en-US"/>
        </w:rPr>
        <w:t>The Obstetrics and Gynaecology Department is currently led by a male doctor and supported by female nurse practitioners and registered nurses. Female doctors are also available across other areas of the health system, including cancer services, non-communicable diseases and primary healthcare.</w:t>
      </w:r>
    </w:p>
    <w:p w14:paraId="4F765881" w14:textId="58FD945F" w:rsidR="00BB379D" w:rsidRDefault="004F5EF4" w:rsidP="004F5EF4">
      <w:pPr>
        <w:pStyle w:val="H23G"/>
        <w:rPr>
          <w:lang w:val="en-US"/>
        </w:rPr>
      </w:pPr>
      <w:r>
        <w:rPr>
          <w:lang w:val="en-US"/>
        </w:rPr>
        <w:tab/>
      </w:r>
      <w:r>
        <w:rPr>
          <w:lang w:val="en-US"/>
        </w:rPr>
        <w:tab/>
      </w:r>
      <w:r w:rsidR="00BB379D" w:rsidRPr="002750DE">
        <w:rPr>
          <w:lang w:val="en-US"/>
        </w:rPr>
        <w:t xml:space="preserve">Reply to paragraph </w:t>
      </w:r>
      <w:r w:rsidR="00BB379D">
        <w:rPr>
          <w:lang w:val="en-US"/>
        </w:rPr>
        <w:t>15(c)</w:t>
      </w:r>
    </w:p>
    <w:p w14:paraId="0F7FBC5D" w14:textId="109C585B" w:rsidR="00F84C39" w:rsidRPr="00F84C39" w:rsidRDefault="00F84C39" w:rsidP="00BB379D">
      <w:pPr>
        <w:pStyle w:val="SingleTxtG"/>
        <w:numPr>
          <w:ilvl w:val="0"/>
          <w:numId w:val="24"/>
        </w:numPr>
        <w:ind w:left="1134" w:firstLine="0"/>
        <w:rPr>
          <w:lang w:val="en-US"/>
        </w:rPr>
      </w:pPr>
      <w:r w:rsidRPr="00F84C39">
        <w:rPr>
          <w:lang w:val="en-US"/>
        </w:rPr>
        <w:t>The law does not provide for elective abortion or abortion on the grounds of rape, incest or socio-economic circumstances. However, post-abortion care is lawful and mandatory, and no woman may be denied emergency treatment or necessary follow-up care.</w:t>
      </w:r>
    </w:p>
    <w:p w14:paraId="3269EE10" w14:textId="77777777" w:rsidR="00F84C39" w:rsidRPr="00F84C39" w:rsidRDefault="00F84C39" w:rsidP="00BB379D">
      <w:pPr>
        <w:pStyle w:val="SingleTxtG"/>
        <w:numPr>
          <w:ilvl w:val="0"/>
          <w:numId w:val="24"/>
        </w:numPr>
        <w:ind w:left="1134" w:firstLine="0"/>
        <w:rPr>
          <w:lang w:val="en-US"/>
        </w:rPr>
      </w:pPr>
      <w:r w:rsidRPr="00F84C39">
        <w:rPr>
          <w:lang w:val="en-US"/>
        </w:rPr>
        <w:t>Policy measures therefore focus on ensuring equitable access to lawful health services, strengthening sexual and reproductive health education and services, and reducing the risk of unsafe abortion through prevention, public awareness and appropriate clinical capacity. This includes the referral of women from the Pa Enua to Rarotonga where serious complications require a higher level of care.</w:t>
      </w:r>
    </w:p>
    <w:p w14:paraId="7F6B8A31" w14:textId="1D5E03B2" w:rsidR="00BB379D" w:rsidRDefault="004F5EF4" w:rsidP="004F5EF4">
      <w:pPr>
        <w:pStyle w:val="H23G"/>
        <w:rPr>
          <w:lang w:val="en-US"/>
        </w:rPr>
      </w:pPr>
      <w:r>
        <w:rPr>
          <w:lang w:val="en-US"/>
        </w:rPr>
        <w:lastRenderedPageBreak/>
        <w:tab/>
      </w:r>
      <w:r>
        <w:rPr>
          <w:lang w:val="en-US"/>
        </w:rPr>
        <w:tab/>
      </w:r>
      <w:r w:rsidR="00BB379D" w:rsidRPr="002750DE">
        <w:rPr>
          <w:lang w:val="en-US"/>
        </w:rPr>
        <w:t xml:space="preserve">Reply to paragraph </w:t>
      </w:r>
      <w:r w:rsidR="00BB379D">
        <w:rPr>
          <w:lang w:val="en-US"/>
        </w:rPr>
        <w:t>15(d)</w:t>
      </w:r>
    </w:p>
    <w:p w14:paraId="3FEEB1EB" w14:textId="77777777" w:rsidR="006241A1" w:rsidRPr="006241A1" w:rsidRDefault="006241A1" w:rsidP="00BB379D">
      <w:pPr>
        <w:pStyle w:val="SingleTxtG"/>
        <w:numPr>
          <w:ilvl w:val="0"/>
          <w:numId w:val="24"/>
        </w:numPr>
        <w:ind w:left="1134" w:firstLine="0"/>
        <w:rPr>
          <w:lang w:val="en-US"/>
        </w:rPr>
      </w:pPr>
      <w:r>
        <w:t>The Ministry of Health provides mental health support to mothers affected by depression and other conditions. However, no national needs assessment, prevalence study or documented standardised screening programme specifically addressing postnatal depression or women’s mental health has been identified.</w:t>
      </w:r>
    </w:p>
    <w:p w14:paraId="4FE7237E" w14:textId="30080D30" w:rsidR="00F84C39" w:rsidRPr="00F84C39" w:rsidRDefault="00F84C39" w:rsidP="00BB379D">
      <w:pPr>
        <w:pStyle w:val="SingleTxtG"/>
        <w:numPr>
          <w:ilvl w:val="0"/>
          <w:numId w:val="24"/>
        </w:numPr>
        <w:ind w:left="1134" w:firstLine="0"/>
        <w:rPr>
          <w:lang w:val="en-US"/>
        </w:rPr>
      </w:pPr>
      <w:r w:rsidRPr="00F84C39">
        <w:rPr>
          <w:lang w:val="en-US"/>
        </w:rPr>
        <w:t>The absence of relevant data, research and published prevalence studies indicates that standardised screening protocols for postnatal depression have not been documented. Further research and a national maternal mental health assessment would provide an evidence base for future policy, screening and service development.</w:t>
      </w:r>
    </w:p>
    <w:p w14:paraId="48765A0E" w14:textId="45D2EB9F" w:rsidR="00BB379D" w:rsidRDefault="004F5EF4" w:rsidP="004F5EF4">
      <w:pPr>
        <w:pStyle w:val="H23G"/>
        <w:rPr>
          <w:lang w:val="en-US"/>
        </w:rPr>
      </w:pPr>
      <w:r>
        <w:rPr>
          <w:lang w:val="en-US"/>
        </w:rPr>
        <w:tab/>
      </w:r>
      <w:r>
        <w:rPr>
          <w:lang w:val="en-US"/>
        </w:rPr>
        <w:tab/>
      </w:r>
      <w:r w:rsidR="00BB379D" w:rsidRPr="002750DE">
        <w:rPr>
          <w:lang w:val="en-US"/>
        </w:rPr>
        <w:t xml:space="preserve">Reply to paragraph </w:t>
      </w:r>
      <w:r w:rsidR="00BB379D">
        <w:rPr>
          <w:lang w:val="en-US"/>
        </w:rPr>
        <w:t>15(e)</w:t>
      </w:r>
    </w:p>
    <w:p w14:paraId="2B14D352" w14:textId="2FF3908F" w:rsidR="00F84C39" w:rsidRPr="00F84C39" w:rsidRDefault="00F84C39" w:rsidP="00BB379D">
      <w:pPr>
        <w:pStyle w:val="SingleTxtG"/>
        <w:numPr>
          <w:ilvl w:val="0"/>
          <w:numId w:val="24"/>
        </w:numPr>
        <w:ind w:left="1134" w:firstLine="0"/>
        <w:rPr>
          <w:lang w:val="en-US"/>
        </w:rPr>
      </w:pPr>
      <w:r w:rsidRPr="00F84C39">
        <w:rPr>
          <w:lang w:val="en-US"/>
        </w:rPr>
        <w:t>Based on available evidence in the Cook Islands, there is no publicly documented adoption of the WHO Clinical guidelines for responding to sexual violence, intimate partner violence or post rape care.</w:t>
      </w:r>
    </w:p>
    <w:p w14:paraId="58FBAC35" w14:textId="77777777" w:rsidR="00F84C39" w:rsidRPr="00F84C39" w:rsidRDefault="00F84C39" w:rsidP="00BB379D">
      <w:pPr>
        <w:pStyle w:val="SingleTxtG"/>
        <w:numPr>
          <w:ilvl w:val="0"/>
          <w:numId w:val="24"/>
        </w:numPr>
        <w:ind w:left="1134" w:firstLine="0"/>
        <w:rPr>
          <w:lang w:val="en-US"/>
        </w:rPr>
      </w:pPr>
      <w:r w:rsidRPr="00F84C39">
        <w:rPr>
          <w:lang w:val="en-US"/>
        </w:rPr>
        <w:t xml:space="preserve">It should be noted that the WHO guidelines are well established globally but there is no source to confirm that the Ministry of Health Cook Islands has formally adopted or implemented them. </w:t>
      </w:r>
    </w:p>
    <w:p w14:paraId="4A0A48AB" w14:textId="77777777" w:rsidR="00F84C39" w:rsidRPr="00F84C39" w:rsidRDefault="00F84C39" w:rsidP="00BB379D">
      <w:pPr>
        <w:pStyle w:val="SingleTxtG"/>
        <w:numPr>
          <w:ilvl w:val="0"/>
          <w:numId w:val="24"/>
        </w:numPr>
        <w:ind w:left="1134" w:firstLine="0"/>
        <w:rPr>
          <w:lang w:val="en-US"/>
        </w:rPr>
      </w:pPr>
      <w:r w:rsidRPr="00F84C39">
        <w:rPr>
          <w:lang w:val="en-US"/>
        </w:rPr>
        <w:t xml:space="preserve">However, all sexual violence cases are attended to discretely with privacy at the Rarotonga Hospital until formal intervention requirements for the prosecution of perpetrators before the High Court.  </w:t>
      </w:r>
    </w:p>
    <w:p w14:paraId="73B51D90" w14:textId="010499B0" w:rsidR="00BB379D" w:rsidRDefault="004F5EF4" w:rsidP="004F5EF4">
      <w:pPr>
        <w:pStyle w:val="H23G"/>
        <w:rPr>
          <w:lang w:val="en-US"/>
        </w:rPr>
      </w:pPr>
      <w:r>
        <w:rPr>
          <w:lang w:val="en-US"/>
        </w:rPr>
        <w:tab/>
      </w:r>
      <w:r>
        <w:rPr>
          <w:lang w:val="en-US"/>
        </w:rPr>
        <w:tab/>
      </w:r>
      <w:r w:rsidR="00BB379D" w:rsidRPr="002750DE">
        <w:rPr>
          <w:lang w:val="en-US"/>
        </w:rPr>
        <w:t xml:space="preserve">Reply to paragraph </w:t>
      </w:r>
      <w:r w:rsidR="00BB379D">
        <w:rPr>
          <w:lang w:val="en-US"/>
        </w:rPr>
        <w:t>15(f)</w:t>
      </w:r>
    </w:p>
    <w:p w14:paraId="4DF5F354" w14:textId="7BBB4747" w:rsidR="00F84C39" w:rsidRPr="006241A1" w:rsidRDefault="006241A1" w:rsidP="006241A1">
      <w:pPr>
        <w:pStyle w:val="SingleTxtG"/>
        <w:numPr>
          <w:ilvl w:val="0"/>
          <w:numId w:val="24"/>
        </w:numPr>
        <w:ind w:left="1134" w:firstLine="0"/>
        <w:rPr>
          <w:lang w:val="en-US"/>
        </w:rPr>
      </w:pPr>
      <w:r>
        <w:t xml:space="preserve">The Ministry of Health provides regular NCD screening, diagnosis, treatment and follow-up for obesity and diabetes. Lifestyle programmes promote healthy eating, physical activity and reduced tobacco and alcohol use. Registered NCD patients can monitor their care through the Manage My Health application, launch in May 2025, or the paper-based My Health Passport. </w:t>
      </w:r>
      <w:r w:rsidR="00F84C39" w:rsidRPr="006241A1">
        <w:rPr>
          <w:lang w:val="en-US"/>
        </w:rPr>
        <w:t>Both systems contain relevant medical information, including medication records, appointment dates and medical history.</w:t>
      </w:r>
    </w:p>
    <w:p w14:paraId="6F84AC0A" w14:textId="77777777" w:rsidR="00F84C39" w:rsidRPr="00F84C39" w:rsidRDefault="00F84C39" w:rsidP="00BB379D">
      <w:pPr>
        <w:pStyle w:val="SingleTxtG"/>
        <w:numPr>
          <w:ilvl w:val="0"/>
          <w:numId w:val="24"/>
        </w:numPr>
        <w:ind w:left="1134" w:firstLine="0"/>
        <w:rPr>
          <w:lang w:val="en-US"/>
        </w:rPr>
      </w:pPr>
      <w:r w:rsidRPr="00F84C39">
        <w:rPr>
          <w:lang w:val="en-US"/>
        </w:rPr>
        <w:t>Antenatal screening for gestational diabetes includes early screening of women at higher risk, including those with obesity or a family history of diabetes. Follow-up is provided through maternal health clinics in Rarotonga and the Pa Enua.</w:t>
      </w:r>
    </w:p>
    <w:p w14:paraId="4FC8E342" w14:textId="1E888591" w:rsidR="00F84C39" w:rsidRPr="00F84C39" w:rsidRDefault="00F84C39" w:rsidP="00BB379D">
      <w:pPr>
        <w:pStyle w:val="SingleTxtG"/>
        <w:numPr>
          <w:ilvl w:val="0"/>
          <w:numId w:val="24"/>
        </w:numPr>
        <w:ind w:left="1134" w:firstLine="0"/>
        <w:rPr>
          <w:lang w:val="en-US"/>
        </w:rPr>
      </w:pPr>
      <w:r w:rsidRPr="00F84C39">
        <w:rPr>
          <w:lang w:val="en-US"/>
        </w:rPr>
        <w:t xml:space="preserve">Lifestyle counselling for obesity and diabetes remains an important component of the Ministry’s NCD programme. Interventions address physical inactivity, unhealthy eating, harmful alcohol consumption and tobacco use, with the aim of reducing premature mortality, amputations, organ failure and the need for overseas medical treatment. </w:t>
      </w:r>
    </w:p>
    <w:p w14:paraId="68C33CE8" w14:textId="77777777" w:rsidR="00F84C39" w:rsidRPr="00F84C39" w:rsidRDefault="00F84C39" w:rsidP="00BB379D">
      <w:pPr>
        <w:pStyle w:val="SingleTxtG"/>
        <w:numPr>
          <w:ilvl w:val="0"/>
          <w:numId w:val="24"/>
        </w:numPr>
        <w:ind w:left="1134" w:firstLine="0"/>
        <w:rPr>
          <w:lang w:val="en-US"/>
        </w:rPr>
      </w:pPr>
      <w:r w:rsidRPr="00F84C39">
        <w:rPr>
          <w:lang w:val="en-US"/>
        </w:rPr>
        <w:t>The National Non-Communicable Diseases Taskforce, established in 2024 under the Public Health Act 2024 and related policy frameworks, provides national leadership and coordination for the NCD response. The NCD Action Plan 2021-2025 guided community interventions, including lifestyle counselling, health promotion on nutrition and physical activity, and monitoring of blood pressure, blood glucose, weight and body mass index.</w:t>
      </w:r>
    </w:p>
    <w:p w14:paraId="250479A2" w14:textId="77777777" w:rsidR="00F84C39" w:rsidRPr="00F84C39" w:rsidRDefault="00F84C39" w:rsidP="00BB379D">
      <w:pPr>
        <w:pStyle w:val="SingleTxtG"/>
        <w:numPr>
          <w:ilvl w:val="0"/>
          <w:numId w:val="24"/>
        </w:numPr>
        <w:ind w:left="1134" w:firstLine="0"/>
        <w:rPr>
          <w:lang w:val="en-US"/>
        </w:rPr>
      </w:pPr>
      <w:r w:rsidRPr="00F84C39">
        <w:rPr>
          <w:lang w:val="en-US"/>
        </w:rPr>
        <w:t>The Cardiovascular Risk Factor Assessment and Management Guidelines provide clinicians with guidance on clinical assessment and the identification and management of cardiovascular risk factors. Ongoing education and training are expected to strengthen clinical skills and implementation.</w:t>
      </w:r>
    </w:p>
    <w:p w14:paraId="37BAFE2A" w14:textId="77777777" w:rsidR="00F84C39" w:rsidRPr="00F84C39" w:rsidRDefault="00F84C39" w:rsidP="00BB379D">
      <w:pPr>
        <w:pStyle w:val="SingleTxtG"/>
        <w:numPr>
          <w:ilvl w:val="0"/>
          <w:numId w:val="24"/>
        </w:numPr>
        <w:ind w:left="1134" w:firstLine="0"/>
        <w:rPr>
          <w:lang w:val="en-US"/>
        </w:rPr>
      </w:pPr>
      <w:r w:rsidRPr="00F84C39">
        <w:rPr>
          <w:lang w:val="en-US"/>
        </w:rPr>
        <w:t>The Healthy Workforce Policy 2026 was developed by the Ministry of Health and the Office of the Public Service to address the NCD burden among government employees. The Policy encourages public servants to increase physical activity, improve nutrition, drink water instead of sugar-sweetened beverages, maintain smoke-free workplaces and take greater responsibility for their health. It establishes seven healthy workforce commitments, supported by workplace wellness champions, and promotes healthy food choices at government-funded events.</w:t>
      </w:r>
    </w:p>
    <w:p w14:paraId="5FC331D7" w14:textId="4A03AAD0" w:rsidR="00BB379D" w:rsidRDefault="004F5EF4" w:rsidP="004F5EF4">
      <w:pPr>
        <w:pStyle w:val="H23G"/>
        <w:rPr>
          <w:lang w:val="en-US"/>
        </w:rPr>
      </w:pPr>
      <w:r>
        <w:rPr>
          <w:lang w:val="en-US"/>
        </w:rPr>
        <w:lastRenderedPageBreak/>
        <w:tab/>
      </w:r>
      <w:r>
        <w:rPr>
          <w:lang w:val="en-US"/>
        </w:rPr>
        <w:tab/>
      </w:r>
      <w:r w:rsidR="00BB379D" w:rsidRPr="002750DE">
        <w:rPr>
          <w:lang w:val="en-US"/>
        </w:rPr>
        <w:t xml:space="preserve">Reply to paragraph </w:t>
      </w:r>
      <w:r w:rsidR="00BB379D">
        <w:rPr>
          <w:lang w:val="en-US"/>
        </w:rPr>
        <w:t>15(g)</w:t>
      </w:r>
    </w:p>
    <w:p w14:paraId="186D602E" w14:textId="42FDE93B" w:rsidR="00F84C39" w:rsidRPr="00F84C39" w:rsidRDefault="00F84C39" w:rsidP="00BB379D">
      <w:pPr>
        <w:pStyle w:val="SingleTxtG"/>
        <w:numPr>
          <w:ilvl w:val="0"/>
          <w:numId w:val="24"/>
        </w:numPr>
        <w:ind w:left="1134" w:firstLine="0"/>
        <w:rPr>
          <w:lang w:val="en-US"/>
        </w:rPr>
      </w:pPr>
      <w:r w:rsidRPr="00F84C39">
        <w:rPr>
          <w:lang w:val="en-US"/>
        </w:rPr>
        <w:t>The World Health Organization’s Universal Health Coverage framework seeks to ensure that all people can access the health services they need without experiencing financial hardship. In the Cook Islands, healthcare services are provided free of charge to persons under 16 years of age and those aged 60 years and over. Other Cook Islands residents pay a nominal consultation fee of $5, while foreign residents and workers pay $20.</w:t>
      </w:r>
    </w:p>
    <w:p w14:paraId="370F9064" w14:textId="77777777" w:rsidR="00F84C39" w:rsidRPr="00F84C39" w:rsidRDefault="00F84C39" w:rsidP="00BB379D">
      <w:pPr>
        <w:pStyle w:val="SingleTxtG"/>
        <w:numPr>
          <w:ilvl w:val="0"/>
          <w:numId w:val="24"/>
        </w:numPr>
        <w:ind w:left="1134" w:firstLine="0"/>
        <w:rPr>
          <w:lang w:val="en-US"/>
        </w:rPr>
      </w:pPr>
      <w:r w:rsidRPr="00F84C39">
        <w:rPr>
          <w:lang w:val="en-US"/>
        </w:rPr>
        <w:t>The Ministry of Health is the principal provider of primary healthcare services in the Cook Islands. Through its qualified health professionals, community-based Puna Clinics and services in the Pa Enua, it provides healthcare to all persons without discrimination on the basis of gender.</w:t>
      </w:r>
    </w:p>
    <w:p w14:paraId="0E26FE0C" w14:textId="1AFF4D55" w:rsidR="00BB379D" w:rsidRDefault="004F5EF4" w:rsidP="004F5EF4">
      <w:pPr>
        <w:pStyle w:val="H23G"/>
        <w:rPr>
          <w:lang w:val="en-US"/>
        </w:rPr>
      </w:pPr>
      <w:r>
        <w:rPr>
          <w:lang w:val="en-US"/>
        </w:rPr>
        <w:tab/>
      </w:r>
      <w:r>
        <w:rPr>
          <w:lang w:val="en-US"/>
        </w:rPr>
        <w:tab/>
      </w:r>
      <w:r w:rsidR="00BB379D" w:rsidRPr="002750DE">
        <w:rPr>
          <w:lang w:val="en-US"/>
        </w:rPr>
        <w:t xml:space="preserve">Reply to paragraph </w:t>
      </w:r>
      <w:r w:rsidR="00BB379D">
        <w:rPr>
          <w:lang w:val="en-US"/>
        </w:rPr>
        <w:t>15(h)</w:t>
      </w:r>
    </w:p>
    <w:p w14:paraId="3B5CF53F" w14:textId="4D30BEBA" w:rsidR="00F84C39" w:rsidRPr="00F84C39" w:rsidRDefault="00F84C39" w:rsidP="00BB379D">
      <w:pPr>
        <w:pStyle w:val="SingleTxtG"/>
        <w:numPr>
          <w:ilvl w:val="0"/>
          <w:numId w:val="24"/>
        </w:numPr>
        <w:ind w:left="1134" w:firstLine="0"/>
        <w:rPr>
          <w:lang w:val="en-US"/>
        </w:rPr>
      </w:pPr>
      <w:r w:rsidRPr="00F84C39">
        <w:rPr>
          <w:lang w:val="en-US"/>
        </w:rPr>
        <w:t>The Ministry of Health has strengthened sexual and reproductive health services; however, the National Sexual and Reproductive Health Action Plan 2026 does not specifically address supported decision-making or the rights and autonomy of women with disabilities, including protection from forced sterilisation, coercive abortion and institutionalisation. Dedicated disability-inclusive health guidelines are therefore required.</w:t>
      </w:r>
    </w:p>
    <w:p w14:paraId="78394607" w14:textId="77777777" w:rsidR="00F84C39" w:rsidRPr="00F84C39" w:rsidRDefault="00F84C39" w:rsidP="00BB379D">
      <w:pPr>
        <w:pStyle w:val="SingleTxtG"/>
        <w:numPr>
          <w:ilvl w:val="0"/>
          <w:numId w:val="24"/>
        </w:numPr>
        <w:ind w:left="1134" w:firstLine="0"/>
        <w:rPr>
          <w:lang w:val="en-US"/>
        </w:rPr>
      </w:pPr>
      <w:r w:rsidRPr="00F84C39">
        <w:rPr>
          <w:lang w:val="en-US"/>
        </w:rPr>
        <w:t>The Disability Inclusive Development Policy 2020–2025 promotes inclusion across all sectors, while the Cook Islands Family Welfare Association provides more disability-inclusive sexual and reproductive health services through the International Planned Parenthood Federation’s gender equality, disability and social inclusion initiative. Further action is needed to protect informed consent, autonomy and the right to family life.</w:t>
      </w:r>
    </w:p>
    <w:p w14:paraId="1A20F691" w14:textId="46F7D98C" w:rsidR="00F84C39" w:rsidRPr="00F84C39" w:rsidRDefault="004F5EF4" w:rsidP="004F5EF4">
      <w:pPr>
        <w:pStyle w:val="H1G"/>
        <w:rPr>
          <w:lang w:val="en-US"/>
        </w:rPr>
      </w:pPr>
      <w:r>
        <w:rPr>
          <w:lang w:val="en-US"/>
        </w:rPr>
        <w:tab/>
      </w:r>
      <w:r>
        <w:rPr>
          <w:lang w:val="en-US"/>
        </w:rPr>
        <w:tab/>
      </w:r>
      <w:r w:rsidR="00F84C39" w:rsidRPr="00F84C39">
        <w:rPr>
          <w:lang w:val="en-US"/>
        </w:rPr>
        <w:t>Economic empowerment</w:t>
      </w:r>
    </w:p>
    <w:p w14:paraId="7B008CA8" w14:textId="17D6DCA8" w:rsidR="00BB379D" w:rsidRDefault="004F5EF4" w:rsidP="004F5EF4">
      <w:pPr>
        <w:pStyle w:val="H23G"/>
        <w:rPr>
          <w:lang w:val="en-US"/>
        </w:rPr>
      </w:pPr>
      <w:r>
        <w:rPr>
          <w:lang w:val="en-US"/>
        </w:rPr>
        <w:tab/>
      </w:r>
      <w:r>
        <w:rPr>
          <w:lang w:val="en-US"/>
        </w:rPr>
        <w:tab/>
      </w:r>
      <w:r w:rsidR="005244A4" w:rsidRPr="002750DE">
        <w:rPr>
          <w:lang w:val="en-US"/>
        </w:rPr>
        <w:t xml:space="preserve">Reply to paragraph </w:t>
      </w:r>
      <w:r w:rsidR="005244A4">
        <w:rPr>
          <w:lang w:val="en-US"/>
        </w:rPr>
        <w:t>16(a)</w:t>
      </w:r>
    </w:p>
    <w:p w14:paraId="5AC5598B" w14:textId="492B4635" w:rsidR="00F84C39" w:rsidRPr="00F84C39" w:rsidRDefault="00F84C39" w:rsidP="004B7029">
      <w:pPr>
        <w:pStyle w:val="SingleTxtG"/>
        <w:numPr>
          <w:ilvl w:val="0"/>
          <w:numId w:val="24"/>
        </w:numPr>
        <w:ind w:left="1134" w:firstLine="0"/>
        <w:rPr>
          <w:lang w:val="en-US"/>
        </w:rPr>
      </w:pPr>
      <w:r w:rsidRPr="00F84C39">
        <w:rPr>
          <w:lang w:val="en-US"/>
        </w:rPr>
        <w:t>BTIB’s Soft Loan Scheme is open to all Cook Islands citizens aged 18 and over, with women and men assessed under the same criteria. Applications may be declined if incomplete, ineligible or intended for excluded expenses, such as airfares, vehicles, alcohol or retail stock. Sex-disaggregated application and approval rates were not available for this response.</w:t>
      </w:r>
    </w:p>
    <w:p w14:paraId="6008FE77" w14:textId="77777777" w:rsidR="00F84C39" w:rsidRPr="00F84C39" w:rsidRDefault="00F84C39" w:rsidP="004B7029">
      <w:pPr>
        <w:pStyle w:val="SingleTxtG"/>
        <w:numPr>
          <w:ilvl w:val="0"/>
          <w:numId w:val="24"/>
        </w:numPr>
        <w:ind w:left="1134" w:firstLine="0"/>
        <w:rPr>
          <w:lang w:val="en-US"/>
        </w:rPr>
      </w:pPr>
      <w:r w:rsidRPr="00F84C39">
        <w:rPr>
          <w:lang w:val="en-US"/>
        </w:rPr>
        <w:t>BTIB has not identified gender-specific barriers to the Scheme. Its loans, training and business-development services are equally available to women and men. No targeted financing for women-owned businesses is currently planned, but BTIB may consider targeted support if future data identifies barriers.</w:t>
      </w:r>
    </w:p>
    <w:p w14:paraId="2A9B5A89" w14:textId="5C82E8D5" w:rsidR="005244A4" w:rsidRDefault="004F5EF4" w:rsidP="004F5EF4">
      <w:pPr>
        <w:pStyle w:val="H23G"/>
        <w:rPr>
          <w:lang w:val="en-US"/>
        </w:rPr>
      </w:pPr>
      <w:r>
        <w:rPr>
          <w:lang w:val="en-US"/>
        </w:rPr>
        <w:tab/>
      </w:r>
      <w:r>
        <w:rPr>
          <w:lang w:val="en-US"/>
        </w:rPr>
        <w:tab/>
      </w:r>
      <w:r w:rsidR="005244A4" w:rsidRPr="002750DE">
        <w:rPr>
          <w:lang w:val="en-US"/>
        </w:rPr>
        <w:t xml:space="preserve">Reply to paragraph </w:t>
      </w:r>
      <w:r w:rsidR="005244A4">
        <w:rPr>
          <w:lang w:val="en-US"/>
        </w:rPr>
        <w:t>16(b)</w:t>
      </w:r>
    </w:p>
    <w:p w14:paraId="32771F1A" w14:textId="4132F5A7" w:rsidR="00F84C39" w:rsidRPr="00F84C39" w:rsidRDefault="00F84C39" w:rsidP="004B7029">
      <w:pPr>
        <w:pStyle w:val="SingleTxtG"/>
        <w:numPr>
          <w:ilvl w:val="0"/>
          <w:numId w:val="24"/>
        </w:numPr>
        <w:ind w:left="1134" w:firstLine="0"/>
        <w:rPr>
          <w:lang w:val="en-US"/>
        </w:rPr>
      </w:pPr>
      <w:r w:rsidRPr="00F84C39">
        <w:rPr>
          <w:lang w:val="en-US"/>
        </w:rPr>
        <w:t xml:space="preserve">Statutory maternity and paternity leave provisions apply to employees in formal employment and therefore do not extend to women working in the informal economy. Paid maternity and paternity leave entitlements have been extended to migrant workers as of 1st July 2026. </w:t>
      </w:r>
    </w:p>
    <w:p w14:paraId="333C7BEF" w14:textId="1B36972E" w:rsidR="005244A4" w:rsidRDefault="004F5EF4" w:rsidP="004F5EF4">
      <w:pPr>
        <w:pStyle w:val="H23G"/>
        <w:rPr>
          <w:lang w:val="en-US"/>
        </w:rPr>
      </w:pPr>
      <w:r>
        <w:rPr>
          <w:lang w:val="en-US"/>
        </w:rPr>
        <w:tab/>
      </w:r>
      <w:r>
        <w:rPr>
          <w:lang w:val="en-US"/>
        </w:rPr>
        <w:tab/>
      </w:r>
      <w:r w:rsidR="005244A4" w:rsidRPr="002750DE">
        <w:rPr>
          <w:lang w:val="en-US"/>
        </w:rPr>
        <w:t xml:space="preserve">Reply to paragraph </w:t>
      </w:r>
      <w:r w:rsidR="005244A4">
        <w:rPr>
          <w:lang w:val="en-US"/>
        </w:rPr>
        <w:t>16(c)</w:t>
      </w:r>
    </w:p>
    <w:p w14:paraId="1CA436B5" w14:textId="1B62C6FA" w:rsidR="00F84C39" w:rsidRPr="00F84C39" w:rsidRDefault="00F84C39" w:rsidP="004B7029">
      <w:pPr>
        <w:pStyle w:val="SingleTxtG"/>
        <w:numPr>
          <w:ilvl w:val="0"/>
          <w:numId w:val="24"/>
        </w:numPr>
        <w:ind w:left="1134" w:firstLine="0"/>
        <w:rPr>
          <w:lang w:val="en-US"/>
        </w:rPr>
      </w:pPr>
      <w:r w:rsidRPr="00F84C39">
        <w:rPr>
          <w:lang w:val="en-US"/>
        </w:rPr>
        <w:t xml:space="preserve">Women’s economic empowerment programmes are monitored through the NPGEWE 2019-2024 reporting framework. Responsible agencies report progress to the National Gender Taskforce, which reviews outcomes, implementation challenges and gaps. Periodic progress reports consolidate achievements and outstanding actions. </w:t>
      </w:r>
    </w:p>
    <w:p w14:paraId="19F1D79D" w14:textId="5EB10E05" w:rsidR="005244A4" w:rsidRDefault="004F5EF4" w:rsidP="004F5EF4">
      <w:pPr>
        <w:pStyle w:val="H23G"/>
        <w:rPr>
          <w:lang w:val="en-US"/>
        </w:rPr>
      </w:pPr>
      <w:r>
        <w:rPr>
          <w:lang w:val="en-US"/>
        </w:rPr>
        <w:tab/>
      </w:r>
      <w:r>
        <w:rPr>
          <w:lang w:val="en-US"/>
        </w:rPr>
        <w:tab/>
      </w:r>
      <w:r w:rsidR="005244A4" w:rsidRPr="002750DE">
        <w:rPr>
          <w:lang w:val="en-US"/>
        </w:rPr>
        <w:t xml:space="preserve">Reply to paragraph </w:t>
      </w:r>
      <w:r w:rsidR="005244A4">
        <w:rPr>
          <w:lang w:val="en-US"/>
        </w:rPr>
        <w:t>16(d)</w:t>
      </w:r>
    </w:p>
    <w:p w14:paraId="64BA1575" w14:textId="0A792507" w:rsidR="00F84C39" w:rsidRPr="00F84C39" w:rsidRDefault="00F84C39" w:rsidP="004B7029">
      <w:pPr>
        <w:pStyle w:val="SingleTxtG"/>
        <w:numPr>
          <w:ilvl w:val="0"/>
          <w:numId w:val="24"/>
        </w:numPr>
        <w:ind w:left="1134" w:firstLine="0"/>
        <w:rPr>
          <w:lang w:val="en-US"/>
        </w:rPr>
      </w:pPr>
      <w:r w:rsidRPr="00F84C39">
        <w:rPr>
          <w:lang w:val="en-US"/>
        </w:rPr>
        <w:t>Specific measures to value or compensate women’s unpaid work in agriculture, marine resources, the blue economy and domestic work remain limited. Women can access general training, business development and sector support, but no dedicated payment, pension credit or social protection mechanism recognises unpaid household production, farming, fishing, food processing or care work.</w:t>
      </w:r>
    </w:p>
    <w:p w14:paraId="51D614A7" w14:textId="77777777" w:rsidR="00F84C39" w:rsidRPr="00F84C39" w:rsidRDefault="00F84C39" w:rsidP="004B7029">
      <w:pPr>
        <w:pStyle w:val="SingleTxtG"/>
        <w:numPr>
          <w:ilvl w:val="0"/>
          <w:numId w:val="24"/>
        </w:numPr>
        <w:ind w:left="1134" w:firstLine="0"/>
        <w:rPr>
          <w:lang w:val="en-US"/>
        </w:rPr>
      </w:pPr>
      <w:r w:rsidRPr="00F84C39">
        <w:rPr>
          <w:lang w:val="en-US"/>
        </w:rPr>
        <w:lastRenderedPageBreak/>
        <w:t>The National Policy on Gender Equality and Women’s Empowerment recognises women’s economic contributions. Proposed childcare subsidies for children aged zero to three, expanded parental leave and family-friendly employment arrangements aim to reduce unpaid-care responsibilities.</w:t>
      </w:r>
    </w:p>
    <w:p w14:paraId="1CE31AC5" w14:textId="77777777" w:rsidR="00F84C39" w:rsidRPr="00F84C39" w:rsidRDefault="00F84C39" w:rsidP="004B7029">
      <w:pPr>
        <w:pStyle w:val="SingleTxtG"/>
        <w:numPr>
          <w:ilvl w:val="0"/>
          <w:numId w:val="24"/>
        </w:numPr>
        <w:ind w:left="1134" w:firstLine="0"/>
        <w:rPr>
          <w:b/>
          <w:bCs/>
          <w:lang w:val="en-US"/>
        </w:rPr>
      </w:pPr>
      <w:r w:rsidRPr="00F84C39">
        <w:rPr>
          <w:lang w:val="en-US"/>
        </w:rPr>
        <w:t>Further action is required to make women’s unpaid work visible and provide practical support. This includes collecting time-use and sex-disaggregated data; providing targeted access to equipment, training, finance and markets; supporting women to formalise income-generating activities; and promoting a more equal sharing of domestic and caregiving responsibilities between women and men.</w:t>
      </w:r>
    </w:p>
    <w:p w14:paraId="7D5C6B28" w14:textId="4FC25689" w:rsidR="00F84C39" w:rsidRPr="00F84C39" w:rsidRDefault="004F5EF4" w:rsidP="004F5EF4">
      <w:pPr>
        <w:pStyle w:val="H1G"/>
        <w:rPr>
          <w:lang w:val="en-US"/>
        </w:rPr>
      </w:pPr>
      <w:r>
        <w:rPr>
          <w:lang w:val="en-US"/>
        </w:rPr>
        <w:tab/>
      </w:r>
      <w:r>
        <w:rPr>
          <w:lang w:val="en-US"/>
        </w:rPr>
        <w:tab/>
      </w:r>
      <w:r w:rsidR="00F84C39" w:rsidRPr="00F84C39">
        <w:rPr>
          <w:lang w:val="en-US"/>
        </w:rPr>
        <w:t>Rural women</w:t>
      </w:r>
    </w:p>
    <w:p w14:paraId="7E9FE318" w14:textId="2249C361"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17</w:t>
      </w:r>
    </w:p>
    <w:p w14:paraId="78E7FF42" w14:textId="6A276A8B" w:rsidR="00F84C39" w:rsidRPr="00F84C39" w:rsidRDefault="00F84C39" w:rsidP="004B7029">
      <w:pPr>
        <w:pStyle w:val="SingleTxtG"/>
        <w:numPr>
          <w:ilvl w:val="0"/>
          <w:numId w:val="24"/>
        </w:numPr>
        <w:ind w:left="1134" w:firstLine="0"/>
        <w:rPr>
          <w:lang w:val="en-US"/>
        </w:rPr>
      </w:pPr>
      <w:r w:rsidRPr="00F84C39">
        <w:rPr>
          <w:lang w:val="en-US"/>
        </w:rPr>
        <w:t>Women in the Pa Enua face additional barriers to employment, healthcare, justice and decision-making due to geographic isolation, limited services, transport costs and irregular inter-island travel.</w:t>
      </w:r>
    </w:p>
    <w:p w14:paraId="773878A4" w14:textId="77777777" w:rsidR="00F84C39" w:rsidRPr="00F84C39" w:rsidRDefault="00F84C39" w:rsidP="004B7029">
      <w:pPr>
        <w:pStyle w:val="SingleTxtG"/>
        <w:numPr>
          <w:ilvl w:val="0"/>
          <w:numId w:val="24"/>
        </w:numPr>
        <w:ind w:left="1134" w:firstLine="0"/>
        <w:rPr>
          <w:lang w:val="en-US"/>
        </w:rPr>
      </w:pPr>
      <w:r w:rsidRPr="00F84C39">
        <w:rPr>
          <w:lang w:val="en-US"/>
        </w:rPr>
        <w:t>Pa Enua Welfare Consultants provide frontline access to social assistance, employment and labour services, complaints processes and referrals, reducing the need to travel to Rarotonga. The National Employment Policy 2026–2030 also promotes skills development, local livelihoods and inclusive employment pathways for Pa Enua women.</w:t>
      </w:r>
    </w:p>
    <w:p w14:paraId="4C791A8C" w14:textId="77777777" w:rsidR="00F84C39" w:rsidRPr="00F84C39" w:rsidRDefault="00F84C39" w:rsidP="004B7029">
      <w:pPr>
        <w:pStyle w:val="SingleTxtG"/>
        <w:numPr>
          <w:ilvl w:val="0"/>
          <w:numId w:val="24"/>
        </w:numPr>
        <w:ind w:left="1134" w:firstLine="0"/>
        <w:rPr>
          <w:lang w:val="en-US"/>
        </w:rPr>
      </w:pPr>
      <w:r w:rsidRPr="00F84C39">
        <w:rPr>
          <w:lang w:val="en-US"/>
        </w:rPr>
        <w:t xml:space="preserve">The National Policy on Women’s Empowerment and Gender Equality and </w:t>
      </w:r>
      <w:r w:rsidRPr="00F84C39">
        <w:rPr>
          <w:i/>
          <w:iCs/>
          <w:lang w:val="en-US"/>
        </w:rPr>
        <w:t>Vai Marino 2026–2031</w:t>
      </w:r>
      <w:r w:rsidRPr="00F84C39">
        <w:rPr>
          <w:lang w:val="en-US"/>
        </w:rPr>
        <w:t xml:space="preserve"> support coordinated referrals, community awareness, survivor-centred services and women’s participation in programme development across all islands. Implementation requires continued coordination among government agencies, Island Governments, civil society and communities.</w:t>
      </w:r>
    </w:p>
    <w:p w14:paraId="554251EC" w14:textId="0B1B688C" w:rsidR="00F84C39" w:rsidRPr="00F84C39" w:rsidRDefault="004F5EF4" w:rsidP="004F5EF4">
      <w:pPr>
        <w:pStyle w:val="H1G"/>
        <w:rPr>
          <w:lang w:val="en-US"/>
        </w:rPr>
      </w:pPr>
      <w:r>
        <w:rPr>
          <w:lang w:val="en-US"/>
        </w:rPr>
        <w:tab/>
      </w:r>
      <w:r>
        <w:rPr>
          <w:lang w:val="en-US"/>
        </w:rPr>
        <w:tab/>
      </w:r>
      <w:r w:rsidR="00F84C39" w:rsidRPr="00F84C39">
        <w:rPr>
          <w:lang w:val="en-US"/>
        </w:rPr>
        <w:t>Women facing intersecting forms of discrimination</w:t>
      </w:r>
    </w:p>
    <w:p w14:paraId="005DCDE6" w14:textId="073355E7"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18(a)</w:t>
      </w:r>
    </w:p>
    <w:p w14:paraId="69EA2DF9" w14:textId="69A0B7FB" w:rsidR="00F84C39" w:rsidRPr="00F84C39" w:rsidRDefault="00F84C39" w:rsidP="004B7029">
      <w:pPr>
        <w:pStyle w:val="SingleTxtG"/>
        <w:numPr>
          <w:ilvl w:val="0"/>
          <w:numId w:val="24"/>
        </w:numPr>
        <w:ind w:left="1134" w:firstLine="0"/>
        <w:rPr>
          <w:lang w:val="en-US"/>
        </w:rPr>
      </w:pPr>
      <w:r w:rsidRPr="00F84C39">
        <w:rPr>
          <w:lang w:val="en-US"/>
        </w:rPr>
        <w:t xml:space="preserve">As of 1 July 2026, access to paid maternity and paternity leave entitlements has been extended to migrant workers, including women migrant workers. As the extension took effect on 1 July 2026, a further timeline for extending coverage is no longer required. Migrant workers who become permanent residents are eligible for social welfare payments, including the child benefit. </w:t>
      </w:r>
    </w:p>
    <w:p w14:paraId="5AB69266" w14:textId="1139D0DA"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18(b)</w:t>
      </w:r>
    </w:p>
    <w:p w14:paraId="10304EED" w14:textId="1E1D8139" w:rsidR="00F84C39" w:rsidRPr="00F84C39" w:rsidRDefault="00F84C39" w:rsidP="004B7029">
      <w:pPr>
        <w:pStyle w:val="SingleTxtG"/>
        <w:numPr>
          <w:ilvl w:val="0"/>
          <w:numId w:val="24"/>
        </w:numPr>
        <w:ind w:left="1134" w:firstLine="0"/>
        <w:rPr>
          <w:lang w:val="en-US"/>
        </w:rPr>
      </w:pPr>
      <w:r w:rsidRPr="00F84C39">
        <w:rPr>
          <w:lang w:val="en-US"/>
        </w:rPr>
        <w:t xml:space="preserve">Migrant women and their children can access Te Marae Ora’s health services. After six months of continuous employment, migrant women pay the same fees as local residents. </w:t>
      </w:r>
    </w:p>
    <w:p w14:paraId="2850A4BA" w14:textId="77777777" w:rsidR="00F84C39" w:rsidRPr="00F84C39" w:rsidRDefault="00F84C39" w:rsidP="004B7029">
      <w:pPr>
        <w:pStyle w:val="SingleTxtG"/>
        <w:numPr>
          <w:ilvl w:val="0"/>
          <w:numId w:val="24"/>
        </w:numPr>
        <w:ind w:left="1134" w:firstLine="0"/>
        <w:rPr>
          <w:lang w:val="en-US"/>
        </w:rPr>
      </w:pPr>
      <w:r w:rsidRPr="00F84C39">
        <w:rPr>
          <w:lang w:val="en-US"/>
        </w:rPr>
        <w:t xml:space="preserve">From 1 July 2026, eligible contract migrant workers may also be considered for overseas medical referral under the Patient Referral Policy 2026. This includes referrals for care and treatment in New Zealand, Fiji or another approved country. However, non-New Zealand citizens may need to cover treatment costs within New Zealand through insurance, personal funds or other approved arrangements. </w:t>
      </w:r>
    </w:p>
    <w:p w14:paraId="38CC4A1D" w14:textId="77777777" w:rsidR="00F84C39" w:rsidRPr="008057C0" w:rsidRDefault="00F84C39" w:rsidP="004B7029">
      <w:pPr>
        <w:pStyle w:val="SingleTxtG"/>
        <w:numPr>
          <w:ilvl w:val="0"/>
          <w:numId w:val="24"/>
        </w:numPr>
        <w:ind w:left="1134" w:firstLine="0"/>
        <w:rPr>
          <w:lang w:val="en-US"/>
        </w:rPr>
      </w:pPr>
      <w:r w:rsidRPr="008057C0">
        <w:rPr>
          <w:lang w:val="en-US"/>
        </w:rPr>
        <w:t xml:space="preserve">The Cook Islands does not currently have an established population of refugees or asylum seekers, and no separate public health-insurance scheme or coverage category has been created specifically for refugee or asylum-seeking women. Consequently, this issue has not arisen in practice during the reporting period. Should such a case arise, access to healthcare and responsibility for associated costs would need to be considered under the applicable Te Marae Ora and immigration arrangements. </w:t>
      </w:r>
    </w:p>
    <w:p w14:paraId="4923E0AE" w14:textId="1E8F372D" w:rsidR="004B7029" w:rsidRDefault="004F5EF4" w:rsidP="004F5EF4">
      <w:pPr>
        <w:pStyle w:val="H23G"/>
        <w:rPr>
          <w:lang w:val="en-US"/>
        </w:rPr>
      </w:pPr>
      <w:r>
        <w:rPr>
          <w:lang w:val="en-US"/>
        </w:rPr>
        <w:lastRenderedPageBreak/>
        <w:tab/>
      </w:r>
      <w:r>
        <w:rPr>
          <w:lang w:val="en-US"/>
        </w:rPr>
        <w:tab/>
      </w:r>
      <w:r w:rsidR="004B7029" w:rsidRPr="002750DE">
        <w:rPr>
          <w:lang w:val="en-US"/>
        </w:rPr>
        <w:t xml:space="preserve">Reply to paragraph </w:t>
      </w:r>
      <w:r w:rsidR="004B7029">
        <w:rPr>
          <w:lang w:val="en-US"/>
        </w:rPr>
        <w:t>18(c)</w:t>
      </w:r>
    </w:p>
    <w:p w14:paraId="1DA0A621" w14:textId="77777777" w:rsidR="00F84C39" w:rsidRPr="008057C0" w:rsidRDefault="00F84C39" w:rsidP="004B7029">
      <w:pPr>
        <w:pStyle w:val="SingleTxtG"/>
        <w:numPr>
          <w:ilvl w:val="0"/>
          <w:numId w:val="24"/>
        </w:numPr>
        <w:ind w:left="1134" w:firstLine="0"/>
        <w:rPr>
          <w:lang w:val="en-US"/>
        </w:rPr>
      </w:pPr>
      <w:r w:rsidRPr="008057C0">
        <w:rPr>
          <w:lang w:val="en-US"/>
        </w:rPr>
        <w:t>Access to justice and complaint mechanisms in the Cook Islands is not determined by nationality or sex. Migrant workers may report workplace violations and seek assistance on the same basis as non-migrant workers.</w:t>
      </w:r>
    </w:p>
    <w:p w14:paraId="3711FDBB" w14:textId="77777777" w:rsidR="00F84C39" w:rsidRPr="008057C0" w:rsidRDefault="00F84C39" w:rsidP="004B7029">
      <w:pPr>
        <w:pStyle w:val="SingleTxtG"/>
        <w:numPr>
          <w:ilvl w:val="0"/>
          <w:numId w:val="24"/>
        </w:numPr>
        <w:ind w:left="1134" w:firstLine="0"/>
        <w:rPr>
          <w:lang w:val="en-US"/>
        </w:rPr>
      </w:pPr>
      <w:r w:rsidRPr="008057C0">
        <w:rPr>
          <w:lang w:val="en-US"/>
        </w:rPr>
        <w:t>The Government recognises that migrant workers may fear employer retaliation because their right to live and work in the Cook Islands is linked to employer sponsorship. Through its labour mandate, the Ministry of Internal Affairs investigates workplace complaints under the Employment Relations Act 2012, including reported sexual harassment, exploitation and abuse.</w:t>
      </w:r>
    </w:p>
    <w:p w14:paraId="483FBC2F" w14:textId="77777777" w:rsidR="00F84C39" w:rsidRPr="008057C0" w:rsidRDefault="00F84C39" w:rsidP="004B7029">
      <w:pPr>
        <w:pStyle w:val="SingleTxtG"/>
        <w:numPr>
          <w:ilvl w:val="0"/>
          <w:numId w:val="24"/>
        </w:numPr>
        <w:ind w:left="1134" w:firstLine="0"/>
        <w:rPr>
          <w:lang w:val="en-US"/>
        </w:rPr>
      </w:pPr>
      <w:r w:rsidRPr="008057C0">
        <w:rPr>
          <w:lang w:val="en-US"/>
        </w:rPr>
        <w:t>The Immigration Act 2021 also prohibits the coercion, intimidation, threatening or exploitation of workers who are not Cook Islanders or permanent residents, including threats relating to their immigration status. Under section 218, a person who contravenes provisions protecting migrant workers from abuse commits an offence and may, upon conviction, be liable to a fine of up to $50,000.</w:t>
      </w:r>
    </w:p>
    <w:p w14:paraId="1989A75D" w14:textId="1D30031B"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18(d)</w:t>
      </w:r>
    </w:p>
    <w:p w14:paraId="72A7E0B3" w14:textId="0FD2E290" w:rsidR="00F84C39" w:rsidRPr="008057C0" w:rsidRDefault="00F84C39" w:rsidP="004B7029">
      <w:pPr>
        <w:pStyle w:val="SingleTxtG"/>
        <w:numPr>
          <w:ilvl w:val="0"/>
          <w:numId w:val="24"/>
        </w:numPr>
        <w:ind w:left="1134" w:firstLine="0"/>
        <w:rPr>
          <w:lang w:val="en-US"/>
        </w:rPr>
      </w:pPr>
      <w:r w:rsidRPr="008057C0">
        <w:rPr>
          <w:lang w:val="en-US"/>
        </w:rPr>
        <w:t>Children of migrant women workers have access to education in the Cook Islands on the same basis as children residing in the country and are also able to access student-support and referral services available through the education system.</w:t>
      </w:r>
    </w:p>
    <w:p w14:paraId="2D643567" w14:textId="77777777" w:rsidR="00F84C39" w:rsidRPr="008057C0" w:rsidRDefault="00F84C39" w:rsidP="004B7029">
      <w:pPr>
        <w:pStyle w:val="SingleTxtG"/>
        <w:numPr>
          <w:ilvl w:val="0"/>
          <w:numId w:val="24"/>
        </w:numPr>
        <w:ind w:left="1134" w:firstLine="0"/>
        <w:rPr>
          <w:lang w:val="en-US"/>
        </w:rPr>
      </w:pPr>
      <w:r w:rsidRPr="008057C0">
        <w:rPr>
          <w:lang w:val="en-US"/>
        </w:rPr>
        <w:t>Child protection, family support and other essential social services are available to migrant women and their children where assistance is required. From 1 July 2026, paid maternity and paternity leave was extended to migrant workers. This reform strengthens the ability of migrant women and their children to access financial and social support and reduces differences in treatment based on nationality or immigration status.</w:t>
      </w:r>
    </w:p>
    <w:p w14:paraId="4709A5E7" w14:textId="27AE0044"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19</w:t>
      </w:r>
    </w:p>
    <w:p w14:paraId="51525407" w14:textId="69928E69" w:rsidR="00F84C39" w:rsidRPr="008057C0" w:rsidRDefault="00F84C39" w:rsidP="004B7029">
      <w:pPr>
        <w:pStyle w:val="SingleTxtG"/>
        <w:numPr>
          <w:ilvl w:val="0"/>
          <w:numId w:val="24"/>
        </w:numPr>
        <w:ind w:left="1134" w:firstLine="0"/>
        <w:rPr>
          <w:lang w:val="en-US"/>
        </w:rPr>
      </w:pPr>
      <w:r w:rsidRPr="008057C0">
        <w:rPr>
          <w:lang w:val="en-US"/>
        </w:rPr>
        <w:t xml:space="preserve">In 2026, Te Tiare Association and the Ministry of Internal Affairs held a </w:t>
      </w:r>
      <w:r w:rsidRPr="008057C0">
        <w:rPr>
          <w:i/>
          <w:iCs/>
          <w:lang w:val="en-US"/>
        </w:rPr>
        <w:t>Say No to Violence</w:t>
      </w:r>
      <w:r w:rsidRPr="008057C0">
        <w:rPr>
          <w:lang w:val="en-US"/>
        </w:rPr>
        <w:t xml:space="preserve"> dance event involving 85 participants. It raised awareness of violence and discrimination against gender and sexual minorities and promoted respect, equality and inclusion. </w:t>
      </w:r>
    </w:p>
    <w:p w14:paraId="5E6E69C8" w14:textId="77777777" w:rsidR="00F84C39" w:rsidRPr="008057C0" w:rsidRDefault="00F84C39" w:rsidP="004B7029">
      <w:pPr>
        <w:pStyle w:val="SingleTxtG"/>
        <w:numPr>
          <w:ilvl w:val="0"/>
          <w:numId w:val="24"/>
        </w:numPr>
        <w:ind w:left="1134" w:firstLine="0"/>
        <w:rPr>
          <w:lang w:val="en-US"/>
        </w:rPr>
      </w:pPr>
      <w:r w:rsidRPr="008057C0">
        <w:rPr>
          <w:lang w:val="en-US"/>
        </w:rPr>
        <w:t xml:space="preserve">The National Gender-Based Violence Policy, </w:t>
      </w:r>
      <w:r w:rsidRPr="008057C0">
        <w:rPr>
          <w:i/>
          <w:iCs/>
          <w:lang w:val="en-US"/>
        </w:rPr>
        <w:t>Vai Marino 2026–2031</w:t>
      </w:r>
      <w:r w:rsidRPr="008057C0">
        <w:rPr>
          <w:lang w:val="en-US"/>
        </w:rPr>
        <w:t xml:space="preserve">, provides for inclusive prevention, awareness, professional training, referral pathways and survivor-centred support, including for people facing barriers due to sexual orientation or gender identity. </w:t>
      </w:r>
    </w:p>
    <w:p w14:paraId="4CDD044F" w14:textId="77777777" w:rsidR="00F84C39" w:rsidRPr="008057C0" w:rsidRDefault="00F84C39" w:rsidP="004B7029">
      <w:pPr>
        <w:pStyle w:val="SingleTxtG"/>
        <w:numPr>
          <w:ilvl w:val="0"/>
          <w:numId w:val="24"/>
        </w:numPr>
        <w:ind w:left="1134" w:firstLine="0"/>
        <w:rPr>
          <w:lang w:val="en-US"/>
        </w:rPr>
      </w:pPr>
      <w:r w:rsidRPr="008057C0">
        <w:rPr>
          <w:lang w:val="en-US"/>
        </w:rPr>
        <w:t>However, no comprehensive national study has yet been undertaken specifically examining the experiences and human-rights barriers faced by lesbian, bisexual, transgender and intersex women in areas such as healthcare, education, employment, housing, protection from violence and access to justice. Available information is therefore largely drawn from civil society engagement, community consultations and individual experiences. The small population also creates challenges for collecting disaggregated data while protecting confidentiality.</w:t>
      </w:r>
    </w:p>
    <w:p w14:paraId="37687CAD" w14:textId="198A44AB"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20(a)</w:t>
      </w:r>
    </w:p>
    <w:p w14:paraId="1D7FDBC2" w14:textId="78F63CDA" w:rsidR="00F84C39" w:rsidRPr="008057C0" w:rsidRDefault="00F84C39" w:rsidP="004B7029">
      <w:pPr>
        <w:pStyle w:val="SingleTxtG"/>
        <w:numPr>
          <w:ilvl w:val="0"/>
          <w:numId w:val="24"/>
        </w:numPr>
        <w:ind w:left="1134" w:firstLine="0"/>
        <w:rPr>
          <w:lang w:val="en-US"/>
        </w:rPr>
      </w:pPr>
      <w:r w:rsidRPr="008057C0">
        <w:rPr>
          <w:lang w:val="en-US"/>
        </w:rPr>
        <w:t>The Disability Inclusive Development Policy 2020-2025 has increased awareness and supported practical inclusion initiatives. However, limited sex- and disability-disaggregated data prevents a full assessment of its impact on women and girls.</w:t>
      </w:r>
    </w:p>
    <w:p w14:paraId="4D1E527B" w14:textId="77777777" w:rsidR="00F84C39" w:rsidRPr="008057C0" w:rsidRDefault="00F84C39" w:rsidP="004B7029">
      <w:pPr>
        <w:pStyle w:val="SingleTxtG"/>
        <w:numPr>
          <w:ilvl w:val="0"/>
          <w:numId w:val="24"/>
        </w:numPr>
        <w:ind w:left="1134" w:firstLine="0"/>
        <w:rPr>
          <w:lang w:val="en-US"/>
        </w:rPr>
      </w:pPr>
      <w:r w:rsidRPr="008057C0">
        <w:rPr>
          <w:lang w:val="en-US"/>
        </w:rPr>
        <w:t>The Social Impact Fund finances personnel, operations and essential services for seven disability-focused NGOs. Autism Cook Islands established its first shop, providing employment and skills development for persons with disabilities. Since 2025, a woman with a hearing impairment employed by an organisation of persons with disabilities has also taught sign language in primary schools.</w:t>
      </w:r>
    </w:p>
    <w:p w14:paraId="1F4F0A95" w14:textId="77777777" w:rsidR="00F84C39" w:rsidRPr="008057C0" w:rsidRDefault="00F84C39" w:rsidP="004B7029">
      <w:pPr>
        <w:pStyle w:val="SingleTxtG"/>
        <w:numPr>
          <w:ilvl w:val="0"/>
          <w:numId w:val="24"/>
        </w:numPr>
        <w:ind w:left="1134" w:firstLine="0"/>
        <w:rPr>
          <w:lang w:val="en-US"/>
        </w:rPr>
      </w:pPr>
      <w:r w:rsidRPr="008057C0">
        <w:rPr>
          <w:lang w:val="en-US"/>
        </w:rPr>
        <w:t xml:space="preserve">Women and girls with disabilities continue to face barriers to employment, sustainable income and social participation. The Government is reviewing the Policy and preparing its </w:t>
      </w:r>
      <w:r w:rsidRPr="008057C0">
        <w:rPr>
          <w:lang w:val="en-US"/>
        </w:rPr>
        <w:lastRenderedPageBreak/>
        <w:t>successor, with stronger monitoring and disaggregated indicators covering education, employment, income, health, protection from violence and decision-making.</w:t>
      </w:r>
    </w:p>
    <w:p w14:paraId="46523CDC" w14:textId="4C28A761"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20(b)</w:t>
      </w:r>
    </w:p>
    <w:p w14:paraId="12692DAD" w14:textId="441B8BE8" w:rsidR="00F84C39" w:rsidRPr="008057C0" w:rsidRDefault="00F84C39" w:rsidP="004B7029">
      <w:pPr>
        <w:pStyle w:val="SingleTxtG"/>
        <w:numPr>
          <w:ilvl w:val="0"/>
          <w:numId w:val="24"/>
        </w:numPr>
        <w:ind w:left="1134" w:firstLine="0"/>
        <w:rPr>
          <w:lang w:val="en-US"/>
        </w:rPr>
      </w:pPr>
      <w:r w:rsidRPr="008057C0">
        <w:rPr>
          <w:lang w:val="en-US"/>
        </w:rPr>
        <w:t>Government agencies have expanded accessible information through Easy Read resources, disability awareness materials and inclusive communication practices. Disability Inclusive Disaster Communication Guidelines developed in 2024-2025 have also improved arrangements for reaching and assisting women and girls with disabilities during emergencies.</w:t>
      </w:r>
    </w:p>
    <w:p w14:paraId="680A12B9" w14:textId="77777777" w:rsidR="00F84C39" w:rsidRPr="008057C0" w:rsidRDefault="00F84C39" w:rsidP="004B7029">
      <w:pPr>
        <w:pStyle w:val="SingleTxtG"/>
        <w:numPr>
          <w:ilvl w:val="0"/>
          <w:numId w:val="24"/>
        </w:numPr>
        <w:ind w:left="1134" w:firstLine="0"/>
        <w:rPr>
          <w:lang w:val="en-US"/>
        </w:rPr>
      </w:pPr>
      <w:r w:rsidRPr="008057C0">
        <w:rPr>
          <w:lang w:val="en-US"/>
        </w:rPr>
        <w:t>The Cook Islands Building Code 2019 requires new public buildings to include accessible paths, entrances, ramps, sanitary facilities and parking, with compliance assessed through the building-permit process against recognised standards such as AS 1428.1 or NZS 4121. These measures improve access to public services and facilities. However, many older buildings and private premises remain inaccessible, requiring further audits, retrofitting and stronger compliance monitoring.</w:t>
      </w:r>
    </w:p>
    <w:p w14:paraId="657D2AFB" w14:textId="77777777" w:rsidR="00F84C39" w:rsidRPr="008057C0" w:rsidRDefault="00F84C39" w:rsidP="004B7029">
      <w:pPr>
        <w:pStyle w:val="SingleTxtG"/>
        <w:numPr>
          <w:ilvl w:val="0"/>
          <w:numId w:val="24"/>
        </w:numPr>
        <w:ind w:left="1134" w:firstLine="0"/>
        <w:rPr>
          <w:lang w:val="en-US"/>
        </w:rPr>
      </w:pPr>
      <w:r w:rsidRPr="008057C0">
        <w:rPr>
          <w:lang w:val="en-US"/>
        </w:rPr>
        <w:t>Accessible transport remains limited, particularly in the Pa Enua, and many women and girls rely on family and community support. The Government is considering tax and tariff concessions for adapted vehicles, while disability focal points in the Pa Enua support access to information, services and referrals.</w:t>
      </w:r>
    </w:p>
    <w:p w14:paraId="0FDD6DC6" w14:textId="37BD335E"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20(c)</w:t>
      </w:r>
    </w:p>
    <w:p w14:paraId="76A6728C" w14:textId="6409115C" w:rsidR="00F84C39" w:rsidRPr="008057C0" w:rsidRDefault="00F84C39" w:rsidP="004B7029">
      <w:pPr>
        <w:pStyle w:val="SingleTxtG"/>
        <w:numPr>
          <w:ilvl w:val="0"/>
          <w:numId w:val="24"/>
        </w:numPr>
        <w:ind w:left="1134" w:firstLine="0"/>
        <w:rPr>
          <w:lang w:val="en-US"/>
        </w:rPr>
      </w:pPr>
      <w:r w:rsidRPr="008057C0">
        <w:rPr>
          <w:lang w:val="en-US"/>
        </w:rPr>
        <w:t>Women and girls with disabilities face intersecting barriers in education, employment, health, protection from gender-based violence, political participation and justice. However, comprehensive sex- and disability-disaggregated data is not systematically collected. The small, dispersed population also creates statistical and confidentiality challenges.</w:t>
      </w:r>
    </w:p>
    <w:p w14:paraId="6A855420" w14:textId="77777777" w:rsidR="00F84C39" w:rsidRPr="008057C0" w:rsidRDefault="00F84C39" w:rsidP="004B7029">
      <w:pPr>
        <w:pStyle w:val="SingleTxtG"/>
        <w:numPr>
          <w:ilvl w:val="0"/>
          <w:numId w:val="24"/>
        </w:numPr>
        <w:ind w:left="1134" w:firstLine="0"/>
        <w:rPr>
          <w:lang w:val="en-US"/>
        </w:rPr>
      </w:pPr>
      <w:r w:rsidRPr="008057C0">
        <w:rPr>
          <w:lang w:val="en-US"/>
        </w:rPr>
        <w:t>The Government is strengthening data through the development of a National Social Register, the Disability Inclusive Development Policy review and coordination among government agencies and disability organisations. A forthcoming Disability Monograph, based on the 2021 and 2026 censuses, will provide further analysis.</w:t>
      </w:r>
    </w:p>
    <w:p w14:paraId="17F945CA" w14:textId="6CD656A9" w:rsidR="00F84C39" w:rsidRPr="008057C0" w:rsidRDefault="004F5EF4" w:rsidP="004F5EF4">
      <w:pPr>
        <w:pStyle w:val="H1G"/>
        <w:rPr>
          <w:lang w:val="en-US"/>
        </w:rPr>
      </w:pPr>
      <w:r>
        <w:rPr>
          <w:lang w:val="en-US"/>
        </w:rPr>
        <w:tab/>
      </w:r>
      <w:r>
        <w:rPr>
          <w:lang w:val="en-US"/>
        </w:rPr>
        <w:tab/>
      </w:r>
      <w:r w:rsidR="00F84C39" w:rsidRPr="008057C0">
        <w:rPr>
          <w:lang w:val="en-US"/>
        </w:rPr>
        <w:t>Climate change and disaster risk reduction</w:t>
      </w:r>
    </w:p>
    <w:p w14:paraId="55873628" w14:textId="502A6ED9"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21</w:t>
      </w:r>
    </w:p>
    <w:p w14:paraId="16336F93" w14:textId="2931EFD7" w:rsidR="00F84C39" w:rsidRPr="008057C0" w:rsidRDefault="00F84C39" w:rsidP="004B7029">
      <w:pPr>
        <w:pStyle w:val="SingleTxtG"/>
        <w:numPr>
          <w:ilvl w:val="0"/>
          <w:numId w:val="24"/>
        </w:numPr>
        <w:ind w:left="1134" w:firstLine="0"/>
        <w:rPr>
          <w:lang w:val="en-US"/>
        </w:rPr>
      </w:pPr>
      <w:r w:rsidRPr="008057C0">
        <w:rPr>
          <w:lang w:val="en-US"/>
        </w:rPr>
        <w:t>The Cook Islands recognises that climate change and disasters disproportionately affect women in the Pa Enua, older women and women with disabilities. Key risks include but are not limited to sea-level rise, coastal erosion, flooding, drought, food security, health and livelihoods. Gender, age, disability and location are considered in vulnerability assessments and adaptation activities.</w:t>
      </w:r>
    </w:p>
    <w:p w14:paraId="4E4C0B54" w14:textId="77777777" w:rsidR="00F84C39" w:rsidRPr="008057C0" w:rsidRDefault="00F84C39" w:rsidP="004B7029">
      <w:pPr>
        <w:pStyle w:val="SingleTxtG"/>
        <w:numPr>
          <w:ilvl w:val="0"/>
          <w:numId w:val="24"/>
        </w:numPr>
        <w:ind w:left="1134" w:firstLine="0"/>
        <w:rPr>
          <w:lang w:val="en-US"/>
        </w:rPr>
      </w:pPr>
      <w:r w:rsidRPr="008057C0">
        <w:rPr>
          <w:lang w:val="en-US"/>
        </w:rPr>
        <w:t>Women participate in climate consultations, training and adaptation projects, which often include gender participation targets. The PEARL Project met its target for women beneficiaries and improved access to water by connecting tanks directly to homes, benefiting women and older persons.</w:t>
      </w:r>
    </w:p>
    <w:p w14:paraId="565B86CE" w14:textId="77777777" w:rsidR="00F84C39" w:rsidRPr="00F84C39" w:rsidRDefault="00F84C39" w:rsidP="004B7029">
      <w:pPr>
        <w:pStyle w:val="SingleTxtG"/>
        <w:numPr>
          <w:ilvl w:val="0"/>
          <w:numId w:val="24"/>
        </w:numPr>
        <w:ind w:left="1134" w:firstLine="0"/>
        <w:rPr>
          <w:lang w:val="en-US"/>
        </w:rPr>
      </w:pPr>
      <w:r w:rsidRPr="00F84C39">
        <w:rPr>
          <w:lang w:val="en-US"/>
        </w:rPr>
        <w:t>Women hold all Pa Enua climate focal-point positions and approximately 90 per cent of positions within Climate Change Cook Islands. They also serve in senior government, technical, traditional and community roles. However, national data on climate impacts and women’s participation and influence remain limited.</w:t>
      </w:r>
    </w:p>
    <w:p w14:paraId="2C87092E" w14:textId="77777777" w:rsidR="004B7029" w:rsidRDefault="00F84C39" w:rsidP="004B7029">
      <w:pPr>
        <w:pStyle w:val="SingleTxtG"/>
        <w:numPr>
          <w:ilvl w:val="0"/>
          <w:numId w:val="24"/>
        </w:numPr>
        <w:ind w:left="1134" w:firstLine="0"/>
        <w:rPr>
          <w:lang w:val="en-US"/>
        </w:rPr>
      </w:pPr>
      <w:r w:rsidRPr="00F84C39">
        <w:rPr>
          <w:lang w:val="en-US"/>
        </w:rPr>
        <w:t>Women also contribute to decisions on marine resources, the blue economy and seabed minerals. Further action is needed to measure their participation and influence, particularly among Pa Enua communities, customary landowners and traditional title-holders, integrate gender into environmental and disaster-risk strategies, and protect women environmental human rights defenders.</w:t>
      </w:r>
    </w:p>
    <w:p w14:paraId="264F277D" w14:textId="24859752" w:rsidR="00F84C39" w:rsidRDefault="004F5EF4" w:rsidP="004F5EF4">
      <w:pPr>
        <w:pStyle w:val="H1G"/>
        <w:rPr>
          <w:lang w:val="en-US"/>
        </w:rPr>
      </w:pPr>
      <w:r>
        <w:rPr>
          <w:lang w:val="en-US"/>
        </w:rPr>
        <w:lastRenderedPageBreak/>
        <w:tab/>
      </w:r>
      <w:r>
        <w:rPr>
          <w:lang w:val="en-US"/>
        </w:rPr>
        <w:tab/>
      </w:r>
      <w:r w:rsidR="00F84C39" w:rsidRPr="00F84C39">
        <w:rPr>
          <w:lang w:val="en-US"/>
        </w:rPr>
        <w:t>Marriage and family relations</w:t>
      </w:r>
    </w:p>
    <w:p w14:paraId="3A503662" w14:textId="16277FA4" w:rsidR="004B7029" w:rsidRP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22</w:t>
      </w:r>
    </w:p>
    <w:p w14:paraId="2D77D1CE" w14:textId="26F817E6" w:rsidR="00F84C39" w:rsidRPr="00F84C39" w:rsidRDefault="00F84C39" w:rsidP="004B7029">
      <w:pPr>
        <w:pStyle w:val="SingleTxtG"/>
        <w:numPr>
          <w:ilvl w:val="0"/>
          <w:numId w:val="24"/>
        </w:numPr>
        <w:ind w:left="1134" w:firstLine="0"/>
        <w:rPr>
          <w:lang w:val="en-US"/>
        </w:rPr>
      </w:pPr>
      <w:r w:rsidRPr="00F84C39">
        <w:rPr>
          <w:lang w:val="en-US"/>
        </w:rPr>
        <w:t>A review of the Matrimonial Property Act will be undertaken alongside the review of the Marriage Act, which is expected to commence within one year.</w:t>
      </w:r>
    </w:p>
    <w:p w14:paraId="68B88B5F" w14:textId="77777777" w:rsidR="00F84C39" w:rsidRPr="00F84C39" w:rsidRDefault="00F84C39" w:rsidP="004B7029">
      <w:pPr>
        <w:pStyle w:val="SingleTxtG"/>
        <w:numPr>
          <w:ilvl w:val="0"/>
          <w:numId w:val="24"/>
        </w:numPr>
        <w:ind w:left="1134" w:firstLine="0"/>
        <w:rPr>
          <w:lang w:val="en-US"/>
        </w:rPr>
      </w:pPr>
      <w:r w:rsidRPr="00F84C39">
        <w:rPr>
          <w:lang w:val="en-US"/>
        </w:rPr>
        <w:t xml:space="preserve">The current Act already recognises both financial and non-financial contributions made by spouses. Section 18 expressly includes contributions relating to child-rearing, domestic responsibilities and assistance provided to enable a spouse to work, study or develop their skills. These provisions have been considered by the courts, including in </w:t>
      </w:r>
      <w:r w:rsidRPr="00F84C39">
        <w:rPr>
          <w:i/>
          <w:iCs/>
          <w:lang w:val="en-US"/>
        </w:rPr>
        <w:t>Webb v Webb</w:t>
      </w:r>
      <w:r w:rsidRPr="00F84C39">
        <w:rPr>
          <w:lang w:val="en-US"/>
        </w:rPr>
        <w:t xml:space="preserve"> (2020), which concerned the division of matrimonial property and was ultimately determined by the Privy Council in favour of Mrs Webb.</w:t>
      </w:r>
    </w:p>
    <w:p w14:paraId="0AC7BCEB" w14:textId="77777777" w:rsidR="00F84C39" w:rsidRPr="00F84C39" w:rsidRDefault="00F84C39" w:rsidP="004B7029">
      <w:pPr>
        <w:pStyle w:val="SingleTxtG"/>
        <w:numPr>
          <w:ilvl w:val="0"/>
          <w:numId w:val="24"/>
        </w:numPr>
        <w:ind w:left="1134" w:firstLine="0"/>
        <w:rPr>
          <w:lang w:val="en-US"/>
        </w:rPr>
      </w:pPr>
      <w:r w:rsidRPr="00F84C39">
        <w:rPr>
          <w:lang w:val="en-US"/>
        </w:rPr>
        <w:t>De facto relationships are not currently covered by the Matrimonial Property Act, although they are recognised under other legislation, including the Family Protection and Support Act 2017. Their inclusion will be considered as part of the review. In the absence of specific statutory provisions, the courts may apply relevant common law and equitable principles.</w:t>
      </w:r>
    </w:p>
    <w:p w14:paraId="472CA8CF" w14:textId="0941ED03" w:rsidR="00F84C39" w:rsidRPr="00F84C39" w:rsidRDefault="004F5EF4" w:rsidP="004F5EF4">
      <w:pPr>
        <w:pStyle w:val="H1G"/>
        <w:rPr>
          <w:lang w:val="en-US"/>
        </w:rPr>
      </w:pPr>
      <w:r>
        <w:rPr>
          <w:lang w:val="en-US"/>
        </w:rPr>
        <w:tab/>
      </w:r>
      <w:r>
        <w:rPr>
          <w:lang w:val="en-US"/>
        </w:rPr>
        <w:tab/>
      </w:r>
      <w:r w:rsidR="00F84C39" w:rsidRPr="00F84C39">
        <w:rPr>
          <w:lang w:val="en-US"/>
        </w:rPr>
        <w:t>Ratification of other treaties</w:t>
      </w:r>
    </w:p>
    <w:p w14:paraId="6A348616" w14:textId="682D0164" w:rsidR="004B7029" w:rsidRDefault="004F5EF4" w:rsidP="004F5EF4">
      <w:pPr>
        <w:pStyle w:val="H23G"/>
        <w:rPr>
          <w:lang w:val="en-US"/>
        </w:rPr>
      </w:pPr>
      <w:r>
        <w:rPr>
          <w:lang w:val="en-US"/>
        </w:rPr>
        <w:tab/>
      </w:r>
      <w:r>
        <w:rPr>
          <w:lang w:val="en-US"/>
        </w:rPr>
        <w:tab/>
      </w:r>
      <w:r w:rsidR="004B7029" w:rsidRPr="002750DE">
        <w:rPr>
          <w:lang w:val="en-US"/>
        </w:rPr>
        <w:t xml:space="preserve">Reply to paragraph </w:t>
      </w:r>
      <w:r w:rsidR="004B7029">
        <w:rPr>
          <w:lang w:val="en-US"/>
        </w:rPr>
        <w:t>23</w:t>
      </w:r>
    </w:p>
    <w:p w14:paraId="19E54FEE" w14:textId="1583A3D6" w:rsidR="00F84C39" w:rsidRPr="00F84C39" w:rsidRDefault="00F84C39" w:rsidP="004B7029">
      <w:pPr>
        <w:pStyle w:val="SingleTxtG"/>
        <w:numPr>
          <w:ilvl w:val="0"/>
          <w:numId w:val="24"/>
        </w:numPr>
        <w:ind w:left="1134" w:firstLine="0"/>
        <w:rPr>
          <w:lang w:val="en-US"/>
        </w:rPr>
      </w:pPr>
      <w:r w:rsidRPr="00F84C39">
        <w:rPr>
          <w:lang w:val="en-US"/>
        </w:rPr>
        <w:t>The Cook Islands has not ratified ILO Convention No. 111 on discrimination in employment. However, sections 53–55 of the Employment Relations Act 2012 prohibit direct and indirect discrimination on grounds including race, national origin, religion, gender, disability, age, health status and maternity.</w:t>
      </w:r>
    </w:p>
    <w:p w14:paraId="0D380F97" w14:textId="77777777" w:rsidR="00F84C39" w:rsidRPr="00F84C39" w:rsidRDefault="00F84C39" w:rsidP="004B7029">
      <w:pPr>
        <w:pStyle w:val="SingleTxtG"/>
        <w:numPr>
          <w:ilvl w:val="0"/>
          <w:numId w:val="24"/>
        </w:numPr>
        <w:ind w:left="1134" w:firstLine="0"/>
        <w:rPr>
          <w:lang w:val="en-US"/>
        </w:rPr>
      </w:pPr>
      <w:r w:rsidRPr="00F84C39">
        <w:rPr>
          <w:lang w:val="en-US"/>
        </w:rPr>
        <w:t>The validated National Employment Policy, pending Cabinet endorsement, includes consideration of ratification. The Government will review employment legislation against the Convention in consultation with employers, workers, stakeholders and the ILO to identify any required amendments.</w:t>
      </w:r>
    </w:p>
    <w:p w14:paraId="2A38447D" w14:textId="59C0043E" w:rsidR="00F52D57" w:rsidRPr="008057C0" w:rsidRDefault="004F5EF4" w:rsidP="004F5EF4">
      <w:pPr>
        <w:pStyle w:val="SingleTxtG"/>
        <w:jc w:val="center"/>
        <w:rPr>
          <w:u w:val="single"/>
          <w:lang w:val="en-US"/>
        </w:rPr>
      </w:pPr>
      <w:r>
        <w:rPr>
          <w:u w:val="single"/>
          <w:lang w:val="en-US"/>
        </w:rPr>
        <w:tab/>
      </w:r>
      <w:r>
        <w:rPr>
          <w:u w:val="single"/>
          <w:lang w:val="en-US"/>
        </w:rPr>
        <w:tab/>
      </w:r>
      <w:r>
        <w:rPr>
          <w:u w:val="single"/>
          <w:lang w:val="en-US"/>
        </w:rPr>
        <w:tab/>
      </w:r>
    </w:p>
    <w:sectPr w:rsidR="00F52D57" w:rsidRPr="008057C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6C529" w14:textId="77777777" w:rsidR="00F838A4" w:rsidRDefault="00F838A4">
      <w:pPr>
        <w:spacing w:line="240" w:lineRule="auto"/>
      </w:pPr>
    </w:p>
  </w:endnote>
  <w:endnote w:type="continuationSeparator" w:id="0">
    <w:p w14:paraId="447D5484" w14:textId="77777777" w:rsidR="00F838A4" w:rsidRDefault="00F838A4">
      <w:pPr>
        <w:pStyle w:val="Footer"/>
      </w:pPr>
    </w:p>
  </w:endnote>
  <w:endnote w:type="continuationNotice" w:id="1">
    <w:p w14:paraId="4961D6E1" w14:textId="77777777" w:rsidR="00F838A4" w:rsidRDefault="00F838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892CC" w14:textId="77777777" w:rsidR="00F52D57" w:rsidRDefault="00506FF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E7B5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45018" w14:textId="77777777" w:rsidR="00F52D57" w:rsidRDefault="0055439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40357" w14:textId="77777777" w:rsidR="00F52D57" w:rsidRDefault="00506FF2">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6FC7631" wp14:editId="7E4F2BBC">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C7441A" w14:paraId="0D77E61F" w14:textId="77777777">
      <w:tc>
        <w:tcPr>
          <w:tcW w:w="1848" w:type="dxa"/>
          <w:vAlign w:val="bottom"/>
        </w:tcPr>
        <w:p w14:paraId="3770DC79" w14:textId="77777777" w:rsidR="00F52D57" w:rsidRDefault="00506FF2">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3E4DC7C1" wp14:editId="48F505B6">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7FC6ECD0" w14:textId="77777777" w:rsidR="00F52D57" w:rsidRDefault="00F52D57">
          <w:pPr>
            <w:kinsoku w:val="0"/>
            <w:overflowPunct w:val="0"/>
            <w:autoSpaceDE w:val="0"/>
            <w:autoSpaceDN w:val="0"/>
            <w:adjustRightInd w:val="0"/>
            <w:snapToGrid w:val="0"/>
            <w:spacing w:line="240" w:lineRule="auto"/>
            <w:jc w:val="right"/>
            <w:rPr>
              <w:rFonts w:eastAsiaTheme="minorHAnsi"/>
              <w:sz w:val="16"/>
              <w:lang w:val="fr-CH"/>
            </w:rPr>
          </w:pPr>
        </w:p>
      </w:tc>
    </w:tr>
  </w:tbl>
  <w:p w14:paraId="4BC3DECB" w14:textId="77777777" w:rsidR="00F52D57" w:rsidRDefault="00F5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8DF24" w14:textId="77777777" w:rsidR="00F838A4" w:rsidRDefault="00F838A4">
      <w:pPr>
        <w:pStyle w:val="Footer"/>
        <w:tabs>
          <w:tab w:val="right" w:pos="2155"/>
        </w:tabs>
        <w:spacing w:after="80" w:line="240" w:lineRule="atLeast"/>
        <w:ind w:left="680"/>
        <w:rPr>
          <w:u w:val="single"/>
        </w:rPr>
      </w:pPr>
      <w:r>
        <w:rPr>
          <w:u w:val="single"/>
        </w:rPr>
        <w:tab/>
      </w:r>
    </w:p>
  </w:footnote>
  <w:footnote w:type="continuationSeparator" w:id="0">
    <w:p w14:paraId="34D3224F" w14:textId="77777777" w:rsidR="00F838A4" w:rsidRDefault="00F838A4">
      <w:pPr>
        <w:pStyle w:val="Footer"/>
        <w:tabs>
          <w:tab w:val="right" w:pos="2155"/>
        </w:tabs>
        <w:spacing w:after="80" w:line="240" w:lineRule="atLeast"/>
        <w:ind w:left="680"/>
        <w:rPr>
          <w:u w:val="single"/>
        </w:rPr>
      </w:pPr>
      <w:r>
        <w:rPr>
          <w:u w:val="single"/>
        </w:rPr>
        <w:tab/>
      </w:r>
    </w:p>
  </w:footnote>
  <w:footnote w:type="continuationNotice" w:id="1">
    <w:p w14:paraId="555E1EB3" w14:textId="77777777" w:rsidR="00F838A4" w:rsidRDefault="00F838A4">
      <w:pPr>
        <w:spacing w:line="240" w:lineRule="auto"/>
        <w:rPr>
          <w:sz w:val="2"/>
          <w:szCs w:val="2"/>
        </w:rPr>
      </w:pPr>
    </w:p>
  </w:footnote>
  <w:footnote w:id="2">
    <w:p w14:paraId="1438D410" w14:textId="77777777" w:rsidR="00F52D57" w:rsidRDefault="00506FF2">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1E5F" w14:textId="77777777" w:rsidR="00F52D57" w:rsidRDefault="00554397">
    <w:pPr>
      <w:pStyle w:val="Header"/>
    </w:pPr>
    <w:r>
      <w:t>CEDAW/C/COK/RQ/4-5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61FDC" w14:textId="77777777" w:rsidR="00F52D57" w:rsidRDefault="00554397">
    <w:pPr>
      <w:pStyle w:val="Header"/>
      <w:jc w:val="right"/>
    </w:pPr>
    <w:r>
      <w:t>CEDAW/C/COK/RQ/4-5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61A4A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CCEB6BE" w:tentative="1">
      <w:start w:val="1"/>
      <w:numFmt w:val="lowerLetter"/>
      <w:lvlText w:val="%2."/>
      <w:lvlJc w:val="left"/>
      <w:pPr>
        <w:tabs>
          <w:tab w:val="num" w:pos="1440"/>
        </w:tabs>
        <w:ind w:left="1440" w:hanging="360"/>
      </w:pPr>
    </w:lvl>
    <w:lvl w:ilvl="2" w:tplc="4594BB90" w:tentative="1">
      <w:start w:val="1"/>
      <w:numFmt w:val="lowerRoman"/>
      <w:lvlText w:val="%3."/>
      <w:lvlJc w:val="right"/>
      <w:pPr>
        <w:tabs>
          <w:tab w:val="num" w:pos="2160"/>
        </w:tabs>
        <w:ind w:left="2160" w:hanging="180"/>
      </w:pPr>
    </w:lvl>
    <w:lvl w:ilvl="3" w:tplc="2306262C" w:tentative="1">
      <w:start w:val="1"/>
      <w:numFmt w:val="decimal"/>
      <w:lvlText w:val="%4."/>
      <w:lvlJc w:val="left"/>
      <w:pPr>
        <w:tabs>
          <w:tab w:val="num" w:pos="2880"/>
        </w:tabs>
        <w:ind w:left="2880" w:hanging="360"/>
      </w:pPr>
    </w:lvl>
    <w:lvl w:ilvl="4" w:tplc="AEC2F238" w:tentative="1">
      <w:start w:val="1"/>
      <w:numFmt w:val="lowerLetter"/>
      <w:lvlText w:val="%5."/>
      <w:lvlJc w:val="left"/>
      <w:pPr>
        <w:tabs>
          <w:tab w:val="num" w:pos="3600"/>
        </w:tabs>
        <w:ind w:left="3600" w:hanging="360"/>
      </w:pPr>
    </w:lvl>
    <w:lvl w:ilvl="5" w:tplc="DB54C33A" w:tentative="1">
      <w:start w:val="1"/>
      <w:numFmt w:val="lowerRoman"/>
      <w:lvlText w:val="%6."/>
      <w:lvlJc w:val="right"/>
      <w:pPr>
        <w:tabs>
          <w:tab w:val="num" w:pos="4320"/>
        </w:tabs>
        <w:ind w:left="4320" w:hanging="180"/>
      </w:pPr>
    </w:lvl>
    <w:lvl w:ilvl="6" w:tplc="305C8DCA" w:tentative="1">
      <w:start w:val="1"/>
      <w:numFmt w:val="decimal"/>
      <w:lvlText w:val="%7."/>
      <w:lvlJc w:val="left"/>
      <w:pPr>
        <w:tabs>
          <w:tab w:val="num" w:pos="5040"/>
        </w:tabs>
        <w:ind w:left="5040" w:hanging="360"/>
      </w:pPr>
    </w:lvl>
    <w:lvl w:ilvl="7" w:tplc="F0A8FCDE" w:tentative="1">
      <w:start w:val="1"/>
      <w:numFmt w:val="lowerLetter"/>
      <w:lvlText w:val="%8."/>
      <w:lvlJc w:val="left"/>
      <w:pPr>
        <w:tabs>
          <w:tab w:val="num" w:pos="5760"/>
        </w:tabs>
        <w:ind w:left="5760" w:hanging="360"/>
      </w:pPr>
    </w:lvl>
    <w:lvl w:ilvl="8" w:tplc="6FB8691C" w:tentative="1">
      <w:start w:val="1"/>
      <w:numFmt w:val="lowerRoman"/>
      <w:lvlText w:val="%9."/>
      <w:lvlJc w:val="right"/>
      <w:pPr>
        <w:tabs>
          <w:tab w:val="num" w:pos="6480"/>
        </w:tabs>
        <w:ind w:left="6480" w:hanging="180"/>
      </w:pPr>
    </w:lvl>
  </w:abstractNum>
  <w:abstractNum w:abstractNumId="11" w15:restartNumberingAfterBreak="0">
    <w:nsid w:val="22B371B9"/>
    <w:multiLevelType w:val="hybridMultilevel"/>
    <w:tmpl w:val="275070CA"/>
    <w:lvl w:ilvl="0" w:tplc="64EE8E86">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5CA4563"/>
    <w:multiLevelType w:val="multilevel"/>
    <w:tmpl w:val="52C26B40"/>
    <w:lvl w:ilvl="0">
      <w:start w:val="1"/>
      <w:numFmt w:val="bullet"/>
      <w:lvlText w:val="●"/>
      <w:lvlJc w:val="left"/>
      <w:pPr>
        <w:ind w:left="1987" w:hanging="360"/>
      </w:pPr>
      <w:rPr>
        <w:rFonts w:ascii="Noto Sans Symbols" w:eastAsia="Noto Sans Symbols" w:hAnsi="Noto Sans Symbols" w:cs="Noto Sans Symbols"/>
      </w:rPr>
    </w:lvl>
    <w:lvl w:ilvl="1">
      <w:start w:val="1"/>
      <w:numFmt w:val="bullet"/>
      <w:lvlText w:val="o"/>
      <w:lvlJc w:val="left"/>
      <w:pPr>
        <w:ind w:left="2707" w:hanging="360"/>
      </w:pPr>
      <w:rPr>
        <w:rFonts w:ascii="Courier New" w:eastAsia="Courier New" w:hAnsi="Courier New" w:cs="Courier New"/>
      </w:rPr>
    </w:lvl>
    <w:lvl w:ilvl="2">
      <w:start w:val="1"/>
      <w:numFmt w:val="bullet"/>
      <w:lvlText w:val="▪"/>
      <w:lvlJc w:val="left"/>
      <w:pPr>
        <w:ind w:left="3427" w:hanging="360"/>
      </w:pPr>
      <w:rPr>
        <w:rFonts w:ascii="Noto Sans Symbols" w:eastAsia="Noto Sans Symbols" w:hAnsi="Noto Sans Symbols" w:cs="Noto Sans Symbols"/>
      </w:rPr>
    </w:lvl>
    <w:lvl w:ilvl="3">
      <w:start w:val="1"/>
      <w:numFmt w:val="bullet"/>
      <w:lvlText w:val="●"/>
      <w:lvlJc w:val="left"/>
      <w:pPr>
        <w:ind w:left="4147" w:hanging="360"/>
      </w:pPr>
      <w:rPr>
        <w:rFonts w:ascii="Noto Sans Symbols" w:eastAsia="Noto Sans Symbols" w:hAnsi="Noto Sans Symbols" w:cs="Noto Sans Symbols"/>
      </w:rPr>
    </w:lvl>
    <w:lvl w:ilvl="4">
      <w:start w:val="1"/>
      <w:numFmt w:val="bullet"/>
      <w:lvlText w:val="o"/>
      <w:lvlJc w:val="left"/>
      <w:pPr>
        <w:ind w:left="4867" w:hanging="360"/>
      </w:pPr>
      <w:rPr>
        <w:rFonts w:ascii="Courier New" w:eastAsia="Courier New" w:hAnsi="Courier New" w:cs="Courier New"/>
      </w:rPr>
    </w:lvl>
    <w:lvl w:ilvl="5">
      <w:start w:val="1"/>
      <w:numFmt w:val="bullet"/>
      <w:lvlText w:val="▪"/>
      <w:lvlJc w:val="left"/>
      <w:pPr>
        <w:ind w:left="5587" w:hanging="360"/>
      </w:pPr>
      <w:rPr>
        <w:rFonts w:ascii="Noto Sans Symbols" w:eastAsia="Noto Sans Symbols" w:hAnsi="Noto Sans Symbols" w:cs="Noto Sans Symbols"/>
      </w:rPr>
    </w:lvl>
    <w:lvl w:ilvl="6">
      <w:start w:val="1"/>
      <w:numFmt w:val="bullet"/>
      <w:lvlText w:val="●"/>
      <w:lvlJc w:val="left"/>
      <w:pPr>
        <w:ind w:left="6307" w:hanging="360"/>
      </w:pPr>
      <w:rPr>
        <w:rFonts w:ascii="Noto Sans Symbols" w:eastAsia="Noto Sans Symbols" w:hAnsi="Noto Sans Symbols" w:cs="Noto Sans Symbols"/>
      </w:rPr>
    </w:lvl>
    <w:lvl w:ilvl="7">
      <w:start w:val="1"/>
      <w:numFmt w:val="bullet"/>
      <w:lvlText w:val="o"/>
      <w:lvlJc w:val="left"/>
      <w:pPr>
        <w:ind w:left="7027" w:hanging="360"/>
      </w:pPr>
      <w:rPr>
        <w:rFonts w:ascii="Courier New" w:eastAsia="Courier New" w:hAnsi="Courier New" w:cs="Courier New"/>
      </w:rPr>
    </w:lvl>
    <w:lvl w:ilvl="8">
      <w:start w:val="1"/>
      <w:numFmt w:val="bullet"/>
      <w:lvlText w:val="▪"/>
      <w:lvlJc w:val="left"/>
      <w:pPr>
        <w:ind w:left="7747" w:hanging="360"/>
      </w:pPr>
      <w:rPr>
        <w:rFonts w:ascii="Noto Sans Symbols" w:eastAsia="Noto Sans Symbols" w:hAnsi="Noto Sans Symbols" w:cs="Noto Sans Symbols"/>
      </w:rPr>
    </w:lvl>
  </w:abstractNum>
  <w:abstractNum w:abstractNumId="13" w15:restartNumberingAfterBreak="0">
    <w:nsid w:val="3ACF4EB2"/>
    <w:multiLevelType w:val="hybridMultilevel"/>
    <w:tmpl w:val="CB6C816A"/>
    <w:lvl w:ilvl="0" w:tplc="5B262460">
      <w:start w:val="1"/>
      <w:numFmt w:val="bullet"/>
      <w:pStyle w:val="Bullet2G"/>
      <w:lvlText w:val="•"/>
      <w:lvlJc w:val="left"/>
      <w:pPr>
        <w:tabs>
          <w:tab w:val="num" w:pos="2268"/>
        </w:tabs>
        <w:ind w:left="2268" w:hanging="170"/>
      </w:pPr>
      <w:rPr>
        <w:rFonts w:ascii="Times New Roman" w:hAnsi="Times New Roman" w:cs="Times New Roman" w:hint="default"/>
      </w:rPr>
    </w:lvl>
    <w:lvl w:ilvl="1" w:tplc="DB32B8AA" w:tentative="1">
      <w:start w:val="1"/>
      <w:numFmt w:val="bullet"/>
      <w:lvlText w:val="o"/>
      <w:lvlJc w:val="left"/>
      <w:pPr>
        <w:tabs>
          <w:tab w:val="num" w:pos="3708"/>
        </w:tabs>
        <w:ind w:left="3708" w:hanging="360"/>
      </w:pPr>
      <w:rPr>
        <w:rFonts w:ascii="Courier New" w:hAnsi="Courier New" w:hint="default"/>
      </w:rPr>
    </w:lvl>
    <w:lvl w:ilvl="2" w:tplc="C9B848AE" w:tentative="1">
      <w:start w:val="1"/>
      <w:numFmt w:val="bullet"/>
      <w:lvlText w:val=""/>
      <w:lvlJc w:val="left"/>
      <w:pPr>
        <w:tabs>
          <w:tab w:val="num" w:pos="4428"/>
        </w:tabs>
        <w:ind w:left="4428" w:hanging="360"/>
      </w:pPr>
      <w:rPr>
        <w:rFonts w:ascii="Wingdings" w:hAnsi="Wingdings" w:hint="default"/>
      </w:rPr>
    </w:lvl>
    <w:lvl w:ilvl="3" w:tplc="CE3C6AA4" w:tentative="1">
      <w:start w:val="1"/>
      <w:numFmt w:val="bullet"/>
      <w:lvlText w:val=""/>
      <w:lvlJc w:val="left"/>
      <w:pPr>
        <w:tabs>
          <w:tab w:val="num" w:pos="5148"/>
        </w:tabs>
        <w:ind w:left="5148" w:hanging="360"/>
      </w:pPr>
      <w:rPr>
        <w:rFonts w:ascii="Symbol" w:hAnsi="Symbol" w:hint="default"/>
      </w:rPr>
    </w:lvl>
    <w:lvl w:ilvl="4" w:tplc="813EC00A" w:tentative="1">
      <w:start w:val="1"/>
      <w:numFmt w:val="bullet"/>
      <w:lvlText w:val="o"/>
      <w:lvlJc w:val="left"/>
      <w:pPr>
        <w:tabs>
          <w:tab w:val="num" w:pos="5868"/>
        </w:tabs>
        <w:ind w:left="5868" w:hanging="360"/>
      </w:pPr>
      <w:rPr>
        <w:rFonts w:ascii="Courier New" w:hAnsi="Courier New" w:hint="default"/>
      </w:rPr>
    </w:lvl>
    <w:lvl w:ilvl="5" w:tplc="C088B2F6" w:tentative="1">
      <w:start w:val="1"/>
      <w:numFmt w:val="bullet"/>
      <w:lvlText w:val=""/>
      <w:lvlJc w:val="left"/>
      <w:pPr>
        <w:tabs>
          <w:tab w:val="num" w:pos="6588"/>
        </w:tabs>
        <w:ind w:left="6588" w:hanging="360"/>
      </w:pPr>
      <w:rPr>
        <w:rFonts w:ascii="Wingdings" w:hAnsi="Wingdings" w:hint="default"/>
      </w:rPr>
    </w:lvl>
    <w:lvl w:ilvl="6" w:tplc="3A3C7A10" w:tentative="1">
      <w:start w:val="1"/>
      <w:numFmt w:val="bullet"/>
      <w:lvlText w:val=""/>
      <w:lvlJc w:val="left"/>
      <w:pPr>
        <w:tabs>
          <w:tab w:val="num" w:pos="7308"/>
        </w:tabs>
        <w:ind w:left="7308" w:hanging="360"/>
      </w:pPr>
      <w:rPr>
        <w:rFonts w:ascii="Symbol" w:hAnsi="Symbol" w:hint="default"/>
      </w:rPr>
    </w:lvl>
    <w:lvl w:ilvl="7" w:tplc="2AD6CEA0" w:tentative="1">
      <w:start w:val="1"/>
      <w:numFmt w:val="bullet"/>
      <w:lvlText w:val="o"/>
      <w:lvlJc w:val="left"/>
      <w:pPr>
        <w:tabs>
          <w:tab w:val="num" w:pos="8028"/>
        </w:tabs>
        <w:ind w:left="8028" w:hanging="360"/>
      </w:pPr>
      <w:rPr>
        <w:rFonts w:ascii="Courier New" w:hAnsi="Courier New" w:hint="default"/>
      </w:rPr>
    </w:lvl>
    <w:lvl w:ilvl="8" w:tplc="5340482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4214CCE"/>
    <w:multiLevelType w:val="multilevel"/>
    <w:tmpl w:val="94447A1E"/>
    <w:lvl w:ilvl="0">
      <w:start w:val="1"/>
      <w:numFmt w:val="decimal"/>
      <w:lvlText w:val="%1."/>
      <w:lvlJc w:val="left"/>
      <w:pPr>
        <w:ind w:left="1737" w:hanging="470"/>
      </w:pPr>
    </w:lvl>
    <w:lvl w:ilvl="1">
      <w:start w:val="1"/>
      <w:numFmt w:val="lowerLetter"/>
      <w:lvlText w:val="%2."/>
      <w:lvlJc w:val="left"/>
      <w:pPr>
        <w:ind w:left="2347" w:hanging="360"/>
      </w:pPr>
    </w:lvl>
    <w:lvl w:ilvl="2">
      <w:start w:val="1"/>
      <w:numFmt w:val="lowerRoman"/>
      <w:lvlText w:val="%3."/>
      <w:lvlJc w:val="right"/>
      <w:pPr>
        <w:ind w:left="3067" w:hanging="180"/>
      </w:pPr>
    </w:lvl>
    <w:lvl w:ilvl="3">
      <w:start w:val="1"/>
      <w:numFmt w:val="decimal"/>
      <w:lvlText w:val="%4."/>
      <w:lvlJc w:val="left"/>
      <w:pPr>
        <w:ind w:left="3787" w:hanging="360"/>
      </w:pPr>
    </w:lvl>
    <w:lvl w:ilvl="4">
      <w:start w:val="1"/>
      <w:numFmt w:val="lowerLetter"/>
      <w:lvlText w:val="%5."/>
      <w:lvlJc w:val="left"/>
      <w:pPr>
        <w:ind w:left="4507" w:hanging="360"/>
      </w:pPr>
    </w:lvl>
    <w:lvl w:ilvl="5">
      <w:start w:val="1"/>
      <w:numFmt w:val="lowerRoman"/>
      <w:lvlText w:val="%6."/>
      <w:lvlJc w:val="right"/>
      <w:pPr>
        <w:ind w:left="5227" w:hanging="180"/>
      </w:pPr>
    </w:lvl>
    <w:lvl w:ilvl="6">
      <w:start w:val="1"/>
      <w:numFmt w:val="decimal"/>
      <w:lvlText w:val="%7."/>
      <w:lvlJc w:val="left"/>
      <w:pPr>
        <w:ind w:left="5947" w:hanging="360"/>
      </w:pPr>
    </w:lvl>
    <w:lvl w:ilvl="7">
      <w:start w:val="1"/>
      <w:numFmt w:val="lowerLetter"/>
      <w:lvlText w:val="%8."/>
      <w:lvlJc w:val="left"/>
      <w:pPr>
        <w:ind w:left="6667" w:hanging="360"/>
      </w:pPr>
    </w:lvl>
    <w:lvl w:ilvl="8">
      <w:start w:val="1"/>
      <w:numFmt w:val="lowerRoman"/>
      <w:lvlText w:val="%9."/>
      <w:lvlJc w:val="right"/>
      <w:pPr>
        <w:ind w:left="7387"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F72B280">
      <w:start w:val="1"/>
      <w:numFmt w:val="bullet"/>
      <w:pStyle w:val="Bullet1G"/>
      <w:lvlText w:val="•"/>
      <w:lvlJc w:val="left"/>
      <w:pPr>
        <w:tabs>
          <w:tab w:val="num" w:pos="1701"/>
        </w:tabs>
        <w:ind w:left="1701" w:hanging="170"/>
      </w:pPr>
      <w:rPr>
        <w:rFonts w:ascii="Times New Roman" w:hAnsi="Times New Roman" w:cs="Times New Roman" w:hint="default"/>
      </w:rPr>
    </w:lvl>
    <w:lvl w:ilvl="1" w:tplc="486CB464" w:tentative="1">
      <w:start w:val="1"/>
      <w:numFmt w:val="bullet"/>
      <w:lvlText w:val="o"/>
      <w:lvlJc w:val="left"/>
      <w:pPr>
        <w:tabs>
          <w:tab w:val="num" w:pos="3141"/>
        </w:tabs>
        <w:ind w:left="3141" w:hanging="360"/>
      </w:pPr>
      <w:rPr>
        <w:rFonts w:ascii="Courier New" w:hAnsi="Courier New" w:hint="default"/>
      </w:rPr>
    </w:lvl>
    <w:lvl w:ilvl="2" w:tplc="EE1A05C6" w:tentative="1">
      <w:start w:val="1"/>
      <w:numFmt w:val="bullet"/>
      <w:lvlText w:val=""/>
      <w:lvlJc w:val="left"/>
      <w:pPr>
        <w:tabs>
          <w:tab w:val="num" w:pos="3861"/>
        </w:tabs>
        <w:ind w:left="3861" w:hanging="360"/>
      </w:pPr>
      <w:rPr>
        <w:rFonts w:ascii="Wingdings" w:hAnsi="Wingdings" w:hint="default"/>
      </w:rPr>
    </w:lvl>
    <w:lvl w:ilvl="3" w:tplc="BCE8C3AE" w:tentative="1">
      <w:start w:val="1"/>
      <w:numFmt w:val="bullet"/>
      <w:lvlText w:val=""/>
      <w:lvlJc w:val="left"/>
      <w:pPr>
        <w:tabs>
          <w:tab w:val="num" w:pos="4581"/>
        </w:tabs>
        <w:ind w:left="4581" w:hanging="360"/>
      </w:pPr>
      <w:rPr>
        <w:rFonts w:ascii="Symbol" w:hAnsi="Symbol" w:hint="default"/>
      </w:rPr>
    </w:lvl>
    <w:lvl w:ilvl="4" w:tplc="7778AE38" w:tentative="1">
      <w:start w:val="1"/>
      <w:numFmt w:val="bullet"/>
      <w:lvlText w:val="o"/>
      <w:lvlJc w:val="left"/>
      <w:pPr>
        <w:tabs>
          <w:tab w:val="num" w:pos="5301"/>
        </w:tabs>
        <w:ind w:left="5301" w:hanging="360"/>
      </w:pPr>
      <w:rPr>
        <w:rFonts w:ascii="Courier New" w:hAnsi="Courier New" w:hint="default"/>
      </w:rPr>
    </w:lvl>
    <w:lvl w:ilvl="5" w:tplc="34F2A54E" w:tentative="1">
      <w:start w:val="1"/>
      <w:numFmt w:val="bullet"/>
      <w:lvlText w:val=""/>
      <w:lvlJc w:val="left"/>
      <w:pPr>
        <w:tabs>
          <w:tab w:val="num" w:pos="6021"/>
        </w:tabs>
        <w:ind w:left="6021" w:hanging="360"/>
      </w:pPr>
      <w:rPr>
        <w:rFonts w:ascii="Wingdings" w:hAnsi="Wingdings" w:hint="default"/>
      </w:rPr>
    </w:lvl>
    <w:lvl w:ilvl="6" w:tplc="1ED071DA" w:tentative="1">
      <w:start w:val="1"/>
      <w:numFmt w:val="bullet"/>
      <w:lvlText w:val=""/>
      <w:lvlJc w:val="left"/>
      <w:pPr>
        <w:tabs>
          <w:tab w:val="num" w:pos="6741"/>
        </w:tabs>
        <w:ind w:left="6741" w:hanging="360"/>
      </w:pPr>
      <w:rPr>
        <w:rFonts w:ascii="Symbol" w:hAnsi="Symbol" w:hint="default"/>
      </w:rPr>
    </w:lvl>
    <w:lvl w:ilvl="7" w:tplc="2F2AD01C" w:tentative="1">
      <w:start w:val="1"/>
      <w:numFmt w:val="bullet"/>
      <w:lvlText w:val="o"/>
      <w:lvlJc w:val="left"/>
      <w:pPr>
        <w:tabs>
          <w:tab w:val="num" w:pos="7461"/>
        </w:tabs>
        <w:ind w:left="7461" w:hanging="360"/>
      </w:pPr>
      <w:rPr>
        <w:rFonts w:ascii="Courier New" w:hAnsi="Courier New" w:hint="default"/>
      </w:rPr>
    </w:lvl>
    <w:lvl w:ilvl="8" w:tplc="4182659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7FC54B1"/>
    <w:multiLevelType w:val="multilevel"/>
    <w:tmpl w:val="BED0AC3E"/>
    <w:lvl w:ilvl="0">
      <w:start w:val="1"/>
      <w:numFmt w:val="bullet"/>
      <w:lvlText w:val="●"/>
      <w:lvlJc w:val="left"/>
      <w:pPr>
        <w:ind w:left="1987" w:hanging="360"/>
      </w:pPr>
      <w:rPr>
        <w:rFonts w:ascii="Noto Sans Symbols" w:eastAsia="Noto Sans Symbols" w:hAnsi="Noto Sans Symbols" w:cs="Noto Sans Symbols"/>
      </w:rPr>
    </w:lvl>
    <w:lvl w:ilvl="1">
      <w:start w:val="1"/>
      <w:numFmt w:val="bullet"/>
      <w:lvlText w:val="o"/>
      <w:lvlJc w:val="left"/>
      <w:pPr>
        <w:ind w:left="2707" w:hanging="360"/>
      </w:pPr>
      <w:rPr>
        <w:rFonts w:ascii="Courier New" w:eastAsia="Courier New" w:hAnsi="Courier New" w:cs="Courier New"/>
      </w:rPr>
    </w:lvl>
    <w:lvl w:ilvl="2">
      <w:start w:val="1"/>
      <w:numFmt w:val="bullet"/>
      <w:lvlText w:val="▪"/>
      <w:lvlJc w:val="left"/>
      <w:pPr>
        <w:ind w:left="3427" w:hanging="360"/>
      </w:pPr>
      <w:rPr>
        <w:rFonts w:ascii="Noto Sans Symbols" w:eastAsia="Noto Sans Symbols" w:hAnsi="Noto Sans Symbols" w:cs="Noto Sans Symbols"/>
      </w:rPr>
    </w:lvl>
    <w:lvl w:ilvl="3">
      <w:start w:val="1"/>
      <w:numFmt w:val="bullet"/>
      <w:lvlText w:val="●"/>
      <w:lvlJc w:val="left"/>
      <w:pPr>
        <w:ind w:left="4147" w:hanging="360"/>
      </w:pPr>
      <w:rPr>
        <w:rFonts w:ascii="Noto Sans Symbols" w:eastAsia="Noto Sans Symbols" w:hAnsi="Noto Sans Symbols" w:cs="Noto Sans Symbols"/>
      </w:rPr>
    </w:lvl>
    <w:lvl w:ilvl="4">
      <w:start w:val="1"/>
      <w:numFmt w:val="bullet"/>
      <w:lvlText w:val="o"/>
      <w:lvlJc w:val="left"/>
      <w:pPr>
        <w:ind w:left="4867" w:hanging="360"/>
      </w:pPr>
      <w:rPr>
        <w:rFonts w:ascii="Courier New" w:eastAsia="Courier New" w:hAnsi="Courier New" w:cs="Courier New"/>
      </w:rPr>
    </w:lvl>
    <w:lvl w:ilvl="5">
      <w:start w:val="1"/>
      <w:numFmt w:val="bullet"/>
      <w:lvlText w:val="▪"/>
      <w:lvlJc w:val="left"/>
      <w:pPr>
        <w:ind w:left="5587" w:hanging="360"/>
      </w:pPr>
      <w:rPr>
        <w:rFonts w:ascii="Noto Sans Symbols" w:eastAsia="Noto Sans Symbols" w:hAnsi="Noto Sans Symbols" w:cs="Noto Sans Symbols"/>
      </w:rPr>
    </w:lvl>
    <w:lvl w:ilvl="6">
      <w:start w:val="1"/>
      <w:numFmt w:val="bullet"/>
      <w:lvlText w:val="●"/>
      <w:lvlJc w:val="left"/>
      <w:pPr>
        <w:ind w:left="6307" w:hanging="360"/>
      </w:pPr>
      <w:rPr>
        <w:rFonts w:ascii="Noto Sans Symbols" w:eastAsia="Noto Sans Symbols" w:hAnsi="Noto Sans Symbols" w:cs="Noto Sans Symbols"/>
      </w:rPr>
    </w:lvl>
    <w:lvl w:ilvl="7">
      <w:start w:val="1"/>
      <w:numFmt w:val="bullet"/>
      <w:lvlText w:val="o"/>
      <w:lvlJc w:val="left"/>
      <w:pPr>
        <w:ind w:left="7027" w:hanging="360"/>
      </w:pPr>
      <w:rPr>
        <w:rFonts w:ascii="Courier New" w:eastAsia="Courier New" w:hAnsi="Courier New" w:cs="Courier New"/>
      </w:rPr>
    </w:lvl>
    <w:lvl w:ilvl="8">
      <w:start w:val="1"/>
      <w:numFmt w:val="bullet"/>
      <w:lvlText w:val="▪"/>
      <w:lvlJc w:val="left"/>
      <w:pPr>
        <w:ind w:left="7747" w:hanging="360"/>
      </w:pPr>
      <w:rPr>
        <w:rFonts w:ascii="Noto Sans Symbols" w:eastAsia="Noto Sans Symbols" w:hAnsi="Noto Sans Symbols" w:cs="Noto Sans Symbols"/>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656231">
    <w:abstractNumId w:val="18"/>
  </w:num>
  <w:num w:numId="2" w16cid:durableId="1685789535">
    <w:abstractNumId w:val="13"/>
  </w:num>
  <w:num w:numId="3" w16cid:durableId="1973829073">
    <w:abstractNumId w:val="10"/>
  </w:num>
  <w:num w:numId="4" w16cid:durableId="42407680">
    <w:abstractNumId w:val="8"/>
  </w:num>
  <w:num w:numId="5" w16cid:durableId="162667053">
    <w:abstractNumId w:val="3"/>
  </w:num>
  <w:num w:numId="6" w16cid:durableId="749809764">
    <w:abstractNumId w:val="2"/>
  </w:num>
  <w:num w:numId="7" w16cid:durableId="1132016985">
    <w:abstractNumId w:val="1"/>
  </w:num>
  <w:num w:numId="8" w16cid:durableId="29033417">
    <w:abstractNumId w:val="0"/>
  </w:num>
  <w:num w:numId="9" w16cid:durableId="399598446">
    <w:abstractNumId w:val="9"/>
  </w:num>
  <w:num w:numId="10" w16cid:durableId="1027833670">
    <w:abstractNumId w:val="7"/>
  </w:num>
  <w:num w:numId="11" w16cid:durableId="1878394350">
    <w:abstractNumId w:val="6"/>
  </w:num>
  <w:num w:numId="12" w16cid:durableId="382337948">
    <w:abstractNumId w:val="5"/>
  </w:num>
  <w:num w:numId="13" w16cid:durableId="2137478805">
    <w:abstractNumId w:val="4"/>
  </w:num>
  <w:num w:numId="14" w16cid:durableId="1318460920">
    <w:abstractNumId w:val="18"/>
  </w:num>
  <w:num w:numId="15" w16cid:durableId="196161728">
    <w:abstractNumId w:val="13"/>
  </w:num>
  <w:num w:numId="16" w16cid:durableId="1909802204">
    <w:abstractNumId w:val="10"/>
  </w:num>
  <w:num w:numId="17" w16cid:durableId="806239858">
    <w:abstractNumId w:val="14"/>
  </w:num>
  <w:num w:numId="18" w16cid:durableId="868418139">
    <w:abstractNumId w:val="17"/>
  </w:num>
  <w:num w:numId="19" w16cid:durableId="991829932">
    <w:abstractNumId w:val="16"/>
  </w:num>
  <w:num w:numId="20" w16cid:durableId="278219580">
    <w:abstractNumId w:val="20"/>
  </w:num>
  <w:num w:numId="21" w16cid:durableId="342440640">
    <w:abstractNumId w:val="15"/>
  </w:num>
  <w:num w:numId="22" w16cid:durableId="56830192">
    <w:abstractNumId w:val="19"/>
  </w:num>
  <w:num w:numId="23" w16cid:durableId="1306818401">
    <w:abstractNumId w:val="12"/>
  </w:num>
  <w:num w:numId="24" w16cid:durableId="10531957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D57"/>
    <w:rsid w:val="00016229"/>
    <w:rsid w:val="00123F22"/>
    <w:rsid w:val="0013127A"/>
    <w:rsid w:val="00140DEF"/>
    <w:rsid w:val="0015387D"/>
    <w:rsid w:val="001D28F4"/>
    <w:rsid w:val="002750DE"/>
    <w:rsid w:val="002C7AC5"/>
    <w:rsid w:val="00305AFE"/>
    <w:rsid w:val="00307801"/>
    <w:rsid w:val="0033555A"/>
    <w:rsid w:val="00343985"/>
    <w:rsid w:val="00446929"/>
    <w:rsid w:val="004503AB"/>
    <w:rsid w:val="00493A4C"/>
    <w:rsid w:val="004B7029"/>
    <w:rsid w:val="004E7B57"/>
    <w:rsid w:val="004F5EF4"/>
    <w:rsid w:val="00506FF2"/>
    <w:rsid w:val="005244A4"/>
    <w:rsid w:val="00554397"/>
    <w:rsid w:val="006241A1"/>
    <w:rsid w:val="006E2045"/>
    <w:rsid w:val="00704A4B"/>
    <w:rsid w:val="00705ED9"/>
    <w:rsid w:val="007B41A6"/>
    <w:rsid w:val="007E1B72"/>
    <w:rsid w:val="008057C0"/>
    <w:rsid w:val="00920882"/>
    <w:rsid w:val="00933A1A"/>
    <w:rsid w:val="009343DB"/>
    <w:rsid w:val="0097123B"/>
    <w:rsid w:val="00A14AE5"/>
    <w:rsid w:val="00B1277C"/>
    <w:rsid w:val="00B15DCE"/>
    <w:rsid w:val="00BB379D"/>
    <w:rsid w:val="00BB7A24"/>
    <w:rsid w:val="00BC54B6"/>
    <w:rsid w:val="00C1668A"/>
    <w:rsid w:val="00C25654"/>
    <w:rsid w:val="00C408E8"/>
    <w:rsid w:val="00C7441A"/>
    <w:rsid w:val="00E21F61"/>
    <w:rsid w:val="00F52D57"/>
    <w:rsid w:val="00F76734"/>
    <w:rsid w:val="00F838A4"/>
    <w:rsid w:val="00F84C39"/>
    <w:rsid w:val="00FA25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77A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84C39"/>
    <w:rPr>
      <w:color w:val="605E5C"/>
      <w:shd w:val="clear" w:color="auto" w:fill="E1DFDD"/>
    </w:rPr>
  </w:style>
  <w:style w:type="paragraph" w:styleId="ListParagraph">
    <w:name w:val="List Paragraph"/>
    <w:basedOn w:val="Normal"/>
    <w:uiPriority w:val="34"/>
    <w:semiHidden/>
    <w:qFormat/>
    <w:rsid w:val="00933A1A"/>
    <w:pPr>
      <w:ind w:left="720"/>
      <w:contextualSpacing/>
    </w:pPr>
  </w:style>
  <w:style w:type="character" w:styleId="Emphasis">
    <w:name w:val="Emphasis"/>
    <w:basedOn w:val="DefaultParagraphFont"/>
    <w:uiPriority w:val="20"/>
    <w:qFormat/>
    <w:rsid w:val="009208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466317">
      <w:bodyDiv w:val="1"/>
      <w:marLeft w:val="0"/>
      <w:marRight w:val="0"/>
      <w:marTop w:val="0"/>
      <w:marBottom w:val="0"/>
      <w:divBdr>
        <w:top w:val="none" w:sz="0" w:space="0" w:color="auto"/>
        <w:left w:val="none" w:sz="0" w:space="0" w:color="auto"/>
        <w:bottom w:val="none" w:sz="0" w:space="0" w:color="auto"/>
        <w:right w:val="none" w:sz="0" w:space="0" w:color="auto"/>
      </w:divBdr>
    </w:div>
    <w:div w:id="876432343">
      <w:bodyDiv w:val="1"/>
      <w:marLeft w:val="0"/>
      <w:marRight w:val="0"/>
      <w:marTop w:val="0"/>
      <w:marBottom w:val="0"/>
      <w:divBdr>
        <w:top w:val="none" w:sz="0" w:space="0" w:color="auto"/>
        <w:left w:val="none" w:sz="0" w:space="0" w:color="auto"/>
        <w:bottom w:val="none" w:sz="0" w:space="0" w:color="auto"/>
        <w:right w:val="none" w:sz="0" w:space="0" w:color="auto"/>
      </w:divBdr>
    </w:div>
    <w:div w:id="1345209157">
      <w:bodyDiv w:val="1"/>
      <w:marLeft w:val="0"/>
      <w:marRight w:val="0"/>
      <w:marTop w:val="0"/>
      <w:marBottom w:val="0"/>
      <w:divBdr>
        <w:top w:val="none" w:sz="0" w:space="0" w:color="auto"/>
        <w:left w:val="none" w:sz="0" w:space="0" w:color="auto"/>
        <w:bottom w:val="none" w:sz="0" w:space="0" w:color="auto"/>
        <w:right w:val="none" w:sz="0" w:space="0" w:color="auto"/>
      </w:divBdr>
    </w:div>
    <w:div w:id="1574199113">
      <w:bodyDiv w:val="1"/>
      <w:marLeft w:val="0"/>
      <w:marRight w:val="0"/>
      <w:marTop w:val="0"/>
      <w:marBottom w:val="0"/>
      <w:divBdr>
        <w:top w:val="none" w:sz="0" w:space="0" w:color="auto"/>
        <w:left w:val="none" w:sz="0" w:space="0" w:color="auto"/>
        <w:bottom w:val="none" w:sz="0" w:space="0" w:color="auto"/>
        <w:right w:val="none" w:sz="0" w:space="0" w:color="auto"/>
      </w:divBdr>
    </w:div>
    <w:div w:id="1767075642">
      <w:bodyDiv w:val="1"/>
      <w:marLeft w:val="0"/>
      <w:marRight w:val="0"/>
      <w:marTop w:val="0"/>
      <w:marBottom w:val="0"/>
      <w:divBdr>
        <w:top w:val="none" w:sz="0" w:space="0" w:color="auto"/>
        <w:left w:val="none" w:sz="0" w:space="0" w:color="auto"/>
        <w:bottom w:val="none" w:sz="0" w:space="0" w:color="auto"/>
        <w:right w:val="none" w:sz="0" w:space="0" w:color="auto"/>
      </w:divBdr>
    </w:div>
    <w:div w:id="2018803294">
      <w:bodyDiv w:val="1"/>
      <w:marLeft w:val="0"/>
      <w:marRight w:val="0"/>
      <w:marTop w:val="0"/>
      <w:marBottom w:val="0"/>
      <w:divBdr>
        <w:top w:val="none" w:sz="0" w:space="0" w:color="auto"/>
        <w:left w:val="none" w:sz="0" w:space="0" w:color="auto"/>
        <w:bottom w:val="none" w:sz="0" w:space="0" w:color="auto"/>
        <w:right w:val="none" w:sz="0" w:space="0" w:color="auto"/>
      </w:divBdr>
    </w:div>
    <w:div w:id="212087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2026-04-23T17:28:42Z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4750D3-33C6-4F2B-83DD-E4832AE2DA58}">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1651CA30-1F52-495F-8CA8-9E9F0579B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72D50-0EDF-4090-8CE7-2B6418610227}">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10235</Words>
  <Characters>58341</Characters>
  <Application>Microsoft Office Word</Application>
  <DocSecurity>0</DocSecurity>
  <Lines>486</Lines>
  <Paragraphs>136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CEDAW/C/COK/RQ/4-5</vt:lpstr>
      <vt:lpstr/>
      <vt:lpstr/>
    </vt:vector>
  </TitlesOfParts>
  <Company>DCM</Company>
  <LinksUpToDate>false</LinksUpToDate>
  <CharactersWithSpaces>68440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CEDAW/C/COK/RQ/4-5</dc:title>
  <dc:creator>Gloria</dc:creator>
  <cp:lastModifiedBy>Jamila Devi Seerathun</cp:lastModifiedBy>
  <cp:revision>3</cp:revision>
  <cp:lastPrinted>2017-04-21T12:16:00Z</cp:lastPrinted>
  <dcterms:created xsi:type="dcterms:W3CDTF">2026-07-22T04:43:00Z</dcterms:created>
  <dcterms:modified xsi:type="dcterms:W3CDTF">2026-07-22T04:44:00Z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Consideration of reports submitted by States parties under article 18 of the Convention on the Elimination of All Forms of Discrimination against Women</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the Cook Islands</vt:lpwstr>
  </property>
  <property fmtid="{D5CDD505-2E9C-101B-9397-08002B2CF9AE}" pid="9" name="countw">
    <vt:lpwstr>the Cook Islands</vt:lpwstr>
  </property>
  <property fmtid="{D5CDD505-2E9C-101B-9397-08002B2CF9AE}" pid="10" name="countwd">
    <vt:lpwstr>the Cook Islands</vt:lpwstr>
  </property>
  <property fmtid="{D5CDD505-2E9C-101B-9397-08002B2CF9AE}" pid="11" name="date">
    <vt:lpwstr>1 July 2026</vt:lpwstr>
  </property>
  <property fmtid="{D5CDD505-2E9C-101B-9397-08002B2CF9AE}" pid="12" name="Date-Generated">
    <vt:filetime>2026-04-23T15:26:35Z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 </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159400</vt:r8>
  </property>
  <property fmtid="{D5CDD505-2E9C-101B-9397-08002B2CF9AE}" pid="22" name="Org">
    <vt:lpwstr>OHCHR</vt:lpwstr>
  </property>
  <property fmtid="{D5CDD505-2E9C-101B-9397-08002B2CF9AE}" pid="23" name="prep">
    <vt:lpwstr> combined fourth and fifth reports of the Cook Islands</vt:lpwstr>
  </property>
  <property fmtid="{D5CDD505-2E9C-101B-9397-08002B2CF9AE}" pid="24" name="preps">
    <vt:lpwstr> combined fourth and fifth reports of the Cook Islands</vt:lpwstr>
  </property>
  <property fmtid="{D5CDD505-2E9C-101B-9397-08002B2CF9AE}" pid="25" name="prepw">
    <vt:lpwstr> combined fourth and fifth reports</vt:lpwstr>
  </property>
  <property fmtid="{D5CDD505-2E9C-101B-9397-08002B2CF9AE}" pid="26" name="prepwc">
    <vt:lpwstr>Combined fourth and fifth reports </vt:lpwstr>
  </property>
  <property fmtid="{D5CDD505-2E9C-101B-9397-08002B2CF9AE}" pid="27" name="prepws">
    <vt:lpwstr>Combined fourth and fifth reports </vt:lpwstr>
  </property>
  <property fmtid="{D5CDD505-2E9C-101B-9397-08002B2CF9AE}" pid="28" name="sdate">
    <vt:lpwstr>5-30 October 2026</vt:lpwstr>
  </property>
  <property fmtid="{D5CDD505-2E9C-101B-9397-08002B2CF9AE}" pid="29" name="sloca">
    <vt:lpwstr>[Location]</vt:lpwstr>
  </property>
  <property fmtid="{D5CDD505-2E9C-101B-9397-08002B2CF9AE}" pid="30" name="snum">
    <vt:lpwstr>Ninety-third</vt:lpwstr>
  </property>
  <property fmtid="{D5CDD505-2E9C-101B-9397-08002B2CF9AE}" pid="31" name="stitle">
    <vt:lpwstr>[Title]</vt:lpwstr>
  </property>
  <property fmtid="{D5CDD505-2E9C-101B-9397-08002B2CF9AE}" pid="32" name="sym1">
    <vt:lpwstr>C/COK/RQ/4-5</vt:lpwstr>
  </property>
  <property fmtid="{D5CDD505-2E9C-101B-9397-08002B2CF9AE}" pid="33" name="symh">
    <vt:lpwstr>CEDAW/C/COK/RQ/4-5</vt:lpwstr>
  </property>
  <property fmtid="{D5CDD505-2E9C-101B-9397-08002B2CF9AE}" pid="34" name="Title">
    <vt:lpwstr>CEDAW/C/COK/RQ/4-5</vt:lpwstr>
  </property>
  <property fmtid="{D5CDD505-2E9C-101B-9397-08002B2CF9AE}" pid="35" name="tlang">
    <vt:lpwstr/>
  </property>
  <property fmtid="{D5CDD505-2E9C-101B-9397-08002B2CF9AE}" pid="36" name="virs">
    <vt:lpwstr>English, French and Spanish only</vt:lpwstr>
  </property>
</Properties>
</file>