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1E23F4" w14:textId="0C4A95BF" w:rsidR="00ED42D8" w:rsidRPr="00722C1D" w:rsidRDefault="00D03532" w:rsidP="003F3381">
      <w:pPr>
        <w:pStyle w:val="Documenttype"/>
        <w:spacing w:line="276" w:lineRule="auto"/>
        <w:rPr>
          <w:sz w:val="36"/>
          <w:szCs w:val="36"/>
        </w:rPr>
      </w:pPr>
      <w:r w:rsidRPr="00722C1D">
        <w:rPr>
          <w:sz w:val="36"/>
          <w:szCs w:val="36"/>
        </w:rPr>
        <w:t>Submission to the UN Committee on Economic, Social and Cultural Rights</w:t>
      </w:r>
      <w:r w:rsidR="008139C1" w:rsidRPr="00722C1D">
        <w:rPr>
          <w:sz w:val="36"/>
          <w:szCs w:val="36"/>
        </w:rPr>
        <w:t xml:space="preserve"> </w:t>
      </w:r>
    </w:p>
    <w:p w14:paraId="4A562154" w14:textId="72261605" w:rsidR="00972D5B" w:rsidRPr="00722C1D" w:rsidRDefault="00B145F1" w:rsidP="003F3381">
      <w:pPr>
        <w:pStyle w:val="Title"/>
        <w:spacing w:before="0" w:line="276" w:lineRule="auto"/>
      </w:pPr>
      <w:r w:rsidRPr="00722C1D">
        <w:t>Economic, social and cultural rights in Great Britain</w:t>
      </w:r>
    </w:p>
    <w:p w14:paraId="65497D9D" w14:textId="4B4EECE2" w:rsidR="00711475" w:rsidRPr="00722C1D" w:rsidRDefault="00AE0A09" w:rsidP="003F3381">
      <w:pPr>
        <w:pStyle w:val="Date"/>
        <w:spacing w:line="276" w:lineRule="auto"/>
      </w:pPr>
      <w:sdt>
        <w:sdtPr>
          <w:rPr>
            <w:rStyle w:val="DateChar"/>
          </w:rPr>
          <w:alias w:val="Publication date"/>
          <w:tag w:val="Publication date"/>
          <w:id w:val="-1249566070"/>
          <w:placeholder>
            <w:docPart w:val="DE31B4CFA111498E8786028D23D5FCCA"/>
          </w:placeholder>
          <w:date w:fullDate="2022-12-01T00:00:00Z">
            <w:dateFormat w:val="MMMM yyyy"/>
            <w:lid w:val="en-GB"/>
            <w:storeMappedDataAs w:val="dateTime"/>
            <w:calendar w:val="gregorian"/>
          </w:date>
        </w:sdtPr>
        <w:sdtEndPr>
          <w:rPr>
            <w:rStyle w:val="DefaultParagraphFont"/>
          </w:rPr>
        </w:sdtEndPr>
        <w:sdtContent>
          <w:r w:rsidR="00A12708">
            <w:rPr>
              <w:rStyle w:val="DateChar"/>
            </w:rPr>
            <w:t>December 2022</w:t>
          </w:r>
        </w:sdtContent>
      </w:sdt>
    </w:p>
    <w:p w14:paraId="69CC5A98" w14:textId="1A98A718" w:rsidR="00E2433D" w:rsidRPr="00722C1D" w:rsidRDefault="00526047" w:rsidP="003F3381">
      <w:pPr>
        <w:pStyle w:val="Documentstatus"/>
        <w:spacing w:before="720"/>
        <w:rPr>
          <w:szCs w:val="36"/>
          <w:highlight w:val="yellow"/>
        </w:rPr>
      </w:pPr>
      <w:bookmarkStart w:id="0" w:name="_GoBack"/>
      <w:bookmarkEnd w:id="0"/>
      <w:r w:rsidRPr="00722C1D">
        <w:rPr>
          <w:szCs w:val="36"/>
          <w:highlight w:val="yellow"/>
        </w:rPr>
        <w:br w:type="page"/>
      </w:r>
    </w:p>
    <w:sdt>
      <w:sdtPr>
        <w:rPr>
          <w:b/>
          <w:color w:val="auto"/>
          <w:sz w:val="28"/>
          <w:szCs w:val="22"/>
        </w:rPr>
        <w:id w:val="-1361974634"/>
        <w:docPartObj>
          <w:docPartGallery w:val="Table of Contents"/>
          <w:docPartUnique/>
        </w:docPartObj>
      </w:sdtPr>
      <w:sdtEndPr>
        <w:rPr>
          <w:b w:val="0"/>
          <w:color w:val="009C98" w:themeColor="accent1"/>
          <w:sz w:val="52"/>
          <w:szCs w:val="56"/>
        </w:rPr>
      </w:sdtEndPr>
      <w:sdtContent>
        <w:p w14:paraId="4941299A" w14:textId="77777777" w:rsidR="002D221E" w:rsidRPr="00095255" w:rsidRDefault="002D221E" w:rsidP="002D221E">
          <w:pPr>
            <w:pStyle w:val="TOCHeading"/>
          </w:pPr>
          <w:r w:rsidRPr="00A82FF5">
            <w:rPr>
              <w:szCs w:val="52"/>
            </w:rPr>
            <w:t>Contents</w:t>
          </w:r>
        </w:p>
      </w:sdtContent>
    </w:sdt>
    <w:p w14:paraId="3EFD4492" w14:textId="046094CE" w:rsidR="002D221E" w:rsidRDefault="002D221E">
      <w:pPr>
        <w:pStyle w:val="TOC1"/>
        <w:tabs>
          <w:tab w:val="right" w:leader="dot" w:pos="8608"/>
        </w:tabs>
        <w:rPr>
          <w:rFonts w:eastAsiaTheme="minorEastAsia"/>
          <w:b w:val="0"/>
          <w:noProof/>
          <w:sz w:val="22"/>
          <w:lang w:eastAsia="en-GB"/>
        </w:rPr>
      </w:pPr>
      <w:r>
        <w:fldChar w:fldCharType="begin"/>
      </w:r>
      <w:r>
        <w:instrText xml:space="preserve"> TOC \o "1-2" \h \z \u </w:instrText>
      </w:r>
      <w:r>
        <w:fldChar w:fldCharType="separate"/>
      </w:r>
      <w:hyperlink w:anchor="_Toc121732381" w:history="1">
        <w:r w:rsidRPr="008838D7">
          <w:rPr>
            <w:rStyle w:val="Hyperlink"/>
            <w:noProof/>
          </w:rPr>
          <w:t>Introduction</w:t>
        </w:r>
        <w:r>
          <w:rPr>
            <w:noProof/>
            <w:webHidden/>
          </w:rPr>
          <w:tab/>
        </w:r>
        <w:r>
          <w:rPr>
            <w:noProof/>
            <w:webHidden/>
          </w:rPr>
          <w:fldChar w:fldCharType="begin"/>
        </w:r>
        <w:r>
          <w:rPr>
            <w:noProof/>
            <w:webHidden/>
          </w:rPr>
          <w:instrText xml:space="preserve"> PAGEREF _Toc121732381 \h </w:instrText>
        </w:r>
        <w:r>
          <w:rPr>
            <w:noProof/>
            <w:webHidden/>
          </w:rPr>
        </w:r>
        <w:r>
          <w:rPr>
            <w:noProof/>
            <w:webHidden/>
          </w:rPr>
          <w:fldChar w:fldCharType="separate"/>
        </w:r>
        <w:r w:rsidR="000D6B53">
          <w:rPr>
            <w:noProof/>
            <w:webHidden/>
          </w:rPr>
          <w:t>2</w:t>
        </w:r>
        <w:r>
          <w:rPr>
            <w:noProof/>
            <w:webHidden/>
          </w:rPr>
          <w:fldChar w:fldCharType="end"/>
        </w:r>
      </w:hyperlink>
    </w:p>
    <w:p w14:paraId="153C6E5B" w14:textId="1EA01D30" w:rsidR="002D221E" w:rsidRDefault="00AE0A09">
      <w:pPr>
        <w:pStyle w:val="TOC2"/>
        <w:tabs>
          <w:tab w:val="right" w:leader="dot" w:pos="8608"/>
        </w:tabs>
        <w:rPr>
          <w:rFonts w:eastAsiaTheme="minorEastAsia"/>
          <w:noProof/>
          <w:sz w:val="22"/>
          <w:lang w:eastAsia="en-GB"/>
        </w:rPr>
      </w:pPr>
      <w:hyperlink w:anchor="_Toc121732382" w:history="1">
        <w:r w:rsidR="002D221E" w:rsidRPr="008838D7">
          <w:rPr>
            <w:rStyle w:val="Hyperlink"/>
            <w:noProof/>
          </w:rPr>
          <w:t>Devolution and geographic scope of this report</w:t>
        </w:r>
        <w:r w:rsidR="002D221E">
          <w:rPr>
            <w:noProof/>
            <w:webHidden/>
          </w:rPr>
          <w:tab/>
        </w:r>
        <w:r w:rsidR="002D221E">
          <w:rPr>
            <w:noProof/>
            <w:webHidden/>
          </w:rPr>
          <w:fldChar w:fldCharType="begin"/>
        </w:r>
        <w:r w:rsidR="002D221E">
          <w:rPr>
            <w:noProof/>
            <w:webHidden/>
          </w:rPr>
          <w:instrText xml:space="preserve"> PAGEREF _Toc121732382 \h </w:instrText>
        </w:r>
        <w:r w:rsidR="002D221E">
          <w:rPr>
            <w:noProof/>
            <w:webHidden/>
          </w:rPr>
        </w:r>
        <w:r w:rsidR="002D221E">
          <w:rPr>
            <w:noProof/>
            <w:webHidden/>
          </w:rPr>
          <w:fldChar w:fldCharType="separate"/>
        </w:r>
        <w:r w:rsidR="000D6B53">
          <w:rPr>
            <w:noProof/>
            <w:webHidden/>
          </w:rPr>
          <w:t>3</w:t>
        </w:r>
        <w:r w:rsidR="002D221E">
          <w:rPr>
            <w:noProof/>
            <w:webHidden/>
          </w:rPr>
          <w:fldChar w:fldCharType="end"/>
        </w:r>
      </w:hyperlink>
    </w:p>
    <w:p w14:paraId="4A626051" w14:textId="4995395A" w:rsidR="002D221E" w:rsidRDefault="00AE0A09">
      <w:pPr>
        <w:pStyle w:val="TOC1"/>
        <w:tabs>
          <w:tab w:val="right" w:leader="dot" w:pos="8608"/>
        </w:tabs>
        <w:rPr>
          <w:rFonts w:eastAsiaTheme="minorEastAsia"/>
          <w:b w:val="0"/>
          <w:noProof/>
          <w:sz w:val="22"/>
          <w:lang w:eastAsia="en-GB"/>
        </w:rPr>
      </w:pPr>
      <w:hyperlink w:anchor="_Toc121732383" w:history="1">
        <w:r w:rsidR="002D221E" w:rsidRPr="008838D7">
          <w:rPr>
            <w:rStyle w:val="Hyperlink"/>
            <w:noProof/>
          </w:rPr>
          <w:t>Equality and human rights framework (Articles 2, 3, 4 and 5)</w:t>
        </w:r>
        <w:r w:rsidR="002D221E">
          <w:rPr>
            <w:noProof/>
            <w:webHidden/>
          </w:rPr>
          <w:tab/>
        </w:r>
        <w:r w:rsidR="002D221E">
          <w:rPr>
            <w:noProof/>
            <w:webHidden/>
          </w:rPr>
          <w:fldChar w:fldCharType="begin"/>
        </w:r>
        <w:r w:rsidR="002D221E">
          <w:rPr>
            <w:noProof/>
            <w:webHidden/>
          </w:rPr>
          <w:instrText xml:space="preserve"> PAGEREF _Toc121732383 \h </w:instrText>
        </w:r>
        <w:r w:rsidR="002D221E">
          <w:rPr>
            <w:noProof/>
            <w:webHidden/>
          </w:rPr>
        </w:r>
        <w:r w:rsidR="002D221E">
          <w:rPr>
            <w:noProof/>
            <w:webHidden/>
          </w:rPr>
          <w:fldChar w:fldCharType="separate"/>
        </w:r>
        <w:r w:rsidR="000D6B53">
          <w:rPr>
            <w:noProof/>
            <w:webHidden/>
          </w:rPr>
          <w:t>4</w:t>
        </w:r>
        <w:r w:rsidR="002D221E">
          <w:rPr>
            <w:noProof/>
            <w:webHidden/>
          </w:rPr>
          <w:fldChar w:fldCharType="end"/>
        </w:r>
      </w:hyperlink>
    </w:p>
    <w:p w14:paraId="3B15D34D" w14:textId="5505D4D2" w:rsidR="002D221E" w:rsidRDefault="00AE0A09">
      <w:pPr>
        <w:pStyle w:val="TOC1"/>
        <w:tabs>
          <w:tab w:val="right" w:leader="dot" w:pos="8608"/>
        </w:tabs>
        <w:rPr>
          <w:rFonts w:eastAsiaTheme="minorEastAsia"/>
          <w:b w:val="0"/>
          <w:noProof/>
          <w:sz w:val="22"/>
          <w:lang w:eastAsia="en-GB"/>
        </w:rPr>
      </w:pPr>
      <w:hyperlink w:anchor="_Toc121732384" w:history="1">
        <w:r w:rsidR="002D221E" w:rsidRPr="008838D7">
          <w:rPr>
            <w:rStyle w:val="Hyperlink"/>
            <w:noProof/>
          </w:rPr>
          <w:t>Conditions at work (Article 7)</w:t>
        </w:r>
        <w:r w:rsidR="002D221E">
          <w:rPr>
            <w:noProof/>
            <w:webHidden/>
          </w:rPr>
          <w:tab/>
        </w:r>
        <w:r w:rsidR="002D221E">
          <w:rPr>
            <w:noProof/>
            <w:webHidden/>
          </w:rPr>
          <w:fldChar w:fldCharType="begin"/>
        </w:r>
        <w:r w:rsidR="002D221E">
          <w:rPr>
            <w:noProof/>
            <w:webHidden/>
          </w:rPr>
          <w:instrText xml:space="preserve"> PAGEREF _Toc121732384 \h </w:instrText>
        </w:r>
        <w:r w:rsidR="002D221E">
          <w:rPr>
            <w:noProof/>
            <w:webHidden/>
          </w:rPr>
        </w:r>
        <w:r w:rsidR="002D221E">
          <w:rPr>
            <w:noProof/>
            <w:webHidden/>
          </w:rPr>
          <w:fldChar w:fldCharType="separate"/>
        </w:r>
        <w:r w:rsidR="000D6B53">
          <w:rPr>
            <w:noProof/>
            <w:webHidden/>
          </w:rPr>
          <w:t>6</w:t>
        </w:r>
        <w:r w:rsidR="002D221E">
          <w:rPr>
            <w:noProof/>
            <w:webHidden/>
          </w:rPr>
          <w:fldChar w:fldCharType="end"/>
        </w:r>
      </w:hyperlink>
    </w:p>
    <w:p w14:paraId="4F57FC93" w14:textId="495802B2" w:rsidR="002D221E" w:rsidRDefault="00AE0A09">
      <w:pPr>
        <w:pStyle w:val="TOC1"/>
        <w:tabs>
          <w:tab w:val="right" w:leader="dot" w:pos="8608"/>
        </w:tabs>
        <w:rPr>
          <w:rFonts w:eastAsiaTheme="minorEastAsia"/>
          <w:b w:val="0"/>
          <w:noProof/>
          <w:sz w:val="22"/>
          <w:lang w:eastAsia="en-GB"/>
        </w:rPr>
      </w:pPr>
      <w:hyperlink w:anchor="_Toc121732385" w:history="1">
        <w:r w:rsidR="002D221E" w:rsidRPr="008838D7">
          <w:rPr>
            <w:rStyle w:val="Hyperlink"/>
            <w:noProof/>
          </w:rPr>
          <w:t>Poverty (Article 11)</w:t>
        </w:r>
        <w:r w:rsidR="002D221E">
          <w:rPr>
            <w:noProof/>
            <w:webHidden/>
          </w:rPr>
          <w:tab/>
        </w:r>
        <w:r w:rsidR="002D221E">
          <w:rPr>
            <w:noProof/>
            <w:webHidden/>
          </w:rPr>
          <w:fldChar w:fldCharType="begin"/>
        </w:r>
        <w:r w:rsidR="002D221E">
          <w:rPr>
            <w:noProof/>
            <w:webHidden/>
          </w:rPr>
          <w:instrText xml:space="preserve"> PAGEREF _Toc121732385 \h </w:instrText>
        </w:r>
        <w:r w:rsidR="002D221E">
          <w:rPr>
            <w:noProof/>
            <w:webHidden/>
          </w:rPr>
        </w:r>
        <w:r w:rsidR="002D221E">
          <w:rPr>
            <w:noProof/>
            <w:webHidden/>
          </w:rPr>
          <w:fldChar w:fldCharType="separate"/>
        </w:r>
        <w:r w:rsidR="000D6B53">
          <w:rPr>
            <w:noProof/>
            <w:webHidden/>
          </w:rPr>
          <w:t>9</w:t>
        </w:r>
        <w:r w:rsidR="002D221E">
          <w:rPr>
            <w:noProof/>
            <w:webHidden/>
          </w:rPr>
          <w:fldChar w:fldCharType="end"/>
        </w:r>
      </w:hyperlink>
    </w:p>
    <w:p w14:paraId="7D8177CE" w14:textId="6313309F" w:rsidR="002D221E" w:rsidRDefault="00AE0A09">
      <w:pPr>
        <w:pStyle w:val="TOC1"/>
        <w:tabs>
          <w:tab w:val="right" w:leader="dot" w:pos="8608"/>
        </w:tabs>
        <w:rPr>
          <w:rFonts w:eastAsiaTheme="minorEastAsia"/>
          <w:b w:val="0"/>
          <w:noProof/>
          <w:sz w:val="22"/>
          <w:lang w:eastAsia="en-GB"/>
        </w:rPr>
      </w:pPr>
      <w:hyperlink w:anchor="_Toc121732386" w:history="1">
        <w:r w:rsidR="002D221E" w:rsidRPr="008838D7">
          <w:rPr>
            <w:rStyle w:val="Hyperlink"/>
            <w:noProof/>
          </w:rPr>
          <w:t>Housing (Article 11)</w:t>
        </w:r>
        <w:r w:rsidR="002D221E">
          <w:rPr>
            <w:noProof/>
            <w:webHidden/>
          </w:rPr>
          <w:tab/>
        </w:r>
        <w:r w:rsidR="002D221E">
          <w:rPr>
            <w:noProof/>
            <w:webHidden/>
          </w:rPr>
          <w:fldChar w:fldCharType="begin"/>
        </w:r>
        <w:r w:rsidR="002D221E">
          <w:rPr>
            <w:noProof/>
            <w:webHidden/>
          </w:rPr>
          <w:instrText xml:space="preserve"> PAGEREF _Toc121732386 \h </w:instrText>
        </w:r>
        <w:r w:rsidR="002D221E">
          <w:rPr>
            <w:noProof/>
            <w:webHidden/>
          </w:rPr>
        </w:r>
        <w:r w:rsidR="002D221E">
          <w:rPr>
            <w:noProof/>
            <w:webHidden/>
          </w:rPr>
          <w:fldChar w:fldCharType="separate"/>
        </w:r>
        <w:r w:rsidR="000D6B53">
          <w:rPr>
            <w:noProof/>
            <w:webHidden/>
          </w:rPr>
          <w:t>12</w:t>
        </w:r>
        <w:r w:rsidR="002D221E">
          <w:rPr>
            <w:noProof/>
            <w:webHidden/>
          </w:rPr>
          <w:fldChar w:fldCharType="end"/>
        </w:r>
      </w:hyperlink>
    </w:p>
    <w:p w14:paraId="6ADE02F5" w14:textId="2FC1D64E" w:rsidR="002D221E" w:rsidRDefault="00AE0A09">
      <w:pPr>
        <w:pStyle w:val="TOC1"/>
        <w:tabs>
          <w:tab w:val="right" w:leader="dot" w:pos="8608"/>
        </w:tabs>
        <w:rPr>
          <w:rFonts w:eastAsiaTheme="minorEastAsia"/>
          <w:b w:val="0"/>
          <w:noProof/>
          <w:sz w:val="22"/>
          <w:lang w:eastAsia="en-GB"/>
        </w:rPr>
      </w:pPr>
      <w:hyperlink w:anchor="_Toc121732387" w:history="1">
        <w:r w:rsidR="002D221E" w:rsidRPr="008838D7">
          <w:rPr>
            <w:rStyle w:val="Hyperlink"/>
            <w:noProof/>
          </w:rPr>
          <w:t>Social care (Articles 11 and 12)</w:t>
        </w:r>
        <w:r w:rsidR="002D221E">
          <w:rPr>
            <w:noProof/>
            <w:webHidden/>
          </w:rPr>
          <w:tab/>
        </w:r>
        <w:r w:rsidR="002D221E">
          <w:rPr>
            <w:noProof/>
            <w:webHidden/>
          </w:rPr>
          <w:fldChar w:fldCharType="begin"/>
        </w:r>
        <w:r w:rsidR="002D221E">
          <w:rPr>
            <w:noProof/>
            <w:webHidden/>
          </w:rPr>
          <w:instrText xml:space="preserve"> PAGEREF _Toc121732387 \h </w:instrText>
        </w:r>
        <w:r w:rsidR="002D221E">
          <w:rPr>
            <w:noProof/>
            <w:webHidden/>
          </w:rPr>
        </w:r>
        <w:r w:rsidR="002D221E">
          <w:rPr>
            <w:noProof/>
            <w:webHidden/>
          </w:rPr>
          <w:fldChar w:fldCharType="separate"/>
        </w:r>
        <w:r w:rsidR="000D6B53">
          <w:rPr>
            <w:noProof/>
            <w:webHidden/>
          </w:rPr>
          <w:t>15</w:t>
        </w:r>
        <w:r w:rsidR="002D221E">
          <w:rPr>
            <w:noProof/>
            <w:webHidden/>
          </w:rPr>
          <w:fldChar w:fldCharType="end"/>
        </w:r>
      </w:hyperlink>
    </w:p>
    <w:p w14:paraId="62246B36" w14:textId="5A7DC578" w:rsidR="002D221E" w:rsidRDefault="00AE0A09">
      <w:pPr>
        <w:pStyle w:val="TOC1"/>
        <w:tabs>
          <w:tab w:val="right" w:leader="dot" w:pos="8608"/>
        </w:tabs>
        <w:rPr>
          <w:rFonts w:eastAsiaTheme="minorEastAsia"/>
          <w:b w:val="0"/>
          <w:noProof/>
          <w:sz w:val="22"/>
          <w:lang w:eastAsia="en-GB"/>
        </w:rPr>
      </w:pPr>
      <w:hyperlink w:anchor="_Toc121732388" w:history="1">
        <w:r w:rsidR="002D221E" w:rsidRPr="008838D7">
          <w:rPr>
            <w:rStyle w:val="Hyperlink"/>
            <w:noProof/>
          </w:rPr>
          <w:t>Access to healthcare (Article 12)</w:t>
        </w:r>
        <w:r w:rsidR="002D221E">
          <w:rPr>
            <w:noProof/>
            <w:webHidden/>
          </w:rPr>
          <w:tab/>
        </w:r>
        <w:r w:rsidR="002D221E">
          <w:rPr>
            <w:noProof/>
            <w:webHidden/>
          </w:rPr>
          <w:fldChar w:fldCharType="begin"/>
        </w:r>
        <w:r w:rsidR="002D221E">
          <w:rPr>
            <w:noProof/>
            <w:webHidden/>
          </w:rPr>
          <w:instrText xml:space="preserve"> PAGEREF _Toc121732388 \h </w:instrText>
        </w:r>
        <w:r w:rsidR="002D221E">
          <w:rPr>
            <w:noProof/>
            <w:webHidden/>
          </w:rPr>
        </w:r>
        <w:r w:rsidR="002D221E">
          <w:rPr>
            <w:noProof/>
            <w:webHidden/>
          </w:rPr>
          <w:fldChar w:fldCharType="separate"/>
        </w:r>
        <w:r w:rsidR="000D6B53">
          <w:rPr>
            <w:noProof/>
            <w:webHidden/>
          </w:rPr>
          <w:t>18</w:t>
        </w:r>
        <w:r w:rsidR="002D221E">
          <w:rPr>
            <w:noProof/>
            <w:webHidden/>
          </w:rPr>
          <w:fldChar w:fldCharType="end"/>
        </w:r>
      </w:hyperlink>
    </w:p>
    <w:p w14:paraId="2A31DA59" w14:textId="6C0B3764" w:rsidR="002D221E" w:rsidRDefault="00AE0A09">
      <w:pPr>
        <w:pStyle w:val="TOC1"/>
        <w:tabs>
          <w:tab w:val="right" w:leader="dot" w:pos="8608"/>
        </w:tabs>
        <w:rPr>
          <w:rFonts w:eastAsiaTheme="minorEastAsia"/>
          <w:b w:val="0"/>
          <w:noProof/>
          <w:sz w:val="22"/>
          <w:lang w:eastAsia="en-GB"/>
        </w:rPr>
      </w:pPr>
      <w:hyperlink w:anchor="_Toc121732389" w:history="1">
        <w:r w:rsidR="002D221E" w:rsidRPr="008838D7">
          <w:rPr>
            <w:rStyle w:val="Hyperlink"/>
            <w:noProof/>
          </w:rPr>
          <w:t>Cultural life (Article 15)</w:t>
        </w:r>
        <w:r w:rsidR="002D221E">
          <w:rPr>
            <w:noProof/>
            <w:webHidden/>
          </w:rPr>
          <w:tab/>
        </w:r>
        <w:r w:rsidR="002D221E">
          <w:rPr>
            <w:noProof/>
            <w:webHidden/>
          </w:rPr>
          <w:fldChar w:fldCharType="begin"/>
        </w:r>
        <w:r w:rsidR="002D221E">
          <w:rPr>
            <w:noProof/>
            <w:webHidden/>
          </w:rPr>
          <w:instrText xml:space="preserve"> PAGEREF _Toc121732389 \h </w:instrText>
        </w:r>
        <w:r w:rsidR="002D221E">
          <w:rPr>
            <w:noProof/>
            <w:webHidden/>
          </w:rPr>
        </w:r>
        <w:r w:rsidR="002D221E">
          <w:rPr>
            <w:noProof/>
            <w:webHidden/>
          </w:rPr>
          <w:fldChar w:fldCharType="separate"/>
        </w:r>
        <w:r w:rsidR="000D6B53">
          <w:rPr>
            <w:noProof/>
            <w:webHidden/>
          </w:rPr>
          <w:t>21</w:t>
        </w:r>
        <w:r w:rsidR="002D221E">
          <w:rPr>
            <w:noProof/>
            <w:webHidden/>
          </w:rPr>
          <w:fldChar w:fldCharType="end"/>
        </w:r>
      </w:hyperlink>
    </w:p>
    <w:p w14:paraId="5592591B" w14:textId="3C65A478" w:rsidR="002D221E" w:rsidRDefault="00AE0A09">
      <w:pPr>
        <w:pStyle w:val="TOC1"/>
        <w:tabs>
          <w:tab w:val="right" w:leader="dot" w:pos="8608"/>
        </w:tabs>
        <w:rPr>
          <w:rFonts w:eastAsiaTheme="minorEastAsia"/>
          <w:b w:val="0"/>
          <w:noProof/>
          <w:sz w:val="22"/>
          <w:lang w:eastAsia="en-GB"/>
        </w:rPr>
      </w:pPr>
      <w:hyperlink w:anchor="_Toc121732390" w:history="1">
        <w:r w:rsidR="002D221E" w:rsidRPr="008838D7">
          <w:rPr>
            <w:rStyle w:val="Hyperlink"/>
            <w:noProof/>
          </w:rPr>
          <w:t>Recommendations</w:t>
        </w:r>
        <w:r w:rsidR="002D221E">
          <w:rPr>
            <w:noProof/>
            <w:webHidden/>
          </w:rPr>
          <w:tab/>
        </w:r>
        <w:r w:rsidR="002D221E">
          <w:rPr>
            <w:noProof/>
            <w:webHidden/>
          </w:rPr>
          <w:fldChar w:fldCharType="begin"/>
        </w:r>
        <w:r w:rsidR="002D221E">
          <w:rPr>
            <w:noProof/>
            <w:webHidden/>
          </w:rPr>
          <w:instrText xml:space="preserve"> PAGEREF _Toc121732390 \h </w:instrText>
        </w:r>
        <w:r w:rsidR="002D221E">
          <w:rPr>
            <w:noProof/>
            <w:webHidden/>
          </w:rPr>
        </w:r>
        <w:r w:rsidR="002D221E">
          <w:rPr>
            <w:noProof/>
            <w:webHidden/>
          </w:rPr>
          <w:fldChar w:fldCharType="separate"/>
        </w:r>
        <w:r w:rsidR="000D6B53">
          <w:rPr>
            <w:noProof/>
            <w:webHidden/>
          </w:rPr>
          <w:t>23</w:t>
        </w:r>
        <w:r w:rsidR="002D221E">
          <w:rPr>
            <w:noProof/>
            <w:webHidden/>
          </w:rPr>
          <w:fldChar w:fldCharType="end"/>
        </w:r>
      </w:hyperlink>
    </w:p>
    <w:p w14:paraId="6A71334D" w14:textId="5C7725FC" w:rsidR="002D221E" w:rsidRDefault="00AE0A09">
      <w:pPr>
        <w:pStyle w:val="TOC1"/>
        <w:tabs>
          <w:tab w:val="right" w:leader="dot" w:pos="8608"/>
        </w:tabs>
        <w:rPr>
          <w:rFonts w:eastAsiaTheme="minorEastAsia"/>
          <w:b w:val="0"/>
          <w:noProof/>
          <w:sz w:val="22"/>
          <w:lang w:eastAsia="en-GB"/>
        </w:rPr>
      </w:pPr>
      <w:hyperlink w:anchor="_Toc121732391" w:history="1">
        <w:r w:rsidR="002D221E" w:rsidRPr="008838D7">
          <w:rPr>
            <w:rStyle w:val="Hyperlink"/>
            <w:noProof/>
          </w:rPr>
          <w:t>Contacts</w:t>
        </w:r>
        <w:r w:rsidR="002D221E">
          <w:rPr>
            <w:noProof/>
            <w:webHidden/>
          </w:rPr>
          <w:tab/>
        </w:r>
        <w:r w:rsidR="002D221E">
          <w:rPr>
            <w:noProof/>
            <w:webHidden/>
          </w:rPr>
          <w:fldChar w:fldCharType="begin"/>
        </w:r>
        <w:r w:rsidR="002D221E">
          <w:rPr>
            <w:noProof/>
            <w:webHidden/>
          </w:rPr>
          <w:instrText xml:space="preserve"> PAGEREF _Toc121732391 \h </w:instrText>
        </w:r>
        <w:r w:rsidR="002D221E">
          <w:rPr>
            <w:noProof/>
            <w:webHidden/>
          </w:rPr>
        </w:r>
        <w:r w:rsidR="002D221E">
          <w:rPr>
            <w:noProof/>
            <w:webHidden/>
          </w:rPr>
          <w:fldChar w:fldCharType="separate"/>
        </w:r>
        <w:r w:rsidR="000D6B53">
          <w:rPr>
            <w:noProof/>
            <w:webHidden/>
          </w:rPr>
          <w:t>26</w:t>
        </w:r>
        <w:r w:rsidR="002D221E">
          <w:rPr>
            <w:noProof/>
            <w:webHidden/>
          </w:rPr>
          <w:fldChar w:fldCharType="end"/>
        </w:r>
      </w:hyperlink>
    </w:p>
    <w:p w14:paraId="13CA10A7" w14:textId="2BCC1094" w:rsidR="002D221E" w:rsidRDefault="00AE0A09">
      <w:pPr>
        <w:pStyle w:val="TOC2"/>
        <w:tabs>
          <w:tab w:val="right" w:leader="dot" w:pos="8608"/>
        </w:tabs>
        <w:rPr>
          <w:rFonts w:eastAsiaTheme="minorEastAsia"/>
          <w:noProof/>
          <w:sz w:val="22"/>
          <w:lang w:eastAsia="en-GB"/>
        </w:rPr>
      </w:pPr>
      <w:hyperlink w:anchor="_Toc121732392" w:history="1">
        <w:r w:rsidR="002D221E" w:rsidRPr="008838D7">
          <w:rPr>
            <w:rStyle w:val="Hyperlink"/>
            <w:noProof/>
          </w:rPr>
          <w:t>E</w:t>
        </w:r>
        <w:r w:rsidR="00C3100B">
          <w:rPr>
            <w:rStyle w:val="Hyperlink"/>
            <w:noProof/>
          </w:rPr>
          <w:t xml:space="preserve">quality </w:t>
        </w:r>
        <w:r w:rsidR="002D221E" w:rsidRPr="008838D7">
          <w:rPr>
            <w:rStyle w:val="Hyperlink"/>
            <w:noProof/>
          </w:rPr>
          <w:t>A</w:t>
        </w:r>
        <w:r w:rsidR="00C3100B">
          <w:rPr>
            <w:rStyle w:val="Hyperlink"/>
            <w:noProof/>
          </w:rPr>
          <w:t xml:space="preserve">dvisory and </w:t>
        </w:r>
        <w:r w:rsidR="002D221E" w:rsidRPr="008838D7">
          <w:rPr>
            <w:rStyle w:val="Hyperlink"/>
            <w:noProof/>
          </w:rPr>
          <w:t>S</w:t>
        </w:r>
        <w:r w:rsidR="00C3100B">
          <w:rPr>
            <w:rStyle w:val="Hyperlink"/>
            <w:noProof/>
          </w:rPr>
          <w:t xml:space="preserve">upport </w:t>
        </w:r>
        <w:r w:rsidR="002D221E" w:rsidRPr="008838D7">
          <w:rPr>
            <w:rStyle w:val="Hyperlink"/>
            <w:noProof/>
          </w:rPr>
          <w:t>S</w:t>
        </w:r>
        <w:r w:rsidR="00C3100B">
          <w:rPr>
            <w:rStyle w:val="Hyperlink"/>
            <w:noProof/>
          </w:rPr>
          <w:t>ervice</w:t>
        </w:r>
        <w:r w:rsidR="002D221E">
          <w:rPr>
            <w:noProof/>
            <w:webHidden/>
          </w:rPr>
          <w:tab/>
        </w:r>
        <w:r w:rsidR="002D221E">
          <w:rPr>
            <w:noProof/>
            <w:webHidden/>
          </w:rPr>
          <w:fldChar w:fldCharType="begin"/>
        </w:r>
        <w:r w:rsidR="002D221E">
          <w:rPr>
            <w:noProof/>
            <w:webHidden/>
          </w:rPr>
          <w:instrText xml:space="preserve"> PAGEREF _Toc121732392 \h </w:instrText>
        </w:r>
        <w:r w:rsidR="002D221E">
          <w:rPr>
            <w:noProof/>
            <w:webHidden/>
          </w:rPr>
        </w:r>
        <w:r w:rsidR="002D221E">
          <w:rPr>
            <w:noProof/>
            <w:webHidden/>
          </w:rPr>
          <w:fldChar w:fldCharType="separate"/>
        </w:r>
        <w:r w:rsidR="000D6B53">
          <w:rPr>
            <w:noProof/>
            <w:webHidden/>
          </w:rPr>
          <w:t>26</w:t>
        </w:r>
        <w:r w:rsidR="002D221E">
          <w:rPr>
            <w:noProof/>
            <w:webHidden/>
          </w:rPr>
          <w:fldChar w:fldCharType="end"/>
        </w:r>
      </w:hyperlink>
    </w:p>
    <w:p w14:paraId="69F04C97" w14:textId="634A932E" w:rsidR="002D221E" w:rsidRDefault="002D221E" w:rsidP="002D221E">
      <w:pPr>
        <w:pBdr>
          <w:top w:val="dashSmallGap" w:sz="18" w:space="24" w:color="auto"/>
        </w:pBdr>
        <w:spacing w:before="960"/>
        <w:rPr>
          <w:rFonts w:asciiTheme="majorHAnsi" w:eastAsiaTheme="majorEastAsia" w:hAnsiTheme="majorHAnsi" w:cstheme="majorBidi"/>
          <w:color w:val="FFFFFF" w:themeColor="background1"/>
          <w:sz w:val="56"/>
          <w:szCs w:val="52"/>
          <w:bdr w:val="single" w:sz="48" w:space="0" w:color="009C98" w:themeColor="accent1"/>
          <w:shd w:val="clear" w:color="auto" w:fill="009C98" w:themeFill="accent1"/>
        </w:rPr>
      </w:pPr>
      <w:r>
        <w:fldChar w:fldCharType="end"/>
      </w:r>
      <w:r>
        <w:br w:type="page"/>
      </w:r>
    </w:p>
    <w:p w14:paraId="501CF87E" w14:textId="6A73722E" w:rsidR="00B02B52" w:rsidRPr="00722C1D" w:rsidRDefault="00D03532" w:rsidP="003F3381">
      <w:pPr>
        <w:pStyle w:val="Heading1"/>
        <w:spacing w:line="276" w:lineRule="auto"/>
      </w:pPr>
      <w:bookmarkStart w:id="1" w:name="_Toc121732381"/>
      <w:r w:rsidRPr="00722C1D">
        <w:lastRenderedPageBreak/>
        <w:t>Introduction</w:t>
      </w:r>
      <w:bookmarkEnd w:id="1"/>
    </w:p>
    <w:p w14:paraId="0275E05B" w14:textId="5BFEEC41" w:rsidR="00F35F3B" w:rsidRPr="00722C1D" w:rsidRDefault="00D03532" w:rsidP="003F3381">
      <w:pPr>
        <w:pStyle w:val="Standfirst"/>
      </w:pPr>
      <w:r w:rsidRPr="00722C1D">
        <w:t xml:space="preserve">The Equality and Human Rights Commission (EHRC) is an independent </w:t>
      </w:r>
      <w:r w:rsidR="00E3705E" w:rsidRPr="00722C1D">
        <w:t xml:space="preserve">A-status National Human Rights Institution (NHRI) </w:t>
      </w:r>
      <w:r w:rsidR="00551ECE" w:rsidRPr="00722C1D">
        <w:t>and national</w:t>
      </w:r>
      <w:r w:rsidRPr="00722C1D">
        <w:t xml:space="preserve"> equality </w:t>
      </w:r>
      <w:r w:rsidR="00551ECE" w:rsidRPr="00722C1D">
        <w:t>body</w:t>
      </w:r>
      <w:r w:rsidRPr="00722C1D">
        <w:t xml:space="preserve">. We </w:t>
      </w:r>
      <w:r w:rsidR="00551ECE" w:rsidRPr="00722C1D">
        <w:t>have a statutory mandate to protect and promote</w:t>
      </w:r>
      <w:r w:rsidRPr="00722C1D">
        <w:t xml:space="preserve"> human rights</w:t>
      </w:r>
      <w:r w:rsidR="00551ECE" w:rsidRPr="00722C1D">
        <w:t xml:space="preserve"> in Great Britain</w:t>
      </w:r>
      <w:r w:rsidR="009B11C3">
        <w:t>,</w:t>
      </w:r>
      <w:r w:rsidR="00F35F3B" w:rsidRPr="00722C1D">
        <w:rPr>
          <w:rStyle w:val="FootnoteReference"/>
        </w:rPr>
        <w:footnoteReference w:id="2"/>
      </w:r>
      <w:r w:rsidR="00F35F3B" w:rsidRPr="00722C1D">
        <w:t xml:space="preserve"> including by assessing and reporting on the United Kingdom’s (UK</w:t>
      </w:r>
      <w:r w:rsidR="009B11C3">
        <w:t>’s</w:t>
      </w:r>
      <w:r w:rsidR="00F35F3B" w:rsidRPr="00722C1D">
        <w:t>) implementation of the human rights treaties it has chosen to ratify.</w:t>
      </w:r>
    </w:p>
    <w:p w14:paraId="62A33CEC" w14:textId="77777777" w:rsidR="002F6ECE" w:rsidRDefault="00F35F3B" w:rsidP="003F3381">
      <w:pPr>
        <w:rPr>
          <w:rFonts w:ascii="Arial" w:hAnsi="Arial" w:cs="Arial"/>
          <w:szCs w:val="24"/>
        </w:rPr>
      </w:pPr>
      <w:r w:rsidRPr="00722C1D">
        <w:t xml:space="preserve">This report provides information to the United Nations Committee on Economic, Social and Cultural Rights (UNCESCR) on </w:t>
      </w:r>
      <w:r w:rsidR="000B59E9">
        <w:t xml:space="preserve">the </w:t>
      </w:r>
      <w:r w:rsidRPr="00722C1D">
        <w:t>fulfilment of the International Covenant on Economic, Social and Cultural Rights (ICESCR) in Great Britain since 2016. It</w:t>
      </w:r>
      <w:r w:rsidRPr="00722C1D">
        <w:rPr>
          <w:rFonts w:ascii="Arial" w:hAnsi="Arial" w:cs="Arial"/>
          <w:szCs w:val="24"/>
        </w:rPr>
        <w:t xml:space="preserve"> indicates where progress has been made in recent years and where further work is required. </w:t>
      </w:r>
    </w:p>
    <w:p w14:paraId="38707D3A" w14:textId="5478F77B" w:rsidR="002F6ECE" w:rsidRPr="002F6ECE" w:rsidRDefault="002F6ECE" w:rsidP="003F3381">
      <w:r>
        <w:rPr>
          <w:rFonts w:ascii="Arial" w:hAnsi="Arial" w:cs="Arial"/>
          <w:szCs w:val="24"/>
        </w:rPr>
        <w:t>We encourage the State Party</w:t>
      </w:r>
      <w:r w:rsidR="00F35F3B" w:rsidRPr="00722C1D">
        <w:rPr>
          <w:rFonts w:ascii="Arial" w:hAnsi="Arial" w:cs="Arial"/>
          <w:szCs w:val="24"/>
        </w:rPr>
        <w:t xml:space="preserve"> to use the ICESCR reporting process to strengthen </w:t>
      </w:r>
      <w:r w:rsidR="009B11C3">
        <w:rPr>
          <w:rFonts w:ascii="Arial" w:hAnsi="Arial" w:cs="Arial"/>
          <w:szCs w:val="24"/>
        </w:rPr>
        <w:t>its</w:t>
      </w:r>
      <w:r w:rsidR="00F35F3B" w:rsidRPr="00722C1D">
        <w:rPr>
          <w:rFonts w:ascii="Arial" w:hAnsi="Arial" w:cs="Arial"/>
          <w:szCs w:val="24"/>
        </w:rPr>
        <w:t xml:space="preserve"> efforts to tackle inequalities in the enjoyment of economic, social and cultural rights</w:t>
      </w:r>
      <w:r w:rsidR="000B59E9">
        <w:rPr>
          <w:rFonts w:ascii="Arial" w:hAnsi="Arial" w:cs="Arial"/>
          <w:szCs w:val="24"/>
        </w:rPr>
        <w:t>,</w:t>
      </w:r>
      <w:r w:rsidR="00F35F3B" w:rsidRPr="00722C1D">
        <w:rPr>
          <w:rFonts w:ascii="Arial" w:hAnsi="Arial" w:cs="Arial"/>
          <w:szCs w:val="24"/>
        </w:rPr>
        <w:t xml:space="preserve"> and improve compliance with </w:t>
      </w:r>
      <w:r w:rsidR="009B11C3">
        <w:rPr>
          <w:rFonts w:ascii="Arial" w:hAnsi="Arial" w:cs="Arial"/>
          <w:szCs w:val="24"/>
        </w:rPr>
        <w:t>its</w:t>
      </w:r>
      <w:r w:rsidR="00F35F3B" w:rsidRPr="00722C1D">
        <w:rPr>
          <w:rFonts w:ascii="Arial" w:hAnsi="Arial" w:cs="Arial"/>
          <w:szCs w:val="24"/>
        </w:rPr>
        <w:t xml:space="preserve"> human rights obligations. We recognise that the current global and domestic economic context is particularly challenging and is having an impact. However, the </w:t>
      </w:r>
      <w:r w:rsidR="00B10E73">
        <w:rPr>
          <w:rFonts w:ascii="Arial" w:hAnsi="Arial" w:cs="Arial"/>
          <w:szCs w:val="24"/>
        </w:rPr>
        <w:t>I</w:t>
      </w:r>
      <w:r w:rsidR="00F35F3B" w:rsidRPr="00722C1D">
        <w:rPr>
          <w:rFonts w:ascii="Arial" w:hAnsi="Arial" w:cs="Arial"/>
          <w:szCs w:val="24"/>
        </w:rPr>
        <w:t>C</w:t>
      </w:r>
      <w:r w:rsidR="00B10E73">
        <w:rPr>
          <w:rFonts w:ascii="Arial" w:hAnsi="Arial" w:cs="Arial"/>
          <w:szCs w:val="24"/>
        </w:rPr>
        <w:t>ESCR</w:t>
      </w:r>
      <w:r w:rsidR="00F35F3B" w:rsidRPr="00722C1D">
        <w:rPr>
          <w:rFonts w:ascii="Arial" w:hAnsi="Arial" w:cs="Arial"/>
          <w:szCs w:val="24"/>
        </w:rPr>
        <w:t xml:space="preserve"> requires each State Party to take action to the maximum of </w:t>
      </w:r>
      <w:r w:rsidR="00F35F3B" w:rsidRPr="00D378A8">
        <w:rPr>
          <w:rFonts w:ascii="Arial" w:hAnsi="Arial" w:cs="Arial"/>
          <w:szCs w:val="24"/>
        </w:rPr>
        <w:t>its available resources</w:t>
      </w:r>
      <w:r w:rsidR="00F35F3B" w:rsidRPr="00722C1D">
        <w:rPr>
          <w:rFonts w:ascii="Arial" w:hAnsi="Arial" w:cs="Arial"/>
          <w:szCs w:val="24"/>
        </w:rPr>
        <w:t xml:space="preserve">. </w:t>
      </w:r>
    </w:p>
    <w:p w14:paraId="0DB58D33" w14:textId="6AD81DF8" w:rsidR="00F35F3B" w:rsidRPr="00722C1D" w:rsidRDefault="00F35F3B" w:rsidP="003F3381">
      <w:pPr>
        <w:rPr>
          <w:rFonts w:ascii="Arial" w:hAnsi="Arial" w:cs="Arial"/>
          <w:szCs w:val="24"/>
        </w:rPr>
      </w:pPr>
      <w:r w:rsidRPr="00722C1D">
        <w:rPr>
          <w:rFonts w:ascii="Arial" w:hAnsi="Arial" w:cs="Arial"/>
          <w:szCs w:val="24"/>
        </w:rPr>
        <w:t>We emphasise that equality and non-discrimination are essential to the realisation of ICESCR rights. We therefore include evidence about the experience</w:t>
      </w:r>
      <w:r w:rsidR="000B59E9">
        <w:rPr>
          <w:rFonts w:ascii="Arial" w:hAnsi="Arial" w:cs="Arial"/>
          <w:szCs w:val="24"/>
        </w:rPr>
        <w:t>s</w:t>
      </w:r>
      <w:r w:rsidRPr="00722C1D">
        <w:rPr>
          <w:rFonts w:ascii="Arial" w:hAnsi="Arial" w:cs="Arial"/>
          <w:szCs w:val="24"/>
        </w:rPr>
        <w:t xml:space="preserve"> of people sharing a range of protected characteristics under</w:t>
      </w:r>
      <w:r>
        <w:rPr>
          <w:rFonts w:ascii="Arial" w:hAnsi="Arial" w:cs="Arial"/>
          <w:szCs w:val="24"/>
        </w:rPr>
        <w:t xml:space="preserve"> domestic</w:t>
      </w:r>
      <w:r w:rsidRPr="00722C1D">
        <w:rPr>
          <w:rFonts w:ascii="Arial" w:hAnsi="Arial" w:cs="Arial"/>
          <w:szCs w:val="24"/>
        </w:rPr>
        <w:t xml:space="preserve"> equality law</w:t>
      </w:r>
      <w:r w:rsidR="000B59E9">
        <w:rPr>
          <w:rFonts w:ascii="Arial" w:hAnsi="Arial" w:cs="Arial"/>
          <w:szCs w:val="24"/>
        </w:rPr>
        <w:t>.</w:t>
      </w:r>
      <w:r w:rsidRPr="00722C1D">
        <w:rPr>
          <w:rFonts w:ascii="Arial" w:hAnsi="Arial" w:cs="Arial"/>
          <w:szCs w:val="24"/>
        </w:rPr>
        <w:t xml:space="preserve"> </w:t>
      </w:r>
      <w:r w:rsidR="000B59E9">
        <w:rPr>
          <w:rFonts w:ascii="Arial" w:hAnsi="Arial" w:cs="Arial"/>
          <w:szCs w:val="24"/>
        </w:rPr>
        <w:t xml:space="preserve">We also </w:t>
      </w:r>
      <w:r w:rsidR="0014677F" w:rsidRPr="00722C1D">
        <w:rPr>
          <w:rFonts w:ascii="Arial" w:hAnsi="Arial" w:cs="Arial"/>
          <w:szCs w:val="24"/>
        </w:rPr>
        <w:t>identif</w:t>
      </w:r>
      <w:r w:rsidR="0014677F">
        <w:rPr>
          <w:rFonts w:ascii="Arial" w:hAnsi="Arial" w:cs="Arial"/>
          <w:szCs w:val="24"/>
        </w:rPr>
        <w:t>y</w:t>
      </w:r>
      <w:r w:rsidR="0014677F" w:rsidRPr="00722C1D">
        <w:rPr>
          <w:rFonts w:ascii="Arial" w:hAnsi="Arial" w:cs="Arial"/>
          <w:szCs w:val="24"/>
        </w:rPr>
        <w:t xml:space="preserve"> </w:t>
      </w:r>
      <w:r w:rsidRPr="00722C1D">
        <w:rPr>
          <w:rFonts w:ascii="Arial" w:hAnsi="Arial" w:cs="Arial"/>
          <w:szCs w:val="24"/>
        </w:rPr>
        <w:t xml:space="preserve">ways in which the coronavirus (COVID-19) pandemic has exacerbated existing equality issues and led to new ones, noting where action has been taken in response. </w:t>
      </w:r>
    </w:p>
    <w:p w14:paraId="4AF676CE" w14:textId="3AD8FBF4" w:rsidR="00F35F3B" w:rsidRPr="00722C1D" w:rsidRDefault="00F35F3B" w:rsidP="003F3381">
      <w:pPr>
        <w:rPr>
          <w:rFonts w:ascii="Arial" w:hAnsi="Arial" w:cs="Arial"/>
          <w:szCs w:val="24"/>
        </w:rPr>
      </w:pPr>
      <w:r w:rsidRPr="00722C1D">
        <w:rPr>
          <w:rFonts w:ascii="Arial" w:hAnsi="Arial" w:cs="Arial"/>
          <w:szCs w:val="24"/>
        </w:rPr>
        <w:t xml:space="preserve">We cover a range of rights in our reports to the UN human rights mechanisms. This means that we prioritise discussion of certain topics here and ensure coverage of key issues across our reports. For example, though the right to education is </w:t>
      </w:r>
      <w:r w:rsidR="00B84414">
        <w:rPr>
          <w:rFonts w:ascii="Arial" w:hAnsi="Arial" w:cs="Arial"/>
          <w:szCs w:val="24"/>
        </w:rPr>
        <w:t>protected</w:t>
      </w:r>
      <w:r w:rsidRPr="00722C1D">
        <w:rPr>
          <w:rFonts w:ascii="Arial" w:hAnsi="Arial" w:cs="Arial"/>
          <w:szCs w:val="24"/>
        </w:rPr>
        <w:t xml:space="preserve"> under </w:t>
      </w:r>
      <w:r w:rsidR="0014677F">
        <w:rPr>
          <w:rFonts w:ascii="Arial" w:hAnsi="Arial" w:cs="Arial"/>
          <w:szCs w:val="24"/>
        </w:rPr>
        <w:t xml:space="preserve">the </w:t>
      </w:r>
      <w:r w:rsidRPr="00722C1D">
        <w:rPr>
          <w:rFonts w:ascii="Arial" w:hAnsi="Arial" w:cs="Arial"/>
          <w:szCs w:val="24"/>
        </w:rPr>
        <w:t>ICESCR, we discuss this</w:t>
      </w:r>
      <w:r w:rsidR="00B84414">
        <w:rPr>
          <w:rFonts w:ascii="Arial" w:hAnsi="Arial" w:cs="Arial"/>
          <w:szCs w:val="24"/>
        </w:rPr>
        <w:t xml:space="preserve"> right</w:t>
      </w:r>
      <w:r w:rsidRPr="00722C1D">
        <w:rPr>
          <w:rFonts w:ascii="Arial" w:hAnsi="Arial" w:cs="Arial"/>
          <w:szCs w:val="24"/>
        </w:rPr>
        <w:t xml:space="preserve"> in detail in our 2022 report to the UN Committe</w:t>
      </w:r>
      <w:r w:rsidR="000B59E9">
        <w:rPr>
          <w:rFonts w:ascii="Arial" w:hAnsi="Arial" w:cs="Arial"/>
          <w:szCs w:val="24"/>
        </w:rPr>
        <w:t>e on the Rights of the Child.</w:t>
      </w:r>
    </w:p>
    <w:p w14:paraId="59D6607C" w14:textId="200287EA" w:rsidR="00F35F3B" w:rsidRPr="00722C1D" w:rsidRDefault="00F35F3B" w:rsidP="003F3381">
      <w:pPr>
        <w:rPr>
          <w:rFonts w:ascii="Arial" w:hAnsi="Arial" w:cs="Arial"/>
          <w:szCs w:val="24"/>
        </w:rPr>
      </w:pPr>
      <w:r w:rsidRPr="00722C1D">
        <w:rPr>
          <w:rFonts w:ascii="Arial" w:hAnsi="Arial" w:cs="Arial"/>
          <w:szCs w:val="24"/>
        </w:rPr>
        <w:lastRenderedPageBreak/>
        <w:t xml:space="preserve">In May 2022, the </w:t>
      </w:r>
      <w:r w:rsidRPr="00722C1D">
        <w:rPr>
          <w:u w:color="009C98" w:themeColor="accent1"/>
        </w:rPr>
        <w:t xml:space="preserve">UK Government published the State report on implementation of </w:t>
      </w:r>
      <w:r w:rsidR="0014677F">
        <w:rPr>
          <w:u w:color="009C98" w:themeColor="accent1"/>
        </w:rPr>
        <w:t xml:space="preserve">the </w:t>
      </w:r>
      <w:r w:rsidRPr="00722C1D">
        <w:rPr>
          <w:u w:color="009C98" w:themeColor="accent1"/>
        </w:rPr>
        <w:t>ICESCR</w:t>
      </w:r>
      <w:r w:rsidRPr="00722C1D">
        <w:rPr>
          <w:rFonts w:ascii="Arial" w:hAnsi="Arial" w:cs="Arial"/>
          <w:szCs w:val="24"/>
        </w:rPr>
        <w:t>.</w:t>
      </w:r>
      <w:r w:rsidRPr="00722C1D">
        <w:rPr>
          <w:rStyle w:val="FootnoteReference"/>
          <w:rFonts w:ascii="Arial" w:hAnsi="Arial" w:cs="Arial"/>
          <w:szCs w:val="24"/>
        </w:rPr>
        <w:footnoteReference w:id="3"/>
      </w:r>
      <w:r w:rsidRPr="00722C1D">
        <w:rPr>
          <w:rFonts w:ascii="Arial" w:hAnsi="Arial" w:cs="Arial"/>
          <w:szCs w:val="24"/>
        </w:rPr>
        <w:t xml:space="preserve"> It referenced action on several topics that we had raised in our submission to inform the report. In future State reports, we would like to see further evidence on outcomes and greater recognition of the </w:t>
      </w:r>
      <w:r w:rsidRPr="00722C1D">
        <w:rPr>
          <w:u w:color="009C98" w:themeColor="accent1"/>
        </w:rPr>
        <w:t>links between Sustainable Development Goals and the human rights framework</w:t>
      </w:r>
      <w:r w:rsidRPr="00722C1D">
        <w:rPr>
          <w:rFonts w:ascii="Arial" w:hAnsi="Arial" w:cs="Arial"/>
          <w:szCs w:val="24"/>
        </w:rPr>
        <w:t>.</w:t>
      </w:r>
      <w:r w:rsidRPr="00722C1D">
        <w:rPr>
          <w:rStyle w:val="FootnoteReference"/>
          <w:rFonts w:ascii="Arial" w:hAnsi="Arial" w:cs="Arial"/>
          <w:szCs w:val="24"/>
        </w:rPr>
        <w:footnoteReference w:id="4"/>
      </w:r>
      <w:r w:rsidRPr="00722C1D">
        <w:rPr>
          <w:rFonts w:ascii="Arial" w:hAnsi="Arial" w:cs="Arial"/>
          <w:szCs w:val="24"/>
        </w:rPr>
        <w:t xml:space="preserve"> </w:t>
      </w:r>
    </w:p>
    <w:p w14:paraId="339897B4" w14:textId="6B8DE709" w:rsidR="00F35F3B" w:rsidRPr="00722C1D" w:rsidRDefault="00F35F3B" w:rsidP="003F3381">
      <w:pPr>
        <w:rPr>
          <w:rFonts w:ascii="Arial" w:hAnsi="Arial" w:cs="Arial"/>
          <w:szCs w:val="24"/>
        </w:rPr>
      </w:pPr>
      <w:r w:rsidRPr="00722C1D">
        <w:rPr>
          <w:rFonts w:ascii="Arial" w:hAnsi="Arial" w:cs="Arial"/>
          <w:szCs w:val="24"/>
        </w:rPr>
        <w:t xml:space="preserve">Our </w:t>
      </w:r>
      <w:hyperlink r:id="rId8" w:history="1">
        <w:r w:rsidRPr="00722C1D">
          <w:rPr>
            <w:rStyle w:val="Hyperlink"/>
          </w:rPr>
          <w:t>human rights tracker</w:t>
        </w:r>
      </w:hyperlink>
      <w:r w:rsidRPr="00722C1D">
        <w:rPr>
          <w:rFonts w:ascii="Arial" w:hAnsi="Arial" w:cs="Arial"/>
          <w:szCs w:val="24"/>
        </w:rPr>
        <w:t xml:space="preserve"> – </w:t>
      </w:r>
      <w:r w:rsidRPr="00722C1D">
        <w:t>an online tool that summarises action</w:t>
      </w:r>
      <w:r w:rsidR="000F77BF">
        <w:t>s</w:t>
      </w:r>
      <w:r w:rsidRPr="00722C1D">
        <w:t xml:space="preserve"> the UK and Welsh governments have taken in response to UN human rights recommendations</w:t>
      </w:r>
      <w:r w:rsidRPr="00722C1D">
        <w:rPr>
          <w:rFonts w:ascii="Arial" w:hAnsi="Arial" w:cs="Arial"/>
          <w:szCs w:val="24"/>
        </w:rPr>
        <w:t xml:space="preserve"> – references our latest reports on human rights.</w:t>
      </w:r>
    </w:p>
    <w:p w14:paraId="604D2B42" w14:textId="77FDBDE1" w:rsidR="00F35F3B" w:rsidRPr="00722C1D" w:rsidRDefault="00F35F3B" w:rsidP="003F3381">
      <w:pPr>
        <w:rPr>
          <w:rFonts w:ascii="Arial" w:hAnsi="Arial" w:cs="Arial"/>
          <w:color w:val="000000"/>
        </w:rPr>
      </w:pPr>
      <w:r w:rsidRPr="00722C1D">
        <w:rPr>
          <w:rFonts w:ascii="Arial" w:hAnsi="Arial" w:cs="Arial"/>
          <w:szCs w:val="24"/>
        </w:rPr>
        <w:t>We have funded the coordination of a civil society shadow report on ICESCR</w:t>
      </w:r>
      <w:r w:rsidR="0014677F">
        <w:rPr>
          <w:rFonts w:ascii="Arial" w:hAnsi="Arial" w:cs="Arial"/>
          <w:szCs w:val="24"/>
        </w:rPr>
        <w:t xml:space="preserve"> rights</w:t>
      </w:r>
      <w:r w:rsidRPr="00722C1D">
        <w:rPr>
          <w:rFonts w:ascii="Arial" w:hAnsi="Arial" w:cs="Arial"/>
          <w:szCs w:val="24"/>
        </w:rPr>
        <w:t xml:space="preserve"> in England and Wales</w:t>
      </w:r>
      <w:r w:rsidRPr="00722C1D">
        <w:rPr>
          <w:rFonts w:ascii="Arial" w:hAnsi="Arial" w:cs="Arial"/>
          <w:color w:val="000000"/>
        </w:rPr>
        <w:t>.</w:t>
      </w:r>
      <w:r w:rsidRPr="00722C1D">
        <w:rPr>
          <w:rStyle w:val="FootnoteReference"/>
          <w:rFonts w:ascii="Arial" w:hAnsi="Arial" w:cs="Arial"/>
          <w:color w:val="000000"/>
        </w:rPr>
        <w:footnoteReference w:id="5"/>
      </w:r>
      <w:r w:rsidRPr="00722C1D">
        <w:rPr>
          <w:rFonts w:ascii="Arial" w:hAnsi="Arial" w:cs="Arial"/>
          <w:color w:val="000000"/>
        </w:rPr>
        <w:t xml:space="preserve"> </w:t>
      </w:r>
      <w:r w:rsidRPr="00722C1D">
        <w:rPr>
          <w:rFonts w:ascii="Arial" w:hAnsi="Arial" w:cs="Arial"/>
          <w:szCs w:val="24"/>
          <w:lang w:eastAsia="en-GB"/>
        </w:rPr>
        <w:t>This</w:t>
      </w:r>
      <w:r w:rsidRPr="00722C1D">
        <w:rPr>
          <w:rFonts w:ascii="Arial" w:hAnsi="Arial" w:cs="Arial"/>
          <w:szCs w:val="24"/>
        </w:rPr>
        <w:t xml:space="preserve"> enables civil</w:t>
      </w:r>
      <w:r w:rsidRPr="00722C1D">
        <w:rPr>
          <w:rFonts w:ascii="Calibri" w:hAnsi="Calibri" w:cs="Calibri"/>
          <w:color w:val="000000"/>
          <w:sz w:val="22"/>
        </w:rPr>
        <w:t xml:space="preserve"> </w:t>
      </w:r>
      <w:r w:rsidRPr="00722C1D">
        <w:rPr>
          <w:rFonts w:ascii="Arial" w:hAnsi="Arial" w:cs="Arial"/>
          <w:color w:val="000000"/>
        </w:rPr>
        <w:t>society organisations to participate in the UN process and assist in holding the UK and Welsh governments to account for their human rights obligations</w:t>
      </w:r>
      <w:r w:rsidRPr="00722C1D">
        <w:rPr>
          <w:rFonts w:ascii="Arial" w:hAnsi="Arial" w:cs="Arial"/>
          <w:szCs w:val="24"/>
          <w:lang w:eastAsia="en-GB"/>
        </w:rPr>
        <w:t>.</w:t>
      </w:r>
    </w:p>
    <w:p w14:paraId="2FEA73C1" w14:textId="77777777" w:rsidR="00F35F3B" w:rsidRPr="00722C1D" w:rsidRDefault="00F35F3B" w:rsidP="003F3381">
      <w:pPr>
        <w:pStyle w:val="Heading2"/>
        <w:spacing w:line="276" w:lineRule="auto"/>
      </w:pPr>
      <w:bookmarkStart w:id="2" w:name="_Toc121732382"/>
      <w:r w:rsidRPr="00722C1D">
        <w:t>Devolution and geographic scope of this report</w:t>
      </w:r>
      <w:bookmarkEnd w:id="2"/>
    </w:p>
    <w:p w14:paraId="506774F9" w14:textId="7EECCF3D" w:rsidR="00F35F3B" w:rsidRPr="00722C1D" w:rsidRDefault="00F35F3B" w:rsidP="003F3381">
      <w:pPr>
        <w:rPr>
          <w:rFonts w:ascii="Arial" w:hAnsi="Arial" w:cs="Arial"/>
          <w:szCs w:val="24"/>
        </w:rPr>
      </w:pPr>
      <w:r w:rsidRPr="00722C1D">
        <w:rPr>
          <w:rFonts w:ascii="Arial" w:hAnsi="Arial" w:cs="Arial"/>
          <w:szCs w:val="24"/>
        </w:rPr>
        <w:t>The UK Parliament has devolved various powers to the Scottish Parliament, the Welsh Parliament (Senedd Cymru) and the Northern Ireland Assembly. It remains responsible for England and for reserved matters. Accountability for complying with</w:t>
      </w:r>
      <w:r w:rsidR="0014677F">
        <w:rPr>
          <w:rFonts w:ascii="Arial" w:hAnsi="Arial" w:cs="Arial"/>
          <w:szCs w:val="24"/>
        </w:rPr>
        <w:t xml:space="preserve"> the</w:t>
      </w:r>
      <w:r w:rsidRPr="00722C1D">
        <w:rPr>
          <w:rFonts w:ascii="Arial" w:hAnsi="Arial" w:cs="Arial"/>
          <w:szCs w:val="24"/>
        </w:rPr>
        <w:t xml:space="preserve"> ICESCR lies with the UK Government, with responsibility for implementation on devolved matters resting with devolved governments. </w:t>
      </w:r>
    </w:p>
    <w:p w14:paraId="2BFF67B3" w14:textId="705131A0" w:rsidR="00F35F3B" w:rsidRPr="00722C1D" w:rsidRDefault="00F35F3B" w:rsidP="003F3381">
      <w:pPr>
        <w:rPr>
          <w:rFonts w:ascii="Arial" w:hAnsi="Arial" w:cs="Arial"/>
          <w:szCs w:val="24"/>
        </w:rPr>
      </w:pPr>
      <w:r w:rsidRPr="00722C1D">
        <w:rPr>
          <w:rFonts w:ascii="Arial" w:hAnsi="Arial" w:cs="Arial"/>
          <w:szCs w:val="24"/>
        </w:rPr>
        <w:t xml:space="preserve">In accordance with our mandate, this submission covers England and Wales for all areas, and Scotland for those </w:t>
      </w:r>
      <w:r w:rsidR="001D595A">
        <w:rPr>
          <w:rFonts w:ascii="Arial" w:hAnsi="Arial" w:cs="Arial"/>
          <w:szCs w:val="24"/>
        </w:rPr>
        <w:t>areas</w:t>
      </w:r>
      <w:r w:rsidRPr="00722C1D">
        <w:rPr>
          <w:rFonts w:ascii="Arial" w:hAnsi="Arial" w:cs="Arial"/>
          <w:szCs w:val="24"/>
        </w:rPr>
        <w:t xml:space="preserve"> that are reserved to the UK Parliament. Our recommendations are for the UK and Welsh governments. </w:t>
      </w:r>
    </w:p>
    <w:p w14:paraId="4C095B7B" w14:textId="618830C0" w:rsidR="00F35F3B" w:rsidRPr="00722C1D" w:rsidRDefault="00F35F3B" w:rsidP="003F3381">
      <w:pPr>
        <w:pStyle w:val="Heading1"/>
        <w:spacing w:line="276" w:lineRule="auto"/>
      </w:pPr>
      <w:bookmarkStart w:id="3" w:name="_Toc121732383"/>
      <w:r w:rsidRPr="00722C1D">
        <w:lastRenderedPageBreak/>
        <w:t>Equality and human rights framework</w:t>
      </w:r>
      <w:r>
        <w:t xml:space="preserve"> (Articles 2, 3, 4 and 5)</w:t>
      </w:r>
      <w:bookmarkEnd w:id="3"/>
    </w:p>
    <w:p w14:paraId="1E0757D4" w14:textId="70A368C2" w:rsidR="00F35F3B" w:rsidRPr="001011D5" w:rsidRDefault="00F35F3B" w:rsidP="003F3381">
      <w:pPr>
        <w:pStyle w:val="Boxtitle"/>
        <w:spacing w:before="0"/>
      </w:pPr>
      <w:r w:rsidRPr="001011D5">
        <w:t xml:space="preserve">See: </w:t>
      </w:r>
      <w:hyperlink r:id="rId9" w:history="1">
        <w:r w:rsidRPr="00D4327A">
          <w:rPr>
            <w:rStyle w:val="Hyperlink"/>
          </w:rPr>
          <w:t>UNCESCR Concluding Observations</w:t>
        </w:r>
      </w:hyperlink>
      <w:r w:rsidRPr="001011D5">
        <w:t xml:space="preserve"> paras 6, 10, 23 and 69, and </w:t>
      </w:r>
      <w:hyperlink r:id="rId10" w:history="1">
        <w:r w:rsidRPr="001011D5">
          <w:rPr>
            <w:rStyle w:val="Hyperlink"/>
          </w:rPr>
          <w:t>UN Sustainable Development Goal</w:t>
        </w:r>
      </w:hyperlink>
      <w:r>
        <w:rPr>
          <w:rStyle w:val="Hyperlink"/>
        </w:rPr>
        <w:t>s</w:t>
      </w:r>
      <w:r w:rsidRPr="001011D5">
        <w:t xml:space="preserve"> </w:t>
      </w:r>
      <w:r>
        <w:t>10 and 16</w:t>
      </w:r>
      <w:r w:rsidR="000F77BF">
        <w:t>.</w:t>
      </w:r>
    </w:p>
    <w:p w14:paraId="3017CFBD" w14:textId="7771D978" w:rsidR="00F35F3B" w:rsidRPr="00722C1D" w:rsidRDefault="00F35F3B" w:rsidP="003E4C7F">
      <w:pPr>
        <w:keepLines w:val="0"/>
        <w:spacing w:after="120"/>
        <w:rPr>
          <w:rFonts w:cs="Arial"/>
          <w:bCs/>
          <w:szCs w:val="24"/>
        </w:rPr>
      </w:pPr>
      <w:r w:rsidRPr="00722C1D">
        <w:t>There is an increasingly divergent approach to</w:t>
      </w:r>
      <w:r w:rsidR="00901C47">
        <w:t xml:space="preserve"> the</w:t>
      </w:r>
      <w:r w:rsidRPr="00722C1D">
        <w:t xml:space="preserve"> domestic incorporation of human rights across </w:t>
      </w:r>
      <w:r w:rsidR="00901C47">
        <w:t xml:space="preserve">Great </w:t>
      </w:r>
      <w:r w:rsidRPr="00722C1D">
        <w:t>Britain. The UK Government has ratified seven of the nine core U</w:t>
      </w:r>
      <w:r w:rsidR="000B3C0D">
        <w:t>nited Nations (U</w:t>
      </w:r>
      <w:r w:rsidRPr="00722C1D">
        <w:t>N</w:t>
      </w:r>
      <w:r w:rsidR="000B3C0D">
        <w:t>)</w:t>
      </w:r>
      <w:r w:rsidRPr="00722C1D">
        <w:t xml:space="preserve"> human rights treaties</w:t>
      </w:r>
      <w:r>
        <w:t xml:space="preserve"> but considers that they do not need to be incorporated into domestic law to ensure their protection</w:t>
      </w:r>
      <w:r w:rsidRPr="00722C1D">
        <w:t>.</w:t>
      </w:r>
      <w:r w:rsidRPr="00722C1D">
        <w:rPr>
          <w:rStyle w:val="FootnoteReference"/>
        </w:rPr>
        <w:footnoteReference w:id="6"/>
      </w:r>
      <w:r w:rsidRPr="00722C1D">
        <w:t xml:space="preserve"> The devolved governments of Wales and Scotland have committed to further incorporat</w:t>
      </w:r>
      <w:r w:rsidR="00901C47">
        <w:t>e</w:t>
      </w:r>
      <w:r w:rsidR="00054BDB">
        <w:t xml:space="preserve"> </w:t>
      </w:r>
      <w:r w:rsidRPr="00722C1D">
        <w:t>UN treaties, including through a potential Welsh Human Rights Bill and Scottish Human Rights Bill.</w:t>
      </w:r>
      <w:r w:rsidRPr="00722C1D">
        <w:rPr>
          <w:rStyle w:val="FootnoteReference"/>
          <w:rFonts w:cs="Arial"/>
          <w:bCs/>
          <w:szCs w:val="24"/>
        </w:rPr>
        <w:footnoteReference w:id="7"/>
      </w:r>
    </w:p>
    <w:p w14:paraId="4995C8F1" w14:textId="6BD9BEC0" w:rsidR="00F35F3B" w:rsidRPr="00722C1D" w:rsidRDefault="00F35F3B" w:rsidP="003E4C7F">
      <w:pPr>
        <w:keepLines w:val="0"/>
        <w:spacing w:after="120"/>
        <w:rPr>
          <w:rFonts w:cs="Arial"/>
          <w:bCs/>
          <w:szCs w:val="24"/>
        </w:rPr>
      </w:pPr>
      <w:r w:rsidRPr="00722C1D">
        <w:t xml:space="preserve">The European Convention on Human Rights (ECHR) is incorporated in UK law through the Human Rights Act 1998 (HRA). In June 2022, the UK Government published draft legislation to replace the </w:t>
      </w:r>
      <w:r w:rsidR="00DF5A02">
        <w:t>HRA</w:t>
      </w:r>
      <w:r w:rsidRPr="00722C1D">
        <w:t xml:space="preserve"> with a Bill of Rights.</w:t>
      </w:r>
      <w:r w:rsidRPr="00722C1D">
        <w:rPr>
          <w:rStyle w:val="FootnoteReference"/>
        </w:rPr>
        <w:footnoteReference w:id="8"/>
      </w:r>
      <w:r w:rsidRPr="00722C1D">
        <w:t xml:space="preserve"> We welcomed the UK Government’s commitment to maintain the incorporation of ECHR rights in UK law. We consider that the HRA has improved rights protections in the UK and that there should be no weakening of its provisions. We advised that further consideration of this legislation must be subject to wide consultation and robust parliamentary scrutiny. </w:t>
      </w:r>
    </w:p>
    <w:p w14:paraId="5257311F" w14:textId="62959A93" w:rsidR="00F35F3B" w:rsidRPr="00722C1D" w:rsidRDefault="00F35F3B" w:rsidP="003E4C7F">
      <w:pPr>
        <w:keepLines w:val="0"/>
        <w:spacing w:after="120"/>
      </w:pPr>
      <w:r w:rsidRPr="00722C1D">
        <w:lastRenderedPageBreak/>
        <w:t>The Equality Act 2010</w:t>
      </w:r>
      <w:r w:rsidR="004B6D02">
        <w:t xml:space="preserve"> (the Act)</w:t>
      </w:r>
      <w:r w:rsidRPr="00722C1D">
        <w:t xml:space="preserve"> protects people from discrimination</w:t>
      </w:r>
      <w:r w:rsidRPr="00722C1D">
        <w:rPr>
          <w:rStyle w:val="FootnoteReference"/>
        </w:rPr>
        <w:footnoteReference w:id="9"/>
      </w:r>
      <w:r w:rsidRPr="00722C1D">
        <w:t xml:space="preserve"> and contains provisions to advance equality, notably the Public Sector Equality Duty.</w:t>
      </w:r>
      <w:r w:rsidRPr="00722C1D">
        <w:rPr>
          <w:rStyle w:val="FootnoteReference"/>
        </w:rPr>
        <w:footnoteReference w:id="10"/>
      </w:r>
      <w:r w:rsidRPr="00722C1D">
        <w:t xml:space="preserve"> There is scope for the UK Government to strengthen protections by implementing the Act in full.</w:t>
      </w:r>
      <w:r w:rsidRPr="00722C1D">
        <w:rPr>
          <w:rStyle w:val="FootnoteReference"/>
        </w:rPr>
        <w:footnoteReference w:id="11"/>
      </w:r>
      <w:r w:rsidR="000B3C0D">
        <w:t xml:space="preserve"> The Socio-economic D</w:t>
      </w:r>
      <w:r w:rsidRPr="00722C1D">
        <w:t>uty in the Act requires public bodies, when making strategic decisions, to consider how their decisions could reduce inequalities linked to socio-economic disadvantage.</w:t>
      </w:r>
      <w:r w:rsidRPr="00722C1D">
        <w:rPr>
          <w:rStyle w:val="FootnoteReference"/>
        </w:rPr>
        <w:footnoteReference w:id="12"/>
      </w:r>
      <w:r w:rsidRPr="00722C1D">
        <w:t xml:space="preserve"> The </w:t>
      </w:r>
      <w:r w:rsidR="003E4C7F">
        <w:t>S</w:t>
      </w:r>
      <w:r w:rsidRPr="00722C1D">
        <w:t xml:space="preserve">ocio-economic </w:t>
      </w:r>
      <w:r w:rsidR="003E4C7F">
        <w:t>D</w:t>
      </w:r>
      <w:r w:rsidRPr="00722C1D">
        <w:t>uty came into force in Scotland in 2018 and in Wales in 2021. It has not been brought into force in England.</w:t>
      </w:r>
    </w:p>
    <w:p w14:paraId="5400F153" w14:textId="703C2765" w:rsidR="00F35F3B" w:rsidRPr="00722C1D" w:rsidRDefault="00F35F3B" w:rsidP="003E4C7F">
      <w:pPr>
        <w:keepLines w:val="0"/>
        <w:spacing w:after="120"/>
      </w:pPr>
      <w:r w:rsidRPr="00722C1D">
        <w:rPr>
          <w:rFonts w:ascii="Arial" w:hAnsi="Arial" w:cs="Arial"/>
        </w:rPr>
        <w:t>Following the UK’s departure from the E</w:t>
      </w:r>
      <w:r w:rsidR="000B3C0D">
        <w:rPr>
          <w:rFonts w:ascii="Arial" w:hAnsi="Arial" w:cs="Arial"/>
        </w:rPr>
        <w:t xml:space="preserve">uropean </w:t>
      </w:r>
      <w:r w:rsidRPr="00722C1D">
        <w:rPr>
          <w:rFonts w:ascii="Arial" w:hAnsi="Arial" w:cs="Arial"/>
        </w:rPr>
        <w:t>U</w:t>
      </w:r>
      <w:r w:rsidR="000B3C0D">
        <w:rPr>
          <w:rFonts w:ascii="Arial" w:hAnsi="Arial" w:cs="Arial"/>
        </w:rPr>
        <w:t>nion (EU)</w:t>
      </w:r>
      <w:r w:rsidRPr="00722C1D">
        <w:rPr>
          <w:rFonts w:ascii="Arial" w:hAnsi="Arial" w:cs="Arial"/>
        </w:rPr>
        <w:t xml:space="preserve">, the proposed Retained EU Law (Revocation and Reform) Bill will set retained EU law (REUL) to expire at the end of December 2023, unless </w:t>
      </w:r>
      <w:r w:rsidR="004F4A1C">
        <w:rPr>
          <w:rFonts w:ascii="Arial" w:hAnsi="Arial" w:cs="Arial"/>
        </w:rPr>
        <w:t>m</w:t>
      </w:r>
      <w:r w:rsidRPr="00722C1D">
        <w:rPr>
          <w:rFonts w:ascii="Arial" w:hAnsi="Arial" w:cs="Arial"/>
        </w:rPr>
        <w:t xml:space="preserve">inisters choose to preserve it, create delegated powers for </w:t>
      </w:r>
      <w:r w:rsidR="004F4A1C">
        <w:rPr>
          <w:rFonts w:ascii="Arial" w:hAnsi="Arial" w:cs="Arial"/>
        </w:rPr>
        <w:t>m</w:t>
      </w:r>
      <w:r w:rsidRPr="00722C1D">
        <w:rPr>
          <w:rFonts w:ascii="Arial" w:hAnsi="Arial" w:cs="Arial"/>
        </w:rPr>
        <w:t>inisters to amend it, or change its status. The effect of these provisions on equality and human rights protections is uncertain because of the high volume (at least 2,417 pieces) of REUL and a lack of clarity about the UK Government’s approach, but it could be significant, including in relation to employment rights.</w:t>
      </w:r>
      <w:r w:rsidRPr="00722C1D">
        <w:rPr>
          <w:rFonts w:ascii="Arial" w:hAnsi="Arial" w:cs="Arial"/>
          <w:color w:val="000000"/>
        </w:rPr>
        <w:t xml:space="preserve"> </w:t>
      </w:r>
      <w:r w:rsidRPr="00722C1D">
        <w:rPr>
          <w:rFonts w:ascii="Arial" w:hAnsi="Arial" w:cs="Arial"/>
        </w:rPr>
        <w:t>This, and the implications of th</w:t>
      </w:r>
      <w:r w:rsidR="00054BDB">
        <w:rPr>
          <w:rFonts w:ascii="Arial" w:hAnsi="Arial" w:cs="Arial"/>
        </w:rPr>
        <w:t>is</w:t>
      </w:r>
      <w:r w:rsidRPr="00722C1D">
        <w:rPr>
          <w:rFonts w:ascii="Arial" w:hAnsi="Arial" w:cs="Arial"/>
        </w:rPr>
        <w:t xml:space="preserve"> Bill on devolved competences, is a matter of concern. Any changes arising from th</w:t>
      </w:r>
      <w:r w:rsidR="00054BDB">
        <w:rPr>
          <w:rFonts w:ascii="Arial" w:hAnsi="Arial" w:cs="Arial"/>
        </w:rPr>
        <w:t>is</w:t>
      </w:r>
      <w:r w:rsidRPr="00722C1D">
        <w:rPr>
          <w:rFonts w:ascii="Arial" w:hAnsi="Arial" w:cs="Arial"/>
        </w:rPr>
        <w:t xml:space="preserve"> Bill must not weaken legal protections for equality and human rights, and </w:t>
      </w:r>
      <w:r w:rsidR="00663F61">
        <w:rPr>
          <w:rFonts w:ascii="Arial" w:hAnsi="Arial" w:cs="Arial"/>
        </w:rPr>
        <w:t xml:space="preserve">must </w:t>
      </w:r>
      <w:r w:rsidRPr="00722C1D">
        <w:rPr>
          <w:rFonts w:ascii="Arial" w:hAnsi="Arial" w:cs="Arial"/>
        </w:rPr>
        <w:t xml:space="preserve">receive parliamentary scrutiny. </w:t>
      </w:r>
    </w:p>
    <w:p w14:paraId="0B4AA324" w14:textId="37025512" w:rsidR="00F35F3B" w:rsidRPr="00722C1D" w:rsidRDefault="00F35F3B" w:rsidP="003F3381">
      <w:pPr>
        <w:pStyle w:val="Heading1"/>
        <w:spacing w:line="276" w:lineRule="auto"/>
      </w:pPr>
      <w:bookmarkStart w:id="4" w:name="_Toc121732384"/>
      <w:r w:rsidRPr="00722C1D">
        <w:lastRenderedPageBreak/>
        <w:t>Conditions at work</w:t>
      </w:r>
      <w:r>
        <w:t xml:space="preserve"> (Article 7)</w:t>
      </w:r>
      <w:bookmarkEnd w:id="4"/>
    </w:p>
    <w:p w14:paraId="4961467D" w14:textId="33BBFF3D" w:rsidR="00F35F3B" w:rsidRPr="00D4327A" w:rsidRDefault="00F35F3B" w:rsidP="003F3381">
      <w:pPr>
        <w:pStyle w:val="Boxtitle"/>
      </w:pPr>
      <w:r>
        <w:t>See:</w:t>
      </w:r>
      <w:r w:rsidRPr="00D4327A">
        <w:t xml:space="preserve"> </w:t>
      </w:r>
      <w:hyperlink r:id="rId11" w:history="1">
        <w:r w:rsidRPr="00D4327A">
          <w:rPr>
            <w:rStyle w:val="Hyperlink"/>
          </w:rPr>
          <w:t>UNCESCR Concluding Observations</w:t>
        </w:r>
      </w:hyperlink>
      <w:r w:rsidRPr="00D4327A">
        <w:t xml:space="preserve"> paras 27</w:t>
      </w:r>
      <w:r>
        <w:t xml:space="preserve"> and</w:t>
      </w:r>
      <w:r w:rsidRPr="00D4327A">
        <w:t xml:space="preserve"> 32</w:t>
      </w:r>
      <w:r>
        <w:t xml:space="preserve">, and </w:t>
      </w:r>
      <w:hyperlink r:id="rId12" w:history="1">
        <w:r w:rsidRPr="001011D5">
          <w:rPr>
            <w:rStyle w:val="Hyperlink"/>
          </w:rPr>
          <w:t>UN Sustainable Development Goals</w:t>
        </w:r>
      </w:hyperlink>
      <w:r w:rsidRPr="00D4327A">
        <w:rPr>
          <w:rStyle w:val="Hyperlink"/>
          <w:u w:val="none"/>
        </w:rPr>
        <w:t xml:space="preserve"> 8 and 10</w:t>
      </w:r>
      <w:r w:rsidR="000F77BF">
        <w:rPr>
          <w:rStyle w:val="Hyperlink"/>
          <w:u w:val="none"/>
        </w:rPr>
        <w:t>.</w:t>
      </w:r>
    </w:p>
    <w:p w14:paraId="44D5284C" w14:textId="77777777" w:rsidR="00054BDB" w:rsidRDefault="00F35F3B" w:rsidP="003F3381">
      <w:r w:rsidRPr="00722C1D">
        <w:t>A socio-economic right protected by</w:t>
      </w:r>
      <w:r w:rsidR="0014677F">
        <w:t xml:space="preserve"> the</w:t>
      </w:r>
      <w:r w:rsidRPr="00722C1D">
        <w:t xml:space="preserve"> ICESCR is the right to just and favourable conditions at work. There has been some progress towards narrowing pay gaps, but pay gaps for women, disabled people and some ethnic minorities persist. </w:t>
      </w:r>
    </w:p>
    <w:p w14:paraId="5461097D" w14:textId="15C3119E" w:rsidR="00054BDB" w:rsidRDefault="00F35F3B" w:rsidP="003F3381">
      <w:r w:rsidRPr="00722C1D">
        <w:rPr>
          <w:rFonts w:ascii="Arial" w:hAnsi="Arial" w:cs="Arial"/>
          <w:szCs w:val="24"/>
        </w:rPr>
        <w:t xml:space="preserve">Though data collected during the </w:t>
      </w:r>
      <w:r w:rsidR="007A2F0C">
        <w:rPr>
          <w:rFonts w:ascii="Arial" w:hAnsi="Arial" w:cs="Arial"/>
          <w:szCs w:val="24"/>
        </w:rPr>
        <w:t xml:space="preserve">COVID-19 </w:t>
      </w:r>
      <w:r w:rsidRPr="00722C1D">
        <w:rPr>
          <w:rFonts w:ascii="Arial" w:hAnsi="Arial" w:cs="Arial"/>
          <w:szCs w:val="24"/>
        </w:rPr>
        <w:t xml:space="preserve">pandemic should be interpreted with caution, </w:t>
      </w:r>
      <w:r w:rsidRPr="00722C1D">
        <w:rPr>
          <w:rFonts w:ascii="Arial" w:hAnsi="Arial" w:cs="Arial"/>
        </w:rPr>
        <w:t>t</w:t>
      </w:r>
      <w:r w:rsidRPr="00722C1D">
        <w:t>he UK’s gender pay gap has decreased from 17.4% in 1997 to 8.3% in 2022, but with geographic variation: 12.5% in South East England, compared to 6.1% in Wales and 5.8% in North East England.</w:t>
      </w:r>
      <w:r w:rsidRPr="00722C1D">
        <w:rPr>
          <w:rStyle w:val="FootnoteReference"/>
        </w:rPr>
        <w:footnoteReference w:id="13"/>
      </w:r>
      <w:r w:rsidRPr="00722C1D">
        <w:t xml:space="preserve"> </w:t>
      </w:r>
    </w:p>
    <w:p w14:paraId="0A623D54" w14:textId="0E0912F1" w:rsidR="00054BDB" w:rsidRDefault="00F35F3B" w:rsidP="003F3381">
      <w:r w:rsidRPr="00722C1D">
        <w:t>The UK’s disability pay gap was 13.8% in 2021, an increase on the 11.7% pay gap in 2014, but also with geographic variation: 16.1% in the East of England compared to 6.5% in London and 6.4% in</w:t>
      </w:r>
      <w:r w:rsidR="00234BFF">
        <w:t xml:space="preserve"> </w:t>
      </w:r>
      <w:r w:rsidRPr="00722C1D">
        <w:t>North East England.</w:t>
      </w:r>
      <w:r w:rsidRPr="00722C1D">
        <w:rPr>
          <w:rStyle w:val="FootnoteReference"/>
        </w:rPr>
        <w:footnoteReference w:id="14"/>
      </w:r>
      <w:r w:rsidRPr="00722C1D">
        <w:t xml:space="preserve"> </w:t>
      </w:r>
    </w:p>
    <w:p w14:paraId="202E10BE" w14:textId="38D97B76" w:rsidR="00F35F3B" w:rsidRPr="003E4C7F" w:rsidRDefault="00F35F3B" w:rsidP="003F3381">
      <w:pPr>
        <w:rPr>
          <w:rFonts w:ascii="Arial" w:hAnsi="Arial" w:cs="Arial"/>
          <w:szCs w:val="24"/>
        </w:rPr>
      </w:pPr>
      <w:r w:rsidRPr="00722C1D">
        <w:t>In 2019, the ethnicity pay gap in England and Wales was 2.3%, which is the lowest figure since 2012. There was significant variation between different ethnic groups: the rate was 15.5% for the Pakistani ethnic group, 7.9% for the Black African ethnic group, and -23.1% for the Chinese ethnic group.</w:t>
      </w:r>
      <w:r w:rsidRPr="00722C1D">
        <w:rPr>
          <w:rStyle w:val="FootnoteReference"/>
        </w:rPr>
        <w:footnoteReference w:id="15"/>
      </w:r>
      <w:r w:rsidRPr="00722C1D">
        <w:t xml:space="preserve"> </w:t>
      </w:r>
    </w:p>
    <w:p w14:paraId="37C4552D" w14:textId="136A8DFB" w:rsidR="00F35F3B" w:rsidRPr="00722C1D" w:rsidRDefault="00F35F3B" w:rsidP="003F3381">
      <w:r w:rsidRPr="00722C1D">
        <w:lastRenderedPageBreak/>
        <w:t>The UK Government has committed to explore the cases for mandatory and voluntary disability workforce reporting and will develop guidance for voluntary ethnicity pay gap reporting.</w:t>
      </w:r>
      <w:r w:rsidRPr="00722C1D">
        <w:rPr>
          <w:rStyle w:val="FootnoteReference"/>
        </w:rPr>
        <w:footnoteReference w:id="16"/>
      </w:r>
      <w:r w:rsidRPr="00722C1D">
        <w:t xml:space="preserve"> Public bodies in Wales must consider pay gaps across all the protected characteristic groups.</w:t>
      </w:r>
      <w:r w:rsidRPr="00722C1D">
        <w:rPr>
          <w:rStyle w:val="FootnoteReference"/>
        </w:rPr>
        <w:footnoteReference w:id="17"/>
      </w:r>
    </w:p>
    <w:p w14:paraId="064D1D73" w14:textId="514D5316" w:rsidR="006447FE" w:rsidRDefault="00F35F3B" w:rsidP="003F3381">
      <w:pPr>
        <w:keepLines w:val="0"/>
        <w:rPr>
          <w:rFonts w:ascii="Arial" w:hAnsi="Arial" w:cs="Arial"/>
          <w:color w:val="0B0C0C"/>
        </w:rPr>
      </w:pPr>
      <w:r w:rsidRPr="00722C1D">
        <w:rPr>
          <w:rFonts w:ascii="Arial" w:hAnsi="Arial" w:cs="Arial"/>
          <w:color w:val="0B0C0C"/>
        </w:rPr>
        <w:t>In October to December 2021, the number of people in employment on zero-hours contracts was 77% higher than it was in October to December 2013.</w:t>
      </w:r>
      <w:r w:rsidRPr="00722C1D">
        <w:rPr>
          <w:rStyle w:val="FootnoteReference"/>
          <w:rFonts w:ascii="Arial" w:hAnsi="Arial" w:cs="Arial"/>
          <w:color w:val="0B0C0C"/>
        </w:rPr>
        <w:footnoteReference w:id="18"/>
      </w:r>
      <w:r w:rsidRPr="00722C1D">
        <w:rPr>
          <w:rFonts w:ascii="Arial" w:hAnsi="Arial" w:cs="Arial"/>
          <w:color w:val="0B0C0C"/>
        </w:rPr>
        <w:t xml:space="preserve"> </w:t>
      </w:r>
      <w:bookmarkStart w:id="5" w:name="_ftnref47"/>
      <w:bookmarkEnd w:id="5"/>
      <w:r w:rsidRPr="00722C1D">
        <w:rPr>
          <w:rFonts w:ascii="Arial" w:hAnsi="Arial" w:cs="Arial"/>
          <w:color w:val="0B0C0C"/>
        </w:rPr>
        <w:t>Around 3% of people in employment in the UK are on zero-hours contracts.</w:t>
      </w:r>
      <w:r w:rsidRPr="00722C1D">
        <w:rPr>
          <w:rStyle w:val="FootnoteReference"/>
          <w:rFonts w:ascii="Arial" w:hAnsi="Arial" w:cs="Arial"/>
          <w:color w:val="0B0C0C"/>
        </w:rPr>
        <w:footnoteReference w:id="19"/>
      </w:r>
      <w:r w:rsidRPr="00722C1D">
        <w:rPr>
          <w:rFonts w:ascii="Arial" w:hAnsi="Arial" w:cs="Arial"/>
          <w:color w:val="0B0C0C"/>
        </w:rPr>
        <w:t xml:space="preserve"> The flexibility of zero-hour contracts may be beneficial in some circumstances, but people in insecure work are less likely to be entitled to rights</w:t>
      </w:r>
      <w:r w:rsidR="00234BFF">
        <w:rPr>
          <w:rFonts w:ascii="Arial" w:hAnsi="Arial" w:cs="Arial"/>
          <w:color w:val="0B0C0C"/>
        </w:rPr>
        <w:t>,</w:t>
      </w:r>
      <w:r w:rsidRPr="00722C1D">
        <w:rPr>
          <w:rFonts w:ascii="Arial" w:hAnsi="Arial" w:cs="Arial"/>
          <w:color w:val="0B0C0C"/>
        </w:rPr>
        <w:t xml:space="preserve"> such as statutory sick pay, a disparity that became particularly significant during the COVID-19 pandemic.</w:t>
      </w:r>
      <w:r w:rsidRPr="00722C1D">
        <w:rPr>
          <w:rStyle w:val="FootnoteReference"/>
          <w:rFonts w:ascii="Arial" w:hAnsi="Arial" w:cs="Arial"/>
          <w:color w:val="0B0C0C"/>
        </w:rPr>
        <w:footnoteReference w:id="20"/>
      </w:r>
      <w:r w:rsidRPr="00722C1D">
        <w:rPr>
          <w:rFonts w:ascii="Arial" w:hAnsi="Arial" w:cs="Arial"/>
          <w:color w:val="0B0C0C"/>
        </w:rPr>
        <w:t xml:space="preserve"> </w:t>
      </w:r>
    </w:p>
    <w:p w14:paraId="7FA2D81E" w14:textId="16368B59" w:rsidR="007A2F0C" w:rsidRDefault="00F35F3B" w:rsidP="003F3381">
      <w:pPr>
        <w:keepLines w:val="0"/>
        <w:rPr>
          <w:rFonts w:ascii="Arial" w:hAnsi="Arial" w:cs="Arial"/>
          <w:color w:val="000000"/>
        </w:rPr>
      </w:pPr>
      <w:r w:rsidRPr="00722C1D">
        <w:rPr>
          <w:rFonts w:ascii="Arial" w:hAnsi="Arial" w:cs="Arial"/>
          <w:color w:val="0B0C0C"/>
        </w:rPr>
        <w:t xml:space="preserve">Certain groups are more likely to be in insecure work. For example, </w:t>
      </w:r>
      <w:r w:rsidRPr="00722C1D">
        <w:rPr>
          <w:rFonts w:ascii="Arial" w:hAnsi="Arial" w:cs="Arial"/>
          <w:color w:val="000000"/>
        </w:rPr>
        <w:t xml:space="preserve">ethnic minority women are twice as likely </w:t>
      </w:r>
      <w:r w:rsidR="007A2F0C">
        <w:rPr>
          <w:rFonts w:ascii="Arial" w:hAnsi="Arial" w:cs="Arial"/>
          <w:color w:val="000000"/>
        </w:rPr>
        <w:t xml:space="preserve">as White men </w:t>
      </w:r>
      <w:r w:rsidRPr="00722C1D">
        <w:rPr>
          <w:rFonts w:ascii="Arial" w:hAnsi="Arial" w:cs="Arial"/>
          <w:color w:val="000000"/>
        </w:rPr>
        <w:t>to be on a zero-hours contract</w:t>
      </w:r>
      <w:bookmarkStart w:id="6" w:name="_ftnref49"/>
      <w:bookmarkEnd w:id="6"/>
      <w:r w:rsidRPr="00722C1D">
        <w:rPr>
          <w:rFonts w:ascii="Arial" w:hAnsi="Arial" w:cs="Arial"/>
          <w:color w:val="000000"/>
        </w:rPr>
        <w:t>,</w:t>
      </w:r>
      <w:r w:rsidRPr="00722C1D">
        <w:rPr>
          <w:rStyle w:val="FootnoteReference"/>
          <w:rFonts w:ascii="Arial" w:hAnsi="Arial" w:cs="Arial"/>
          <w:color w:val="000000"/>
        </w:rPr>
        <w:footnoteReference w:id="21"/>
      </w:r>
      <w:r w:rsidRPr="00722C1D">
        <w:rPr>
          <w:rFonts w:ascii="Arial" w:hAnsi="Arial" w:cs="Arial"/>
          <w:color w:val="000000"/>
        </w:rPr>
        <w:t> and a greater proportion of 16- to 24-year-olds are on a zero-hours contract than any other age category.</w:t>
      </w:r>
      <w:bookmarkStart w:id="7" w:name="_ftnref50"/>
      <w:bookmarkEnd w:id="7"/>
      <w:r w:rsidRPr="00722C1D">
        <w:rPr>
          <w:rStyle w:val="FootnoteReference"/>
          <w:rFonts w:ascii="Arial" w:hAnsi="Arial" w:cs="Arial"/>
          <w:color w:val="000000"/>
        </w:rPr>
        <w:footnoteReference w:id="22"/>
      </w:r>
      <w:r w:rsidRPr="00722C1D">
        <w:rPr>
          <w:rFonts w:ascii="Arial" w:hAnsi="Arial" w:cs="Arial"/>
          <w:color w:val="000000"/>
        </w:rPr>
        <w:t> </w:t>
      </w:r>
    </w:p>
    <w:p w14:paraId="13279CD1" w14:textId="77777777" w:rsidR="007A2F0C" w:rsidRDefault="007A2F0C">
      <w:pPr>
        <w:keepLines w:val="0"/>
        <w:spacing w:before="0" w:after="160" w:line="259" w:lineRule="auto"/>
        <w:rPr>
          <w:rFonts w:ascii="Arial" w:hAnsi="Arial" w:cs="Arial"/>
          <w:color w:val="000000"/>
        </w:rPr>
      </w:pPr>
      <w:r>
        <w:rPr>
          <w:rFonts w:ascii="Arial" w:hAnsi="Arial" w:cs="Arial"/>
          <w:color w:val="000000"/>
        </w:rPr>
        <w:br w:type="page"/>
      </w:r>
    </w:p>
    <w:p w14:paraId="55A86EE3" w14:textId="02D996B5" w:rsidR="00F35F3B" w:rsidRPr="00722C1D" w:rsidRDefault="00F35F3B" w:rsidP="003F3381">
      <w:pPr>
        <w:keepLines w:val="0"/>
        <w:rPr>
          <w:rFonts w:ascii="Arial" w:hAnsi="Arial" w:cs="Arial"/>
          <w:color w:val="000000"/>
        </w:rPr>
      </w:pPr>
      <w:r w:rsidRPr="00722C1D">
        <w:rPr>
          <w:rFonts w:ascii="Arial" w:hAnsi="Arial" w:cs="Arial"/>
          <w:color w:val="0B0C0C"/>
        </w:rPr>
        <w:lastRenderedPageBreak/>
        <w:t xml:space="preserve">Our inquiry into the treatment of </w:t>
      </w:r>
      <w:r w:rsidRPr="00722C1D">
        <w:rPr>
          <w:shd w:val="clear" w:color="auto" w:fill="FFFFFF"/>
        </w:rPr>
        <w:t>lower-paid ethnic minority workers in health and social care found that</w:t>
      </w:r>
      <w:r w:rsidRPr="00722C1D">
        <w:t xml:space="preserve"> </w:t>
      </w:r>
      <w:r w:rsidRPr="00722C1D">
        <w:rPr>
          <w:rFonts w:eastAsia="Times New Roman"/>
          <w:szCs w:val="24"/>
          <w:lang w:eastAsia="en-GB"/>
        </w:rPr>
        <w:t>the outsourcing of roles leads to poor pay</w:t>
      </w:r>
      <w:r w:rsidR="00234BFF">
        <w:rPr>
          <w:rFonts w:eastAsia="Times New Roman"/>
          <w:szCs w:val="24"/>
          <w:lang w:eastAsia="en-GB"/>
        </w:rPr>
        <w:t>,</w:t>
      </w:r>
      <w:r w:rsidRPr="00722C1D">
        <w:rPr>
          <w:rFonts w:eastAsia="Times New Roman"/>
          <w:szCs w:val="24"/>
          <w:lang w:eastAsia="en-GB"/>
        </w:rPr>
        <w:t xml:space="preserve"> insecure work, a low awareness of employment rights, fear of raising concerns and a lack of mechanisms to do so.</w:t>
      </w:r>
      <w:r w:rsidRPr="00722C1D">
        <w:rPr>
          <w:rStyle w:val="FootnoteReference"/>
          <w:rFonts w:eastAsia="Times New Roman"/>
          <w:szCs w:val="24"/>
          <w:lang w:eastAsia="en-GB"/>
        </w:rPr>
        <w:footnoteReference w:id="23"/>
      </w:r>
    </w:p>
    <w:p w14:paraId="65517C5F" w14:textId="55825EFE" w:rsidR="00F35F3B" w:rsidRPr="00722C1D" w:rsidRDefault="00F35F3B" w:rsidP="003F3381">
      <w:pPr>
        <w:rPr>
          <w:rFonts w:ascii="Arial" w:hAnsi="Arial" w:cs="Arial"/>
          <w:iCs/>
        </w:rPr>
      </w:pPr>
      <w:r w:rsidRPr="00722C1D">
        <w:rPr>
          <w:rFonts w:ascii="Arial" w:hAnsi="Arial" w:cs="Arial"/>
          <w:iCs/>
        </w:rPr>
        <w:t xml:space="preserve">Discrimination and harassment in the workplace continue to affect some groups. </w:t>
      </w:r>
      <w:r w:rsidRPr="00722C1D">
        <w:rPr>
          <w:rFonts w:ascii="Arial" w:hAnsi="Arial" w:cs="Arial"/>
          <w:szCs w:val="24"/>
          <w:shd w:val="clear" w:color="auto" w:fill="FFFFFF"/>
        </w:rPr>
        <w:t>For example, in a 2020 survey about the treatment of pregnant women and new mothers at work, 25% of respondents said they had been treated unfairly during the pandemic.</w:t>
      </w:r>
      <w:r w:rsidRPr="00722C1D">
        <w:rPr>
          <w:rStyle w:val="FootnoteReference"/>
          <w:rFonts w:ascii="Arial" w:hAnsi="Arial" w:cs="Arial"/>
          <w:szCs w:val="24"/>
          <w:shd w:val="clear" w:color="auto" w:fill="FFFFFF"/>
        </w:rPr>
        <w:footnoteReference w:id="24"/>
      </w:r>
      <w:r w:rsidRPr="00722C1D">
        <w:rPr>
          <w:rFonts w:ascii="Arial" w:hAnsi="Arial" w:cs="Arial"/>
          <w:szCs w:val="24"/>
          <w:shd w:val="clear" w:color="auto" w:fill="FFFFFF"/>
        </w:rPr>
        <w:t xml:space="preserve"> </w:t>
      </w:r>
      <w:r w:rsidRPr="00722C1D">
        <w:rPr>
          <w:rFonts w:ascii="Arial" w:hAnsi="Arial" w:cs="Arial"/>
          <w:iCs/>
        </w:rPr>
        <w:t xml:space="preserve">We welcome the Protection from Redundancy </w:t>
      </w:r>
      <w:r w:rsidR="00704DFD">
        <w:rPr>
          <w:rFonts w:ascii="Arial" w:hAnsi="Arial" w:cs="Arial"/>
          <w:iCs/>
        </w:rPr>
        <w:t xml:space="preserve">(Pregnancy and Family Leave) </w:t>
      </w:r>
      <w:r w:rsidRPr="00722C1D">
        <w:rPr>
          <w:rFonts w:ascii="Arial" w:hAnsi="Arial" w:cs="Arial"/>
          <w:iCs/>
        </w:rPr>
        <w:t xml:space="preserve">Bill, supported by the UK Government, </w:t>
      </w:r>
      <w:r w:rsidR="007A2F0C">
        <w:rPr>
          <w:rFonts w:ascii="Arial" w:hAnsi="Arial" w:cs="Arial"/>
          <w:iCs/>
        </w:rPr>
        <w:t>which</w:t>
      </w:r>
      <w:r w:rsidR="007A2F0C" w:rsidRPr="00722C1D">
        <w:rPr>
          <w:rFonts w:ascii="Arial" w:hAnsi="Arial" w:cs="Arial"/>
          <w:iCs/>
        </w:rPr>
        <w:t xml:space="preserve"> </w:t>
      </w:r>
      <w:r w:rsidRPr="00722C1D">
        <w:rPr>
          <w:rFonts w:ascii="Arial" w:hAnsi="Arial" w:cs="Arial"/>
          <w:iCs/>
        </w:rPr>
        <w:t>will address gaps in protection from discrimination by extending certain redundancy protections to pregnant women and new mothers</w:t>
      </w:r>
      <w:r w:rsidR="00234BFF">
        <w:rPr>
          <w:rFonts w:ascii="Arial" w:hAnsi="Arial" w:cs="Arial"/>
          <w:iCs/>
        </w:rPr>
        <w:t>,</w:t>
      </w:r>
      <w:r w:rsidRPr="00722C1D">
        <w:rPr>
          <w:rFonts w:ascii="Arial" w:hAnsi="Arial" w:cs="Arial"/>
          <w:iCs/>
        </w:rPr>
        <w:t xml:space="preserve"> and to people on adoption or shared parental leave.</w:t>
      </w:r>
      <w:r w:rsidRPr="00722C1D">
        <w:rPr>
          <w:rStyle w:val="FootnoteReference"/>
          <w:rFonts w:ascii="Arial" w:hAnsi="Arial" w:cs="Arial"/>
          <w:iCs/>
        </w:rPr>
        <w:footnoteReference w:id="25"/>
      </w:r>
    </w:p>
    <w:p w14:paraId="02F8511C" w14:textId="504C63D1" w:rsidR="00F35F3B" w:rsidRPr="00722C1D" w:rsidRDefault="00F35F3B" w:rsidP="003F3381">
      <w:pPr>
        <w:rPr>
          <w:rFonts w:ascii="Arial" w:hAnsi="Arial" w:cs="Arial"/>
          <w:iCs/>
        </w:rPr>
      </w:pPr>
      <w:r w:rsidRPr="00722C1D">
        <w:rPr>
          <w:rFonts w:ascii="Arial" w:hAnsi="Arial" w:cs="Arial"/>
          <w:iCs/>
        </w:rPr>
        <w:t>Additionally, workplace sexual harassment remains widespread</w:t>
      </w:r>
      <w:r w:rsidR="00C86E2B">
        <w:rPr>
          <w:rFonts w:ascii="Arial" w:hAnsi="Arial" w:cs="Arial"/>
          <w:iCs/>
        </w:rPr>
        <w:t xml:space="preserve"> and</w:t>
      </w:r>
      <w:r w:rsidRPr="00722C1D">
        <w:rPr>
          <w:rFonts w:ascii="Arial" w:hAnsi="Arial" w:cs="Arial"/>
          <w:iCs/>
        </w:rPr>
        <w:t xml:space="preserve"> under-reported.</w:t>
      </w:r>
      <w:r w:rsidRPr="00722C1D">
        <w:rPr>
          <w:rStyle w:val="FootnoteReference"/>
          <w:rFonts w:ascii="Arial" w:hAnsi="Arial" w:cs="Arial"/>
          <w:iCs/>
        </w:rPr>
        <w:footnoteReference w:id="26"/>
      </w:r>
      <w:r w:rsidRPr="00722C1D">
        <w:rPr>
          <w:rFonts w:ascii="Arial" w:hAnsi="Arial" w:cs="Arial"/>
          <w:iCs/>
        </w:rPr>
        <w:t xml:space="preserve"> We welcome the Worker Protection </w:t>
      </w:r>
      <w:r w:rsidR="00704DFD">
        <w:rPr>
          <w:rFonts w:ascii="Arial" w:hAnsi="Arial" w:cs="Arial"/>
          <w:iCs/>
        </w:rPr>
        <w:t xml:space="preserve">(Amendment of Equality Act 2010) </w:t>
      </w:r>
      <w:r w:rsidRPr="00722C1D">
        <w:rPr>
          <w:rFonts w:ascii="Arial" w:hAnsi="Arial" w:cs="Arial"/>
          <w:iCs/>
        </w:rPr>
        <w:t xml:space="preserve">Bill, supported by the UK Government, </w:t>
      </w:r>
      <w:r w:rsidR="00197782">
        <w:rPr>
          <w:rFonts w:ascii="Arial" w:hAnsi="Arial" w:cs="Arial"/>
          <w:iCs/>
        </w:rPr>
        <w:t>which</w:t>
      </w:r>
      <w:r w:rsidRPr="00722C1D">
        <w:rPr>
          <w:rFonts w:ascii="Arial" w:hAnsi="Arial" w:cs="Arial"/>
          <w:iCs/>
        </w:rPr>
        <w:t xml:space="preserve"> seeks to introduce a preventative duty on employers to take all reasonable steps to prevent sexual harassment in the workplace and reinstate protections for workers from harassment by third parties</w:t>
      </w:r>
      <w:r w:rsidR="00663F61">
        <w:rPr>
          <w:rFonts w:ascii="Arial" w:hAnsi="Arial" w:cs="Arial"/>
          <w:iCs/>
        </w:rPr>
        <w:t>.</w:t>
      </w:r>
      <w:r w:rsidRPr="00722C1D">
        <w:rPr>
          <w:rStyle w:val="FootnoteReference"/>
          <w:rFonts w:ascii="Arial" w:hAnsi="Arial" w:cs="Arial"/>
          <w:iCs/>
        </w:rPr>
        <w:footnoteReference w:id="27"/>
      </w:r>
    </w:p>
    <w:p w14:paraId="7632D0D6" w14:textId="2FD50D56" w:rsidR="00F35F3B" w:rsidRPr="00722C1D" w:rsidRDefault="00F35F3B" w:rsidP="003F3381">
      <w:pPr>
        <w:pStyle w:val="Heading1"/>
        <w:spacing w:line="276" w:lineRule="auto"/>
      </w:pPr>
      <w:bookmarkStart w:id="8" w:name="_Toc121732385"/>
      <w:r w:rsidRPr="00722C1D">
        <w:lastRenderedPageBreak/>
        <w:t>Poverty</w:t>
      </w:r>
      <w:r>
        <w:t xml:space="preserve"> (Article 11)</w:t>
      </w:r>
      <w:bookmarkEnd w:id="8"/>
    </w:p>
    <w:p w14:paraId="168297FB" w14:textId="1F4975B9" w:rsidR="00F35F3B" w:rsidRPr="00D4327A" w:rsidRDefault="00F35F3B" w:rsidP="003F3381">
      <w:pPr>
        <w:pStyle w:val="Boxtitle"/>
      </w:pPr>
      <w:r>
        <w:t>See:</w:t>
      </w:r>
      <w:r w:rsidRPr="00D4327A">
        <w:t xml:space="preserve"> </w:t>
      </w:r>
      <w:hyperlink r:id="rId13" w:history="1">
        <w:r w:rsidRPr="00D4327A">
          <w:rPr>
            <w:rStyle w:val="Hyperlink"/>
          </w:rPr>
          <w:t>UNCESCR Concluding Observations</w:t>
        </w:r>
      </w:hyperlink>
      <w:r w:rsidRPr="00D4327A">
        <w:t xml:space="preserve"> paras 18,</w:t>
      </w:r>
      <w:r>
        <w:t xml:space="preserve"> 25,</w:t>
      </w:r>
      <w:r w:rsidRPr="00D4327A">
        <w:t xml:space="preserve"> 41, 48 and 54</w:t>
      </w:r>
      <w:r>
        <w:t xml:space="preserve">, and </w:t>
      </w:r>
      <w:hyperlink r:id="rId14" w:history="1">
        <w:r w:rsidRPr="001011D5">
          <w:rPr>
            <w:rStyle w:val="Hyperlink"/>
          </w:rPr>
          <w:t>UN Sustainable Development Goals</w:t>
        </w:r>
      </w:hyperlink>
      <w:r w:rsidRPr="00D4327A">
        <w:rPr>
          <w:rStyle w:val="Hyperlink"/>
          <w:u w:val="none"/>
        </w:rPr>
        <w:t xml:space="preserve"> 1, 2, </w:t>
      </w:r>
      <w:r>
        <w:rPr>
          <w:rStyle w:val="Hyperlink"/>
          <w:u w:val="none"/>
        </w:rPr>
        <w:t xml:space="preserve">7, </w:t>
      </w:r>
      <w:r w:rsidRPr="00D4327A">
        <w:rPr>
          <w:rStyle w:val="Hyperlink"/>
          <w:u w:val="none"/>
        </w:rPr>
        <w:t>8 and 10</w:t>
      </w:r>
      <w:r w:rsidR="000F77BF">
        <w:rPr>
          <w:rStyle w:val="Hyperlink"/>
          <w:u w:val="none"/>
        </w:rPr>
        <w:t>.</w:t>
      </w:r>
    </w:p>
    <w:p w14:paraId="6B13F8D6" w14:textId="3CE94C20" w:rsidR="00F35F3B" w:rsidRPr="00722C1D" w:rsidRDefault="00F35F3B" w:rsidP="000C393E">
      <w:pPr>
        <w:keepLines w:val="0"/>
        <w:spacing w:before="120" w:after="120"/>
        <w:rPr>
          <w:rFonts w:cs="Arial"/>
          <w:bCs/>
          <w:szCs w:val="24"/>
        </w:rPr>
      </w:pPr>
      <w:r w:rsidRPr="00722C1D">
        <w:rPr>
          <w:rFonts w:cs="Arial"/>
          <w:bCs/>
          <w:szCs w:val="24"/>
        </w:rPr>
        <w:t>In the year to October 2022, the UK Consumer Prices Index, the official measure of inflation, rose by 11.1%.</w:t>
      </w:r>
      <w:r w:rsidRPr="00722C1D">
        <w:rPr>
          <w:rStyle w:val="FootnoteReference"/>
          <w:rFonts w:cs="Arial"/>
          <w:bCs/>
          <w:szCs w:val="24"/>
        </w:rPr>
        <w:footnoteReference w:id="28"/>
      </w:r>
      <w:r w:rsidRPr="00722C1D">
        <w:rPr>
          <w:rFonts w:cs="Arial"/>
          <w:bCs/>
          <w:szCs w:val="24"/>
        </w:rPr>
        <w:t xml:space="preserve"> Between March and June 2022, around </w:t>
      </w:r>
      <w:r w:rsidR="008A1B80">
        <w:rPr>
          <w:rFonts w:cs="Arial"/>
          <w:bCs/>
          <w:szCs w:val="24"/>
        </w:rPr>
        <w:t>90% of</w:t>
      </w:r>
      <w:r w:rsidRPr="00722C1D">
        <w:rPr>
          <w:rFonts w:cs="Arial"/>
          <w:bCs/>
          <w:szCs w:val="24"/>
        </w:rPr>
        <w:t xml:space="preserve"> adults in </w:t>
      </w:r>
      <w:r w:rsidR="00991C49">
        <w:rPr>
          <w:rFonts w:cs="Arial"/>
          <w:bCs/>
          <w:szCs w:val="24"/>
        </w:rPr>
        <w:t xml:space="preserve">Great </w:t>
      </w:r>
      <w:r w:rsidRPr="00722C1D">
        <w:rPr>
          <w:rFonts w:cs="Arial"/>
          <w:bCs/>
          <w:szCs w:val="24"/>
        </w:rPr>
        <w:t>Britain reported an i</w:t>
      </w:r>
      <w:r w:rsidR="00527413">
        <w:rPr>
          <w:rFonts w:cs="Arial"/>
          <w:bCs/>
          <w:szCs w:val="24"/>
        </w:rPr>
        <w:t>ncrease in their cost of living</w:t>
      </w:r>
      <w:r w:rsidRPr="00722C1D">
        <w:rPr>
          <w:rFonts w:cs="Arial"/>
          <w:bCs/>
          <w:szCs w:val="24"/>
        </w:rPr>
        <w:t xml:space="preserve"> </w:t>
      </w:r>
      <w:r w:rsidR="00527413">
        <w:rPr>
          <w:rFonts w:cs="Arial"/>
          <w:bCs/>
          <w:szCs w:val="24"/>
        </w:rPr>
        <w:t>(</w:t>
      </w:r>
      <w:r w:rsidRPr="00722C1D">
        <w:rPr>
          <w:rFonts w:cs="Arial"/>
          <w:bCs/>
          <w:szCs w:val="24"/>
        </w:rPr>
        <w:t>a rise from 62% in November 2021</w:t>
      </w:r>
      <w:r w:rsidR="00527413">
        <w:rPr>
          <w:rFonts w:cs="Arial"/>
          <w:bCs/>
          <w:szCs w:val="24"/>
        </w:rPr>
        <w:t xml:space="preserve">) and they </w:t>
      </w:r>
      <w:r w:rsidR="00527413" w:rsidRPr="00722C1D">
        <w:rPr>
          <w:rFonts w:cs="Arial"/>
          <w:bCs/>
          <w:szCs w:val="24"/>
        </w:rPr>
        <w:t>attributed this most to increases in the cost of food, energy and fuel</w:t>
      </w:r>
      <w:r w:rsidRPr="00722C1D">
        <w:rPr>
          <w:rFonts w:cs="Arial"/>
          <w:bCs/>
          <w:szCs w:val="24"/>
        </w:rPr>
        <w:t>.</w:t>
      </w:r>
      <w:r w:rsidRPr="00722C1D">
        <w:rPr>
          <w:rStyle w:val="FootnoteReference"/>
          <w:rFonts w:cs="Arial"/>
          <w:bCs/>
          <w:szCs w:val="24"/>
        </w:rPr>
        <w:footnoteReference w:id="29"/>
      </w:r>
      <w:r w:rsidRPr="00722C1D">
        <w:rPr>
          <w:rFonts w:cs="Arial"/>
          <w:bCs/>
          <w:szCs w:val="24"/>
        </w:rPr>
        <w:t xml:space="preserve"> </w:t>
      </w:r>
      <w:r w:rsidR="00527413">
        <w:rPr>
          <w:rFonts w:cs="Arial"/>
          <w:bCs/>
          <w:szCs w:val="24"/>
        </w:rPr>
        <w:t>P</w:t>
      </w:r>
      <w:r w:rsidRPr="00722C1D">
        <w:rPr>
          <w:rFonts w:cs="Arial"/>
          <w:bCs/>
          <w:szCs w:val="24"/>
        </w:rPr>
        <w:t>arents with dependent children</w:t>
      </w:r>
      <w:r w:rsidR="004C383A">
        <w:rPr>
          <w:rFonts w:cs="Arial"/>
          <w:bCs/>
          <w:szCs w:val="24"/>
        </w:rPr>
        <w:t xml:space="preserve"> were</w:t>
      </w:r>
      <w:r w:rsidRPr="00722C1D">
        <w:rPr>
          <w:rFonts w:cs="Arial"/>
          <w:bCs/>
          <w:szCs w:val="24"/>
        </w:rPr>
        <w:t xml:space="preserve"> more likely to report an increase in their cost of living than people without dependent children.</w:t>
      </w:r>
      <w:r w:rsidRPr="00722C1D">
        <w:rPr>
          <w:rStyle w:val="FootnoteReference"/>
          <w:rFonts w:cs="Arial"/>
          <w:bCs/>
          <w:szCs w:val="24"/>
        </w:rPr>
        <w:footnoteReference w:id="30"/>
      </w:r>
      <w:r w:rsidRPr="00722C1D">
        <w:rPr>
          <w:rFonts w:cs="Arial"/>
          <w:bCs/>
          <w:szCs w:val="24"/>
        </w:rPr>
        <w:t xml:space="preserve"> </w:t>
      </w:r>
    </w:p>
    <w:p w14:paraId="378A281E" w14:textId="14E6ED59" w:rsidR="006447FE" w:rsidRDefault="00F35F3B" w:rsidP="003E4C7F">
      <w:pPr>
        <w:keepLines w:val="0"/>
        <w:spacing w:after="120"/>
      </w:pPr>
      <w:r w:rsidRPr="00722C1D">
        <w:rPr>
          <w:rFonts w:cs="Arial"/>
          <w:bCs/>
          <w:szCs w:val="24"/>
        </w:rPr>
        <w:t xml:space="preserve">Increased costs of living have implications for poverty rates. </w:t>
      </w:r>
      <w:r w:rsidRPr="00D378A8">
        <w:t>In 2019</w:t>
      </w:r>
      <w:r w:rsidR="007C6A8E">
        <w:t>–</w:t>
      </w:r>
      <w:r w:rsidRPr="00D378A8">
        <w:t>20, 14.5 million people in the UK were in relative poverty (household income below 60% of the annual median) and 11.7 million people were in absolute poverty (househo</w:t>
      </w:r>
      <w:r w:rsidR="007C6A8E">
        <w:t>ld income below 60% of the 2010–</w:t>
      </w:r>
      <w:r w:rsidRPr="00D378A8">
        <w:t>11 median, accounting for inflation)</w:t>
      </w:r>
      <w:r w:rsidR="004C383A">
        <w:t>,</w:t>
      </w:r>
      <w:r w:rsidRPr="00D378A8">
        <w:t xml:space="preserve"> after housing costs</w:t>
      </w:r>
      <w:r w:rsidRPr="00722C1D">
        <w:t>.</w:t>
      </w:r>
      <w:r w:rsidRPr="00722C1D">
        <w:rPr>
          <w:rStyle w:val="FootnoteReference"/>
        </w:rPr>
        <w:footnoteReference w:id="31"/>
      </w:r>
      <w:r w:rsidRPr="00722C1D">
        <w:t xml:space="preserve"> There wa</w:t>
      </w:r>
      <w:r w:rsidR="007C6A8E">
        <w:t>s a decrease in poverty in 2020–</w:t>
      </w:r>
      <w:r w:rsidRPr="00722C1D">
        <w:t>21, though the data is subject to uncertainty due to changes in data collection during the pandemic and may not be comparable with previous years.</w:t>
      </w:r>
      <w:r w:rsidRPr="00722C1D">
        <w:rPr>
          <w:rStyle w:val="FootnoteReference"/>
          <w:rFonts w:cs="Arial"/>
          <w:bCs/>
          <w:szCs w:val="24"/>
        </w:rPr>
        <w:footnoteReference w:id="32"/>
      </w:r>
    </w:p>
    <w:p w14:paraId="202D0929" w14:textId="708BA01B" w:rsidR="00F35F3B" w:rsidRPr="00722C1D" w:rsidRDefault="00F35F3B" w:rsidP="003E4C7F">
      <w:pPr>
        <w:keepLines w:val="0"/>
        <w:spacing w:after="120"/>
      </w:pPr>
      <w:r w:rsidRPr="00722C1D">
        <w:lastRenderedPageBreak/>
        <w:t>Poverty disproportionately affects some ethnic minorities – particularly Bangladeshi and Pakistani groups – due to factors including being more likely to be in lower-paid employment and live in single-earner households.</w:t>
      </w:r>
      <w:r w:rsidRPr="00722C1D">
        <w:rPr>
          <w:rStyle w:val="FootnoteReference"/>
        </w:rPr>
        <w:footnoteReference w:id="33"/>
      </w:r>
      <w:r w:rsidRPr="00722C1D">
        <w:t xml:space="preserve"> </w:t>
      </w:r>
    </w:p>
    <w:p w14:paraId="054C1909" w14:textId="597A678D" w:rsidR="00F35F3B" w:rsidRPr="00722C1D" w:rsidRDefault="00F35F3B" w:rsidP="003E4C7F">
      <w:pPr>
        <w:keepLines w:val="0"/>
        <w:spacing w:after="120"/>
        <w:rPr>
          <w:rFonts w:cs="Arial"/>
          <w:bCs/>
          <w:szCs w:val="24"/>
        </w:rPr>
      </w:pPr>
      <w:r w:rsidRPr="00722C1D">
        <w:t xml:space="preserve">Relative poverty for working-age adults had been broadly stable prior to the pandemic. </w:t>
      </w:r>
      <w:r w:rsidR="00663F61">
        <w:t>R</w:t>
      </w:r>
      <w:r w:rsidRPr="00722C1D">
        <w:t>elative child poverty in the UK</w:t>
      </w:r>
      <w:r w:rsidR="005D1487">
        <w:t>,</w:t>
      </w:r>
      <w:r w:rsidRPr="00722C1D">
        <w:t xml:space="preserve"> after housing costs</w:t>
      </w:r>
      <w:r w:rsidR="005D1487">
        <w:t>,</w:t>
      </w:r>
      <w:r w:rsidRPr="00722C1D">
        <w:t xml:space="preserve"> had increased since 2014 to 31% in 2019</w:t>
      </w:r>
      <w:r w:rsidR="0029575D">
        <w:t>–</w:t>
      </w:r>
      <w:r w:rsidRPr="00722C1D">
        <w:t>20.</w:t>
      </w:r>
      <w:r w:rsidRPr="00722C1D">
        <w:rPr>
          <w:rStyle w:val="FootnoteReference"/>
        </w:rPr>
        <w:footnoteReference w:id="34"/>
      </w:r>
      <w:r w:rsidRPr="00722C1D">
        <w:t xml:space="preserve"> Children in poverty who are part of families with no recourse to public funds face particular difficulties, and often depend on community support.</w:t>
      </w:r>
      <w:r w:rsidRPr="00722C1D">
        <w:rPr>
          <w:rStyle w:val="FootnoteReference"/>
        </w:rPr>
        <w:footnoteReference w:id="35"/>
      </w:r>
    </w:p>
    <w:p w14:paraId="2C38DF3B" w14:textId="3A928446" w:rsidR="00F35F3B" w:rsidRPr="00722C1D" w:rsidRDefault="00F35F3B" w:rsidP="003E4C7F">
      <w:pPr>
        <w:keepLines w:val="0"/>
        <w:spacing w:after="120"/>
      </w:pPr>
      <w:r w:rsidRPr="00722C1D">
        <w:t xml:space="preserve">Research has found that changes to social security between 2010 and 2018 had a disproportionately negative impact on certain ethnic minorities, disabled people and women in </w:t>
      </w:r>
      <w:r w:rsidR="0029575D">
        <w:t xml:space="preserve">Great </w:t>
      </w:r>
      <w:r w:rsidRPr="00722C1D">
        <w:t>Britain,</w:t>
      </w:r>
      <w:r w:rsidRPr="00722C1D">
        <w:rPr>
          <w:rStyle w:val="FootnoteReference"/>
        </w:rPr>
        <w:footnoteReference w:id="36"/>
      </w:r>
      <w:r w:rsidRPr="00722C1D">
        <w:t xml:space="preserve"> and have exacerbated child poverty.</w:t>
      </w:r>
      <w:r w:rsidRPr="00722C1D">
        <w:rPr>
          <w:rStyle w:val="FootnoteReference"/>
        </w:rPr>
        <w:footnoteReference w:id="37"/>
      </w:r>
      <w:r w:rsidRPr="00722C1D">
        <w:t xml:space="preserve"> T</w:t>
      </w:r>
      <w:r w:rsidRPr="00722C1D">
        <w:rPr>
          <w:rFonts w:cs="Arial"/>
          <w:bCs/>
          <w:szCs w:val="24"/>
        </w:rPr>
        <w:t>he right to social security must be effectively accessible in practice.</w:t>
      </w:r>
      <w:r w:rsidRPr="00722C1D">
        <w:rPr>
          <w:rStyle w:val="FootnoteReference"/>
          <w:rFonts w:cs="Arial"/>
          <w:bCs/>
          <w:szCs w:val="24"/>
        </w:rPr>
        <w:footnoteReference w:id="38"/>
      </w:r>
      <w:r w:rsidRPr="00722C1D">
        <w:rPr>
          <w:rFonts w:cs="Arial"/>
          <w:bCs/>
          <w:szCs w:val="24"/>
        </w:rPr>
        <w:t xml:space="preserve"> We are concerned about failures to make reasonable adjustments for disabled claimants.</w:t>
      </w:r>
      <w:r w:rsidRPr="00722C1D">
        <w:rPr>
          <w:rStyle w:val="FootnoteReference"/>
          <w:rFonts w:cs="Arial"/>
          <w:bCs/>
          <w:szCs w:val="24"/>
        </w:rPr>
        <w:footnoteReference w:id="39"/>
      </w:r>
    </w:p>
    <w:p w14:paraId="057FB2B9" w14:textId="665E003A" w:rsidR="00F35F3B" w:rsidRPr="00722C1D" w:rsidRDefault="00F35F3B" w:rsidP="003E4C7F">
      <w:pPr>
        <w:spacing w:after="120"/>
        <w:rPr>
          <w:rFonts w:ascii="Arial" w:hAnsi="Arial" w:cs="Arial"/>
          <w:color w:val="000000"/>
        </w:rPr>
      </w:pPr>
      <w:r w:rsidRPr="00722C1D">
        <w:lastRenderedPageBreak/>
        <w:t>The UK Government’s Levelling Up programme seeks to tackle geographical inequality.</w:t>
      </w:r>
      <w:r w:rsidRPr="00722C1D">
        <w:rPr>
          <w:rStyle w:val="FootnoteReference"/>
        </w:rPr>
        <w:footnoteReference w:id="40"/>
      </w:r>
      <w:r w:rsidRPr="00722C1D">
        <w:rPr>
          <w:rFonts w:ascii="Arial" w:hAnsi="Arial" w:cs="Arial"/>
          <w:color w:val="000000"/>
        </w:rPr>
        <w:t xml:space="preserve"> However, some sectors that will be the focus of proposed investments, such as construction, green energy and digital industries, have lower levels of employment of women, disabled people and ethnic minorities.</w:t>
      </w:r>
      <w:r w:rsidRPr="00722C1D">
        <w:rPr>
          <w:rStyle w:val="FootnoteReference"/>
          <w:rFonts w:ascii="Arial" w:hAnsi="Arial" w:cs="Arial"/>
          <w:color w:val="000000"/>
        </w:rPr>
        <w:footnoteReference w:id="41"/>
      </w:r>
      <w:r w:rsidR="003E4C7F">
        <w:rPr>
          <w:rFonts w:ascii="Arial" w:hAnsi="Arial" w:cs="Arial"/>
          <w:color w:val="000000"/>
        </w:rPr>
        <w:t xml:space="preserve"> </w:t>
      </w:r>
      <w:r w:rsidRPr="00722C1D">
        <w:rPr>
          <w:rFonts w:ascii="Arial" w:hAnsi="Arial" w:cs="Arial"/>
          <w:color w:val="000000"/>
        </w:rPr>
        <w:t>To ensure that these investments advance equality of opportunity, the UK Government should ensure that training and employment pathways are available for protected characteristic groups and encourage better employment practices in these sectors, including through the availability of flexible working.</w:t>
      </w:r>
    </w:p>
    <w:p w14:paraId="0FA2ACFE" w14:textId="74FC7EC4" w:rsidR="00F35F3B" w:rsidRPr="00722C1D" w:rsidRDefault="00F35F3B" w:rsidP="003E4C7F">
      <w:pPr>
        <w:keepLines w:val="0"/>
        <w:spacing w:after="120"/>
        <w:rPr>
          <w:rFonts w:ascii="Arial" w:hAnsi="Arial" w:cs="Arial"/>
          <w:color w:val="000000"/>
        </w:rPr>
      </w:pPr>
      <w:r w:rsidRPr="00722C1D">
        <w:rPr>
          <w:rFonts w:ascii="Arial" w:hAnsi="Arial" w:cs="Arial"/>
          <w:color w:val="000000"/>
        </w:rPr>
        <w:t>The Welsh Government has taken welcome steps to support people facing hardship, such as through financial support,</w:t>
      </w:r>
      <w:r w:rsidRPr="00722C1D">
        <w:rPr>
          <w:rStyle w:val="FootnoteReference"/>
          <w:rFonts w:ascii="Arial" w:hAnsi="Arial" w:cs="Arial"/>
          <w:color w:val="000000"/>
        </w:rPr>
        <w:footnoteReference w:id="42"/>
      </w:r>
      <w:r w:rsidRPr="00722C1D">
        <w:rPr>
          <w:rFonts w:ascii="Arial" w:hAnsi="Arial" w:cs="Arial"/>
          <w:color w:val="000000"/>
        </w:rPr>
        <w:t xml:space="preserve"> but the causes of poverty are not being addressed comprehensively within their devolved competences. For example, the Welsh Government strategy to eradicate child poverty by 2020 has not been updated.</w:t>
      </w:r>
      <w:r w:rsidRPr="00722C1D">
        <w:rPr>
          <w:rStyle w:val="FootnoteReference"/>
          <w:rFonts w:ascii="Arial" w:hAnsi="Arial" w:cs="Arial"/>
          <w:color w:val="000000"/>
        </w:rPr>
        <w:footnoteReference w:id="43"/>
      </w:r>
    </w:p>
    <w:p w14:paraId="36F41A2A" w14:textId="2F9A7813" w:rsidR="00F35F3B" w:rsidRPr="00722C1D" w:rsidRDefault="00F35F3B" w:rsidP="003F3381">
      <w:pPr>
        <w:pStyle w:val="Heading1"/>
        <w:spacing w:line="276" w:lineRule="auto"/>
      </w:pPr>
      <w:bookmarkStart w:id="9" w:name="_Toc121732386"/>
      <w:r w:rsidRPr="00722C1D">
        <w:lastRenderedPageBreak/>
        <w:t>Housing</w:t>
      </w:r>
      <w:r>
        <w:t xml:space="preserve"> (Article 11)</w:t>
      </w:r>
      <w:bookmarkEnd w:id="9"/>
      <w:r w:rsidRPr="00722C1D">
        <w:t xml:space="preserve"> </w:t>
      </w:r>
    </w:p>
    <w:p w14:paraId="4D9C9E24" w14:textId="36B4DA4C" w:rsidR="00F35F3B" w:rsidRPr="00D4327A" w:rsidRDefault="00F35F3B" w:rsidP="003F3381">
      <w:pPr>
        <w:pStyle w:val="Boxtitle"/>
      </w:pPr>
      <w:r>
        <w:t>See:</w:t>
      </w:r>
      <w:r w:rsidRPr="00D4327A">
        <w:t xml:space="preserve"> </w:t>
      </w:r>
      <w:hyperlink r:id="rId15" w:history="1">
        <w:r w:rsidRPr="00D4327A">
          <w:rPr>
            <w:rStyle w:val="Hyperlink"/>
          </w:rPr>
          <w:t>UNCESCR Concluding Observations</w:t>
        </w:r>
      </w:hyperlink>
      <w:r w:rsidRPr="001011D5">
        <w:rPr>
          <w:rStyle w:val="Hyperlink"/>
          <w:u w:val="none"/>
        </w:rPr>
        <w:t xml:space="preserve"> </w:t>
      </w:r>
      <w:r w:rsidRPr="00D4327A">
        <w:t>para 50</w:t>
      </w:r>
      <w:r>
        <w:t xml:space="preserve">, and </w:t>
      </w:r>
      <w:hyperlink r:id="rId16" w:history="1">
        <w:r w:rsidRPr="001011D5">
          <w:rPr>
            <w:rStyle w:val="Hyperlink"/>
          </w:rPr>
          <w:t>UN Sustainable Development Goal</w:t>
        </w:r>
      </w:hyperlink>
      <w:r w:rsidR="008F5496">
        <w:rPr>
          <w:rStyle w:val="Hyperlink"/>
        </w:rPr>
        <w:t>s</w:t>
      </w:r>
      <w:r w:rsidRPr="00D4327A">
        <w:rPr>
          <w:rStyle w:val="Hyperlink"/>
          <w:u w:val="none"/>
        </w:rPr>
        <w:t xml:space="preserve"> </w:t>
      </w:r>
      <w:r w:rsidR="008F5496">
        <w:rPr>
          <w:rStyle w:val="Hyperlink"/>
          <w:u w:val="none"/>
        </w:rPr>
        <w:t xml:space="preserve">10 and </w:t>
      </w:r>
      <w:r w:rsidRPr="00D4327A">
        <w:rPr>
          <w:rStyle w:val="Hyperlink"/>
          <w:u w:val="none"/>
        </w:rPr>
        <w:t>11</w:t>
      </w:r>
      <w:r w:rsidR="000F77BF">
        <w:rPr>
          <w:rStyle w:val="Hyperlink"/>
          <w:u w:val="none"/>
        </w:rPr>
        <w:t>.</w:t>
      </w:r>
    </w:p>
    <w:p w14:paraId="074813B8" w14:textId="077FD45F" w:rsidR="00F35F3B" w:rsidRPr="00722C1D" w:rsidRDefault="00F35F3B" w:rsidP="003E4C7F">
      <w:pPr>
        <w:keepLines w:val="0"/>
        <w:spacing w:after="120"/>
      </w:pPr>
      <w:r w:rsidRPr="00722C1D">
        <w:t>Between 2016</w:t>
      </w:r>
      <w:r w:rsidR="009A4E71">
        <w:t>–</w:t>
      </w:r>
      <w:r w:rsidRPr="00722C1D">
        <w:t>17 and 2019</w:t>
      </w:r>
      <w:r w:rsidR="009A4E71">
        <w:t>–</w:t>
      </w:r>
      <w:r w:rsidRPr="00722C1D">
        <w:t>20, the percentage of overcrowded homes in England rose year-on-year, from 3% to 3.5%.</w:t>
      </w:r>
      <w:r w:rsidRPr="00722C1D">
        <w:rPr>
          <w:rStyle w:val="FootnoteReference"/>
        </w:rPr>
        <w:footnoteReference w:id="44"/>
      </w:r>
      <w:r w:rsidRPr="00722C1D">
        <w:t xml:space="preserve"> Certain ethnic minorities in England, particularly Pakistani and Bangladeshi people, are more likely </w:t>
      </w:r>
      <w:r w:rsidR="009A4E71" w:rsidRPr="00722C1D">
        <w:t xml:space="preserve">than White British people </w:t>
      </w:r>
      <w:r w:rsidRPr="00722C1D">
        <w:t>to live in the most deprived neighbourhoods and overcrowded households.</w:t>
      </w:r>
      <w:r w:rsidRPr="00722C1D">
        <w:rPr>
          <w:rStyle w:val="FootnoteReference"/>
          <w:rFonts w:cs="Arial"/>
          <w:szCs w:val="24"/>
        </w:rPr>
        <w:footnoteReference w:id="45"/>
      </w:r>
      <w:r w:rsidRPr="00722C1D">
        <w:t xml:space="preserve"> Data on overcrowding in Wales is not regularly published, though the 2011 Census showed that certain ethnic minority groups are more likely to experience overcrowded housing and live in rented propert</w:t>
      </w:r>
      <w:r w:rsidR="00825127">
        <w:t>ies</w:t>
      </w:r>
      <w:r w:rsidRPr="00722C1D">
        <w:t>.</w:t>
      </w:r>
      <w:r w:rsidRPr="00722C1D">
        <w:rPr>
          <w:rStyle w:val="FootnoteReference"/>
        </w:rPr>
        <w:footnoteReference w:id="46"/>
      </w:r>
    </w:p>
    <w:p w14:paraId="5555C0E0" w14:textId="5539F3E1" w:rsidR="006447FE" w:rsidRDefault="00F35F3B" w:rsidP="003E4C7F">
      <w:pPr>
        <w:keepLines w:val="0"/>
        <w:spacing w:after="120"/>
        <w:rPr>
          <w:rFonts w:ascii="Arial" w:hAnsi="Arial" w:cs="Arial"/>
          <w:szCs w:val="24"/>
        </w:rPr>
      </w:pPr>
      <w:r w:rsidRPr="00722C1D">
        <w:rPr>
          <w:rFonts w:ascii="Arial" w:hAnsi="Arial" w:cs="Arial"/>
          <w:szCs w:val="24"/>
        </w:rPr>
        <w:t>The UK Government has committed to address poor housing conditions in the p</w:t>
      </w:r>
      <w:r w:rsidR="00663F61">
        <w:rPr>
          <w:rFonts w:ascii="Arial" w:hAnsi="Arial" w:cs="Arial"/>
          <w:szCs w:val="24"/>
        </w:rPr>
        <w:t>rivate rented sector in England,</w:t>
      </w:r>
      <w:r w:rsidRPr="00722C1D">
        <w:rPr>
          <w:rFonts w:ascii="Arial" w:hAnsi="Arial" w:cs="Arial"/>
          <w:szCs w:val="24"/>
        </w:rPr>
        <w:t xml:space="preserve"> with 23% of homes in that sector not meeting the Decent Homes Standard in 2020.</w:t>
      </w:r>
      <w:r w:rsidRPr="00722C1D">
        <w:rPr>
          <w:rStyle w:val="FootnoteReference"/>
          <w:rFonts w:ascii="Arial" w:hAnsi="Arial" w:cs="Arial"/>
          <w:szCs w:val="24"/>
        </w:rPr>
        <w:footnoteReference w:id="47"/>
      </w:r>
      <w:r w:rsidRPr="00722C1D">
        <w:rPr>
          <w:rFonts w:ascii="Arial" w:hAnsi="Arial" w:cs="Arial"/>
          <w:szCs w:val="24"/>
        </w:rPr>
        <w:t xml:space="preserve"> Additionally, though most social housing in England meets an adequate standard, 11% did not meet the Decent Homes Standard in 2020,</w:t>
      </w:r>
      <w:r w:rsidRPr="00722C1D">
        <w:rPr>
          <w:rStyle w:val="FootnoteReference"/>
          <w:rFonts w:ascii="Arial" w:hAnsi="Arial" w:cs="Arial"/>
          <w:szCs w:val="24"/>
        </w:rPr>
        <w:footnoteReference w:id="48"/>
      </w:r>
      <w:r w:rsidRPr="00722C1D">
        <w:rPr>
          <w:rFonts w:ascii="Arial" w:hAnsi="Arial" w:cs="Arial"/>
          <w:szCs w:val="24"/>
        </w:rPr>
        <w:t xml:space="preserve"> with some ‘unfit for human habitation’.</w:t>
      </w:r>
      <w:r w:rsidRPr="00722C1D">
        <w:rPr>
          <w:rStyle w:val="FootnoteReference"/>
          <w:rFonts w:ascii="Arial" w:hAnsi="Arial" w:cs="Arial"/>
          <w:szCs w:val="24"/>
        </w:rPr>
        <w:footnoteReference w:id="49"/>
      </w:r>
      <w:r w:rsidRPr="00722C1D">
        <w:rPr>
          <w:rFonts w:ascii="Arial" w:hAnsi="Arial" w:cs="Arial"/>
          <w:szCs w:val="24"/>
        </w:rPr>
        <w:t xml:space="preserve"> </w:t>
      </w:r>
    </w:p>
    <w:p w14:paraId="3A152379" w14:textId="175C91E5" w:rsidR="00F35F3B" w:rsidRPr="00722C1D" w:rsidRDefault="00F35F3B" w:rsidP="003E4C7F">
      <w:pPr>
        <w:keepLines w:val="0"/>
        <w:spacing w:after="120"/>
        <w:rPr>
          <w:rFonts w:ascii="Arial" w:hAnsi="Arial" w:cs="Arial"/>
          <w:szCs w:val="24"/>
        </w:rPr>
      </w:pPr>
      <w:r w:rsidRPr="00722C1D">
        <w:rPr>
          <w:rFonts w:ascii="Arial" w:hAnsi="Arial" w:cs="Arial"/>
          <w:szCs w:val="24"/>
        </w:rPr>
        <w:lastRenderedPageBreak/>
        <w:t>In 2017, a fire in a 24-storey residential building led to the loss of 72 lives, mostly people from ethnic minorities.</w:t>
      </w:r>
      <w:r w:rsidRPr="00722C1D">
        <w:rPr>
          <w:rStyle w:val="FootnoteReference"/>
          <w:rFonts w:ascii="Arial" w:hAnsi="Arial" w:cs="Arial"/>
          <w:szCs w:val="24"/>
        </w:rPr>
        <w:footnoteReference w:id="50"/>
      </w:r>
      <w:r w:rsidRPr="00722C1D">
        <w:rPr>
          <w:rFonts w:ascii="Arial" w:hAnsi="Arial" w:cs="Arial"/>
          <w:szCs w:val="24"/>
        </w:rPr>
        <w:t xml:space="preserve"> Evidence suggests that the UK Government knew, or ought to have known, of the real and immediate risk to life posed by the cladding on the building and failed to take reasonable steps to avoid it.</w:t>
      </w:r>
      <w:r w:rsidRPr="00722C1D">
        <w:rPr>
          <w:rStyle w:val="FootnoteReference"/>
          <w:rFonts w:ascii="Arial" w:hAnsi="Arial" w:cs="Arial"/>
          <w:szCs w:val="24"/>
        </w:rPr>
        <w:footnoteReference w:id="51"/>
      </w:r>
      <w:r w:rsidRPr="00722C1D">
        <w:rPr>
          <w:rFonts w:ascii="Arial" w:hAnsi="Arial" w:cs="Arial"/>
          <w:szCs w:val="24"/>
        </w:rPr>
        <w:t xml:space="preserve"> The UK Government has now taken some steps to address risks, though a public inquiry into the circumstances of the fire is still ongoing.</w:t>
      </w:r>
      <w:r w:rsidRPr="00722C1D">
        <w:rPr>
          <w:rStyle w:val="FootnoteReference"/>
          <w:rFonts w:ascii="Arial" w:hAnsi="Arial" w:cs="Arial"/>
          <w:szCs w:val="24"/>
        </w:rPr>
        <w:footnoteReference w:id="52"/>
      </w:r>
    </w:p>
    <w:p w14:paraId="59A77FE6" w14:textId="05ED3E0D" w:rsidR="00F35F3B" w:rsidRPr="00722C1D" w:rsidRDefault="00F35F3B" w:rsidP="003E4C7F">
      <w:pPr>
        <w:keepLines w:val="0"/>
        <w:spacing w:after="120"/>
        <w:rPr>
          <w:rFonts w:cs="Arial"/>
          <w:bCs/>
          <w:szCs w:val="24"/>
        </w:rPr>
      </w:pPr>
      <w:r w:rsidRPr="00722C1D">
        <w:rPr>
          <w:rFonts w:ascii="Arial" w:hAnsi="Arial" w:cs="Arial"/>
          <w:szCs w:val="24"/>
        </w:rPr>
        <w:t>Accommodation for people seeking asylum is often of a poor standard and unsuitable for particular groups, such as women with young children.</w:t>
      </w:r>
      <w:r w:rsidRPr="00722C1D">
        <w:rPr>
          <w:rStyle w:val="FootnoteReference"/>
          <w:rFonts w:ascii="Arial" w:hAnsi="Arial" w:cs="Arial"/>
          <w:szCs w:val="24"/>
        </w:rPr>
        <w:footnoteReference w:id="53"/>
      </w:r>
      <w:r w:rsidRPr="00722C1D">
        <w:rPr>
          <w:rFonts w:ascii="Arial" w:hAnsi="Arial" w:cs="Arial"/>
          <w:szCs w:val="24"/>
        </w:rPr>
        <w:t xml:space="preserve"> This includes the Manston migrant centre in Kent which has processed many people seeking asylum who</w:t>
      </w:r>
      <w:r w:rsidR="004C1BEA">
        <w:rPr>
          <w:rFonts w:ascii="Arial" w:hAnsi="Arial" w:cs="Arial"/>
          <w:szCs w:val="24"/>
        </w:rPr>
        <w:t xml:space="preserve"> have</w:t>
      </w:r>
      <w:r w:rsidRPr="00722C1D">
        <w:rPr>
          <w:rFonts w:ascii="Arial" w:hAnsi="Arial" w:cs="Arial"/>
          <w:szCs w:val="24"/>
        </w:rPr>
        <w:t xml:space="preserve"> crossed the English Channel.</w:t>
      </w:r>
      <w:r w:rsidRPr="00722C1D">
        <w:rPr>
          <w:rStyle w:val="FootnoteReference"/>
          <w:rFonts w:ascii="Arial" w:hAnsi="Arial" w:cs="Arial"/>
          <w:szCs w:val="24"/>
        </w:rPr>
        <w:footnoteReference w:id="54"/>
      </w:r>
      <w:r w:rsidRPr="00722C1D">
        <w:rPr>
          <w:rFonts w:ascii="Arial" w:hAnsi="Arial" w:cs="Arial"/>
          <w:szCs w:val="24"/>
        </w:rPr>
        <w:t xml:space="preserve"> During the pandemic, there have been concerns about the safety of accommodation for people seeking asylum, including military barracks that were found to be impoverished environments.</w:t>
      </w:r>
      <w:r w:rsidRPr="00722C1D">
        <w:rPr>
          <w:rStyle w:val="FootnoteReference"/>
          <w:rFonts w:ascii="Arial" w:hAnsi="Arial" w:cs="Arial"/>
          <w:szCs w:val="24"/>
        </w:rPr>
        <w:footnoteReference w:id="55"/>
      </w:r>
      <w:r w:rsidRPr="00722C1D">
        <w:rPr>
          <w:rFonts w:ascii="Arial" w:hAnsi="Arial" w:cs="Arial"/>
          <w:szCs w:val="24"/>
        </w:rPr>
        <w:t xml:space="preserve"> Between January 2020 and August 2021, 69 people died in Home Office asylum accommodation, an increase from four deaths in 2019 and six in 2018.</w:t>
      </w:r>
      <w:r w:rsidRPr="00722C1D">
        <w:rPr>
          <w:rStyle w:val="FootnoteReference"/>
          <w:rFonts w:ascii="Arial" w:hAnsi="Arial" w:cs="Arial"/>
          <w:szCs w:val="24"/>
        </w:rPr>
        <w:footnoteReference w:id="56"/>
      </w:r>
    </w:p>
    <w:p w14:paraId="31192D0F" w14:textId="77777777" w:rsidR="00EA2384" w:rsidRDefault="00F35F3B" w:rsidP="003F3381">
      <w:pPr>
        <w:keepLines w:val="0"/>
      </w:pPr>
      <w:r w:rsidRPr="00722C1D">
        <w:lastRenderedPageBreak/>
        <w:t>There remains a severe shortage of Gypsy and Traveller sites, due in part to changes to planning policy in England.</w:t>
      </w:r>
      <w:r w:rsidRPr="00722C1D">
        <w:rPr>
          <w:rStyle w:val="FootnoteReference"/>
        </w:rPr>
        <w:footnoteReference w:id="57"/>
      </w:r>
      <w:r w:rsidRPr="00722C1D">
        <w:t xml:space="preserve"> The UK Government launched a Trav</w:t>
      </w:r>
      <w:r w:rsidR="008162C0">
        <w:t>eller Site Fund for 2022–</w:t>
      </w:r>
      <w:r w:rsidRPr="00722C1D">
        <w:t>23, though it uses the limited definition of ‘Gypsies and Travellers’ from the revised planning policy</w:t>
      </w:r>
      <w:r w:rsidR="006447FE">
        <w:t xml:space="preserve"> that</w:t>
      </w:r>
      <w:r w:rsidRPr="00722C1D">
        <w:t xml:space="preserve"> applies to fewer people from those groups.</w:t>
      </w:r>
      <w:r w:rsidRPr="00722C1D">
        <w:rPr>
          <w:rStyle w:val="FootnoteReference"/>
        </w:rPr>
        <w:footnoteReference w:id="58"/>
      </w:r>
      <w:r w:rsidRPr="00722C1D">
        <w:t xml:space="preserve"> The relevant Welsh Government plan has not sufficiently increased the number of pitches to meet demand.</w:t>
      </w:r>
      <w:r w:rsidRPr="00722C1D">
        <w:rPr>
          <w:rStyle w:val="FootnoteReference"/>
          <w:rFonts w:cs="Arial"/>
          <w:szCs w:val="24"/>
        </w:rPr>
        <w:footnoteReference w:id="59"/>
      </w:r>
      <w:r w:rsidRPr="00722C1D">
        <w:t xml:space="preserve"> </w:t>
      </w:r>
    </w:p>
    <w:p w14:paraId="17D6863A" w14:textId="25C9283B" w:rsidR="00F35F3B" w:rsidRPr="00722C1D" w:rsidRDefault="00F35F3B" w:rsidP="003F3381">
      <w:pPr>
        <w:keepLines w:val="0"/>
      </w:pPr>
      <w:r w:rsidRPr="00722C1D">
        <w:t>In 2022, UK Government legislation strengthened police powers to tackle unauthorised encampments and criminalise trespass.</w:t>
      </w:r>
      <w:r w:rsidRPr="00722C1D">
        <w:rPr>
          <w:rStyle w:val="FootnoteReference"/>
          <w:rFonts w:cs="Arial"/>
          <w:szCs w:val="24"/>
        </w:rPr>
        <w:footnoteReference w:id="60"/>
      </w:r>
      <w:r w:rsidRPr="00722C1D">
        <w:t xml:space="preserve"> We are concerned that these measures do not address the shortage of authorised sites and may constitute a disproportionate interference with the right to housing.</w:t>
      </w:r>
    </w:p>
    <w:p w14:paraId="1BE82A27" w14:textId="03180304" w:rsidR="00F35F3B" w:rsidRPr="00722C1D" w:rsidRDefault="00F35F3B" w:rsidP="003F3381">
      <w:pPr>
        <w:pStyle w:val="Heading1"/>
        <w:spacing w:line="276" w:lineRule="auto"/>
      </w:pPr>
      <w:bookmarkStart w:id="10" w:name="_Toc121732387"/>
      <w:r w:rsidRPr="00722C1D">
        <w:lastRenderedPageBreak/>
        <w:t>Social care</w:t>
      </w:r>
      <w:r>
        <w:t xml:space="preserve"> (Articles 11 and 12)</w:t>
      </w:r>
      <w:bookmarkEnd w:id="10"/>
    </w:p>
    <w:p w14:paraId="34A5CDCB" w14:textId="62C5326E" w:rsidR="00F35F3B" w:rsidRPr="00D4327A" w:rsidRDefault="00F35F3B" w:rsidP="003F3381">
      <w:pPr>
        <w:pStyle w:val="Boxtitle"/>
      </w:pPr>
      <w:r>
        <w:t>See:</w:t>
      </w:r>
      <w:r w:rsidRPr="00D4327A">
        <w:t xml:space="preserve"> </w:t>
      </w:r>
      <w:hyperlink r:id="rId17" w:history="1">
        <w:r w:rsidRPr="00D4327A">
          <w:rPr>
            <w:rStyle w:val="Hyperlink"/>
          </w:rPr>
          <w:t>UNCESCR Concluding Observations</w:t>
        </w:r>
      </w:hyperlink>
      <w:r w:rsidRPr="001011D5">
        <w:rPr>
          <w:rStyle w:val="Hyperlink"/>
          <w:u w:val="none"/>
        </w:rPr>
        <w:t xml:space="preserve"> </w:t>
      </w:r>
      <w:r w:rsidRPr="00D4327A">
        <w:t>para 60</w:t>
      </w:r>
      <w:r>
        <w:t xml:space="preserve">, and </w:t>
      </w:r>
      <w:hyperlink r:id="rId18" w:history="1">
        <w:r w:rsidRPr="001011D5">
          <w:rPr>
            <w:rStyle w:val="Hyperlink"/>
          </w:rPr>
          <w:t>UN Sustainable Development Goal</w:t>
        </w:r>
      </w:hyperlink>
      <w:r>
        <w:rPr>
          <w:rStyle w:val="Hyperlink"/>
        </w:rPr>
        <w:t>s</w:t>
      </w:r>
      <w:r w:rsidRPr="00D4327A">
        <w:rPr>
          <w:rStyle w:val="Hyperlink"/>
          <w:u w:val="none"/>
        </w:rPr>
        <w:t xml:space="preserve"> 3</w:t>
      </w:r>
      <w:r w:rsidR="008F5496">
        <w:rPr>
          <w:rStyle w:val="Hyperlink"/>
          <w:u w:val="none"/>
        </w:rPr>
        <w:t>, 10</w:t>
      </w:r>
      <w:r>
        <w:rPr>
          <w:rStyle w:val="Hyperlink"/>
          <w:u w:val="none"/>
        </w:rPr>
        <w:t xml:space="preserve"> and 16</w:t>
      </w:r>
      <w:r w:rsidR="000F77BF">
        <w:rPr>
          <w:rStyle w:val="Hyperlink"/>
          <w:u w:val="none"/>
        </w:rPr>
        <w:t>.</w:t>
      </w:r>
    </w:p>
    <w:p w14:paraId="1ADDBC55" w14:textId="32FD6B04" w:rsidR="00F35F3B" w:rsidRPr="00722C1D" w:rsidRDefault="00F35F3B" w:rsidP="003F3381">
      <w:pPr>
        <w:rPr>
          <w:rFonts w:ascii="Times New Roman" w:hAnsi="Times New Roman"/>
          <w:szCs w:val="24"/>
          <w:lang w:eastAsia="en-GB"/>
        </w:rPr>
      </w:pPr>
      <w:r w:rsidRPr="00722C1D">
        <w:t>Before the COVID-19 pandemic, adult social care was already under pressure in England and Wales due to rising demand relating to demographic changes and financial constraints.</w:t>
      </w:r>
      <w:r w:rsidRPr="00722C1D">
        <w:rPr>
          <w:rStyle w:val="FootnoteReference"/>
        </w:rPr>
        <w:footnoteReference w:id="61"/>
      </w:r>
      <w:r w:rsidRPr="00722C1D">
        <w:rPr>
          <w:rFonts w:ascii="Arial" w:eastAsia="Times New Roman" w:hAnsi="Arial" w:cs="Arial"/>
          <w:szCs w:val="24"/>
          <w:lang w:eastAsia="en-GB"/>
        </w:rPr>
        <w:t xml:space="preserve"> </w:t>
      </w:r>
      <w:r w:rsidRPr="00722C1D">
        <w:rPr>
          <w:rFonts w:ascii="Helvetica" w:eastAsia="Times New Roman" w:hAnsi="Helvetica" w:cs="Arial"/>
          <w:szCs w:val="24"/>
          <w:lang w:eastAsia="en-GB"/>
        </w:rPr>
        <w:t>The pandemic led to additional concerns regarding human rights breaches in social care settings</w:t>
      </w:r>
      <w:r w:rsidRPr="00722C1D">
        <w:rPr>
          <w:lang w:eastAsia="en-GB"/>
        </w:rPr>
        <w:t>.</w:t>
      </w:r>
      <w:r w:rsidRPr="00722C1D">
        <w:t xml:space="preserve"> Routine healthcare services were withdrawn from care homes as a result of the reprioritisation of healthcare resources</w:t>
      </w:r>
      <w:r w:rsidR="00EA2384">
        <w:t>,</w:t>
      </w:r>
      <w:r w:rsidRPr="00722C1D">
        <w:rPr>
          <w:rStyle w:val="FootnoteReference"/>
          <w:rFonts w:eastAsia="Times New Roman" w:cs="Arial"/>
          <w:szCs w:val="24"/>
          <w:lang w:eastAsia="en-GB"/>
        </w:rPr>
        <w:footnoteReference w:id="62"/>
      </w:r>
      <w:r w:rsidRPr="00722C1D">
        <w:rPr>
          <w:rFonts w:eastAsia="Times New Roman" w:cs="Arial"/>
          <w:szCs w:val="24"/>
          <w:lang w:eastAsia="en-GB"/>
        </w:rPr>
        <w:t xml:space="preserve"> </w:t>
      </w:r>
      <w:r w:rsidRPr="00722C1D">
        <w:rPr>
          <w:rFonts w:ascii="Helvetica" w:eastAsia="Times New Roman" w:hAnsi="Helvetica" w:cs="Arial"/>
          <w:szCs w:val="24"/>
          <w:lang w:eastAsia="en-GB"/>
        </w:rPr>
        <w:t>potentially contributing to ‘excess’ deaths.</w:t>
      </w:r>
      <w:r w:rsidRPr="00722C1D">
        <w:rPr>
          <w:rStyle w:val="FootnoteReference"/>
          <w:rFonts w:ascii="Helvetica" w:eastAsia="Times New Roman" w:hAnsi="Helvetica" w:cs="Arial"/>
          <w:szCs w:val="24"/>
          <w:lang w:eastAsia="en-GB"/>
        </w:rPr>
        <w:footnoteReference w:id="63"/>
      </w:r>
      <w:r w:rsidRPr="00722C1D">
        <w:rPr>
          <w:rFonts w:ascii="Helvetica" w:eastAsia="Times New Roman" w:hAnsi="Helvetica" w:cs="Arial"/>
          <w:szCs w:val="24"/>
          <w:lang w:eastAsia="en-GB"/>
        </w:rPr>
        <w:t xml:space="preserve"> Visits were restricted, and reports suggest that ‘do not resuscitate’ notices were applied to people’s care plans without consultation.</w:t>
      </w:r>
      <w:r w:rsidRPr="00722C1D">
        <w:rPr>
          <w:rStyle w:val="FootnoteReference"/>
          <w:rFonts w:ascii="Helvetica" w:eastAsia="Times New Roman" w:hAnsi="Helvetica" w:cs="Arial"/>
          <w:szCs w:val="24"/>
          <w:lang w:eastAsia="en-GB"/>
        </w:rPr>
        <w:footnoteReference w:id="64"/>
      </w:r>
      <w:r w:rsidRPr="00722C1D">
        <w:rPr>
          <w:rFonts w:ascii="Times New Roman" w:hAnsi="Times New Roman"/>
          <w:szCs w:val="24"/>
          <w:lang w:eastAsia="en-GB"/>
        </w:rPr>
        <w:t xml:space="preserve"> </w:t>
      </w:r>
    </w:p>
    <w:p w14:paraId="66234177" w14:textId="77777777" w:rsidR="008162C0" w:rsidRDefault="00F35F3B" w:rsidP="003E4C7F">
      <w:pPr>
        <w:spacing w:after="120"/>
      </w:pPr>
      <w:r w:rsidRPr="00722C1D">
        <w:lastRenderedPageBreak/>
        <w:t>We are concerned about the ‘closed culture’ of residential environments,</w:t>
      </w:r>
      <w:r w:rsidRPr="00722C1D">
        <w:rPr>
          <w:rStyle w:val="FootnoteReference"/>
        </w:rPr>
        <w:footnoteReference w:id="65"/>
      </w:r>
      <w:r w:rsidRPr="00722C1D">
        <w:t xml:space="preserve"> particularly the inappropriate detention of people with learning disabilities </w:t>
      </w:r>
      <w:r w:rsidR="00076BE2">
        <w:t>and</w:t>
      </w:r>
      <w:r w:rsidR="007B4BE1">
        <w:t xml:space="preserve"> </w:t>
      </w:r>
      <w:r w:rsidR="00076BE2">
        <w:t>/</w:t>
      </w:r>
      <w:r w:rsidR="007B4BE1">
        <w:t xml:space="preserve"> </w:t>
      </w:r>
      <w:r w:rsidRPr="00722C1D">
        <w:t>or autism. Too many are in institutions for long periods with little therapeutic benefit, often due to a lack of community services, and there have been indications of potential breaches of human rights.</w:t>
      </w:r>
      <w:r w:rsidRPr="00722C1D">
        <w:rPr>
          <w:vertAlign w:val="superscript"/>
        </w:rPr>
        <w:footnoteReference w:id="66"/>
      </w:r>
      <w:r w:rsidRPr="00722C1D">
        <w:t xml:space="preserve"> </w:t>
      </w:r>
    </w:p>
    <w:p w14:paraId="4D76C7A6" w14:textId="06262C6A" w:rsidR="00F35F3B" w:rsidRPr="00722C1D" w:rsidRDefault="00F35F3B" w:rsidP="008162C0">
      <w:pPr>
        <w:spacing w:after="120"/>
        <w:rPr>
          <w:rFonts w:ascii="Arial" w:hAnsi="Arial" w:cs="Arial"/>
        </w:rPr>
      </w:pPr>
      <w:r w:rsidRPr="00722C1D">
        <w:rPr>
          <w:rFonts w:ascii="Arial" w:hAnsi="Arial" w:cs="Arial"/>
        </w:rPr>
        <w:t xml:space="preserve">A review in 2020 found that 71% of people with a learning disability </w:t>
      </w:r>
      <w:r w:rsidR="00076BE2">
        <w:rPr>
          <w:rFonts w:ascii="Arial" w:hAnsi="Arial" w:cs="Arial"/>
        </w:rPr>
        <w:t>and</w:t>
      </w:r>
      <w:r w:rsidR="007B4BE1">
        <w:rPr>
          <w:rFonts w:ascii="Arial" w:hAnsi="Arial" w:cs="Arial"/>
        </w:rPr>
        <w:t xml:space="preserve"> </w:t>
      </w:r>
      <w:r w:rsidR="00076BE2">
        <w:rPr>
          <w:rFonts w:ascii="Arial" w:hAnsi="Arial" w:cs="Arial"/>
        </w:rPr>
        <w:t>/</w:t>
      </w:r>
      <w:r w:rsidR="007B4BE1">
        <w:rPr>
          <w:rFonts w:ascii="Arial" w:hAnsi="Arial" w:cs="Arial"/>
        </w:rPr>
        <w:t xml:space="preserve"> </w:t>
      </w:r>
      <w:r w:rsidRPr="00722C1D">
        <w:rPr>
          <w:rFonts w:ascii="Arial" w:hAnsi="Arial" w:cs="Arial"/>
        </w:rPr>
        <w:t>or autism</w:t>
      </w:r>
      <w:r w:rsidR="00C23DF2">
        <w:rPr>
          <w:rFonts w:ascii="Arial" w:hAnsi="Arial" w:cs="Arial"/>
        </w:rPr>
        <w:t>,</w:t>
      </w:r>
      <w:r w:rsidRPr="00722C1D">
        <w:rPr>
          <w:rFonts w:ascii="Arial" w:hAnsi="Arial" w:cs="Arial"/>
        </w:rPr>
        <w:t xml:space="preserve"> whose care they examined</w:t>
      </w:r>
      <w:r w:rsidR="00C23DF2">
        <w:rPr>
          <w:rFonts w:ascii="Arial" w:hAnsi="Arial" w:cs="Arial"/>
        </w:rPr>
        <w:t>,</w:t>
      </w:r>
      <w:r w:rsidRPr="00722C1D">
        <w:rPr>
          <w:rFonts w:ascii="Arial" w:hAnsi="Arial" w:cs="Arial"/>
        </w:rPr>
        <w:t xml:space="preserve"> had been segregated or secluded for three months or longer, with some who had been in hospital for more than 25 years.</w:t>
      </w:r>
      <w:r w:rsidRPr="00722C1D">
        <w:rPr>
          <w:rFonts w:ascii="Arial" w:hAnsi="Arial" w:cs="Arial"/>
          <w:vertAlign w:val="superscript"/>
        </w:rPr>
        <w:footnoteReference w:id="67"/>
      </w:r>
      <w:r w:rsidRPr="00722C1D">
        <w:rPr>
          <w:rFonts w:ascii="Arial" w:hAnsi="Arial" w:cs="Arial"/>
        </w:rPr>
        <w:t xml:space="preserve"> They also found </w:t>
      </w:r>
      <w:r w:rsidR="007F1DBC">
        <w:rPr>
          <w:rFonts w:ascii="Arial" w:hAnsi="Arial" w:cs="Arial"/>
        </w:rPr>
        <w:t>many examples of care that was ‘</w:t>
      </w:r>
      <w:r w:rsidRPr="00722C1D">
        <w:rPr>
          <w:rFonts w:ascii="Arial" w:hAnsi="Arial" w:cs="Arial"/>
        </w:rPr>
        <w:t>undignified, inhumane and that potentially breached people’</w:t>
      </w:r>
      <w:r w:rsidR="007F1DBC">
        <w:rPr>
          <w:rFonts w:ascii="Arial" w:hAnsi="Arial" w:cs="Arial"/>
        </w:rPr>
        <w:t>s basic human rights’</w:t>
      </w:r>
      <w:r w:rsidRPr="00722C1D">
        <w:rPr>
          <w:rFonts w:ascii="Arial" w:hAnsi="Arial" w:cs="Arial"/>
        </w:rPr>
        <w:t>.</w:t>
      </w:r>
      <w:r w:rsidRPr="00722C1D">
        <w:rPr>
          <w:rFonts w:ascii="Arial" w:hAnsi="Arial" w:cs="Arial"/>
          <w:vertAlign w:val="superscript"/>
        </w:rPr>
        <w:footnoteReference w:id="68"/>
      </w:r>
      <w:r w:rsidRPr="00722C1D">
        <w:rPr>
          <w:rFonts w:ascii="Arial" w:hAnsi="Arial" w:cs="Arial"/>
        </w:rPr>
        <w:t xml:space="preserve"> There have been recent allegations of serious abuse, including physical and verbal mistreatment of patients by staff, at Edenfield Centre </w:t>
      </w:r>
      <w:r w:rsidR="008162C0">
        <w:rPr>
          <w:rFonts w:ascii="Arial" w:hAnsi="Arial" w:cs="Arial"/>
        </w:rPr>
        <w:t>m</w:t>
      </w:r>
      <w:r w:rsidRPr="00722C1D">
        <w:rPr>
          <w:rFonts w:ascii="Arial" w:hAnsi="Arial" w:cs="Arial"/>
        </w:rPr>
        <w:t xml:space="preserve">ental </w:t>
      </w:r>
      <w:r w:rsidR="008162C0">
        <w:rPr>
          <w:rFonts w:ascii="Arial" w:hAnsi="Arial" w:cs="Arial"/>
        </w:rPr>
        <w:t>h</w:t>
      </w:r>
      <w:r w:rsidRPr="00722C1D">
        <w:rPr>
          <w:rFonts w:ascii="Arial" w:hAnsi="Arial" w:cs="Arial"/>
        </w:rPr>
        <w:t xml:space="preserve">ealth </w:t>
      </w:r>
      <w:r w:rsidR="008162C0">
        <w:rPr>
          <w:rFonts w:ascii="Arial" w:hAnsi="Arial" w:cs="Arial"/>
        </w:rPr>
        <w:t>u</w:t>
      </w:r>
      <w:r w:rsidRPr="00722C1D">
        <w:rPr>
          <w:rFonts w:ascii="Arial" w:hAnsi="Arial" w:cs="Arial"/>
        </w:rPr>
        <w:t>nit.</w:t>
      </w:r>
      <w:r w:rsidRPr="00722C1D">
        <w:rPr>
          <w:rStyle w:val="FootnoteReference"/>
          <w:rFonts w:ascii="Arial" w:hAnsi="Arial" w:cs="Arial"/>
        </w:rPr>
        <w:footnoteReference w:id="69"/>
      </w:r>
    </w:p>
    <w:p w14:paraId="63EB67CF" w14:textId="77777777" w:rsidR="00405DFC" w:rsidRDefault="00F35F3B" w:rsidP="003E4C7F">
      <w:pPr>
        <w:keepLines w:val="0"/>
        <w:spacing w:after="120"/>
      </w:pPr>
      <w:r w:rsidRPr="00722C1D">
        <w:t>The UK Government’s relevant action plan states that some progress has been made in England,</w:t>
      </w:r>
      <w:r w:rsidRPr="00722C1D">
        <w:rPr>
          <w:rStyle w:val="FootnoteReference"/>
        </w:rPr>
        <w:footnoteReference w:id="70"/>
      </w:r>
      <w:r w:rsidRPr="00722C1D">
        <w:t xml:space="preserve"> but we are concerned that the plan will not be effective and that timescales for delivery are not urgent enough to achieve significant reductions in the number of people inappropriately detained.</w:t>
      </w:r>
      <w:r w:rsidRPr="00722C1D" w:rsidDel="00EC65FB">
        <w:rPr>
          <w:rStyle w:val="FootnoteReference"/>
        </w:rPr>
        <w:t xml:space="preserve"> </w:t>
      </w:r>
    </w:p>
    <w:p w14:paraId="3D0F59F1" w14:textId="45AFCA19" w:rsidR="00F35F3B" w:rsidRPr="00722C1D" w:rsidRDefault="00F35F3B" w:rsidP="003E4C7F">
      <w:pPr>
        <w:spacing w:after="120"/>
        <w:rPr>
          <w:rFonts w:cs="Arial"/>
          <w:bCs/>
          <w:szCs w:val="24"/>
        </w:rPr>
      </w:pPr>
      <w:r w:rsidRPr="00722C1D">
        <w:t>The Welsh Government’s Learning Disability Strategic Action Plan 2022 to 2026 includes actions on social care, including to increase community-based early intervention to reduce hospitalisations</w:t>
      </w:r>
      <w:r w:rsidR="00FB40BF">
        <w:t>. I</w:t>
      </w:r>
      <w:r w:rsidRPr="00722C1D">
        <w:t>t is too early to assess</w:t>
      </w:r>
      <w:r w:rsidR="00405DFC">
        <w:t xml:space="preserve"> </w:t>
      </w:r>
      <w:r w:rsidR="00FB40BF">
        <w:t>the plan’s</w:t>
      </w:r>
      <w:r w:rsidRPr="00722C1D">
        <w:t xml:space="preserve"> impact</w:t>
      </w:r>
      <w:r w:rsidR="00FB40BF">
        <w:t xml:space="preserve"> on social care in Wales</w:t>
      </w:r>
      <w:r w:rsidRPr="00722C1D">
        <w:t>.</w:t>
      </w:r>
      <w:r w:rsidRPr="00722C1D">
        <w:rPr>
          <w:rStyle w:val="FootnoteReference"/>
        </w:rPr>
        <w:footnoteReference w:id="71"/>
      </w:r>
    </w:p>
    <w:p w14:paraId="00D9DF39" w14:textId="6EA3EEAE" w:rsidR="00405DFC" w:rsidRDefault="00F35F3B" w:rsidP="003E4C7F">
      <w:pPr>
        <w:spacing w:after="120"/>
      </w:pPr>
      <w:r w:rsidRPr="00722C1D">
        <w:lastRenderedPageBreak/>
        <w:t>We welcome the UK Government’s commitment to reform social care in England</w:t>
      </w:r>
      <w:r w:rsidR="00405DFC">
        <w:t>.</w:t>
      </w:r>
      <w:r w:rsidRPr="00722C1D">
        <w:rPr>
          <w:rStyle w:val="FootnoteReference"/>
        </w:rPr>
        <w:footnoteReference w:id="72"/>
      </w:r>
      <w:r w:rsidRPr="00722C1D">
        <w:t xml:space="preserve"> This must include the needs of unpaid carers and the issues facing the paid workforce</w:t>
      </w:r>
      <w:r w:rsidR="00405DFC">
        <w:t>,</w:t>
      </w:r>
      <w:r w:rsidRPr="00722C1D">
        <w:rPr>
          <w:rStyle w:val="FootnoteReference"/>
          <w:shd w:val="clear" w:color="auto" w:fill="FFFFFF"/>
        </w:rPr>
        <w:footnoteReference w:id="73"/>
      </w:r>
      <w:r w:rsidRPr="00722C1D">
        <w:rPr>
          <w:shd w:val="clear" w:color="auto" w:fill="FFFFFF"/>
        </w:rPr>
        <w:t xml:space="preserve"> and follow the principles in our response to the UK Government’s proposals for health and care integration.</w:t>
      </w:r>
      <w:r w:rsidRPr="00722C1D">
        <w:rPr>
          <w:rStyle w:val="FootnoteReference"/>
        </w:rPr>
        <w:footnoteReference w:id="74"/>
      </w:r>
    </w:p>
    <w:p w14:paraId="21B1A1AD" w14:textId="55E8FE4A" w:rsidR="00F35F3B" w:rsidRPr="00722C1D" w:rsidRDefault="00F35F3B" w:rsidP="003E4C7F">
      <w:pPr>
        <w:spacing w:after="120"/>
      </w:pPr>
      <w:r w:rsidRPr="00722C1D">
        <w:t>There have been welcome commitments to reform the social care policy framework in Wales, including to strengthen the integration of health and social care,</w:t>
      </w:r>
      <w:r w:rsidRPr="00722C1D">
        <w:rPr>
          <w:rStyle w:val="FootnoteReference"/>
        </w:rPr>
        <w:footnoteReference w:id="75"/>
      </w:r>
      <w:r w:rsidRPr="00722C1D">
        <w:t xml:space="preserve"> though the Welsh Government should also ensure that the social care workforce is given sufficient support.</w:t>
      </w:r>
      <w:r w:rsidRPr="00722C1D">
        <w:rPr>
          <w:rStyle w:val="FootnoteReference"/>
        </w:rPr>
        <w:footnoteReference w:id="76"/>
      </w:r>
    </w:p>
    <w:p w14:paraId="3C002F8B" w14:textId="582A1B3C" w:rsidR="00F35F3B" w:rsidRPr="00722C1D" w:rsidRDefault="00F35F3B" w:rsidP="003E4C7F">
      <w:pPr>
        <w:keepLines w:val="0"/>
        <w:spacing w:before="360"/>
        <w:rPr>
          <w:rFonts w:ascii="Times New Roman" w:hAnsi="Times New Roman"/>
          <w:szCs w:val="24"/>
          <w:lang w:eastAsia="en-GB"/>
        </w:rPr>
      </w:pPr>
      <w:r w:rsidRPr="00722C1D">
        <w:t>In line with the right to independent living in the Convention on the Rights of Persons with Disabilities, individuals should have choice and control over what care they receive and how it is provided.</w:t>
      </w:r>
      <w:r w:rsidRPr="00722C1D">
        <w:rPr>
          <w:rStyle w:val="FootnoteReference"/>
        </w:rPr>
        <w:footnoteReference w:id="77"/>
      </w:r>
      <w:r w:rsidRPr="00722C1D">
        <w:t xml:space="preserve"> However, the right to independent living has not been fully incorporated into domestic law, meaning that disabled people have no redress in the UK courts if it is breached.</w:t>
      </w:r>
    </w:p>
    <w:p w14:paraId="73562032" w14:textId="77777777" w:rsidR="002D221E" w:rsidRPr="00722C1D" w:rsidRDefault="002D221E" w:rsidP="002D221E">
      <w:pPr>
        <w:pStyle w:val="Heading1"/>
        <w:spacing w:line="276" w:lineRule="auto"/>
      </w:pPr>
      <w:bookmarkStart w:id="11" w:name="_Toc121732388"/>
      <w:r w:rsidRPr="00722C1D">
        <w:lastRenderedPageBreak/>
        <w:t>Access to healthcare</w:t>
      </w:r>
      <w:r>
        <w:t xml:space="preserve"> (Article 12)</w:t>
      </w:r>
      <w:bookmarkEnd w:id="11"/>
    </w:p>
    <w:p w14:paraId="4A1E1D64" w14:textId="7ED3F7DC" w:rsidR="002D221E" w:rsidRPr="00DA4FE3" w:rsidRDefault="002D221E" w:rsidP="002D221E">
      <w:pPr>
        <w:pStyle w:val="Boxtitle"/>
      </w:pPr>
      <w:r w:rsidRPr="00DA4FE3">
        <w:t xml:space="preserve">See: </w:t>
      </w:r>
      <w:hyperlink r:id="rId19" w:history="1">
        <w:r w:rsidRPr="00DA4FE3">
          <w:rPr>
            <w:rStyle w:val="Hyperlink"/>
          </w:rPr>
          <w:t>UNCESCR Concluding Observations</w:t>
        </w:r>
      </w:hyperlink>
      <w:r w:rsidRPr="00DA4FE3">
        <w:t xml:space="preserve"> paras 56 and 58</w:t>
      </w:r>
      <w:r>
        <w:t xml:space="preserve">, and </w:t>
      </w:r>
      <w:hyperlink r:id="rId20" w:history="1">
        <w:r w:rsidRPr="001011D5">
          <w:rPr>
            <w:rStyle w:val="Hyperlink"/>
          </w:rPr>
          <w:t>UN Sustainable Development Goal</w:t>
        </w:r>
      </w:hyperlink>
      <w:r>
        <w:rPr>
          <w:rStyle w:val="Hyperlink"/>
        </w:rPr>
        <w:t>s</w:t>
      </w:r>
      <w:r w:rsidRPr="00DA4FE3">
        <w:rPr>
          <w:rStyle w:val="Hyperlink"/>
          <w:u w:val="none"/>
        </w:rPr>
        <w:t xml:space="preserve"> 3</w:t>
      </w:r>
      <w:r>
        <w:rPr>
          <w:rStyle w:val="Hyperlink"/>
          <w:u w:val="none"/>
        </w:rPr>
        <w:t xml:space="preserve"> and 10</w:t>
      </w:r>
      <w:r w:rsidR="000F77BF">
        <w:rPr>
          <w:rStyle w:val="Hyperlink"/>
          <w:u w:val="none"/>
        </w:rPr>
        <w:t>.</w:t>
      </w:r>
    </w:p>
    <w:p w14:paraId="005A6FA8" w14:textId="39A8F3E2" w:rsidR="002D221E" w:rsidRPr="00722C1D" w:rsidRDefault="002D221E" w:rsidP="003E4C7F">
      <w:pPr>
        <w:keepLines w:val="0"/>
        <w:spacing w:after="160"/>
      </w:pPr>
      <w:r w:rsidRPr="00722C1D">
        <w:t>The National Health Service’s (NHS</w:t>
      </w:r>
      <w:r w:rsidR="000D7FB0">
        <w:t>’s</w:t>
      </w:r>
      <w:r w:rsidRPr="00722C1D">
        <w:t>) pandemic response in England and Wales included widespread COVID-19 vaccination coverage.</w:t>
      </w:r>
      <w:r w:rsidRPr="00722C1D">
        <w:rPr>
          <w:rStyle w:val="FootnoteReference"/>
        </w:rPr>
        <w:footnoteReference w:id="78"/>
      </w:r>
      <w:r w:rsidRPr="00722C1D">
        <w:t xml:space="preserve"> There were differences in vaccination rates across ethnic groups, with higher rates of unvaccinated adults among Black Caribbean, White Other and Black African ethnic groups in England.</w:t>
      </w:r>
      <w:r w:rsidRPr="00722C1D">
        <w:rPr>
          <w:rStyle w:val="FootnoteReference"/>
        </w:rPr>
        <w:footnoteReference w:id="79"/>
      </w:r>
      <w:r w:rsidRPr="00722C1D">
        <w:t xml:space="preserve"> Barriers to vaccination uptake can include distrust in vaccine safety and socio-demographic factors.</w:t>
      </w:r>
      <w:r w:rsidRPr="00722C1D">
        <w:rPr>
          <w:rStyle w:val="FootnoteReference"/>
        </w:rPr>
        <w:footnoteReference w:id="80"/>
      </w:r>
      <w:r w:rsidRPr="00722C1D">
        <w:t xml:space="preserve"> </w:t>
      </w:r>
    </w:p>
    <w:p w14:paraId="3D1A861E" w14:textId="10E93655" w:rsidR="008E217A" w:rsidRDefault="002D221E" w:rsidP="003E4C7F">
      <w:pPr>
        <w:spacing w:after="160"/>
      </w:pPr>
      <w:r w:rsidRPr="00722C1D">
        <w:lastRenderedPageBreak/>
        <w:t>In England and Wales, access to treatment for other conditions has been restricted and waiting times for medical treatment</w:t>
      </w:r>
      <w:r w:rsidR="000D7FB0">
        <w:t>s</w:t>
      </w:r>
      <w:r w:rsidRPr="00722C1D">
        <w:t xml:space="preserve"> were already increasing in the decade before the pandemic.</w:t>
      </w:r>
      <w:r w:rsidRPr="00722C1D">
        <w:rPr>
          <w:rStyle w:val="FootnoteReference"/>
        </w:rPr>
        <w:footnoteReference w:id="81"/>
      </w:r>
      <w:r w:rsidRPr="00722C1D">
        <w:t xml:space="preserve"> Though funding for mental health services has increased,</w:t>
      </w:r>
      <w:r w:rsidRPr="00722C1D">
        <w:rPr>
          <w:rStyle w:val="FootnoteReference"/>
        </w:rPr>
        <w:footnoteReference w:id="82"/>
      </w:r>
      <w:r w:rsidRPr="00722C1D">
        <w:t xml:space="preserve"> demand exceeds provision.</w:t>
      </w:r>
      <w:r w:rsidRPr="00722C1D">
        <w:rPr>
          <w:rStyle w:val="FootnoteReference"/>
        </w:rPr>
        <w:footnoteReference w:id="83"/>
      </w:r>
      <w:r w:rsidRPr="00722C1D">
        <w:t xml:space="preserve"> </w:t>
      </w:r>
    </w:p>
    <w:p w14:paraId="287A29D8" w14:textId="067E51EA" w:rsidR="002D221E" w:rsidRPr="00722C1D" w:rsidRDefault="002D221E" w:rsidP="008E217A">
      <w:pPr>
        <w:spacing w:after="160"/>
      </w:pPr>
      <w:r w:rsidRPr="00722C1D">
        <w:t>The move to online and telephone healthcare services during the pandemic made access easier for some but posed difficulties for digitally</w:t>
      </w:r>
      <w:r w:rsidR="000D7FB0">
        <w:t>-</w:t>
      </w:r>
      <w:r w:rsidRPr="00722C1D">
        <w:t>excluded people, including those in Gypsy, Roma and Traveller groups, older people and some disabled people.</w:t>
      </w:r>
      <w:r w:rsidRPr="00722C1D">
        <w:rPr>
          <w:rStyle w:val="FootnoteReference"/>
        </w:rPr>
        <w:footnoteReference w:id="84"/>
      </w:r>
    </w:p>
    <w:p w14:paraId="7B587660" w14:textId="77777777" w:rsidR="00F928FE" w:rsidRDefault="002D221E" w:rsidP="008E217A">
      <w:pPr>
        <w:spacing w:after="160"/>
      </w:pPr>
      <w:r w:rsidRPr="00722C1D">
        <w:t>Some protected characteristic groups face barriers to acc</w:t>
      </w:r>
      <w:r w:rsidR="00F928FE">
        <w:t>essing healthcare. For example:</w:t>
      </w:r>
    </w:p>
    <w:p w14:paraId="4E02D80D" w14:textId="335A1263" w:rsidR="00F928FE" w:rsidRDefault="00F928FE" w:rsidP="00F928FE">
      <w:pPr>
        <w:pStyle w:val="ListBullet"/>
      </w:pPr>
      <w:r>
        <w:t>S</w:t>
      </w:r>
      <w:r w:rsidR="002D221E" w:rsidRPr="00722C1D">
        <w:t>ome pregnant women report facing barriers to accessing treatment, such as not feeling able to disclose sensitive health information over the phone.</w:t>
      </w:r>
      <w:r w:rsidR="002D221E" w:rsidRPr="00722C1D">
        <w:rPr>
          <w:rStyle w:val="FootnoteReference"/>
        </w:rPr>
        <w:footnoteReference w:id="85"/>
      </w:r>
      <w:r w:rsidR="002D221E" w:rsidRPr="00722C1D">
        <w:t xml:space="preserve"> </w:t>
      </w:r>
    </w:p>
    <w:p w14:paraId="09D00751" w14:textId="0BC0FB63" w:rsidR="00F928FE" w:rsidRPr="00F928FE" w:rsidRDefault="00F928FE" w:rsidP="00F928FE">
      <w:pPr>
        <w:pStyle w:val="ListBullet"/>
      </w:pPr>
      <w:r>
        <w:lastRenderedPageBreak/>
        <w:t>T</w:t>
      </w:r>
      <w:r w:rsidR="002D221E" w:rsidRPr="00722C1D">
        <w:t>here are extremely lengthy waiting times for gender identity services</w:t>
      </w:r>
      <w:r w:rsidR="002D221E" w:rsidRPr="00722C1D">
        <w:rPr>
          <w:rFonts w:cs="Arial"/>
          <w:bCs/>
          <w:szCs w:val="24"/>
        </w:rPr>
        <w:t>.</w:t>
      </w:r>
      <w:r w:rsidR="002D221E" w:rsidRPr="00722C1D">
        <w:rPr>
          <w:rStyle w:val="FootnoteReference"/>
          <w:rFonts w:cs="Arial"/>
          <w:bCs/>
          <w:szCs w:val="24"/>
        </w:rPr>
        <w:footnoteReference w:id="86"/>
      </w:r>
      <w:r w:rsidR="002D221E" w:rsidRPr="00722C1D">
        <w:rPr>
          <w:rFonts w:cs="Arial"/>
          <w:bCs/>
          <w:szCs w:val="24"/>
        </w:rPr>
        <w:t xml:space="preserve"> </w:t>
      </w:r>
    </w:p>
    <w:p w14:paraId="3CDEF0CF" w14:textId="1DA59436" w:rsidR="00F928FE" w:rsidRPr="00F928FE" w:rsidRDefault="00F928FE" w:rsidP="00F928FE">
      <w:pPr>
        <w:pStyle w:val="ListBullet"/>
      </w:pPr>
      <w:r>
        <w:rPr>
          <w:rFonts w:cs="Arial"/>
          <w:bCs/>
          <w:szCs w:val="24"/>
        </w:rPr>
        <w:t>E</w:t>
      </w:r>
      <w:r w:rsidR="002D221E" w:rsidRPr="00722C1D">
        <w:rPr>
          <w:rFonts w:cs="Arial"/>
          <w:bCs/>
          <w:szCs w:val="24"/>
        </w:rPr>
        <w:t>thnic minority women face inequalities in their experiences of maternity services, including as a result of communication needs not being met or a lack of cultural awareness.</w:t>
      </w:r>
      <w:r w:rsidR="002D221E" w:rsidRPr="00722C1D">
        <w:rPr>
          <w:rStyle w:val="FootnoteReference"/>
          <w:rFonts w:cs="Arial"/>
          <w:bCs/>
          <w:szCs w:val="24"/>
        </w:rPr>
        <w:footnoteReference w:id="87"/>
      </w:r>
      <w:r w:rsidR="002D221E" w:rsidRPr="00722C1D">
        <w:rPr>
          <w:rFonts w:cs="Arial"/>
          <w:bCs/>
          <w:szCs w:val="24"/>
        </w:rPr>
        <w:t xml:space="preserve"> </w:t>
      </w:r>
    </w:p>
    <w:p w14:paraId="71A40495" w14:textId="30DA2C36" w:rsidR="002D221E" w:rsidRPr="00722C1D" w:rsidRDefault="002D221E" w:rsidP="00F928FE">
      <w:pPr>
        <w:pStyle w:val="ListBullet"/>
      </w:pPr>
      <w:r w:rsidRPr="00722C1D">
        <w:rPr>
          <w:rFonts w:cs="Arial"/>
          <w:bCs/>
          <w:szCs w:val="24"/>
        </w:rPr>
        <w:t>M</w:t>
      </w:r>
      <w:r w:rsidRPr="00722C1D">
        <w:rPr>
          <w:rFonts w:ascii="Arial" w:hAnsi="Arial" w:cs="Arial"/>
          <w:szCs w:val="24"/>
          <w:lang w:eastAsia="en-GB"/>
        </w:rPr>
        <w:t xml:space="preserve">igrants, refugees and people seeking asylum face barriers to healthcare, such as inconsistent or inaccurate information about services, or </w:t>
      </w:r>
      <w:r>
        <w:rPr>
          <w:rFonts w:ascii="Arial" w:hAnsi="Arial" w:cs="Arial"/>
          <w:szCs w:val="24"/>
          <w:lang w:eastAsia="en-GB"/>
        </w:rPr>
        <w:t xml:space="preserve">concerns </w:t>
      </w:r>
      <w:r w:rsidRPr="00722C1D">
        <w:rPr>
          <w:rFonts w:ascii="Arial" w:hAnsi="Arial" w:cs="Arial"/>
          <w:szCs w:val="24"/>
          <w:lang w:eastAsia="en-GB"/>
        </w:rPr>
        <w:t>that their information will be shared for immigration enforcement purposes.</w:t>
      </w:r>
      <w:r w:rsidRPr="00722C1D">
        <w:rPr>
          <w:rStyle w:val="FootnoteReference"/>
          <w:rFonts w:ascii="Arial" w:hAnsi="Arial" w:cs="Arial"/>
          <w:szCs w:val="24"/>
          <w:lang w:eastAsia="en-GB"/>
        </w:rPr>
        <w:footnoteReference w:id="88"/>
      </w:r>
      <w:r w:rsidRPr="00722C1D">
        <w:rPr>
          <w:rFonts w:ascii="Arial" w:hAnsi="Arial" w:cs="Arial"/>
          <w:szCs w:val="24"/>
          <w:lang w:eastAsia="en-GB"/>
        </w:rPr>
        <w:t xml:space="preserve"> </w:t>
      </w:r>
    </w:p>
    <w:p w14:paraId="3C50AA6F" w14:textId="2A1ECA97" w:rsidR="002D221E" w:rsidRPr="00722C1D" w:rsidRDefault="002D221E" w:rsidP="003E4C7F">
      <w:pPr>
        <w:spacing w:after="160"/>
        <w:rPr>
          <w:szCs w:val="28"/>
        </w:rPr>
      </w:pPr>
      <w:r w:rsidRPr="00722C1D">
        <w:rPr>
          <w:szCs w:val="28"/>
        </w:rPr>
        <w:t xml:space="preserve">The UK and Welsh governments have taken steps to improve access to healthcare, including by </w:t>
      </w:r>
      <w:r w:rsidRPr="00722C1D">
        <w:t>publishing a</w:t>
      </w:r>
      <w:r w:rsidRPr="00722C1D">
        <w:rPr>
          <w:szCs w:val="28"/>
        </w:rPr>
        <w:t xml:space="preserve"> Women’s Health Strategy for England and updating the plan for ‘A Healthier Wales’.</w:t>
      </w:r>
      <w:r w:rsidRPr="00722C1D">
        <w:rPr>
          <w:rStyle w:val="FootnoteReference"/>
        </w:rPr>
        <w:footnoteReference w:id="89"/>
      </w:r>
      <w:r w:rsidRPr="00722C1D">
        <w:rPr>
          <w:szCs w:val="28"/>
        </w:rPr>
        <w:t xml:space="preserve"> We welcome the UK Government’s draft Mental Health Bill for England and Wales that strengthens the criteria for compulsory detention.</w:t>
      </w:r>
      <w:r w:rsidRPr="00722C1D">
        <w:rPr>
          <w:rStyle w:val="FootnoteReference"/>
          <w:szCs w:val="28"/>
        </w:rPr>
        <w:footnoteReference w:id="90"/>
      </w:r>
      <w:r w:rsidRPr="00722C1D">
        <w:rPr>
          <w:szCs w:val="28"/>
        </w:rPr>
        <w:t xml:space="preserve"> We consider that </w:t>
      </w:r>
      <w:r w:rsidR="00F928FE" w:rsidRPr="00722C1D">
        <w:rPr>
          <w:szCs w:val="28"/>
        </w:rPr>
        <w:t>th</w:t>
      </w:r>
      <w:r w:rsidR="00F928FE">
        <w:rPr>
          <w:szCs w:val="28"/>
        </w:rPr>
        <w:t>is</w:t>
      </w:r>
      <w:r w:rsidR="00F928FE" w:rsidRPr="00722C1D">
        <w:rPr>
          <w:szCs w:val="28"/>
        </w:rPr>
        <w:t xml:space="preserve"> </w:t>
      </w:r>
      <w:r w:rsidRPr="00722C1D">
        <w:rPr>
          <w:szCs w:val="28"/>
        </w:rPr>
        <w:t>Bill could be strengthened to improve community-based services for people with learning disabilities and</w:t>
      </w:r>
      <w:r w:rsidR="007B4BE1">
        <w:rPr>
          <w:szCs w:val="28"/>
        </w:rPr>
        <w:t xml:space="preserve"> </w:t>
      </w:r>
      <w:r w:rsidR="00076BE2">
        <w:rPr>
          <w:szCs w:val="28"/>
        </w:rPr>
        <w:t>/</w:t>
      </w:r>
      <w:r w:rsidR="007B4BE1">
        <w:rPr>
          <w:szCs w:val="28"/>
        </w:rPr>
        <w:t xml:space="preserve"> </w:t>
      </w:r>
      <w:r w:rsidR="00076BE2">
        <w:rPr>
          <w:szCs w:val="28"/>
        </w:rPr>
        <w:t>or</w:t>
      </w:r>
      <w:r w:rsidRPr="00722C1D">
        <w:rPr>
          <w:szCs w:val="28"/>
        </w:rPr>
        <w:t xml:space="preserve"> autism, and address racial disproportionality in mental health detention.</w:t>
      </w:r>
      <w:r w:rsidRPr="00722C1D">
        <w:rPr>
          <w:rStyle w:val="FootnoteReference"/>
          <w:szCs w:val="28"/>
        </w:rPr>
        <w:footnoteReference w:id="91"/>
      </w:r>
    </w:p>
    <w:p w14:paraId="187DA835" w14:textId="19512B98" w:rsidR="00F35F3B" w:rsidRPr="00722C1D" w:rsidRDefault="00F35F3B" w:rsidP="003F3381">
      <w:pPr>
        <w:pStyle w:val="Heading1"/>
        <w:spacing w:line="276" w:lineRule="auto"/>
      </w:pPr>
      <w:bookmarkStart w:id="12" w:name="_Toc121732389"/>
      <w:r w:rsidRPr="00722C1D">
        <w:lastRenderedPageBreak/>
        <w:t>Cultural life</w:t>
      </w:r>
      <w:r>
        <w:t xml:space="preserve"> (Article 15)</w:t>
      </w:r>
      <w:bookmarkEnd w:id="12"/>
    </w:p>
    <w:p w14:paraId="27AAC83B" w14:textId="23BA2E36" w:rsidR="00F35F3B" w:rsidRPr="00DA4FE3" w:rsidRDefault="00F35F3B" w:rsidP="003F3381">
      <w:pPr>
        <w:pStyle w:val="Boxtitle"/>
      </w:pPr>
      <w:r>
        <w:t>See:</w:t>
      </w:r>
      <w:r w:rsidRPr="00DA4FE3">
        <w:t xml:space="preserve"> </w:t>
      </w:r>
      <w:hyperlink r:id="rId21" w:history="1">
        <w:r w:rsidRPr="001011D5">
          <w:rPr>
            <w:rStyle w:val="Hyperlink"/>
          </w:rPr>
          <w:t>UN Sustainable Development Goal</w:t>
        </w:r>
      </w:hyperlink>
      <w:r w:rsidR="00643E42">
        <w:rPr>
          <w:rStyle w:val="Hyperlink"/>
        </w:rPr>
        <w:t>s</w:t>
      </w:r>
      <w:r w:rsidRPr="00DA4FE3">
        <w:rPr>
          <w:rStyle w:val="Hyperlink"/>
          <w:u w:val="none"/>
        </w:rPr>
        <w:t xml:space="preserve"> </w:t>
      </w:r>
      <w:r>
        <w:rPr>
          <w:rStyle w:val="Hyperlink"/>
          <w:u w:val="none"/>
        </w:rPr>
        <w:t>9</w:t>
      </w:r>
      <w:r w:rsidR="00643E42">
        <w:rPr>
          <w:rStyle w:val="Hyperlink"/>
          <w:u w:val="none"/>
        </w:rPr>
        <w:t xml:space="preserve"> and 4</w:t>
      </w:r>
      <w:r w:rsidR="000F77BF">
        <w:rPr>
          <w:rStyle w:val="Hyperlink"/>
          <w:u w:val="none"/>
        </w:rPr>
        <w:t>.</w:t>
      </w:r>
    </w:p>
    <w:p w14:paraId="68BA61C2" w14:textId="0183B231" w:rsidR="00F35F3B" w:rsidRPr="00722C1D" w:rsidRDefault="00F35F3B" w:rsidP="003E4C7F">
      <w:pPr>
        <w:keepLines w:val="0"/>
        <w:spacing w:after="120"/>
        <w:rPr>
          <w:rFonts w:cs="Arial"/>
          <w:bCs/>
          <w:szCs w:val="24"/>
        </w:rPr>
      </w:pPr>
      <w:r w:rsidRPr="00722C1D">
        <w:rPr>
          <w:rFonts w:cs="Arial"/>
          <w:bCs/>
          <w:szCs w:val="24"/>
          <w:u w:color="009C98" w:themeColor="accent1"/>
        </w:rPr>
        <w:t>Guidance from UNCESCR on the right to take part in cultural life</w:t>
      </w:r>
      <w:r w:rsidRPr="00722C1D">
        <w:rPr>
          <w:rFonts w:cs="Arial"/>
          <w:bCs/>
          <w:szCs w:val="24"/>
        </w:rPr>
        <w:t xml:space="preserve"> notes that this right is essential for the maintenance of ‘positive social interaction between individuals and communities’.</w:t>
      </w:r>
      <w:r w:rsidRPr="00722C1D">
        <w:rPr>
          <w:rStyle w:val="FootnoteReference"/>
          <w:rFonts w:cs="Arial"/>
          <w:bCs/>
          <w:szCs w:val="24"/>
        </w:rPr>
        <w:t xml:space="preserve"> </w:t>
      </w:r>
      <w:r w:rsidRPr="00722C1D">
        <w:rPr>
          <w:rStyle w:val="FootnoteReference"/>
          <w:rFonts w:cs="Arial"/>
          <w:bCs/>
          <w:szCs w:val="24"/>
        </w:rPr>
        <w:footnoteReference w:id="92"/>
      </w:r>
      <w:r w:rsidRPr="00722C1D">
        <w:rPr>
          <w:rFonts w:cs="Arial"/>
          <w:bCs/>
          <w:szCs w:val="24"/>
        </w:rPr>
        <w:t xml:space="preserve"> ‘Culture’ is defined to include areas such as sport, arts, technology</w:t>
      </w:r>
      <w:r w:rsidR="003E1025">
        <w:rPr>
          <w:rFonts w:cs="Arial"/>
          <w:bCs/>
          <w:szCs w:val="24"/>
        </w:rPr>
        <w:t>,</w:t>
      </w:r>
      <w:r w:rsidRPr="00722C1D">
        <w:rPr>
          <w:rFonts w:cs="Arial"/>
          <w:bCs/>
          <w:szCs w:val="24"/>
        </w:rPr>
        <w:t xml:space="preserve"> and religion and belief.</w:t>
      </w:r>
    </w:p>
    <w:p w14:paraId="3AB5DA38" w14:textId="77777777" w:rsidR="00F928FE" w:rsidRDefault="00F35F3B" w:rsidP="003E4C7F">
      <w:pPr>
        <w:keepLines w:val="0"/>
        <w:spacing w:after="120"/>
        <w:rPr>
          <w:rFonts w:cs="Arial"/>
          <w:bCs/>
          <w:szCs w:val="24"/>
        </w:rPr>
      </w:pPr>
      <w:r w:rsidRPr="00722C1D">
        <w:rPr>
          <w:rFonts w:cs="Arial"/>
          <w:bCs/>
          <w:szCs w:val="24"/>
        </w:rPr>
        <w:t>The right to take part in cultural life online is increasingly important. Digital exclusion declined in the UK between 2011 and 2018.</w:t>
      </w:r>
      <w:r w:rsidRPr="00722C1D">
        <w:rPr>
          <w:rStyle w:val="FootnoteReference"/>
          <w:rFonts w:cs="Arial"/>
          <w:bCs/>
          <w:szCs w:val="24"/>
        </w:rPr>
        <w:footnoteReference w:id="93"/>
      </w:r>
      <w:r w:rsidRPr="00722C1D">
        <w:rPr>
          <w:rFonts w:cs="Arial"/>
          <w:bCs/>
          <w:szCs w:val="24"/>
        </w:rPr>
        <w:t xml:space="preserve"> However, 10% of adults did not use</w:t>
      </w:r>
      <w:r w:rsidR="003E1025">
        <w:rPr>
          <w:rFonts w:cs="Arial"/>
          <w:bCs/>
          <w:szCs w:val="24"/>
        </w:rPr>
        <w:t>,</w:t>
      </w:r>
      <w:r w:rsidRPr="00722C1D">
        <w:rPr>
          <w:rFonts w:cs="Arial"/>
          <w:bCs/>
          <w:szCs w:val="24"/>
        </w:rPr>
        <w:t xml:space="preserve"> or have access to</w:t>
      </w:r>
      <w:r w:rsidR="003E1025">
        <w:rPr>
          <w:rFonts w:cs="Arial"/>
          <w:bCs/>
          <w:szCs w:val="24"/>
        </w:rPr>
        <w:t>,</w:t>
      </w:r>
      <w:r w:rsidRPr="00722C1D">
        <w:rPr>
          <w:rFonts w:cs="Arial"/>
          <w:bCs/>
          <w:szCs w:val="24"/>
        </w:rPr>
        <w:t xml:space="preserve"> the internet at home in 2020, with factors such as being aged 70 years or older, having a limiting or impacting condition, or living alone</w:t>
      </w:r>
      <w:r w:rsidR="003E1025">
        <w:rPr>
          <w:rFonts w:cs="Arial"/>
          <w:bCs/>
          <w:szCs w:val="24"/>
        </w:rPr>
        <w:t>,</w:t>
      </w:r>
      <w:r w:rsidRPr="00722C1D">
        <w:rPr>
          <w:rFonts w:cs="Arial"/>
          <w:bCs/>
          <w:szCs w:val="24"/>
        </w:rPr>
        <w:t xml:space="preserve"> contributing to digital exclusion.</w:t>
      </w:r>
      <w:r w:rsidRPr="00722C1D">
        <w:rPr>
          <w:rStyle w:val="FootnoteReference"/>
          <w:rFonts w:cs="Arial"/>
          <w:bCs/>
          <w:szCs w:val="24"/>
        </w:rPr>
        <w:footnoteReference w:id="94"/>
      </w:r>
      <w:r w:rsidRPr="00722C1D">
        <w:rPr>
          <w:rFonts w:cs="Arial"/>
          <w:bCs/>
          <w:szCs w:val="24"/>
        </w:rPr>
        <w:t xml:space="preserve"> </w:t>
      </w:r>
      <w:r w:rsidR="00F928FE">
        <w:rPr>
          <w:rFonts w:cs="Arial"/>
          <w:bCs/>
          <w:szCs w:val="24"/>
        </w:rPr>
        <w:t>This</w:t>
      </w:r>
      <w:r w:rsidRPr="00722C1D">
        <w:rPr>
          <w:rFonts w:cs="Arial"/>
          <w:bCs/>
          <w:szCs w:val="24"/>
        </w:rPr>
        <w:t xml:space="preserve"> figure rose to 60% for people who had all three of these characteristics. </w:t>
      </w:r>
    </w:p>
    <w:p w14:paraId="32F3D2EA" w14:textId="12B885F6" w:rsidR="006447FE" w:rsidRDefault="00F35F3B" w:rsidP="00F928FE">
      <w:pPr>
        <w:keepLines w:val="0"/>
        <w:spacing w:after="120"/>
        <w:rPr>
          <w:rFonts w:cs="Arial"/>
          <w:bCs/>
          <w:szCs w:val="24"/>
        </w:rPr>
      </w:pPr>
      <w:r w:rsidRPr="00722C1D">
        <w:rPr>
          <w:rFonts w:cs="Arial"/>
          <w:bCs/>
          <w:szCs w:val="24"/>
        </w:rPr>
        <w:t xml:space="preserve">There is geographic disparity in digital exclusion: the proportion of households in Wales without </w:t>
      </w:r>
      <w:r w:rsidR="00F928FE">
        <w:rPr>
          <w:rFonts w:cs="Arial"/>
          <w:bCs/>
          <w:szCs w:val="24"/>
        </w:rPr>
        <w:t>internet access was 12% in 2019–20, decreasing to 8% in 2021–</w:t>
      </w:r>
      <w:r w:rsidRPr="00722C1D">
        <w:rPr>
          <w:rFonts w:cs="Arial"/>
          <w:bCs/>
          <w:szCs w:val="24"/>
        </w:rPr>
        <w:t>22.</w:t>
      </w:r>
      <w:r w:rsidRPr="00722C1D">
        <w:rPr>
          <w:rStyle w:val="FootnoteReference"/>
          <w:rFonts w:cs="Arial"/>
          <w:bCs/>
          <w:szCs w:val="24"/>
        </w:rPr>
        <w:footnoteReference w:id="95"/>
      </w:r>
      <w:r w:rsidRPr="00722C1D">
        <w:rPr>
          <w:rFonts w:cs="Arial"/>
          <w:bCs/>
          <w:szCs w:val="24"/>
        </w:rPr>
        <w:t xml:space="preserve"> People report a range of barriers to being online, including cost and a lack of digital skills.</w:t>
      </w:r>
      <w:r w:rsidRPr="00722C1D">
        <w:rPr>
          <w:rStyle w:val="FootnoteReference"/>
          <w:rFonts w:cs="Arial"/>
          <w:bCs/>
          <w:szCs w:val="24"/>
        </w:rPr>
        <w:footnoteReference w:id="96"/>
      </w:r>
      <w:r w:rsidRPr="00722C1D">
        <w:rPr>
          <w:rFonts w:cs="Arial"/>
          <w:bCs/>
          <w:szCs w:val="24"/>
        </w:rPr>
        <w:t xml:space="preserve"> </w:t>
      </w:r>
    </w:p>
    <w:p w14:paraId="4FFDD91C" w14:textId="63118A4F" w:rsidR="00F35F3B" w:rsidRPr="00722C1D" w:rsidRDefault="00F35F3B" w:rsidP="003E4C7F">
      <w:pPr>
        <w:keepLines w:val="0"/>
        <w:spacing w:after="120"/>
        <w:rPr>
          <w:rFonts w:cs="Arial"/>
          <w:bCs/>
          <w:szCs w:val="24"/>
        </w:rPr>
      </w:pPr>
      <w:r w:rsidRPr="00722C1D">
        <w:rPr>
          <w:rFonts w:cs="Arial"/>
          <w:bCs/>
          <w:szCs w:val="24"/>
        </w:rPr>
        <w:lastRenderedPageBreak/>
        <w:t>The UK Government updated its Digital Strategy in 2022 and the Welsh Government published its Digital Strategy in 2021.</w:t>
      </w:r>
      <w:r w:rsidRPr="00722C1D">
        <w:rPr>
          <w:rStyle w:val="FootnoteReference"/>
          <w:rFonts w:cs="Arial"/>
          <w:bCs/>
          <w:szCs w:val="24"/>
        </w:rPr>
        <w:footnoteReference w:id="97"/>
      </w:r>
      <w:r w:rsidRPr="00722C1D">
        <w:rPr>
          <w:rFonts w:cs="Arial"/>
          <w:bCs/>
          <w:szCs w:val="24"/>
        </w:rPr>
        <w:t xml:space="preserve"> Both include commitments to increase digital inclusion. The Digital Strategy for Wales also indicates priority groups for support, including older and disabled people. </w:t>
      </w:r>
    </w:p>
    <w:p w14:paraId="66334B54" w14:textId="60E5B93A" w:rsidR="00F35F3B" w:rsidRPr="00722C1D" w:rsidRDefault="00F35F3B" w:rsidP="003E4C7F">
      <w:pPr>
        <w:keepLines w:val="0"/>
        <w:spacing w:after="120"/>
        <w:rPr>
          <w:rFonts w:cs="Arial"/>
          <w:bCs/>
          <w:szCs w:val="24"/>
        </w:rPr>
      </w:pPr>
      <w:r w:rsidRPr="00722C1D">
        <w:rPr>
          <w:rFonts w:cs="Arial"/>
          <w:bCs/>
          <w:szCs w:val="24"/>
        </w:rPr>
        <w:t>Online safety is important to enable people, in particular children and young people, to take part in cultural life digitally while being protected from harassment and other unlawful behaviour. The UK Government introduced the Online Safety Bill in March 2022, which seeks to establish a regulatory framework for a range of online services, including social media.</w:t>
      </w:r>
      <w:r w:rsidRPr="00722C1D">
        <w:rPr>
          <w:rStyle w:val="FootnoteReference"/>
          <w:rFonts w:cs="Arial"/>
          <w:bCs/>
          <w:szCs w:val="24"/>
        </w:rPr>
        <w:footnoteReference w:id="98"/>
      </w:r>
      <w:r w:rsidRPr="00722C1D">
        <w:rPr>
          <w:rFonts w:cs="Arial"/>
          <w:bCs/>
          <w:szCs w:val="24"/>
        </w:rPr>
        <w:t xml:space="preserve"> Th</w:t>
      </w:r>
      <w:r w:rsidR="00637F86">
        <w:rPr>
          <w:rFonts w:cs="Arial"/>
          <w:bCs/>
          <w:szCs w:val="24"/>
        </w:rPr>
        <w:t>is</w:t>
      </w:r>
      <w:r w:rsidRPr="00722C1D">
        <w:rPr>
          <w:rFonts w:cs="Arial"/>
          <w:bCs/>
          <w:szCs w:val="24"/>
        </w:rPr>
        <w:t xml:space="preserve"> Bill follows a ‘duty of care’ model, with services required to take action to minimise illegal content. Th</w:t>
      </w:r>
      <w:r w:rsidR="00637F86">
        <w:rPr>
          <w:rFonts w:cs="Arial"/>
          <w:bCs/>
          <w:szCs w:val="24"/>
        </w:rPr>
        <w:t>is</w:t>
      </w:r>
      <w:r w:rsidRPr="00722C1D">
        <w:rPr>
          <w:rFonts w:cs="Arial"/>
          <w:bCs/>
          <w:szCs w:val="24"/>
        </w:rPr>
        <w:t xml:space="preserve"> Bill’s potential impact on human rights is unclear, but there are concerns that services using automated systems to moderate content based on algorithms might risk entrenching bias. This could result in unequal enjoyment of rights due to disproportionate moderation of content posted by people with particular protected characteristics.</w:t>
      </w:r>
      <w:r w:rsidRPr="00722C1D">
        <w:rPr>
          <w:rStyle w:val="FootnoteReference"/>
          <w:rFonts w:cs="Arial"/>
          <w:bCs/>
          <w:szCs w:val="24"/>
        </w:rPr>
        <w:footnoteReference w:id="99"/>
      </w:r>
      <w:r w:rsidRPr="00722C1D">
        <w:rPr>
          <w:rFonts w:cs="Arial"/>
          <w:bCs/>
          <w:szCs w:val="24"/>
        </w:rPr>
        <w:t xml:space="preserve"> </w:t>
      </w:r>
    </w:p>
    <w:p w14:paraId="346CE6B8" w14:textId="6D61E5F3" w:rsidR="003A0ABC" w:rsidRPr="00722C1D" w:rsidRDefault="00F35F3B" w:rsidP="003E4C7F">
      <w:pPr>
        <w:keepLines w:val="0"/>
        <w:spacing w:after="120"/>
      </w:pPr>
      <w:r w:rsidRPr="00722C1D">
        <w:rPr>
          <w:rFonts w:ascii="Arial" w:hAnsi="Arial" w:cs="Arial"/>
          <w:iCs/>
          <w:szCs w:val="28"/>
        </w:rPr>
        <w:t>Barriers to physical participation in cultural activities remain. In sport, there is evidence of racial discrimination as well as inequalities for sportswomen,</w:t>
      </w:r>
      <w:r w:rsidRPr="00722C1D">
        <w:rPr>
          <w:rStyle w:val="FootnoteReference"/>
          <w:rFonts w:ascii="Arial" w:hAnsi="Arial" w:cs="Arial"/>
          <w:iCs/>
          <w:szCs w:val="28"/>
        </w:rPr>
        <w:footnoteReference w:id="100"/>
      </w:r>
      <w:r w:rsidRPr="00722C1D">
        <w:rPr>
          <w:rFonts w:ascii="Arial" w:hAnsi="Arial" w:cs="Arial"/>
          <w:iCs/>
          <w:szCs w:val="28"/>
        </w:rPr>
        <w:t xml:space="preserve"> which can negatively affect mental health and future opportunities to participate in sport.</w:t>
      </w:r>
      <w:r w:rsidRPr="00722C1D">
        <w:rPr>
          <w:rStyle w:val="FootnoteReference"/>
          <w:rFonts w:ascii="Arial" w:hAnsi="Arial" w:cs="Arial"/>
          <w:iCs/>
          <w:szCs w:val="28"/>
        </w:rPr>
        <w:footnoteReference w:id="101"/>
      </w:r>
      <w:r w:rsidRPr="00722C1D">
        <w:rPr>
          <w:rFonts w:ascii="Arial" w:hAnsi="Arial" w:cs="Arial"/>
          <w:iCs/>
          <w:szCs w:val="28"/>
        </w:rPr>
        <w:t xml:space="preserve"> </w:t>
      </w:r>
      <w:r w:rsidR="00E92E84" w:rsidRPr="00722C1D">
        <w:rPr>
          <w:rFonts w:ascii="Arial" w:hAnsi="Arial" w:cs="Arial"/>
          <w:iCs/>
          <w:szCs w:val="28"/>
        </w:rPr>
        <w:t xml:space="preserve">In this context, it is important that </w:t>
      </w:r>
      <w:r w:rsidR="00F05C26" w:rsidRPr="00722C1D">
        <w:rPr>
          <w:rFonts w:ascii="Arial" w:hAnsi="Arial" w:cs="Arial"/>
          <w:iCs/>
          <w:szCs w:val="28"/>
        </w:rPr>
        <w:t xml:space="preserve">public services </w:t>
      </w:r>
      <w:r w:rsidR="00E92E84" w:rsidRPr="00722C1D">
        <w:rPr>
          <w:rFonts w:ascii="Arial" w:hAnsi="Arial" w:cs="Arial"/>
          <w:iCs/>
          <w:szCs w:val="28"/>
        </w:rPr>
        <w:t xml:space="preserve">and </w:t>
      </w:r>
      <w:r w:rsidR="00E92E84" w:rsidRPr="00722C1D">
        <w:t>community activities promote understanding and respect for difference.</w:t>
      </w:r>
      <w:r w:rsidR="00233FE7" w:rsidRPr="00722C1D">
        <w:t xml:space="preserve"> </w:t>
      </w:r>
    </w:p>
    <w:p w14:paraId="2D54AFCA" w14:textId="3E3DE128" w:rsidR="003A0ABC" w:rsidRPr="00722C1D" w:rsidRDefault="003A0ABC" w:rsidP="003F3381">
      <w:pPr>
        <w:pStyle w:val="Heading1"/>
        <w:spacing w:line="276" w:lineRule="auto"/>
      </w:pPr>
      <w:bookmarkStart w:id="13" w:name="_Toc121732390"/>
      <w:r w:rsidRPr="00722C1D">
        <w:lastRenderedPageBreak/>
        <w:t>Recommendations</w:t>
      </w:r>
      <w:bookmarkEnd w:id="13"/>
    </w:p>
    <w:p w14:paraId="04613637" w14:textId="36FCD1BA" w:rsidR="003A0ABC" w:rsidRPr="00722C1D" w:rsidRDefault="003A0ABC" w:rsidP="003E4C7F">
      <w:pPr>
        <w:pStyle w:val="Heading2"/>
      </w:pPr>
      <w:r w:rsidRPr="00722C1D">
        <w:t>Equality and human rights legal framework</w:t>
      </w:r>
    </w:p>
    <w:p w14:paraId="20698232" w14:textId="77777777" w:rsidR="003A0ABC" w:rsidRPr="00722C1D" w:rsidRDefault="003A0ABC" w:rsidP="003E4C7F">
      <w:pPr>
        <w:spacing w:after="120"/>
      </w:pPr>
      <w:r w:rsidRPr="00722C1D">
        <w:t>The UK and Welsh governments, as appropriate, should:</w:t>
      </w:r>
    </w:p>
    <w:p w14:paraId="0AB48412" w14:textId="65191569" w:rsidR="003A0ABC" w:rsidRPr="00722C1D" w:rsidRDefault="00376BDF" w:rsidP="003F3381">
      <w:pPr>
        <w:pStyle w:val="ListParagraph"/>
        <w:keepLines w:val="0"/>
        <w:numPr>
          <w:ilvl w:val="0"/>
          <w:numId w:val="33"/>
        </w:numPr>
        <w:spacing w:before="120" w:after="120"/>
      </w:pPr>
      <w:r w:rsidRPr="00722C1D">
        <w:t>Give legal effect to</w:t>
      </w:r>
      <w:r w:rsidR="00FB40BF">
        <w:t xml:space="preserve"> the</w:t>
      </w:r>
      <w:r w:rsidRPr="00722C1D">
        <w:t xml:space="preserve"> </w:t>
      </w:r>
      <w:r w:rsidR="003A0ABC" w:rsidRPr="00722C1D">
        <w:t>I</w:t>
      </w:r>
      <w:r w:rsidR="00FB40BF">
        <w:t xml:space="preserve">nternational </w:t>
      </w:r>
      <w:r w:rsidR="003A0ABC" w:rsidRPr="00722C1D">
        <w:t>C</w:t>
      </w:r>
      <w:r w:rsidR="00FB40BF">
        <w:t xml:space="preserve">ovenant on </w:t>
      </w:r>
      <w:r w:rsidR="003A0ABC" w:rsidRPr="00722C1D">
        <w:t>E</w:t>
      </w:r>
      <w:r w:rsidR="00FB40BF">
        <w:t xml:space="preserve">conomic, </w:t>
      </w:r>
      <w:r w:rsidR="003A0ABC" w:rsidRPr="00722C1D">
        <w:t>S</w:t>
      </w:r>
      <w:r w:rsidR="00FB40BF">
        <w:t xml:space="preserve">ocial and </w:t>
      </w:r>
      <w:r w:rsidR="003A0ABC" w:rsidRPr="00722C1D">
        <w:t>C</w:t>
      </w:r>
      <w:r w:rsidR="00FB40BF">
        <w:t xml:space="preserve">ultural </w:t>
      </w:r>
      <w:r w:rsidR="003A0ABC" w:rsidRPr="00722C1D">
        <w:t>R</w:t>
      </w:r>
      <w:r w:rsidR="00FB40BF">
        <w:t>ights</w:t>
      </w:r>
      <w:r w:rsidR="00FB280E">
        <w:t>,</w:t>
      </w:r>
      <w:r w:rsidR="003A0ABC" w:rsidRPr="00722C1D">
        <w:t xml:space="preserve"> and the six other ratified </w:t>
      </w:r>
      <w:r w:rsidR="000B3C0D">
        <w:t xml:space="preserve">human rights </w:t>
      </w:r>
      <w:r w:rsidR="003A0ABC" w:rsidRPr="00722C1D">
        <w:t>treaties</w:t>
      </w:r>
      <w:r w:rsidR="00FB280E">
        <w:t>,</w:t>
      </w:r>
      <w:r w:rsidR="003A0ABC" w:rsidRPr="00722C1D">
        <w:t xml:space="preserve"> in domestic law to ensure access to enforceable rights</w:t>
      </w:r>
      <w:r w:rsidR="0054116D" w:rsidRPr="00722C1D">
        <w:t>.</w:t>
      </w:r>
    </w:p>
    <w:p w14:paraId="4A3B5A17" w14:textId="2B992504" w:rsidR="003A0ABC" w:rsidRPr="00722C1D" w:rsidRDefault="0054116D" w:rsidP="003F3381">
      <w:pPr>
        <w:pStyle w:val="ListParagraph"/>
        <w:keepLines w:val="0"/>
        <w:numPr>
          <w:ilvl w:val="0"/>
          <w:numId w:val="33"/>
        </w:numPr>
        <w:spacing w:before="120" w:after="120"/>
      </w:pPr>
      <w:r w:rsidRPr="00722C1D">
        <w:t>E</w:t>
      </w:r>
      <w:r w:rsidR="003A0ABC" w:rsidRPr="00722C1D">
        <w:t>nsure that any changes to the human rights legal framework are subject to wide consultation and pre-legislative scrutiny</w:t>
      </w:r>
      <w:r w:rsidRPr="00722C1D">
        <w:t>.</w:t>
      </w:r>
    </w:p>
    <w:p w14:paraId="61FBFCFE" w14:textId="51B9EC7D" w:rsidR="003A0ABC" w:rsidRPr="00722C1D" w:rsidRDefault="0054116D" w:rsidP="003F3381">
      <w:pPr>
        <w:pStyle w:val="ListParagraph"/>
        <w:keepLines w:val="0"/>
        <w:numPr>
          <w:ilvl w:val="0"/>
          <w:numId w:val="33"/>
        </w:numPr>
        <w:spacing w:before="120" w:after="120"/>
      </w:pPr>
      <w:r w:rsidRPr="00722C1D">
        <w:t>R</w:t>
      </w:r>
      <w:r w:rsidR="003A0ABC" w:rsidRPr="00722C1D">
        <w:t xml:space="preserve">eview the unimplemented provisions of the Equality Act 2010 and effectively fulfil their responsibilities under the </w:t>
      </w:r>
      <w:r w:rsidR="00EB6094" w:rsidRPr="00722C1D">
        <w:t>Public Sector Equality Duty</w:t>
      </w:r>
      <w:r w:rsidR="003A0ABC" w:rsidRPr="00722C1D">
        <w:t>,</w:t>
      </w:r>
      <w:r w:rsidR="00C349CA" w:rsidRPr="00722C1D">
        <w:t xml:space="preserve"> and </w:t>
      </w:r>
      <w:r w:rsidR="00C86E2B">
        <w:t>S</w:t>
      </w:r>
      <w:r w:rsidR="00C349CA" w:rsidRPr="00722C1D">
        <w:t xml:space="preserve">ocio-economic </w:t>
      </w:r>
      <w:r w:rsidR="00C86E2B">
        <w:t>D</w:t>
      </w:r>
      <w:r w:rsidR="00C349CA" w:rsidRPr="00722C1D">
        <w:t>uty where applicable</w:t>
      </w:r>
      <w:r w:rsidRPr="00722C1D">
        <w:t>.</w:t>
      </w:r>
      <w:r w:rsidR="003A0ABC" w:rsidRPr="00722C1D">
        <w:t xml:space="preserve"> </w:t>
      </w:r>
    </w:p>
    <w:p w14:paraId="216F51F7" w14:textId="760266DB" w:rsidR="003A0ABC" w:rsidRPr="00D378A8" w:rsidRDefault="0054116D" w:rsidP="003E4C7F">
      <w:pPr>
        <w:pStyle w:val="ListParagraph"/>
        <w:keepLines w:val="0"/>
        <w:numPr>
          <w:ilvl w:val="0"/>
          <w:numId w:val="33"/>
        </w:numPr>
        <w:spacing w:before="120" w:after="120"/>
      </w:pPr>
      <w:r w:rsidRPr="00D378A8">
        <w:t>E</w:t>
      </w:r>
      <w:r w:rsidR="003A0ABC" w:rsidRPr="00D378A8">
        <w:t xml:space="preserve">nsure that any changes to the legal framework following consideration of </w:t>
      </w:r>
      <w:r w:rsidR="00EB6094" w:rsidRPr="00D378A8">
        <w:t xml:space="preserve">retained </w:t>
      </w:r>
      <w:r w:rsidR="003A0ABC" w:rsidRPr="00D378A8">
        <w:t>E</w:t>
      </w:r>
      <w:r w:rsidR="00923516">
        <w:t xml:space="preserve">uropean </w:t>
      </w:r>
      <w:r w:rsidR="003A0ABC" w:rsidRPr="00D378A8">
        <w:t>U</w:t>
      </w:r>
      <w:r w:rsidR="00923516">
        <w:t>nion</w:t>
      </w:r>
      <w:r w:rsidR="00EB6094" w:rsidRPr="00D378A8">
        <w:t xml:space="preserve"> law</w:t>
      </w:r>
      <w:r w:rsidR="003A0ABC" w:rsidRPr="00D378A8">
        <w:t xml:space="preserve"> </w:t>
      </w:r>
      <w:r w:rsidR="00CE1765">
        <w:t>are</w:t>
      </w:r>
      <w:r w:rsidR="003A0ABC" w:rsidRPr="00D378A8">
        <w:t xml:space="preserve"> subject to parliamentary scrutiny </w:t>
      </w:r>
      <w:r w:rsidR="005230A0" w:rsidRPr="00D378A8">
        <w:t xml:space="preserve">and </w:t>
      </w:r>
      <w:r w:rsidR="003A0ABC" w:rsidRPr="00D378A8">
        <w:t xml:space="preserve">ensure no reduction of rights. </w:t>
      </w:r>
    </w:p>
    <w:p w14:paraId="6A76C739" w14:textId="5B323594" w:rsidR="003A0ABC" w:rsidRPr="00722C1D" w:rsidRDefault="003A0ABC" w:rsidP="003E4C7F">
      <w:pPr>
        <w:pStyle w:val="Heading2"/>
      </w:pPr>
      <w:r w:rsidRPr="00722C1D">
        <w:t xml:space="preserve">Conditions at work </w:t>
      </w:r>
    </w:p>
    <w:p w14:paraId="69C5C067" w14:textId="77777777" w:rsidR="003A0ABC" w:rsidRPr="00722C1D" w:rsidRDefault="003A0ABC" w:rsidP="003F3381">
      <w:r w:rsidRPr="00722C1D">
        <w:t>The UK and Welsh governments, as appropriate, should:</w:t>
      </w:r>
    </w:p>
    <w:p w14:paraId="6273226E" w14:textId="4BA2906E" w:rsidR="003A0ABC" w:rsidRPr="00722C1D" w:rsidRDefault="0054116D" w:rsidP="003E4C7F">
      <w:pPr>
        <w:pStyle w:val="ListParagraph"/>
        <w:numPr>
          <w:ilvl w:val="0"/>
          <w:numId w:val="21"/>
        </w:numPr>
        <w:spacing w:before="120" w:after="120"/>
      </w:pPr>
      <w:r w:rsidRPr="00722C1D">
        <w:t>I</w:t>
      </w:r>
      <w:r w:rsidR="003A0ABC" w:rsidRPr="00722C1D">
        <w:t xml:space="preserve">mprove </w:t>
      </w:r>
      <w:r w:rsidR="00EB6094" w:rsidRPr="00722C1D">
        <w:t xml:space="preserve">the </w:t>
      </w:r>
      <w:r w:rsidR="003A0ABC" w:rsidRPr="00722C1D">
        <w:t>transparency o</w:t>
      </w:r>
      <w:r w:rsidR="00EB6094" w:rsidRPr="00722C1D">
        <w:t>f</w:t>
      </w:r>
      <w:r w:rsidR="003A0ABC" w:rsidRPr="00722C1D">
        <w:t xml:space="preserve"> recruitment, retention, progression and pay </w:t>
      </w:r>
      <w:r w:rsidR="00EB6094" w:rsidRPr="00722C1D">
        <w:t xml:space="preserve">reporting </w:t>
      </w:r>
      <w:r w:rsidR="003A0ABC" w:rsidRPr="00722C1D">
        <w:t>for ethnic minority and disabled workers, and ensure that reporting is coherent with the existing reporting framework for gender pay gaps to support employers</w:t>
      </w:r>
      <w:r w:rsidRPr="00722C1D">
        <w:t>.</w:t>
      </w:r>
      <w:r w:rsidR="003A0ABC" w:rsidRPr="00722C1D">
        <w:t xml:space="preserve"> </w:t>
      </w:r>
    </w:p>
    <w:p w14:paraId="75FCCF31" w14:textId="55A9FEDA" w:rsidR="003A0ABC" w:rsidRPr="00722C1D" w:rsidRDefault="0054116D" w:rsidP="003E4C7F">
      <w:pPr>
        <w:pStyle w:val="ListParagraph"/>
        <w:numPr>
          <w:ilvl w:val="0"/>
          <w:numId w:val="20"/>
        </w:numPr>
        <w:spacing w:before="120" w:after="120"/>
      </w:pPr>
      <w:r w:rsidRPr="00722C1D">
        <w:t>I</w:t>
      </w:r>
      <w:r w:rsidR="003A0ABC" w:rsidRPr="00722C1D">
        <w:t xml:space="preserve">mprove the employment protections available to people in insecure work, including by increasing access to statutory sick pay and </w:t>
      </w:r>
      <w:r w:rsidR="003A0ABC" w:rsidRPr="00722C1D">
        <w:rPr>
          <w:rFonts w:ascii="Arial" w:eastAsia="Times New Roman" w:hAnsi="Arial" w:cs="Arial"/>
          <w:color w:val="000000"/>
          <w:szCs w:val="24"/>
          <w:lang w:eastAsia="en-GB"/>
        </w:rPr>
        <w:t xml:space="preserve">establishing a </w:t>
      </w:r>
      <w:r w:rsidR="000A3E82">
        <w:rPr>
          <w:rFonts w:ascii="Arial" w:eastAsia="Times New Roman" w:hAnsi="Arial" w:cs="Arial"/>
          <w:color w:val="000000"/>
          <w:szCs w:val="24"/>
          <w:lang w:eastAsia="en-GB"/>
        </w:rPr>
        <w:t>s</w:t>
      </w:r>
      <w:r w:rsidR="003A0ABC" w:rsidRPr="00722C1D">
        <w:rPr>
          <w:rFonts w:ascii="Arial" w:eastAsia="Times New Roman" w:hAnsi="Arial" w:cs="Arial"/>
          <w:color w:val="000000"/>
          <w:szCs w:val="24"/>
          <w:lang w:eastAsia="en-GB"/>
        </w:rPr>
        <w:t xml:space="preserve">ingle </w:t>
      </w:r>
      <w:r w:rsidR="000A3E82">
        <w:rPr>
          <w:rFonts w:ascii="Arial" w:eastAsia="Times New Roman" w:hAnsi="Arial" w:cs="Arial"/>
          <w:color w:val="000000"/>
          <w:szCs w:val="24"/>
          <w:lang w:eastAsia="en-GB"/>
        </w:rPr>
        <w:t>e</w:t>
      </w:r>
      <w:r w:rsidR="003A0ABC" w:rsidRPr="00722C1D">
        <w:rPr>
          <w:rFonts w:ascii="Arial" w:eastAsia="Times New Roman" w:hAnsi="Arial" w:cs="Arial"/>
          <w:color w:val="000000"/>
          <w:szCs w:val="24"/>
          <w:lang w:eastAsia="en-GB"/>
        </w:rPr>
        <w:t xml:space="preserve">nforcement </w:t>
      </w:r>
      <w:r w:rsidR="000A3E82">
        <w:rPr>
          <w:rFonts w:ascii="Arial" w:eastAsia="Times New Roman" w:hAnsi="Arial" w:cs="Arial"/>
          <w:color w:val="000000"/>
          <w:szCs w:val="24"/>
          <w:lang w:eastAsia="en-GB"/>
        </w:rPr>
        <w:t>b</w:t>
      </w:r>
      <w:r w:rsidR="003A0ABC" w:rsidRPr="00722C1D">
        <w:rPr>
          <w:rFonts w:ascii="Arial" w:eastAsia="Times New Roman" w:hAnsi="Arial" w:cs="Arial"/>
          <w:color w:val="000000"/>
          <w:szCs w:val="24"/>
          <w:lang w:eastAsia="en-GB"/>
        </w:rPr>
        <w:t>ody for employment rights</w:t>
      </w:r>
      <w:r w:rsidRPr="00722C1D">
        <w:rPr>
          <w:rFonts w:ascii="Arial" w:eastAsia="Times New Roman" w:hAnsi="Arial" w:cs="Arial"/>
          <w:color w:val="000000"/>
          <w:szCs w:val="24"/>
          <w:lang w:eastAsia="en-GB"/>
        </w:rPr>
        <w:t>.</w:t>
      </w:r>
      <w:r w:rsidR="003A0ABC" w:rsidRPr="00722C1D">
        <w:rPr>
          <w:rFonts w:ascii="Arial" w:eastAsia="Times New Roman" w:hAnsi="Arial" w:cs="Arial"/>
          <w:color w:val="000000"/>
          <w:szCs w:val="24"/>
          <w:lang w:eastAsia="en-GB"/>
        </w:rPr>
        <w:t xml:space="preserve"> </w:t>
      </w:r>
    </w:p>
    <w:p w14:paraId="778C35B4" w14:textId="6C7CF238" w:rsidR="00F35F3B" w:rsidRPr="00F35F3B" w:rsidRDefault="0054116D" w:rsidP="003E4C7F">
      <w:pPr>
        <w:pStyle w:val="ListParagraph"/>
        <w:numPr>
          <w:ilvl w:val="0"/>
          <w:numId w:val="20"/>
        </w:numPr>
        <w:spacing w:before="120" w:after="120"/>
      </w:pPr>
      <w:r w:rsidRPr="00722C1D">
        <w:t>B</w:t>
      </w:r>
      <w:r w:rsidR="003A0ABC" w:rsidRPr="00722C1D">
        <w:t>ring forward measures to reduce the discrimination experienced by pregnant women and new mothers</w:t>
      </w:r>
      <w:r w:rsidR="00EB6094" w:rsidRPr="00722C1D">
        <w:t>,</w:t>
      </w:r>
      <w:r w:rsidR="003A0ABC" w:rsidRPr="00722C1D">
        <w:t xml:space="preserve"> and remove barriers to the</w:t>
      </w:r>
      <w:r w:rsidR="00EB6094" w:rsidRPr="00722C1D">
        <w:t>ir</w:t>
      </w:r>
      <w:r w:rsidR="007A36A5">
        <w:t xml:space="preserve"> securing redress.</w:t>
      </w:r>
    </w:p>
    <w:p w14:paraId="295EFF73" w14:textId="77777777" w:rsidR="00076BE2" w:rsidRDefault="00076BE2">
      <w:pPr>
        <w:keepLines w:val="0"/>
        <w:spacing w:before="0" w:after="160" w:line="259" w:lineRule="auto"/>
        <w:rPr>
          <w:rFonts w:asciiTheme="majorHAnsi" w:eastAsiaTheme="majorEastAsia" w:hAnsiTheme="majorHAnsi" w:cstheme="majorBidi"/>
          <w:b/>
          <w:color w:val="004E4B" w:themeColor="accent1" w:themeShade="80"/>
          <w:sz w:val="28"/>
          <w:szCs w:val="29"/>
        </w:rPr>
      </w:pPr>
      <w:r>
        <w:br w:type="page"/>
      </w:r>
    </w:p>
    <w:p w14:paraId="2121D108" w14:textId="0A52E670" w:rsidR="003A0ABC" w:rsidRPr="00722C1D" w:rsidRDefault="003A0ABC" w:rsidP="003E4C7F">
      <w:pPr>
        <w:pStyle w:val="Heading2"/>
      </w:pPr>
      <w:r w:rsidRPr="00722C1D">
        <w:lastRenderedPageBreak/>
        <w:t xml:space="preserve">Poverty </w:t>
      </w:r>
    </w:p>
    <w:p w14:paraId="295CF63A" w14:textId="77777777" w:rsidR="003A0ABC" w:rsidRPr="00722C1D" w:rsidRDefault="003A0ABC" w:rsidP="003E4C7F">
      <w:pPr>
        <w:keepLines w:val="0"/>
        <w:spacing w:after="120"/>
      </w:pPr>
      <w:r w:rsidRPr="00722C1D">
        <w:t>The UK and Welsh governments, as appropriate, should:</w:t>
      </w:r>
    </w:p>
    <w:p w14:paraId="6E5ECC22" w14:textId="3D36E76E" w:rsidR="003A0ABC" w:rsidRPr="00D378A8" w:rsidRDefault="0054116D" w:rsidP="003E4C7F">
      <w:pPr>
        <w:pStyle w:val="ListParagraph"/>
        <w:keepLines w:val="0"/>
        <w:numPr>
          <w:ilvl w:val="0"/>
          <w:numId w:val="19"/>
        </w:numPr>
        <w:spacing w:before="120" w:after="120"/>
      </w:pPr>
      <w:r w:rsidRPr="00D378A8">
        <w:t>E</w:t>
      </w:r>
      <w:r w:rsidR="003A0ABC" w:rsidRPr="00D378A8">
        <w:t>xamine the factors causing higher poverty levels among certain groups</w:t>
      </w:r>
      <w:r w:rsidR="00BC2A11" w:rsidRPr="00D378A8">
        <w:t xml:space="preserve">, </w:t>
      </w:r>
      <w:r w:rsidR="003A0ABC" w:rsidRPr="00D378A8">
        <w:t xml:space="preserve">develop </w:t>
      </w:r>
      <w:r w:rsidR="00BC2A11" w:rsidRPr="00D378A8">
        <w:t>accountability mechanisms</w:t>
      </w:r>
      <w:r w:rsidR="00493FFF" w:rsidRPr="00D378A8">
        <w:t xml:space="preserve"> </w:t>
      </w:r>
      <w:r w:rsidR="003A0ABC" w:rsidRPr="00D378A8">
        <w:t>to address them, and reintroduce income poverty-related targets for the eradication of child poverty</w:t>
      </w:r>
      <w:r w:rsidRPr="00D378A8">
        <w:t>.</w:t>
      </w:r>
    </w:p>
    <w:p w14:paraId="45CA35FA" w14:textId="0F930415" w:rsidR="003A0ABC" w:rsidRPr="00722C1D" w:rsidRDefault="0054116D" w:rsidP="003E4C7F">
      <w:pPr>
        <w:pStyle w:val="ListParagraph"/>
        <w:keepLines w:val="0"/>
        <w:numPr>
          <w:ilvl w:val="0"/>
          <w:numId w:val="19"/>
        </w:numPr>
        <w:spacing w:before="120" w:after="120"/>
      </w:pPr>
      <w:r w:rsidRPr="00722C1D">
        <w:t>A</w:t>
      </w:r>
      <w:r w:rsidR="003A0ABC" w:rsidRPr="00722C1D">
        <w:t>ddress the impact of labour market changes on workers with different protected characteristics and ensure that public investment and procurement targe</w:t>
      </w:r>
      <w:r w:rsidR="007A36A5">
        <w:t xml:space="preserve">t disparities in employment and </w:t>
      </w:r>
      <w:r w:rsidR="003A0ABC" w:rsidRPr="00722C1D">
        <w:t>training</w:t>
      </w:r>
      <w:r w:rsidRPr="00722C1D">
        <w:t>.</w:t>
      </w:r>
    </w:p>
    <w:p w14:paraId="7178552C" w14:textId="73D77DF9" w:rsidR="00ED6FFF" w:rsidRPr="00722C1D" w:rsidRDefault="0054116D" w:rsidP="003E4C7F">
      <w:pPr>
        <w:pStyle w:val="ListParagraph"/>
        <w:keepLines w:val="0"/>
        <w:numPr>
          <w:ilvl w:val="0"/>
          <w:numId w:val="19"/>
        </w:numPr>
        <w:spacing w:before="120" w:after="120"/>
      </w:pPr>
      <w:r w:rsidRPr="00722C1D">
        <w:rPr>
          <w:szCs w:val="24"/>
        </w:rPr>
        <w:t>U</w:t>
      </w:r>
      <w:r w:rsidR="003A0ABC" w:rsidRPr="00722C1D">
        <w:rPr>
          <w:szCs w:val="24"/>
        </w:rPr>
        <w:t xml:space="preserve">se the </w:t>
      </w:r>
      <w:r w:rsidR="00EA2384">
        <w:rPr>
          <w:szCs w:val="24"/>
        </w:rPr>
        <w:t>Socio-economic D</w:t>
      </w:r>
      <w:r w:rsidR="00EB6094" w:rsidRPr="00722C1D">
        <w:rPr>
          <w:szCs w:val="24"/>
        </w:rPr>
        <w:t>uty</w:t>
      </w:r>
      <w:r w:rsidR="003A0ABC" w:rsidRPr="00722C1D">
        <w:rPr>
          <w:szCs w:val="24"/>
        </w:rPr>
        <w:t xml:space="preserve"> to ensure Welsh public bodies prioritise action to address the most significant inequalities, </w:t>
      </w:r>
      <w:r w:rsidR="00CF2926" w:rsidRPr="00722C1D">
        <w:rPr>
          <w:szCs w:val="24"/>
        </w:rPr>
        <w:t xml:space="preserve">and bring forward plans to update the </w:t>
      </w:r>
      <w:r w:rsidR="000A3E82">
        <w:rPr>
          <w:szCs w:val="24"/>
        </w:rPr>
        <w:t>C</w:t>
      </w:r>
      <w:r w:rsidR="00CF2926" w:rsidRPr="00722C1D">
        <w:rPr>
          <w:szCs w:val="24"/>
        </w:rPr>
        <w:t xml:space="preserve">hild </w:t>
      </w:r>
      <w:r w:rsidR="000A3E82">
        <w:rPr>
          <w:szCs w:val="24"/>
        </w:rPr>
        <w:t>P</w:t>
      </w:r>
      <w:r w:rsidR="00CF2926" w:rsidRPr="00722C1D">
        <w:rPr>
          <w:szCs w:val="24"/>
        </w:rPr>
        <w:t xml:space="preserve">overty </w:t>
      </w:r>
      <w:r w:rsidR="000A3E82">
        <w:rPr>
          <w:szCs w:val="24"/>
        </w:rPr>
        <w:t>S</w:t>
      </w:r>
      <w:r w:rsidR="00CF2926" w:rsidRPr="00722C1D">
        <w:rPr>
          <w:szCs w:val="24"/>
        </w:rPr>
        <w:t>trategy for Wales</w:t>
      </w:r>
      <w:r w:rsidR="003A0ABC" w:rsidRPr="00722C1D">
        <w:rPr>
          <w:szCs w:val="24"/>
        </w:rPr>
        <w:t>.</w:t>
      </w:r>
    </w:p>
    <w:p w14:paraId="7F763DFE" w14:textId="48951F1A" w:rsidR="003A0ABC" w:rsidRPr="00722C1D" w:rsidRDefault="003A0ABC" w:rsidP="003E4C7F">
      <w:pPr>
        <w:pStyle w:val="Heading2"/>
      </w:pPr>
      <w:r w:rsidRPr="00722C1D">
        <w:t>Housing</w:t>
      </w:r>
    </w:p>
    <w:p w14:paraId="763530EE" w14:textId="6E807526" w:rsidR="003A0ABC" w:rsidRPr="00722C1D" w:rsidRDefault="003A0ABC" w:rsidP="003E4C7F">
      <w:pPr>
        <w:spacing w:after="120"/>
      </w:pPr>
      <w:r w:rsidRPr="00722C1D">
        <w:t>The UK and Welsh gover</w:t>
      </w:r>
      <w:r w:rsidR="00ED6FFF">
        <w:t>nments, as appropriate, should:</w:t>
      </w:r>
    </w:p>
    <w:p w14:paraId="71A31DCF" w14:textId="05D2169F" w:rsidR="003A0ABC" w:rsidRPr="00722C1D" w:rsidRDefault="0054116D" w:rsidP="003E4C7F">
      <w:pPr>
        <w:pStyle w:val="ListParagraph"/>
        <w:numPr>
          <w:ilvl w:val="0"/>
          <w:numId w:val="37"/>
        </w:numPr>
        <w:spacing w:before="120" w:after="120"/>
      </w:pPr>
      <w:r w:rsidRPr="00722C1D">
        <w:t>R</w:t>
      </w:r>
      <w:r w:rsidR="003A0ABC" w:rsidRPr="00722C1D">
        <w:t xml:space="preserve">educe the number of people living in substandard and overcrowded housing, including by ensuring </w:t>
      </w:r>
      <w:r w:rsidR="00B80AFB">
        <w:t xml:space="preserve">that </w:t>
      </w:r>
      <w:r w:rsidR="003A0ABC" w:rsidRPr="00722C1D">
        <w:t>there are strong monitoring, improvement and accountability frameworks for housing providers and by addressing data gaps</w:t>
      </w:r>
      <w:r w:rsidRPr="00722C1D">
        <w:t>.</w:t>
      </w:r>
    </w:p>
    <w:p w14:paraId="19BB7813" w14:textId="33FDB56A" w:rsidR="003A0ABC" w:rsidRPr="00722C1D" w:rsidRDefault="0054116D" w:rsidP="003E4C7F">
      <w:pPr>
        <w:pStyle w:val="ListParagraph"/>
        <w:numPr>
          <w:ilvl w:val="0"/>
          <w:numId w:val="37"/>
        </w:numPr>
        <w:spacing w:before="120" w:after="120"/>
      </w:pPr>
      <w:r w:rsidRPr="00722C1D">
        <w:t>R</w:t>
      </w:r>
      <w:r w:rsidR="003A0ABC" w:rsidRPr="00722C1D">
        <w:t xml:space="preserve">egularly publish information about the performance of asylum accommodation providers and planned service improvements to ensure sufficient provision of safe accommodation that meets the needs of people seeking asylum, </w:t>
      </w:r>
      <w:r w:rsidR="00EB6094" w:rsidRPr="00722C1D">
        <w:t>including</w:t>
      </w:r>
      <w:r w:rsidR="003A0ABC" w:rsidRPr="00722C1D">
        <w:t xml:space="preserve"> access to healthcare and legal advice</w:t>
      </w:r>
      <w:r w:rsidRPr="00722C1D">
        <w:t>.</w:t>
      </w:r>
    </w:p>
    <w:p w14:paraId="18C39783" w14:textId="21D5502C" w:rsidR="003A0ABC" w:rsidRPr="00722C1D" w:rsidRDefault="0054116D" w:rsidP="003E4C7F">
      <w:pPr>
        <w:pStyle w:val="ListParagraph"/>
        <w:numPr>
          <w:ilvl w:val="0"/>
          <w:numId w:val="37"/>
        </w:numPr>
        <w:spacing w:before="120" w:after="120"/>
      </w:pPr>
      <w:r w:rsidRPr="00722C1D">
        <w:t>D</w:t>
      </w:r>
      <w:r w:rsidR="003A0ABC" w:rsidRPr="00722C1D">
        <w:t>irect local authorities to increase Gypsy and Traveller site provision, and regularly report on how and where funding for housing is used for sites.</w:t>
      </w:r>
    </w:p>
    <w:p w14:paraId="7ED685DE" w14:textId="76707EC0" w:rsidR="003A0ABC" w:rsidRPr="00722C1D" w:rsidRDefault="003A0ABC" w:rsidP="00626159">
      <w:pPr>
        <w:pStyle w:val="Heading2"/>
      </w:pPr>
      <w:r w:rsidRPr="00722C1D">
        <w:t>Social care</w:t>
      </w:r>
    </w:p>
    <w:p w14:paraId="06DA90D6" w14:textId="77777777" w:rsidR="003A0ABC" w:rsidRPr="00722C1D" w:rsidRDefault="003A0ABC" w:rsidP="00626159">
      <w:pPr>
        <w:keepLines w:val="0"/>
        <w:spacing w:after="120"/>
      </w:pPr>
      <w:r w:rsidRPr="00722C1D">
        <w:t>The UK and Welsh governments, as appropriate, should:</w:t>
      </w:r>
    </w:p>
    <w:p w14:paraId="09F30689" w14:textId="685F641B" w:rsidR="003A0ABC" w:rsidRPr="00722C1D" w:rsidRDefault="0054116D" w:rsidP="00626159">
      <w:pPr>
        <w:pStyle w:val="ListParagraph"/>
        <w:numPr>
          <w:ilvl w:val="0"/>
          <w:numId w:val="27"/>
        </w:numPr>
        <w:spacing w:before="120" w:after="120"/>
      </w:pPr>
      <w:r w:rsidRPr="00722C1D">
        <w:t>E</w:t>
      </w:r>
      <w:r w:rsidR="003A0ABC" w:rsidRPr="00722C1D">
        <w:t>nsure</w:t>
      </w:r>
      <w:r w:rsidR="007F1EAB" w:rsidRPr="00722C1D">
        <w:t>,</w:t>
      </w:r>
      <w:r w:rsidR="003A0ABC" w:rsidRPr="00722C1D">
        <w:t xml:space="preserve"> </w:t>
      </w:r>
      <w:r w:rsidR="007F1EAB" w:rsidRPr="00722C1D">
        <w:t xml:space="preserve">and set out how, proposals for </w:t>
      </w:r>
      <w:r w:rsidR="003A0ABC" w:rsidRPr="00722C1D">
        <w:t>social care reform enhance equality and human rights protections, including by supporting the workforce,</w:t>
      </w:r>
      <w:r w:rsidR="007F1EAB" w:rsidRPr="00722C1D">
        <w:t xml:space="preserve"> and meet the requirements of relevant domestic and international legal instruments</w:t>
      </w:r>
      <w:r w:rsidRPr="00722C1D">
        <w:t>.</w:t>
      </w:r>
    </w:p>
    <w:p w14:paraId="4B4E705D" w14:textId="5E06FD02" w:rsidR="003A0ABC" w:rsidRPr="00722C1D" w:rsidRDefault="005230A0" w:rsidP="00626159">
      <w:pPr>
        <w:pStyle w:val="ListParagraph"/>
        <w:numPr>
          <w:ilvl w:val="0"/>
          <w:numId w:val="27"/>
        </w:numPr>
        <w:spacing w:before="120" w:after="120"/>
      </w:pPr>
      <w:r w:rsidRPr="00D378A8">
        <w:lastRenderedPageBreak/>
        <w:t xml:space="preserve">Prioritise </w:t>
      </w:r>
      <w:r w:rsidR="003A0ABC" w:rsidRPr="00D378A8">
        <w:t>address</w:t>
      </w:r>
      <w:r>
        <w:t>ing</w:t>
      </w:r>
      <w:r w:rsidR="003A0ABC" w:rsidRPr="00722C1D">
        <w:t xml:space="preserve"> the inappropriate detention of people with learning disabilities and</w:t>
      </w:r>
      <w:r w:rsidR="007B4BE1">
        <w:t xml:space="preserve"> </w:t>
      </w:r>
      <w:r w:rsidR="003A0ABC" w:rsidRPr="00722C1D">
        <w:t>/</w:t>
      </w:r>
      <w:r w:rsidR="007B4BE1">
        <w:t xml:space="preserve"> </w:t>
      </w:r>
      <w:r w:rsidR="003A0ABC" w:rsidRPr="00722C1D">
        <w:t xml:space="preserve">or autism, </w:t>
      </w:r>
      <w:r w:rsidR="003A0ABC" w:rsidRPr="00722C1D">
        <w:rPr>
          <w:szCs w:val="28"/>
        </w:rPr>
        <w:t>and ensure that abuse and excessive use of long-term segregation, seclusion and restraint are ended</w:t>
      </w:r>
      <w:r w:rsidR="0054116D" w:rsidRPr="00722C1D">
        <w:t>.</w:t>
      </w:r>
    </w:p>
    <w:p w14:paraId="7AE52FA3" w14:textId="29640659" w:rsidR="003A0ABC" w:rsidRPr="00722C1D" w:rsidRDefault="0054116D" w:rsidP="00ED6FFF">
      <w:pPr>
        <w:pStyle w:val="ListParagraph"/>
        <w:numPr>
          <w:ilvl w:val="0"/>
          <w:numId w:val="27"/>
        </w:numPr>
      </w:pPr>
      <w:r w:rsidRPr="00722C1D">
        <w:t>I</w:t>
      </w:r>
      <w:r w:rsidR="003A0ABC" w:rsidRPr="00722C1D">
        <w:t xml:space="preserve">ncorporate the right to independent living in domestic law to ensure disabled people’s rights in, and to, care are protected and can be enforced. </w:t>
      </w:r>
    </w:p>
    <w:p w14:paraId="08C1083E" w14:textId="4E74E7D0" w:rsidR="002D221E" w:rsidRPr="00722C1D" w:rsidRDefault="002D221E" w:rsidP="00626159">
      <w:pPr>
        <w:pStyle w:val="Heading2"/>
      </w:pPr>
      <w:r w:rsidRPr="00722C1D">
        <w:t>Access to healthcare</w:t>
      </w:r>
    </w:p>
    <w:p w14:paraId="7065E21A" w14:textId="77777777" w:rsidR="002D221E" w:rsidRPr="00722C1D" w:rsidRDefault="002D221E" w:rsidP="002D221E">
      <w:r w:rsidRPr="00722C1D">
        <w:t>The UK and Welsh governments, as appropriate, should:</w:t>
      </w:r>
    </w:p>
    <w:p w14:paraId="0F9FE666" w14:textId="77777777" w:rsidR="002D221E" w:rsidRPr="00722C1D" w:rsidRDefault="002D221E" w:rsidP="00626159">
      <w:pPr>
        <w:pStyle w:val="ListParagraph"/>
        <w:numPr>
          <w:ilvl w:val="0"/>
          <w:numId w:val="26"/>
        </w:numPr>
        <w:spacing w:before="120" w:after="120"/>
      </w:pPr>
      <w:r w:rsidRPr="00722C1D">
        <w:t xml:space="preserve">Amend the Mental Health Act to improve access to mental health services, including community-based services, to meet the needs of protected characteristic groups and to address racial disproportionality in the use of compulsory detention and community treatment orders. </w:t>
      </w:r>
    </w:p>
    <w:p w14:paraId="6F48A7F1" w14:textId="3EE16C98" w:rsidR="002D221E" w:rsidRPr="00ED6FFF" w:rsidRDefault="002D221E" w:rsidP="00626159">
      <w:pPr>
        <w:pStyle w:val="ListParagraph"/>
        <w:numPr>
          <w:ilvl w:val="0"/>
          <w:numId w:val="26"/>
        </w:numPr>
        <w:spacing w:before="120" w:after="120"/>
      </w:pPr>
      <w:r w:rsidRPr="00722C1D">
        <w:t>Address barriers that protected characteristic and other groups face in accessing healthcare, including by improving providers’ knowledge of patients’ rights and by increasing capacity at gender identity services to tackle long waiting times.</w:t>
      </w:r>
    </w:p>
    <w:p w14:paraId="2D53F9A5" w14:textId="05395960" w:rsidR="003A0ABC" w:rsidRPr="00722C1D" w:rsidRDefault="003A0ABC" w:rsidP="00626159">
      <w:pPr>
        <w:pStyle w:val="Heading2"/>
      </w:pPr>
      <w:r w:rsidRPr="00722C1D">
        <w:t>Cultural life</w:t>
      </w:r>
    </w:p>
    <w:p w14:paraId="099CF6F3" w14:textId="63EFC2F6" w:rsidR="003A0ABC" w:rsidRPr="00722C1D" w:rsidRDefault="003A0ABC" w:rsidP="00626159">
      <w:pPr>
        <w:spacing w:after="120"/>
      </w:pPr>
      <w:r w:rsidRPr="00722C1D">
        <w:t xml:space="preserve">The UK and Welsh governments, as appropriate, should: </w:t>
      </w:r>
    </w:p>
    <w:p w14:paraId="65BA911B" w14:textId="10838BF9" w:rsidR="003A0ABC" w:rsidRPr="00722C1D" w:rsidRDefault="0054116D" w:rsidP="00626159">
      <w:pPr>
        <w:pStyle w:val="ListParagraph"/>
        <w:numPr>
          <w:ilvl w:val="0"/>
          <w:numId w:val="35"/>
        </w:numPr>
        <w:spacing w:before="120" w:after="120"/>
      </w:pPr>
      <w:r w:rsidRPr="00722C1D">
        <w:t>E</w:t>
      </w:r>
      <w:r w:rsidR="003A0ABC" w:rsidRPr="00722C1D">
        <w:t>stablish a regulatory framework for online service providers that gives effective protection from harm and for freedom of expression, ensuring all groups can fully and safely participate in cultural life online</w:t>
      </w:r>
      <w:r w:rsidRPr="00722C1D">
        <w:t>.</w:t>
      </w:r>
    </w:p>
    <w:p w14:paraId="415DA7ED" w14:textId="759F57E3" w:rsidR="003A0ABC" w:rsidRPr="00722C1D" w:rsidRDefault="0054116D" w:rsidP="00626159">
      <w:pPr>
        <w:pStyle w:val="ListParagraph"/>
        <w:numPr>
          <w:ilvl w:val="0"/>
          <w:numId w:val="35"/>
        </w:numPr>
        <w:spacing w:before="120" w:after="120"/>
      </w:pPr>
      <w:r w:rsidRPr="00722C1D">
        <w:t>P</w:t>
      </w:r>
      <w:r w:rsidR="003A0ABC" w:rsidRPr="00722C1D">
        <w:t>ublish regular updates on the impact of strategies to increase digital inclusion and assist the digitally excluded, including the impact on protected characteristic groups</w:t>
      </w:r>
      <w:r w:rsidRPr="00722C1D">
        <w:t>.</w:t>
      </w:r>
      <w:r w:rsidR="003A0ABC" w:rsidRPr="00722C1D">
        <w:t xml:space="preserve"> </w:t>
      </w:r>
    </w:p>
    <w:p w14:paraId="41001740" w14:textId="1A5C237F" w:rsidR="003A0ABC" w:rsidRPr="00722C1D" w:rsidRDefault="0054116D" w:rsidP="003F3381">
      <w:pPr>
        <w:pStyle w:val="ListParagraph"/>
        <w:numPr>
          <w:ilvl w:val="0"/>
          <w:numId w:val="35"/>
        </w:numPr>
      </w:pPr>
      <w:r w:rsidRPr="00722C1D">
        <w:t>W</w:t>
      </w:r>
      <w:r w:rsidR="003A0ABC" w:rsidRPr="00722C1D">
        <w:t>ork with partners to increase understanding of human rights, such as the right to take part in cultural life, among the public, policymakers, public authorities and other relevant institutions, including in areas such as sport.</w:t>
      </w:r>
    </w:p>
    <w:p w14:paraId="33AE99F8" w14:textId="56C0905E" w:rsidR="002D221E" w:rsidRDefault="002D221E">
      <w:pPr>
        <w:keepLines w:val="0"/>
        <w:spacing w:before="0" w:after="160" w:line="259" w:lineRule="auto"/>
      </w:pPr>
      <w:r>
        <w:br w:type="page"/>
      </w:r>
    </w:p>
    <w:p w14:paraId="4B40C27E" w14:textId="77777777" w:rsidR="002D221E" w:rsidRDefault="002D221E" w:rsidP="002D221E">
      <w:pPr>
        <w:pStyle w:val="Heading1"/>
      </w:pPr>
      <w:bookmarkStart w:id="14" w:name="_Toc116374507"/>
      <w:bookmarkStart w:id="15" w:name="_Toc121732391"/>
      <w:r>
        <w:lastRenderedPageBreak/>
        <w:t>Contacts</w:t>
      </w:r>
      <w:bookmarkEnd w:id="14"/>
      <w:bookmarkEnd w:id="15"/>
    </w:p>
    <w:p w14:paraId="4F62AF7D" w14:textId="77777777" w:rsidR="002D221E" w:rsidRPr="009D0BF2" w:rsidRDefault="002D221E" w:rsidP="002D221E">
      <w:r w:rsidRPr="009D0BF2">
        <w:t xml:space="preserve">This publication and related equality and human rights resources are available from </w:t>
      </w:r>
      <w:hyperlink r:id="rId22" w:history="1">
        <w:r w:rsidRPr="008116DB">
          <w:rPr>
            <w:rStyle w:val="Hyperlink"/>
            <w:kern w:val="28"/>
          </w:rPr>
          <w:t>our website</w:t>
        </w:r>
      </w:hyperlink>
      <w:r>
        <w:t>.</w:t>
      </w:r>
    </w:p>
    <w:p w14:paraId="17F33B82" w14:textId="77777777" w:rsidR="002D221E" w:rsidRDefault="002D221E" w:rsidP="002D221E">
      <w:r w:rsidRPr="009D0BF2">
        <w:t xml:space="preserve">Questions and comments regarding this publication may be addressed to: </w:t>
      </w:r>
      <w:hyperlink r:id="rId23" w:history="1">
        <w:r w:rsidRPr="00671F8C">
          <w:rPr>
            <w:rStyle w:val="Hyperlink"/>
            <w:kern w:val="28"/>
          </w:rPr>
          <w:t>correspondence@equalityhumanrights.com</w:t>
        </w:r>
      </w:hyperlink>
      <w:r w:rsidRPr="009D0BF2">
        <w:t xml:space="preserve">. </w:t>
      </w:r>
      <w:r>
        <w:t>We welcome</w:t>
      </w:r>
      <w:r w:rsidRPr="009D0BF2">
        <w:t xml:space="preserve"> your feedback</w:t>
      </w:r>
      <w:r>
        <w:t>.</w:t>
      </w:r>
    </w:p>
    <w:p w14:paraId="693EAFAF" w14:textId="77777777" w:rsidR="002D221E" w:rsidRPr="00B740F1" w:rsidRDefault="002D221E" w:rsidP="002D221E">
      <w:pPr>
        <w:rPr>
          <w:rStyle w:val="Hyperlink"/>
          <w:kern w:val="28"/>
          <w:u w:val="none"/>
        </w:rPr>
      </w:pPr>
      <w:r w:rsidRPr="00D74E35">
        <w:t xml:space="preserve">For information on accessing </w:t>
      </w:r>
      <w:r>
        <w:t>one of our</w:t>
      </w:r>
      <w:r w:rsidRPr="00D74E35">
        <w:t xml:space="preserve"> publication</w:t>
      </w:r>
      <w:r>
        <w:t>s</w:t>
      </w:r>
      <w:r w:rsidRPr="00D74E35">
        <w:t xml:space="preserve"> in an alternative format, please contact: </w:t>
      </w:r>
      <w:hyperlink r:id="rId24" w:history="1">
        <w:r w:rsidRPr="00D74E35">
          <w:rPr>
            <w:rStyle w:val="Hyperlink"/>
            <w:kern w:val="28"/>
          </w:rPr>
          <w:t>correspondence@equalityhumanrights.com</w:t>
        </w:r>
      </w:hyperlink>
      <w:r w:rsidRPr="00D74E35">
        <w:rPr>
          <w:rStyle w:val="Hyperlink"/>
          <w:kern w:val="28"/>
        </w:rPr>
        <w:t>.</w:t>
      </w:r>
    </w:p>
    <w:p w14:paraId="24E6B507" w14:textId="77777777" w:rsidR="002D221E" w:rsidRPr="008116DB" w:rsidRDefault="002D221E" w:rsidP="002D221E">
      <w:pPr>
        <w:rPr>
          <w:rStyle w:val="Hyperlink"/>
          <w:kern w:val="28"/>
        </w:rPr>
      </w:pPr>
      <w:r>
        <w:rPr>
          <w:rStyle w:val="Hyperlink"/>
          <w:kern w:val="28"/>
        </w:rPr>
        <w:t xml:space="preserve">Keep up to date with our latest news, events and publications by </w:t>
      </w:r>
      <w:hyperlink r:id="rId25" w:history="1">
        <w:r w:rsidRPr="008116DB">
          <w:rPr>
            <w:rStyle w:val="Hyperlink"/>
            <w:kern w:val="28"/>
          </w:rPr>
          <w:t>signing up to our e-newsletter</w:t>
        </w:r>
      </w:hyperlink>
      <w:r>
        <w:rPr>
          <w:rStyle w:val="Hyperlink"/>
          <w:kern w:val="28"/>
        </w:rPr>
        <w:t>.</w:t>
      </w:r>
    </w:p>
    <w:p w14:paraId="41BB88F6" w14:textId="085018BC" w:rsidR="002D221E" w:rsidRPr="00E460A5" w:rsidRDefault="002D221E" w:rsidP="002D221E">
      <w:pPr>
        <w:pStyle w:val="Heading2"/>
      </w:pPr>
      <w:bookmarkStart w:id="16" w:name="_Toc116374508"/>
      <w:bookmarkStart w:id="17" w:name="_Toc121732392"/>
      <w:r w:rsidRPr="00E460A5">
        <w:t>E</w:t>
      </w:r>
      <w:r w:rsidR="00B10E73">
        <w:t>quality Advisory and Support Service (E</w:t>
      </w:r>
      <w:r w:rsidRPr="00E460A5">
        <w:t>ASS</w:t>
      </w:r>
      <w:bookmarkEnd w:id="16"/>
      <w:bookmarkEnd w:id="17"/>
      <w:r w:rsidR="00B10E73">
        <w:t>)</w:t>
      </w:r>
    </w:p>
    <w:p w14:paraId="528220C7" w14:textId="4E29F861" w:rsidR="002D221E" w:rsidRPr="009D0BF2" w:rsidRDefault="002D221E" w:rsidP="002D221E">
      <w:r w:rsidRPr="009D0BF2">
        <w:t xml:space="preserve">For advice, information or guidance on equality, discrimination or human rights issues, please contact the </w:t>
      </w:r>
      <w:hyperlink r:id="rId26" w:history="1">
        <w:r w:rsidRPr="008116DB">
          <w:rPr>
            <w:rStyle w:val="Hyperlink"/>
            <w:kern w:val="28"/>
          </w:rPr>
          <w:t>EASS</w:t>
        </w:r>
      </w:hyperlink>
      <w:r w:rsidRPr="009D0BF2">
        <w:t>, a free and independent service.</w:t>
      </w:r>
    </w:p>
    <w:p w14:paraId="65306335" w14:textId="77777777" w:rsidR="002D221E" w:rsidRPr="009D0BF2" w:rsidRDefault="002D221E" w:rsidP="002D221E">
      <w:pPr>
        <w:rPr>
          <w:color w:val="000000"/>
        </w:rPr>
      </w:pPr>
      <w:r w:rsidRPr="009D0BF2">
        <w:rPr>
          <w:color w:val="000000"/>
        </w:rPr>
        <w:t xml:space="preserve">Telephone </w:t>
      </w:r>
      <w:r w:rsidRPr="009D0BF2">
        <w:rPr>
          <w:color w:val="000000"/>
        </w:rPr>
        <w:tab/>
        <w:t>0808 800 0082</w:t>
      </w:r>
    </w:p>
    <w:p w14:paraId="0C5ADE32" w14:textId="77777777" w:rsidR="002D221E" w:rsidRPr="009D0BF2" w:rsidRDefault="002D221E" w:rsidP="002D221E">
      <w:pPr>
        <w:rPr>
          <w:color w:val="000000"/>
        </w:rPr>
      </w:pPr>
      <w:r w:rsidRPr="009D0BF2">
        <w:rPr>
          <w:color w:val="000000"/>
        </w:rPr>
        <w:t xml:space="preserve">Textphone </w:t>
      </w:r>
      <w:r w:rsidRPr="009D0BF2">
        <w:rPr>
          <w:color w:val="000000"/>
        </w:rPr>
        <w:tab/>
        <w:t>0808 800 0084</w:t>
      </w:r>
    </w:p>
    <w:p w14:paraId="150AD3E5" w14:textId="77777777" w:rsidR="002D221E" w:rsidRPr="009D0BF2" w:rsidRDefault="002D221E" w:rsidP="002D221E">
      <w:pPr>
        <w:rPr>
          <w:color w:val="000000"/>
        </w:rPr>
      </w:pPr>
      <w:r>
        <w:rPr>
          <w:color w:val="000000"/>
        </w:rPr>
        <w:t xml:space="preserve">Hours </w:t>
      </w:r>
      <w:r>
        <w:rPr>
          <w:color w:val="000000"/>
        </w:rPr>
        <w:tab/>
      </w:r>
      <w:r>
        <w:rPr>
          <w:color w:val="000000"/>
        </w:rPr>
        <w:tab/>
        <w:t>09:00 to 19</w:t>
      </w:r>
      <w:r w:rsidRPr="009D0BF2">
        <w:rPr>
          <w:color w:val="000000"/>
        </w:rPr>
        <w:t>:00 (Monday to Friday)</w:t>
      </w:r>
    </w:p>
    <w:p w14:paraId="5B6FC6B7" w14:textId="77777777" w:rsidR="002D221E" w:rsidRPr="009D0BF2" w:rsidRDefault="002D221E" w:rsidP="002D221E">
      <w:pPr>
        <w:rPr>
          <w:color w:val="000000"/>
        </w:rPr>
      </w:pPr>
      <w:r w:rsidRPr="009D0BF2">
        <w:rPr>
          <w:color w:val="000000"/>
        </w:rPr>
        <w:tab/>
      </w:r>
      <w:r w:rsidRPr="009D0BF2">
        <w:rPr>
          <w:color w:val="000000"/>
        </w:rPr>
        <w:tab/>
        <w:t>10:00 to 14:00 (Saturday)</w:t>
      </w:r>
    </w:p>
    <w:p w14:paraId="6A27421B" w14:textId="77777777" w:rsidR="002D221E" w:rsidRPr="004E2C9C" w:rsidRDefault="002D221E" w:rsidP="002D221E">
      <w:pPr>
        <w:rPr>
          <w:color w:val="000000"/>
        </w:rPr>
      </w:pPr>
      <w:r w:rsidRPr="009D0BF2">
        <w:rPr>
          <w:color w:val="000000"/>
        </w:rPr>
        <w:t xml:space="preserve">Post </w:t>
      </w:r>
      <w:r w:rsidRPr="009D0BF2">
        <w:rPr>
          <w:color w:val="000000"/>
        </w:rPr>
        <w:tab/>
      </w:r>
      <w:r w:rsidRPr="009D0BF2">
        <w:rPr>
          <w:color w:val="000000"/>
        </w:rPr>
        <w:tab/>
        <w:t xml:space="preserve">FREEPOST </w:t>
      </w:r>
      <w:r>
        <w:rPr>
          <w:color w:val="000000"/>
        </w:rPr>
        <w:t xml:space="preserve">EASS HELPLINE </w:t>
      </w:r>
      <w:r w:rsidRPr="009D0BF2">
        <w:rPr>
          <w:color w:val="000000"/>
        </w:rPr>
        <w:t>FPN</w:t>
      </w:r>
      <w:r>
        <w:rPr>
          <w:color w:val="000000"/>
        </w:rPr>
        <w:t>6521</w:t>
      </w:r>
    </w:p>
    <w:p w14:paraId="7F1FE7A9" w14:textId="430D46E6" w:rsidR="002D221E" w:rsidRPr="009D0BF2" w:rsidRDefault="002D221E" w:rsidP="002D221E">
      <w:pPr>
        <w:spacing w:before="400"/>
      </w:pPr>
      <w:r w:rsidRPr="00190AD7">
        <w:t>© 2022</w:t>
      </w:r>
      <w:r w:rsidR="00190AD7">
        <w:t xml:space="preserve"> </w:t>
      </w:r>
      <w:r w:rsidRPr="009D0BF2">
        <w:t>Equality and Human Rights Commission</w:t>
      </w:r>
    </w:p>
    <w:p w14:paraId="06074724" w14:textId="1962E0F8" w:rsidR="002D221E" w:rsidRDefault="002D221E" w:rsidP="002D221E">
      <w:r>
        <w:t xml:space="preserve">Published </w:t>
      </w:r>
      <w:r w:rsidR="00190AD7">
        <w:t>December 2022</w:t>
      </w:r>
    </w:p>
    <w:p w14:paraId="6040F696" w14:textId="1ACE355D" w:rsidR="002D221E" w:rsidRPr="00B740F1" w:rsidRDefault="002D221E" w:rsidP="002D221E">
      <w:pPr>
        <w:rPr>
          <w:b/>
        </w:rPr>
      </w:pPr>
      <w:r>
        <w:t xml:space="preserve">ISBN: </w:t>
      </w:r>
      <w:r w:rsidR="00190AD7" w:rsidRPr="00190AD7">
        <w:t>978-1-84206-871-7</w:t>
      </w:r>
    </w:p>
    <w:p w14:paraId="346F3CB1" w14:textId="77777777" w:rsidR="00155E46" w:rsidRPr="00722C1D" w:rsidRDefault="00155E46" w:rsidP="00CF2926">
      <w:pPr>
        <w:keepLines w:val="0"/>
        <w:spacing w:before="0" w:after="160" w:line="259" w:lineRule="auto"/>
      </w:pPr>
    </w:p>
    <w:sectPr w:rsidR="00155E46" w:rsidRPr="00722C1D" w:rsidSect="00FB7D65">
      <w:headerReference w:type="even" r:id="rId27"/>
      <w:headerReference w:type="default" r:id="rId28"/>
      <w:footerReference w:type="even" r:id="rId29"/>
      <w:footerReference w:type="default" r:id="rId30"/>
      <w:headerReference w:type="first" r:id="rId31"/>
      <w:footerReference w:type="first" r:id="rId32"/>
      <w:endnotePr>
        <w:numFmt w:val="decimal"/>
      </w:endnotePr>
      <w:pgSz w:w="11906" w:h="16838"/>
      <w:pgMar w:top="1814" w:right="1644" w:bottom="567" w:left="1644" w:header="340" w:footer="454" w:gutter="0"/>
      <w:pgNumType w:start="0"/>
      <w:cols w:space="708"/>
      <w:titlePg/>
      <w:docGrid w:linePitch="381"/>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45621C" w16cex:dateUtc="2022-12-15T09:06:00Z"/>
  <w16cex:commentExtensible w16cex:durableId="27456ACD" w16cex:dateUtc="2022-12-15T09:43:00Z"/>
  <w16cex:commentExtensible w16cex:durableId="27456DB0" w16cex:dateUtc="2022-12-15T09:56:00Z"/>
  <w16cex:commentExtensible w16cex:durableId="27458ADA" w16cex:dateUtc="2022-12-15T12:00:00Z"/>
  <w16cex:commentExtensible w16cex:durableId="27459AAE" w16cex:dateUtc="2022-12-15T13:07:00Z"/>
  <w16cex:commentExtensible w16cex:durableId="274571B1" w16cex:dateUtc="2022-12-15T10:13:00Z"/>
  <w16cex:commentExtensible w16cex:durableId="27457337" w16cex:dateUtc="2022-12-15T10:19:00Z"/>
  <w16cex:commentExtensible w16cex:durableId="27457912" w16cex:dateUtc="2022-12-15T10:44:00Z"/>
  <w16cex:commentExtensible w16cex:durableId="27457AC9" w16cex:dateUtc="2022-12-15T10:51:00Z"/>
  <w16cex:commentExtensible w16cex:durableId="27457C10" w16cex:dateUtc="2022-12-15T10:57:00Z"/>
  <w16cex:commentExtensible w16cex:durableId="2745B1F0" w16cex:dateUtc="2022-12-15T14:47:00Z"/>
  <w16cex:commentExtensible w16cex:durableId="2745B4AB" w16cex:dateUtc="2022-12-15T14:5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EDD6DE3" w16cid:durableId="2745621C"/>
  <w16cid:commentId w16cid:paraId="4C2166C4" w16cid:durableId="27456ACD"/>
  <w16cid:commentId w16cid:paraId="53E7208B" w16cid:durableId="27456DB0"/>
  <w16cid:commentId w16cid:paraId="4E7B07DD" w16cid:durableId="27458ADA"/>
  <w16cid:commentId w16cid:paraId="09045075" w16cid:durableId="27459AAE"/>
  <w16cid:commentId w16cid:paraId="64728E22" w16cid:durableId="274571B1"/>
  <w16cid:commentId w16cid:paraId="15A6FCD8" w16cid:durableId="27457337"/>
  <w16cid:commentId w16cid:paraId="67891EE3" w16cid:durableId="27457912"/>
  <w16cid:commentId w16cid:paraId="48A2F28F" w16cid:durableId="27457AC9"/>
  <w16cid:commentId w16cid:paraId="4EF29257" w16cid:durableId="27457C10"/>
  <w16cid:commentId w16cid:paraId="39C2C38B" w16cid:durableId="2745B1F0"/>
  <w16cid:commentId w16cid:paraId="174AB449" w16cid:durableId="2745B4AB"/>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17EECD" w14:textId="77777777" w:rsidR="003E4C7F" w:rsidRDefault="003E4C7F" w:rsidP="005E4512">
      <w:r>
        <w:separator/>
      </w:r>
    </w:p>
    <w:p w14:paraId="6531084F" w14:textId="77777777" w:rsidR="003E4C7F" w:rsidRDefault="003E4C7F"/>
  </w:endnote>
  <w:endnote w:type="continuationSeparator" w:id="0">
    <w:p w14:paraId="402723B0" w14:textId="77777777" w:rsidR="003E4C7F" w:rsidRDefault="003E4C7F" w:rsidP="005E4512">
      <w:r>
        <w:continuationSeparator/>
      </w:r>
    </w:p>
    <w:p w14:paraId="3890E52A" w14:textId="77777777" w:rsidR="003E4C7F" w:rsidRDefault="003E4C7F"/>
  </w:endnote>
  <w:endnote w:type="continuationNotice" w:id="1">
    <w:p w14:paraId="043B6712" w14:textId="77777777" w:rsidR="003E4C7F" w:rsidRDefault="003E4C7F">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435ECC" w14:textId="31B8311E" w:rsidR="003E4C7F" w:rsidRDefault="003E4C7F">
    <w:pPr>
      <w:pStyle w:val="Footer"/>
    </w:pPr>
    <w:r>
      <w:rPr>
        <w:noProof/>
        <w:lang w:eastAsia="en-GB"/>
      </w:rPr>
      <mc:AlternateContent>
        <mc:Choice Requires="wps">
          <w:drawing>
            <wp:anchor distT="0" distB="0" distL="0" distR="0" simplePos="0" relativeHeight="251662336" behindDoc="0" locked="0" layoutInCell="1" allowOverlap="1" wp14:anchorId="02411CE6" wp14:editId="1C285C65">
              <wp:simplePos x="635" y="635"/>
              <wp:positionH relativeFrom="column">
                <wp:align>center</wp:align>
              </wp:positionH>
              <wp:positionV relativeFrom="paragraph">
                <wp:posOffset>635</wp:posOffset>
              </wp:positionV>
              <wp:extent cx="443865" cy="443865"/>
              <wp:effectExtent l="0" t="0" r="1905" b="17145"/>
              <wp:wrapSquare wrapText="bothSides"/>
              <wp:docPr id="6" name="Text Box 6" descr="OFFICIAL-SENSITIVE">
                <a:extLst xmlns:a="http://schemas.openxmlformats.org/drawingml/2006/main">
                  <a:ext uri="{5AE41FA2-C0FF-4470-9BD4-5FADCA87CBE2}">
                    <aclsh:classification xmlns:aclsh="http://schemas.microsoft.com/office/drawing/2020/classificationShap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888BF5E" w14:textId="71225BC0" w:rsidR="003E4C7F" w:rsidRPr="00A438D9" w:rsidRDefault="003E4C7F">
                          <w:pPr>
                            <w:rPr>
                              <w:rFonts w:ascii="Calibri" w:eastAsia="Calibri" w:hAnsi="Calibri" w:cs="Calibri"/>
                              <w:noProof/>
                              <w:color w:val="FF0000"/>
                              <w:sz w:val="28"/>
                              <w:szCs w:val="28"/>
                            </w:rPr>
                          </w:pPr>
                          <w:r w:rsidRPr="00A438D9">
                            <w:rPr>
                              <w:rFonts w:ascii="Calibri" w:eastAsia="Calibri" w:hAnsi="Calibri" w:cs="Calibri"/>
                              <w:noProof/>
                              <w:color w:val="FF0000"/>
                              <w:sz w:val="28"/>
                              <w:szCs w:val="28"/>
                            </w:rPr>
                            <w:t>OFFICIAL-SENSITIVE</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02411CE6" id="_x0000_t202" coordsize="21600,21600" o:spt="202" path="m,l,21600r21600,l21600,xe">
              <v:stroke joinstyle="miter"/>
              <v:path gradientshapeok="t" o:connecttype="rect"/>
            </v:shapetype>
            <v:shape id="Text Box 6" o:spid="_x0000_s1027" type="#_x0000_t202" alt="OFFICIAL-SENSITIVE" style="position:absolute;margin-left:0;margin-top:.05pt;width:34.95pt;height:34.95pt;z-index:251662336;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" filled="f" stroked="f">
              <v:textbox style="mso-fit-shape-to-text:t" inset="0,0,0,0">
                <w:txbxContent>
                  <w:p w14:paraId="3888BF5E" w14:textId="71225BC0" w:rsidR="008162C0" w:rsidRPr="00A438D9" w:rsidRDefault="008162C0">
                    <w:pPr>
                      <w:rPr>
                        <w:rFonts w:ascii="Calibri" w:eastAsia="Calibri" w:hAnsi="Calibri" w:cs="Calibri"/>
                        <w:noProof/>
                        <w:color w:val="FF0000"/>
                        <w:sz w:val="28"/>
                        <w:szCs w:val="28"/>
                      </w:rPr>
                    </w:pPr>
                    <w:r w:rsidRPr="00A438D9">
                      <w:rPr>
                        <w:rFonts w:ascii="Calibri" w:eastAsia="Calibri" w:hAnsi="Calibri" w:cs="Calibri"/>
                        <w:noProof/>
                        <w:color w:val="FF0000"/>
                        <w:sz w:val="28"/>
                        <w:szCs w:val="28"/>
                      </w:rPr>
                      <w:t>OFFICIAL-SENSITIVE</w:t>
                    </w:r>
                  </w:p>
                </w:txbxContent>
              </v:textbox>
              <w10:wrap type="square"/>
            </v:shape>
          </w:pict>
        </mc:Fallback>
      </mc:AlternateContent>
    </w:r>
  </w:p>
  <w:p w14:paraId="12989BFE" w14:textId="77777777" w:rsidR="003E4C7F" w:rsidRDefault="003E4C7F"/>
  <w:p w14:paraId="03A52556" w14:textId="77777777" w:rsidR="003E4C7F" w:rsidRDefault="003E4C7F"/>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BE9A83" w14:textId="23EE877D" w:rsidR="003E4C7F" w:rsidRPr="00FB7D65" w:rsidRDefault="00AE0A09" w:rsidP="00FB7D65">
    <w:pPr>
      <w:pStyle w:val="Footer"/>
      <w:pBdr>
        <w:top w:val="single" w:sz="12" w:space="4" w:color="0B4E60" w:themeColor="text2"/>
      </w:pBdr>
      <w:ind w:left="-851" w:right="-738"/>
      <w:jc w:val="center"/>
    </w:pPr>
    <w:sdt>
      <w:sdtPr>
        <w:id w:val="-1629386642"/>
        <w:docPartObj>
          <w:docPartGallery w:val="Page Numbers (Bottom of Page)"/>
          <w:docPartUnique/>
        </w:docPartObj>
      </w:sdtPr>
      <w:sdtEndPr>
        <w:rPr>
          <w:noProof/>
        </w:rPr>
      </w:sdtEndPr>
      <w:sdtContent>
        <w:r w:rsidR="003E4C7F" w:rsidRPr="00325310">
          <w:fldChar w:fldCharType="begin"/>
        </w:r>
        <w:r w:rsidR="003E4C7F" w:rsidRPr="00325310">
          <w:instrText xml:space="preserve"> PAGE   \* MERGEFORMAT </w:instrText>
        </w:r>
        <w:r w:rsidR="003E4C7F" w:rsidRPr="00325310">
          <w:fldChar w:fldCharType="separate"/>
        </w:r>
        <w:r>
          <w:rPr>
            <w:noProof/>
          </w:rPr>
          <w:t>3</w:t>
        </w:r>
        <w:r w:rsidR="003E4C7F" w:rsidRPr="00325310">
          <w:rPr>
            <w:noProof/>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545381" w14:textId="25D016E0" w:rsidR="003E4C7F" w:rsidRPr="00CF43D8" w:rsidRDefault="00AE0A09" w:rsidP="00A329F4">
    <w:pPr>
      <w:pStyle w:val="Footer"/>
      <w:ind w:right="-880"/>
      <w:jc w:val="right"/>
      <w:rPr>
        <w:b/>
        <w:color w:val="009C98" w:themeColor="accent1"/>
      </w:rPr>
    </w:pPr>
    <w:hyperlink r:id="rId1" w:history="1">
      <w:r w:rsidR="003E4C7F" w:rsidRPr="00CF43D8">
        <w:rPr>
          <w:rStyle w:val="Hyperlink"/>
          <w:b/>
          <w:color w:val="009C98" w:themeColor="accent1"/>
          <w:u w:val="none"/>
        </w:rPr>
        <w:t>equalityhumanrights.com</w:t>
      </w:r>
    </w:hyperlink>
  </w:p>
  <w:p w14:paraId="75145374" w14:textId="77777777" w:rsidR="003E4C7F" w:rsidRDefault="003E4C7F" w:rsidP="00B54A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9BAE6F" w14:textId="77777777" w:rsidR="003E4C7F" w:rsidRPr="00A91B02" w:rsidRDefault="003E4C7F" w:rsidP="00A91B02">
      <w:pPr>
        <w:pStyle w:val="Footer"/>
        <w:pBdr>
          <w:between w:val="single" w:sz="18" w:space="1" w:color="009C98" w:themeColor="accent1"/>
        </w:pBdr>
      </w:pPr>
      <w:r>
        <w:separator/>
      </w:r>
    </w:p>
    <w:p w14:paraId="177FC233" w14:textId="77777777" w:rsidR="003E4C7F" w:rsidRDefault="003E4C7F"/>
  </w:footnote>
  <w:footnote w:type="continuationSeparator" w:id="0">
    <w:p w14:paraId="7DD2F673" w14:textId="77777777" w:rsidR="003E4C7F" w:rsidRDefault="003E4C7F" w:rsidP="005E4512">
      <w:r>
        <w:continuationSeparator/>
      </w:r>
    </w:p>
    <w:p w14:paraId="214591D1" w14:textId="77777777" w:rsidR="003E4C7F" w:rsidRDefault="003E4C7F"/>
  </w:footnote>
  <w:footnote w:type="continuationNotice" w:id="1">
    <w:p w14:paraId="2D786B9C" w14:textId="77777777" w:rsidR="003E4C7F" w:rsidRDefault="003E4C7F">
      <w:pPr>
        <w:spacing w:before="0" w:line="240" w:lineRule="auto"/>
      </w:pPr>
    </w:p>
  </w:footnote>
  <w:footnote w:id="2">
    <w:p w14:paraId="287BA574" w14:textId="7A9F8A10" w:rsidR="003E4C7F" w:rsidRPr="002D221E" w:rsidRDefault="003E4C7F">
      <w:pPr>
        <w:pStyle w:val="FootnoteText"/>
        <w:rPr>
          <w:rFonts w:cstheme="minorHAnsi"/>
          <w:szCs w:val="24"/>
        </w:rPr>
      </w:pPr>
      <w:r w:rsidRPr="002D221E">
        <w:rPr>
          <w:rStyle w:val="FootnoteReference"/>
          <w:rFonts w:cstheme="minorHAnsi"/>
          <w:szCs w:val="24"/>
        </w:rPr>
        <w:footnoteRef/>
      </w:r>
      <w:r w:rsidRPr="002D221E">
        <w:rPr>
          <w:rFonts w:cstheme="minorHAnsi"/>
          <w:szCs w:val="24"/>
        </w:rPr>
        <w:t xml:space="preserve"> </w:t>
      </w:r>
      <w:hyperlink r:id="rId1" w:history="1">
        <w:r w:rsidRPr="002D221E">
          <w:rPr>
            <w:rStyle w:val="Hyperlink"/>
            <w:rFonts w:cstheme="minorHAnsi"/>
            <w:szCs w:val="24"/>
          </w:rPr>
          <w:t>Equality Act 2006</w:t>
        </w:r>
      </w:hyperlink>
      <w:r w:rsidRPr="002D221E">
        <w:rPr>
          <w:rFonts w:cstheme="minorHAnsi"/>
          <w:szCs w:val="24"/>
        </w:rPr>
        <w:t>, section 9.</w:t>
      </w:r>
    </w:p>
  </w:footnote>
  <w:footnote w:id="3">
    <w:p w14:paraId="707EDD77" w14:textId="28FEFA04" w:rsidR="003E4C7F" w:rsidRPr="002D221E" w:rsidRDefault="003E4C7F" w:rsidP="009A6C72">
      <w:pPr>
        <w:pStyle w:val="FootnoteText"/>
        <w:rPr>
          <w:rFonts w:cstheme="minorHAnsi"/>
          <w:szCs w:val="24"/>
        </w:rPr>
      </w:pPr>
      <w:r w:rsidRPr="002D221E">
        <w:rPr>
          <w:rStyle w:val="FootnoteReference"/>
          <w:rFonts w:cstheme="minorHAnsi"/>
          <w:szCs w:val="24"/>
        </w:rPr>
        <w:footnoteRef/>
      </w:r>
      <w:r w:rsidRPr="002D221E">
        <w:rPr>
          <w:rFonts w:cstheme="minorHAnsi"/>
          <w:szCs w:val="24"/>
        </w:rPr>
        <w:t xml:space="preserve"> UK Government (2022), </w:t>
      </w:r>
      <w:hyperlink r:id="rId2" w:history="1">
        <w:r w:rsidRPr="002D221E">
          <w:rPr>
            <w:rStyle w:val="Hyperlink"/>
            <w:rFonts w:cstheme="minorHAnsi"/>
            <w:szCs w:val="24"/>
          </w:rPr>
          <w:t>The United Kingdom’s 7th periodic report under the United Nations Convention on Economic, Social and Cultural Rights</w:t>
        </w:r>
      </w:hyperlink>
      <w:r w:rsidRPr="002D221E">
        <w:rPr>
          <w:rFonts w:cstheme="minorHAnsi"/>
          <w:szCs w:val="24"/>
        </w:rPr>
        <w:t xml:space="preserve"> [accessed: 26 October 2022].</w:t>
      </w:r>
    </w:p>
  </w:footnote>
  <w:footnote w:id="4">
    <w:p w14:paraId="4E030C3A" w14:textId="78A6CED6" w:rsidR="003E4C7F" w:rsidRPr="002D221E" w:rsidRDefault="003E4C7F" w:rsidP="009A6C72">
      <w:pPr>
        <w:pStyle w:val="FootnoteText"/>
        <w:rPr>
          <w:rFonts w:cstheme="minorHAnsi"/>
          <w:szCs w:val="24"/>
        </w:rPr>
      </w:pPr>
      <w:r w:rsidRPr="002D221E">
        <w:rPr>
          <w:rStyle w:val="FootnoteReference"/>
          <w:rFonts w:cstheme="minorHAnsi"/>
          <w:szCs w:val="24"/>
        </w:rPr>
        <w:footnoteRef/>
      </w:r>
      <w:r w:rsidRPr="002D221E">
        <w:rPr>
          <w:rFonts w:cstheme="minorHAnsi"/>
          <w:szCs w:val="24"/>
        </w:rPr>
        <w:t xml:space="preserve"> E</w:t>
      </w:r>
      <w:r>
        <w:rPr>
          <w:rFonts w:cstheme="minorHAnsi"/>
          <w:szCs w:val="24"/>
        </w:rPr>
        <w:t xml:space="preserve">quality and </w:t>
      </w:r>
      <w:r w:rsidRPr="002D221E">
        <w:rPr>
          <w:rFonts w:cstheme="minorHAnsi"/>
          <w:szCs w:val="24"/>
        </w:rPr>
        <w:t>H</w:t>
      </w:r>
      <w:r>
        <w:rPr>
          <w:rFonts w:cstheme="minorHAnsi"/>
          <w:szCs w:val="24"/>
        </w:rPr>
        <w:t xml:space="preserve">uman </w:t>
      </w:r>
      <w:r w:rsidRPr="002D221E">
        <w:rPr>
          <w:rFonts w:cstheme="minorHAnsi"/>
          <w:szCs w:val="24"/>
        </w:rPr>
        <w:t>R</w:t>
      </w:r>
      <w:r>
        <w:rPr>
          <w:rFonts w:cstheme="minorHAnsi"/>
          <w:szCs w:val="24"/>
        </w:rPr>
        <w:t xml:space="preserve">ights </w:t>
      </w:r>
      <w:r w:rsidRPr="002D221E">
        <w:rPr>
          <w:rFonts w:cstheme="minorHAnsi"/>
          <w:szCs w:val="24"/>
        </w:rPr>
        <w:t>C</w:t>
      </w:r>
      <w:r>
        <w:rPr>
          <w:rFonts w:cstheme="minorHAnsi"/>
          <w:szCs w:val="24"/>
        </w:rPr>
        <w:t>ommission</w:t>
      </w:r>
      <w:r w:rsidRPr="002D221E">
        <w:rPr>
          <w:rFonts w:cstheme="minorHAnsi"/>
          <w:szCs w:val="24"/>
        </w:rPr>
        <w:t xml:space="preserve"> (2019), </w:t>
      </w:r>
      <w:hyperlink r:id="rId3" w:history="1">
        <w:r w:rsidRPr="002D221E">
          <w:rPr>
            <w:rStyle w:val="Hyperlink"/>
            <w:rFonts w:cstheme="minorHAnsi"/>
            <w:szCs w:val="24"/>
          </w:rPr>
          <w:t>Briefing on the Sustainable Development Goals</w:t>
        </w:r>
      </w:hyperlink>
      <w:r w:rsidRPr="002D221E">
        <w:rPr>
          <w:rFonts w:cstheme="minorHAnsi"/>
          <w:szCs w:val="24"/>
        </w:rPr>
        <w:t xml:space="preserve"> [accessed: 26 October 2022].</w:t>
      </w:r>
    </w:p>
  </w:footnote>
  <w:footnote w:id="5">
    <w:p w14:paraId="11CC4474" w14:textId="75EA1FA7" w:rsidR="003E4C7F" w:rsidRPr="002D221E" w:rsidRDefault="003E4C7F">
      <w:pPr>
        <w:pStyle w:val="FootnoteText"/>
        <w:rPr>
          <w:rFonts w:cstheme="minorHAnsi"/>
          <w:szCs w:val="24"/>
        </w:rPr>
      </w:pPr>
      <w:r w:rsidRPr="002D221E">
        <w:rPr>
          <w:rStyle w:val="FootnoteReference"/>
          <w:rFonts w:cstheme="minorHAnsi"/>
          <w:szCs w:val="24"/>
        </w:rPr>
        <w:footnoteRef/>
      </w:r>
      <w:r w:rsidRPr="002D221E">
        <w:rPr>
          <w:rFonts w:cstheme="minorHAnsi"/>
          <w:szCs w:val="24"/>
        </w:rPr>
        <w:t xml:space="preserve"> Just Fair, </w:t>
      </w:r>
      <w:hyperlink r:id="rId4" w:history="1">
        <w:r w:rsidRPr="002D221E">
          <w:rPr>
            <w:rStyle w:val="Hyperlink"/>
            <w:rFonts w:cstheme="minorHAnsi"/>
            <w:szCs w:val="24"/>
          </w:rPr>
          <w:t>The International Covenant on Economic, Social and Cultural Rights: parallel report on behalf of civil society in England and Wales</w:t>
        </w:r>
      </w:hyperlink>
      <w:r w:rsidRPr="002D221E">
        <w:rPr>
          <w:rFonts w:cstheme="minorHAnsi"/>
          <w:szCs w:val="24"/>
        </w:rPr>
        <w:t xml:space="preserve"> [accessed: 15 November 2022].</w:t>
      </w:r>
    </w:p>
  </w:footnote>
  <w:footnote w:id="6">
    <w:p w14:paraId="2E301962" w14:textId="7049C4B2" w:rsidR="003E4C7F" w:rsidRPr="002D221E" w:rsidRDefault="003E4C7F">
      <w:pPr>
        <w:pStyle w:val="FootnoteText"/>
        <w:rPr>
          <w:rFonts w:cstheme="minorHAnsi"/>
          <w:szCs w:val="24"/>
        </w:rPr>
      </w:pPr>
      <w:r w:rsidRPr="002D221E">
        <w:rPr>
          <w:rStyle w:val="FootnoteReference"/>
          <w:rFonts w:cstheme="minorHAnsi"/>
          <w:szCs w:val="24"/>
        </w:rPr>
        <w:footnoteRef/>
      </w:r>
      <w:r w:rsidRPr="002D221E">
        <w:rPr>
          <w:rFonts w:cstheme="minorHAnsi"/>
          <w:szCs w:val="24"/>
        </w:rPr>
        <w:t xml:space="preserve"> Committee on the Elimination of Discrimination against Women (2021), </w:t>
      </w:r>
      <w:hyperlink r:id="rId5" w:history="1">
        <w:r w:rsidRPr="002D221E">
          <w:rPr>
            <w:rStyle w:val="Hyperlink"/>
            <w:rFonts w:cstheme="minorHAnsi"/>
            <w:szCs w:val="24"/>
          </w:rPr>
          <w:t>Information received from the United Kingdom of Great Britain and Northern Ireland on follow-up to the concluding observations on its eighth periodic review</w:t>
        </w:r>
      </w:hyperlink>
      <w:r w:rsidRPr="002D221E">
        <w:rPr>
          <w:rFonts w:cstheme="minorHAnsi"/>
          <w:szCs w:val="24"/>
        </w:rPr>
        <w:t xml:space="preserve"> [accessed: 8 December 2022], para 3. </w:t>
      </w:r>
    </w:p>
  </w:footnote>
  <w:footnote w:id="7">
    <w:p w14:paraId="4D4501CA" w14:textId="62B7756F" w:rsidR="003E4C7F" w:rsidRPr="002D221E" w:rsidRDefault="003E4C7F" w:rsidP="00131877">
      <w:pPr>
        <w:pStyle w:val="FootnoteText"/>
        <w:rPr>
          <w:rFonts w:cstheme="minorHAnsi"/>
          <w:szCs w:val="24"/>
        </w:rPr>
      </w:pPr>
      <w:r w:rsidRPr="002D221E">
        <w:rPr>
          <w:rStyle w:val="FootnoteReference"/>
          <w:rFonts w:cstheme="minorHAnsi"/>
          <w:szCs w:val="24"/>
        </w:rPr>
        <w:footnoteRef/>
      </w:r>
      <w:r w:rsidRPr="002D221E">
        <w:rPr>
          <w:rFonts w:cstheme="minorHAnsi"/>
          <w:szCs w:val="24"/>
        </w:rPr>
        <w:t xml:space="preserve"> Welsh Government (2022), </w:t>
      </w:r>
      <w:hyperlink r:id="rId6" w:history="1">
        <w:r w:rsidRPr="002D221E">
          <w:rPr>
            <w:rStyle w:val="Hyperlink"/>
            <w:rFonts w:cstheme="minorHAnsi"/>
            <w:szCs w:val="24"/>
          </w:rPr>
          <w:t xml:space="preserve">Strengthening and </w:t>
        </w:r>
        <w:r>
          <w:rPr>
            <w:rStyle w:val="Hyperlink"/>
            <w:rFonts w:cstheme="minorHAnsi"/>
            <w:szCs w:val="24"/>
          </w:rPr>
          <w:t>A</w:t>
        </w:r>
        <w:r w:rsidRPr="002D221E">
          <w:rPr>
            <w:rStyle w:val="Hyperlink"/>
            <w:rFonts w:cstheme="minorHAnsi"/>
            <w:szCs w:val="24"/>
          </w:rPr>
          <w:t xml:space="preserve">dvancing </w:t>
        </w:r>
        <w:r>
          <w:rPr>
            <w:rStyle w:val="Hyperlink"/>
            <w:rFonts w:cstheme="minorHAnsi"/>
            <w:szCs w:val="24"/>
          </w:rPr>
          <w:t>E</w:t>
        </w:r>
        <w:r w:rsidRPr="002D221E">
          <w:rPr>
            <w:rStyle w:val="Hyperlink"/>
            <w:rFonts w:cstheme="minorHAnsi"/>
            <w:szCs w:val="24"/>
          </w:rPr>
          <w:t xml:space="preserve">quality and </w:t>
        </w:r>
        <w:r>
          <w:rPr>
            <w:rStyle w:val="Hyperlink"/>
            <w:rFonts w:cstheme="minorHAnsi"/>
            <w:szCs w:val="24"/>
          </w:rPr>
          <w:t>H</w:t>
        </w:r>
        <w:r w:rsidRPr="002D221E">
          <w:rPr>
            <w:rStyle w:val="Hyperlink"/>
            <w:rFonts w:cstheme="minorHAnsi"/>
            <w:szCs w:val="24"/>
          </w:rPr>
          <w:t xml:space="preserve">uman </w:t>
        </w:r>
        <w:r>
          <w:rPr>
            <w:rStyle w:val="Hyperlink"/>
            <w:rFonts w:cstheme="minorHAnsi"/>
            <w:szCs w:val="24"/>
          </w:rPr>
          <w:t>R</w:t>
        </w:r>
        <w:r w:rsidRPr="002D221E">
          <w:rPr>
            <w:rStyle w:val="Hyperlink"/>
            <w:rFonts w:cstheme="minorHAnsi"/>
            <w:szCs w:val="24"/>
          </w:rPr>
          <w:t>ights in Wales research report: Welsh Government response</w:t>
        </w:r>
      </w:hyperlink>
      <w:r w:rsidRPr="002D221E">
        <w:rPr>
          <w:rFonts w:cstheme="minorHAnsi"/>
          <w:szCs w:val="24"/>
        </w:rPr>
        <w:t xml:space="preserve"> [accessed: 8 September 2022]; Scottish Government (2021), </w:t>
      </w:r>
      <w:hyperlink r:id="rId7" w:history="1">
        <w:r w:rsidRPr="002D221E">
          <w:rPr>
            <w:rStyle w:val="Hyperlink"/>
            <w:rFonts w:cstheme="minorHAnsi"/>
            <w:szCs w:val="24"/>
          </w:rPr>
          <w:t>National Taskforce for Human Rights: leadership report</w:t>
        </w:r>
      </w:hyperlink>
      <w:r w:rsidRPr="002D221E">
        <w:rPr>
          <w:rFonts w:cstheme="minorHAnsi"/>
          <w:szCs w:val="24"/>
        </w:rPr>
        <w:t xml:space="preserve"> [accessed: 22 August 2022]; Scottish Government (2021), </w:t>
      </w:r>
      <w:hyperlink r:id="rId8" w:history="1">
        <w:r w:rsidRPr="002D221E">
          <w:rPr>
            <w:rStyle w:val="Hyperlink"/>
            <w:rFonts w:cstheme="minorHAnsi"/>
            <w:szCs w:val="24"/>
          </w:rPr>
          <w:t>New Human Rights Bill</w:t>
        </w:r>
      </w:hyperlink>
      <w:r w:rsidRPr="002D221E">
        <w:rPr>
          <w:rFonts w:cstheme="minorHAnsi"/>
          <w:szCs w:val="24"/>
        </w:rPr>
        <w:t xml:space="preserve"> [accessed: 13 October 2022]. </w:t>
      </w:r>
    </w:p>
  </w:footnote>
  <w:footnote w:id="8">
    <w:p w14:paraId="1E9F8295" w14:textId="02284C5D" w:rsidR="003E4C7F" w:rsidRPr="002D221E" w:rsidRDefault="003E4C7F">
      <w:pPr>
        <w:pStyle w:val="FootnoteText"/>
        <w:rPr>
          <w:rFonts w:cstheme="minorHAnsi"/>
          <w:szCs w:val="24"/>
        </w:rPr>
      </w:pPr>
      <w:r w:rsidRPr="002D221E">
        <w:rPr>
          <w:rStyle w:val="FootnoteReference"/>
          <w:rFonts w:cstheme="minorHAnsi"/>
          <w:szCs w:val="24"/>
        </w:rPr>
        <w:footnoteRef/>
      </w:r>
      <w:r w:rsidRPr="002D221E">
        <w:rPr>
          <w:rFonts w:cstheme="minorHAnsi"/>
          <w:szCs w:val="24"/>
        </w:rPr>
        <w:t xml:space="preserve"> </w:t>
      </w:r>
      <w:hyperlink r:id="rId9" w:history="1">
        <w:r w:rsidRPr="002D221E">
          <w:rPr>
            <w:rStyle w:val="Hyperlink"/>
            <w:rFonts w:cstheme="minorHAnsi"/>
            <w:szCs w:val="24"/>
          </w:rPr>
          <w:t>Bill of Rights Bill</w:t>
        </w:r>
      </w:hyperlink>
      <w:r w:rsidRPr="002D221E">
        <w:rPr>
          <w:rFonts w:cstheme="minorHAnsi"/>
          <w:szCs w:val="24"/>
        </w:rPr>
        <w:t xml:space="preserve"> [accessed: 22 August 2022].</w:t>
      </w:r>
    </w:p>
  </w:footnote>
  <w:footnote w:id="9">
    <w:p w14:paraId="3F5633D4" w14:textId="77777777" w:rsidR="003E4C7F" w:rsidRPr="002D221E" w:rsidRDefault="003E4C7F" w:rsidP="000D769F">
      <w:pPr>
        <w:pStyle w:val="FootnoteText"/>
        <w:rPr>
          <w:rFonts w:cstheme="minorHAnsi"/>
          <w:szCs w:val="24"/>
        </w:rPr>
      </w:pPr>
      <w:r w:rsidRPr="002D221E">
        <w:rPr>
          <w:rStyle w:val="FootnoteReference"/>
          <w:rFonts w:cstheme="minorHAnsi"/>
          <w:szCs w:val="24"/>
        </w:rPr>
        <w:footnoteRef/>
      </w:r>
      <w:r w:rsidRPr="002D221E">
        <w:rPr>
          <w:rFonts w:cstheme="minorHAnsi"/>
          <w:szCs w:val="24"/>
        </w:rPr>
        <w:t xml:space="preserve"> The </w:t>
      </w:r>
      <w:hyperlink r:id="rId10" w:history="1">
        <w:r w:rsidRPr="002D221E">
          <w:rPr>
            <w:rStyle w:val="Hyperlink"/>
            <w:rFonts w:cstheme="minorHAnsi"/>
            <w:szCs w:val="24"/>
          </w:rPr>
          <w:t>Equality Act 2010</w:t>
        </w:r>
      </w:hyperlink>
      <w:r w:rsidRPr="002D221E">
        <w:rPr>
          <w:rFonts w:cstheme="minorHAnsi"/>
          <w:szCs w:val="24"/>
        </w:rPr>
        <w:t xml:space="preserve"> lists nine protected characteristics: age, disability, gender reassignment, marriage and civil partnership, pregnancy and maternity, race, religion or belief, sex, and sexual orientation.</w:t>
      </w:r>
    </w:p>
  </w:footnote>
  <w:footnote w:id="10">
    <w:p w14:paraId="70089DFF" w14:textId="2935296F" w:rsidR="003E4C7F" w:rsidRPr="002D221E" w:rsidRDefault="003E4C7F">
      <w:pPr>
        <w:pStyle w:val="FootnoteText"/>
        <w:rPr>
          <w:rFonts w:cstheme="minorHAnsi"/>
          <w:szCs w:val="24"/>
        </w:rPr>
      </w:pPr>
      <w:r w:rsidRPr="002D221E">
        <w:rPr>
          <w:rStyle w:val="FootnoteReference"/>
          <w:rFonts w:cstheme="minorHAnsi"/>
          <w:szCs w:val="24"/>
        </w:rPr>
        <w:footnoteRef/>
      </w:r>
      <w:r w:rsidRPr="002D221E">
        <w:rPr>
          <w:rFonts w:cstheme="minorHAnsi"/>
          <w:szCs w:val="24"/>
        </w:rPr>
        <w:t xml:space="preserve"> </w:t>
      </w:r>
      <w:hyperlink r:id="rId11" w:history="1">
        <w:r w:rsidRPr="002D221E">
          <w:rPr>
            <w:rStyle w:val="Hyperlink"/>
            <w:rFonts w:cstheme="minorHAnsi"/>
            <w:szCs w:val="24"/>
          </w:rPr>
          <w:t>Equality Act 2010</w:t>
        </w:r>
      </w:hyperlink>
      <w:r w:rsidRPr="002D221E">
        <w:rPr>
          <w:rFonts w:cstheme="minorHAnsi"/>
          <w:szCs w:val="24"/>
        </w:rPr>
        <w:t>, section 149.</w:t>
      </w:r>
    </w:p>
  </w:footnote>
  <w:footnote w:id="11">
    <w:p w14:paraId="5964C88A" w14:textId="7A0ACBCD" w:rsidR="003E4C7F" w:rsidRPr="002D221E" w:rsidRDefault="003E4C7F">
      <w:pPr>
        <w:pStyle w:val="FootnoteText"/>
        <w:rPr>
          <w:rFonts w:cstheme="minorHAnsi"/>
          <w:szCs w:val="24"/>
        </w:rPr>
      </w:pPr>
      <w:r w:rsidRPr="002D221E">
        <w:rPr>
          <w:rStyle w:val="FootnoteReference"/>
          <w:rFonts w:cstheme="minorHAnsi"/>
          <w:szCs w:val="24"/>
        </w:rPr>
        <w:footnoteRef/>
      </w:r>
      <w:r w:rsidRPr="002D221E">
        <w:rPr>
          <w:rFonts w:cstheme="minorHAnsi"/>
          <w:szCs w:val="24"/>
        </w:rPr>
        <w:t xml:space="preserve"> For example, implementation of </w:t>
      </w:r>
      <w:hyperlink r:id="rId12" w:history="1">
        <w:r w:rsidRPr="002D221E">
          <w:rPr>
            <w:rStyle w:val="Hyperlink"/>
            <w:rFonts w:cstheme="minorHAnsi"/>
            <w:szCs w:val="24"/>
          </w:rPr>
          <w:t>section 14 of the Act</w:t>
        </w:r>
      </w:hyperlink>
      <w:r w:rsidRPr="002D221E">
        <w:rPr>
          <w:rFonts w:cstheme="minorHAnsi"/>
          <w:szCs w:val="24"/>
        </w:rPr>
        <w:t xml:space="preserve"> would prohibit discrimination on the basis of a combination of two protected characteristics.</w:t>
      </w:r>
    </w:p>
  </w:footnote>
  <w:footnote w:id="12">
    <w:p w14:paraId="0242677B" w14:textId="581FAC83" w:rsidR="003E4C7F" w:rsidRPr="002D221E" w:rsidRDefault="003E4C7F">
      <w:pPr>
        <w:pStyle w:val="FootnoteText"/>
        <w:rPr>
          <w:rFonts w:cstheme="minorHAnsi"/>
          <w:szCs w:val="24"/>
        </w:rPr>
      </w:pPr>
      <w:r w:rsidRPr="002D221E">
        <w:rPr>
          <w:rStyle w:val="FootnoteReference"/>
          <w:rFonts w:cstheme="minorHAnsi"/>
          <w:szCs w:val="24"/>
        </w:rPr>
        <w:footnoteRef/>
      </w:r>
      <w:r w:rsidRPr="002D221E">
        <w:rPr>
          <w:rFonts w:cstheme="minorHAnsi"/>
          <w:szCs w:val="24"/>
        </w:rPr>
        <w:t xml:space="preserve"> </w:t>
      </w:r>
      <w:hyperlink r:id="rId13" w:history="1">
        <w:r w:rsidRPr="002D221E">
          <w:rPr>
            <w:rStyle w:val="Hyperlink"/>
            <w:rFonts w:cstheme="minorHAnsi"/>
            <w:szCs w:val="24"/>
          </w:rPr>
          <w:t>Equality Act 2010</w:t>
        </w:r>
      </w:hyperlink>
      <w:r w:rsidRPr="002D221E">
        <w:rPr>
          <w:rFonts w:cstheme="minorHAnsi"/>
          <w:szCs w:val="24"/>
        </w:rPr>
        <w:t>, part 1.</w:t>
      </w:r>
    </w:p>
  </w:footnote>
  <w:footnote w:id="13">
    <w:p w14:paraId="6AEFED8E" w14:textId="6923D034" w:rsidR="003E4C7F" w:rsidRPr="002D221E" w:rsidRDefault="003E4C7F">
      <w:pPr>
        <w:pStyle w:val="FootnoteText"/>
        <w:rPr>
          <w:rFonts w:cstheme="minorHAnsi"/>
          <w:szCs w:val="24"/>
        </w:rPr>
      </w:pPr>
      <w:r w:rsidRPr="002D221E">
        <w:rPr>
          <w:rStyle w:val="FootnoteReference"/>
          <w:rFonts w:cstheme="minorHAnsi"/>
          <w:szCs w:val="24"/>
        </w:rPr>
        <w:footnoteRef/>
      </w:r>
      <w:r w:rsidRPr="002D221E">
        <w:rPr>
          <w:rFonts w:cstheme="minorHAnsi"/>
          <w:szCs w:val="24"/>
        </w:rPr>
        <w:t xml:space="preserve"> O</w:t>
      </w:r>
      <w:r>
        <w:rPr>
          <w:rFonts w:cstheme="minorHAnsi"/>
          <w:szCs w:val="24"/>
        </w:rPr>
        <w:t xml:space="preserve">ffice for </w:t>
      </w:r>
      <w:r w:rsidRPr="002D221E">
        <w:rPr>
          <w:rFonts w:cstheme="minorHAnsi"/>
          <w:szCs w:val="24"/>
        </w:rPr>
        <w:t>N</w:t>
      </w:r>
      <w:r>
        <w:rPr>
          <w:rFonts w:cstheme="minorHAnsi"/>
          <w:szCs w:val="24"/>
        </w:rPr>
        <w:t xml:space="preserve">ational </w:t>
      </w:r>
      <w:r w:rsidRPr="002D221E">
        <w:rPr>
          <w:rFonts w:cstheme="minorHAnsi"/>
          <w:szCs w:val="24"/>
        </w:rPr>
        <w:t>S</w:t>
      </w:r>
      <w:r>
        <w:rPr>
          <w:rFonts w:cstheme="minorHAnsi"/>
          <w:szCs w:val="24"/>
        </w:rPr>
        <w:t>tatistics</w:t>
      </w:r>
      <w:r w:rsidRPr="002D221E">
        <w:rPr>
          <w:rFonts w:cstheme="minorHAnsi"/>
          <w:szCs w:val="24"/>
        </w:rPr>
        <w:t xml:space="preserve"> (2021), </w:t>
      </w:r>
      <w:hyperlink r:id="rId14" w:history="1">
        <w:r w:rsidRPr="002D221E">
          <w:rPr>
            <w:rStyle w:val="Hyperlink"/>
            <w:rFonts w:cstheme="minorHAnsi"/>
            <w:szCs w:val="24"/>
          </w:rPr>
          <w:t>Gender pay gap in the UK: 2022</w:t>
        </w:r>
      </w:hyperlink>
      <w:r w:rsidRPr="002D221E">
        <w:rPr>
          <w:rFonts w:cstheme="minorHAnsi"/>
          <w:szCs w:val="24"/>
        </w:rPr>
        <w:t xml:space="preserve"> [accessed: 22 November 2022].</w:t>
      </w:r>
    </w:p>
  </w:footnote>
  <w:footnote w:id="14">
    <w:p w14:paraId="67D22978" w14:textId="3B03F89D" w:rsidR="003E4C7F" w:rsidRPr="002D221E" w:rsidRDefault="003E4C7F">
      <w:pPr>
        <w:pStyle w:val="FootnoteText"/>
        <w:rPr>
          <w:rFonts w:cstheme="minorHAnsi"/>
          <w:szCs w:val="24"/>
        </w:rPr>
      </w:pPr>
      <w:r w:rsidRPr="002D221E">
        <w:rPr>
          <w:rStyle w:val="FootnoteReference"/>
          <w:rFonts w:cstheme="minorHAnsi"/>
          <w:szCs w:val="24"/>
        </w:rPr>
        <w:footnoteRef/>
      </w:r>
      <w:r w:rsidRPr="002D221E">
        <w:rPr>
          <w:rFonts w:cstheme="minorHAnsi"/>
          <w:szCs w:val="24"/>
        </w:rPr>
        <w:t xml:space="preserve"> O</w:t>
      </w:r>
      <w:r>
        <w:rPr>
          <w:rFonts w:cstheme="minorHAnsi"/>
          <w:szCs w:val="24"/>
        </w:rPr>
        <w:t xml:space="preserve">ffice for </w:t>
      </w:r>
      <w:r w:rsidRPr="002D221E">
        <w:rPr>
          <w:rFonts w:cstheme="minorHAnsi"/>
          <w:szCs w:val="24"/>
        </w:rPr>
        <w:t>N</w:t>
      </w:r>
      <w:r>
        <w:rPr>
          <w:rFonts w:cstheme="minorHAnsi"/>
          <w:szCs w:val="24"/>
        </w:rPr>
        <w:t xml:space="preserve">ational </w:t>
      </w:r>
      <w:r w:rsidRPr="002D221E">
        <w:rPr>
          <w:rFonts w:cstheme="minorHAnsi"/>
          <w:szCs w:val="24"/>
        </w:rPr>
        <w:t>S</w:t>
      </w:r>
      <w:r>
        <w:rPr>
          <w:rFonts w:cstheme="minorHAnsi"/>
          <w:szCs w:val="24"/>
        </w:rPr>
        <w:t>tatistics</w:t>
      </w:r>
      <w:r w:rsidRPr="002D221E">
        <w:rPr>
          <w:rFonts w:cstheme="minorHAnsi"/>
          <w:szCs w:val="24"/>
        </w:rPr>
        <w:t xml:space="preserve"> (2022), </w:t>
      </w:r>
      <w:hyperlink r:id="rId15" w:history="1">
        <w:r w:rsidRPr="002D221E">
          <w:rPr>
            <w:rStyle w:val="Hyperlink"/>
            <w:rFonts w:cstheme="minorHAnsi"/>
            <w:szCs w:val="24"/>
          </w:rPr>
          <w:t>Disability pay gaps in the UK: 2021</w:t>
        </w:r>
      </w:hyperlink>
      <w:r w:rsidRPr="002D221E">
        <w:rPr>
          <w:rFonts w:cstheme="minorHAnsi"/>
          <w:szCs w:val="24"/>
        </w:rPr>
        <w:t xml:space="preserve"> [accessed: 22 August 2022].</w:t>
      </w:r>
    </w:p>
  </w:footnote>
  <w:footnote w:id="15">
    <w:p w14:paraId="428CF324" w14:textId="72792B1D" w:rsidR="003E4C7F" w:rsidRPr="002D221E" w:rsidRDefault="003E4C7F">
      <w:pPr>
        <w:pStyle w:val="FootnoteText"/>
        <w:rPr>
          <w:rFonts w:cstheme="minorHAnsi"/>
          <w:szCs w:val="24"/>
        </w:rPr>
      </w:pPr>
      <w:r w:rsidRPr="002D221E">
        <w:rPr>
          <w:rStyle w:val="FootnoteReference"/>
          <w:rFonts w:cstheme="minorHAnsi"/>
          <w:szCs w:val="24"/>
        </w:rPr>
        <w:footnoteRef/>
      </w:r>
      <w:r w:rsidRPr="002D221E">
        <w:rPr>
          <w:rFonts w:cstheme="minorHAnsi"/>
          <w:szCs w:val="24"/>
        </w:rPr>
        <w:t xml:space="preserve"> O</w:t>
      </w:r>
      <w:r>
        <w:rPr>
          <w:rFonts w:cstheme="minorHAnsi"/>
          <w:szCs w:val="24"/>
        </w:rPr>
        <w:t xml:space="preserve">ffice for </w:t>
      </w:r>
      <w:r w:rsidRPr="002D221E">
        <w:rPr>
          <w:rFonts w:cstheme="minorHAnsi"/>
          <w:szCs w:val="24"/>
        </w:rPr>
        <w:t>N</w:t>
      </w:r>
      <w:r>
        <w:rPr>
          <w:rFonts w:cstheme="minorHAnsi"/>
          <w:szCs w:val="24"/>
        </w:rPr>
        <w:t xml:space="preserve">ational </w:t>
      </w:r>
      <w:r w:rsidRPr="002D221E">
        <w:rPr>
          <w:rFonts w:cstheme="minorHAnsi"/>
          <w:szCs w:val="24"/>
        </w:rPr>
        <w:t>S</w:t>
      </w:r>
      <w:r>
        <w:rPr>
          <w:rFonts w:cstheme="minorHAnsi"/>
          <w:szCs w:val="24"/>
        </w:rPr>
        <w:t>tatistics</w:t>
      </w:r>
      <w:r w:rsidRPr="002D221E">
        <w:rPr>
          <w:rFonts w:cstheme="minorHAnsi"/>
          <w:szCs w:val="24"/>
        </w:rPr>
        <w:t xml:space="preserve"> (2020), </w:t>
      </w:r>
      <w:hyperlink r:id="rId16" w:history="1">
        <w:r w:rsidRPr="002D221E">
          <w:rPr>
            <w:rStyle w:val="Hyperlink"/>
            <w:rFonts w:cstheme="minorHAnsi"/>
            <w:szCs w:val="24"/>
          </w:rPr>
          <w:t>Ethnicity pay gaps: 2019</w:t>
        </w:r>
      </w:hyperlink>
      <w:r w:rsidRPr="00DB5826">
        <w:rPr>
          <w:rStyle w:val="Hyperlink"/>
          <w:rFonts w:cstheme="minorHAnsi"/>
          <w:szCs w:val="24"/>
          <w:u w:val="none"/>
        </w:rPr>
        <w:t xml:space="preserve"> </w:t>
      </w:r>
      <w:r w:rsidRPr="002D221E">
        <w:rPr>
          <w:rFonts w:cstheme="minorHAnsi"/>
          <w:szCs w:val="24"/>
        </w:rPr>
        <w:t xml:space="preserve">[accessed: 22 August 2022]. </w:t>
      </w:r>
    </w:p>
  </w:footnote>
  <w:footnote w:id="16">
    <w:p w14:paraId="13B8B9A5" w14:textId="5918A9B4" w:rsidR="003E4C7F" w:rsidRPr="002D221E" w:rsidRDefault="003E4C7F" w:rsidP="00C23270">
      <w:pPr>
        <w:pStyle w:val="FootnoteText"/>
        <w:rPr>
          <w:rFonts w:cstheme="minorHAnsi"/>
          <w:szCs w:val="24"/>
        </w:rPr>
      </w:pPr>
      <w:r w:rsidRPr="002D221E">
        <w:rPr>
          <w:rStyle w:val="FootnoteReference"/>
          <w:rFonts w:cstheme="minorHAnsi"/>
          <w:szCs w:val="24"/>
        </w:rPr>
        <w:footnoteRef/>
      </w:r>
      <w:r w:rsidRPr="002D221E">
        <w:rPr>
          <w:rFonts w:cstheme="minorHAnsi"/>
          <w:szCs w:val="24"/>
        </w:rPr>
        <w:t xml:space="preserve"> UK Government (2021), </w:t>
      </w:r>
      <w:hyperlink r:id="rId17" w:history="1">
        <w:r w:rsidRPr="002D221E">
          <w:rPr>
            <w:rStyle w:val="Hyperlink"/>
            <w:rFonts w:cstheme="minorHAnsi"/>
            <w:szCs w:val="24"/>
          </w:rPr>
          <w:t>Disability workforce reporting</w:t>
        </w:r>
        <w:r w:rsidRPr="002D221E">
          <w:rPr>
            <w:rStyle w:val="Hyperlink"/>
            <w:rFonts w:cstheme="minorHAnsi"/>
            <w:szCs w:val="24"/>
            <w:u w:val="none"/>
          </w:rPr>
          <w:t xml:space="preserve"> </w:t>
        </w:r>
      </w:hyperlink>
      <w:r w:rsidRPr="002D221E">
        <w:rPr>
          <w:rFonts w:cstheme="minorHAnsi"/>
          <w:szCs w:val="24"/>
        </w:rPr>
        <w:t xml:space="preserve">and (2021), </w:t>
      </w:r>
      <w:hyperlink r:id="rId18" w:history="1">
        <w:r w:rsidRPr="002D221E">
          <w:rPr>
            <w:rStyle w:val="Hyperlink"/>
            <w:rFonts w:cstheme="minorHAnsi"/>
            <w:szCs w:val="24"/>
          </w:rPr>
          <w:t>Inclusive Britain</w:t>
        </w:r>
      </w:hyperlink>
      <w:r>
        <w:rPr>
          <w:rStyle w:val="Hyperlink"/>
          <w:rFonts w:cstheme="minorHAnsi"/>
          <w:szCs w:val="24"/>
        </w:rPr>
        <w:t>: government response to the Commission on Race and Ethnic Disparities</w:t>
      </w:r>
      <w:r w:rsidRPr="002D221E">
        <w:rPr>
          <w:rFonts w:cstheme="minorHAnsi"/>
          <w:szCs w:val="24"/>
        </w:rPr>
        <w:t xml:space="preserve"> [accessed: 22 August 2022], no. 16.</w:t>
      </w:r>
    </w:p>
  </w:footnote>
  <w:footnote w:id="17">
    <w:p w14:paraId="12FE4224" w14:textId="2D087FE6" w:rsidR="003E4C7F" w:rsidRPr="002D221E" w:rsidRDefault="003E4C7F">
      <w:pPr>
        <w:pStyle w:val="FootnoteText"/>
        <w:rPr>
          <w:rFonts w:cstheme="minorHAnsi"/>
          <w:szCs w:val="24"/>
        </w:rPr>
      </w:pPr>
      <w:r w:rsidRPr="002D221E">
        <w:rPr>
          <w:rStyle w:val="FootnoteReference"/>
          <w:rFonts w:cstheme="minorHAnsi"/>
          <w:szCs w:val="24"/>
        </w:rPr>
        <w:footnoteRef/>
      </w:r>
      <w:r w:rsidRPr="002D221E">
        <w:rPr>
          <w:rFonts w:cstheme="minorHAnsi"/>
          <w:szCs w:val="24"/>
        </w:rPr>
        <w:t xml:space="preserve"> </w:t>
      </w:r>
      <w:hyperlink r:id="rId19" w:history="1">
        <w:r w:rsidRPr="002D221E">
          <w:rPr>
            <w:rStyle w:val="Hyperlink"/>
            <w:rFonts w:cstheme="minorHAnsi"/>
            <w:szCs w:val="24"/>
          </w:rPr>
          <w:t>Equality Act 2010 (Statutory Duties) (Wales) Regulations 2011</w:t>
        </w:r>
        <w:r w:rsidRPr="00DB5826">
          <w:rPr>
            <w:rStyle w:val="Hyperlink"/>
            <w:rFonts w:cstheme="minorHAnsi"/>
            <w:szCs w:val="24"/>
            <w:u w:val="none"/>
          </w:rPr>
          <w:t>, section 11</w:t>
        </w:r>
      </w:hyperlink>
      <w:r w:rsidRPr="002D221E">
        <w:rPr>
          <w:rFonts w:cstheme="minorHAnsi"/>
          <w:szCs w:val="24"/>
        </w:rPr>
        <w:t>.</w:t>
      </w:r>
    </w:p>
  </w:footnote>
  <w:footnote w:id="18">
    <w:p w14:paraId="18CEA27D" w14:textId="19B0778E" w:rsidR="003E4C7F" w:rsidRPr="002D221E" w:rsidRDefault="003E4C7F">
      <w:pPr>
        <w:pStyle w:val="FootnoteText"/>
        <w:rPr>
          <w:rFonts w:cstheme="minorHAnsi"/>
          <w:szCs w:val="24"/>
        </w:rPr>
      </w:pPr>
      <w:r w:rsidRPr="002D221E">
        <w:rPr>
          <w:rStyle w:val="FootnoteReference"/>
          <w:rFonts w:cstheme="minorHAnsi"/>
          <w:szCs w:val="24"/>
        </w:rPr>
        <w:footnoteRef/>
      </w:r>
      <w:r w:rsidRPr="002D221E">
        <w:rPr>
          <w:rFonts w:cstheme="minorHAnsi"/>
          <w:szCs w:val="24"/>
        </w:rPr>
        <w:t xml:space="preserve"> From January 2020, there was a change in how the number of people on zero-hours contracts was calculated. However, across both methods the trend has been one of general increase. See O</w:t>
      </w:r>
      <w:r>
        <w:rPr>
          <w:rFonts w:cstheme="minorHAnsi"/>
          <w:szCs w:val="24"/>
        </w:rPr>
        <w:t xml:space="preserve">ffice for </w:t>
      </w:r>
      <w:r w:rsidRPr="002D221E">
        <w:rPr>
          <w:rFonts w:cstheme="minorHAnsi"/>
          <w:szCs w:val="24"/>
        </w:rPr>
        <w:t>N</w:t>
      </w:r>
      <w:r>
        <w:rPr>
          <w:rFonts w:cstheme="minorHAnsi"/>
          <w:szCs w:val="24"/>
        </w:rPr>
        <w:t xml:space="preserve">ational </w:t>
      </w:r>
      <w:r w:rsidRPr="002D221E">
        <w:rPr>
          <w:rFonts w:cstheme="minorHAnsi"/>
          <w:szCs w:val="24"/>
        </w:rPr>
        <w:t>S</w:t>
      </w:r>
      <w:r>
        <w:rPr>
          <w:rFonts w:cstheme="minorHAnsi"/>
          <w:szCs w:val="24"/>
        </w:rPr>
        <w:t>tatistics</w:t>
      </w:r>
      <w:r w:rsidRPr="002D221E">
        <w:rPr>
          <w:rFonts w:cstheme="minorHAnsi"/>
          <w:szCs w:val="24"/>
        </w:rPr>
        <w:t xml:space="preserve"> (2022), </w:t>
      </w:r>
      <w:r w:rsidRPr="00081339">
        <w:rPr>
          <w:rStyle w:val="Hyperlink"/>
        </w:rPr>
        <w:t>EMP17:</w:t>
      </w:r>
      <w:r>
        <w:rPr>
          <w:rFonts w:cstheme="minorHAnsi"/>
          <w:szCs w:val="24"/>
        </w:rPr>
        <w:t xml:space="preserve"> </w:t>
      </w:r>
      <w:hyperlink r:id="rId20" w:history="1">
        <w:r w:rsidRPr="002D221E">
          <w:rPr>
            <w:rStyle w:val="Hyperlink"/>
            <w:rFonts w:cstheme="minorHAnsi"/>
            <w:szCs w:val="24"/>
          </w:rPr>
          <w:t>People in employment on zero hours contracts</w:t>
        </w:r>
      </w:hyperlink>
      <w:r w:rsidRPr="002D221E">
        <w:rPr>
          <w:rFonts w:cstheme="minorHAnsi"/>
          <w:szCs w:val="24"/>
        </w:rPr>
        <w:t xml:space="preserve"> [accessed: 28 November 2022]. For a definition of ‘zero-hours contracts’, see UK Government (no date), </w:t>
      </w:r>
      <w:hyperlink r:id="rId21" w:history="1">
        <w:r w:rsidRPr="002D221E">
          <w:rPr>
            <w:rStyle w:val="Hyperlink"/>
            <w:rFonts w:cstheme="minorHAnsi"/>
            <w:szCs w:val="24"/>
          </w:rPr>
          <w:t>Contract types and employer responsibilities</w:t>
        </w:r>
      </w:hyperlink>
      <w:r w:rsidRPr="002D221E">
        <w:rPr>
          <w:rFonts w:cstheme="minorHAnsi"/>
          <w:szCs w:val="24"/>
        </w:rPr>
        <w:t xml:space="preserve"> [accessed: 26 October 2022].</w:t>
      </w:r>
    </w:p>
  </w:footnote>
  <w:footnote w:id="19">
    <w:p w14:paraId="550E61BF" w14:textId="0A1A6978" w:rsidR="003E4C7F" w:rsidRPr="002D221E" w:rsidRDefault="003E4C7F" w:rsidP="00755FFA">
      <w:pPr>
        <w:pStyle w:val="FootnoteText"/>
        <w:rPr>
          <w:rFonts w:cstheme="minorHAnsi"/>
          <w:szCs w:val="24"/>
        </w:rPr>
      </w:pPr>
      <w:r w:rsidRPr="002D221E">
        <w:rPr>
          <w:rStyle w:val="FootnoteReference"/>
          <w:rFonts w:cstheme="minorHAnsi"/>
          <w:szCs w:val="24"/>
        </w:rPr>
        <w:footnoteRef/>
      </w:r>
      <w:r w:rsidRPr="002D221E">
        <w:rPr>
          <w:rFonts w:cstheme="minorHAnsi"/>
          <w:szCs w:val="24"/>
        </w:rPr>
        <w:t xml:space="preserve"> O</w:t>
      </w:r>
      <w:r>
        <w:rPr>
          <w:rFonts w:cstheme="minorHAnsi"/>
          <w:szCs w:val="24"/>
        </w:rPr>
        <w:t xml:space="preserve">ffice for </w:t>
      </w:r>
      <w:r w:rsidRPr="002D221E">
        <w:rPr>
          <w:rFonts w:cstheme="minorHAnsi"/>
          <w:szCs w:val="24"/>
        </w:rPr>
        <w:t>N</w:t>
      </w:r>
      <w:r>
        <w:rPr>
          <w:rFonts w:cstheme="minorHAnsi"/>
          <w:szCs w:val="24"/>
        </w:rPr>
        <w:t xml:space="preserve">ational </w:t>
      </w:r>
      <w:r w:rsidRPr="002D221E">
        <w:rPr>
          <w:rFonts w:cstheme="minorHAnsi"/>
          <w:szCs w:val="24"/>
        </w:rPr>
        <w:t>S</w:t>
      </w:r>
      <w:r>
        <w:rPr>
          <w:rFonts w:cstheme="minorHAnsi"/>
          <w:szCs w:val="24"/>
        </w:rPr>
        <w:t>tatistics</w:t>
      </w:r>
      <w:r w:rsidRPr="002D221E">
        <w:rPr>
          <w:rFonts w:cstheme="minorHAnsi"/>
          <w:szCs w:val="24"/>
        </w:rPr>
        <w:t xml:space="preserve"> (2022), </w:t>
      </w:r>
      <w:r w:rsidRPr="00081339">
        <w:rPr>
          <w:rStyle w:val="Hyperlink"/>
        </w:rPr>
        <w:t>EMP17</w:t>
      </w:r>
      <w:r>
        <w:rPr>
          <w:rFonts w:cstheme="minorHAnsi"/>
          <w:szCs w:val="24"/>
        </w:rPr>
        <w:t xml:space="preserve">: </w:t>
      </w:r>
      <w:hyperlink r:id="rId22" w:history="1">
        <w:r w:rsidRPr="002D221E">
          <w:rPr>
            <w:rStyle w:val="Hyperlink"/>
            <w:rFonts w:cstheme="minorHAnsi"/>
            <w:szCs w:val="24"/>
          </w:rPr>
          <w:t>People in employment on zero hours contracts</w:t>
        </w:r>
      </w:hyperlink>
      <w:r w:rsidRPr="002D221E">
        <w:rPr>
          <w:rFonts w:cstheme="minorHAnsi"/>
          <w:szCs w:val="24"/>
        </w:rPr>
        <w:t xml:space="preserve"> [accessed: 28 November 2022].</w:t>
      </w:r>
    </w:p>
  </w:footnote>
  <w:footnote w:id="20">
    <w:p w14:paraId="0C37C2BE" w14:textId="25C45D09" w:rsidR="003E4C7F" w:rsidRPr="002D221E" w:rsidRDefault="003E4C7F">
      <w:pPr>
        <w:pStyle w:val="FootnoteText"/>
        <w:rPr>
          <w:rFonts w:cstheme="minorHAnsi"/>
          <w:szCs w:val="24"/>
        </w:rPr>
      </w:pPr>
      <w:r w:rsidRPr="002D221E">
        <w:rPr>
          <w:rStyle w:val="FootnoteReference"/>
          <w:rFonts w:cstheme="minorHAnsi"/>
          <w:szCs w:val="24"/>
        </w:rPr>
        <w:footnoteRef/>
      </w:r>
      <w:r w:rsidRPr="002D221E">
        <w:rPr>
          <w:rFonts w:cstheme="minorHAnsi"/>
          <w:szCs w:val="24"/>
        </w:rPr>
        <w:t xml:space="preserve"> T</w:t>
      </w:r>
      <w:r>
        <w:rPr>
          <w:rFonts w:cstheme="minorHAnsi"/>
          <w:szCs w:val="24"/>
        </w:rPr>
        <w:t xml:space="preserve">rades </w:t>
      </w:r>
      <w:r w:rsidRPr="002D221E">
        <w:rPr>
          <w:rFonts w:cstheme="minorHAnsi"/>
          <w:szCs w:val="24"/>
        </w:rPr>
        <w:t>U</w:t>
      </w:r>
      <w:r>
        <w:rPr>
          <w:rFonts w:cstheme="minorHAnsi"/>
          <w:szCs w:val="24"/>
        </w:rPr>
        <w:t xml:space="preserve">nion </w:t>
      </w:r>
      <w:r w:rsidRPr="002D221E">
        <w:rPr>
          <w:rFonts w:cstheme="minorHAnsi"/>
          <w:szCs w:val="24"/>
        </w:rPr>
        <w:t>C</w:t>
      </w:r>
      <w:r>
        <w:rPr>
          <w:rFonts w:cstheme="minorHAnsi"/>
          <w:szCs w:val="24"/>
        </w:rPr>
        <w:t>ongress</w:t>
      </w:r>
      <w:r w:rsidRPr="002D221E">
        <w:rPr>
          <w:rFonts w:cstheme="minorHAnsi"/>
          <w:szCs w:val="24"/>
        </w:rPr>
        <w:t xml:space="preserve"> (2021), </w:t>
      </w:r>
      <w:hyperlink r:id="rId23" w:history="1">
        <w:r w:rsidRPr="002D221E">
          <w:rPr>
            <w:rStyle w:val="Hyperlink"/>
            <w:rFonts w:cstheme="minorHAnsi"/>
            <w:szCs w:val="24"/>
          </w:rPr>
          <w:t>Covid-19 and insecure work</w:t>
        </w:r>
      </w:hyperlink>
      <w:r w:rsidRPr="002D221E">
        <w:rPr>
          <w:rFonts w:cstheme="minorHAnsi"/>
          <w:szCs w:val="24"/>
        </w:rPr>
        <w:t xml:space="preserve"> [accessed: 9 September 2022].</w:t>
      </w:r>
    </w:p>
  </w:footnote>
  <w:footnote w:id="21">
    <w:p w14:paraId="5089CA99" w14:textId="50A9DD23" w:rsidR="003E4C7F" w:rsidRPr="002D221E" w:rsidRDefault="003E4C7F">
      <w:pPr>
        <w:pStyle w:val="FootnoteText"/>
        <w:rPr>
          <w:rFonts w:cstheme="minorHAnsi"/>
          <w:szCs w:val="24"/>
        </w:rPr>
      </w:pPr>
      <w:r w:rsidRPr="002D221E">
        <w:rPr>
          <w:rStyle w:val="FootnoteReference"/>
          <w:rFonts w:cstheme="minorHAnsi"/>
          <w:szCs w:val="24"/>
        </w:rPr>
        <w:footnoteRef/>
      </w:r>
      <w:r w:rsidRPr="002D221E">
        <w:rPr>
          <w:rFonts w:cstheme="minorHAnsi"/>
          <w:szCs w:val="24"/>
        </w:rPr>
        <w:t xml:space="preserve"> T</w:t>
      </w:r>
      <w:r>
        <w:rPr>
          <w:rFonts w:cstheme="minorHAnsi"/>
          <w:szCs w:val="24"/>
        </w:rPr>
        <w:t xml:space="preserve">rades </w:t>
      </w:r>
      <w:r w:rsidRPr="002D221E">
        <w:rPr>
          <w:rFonts w:cstheme="minorHAnsi"/>
          <w:szCs w:val="24"/>
        </w:rPr>
        <w:t>U</w:t>
      </w:r>
      <w:r>
        <w:rPr>
          <w:rFonts w:cstheme="minorHAnsi"/>
          <w:szCs w:val="24"/>
        </w:rPr>
        <w:t xml:space="preserve">nion </w:t>
      </w:r>
      <w:r w:rsidRPr="002D221E">
        <w:rPr>
          <w:rFonts w:cstheme="minorHAnsi"/>
          <w:szCs w:val="24"/>
        </w:rPr>
        <w:t>C</w:t>
      </w:r>
      <w:r>
        <w:rPr>
          <w:rFonts w:cstheme="minorHAnsi"/>
          <w:szCs w:val="24"/>
        </w:rPr>
        <w:t>ongress</w:t>
      </w:r>
      <w:r w:rsidRPr="002D221E">
        <w:rPr>
          <w:rFonts w:cstheme="minorHAnsi"/>
          <w:szCs w:val="24"/>
        </w:rPr>
        <w:t xml:space="preserve"> (2022), </w:t>
      </w:r>
      <w:hyperlink r:id="rId24" w:history="1">
        <w:r w:rsidRPr="002D221E">
          <w:rPr>
            <w:rStyle w:val="Hyperlink"/>
            <w:rFonts w:cstheme="minorHAnsi"/>
            <w:szCs w:val="24"/>
          </w:rPr>
          <w:t>BME women twice as likely to be on zero-hours contracts as white men</w:t>
        </w:r>
      </w:hyperlink>
      <w:r w:rsidRPr="002D221E">
        <w:rPr>
          <w:rFonts w:cstheme="minorHAnsi"/>
          <w:szCs w:val="24"/>
        </w:rPr>
        <w:t xml:space="preserve"> [accessed: 22 August 2022].</w:t>
      </w:r>
    </w:p>
  </w:footnote>
  <w:footnote w:id="22">
    <w:p w14:paraId="0D07738D" w14:textId="378A243D" w:rsidR="003E4C7F" w:rsidRPr="002D221E" w:rsidRDefault="003E4C7F">
      <w:pPr>
        <w:pStyle w:val="FootnoteText"/>
        <w:rPr>
          <w:rFonts w:cstheme="minorHAnsi"/>
          <w:szCs w:val="24"/>
        </w:rPr>
      </w:pPr>
      <w:r w:rsidRPr="002D221E">
        <w:rPr>
          <w:rStyle w:val="FootnoteReference"/>
          <w:rFonts w:cstheme="minorHAnsi"/>
          <w:szCs w:val="24"/>
        </w:rPr>
        <w:footnoteRef/>
      </w:r>
      <w:r w:rsidRPr="002D221E">
        <w:rPr>
          <w:rFonts w:cstheme="minorHAnsi"/>
          <w:szCs w:val="24"/>
        </w:rPr>
        <w:t xml:space="preserve"> O</w:t>
      </w:r>
      <w:r>
        <w:rPr>
          <w:rFonts w:cstheme="minorHAnsi"/>
          <w:szCs w:val="24"/>
        </w:rPr>
        <w:t xml:space="preserve">ffice for </w:t>
      </w:r>
      <w:r w:rsidRPr="002D221E">
        <w:rPr>
          <w:rFonts w:cstheme="minorHAnsi"/>
          <w:szCs w:val="24"/>
        </w:rPr>
        <w:t>N</w:t>
      </w:r>
      <w:r>
        <w:rPr>
          <w:rFonts w:cstheme="minorHAnsi"/>
          <w:szCs w:val="24"/>
        </w:rPr>
        <w:t xml:space="preserve">ational </w:t>
      </w:r>
      <w:r w:rsidRPr="002D221E">
        <w:rPr>
          <w:rFonts w:cstheme="minorHAnsi"/>
          <w:szCs w:val="24"/>
        </w:rPr>
        <w:t>S</w:t>
      </w:r>
      <w:r>
        <w:rPr>
          <w:rFonts w:cstheme="minorHAnsi"/>
          <w:szCs w:val="24"/>
        </w:rPr>
        <w:t>tatistics</w:t>
      </w:r>
      <w:r w:rsidRPr="002D221E">
        <w:rPr>
          <w:rFonts w:cstheme="minorHAnsi"/>
          <w:szCs w:val="24"/>
        </w:rPr>
        <w:t xml:space="preserve"> (2022), </w:t>
      </w:r>
      <w:r w:rsidRPr="00081339">
        <w:rPr>
          <w:rStyle w:val="Hyperlink"/>
        </w:rPr>
        <w:t>EMP17:</w:t>
      </w:r>
      <w:r>
        <w:rPr>
          <w:rFonts w:cstheme="minorHAnsi"/>
          <w:szCs w:val="24"/>
        </w:rPr>
        <w:t xml:space="preserve"> </w:t>
      </w:r>
      <w:hyperlink r:id="rId25" w:history="1">
        <w:r w:rsidRPr="002D221E">
          <w:rPr>
            <w:rStyle w:val="Hyperlink"/>
            <w:rFonts w:cstheme="minorHAnsi"/>
            <w:szCs w:val="24"/>
          </w:rPr>
          <w:t>People in employment on zero hours contracts</w:t>
        </w:r>
      </w:hyperlink>
      <w:r w:rsidRPr="002D221E">
        <w:rPr>
          <w:rFonts w:cstheme="minorHAnsi"/>
          <w:szCs w:val="24"/>
        </w:rPr>
        <w:t xml:space="preserve"> [accessed: 22 August 2022]. </w:t>
      </w:r>
    </w:p>
  </w:footnote>
  <w:footnote w:id="23">
    <w:p w14:paraId="0981419C" w14:textId="4F9260BD" w:rsidR="003E4C7F" w:rsidRPr="002D221E" w:rsidRDefault="003E4C7F" w:rsidP="00050FA4">
      <w:pPr>
        <w:pStyle w:val="FootnoteText"/>
        <w:rPr>
          <w:rFonts w:cstheme="minorHAnsi"/>
          <w:szCs w:val="24"/>
        </w:rPr>
      </w:pPr>
      <w:r w:rsidRPr="002D221E">
        <w:rPr>
          <w:rStyle w:val="FootnoteReference"/>
          <w:rFonts w:cstheme="minorHAnsi"/>
          <w:szCs w:val="24"/>
        </w:rPr>
        <w:footnoteRef/>
      </w:r>
      <w:r w:rsidRPr="002D221E">
        <w:rPr>
          <w:rFonts w:cstheme="minorHAnsi"/>
          <w:szCs w:val="24"/>
        </w:rPr>
        <w:t xml:space="preserve"> E</w:t>
      </w:r>
      <w:r>
        <w:rPr>
          <w:rFonts w:cstheme="minorHAnsi"/>
          <w:szCs w:val="24"/>
        </w:rPr>
        <w:t xml:space="preserve">quality and </w:t>
      </w:r>
      <w:r w:rsidRPr="002D221E">
        <w:rPr>
          <w:rFonts w:cstheme="minorHAnsi"/>
          <w:szCs w:val="24"/>
        </w:rPr>
        <w:t>H</w:t>
      </w:r>
      <w:r>
        <w:rPr>
          <w:rFonts w:cstheme="minorHAnsi"/>
          <w:szCs w:val="24"/>
        </w:rPr>
        <w:t xml:space="preserve">uman </w:t>
      </w:r>
      <w:r w:rsidRPr="002D221E">
        <w:rPr>
          <w:rFonts w:cstheme="minorHAnsi"/>
          <w:szCs w:val="24"/>
        </w:rPr>
        <w:t>R</w:t>
      </w:r>
      <w:r>
        <w:rPr>
          <w:rFonts w:cstheme="minorHAnsi"/>
          <w:szCs w:val="24"/>
        </w:rPr>
        <w:t xml:space="preserve">ights </w:t>
      </w:r>
      <w:r w:rsidRPr="002D221E">
        <w:rPr>
          <w:rFonts w:cstheme="minorHAnsi"/>
          <w:szCs w:val="24"/>
        </w:rPr>
        <w:t>C</w:t>
      </w:r>
      <w:r>
        <w:rPr>
          <w:rFonts w:cstheme="minorHAnsi"/>
          <w:szCs w:val="24"/>
        </w:rPr>
        <w:t>ommission</w:t>
      </w:r>
      <w:r w:rsidRPr="002D221E">
        <w:rPr>
          <w:rFonts w:cstheme="minorHAnsi"/>
          <w:szCs w:val="24"/>
        </w:rPr>
        <w:t xml:space="preserve"> (2022), </w:t>
      </w:r>
      <w:hyperlink r:id="rId26" w:history="1">
        <w:r w:rsidRPr="002D221E">
          <w:rPr>
            <w:rStyle w:val="Hyperlink"/>
            <w:rFonts w:cstheme="minorHAnsi"/>
            <w:szCs w:val="24"/>
          </w:rPr>
          <w:t>Experiences from health and social care: the treatment of lower paid ethnic minority workers</w:t>
        </w:r>
      </w:hyperlink>
      <w:r w:rsidRPr="002D221E">
        <w:rPr>
          <w:rFonts w:cstheme="minorHAnsi"/>
          <w:szCs w:val="24"/>
        </w:rPr>
        <w:t xml:space="preserve"> [accessed: 22 August 2022].</w:t>
      </w:r>
    </w:p>
  </w:footnote>
  <w:footnote w:id="24">
    <w:p w14:paraId="71C38217" w14:textId="3F9F443F" w:rsidR="003E4C7F" w:rsidRPr="002D221E" w:rsidRDefault="003E4C7F" w:rsidP="00344061">
      <w:pPr>
        <w:pStyle w:val="FootnoteText"/>
        <w:rPr>
          <w:rFonts w:cstheme="minorHAnsi"/>
          <w:szCs w:val="24"/>
        </w:rPr>
      </w:pPr>
      <w:r w:rsidRPr="002D221E">
        <w:rPr>
          <w:rStyle w:val="FootnoteReference"/>
          <w:rFonts w:cstheme="minorHAnsi"/>
          <w:szCs w:val="24"/>
        </w:rPr>
        <w:footnoteRef/>
      </w:r>
      <w:r w:rsidRPr="002D221E">
        <w:rPr>
          <w:rFonts w:cstheme="minorHAnsi"/>
          <w:szCs w:val="24"/>
        </w:rPr>
        <w:t xml:space="preserve"> T</w:t>
      </w:r>
      <w:r>
        <w:rPr>
          <w:rFonts w:cstheme="minorHAnsi"/>
          <w:szCs w:val="24"/>
        </w:rPr>
        <w:t xml:space="preserve">rades </w:t>
      </w:r>
      <w:r w:rsidRPr="002D221E">
        <w:rPr>
          <w:rFonts w:cstheme="minorHAnsi"/>
          <w:szCs w:val="24"/>
        </w:rPr>
        <w:t>U</w:t>
      </w:r>
      <w:r>
        <w:rPr>
          <w:rFonts w:cstheme="minorHAnsi"/>
          <w:szCs w:val="24"/>
        </w:rPr>
        <w:t xml:space="preserve">nion </w:t>
      </w:r>
      <w:r w:rsidRPr="002D221E">
        <w:rPr>
          <w:rFonts w:cstheme="minorHAnsi"/>
          <w:szCs w:val="24"/>
        </w:rPr>
        <w:t>C</w:t>
      </w:r>
      <w:r>
        <w:rPr>
          <w:rFonts w:cstheme="minorHAnsi"/>
          <w:szCs w:val="24"/>
        </w:rPr>
        <w:t>ongress</w:t>
      </w:r>
      <w:r w:rsidRPr="002D221E">
        <w:rPr>
          <w:rFonts w:cstheme="minorHAnsi"/>
          <w:szCs w:val="24"/>
        </w:rPr>
        <w:t xml:space="preserve"> (2020), </w:t>
      </w:r>
      <w:hyperlink r:id="rId27" w:history="1">
        <w:r w:rsidRPr="002D221E">
          <w:rPr>
            <w:rStyle w:val="Hyperlink"/>
            <w:rFonts w:cstheme="minorHAnsi"/>
            <w:szCs w:val="24"/>
          </w:rPr>
          <w:t>Pregnant and precarious: new and expectant mums’ experiences of work during Covid-19</w:t>
        </w:r>
      </w:hyperlink>
      <w:r w:rsidRPr="002D221E">
        <w:rPr>
          <w:rFonts w:cstheme="minorHAnsi"/>
          <w:szCs w:val="24"/>
        </w:rPr>
        <w:t xml:space="preserve"> [accessed: 24 January 2022], p. 5. See also E</w:t>
      </w:r>
      <w:r>
        <w:rPr>
          <w:rFonts w:cstheme="minorHAnsi"/>
          <w:szCs w:val="24"/>
        </w:rPr>
        <w:t xml:space="preserve">quality and </w:t>
      </w:r>
      <w:r w:rsidRPr="002D221E">
        <w:rPr>
          <w:rFonts w:cstheme="minorHAnsi"/>
          <w:szCs w:val="24"/>
        </w:rPr>
        <w:t>H</w:t>
      </w:r>
      <w:r>
        <w:rPr>
          <w:rFonts w:cstheme="minorHAnsi"/>
          <w:szCs w:val="24"/>
        </w:rPr>
        <w:t xml:space="preserve">uman </w:t>
      </w:r>
      <w:r w:rsidRPr="002D221E">
        <w:rPr>
          <w:rFonts w:cstheme="minorHAnsi"/>
          <w:szCs w:val="24"/>
        </w:rPr>
        <w:t>R</w:t>
      </w:r>
      <w:r>
        <w:rPr>
          <w:rFonts w:cstheme="minorHAnsi"/>
          <w:szCs w:val="24"/>
        </w:rPr>
        <w:t xml:space="preserve">ights </w:t>
      </w:r>
      <w:r w:rsidRPr="002D221E">
        <w:rPr>
          <w:rFonts w:cstheme="minorHAnsi"/>
          <w:szCs w:val="24"/>
        </w:rPr>
        <w:t>C</w:t>
      </w:r>
      <w:r>
        <w:rPr>
          <w:rFonts w:cstheme="minorHAnsi"/>
          <w:szCs w:val="24"/>
        </w:rPr>
        <w:t>ommission</w:t>
      </w:r>
      <w:r w:rsidRPr="002D221E">
        <w:rPr>
          <w:rFonts w:cstheme="minorHAnsi"/>
          <w:szCs w:val="24"/>
        </w:rPr>
        <w:t xml:space="preserve"> (2018), </w:t>
      </w:r>
      <w:hyperlink r:id="rId28" w:history="1">
        <w:r w:rsidRPr="002D221E">
          <w:rPr>
            <w:rStyle w:val="Hyperlink"/>
            <w:rFonts w:cstheme="minorHAnsi"/>
            <w:szCs w:val="24"/>
          </w:rPr>
          <w:t>Pregnancy and maternity discrimination research findings</w:t>
        </w:r>
      </w:hyperlink>
      <w:r w:rsidRPr="00DB5826">
        <w:rPr>
          <w:rStyle w:val="Hyperlink"/>
          <w:rFonts w:cstheme="minorHAnsi"/>
          <w:szCs w:val="24"/>
          <w:u w:val="none"/>
        </w:rPr>
        <w:t xml:space="preserve"> </w:t>
      </w:r>
      <w:r w:rsidRPr="002D221E">
        <w:rPr>
          <w:rFonts w:cstheme="minorHAnsi"/>
          <w:szCs w:val="24"/>
        </w:rPr>
        <w:t>[accessed: 22 August 2022].</w:t>
      </w:r>
    </w:p>
  </w:footnote>
  <w:footnote w:id="25">
    <w:p w14:paraId="23D4B3E3" w14:textId="6A62C1F5" w:rsidR="003E4C7F" w:rsidRPr="002D221E" w:rsidRDefault="003E4C7F" w:rsidP="00D970CC">
      <w:pPr>
        <w:pStyle w:val="FootnoteText"/>
        <w:rPr>
          <w:rFonts w:cstheme="minorHAnsi"/>
          <w:szCs w:val="24"/>
        </w:rPr>
      </w:pPr>
      <w:r w:rsidRPr="002D221E">
        <w:rPr>
          <w:rStyle w:val="FootnoteReference"/>
          <w:rFonts w:cstheme="minorHAnsi"/>
          <w:szCs w:val="24"/>
        </w:rPr>
        <w:footnoteRef/>
      </w:r>
      <w:r w:rsidRPr="002D221E">
        <w:rPr>
          <w:rFonts w:cstheme="minorHAnsi"/>
          <w:szCs w:val="24"/>
        </w:rPr>
        <w:t xml:space="preserve"> </w:t>
      </w:r>
      <w:r>
        <w:rPr>
          <w:rFonts w:cstheme="minorHAnsi"/>
          <w:szCs w:val="24"/>
        </w:rPr>
        <w:t>Department for Business, Energy and Industrial Strategy</w:t>
      </w:r>
      <w:r w:rsidRPr="002D221E">
        <w:rPr>
          <w:rFonts w:cstheme="minorHAnsi"/>
          <w:szCs w:val="24"/>
        </w:rPr>
        <w:t xml:space="preserve"> (2019), </w:t>
      </w:r>
      <w:hyperlink r:id="rId29" w:history="1">
        <w:r w:rsidRPr="002D221E">
          <w:rPr>
            <w:rStyle w:val="Hyperlink"/>
            <w:rFonts w:cstheme="minorHAnsi"/>
            <w:szCs w:val="24"/>
          </w:rPr>
          <w:t xml:space="preserve">Pregnancy and maternity discrimination consultation: </w:t>
        </w:r>
        <w:r w:rsidR="00950101">
          <w:rPr>
            <w:rStyle w:val="Hyperlink"/>
            <w:rFonts w:cstheme="minorHAnsi"/>
            <w:szCs w:val="24"/>
          </w:rPr>
          <w:t>Extending redundancy protection for women and new parents, G</w:t>
        </w:r>
        <w:r w:rsidRPr="002D221E">
          <w:rPr>
            <w:rStyle w:val="Hyperlink"/>
            <w:rFonts w:cstheme="minorHAnsi"/>
            <w:szCs w:val="24"/>
          </w:rPr>
          <w:t>overnment response</w:t>
        </w:r>
      </w:hyperlink>
      <w:r w:rsidRPr="002D221E">
        <w:rPr>
          <w:rFonts w:cstheme="minorHAnsi"/>
          <w:szCs w:val="24"/>
        </w:rPr>
        <w:t xml:space="preserve"> [accessed: 9 September 2022]; </w:t>
      </w:r>
      <w:hyperlink r:id="rId30" w:history="1">
        <w:r w:rsidRPr="002D221E">
          <w:rPr>
            <w:rStyle w:val="Hyperlink"/>
            <w:rFonts w:cstheme="minorHAnsi"/>
            <w:szCs w:val="24"/>
          </w:rPr>
          <w:t>Protection from Redundancy (Pregnancy and Family Leave) Bill</w:t>
        </w:r>
      </w:hyperlink>
      <w:r w:rsidRPr="002D221E">
        <w:rPr>
          <w:rFonts w:cstheme="minorHAnsi"/>
          <w:szCs w:val="24"/>
        </w:rPr>
        <w:t>.</w:t>
      </w:r>
    </w:p>
  </w:footnote>
  <w:footnote w:id="26">
    <w:p w14:paraId="221ED01D" w14:textId="08C8DD56" w:rsidR="003E4C7F" w:rsidRPr="002D221E" w:rsidRDefault="003E4C7F">
      <w:pPr>
        <w:pStyle w:val="FootnoteText"/>
        <w:rPr>
          <w:rFonts w:cstheme="minorHAnsi"/>
          <w:szCs w:val="24"/>
        </w:rPr>
      </w:pPr>
      <w:r w:rsidRPr="002D221E">
        <w:rPr>
          <w:rStyle w:val="FootnoteReference"/>
          <w:rFonts w:cstheme="minorHAnsi"/>
          <w:szCs w:val="24"/>
        </w:rPr>
        <w:footnoteRef/>
      </w:r>
      <w:r w:rsidRPr="002D221E">
        <w:rPr>
          <w:rFonts w:cstheme="minorHAnsi"/>
          <w:szCs w:val="24"/>
        </w:rPr>
        <w:t xml:space="preserve"> Government Equalities Office</w:t>
      </w:r>
      <w:r>
        <w:rPr>
          <w:rFonts w:cstheme="minorHAnsi"/>
          <w:szCs w:val="24"/>
        </w:rPr>
        <w:t xml:space="preserve"> </w:t>
      </w:r>
      <w:r w:rsidRPr="002D221E">
        <w:rPr>
          <w:rFonts w:cstheme="minorHAnsi"/>
          <w:szCs w:val="24"/>
        </w:rPr>
        <w:t xml:space="preserve">(2020), </w:t>
      </w:r>
      <w:hyperlink r:id="rId31" w:history="1">
        <w:r w:rsidRPr="002D221E">
          <w:rPr>
            <w:rStyle w:val="Hyperlink"/>
            <w:rFonts w:cstheme="minorHAnsi"/>
            <w:szCs w:val="24"/>
          </w:rPr>
          <w:t>Sexual harassment survey</w:t>
        </w:r>
      </w:hyperlink>
      <w:r w:rsidRPr="002D221E">
        <w:rPr>
          <w:rFonts w:cstheme="minorHAnsi"/>
          <w:szCs w:val="24"/>
        </w:rPr>
        <w:t xml:space="preserve"> [accessed: 9 September 2022].</w:t>
      </w:r>
    </w:p>
  </w:footnote>
  <w:footnote w:id="27">
    <w:p w14:paraId="3FCFFAEB" w14:textId="377090DA" w:rsidR="003E4C7F" w:rsidRPr="002D221E" w:rsidRDefault="003E4C7F">
      <w:pPr>
        <w:pStyle w:val="FootnoteText"/>
        <w:rPr>
          <w:rFonts w:cstheme="minorHAnsi"/>
          <w:szCs w:val="24"/>
        </w:rPr>
      </w:pPr>
      <w:r w:rsidRPr="002D221E">
        <w:rPr>
          <w:rStyle w:val="FootnoteReference"/>
          <w:rFonts w:cstheme="minorHAnsi"/>
          <w:szCs w:val="24"/>
        </w:rPr>
        <w:footnoteRef/>
      </w:r>
      <w:r w:rsidRPr="002D221E">
        <w:rPr>
          <w:rFonts w:cstheme="minorHAnsi"/>
          <w:szCs w:val="24"/>
        </w:rPr>
        <w:t xml:space="preserve"> Government Equalities Office (2021), </w:t>
      </w:r>
      <w:hyperlink r:id="rId32" w:history="1">
        <w:r w:rsidRPr="002D221E">
          <w:rPr>
            <w:rStyle w:val="Hyperlink"/>
            <w:rFonts w:cstheme="minorHAnsi"/>
            <w:szCs w:val="24"/>
          </w:rPr>
          <w:t>Consultation on sexual harassment in the workplace: government response</w:t>
        </w:r>
      </w:hyperlink>
      <w:r w:rsidRPr="002D221E">
        <w:rPr>
          <w:rFonts w:cstheme="minorHAnsi"/>
          <w:szCs w:val="24"/>
        </w:rPr>
        <w:t xml:space="preserve"> [accessed: 9 September 2022]; </w:t>
      </w:r>
      <w:hyperlink r:id="rId33" w:history="1">
        <w:r w:rsidRPr="002D221E">
          <w:rPr>
            <w:rStyle w:val="Hyperlink"/>
            <w:rFonts w:cstheme="minorHAnsi"/>
            <w:szCs w:val="24"/>
          </w:rPr>
          <w:t>Worker Protection (Amendment of Equality Act 2010) Bill</w:t>
        </w:r>
      </w:hyperlink>
      <w:r w:rsidRPr="002D221E">
        <w:rPr>
          <w:rFonts w:cstheme="minorHAnsi"/>
          <w:szCs w:val="24"/>
        </w:rPr>
        <w:t>.</w:t>
      </w:r>
    </w:p>
  </w:footnote>
  <w:footnote w:id="28">
    <w:p w14:paraId="45AD8296" w14:textId="75249AD4" w:rsidR="003E4C7F" w:rsidRPr="002D221E" w:rsidRDefault="003E4C7F" w:rsidP="006C5E16">
      <w:pPr>
        <w:pStyle w:val="FootnoteText"/>
        <w:rPr>
          <w:rFonts w:cstheme="minorHAnsi"/>
          <w:szCs w:val="24"/>
        </w:rPr>
      </w:pPr>
      <w:r w:rsidRPr="002D221E">
        <w:rPr>
          <w:rStyle w:val="FootnoteReference"/>
          <w:rFonts w:cstheme="minorHAnsi"/>
          <w:szCs w:val="24"/>
        </w:rPr>
        <w:footnoteRef/>
      </w:r>
      <w:r w:rsidRPr="002D221E">
        <w:rPr>
          <w:rFonts w:cstheme="minorHAnsi"/>
          <w:szCs w:val="24"/>
        </w:rPr>
        <w:t xml:space="preserve"> O</w:t>
      </w:r>
      <w:r>
        <w:rPr>
          <w:rFonts w:cstheme="minorHAnsi"/>
          <w:szCs w:val="24"/>
        </w:rPr>
        <w:t xml:space="preserve">ffice for </w:t>
      </w:r>
      <w:r w:rsidRPr="002D221E">
        <w:rPr>
          <w:rFonts w:cstheme="minorHAnsi"/>
          <w:szCs w:val="24"/>
        </w:rPr>
        <w:t>N</w:t>
      </w:r>
      <w:r>
        <w:rPr>
          <w:rFonts w:cstheme="minorHAnsi"/>
          <w:szCs w:val="24"/>
        </w:rPr>
        <w:t xml:space="preserve">ational </w:t>
      </w:r>
      <w:r w:rsidRPr="002D221E">
        <w:rPr>
          <w:rFonts w:cstheme="minorHAnsi"/>
          <w:szCs w:val="24"/>
        </w:rPr>
        <w:t>S</w:t>
      </w:r>
      <w:r>
        <w:rPr>
          <w:rFonts w:cstheme="minorHAnsi"/>
          <w:szCs w:val="24"/>
        </w:rPr>
        <w:t>tatistics</w:t>
      </w:r>
      <w:r w:rsidRPr="002D221E">
        <w:rPr>
          <w:rFonts w:cstheme="minorHAnsi"/>
          <w:szCs w:val="24"/>
        </w:rPr>
        <w:t xml:space="preserve"> (2022), </w:t>
      </w:r>
      <w:hyperlink r:id="rId34" w:history="1">
        <w:r w:rsidRPr="002D221E">
          <w:rPr>
            <w:rStyle w:val="Hyperlink"/>
            <w:rFonts w:cstheme="minorHAnsi"/>
            <w:szCs w:val="24"/>
          </w:rPr>
          <w:t>Consumer price inflation, UK: October 2022</w:t>
        </w:r>
      </w:hyperlink>
      <w:r w:rsidRPr="002D221E">
        <w:rPr>
          <w:rFonts w:cstheme="minorHAnsi"/>
          <w:szCs w:val="24"/>
        </w:rPr>
        <w:t xml:space="preserve"> [accessed: 15 November 2022]. </w:t>
      </w:r>
    </w:p>
  </w:footnote>
  <w:footnote w:id="29">
    <w:p w14:paraId="6BCECF98" w14:textId="16D6159B" w:rsidR="003E4C7F" w:rsidRPr="002D221E" w:rsidRDefault="003E4C7F">
      <w:pPr>
        <w:pStyle w:val="FootnoteText"/>
        <w:rPr>
          <w:rFonts w:cstheme="minorHAnsi"/>
          <w:szCs w:val="24"/>
        </w:rPr>
      </w:pPr>
      <w:r w:rsidRPr="002D221E">
        <w:rPr>
          <w:rStyle w:val="FootnoteReference"/>
          <w:rFonts w:cstheme="minorHAnsi"/>
          <w:szCs w:val="24"/>
        </w:rPr>
        <w:footnoteRef/>
      </w:r>
      <w:r w:rsidRPr="002D221E">
        <w:rPr>
          <w:rFonts w:cstheme="minorHAnsi"/>
          <w:szCs w:val="24"/>
        </w:rPr>
        <w:t xml:space="preserve"> O</w:t>
      </w:r>
      <w:r>
        <w:rPr>
          <w:rFonts w:cstheme="minorHAnsi"/>
          <w:szCs w:val="24"/>
        </w:rPr>
        <w:t xml:space="preserve">ffice for </w:t>
      </w:r>
      <w:r w:rsidRPr="002D221E">
        <w:rPr>
          <w:rFonts w:cstheme="minorHAnsi"/>
          <w:szCs w:val="24"/>
        </w:rPr>
        <w:t>N</w:t>
      </w:r>
      <w:r>
        <w:rPr>
          <w:rFonts w:cstheme="minorHAnsi"/>
          <w:szCs w:val="24"/>
        </w:rPr>
        <w:t xml:space="preserve">ational </w:t>
      </w:r>
      <w:r w:rsidRPr="002D221E">
        <w:rPr>
          <w:rFonts w:cstheme="minorHAnsi"/>
          <w:szCs w:val="24"/>
        </w:rPr>
        <w:t>S</w:t>
      </w:r>
      <w:r>
        <w:rPr>
          <w:rFonts w:cstheme="minorHAnsi"/>
          <w:szCs w:val="24"/>
        </w:rPr>
        <w:t>tatistics</w:t>
      </w:r>
      <w:r w:rsidRPr="002D221E">
        <w:rPr>
          <w:rFonts w:cstheme="minorHAnsi"/>
          <w:szCs w:val="24"/>
        </w:rPr>
        <w:t xml:space="preserve"> (2022), </w:t>
      </w:r>
      <w:hyperlink r:id="rId35" w:history="1">
        <w:r w:rsidRPr="002D221E">
          <w:rPr>
            <w:rStyle w:val="Hyperlink"/>
            <w:rFonts w:cstheme="minorHAnsi"/>
            <w:szCs w:val="24"/>
          </w:rPr>
          <w:t>What actions are people taking because of the rising cost of living?</w:t>
        </w:r>
      </w:hyperlink>
      <w:r w:rsidRPr="002D221E">
        <w:rPr>
          <w:rFonts w:cstheme="minorHAnsi"/>
          <w:szCs w:val="24"/>
        </w:rPr>
        <w:t xml:space="preserve"> [accessed: 8 September 2022]; O</w:t>
      </w:r>
      <w:r>
        <w:rPr>
          <w:rFonts w:cstheme="minorHAnsi"/>
          <w:szCs w:val="24"/>
        </w:rPr>
        <w:t xml:space="preserve">ffice for </w:t>
      </w:r>
      <w:r w:rsidRPr="002D221E">
        <w:rPr>
          <w:rFonts w:cstheme="minorHAnsi"/>
          <w:szCs w:val="24"/>
        </w:rPr>
        <w:t>N</w:t>
      </w:r>
      <w:r>
        <w:rPr>
          <w:rFonts w:cstheme="minorHAnsi"/>
          <w:szCs w:val="24"/>
        </w:rPr>
        <w:t xml:space="preserve">ational </w:t>
      </w:r>
      <w:r w:rsidRPr="002D221E">
        <w:rPr>
          <w:rFonts w:cstheme="minorHAnsi"/>
          <w:szCs w:val="24"/>
        </w:rPr>
        <w:t>S</w:t>
      </w:r>
      <w:r>
        <w:rPr>
          <w:rFonts w:cstheme="minorHAnsi"/>
          <w:szCs w:val="24"/>
        </w:rPr>
        <w:t>tatistics</w:t>
      </w:r>
      <w:r w:rsidRPr="002D221E">
        <w:rPr>
          <w:rFonts w:cstheme="minorHAnsi"/>
          <w:szCs w:val="24"/>
        </w:rPr>
        <w:t xml:space="preserve"> (2022), </w:t>
      </w:r>
      <w:hyperlink r:id="rId36" w:history="1">
        <w:r w:rsidRPr="002D221E">
          <w:rPr>
            <w:rStyle w:val="Hyperlink"/>
            <w:rFonts w:cstheme="minorHAnsi"/>
            <w:szCs w:val="24"/>
          </w:rPr>
          <w:t>Public opinions and social trends, Great Britain: 26 October to 6 November 2022</w:t>
        </w:r>
      </w:hyperlink>
      <w:r w:rsidRPr="002D221E">
        <w:rPr>
          <w:rFonts w:cstheme="minorHAnsi"/>
          <w:szCs w:val="24"/>
        </w:rPr>
        <w:t xml:space="preserve"> [accessed: 24 November 2022].</w:t>
      </w:r>
    </w:p>
  </w:footnote>
  <w:footnote w:id="30">
    <w:p w14:paraId="5B205471" w14:textId="365BB477" w:rsidR="003E4C7F" w:rsidRPr="002D221E" w:rsidRDefault="003E4C7F">
      <w:pPr>
        <w:pStyle w:val="FootnoteText"/>
        <w:rPr>
          <w:rFonts w:cstheme="minorHAnsi"/>
          <w:szCs w:val="24"/>
        </w:rPr>
      </w:pPr>
      <w:r w:rsidRPr="002D221E">
        <w:rPr>
          <w:rStyle w:val="FootnoteReference"/>
          <w:rFonts w:cstheme="minorHAnsi"/>
          <w:szCs w:val="24"/>
        </w:rPr>
        <w:footnoteRef/>
      </w:r>
      <w:r w:rsidRPr="002D221E">
        <w:rPr>
          <w:rFonts w:cstheme="minorHAnsi"/>
          <w:szCs w:val="24"/>
        </w:rPr>
        <w:t xml:space="preserve"> O</w:t>
      </w:r>
      <w:r>
        <w:rPr>
          <w:rFonts w:cstheme="minorHAnsi"/>
          <w:szCs w:val="24"/>
        </w:rPr>
        <w:t xml:space="preserve">ffice for </w:t>
      </w:r>
      <w:r w:rsidRPr="002D221E">
        <w:rPr>
          <w:rFonts w:cstheme="minorHAnsi"/>
          <w:szCs w:val="24"/>
        </w:rPr>
        <w:t>N</w:t>
      </w:r>
      <w:r>
        <w:rPr>
          <w:rFonts w:cstheme="minorHAnsi"/>
          <w:szCs w:val="24"/>
        </w:rPr>
        <w:t xml:space="preserve">ational </w:t>
      </w:r>
      <w:r w:rsidRPr="002D221E">
        <w:rPr>
          <w:rFonts w:cstheme="minorHAnsi"/>
          <w:szCs w:val="24"/>
        </w:rPr>
        <w:t>S</w:t>
      </w:r>
      <w:r>
        <w:rPr>
          <w:rFonts w:cstheme="minorHAnsi"/>
          <w:szCs w:val="24"/>
        </w:rPr>
        <w:t>tatistics</w:t>
      </w:r>
      <w:r w:rsidRPr="002D221E">
        <w:rPr>
          <w:rFonts w:cstheme="minorHAnsi"/>
          <w:szCs w:val="24"/>
        </w:rPr>
        <w:t xml:space="preserve"> (2022), </w:t>
      </w:r>
      <w:hyperlink r:id="rId37" w:history="1">
        <w:r w:rsidRPr="002D221E">
          <w:rPr>
            <w:rStyle w:val="Hyperlink"/>
            <w:rFonts w:cstheme="minorHAnsi"/>
            <w:szCs w:val="24"/>
          </w:rPr>
          <w:t>Parents more likely to report increases in their cost of living</w:t>
        </w:r>
      </w:hyperlink>
      <w:r w:rsidRPr="002D221E">
        <w:rPr>
          <w:rFonts w:cstheme="minorHAnsi"/>
          <w:szCs w:val="24"/>
        </w:rPr>
        <w:t xml:space="preserve"> [accessed: 8 September 2022].</w:t>
      </w:r>
    </w:p>
  </w:footnote>
  <w:footnote w:id="31">
    <w:p w14:paraId="76740C3F" w14:textId="2F2113C2" w:rsidR="003E4C7F" w:rsidRPr="002D221E" w:rsidRDefault="003E4C7F">
      <w:pPr>
        <w:pStyle w:val="FootnoteText"/>
        <w:rPr>
          <w:rFonts w:cstheme="minorHAnsi"/>
          <w:szCs w:val="24"/>
        </w:rPr>
      </w:pPr>
      <w:r w:rsidRPr="002D221E">
        <w:rPr>
          <w:rStyle w:val="FootnoteReference"/>
          <w:rFonts w:cstheme="minorHAnsi"/>
          <w:szCs w:val="24"/>
        </w:rPr>
        <w:footnoteRef/>
      </w:r>
      <w:r w:rsidRPr="002D221E">
        <w:rPr>
          <w:rFonts w:cstheme="minorHAnsi"/>
          <w:szCs w:val="24"/>
        </w:rPr>
        <w:t xml:space="preserve"> Francis-Devine, B. (2022), </w:t>
      </w:r>
      <w:hyperlink r:id="rId38" w:history="1">
        <w:r w:rsidRPr="002D221E">
          <w:rPr>
            <w:rStyle w:val="Hyperlink"/>
            <w:rFonts w:cstheme="minorHAnsi"/>
            <w:szCs w:val="24"/>
          </w:rPr>
          <w:t>Poverty in the UK: statistics</w:t>
        </w:r>
      </w:hyperlink>
      <w:r w:rsidRPr="002D221E">
        <w:rPr>
          <w:rFonts w:cstheme="minorHAnsi"/>
          <w:szCs w:val="24"/>
        </w:rPr>
        <w:t xml:space="preserve">, House of Commons Library research briefing 7096 [accessed: 23 August 2022], p. 18. See p. 9 for definitions of relative and absolute poverty. </w:t>
      </w:r>
    </w:p>
  </w:footnote>
  <w:footnote w:id="32">
    <w:p w14:paraId="37FA7E09" w14:textId="48BCD752" w:rsidR="003E4C7F" w:rsidRPr="002D221E" w:rsidRDefault="003E4C7F" w:rsidP="003969F6">
      <w:pPr>
        <w:pStyle w:val="FootnoteText"/>
        <w:rPr>
          <w:rFonts w:cstheme="minorHAnsi"/>
          <w:szCs w:val="24"/>
        </w:rPr>
      </w:pPr>
      <w:r w:rsidRPr="002D221E">
        <w:rPr>
          <w:rStyle w:val="FootnoteReference"/>
          <w:rFonts w:cstheme="minorHAnsi"/>
          <w:szCs w:val="24"/>
        </w:rPr>
        <w:footnoteRef/>
      </w:r>
      <w:r w:rsidRPr="002D221E">
        <w:rPr>
          <w:rFonts w:cstheme="minorHAnsi"/>
          <w:szCs w:val="24"/>
        </w:rPr>
        <w:t xml:space="preserve"> Department for Work and Pensions (2022), </w:t>
      </w:r>
      <w:r w:rsidRPr="00DB5826">
        <w:rPr>
          <w:rStyle w:val="Hyperlink"/>
        </w:rPr>
        <w:t>Technical report:</w:t>
      </w:r>
      <w:r>
        <w:rPr>
          <w:rFonts w:cstheme="minorHAnsi"/>
          <w:szCs w:val="24"/>
        </w:rPr>
        <w:t xml:space="preserve"> </w:t>
      </w:r>
      <w:hyperlink r:id="rId39" w:history="1">
        <w:r>
          <w:rPr>
            <w:rStyle w:val="Hyperlink"/>
            <w:rFonts w:cstheme="minorHAnsi"/>
            <w:szCs w:val="24"/>
          </w:rPr>
          <w:t>a</w:t>
        </w:r>
        <w:r w:rsidRPr="002D221E">
          <w:rPr>
            <w:rStyle w:val="Hyperlink"/>
            <w:rFonts w:cstheme="minorHAnsi"/>
            <w:szCs w:val="24"/>
          </w:rPr>
          <w:t>ssessment of the impact of COVID-19 on the HBAI statistics for FYE2021</w:t>
        </w:r>
      </w:hyperlink>
      <w:r w:rsidRPr="002D221E">
        <w:rPr>
          <w:rFonts w:cstheme="minorHAnsi"/>
          <w:szCs w:val="24"/>
        </w:rPr>
        <w:t xml:space="preserve"> [accessed: 23 August 2022].</w:t>
      </w:r>
    </w:p>
  </w:footnote>
  <w:footnote w:id="33">
    <w:p w14:paraId="38C2345B" w14:textId="15902C55" w:rsidR="003E4C7F" w:rsidRPr="002D221E" w:rsidRDefault="003E4C7F">
      <w:pPr>
        <w:pStyle w:val="FootnoteText"/>
        <w:rPr>
          <w:rFonts w:cstheme="minorHAnsi"/>
          <w:szCs w:val="24"/>
        </w:rPr>
      </w:pPr>
      <w:r w:rsidRPr="002D221E">
        <w:rPr>
          <w:rStyle w:val="FootnoteReference"/>
          <w:rFonts w:cstheme="minorHAnsi"/>
          <w:szCs w:val="24"/>
        </w:rPr>
        <w:footnoteRef/>
      </w:r>
      <w:r w:rsidRPr="002D221E">
        <w:rPr>
          <w:rFonts w:cstheme="minorHAnsi"/>
          <w:szCs w:val="24"/>
        </w:rPr>
        <w:t xml:space="preserve"> Joseph Rowntree Foundation (2022), </w:t>
      </w:r>
      <w:hyperlink r:id="rId40" w:history="1">
        <w:r w:rsidRPr="002D221E">
          <w:rPr>
            <w:rStyle w:val="Hyperlink"/>
            <w:rFonts w:cstheme="minorHAnsi"/>
            <w:szCs w:val="24"/>
          </w:rPr>
          <w:t xml:space="preserve">UK </w:t>
        </w:r>
        <w:r>
          <w:rPr>
            <w:rStyle w:val="Hyperlink"/>
            <w:rFonts w:cstheme="minorHAnsi"/>
            <w:szCs w:val="24"/>
          </w:rPr>
          <w:t>P</w:t>
        </w:r>
        <w:r w:rsidRPr="002D221E">
          <w:rPr>
            <w:rStyle w:val="Hyperlink"/>
            <w:rFonts w:cstheme="minorHAnsi"/>
            <w:szCs w:val="24"/>
          </w:rPr>
          <w:t xml:space="preserve">overty 2022: </w:t>
        </w:r>
        <w:r>
          <w:rPr>
            <w:rStyle w:val="Hyperlink"/>
            <w:rFonts w:cstheme="minorHAnsi"/>
            <w:szCs w:val="24"/>
          </w:rPr>
          <w:t>T</w:t>
        </w:r>
        <w:r w:rsidRPr="002D221E">
          <w:rPr>
            <w:rStyle w:val="Hyperlink"/>
            <w:rFonts w:cstheme="minorHAnsi"/>
            <w:szCs w:val="24"/>
          </w:rPr>
          <w:t>he essential guide to understanding poverty in the UK</w:t>
        </w:r>
      </w:hyperlink>
      <w:r w:rsidRPr="002D221E">
        <w:rPr>
          <w:rFonts w:cstheme="minorHAnsi"/>
          <w:szCs w:val="24"/>
        </w:rPr>
        <w:t xml:space="preserve"> [accessed: 4 October 2022], pp. 52-56.</w:t>
      </w:r>
    </w:p>
  </w:footnote>
  <w:footnote w:id="34">
    <w:p w14:paraId="6973EF19" w14:textId="384B90BB" w:rsidR="003E4C7F" w:rsidRPr="002D221E" w:rsidRDefault="003E4C7F" w:rsidP="00110705">
      <w:pPr>
        <w:pStyle w:val="FootnoteText"/>
        <w:rPr>
          <w:rFonts w:cstheme="minorHAnsi"/>
          <w:szCs w:val="24"/>
        </w:rPr>
      </w:pPr>
      <w:r w:rsidRPr="002D221E">
        <w:rPr>
          <w:rStyle w:val="FootnoteReference"/>
          <w:rFonts w:cstheme="minorHAnsi"/>
          <w:szCs w:val="24"/>
        </w:rPr>
        <w:footnoteRef/>
      </w:r>
      <w:r w:rsidRPr="002D221E">
        <w:rPr>
          <w:rFonts w:cstheme="minorHAnsi"/>
          <w:szCs w:val="24"/>
        </w:rPr>
        <w:t xml:space="preserve"> Department for Work and Pensions (2021), </w:t>
      </w:r>
      <w:hyperlink r:id="rId41" w:anchor="children-in-low-income-households" w:history="1">
        <w:r w:rsidRPr="002D221E">
          <w:rPr>
            <w:rStyle w:val="Hyperlink"/>
            <w:rFonts w:cstheme="minorHAnsi"/>
            <w:szCs w:val="24"/>
          </w:rPr>
          <w:t>Households below average income: an analysis of the income distribution FYE 1995 to FYE 2020</w:t>
        </w:r>
      </w:hyperlink>
      <w:r w:rsidRPr="002D221E">
        <w:rPr>
          <w:rFonts w:cstheme="minorHAnsi"/>
          <w:szCs w:val="24"/>
        </w:rPr>
        <w:t xml:space="preserve"> [accessed: 23 August 2022].</w:t>
      </w:r>
    </w:p>
  </w:footnote>
  <w:footnote w:id="35">
    <w:p w14:paraId="30498B50" w14:textId="670B0222" w:rsidR="003E4C7F" w:rsidRPr="002D221E" w:rsidRDefault="003E4C7F">
      <w:pPr>
        <w:pStyle w:val="FootnoteText"/>
        <w:rPr>
          <w:rFonts w:cstheme="minorHAnsi"/>
          <w:szCs w:val="24"/>
        </w:rPr>
      </w:pPr>
      <w:r w:rsidRPr="002D221E">
        <w:rPr>
          <w:rStyle w:val="FootnoteReference"/>
          <w:rFonts w:cstheme="minorHAnsi"/>
          <w:szCs w:val="24"/>
        </w:rPr>
        <w:footnoteRef/>
      </w:r>
      <w:r w:rsidRPr="002D221E">
        <w:rPr>
          <w:rFonts w:cstheme="minorHAnsi"/>
          <w:szCs w:val="24"/>
        </w:rPr>
        <w:t xml:space="preserve"> Work and Pensions Committee (2022), </w:t>
      </w:r>
      <w:hyperlink r:id="rId42" w:history="1">
        <w:r w:rsidRPr="002D221E">
          <w:rPr>
            <w:rStyle w:val="Hyperlink"/>
            <w:rFonts w:cstheme="minorHAnsi"/>
            <w:szCs w:val="24"/>
          </w:rPr>
          <w:t>Children in poverty: No recourse to public funds</w:t>
        </w:r>
      </w:hyperlink>
      <w:r w:rsidRPr="002D221E">
        <w:rPr>
          <w:rFonts w:cstheme="minorHAnsi"/>
          <w:szCs w:val="24"/>
        </w:rPr>
        <w:t xml:space="preserve"> [accessed: 18 August 2022].</w:t>
      </w:r>
    </w:p>
  </w:footnote>
  <w:footnote w:id="36">
    <w:p w14:paraId="73D3F892" w14:textId="12B66A34" w:rsidR="003E4C7F" w:rsidRPr="002D221E" w:rsidRDefault="003E4C7F">
      <w:pPr>
        <w:pStyle w:val="FootnoteText"/>
        <w:rPr>
          <w:rFonts w:cstheme="minorHAnsi"/>
          <w:szCs w:val="24"/>
        </w:rPr>
      </w:pPr>
      <w:r w:rsidRPr="002D221E">
        <w:rPr>
          <w:rStyle w:val="FootnoteReference"/>
          <w:rFonts w:cstheme="minorHAnsi"/>
          <w:szCs w:val="24"/>
        </w:rPr>
        <w:footnoteRef/>
      </w:r>
      <w:r w:rsidRPr="002D221E">
        <w:rPr>
          <w:rFonts w:cstheme="minorHAnsi"/>
          <w:szCs w:val="24"/>
        </w:rPr>
        <w:t xml:space="preserve"> E</w:t>
      </w:r>
      <w:r>
        <w:rPr>
          <w:rFonts w:cstheme="minorHAnsi"/>
          <w:szCs w:val="24"/>
        </w:rPr>
        <w:t xml:space="preserve">quality and </w:t>
      </w:r>
      <w:r w:rsidRPr="002D221E">
        <w:rPr>
          <w:rFonts w:cstheme="minorHAnsi"/>
          <w:szCs w:val="24"/>
        </w:rPr>
        <w:t>H</w:t>
      </w:r>
      <w:r>
        <w:rPr>
          <w:rFonts w:cstheme="minorHAnsi"/>
          <w:szCs w:val="24"/>
        </w:rPr>
        <w:t xml:space="preserve">uman </w:t>
      </w:r>
      <w:r w:rsidRPr="002D221E">
        <w:rPr>
          <w:rFonts w:cstheme="minorHAnsi"/>
          <w:szCs w:val="24"/>
        </w:rPr>
        <w:t>R</w:t>
      </w:r>
      <w:r>
        <w:rPr>
          <w:rFonts w:cstheme="minorHAnsi"/>
          <w:szCs w:val="24"/>
        </w:rPr>
        <w:t xml:space="preserve">ights </w:t>
      </w:r>
      <w:r w:rsidRPr="002D221E">
        <w:rPr>
          <w:rFonts w:cstheme="minorHAnsi"/>
          <w:szCs w:val="24"/>
        </w:rPr>
        <w:t>C</w:t>
      </w:r>
      <w:r>
        <w:rPr>
          <w:rFonts w:cstheme="minorHAnsi"/>
          <w:szCs w:val="24"/>
        </w:rPr>
        <w:t>ommission</w:t>
      </w:r>
      <w:r w:rsidRPr="002D221E">
        <w:rPr>
          <w:rFonts w:cstheme="minorHAnsi"/>
          <w:szCs w:val="24"/>
        </w:rPr>
        <w:t xml:space="preserve"> (2018), </w:t>
      </w:r>
      <w:hyperlink r:id="rId43" w:history="1">
        <w:r w:rsidRPr="002D221E">
          <w:rPr>
            <w:rStyle w:val="Hyperlink"/>
            <w:rFonts w:cstheme="minorHAnsi"/>
            <w:szCs w:val="24"/>
          </w:rPr>
          <w:t>The cumulative impact of tax and welfare reforms</w:t>
        </w:r>
      </w:hyperlink>
      <w:r w:rsidRPr="002D221E">
        <w:rPr>
          <w:rFonts w:cstheme="minorHAnsi"/>
          <w:szCs w:val="24"/>
        </w:rPr>
        <w:t xml:space="preserve"> [accessed: 23 August 2022].</w:t>
      </w:r>
    </w:p>
  </w:footnote>
  <w:footnote w:id="37">
    <w:p w14:paraId="2D9020D8" w14:textId="38E24C6D" w:rsidR="003E4C7F" w:rsidRPr="002D221E" w:rsidRDefault="003E4C7F">
      <w:pPr>
        <w:pStyle w:val="FootnoteText"/>
        <w:rPr>
          <w:rFonts w:cstheme="minorHAnsi"/>
          <w:szCs w:val="24"/>
        </w:rPr>
      </w:pPr>
      <w:r w:rsidRPr="002D221E">
        <w:rPr>
          <w:rStyle w:val="FootnoteReference"/>
          <w:rFonts w:cstheme="minorHAnsi"/>
          <w:szCs w:val="24"/>
        </w:rPr>
        <w:footnoteRef/>
      </w:r>
      <w:r w:rsidRPr="002D221E">
        <w:rPr>
          <w:rFonts w:cstheme="minorHAnsi"/>
          <w:szCs w:val="24"/>
        </w:rPr>
        <w:t xml:space="preserve"> Social Mobility Commission (2021), </w:t>
      </w:r>
      <w:hyperlink r:id="rId44" w:history="1">
        <w:r w:rsidRPr="002D221E">
          <w:rPr>
            <w:rStyle w:val="Hyperlink"/>
            <w:rFonts w:cstheme="minorHAnsi"/>
            <w:szCs w:val="24"/>
          </w:rPr>
          <w:t>State of the nation 2021: Social mobility and the pandemic</w:t>
        </w:r>
      </w:hyperlink>
      <w:r w:rsidRPr="002D221E">
        <w:rPr>
          <w:rFonts w:cstheme="minorHAnsi"/>
          <w:szCs w:val="24"/>
        </w:rPr>
        <w:t xml:space="preserve"> [accessed: 23 August 2022], pp. 28-29.</w:t>
      </w:r>
    </w:p>
  </w:footnote>
  <w:footnote w:id="38">
    <w:p w14:paraId="3FB9C4A4" w14:textId="391FE1EC" w:rsidR="003E4C7F" w:rsidRPr="002D221E" w:rsidRDefault="003E4C7F" w:rsidP="00C62DD9">
      <w:pPr>
        <w:pStyle w:val="FootnoteText"/>
        <w:rPr>
          <w:rFonts w:cstheme="minorHAnsi"/>
          <w:szCs w:val="24"/>
        </w:rPr>
      </w:pPr>
      <w:r w:rsidRPr="002D221E">
        <w:rPr>
          <w:rStyle w:val="FootnoteReference"/>
          <w:rFonts w:cstheme="minorHAnsi"/>
          <w:szCs w:val="24"/>
        </w:rPr>
        <w:footnoteRef/>
      </w:r>
      <w:r w:rsidRPr="002D221E">
        <w:rPr>
          <w:rFonts w:cstheme="minorHAnsi"/>
          <w:szCs w:val="24"/>
        </w:rPr>
        <w:t xml:space="preserve"> Special Rapporteur on extreme poverty and human rights (2022), </w:t>
      </w:r>
      <w:r w:rsidRPr="00527413">
        <w:rPr>
          <w:rStyle w:val="Hyperlink"/>
        </w:rPr>
        <w:t>A/HRC/50/38:</w:t>
      </w:r>
      <w:r>
        <w:rPr>
          <w:rFonts w:cstheme="minorHAnsi"/>
          <w:szCs w:val="24"/>
        </w:rPr>
        <w:t xml:space="preserve"> </w:t>
      </w:r>
      <w:hyperlink r:id="rId45" w:history="1">
        <w:r w:rsidRPr="002D221E">
          <w:rPr>
            <w:rStyle w:val="Hyperlink"/>
            <w:rFonts w:cstheme="minorHAnsi"/>
            <w:szCs w:val="24"/>
          </w:rPr>
          <w:t>Non-take-up of rights in the context of social protection</w:t>
        </w:r>
      </w:hyperlink>
      <w:r w:rsidRPr="00DB5826">
        <w:rPr>
          <w:rStyle w:val="Hyperlink"/>
          <w:rFonts w:cstheme="minorHAnsi"/>
          <w:szCs w:val="24"/>
          <w:u w:val="none"/>
        </w:rPr>
        <w:t xml:space="preserve"> </w:t>
      </w:r>
      <w:r w:rsidRPr="002D221E">
        <w:rPr>
          <w:rFonts w:cstheme="minorHAnsi"/>
          <w:szCs w:val="24"/>
        </w:rPr>
        <w:t xml:space="preserve">[accessed: 23 August 2022], para 5. </w:t>
      </w:r>
    </w:p>
  </w:footnote>
  <w:footnote w:id="39">
    <w:p w14:paraId="7BB53955" w14:textId="528845A8" w:rsidR="003E4C7F" w:rsidRPr="002D221E" w:rsidRDefault="003E4C7F">
      <w:pPr>
        <w:pStyle w:val="FootnoteText"/>
        <w:rPr>
          <w:rFonts w:cstheme="minorHAnsi"/>
          <w:szCs w:val="24"/>
        </w:rPr>
      </w:pPr>
      <w:r w:rsidRPr="002D221E">
        <w:rPr>
          <w:rStyle w:val="FootnoteReference"/>
          <w:rFonts w:cstheme="minorHAnsi"/>
          <w:szCs w:val="24"/>
        </w:rPr>
        <w:footnoteRef/>
      </w:r>
      <w:r w:rsidRPr="002D221E">
        <w:rPr>
          <w:rFonts w:cstheme="minorHAnsi"/>
          <w:szCs w:val="24"/>
        </w:rPr>
        <w:t xml:space="preserve"> E</w:t>
      </w:r>
      <w:r>
        <w:rPr>
          <w:rFonts w:cstheme="minorHAnsi"/>
          <w:szCs w:val="24"/>
        </w:rPr>
        <w:t xml:space="preserve">quality and </w:t>
      </w:r>
      <w:r w:rsidRPr="002D221E">
        <w:rPr>
          <w:rFonts w:cstheme="minorHAnsi"/>
          <w:szCs w:val="24"/>
        </w:rPr>
        <w:t>H</w:t>
      </w:r>
      <w:r>
        <w:rPr>
          <w:rFonts w:cstheme="minorHAnsi"/>
          <w:szCs w:val="24"/>
        </w:rPr>
        <w:t xml:space="preserve">uman </w:t>
      </w:r>
      <w:r w:rsidRPr="002D221E">
        <w:rPr>
          <w:rFonts w:cstheme="minorHAnsi"/>
          <w:szCs w:val="24"/>
        </w:rPr>
        <w:t>R</w:t>
      </w:r>
      <w:r>
        <w:rPr>
          <w:rFonts w:cstheme="minorHAnsi"/>
          <w:szCs w:val="24"/>
        </w:rPr>
        <w:t xml:space="preserve">ights </w:t>
      </w:r>
      <w:r w:rsidRPr="002D221E">
        <w:rPr>
          <w:rFonts w:cstheme="minorHAnsi"/>
          <w:szCs w:val="24"/>
        </w:rPr>
        <w:t>C</w:t>
      </w:r>
      <w:r>
        <w:rPr>
          <w:rFonts w:cstheme="minorHAnsi"/>
          <w:szCs w:val="24"/>
        </w:rPr>
        <w:t>ommission</w:t>
      </w:r>
      <w:r w:rsidRPr="002D221E">
        <w:rPr>
          <w:rFonts w:cstheme="minorHAnsi"/>
          <w:szCs w:val="24"/>
        </w:rPr>
        <w:t xml:space="preserve"> (2022), </w:t>
      </w:r>
      <w:hyperlink r:id="rId46" w:history="1">
        <w:r w:rsidRPr="002D221E">
          <w:rPr>
            <w:rStyle w:val="Hyperlink"/>
            <w:rFonts w:cstheme="minorHAnsi"/>
            <w:szCs w:val="24"/>
          </w:rPr>
          <w:t>EHRC taking action to improve the treatment of disabled benefit claimants</w:t>
        </w:r>
      </w:hyperlink>
      <w:r w:rsidRPr="002D221E">
        <w:rPr>
          <w:rFonts w:cstheme="minorHAnsi"/>
          <w:szCs w:val="24"/>
        </w:rPr>
        <w:t xml:space="preserve"> [accessed: 23 August 2022]. </w:t>
      </w:r>
    </w:p>
  </w:footnote>
  <w:footnote w:id="40">
    <w:p w14:paraId="7E407F95" w14:textId="1259CF89" w:rsidR="003E4C7F" w:rsidRPr="002D221E" w:rsidRDefault="003E4C7F">
      <w:pPr>
        <w:pStyle w:val="FootnoteText"/>
        <w:rPr>
          <w:rFonts w:cstheme="minorHAnsi"/>
          <w:szCs w:val="24"/>
        </w:rPr>
      </w:pPr>
      <w:r w:rsidRPr="002D221E">
        <w:rPr>
          <w:rStyle w:val="FootnoteReference"/>
          <w:rFonts w:cstheme="minorHAnsi"/>
          <w:szCs w:val="24"/>
        </w:rPr>
        <w:footnoteRef/>
      </w:r>
      <w:r w:rsidRPr="002D221E">
        <w:rPr>
          <w:rFonts w:cstheme="minorHAnsi"/>
          <w:szCs w:val="24"/>
        </w:rPr>
        <w:t xml:space="preserve"> </w:t>
      </w:r>
      <w:r w:rsidRPr="002D221E">
        <w:rPr>
          <w:rFonts w:cstheme="minorHAnsi"/>
          <w:szCs w:val="24"/>
          <w:u w:color="009C98" w:themeColor="accent1"/>
        </w:rPr>
        <w:t xml:space="preserve">Department for Levelling Up, Housing and Communities (2022), </w:t>
      </w:r>
      <w:hyperlink r:id="rId47" w:history="1">
        <w:r w:rsidRPr="002D221E">
          <w:rPr>
            <w:rStyle w:val="Hyperlink"/>
            <w:rFonts w:cstheme="minorHAnsi"/>
            <w:szCs w:val="24"/>
          </w:rPr>
          <w:t>Levelling Up the United Kingdom</w:t>
        </w:r>
      </w:hyperlink>
      <w:r w:rsidRPr="002D221E">
        <w:rPr>
          <w:rFonts w:cstheme="minorHAnsi"/>
          <w:szCs w:val="24"/>
          <w:u w:color="009C98" w:themeColor="accent1"/>
        </w:rPr>
        <w:t xml:space="preserve"> [accessed: 23 August 2022].</w:t>
      </w:r>
      <w:r w:rsidRPr="002D221E">
        <w:rPr>
          <w:rFonts w:cstheme="minorHAnsi"/>
          <w:szCs w:val="24"/>
        </w:rPr>
        <w:t xml:space="preserve"> </w:t>
      </w:r>
    </w:p>
  </w:footnote>
  <w:footnote w:id="41">
    <w:p w14:paraId="29C29890" w14:textId="77777777" w:rsidR="003E4C7F" w:rsidRPr="002D221E" w:rsidRDefault="003E4C7F" w:rsidP="006C5E16">
      <w:pPr>
        <w:pStyle w:val="FootnoteText"/>
        <w:rPr>
          <w:rFonts w:cstheme="minorHAnsi"/>
          <w:szCs w:val="24"/>
        </w:rPr>
      </w:pPr>
      <w:r w:rsidRPr="002D221E">
        <w:rPr>
          <w:rStyle w:val="FootnoteReference"/>
          <w:rFonts w:cstheme="minorHAnsi"/>
          <w:szCs w:val="24"/>
        </w:rPr>
        <w:footnoteRef/>
      </w:r>
      <w:r w:rsidRPr="002D221E">
        <w:rPr>
          <w:rFonts w:cstheme="minorHAnsi"/>
          <w:szCs w:val="24"/>
        </w:rPr>
        <w:t xml:space="preserve"> For example, see Women and Equalities Committee (2021), </w:t>
      </w:r>
      <w:hyperlink r:id="rId48" w:history="1">
        <w:r w:rsidRPr="002D221E">
          <w:rPr>
            <w:rStyle w:val="Hyperlink"/>
            <w:rFonts w:cstheme="minorHAnsi"/>
            <w:szCs w:val="24"/>
          </w:rPr>
          <w:t>Unequal impact? Coronavirus and the gendered economic impact</w:t>
        </w:r>
      </w:hyperlink>
      <w:r w:rsidRPr="002D221E">
        <w:rPr>
          <w:rFonts w:cstheme="minorHAnsi"/>
          <w:szCs w:val="24"/>
        </w:rPr>
        <w:t xml:space="preserve"> [accessed: 23 August 2021], para 24.</w:t>
      </w:r>
    </w:p>
  </w:footnote>
  <w:footnote w:id="42">
    <w:p w14:paraId="1397AD73" w14:textId="43C7B95F" w:rsidR="003E4C7F" w:rsidRPr="002D221E" w:rsidRDefault="003E4C7F" w:rsidP="005877E9">
      <w:pPr>
        <w:pStyle w:val="FootnoteText"/>
        <w:rPr>
          <w:rFonts w:cstheme="minorHAnsi"/>
          <w:szCs w:val="24"/>
        </w:rPr>
      </w:pPr>
      <w:r w:rsidRPr="002D221E">
        <w:rPr>
          <w:rStyle w:val="FootnoteReference"/>
          <w:rFonts w:cstheme="minorHAnsi"/>
          <w:szCs w:val="24"/>
        </w:rPr>
        <w:footnoteRef/>
      </w:r>
      <w:r w:rsidRPr="002D221E">
        <w:rPr>
          <w:rFonts w:cstheme="minorHAnsi"/>
          <w:szCs w:val="24"/>
        </w:rPr>
        <w:t xml:space="preserve"> For example, E</w:t>
      </w:r>
      <w:r>
        <w:rPr>
          <w:rFonts w:cstheme="minorHAnsi"/>
          <w:szCs w:val="24"/>
        </w:rPr>
        <w:t xml:space="preserve">quality and </w:t>
      </w:r>
      <w:r w:rsidRPr="002D221E">
        <w:rPr>
          <w:rFonts w:cstheme="minorHAnsi"/>
          <w:szCs w:val="24"/>
        </w:rPr>
        <w:t>H</w:t>
      </w:r>
      <w:r>
        <w:rPr>
          <w:rFonts w:cstheme="minorHAnsi"/>
          <w:szCs w:val="24"/>
        </w:rPr>
        <w:t xml:space="preserve">uman </w:t>
      </w:r>
      <w:r w:rsidRPr="002D221E">
        <w:rPr>
          <w:rFonts w:cstheme="minorHAnsi"/>
          <w:szCs w:val="24"/>
        </w:rPr>
        <w:t>R</w:t>
      </w:r>
      <w:r>
        <w:rPr>
          <w:rFonts w:cstheme="minorHAnsi"/>
          <w:szCs w:val="24"/>
        </w:rPr>
        <w:t xml:space="preserve">ights </w:t>
      </w:r>
      <w:r w:rsidRPr="002D221E">
        <w:rPr>
          <w:rFonts w:cstheme="minorHAnsi"/>
          <w:szCs w:val="24"/>
        </w:rPr>
        <w:t>C</w:t>
      </w:r>
      <w:r>
        <w:rPr>
          <w:rFonts w:cstheme="minorHAnsi"/>
          <w:szCs w:val="24"/>
        </w:rPr>
        <w:t>ommission</w:t>
      </w:r>
      <w:r w:rsidRPr="002D221E">
        <w:rPr>
          <w:rFonts w:cstheme="minorHAnsi"/>
          <w:szCs w:val="24"/>
        </w:rPr>
        <w:t xml:space="preserve"> (2022), </w:t>
      </w:r>
      <w:hyperlink r:id="rId49" w:history="1">
        <w:r w:rsidRPr="002D221E">
          <w:rPr>
            <w:rStyle w:val="Hyperlink"/>
            <w:rFonts w:cstheme="minorHAnsi"/>
            <w:szCs w:val="24"/>
          </w:rPr>
          <w:t>Adequate standard of living and poverty – Government action</w:t>
        </w:r>
      </w:hyperlink>
      <w:r w:rsidRPr="002D221E">
        <w:rPr>
          <w:rFonts w:cstheme="minorHAnsi"/>
          <w:szCs w:val="24"/>
        </w:rPr>
        <w:t xml:space="preserve"> [accessed: 8 September 2022].</w:t>
      </w:r>
    </w:p>
  </w:footnote>
  <w:footnote w:id="43">
    <w:p w14:paraId="2BC81412" w14:textId="57E609F7" w:rsidR="003E4C7F" w:rsidRPr="002D221E" w:rsidRDefault="003E4C7F">
      <w:pPr>
        <w:pStyle w:val="FootnoteText"/>
        <w:rPr>
          <w:rFonts w:cstheme="minorHAnsi"/>
          <w:szCs w:val="24"/>
        </w:rPr>
      </w:pPr>
      <w:r w:rsidRPr="002D221E">
        <w:rPr>
          <w:rStyle w:val="FootnoteReference"/>
          <w:rFonts w:cstheme="minorHAnsi"/>
          <w:szCs w:val="24"/>
        </w:rPr>
        <w:footnoteRef/>
      </w:r>
      <w:r w:rsidRPr="002D221E">
        <w:rPr>
          <w:rFonts w:cstheme="minorHAnsi"/>
          <w:szCs w:val="24"/>
        </w:rPr>
        <w:t xml:space="preserve"> Welsh Government (2015), </w:t>
      </w:r>
      <w:hyperlink r:id="rId50" w:history="1">
        <w:r w:rsidRPr="002D221E">
          <w:rPr>
            <w:rStyle w:val="Hyperlink"/>
            <w:rFonts w:cstheme="minorHAnsi"/>
            <w:szCs w:val="24"/>
          </w:rPr>
          <w:t xml:space="preserve">Child </w:t>
        </w:r>
        <w:r>
          <w:rPr>
            <w:rStyle w:val="Hyperlink"/>
            <w:rFonts w:cstheme="minorHAnsi"/>
            <w:szCs w:val="24"/>
          </w:rPr>
          <w:t>P</w:t>
        </w:r>
        <w:r w:rsidRPr="002D221E">
          <w:rPr>
            <w:rStyle w:val="Hyperlink"/>
            <w:rFonts w:cstheme="minorHAnsi"/>
            <w:szCs w:val="24"/>
          </w:rPr>
          <w:t xml:space="preserve">overty </w:t>
        </w:r>
        <w:r>
          <w:rPr>
            <w:rStyle w:val="Hyperlink"/>
            <w:rFonts w:cstheme="minorHAnsi"/>
            <w:szCs w:val="24"/>
          </w:rPr>
          <w:t>S</w:t>
        </w:r>
        <w:r w:rsidRPr="002D221E">
          <w:rPr>
            <w:rStyle w:val="Hyperlink"/>
            <w:rFonts w:cstheme="minorHAnsi"/>
            <w:szCs w:val="24"/>
          </w:rPr>
          <w:t>trategy for Wales</w:t>
        </w:r>
      </w:hyperlink>
      <w:r w:rsidRPr="002D221E">
        <w:rPr>
          <w:rFonts w:cstheme="minorHAnsi"/>
          <w:szCs w:val="24"/>
        </w:rPr>
        <w:t xml:space="preserve"> [accessed: 21 October 2022].</w:t>
      </w:r>
    </w:p>
  </w:footnote>
  <w:footnote w:id="44">
    <w:p w14:paraId="6850FD20" w14:textId="0F049913" w:rsidR="003E4C7F" w:rsidRPr="002D221E" w:rsidRDefault="003E4C7F">
      <w:pPr>
        <w:pStyle w:val="FootnoteText"/>
        <w:rPr>
          <w:rFonts w:cstheme="minorHAnsi"/>
          <w:szCs w:val="24"/>
        </w:rPr>
      </w:pPr>
      <w:r w:rsidRPr="002D221E">
        <w:rPr>
          <w:rStyle w:val="FootnoteReference"/>
          <w:rFonts w:cstheme="minorHAnsi"/>
          <w:szCs w:val="24"/>
        </w:rPr>
        <w:footnoteRef/>
      </w:r>
      <w:r w:rsidRPr="002D221E">
        <w:rPr>
          <w:rFonts w:cstheme="minorHAnsi"/>
          <w:szCs w:val="24"/>
        </w:rPr>
        <w:t xml:space="preserve"> UK Government (2022), </w:t>
      </w:r>
      <w:hyperlink r:id="rId51" w:history="1">
        <w:r w:rsidRPr="002D221E">
          <w:rPr>
            <w:rStyle w:val="Hyperlink"/>
            <w:rFonts w:cstheme="minorHAnsi"/>
            <w:szCs w:val="24"/>
          </w:rPr>
          <w:t xml:space="preserve">English </w:t>
        </w:r>
        <w:r>
          <w:rPr>
            <w:rStyle w:val="Hyperlink"/>
            <w:rFonts w:cstheme="minorHAnsi"/>
            <w:szCs w:val="24"/>
          </w:rPr>
          <w:t>H</w:t>
        </w:r>
        <w:r w:rsidRPr="002D221E">
          <w:rPr>
            <w:rStyle w:val="Hyperlink"/>
            <w:rFonts w:cstheme="minorHAnsi"/>
            <w:szCs w:val="24"/>
          </w:rPr>
          <w:t xml:space="preserve">ousing </w:t>
        </w:r>
        <w:r>
          <w:rPr>
            <w:rStyle w:val="Hyperlink"/>
            <w:rFonts w:cstheme="minorHAnsi"/>
            <w:szCs w:val="24"/>
          </w:rPr>
          <w:t>S</w:t>
        </w:r>
        <w:r w:rsidRPr="002D221E">
          <w:rPr>
            <w:rStyle w:val="Hyperlink"/>
            <w:rFonts w:cstheme="minorHAnsi"/>
            <w:szCs w:val="24"/>
          </w:rPr>
          <w:t>urvey 2020 to 2021: headline report</w:t>
        </w:r>
      </w:hyperlink>
      <w:r w:rsidRPr="002D221E">
        <w:rPr>
          <w:rFonts w:cstheme="minorHAnsi"/>
          <w:szCs w:val="24"/>
        </w:rPr>
        <w:t xml:space="preserve"> [accessed: 4 October 2022], annex 1.24.</w:t>
      </w:r>
    </w:p>
  </w:footnote>
  <w:footnote w:id="45">
    <w:p w14:paraId="7B72D12A" w14:textId="13F2BDED" w:rsidR="003E4C7F" w:rsidRPr="002D221E" w:rsidRDefault="003E4C7F" w:rsidP="005D15BD">
      <w:pPr>
        <w:pStyle w:val="FootnoteText"/>
        <w:rPr>
          <w:rFonts w:cstheme="minorHAnsi"/>
          <w:szCs w:val="24"/>
        </w:rPr>
      </w:pPr>
      <w:r w:rsidRPr="002D221E">
        <w:rPr>
          <w:rStyle w:val="FootnoteReference"/>
          <w:rFonts w:cstheme="minorHAnsi"/>
          <w:szCs w:val="24"/>
        </w:rPr>
        <w:footnoteRef/>
      </w:r>
      <w:r w:rsidRPr="002D221E">
        <w:rPr>
          <w:rFonts w:cstheme="minorHAnsi"/>
          <w:szCs w:val="24"/>
        </w:rPr>
        <w:t xml:space="preserve"> R</w:t>
      </w:r>
      <w:r>
        <w:rPr>
          <w:rFonts w:cstheme="minorHAnsi"/>
          <w:szCs w:val="24"/>
        </w:rPr>
        <w:t xml:space="preserve">ace </w:t>
      </w:r>
      <w:r w:rsidRPr="002D221E">
        <w:rPr>
          <w:rFonts w:cstheme="minorHAnsi"/>
          <w:szCs w:val="24"/>
        </w:rPr>
        <w:t>D</w:t>
      </w:r>
      <w:r>
        <w:rPr>
          <w:rFonts w:cstheme="minorHAnsi"/>
          <w:szCs w:val="24"/>
        </w:rPr>
        <w:t xml:space="preserve">isparity </w:t>
      </w:r>
      <w:r w:rsidRPr="002D221E">
        <w:rPr>
          <w:rFonts w:cstheme="minorHAnsi"/>
          <w:szCs w:val="24"/>
        </w:rPr>
        <w:t>U</w:t>
      </w:r>
      <w:r>
        <w:rPr>
          <w:rFonts w:cstheme="minorHAnsi"/>
          <w:szCs w:val="24"/>
        </w:rPr>
        <w:t xml:space="preserve">nit </w:t>
      </w:r>
      <w:r w:rsidRPr="002D221E">
        <w:rPr>
          <w:rFonts w:cstheme="minorHAnsi"/>
          <w:szCs w:val="24"/>
        </w:rPr>
        <w:t xml:space="preserve">(2020), </w:t>
      </w:r>
      <w:hyperlink r:id="rId52" w:history="1">
        <w:r w:rsidRPr="002D221E">
          <w:rPr>
            <w:rStyle w:val="Hyperlink"/>
            <w:rFonts w:cstheme="minorHAnsi"/>
            <w:szCs w:val="24"/>
          </w:rPr>
          <w:t>People living in deprived neighbourhoods</w:t>
        </w:r>
      </w:hyperlink>
      <w:r w:rsidRPr="002D221E">
        <w:rPr>
          <w:rFonts w:cstheme="minorHAnsi"/>
          <w:szCs w:val="24"/>
        </w:rPr>
        <w:t xml:space="preserve"> [accessed: 23 August 2022]; R</w:t>
      </w:r>
      <w:r>
        <w:rPr>
          <w:rFonts w:cstheme="minorHAnsi"/>
          <w:szCs w:val="24"/>
        </w:rPr>
        <w:t xml:space="preserve">ace </w:t>
      </w:r>
      <w:r w:rsidRPr="002D221E">
        <w:rPr>
          <w:rFonts w:cstheme="minorHAnsi"/>
          <w:szCs w:val="24"/>
        </w:rPr>
        <w:t>D</w:t>
      </w:r>
      <w:r>
        <w:rPr>
          <w:rFonts w:cstheme="minorHAnsi"/>
          <w:szCs w:val="24"/>
        </w:rPr>
        <w:t xml:space="preserve">isparity </w:t>
      </w:r>
      <w:r w:rsidRPr="002D221E">
        <w:rPr>
          <w:rFonts w:cstheme="minorHAnsi"/>
          <w:szCs w:val="24"/>
        </w:rPr>
        <w:t>U</w:t>
      </w:r>
      <w:r>
        <w:rPr>
          <w:rFonts w:cstheme="minorHAnsi"/>
          <w:szCs w:val="24"/>
        </w:rPr>
        <w:t>nit</w:t>
      </w:r>
      <w:r w:rsidRPr="002D221E">
        <w:rPr>
          <w:rFonts w:cstheme="minorHAnsi"/>
          <w:szCs w:val="24"/>
        </w:rPr>
        <w:t xml:space="preserve"> (2020), </w:t>
      </w:r>
      <w:hyperlink r:id="rId53" w:history="1">
        <w:r w:rsidRPr="002D221E">
          <w:rPr>
            <w:rStyle w:val="Hyperlink"/>
            <w:rFonts w:cstheme="minorHAnsi"/>
            <w:szCs w:val="24"/>
          </w:rPr>
          <w:t>Overcrowded households</w:t>
        </w:r>
      </w:hyperlink>
      <w:r w:rsidRPr="002D221E">
        <w:rPr>
          <w:rFonts w:cstheme="minorHAnsi"/>
          <w:szCs w:val="24"/>
        </w:rPr>
        <w:t xml:space="preserve"> [accessed: 23 August 2022].</w:t>
      </w:r>
    </w:p>
  </w:footnote>
  <w:footnote w:id="46">
    <w:p w14:paraId="71118F90" w14:textId="2B04B564" w:rsidR="003E4C7F" w:rsidRPr="002D221E" w:rsidRDefault="003E4C7F" w:rsidP="000E3AB3">
      <w:pPr>
        <w:pStyle w:val="FootnoteText"/>
        <w:rPr>
          <w:rFonts w:cstheme="minorHAnsi"/>
          <w:szCs w:val="24"/>
        </w:rPr>
      </w:pPr>
      <w:r w:rsidRPr="002D221E">
        <w:rPr>
          <w:rStyle w:val="FootnoteReference"/>
          <w:rFonts w:cstheme="minorHAnsi"/>
          <w:szCs w:val="24"/>
        </w:rPr>
        <w:footnoteRef/>
      </w:r>
      <w:r w:rsidRPr="002D221E">
        <w:rPr>
          <w:rFonts w:cstheme="minorHAnsi"/>
          <w:szCs w:val="24"/>
        </w:rPr>
        <w:t xml:space="preserve"> Welsh Government (2022), </w:t>
      </w:r>
      <w:hyperlink r:id="rId54" w:history="1">
        <w:r w:rsidRPr="002D221E">
          <w:rPr>
            <w:rStyle w:val="Hyperlink"/>
            <w:rFonts w:cstheme="minorHAnsi"/>
            <w:szCs w:val="24"/>
          </w:rPr>
          <w:t xml:space="preserve">Housing </w:t>
        </w:r>
        <w:r>
          <w:rPr>
            <w:rStyle w:val="Hyperlink"/>
            <w:rFonts w:cstheme="minorHAnsi"/>
            <w:szCs w:val="24"/>
          </w:rPr>
          <w:t>O</w:t>
        </w:r>
        <w:r w:rsidRPr="002D221E">
          <w:rPr>
            <w:rStyle w:val="Hyperlink"/>
            <w:rFonts w:cstheme="minorHAnsi"/>
            <w:szCs w:val="24"/>
          </w:rPr>
          <w:t xml:space="preserve">vercrowding and </w:t>
        </w:r>
        <w:r>
          <w:rPr>
            <w:rStyle w:val="Hyperlink"/>
            <w:rFonts w:cstheme="minorHAnsi"/>
            <w:szCs w:val="24"/>
          </w:rPr>
          <w:t>E</w:t>
        </w:r>
        <w:r w:rsidRPr="002D221E">
          <w:rPr>
            <w:rStyle w:val="Hyperlink"/>
            <w:rFonts w:cstheme="minorHAnsi"/>
            <w:szCs w:val="24"/>
          </w:rPr>
          <w:t xml:space="preserve">thnicity: </w:t>
        </w:r>
        <w:r>
          <w:rPr>
            <w:rStyle w:val="Hyperlink"/>
            <w:rFonts w:cstheme="minorHAnsi"/>
            <w:szCs w:val="24"/>
          </w:rPr>
          <w:t>A</w:t>
        </w:r>
        <w:r w:rsidRPr="002D221E">
          <w:rPr>
            <w:rStyle w:val="Hyperlink"/>
            <w:rFonts w:cstheme="minorHAnsi"/>
            <w:szCs w:val="24"/>
          </w:rPr>
          <w:t xml:space="preserve"> </w:t>
        </w:r>
        <w:r>
          <w:rPr>
            <w:rStyle w:val="Hyperlink"/>
            <w:rFonts w:cstheme="minorHAnsi"/>
            <w:szCs w:val="24"/>
          </w:rPr>
          <w:t>L</w:t>
        </w:r>
        <w:r w:rsidRPr="002D221E">
          <w:rPr>
            <w:rStyle w:val="Hyperlink"/>
            <w:rFonts w:cstheme="minorHAnsi"/>
            <w:szCs w:val="24"/>
          </w:rPr>
          <w:t xml:space="preserve">iterature </w:t>
        </w:r>
        <w:r>
          <w:rPr>
            <w:rStyle w:val="Hyperlink"/>
            <w:rFonts w:cstheme="minorHAnsi"/>
            <w:szCs w:val="24"/>
          </w:rPr>
          <w:t>R</w:t>
        </w:r>
        <w:r w:rsidRPr="002D221E">
          <w:rPr>
            <w:rStyle w:val="Hyperlink"/>
            <w:rFonts w:cstheme="minorHAnsi"/>
            <w:szCs w:val="24"/>
          </w:rPr>
          <w:t>eview</w:t>
        </w:r>
      </w:hyperlink>
      <w:r w:rsidRPr="002D221E">
        <w:rPr>
          <w:rFonts w:cstheme="minorHAnsi"/>
          <w:szCs w:val="24"/>
        </w:rPr>
        <w:t>, Government Social Research report number 59/2022 [accessed: 29 November 2022].</w:t>
      </w:r>
    </w:p>
  </w:footnote>
  <w:footnote w:id="47">
    <w:p w14:paraId="504EEBD4" w14:textId="4DFC5E20" w:rsidR="003E4C7F" w:rsidRPr="002D221E" w:rsidRDefault="003E4C7F">
      <w:pPr>
        <w:pStyle w:val="FootnoteText"/>
        <w:rPr>
          <w:rFonts w:cstheme="minorHAnsi"/>
          <w:szCs w:val="24"/>
        </w:rPr>
      </w:pPr>
      <w:r w:rsidRPr="002D221E">
        <w:rPr>
          <w:rStyle w:val="FootnoteReference"/>
          <w:rFonts w:cstheme="minorHAnsi"/>
          <w:szCs w:val="24"/>
        </w:rPr>
        <w:footnoteRef/>
      </w:r>
      <w:r w:rsidRPr="002D221E">
        <w:rPr>
          <w:rFonts w:cstheme="minorHAnsi"/>
          <w:szCs w:val="24"/>
        </w:rPr>
        <w:t xml:space="preserve"> </w:t>
      </w:r>
      <w:hyperlink r:id="rId55" w:history="1">
        <w:r w:rsidRPr="002D221E">
          <w:rPr>
            <w:rStyle w:val="Hyperlink"/>
            <w:rFonts w:cstheme="minorHAnsi"/>
            <w:color w:val="0B4E60" w:themeColor="text2"/>
            <w:szCs w:val="24"/>
            <w:u w:val="none"/>
          </w:rPr>
          <w:t xml:space="preserve">UK Government (2022), </w:t>
        </w:r>
        <w:r w:rsidRPr="002D221E">
          <w:rPr>
            <w:rStyle w:val="Hyperlink"/>
            <w:rFonts w:cstheme="minorHAnsi"/>
            <w:szCs w:val="24"/>
          </w:rPr>
          <w:t xml:space="preserve">English </w:t>
        </w:r>
        <w:r>
          <w:rPr>
            <w:rStyle w:val="Hyperlink"/>
            <w:rFonts w:cstheme="minorHAnsi"/>
            <w:szCs w:val="24"/>
          </w:rPr>
          <w:t>H</w:t>
        </w:r>
        <w:r w:rsidRPr="002D221E">
          <w:rPr>
            <w:rStyle w:val="Hyperlink"/>
            <w:rFonts w:cstheme="minorHAnsi"/>
            <w:szCs w:val="24"/>
          </w:rPr>
          <w:t xml:space="preserve">ousing </w:t>
        </w:r>
        <w:r>
          <w:rPr>
            <w:rStyle w:val="Hyperlink"/>
            <w:rFonts w:cstheme="minorHAnsi"/>
            <w:szCs w:val="24"/>
          </w:rPr>
          <w:t>S</w:t>
        </w:r>
        <w:r w:rsidRPr="002D221E">
          <w:rPr>
            <w:rStyle w:val="Hyperlink"/>
            <w:rFonts w:cstheme="minorHAnsi"/>
            <w:szCs w:val="24"/>
          </w:rPr>
          <w:t xml:space="preserve">urvey: </w:t>
        </w:r>
        <w:r>
          <w:rPr>
            <w:rStyle w:val="Hyperlink"/>
            <w:rFonts w:cstheme="minorHAnsi"/>
            <w:szCs w:val="24"/>
          </w:rPr>
          <w:t>H</w:t>
        </w:r>
        <w:r w:rsidRPr="002D221E">
          <w:rPr>
            <w:rStyle w:val="Hyperlink"/>
            <w:rFonts w:cstheme="minorHAnsi"/>
            <w:szCs w:val="24"/>
          </w:rPr>
          <w:t xml:space="preserve">ousing quality and condition, </w:t>
        </w:r>
        <w:r w:rsidRPr="00DB5826">
          <w:rPr>
            <w:rStyle w:val="Hyperlink"/>
            <w:rFonts w:cstheme="minorHAnsi"/>
            <w:szCs w:val="24"/>
          </w:rPr>
          <w:t>2020</w:t>
        </w:r>
        <w:r w:rsidRPr="002D221E">
          <w:rPr>
            <w:rStyle w:val="Hyperlink"/>
            <w:rFonts w:cstheme="minorHAnsi"/>
            <w:szCs w:val="24"/>
            <w:u w:val="none"/>
          </w:rPr>
          <w:t xml:space="preserve"> </w:t>
        </w:r>
        <w:r w:rsidRPr="002D221E">
          <w:rPr>
            <w:rStyle w:val="Hyperlink"/>
            <w:rFonts w:cstheme="minorHAnsi"/>
            <w:color w:val="0B4E60" w:themeColor="text2"/>
            <w:szCs w:val="24"/>
            <w:u w:val="none"/>
          </w:rPr>
          <w:t>[accessed: 10 October 2022], p. 4;</w:t>
        </w:r>
      </w:hyperlink>
      <w:r w:rsidRPr="002D221E">
        <w:rPr>
          <w:rStyle w:val="Hyperlink"/>
          <w:rFonts w:cstheme="minorHAnsi"/>
          <w:szCs w:val="24"/>
          <w:u w:val="none"/>
        </w:rPr>
        <w:t xml:space="preserve"> </w:t>
      </w:r>
      <w:r w:rsidRPr="002D221E">
        <w:rPr>
          <w:rFonts w:cstheme="minorHAnsi"/>
          <w:szCs w:val="24"/>
        </w:rPr>
        <w:t xml:space="preserve">UK Government (2022), </w:t>
      </w:r>
      <w:hyperlink r:id="rId56" w:history="1">
        <w:r w:rsidRPr="002D221E">
          <w:rPr>
            <w:rStyle w:val="Hyperlink"/>
            <w:rFonts w:cstheme="minorHAnsi"/>
            <w:szCs w:val="24"/>
          </w:rPr>
          <w:t>A fairer private rented sector</w:t>
        </w:r>
      </w:hyperlink>
      <w:r w:rsidRPr="002D221E">
        <w:rPr>
          <w:rFonts w:cstheme="minorHAnsi"/>
          <w:szCs w:val="24"/>
        </w:rPr>
        <w:t xml:space="preserve"> [accessed: 5 October 2022].</w:t>
      </w:r>
    </w:p>
  </w:footnote>
  <w:footnote w:id="48">
    <w:p w14:paraId="4DB647B1" w14:textId="46038912" w:rsidR="003E4C7F" w:rsidRPr="002D221E" w:rsidRDefault="003E4C7F">
      <w:pPr>
        <w:pStyle w:val="FootnoteText"/>
        <w:rPr>
          <w:rFonts w:cstheme="minorHAnsi"/>
          <w:szCs w:val="24"/>
        </w:rPr>
      </w:pPr>
      <w:r w:rsidRPr="002D221E">
        <w:rPr>
          <w:rStyle w:val="FootnoteReference"/>
          <w:rFonts w:cstheme="minorHAnsi"/>
          <w:szCs w:val="24"/>
        </w:rPr>
        <w:footnoteRef/>
      </w:r>
      <w:r w:rsidRPr="002D221E">
        <w:rPr>
          <w:rFonts w:cstheme="minorHAnsi"/>
          <w:szCs w:val="24"/>
        </w:rPr>
        <w:t xml:space="preserve"> </w:t>
      </w:r>
      <w:hyperlink r:id="rId57" w:history="1">
        <w:r w:rsidRPr="002D221E">
          <w:rPr>
            <w:rStyle w:val="Hyperlink"/>
            <w:rFonts w:cstheme="minorHAnsi"/>
            <w:color w:val="0B4E60" w:themeColor="text2"/>
            <w:szCs w:val="24"/>
            <w:u w:val="none"/>
          </w:rPr>
          <w:t xml:space="preserve">UK Government (2022), </w:t>
        </w:r>
        <w:r w:rsidRPr="002D221E">
          <w:rPr>
            <w:rStyle w:val="Hyperlink"/>
            <w:rFonts w:cstheme="minorHAnsi"/>
            <w:szCs w:val="24"/>
          </w:rPr>
          <w:t xml:space="preserve">English </w:t>
        </w:r>
        <w:r>
          <w:rPr>
            <w:rStyle w:val="Hyperlink"/>
            <w:rFonts w:cstheme="minorHAnsi"/>
            <w:szCs w:val="24"/>
          </w:rPr>
          <w:t>H</w:t>
        </w:r>
        <w:r w:rsidRPr="002D221E">
          <w:rPr>
            <w:rStyle w:val="Hyperlink"/>
            <w:rFonts w:cstheme="minorHAnsi"/>
            <w:szCs w:val="24"/>
          </w:rPr>
          <w:t xml:space="preserve">ousing </w:t>
        </w:r>
        <w:r>
          <w:rPr>
            <w:rStyle w:val="Hyperlink"/>
            <w:rFonts w:cstheme="minorHAnsi"/>
            <w:szCs w:val="24"/>
          </w:rPr>
          <w:t>S</w:t>
        </w:r>
        <w:r w:rsidRPr="002D221E">
          <w:rPr>
            <w:rStyle w:val="Hyperlink"/>
            <w:rFonts w:cstheme="minorHAnsi"/>
            <w:szCs w:val="24"/>
          </w:rPr>
          <w:t xml:space="preserve">urvey: </w:t>
        </w:r>
        <w:r>
          <w:rPr>
            <w:rStyle w:val="Hyperlink"/>
            <w:rFonts w:cstheme="minorHAnsi"/>
            <w:szCs w:val="24"/>
          </w:rPr>
          <w:t>H</w:t>
        </w:r>
        <w:r w:rsidRPr="002D221E">
          <w:rPr>
            <w:rStyle w:val="Hyperlink"/>
            <w:rFonts w:cstheme="minorHAnsi"/>
            <w:szCs w:val="24"/>
          </w:rPr>
          <w:t>ousing quality and condition, 2020</w:t>
        </w:r>
        <w:r w:rsidRPr="00DB5826">
          <w:rPr>
            <w:rStyle w:val="Hyperlink"/>
            <w:rFonts w:cstheme="minorHAnsi"/>
            <w:szCs w:val="24"/>
            <w:u w:val="none"/>
          </w:rPr>
          <w:t xml:space="preserve"> </w:t>
        </w:r>
        <w:r w:rsidRPr="002D221E">
          <w:rPr>
            <w:rStyle w:val="Hyperlink"/>
            <w:rFonts w:cstheme="minorHAnsi"/>
            <w:color w:val="0B4E60" w:themeColor="text2"/>
            <w:szCs w:val="24"/>
            <w:u w:val="none"/>
          </w:rPr>
          <w:t>[accessed: 10 October 2022], p. 4.</w:t>
        </w:r>
      </w:hyperlink>
    </w:p>
  </w:footnote>
  <w:footnote w:id="49">
    <w:p w14:paraId="48005EE2" w14:textId="7DE60782" w:rsidR="003E4C7F" w:rsidRPr="002D221E" w:rsidRDefault="003E4C7F" w:rsidP="00C46CE6">
      <w:pPr>
        <w:pStyle w:val="FootnoteText"/>
        <w:rPr>
          <w:rFonts w:cstheme="minorHAnsi"/>
          <w:szCs w:val="24"/>
        </w:rPr>
      </w:pPr>
      <w:r w:rsidRPr="002D221E">
        <w:rPr>
          <w:rStyle w:val="FootnoteReference"/>
          <w:rFonts w:cstheme="minorHAnsi"/>
          <w:szCs w:val="24"/>
        </w:rPr>
        <w:footnoteRef/>
      </w:r>
      <w:r w:rsidRPr="002D221E">
        <w:rPr>
          <w:rFonts w:cstheme="minorHAnsi"/>
          <w:szCs w:val="24"/>
        </w:rPr>
        <w:t xml:space="preserve"> Levelling Up, Housing and Communities Committee (2022), </w:t>
      </w:r>
      <w:hyperlink r:id="rId58" w:history="1">
        <w:r w:rsidRPr="00527413">
          <w:rPr>
            <w:rStyle w:val="Hyperlink"/>
          </w:rPr>
          <w:t xml:space="preserve">The </w:t>
        </w:r>
        <w:r w:rsidRPr="00527413">
          <w:rPr>
            <w:rStyle w:val="Hyperlink"/>
            <w:rFonts w:cstheme="minorHAnsi"/>
            <w:szCs w:val="24"/>
          </w:rPr>
          <w:t>Regulation of Social Housing</w:t>
        </w:r>
      </w:hyperlink>
      <w:r w:rsidRPr="00527413">
        <w:rPr>
          <w:rStyle w:val="Hyperlink"/>
          <w:rFonts w:cstheme="minorHAnsi"/>
          <w:szCs w:val="24"/>
          <w:u w:val="none"/>
        </w:rPr>
        <w:t xml:space="preserve"> </w:t>
      </w:r>
      <w:r w:rsidRPr="002D221E">
        <w:rPr>
          <w:rFonts w:cstheme="minorHAnsi"/>
          <w:szCs w:val="24"/>
        </w:rPr>
        <w:t>[accessed: 23 August 2022]</w:t>
      </w:r>
      <w:r>
        <w:rPr>
          <w:rFonts w:cstheme="minorHAnsi"/>
          <w:szCs w:val="24"/>
        </w:rPr>
        <w:t>, para 11</w:t>
      </w:r>
      <w:r w:rsidRPr="002D221E">
        <w:rPr>
          <w:rFonts w:cstheme="minorHAnsi"/>
          <w:szCs w:val="24"/>
        </w:rPr>
        <w:t>.</w:t>
      </w:r>
    </w:p>
  </w:footnote>
  <w:footnote w:id="50">
    <w:p w14:paraId="496D775C" w14:textId="51F2100A" w:rsidR="003E4C7F" w:rsidRPr="002D221E" w:rsidRDefault="003E4C7F">
      <w:pPr>
        <w:pStyle w:val="FootnoteText"/>
        <w:rPr>
          <w:rFonts w:cstheme="minorHAnsi"/>
          <w:szCs w:val="24"/>
        </w:rPr>
      </w:pPr>
      <w:r w:rsidRPr="002D221E">
        <w:rPr>
          <w:rStyle w:val="FootnoteReference"/>
          <w:rFonts w:cstheme="minorHAnsi"/>
          <w:szCs w:val="24"/>
        </w:rPr>
        <w:footnoteRef/>
      </w:r>
      <w:r w:rsidRPr="002D221E">
        <w:rPr>
          <w:rFonts w:cstheme="minorHAnsi"/>
          <w:szCs w:val="24"/>
        </w:rPr>
        <w:t xml:space="preserve"> Grenfell Tower Inquiry (2020), </w:t>
      </w:r>
      <w:hyperlink r:id="rId59" w:history="1">
        <w:r w:rsidRPr="002D221E">
          <w:rPr>
            <w:rStyle w:val="Hyperlink"/>
            <w:rFonts w:cstheme="minorHAnsi"/>
            <w:szCs w:val="24"/>
          </w:rPr>
          <w:t>Submission</w:t>
        </w:r>
        <w:r>
          <w:rPr>
            <w:rStyle w:val="Hyperlink"/>
            <w:rFonts w:cstheme="minorHAnsi"/>
            <w:szCs w:val="24"/>
          </w:rPr>
          <w:t>s</w:t>
        </w:r>
        <w:r w:rsidRPr="002D221E">
          <w:rPr>
            <w:rStyle w:val="Hyperlink"/>
            <w:rFonts w:cstheme="minorHAnsi"/>
            <w:szCs w:val="24"/>
          </w:rPr>
          <w:t xml:space="preserve"> on behalf of the bereaved, residents and survivors represented by Birnberg Peirce</w:t>
        </w:r>
      </w:hyperlink>
      <w:r w:rsidR="00BD7C52">
        <w:rPr>
          <w:rStyle w:val="Hyperlink"/>
          <w:rFonts w:cstheme="minorHAnsi"/>
          <w:szCs w:val="24"/>
        </w:rPr>
        <w:t>,</w:t>
      </w:r>
      <w:r w:rsidRPr="002D221E">
        <w:rPr>
          <w:rStyle w:val="Hyperlink"/>
          <w:rFonts w:cstheme="minorHAnsi"/>
          <w:szCs w:val="24"/>
        </w:rPr>
        <w:t xml:space="preserve"> </w:t>
      </w:r>
      <w:r w:rsidR="00BD7C52">
        <w:rPr>
          <w:rStyle w:val="Hyperlink"/>
          <w:rFonts w:cstheme="minorHAnsi"/>
          <w:szCs w:val="24"/>
        </w:rPr>
        <w:t>Saunders Law, Duncan Lewis and Deighton Pierce Glynn</w:t>
      </w:r>
      <w:r w:rsidR="00BD7C52" w:rsidRPr="00BD7C52">
        <w:rPr>
          <w:rStyle w:val="Hyperlink"/>
          <w:rFonts w:cstheme="minorHAnsi"/>
          <w:szCs w:val="24"/>
          <w:u w:val="none"/>
        </w:rPr>
        <w:t xml:space="preserve"> </w:t>
      </w:r>
      <w:r w:rsidRPr="002D221E">
        <w:rPr>
          <w:rFonts w:cstheme="minorHAnsi"/>
          <w:szCs w:val="24"/>
        </w:rPr>
        <w:t xml:space="preserve">[accessed: 4 October 2022], annex A. </w:t>
      </w:r>
    </w:p>
  </w:footnote>
  <w:footnote w:id="51">
    <w:p w14:paraId="1C5A9350" w14:textId="10FCED30" w:rsidR="003E4C7F" w:rsidRPr="002D221E" w:rsidRDefault="003E4C7F" w:rsidP="00285ACA">
      <w:pPr>
        <w:pStyle w:val="FootnoteText"/>
        <w:rPr>
          <w:rFonts w:cstheme="minorHAnsi"/>
          <w:szCs w:val="24"/>
        </w:rPr>
      </w:pPr>
      <w:r w:rsidRPr="002D221E">
        <w:rPr>
          <w:rStyle w:val="FootnoteReference"/>
          <w:rFonts w:cstheme="minorHAnsi"/>
          <w:szCs w:val="24"/>
        </w:rPr>
        <w:footnoteRef/>
      </w:r>
      <w:r w:rsidRPr="002D221E">
        <w:rPr>
          <w:rFonts w:cstheme="minorHAnsi"/>
          <w:szCs w:val="24"/>
        </w:rPr>
        <w:t xml:space="preserve"> E</w:t>
      </w:r>
      <w:r>
        <w:rPr>
          <w:rFonts w:cstheme="minorHAnsi"/>
          <w:szCs w:val="24"/>
        </w:rPr>
        <w:t xml:space="preserve">quality and </w:t>
      </w:r>
      <w:r w:rsidRPr="002D221E">
        <w:rPr>
          <w:rFonts w:cstheme="minorHAnsi"/>
          <w:szCs w:val="24"/>
        </w:rPr>
        <w:t>H</w:t>
      </w:r>
      <w:r>
        <w:rPr>
          <w:rFonts w:cstheme="minorHAnsi"/>
          <w:szCs w:val="24"/>
        </w:rPr>
        <w:t xml:space="preserve">uman </w:t>
      </w:r>
      <w:r w:rsidRPr="002D221E">
        <w:rPr>
          <w:rFonts w:cstheme="minorHAnsi"/>
          <w:szCs w:val="24"/>
        </w:rPr>
        <w:t>R</w:t>
      </w:r>
      <w:r>
        <w:rPr>
          <w:rFonts w:cstheme="minorHAnsi"/>
          <w:szCs w:val="24"/>
        </w:rPr>
        <w:t xml:space="preserve">ights </w:t>
      </w:r>
      <w:r w:rsidRPr="002D221E">
        <w:rPr>
          <w:rFonts w:cstheme="minorHAnsi"/>
          <w:szCs w:val="24"/>
        </w:rPr>
        <w:t>C</w:t>
      </w:r>
      <w:r>
        <w:rPr>
          <w:rFonts w:cstheme="minorHAnsi"/>
          <w:szCs w:val="24"/>
        </w:rPr>
        <w:t>ommission</w:t>
      </w:r>
      <w:r w:rsidRPr="002D221E">
        <w:rPr>
          <w:rFonts w:cstheme="minorHAnsi"/>
          <w:szCs w:val="24"/>
        </w:rPr>
        <w:t xml:space="preserve"> (2019), </w:t>
      </w:r>
      <w:hyperlink r:id="rId60" w:history="1">
        <w:r w:rsidRPr="002D221E">
          <w:rPr>
            <w:rStyle w:val="Hyperlink"/>
            <w:rFonts w:cstheme="minorHAnsi"/>
            <w:szCs w:val="24"/>
          </w:rPr>
          <w:t>Summary of submissions following Phase 1 of the Grenfell Tower Inquiry</w:t>
        </w:r>
      </w:hyperlink>
      <w:r w:rsidRPr="002D221E">
        <w:rPr>
          <w:rFonts w:cstheme="minorHAnsi"/>
          <w:szCs w:val="24"/>
        </w:rPr>
        <w:t xml:space="preserve"> [accessed: 23 August 2022], p. 4.</w:t>
      </w:r>
    </w:p>
  </w:footnote>
  <w:footnote w:id="52">
    <w:p w14:paraId="6206AEEA" w14:textId="07C2C5A7" w:rsidR="003E4C7F" w:rsidRPr="002D221E" w:rsidRDefault="003E4C7F" w:rsidP="00811EA5">
      <w:pPr>
        <w:pStyle w:val="FootnoteText"/>
        <w:rPr>
          <w:rFonts w:cstheme="minorHAnsi"/>
          <w:szCs w:val="24"/>
        </w:rPr>
      </w:pPr>
      <w:r w:rsidRPr="002D221E">
        <w:rPr>
          <w:rStyle w:val="FootnoteReference"/>
          <w:rFonts w:cstheme="minorHAnsi"/>
          <w:szCs w:val="24"/>
        </w:rPr>
        <w:footnoteRef/>
      </w:r>
      <w:r>
        <w:rPr>
          <w:rFonts w:cstheme="minorHAnsi"/>
          <w:szCs w:val="24"/>
        </w:rPr>
        <w:t xml:space="preserve"> Grenfell Tower I</w:t>
      </w:r>
      <w:r w:rsidRPr="002D221E">
        <w:rPr>
          <w:rFonts w:cstheme="minorHAnsi"/>
          <w:szCs w:val="24"/>
        </w:rPr>
        <w:t xml:space="preserve">nquiry (2017), </w:t>
      </w:r>
      <w:hyperlink r:id="rId61" w:history="1">
        <w:r w:rsidRPr="002D221E">
          <w:rPr>
            <w:rStyle w:val="Hyperlink"/>
            <w:rFonts w:cstheme="minorHAnsi"/>
            <w:szCs w:val="24"/>
          </w:rPr>
          <w:t>Terms of reference</w:t>
        </w:r>
      </w:hyperlink>
      <w:r w:rsidRPr="002D221E">
        <w:rPr>
          <w:rFonts w:cstheme="minorHAnsi"/>
          <w:szCs w:val="24"/>
        </w:rPr>
        <w:t xml:space="preserve"> [accessed: 21 October 2022]; UK Government (2020), </w:t>
      </w:r>
      <w:hyperlink r:id="rId62" w:history="1">
        <w:r w:rsidRPr="002D221E">
          <w:rPr>
            <w:rStyle w:val="Hyperlink"/>
            <w:rFonts w:cstheme="minorHAnsi"/>
            <w:szCs w:val="24"/>
          </w:rPr>
          <w:t xml:space="preserve">Grenfell Tower Inquiry </w:t>
        </w:r>
        <w:r>
          <w:rPr>
            <w:rStyle w:val="Hyperlink"/>
            <w:rFonts w:cstheme="minorHAnsi"/>
            <w:szCs w:val="24"/>
          </w:rPr>
          <w:t>P</w:t>
        </w:r>
        <w:r w:rsidRPr="002D221E">
          <w:rPr>
            <w:rStyle w:val="Hyperlink"/>
            <w:rFonts w:cstheme="minorHAnsi"/>
            <w:szCs w:val="24"/>
          </w:rPr>
          <w:t xml:space="preserve">hase 1 </w:t>
        </w:r>
        <w:r>
          <w:rPr>
            <w:rStyle w:val="Hyperlink"/>
            <w:rFonts w:cstheme="minorHAnsi"/>
            <w:szCs w:val="24"/>
          </w:rPr>
          <w:t>R</w:t>
        </w:r>
        <w:r w:rsidRPr="002D221E">
          <w:rPr>
            <w:rStyle w:val="Hyperlink"/>
            <w:rFonts w:cstheme="minorHAnsi"/>
            <w:szCs w:val="24"/>
          </w:rPr>
          <w:t>eport: government response</w:t>
        </w:r>
      </w:hyperlink>
      <w:r w:rsidRPr="002D221E">
        <w:rPr>
          <w:rFonts w:cstheme="minorHAnsi"/>
          <w:szCs w:val="24"/>
        </w:rPr>
        <w:t xml:space="preserve"> [accessed: 21 October 2022].</w:t>
      </w:r>
    </w:p>
  </w:footnote>
  <w:footnote w:id="53">
    <w:p w14:paraId="1B268173" w14:textId="34EA8C39" w:rsidR="003E4C7F" w:rsidRPr="002D221E" w:rsidRDefault="003E4C7F" w:rsidP="006F2C7F">
      <w:pPr>
        <w:pStyle w:val="FootnoteText"/>
        <w:rPr>
          <w:rFonts w:cstheme="minorHAnsi"/>
          <w:szCs w:val="24"/>
        </w:rPr>
      </w:pPr>
      <w:r w:rsidRPr="002D221E">
        <w:rPr>
          <w:rStyle w:val="FootnoteReference"/>
          <w:rFonts w:cstheme="minorHAnsi"/>
          <w:szCs w:val="24"/>
        </w:rPr>
        <w:footnoteRef/>
      </w:r>
      <w:r w:rsidRPr="002D221E">
        <w:rPr>
          <w:rFonts w:cstheme="minorHAnsi"/>
          <w:szCs w:val="24"/>
        </w:rPr>
        <w:t xml:space="preserve"> </w:t>
      </w:r>
      <w:r>
        <w:rPr>
          <w:rFonts w:cstheme="minorHAnsi"/>
          <w:szCs w:val="24"/>
        </w:rPr>
        <w:t>Independent Chief Inspector of Borders and Immigration</w:t>
      </w:r>
      <w:r w:rsidRPr="002D221E">
        <w:rPr>
          <w:rFonts w:cstheme="minorHAnsi"/>
          <w:szCs w:val="24"/>
        </w:rPr>
        <w:t xml:space="preserve"> (2018), </w:t>
      </w:r>
      <w:hyperlink r:id="rId63" w:history="1">
        <w:r w:rsidRPr="002D221E">
          <w:rPr>
            <w:rStyle w:val="Hyperlink"/>
            <w:rFonts w:cstheme="minorHAnsi"/>
            <w:szCs w:val="24"/>
          </w:rPr>
          <w:t>An inspection of the Home Office’s management of asylum accommodation provision</w:t>
        </w:r>
      </w:hyperlink>
      <w:r w:rsidRPr="002D221E">
        <w:rPr>
          <w:rFonts w:cstheme="minorHAnsi"/>
          <w:szCs w:val="24"/>
        </w:rPr>
        <w:t xml:space="preserve"> [accessed: 22 August 2022], paras. 3.8</w:t>
      </w:r>
      <w:r>
        <w:rPr>
          <w:rFonts w:cstheme="minorHAnsi"/>
          <w:szCs w:val="24"/>
        </w:rPr>
        <w:t xml:space="preserve"> to </w:t>
      </w:r>
      <w:r w:rsidRPr="002D221E">
        <w:rPr>
          <w:rFonts w:cstheme="minorHAnsi"/>
          <w:szCs w:val="24"/>
        </w:rPr>
        <w:t xml:space="preserve">3.9; Home Affairs Committee (2018), </w:t>
      </w:r>
      <w:hyperlink r:id="rId64" w:history="1">
        <w:r w:rsidRPr="002D221E">
          <w:rPr>
            <w:rStyle w:val="Hyperlink"/>
            <w:rFonts w:cstheme="minorHAnsi"/>
            <w:szCs w:val="24"/>
          </w:rPr>
          <w:t>Asylum accommodation: replacing COMPASS</w:t>
        </w:r>
      </w:hyperlink>
      <w:r w:rsidRPr="002D221E">
        <w:rPr>
          <w:rFonts w:cstheme="minorHAnsi"/>
          <w:szCs w:val="24"/>
        </w:rPr>
        <w:t xml:space="preserve"> [accessed: 22 August 2022].</w:t>
      </w:r>
    </w:p>
  </w:footnote>
  <w:footnote w:id="54">
    <w:p w14:paraId="03CF0ECA" w14:textId="77777777" w:rsidR="003E4C7F" w:rsidRPr="002D221E" w:rsidRDefault="003E4C7F" w:rsidP="00C349CA">
      <w:pPr>
        <w:pStyle w:val="FootnoteText"/>
        <w:rPr>
          <w:rFonts w:cstheme="minorHAnsi"/>
          <w:szCs w:val="24"/>
        </w:rPr>
      </w:pPr>
      <w:r w:rsidRPr="002D221E">
        <w:rPr>
          <w:rStyle w:val="FootnoteReference"/>
          <w:rFonts w:cstheme="minorHAnsi"/>
          <w:szCs w:val="24"/>
        </w:rPr>
        <w:footnoteRef/>
      </w:r>
      <w:r w:rsidRPr="002D221E">
        <w:rPr>
          <w:rFonts w:cstheme="minorHAnsi"/>
          <w:szCs w:val="24"/>
        </w:rPr>
        <w:t xml:space="preserve"> Home Affairs Committee (2022), </w:t>
      </w:r>
      <w:hyperlink r:id="rId65" w:anchor="Panel2" w:history="1">
        <w:r w:rsidRPr="002D221E">
          <w:rPr>
            <w:rStyle w:val="Hyperlink"/>
            <w:rFonts w:cstheme="minorHAnsi"/>
            <w:szCs w:val="24"/>
          </w:rPr>
          <w:t>Oral evidence: Channel crossings, HC 822</w:t>
        </w:r>
      </w:hyperlink>
      <w:r w:rsidRPr="002D221E">
        <w:rPr>
          <w:rFonts w:cstheme="minorHAnsi"/>
          <w:szCs w:val="24"/>
        </w:rPr>
        <w:t xml:space="preserve"> [accessed: 30 November 2022], panel 2.</w:t>
      </w:r>
    </w:p>
  </w:footnote>
  <w:footnote w:id="55">
    <w:p w14:paraId="66201D44" w14:textId="0816C292" w:rsidR="003E4C7F" w:rsidRPr="002D221E" w:rsidRDefault="003E4C7F" w:rsidP="006F2C7F">
      <w:pPr>
        <w:pStyle w:val="FootnoteText"/>
        <w:rPr>
          <w:rFonts w:cstheme="minorHAnsi"/>
          <w:szCs w:val="24"/>
        </w:rPr>
      </w:pPr>
      <w:r w:rsidRPr="002D221E">
        <w:rPr>
          <w:rStyle w:val="FootnoteReference"/>
          <w:rFonts w:cstheme="minorHAnsi"/>
          <w:szCs w:val="24"/>
        </w:rPr>
        <w:footnoteRef/>
      </w:r>
      <w:r w:rsidRPr="002D221E">
        <w:rPr>
          <w:rFonts w:cstheme="minorHAnsi"/>
          <w:szCs w:val="24"/>
        </w:rPr>
        <w:t xml:space="preserve"> </w:t>
      </w:r>
      <w:r>
        <w:rPr>
          <w:rFonts w:cstheme="minorHAnsi"/>
          <w:szCs w:val="24"/>
        </w:rPr>
        <w:t>Independent Chief Inspector of Borders and Immigration</w:t>
      </w:r>
      <w:r w:rsidRPr="002D221E">
        <w:rPr>
          <w:rFonts w:cstheme="minorHAnsi"/>
          <w:szCs w:val="24"/>
        </w:rPr>
        <w:t xml:space="preserve"> (2021), </w:t>
      </w:r>
      <w:hyperlink r:id="rId66" w:history="1">
        <w:r w:rsidRPr="002D221E">
          <w:rPr>
            <w:rStyle w:val="Hyperlink"/>
            <w:rFonts w:cstheme="minorHAnsi"/>
            <w:szCs w:val="24"/>
          </w:rPr>
          <w:t>An inspection of the use of contingency asylum accommodation – key findings from site visits to Penally Camp and Napier Barracks</w:t>
        </w:r>
      </w:hyperlink>
      <w:r w:rsidRPr="002D221E">
        <w:rPr>
          <w:rFonts w:cstheme="minorHAnsi"/>
          <w:szCs w:val="24"/>
        </w:rPr>
        <w:t xml:space="preserve"> [accessed: 23 August 2022]. </w:t>
      </w:r>
    </w:p>
  </w:footnote>
  <w:footnote w:id="56">
    <w:p w14:paraId="30CA3250" w14:textId="77777777" w:rsidR="003E4C7F" w:rsidRPr="002D221E" w:rsidRDefault="003E4C7F" w:rsidP="005226FE">
      <w:pPr>
        <w:pStyle w:val="FootnoteText"/>
        <w:rPr>
          <w:rFonts w:cstheme="minorHAnsi"/>
          <w:szCs w:val="24"/>
        </w:rPr>
      </w:pPr>
      <w:r w:rsidRPr="002D221E">
        <w:rPr>
          <w:rStyle w:val="FootnoteReference"/>
          <w:rFonts w:cstheme="minorHAnsi"/>
          <w:szCs w:val="24"/>
        </w:rPr>
        <w:footnoteRef/>
      </w:r>
      <w:r w:rsidRPr="002D221E">
        <w:rPr>
          <w:rFonts w:cstheme="minorHAnsi"/>
          <w:szCs w:val="24"/>
        </w:rPr>
        <w:t xml:space="preserve"> Liberty Investigates (2021), </w:t>
      </w:r>
      <w:hyperlink r:id="rId67" w:history="1">
        <w:r w:rsidRPr="002D221E">
          <w:rPr>
            <w:rStyle w:val="Hyperlink"/>
            <w:rFonts w:cstheme="minorHAnsi"/>
            <w:szCs w:val="24"/>
          </w:rPr>
          <w:t>95 died in asylum seeker accommodation in five years amid fears Home Office downplayed toll</w:t>
        </w:r>
      </w:hyperlink>
      <w:r w:rsidRPr="002D221E">
        <w:rPr>
          <w:rFonts w:cstheme="minorHAnsi"/>
          <w:szCs w:val="24"/>
        </w:rPr>
        <w:t xml:space="preserve"> [accessed: 23 August 2022].</w:t>
      </w:r>
    </w:p>
  </w:footnote>
  <w:footnote w:id="57">
    <w:p w14:paraId="087FC993" w14:textId="45282B6A" w:rsidR="003E4C7F" w:rsidRPr="002D221E" w:rsidRDefault="003E4C7F" w:rsidP="006F2C7F">
      <w:pPr>
        <w:pStyle w:val="FootnoteText"/>
        <w:rPr>
          <w:rFonts w:cstheme="minorHAnsi"/>
          <w:szCs w:val="24"/>
        </w:rPr>
      </w:pPr>
      <w:r w:rsidRPr="002D221E">
        <w:rPr>
          <w:rStyle w:val="FootnoteReference"/>
          <w:rFonts w:cstheme="minorHAnsi"/>
          <w:szCs w:val="24"/>
        </w:rPr>
        <w:footnoteRef/>
      </w:r>
      <w:r w:rsidRPr="002D221E">
        <w:rPr>
          <w:rFonts w:cstheme="minorHAnsi"/>
          <w:szCs w:val="24"/>
        </w:rPr>
        <w:t xml:space="preserve"> Friends, Families and Travellers (2021), </w:t>
      </w:r>
      <w:hyperlink r:id="rId68" w:history="1">
        <w:r w:rsidRPr="002D221E">
          <w:rPr>
            <w:rStyle w:val="Hyperlink"/>
            <w:rFonts w:cstheme="minorHAnsi"/>
            <w:szCs w:val="24"/>
          </w:rPr>
          <w:t>New research shows huge unmet need for pitches on Traveller sites in England</w:t>
        </w:r>
      </w:hyperlink>
      <w:r w:rsidRPr="002D221E">
        <w:rPr>
          <w:rFonts w:cstheme="minorHAnsi"/>
          <w:szCs w:val="24"/>
        </w:rPr>
        <w:t xml:space="preserve"> [accessed: 23 August 2022]; Cottle, S. and others (2019), </w:t>
      </w:r>
      <w:hyperlink r:id="rId69" w:history="1">
        <w:r w:rsidRPr="002D221E">
          <w:rPr>
            <w:rStyle w:val="Hyperlink"/>
            <w:rFonts w:cstheme="minorHAnsi"/>
            <w:szCs w:val="24"/>
          </w:rPr>
          <w:t>Gypsy and Traveller sites: the revised planning definition’s impact on assessing accommodation needs</w:t>
        </w:r>
      </w:hyperlink>
      <w:r w:rsidRPr="002D221E">
        <w:rPr>
          <w:rFonts w:cstheme="minorHAnsi"/>
          <w:szCs w:val="24"/>
        </w:rPr>
        <w:t>, E</w:t>
      </w:r>
      <w:r>
        <w:rPr>
          <w:rFonts w:cstheme="minorHAnsi"/>
          <w:szCs w:val="24"/>
        </w:rPr>
        <w:t xml:space="preserve">quality and </w:t>
      </w:r>
      <w:r w:rsidRPr="002D221E">
        <w:rPr>
          <w:rFonts w:cstheme="minorHAnsi"/>
          <w:szCs w:val="24"/>
        </w:rPr>
        <w:t>H</w:t>
      </w:r>
      <w:r>
        <w:rPr>
          <w:rFonts w:cstheme="minorHAnsi"/>
          <w:szCs w:val="24"/>
        </w:rPr>
        <w:t xml:space="preserve">uman </w:t>
      </w:r>
      <w:r w:rsidRPr="002D221E">
        <w:rPr>
          <w:rFonts w:cstheme="minorHAnsi"/>
          <w:szCs w:val="24"/>
        </w:rPr>
        <w:t>R</w:t>
      </w:r>
      <w:r>
        <w:rPr>
          <w:rFonts w:cstheme="minorHAnsi"/>
          <w:szCs w:val="24"/>
        </w:rPr>
        <w:t xml:space="preserve">ights </w:t>
      </w:r>
      <w:r w:rsidRPr="002D221E">
        <w:rPr>
          <w:rFonts w:cstheme="minorHAnsi"/>
          <w:szCs w:val="24"/>
        </w:rPr>
        <w:t>C</w:t>
      </w:r>
      <w:r>
        <w:rPr>
          <w:rFonts w:cstheme="minorHAnsi"/>
          <w:szCs w:val="24"/>
        </w:rPr>
        <w:t>ommission</w:t>
      </w:r>
      <w:r w:rsidRPr="002D221E">
        <w:rPr>
          <w:rFonts w:cstheme="minorHAnsi"/>
          <w:szCs w:val="24"/>
        </w:rPr>
        <w:t xml:space="preserve"> research report 128 [accessed: 23 August 2022].</w:t>
      </w:r>
    </w:p>
  </w:footnote>
  <w:footnote w:id="58">
    <w:p w14:paraId="7C1E1686" w14:textId="0EB19085" w:rsidR="003E4C7F" w:rsidRPr="002D221E" w:rsidRDefault="003E4C7F">
      <w:pPr>
        <w:pStyle w:val="FootnoteText"/>
        <w:rPr>
          <w:rFonts w:cstheme="minorHAnsi"/>
          <w:szCs w:val="24"/>
        </w:rPr>
      </w:pPr>
      <w:r w:rsidRPr="002D221E">
        <w:rPr>
          <w:rStyle w:val="FootnoteReference"/>
          <w:rFonts w:cstheme="minorHAnsi"/>
          <w:szCs w:val="24"/>
        </w:rPr>
        <w:footnoteRef/>
      </w:r>
      <w:r w:rsidRPr="002D221E">
        <w:rPr>
          <w:rFonts w:cstheme="minorHAnsi"/>
          <w:szCs w:val="24"/>
        </w:rPr>
        <w:t xml:space="preserve"> UK Government (2022), </w:t>
      </w:r>
      <w:hyperlink r:id="rId70" w:history="1">
        <w:r w:rsidRPr="002D221E">
          <w:rPr>
            <w:rStyle w:val="Hyperlink"/>
            <w:rFonts w:cstheme="minorHAnsi"/>
            <w:szCs w:val="24"/>
          </w:rPr>
          <w:t xml:space="preserve">Traveller site fund </w:t>
        </w:r>
      </w:hyperlink>
      <w:r w:rsidRPr="002D221E">
        <w:rPr>
          <w:rFonts w:cstheme="minorHAnsi"/>
          <w:szCs w:val="24"/>
        </w:rPr>
        <w:t>[accessed: 4 October 2022].</w:t>
      </w:r>
    </w:p>
  </w:footnote>
  <w:footnote w:id="59">
    <w:p w14:paraId="1E174015" w14:textId="04826DE6" w:rsidR="003E4C7F" w:rsidRPr="002D221E" w:rsidRDefault="003E4C7F" w:rsidP="006F2C7F">
      <w:pPr>
        <w:pStyle w:val="FootnoteText"/>
        <w:rPr>
          <w:rFonts w:cstheme="minorHAnsi"/>
          <w:szCs w:val="24"/>
        </w:rPr>
      </w:pPr>
      <w:r w:rsidRPr="002D221E">
        <w:rPr>
          <w:rStyle w:val="FootnoteReference"/>
          <w:rFonts w:cstheme="minorHAnsi"/>
          <w:szCs w:val="24"/>
        </w:rPr>
        <w:footnoteRef/>
      </w:r>
      <w:r w:rsidRPr="002D221E">
        <w:rPr>
          <w:rFonts w:cstheme="minorHAnsi"/>
          <w:szCs w:val="24"/>
        </w:rPr>
        <w:t xml:space="preserve"> Welsh Government (2018), </w:t>
      </w:r>
      <w:hyperlink r:id="rId71" w:history="1">
        <w:r w:rsidRPr="002D221E">
          <w:rPr>
            <w:rStyle w:val="Hyperlink"/>
            <w:rFonts w:cstheme="minorHAnsi"/>
            <w:szCs w:val="24"/>
          </w:rPr>
          <w:t>Enabling Gypsies, Roma and Travellers</w:t>
        </w:r>
      </w:hyperlink>
      <w:r w:rsidRPr="002D221E">
        <w:rPr>
          <w:rFonts w:cstheme="minorHAnsi"/>
          <w:szCs w:val="24"/>
        </w:rPr>
        <w:t xml:space="preserve"> [accessed: 23 August 2022]; Welsh Government (2021), </w:t>
      </w:r>
      <w:hyperlink r:id="rId72" w:history="1">
        <w:r w:rsidRPr="002D221E">
          <w:rPr>
            <w:rStyle w:val="Hyperlink"/>
            <w:rFonts w:cstheme="minorHAnsi"/>
            <w:szCs w:val="24"/>
          </w:rPr>
          <w:t xml:space="preserve">Gypsy and Traveller caravan count: </w:t>
        </w:r>
        <w:r>
          <w:rPr>
            <w:rStyle w:val="Hyperlink"/>
            <w:rFonts w:cstheme="minorHAnsi"/>
            <w:szCs w:val="24"/>
          </w:rPr>
          <w:t>January</w:t>
        </w:r>
      </w:hyperlink>
      <w:r>
        <w:rPr>
          <w:rStyle w:val="Hyperlink"/>
          <w:rFonts w:cstheme="minorHAnsi"/>
          <w:szCs w:val="24"/>
        </w:rPr>
        <w:t xml:space="preserve"> 2022</w:t>
      </w:r>
      <w:r w:rsidRPr="002D221E">
        <w:rPr>
          <w:rFonts w:cstheme="minorHAnsi"/>
          <w:szCs w:val="24"/>
        </w:rPr>
        <w:t xml:space="preserve"> [accessed: 23 August 2022].</w:t>
      </w:r>
    </w:p>
  </w:footnote>
  <w:footnote w:id="60">
    <w:p w14:paraId="6812FCD9" w14:textId="7FB8FDE6" w:rsidR="003E4C7F" w:rsidRPr="002D221E" w:rsidRDefault="003E4C7F" w:rsidP="00E57CF6">
      <w:pPr>
        <w:pStyle w:val="FootnoteText"/>
        <w:rPr>
          <w:rFonts w:cstheme="minorHAnsi"/>
          <w:szCs w:val="24"/>
        </w:rPr>
      </w:pPr>
      <w:r w:rsidRPr="002D221E">
        <w:rPr>
          <w:rStyle w:val="FootnoteReference"/>
          <w:rFonts w:cstheme="minorHAnsi"/>
          <w:szCs w:val="24"/>
        </w:rPr>
        <w:footnoteRef/>
      </w:r>
      <w:r w:rsidRPr="002D221E">
        <w:rPr>
          <w:rFonts w:cstheme="minorHAnsi"/>
          <w:szCs w:val="24"/>
        </w:rPr>
        <w:t xml:space="preserve"> </w:t>
      </w:r>
      <w:hyperlink r:id="rId73" w:history="1">
        <w:r w:rsidRPr="002D221E">
          <w:rPr>
            <w:rStyle w:val="Hyperlink"/>
            <w:rFonts w:cstheme="minorHAnsi"/>
            <w:szCs w:val="24"/>
          </w:rPr>
          <w:t>Police, Crime, Sentencing and Courts Act</w:t>
        </w:r>
      </w:hyperlink>
      <w:r w:rsidRPr="002D221E">
        <w:rPr>
          <w:rStyle w:val="Hyperlink"/>
          <w:rFonts w:cstheme="minorHAnsi"/>
          <w:szCs w:val="24"/>
        </w:rPr>
        <w:t xml:space="preserve"> 2022</w:t>
      </w:r>
      <w:r w:rsidRPr="002D221E">
        <w:rPr>
          <w:rFonts w:cstheme="minorHAnsi"/>
          <w:szCs w:val="24"/>
        </w:rPr>
        <w:t xml:space="preserve">. </w:t>
      </w:r>
    </w:p>
  </w:footnote>
  <w:footnote w:id="61">
    <w:p w14:paraId="03625C9F" w14:textId="545F5207" w:rsidR="003E4C7F" w:rsidRPr="002D221E" w:rsidRDefault="003E4C7F">
      <w:pPr>
        <w:pStyle w:val="FootnoteText"/>
        <w:rPr>
          <w:rFonts w:cstheme="minorHAnsi"/>
          <w:szCs w:val="24"/>
        </w:rPr>
      </w:pPr>
      <w:r w:rsidRPr="002D221E">
        <w:rPr>
          <w:rStyle w:val="FootnoteReference"/>
          <w:rFonts w:cstheme="minorHAnsi"/>
          <w:szCs w:val="24"/>
        </w:rPr>
        <w:footnoteRef/>
      </w:r>
      <w:r w:rsidRPr="002D221E">
        <w:rPr>
          <w:rFonts w:cstheme="minorHAnsi"/>
          <w:szCs w:val="24"/>
        </w:rPr>
        <w:t xml:space="preserve"> E</w:t>
      </w:r>
      <w:r>
        <w:rPr>
          <w:rFonts w:cstheme="minorHAnsi"/>
          <w:szCs w:val="24"/>
        </w:rPr>
        <w:t xml:space="preserve">quality and </w:t>
      </w:r>
      <w:r w:rsidRPr="002D221E">
        <w:rPr>
          <w:rFonts w:cstheme="minorHAnsi"/>
          <w:szCs w:val="24"/>
        </w:rPr>
        <w:t>H</w:t>
      </w:r>
      <w:r>
        <w:rPr>
          <w:rFonts w:cstheme="minorHAnsi"/>
          <w:szCs w:val="24"/>
        </w:rPr>
        <w:t xml:space="preserve">uman </w:t>
      </w:r>
      <w:r w:rsidRPr="002D221E">
        <w:rPr>
          <w:rFonts w:cstheme="minorHAnsi"/>
          <w:szCs w:val="24"/>
        </w:rPr>
        <w:t>R</w:t>
      </w:r>
      <w:r>
        <w:rPr>
          <w:rFonts w:cstheme="minorHAnsi"/>
          <w:szCs w:val="24"/>
        </w:rPr>
        <w:t xml:space="preserve">ights </w:t>
      </w:r>
      <w:r w:rsidRPr="002D221E">
        <w:rPr>
          <w:rFonts w:cstheme="minorHAnsi"/>
          <w:szCs w:val="24"/>
        </w:rPr>
        <w:t>C</w:t>
      </w:r>
      <w:r>
        <w:rPr>
          <w:rFonts w:cstheme="minorHAnsi"/>
          <w:szCs w:val="24"/>
        </w:rPr>
        <w:t>ommission</w:t>
      </w:r>
      <w:r w:rsidRPr="002D221E">
        <w:rPr>
          <w:rFonts w:cstheme="minorHAnsi"/>
          <w:szCs w:val="24"/>
        </w:rPr>
        <w:t xml:space="preserve"> (2020), </w:t>
      </w:r>
      <w:hyperlink r:id="rId74" w:history="1">
        <w:r w:rsidRPr="002D221E">
          <w:rPr>
            <w:rStyle w:val="Hyperlink"/>
            <w:rFonts w:cstheme="minorHAnsi"/>
            <w:szCs w:val="24"/>
          </w:rPr>
          <w:t>Adult social care and the right to independent living</w:t>
        </w:r>
      </w:hyperlink>
      <w:r w:rsidRPr="002D221E">
        <w:rPr>
          <w:rFonts w:cstheme="minorHAnsi"/>
          <w:szCs w:val="24"/>
        </w:rPr>
        <w:t xml:space="preserve"> [accessed: 23 August 2022], para. 6; The King’s Fund (2022), </w:t>
      </w:r>
      <w:hyperlink r:id="rId75" w:history="1">
        <w:r w:rsidRPr="002D221E">
          <w:rPr>
            <w:rStyle w:val="Hyperlink"/>
            <w:rFonts w:cstheme="minorHAnsi"/>
            <w:szCs w:val="24"/>
          </w:rPr>
          <w:t>Social care 360: access</w:t>
        </w:r>
      </w:hyperlink>
      <w:r w:rsidRPr="002D221E">
        <w:rPr>
          <w:rFonts w:cstheme="minorHAnsi"/>
          <w:szCs w:val="24"/>
        </w:rPr>
        <w:t xml:space="preserve"> [accessed: 23 August 2022].</w:t>
      </w:r>
    </w:p>
  </w:footnote>
  <w:footnote w:id="62">
    <w:p w14:paraId="1DA438C1" w14:textId="1B062FC1" w:rsidR="003E4C7F" w:rsidRPr="002D221E" w:rsidRDefault="003E4C7F" w:rsidP="00B63C1A">
      <w:pPr>
        <w:pStyle w:val="FootnoteText"/>
        <w:spacing w:after="60"/>
        <w:rPr>
          <w:rFonts w:eastAsia="Calibri" w:cstheme="minorHAnsi"/>
          <w:szCs w:val="24"/>
          <w:lang w:eastAsia="en-GB"/>
        </w:rPr>
      </w:pPr>
      <w:r w:rsidRPr="002D221E">
        <w:rPr>
          <w:rStyle w:val="FootnoteReference"/>
          <w:rFonts w:cstheme="minorHAnsi"/>
          <w:szCs w:val="24"/>
        </w:rPr>
        <w:footnoteRef/>
      </w:r>
      <w:r w:rsidRPr="002D221E">
        <w:rPr>
          <w:rFonts w:cstheme="minorHAnsi"/>
          <w:szCs w:val="24"/>
        </w:rPr>
        <w:t xml:space="preserve"> British Medical Association (2020), </w:t>
      </w:r>
      <w:hyperlink r:id="rId76" w:history="1">
        <w:r w:rsidRPr="002D221E">
          <w:rPr>
            <w:rStyle w:val="Hyperlink"/>
            <w:rFonts w:cstheme="minorHAnsi"/>
            <w:szCs w:val="24"/>
          </w:rPr>
          <w:t>The hidden impact of COVID-19 on patient care in the NHS in England</w:t>
        </w:r>
      </w:hyperlink>
      <w:r w:rsidRPr="002D221E">
        <w:rPr>
          <w:rFonts w:cstheme="minorHAnsi"/>
          <w:szCs w:val="24"/>
        </w:rPr>
        <w:t xml:space="preserve"> [accessed: 23 August 2022]; Older People’s Commissioner for Wales (2020), </w:t>
      </w:r>
      <w:hyperlink r:id="rId77" w:history="1">
        <w:r w:rsidRPr="002D221E">
          <w:rPr>
            <w:rStyle w:val="Hyperlink"/>
            <w:rFonts w:cstheme="minorHAnsi"/>
            <w:szCs w:val="24"/>
          </w:rPr>
          <w:t>Care Home Voices: A snapshot of life in care homes in Wales during Covid-19</w:t>
        </w:r>
      </w:hyperlink>
      <w:r w:rsidRPr="002D221E">
        <w:rPr>
          <w:rFonts w:cstheme="minorHAnsi"/>
          <w:szCs w:val="24"/>
        </w:rPr>
        <w:t xml:space="preserve"> [accessed: 23 August 2022].</w:t>
      </w:r>
    </w:p>
  </w:footnote>
  <w:footnote w:id="63">
    <w:p w14:paraId="4021F2F2" w14:textId="41A95ACD" w:rsidR="003E4C7F" w:rsidRPr="002D221E" w:rsidRDefault="003E4C7F" w:rsidP="00B63C1A">
      <w:pPr>
        <w:pStyle w:val="FootnoteText"/>
        <w:spacing w:after="60"/>
        <w:rPr>
          <w:rFonts w:cstheme="minorHAnsi"/>
          <w:szCs w:val="24"/>
        </w:rPr>
      </w:pPr>
      <w:r w:rsidRPr="002D221E">
        <w:rPr>
          <w:rStyle w:val="FootnoteReference"/>
          <w:rFonts w:cstheme="minorHAnsi"/>
          <w:szCs w:val="24"/>
        </w:rPr>
        <w:footnoteRef/>
      </w:r>
      <w:r w:rsidRPr="002D221E">
        <w:rPr>
          <w:rFonts w:cstheme="minorHAnsi"/>
          <w:szCs w:val="24"/>
        </w:rPr>
        <w:t xml:space="preserve"> Bell, D. and others (2020), </w:t>
      </w:r>
      <w:hyperlink r:id="rId78" w:history="1">
        <w:r w:rsidRPr="002D221E">
          <w:rPr>
            <w:rStyle w:val="Hyperlink"/>
            <w:rFonts w:cstheme="minorHAnsi"/>
            <w:szCs w:val="24"/>
          </w:rPr>
          <w:t>COVID-19 mortality and long-term care: a UK comparison</w:t>
        </w:r>
      </w:hyperlink>
      <w:r w:rsidRPr="002D221E">
        <w:rPr>
          <w:rFonts w:cstheme="minorHAnsi"/>
          <w:szCs w:val="24"/>
        </w:rPr>
        <w:t>, International Long Term Care Policy Network [accessed: 23 August 2022]; O</w:t>
      </w:r>
      <w:r>
        <w:rPr>
          <w:rFonts w:cstheme="minorHAnsi"/>
          <w:szCs w:val="24"/>
        </w:rPr>
        <w:t xml:space="preserve">ffice for </w:t>
      </w:r>
      <w:r w:rsidRPr="002D221E">
        <w:rPr>
          <w:rFonts w:cstheme="minorHAnsi"/>
          <w:szCs w:val="24"/>
        </w:rPr>
        <w:t>N</w:t>
      </w:r>
      <w:r>
        <w:rPr>
          <w:rFonts w:cstheme="minorHAnsi"/>
          <w:szCs w:val="24"/>
        </w:rPr>
        <w:t xml:space="preserve">ational </w:t>
      </w:r>
      <w:r w:rsidRPr="002D221E">
        <w:rPr>
          <w:rFonts w:cstheme="minorHAnsi"/>
          <w:szCs w:val="24"/>
        </w:rPr>
        <w:t>S</w:t>
      </w:r>
      <w:r>
        <w:rPr>
          <w:rFonts w:cstheme="minorHAnsi"/>
          <w:szCs w:val="24"/>
        </w:rPr>
        <w:t>tatistics</w:t>
      </w:r>
      <w:r w:rsidRPr="002D221E">
        <w:rPr>
          <w:rFonts w:cstheme="minorHAnsi"/>
          <w:szCs w:val="24"/>
        </w:rPr>
        <w:t xml:space="preserve"> (2022), </w:t>
      </w:r>
      <w:hyperlink r:id="rId79" w:history="1">
        <w:r w:rsidRPr="002D221E">
          <w:rPr>
            <w:rStyle w:val="Hyperlink"/>
            <w:rFonts w:cstheme="minorHAnsi"/>
            <w:szCs w:val="24"/>
          </w:rPr>
          <w:t xml:space="preserve">All data related to </w:t>
        </w:r>
        <w:r>
          <w:rPr>
            <w:rStyle w:val="Hyperlink"/>
            <w:rFonts w:cstheme="minorHAnsi"/>
            <w:szCs w:val="24"/>
          </w:rPr>
          <w:t>D</w:t>
        </w:r>
        <w:r w:rsidRPr="002D221E">
          <w:rPr>
            <w:rStyle w:val="Hyperlink"/>
            <w:rFonts w:cstheme="minorHAnsi"/>
            <w:szCs w:val="24"/>
          </w:rPr>
          <w:t>eaths involving COVID-19 in the care sector, England and Wales</w:t>
        </w:r>
      </w:hyperlink>
      <w:r>
        <w:rPr>
          <w:rStyle w:val="Hyperlink"/>
          <w:rFonts w:cstheme="minorHAnsi"/>
          <w:szCs w:val="24"/>
        </w:rPr>
        <w:t>: deaths occuring up to 12 June 2020 and registered up to 20 June 2020 (provisional)</w:t>
      </w:r>
      <w:r w:rsidRPr="002D221E">
        <w:rPr>
          <w:rFonts w:cstheme="minorHAnsi"/>
          <w:szCs w:val="24"/>
        </w:rPr>
        <w:t xml:space="preserve"> [accessed: 23 August 2022].</w:t>
      </w:r>
    </w:p>
  </w:footnote>
  <w:footnote w:id="64">
    <w:p w14:paraId="275F6761" w14:textId="286CDDDA" w:rsidR="003E4C7F" w:rsidRPr="002D221E" w:rsidRDefault="003E4C7F">
      <w:pPr>
        <w:pStyle w:val="FootnoteText"/>
        <w:rPr>
          <w:rFonts w:cstheme="minorHAnsi"/>
          <w:szCs w:val="24"/>
        </w:rPr>
      </w:pPr>
      <w:r w:rsidRPr="002D221E">
        <w:rPr>
          <w:rStyle w:val="FootnoteReference"/>
          <w:rFonts w:cstheme="minorHAnsi"/>
          <w:szCs w:val="24"/>
        </w:rPr>
        <w:footnoteRef/>
      </w:r>
      <w:r w:rsidRPr="002D221E">
        <w:rPr>
          <w:rFonts w:cstheme="minorHAnsi"/>
          <w:szCs w:val="24"/>
        </w:rPr>
        <w:t xml:space="preserve"> E</w:t>
      </w:r>
      <w:r>
        <w:rPr>
          <w:rFonts w:cstheme="minorHAnsi"/>
          <w:szCs w:val="24"/>
        </w:rPr>
        <w:t xml:space="preserve">quality and </w:t>
      </w:r>
      <w:r w:rsidRPr="002D221E">
        <w:rPr>
          <w:rFonts w:cstheme="minorHAnsi"/>
          <w:szCs w:val="24"/>
        </w:rPr>
        <w:t>H</w:t>
      </w:r>
      <w:r>
        <w:rPr>
          <w:rFonts w:cstheme="minorHAnsi"/>
          <w:szCs w:val="24"/>
        </w:rPr>
        <w:t xml:space="preserve">uman </w:t>
      </w:r>
      <w:r w:rsidRPr="002D221E">
        <w:rPr>
          <w:rFonts w:cstheme="minorHAnsi"/>
          <w:szCs w:val="24"/>
        </w:rPr>
        <w:t>R</w:t>
      </w:r>
      <w:r>
        <w:rPr>
          <w:rFonts w:cstheme="minorHAnsi"/>
          <w:szCs w:val="24"/>
        </w:rPr>
        <w:t xml:space="preserve">ights </w:t>
      </w:r>
      <w:r w:rsidRPr="002D221E">
        <w:rPr>
          <w:rFonts w:cstheme="minorHAnsi"/>
          <w:szCs w:val="24"/>
        </w:rPr>
        <w:t>C</w:t>
      </w:r>
      <w:r>
        <w:rPr>
          <w:rFonts w:cstheme="minorHAnsi"/>
          <w:szCs w:val="24"/>
        </w:rPr>
        <w:t>ommission</w:t>
      </w:r>
      <w:r w:rsidRPr="002D221E">
        <w:rPr>
          <w:rFonts w:cstheme="minorHAnsi"/>
          <w:szCs w:val="24"/>
        </w:rPr>
        <w:t xml:space="preserve"> (2020), </w:t>
      </w:r>
      <w:hyperlink r:id="rId80" w:history="1">
        <w:r w:rsidRPr="002D221E">
          <w:rPr>
            <w:rStyle w:val="Hyperlink"/>
            <w:rFonts w:cstheme="minorHAnsi"/>
            <w:szCs w:val="24"/>
          </w:rPr>
          <w:t>Equality and human rights in residential care in England during coronavirus</w:t>
        </w:r>
      </w:hyperlink>
      <w:r w:rsidRPr="002D221E">
        <w:rPr>
          <w:rFonts w:cstheme="minorHAnsi"/>
          <w:szCs w:val="24"/>
        </w:rPr>
        <w:t xml:space="preserve"> and </w:t>
      </w:r>
      <w:r>
        <w:rPr>
          <w:rFonts w:cstheme="minorHAnsi"/>
          <w:szCs w:val="24"/>
        </w:rPr>
        <w:t xml:space="preserve">Equality and human rights in residential care </w:t>
      </w:r>
      <w:hyperlink r:id="rId81" w:history="1">
        <w:r w:rsidRPr="002D221E">
          <w:rPr>
            <w:rStyle w:val="Hyperlink"/>
            <w:rFonts w:cstheme="minorHAnsi"/>
            <w:szCs w:val="24"/>
          </w:rPr>
          <w:t>in Wales during coronavirus</w:t>
        </w:r>
      </w:hyperlink>
      <w:r w:rsidRPr="002D221E">
        <w:rPr>
          <w:rFonts w:cstheme="minorHAnsi"/>
          <w:szCs w:val="24"/>
        </w:rPr>
        <w:t xml:space="preserve"> [accessed: 23 August 2022]. </w:t>
      </w:r>
    </w:p>
  </w:footnote>
  <w:footnote w:id="65">
    <w:p w14:paraId="77E2B5D0" w14:textId="7AF5F479" w:rsidR="003E4C7F" w:rsidRPr="002D221E" w:rsidRDefault="003E4C7F">
      <w:pPr>
        <w:pStyle w:val="FootnoteText"/>
        <w:rPr>
          <w:rFonts w:cstheme="minorHAnsi"/>
          <w:szCs w:val="24"/>
        </w:rPr>
      </w:pPr>
      <w:r w:rsidRPr="002D221E">
        <w:rPr>
          <w:rStyle w:val="FootnoteReference"/>
          <w:rFonts w:cstheme="minorHAnsi"/>
          <w:szCs w:val="24"/>
        </w:rPr>
        <w:footnoteRef/>
      </w:r>
      <w:r w:rsidRPr="002D221E">
        <w:rPr>
          <w:rFonts w:cstheme="minorHAnsi"/>
          <w:szCs w:val="24"/>
        </w:rPr>
        <w:t xml:space="preserve"> For a definition of ‘closed culture’, see Care Quality Commission (2022), </w:t>
      </w:r>
      <w:hyperlink r:id="rId82" w:history="1">
        <w:r w:rsidRPr="002D221E">
          <w:rPr>
            <w:rStyle w:val="Hyperlink"/>
            <w:rFonts w:cstheme="minorHAnsi"/>
            <w:szCs w:val="24"/>
          </w:rPr>
          <w:t>How CQC identifies and responds to closed cultures</w:t>
        </w:r>
      </w:hyperlink>
      <w:r w:rsidRPr="002D221E">
        <w:rPr>
          <w:rFonts w:cstheme="minorHAnsi"/>
          <w:szCs w:val="24"/>
        </w:rPr>
        <w:t xml:space="preserve"> [accessed: 26 October 2022].</w:t>
      </w:r>
    </w:p>
  </w:footnote>
  <w:footnote w:id="66">
    <w:p w14:paraId="73C3B109" w14:textId="692D1A84" w:rsidR="003E4C7F" w:rsidRPr="002D221E" w:rsidRDefault="003E4C7F" w:rsidP="00751762">
      <w:pPr>
        <w:pStyle w:val="FootnoteText"/>
        <w:spacing w:after="60"/>
        <w:rPr>
          <w:rFonts w:cstheme="minorHAnsi"/>
          <w:szCs w:val="24"/>
        </w:rPr>
      </w:pPr>
      <w:r w:rsidRPr="002D221E">
        <w:rPr>
          <w:rStyle w:val="FootnoteReference"/>
          <w:rFonts w:cstheme="minorHAnsi"/>
          <w:szCs w:val="24"/>
        </w:rPr>
        <w:footnoteRef/>
      </w:r>
      <w:r w:rsidRPr="002D221E">
        <w:rPr>
          <w:rFonts w:cstheme="minorHAnsi"/>
          <w:szCs w:val="24"/>
        </w:rPr>
        <w:t xml:space="preserve"> Care Quality Commission (2020), </w:t>
      </w:r>
      <w:hyperlink r:id="rId83" w:history="1">
        <w:r w:rsidRPr="002D221E">
          <w:rPr>
            <w:rStyle w:val="Hyperlink"/>
            <w:rFonts w:cstheme="minorHAnsi"/>
            <w:szCs w:val="24"/>
          </w:rPr>
          <w:t>Out of sight – who cares?</w:t>
        </w:r>
        <w:r w:rsidRPr="00DB5826" w:rsidDel="0071353B">
          <w:rPr>
            <w:rStyle w:val="Hyperlink"/>
            <w:rFonts w:cstheme="minorHAnsi"/>
            <w:szCs w:val="24"/>
            <w:u w:val="none"/>
          </w:rPr>
          <w:t xml:space="preserve"> </w:t>
        </w:r>
      </w:hyperlink>
      <w:r w:rsidRPr="002D221E">
        <w:rPr>
          <w:rFonts w:cstheme="minorHAnsi"/>
          <w:szCs w:val="24"/>
        </w:rPr>
        <w:t>[accessed: 9 September 2022], p. 46.</w:t>
      </w:r>
    </w:p>
  </w:footnote>
  <w:footnote w:id="67">
    <w:p w14:paraId="13AEE116" w14:textId="3EF43814" w:rsidR="003E4C7F" w:rsidRPr="002D221E" w:rsidRDefault="003E4C7F" w:rsidP="00C349CA">
      <w:pPr>
        <w:pStyle w:val="FootnoteText"/>
        <w:rPr>
          <w:rFonts w:cstheme="minorHAnsi"/>
          <w:szCs w:val="24"/>
        </w:rPr>
      </w:pPr>
      <w:r w:rsidRPr="002D221E">
        <w:rPr>
          <w:rStyle w:val="FootnoteReference"/>
          <w:rFonts w:cstheme="minorHAnsi"/>
          <w:szCs w:val="24"/>
        </w:rPr>
        <w:footnoteRef/>
      </w:r>
      <w:r w:rsidRPr="002D221E">
        <w:rPr>
          <w:rFonts w:cstheme="minorHAnsi"/>
          <w:szCs w:val="24"/>
        </w:rPr>
        <w:t xml:space="preserve"> Care Quality Commission (2020), </w:t>
      </w:r>
      <w:hyperlink r:id="rId84" w:history="1">
        <w:r w:rsidRPr="002D221E">
          <w:rPr>
            <w:rStyle w:val="Hyperlink"/>
            <w:rFonts w:cstheme="minorHAnsi"/>
            <w:szCs w:val="24"/>
          </w:rPr>
          <w:t>Out of sight – who cares?</w:t>
        </w:r>
        <w:r w:rsidRPr="00DB5826" w:rsidDel="0071353B">
          <w:rPr>
            <w:rStyle w:val="Hyperlink"/>
            <w:rFonts w:cstheme="minorHAnsi"/>
            <w:szCs w:val="24"/>
            <w:u w:val="none"/>
          </w:rPr>
          <w:t xml:space="preserve"> </w:t>
        </w:r>
      </w:hyperlink>
      <w:r w:rsidRPr="002D221E">
        <w:rPr>
          <w:rFonts w:cstheme="minorHAnsi"/>
          <w:szCs w:val="24"/>
        </w:rPr>
        <w:t xml:space="preserve">[accessed: 9 September 2022], p. 5. </w:t>
      </w:r>
    </w:p>
  </w:footnote>
  <w:footnote w:id="68">
    <w:p w14:paraId="36FDD08D" w14:textId="04F36B79" w:rsidR="003E4C7F" w:rsidRPr="002D221E" w:rsidRDefault="003E4C7F" w:rsidP="00C349CA">
      <w:pPr>
        <w:pStyle w:val="FootnoteText"/>
        <w:spacing w:after="60"/>
        <w:rPr>
          <w:rFonts w:cstheme="minorHAnsi"/>
          <w:szCs w:val="24"/>
        </w:rPr>
      </w:pPr>
      <w:r w:rsidRPr="002D221E">
        <w:rPr>
          <w:rStyle w:val="FootnoteReference"/>
          <w:rFonts w:cstheme="minorHAnsi"/>
          <w:szCs w:val="24"/>
        </w:rPr>
        <w:footnoteRef/>
      </w:r>
      <w:r w:rsidRPr="002D221E">
        <w:rPr>
          <w:rFonts w:cstheme="minorHAnsi"/>
          <w:szCs w:val="24"/>
        </w:rPr>
        <w:t xml:space="preserve"> Care Quality Commission (2020), </w:t>
      </w:r>
      <w:hyperlink r:id="rId85" w:history="1">
        <w:r w:rsidRPr="002D221E">
          <w:rPr>
            <w:rStyle w:val="Hyperlink"/>
            <w:rFonts w:cstheme="minorHAnsi"/>
            <w:szCs w:val="24"/>
          </w:rPr>
          <w:t>Out of sight – who cares?</w:t>
        </w:r>
        <w:r w:rsidRPr="00DB5826" w:rsidDel="0071353B">
          <w:rPr>
            <w:rStyle w:val="Hyperlink"/>
            <w:rFonts w:cstheme="minorHAnsi"/>
            <w:szCs w:val="24"/>
            <w:u w:val="none"/>
          </w:rPr>
          <w:t xml:space="preserve"> </w:t>
        </w:r>
      </w:hyperlink>
      <w:r w:rsidRPr="002D221E">
        <w:rPr>
          <w:rFonts w:cstheme="minorHAnsi"/>
          <w:szCs w:val="24"/>
        </w:rPr>
        <w:t>[accessed: 9 September 2022], p. 46.</w:t>
      </w:r>
    </w:p>
  </w:footnote>
  <w:footnote w:id="69">
    <w:p w14:paraId="4236769B" w14:textId="32940634" w:rsidR="003E4C7F" w:rsidRPr="002D221E" w:rsidRDefault="003E4C7F" w:rsidP="00C349CA">
      <w:pPr>
        <w:pStyle w:val="FootnoteText"/>
        <w:rPr>
          <w:rFonts w:cstheme="minorHAnsi"/>
          <w:szCs w:val="24"/>
        </w:rPr>
      </w:pPr>
      <w:r w:rsidRPr="002D221E">
        <w:rPr>
          <w:rStyle w:val="FootnoteReference"/>
          <w:rFonts w:cstheme="minorHAnsi"/>
          <w:szCs w:val="24"/>
        </w:rPr>
        <w:footnoteRef/>
      </w:r>
      <w:r w:rsidRPr="002D221E">
        <w:rPr>
          <w:rFonts w:cstheme="minorHAnsi"/>
          <w:szCs w:val="24"/>
        </w:rPr>
        <w:t xml:space="preserve"> E</w:t>
      </w:r>
      <w:r>
        <w:rPr>
          <w:rFonts w:cstheme="minorHAnsi"/>
          <w:szCs w:val="24"/>
        </w:rPr>
        <w:t xml:space="preserve">quality and </w:t>
      </w:r>
      <w:r w:rsidRPr="002D221E">
        <w:rPr>
          <w:rFonts w:cstheme="minorHAnsi"/>
          <w:szCs w:val="24"/>
        </w:rPr>
        <w:t>H</w:t>
      </w:r>
      <w:r>
        <w:rPr>
          <w:rFonts w:cstheme="minorHAnsi"/>
          <w:szCs w:val="24"/>
        </w:rPr>
        <w:t xml:space="preserve">uman </w:t>
      </w:r>
      <w:r w:rsidRPr="002D221E">
        <w:rPr>
          <w:rFonts w:cstheme="minorHAnsi"/>
          <w:szCs w:val="24"/>
        </w:rPr>
        <w:t>R</w:t>
      </w:r>
      <w:r>
        <w:rPr>
          <w:rFonts w:cstheme="minorHAnsi"/>
          <w:szCs w:val="24"/>
        </w:rPr>
        <w:t xml:space="preserve">ights </w:t>
      </w:r>
      <w:r w:rsidRPr="002D221E">
        <w:rPr>
          <w:rFonts w:cstheme="minorHAnsi"/>
          <w:szCs w:val="24"/>
        </w:rPr>
        <w:t>C</w:t>
      </w:r>
      <w:r>
        <w:rPr>
          <w:rFonts w:cstheme="minorHAnsi"/>
          <w:szCs w:val="24"/>
        </w:rPr>
        <w:t>ommission</w:t>
      </w:r>
      <w:r w:rsidRPr="002D221E">
        <w:rPr>
          <w:rFonts w:cstheme="minorHAnsi"/>
          <w:szCs w:val="24"/>
        </w:rPr>
        <w:t xml:space="preserve"> (2022), </w:t>
      </w:r>
      <w:hyperlink r:id="rId86" w:history="1">
        <w:r w:rsidRPr="002D221E">
          <w:rPr>
            <w:rStyle w:val="Hyperlink"/>
            <w:rFonts w:cstheme="minorHAnsi"/>
            <w:szCs w:val="24"/>
          </w:rPr>
          <w:t>Our response to allegations about mistreatment of people in Edenfield Centre Mental Health Unit</w:t>
        </w:r>
      </w:hyperlink>
      <w:r w:rsidRPr="002D221E">
        <w:rPr>
          <w:rFonts w:cstheme="minorHAnsi"/>
          <w:szCs w:val="24"/>
        </w:rPr>
        <w:t xml:space="preserve"> [accessed: 24 November 2022].</w:t>
      </w:r>
    </w:p>
  </w:footnote>
  <w:footnote w:id="70">
    <w:p w14:paraId="0621E99D" w14:textId="3BDA2210" w:rsidR="003E4C7F" w:rsidRPr="002D221E" w:rsidRDefault="003E4C7F">
      <w:pPr>
        <w:pStyle w:val="FootnoteText"/>
        <w:rPr>
          <w:rFonts w:cstheme="minorHAnsi"/>
          <w:szCs w:val="24"/>
        </w:rPr>
      </w:pPr>
      <w:r w:rsidRPr="002D221E">
        <w:rPr>
          <w:rStyle w:val="FootnoteReference"/>
          <w:rFonts w:cstheme="minorHAnsi"/>
          <w:szCs w:val="24"/>
        </w:rPr>
        <w:footnoteRef/>
      </w:r>
      <w:r w:rsidRPr="002D221E">
        <w:rPr>
          <w:rFonts w:cstheme="minorHAnsi"/>
          <w:szCs w:val="24"/>
        </w:rPr>
        <w:t xml:space="preserve"> D</w:t>
      </w:r>
      <w:r>
        <w:rPr>
          <w:rFonts w:cstheme="minorHAnsi"/>
          <w:szCs w:val="24"/>
        </w:rPr>
        <w:t xml:space="preserve">epartment of </w:t>
      </w:r>
      <w:r w:rsidRPr="002D221E">
        <w:rPr>
          <w:rFonts w:cstheme="minorHAnsi"/>
          <w:szCs w:val="24"/>
        </w:rPr>
        <w:t>H</w:t>
      </w:r>
      <w:r>
        <w:rPr>
          <w:rFonts w:cstheme="minorHAnsi"/>
          <w:szCs w:val="24"/>
        </w:rPr>
        <w:t xml:space="preserve">ealth and </w:t>
      </w:r>
      <w:r w:rsidRPr="002D221E">
        <w:rPr>
          <w:rFonts w:cstheme="minorHAnsi"/>
          <w:szCs w:val="24"/>
        </w:rPr>
        <w:t>S</w:t>
      </w:r>
      <w:r>
        <w:rPr>
          <w:rFonts w:cstheme="minorHAnsi"/>
          <w:szCs w:val="24"/>
        </w:rPr>
        <w:t xml:space="preserve">ocial </w:t>
      </w:r>
      <w:r w:rsidRPr="002D221E">
        <w:rPr>
          <w:rFonts w:cstheme="minorHAnsi"/>
          <w:szCs w:val="24"/>
        </w:rPr>
        <w:t>C</w:t>
      </w:r>
      <w:r>
        <w:rPr>
          <w:rFonts w:cstheme="minorHAnsi"/>
          <w:szCs w:val="24"/>
        </w:rPr>
        <w:t xml:space="preserve">are </w:t>
      </w:r>
      <w:r w:rsidRPr="002D221E">
        <w:rPr>
          <w:rFonts w:cstheme="minorHAnsi"/>
          <w:szCs w:val="24"/>
        </w:rPr>
        <w:t xml:space="preserve">(2022), </w:t>
      </w:r>
      <w:hyperlink r:id="rId87" w:history="1">
        <w:r w:rsidRPr="002D221E">
          <w:rPr>
            <w:rStyle w:val="Hyperlink"/>
            <w:rFonts w:cstheme="minorHAnsi"/>
            <w:szCs w:val="24"/>
          </w:rPr>
          <w:t xml:space="preserve">Building the </w:t>
        </w:r>
        <w:r>
          <w:rPr>
            <w:rStyle w:val="Hyperlink"/>
            <w:rFonts w:cstheme="minorHAnsi"/>
            <w:szCs w:val="24"/>
          </w:rPr>
          <w:t>R</w:t>
        </w:r>
        <w:r w:rsidRPr="002D221E">
          <w:rPr>
            <w:rStyle w:val="Hyperlink"/>
            <w:rFonts w:cstheme="minorHAnsi"/>
            <w:szCs w:val="24"/>
          </w:rPr>
          <w:t xml:space="preserve">ight </w:t>
        </w:r>
        <w:r>
          <w:rPr>
            <w:rStyle w:val="Hyperlink"/>
            <w:rFonts w:cstheme="minorHAnsi"/>
            <w:szCs w:val="24"/>
          </w:rPr>
          <w:t>S</w:t>
        </w:r>
        <w:r w:rsidRPr="002D221E">
          <w:rPr>
            <w:rStyle w:val="Hyperlink"/>
            <w:rFonts w:cstheme="minorHAnsi"/>
            <w:szCs w:val="24"/>
          </w:rPr>
          <w:t>upport</w:t>
        </w:r>
      </w:hyperlink>
      <w:r>
        <w:rPr>
          <w:rStyle w:val="Hyperlink"/>
          <w:rFonts w:cstheme="minorHAnsi"/>
          <w:szCs w:val="24"/>
        </w:rPr>
        <w:t xml:space="preserve"> Action Plan</w:t>
      </w:r>
      <w:r w:rsidR="00A64535" w:rsidRPr="00A64535">
        <w:rPr>
          <w:rStyle w:val="Hyperlink"/>
          <w:rFonts w:cstheme="minorHAnsi"/>
          <w:szCs w:val="24"/>
          <w:u w:val="none"/>
        </w:rPr>
        <w:t xml:space="preserve"> </w:t>
      </w:r>
      <w:r w:rsidRPr="002D221E">
        <w:rPr>
          <w:rFonts w:cstheme="minorHAnsi"/>
          <w:szCs w:val="24"/>
        </w:rPr>
        <w:t>[accessed: 9 September 2022].</w:t>
      </w:r>
    </w:p>
  </w:footnote>
  <w:footnote w:id="71">
    <w:p w14:paraId="4DC269C2" w14:textId="3CB9D100" w:rsidR="003E4C7F" w:rsidRPr="002D221E" w:rsidRDefault="003E4C7F">
      <w:pPr>
        <w:pStyle w:val="FootnoteText"/>
        <w:rPr>
          <w:rFonts w:cstheme="minorHAnsi"/>
          <w:szCs w:val="24"/>
        </w:rPr>
      </w:pPr>
      <w:r w:rsidRPr="002D221E">
        <w:rPr>
          <w:rStyle w:val="FootnoteReference"/>
          <w:rFonts w:cstheme="minorHAnsi"/>
          <w:szCs w:val="24"/>
        </w:rPr>
        <w:footnoteRef/>
      </w:r>
      <w:r w:rsidRPr="002D221E">
        <w:rPr>
          <w:rFonts w:cstheme="minorHAnsi"/>
          <w:szCs w:val="24"/>
        </w:rPr>
        <w:t xml:space="preserve"> Welsh Government (2022), </w:t>
      </w:r>
      <w:hyperlink r:id="rId88" w:history="1">
        <w:r w:rsidRPr="002D221E">
          <w:rPr>
            <w:rStyle w:val="Hyperlink"/>
            <w:rFonts w:cstheme="minorHAnsi"/>
            <w:szCs w:val="24"/>
          </w:rPr>
          <w:t>Learning Disability Strategic Action Plan 2022 to 2026</w:t>
        </w:r>
      </w:hyperlink>
      <w:r w:rsidRPr="002D221E">
        <w:rPr>
          <w:rFonts w:cstheme="minorHAnsi"/>
          <w:szCs w:val="24"/>
        </w:rPr>
        <w:t xml:space="preserve"> [accessed: 24 November 2022].</w:t>
      </w:r>
    </w:p>
  </w:footnote>
  <w:footnote w:id="72">
    <w:p w14:paraId="4B630B6A" w14:textId="64169B35" w:rsidR="003E4C7F" w:rsidRPr="002D221E" w:rsidRDefault="003E4C7F" w:rsidP="00B67618">
      <w:pPr>
        <w:pStyle w:val="FootnoteText"/>
        <w:rPr>
          <w:rFonts w:cstheme="minorHAnsi"/>
          <w:szCs w:val="24"/>
        </w:rPr>
      </w:pPr>
      <w:r w:rsidRPr="002D221E">
        <w:rPr>
          <w:rStyle w:val="FootnoteReference"/>
          <w:rFonts w:cstheme="minorHAnsi"/>
          <w:szCs w:val="24"/>
        </w:rPr>
        <w:footnoteRef/>
      </w:r>
      <w:r w:rsidRPr="002D221E">
        <w:rPr>
          <w:rFonts w:cstheme="minorHAnsi"/>
          <w:szCs w:val="24"/>
        </w:rPr>
        <w:t xml:space="preserve"> UK Government (2021), </w:t>
      </w:r>
      <w:hyperlink r:id="rId89" w:history="1">
        <w:r w:rsidRPr="002D221E">
          <w:rPr>
            <w:rStyle w:val="Hyperlink"/>
            <w:rFonts w:cstheme="minorHAnsi"/>
            <w:szCs w:val="24"/>
          </w:rPr>
          <w:t xml:space="preserve">Build Back Better: </w:t>
        </w:r>
        <w:r>
          <w:rPr>
            <w:rStyle w:val="Hyperlink"/>
            <w:rFonts w:cstheme="minorHAnsi"/>
            <w:szCs w:val="24"/>
          </w:rPr>
          <w:t>O</w:t>
        </w:r>
        <w:r w:rsidRPr="002D221E">
          <w:rPr>
            <w:rStyle w:val="Hyperlink"/>
            <w:rFonts w:cstheme="minorHAnsi"/>
            <w:szCs w:val="24"/>
          </w:rPr>
          <w:t xml:space="preserve">ur </w:t>
        </w:r>
        <w:r>
          <w:rPr>
            <w:rStyle w:val="Hyperlink"/>
            <w:rFonts w:cstheme="minorHAnsi"/>
            <w:szCs w:val="24"/>
          </w:rPr>
          <w:t>P</w:t>
        </w:r>
        <w:r w:rsidRPr="002D221E">
          <w:rPr>
            <w:rStyle w:val="Hyperlink"/>
            <w:rFonts w:cstheme="minorHAnsi"/>
            <w:szCs w:val="24"/>
          </w:rPr>
          <w:t xml:space="preserve">lan for </w:t>
        </w:r>
        <w:r>
          <w:rPr>
            <w:rStyle w:val="Hyperlink"/>
            <w:rFonts w:cstheme="minorHAnsi"/>
            <w:szCs w:val="24"/>
          </w:rPr>
          <w:t>H</w:t>
        </w:r>
        <w:r w:rsidRPr="002D221E">
          <w:rPr>
            <w:rStyle w:val="Hyperlink"/>
            <w:rFonts w:cstheme="minorHAnsi"/>
            <w:szCs w:val="24"/>
          </w:rPr>
          <w:t xml:space="preserve">ealth and </w:t>
        </w:r>
        <w:r>
          <w:rPr>
            <w:rStyle w:val="Hyperlink"/>
            <w:rFonts w:cstheme="minorHAnsi"/>
            <w:szCs w:val="24"/>
          </w:rPr>
          <w:t>S</w:t>
        </w:r>
        <w:r w:rsidRPr="002D221E">
          <w:rPr>
            <w:rStyle w:val="Hyperlink"/>
            <w:rFonts w:cstheme="minorHAnsi"/>
            <w:szCs w:val="24"/>
          </w:rPr>
          <w:t xml:space="preserve">ocial </w:t>
        </w:r>
        <w:r>
          <w:rPr>
            <w:rStyle w:val="Hyperlink"/>
            <w:rFonts w:cstheme="minorHAnsi"/>
            <w:szCs w:val="24"/>
          </w:rPr>
          <w:t>C</w:t>
        </w:r>
        <w:r w:rsidRPr="002D221E">
          <w:rPr>
            <w:rStyle w:val="Hyperlink"/>
            <w:rFonts w:cstheme="minorHAnsi"/>
            <w:szCs w:val="24"/>
          </w:rPr>
          <w:t>are</w:t>
        </w:r>
      </w:hyperlink>
      <w:r w:rsidRPr="002D221E">
        <w:rPr>
          <w:rFonts w:cstheme="minorHAnsi"/>
          <w:szCs w:val="24"/>
        </w:rPr>
        <w:t xml:space="preserve"> [accessed: 23 August 2022]; Department of Health and Social Care (2021), </w:t>
      </w:r>
      <w:hyperlink r:id="rId90" w:history="1">
        <w:r w:rsidRPr="002D221E">
          <w:rPr>
            <w:rStyle w:val="Hyperlink"/>
            <w:rFonts w:cstheme="minorHAnsi"/>
            <w:szCs w:val="24"/>
          </w:rPr>
          <w:t xml:space="preserve">People at the </w:t>
        </w:r>
        <w:r>
          <w:rPr>
            <w:rStyle w:val="Hyperlink"/>
            <w:rFonts w:cstheme="minorHAnsi"/>
            <w:szCs w:val="24"/>
          </w:rPr>
          <w:t>H</w:t>
        </w:r>
        <w:r w:rsidRPr="002D221E">
          <w:rPr>
            <w:rStyle w:val="Hyperlink"/>
            <w:rFonts w:cstheme="minorHAnsi"/>
            <w:szCs w:val="24"/>
          </w:rPr>
          <w:t xml:space="preserve">eart of </w:t>
        </w:r>
        <w:r>
          <w:rPr>
            <w:rStyle w:val="Hyperlink"/>
            <w:rFonts w:cstheme="minorHAnsi"/>
            <w:szCs w:val="24"/>
          </w:rPr>
          <w:t>C</w:t>
        </w:r>
        <w:r w:rsidRPr="002D221E">
          <w:rPr>
            <w:rStyle w:val="Hyperlink"/>
            <w:rFonts w:cstheme="minorHAnsi"/>
            <w:szCs w:val="24"/>
          </w:rPr>
          <w:t>are: adult social care reform</w:t>
        </w:r>
      </w:hyperlink>
      <w:r w:rsidRPr="002D221E">
        <w:rPr>
          <w:rFonts w:cstheme="minorHAnsi"/>
          <w:szCs w:val="24"/>
        </w:rPr>
        <w:t xml:space="preserve"> [accessed: 23 August 2022].</w:t>
      </w:r>
    </w:p>
  </w:footnote>
  <w:footnote w:id="73">
    <w:p w14:paraId="26CD57BF" w14:textId="3FD9BA0C" w:rsidR="003E4C7F" w:rsidRPr="002D221E" w:rsidRDefault="003E4C7F">
      <w:pPr>
        <w:pStyle w:val="FootnoteText"/>
        <w:rPr>
          <w:rFonts w:cstheme="minorHAnsi"/>
          <w:szCs w:val="24"/>
        </w:rPr>
      </w:pPr>
      <w:r w:rsidRPr="002D221E">
        <w:rPr>
          <w:rStyle w:val="FootnoteReference"/>
          <w:rFonts w:cstheme="minorHAnsi"/>
          <w:szCs w:val="24"/>
        </w:rPr>
        <w:footnoteRef/>
      </w:r>
      <w:r w:rsidRPr="002D221E">
        <w:rPr>
          <w:rFonts w:cstheme="minorHAnsi"/>
          <w:szCs w:val="24"/>
        </w:rPr>
        <w:t xml:space="preserve"> E</w:t>
      </w:r>
      <w:r>
        <w:rPr>
          <w:rFonts w:cstheme="minorHAnsi"/>
          <w:szCs w:val="24"/>
        </w:rPr>
        <w:t xml:space="preserve">quality and </w:t>
      </w:r>
      <w:r w:rsidRPr="002D221E">
        <w:rPr>
          <w:rFonts w:cstheme="minorHAnsi"/>
          <w:szCs w:val="24"/>
        </w:rPr>
        <w:t>H</w:t>
      </w:r>
      <w:r>
        <w:rPr>
          <w:rFonts w:cstheme="minorHAnsi"/>
          <w:szCs w:val="24"/>
        </w:rPr>
        <w:t xml:space="preserve">uman </w:t>
      </w:r>
      <w:r w:rsidRPr="002D221E">
        <w:rPr>
          <w:rFonts w:cstheme="minorHAnsi"/>
          <w:szCs w:val="24"/>
        </w:rPr>
        <w:t>R</w:t>
      </w:r>
      <w:r>
        <w:rPr>
          <w:rFonts w:cstheme="minorHAnsi"/>
          <w:szCs w:val="24"/>
        </w:rPr>
        <w:t xml:space="preserve">ights </w:t>
      </w:r>
      <w:r w:rsidRPr="002D221E">
        <w:rPr>
          <w:rFonts w:cstheme="minorHAnsi"/>
          <w:szCs w:val="24"/>
        </w:rPr>
        <w:t>C</w:t>
      </w:r>
      <w:r>
        <w:rPr>
          <w:rFonts w:cstheme="minorHAnsi"/>
          <w:szCs w:val="24"/>
        </w:rPr>
        <w:t>ommission</w:t>
      </w:r>
      <w:r w:rsidRPr="002D221E">
        <w:rPr>
          <w:rFonts w:cstheme="minorHAnsi"/>
          <w:szCs w:val="24"/>
        </w:rPr>
        <w:t xml:space="preserve"> (2022), </w:t>
      </w:r>
      <w:hyperlink r:id="rId91" w:history="1">
        <w:r w:rsidRPr="002D221E">
          <w:rPr>
            <w:rStyle w:val="Hyperlink"/>
            <w:rFonts w:cstheme="minorHAnsi"/>
            <w:szCs w:val="24"/>
          </w:rPr>
          <w:t>Experiences from health and social care: the treatment of lower</w:t>
        </w:r>
        <w:r>
          <w:rPr>
            <w:rStyle w:val="Hyperlink"/>
            <w:rFonts w:cstheme="minorHAnsi"/>
            <w:szCs w:val="24"/>
          </w:rPr>
          <w:t>-</w:t>
        </w:r>
        <w:r w:rsidRPr="002D221E">
          <w:rPr>
            <w:rStyle w:val="Hyperlink"/>
            <w:rFonts w:cstheme="minorHAnsi"/>
            <w:szCs w:val="24"/>
          </w:rPr>
          <w:t>paid ethnic minority workers</w:t>
        </w:r>
      </w:hyperlink>
      <w:r w:rsidRPr="002D221E">
        <w:rPr>
          <w:rFonts w:cstheme="minorHAnsi"/>
          <w:szCs w:val="24"/>
        </w:rPr>
        <w:t xml:space="preserve"> [accessed: 22 August 2022].</w:t>
      </w:r>
    </w:p>
  </w:footnote>
  <w:footnote w:id="74">
    <w:p w14:paraId="5103E02D" w14:textId="02B07631" w:rsidR="003E4C7F" w:rsidRPr="002D221E" w:rsidRDefault="003E4C7F" w:rsidP="00593A64">
      <w:pPr>
        <w:pStyle w:val="FootnoteText"/>
        <w:rPr>
          <w:rFonts w:cstheme="minorHAnsi"/>
          <w:szCs w:val="24"/>
        </w:rPr>
      </w:pPr>
      <w:r w:rsidRPr="002D221E">
        <w:rPr>
          <w:rStyle w:val="FootnoteReference"/>
          <w:rFonts w:cstheme="minorHAnsi"/>
          <w:szCs w:val="24"/>
        </w:rPr>
        <w:footnoteRef/>
      </w:r>
      <w:r w:rsidRPr="002D221E">
        <w:rPr>
          <w:rFonts w:cstheme="minorHAnsi"/>
          <w:szCs w:val="24"/>
        </w:rPr>
        <w:t xml:space="preserve"> </w:t>
      </w:r>
      <w:r>
        <w:rPr>
          <w:rFonts w:cstheme="minorHAnsi"/>
          <w:szCs w:val="24"/>
        </w:rPr>
        <w:t>We recommend that the</w:t>
      </w:r>
      <w:r w:rsidRPr="002D221E">
        <w:rPr>
          <w:rFonts w:cstheme="minorHAnsi"/>
          <w:szCs w:val="24"/>
        </w:rPr>
        <w:t xml:space="preserve"> </w:t>
      </w:r>
      <w:r>
        <w:rPr>
          <w:rFonts w:cstheme="minorHAnsi"/>
          <w:szCs w:val="24"/>
        </w:rPr>
        <w:t xml:space="preserve">following </w:t>
      </w:r>
      <w:r w:rsidRPr="002D221E">
        <w:rPr>
          <w:rFonts w:cstheme="minorHAnsi"/>
          <w:szCs w:val="24"/>
        </w:rPr>
        <w:t>key principles – based on the requirements of relevant domestic and international legal instruments –</w:t>
      </w:r>
      <w:r>
        <w:rPr>
          <w:rFonts w:cstheme="minorHAnsi"/>
          <w:szCs w:val="24"/>
        </w:rPr>
        <w:t xml:space="preserve"> should guide </w:t>
      </w:r>
      <w:r w:rsidRPr="002D221E">
        <w:rPr>
          <w:rFonts w:cstheme="minorHAnsi"/>
          <w:szCs w:val="24"/>
        </w:rPr>
        <w:t>social care reform: available, accessible, person-centred, choice and control, community and connection, robust regulation and effective redress, support for unpaid carers, and valuing the workforce. E</w:t>
      </w:r>
      <w:r>
        <w:rPr>
          <w:rFonts w:cstheme="minorHAnsi"/>
          <w:szCs w:val="24"/>
        </w:rPr>
        <w:t xml:space="preserve">quality and </w:t>
      </w:r>
      <w:r w:rsidRPr="002D221E">
        <w:rPr>
          <w:rFonts w:cstheme="minorHAnsi"/>
          <w:szCs w:val="24"/>
        </w:rPr>
        <w:t>H</w:t>
      </w:r>
      <w:r>
        <w:rPr>
          <w:rFonts w:cstheme="minorHAnsi"/>
          <w:szCs w:val="24"/>
        </w:rPr>
        <w:t xml:space="preserve">uman </w:t>
      </w:r>
      <w:r w:rsidRPr="002D221E">
        <w:rPr>
          <w:rFonts w:cstheme="minorHAnsi"/>
          <w:szCs w:val="24"/>
        </w:rPr>
        <w:t>R</w:t>
      </w:r>
      <w:r>
        <w:rPr>
          <w:rFonts w:cstheme="minorHAnsi"/>
          <w:szCs w:val="24"/>
        </w:rPr>
        <w:t xml:space="preserve">ights </w:t>
      </w:r>
      <w:r w:rsidRPr="002D221E">
        <w:rPr>
          <w:rFonts w:cstheme="minorHAnsi"/>
          <w:szCs w:val="24"/>
        </w:rPr>
        <w:t>C</w:t>
      </w:r>
      <w:r>
        <w:rPr>
          <w:rFonts w:cstheme="minorHAnsi"/>
          <w:szCs w:val="24"/>
        </w:rPr>
        <w:t>ommission</w:t>
      </w:r>
      <w:r w:rsidRPr="002D221E">
        <w:rPr>
          <w:rFonts w:cstheme="minorHAnsi"/>
          <w:szCs w:val="24"/>
        </w:rPr>
        <w:t xml:space="preserve"> (2022), </w:t>
      </w:r>
      <w:hyperlink r:id="rId92" w:history="1">
        <w:r w:rsidRPr="002D221E">
          <w:rPr>
            <w:rStyle w:val="Hyperlink"/>
            <w:rFonts w:cstheme="minorHAnsi"/>
            <w:szCs w:val="24"/>
          </w:rPr>
          <w:t>Response to UK Government consultation: Joining up care for people, places and populations</w:t>
        </w:r>
      </w:hyperlink>
      <w:r w:rsidRPr="002D221E">
        <w:rPr>
          <w:rFonts w:cstheme="minorHAnsi"/>
          <w:szCs w:val="24"/>
        </w:rPr>
        <w:t xml:space="preserve"> [accessed: 17 November 2022]</w:t>
      </w:r>
      <w:r>
        <w:rPr>
          <w:rFonts w:cstheme="minorHAnsi"/>
          <w:szCs w:val="24"/>
        </w:rPr>
        <w:t>, p. 9</w:t>
      </w:r>
      <w:r w:rsidRPr="002D221E">
        <w:rPr>
          <w:rFonts w:cstheme="minorHAnsi"/>
          <w:szCs w:val="24"/>
        </w:rPr>
        <w:t>.</w:t>
      </w:r>
    </w:p>
  </w:footnote>
  <w:footnote w:id="75">
    <w:p w14:paraId="58E5629E" w14:textId="499D4563" w:rsidR="003E4C7F" w:rsidRPr="002D221E" w:rsidRDefault="003E4C7F" w:rsidP="0020184A">
      <w:pPr>
        <w:pStyle w:val="FootnoteText"/>
        <w:rPr>
          <w:rFonts w:cstheme="minorHAnsi"/>
          <w:szCs w:val="24"/>
        </w:rPr>
      </w:pPr>
      <w:r w:rsidRPr="002D221E">
        <w:rPr>
          <w:rStyle w:val="FootnoteReference"/>
          <w:rFonts w:cstheme="minorHAnsi"/>
          <w:szCs w:val="24"/>
        </w:rPr>
        <w:footnoteRef/>
      </w:r>
      <w:r w:rsidRPr="002D221E">
        <w:rPr>
          <w:rFonts w:cstheme="minorHAnsi"/>
          <w:szCs w:val="24"/>
        </w:rPr>
        <w:t xml:space="preserve"> Welsh Government (2021), </w:t>
      </w:r>
      <w:hyperlink r:id="rId93" w:history="1">
        <w:r w:rsidRPr="002D221E">
          <w:rPr>
            <w:rStyle w:val="Hyperlink"/>
            <w:rFonts w:cstheme="minorHAnsi"/>
            <w:szCs w:val="24"/>
          </w:rPr>
          <w:t>H</w:t>
        </w:r>
        <w:r w:rsidR="00A645AF">
          <w:rPr>
            <w:rStyle w:val="Hyperlink"/>
            <w:rFonts w:cstheme="minorHAnsi"/>
            <w:szCs w:val="24"/>
          </w:rPr>
          <w:t>ealth and Social C</w:t>
        </w:r>
        <w:r w:rsidRPr="002D221E">
          <w:rPr>
            <w:rStyle w:val="Hyperlink"/>
            <w:rFonts w:cstheme="minorHAnsi"/>
            <w:szCs w:val="24"/>
          </w:rPr>
          <w:t>are in Wales – C</w:t>
        </w:r>
        <w:r w:rsidR="00A645AF">
          <w:rPr>
            <w:rStyle w:val="Hyperlink"/>
            <w:rFonts w:cstheme="minorHAnsi"/>
            <w:szCs w:val="24"/>
          </w:rPr>
          <w:t>OVID</w:t>
        </w:r>
        <w:r w:rsidRPr="002D221E">
          <w:rPr>
            <w:rStyle w:val="Hyperlink"/>
            <w:rFonts w:cstheme="minorHAnsi"/>
            <w:szCs w:val="24"/>
          </w:rPr>
          <w:t>-19</w:t>
        </w:r>
        <w:r w:rsidR="00A645AF">
          <w:rPr>
            <w:rStyle w:val="Hyperlink"/>
            <w:rFonts w:cstheme="minorHAnsi"/>
            <w:szCs w:val="24"/>
          </w:rPr>
          <w:t>: L</w:t>
        </w:r>
        <w:r w:rsidRPr="002D221E">
          <w:rPr>
            <w:rStyle w:val="Hyperlink"/>
            <w:rFonts w:cstheme="minorHAnsi"/>
            <w:szCs w:val="24"/>
          </w:rPr>
          <w:t>ooking forward</w:t>
        </w:r>
      </w:hyperlink>
      <w:r w:rsidRPr="002D221E">
        <w:rPr>
          <w:rFonts w:cstheme="minorHAnsi"/>
          <w:szCs w:val="24"/>
        </w:rPr>
        <w:t xml:space="preserve"> [accessed: 9 September 2022].</w:t>
      </w:r>
    </w:p>
  </w:footnote>
  <w:footnote w:id="76">
    <w:p w14:paraId="7B4C3A1C" w14:textId="66781732" w:rsidR="003E4C7F" w:rsidRPr="002D221E" w:rsidRDefault="003E4C7F">
      <w:pPr>
        <w:pStyle w:val="FootnoteText"/>
        <w:rPr>
          <w:rFonts w:cstheme="minorHAnsi"/>
          <w:szCs w:val="24"/>
        </w:rPr>
      </w:pPr>
      <w:r w:rsidRPr="002D221E">
        <w:rPr>
          <w:rStyle w:val="FootnoteReference"/>
          <w:rFonts w:cstheme="minorHAnsi"/>
          <w:szCs w:val="24"/>
        </w:rPr>
        <w:footnoteRef/>
      </w:r>
      <w:r w:rsidRPr="002D221E">
        <w:rPr>
          <w:rFonts w:cstheme="minorHAnsi"/>
          <w:szCs w:val="24"/>
        </w:rPr>
        <w:t xml:space="preserve"> Carers UK (2021), </w:t>
      </w:r>
      <w:hyperlink r:id="rId94" w:history="1">
        <w:r w:rsidRPr="002D221E">
          <w:rPr>
            <w:rStyle w:val="Hyperlink"/>
            <w:rFonts w:cstheme="minorHAnsi"/>
            <w:szCs w:val="24"/>
          </w:rPr>
          <w:t>State of caring 2021</w:t>
        </w:r>
        <w:r>
          <w:rPr>
            <w:rStyle w:val="Hyperlink"/>
            <w:rFonts w:cstheme="minorHAnsi"/>
            <w:szCs w:val="24"/>
          </w:rPr>
          <w:t xml:space="preserve"> report</w:t>
        </w:r>
        <w:r w:rsidRPr="002D221E">
          <w:rPr>
            <w:rStyle w:val="Hyperlink"/>
            <w:rFonts w:cstheme="minorHAnsi"/>
            <w:szCs w:val="24"/>
          </w:rPr>
          <w:t xml:space="preserve"> in Wales</w:t>
        </w:r>
      </w:hyperlink>
      <w:r w:rsidRPr="002D221E">
        <w:rPr>
          <w:rFonts w:cstheme="minorHAnsi"/>
          <w:szCs w:val="24"/>
        </w:rPr>
        <w:t xml:space="preserve"> [accessed: 29 November 2022].</w:t>
      </w:r>
    </w:p>
  </w:footnote>
  <w:footnote w:id="77">
    <w:p w14:paraId="02CD08EE" w14:textId="1CEEECF2" w:rsidR="003E4C7F" w:rsidRPr="002D221E" w:rsidRDefault="003E4C7F" w:rsidP="001D3EFC">
      <w:pPr>
        <w:pStyle w:val="FootnoteText"/>
        <w:rPr>
          <w:rFonts w:cstheme="minorHAnsi"/>
          <w:szCs w:val="24"/>
        </w:rPr>
      </w:pPr>
      <w:r w:rsidRPr="002D221E">
        <w:rPr>
          <w:rStyle w:val="FootnoteReference"/>
          <w:rFonts w:cstheme="minorHAnsi"/>
          <w:szCs w:val="24"/>
        </w:rPr>
        <w:footnoteRef/>
      </w:r>
      <w:r w:rsidRPr="002D221E">
        <w:rPr>
          <w:rFonts w:cstheme="minorHAnsi"/>
          <w:szCs w:val="24"/>
        </w:rPr>
        <w:t xml:space="preserve"> E</w:t>
      </w:r>
      <w:r>
        <w:rPr>
          <w:rFonts w:cstheme="minorHAnsi"/>
          <w:szCs w:val="24"/>
        </w:rPr>
        <w:t xml:space="preserve">quality and </w:t>
      </w:r>
      <w:r w:rsidRPr="002D221E">
        <w:rPr>
          <w:rFonts w:cstheme="minorHAnsi"/>
          <w:szCs w:val="24"/>
        </w:rPr>
        <w:t>H</w:t>
      </w:r>
      <w:r>
        <w:rPr>
          <w:rFonts w:cstheme="minorHAnsi"/>
          <w:szCs w:val="24"/>
        </w:rPr>
        <w:t xml:space="preserve">uman </w:t>
      </w:r>
      <w:r w:rsidRPr="002D221E">
        <w:rPr>
          <w:rFonts w:cstheme="minorHAnsi"/>
          <w:szCs w:val="24"/>
        </w:rPr>
        <w:t>R</w:t>
      </w:r>
      <w:r>
        <w:rPr>
          <w:rFonts w:cstheme="minorHAnsi"/>
          <w:szCs w:val="24"/>
        </w:rPr>
        <w:t xml:space="preserve">ights </w:t>
      </w:r>
      <w:r w:rsidRPr="002D221E">
        <w:rPr>
          <w:rFonts w:cstheme="minorHAnsi"/>
          <w:szCs w:val="24"/>
        </w:rPr>
        <w:t>C</w:t>
      </w:r>
      <w:r>
        <w:rPr>
          <w:rFonts w:cstheme="minorHAnsi"/>
          <w:szCs w:val="24"/>
        </w:rPr>
        <w:t>ommission</w:t>
      </w:r>
      <w:r w:rsidRPr="002D221E">
        <w:rPr>
          <w:rFonts w:cstheme="minorHAnsi"/>
          <w:szCs w:val="24"/>
        </w:rPr>
        <w:t xml:space="preserve"> (2021), </w:t>
      </w:r>
      <w:hyperlink r:id="rId95" w:history="1">
        <w:r w:rsidRPr="002D221E">
          <w:rPr>
            <w:rStyle w:val="Hyperlink"/>
            <w:rFonts w:cstheme="minorHAnsi"/>
            <w:szCs w:val="24"/>
          </w:rPr>
          <w:t>Strengthening the right to independent living</w:t>
        </w:r>
      </w:hyperlink>
      <w:r w:rsidRPr="002D221E">
        <w:rPr>
          <w:rFonts w:cstheme="minorHAnsi"/>
          <w:szCs w:val="24"/>
        </w:rPr>
        <w:t xml:space="preserve"> [accessed: 23 August 2022].</w:t>
      </w:r>
    </w:p>
  </w:footnote>
  <w:footnote w:id="78">
    <w:p w14:paraId="4B3463CF" w14:textId="77777777" w:rsidR="003E4C7F" w:rsidRPr="002D221E" w:rsidRDefault="003E4C7F" w:rsidP="002D221E">
      <w:pPr>
        <w:pStyle w:val="FootnoteText"/>
        <w:rPr>
          <w:rFonts w:cstheme="minorHAnsi"/>
          <w:szCs w:val="24"/>
        </w:rPr>
      </w:pPr>
      <w:r w:rsidRPr="002D221E">
        <w:rPr>
          <w:rStyle w:val="FootnoteReference"/>
          <w:rFonts w:cstheme="minorHAnsi"/>
          <w:szCs w:val="24"/>
        </w:rPr>
        <w:footnoteRef/>
      </w:r>
      <w:r w:rsidRPr="002D221E">
        <w:rPr>
          <w:rFonts w:cstheme="minorHAnsi"/>
          <w:szCs w:val="24"/>
        </w:rPr>
        <w:t xml:space="preserve"> UK Government (2021), </w:t>
      </w:r>
      <w:hyperlink r:id="rId96" w:history="1">
        <w:r w:rsidRPr="002D221E">
          <w:rPr>
            <w:rStyle w:val="Hyperlink"/>
            <w:rFonts w:cstheme="minorHAnsi"/>
            <w:szCs w:val="24"/>
          </w:rPr>
          <w:t>Vaccinations in England</w:t>
        </w:r>
      </w:hyperlink>
      <w:r w:rsidRPr="002D221E">
        <w:rPr>
          <w:rFonts w:cstheme="minorHAnsi"/>
          <w:szCs w:val="24"/>
        </w:rPr>
        <w:t xml:space="preserve"> and </w:t>
      </w:r>
      <w:hyperlink r:id="rId97" w:history="1">
        <w:r w:rsidRPr="002D221E">
          <w:rPr>
            <w:rStyle w:val="Hyperlink"/>
            <w:rFonts w:cstheme="minorHAnsi"/>
            <w:szCs w:val="24"/>
          </w:rPr>
          <w:t>Vaccinations in Wales</w:t>
        </w:r>
      </w:hyperlink>
      <w:r w:rsidRPr="002D221E">
        <w:rPr>
          <w:rFonts w:cstheme="minorHAnsi"/>
          <w:szCs w:val="24"/>
        </w:rPr>
        <w:t xml:space="preserve"> [accessed: 22 August 2022].</w:t>
      </w:r>
    </w:p>
  </w:footnote>
  <w:footnote w:id="79">
    <w:p w14:paraId="33E5CB53" w14:textId="5CA600F1" w:rsidR="003E4C7F" w:rsidRPr="002D221E" w:rsidRDefault="003E4C7F" w:rsidP="002D221E">
      <w:pPr>
        <w:pStyle w:val="FootnoteText"/>
        <w:rPr>
          <w:rFonts w:cstheme="minorHAnsi"/>
          <w:szCs w:val="24"/>
        </w:rPr>
      </w:pPr>
      <w:r w:rsidRPr="002D221E">
        <w:rPr>
          <w:rStyle w:val="FootnoteReference"/>
          <w:rFonts w:cstheme="minorHAnsi"/>
          <w:szCs w:val="24"/>
        </w:rPr>
        <w:footnoteRef/>
      </w:r>
      <w:r w:rsidRPr="002D221E">
        <w:rPr>
          <w:rFonts w:cstheme="minorHAnsi"/>
          <w:szCs w:val="24"/>
        </w:rPr>
        <w:t xml:space="preserve"> O</w:t>
      </w:r>
      <w:r>
        <w:rPr>
          <w:rFonts w:cstheme="minorHAnsi"/>
          <w:szCs w:val="24"/>
        </w:rPr>
        <w:t xml:space="preserve">ffice for </w:t>
      </w:r>
      <w:r w:rsidRPr="002D221E">
        <w:rPr>
          <w:rFonts w:cstheme="minorHAnsi"/>
          <w:szCs w:val="24"/>
        </w:rPr>
        <w:t>N</w:t>
      </w:r>
      <w:r>
        <w:rPr>
          <w:rFonts w:cstheme="minorHAnsi"/>
          <w:szCs w:val="24"/>
        </w:rPr>
        <w:t xml:space="preserve">ational </w:t>
      </w:r>
      <w:r w:rsidRPr="002D221E">
        <w:rPr>
          <w:rFonts w:cstheme="minorHAnsi"/>
          <w:szCs w:val="24"/>
        </w:rPr>
        <w:t>S</w:t>
      </w:r>
      <w:r>
        <w:rPr>
          <w:rFonts w:cstheme="minorHAnsi"/>
          <w:szCs w:val="24"/>
        </w:rPr>
        <w:t>tatistics</w:t>
      </w:r>
      <w:r w:rsidRPr="002D221E">
        <w:rPr>
          <w:rFonts w:cstheme="minorHAnsi"/>
          <w:szCs w:val="24"/>
        </w:rPr>
        <w:t xml:space="preserve"> (2022), </w:t>
      </w:r>
      <w:hyperlink r:id="rId98" w:history="1">
        <w:r w:rsidRPr="002D221E">
          <w:rPr>
            <w:rStyle w:val="Hyperlink"/>
            <w:rFonts w:cstheme="minorHAnsi"/>
            <w:szCs w:val="24"/>
          </w:rPr>
          <w:t>Coronavirus (COVID-19) latest insights: Vaccines</w:t>
        </w:r>
      </w:hyperlink>
      <w:r w:rsidRPr="002D221E">
        <w:rPr>
          <w:rFonts w:cstheme="minorHAnsi"/>
          <w:szCs w:val="24"/>
        </w:rPr>
        <w:t xml:space="preserve"> [accessed: 4 October 2022]. For data on Wales, see Senedd Research (2021), </w:t>
      </w:r>
      <w:hyperlink r:id="rId99" w:history="1">
        <w:r w:rsidRPr="002D221E">
          <w:rPr>
            <w:rStyle w:val="Hyperlink"/>
            <w:rFonts w:cstheme="minorHAnsi"/>
            <w:szCs w:val="24"/>
          </w:rPr>
          <w:t>Which groups have lower rates of vaccine uptake?</w:t>
        </w:r>
      </w:hyperlink>
      <w:r w:rsidRPr="002D221E">
        <w:rPr>
          <w:rFonts w:cstheme="minorHAnsi"/>
          <w:szCs w:val="24"/>
        </w:rPr>
        <w:t xml:space="preserve"> [accessed: 29 November 2022].</w:t>
      </w:r>
    </w:p>
  </w:footnote>
  <w:footnote w:id="80">
    <w:p w14:paraId="11B601CD" w14:textId="77777777" w:rsidR="003E4C7F" w:rsidRPr="002D221E" w:rsidRDefault="003E4C7F" w:rsidP="002D221E">
      <w:pPr>
        <w:pStyle w:val="FootnoteText"/>
        <w:rPr>
          <w:rFonts w:cstheme="minorHAnsi"/>
          <w:szCs w:val="24"/>
        </w:rPr>
      </w:pPr>
      <w:r w:rsidRPr="002D221E">
        <w:rPr>
          <w:rStyle w:val="FootnoteReference"/>
          <w:rFonts w:cstheme="minorHAnsi"/>
          <w:szCs w:val="24"/>
        </w:rPr>
        <w:footnoteRef/>
      </w:r>
      <w:r w:rsidRPr="002D221E">
        <w:rPr>
          <w:rFonts w:cstheme="minorHAnsi"/>
          <w:szCs w:val="24"/>
        </w:rPr>
        <w:t xml:space="preserve"> Scientific Advisory Group for Emergencies (2021), </w:t>
      </w:r>
      <w:hyperlink r:id="rId100" w:history="1">
        <w:r w:rsidRPr="002D221E">
          <w:rPr>
            <w:rStyle w:val="Hyperlink"/>
            <w:rFonts w:cstheme="minorHAnsi"/>
            <w:szCs w:val="24"/>
          </w:rPr>
          <w:t>Factors influencing COVID-19 vaccine uptake among minority ethnic groups</w:t>
        </w:r>
      </w:hyperlink>
      <w:r w:rsidRPr="002D221E">
        <w:rPr>
          <w:rFonts w:cstheme="minorHAnsi"/>
          <w:szCs w:val="24"/>
        </w:rPr>
        <w:t xml:space="preserve"> [accessed: 4 October 2022], p. 6.</w:t>
      </w:r>
    </w:p>
  </w:footnote>
  <w:footnote w:id="81">
    <w:p w14:paraId="0E6FD65D" w14:textId="24FE0936" w:rsidR="003E4C7F" w:rsidRPr="002D221E" w:rsidRDefault="003E4C7F" w:rsidP="002D221E">
      <w:pPr>
        <w:pStyle w:val="FootnoteText"/>
        <w:rPr>
          <w:rFonts w:cstheme="minorHAnsi"/>
          <w:szCs w:val="24"/>
        </w:rPr>
      </w:pPr>
      <w:r w:rsidRPr="002D221E">
        <w:rPr>
          <w:rStyle w:val="FootnoteReference"/>
          <w:rFonts w:cstheme="minorHAnsi"/>
          <w:szCs w:val="24"/>
        </w:rPr>
        <w:footnoteRef/>
      </w:r>
      <w:r w:rsidRPr="002D221E">
        <w:rPr>
          <w:rFonts w:cstheme="minorHAnsi"/>
          <w:szCs w:val="24"/>
        </w:rPr>
        <w:t xml:space="preserve"> Health and Social Care Committee (2020), </w:t>
      </w:r>
      <w:hyperlink r:id="rId101" w:history="1">
        <w:r w:rsidRPr="002D221E">
          <w:rPr>
            <w:rStyle w:val="Hyperlink"/>
            <w:rFonts w:cstheme="minorHAnsi"/>
            <w:szCs w:val="24"/>
          </w:rPr>
          <w:t>Delivering core NHS and care services during the pandemic and beyond</w:t>
        </w:r>
      </w:hyperlink>
      <w:r w:rsidRPr="002D221E">
        <w:rPr>
          <w:rFonts w:cstheme="minorHAnsi"/>
          <w:szCs w:val="24"/>
        </w:rPr>
        <w:t xml:space="preserve"> [accessed: 22 August 2022], p. 13; Welsh Government (2021), </w:t>
      </w:r>
      <w:hyperlink r:id="rId102" w:history="1">
        <w:r w:rsidRPr="002D221E">
          <w:rPr>
            <w:rStyle w:val="Hyperlink"/>
            <w:rFonts w:cstheme="minorHAnsi"/>
            <w:szCs w:val="24"/>
          </w:rPr>
          <w:t xml:space="preserve">Health and </w:t>
        </w:r>
        <w:r>
          <w:rPr>
            <w:rStyle w:val="Hyperlink"/>
            <w:rFonts w:cstheme="minorHAnsi"/>
            <w:szCs w:val="24"/>
          </w:rPr>
          <w:t>S</w:t>
        </w:r>
        <w:r w:rsidRPr="002D221E">
          <w:rPr>
            <w:rStyle w:val="Hyperlink"/>
            <w:rFonts w:cstheme="minorHAnsi"/>
            <w:szCs w:val="24"/>
          </w:rPr>
          <w:t xml:space="preserve">ocial </w:t>
        </w:r>
        <w:r>
          <w:rPr>
            <w:rStyle w:val="Hyperlink"/>
            <w:rFonts w:cstheme="minorHAnsi"/>
            <w:szCs w:val="24"/>
          </w:rPr>
          <w:t>C</w:t>
        </w:r>
        <w:r w:rsidRPr="002D221E">
          <w:rPr>
            <w:rStyle w:val="Hyperlink"/>
            <w:rFonts w:cstheme="minorHAnsi"/>
            <w:szCs w:val="24"/>
          </w:rPr>
          <w:t>are in Wales – COVID-19: Looking forward</w:t>
        </w:r>
      </w:hyperlink>
      <w:r w:rsidRPr="002D221E">
        <w:rPr>
          <w:rFonts w:cstheme="minorHAnsi"/>
          <w:szCs w:val="24"/>
        </w:rPr>
        <w:t xml:space="preserve"> [accessed: 22 August 2022], p. 25; E</w:t>
      </w:r>
      <w:r>
        <w:rPr>
          <w:rFonts w:cstheme="minorHAnsi"/>
          <w:szCs w:val="24"/>
        </w:rPr>
        <w:t xml:space="preserve">quality and </w:t>
      </w:r>
      <w:r w:rsidRPr="002D221E">
        <w:rPr>
          <w:rFonts w:cstheme="minorHAnsi"/>
          <w:szCs w:val="24"/>
        </w:rPr>
        <w:t>H</w:t>
      </w:r>
      <w:r>
        <w:rPr>
          <w:rFonts w:cstheme="minorHAnsi"/>
          <w:szCs w:val="24"/>
        </w:rPr>
        <w:t xml:space="preserve">uman </w:t>
      </w:r>
      <w:r w:rsidRPr="002D221E">
        <w:rPr>
          <w:rFonts w:cstheme="minorHAnsi"/>
          <w:szCs w:val="24"/>
        </w:rPr>
        <w:t>R</w:t>
      </w:r>
      <w:r>
        <w:rPr>
          <w:rFonts w:cstheme="minorHAnsi"/>
          <w:szCs w:val="24"/>
        </w:rPr>
        <w:t xml:space="preserve">ights </w:t>
      </w:r>
      <w:r w:rsidRPr="002D221E">
        <w:rPr>
          <w:rFonts w:cstheme="minorHAnsi"/>
          <w:szCs w:val="24"/>
        </w:rPr>
        <w:t>C</w:t>
      </w:r>
      <w:r>
        <w:rPr>
          <w:rFonts w:cstheme="minorHAnsi"/>
          <w:szCs w:val="24"/>
        </w:rPr>
        <w:t>ommission</w:t>
      </w:r>
      <w:r w:rsidRPr="002D221E">
        <w:rPr>
          <w:rFonts w:cstheme="minorHAnsi"/>
          <w:szCs w:val="24"/>
        </w:rPr>
        <w:t xml:space="preserve"> (2018), </w:t>
      </w:r>
      <w:hyperlink r:id="rId103" w:history="1">
        <w:r w:rsidRPr="002D221E">
          <w:rPr>
            <w:rStyle w:val="Hyperlink"/>
            <w:rFonts w:cstheme="minorHAnsi"/>
            <w:szCs w:val="24"/>
          </w:rPr>
          <w:t>Is Britain Fairer?</w:t>
        </w:r>
      </w:hyperlink>
      <w:r w:rsidRPr="00DB5826">
        <w:rPr>
          <w:rStyle w:val="Hyperlink"/>
          <w:rFonts w:cstheme="minorHAnsi"/>
          <w:szCs w:val="24"/>
          <w:u w:val="none"/>
        </w:rPr>
        <w:t xml:space="preserve"> </w:t>
      </w:r>
      <w:r w:rsidRPr="002D221E">
        <w:rPr>
          <w:rFonts w:cstheme="minorHAnsi"/>
          <w:szCs w:val="24"/>
        </w:rPr>
        <w:t>[accessed: 22 August 2022], p.</w:t>
      </w:r>
      <w:r>
        <w:rPr>
          <w:rFonts w:cstheme="minorHAnsi"/>
          <w:szCs w:val="24"/>
        </w:rPr>
        <w:t xml:space="preserve"> </w:t>
      </w:r>
      <w:r w:rsidRPr="002D221E">
        <w:rPr>
          <w:rFonts w:cstheme="minorHAnsi"/>
          <w:szCs w:val="24"/>
        </w:rPr>
        <w:t>89.</w:t>
      </w:r>
    </w:p>
  </w:footnote>
  <w:footnote w:id="82">
    <w:p w14:paraId="737F6CCC" w14:textId="77777777" w:rsidR="003E4C7F" w:rsidRPr="002D221E" w:rsidRDefault="003E4C7F" w:rsidP="002D221E">
      <w:pPr>
        <w:pStyle w:val="FootnoteText"/>
        <w:rPr>
          <w:rFonts w:cstheme="minorHAnsi"/>
          <w:szCs w:val="24"/>
        </w:rPr>
      </w:pPr>
      <w:r w:rsidRPr="002D221E">
        <w:rPr>
          <w:rStyle w:val="FootnoteReference"/>
          <w:rFonts w:cstheme="minorHAnsi"/>
          <w:szCs w:val="24"/>
        </w:rPr>
        <w:footnoteRef/>
      </w:r>
      <w:r w:rsidRPr="002D221E">
        <w:rPr>
          <w:rFonts w:cstheme="minorHAnsi"/>
          <w:szCs w:val="24"/>
        </w:rPr>
        <w:t xml:space="preserve"> </w:t>
      </w:r>
      <w:hyperlink r:id="rId104" w:history="1">
        <w:r w:rsidRPr="002D221E">
          <w:rPr>
            <w:rStyle w:val="Hyperlink"/>
            <w:rFonts w:cstheme="minorHAnsi"/>
            <w:szCs w:val="24"/>
          </w:rPr>
          <w:t>NHS mental health dashboard</w:t>
        </w:r>
      </w:hyperlink>
      <w:r w:rsidRPr="002D221E">
        <w:rPr>
          <w:rFonts w:cstheme="minorHAnsi"/>
          <w:szCs w:val="24"/>
        </w:rPr>
        <w:t xml:space="preserve"> [accessed: 22 August 2022]; Wales Fiscal Analysis (2021), </w:t>
      </w:r>
      <w:hyperlink r:id="rId105" w:history="1">
        <w:r w:rsidRPr="002D221E">
          <w:rPr>
            <w:rStyle w:val="Hyperlink"/>
            <w:rFonts w:cstheme="minorHAnsi"/>
            <w:szCs w:val="24"/>
          </w:rPr>
          <w:t>The NHS and the Welsh Budget: Outlook and challenges for the next Welsh Government</w:t>
        </w:r>
      </w:hyperlink>
      <w:r w:rsidRPr="00DB5826">
        <w:rPr>
          <w:rStyle w:val="Hyperlink"/>
          <w:rFonts w:cstheme="minorHAnsi"/>
          <w:szCs w:val="24"/>
          <w:u w:val="none"/>
        </w:rPr>
        <w:t>,</w:t>
      </w:r>
      <w:r w:rsidRPr="002D221E">
        <w:rPr>
          <w:rFonts w:cstheme="minorHAnsi"/>
          <w:szCs w:val="24"/>
        </w:rPr>
        <w:t xml:space="preserve"> Cardiff University [accessed: 22 August 2022], p. 25.</w:t>
      </w:r>
    </w:p>
  </w:footnote>
  <w:footnote w:id="83">
    <w:p w14:paraId="7A7DC518" w14:textId="7857D5A2" w:rsidR="003E4C7F" w:rsidRPr="002D221E" w:rsidRDefault="003E4C7F" w:rsidP="002D221E">
      <w:pPr>
        <w:pStyle w:val="FootnoteText"/>
        <w:rPr>
          <w:rFonts w:cstheme="minorHAnsi"/>
          <w:szCs w:val="24"/>
        </w:rPr>
      </w:pPr>
      <w:r w:rsidRPr="002D221E">
        <w:rPr>
          <w:rStyle w:val="FootnoteReference"/>
          <w:rFonts w:cstheme="minorHAnsi"/>
          <w:szCs w:val="24"/>
        </w:rPr>
        <w:footnoteRef/>
      </w:r>
      <w:r w:rsidRPr="002D221E">
        <w:rPr>
          <w:rFonts w:cstheme="minorHAnsi"/>
          <w:szCs w:val="24"/>
        </w:rPr>
        <w:t xml:space="preserve"> </w:t>
      </w:r>
      <w:r>
        <w:rPr>
          <w:rFonts w:cstheme="minorHAnsi"/>
          <w:szCs w:val="24"/>
        </w:rPr>
        <w:t>Care Quality Commission</w:t>
      </w:r>
      <w:r w:rsidRPr="002D221E">
        <w:rPr>
          <w:rFonts w:cstheme="minorHAnsi"/>
          <w:szCs w:val="24"/>
        </w:rPr>
        <w:t xml:space="preserve"> (2021), </w:t>
      </w:r>
      <w:hyperlink r:id="rId106" w:history="1">
        <w:r w:rsidRPr="002D221E">
          <w:rPr>
            <w:rStyle w:val="Hyperlink"/>
            <w:rFonts w:cstheme="minorHAnsi"/>
            <w:szCs w:val="24"/>
          </w:rPr>
          <w:t>State of Care 2020/21: Rising demand for mental health care</w:t>
        </w:r>
      </w:hyperlink>
      <w:r w:rsidRPr="002D221E">
        <w:rPr>
          <w:rFonts w:cstheme="minorHAnsi"/>
          <w:szCs w:val="24"/>
        </w:rPr>
        <w:t xml:space="preserve"> [accessed: 22 August 2022]; Health, Social Care and Sports Committee (2020), </w:t>
      </w:r>
      <w:hyperlink r:id="rId107" w:history="1">
        <w:r w:rsidRPr="002D221E">
          <w:rPr>
            <w:rStyle w:val="Hyperlink"/>
            <w:rFonts w:cstheme="minorHAnsi"/>
            <w:szCs w:val="24"/>
          </w:rPr>
          <w:t>Inquiry into the impact of the COVID-19 outbreak, and its management, on health and social care in Wales: Report 2</w:t>
        </w:r>
      </w:hyperlink>
      <w:r>
        <w:rPr>
          <w:rStyle w:val="Hyperlink"/>
          <w:rFonts w:cstheme="minorHAnsi"/>
          <w:szCs w:val="24"/>
        </w:rPr>
        <w:t xml:space="preserve"> </w:t>
      </w:r>
      <w:r w:rsidRPr="009161DF">
        <w:rPr>
          <w:rStyle w:val="Hyperlink"/>
          <w:rFonts w:cstheme="minorHAnsi"/>
          <w:szCs w:val="24"/>
        </w:rPr>
        <w:t>–</w:t>
      </w:r>
      <w:r>
        <w:rPr>
          <w:rStyle w:val="Hyperlink"/>
          <w:rFonts w:cstheme="minorHAnsi"/>
          <w:szCs w:val="24"/>
        </w:rPr>
        <w:t xml:space="preserve"> Impact on mental health and wellbeing</w:t>
      </w:r>
      <w:r w:rsidRPr="002D221E">
        <w:rPr>
          <w:rFonts w:cstheme="minorHAnsi"/>
          <w:szCs w:val="24"/>
        </w:rPr>
        <w:t xml:space="preserve"> [accessed: 22 August 2022].</w:t>
      </w:r>
    </w:p>
  </w:footnote>
  <w:footnote w:id="84">
    <w:p w14:paraId="45FF14A4" w14:textId="64C5FA81" w:rsidR="003E4C7F" w:rsidRPr="002D221E" w:rsidRDefault="003E4C7F" w:rsidP="002D221E">
      <w:pPr>
        <w:pStyle w:val="FootnoteText"/>
        <w:rPr>
          <w:rFonts w:cstheme="minorHAnsi"/>
          <w:szCs w:val="24"/>
        </w:rPr>
      </w:pPr>
      <w:r w:rsidRPr="002D221E">
        <w:rPr>
          <w:rStyle w:val="FootnoteReference"/>
          <w:rFonts w:cstheme="minorHAnsi"/>
          <w:szCs w:val="24"/>
        </w:rPr>
        <w:footnoteRef/>
      </w:r>
      <w:r w:rsidRPr="002D221E">
        <w:rPr>
          <w:rFonts w:cstheme="minorHAnsi"/>
          <w:szCs w:val="24"/>
        </w:rPr>
        <w:t xml:space="preserve"> NHS Confederation Mental Health Network (2020), </w:t>
      </w:r>
      <w:hyperlink r:id="rId108" w:history="1">
        <w:r w:rsidRPr="002D221E">
          <w:rPr>
            <w:rStyle w:val="Hyperlink"/>
            <w:rFonts w:cstheme="minorHAnsi"/>
            <w:szCs w:val="24"/>
          </w:rPr>
          <w:t>Digital inclusion in mental health</w:t>
        </w:r>
      </w:hyperlink>
      <w:r>
        <w:rPr>
          <w:rStyle w:val="Hyperlink"/>
          <w:rFonts w:cstheme="minorHAnsi"/>
          <w:szCs w:val="24"/>
        </w:rPr>
        <w:t>: a guide to help increase choice and improve access to digital mental health services</w:t>
      </w:r>
      <w:r w:rsidRPr="002D221E">
        <w:rPr>
          <w:rFonts w:cstheme="minorHAnsi"/>
          <w:szCs w:val="24"/>
        </w:rPr>
        <w:t xml:space="preserve"> [accessed: 22 August 2022], p. 9; Doctors of the World (2020), </w:t>
      </w:r>
      <w:hyperlink r:id="rId109" w:history="1">
        <w:r w:rsidRPr="002D221E">
          <w:rPr>
            <w:rStyle w:val="Hyperlink"/>
            <w:rFonts w:cstheme="minorHAnsi"/>
            <w:szCs w:val="24"/>
          </w:rPr>
          <w:t xml:space="preserve">A </w:t>
        </w:r>
        <w:r>
          <w:rPr>
            <w:rStyle w:val="Hyperlink"/>
            <w:rFonts w:cstheme="minorHAnsi"/>
            <w:szCs w:val="24"/>
          </w:rPr>
          <w:t>R</w:t>
        </w:r>
        <w:r w:rsidRPr="002D221E">
          <w:rPr>
            <w:rStyle w:val="Hyperlink"/>
            <w:rFonts w:cstheme="minorHAnsi"/>
            <w:szCs w:val="24"/>
          </w:rPr>
          <w:t xml:space="preserve">apid </w:t>
        </w:r>
        <w:r>
          <w:rPr>
            <w:rStyle w:val="Hyperlink"/>
            <w:rFonts w:cstheme="minorHAnsi"/>
            <w:szCs w:val="24"/>
          </w:rPr>
          <w:t>N</w:t>
        </w:r>
        <w:r w:rsidRPr="002D221E">
          <w:rPr>
            <w:rStyle w:val="Hyperlink"/>
            <w:rFonts w:cstheme="minorHAnsi"/>
            <w:szCs w:val="24"/>
          </w:rPr>
          <w:t xml:space="preserve">eeds </w:t>
        </w:r>
        <w:r>
          <w:rPr>
            <w:rStyle w:val="Hyperlink"/>
            <w:rFonts w:cstheme="minorHAnsi"/>
            <w:szCs w:val="24"/>
          </w:rPr>
          <w:t>A</w:t>
        </w:r>
        <w:r w:rsidRPr="002D221E">
          <w:rPr>
            <w:rStyle w:val="Hyperlink"/>
            <w:rFonts w:cstheme="minorHAnsi"/>
            <w:szCs w:val="24"/>
          </w:rPr>
          <w:t xml:space="preserve">ssessment of </w:t>
        </w:r>
        <w:r>
          <w:rPr>
            <w:rStyle w:val="Hyperlink"/>
            <w:rFonts w:cstheme="minorHAnsi"/>
            <w:szCs w:val="24"/>
          </w:rPr>
          <w:t>E</w:t>
        </w:r>
        <w:r w:rsidRPr="002D221E">
          <w:rPr>
            <w:rStyle w:val="Hyperlink"/>
            <w:rFonts w:cstheme="minorHAnsi"/>
            <w:szCs w:val="24"/>
          </w:rPr>
          <w:t xml:space="preserve">xcluded </w:t>
        </w:r>
        <w:r>
          <w:rPr>
            <w:rStyle w:val="Hyperlink"/>
            <w:rFonts w:cstheme="minorHAnsi"/>
            <w:szCs w:val="24"/>
          </w:rPr>
          <w:t>P</w:t>
        </w:r>
        <w:r w:rsidRPr="002D221E">
          <w:rPr>
            <w:rStyle w:val="Hyperlink"/>
            <w:rFonts w:cstheme="minorHAnsi"/>
            <w:szCs w:val="24"/>
          </w:rPr>
          <w:t xml:space="preserve">eople in England </w:t>
        </w:r>
        <w:r>
          <w:rPr>
            <w:rStyle w:val="Hyperlink"/>
            <w:rFonts w:cstheme="minorHAnsi"/>
            <w:szCs w:val="24"/>
          </w:rPr>
          <w:t>D</w:t>
        </w:r>
        <w:r w:rsidRPr="002D221E">
          <w:rPr>
            <w:rStyle w:val="Hyperlink"/>
            <w:rFonts w:cstheme="minorHAnsi"/>
            <w:szCs w:val="24"/>
          </w:rPr>
          <w:t xml:space="preserve">uring the 2020 COVID-19 </w:t>
        </w:r>
        <w:r>
          <w:rPr>
            <w:rStyle w:val="Hyperlink"/>
            <w:rFonts w:cstheme="minorHAnsi"/>
            <w:szCs w:val="24"/>
          </w:rPr>
          <w:t>P</w:t>
        </w:r>
        <w:r w:rsidRPr="002D221E">
          <w:rPr>
            <w:rStyle w:val="Hyperlink"/>
            <w:rFonts w:cstheme="minorHAnsi"/>
            <w:szCs w:val="24"/>
          </w:rPr>
          <w:t>andemic</w:t>
        </w:r>
      </w:hyperlink>
      <w:r w:rsidRPr="002D221E">
        <w:rPr>
          <w:rFonts w:cstheme="minorHAnsi"/>
          <w:szCs w:val="24"/>
        </w:rPr>
        <w:t xml:space="preserve"> [accessed: 22 August 2022], pp. 25</w:t>
      </w:r>
      <w:r>
        <w:rPr>
          <w:rFonts w:cstheme="minorHAnsi"/>
          <w:szCs w:val="24"/>
        </w:rPr>
        <w:t>-</w:t>
      </w:r>
      <w:r w:rsidRPr="002D221E">
        <w:rPr>
          <w:rFonts w:cstheme="minorHAnsi"/>
          <w:szCs w:val="24"/>
        </w:rPr>
        <w:t xml:space="preserve">26; Centre for Ageing Better (2021), </w:t>
      </w:r>
      <w:hyperlink r:id="rId110" w:history="1">
        <w:r w:rsidRPr="002D221E">
          <w:rPr>
            <w:rStyle w:val="Hyperlink"/>
            <w:rFonts w:cstheme="minorHAnsi"/>
            <w:szCs w:val="24"/>
          </w:rPr>
          <w:t>COVID-19 and the digital divide</w:t>
        </w:r>
      </w:hyperlink>
      <w:r w:rsidRPr="002D221E">
        <w:rPr>
          <w:rStyle w:val="Hyperlink"/>
          <w:rFonts w:cstheme="minorHAnsi"/>
          <w:szCs w:val="24"/>
          <w:u w:val="none"/>
        </w:rPr>
        <w:t xml:space="preserve"> </w:t>
      </w:r>
      <w:r w:rsidRPr="002D221E">
        <w:rPr>
          <w:rFonts w:cstheme="minorHAnsi"/>
          <w:szCs w:val="24"/>
        </w:rPr>
        <w:t>[accessed: 31 August 2022], p. 9.</w:t>
      </w:r>
    </w:p>
  </w:footnote>
  <w:footnote w:id="85">
    <w:p w14:paraId="65C7B935" w14:textId="03ADEFE9" w:rsidR="003E4C7F" w:rsidRPr="002D221E" w:rsidRDefault="003E4C7F" w:rsidP="002D221E">
      <w:pPr>
        <w:pStyle w:val="FootnoteText"/>
        <w:rPr>
          <w:rFonts w:cstheme="minorHAnsi"/>
          <w:szCs w:val="24"/>
        </w:rPr>
      </w:pPr>
      <w:r w:rsidRPr="002D221E">
        <w:rPr>
          <w:rStyle w:val="FootnoteReference"/>
          <w:rFonts w:cstheme="minorHAnsi"/>
          <w:szCs w:val="24"/>
        </w:rPr>
        <w:footnoteRef/>
      </w:r>
      <w:r w:rsidRPr="002D221E">
        <w:rPr>
          <w:rFonts w:cstheme="minorHAnsi"/>
          <w:szCs w:val="24"/>
        </w:rPr>
        <w:t xml:space="preserve"> Karavadra, B. and others (2020), </w:t>
      </w:r>
      <w:hyperlink r:id="rId111" w:history="1">
        <w:r w:rsidRPr="002D221E">
          <w:rPr>
            <w:rStyle w:val="Hyperlink"/>
            <w:rFonts w:cstheme="minorHAnsi"/>
            <w:szCs w:val="24"/>
          </w:rPr>
          <w:t>Women’s perceptions of COVID-19 and their healthcare experiences: a qualitative thematic analysis of a national survey of pregnant women in the United Kingdom</w:t>
        </w:r>
      </w:hyperlink>
      <w:r w:rsidRPr="002D221E">
        <w:rPr>
          <w:rFonts w:cstheme="minorHAnsi"/>
          <w:szCs w:val="24"/>
        </w:rPr>
        <w:t>, BMC Pregnancy Childbirth</w:t>
      </w:r>
      <w:r>
        <w:rPr>
          <w:rFonts w:cstheme="minorHAnsi"/>
          <w:szCs w:val="24"/>
        </w:rPr>
        <w:t>,</w:t>
      </w:r>
      <w:r w:rsidRPr="002D221E">
        <w:rPr>
          <w:rFonts w:cstheme="minorHAnsi"/>
          <w:szCs w:val="24"/>
        </w:rPr>
        <w:t xml:space="preserve"> </w:t>
      </w:r>
      <w:r>
        <w:rPr>
          <w:rFonts w:cstheme="minorHAnsi"/>
          <w:szCs w:val="24"/>
        </w:rPr>
        <w:t xml:space="preserve">vol. </w:t>
      </w:r>
      <w:r w:rsidRPr="002D221E">
        <w:rPr>
          <w:rFonts w:cstheme="minorHAnsi"/>
          <w:szCs w:val="24"/>
        </w:rPr>
        <w:t>20</w:t>
      </w:r>
      <w:r>
        <w:rPr>
          <w:rFonts w:cstheme="minorHAnsi"/>
          <w:szCs w:val="24"/>
        </w:rPr>
        <w:t>,</w:t>
      </w:r>
      <w:r w:rsidRPr="002D221E">
        <w:rPr>
          <w:rFonts w:cstheme="minorHAnsi"/>
          <w:szCs w:val="24"/>
        </w:rPr>
        <w:t xml:space="preserve"> </w:t>
      </w:r>
      <w:r>
        <w:rPr>
          <w:rFonts w:cstheme="minorHAnsi"/>
          <w:szCs w:val="24"/>
        </w:rPr>
        <w:t xml:space="preserve">no. 1, p. </w:t>
      </w:r>
      <w:r w:rsidRPr="002D221E">
        <w:rPr>
          <w:rFonts w:cstheme="minorHAnsi"/>
          <w:szCs w:val="24"/>
        </w:rPr>
        <w:t xml:space="preserve">600 [accessed: 24 November 2022]. </w:t>
      </w:r>
    </w:p>
  </w:footnote>
  <w:footnote w:id="86">
    <w:p w14:paraId="3A191A18" w14:textId="65EB2DF0" w:rsidR="003E4C7F" w:rsidRPr="002D221E" w:rsidRDefault="003E4C7F" w:rsidP="002D221E">
      <w:pPr>
        <w:pStyle w:val="FootnoteText"/>
        <w:rPr>
          <w:rFonts w:cstheme="minorHAnsi"/>
          <w:szCs w:val="24"/>
        </w:rPr>
      </w:pPr>
      <w:r w:rsidRPr="002D221E">
        <w:rPr>
          <w:rStyle w:val="FootnoteReference"/>
          <w:rFonts w:cstheme="minorHAnsi"/>
          <w:szCs w:val="24"/>
        </w:rPr>
        <w:footnoteRef/>
      </w:r>
      <w:r w:rsidRPr="002D221E">
        <w:rPr>
          <w:rFonts w:cstheme="minorHAnsi"/>
          <w:szCs w:val="24"/>
        </w:rPr>
        <w:t xml:space="preserve"> For example, see NHS Cumbria, Northumberland, Tyne and Wear (2022), </w:t>
      </w:r>
      <w:hyperlink r:id="rId112" w:history="1">
        <w:r w:rsidRPr="002D221E">
          <w:rPr>
            <w:rStyle w:val="Hyperlink"/>
            <w:rFonts w:cstheme="minorHAnsi"/>
            <w:szCs w:val="24"/>
          </w:rPr>
          <w:t xml:space="preserve">Northern Region Gender Dysphoria Service, </w:t>
        </w:r>
        <w:r>
          <w:rPr>
            <w:rStyle w:val="Hyperlink"/>
            <w:rFonts w:cstheme="minorHAnsi"/>
            <w:szCs w:val="24"/>
          </w:rPr>
          <w:t>Waiting</w:t>
        </w:r>
      </w:hyperlink>
      <w:r>
        <w:rPr>
          <w:rStyle w:val="Hyperlink"/>
          <w:rFonts w:cstheme="minorHAnsi"/>
          <w:szCs w:val="24"/>
        </w:rPr>
        <w:t xml:space="preserve"> list/waiting times</w:t>
      </w:r>
      <w:r w:rsidRPr="002D221E">
        <w:rPr>
          <w:rFonts w:cstheme="minorHAnsi"/>
          <w:szCs w:val="24"/>
        </w:rPr>
        <w:t xml:space="preserve"> [accessed: </w:t>
      </w:r>
      <w:r>
        <w:rPr>
          <w:rFonts w:cstheme="minorHAnsi"/>
          <w:szCs w:val="24"/>
        </w:rPr>
        <w:t>19 December</w:t>
      </w:r>
      <w:r w:rsidRPr="002D221E">
        <w:rPr>
          <w:rFonts w:cstheme="minorHAnsi"/>
          <w:szCs w:val="24"/>
        </w:rPr>
        <w:t xml:space="preserve"> 2022]; Tavistock and Portman Gender Identity Clinic (2022), </w:t>
      </w:r>
      <w:hyperlink r:id="rId113" w:history="1">
        <w:r w:rsidRPr="002D221E">
          <w:rPr>
            <w:rStyle w:val="Hyperlink"/>
            <w:rFonts w:cstheme="minorHAnsi"/>
            <w:szCs w:val="24"/>
          </w:rPr>
          <w:t>Waiting times</w:t>
        </w:r>
      </w:hyperlink>
      <w:r w:rsidRPr="002D221E">
        <w:rPr>
          <w:rFonts w:cstheme="minorHAnsi"/>
          <w:szCs w:val="24"/>
        </w:rPr>
        <w:t xml:space="preserve"> [accessed: 22 August 2022]; Cass Review (2022), </w:t>
      </w:r>
      <w:hyperlink r:id="rId114" w:history="1">
        <w:r w:rsidRPr="002D221E">
          <w:rPr>
            <w:rStyle w:val="Hyperlink"/>
            <w:rFonts w:cstheme="minorHAnsi"/>
            <w:szCs w:val="24"/>
          </w:rPr>
          <w:t>Interim report</w:t>
        </w:r>
      </w:hyperlink>
      <w:r w:rsidRPr="002D221E">
        <w:rPr>
          <w:rFonts w:cstheme="minorHAnsi"/>
          <w:szCs w:val="24"/>
        </w:rPr>
        <w:t xml:space="preserve"> [accessed: 22 August 2022], p. 32; Welsh Gender Service (2022), </w:t>
      </w:r>
      <w:hyperlink r:id="rId115" w:history="1">
        <w:r w:rsidRPr="002D221E">
          <w:rPr>
            <w:rStyle w:val="Hyperlink"/>
            <w:rFonts w:cstheme="minorHAnsi"/>
            <w:szCs w:val="24"/>
          </w:rPr>
          <w:t>Home</w:t>
        </w:r>
      </w:hyperlink>
      <w:r w:rsidRPr="002D221E">
        <w:rPr>
          <w:rFonts w:cstheme="minorHAnsi"/>
          <w:szCs w:val="24"/>
        </w:rPr>
        <w:t xml:space="preserve"> [accessed: 24 November 2022]. </w:t>
      </w:r>
    </w:p>
  </w:footnote>
  <w:footnote w:id="87">
    <w:p w14:paraId="700ADD83" w14:textId="612D7D27" w:rsidR="003E4C7F" w:rsidRPr="002D221E" w:rsidRDefault="003E4C7F" w:rsidP="002D221E">
      <w:pPr>
        <w:pStyle w:val="FootnoteText"/>
        <w:rPr>
          <w:rFonts w:cstheme="minorHAnsi"/>
          <w:szCs w:val="24"/>
        </w:rPr>
      </w:pPr>
      <w:r w:rsidRPr="002D221E">
        <w:rPr>
          <w:rStyle w:val="FootnoteReference"/>
          <w:rFonts w:cstheme="minorHAnsi"/>
          <w:szCs w:val="24"/>
        </w:rPr>
        <w:footnoteRef/>
      </w:r>
      <w:r w:rsidRPr="002D221E">
        <w:rPr>
          <w:rFonts w:cstheme="minorHAnsi"/>
          <w:szCs w:val="24"/>
        </w:rPr>
        <w:t xml:space="preserve"> Kapadia, D. and others (2022), </w:t>
      </w:r>
      <w:hyperlink r:id="rId116" w:history="1">
        <w:r w:rsidRPr="002D221E">
          <w:rPr>
            <w:rStyle w:val="Hyperlink"/>
            <w:rFonts w:cstheme="minorHAnsi"/>
            <w:szCs w:val="24"/>
          </w:rPr>
          <w:t xml:space="preserve">Ethnic </w:t>
        </w:r>
        <w:r>
          <w:rPr>
            <w:rStyle w:val="Hyperlink"/>
            <w:rFonts w:cstheme="minorHAnsi"/>
            <w:szCs w:val="24"/>
          </w:rPr>
          <w:t>I</w:t>
        </w:r>
        <w:r w:rsidRPr="002D221E">
          <w:rPr>
            <w:rStyle w:val="Hyperlink"/>
            <w:rFonts w:cstheme="minorHAnsi"/>
            <w:szCs w:val="24"/>
          </w:rPr>
          <w:t xml:space="preserve">nequalities in </w:t>
        </w:r>
        <w:r>
          <w:rPr>
            <w:rStyle w:val="Hyperlink"/>
            <w:rFonts w:cstheme="minorHAnsi"/>
            <w:szCs w:val="24"/>
          </w:rPr>
          <w:t>H</w:t>
        </w:r>
        <w:r w:rsidRPr="002D221E">
          <w:rPr>
            <w:rStyle w:val="Hyperlink"/>
            <w:rFonts w:cstheme="minorHAnsi"/>
            <w:szCs w:val="24"/>
          </w:rPr>
          <w:t xml:space="preserve">ealthcare: </w:t>
        </w:r>
        <w:r>
          <w:rPr>
            <w:rStyle w:val="Hyperlink"/>
            <w:rFonts w:cstheme="minorHAnsi"/>
            <w:szCs w:val="24"/>
          </w:rPr>
          <w:t>A R</w:t>
        </w:r>
        <w:r w:rsidRPr="002D221E">
          <w:rPr>
            <w:rStyle w:val="Hyperlink"/>
            <w:rFonts w:cstheme="minorHAnsi"/>
            <w:szCs w:val="24"/>
          </w:rPr>
          <w:t xml:space="preserve">apid </w:t>
        </w:r>
        <w:r>
          <w:rPr>
            <w:rStyle w:val="Hyperlink"/>
            <w:rFonts w:cstheme="minorHAnsi"/>
            <w:szCs w:val="24"/>
          </w:rPr>
          <w:t>E</w:t>
        </w:r>
        <w:r w:rsidRPr="002D221E">
          <w:rPr>
            <w:rStyle w:val="Hyperlink"/>
            <w:rFonts w:cstheme="minorHAnsi"/>
            <w:szCs w:val="24"/>
          </w:rPr>
          <w:t xml:space="preserve">vidence </w:t>
        </w:r>
        <w:r>
          <w:rPr>
            <w:rStyle w:val="Hyperlink"/>
            <w:rFonts w:cstheme="minorHAnsi"/>
            <w:szCs w:val="24"/>
          </w:rPr>
          <w:t>R</w:t>
        </w:r>
        <w:r w:rsidRPr="002D221E">
          <w:rPr>
            <w:rStyle w:val="Hyperlink"/>
            <w:rFonts w:cstheme="minorHAnsi"/>
            <w:szCs w:val="24"/>
          </w:rPr>
          <w:t>eview</w:t>
        </w:r>
      </w:hyperlink>
      <w:r w:rsidRPr="002D221E">
        <w:rPr>
          <w:rFonts w:cstheme="minorHAnsi"/>
          <w:szCs w:val="24"/>
        </w:rPr>
        <w:t>, NHS Race and Health Observatory [accessed: 4 October 2022], pp. 47-51.</w:t>
      </w:r>
    </w:p>
  </w:footnote>
  <w:footnote w:id="88">
    <w:p w14:paraId="6BE0DFC6" w14:textId="16C9E2A2" w:rsidR="003E4C7F" w:rsidRPr="002D221E" w:rsidRDefault="003E4C7F" w:rsidP="002D221E">
      <w:pPr>
        <w:pStyle w:val="FootnoteText"/>
        <w:rPr>
          <w:rFonts w:cstheme="minorHAnsi"/>
          <w:szCs w:val="24"/>
        </w:rPr>
      </w:pPr>
      <w:r w:rsidRPr="002D221E">
        <w:rPr>
          <w:rStyle w:val="FootnoteReference"/>
          <w:rFonts w:cstheme="minorHAnsi"/>
          <w:szCs w:val="24"/>
        </w:rPr>
        <w:footnoteRef/>
      </w:r>
      <w:r w:rsidRPr="002D221E">
        <w:rPr>
          <w:rFonts w:cstheme="minorHAnsi"/>
          <w:szCs w:val="24"/>
        </w:rPr>
        <w:t xml:space="preserve"> Nellums, L.B. and others (2018), </w:t>
      </w:r>
      <w:hyperlink r:id="rId117" w:history="1">
        <w:r w:rsidRPr="002D221E">
          <w:rPr>
            <w:rStyle w:val="Hyperlink"/>
            <w:rFonts w:cstheme="minorHAnsi"/>
            <w:szCs w:val="24"/>
          </w:rPr>
          <w:t>Access to healthcare for people seeking and refused asylum in Great Britain</w:t>
        </w:r>
      </w:hyperlink>
      <w:r w:rsidRPr="00DB5826">
        <w:rPr>
          <w:rStyle w:val="Hyperlink"/>
          <w:rFonts w:cstheme="minorHAnsi"/>
          <w:szCs w:val="24"/>
          <w:u w:val="none"/>
        </w:rPr>
        <w:t>,</w:t>
      </w:r>
      <w:r w:rsidRPr="002D221E">
        <w:rPr>
          <w:rStyle w:val="FootnoteTextChar"/>
          <w:rFonts w:cstheme="minorHAnsi"/>
          <w:szCs w:val="24"/>
        </w:rPr>
        <w:t xml:space="preserve"> E</w:t>
      </w:r>
      <w:r>
        <w:rPr>
          <w:rStyle w:val="FootnoteTextChar"/>
          <w:rFonts w:cstheme="minorHAnsi"/>
          <w:szCs w:val="24"/>
        </w:rPr>
        <w:t xml:space="preserve">quality and </w:t>
      </w:r>
      <w:r w:rsidRPr="002D221E">
        <w:rPr>
          <w:rStyle w:val="FootnoteTextChar"/>
          <w:rFonts w:cstheme="minorHAnsi"/>
          <w:szCs w:val="24"/>
        </w:rPr>
        <w:t>H</w:t>
      </w:r>
      <w:r>
        <w:rPr>
          <w:rStyle w:val="FootnoteTextChar"/>
          <w:rFonts w:cstheme="minorHAnsi"/>
          <w:szCs w:val="24"/>
        </w:rPr>
        <w:t xml:space="preserve">uman </w:t>
      </w:r>
      <w:r w:rsidRPr="002D221E">
        <w:rPr>
          <w:rStyle w:val="FootnoteTextChar"/>
          <w:rFonts w:cstheme="minorHAnsi"/>
          <w:szCs w:val="24"/>
        </w:rPr>
        <w:t>R</w:t>
      </w:r>
      <w:r>
        <w:rPr>
          <w:rStyle w:val="FootnoteTextChar"/>
          <w:rFonts w:cstheme="minorHAnsi"/>
          <w:szCs w:val="24"/>
        </w:rPr>
        <w:t xml:space="preserve">ights </w:t>
      </w:r>
      <w:r w:rsidRPr="002D221E">
        <w:rPr>
          <w:rStyle w:val="FootnoteTextChar"/>
          <w:rFonts w:cstheme="minorHAnsi"/>
          <w:szCs w:val="24"/>
        </w:rPr>
        <w:t>C</w:t>
      </w:r>
      <w:r>
        <w:rPr>
          <w:rStyle w:val="FootnoteTextChar"/>
          <w:rFonts w:cstheme="minorHAnsi"/>
          <w:szCs w:val="24"/>
        </w:rPr>
        <w:t>ommission</w:t>
      </w:r>
      <w:r w:rsidRPr="002D221E">
        <w:rPr>
          <w:rStyle w:val="FootnoteTextChar"/>
          <w:rFonts w:cstheme="minorHAnsi"/>
          <w:szCs w:val="24"/>
        </w:rPr>
        <w:t xml:space="preserve"> Research report 121 [accessed: 22 August 2022].</w:t>
      </w:r>
    </w:p>
  </w:footnote>
  <w:footnote w:id="89">
    <w:p w14:paraId="2CF5B26E" w14:textId="4F6F32CE" w:rsidR="003E4C7F" w:rsidRPr="002D221E" w:rsidRDefault="003E4C7F" w:rsidP="002D221E">
      <w:pPr>
        <w:pStyle w:val="FootnoteText"/>
        <w:rPr>
          <w:rFonts w:cstheme="minorHAnsi"/>
          <w:szCs w:val="24"/>
        </w:rPr>
      </w:pPr>
      <w:r w:rsidRPr="002D221E">
        <w:rPr>
          <w:rStyle w:val="FootnoteReference"/>
          <w:rFonts w:cstheme="minorHAnsi"/>
          <w:szCs w:val="24"/>
        </w:rPr>
        <w:footnoteRef/>
      </w:r>
      <w:r w:rsidRPr="002D221E">
        <w:rPr>
          <w:rFonts w:cstheme="minorHAnsi"/>
          <w:szCs w:val="24"/>
        </w:rPr>
        <w:t xml:space="preserve"> Minister for Health and Social Services (2021), </w:t>
      </w:r>
      <w:hyperlink r:id="rId118" w:history="1">
        <w:r w:rsidRPr="002D221E">
          <w:rPr>
            <w:rStyle w:val="Hyperlink"/>
            <w:rFonts w:cstheme="minorHAnsi"/>
            <w:szCs w:val="24"/>
          </w:rPr>
          <w:t xml:space="preserve">A </w:t>
        </w:r>
        <w:r>
          <w:rPr>
            <w:rStyle w:val="Hyperlink"/>
            <w:rFonts w:cstheme="minorHAnsi"/>
            <w:szCs w:val="24"/>
          </w:rPr>
          <w:t>H</w:t>
        </w:r>
        <w:r w:rsidRPr="002D221E">
          <w:rPr>
            <w:rStyle w:val="Hyperlink"/>
            <w:rFonts w:cstheme="minorHAnsi"/>
            <w:szCs w:val="24"/>
          </w:rPr>
          <w:t>ealthier Wales action review</w:t>
        </w:r>
      </w:hyperlink>
      <w:r w:rsidRPr="002D221E">
        <w:rPr>
          <w:rFonts w:cstheme="minorHAnsi"/>
          <w:szCs w:val="24"/>
        </w:rPr>
        <w:t xml:space="preserve"> [accessed: 22 August 2022]; Department of Health and Social Care  (2022), </w:t>
      </w:r>
      <w:hyperlink r:id="rId119" w:history="1">
        <w:r w:rsidRPr="002D221E">
          <w:rPr>
            <w:rStyle w:val="Hyperlink"/>
            <w:rFonts w:cstheme="minorHAnsi"/>
            <w:szCs w:val="24"/>
          </w:rPr>
          <w:t xml:space="preserve">Women’s </w:t>
        </w:r>
        <w:r>
          <w:rPr>
            <w:rStyle w:val="Hyperlink"/>
            <w:rFonts w:cstheme="minorHAnsi"/>
            <w:szCs w:val="24"/>
          </w:rPr>
          <w:t>H</w:t>
        </w:r>
        <w:r w:rsidRPr="002D221E">
          <w:rPr>
            <w:rStyle w:val="Hyperlink"/>
            <w:rFonts w:cstheme="minorHAnsi"/>
            <w:szCs w:val="24"/>
          </w:rPr>
          <w:t xml:space="preserve">ealth </w:t>
        </w:r>
        <w:r>
          <w:rPr>
            <w:rStyle w:val="Hyperlink"/>
            <w:rFonts w:cstheme="minorHAnsi"/>
            <w:szCs w:val="24"/>
          </w:rPr>
          <w:t>S</w:t>
        </w:r>
        <w:r w:rsidRPr="002D221E">
          <w:rPr>
            <w:rStyle w:val="Hyperlink"/>
            <w:rFonts w:cstheme="minorHAnsi"/>
            <w:szCs w:val="24"/>
          </w:rPr>
          <w:t>trategy for England</w:t>
        </w:r>
      </w:hyperlink>
      <w:r w:rsidRPr="002D221E">
        <w:rPr>
          <w:rFonts w:cstheme="minorHAnsi"/>
          <w:szCs w:val="24"/>
        </w:rPr>
        <w:t xml:space="preserve"> [accessed: 22 August 2022].</w:t>
      </w:r>
    </w:p>
  </w:footnote>
  <w:footnote w:id="90">
    <w:p w14:paraId="68CAF768" w14:textId="001398B2" w:rsidR="003E4C7F" w:rsidRPr="002D221E" w:rsidRDefault="003E4C7F" w:rsidP="002D221E">
      <w:pPr>
        <w:pStyle w:val="FootnoteText"/>
        <w:rPr>
          <w:rFonts w:cstheme="minorHAnsi"/>
          <w:szCs w:val="24"/>
        </w:rPr>
      </w:pPr>
      <w:r w:rsidRPr="002D221E">
        <w:rPr>
          <w:rStyle w:val="FootnoteReference"/>
          <w:rFonts w:cstheme="minorHAnsi"/>
          <w:szCs w:val="24"/>
        </w:rPr>
        <w:footnoteRef/>
      </w:r>
      <w:r w:rsidRPr="002D221E">
        <w:rPr>
          <w:rFonts w:cstheme="minorHAnsi"/>
          <w:szCs w:val="24"/>
        </w:rPr>
        <w:t xml:space="preserve"> D</w:t>
      </w:r>
      <w:r>
        <w:rPr>
          <w:rFonts w:cstheme="minorHAnsi"/>
          <w:szCs w:val="24"/>
        </w:rPr>
        <w:t xml:space="preserve">epartment of </w:t>
      </w:r>
      <w:r w:rsidRPr="002D221E">
        <w:rPr>
          <w:rFonts w:cstheme="minorHAnsi"/>
          <w:szCs w:val="24"/>
        </w:rPr>
        <w:t>H</w:t>
      </w:r>
      <w:r>
        <w:rPr>
          <w:rFonts w:cstheme="minorHAnsi"/>
          <w:szCs w:val="24"/>
        </w:rPr>
        <w:t xml:space="preserve">ealth and </w:t>
      </w:r>
      <w:r w:rsidRPr="002D221E">
        <w:rPr>
          <w:rFonts w:cstheme="minorHAnsi"/>
          <w:szCs w:val="24"/>
        </w:rPr>
        <w:t>S</w:t>
      </w:r>
      <w:r>
        <w:rPr>
          <w:rFonts w:cstheme="minorHAnsi"/>
          <w:szCs w:val="24"/>
        </w:rPr>
        <w:t xml:space="preserve">ocial </w:t>
      </w:r>
      <w:r w:rsidRPr="002D221E">
        <w:rPr>
          <w:rFonts w:cstheme="minorHAnsi"/>
          <w:szCs w:val="24"/>
        </w:rPr>
        <w:t>C</w:t>
      </w:r>
      <w:r>
        <w:rPr>
          <w:rFonts w:cstheme="minorHAnsi"/>
          <w:szCs w:val="24"/>
        </w:rPr>
        <w:t>are</w:t>
      </w:r>
      <w:r w:rsidRPr="002D221E">
        <w:rPr>
          <w:rFonts w:cstheme="minorHAnsi"/>
          <w:szCs w:val="24"/>
        </w:rPr>
        <w:t xml:space="preserve"> (2022), </w:t>
      </w:r>
      <w:hyperlink r:id="rId120" w:history="1">
        <w:r w:rsidRPr="003C5761">
          <w:rPr>
            <w:rStyle w:val="Hyperlink"/>
            <w:rFonts w:cstheme="minorHAnsi"/>
            <w:szCs w:val="24"/>
          </w:rPr>
          <w:t>Draft Mental Health Bill</w:t>
        </w:r>
      </w:hyperlink>
      <w:r w:rsidRPr="00DB5826">
        <w:rPr>
          <w:rStyle w:val="Hyperlink"/>
          <w:rFonts w:cstheme="minorHAnsi"/>
          <w:szCs w:val="24"/>
          <w:u w:val="none"/>
        </w:rPr>
        <w:t xml:space="preserve"> </w:t>
      </w:r>
      <w:r w:rsidRPr="002D221E">
        <w:rPr>
          <w:rFonts w:cstheme="minorHAnsi"/>
          <w:szCs w:val="24"/>
        </w:rPr>
        <w:t>[accessed: 21 August 2022].</w:t>
      </w:r>
    </w:p>
  </w:footnote>
  <w:footnote w:id="91">
    <w:p w14:paraId="4D823BA1" w14:textId="0B14E9E6" w:rsidR="003E4C7F" w:rsidRPr="002D221E" w:rsidRDefault="003E4C7F" w:rsidP="002D221E">
      <w:pPr>
        <w:pStyle w:val="FootnoteText"/>
        <w:rPr>
          <w:rFonts w:cstheme="minorHAnsi"/>
          <w:szCs w:val="24"/>
        </w:rPr>
      </w:pPr>
      <w:r w:rsidRPr="002D221E">
        <w:rPr>
          <w:rStyle w:val="FootnoteReference"/>
          <w:rFonts w:cstheme="minorHAnsi"/>
          <w:szCs w:val="24"/>
        </w:rPr>
        <w:footnoteRef/>
      </w:r>
      <w:r w:rsidRPr="002D221E">
        <w:rPr>
          <w:rFonts w:cstheme="minorHAnsi"/>
          <w:szCs w:val="24"/>
        </w:rPr>
        <w:t xml:space="preserve"> NHS Digital (2021), </w:t>
      </w:r>
      <w:hyperlink r:id="rId121" w:history="1">
        <w:r w:rsidRPr="002D221E">
          <w:rPr>
            <w:rStyle w:val="Hyperlink"/>
            <w:rFonts w:cstheme="minorHAnsi"/>
            <w:szCs w:val="24"/>
          </w:rPr>
          <w:t>Mental Health Act statistics</w:t>
        </w:r>
        <w:r>
          <w:rPr>
            <w:rStyle w:val="Hyperlink"/>
            <w:rFonts w:cstheme="minorHAnsi"/>
            <w:szCs w:val="24"/>
          </w:rPr>
          <w:t>, Annual Figures</w:t>
        </w:r>
      </w:hyperlink>
      <w:r w:rsidRPr="002D221E">
        <w:rPr>
          <w:rFonts w:cstheme="minorHAnsi"/>
          <w:szCs w:val="24"/>
        </w:rPr>
        <w:t xml:space="preserve"> [accessed: 12 September 2022]; E</w:t>
      </w:r>
      <w:r>
        <w:rPr>
          <w:rFonts w:cstheme="minorHAnsi"/>
          <w:szCs w:val="24"/>
        </w:rPr>
        <w:t xml:space="preserve">quality and </w:t>
      </w:r>
      <w:r w:rsidRPr="002D221E">
        <w:rPr>
          <w:rFonts w:cstheme="minorHAnsi"/>
          <w:szCs w:val="24"/>
        </w:rPr>
        <w:t>H</w:t>
      </w:r>
      <w:r>
        <w:rPr>
          <w:rFonts w:cstheme="minorHAnsi"/>
          <w:szCs w:val="24"/>
        </w:rPr>
        <w:t xml:space="preserve">uman </w:t>
      </w:r>
      <w:r w:rsidRPr="002D221E">
        <w:rPr>
          <w:rFonts w:cstheme="minorHAnsi"/>
          <w:szCs w:val="24"/>
        </w:rPr>
        <w:t>R</w:t>
      </w:r>
      <w:r>
        <w:rPr>
          <w:rFonts w:cstheme="minorHAnsi"/>
          <w:szCs w:val="24"/>
        </w:rPr>
        <w:t xml:space="preserve">ights </w:t>
      </w:r>
      <w:r w:rsidRPr="002D221E">
        <w:rPr>
          <w:rFonts w:cstheme="minorHAnsi"/>
          <w:szCs w:val="24"/>
        </w:rPr>
        <w:t>C</w:t>
      </w:r>
      <w:r>
        <w:rPr>
          <w:rFonts w:cstheme="minorHAnsi"/>
          <w:szCs w:val="24"/>
        </w:rPr>
        <w:t>ommission</w:t>
      </w:r>
      <w:r w:rsidRPr="002D221E">
        <w:rPr>
          <w:rFonts w:cstheme="minorHAnsi"/>
          <w:szCs w:val="24"/>
        </w:rPr>
        <w:t xml:space="preserve"> (2022), </w:t>
      </w:r>
      <w:hyperlink r:id="rId122" w:history="1">
        <w:r w:rsidRPr="002D221E">
          <w:rPr>
            <w:rStyle w:val="Hyperlink"/>
            <w:rFonts w:cstheme="minorHAnsi"/>
            <w:szCs w:val="24"/>
          </w:rPr>
          <w:t>Written evidence</w:t>
        </w:r>
        <w:r>
          <w:rPr>
            <w:rStyle w:val="Hyperlink"/>
            <w:rFonts w:cstheme="minorHAnsi"/>
            <w:szCs w:val="24"/>
          </w:rPr>
          <w:t xml:space="preserve"> submitted by the Equality and Human Rights Commission</w:t>
        </w:r>
      </w:hyperlink>
      <w:r w:rsidRPr="002D221E">
        <w:rPr>
          <w:rFonts w:cstheme="minorHAnsi"/>
          <w:szCs w:val="24"/>
        </w:rPr>
        <w:t xml:space="preserve"> [accessed: 10 October 2022]. </w:t>
      </w:r>
    </w:p>
  </w:footnote>
  <w:footnote w:id="92">
    <w:p w14:paraId="2B9BAE06" w14:textId="4D9A9844" w:rsidR="003E4C7F" w:rsidRPr="002D221E" w:rsidRDefault="003E4C7F" w:rsidP="00AD6CBC">
      <w:pPr>
        <w:pStyle w:val="FootnoteText"/>
        <w:rPr>
          <w:rFonts w:cstheme="minorHAnsi"/>
          <w:szCs w:val="24"/>
        </w:rPr>
      </w:pPr>
      <w:r w:rsidRPr="002D221E">
        <w:rPr>
          <w:rStyle w:val="FootnoteReference"/>
          <w:rFonts w:cstheme="minorHAnsi"/>
          <w:szCs w:val="24"/>
        </w:rPr>
        <w:footnoteRef/>
      </w:r>
      <w:r>
        <w:rPr>
          <w:rFonts w:cstheme="minorHAnsi"/>
          <w:szCs w:val="24"/>
        </w:rPr>
        <w:t xml:space="preserve"> </w:t>
      </w:r>
      <w:r w:rsidRPr="00722C1D">
        <w:t>United Nations Committee on Economic, Social and Cultural Rights</w:t>
      </w:r>
      <w:r w:rsidRPr="002D221E">
        <w:rPr>
          <w:rFonts w:cstheme="minorHAnsi"/>
          <w:szCs w:val="24"/>
        </w:rPr>
        <w:t xml:space="preserve"> (2009), </w:t>
      </w:r>
      <w:hyperlink r:id="rId123" w:history="1">
        <w:r w:rsidRPr="002D221E">
          <w:rPr>
            <w:rStyle w:val="Hyperlink"/>
            <w:rFonts w:cstheme="minorHAnsi"/>
            <w:szCs w:val="24"/>
          </w:rPr>
          <w:t>General comment no. 21: right of everyone to take part in cultural life</w:t>
        </w:r>
      </w:hyperlink>
      <w:r w:rsidRPr="002D221E">
        <w:rPr>
          <w:rFonts w:cstheme="minorHAnsi"/>
          <w:szCs w:val="24"/>
        </w:rPr>
        <w:t xml:space="preserve"> [accessed: 23 August 2022]</w:t>
      </w:r>
      <w:r>
        <w:rPr>
          <w:rFonts w:cstheme="minorHAnsi"/>
          <w:szCs w:val="24"/>
        </w:rPr>
        <w:t>, para 1</w:t>
      </w:r>
      <w:r w:rsidRPr="002D221E">
        <w:rPr>
          <w:rFonts w:cstheme="minorHAnsi"/>
          <w:szCs w:val="24"/>
        </w:rPr>
        <w:t>.</w:t>
      </w:r>
    </w:p>
  </w:footnote>
  <w:footnote w:id="93">
    <w:p w14:paraId="747DB055" w14:textId="4E3D751C" w:rsidR="003E4C7F" w:rsidRPr="002D221E" w:rsidRDefault="003E4C7F" w:rsidP="0027690C">
      <w:pPr>
        <w:pStyle w:val="FootnoteText"/>
        <w:rPr>
          <w:rFonts w:cstheme="minorHAnsi"/>
          <w:szCs w:val="24"/>
        </w:rPr>
      </w:pPr>
      <w:r w:rsidRPr="002D221E">
        <w:rPr>
          <w:rStyle w:val="FootnoteReference"/>
          <w:rFonts w:cstheme="minorHAnsi"/>
          <w:szCs w:val="24"/>
        </w:rPr>
        <w:footnoteRef/>
      </w:r>
      <w:r w:rsidRPr="002D221E">
        <w:rPr>
          <w:rFonts w:cstheme="minorHAnsi"/>
          <w:szCs w:val="24"/>
        </w:rPr>
        <w:t xml:space="preserve"> O</w:t>
      </w:r>
      <w:r>
        <w:rPr>
          <w:rFonts w:cstheme="minorHAnsi"/>
          <w:szCs w:val="24"/>
        </w:rPr>
        <w:t xml:space="preserve">ffice for </w:t>
      </w:r>
      <w:r w:rsidRPr="002D221E">
        <w:rPr>
          <w:rFonts w:cstheme="minorHAnsi"/>
          <w:szCs w:val="24"/>
        </w:rPr>
        <w:t>N</w:t>
      </w:r>
      <w:r>
        <w:rPr>
          <w:rFonts w:cstheme="minorHAnsi"/>
          <w:szCs w:val="24"/>
        </w:rPr>
        <w:t xml:space="preserve">ational </w:t>
      </w:r>
      <w:r w:rsidRPr="002D221E">
        <w:rPr>
          <w:rFonts w:cstheme="minorHAnsi"/>
          <w:szCs w:val="24"/>
        </w:rPr>
        <w:t>S</w:t>
      </w:r>
      <w:r>
        <w:rPr>
          <w:rFonts w:cstheme="minorHAnsi"/>
          <w:szCs w:val="24"/>
        </w:rPr>
        <w:t>tatistics</w:t>
      </w:r>
      <w:r w:rsidRPr="002D221E">
        <w:rPr>
          <w:rFonts w:cstheme="minorHAnsi"/>
          <w:szCs w:val="24"/>
        </w:rPr>
        <w:t xml:space="preserve"> (2019), </w:t>
      </w:r>
      <w:hyperlink r:id="rId124" w:history="1">
        <w:r w:rsidRPr="002D221E">
          <w:rPr>
            <w:rStyle w:val="Hyperlink"/>
            <w:rFonts w:cstheme="minorHAnsi"/>
            <w:szCs w:val="24"/>
          </w:rPr>
          <w:t>Exploring the UK’s digital divide</w:t>
        </w:r>
      </w:hyperlink>
      <w:r w:rsidRPr="002D221E">
        <w:rPr>
          <w:rFonts w:cstheme="minorHAnsi"/>
          <w:szCs w:val="24"/>
        </w:rPr>
        <w:t xml:space="preserve"> [accessed: 9 Septe</w:t>
      </w:r>
      <w:r w:rsidR="009953CE">
        <w:rPr>
          <w:rFonts w:cstheme="minorHAnsi"/>
          <w:szCs w:val="24"/>
        </w:rPr>
        <w:t>mber 2022], figures 1, 4, 8, 12 and</w:t>
      </w:r>
      <w:r w:rsidRPr="002D221E">
        <w:rPr>
          <w:rFonts w:cstheme="minorHAnsi"/>
          <w:szCs w:val="24"/>
        </w:rPr>
        <w:t xml:space="preserve"> 17.</w:t>
      </w:r>
    </w:p>
  </w:footnote>
  <w:footnote w:id="94">
    <w:p w14:paraId="7242182C" w14:textId="7D8DC7C9" w:rsidR="003E4C7F" w:rsidRPr="002D221E" w:rsidRDefault="003E4C7F">
      <w:pPr>
        <w:pStyle w:val="FootnoteText"/>
        <w:rPr>
          <w:rFonts w:cstheme="minorHAnsi"/>
          <w:szCs w:val="24"/>
        </w:rPr>
      </w:pPr>
      <w:r w:rsidRPr="002D221E">
        <w:rPr>
          <w:rStyle w:val="FootnoteReference"/>
          <w:rFonts w:cstheme="minorHAnsi"/>
          <w:szCs w:val="24"/>
        </w:rPr>
        <w:footnoteRef/>
      </w:r>
      <w:r w:rsidRPr="002D221E">
        <w:rPr>
          <w:rFonts w:cstheme="minorHAnsi"/>
          <w:szCs w:val="24"/>
        </w:rPr>
        <w:t xml:space="preserve"> Ofcom (2022), </w:t>
      </w:r>
      <w:hyperlink r:id="rId125" w:history="1">
        <w:r w:rsidRPr="002D221E">
          <w:rPr>
            <w:rStyle w:val="Hyperlink"/>
            <w:rFonts w:cstheme="minorHAnsi"/>
            <w:szCs w:val="24"/>
          </w:rPr>
          <w:t xml:space="preserve">Digital exclusion: </w:t>
        </w:r>
        <w:r>
          <w:rPr>
            <w:rStyle w:val="Hyperlink"/>
            <w:rFonts w:cstheme="minorHAnsi"/>
            <w:szCs w:val="24"/>
          </w:rPr>
          <w:t>A</w:t>
        </w:r>
        <w:r w:rsidRPr="002D221E">
          <w:rPr>
            <w:rStyle w:val="Hyperlink"/>
            <w:rFonts w:cstheme="minorHAnsi"/>
            <w:szCs w:val="24"/>
          </w:rPr>
          <w:t xml:space="preserve"> review of Ofcom’s research on digital exclusion among adults in the UK</w:t>
        </w:r>
      </w:hyperlink>
      <w:r w:rsidRPr="002D221E">
        <w:rPr>
          <w:rFonts w:cstheme="minorHAnsi"/>
          <w:szCs w:val="24"/>
        </w:rPr>
        <w:t xml:space="preserve"> [accessed: 4 October 2022], pp. 9-10. The source states that ‘limiting/impacting conditions’ include: ‘hearing, eyesight, mobility, dexterity, breathing, mental abilities, social behaviour, mental health and other illnesses’ (p. 9). </w:t>
      </w:r>
    </w:p>
  </w:footnote>
  <w:footnote w:id="95">
    <w:p w14:paraId="6FFD1199" w14:textId="30809114" w:rsidR="003E4C7F" w:rsidRPr="002D221E" w:rsidRDefault="003E4C7F">
      <w:pPr>
        <w:pStyle w:val="FootnoteText"/>
        <w:rPr>
          <w:rFonts w:cstheme="minorHAnsi"/>
          <w:szCs w:val="24"/>
        </w:rPr>
      </w:pPr>
      <w:r w:rsidRPr="002D221E">
        <w:rPr>
          <w:rStyle w:val="FootnoteReference"/>
          <w:rFonts w:cstheme="minorHAnsi"/>
          <w:szCs w:val="24"/>
        </w:rPr>
        <w:footnoteRef/>
      </w:r>
      <w:r w:rsidRPr="002D221E">
        <w:rPr>
          <w:rFonts w:cstheme="minorHAnsi"/>
          <w:szCs w:val="24"/>
        </w:rPr>
        <w:t xml:space="preserve"> Welsh Government (2022), </w:t>
      </w:r>
      <w:hyperlink r:id="rId126" w:history="1">
        <w:r w:rsidRPr="002D221E">
          <w:rPr>
            <w:rStyle w:val="Hyperlink"/>
            <w:rFonts w:cstheme="minorHAnsi"/>
            <w:szCs w:val="24"/>
          </w:rPr>
          <w:t>National Survey for Wales: results viewer</w:t>
        </w:r>
      </w:hyperlink>
      <w:r w:rsidRPr="002D221E">
        <w:rPr>
          <w:rFonts w:cstheme="minorHAnsi"/>
          <w:szCs w:val="24"/>
        </w:rPr>
        <w:t xml:space="preserve"> [accessed: 10 October 2022]</w:t>
      </w:r>
      <w:r>
        <w:rPr>
          <w:rFonts w:cstheme="minorHAnsi"/>
          <w:szCs w:val="24"/>
        </w:rPr>
        <w:t>.</w:t>
      </w:r>
    </w:p>
  </w:footnote>
  <w:footnote w:id="96">
    <w:p w14:paraId="163EA2C4" w14:textId="37D63D1D" w:rsidR="003E4C7F" w:rsidRPr="002D221E" w:rsidRDefault="003E4C7F" w:rsidP="00097556">
      <w:pPr>
        <w:pStyle w:val="FootnoteText"/>
        <w:rPr>
          <w:rFonts w:cstheme="minorHAnsi"/>
          <w:szCs w:val="24"/>
        </w:rPr>
      </w:pPr>
      <w:r w:rsidRPr="002D221E">
        <w:rPr>
          <w:rStyle w:val="FootnoteReference"/>
          <w:rFonts w:cstheme="minorHAnsi"/>
          <w:szCs w:val="24"/>
        </w:rPr>
        <w:footnoteRef/>
      </w:r>
      <w:r w:rsidRPr="002D221E">
        <w:rPr>
          <w:rFonts w:cstheme="minorHAnsi"/>
          <w:szCs w:val="24"/>
        </w:rPr>
        <w:t xml:space="preserve"> Ofcom (2022), </w:t>
      </w:r>
      <w:hyperlink r:id="rId127" w:history="1">
        <w:r w:rsidRPr="002D221E">
          <w:rPr>
            <w:rStyle w:val="Hyperlink"/>
            <w:rFonts w:cstheme="minorHAnsi"/>
            <w:szCs w:val="24"/>
          </w:rPr>
          <w:t xml:space="preserve">Digital exclusion: </w:t>
        </w:r>
        <w:r>
          <w:rPr>
            <w:rStyle w:val="Hyperlink"/>
            <w:rFonts w:cstheme="minorHAnsi"/>
            <w:szCs w:val="24"/>
          </w:rPr>
          <w:t>A</w:t>
        </w:r>
        <w:r w:rsidRPr="002D221E">
          <w:rPr>
            <w:rStyle w:val="Hyperlink"/>
            <w:rFonts w:cstheme="minorHAnsi"/>
            <w:szCs w:val="24"/>
          </w:rPr>
          <w:t xml:space="preserve"> review of Ofcom’s research on digital exclusion among adults in the UK</w:t>
        </w:r>
      </w:hyperlink>
      <w:r w:rsidRPr="002D221E">
        <w:rPr>
          <w:rFonts w:cstheme="minorHAnsi"/>
          <w:szCs w:val="24"/>
        </w:rPr>
        <w:t xml:space="preserve"> [accessed: 4 October 2022], p. 11</w:t>
      </w:r>
      <w:r>
        <w:rPr>
          <w:rFonts w:cstheme="minorHAnsi"/>
          <w:szCs w:val="24"/>
        </w:rPr>
        <w:t xml:space="preserve"> and</w:t>
      </w:r>
      <w:r w:rsidRPr="002D221E">
        <w:rPr>
          <w:rFonts w:cstheme="minorHAnsi"/>
          <w:szCs w:val="24"/>
        </w:rPr>
        <w:t xml:space="preserve"> </w:t>
      </w:r>
      <w:r>
        <w:rPr>
          <w:rFonts w:cstheme="minorHAnsi"/>
          <w:szCs w:val="24"/>
        </w:rPr>
        <w:t xml:space="preserve">p. </w:t>
      </w:r>
      <w:r w:rsidRPr="002D221E">
        <w:rPr>
          <w:rFonts w:cstheme="minorHAnsi"/>
          <w:szCs w:val="24"/>
        </w:rPr>
        <w:t xml:space="preserve">14. </w:t>
      </w:r>
    </w:p>
  </w:footnote>
  <w:footnote w:id="97">
    <w:p w14:paraId="23D6216A" w14:textId="0B115D59" w:rsidR="003E4C7F" w:rsidRPr="002D221E" w:rsidRDefault="003E4C7F" w:rsidP="00F05C26">
      <w:pPr>
        <w:pStyle w:val="FootnoteText"/>
        <w:rPr>
          <w:rFonts w:cstheme="minorHAnsi"/>
          <w:szCs w:val="24"/>
        </w:rPr>
      </w:pPr>
      <w:r w:rsidRPr="002D221E">
        <w:rPr>
          <w:rStyle w:val="FootnoteReference"/>
          <w:rFonts w:cstheme="minorHAnsi"/>
          <w:szCs w:val="24"/>
        </w:rPr>
        <w:footnoteRef/>
      </w:r>
      <w:r w:rsidRPr="002D221E">
        <w:rPr>
          <w:rFonts w:cstheme="minorHAnsi"/>
          <w:szCs w:val="24"/>
        </w:rPr>
        <w:t xml:space="preserve"> Department for Digital, Culture, Media and Sport (2022), </w:t>
      </w:r>
      <w:hyperlink r:id="rId128" w:history="1">
        <w:r w:rsidRPr="002D221E">
          <w:rPr>
            <w:rStyle w:val="Hyperlink"/>
            <w:rFonts w:cstheme="minorHAnsi"/>
            <w:szCs w:val="24"/>
          </w:rPr>
          <w:t>UK Digital Strategy</w:t>
        </w:r>
      </w:hyperlink>
      <w:r w:rsidRPr="002D221E">
        <w:rPr>
          <w:rFonts w:cstheme="minorHAnsi"/>
          <w:szCs w:val="24"/>
        </w:rPr>
        <w:t xml:space="preserve"> and (2017), </w:t>
      </w:r>
      <w:hyperlink r:id="rId129" w:anchor="digital-skills-and-inclusion---giving-everyone-access-to-the-digital-skills-they-need" w:history="1">
        <w:r w:rsidRPr="002D221E">
          <w:rPr>
            <w:rStyle w:val="Hyperlink"/>
            <w:rFonts w:cstheme="minorHAnsi"/>
            <w:szCs w:val="24"/>
          </w:rPr>
          <w:t>UK Digital Strategy</w:t>
        </w:r>
      </w:hyperlink>
      <w:r w:rsidRPr="002D221E">
        <w:rPr>
          <w:rFonts w:cstheme="minorHAnsi"/>
          <w:szCs w:val="24"/>
        </w:rPr>
        <w:t xml:space="preserve"> [accessed: 9 September 2022]; Welsh Government (2021), </w:t>
      </w:r>
      <w:hyperlink r:id="rId130" w:history="1">
        <w:r w:rsidRPr="002D221E">
          <w:rPr>
            <w:rStyle w:val="Hyperlink"/>
            <w:rFonts w:cstheme="minorHAnsi"/>
            <w:szCs w:val="24"/>
          </w:rPr>
          <w:t>Digital Strategy for Wales</w:t>
        </w:r>
      </w:hyperlink>
      <w:r w:rsidRPr="002D221E">
        <w:rPr>
          <w:rFonts w:cstheme="minorHAnsi"/>
          <w:szCs w:val="24"/>
        </w:rPr>
        <w:t xml:space="preserve"> [accessed: 9 September 2022].</w:t>
      </w:r>
    </w:p>
  </w:footnote>
  <w:footnote w:id="98">
    <w:p w14:paraId="656215CC" w14:textId="77777777" w:rsidR="003E4C7F" w:rsidRPr="002D221E" w:rsidRDefault="003E4C7F" w:rsidP="00F228AC">
      <w:pPr>
        <w:pStyle w:val="FootnoteText"/>
        <w:rPr>
          <w:rFonts w:cstheme="minorHAnsi"/>
          <w:szCs w:val="24"/>
        </w:rPr>
      </w:pPr>
      <w:r w:rsidRPr="002D221E">
        <w:rPr>
          <w:rStyle w:val="FootnoteReference"/>
          <w:rFonts w:cstheme="minorHAnsi"/>
          <w:szCs w:val="24"/>
        </w:rPr>
        <w:footnoteRef/>
      </w:r>
      <w:r w:rsidRPr="002D221E">
        <w:rPr>
          <w:rFonts w:cstheme="minorHAnsi"/>
          <w:szCs w:val="24"/>
        </w:rPr>
        <w:t xml:space="preserve"> </w:t>
      </w:r>
      <w:hyperlink r:id="rId131" w:history="1">
        <w:r w:rsidRPr="002D221E">
          <w:rPr>
            <w:rStyle w:val="Hyperlink"/>
            <w:rFonts w:cstheme="minorHAnsi"/>
            <w:szCs w:val="24"/>
          </w:rPr>
          <w:t>Online Safety Bill</w:t>
        </w:r>
      </w:hyperlink>
      <w:r w:rsidRPr="002D221E">
        <w:rPr>
          <w:rFonts w:cstheme="minorHAnsi"/>
          <w:szCs w:val="24"/>
        </w:rPr>
        <w:t xml:space="preserve"> [accessed: 9 September 2022].</w:t>
      </w:r>
    </w:p>
  </w:footnote>
  <w:footnote w:id="99">
    <w:p w14:paraId="6F7F918A" w14:textId="2A6F9B25" w:rsidR="003E4C7F" w:rsidRPr="002D221E" w:rsidRDefault="003E4C7F" w:rsidP="00B2673D">
      <w:pPr>
        <w:pStyle w:val="FootnoteText"/>
        <w:rPr>
          <w:rFonts w:cstheme="minorHAnsi"/>
          <w:szCs w:val="24"/>
        </w:rPr>
      </w:pPr>
      <w:r w:rsidRPr="002D221E">
        <w:rPr>
          <w:rStyle w:val="FootnoteReference"/>
          <w:rFonts w:cstheme="minorHAnsi"/>
          <w:szCs w:val="24"/>
        </w:rPr>
        <w:footnoteRef/>
      </w:r>
      <w:r w:rsidRPr="002D221E">
        <w:rPr>
          <w:rFonts w:cstheme="minorHAnsi"/>
          <w:szCs w:val="24"/>
        </w:rPr>
        <w:t xml:space="preserve"> Centre for Data Ethics and Innovation (2020), </w:t>
      </w:r>
      <w:hyperlink r:id="rId132" w:history="1">
        <w:r w:rsidRPr="002D221E">
          <w:rPr>
            <w:rStyle w:val="Hyperlink"/>
            <w:rFonts w:cstheme="minorHAnsi"/>
            <w:szCs w:val="24"/>
          </w:rPr>
          <w:t>Review into bias in algorithmic decision-making</w:t>
        </w:r>
      </w:hyperlink>
      <w:r w:rsidRPr="002D221E">
        <w:rPr>
          <w:rFonts w:cstheme="minorHAnsi"/>
          <w:szCs w:val="24"/>
        </w:rPr>
        <w:t xml:space="preserve"> [accessed: 9 September 2022]; House of Lords Communications and Digital Committee (2021), </w:t>
      </w:r>
      <w:hyperlink r:id="rId133" w:anchor="_idTextAnchor026" w:history="1">
        <w:r w:rsidRPr="002D221E">
          <w:rPr>
            <w:rStyle w:val="Hyperlink"/>
            <w:rFonts w:cstheme="minorHAnsi"/>
            <w:szCs w:val="24"/>
          </w:rPr>
          <w:t>Free for all? Freedom of expression in the digital age</w:t>
        </w:r>
      </w:hyperlink>
      <w:r w:rsidRPr="002D221E">
        <w:rPr>
          <w:rFonts w:cstheme="minorHAnsi"/>
          <w:szCs w:val="24"/>
        </w:rPr>
        <w:t xml:space="preserve"> [accessed: 5 October 2022], para 43.</w:t>
      </w:r>
    </w:p>
  </w:footnote>
  <w:footnote w:id="100">
    <w:p w14:paraId="3AA43F5E" w14:textId="04159BBF" w:rsidR="003E4C7F" w:rsidRPr="002D221E" w:rsidRDefault="003E4C7F" w:rsidP="00D166B7">
      <w:pPr>
        <w:rPr>
          <w:rFonts w:cstheme="minorHAnsi"/>
          <w:bCs/>
          <w:color w:val="0B4E60" w:themeColor="text2"/>
          <w:szCs w:val="24"/>
        </w:rPr>
      </w:pPr>
      <w:r w:rsidRPr="002D221E">
        <w:rPr>
          <w:rStyle w:val="FootnoteReference"/>
          <w:rFonts w:cstheme="minorHAnsi"/>
          <w:szCs w:val="24"/>
        </w:rPr>
        <w:footnoteRef/>
      </w:r>
      <w:r w:rsidRPr="002D221E">
        <w:rPr>
          <w:rFonts w:cstheme="minorHAnsi"/>
          <w:szCs w:val="24"/>
        </w:rPr>
        <w:t xml:space="preserve"> </w:t>
      </w:r>
      <w:r w:rsidRPr="002D221E">
        <w:rPr>
          <w:rFonts w:cstheme="minorHAnsi"/>
          <w:color w:val="0B4E60" w:themeColor="text2"/>
          <w:szCs w:val="24"/>
        </w:rPr>
        <w:t xml:space="preserve">Sport Industry Research Centre (2021), </w:t>
      </w:r>
      <w:hyperlink r:id="rId134" w:history="1">
        <w:r>
          <w:rPr>
            <w:rStyle w:val="Hyperlink"/>
            <w:rFonts w:cstheme="minorHAnsi"/>
            <w:szCs w:val="24"/>
          </w:rPr>
          <w:t>T</w:t>
        </w:r>
        <w:r w:rsidRPr="002D221E">
          <w:rPr>
            <w:rStyle w:val="Hyperlink"/>
            <w:rFonts w:cstheme="minorHAnsi"/>
            <w:szCs w:val="24"/>
          </w:rPr>
          <w:t xml:space="preserve">ackling </w:t>
        </w:r>
        <w:r>
          <w:rPr>
            <w:rStyle w:val="Hyperlink"/>
            <w:rFonts w:cstheme="minorHAnsi"/>
            <w:szCs w:val="24"/>
          </w:rPr>
          <w:t>R</w:t>
        </w:r>
        <w:r w:rsidRPr="002D221E">
          <w:rPr>
            <w:rStyle w:val="Hyperlink"/>
            <w:rFonts w:cstheme="minorHAnsi"/>
            <w:szCs w:val="24"/>
          </w:rPr>
          <w:t xml:space="preserve">acism and </w:t>
        </w:r>
        <w:r>
          <w:rPr>
            <w:rStyle w:val="Hyperlink"/>
            <w:rFonts w:cstheme="minorHAnsi"/>
            <w:szCs w:val="24"/>
          </w:rPr>
          <w:t>R</w:t>
        </w:r>
        <w:r w:rsidRPr="002D221E">
          <w:rPr>
            <w:rStyle w:val="Hyperlink"/>
            <w:rFonts w:cstheme="minorHAnsi"/>
            <w:szCs w:val="24"/>
          </w:rPr>
          <w:t xml:space="preserve">acial </w:t>
        </w:r>
        <w:r>
          <w:rPr>
            <w:rStyle w:val="Hyperlink"/>
            <w:rFonts w:cstheme="minorHAnsi"/>
            <w:szCs w:val="24"/>
          </w:rPr>
          <w:t>I</w:t>
        </w:r>
        <w:r w:rsidRPr="002D221E">
          <w:rPr>
            <w:rStyle w:val="Hyperlink"/>
            <w:rFonts w:cstheme="minorHAnsi"/>
            <w:szCs w:val="24"/>
          </w:rPr>
          <w:t xml:space="preserve">nequality in </w:t>
        </w:r>
        <w:r>
          <w:rPr>
            <w:rStyle w:val="Hyperlink"/>
            <w:rFonts w:cstheme="minorHAnsi"/>
            <w:szCs w:val="24"/>
          </w:rPr>
          <w:t>S</w:t>
        </w:r>
        <w:r w:rsidRPr="002D221E">
          <w:rPr>
            <w:rStyle w:val="Hyperlink"/>
            <w:rFonts w:cstheme="minorHAnsi"/>
            <w:szCs w:val="24"/>
          </w:rPr>
          <w:t>port</w:t>
        </w:r>
      </w:hyperlink>
      <w:r>
        <w:rPr>
          <w:rStyle w:val="Hyperlink"/>
          <w:rFonts w:cstheme="minorHAnsi"/>
          <w:szCs w:val="24"/>
        </w:rPr>
        <w:t xml:space="preserve"> review</w:t>
      </w:r>
      <w:r w:rsidRPr="002D221E">
        <w:rPr>
          <w:rFonts w:cstheme="minorHAnsi"/>
          <w:szCs w:val="24"/>
        </w:rPr>
        <w:t xml:space="preserve"> </w:t>
      </w:r>
      <w:r w:rsidRPr="002D221E">
        <w:rPr>
          <w:rFonts w:cstheme="minorHAnsi"/>
          <w:color w:val="0B4E60" w:themeColor="text2"/>
          <w:szCs w:val="24"/>
        </w:rPr>
        <w:t xml:space="preserve">[accessed: 23 August 2022]; Bowes, A. (2021), </w:t>
      </w:r>
      <w:hyperlink r:id="rId135" w:history="1">
        <w:r w:rsidRPr="002D221E">
          <w:rPr>
            <w:rStyle w:val="Hyperlink"/>
            <w:rFonts w:cstheme="minorHAnsi"/>
            <w:szCs w:val="24"/>
          </w:rPr>
          <w:t>A losing battle? Women’s sport pre- and post-COVID-19</w:t>
        </w:r>
      </w:hyperlink>
      <w:r w:rsidRPr="002D221E">
        <w:rPr>
          <w:rFonts w:cstheme="minorHAnsi"/>
          <w:color w:val="0B4E60" w:themeColor="text2"/>
          <w:szCs w:val="24"/>
        </w:rPr>
        <w:t>, European Sport Management Quarterly</w:t>
      </w:r>
      <w:r>
        <w:rPr>
          <w:rFonts w:cstheme="minorHAnsi"/>
          <w:color w:val="0B4E60" w:themeColor="text2"/>
          <w:szCs w:val="24"/>
        </w:rPr>
        <w:t>, vol.</w:t>
      </w:r>
      <w:r w:rsidRPr="002D221E">
        <w:rPr>
          <w:rFonts w:cstheme="minorHAnsi"/>
          <w:color w:val="0B4E60" w:themeColor="text2"/>
          <w:szCs w:val="24"/>
        </w:rPr>
        <w:t xml:space="preserve"> 21</w:t>
      </w:r>
      <w:r>
        <w:rPr>
          <w:rFonts w:cstheme="minorHAnsi"/>
          <w:color w:val="0B4E60" w:themeColor="text2"/>
          <w:szCs w:val="24"/>
        </w:rPr>
        <w:t xml:space="preserve">, no. </w:t>
      </w:r>
      <w:r w:rsidRPr="002D221E">
        <w:rPr>
          <w:rFonts w:cstheme="minorHAnsi"/>
          <w:color w:val="0B4E60" w:themeColor="text2"/>
          <w:szCs w:val="24"/>
        </w:rPr>
        <w:t>3</w:t>
      </w:r>
      <w:r>
        <w:rPr>
          <w:rFonts w:cstheme="minorHAnsi"/>
          <w:color w:val="0B4E60" w:themeColor="text2"/>
          <w:szCs w:val="24"/>
        </w:rPr>
        <w:t>,</w:t>
      </w:r>
      <w:r w:rsidRPr="002D221E">
        <w:rPr>
          <w:rFonts w:cstheme="minorHAnsi"/>
          <w:color w:val="0B4E60" w:themeColor="text2"/>
          <w:szCs w:val="24"/>
        </w:rPr>
        <w:t xml:space="preserve"> </w:t>
      </w:r>
      <w:r>
        <w:rPr>
          <w:rFonts w:cstheme="minorHAnsi"/>
          <w:color w:val="0B4E60" w:themeColor="text2"/>
          <w:szCs w:val="24"/>
        </w:rPr>
        <w:t xml:space="preserve">pp. </w:t>
      </w:r>
      <w:r w:rsidRPr="002D221E">
        <w:rPr>
          <w:rFonts w:cstheme="minorHAnsi"/>
          <w:color w:val="0B4E60" w:themeColor="text2"/>
          <w:szCs w:val="24"/>
        </w:rPr>
        <w:t>443-461.</w:t>
      </w:r>
    </w:p>
  </w:footnote>
  <w:footnote w:id="101">
    <w:p w14:paraId="7D6796C2" w14:textId="425BFB1F" w:rsidR="003E4C7F" w:rsidRPr="002D221E" w:rsidRDefault="003E4C7F">
      <w:pPr>
        <w:pStyle w:val="FootnoteText"/>
        <w:rPr>
          <w:rFonts w:cstheme="minorHAnsi"/>
          <w:szCs w:val="24"/>
        </w:rPr>
      </w:pPr>
      <w:r w:rsidRPr="002D221E">
        <w:rPr>
          <w:rStyle w:val="FootnoteReference"/>
          <w:rFonts w:cstheme="minorHAnsi"/>
          <w:szCs w:val="24"/>
        </w:rPr>
        <w:footnoteRef/>
      </w:r>
      <w:r w:rsidRPr="002D221E">
        <w:rPr>
          <w:rFonts w:cstheme="minorHAnsi"/>
          <w:szCs w:val="24"/>
        </w:rPr>
        <w:t xml:space="preserve"> AKD Solutions and others (2021), </w:t>
      </w:r>
      <w:hyperlink r:id="rId136" w:history="1">
        <w:r w:rsidR="009953CE" w:rsidRPr="002D221E">
          <w:rPr>
            <w:rStyle w:val="Hyperlink"/>
            <w:rFonts w:cstheme="minorHAnsi"/>
            <w:szCs w:val="24"/>
          </w:rPr>
          <w:t>#Tellyourstory</w:t>
        </w:r>
      </w:hyperlink>
      <w:r w:rsidR="009953CE" w:rsidRPr="002D221E">
        <w:rPr>
          <w:rFonts w:cstheme="minorHAnsi"/>
          <w:szCs w:val="24"/>
        </w:rPr>
        <w:t xml:space="preserve"> </w:t>
      </w:r>
      <w:r w:rsidRPr="002D221E">
        <w:rPr>
          <w:rFonts w:cstheme="minorHAnsi"/>
          <w:szCs w:val="24"/>
        </w:rPr>
        <w:t>[accessed: 23 August 2022].</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12D3D1" w14:textId="56C00B14" w:rsidR="003E4C7F" w:rsidRDefault="003E4C7F">
    <w:pPr>
      <w:pStyle w:val="Header"/>
    </w:pPr>
    <w:r>
      <w:rPr>
        <w:noProof/>
        <w:lang w:eastAsia="en-GB"/>
      </w:rPr>
      <mc:AlternateContent>
        <mc:Choice Requires="wps">
          <w:drawing>
            <wp:anchor distT="0" distB="0" distL="0" distR="0" simplePos="0" relativeHeight="251659264" behindDoc="0" locked="0" layoutInCell="1" allowOverlap="1" wp14:anchorId="0B159A52" wp14:editId="4D1F0F94">
              <wp:simplePos x="635" y="635"/>
              <wp:positionH relativeFrom="column">
                <wp:align>center</wp:align>
              </wp:positionH>
              <wp:positionV relativeFrom="paragraph">
                <wp:posOffset>635</wp:posOffset>
              </wp:positionV>
              <wp:extent cx="443865" cy="443865"/>
              <wp:effectExtent l="0" t="0" r="1905" b="17145"/>
              <wp:wrapSquare wrapText="bothSides"/>
              <wp:docPr id="2" name="Text Box 2" descr="OFFICIAL-SENSITIVE">
                <a:extLst xmlns:a="http://schemas.openxmlformats.org/drawingml/2006/main">
                  <a:ext uri="{5AE41FA2-C0FF-4470-9BD4-5FADCA87CBE2}">
                    <aclsh:classification xmlns:aclsh="http://schemas.microsoft.com/office/drawing/2020/classificationShap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80E75AE" w14:textId="2DC53D6C" w:rsidR="003E4C7F" w:rsidRPr="00A438D9" w:rsidRDefault="003E4C7F">
                          <w:pPr>
                            <w:rPr>
                              <w:rFonts w:ascii="Calibri" w:eastAsia="Calibri" w:hAnsi="Calibri" w:cs="Calibri"/>
                              <w:noProof/>
                              <w:color w:val="FF0000"/>
                              <w:sz w:val="28"/>
                              <w:szCs w:val="28"/>
                            </w:rPr>
                          </w:pPr>
                          <w:r w:rsidRPr="00A438D9">
                            <w:rPr>
                              <w:rFonts w:ascii="Calibri" w:eastAsia="Calibri" w:hAnsi="Calibri" w:cs="Calibri"/>
                              <w:noProof/>
                              <w:color w:val="FF0000"/>
                              <w:sz w:val="28"/>
                              <w:szCs w:val="28"/>
                            </w:rPr>
                            <w:t>OFFICIAL-SENSITIVE</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0B159A52" id="_x0000_t202" coordsize="21600,21600" o:spt="202" path="m,l,21600r21600,l21600,xe">
              <v:stroke joinstyle="miter"/>
              <v:path gradientshapeok="t" o:connecttype="rect"/>
            </v:shapetype>
            <v:shape id="Text Box 2" o:spid="_x0000_s1026" type="#_x0000_t202" alt="OFFICIAL-SENSITIVE" style="position:absolute;margin-left:0;margin-top:.05pt;width:34.95pt;height:34.95pt;z-index:251659264;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" filled="f" stroked="f">
              <v:textbox style="mso-fit-shape-to-text:t" inset="0,0,0,0">
                <w:txbxContent>
                  <w:p w14:paraId="080E75AE" w14:textId="2DC53D6C" w:rsidR="008162C0" w:rsidRPr="00A438D9" w:rsidRDefault="008162C0">
                    <w:pPr>
                      <w:rPr>
                        <w:rFonts w:ascii="Calibri" w:eastAsia="Calibri" w:hAnsi="Calibri" w:cs="Calibri"/>
                        <w:noProof/>
                        <w:color w:val="FF0000"/>
                        <w:sz w:val="28"/>
                        <w:szCs w:val="28"/>
                      </w:rPr>
                    </w:pPr>
                    <w:r w:rsidRPr="00A438D9">
                      <w:rPr>
                        <w:rFonts w:ascii="Calibri" w:eastAsia="Calibri" w:hAnsi="Calibri" w:cs="Calibri"/>
                        <w:noProof/>
                        <w:color w:val="FF0000"/>
                        <w:sz w:val="28"/>
                        <w:szCs w:val="28"/>
                      </w:rPr>
                      <w:t>OFFICIAL-SENSITIVE</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417B07" w14:textId="222A5222" w:rsidR="003E4C7F" w:rsidRDefault="003E4C7F" w:rsidP="00605567">
    <w:pPr>
      <w:pStyle w:val="Header"/>
      <w:pBdr>
        <w:top w:val="single" w:sz="36" w:space="5" w:color="009C98" w:themeColor="accent1"/>
      </w:pBdr>
      <w:ind w:left="-851" w:right="-738"/>
      <w:jc w:val="center"/>
    </w:pPr>
    <w:r>
      <w:t>Economic, social and cultural rights in Great Britain</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7760D5" w14:textId="48072FC2" w:rsidR="003E4C7F" w:rsidRPr="00342F83" w:rsidRDefault="003E4C7F" w:rsidP="000E6F22">
    <w:pPr>
      <w:pStyle w:val="Header"/>
      <w:spacing w:before="640" w:after="2000"/>
      <w:ind w:right="-1021"/>
      <w:jc w:val="right"/>
      <w:rPr>
        <w:b/>
        <w:bCs/>
      </w:rPr>
    </w:pPr>
    <w:r>
      <w:rPr>
        <w:b/>
        <w:bCs/>
        <w:noProof/>
        <w:lang w:eastAsia="en-GB"/>
      </w:rPr>
      <w:drawing>
        <wp:inline distT="0" distB="0" distL="0" distR="0" wp14:anchorId="32F22209" wp14:editId="2A69A8CE">
          <wp:extent cx="3285842" cy="1258214"/>
          <wp:effectExtent l="0" t="0" r="0" b="0"/>
          <wp:docPr id="3" name="Picture 3" title="Equality and Human Rights Commiss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HRC_Logo_CORE_Dark Teal_RG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325514" cy="127340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1"/>
    <w:multiLevelType w:val="singleLevel"/>
    <w:tmpl w:val="3D5C4BDC"/>
    <w:lvl w:ilvl="0">
      <w:start w:val="1"/>
      <w:numFmt w:val="bullet"/>
      <w:pStyle w:val="ListBullet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EFF679DA"/>
    <w:lvl w:ilvl="0">
      <w:start w:val="1"/>
      <w:numFmt w:val="bullet"/>
      <w:pStyle w:val="ListBullet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2228AAD6"/>
    <w:lvl w:ilvl="0">
      <w:start w:val="1"/>
      <w:numFmt w:val="bullet"/>
      <w:pStyle w:val="ListBullet2"/>
      <w:lvlText w:val=""/>
      <w:lvlJc w:val="left"/>
      <w:pPr>
        <w:tabs>
          <w:tab w:val="num" w:pos="643"/>
        </w:tabs>
        <w:ind w:left="643" w:hanging="360"/>
      </w:pPr>
      <w:rPr>
        <w:rFonts w:ascii="Symbol" w:hAnsi="Symbol" w:hint="default"/>
      </w:rPr>
    </w:lvl>
  </w:abstractNum>
  <w:abstractNum w:abstractNumId="3" w15:restartNumberingAfterBreak="0">
    <w:nsid w:val="00850FFB"/>
    <w:multiLevelType w:val="hybridMultilevel"/>
    <w:tmpl w:val="6A7A4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0A86BAB"/>
    <w:multiLevelType w:val="hybridMultilevel"/>
    <w:tmpl w:val="AD7E4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1861B3C"/>
    <w:multiLevelType w:val="hybridMultilevel"/>
    <w:tmpl w:val="25FA4D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3B1503D"/>
    <w:multiLevelType w:val="hybridMultilevel"/>
    <w:tmpl w:val="D566431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04420086"/>
    <w:multiLevelType w:val="hybridMultilevel"/>
    <w:tmpl w:val="97E602D0"/>
    <w:lvl w:ilvl="0" w:tplc="7666B99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84E4BFE"/>
    <w:multiLevelType w:val="multilevel"/>
    <w:tmpl w:val="165ACE1C"/>
    <w:styleLink w:val="StyleBulletedSymbolsymbolLeft063cmHanging063cm1"/>
    <w:lvl w:ilvl="0">
      <w:start w:val="1"/>
      <w:numFmt w:val="bullet"/>
      <w:lvlText w:val=""/>
      <w:lvlJc w:val="left"/>
      <w:pPr>
        <w:ind w:left="539" w:hanging="539"/>
      </w:pPr>
      <w:rPr>
        <w:rFonts w:ascii="Symbol" w:hAnsi="Symbol" w:hint="default"/>
        <w:sz w:val="28"/>
      </w:rPr>
    </w:lvl>
    <w:lvl w:ilvl="1">
      <w:start w:val="1"/>
      <w:numFmt w:val="bullet"/>
      <w:lvlText w:val="̶"/>
      <w:lvlJc w:val="left"/>
      <w:pPr>
        <w:ind w:left="902" w:hanging="539"/>
      </w:pPr>
      <w:rPr>
        <w:rFonts w:ascii="Courier New" w:hAnsi="Courier New" w:hint="default"/>
      </w:rPr>
    </w:lvl>
    <w:lvl w:ilvl="2">
      <w:start w:val="1"/>
      <w:numFmt w:val="bullet"/>
      <w:lvlText w:val=""/>
      <w:lvlJc w:val="left"/>
      <w:pPr>
        <w:ind w:left="1265" w:hanging="539"/>
      </w:pPr>
      <w:rPr>
        <w:rFonts w:ascii="Wingdings" w:hAnsi="Wingdings" w:hint="default"/>
      </w:rPr>
    </w:lvl>
    <w:lvl w:ilvl="3">
      <w:start w:val="1"/>
      <w:numFmt w:val="bullet"/>
      <w:lvlText w:val=""/>
      <w:lvlJc w:val="left"/>
      <w:pPr>
        <w:ind w:left="1628" w:hanging="539"/>
      </w:pPr>
      <w:rPr>
        <w:rFonts w:ascii="Symbol" w:hAnsi="Symbol" w:hint="default"/>
      </w:rPr>
    </w:lvl>
    <w:lvl w:ilvl="4">
      <w:start w:val="1"/>
      <w:numFmt w:val="bullet"/>
      <w:lvlText w:val="o"/>
      <w:lvlJc w:val="left"/>
      <w:pPr>
        <w:ind w:left="1991" w:hanging="539"/>
      </w:pPr>
      <w:rPr>
        <w:rFonts w:ascii="Courier New" w:hAnsi="Courier New" w:cs="Courier New" w:hint="default"/>
      </w:rPr>
    </w:lvl>
    <w:lvl w:ilvl="5">
      <w:start w:val="1"/>
      <w:numFmt w:val="bullet"/>
      <w:lvlText w:val=""/>
      <w:lvlJc w:val="left"/>
      <w:pPr>
        <w:ind w:left="2354" w:hanging="539"/>
      </w:pPr>
      <w:rPr>
        <w:rFonts w:ascii="Wingdings" w:hAnsi="Wingdings" w:hint="default"/>
      </w:rPr>
    </w:lvl>
    <w:lvl w:ilvl="6">
      <w:start w:val="1"/>
      <w:numFmt w:val="bullet"/>
      <w:lvlText w:val=""/>
      <w:lvlJc w:val="left"/>
      <w:pPr>
        <w:ind w:left="2717" w:hanging="539"/>
      </w:pPr>
      <w:rPr>
        <w:rFonts w:ascii="Symbol" w:hAnsi="Symbol" w:hint="default"/>
      </w:rPr>
    </w:lvl>
    <w:lvl w:ilvl="7">
      <w:start w:val="1"/>
      <w:numFmt w:val="bullet"/>
      <w:lvlText w:val="o"/>
      <w:lvlJc w:val="left"/>
      <w:pPr>
        <w:ind w:left="3080" w:hanging="539"/>
      </w:pPr>
      <w:rPr>
        <w:rFonts w:ascii="Courier New" w:hAnsi="Courier New" w:cs="Courier New" w:hint="default"/>
      </w:rPr>
    </w:lvl>
    <w:lvl w:ilvl="8">
      <w:start w:val="1"/>
      <w:numFmt w:val="bullet"/>
      <w:lvlText w:val=""/>
      <w:lvlJc w:val="left"/>
      <w:pPr>
        <w:ind w:left="3443" w:hanging="539"/>
      </w:pPr>
      <w:rPr>
        <w:rFonts w:ascii="Wingdings" w:hAnsi="Wingdings" w:hint="default"/>
      </w:rPr>
    </w:lvl>
  </w:abstractNum>
  <w:abstractNum w:abstractNumId="9" w15:restartNumberingAfterBreak="0">
    <w:nsid w:val="08932EA9"/>
    <w:multiLevelType w:val="hybridMultilevel"/>
    <w:tmpl w:val="8AEE4F6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0" w15:restartNumberingAfterBreak="0">
    <w:nsid w:val="08F26EAD"/>
    <w:multiLevelType w:val="hybridMultilevel"/>
    <w:tmpl w:val="884440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B296468"/>
    <w:multiLevelType w:val="multilevel"/>
    <w:tmpl w:val="DE9827B8"/>
    <w:styleLink w:val="StyleOutlinenumberedLatinHeadingsArialComplexHeadi2"/>
    <w:lvl w:ilvl="0">
      <w:start w:val="1"/>
      <w:numFmt w:val="decimal"/>
      <w:lvlText w:val="%1"/>
      <w:lvlJc w:val="left"/>
      <w:pPr>
        <w:ind w:left="540" w:hanging="540"/>
      </w:pPr>
      <w:rPr>
        <w:rFonts w:hint="default"/>
        <w:sz w:val="32"/>
      </w:rPr>
    </w:lvl>
    <w:lvl w:ilvl="1">
      <w:start w:val="1"/>
      <w:numFmt w:val="decimal"/>
      <w:lvlText w:val="%1.%2"/>
      <w:lvlJc w:val="left"/>
      <w:pPr>
        <w:ind w:left="720" w:hanging="720"/>
      </w:pPr>
      <w:rPr>
        <w:rFonts w:asciiTheme="majorHAnsi" w:hAnsiTheme="majorHAnsi" w:cstheme="majorBidi"/>
        <w:b/>
        <w:color w:val="0B4E60" w:themeColor="text2"/>
        <w:sz w:val="32"/>
        <w:szCs w:val="32"/>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15B608D9"/>
    <w:multiLevelType w:val="hybridMultilevel"/>
    <w:tmpl w:val="42786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8FD5F0E"/>
    <w:multiLevelType w:val="hybridMultilevel"/>
    <w:tmpl w:val="A9582E90"/>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4" w15:restartNumberingAfterBreak="0">
    <w:nsid w:val="19B14E30"/>
    <w:multiLevelType w:val="multilevel"/>
    <w:tmpl w:val="9B34CA48"/>
    <w:lvl w:ilvl="0">
      <w:start w:val="2"/>
      <w:numFmt w:val="bullet"/>
      <w:pStyle w:val="Boxbullets"/>
      <w:lvlText w:val="̶"/>
      <w:lvlJc w:val="left"/>
      <w:pPr>
        <w:ind w:left="709" w:hanging="567"/>
      </w:pPr>
      <w:rPr>
        <w:rFonts w:ascii="Courier New" w:hAnsi="Courier New" w:hint="default"/>
      </w:rPr>
    </w:lvl>
    <w:lvl w:ilvl="1">
      <w:start w:val="1"/>
      <w:numFmt w:val="bullet"/>
      <w:lvlText w:val="­"/>
      <w:lvlJc w:val="left"/>
      <w:pPr>
        <w:ind w:left="902" w:hanging="539"/>
      </w:pPr>
      <w:rPr>
        <w:rFonts w:ascii="Courier New" w:hAnsi="Courier New" w:hint="default"/>
        <w:sz w:val="28"/>
      </w:rPr>
    </w:lvl>
    <w:lvl w:ilvl="2">
      <w:start w:val="1"/>
      <w:numFmt w:val="bullet"/>
      <w:lvlText w:val=""/>
      <w:lvlJc w:val="left"/>
      <w:pPr>
        <w:ind w:left="1265" w:hanging="539"/>
      </w:pPr>
      <w:rPr>
        <w:rFonts w:ascii="Wingdings" w:hAnsi="Wingdings" w:hint="default"/>
      </w:rPr>
    </w:lvl>
    <w:lvl w:ilvl="3">
      <w:start w:val="1"/>
      <w:numFmt w:val="bullet"/>
      <w:lvlText w:val=""/>
      <w:lvlJc w:val="left"/>
      <w:pPr>
        <w:ind w:left="1628" w:hanging="539"/>
      </w:pPr>
      <w:rPr>
        <w:rFonts w:ascii="Symbol" w:hAnsi="Symbol" w:hint="default"/>
      </w:rPr>
    </w:lvl>
    <w:lvl w:ilvl="4">
      <w:start w:val="1"/>
      <w:numFmt w:val="bullet"/>
      <w:lvlText w:val="o"/>
      <w:lvlJc w:val="left"/>
      <w:pPr>
        <w:ind w:left="1991" w:hanging="539"/>
      </w:pPr>
      <w:rPr>
        <w:rFonts w:ascii="Courier New" w:hAnsi="Courier New" w:cs="Courier New" w:hint="default"/>
      </w:rPr>
    </w:lvl>
    <w:lvl w:ilvl="5">
      <w:start w:val="1"/>
      <w:numFmt w:val="bullet"/>
      <w:lvlText w:val=""/>
      <w:lvlJc w:val="left"/>
      <w:pPr>
        <w:ind w:left="2354" w:hanging="539"/>
      </w:pPr>
      <w:rPr>
        <w:rFonts w:ascii="Wingdings" w:hAnsi="Wingdings" w:hint="default"/>
      </w:rPr>
    </w:lvl>
    <w:lvl w:ilvl="6">
      <w:start w:val="1"/>
      <w:numFmt w:val="bullet"/>
      <w:lvlText w:val=""/>
      <w:lvlJc w:val="left"/>
      <w:pPr>
        <w:ind w:left="2717" w:hanging="539"/>
      </w:pPr>
      <w:rPr>
        <w:rFonts w:ascii="Symbol" w:hAnsi="Symbol" w:hint="default"/>
      </w:rPr>
    </w:lvl>
    <w:lvl w:ilvl="7">
      <w:start w:val="1"/>
      <w:numFmt w:val="bullet"/>
      <w:lvlText w:val="o"/>
      <w:lvlJc w:val="left"/>
      <w:pPr>
        <w:ind w:left="3080" w:hanging="539"/>
      </w:pPr>
      <w:rPr>
        <w:rFonts w:ascii="Courier New" w:hAnsi="Courier New" w:cs="Courier New" w:hint="default"/>
      </w:rPr>
    </w:lvl>
    <w:lvl w:ilvl="8">
      <w:start w:val="1"/>
      <w:numFmt w:val="bullet"/>
      <w:lvlText w:val=""/>
      <w:lvlJc w:val="left"/>
      <w:pPr>
        <w:ind w:left="3443" w:hanging="539"/>
      </w:pPr>
      <w:rPr>
        <w:rFonts w:ascii="Wingdings" w:hAnsi="Wingdings" w:hint="default"/>
      </w:rPr>
    </w:lvl>
  </w:abstractNum>
  <w:abstractNum w:abstractNumId="15" w15:restartNumberingAfterBreak="0">
    <w:nsid w:val="1B4437EB"/>
    <w:multiLevelType w:val="hybridMultilevel"/>
    <w:tmpl w:val="D2A6C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F43170F"/>
    <w:multiLevelType w:val="hybridMultilevel"/>
    <w:tmpl w:val="4C4C9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FC45341"/>
    <w:multiLevelType w:val="multilevel"/>
    <w:tmpl w:val="0809001D"/>
    <w:styleLink w:val="Basicbulletlist"/>
    <w:lvl w:ilvl="0">
      <w:start w:val="1"/>
      <w:numFmt w:val="bullet"/>
      <w:lvlText w:val="̶"/>
      <w:lvlJc w:val="left"/>
      <w:pPr>
        <w:ind w:left="360" w:hanging="360"/>
      </w:pPr>
      <w:rPr>
        <w:rFonts w:ascii="Courier New" w:hAnsi="Courier New" w:hint="default"/>
      </w:rPr>
    </w:lvl>
    <w:lvl w:ilvl="1">
      <w:start w:val="1"/>
      <w:numFmt w:val="bullet"/>
      <w:lvlText w:val="̶"/>
      <w:lvlJc w:val="left"/>
      <w:pPr>
        <w:ind w:left="720" w:hanging="360"/>
      </w:pPr>
      <w:rPr>
        <w:rFonts w:ascii="Courier New" w:hAnsi="Courier New" w:hint="default"/>
      </w:rPr>
    </w:lvl>
    <w:lvl w:ilvl="2">
      <w:start w:val="1"/>
      <w:numFmt w:val="bullet"/>
      <w:lvlText w:val="̶"/>
      <w:lvlJc w:val="left"/>
      <w:pPr>
        <w:ind w:left="1080" w:hanging="360"/>
      </w:pPr>
      <w:rPr>
        <w:rFonts w:ascii="Courier New" w:hAnsi="Courier New" w:hint="default"/>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24370714"/>
    <w:multiLevelType w:val="hybridMultilevel"/>
    <w:tmpl w:val="FE1C193A"/>
    <w:lvl w:ilvl="0" w:tplc="81BEF904">
      <w:start w:val="1"/>
      <w:numFmt w:val="decimal"/>
      <w:lvlText w:val="(%1)"/>
      <w:lvlJc w:val="left"/>
      <w:pPr>
        <w:ind w:left="360" w:hanging="360"/>
      </w:pPr>
      <w:rPr>
        <w:rFonts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28352131"/>
    <w:multiLevelType w:val="hybridMultilevel"/>
    <w:tmpl w:val="1D582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8E50924"/>
    <w:multiLevelType w:val="hybridMultilevel"/>
    <w:tmpl w:val="0756A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9DC196A"/>
    <w:multiLevelType w:val="multilevel"/>
    <w:tmpl w:val="EAB48ED2"/>
    <w:lvl w:ilvl="0">
      <w:start w:val="1"/>
      <w:numFmt w:val="bullet"/>
      <w:pStyle w:val="ListBullet"/>
      <w:lvlText w:val="̶"/>
      <w:lvlJc w:val="left"/>
      <w:pPr>
        <w:ind w:left="360" w:hanging="360"/>
      </w:pPr>
      <w:rPr>
        <w:rFonts w:ascii="Courier New" w:hAnsi="Courier New" w:hint="default"/>
      </w:rPr>
    </w:lvl>
    <w:lvl w:ilvl="1">
      <w:start w:val="1"/>
      <w:numFmt w:val="bullet"/>
      <w:lvlText w:val="̶"/>
      <w:lvlJc w:val="left"/>
      <w:pPr>
        <w:ind w:left="720" w:hanging="360"/>
      </w:pPr>
      <w:rPr>
        <w:rFonts w:ascii="Courier New" w:hAnsi="Courier New" w:hint="default"/>
      </w:rPr>
    </w:lvl>
    <w:lvl w:ilvl="2">
      <w:start w:val="1"/>
      <w:numFmt w:val="bullet"/>
      <w:lvlText w:val="̶"/>
      <w:lvlJc w:val="left"/>
      <w:pPr>
        <w:ind w:left="1080" w:hanging="360"/>
      </w:pPr>
      <w:rPr>
        <w:rFonts w:ascii="Courier New" w:hAnsi="Courier New" w:hint="default"/>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04C0B43"/>
    <w:multiLevelType w:val="hybridMultilevel"/>
    <w:tmpl w:val="56427A50"/>
    <w:lvl w:ilvl="0" w:tplc="F38C0372">
      <w:start w:val="1"/>
      <w:numFmt w:val="decimal"/>
      <w:lvlText w:val="%1."/>
      <w:lvlJc w:val="left"/>
      <w:pPr>
        <w:ind w:left="720" w:hanging="360"/>
      </w:pPr>
      <w:rPr>
        <w:b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90D66FB"/>
    <w:multiLevelType w:val="hybridMultilevel"/>
    <w:tmpl w:val="452ACF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56B5432"/>
    <w:multiLevelType w:val="multilevel"/>
    <w:tmpl w:val="85707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6671876"/>
    <w:multiLevelType w:val="hybridMultilevel"/>
    <w:tmpl w:val="540A95E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491744F8"/>
    <w:multiLevelType w:val="hybridMultilevel"/>
    <w:tmpl w:val="2336463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9242756"/>
    <w:multiLevelType w:val="multilevel"/>
    <w:tmpl w:val="E33C0118"/>
    <w:styleLink w:val="StyleNumberedLeft0cmHanging127cm"/>
    <w:lvl w:ilvl="0">
      <w:start w:val="1"/>
      <w:numFmt w:val="decimal"/>
      <w:lvlText w:val="%1."/>
      <w:lvlJc w:val="left"/>
      <w:pPr>
        <w:ind w:left="539" w:hanging="539"/>
      </w:pPr>
      <w:rPr>
        <w:rFonts w:hint="default"/>
        <w:sz w:val="28"/>
      </w:rPr>
    </w:lvl>
    <w:lvl w:ilvl="1">
      <w:start w:val="1"/>
      <w:numFmt w:val="lowerLetter"/>
      <w:lvlText w:val="%2."/>
      <w:lvlJc w:val="left"/>
      <w:pPr>
        <w:ind w:left="902" w:hanging="539"/>
      </w:pPr>
      <w:rPr>
        <w:rFonts w:hint="default"/>
      </w:rPr>
    </w:lvl>
    <w:lvl w:ilvl="2">
      <w:start w:val="1"/>
      <w:numFmt w:val="lowerRoman"/>
      <w:lvlText w:val="%3."/>
      <w:lvlJc w:val="right"/>
      <w:pPr>
        <w:ind w:left="1265" w:hanging="539"/>
      </w:pPr>
      <w:rPr>
        <w:rFonts w:hint="default"/>
      </w:rPr>
    </w:lvl>
    <w:lvl w:ilvl="3">
      <w:start w:val="1"/>
      <w:numFmt w:val="decimal"/>
      <w:lvlText w:val="%4."/>
      <w:lvlJc w:val="left"/>
      <w:pPr>
        <w:ind w:left="1628" w:hanging="539"/>
      </w:pPr>
      <w:rPr>
        <w:rFonts w:hint="default"/>
      </w:rPr>
    </w:lvl>
    <w:lvl w:ilvl="4">
      <w:start w:val="1"/>
      <w:numFmt w:val="lowerLetter"/>
      <w:lvlText w:val="%5."/>
      <w:lvlJc w:val="left"/>
      <w:pPr>
        <w:ind w:left="1991" w:hanging="539"/>
      </w:pPr>
      <w:rPr>
        <w:rFonts w:hint="default"/>
      </w:rPr>
    </w:lvl>
    <w:lvl w:ilvl="5">
      <w:start w:val="1"/>
      <w:numFmt w:val="lowerRoman"/>
      <w:lvlText w:val="%6."/>
      <w:lvlJc w:val="right"/>
      <w:pPr>
        <w:ind w:left="2354" w:hanging="539"/>
      </w:pPr>
      <w:rPr>
        <w:rFonts w:hint="default"/>
      </w:rPr>
    </w:lvl>
    <w:lvl w:ilvl="6">
      <w:start w:val="1"/>
      <w:numFmt w:val="decimal"/>
      <w:lvlText w:val="%7."/>
      <w:lvlJc w:val="left"/>
      <w:pPr>
        <w:ind w:left="2717" w:hanging="539"/>
      </w:pPr>
      <w:rPr>
        <w:rFonts w:hint="default"/>
      </w:rPr>
    </w:lvl>
    <w:lvl w:ilvl="7">
      <w:start w:val="1"/>
      <w:numFmt w:val="lowerLetter"/>
      <w:lvlText w:val="%8."/>
      <w:lvlJc w:val="left"/>
      <w:pPr>
        <w:ind w:left="3080" w:hanging="539"/>
      </w:pPr>
      <w:rPr>
        <w:rFonts w:hint="default"/>
      </w:rPr>
    </w:lvl>
    <w:lvl w:ilvl="8">
      <w:start w:val="1"/>
      <w:numFmt w:val="lowerRoman"/>
      <w:lvlText w:val="%9."/>
      <w:lvlJc w:val="right"/>
      <w:pPr>
        <w:ind w:left="3443" w:hanging="539"/>
      </w:pPr>
      <w:rPr>
        <w:rFonts w:hint="default"/>
      </w:rPr>
    </w:lvl>
  </w:abstractNum>
  <w:abstractNum w:abstractNumId="28" w15:restartNumberingAfterBreak="0">
    <w:nsid w:val="4F633DE4"/>
    <w:multiLevelType w:val="multilevel"/>
    <w:tmpl w:val="74404BA8"/>
    <w:styleLink w:val="Boxbulletlist"/>
    <w:lvl w:ilvl="0">
      <w:start w:val="2"/>
      <w:numFmt w:val="bullet"/>
      <w:lvlText w:val="̶"/>
      <w:lvlJc w:val="left"/>
      <w:pPr>
        <w:ind w:left="539" w:hanging="539"/>
      </w:pPr>
      <w:rPr>
        <w:rFonts w:ascii="Courier New" w:hAnsi="Courier New" w:hint="default"/>
      </w:rPr>
    </w:lvl>
    <w:lvl w:ilvl="1">
      <w:start w:val="1"/>
      <w:numFmt w:val="bullet"/>
      <w:lvlText w:val="­"/>
      <w:lvlJc w:val="left"/>
      <w:pPr>
        <w:ind w:left="902" w:hanging="539"/>
      </w:pPr>
      <w:rPr>
        <w:rFonts w:ascii="Courier New" w:hAnsi="Courier New" w:hint="default"/>
        <w:sz w:val="28"/>
      </w:rPr>
    </w:lvl>
    <w:lvl w:ilvl="2">
      <w:start w:val="1"/>
      <w:numFmt w:val="bullet"/>
      <w:lvlText w:val=""/>
      <w:lvlJc w:val="left"/>
      <w:pPr>
        <w:ind w:left="1265" w:hanging="539"/>
      </w:pPr>
      <w:rPr>
        <w:rFonts w:ascii="Wingdings" w:hAnsi="Wingdings" w:hint="default"/>
      </w:rPr>
    </w:lvl>
    <w:lvl w:ilvl="3">
      <w:start w:val="1"/>
      <w:numFmt w:val="bullet"/>
      <w:lvlText w:val=""/>
      <w:lvlJc w:val="left"/>
      <w:pPr>
        <w:ind w:left="1628" w:hanging="539"/>
      </w:pPr>
      <w:rPr>
        <w:rFonts w:ascii="Symbol" w:hAnsi="Symbol" w:hint="default"/>
      </w:rPr>
    </w:lvl>
    <w:lvl w:ilvl="4">
      <w:start w:val="1"/>
      <w:numFmt w:val="bullet"/>
      <w:lvlText w:val="o"/>
      <w:lvlJc w:val="left"/>
      <w:pPr>
        <w:ind w:left="1991" w:hanging="539"/>
      </w:pPr>
      <w:rPr>
        <w:rFonts w:ascii="Courier New" w:hAnsi="Courier New" w:cs="Courier New" w:hint="default"/>
      </w:rPr>
    </w:lvl>
    <w:lvl w:ilvl="5">
      <w:start w:val="1"/>
      <w:numFmt w:val="bullet"/>
      <w:lvlText w:val=""/>
      <w:lvlJc w:val="left"/>
      <w:pPr>
        <w:ind w:left="2354" w:hanging="539"/>
      </w:pPr>
      <w:rPr>
        <w:rFonts w:ascii="Wingdings" w:hAnsi="Wingdings" w:hint="default"/>
      </w:rPr>
    </w:lvl>
    <w:lvl w:ilvl="6">
      <w:start w:val="1"/>
      <w:numFmt w:val="bullet"/>
      <w:lvlText w:val=""/>
      <w:lvlJc w:val="left"/>
      <w:pPr>
        <w:ind w:left="2717" w:hanging="539"/>
      </w:pPr>
      <w:rPr>
        <w:rFonts w:ascii="Symbol" w:hAnsi="Symbol" w:hint="default"/>
      </w:rPr>
    </w:lvl>
    <w:lvl w:ilvl="7">
      <w:start w:val="1"/>
      <w:numFmt w:val="bullet"/>
      <w:lvlText w:val="o"/>
      <w:lvlJc w:val="left"/>
      <w:pPr>
        <w:ind w:left="3080" w:hanging="539"/>
      </w:pPr>
      <w:rPr>
        <w:rFonts w:ascii="Courier New" w:hAnsi="Courier New" w:cs="Courier New" w:hint="default"/>
      </w:rPr>
    </w:lvl>
    <w:lvl w:ilvl="8">
      <w:start w:val="1"/>
      <w:numFmt w:val="bullet"/>
      <w:lvlText w:val=""/>
      <w:lvlJc w:val="left"/>
      <w:pPr>
        <w:ind w:left="3443" w:hanging="539"/>
      </w:pPr>
      <w:rPr>
        <w:rFonts w:ascii="Wingdings" w:hAnsi="Wingdings" w:hint="default"/>
      </w:rPr>
    </w:lvl>
  </w:abstractNum>
  <w:abstractNum w:abstractNumId="29" w15:restartNumberingAfterBreak="0">
    <w:nsid w:val="5031339F"/>
    <w:multiLevelType w:val="hybridMultilevel"/>
    <w:tmpl w:val="3B9E96D6"/>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3825B74"/>
    <w:multiLevelType w:val="multilevel"/>
    <w:tmpl w:val="DE9827B8"/>
    <w:styleLink w:val="StyleOutlinenumberedLatinHeadingsArialComplexHeadi"/>
    <w:lvl w:ilvl="0">
      <w:start w:val="1"/>
      <w:numFmt w:val="decimal"/>
      <w:lvlText w:val="%1"/>
      <w:lvlJc w:val="left"/>
      <w:pPr>
        <w:ind w:left="540" w:hanging="540"/>
      </w:pPr>
      <w:rPr>
        <w:rFonts w:hint="default"/>
        <w:sz w:val="24"/>
      </w:rPr>
    </w:lvl>
    <w:lvl w:ilvl="1">
      <w:start w:val="1"/>
      <w:numFmt w:val="decimal"/>
      <w:lvlText w:val="%1.%2"/>
      <w:lvlJc w:val="left"/>
      <w:pPr>
        <w:ind w:left="720" w:hanging="720"/>
      </w:pPr>
      <w:rPr>
        <w:rFonts w:asciiTheme="majorHAnsi" w:hAnsiTheme="majorHAnsi" w:cstheme="majorBidi"/>
        <w:b/>
        <w:color w:val="0B4E60" w:themeColor="text2"/>
        <w:sz w:val="32"/>
        <w:szCs w:val="32"/>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15:restartNumberingAfterBreak="0">
    <w:nsid w:val="54BE3D3E"/>
    <w:multiLevelType w:val="multilevel"/>
    <w:tmpl w:val="752232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57F3D2B"/>
    <w:multiLevelType w:val="multilevel"/>
    <w:tmpl w:val="C778C7E0"/>
    <w:lvl w:ilvl="0">
      <w:start w:val="1"/>
      <w:numFmt w:val="decimal"/>
      <w:pStyle w:val="ListNumber"/>
      <w:lvlText w:val="%1."/>
      <w:lvlJc w:val="left"/>
      <w:pPr>
        <w:ind w:left="567" w:hanging="567"/>
      </w:pPr>
      <w:rPr>
        <w:rFonts w:hint="default"/>
        <w:color w:val="722856" w:themeColor="accent5"/>
      </w:rPr>
    </w:lvl>
    <w:lvl w:ilvl="1">
      <w:start w:val="1"/>
      <w:numFmt w:val="lowerLetter"/>
      <w:lvlText w:val="%2."/>
      <w:lvlJc w:val="left"/>
      <w:pPr>
        <w:ind w:left="1134" w:hanging="567"/>
      </w:pPr>
      <w:rPr>
        <w:rFonts w:hint="default"/>
      </w:rPr>
    </w:lvl>
    <w:lvl w:ilvl="2">
      <w:start w:val="1"/>
      <w:numFmt w:val="lowerRoman"/>
      <w:lvlText w:val="%3"/>
      <w:lvlJc w:val="left"/>
      <w:pPr>
        <w:ind w:left="1871" w:hanging="453"/>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15:restartNumberingAfterBreak="0">
    <w:nsid w:val="56844DFB"/>
    <w:multiLevelType w:val="multilevel"/>
    <w:tmpl w:val="31FA925A"/>
    <w:lvl w:ilvl="0">
      <w:start w:val="1"/>
      <w:numFmt w:val="bullet"/>
      <w:lvlText w:val=""/>
      <w:lvlJc w:val="left"/>
      <w:pPr>
        <w:ind w:left="425" w:hanging="425"/>
      </w:pPr>
      <w:rPr>
        <w:rFonts w:ascii="Symbol" w:hAnsi="Symbol" w:hint="default"/>
        <w:sz w:val="28"/>
      </w:rPr>
    </w:lvl>
    <w:lvl w:ilvl="1">
      <w:start w:val="1"/>
      <w:numFmt w:val="bullet"/>
      <w:lvlText w:val="̶"/>
      <w:lvlJc w:val="left"/>
      <w:pPr>
        <w:ind w:left="782" w:hanging="425"/>
      </w:pPr>
      <w:rPr>
        <w:rFonts w:ascii="Courier New" w:hAnsi="Courier New" w:hint="default"/>
      </w:rPr>
    </w:lvl>
    <w:lvl w:ilvl="2">
      <w:start w:val="1"/>
      <w:numFmt w:val="bullet"/>
      <w:lvlText w:val=""/>
      <w:lvlJc w:val="left"/>
      <w:pPr>
        <w:ind w:left="1139" w:hanging="425"/>
      </w:pPr>
      <w:rPr>
        <w:rFonts w:ascii="Wingdings" w:hAnsi="Wingdings" w:hint="default"/>
      </w:rPr>
    </w:lvl>
    <w:lvl w:ilvl="3">
      <w:start w:val="1"/>
      <w:numFmt w:val="bullet"/>
      <w:lvlText w:val=""/>
      <w:lvlJc w:val="left"/>
      <w:pPr>
        <w:ind w:left="1496" w:hanging="425"/>
      </w:pPr>
      <w:rPr>
        <w:rFonts w:ascii="Symbol" w:hAnsi="Symbol" w:hint="default"/>
      </w:rPr>
    </w:lvl>
    <w:lvl w:ilvl="4">
      <w:start w:val="1"/>
      <w:numFmt w:val="bullet"/>
      <w:lvlText w:val="o"/>
      <w:lvlJc w:val="left"/>
      <w:pPr>
        <w:ind w:left="1853" w:hanging="425"/>
      </w:pPr>
      <w:rPr>
        <w:rFonts w:ascii="Courier New" w:hAnsi="Courier New" w:cs="Courier New" w:hint="default"/>
      </w:rPr>
    </w:lvl>
    <w:lvl w:ilvl="5">
      <w:start w:val="1"/>
      <w:numFmt w:val="bullet"/>
      <w:lvlText w:val=""/>
      <w:lvlJc w:val="left"/>
      <w:pPr>
        <w:ind w:left="2210" w:hanging="425"/>
      </w:pPr>
      <w:rPr>
        <w:rFonts w:ascii="Wingdings" w:hAnsi="Wingdings" w:hint="default"/>
      </w:rPr>
    </w:lvl>
    <w:lvl w:ilvl="6">
      <w:start w:val="1"/>
      <w:numFmt w:val="bullet"/>
      <w:pStyle w:val="Heading7"/>
      <w:lvlText w:val=""/>
      <w:lvlJc w:val="left"/>
      <w:pPr>
        <w:ind w:left="2567" w:hanging="425"/>
      </w:pPr>
      <w:rPr>
        <w:rFonts w:ascii="Symbol" w:hAnsi="Symbol" w:hint="default"/>
      </w:rPr>
    </w:lvl>
    <w:lvl w:ilvl="7">
      <w:start w:val="1"/>
      <w:numFmt w:val="bullet"/>
      <w:lvlText w:val="o"/>
      <w:lvlJc w:val="left"/>
      <w:pPr>
        <w:ind w:left="2924" w:hanging="425"/>
      </w:pPr>
      <w:rPr>
        <w:rFonts w:ascii="Courier New" w:hAnsi="Courier New" w:cs="Courier New" w:hint="default"/>
      </w:rPr>
    </w:lvl>
    <w:lvl w:ilvl="8">
      <w:start w:val="1"/>
      <w:numFmt w:val="bullet"/>
      <w:lvlText w:val=""/>
      <w:lvlJc w:val="left"/>
      <w:pPr>
        <w:ind w:left="3281" w:hanging="425"/>
      </w:pPr>
      <w:rPr>
        <w:rFonts w:ascii="Wingdings" w:hAnsi="Wingdings" w:hint="default"/>
      </w:rPr>
    </w:lvl>
  </w:abstractNum>
  <w:abstractNum w:abstractNumId="34" w15:restartNumberingAfterBreak="0">
    <w:nsid w:val="599E44E5"/>
    <w:multiLevelType w:val="hybridMultilevel"/>
    <w:tmpl w:val="AB8E1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AE12749"/>
    <w:multiLevelType w:val="hybridMultilevel"/>
    <w:tmpl w:val="8CEE2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AF53D35"/>
    <w:multiLevelType w:val="hybridMultilevel"/>
    <w:tmpl w:val="3F2C0044"/>
    <w:lvl w:ilvl="0" w:tplc="D0D2892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F9639C4"/>
    <w:multiLevelType w:val="hybridMultilevel"/>
    <w:tmpl w:val="653C0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0E61852"/>
    <w:multiLevelType w:val="hybridMultilevel"/>
    <w:tmpl w:val="6750CA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6EA7569"/>
    <w:multiLevelType w:val="multilevel"/>
    <w:tmpl w:val="DE9827B8"/>
    <w:styleLink w:val="StyleOutlinenumberedLatinHeadingsArialComplexHeadi1"/>
    <w:lvl w:ilvl="0">
      <w:start w:val="1"/>
      <w:numFmt w:val="decimal"/>
      <w:lvlText w:val="%1"/>
      <w:lvlJc w:val="left"/>
      <w:pPr>
        <w:ind w:left="540" w:hanging="540"/>
      </w:pPr>
      <w:rPr>
        <w:rFonts w:hint="default"/>
        <w:sz w:val="28"/>
      </w:rPr>
    </w:lvl>
    <w:lvl w:ilvl="1">
      <w:start w:val="1"/>
      <w:numFmt w:val="decimal"/>
      <w:lvlText w:val="%1.%2"/>
      <w:lvlJc w:val="left"/>
      <w:pPr>
        <w:ind w:left="720" w:hanging="720"/>
      </w:pPr>
      <w:rPr>
        <w:rFonts w:asciiTheme="majorHAnsi" w:hAnsiTheme="majorHAnsi" w:cstheme="majorBidi"/>
        <w:b/>
        <w:color w:val="0B4E60" w:themeColor="text2"/>
        <w:sz w:val="28"/>
        <w:szCs w:val="32"/>
      </w:rPr>
    </w:lvl>
    <w:lvl w:ilvl="2">
      <w:start w:val="1"/>
      <w:numFmt w:val="decimal"/>
      <w:lvlText w:val="%1.%2.%3"/>
      <w:lvlJc w:val="left"/>
      <w:pPr>
        <w:ind w:left="720" w:hanging="720"/>
      </w:pPr>
      <w:rPr>
        <w:rFonts w:hint="default"/>
        <w:sz w:val="28"/>
      </w:rPr>
    </w:lvl>
    <w:lvl w:ilvl="3">
      <w:start w:val="1"/>
      <w:numFmt w:val="decimal"/>
      <w:lvlText w:val="%1.%2.%3.%4"/>
      <w:lvlJc w:val="left"/>
      <w:pPr>
        <w:ind w:left="1080" w:hanging="1080"/>
      </w:pPr>
      <w:rPr>
        <w:rFonts w:hint="default"/>
        <w:sz w:val="28"/>
      </w:rPr>
    </w:lvl>
    <w:lvl w:ilvl="4">
      <w:start w:val="1"/>
      <w:numFmt w:val="decimal"/>
      <w:lvlText w:val="%1.%2.%3.%4.%5"/>
      <w:lvlJc w:val="left"/>
      <w:pPr>
        <w:ind w:left="1440" w:hanging="1440"/>
      </w:pPr>
      <w:rPr>
        <w:rFonts w:hint="default"/>
        <w:sz w:val="28"/>
      </w:rPr>
    </w:lvl>
    <w:lvl w:ilvl="5">
      <w:start w:val="1"/>
      <w:numFmt w:val="decimal"/>
      <w:lvlText w:val="%1.%2.%3.%4.%5.%6"/>
      <w:lvlJc w:val="left"/>
      <w:pPr>
        <w:ind w:left="1440" w:hanging="1440"/>
      </w:pPr>
      <w:rPr>
        <w:rFonts w:hint="default"/>
        <w:sz w:val="28"/>
      </w:rPr>
    </w:lvl>
    <w:lvl w:ilvl="6">
      <w:start w:val="1"/>
      <w:numFmt w:val="decimal"/>
      <w:lvlText w:val="%1.%2.%3.%4.%5.%6.%7"/>
      <w:lvlJc w:val="left"/>
      <w:pPr>
        <w:ind w:left="1800" w:hanging="1800"/>
      </w:pPr>
      <w:rPr>
        <w:rFonts w:hint="default"/>
        <w:sz w:val="28"/>
      </w:rPr>
    </w:lvl>
    <w:lvl w:ilvl="7">
      <w:start w:val="1"/>
      <w:numFmt w:val="decimal"/>
      <w:lvlText w:val="%1.%2.%3.%4.%5.%6.%7.%8"/>
      <w:lvlJc w:val="left"/>
      <w:pPr>
        <w:ind w:left="1800" w:hanging="1800"/>
      </w:pPr>
      <w:rPr>
        <w:rFonts w:hint="default"/>
        <w:sz w:val="28"/>
      </w:rPr>
    </w:lvl>
    <w:lvl w:ilvl="8">
      <w:start w:val="1"/>
      <w:numFmt w:val="decimal"/>
      <w:lvlText w:val="%1.%2.%3.%4.%5.%6.%7.%8.%9"/>
      <w:lvlJc w:val="left"/>
      <w:pPr>
        <w:ind w:left="2160" w:hanging="2160"/>
      </w:pPr>
      <w:rPr>
        <w:rFonts w:hint="default"/>
        <w:sz w:val="28"/>
      </w:rPr>
    </w:lvl>
  </w:abstractNum>
  <w:abstractNum w:abstractNumId="40" w15:restartNumberingAfterBreak="0">
    <w:nsid w:val="67D807B9"/>
    <w:multiLevelType w:val="hybridMultilevel"/>
    <w:tmpl w:val="F9085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900745B"/>
    <w:multiLevelType w:val="hybridMultilevel"/>
    <w:tmpl w:val="01243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907049C"/>
    <w:multiLevelType w:val="hybridMultilevel"/>
    <w:tmpl w:val="1F6A83F4"/>
    <w:lvl w:ilvl="0" w:tplc="0809000F">
      <w:start w:val="1"/>
      <w:numFmt w:val="decimal"/>
      <w:lvlText w:val="%1."/>
      <w:lvlJc w:val="left"/>
      <w:pPr>
        <w:ind w:left="927"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9647F1C"/>
    <w:multiLevelType w:val="hybridMultilevel"/>
    <w:tmpl w:val="6B1A40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D1C0734"/>
    <w:multiLevelType w:val="hybridMultilevel"/>
    <w:tmpl w:val="1D64C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F1C42E1"/>
    <w:multiLevelType w:val="hybridMultilevel"/>
    <w:tmpl w:val="54968D48"/>
    <w:lvl w:ilvl="0" w:tplc="90D832B8">
      <w:start w:val="1"/>
      <w:numFmt w:val="decimal"/>
      <w:pStyle w:val="Boxnumberedlist"/>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46" w15:restartNumberingAfterBreak="0">
    <w:nsid w:val="72586039"/>
    <w:multiLevelType w:val="multilevel"/>
    <w:tmpl w:val="2DCAF8B0"/>
    <w:styleLink w:val="StyleBulletedLatinCourierNewLeft19cmHanging063"/>
    <w:lvl w:ilvl="0">
      <w:start w:val="2"/>
      <w:numFmt w:val="bullet"/>
      <w:lvlText w:val="̶"/>
      <w:lvlJc w:val="left"/>
      <w:pPr>
        <w:ind w:left="539" w:hanging="539"/>
      </w:pPr>
      <w:rPr>
        <w:rFonts w:ascii="Courier New" w:hAnsi="Courier New" w:hint="default"/>
      </w:rPr>
    </w:lvl>
    <w:lvl w:ilvl="1">
      <w:start w:val="1"/>
      <w:numFmt w:val="bullet"/>
      <w:lvlText w:val="­"/>
      <w:lvlJc w:val="left"/>
      <w:pPr>
        <w:ind w:left="902" w:hanging="539"/>
      </w:pPr>
      <w:rPr>
        <w:rFonts w:ascii="Courier New" w:hAnsi="Courier New" w:hint="default"/>
        <w:sz w:val="28"/>
      </w:rPr>
    </w:lvl>
    <w:lvl w:ilvl="2">
      <w:start w:val="1"/>
      <w:numFmt w:val="bullet"/>
      <w:lvlText w:val=""/>
      <w:lvlJc w:val="left"/>
      <w:pPr>
        <w:ind w:left="1265" w:hanging="539"/>
      </w:pPr>
      <w:rPr>
        <w:rFonts w:ascii="Wingdings" w:hAnsi="Wingdings" w:hint="default"/>
      </w:rPr>
    </w:lvl>
    <w:lvl w:ilvl="3">
      <w:start w:val="1"/>
      <w:numFmt w:val="bullet"/>
      <w:lvlText w:val=""/>
      <w:lvlJc w:val="left"/>
      <w:pPr>
        <w:ind w:left="1628" w:hanging="539"/>
      </w:pPr>
      <w:rPr>
        <w:rFonts w:ascii="Symbol" w:hAnsi="Symbol" w:hint="default"/>
      </w:rPr>
    </w:lvl>
    <w:lvl w:ilvl="4">
      <w:start w:val="1"/>
      <w:numFmt w:val="bullet"/>
      <w:lvlText w:val="o"/>
      <w:lvlJc w:val="left"/>
      <w:pPr>
        <w:ind w:left="1991" w:hanging="539"/>
      </w:pPr>
      <w:rPr>
        <w:rFonts w:ascii="Courier New" w:hAnsi="Courier New" w:cs="Courier New" w:hint="default"/>
      </w:rPr>
    </w:lvl>
    <w:lvl w:ilvl="5">
      <w:start w:val="1"/>
      <w:numFmt w:val="bullet"/>
      <w:lvlText w:val=""/>
      <w:lvlJc w:val="left"/>
      <w:pPr>
        <w:ind w:left="2354" w:hanging="539"/>
      </w:pPr>
      <w:rPr>
        <w:rFonts w:ascii="Wingdings" w:hAnsi="Wingdings" w:hint="default"/>
      </w:rPr>
    </w:lvl>
    <w:lvl w:ilvl="6">
      <w:start w:val="1"/>
      <w:numFmt w:val="bullet"/>
      <w:lvlText w:val=""/>
      <w:lvlJc w:val="left"/>
      <w:pPr>
        <w:ind w:left="2717" w:hanging="539"/>
      </w:pPr>
      <w:rPr>
        <w:rFonts w:ascii="Symbol" w:hAnsi="Symbol" w:hint="default"/>
      </w:rPr>
    </w:lvl>
    <w:lvl w:ilvl="7">
      <w:start w:val="1"/>
      <w:numFmt w:val="bullet"/>
      <w:lvlText w:val="o"/>
      <w:lvlJc w:val="left"/>
      <w:pPr>
        <w:ind w:left="3080" w:hanging="539"/>
      </w:pPr>
      <w:rPr>
        <w:rFonts w:ascii="Courier New" w:hAnsi="Courier New" w:cs="Courier New" w:hint="default"/>
      </w:rPr>
    </w:lvl>
    <w:lvl w:ilvl="8">
      <w:start w:val="1"/>
      <w:numFmt w:val="bullet"/>
      <w:lvlText w:val=""/>
      <w:lvlJc w:val="left"/>
      <w:pPr>
        <w:ind w:left="3443" w:hanging="539"/>
      </w:pPr>
      <w:rPr>
        <w:rFonts w:ascii="Wingdings" w:hAnsi="Wingdings" w:hint="default"/>
      </w:rPr>
    </w:lvl>
  </w:abstractNum>
  <w:num w:numId="1">
    <w:abstractNumId w:val="2"/>
  </w:num>
  <w:num w:numId="2">
    <w:abstractNumId w:val="1"/>
  </w:num>
  <w:num w:numId="3">
    <w:abstractNumId w:val="0"/>
  </w:num>
  <w:num w:numId="4">
    <w:abstractNumId w:val="33"/>
  </w:num>
  <w:num w:numId="5">
    <w:abstractNumId w:val="8"/>
  </w:num>
  <w:num w:numId="6">
    <w:abstractNumId w:val="32"/>
  </w:num>
  <w:num w:numId="7">
    <w:abstractNumId w:val="27"/>
  </w:num>
  <w:num w:numId="8">
    <w:abstractNumId w:val="46"/>
  </w:num>
  <w:num w:numId="9">
    <w:abstractNumId w:val="45"/>
  </w:num>
  <w:num w:numId="10">
    <w:abstractNumId w:val="17"/>
  </w:num>
  <w:num w:numId="11">
    <w:abstractNumId w:val="28"/>
  </w:num>
  <w:num w:numId="12">
    <w:abstractNumId w:val="14"/>
  </w:num>
  <w:num w:numId="13">
    <w:abstractNumId w:val="21"/>
  </w:num>
  <w:num w:numId="14">
    <w:abstractNumId w:val="30"/>
  </w:num>
  <w:num w:numId="15">
    <w:abstractNumId w:val="39"/>
  </w:num>
  <w:num w:numId="16">
    <w:abstractNumId w:val="11"/>
  </w:num>
  <w:num w:numId="17">
    <w:abstractNumId w:val="41"/>
  </w:num>
  <w:num w:numId="18">
    <w:abstractNumId w:val="23"/>
  </w:num>
  <w:num w:numId="19">
    <w:abstractNumId w:val="4"/>
  </w:num>
  <w:num w:numId="20">
    <w:abstractNumId w:val="5"/>
  </w:num>
  <w:num w:numId="21">
    <w:abstractNumId w:val="12"/>
  </w:num>
  <w:num w:numId="22">
    <w:abstractNumId w:val="25"/>
  </w:num>
  <w:num w:numId="23">
    <w:abstractNumId w:val="3"/>
  </w:num>
  <w:num w:numId="24">
    <w:abstractNumId w:val="40"/>
  </w:num>
  <w:num w:numId="25">
    <w:abstractNumId w:val="35"/>
  </w:num>
  <w:num w:numId="26">
    <w:abstractNumId w:val="15"/>
  </w:num>
  <w:num w:numId="27">
    <w:abstractNumId w:val="19"/>
  </w:num>
  <w:num w:numId="28">
    <w:abstractNumId w:val="10"/>
  </w:num>
  <w:num w:numId="29">
    <w:abstractNumId w:val="6"/>
  </w:num>
  <w:num w:numId="3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3"/>
  </w:num>
  <w:num w:numId="32">
    <w:abstractNumId w:val="9"/>
  </w:num>
  <w:num w:numId="33">
    <w:abstractNumId w:val="43"/>
  </w:num>
  <w:num w:numId="34">
    <w:abstractNumId w:val="34"/>
  </w:num>
  <w:num w:numId="35">
    <w:abstractNumId w:val="44"/>
  </w:num>
  <w:num w:numId="36">
    <w:abstractNumId w:val="24"/>
  </w:num>
  <w:num w:numId="37">
    <w:abstractNumId w:val="20"/>
  </w:num>
  <w:num w:numId="38">
    <w:abstractNumId w:val="26"/>
  </w:num>
  <w:num w:numId="39">
    <w:abstractNumId w:val="18"/>
  </w:num>
  <w:num w:numId="40">
    <w:abstractNumId w:val="16"/>
  </w:num>
  <w:num w:numId="41">
    <w:abstractNumId w:val="22"/>
  </w:num>
  <w:num w:numId="42">
    <w:abstractNumId w:val="42"/>
  </w:num>
  <w:num w:numId="43">
    <w:abstractNumId w:val="29"/>
  </w:num>
  <w:num w:numId="44">
    <w:abstractNumId w:val="7"/>
  </w:num>
  <w:num w:numId="45">
    <w:abstractNumId w:val="38"/>
  </w:num>
  <w:num w:numId="46">
    <w:abstractNumId w:val="37"/>
  </w:num>
  <w:num w:numId="47">
    <w:abstractNumId w:val="36"/>
  </w:num>
  <w:num w:numId="48">
    <w:abstractNumId w:val="3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stylePaneFormatFilter w:val="1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0"/>
  <w:stylePaneSortMethod w:val="0000"/>
  <w:defaultTabStop w:val="720"/>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62CE"/>
    <w:rsid w:val="00001248"/>
    <w:rsid w:val="00003902"/>
    <w:rsid w:val="0000568A"/>
    <w:rsid w:val="00007508"/>
    <w:rsid w:val="0001009C"/>
    <w:rsid w:val="000123B2"/>
    <w:rsid w:val="000129C4"/>
    <w:rsid w:val="0001495A"/>
    <w:rsid w:val="00014FC3"/>
    <w:rsid w:val="00015484"/>
    <w:rsid w:val="0001551D"/>
    <w:rsid w:val="00016FA1"/>
    <w:rsid w:val="000209A0"/>
    <w:rsid w:val="00020F38"/>
    <w:rsid w:val="00021127"/>
    <w:rsid w:val="00022B38"/>
    <w:rsid w:val="00025E1F"/>
    <w:rsid w:val="0002676F"/>
    <w:rsid w:val="00026B58"/>
    <w:rsid w:val="00027E75"/>
    <w:rsid w:val="00031058"/>
    <w:rsid w:val="000310D5"/>
    <w:rsid w:val="000325AE"/>
    <w:rsid w:val="00034442"/>
    <w:rsid w:val="00041F60"/>
    <w:rsid w:val="00042CE1"/>
    <w:rsid w:val="00042F40"/>
    <w:rsid w:val="00045D24"/>
    <w:rsid w:val="000472EE"/>
    <w:rsid w:val="00050BF6"/>
    <w:rsid w:val="00050FA4"/>
    <w:rsid w:val="00052877"/>
    <w:rsid w:val="000530C5"/>
    <w:rsid w:val="00053671"/>
    <w:rsid w:val="00053BF4"/>
    <w:rsid w:val="00054BDB"/>
    <w:rsid w:val="00057FC5"/>
    <w:rsid w:val="00060F50"/>
    <w:rsid w:val="000615EE"/>
    <w:rsid w:val="00061704"/>
    <w:rsid w:val="000617C1"/>
    <w:rsid w:val="00062AA5"/>
    <w:rsid w:val="00063824"/>
    <w:rsid w:val="000649B0"/>
    <w:rsid w:val="00064D98"/>
    <w:rsid w:val="0006669D"/>
    <w:rsid w:val="000674E0"/>
    <w:rsid w:val="000720A1"/>
    <w:rsid w:val="00072584"/>
    <w:rsid w:val="000728EE"/>
    <w:rsid w:val="00072B79"/>
    <w:rsid w:val="00072BE4"/>
    <w:rsid w:val="00072BEA"/>
    <w:rsid w:val="000731A3"/>
    <w:rsid w:val="00073D68"/>
    <w:rsid w:val="000745AA"/>
    <w:rsid w:val="0007513A"/>
    <w:rsid w:val="00075ABB"/>
    <w:rsid w:val="00076A15"/>
    <w:rsid w:val="00076BE2"/>
    <w:rsid w:val="00077AB0"/>
    <w:rsid w:val="00081339"/>
    <w:rsid w:val="000825F4"/>
    <w:rsid w:val="00083530"/>
    <w:rsid w:val="00085B3B"/>
    <w:rsid w:val="00086816"/>
    <w:rsid w:val="000942A3"/>
    <w:rsid w:val="00095255"/>
    <w:rsid w:val="00097556"/>
    <w:rsid w:val="0009797D"/>
    <w:rsid w:val="00097C17"/>
    <w:rsid w:val="00097E41"/>
    <w:rsid w:val="000A3E82"/>
    <w:rsid w:val="000A4006"/>
    <w:rsid w:val="000A4201"/>
    <w:rsid w:val="000A4CC3"/>
    <w:rsid w:val="000A58DB"/>
    <w:rsid w:val="000A5D1E"/>
    <w:rsid w:val="000A68B0"/>
    <w:rsid w:val="000B1802"/>
    <w:rsid w:val="000B272D"/>
    <w:rsid w:val="000B3C0D"/>
    <w:rsid w:val="000B4D99"/>
    <w:rsid w:val="000B59E9"/>
    <w:rsid w:val="000B5DF2"/>
    <w:rsid w:val="000B6578"/>
    <w:rsid w:val="000B67F7"/>
    <w:rsid w:val="000C0566"/>
    <w:rsid w:val="000C294C"/>
    <w:rsid w:val="000C369C"/>
    <w:rsid w:val="000C391B"/>
    <w:rsid w:val="000C393E"/>
    <w:rsid w:val="000C4748"/>
    <w:rsid w:val="000C7D59"/>
    <w:rsid w:val="000C7FC9"/>
    <w:rsid w:val="000D0178"/>
    <w:rsid w:val="000D1B8F"/>
    <w:rsid w:val="000D285B"/>
    <w:rsid w:val="000D320A"/>
    <w:rsid w:val="000D32CF"/>
    <w:rsid w:val="000D32FB"/>
    <w:rsid w:val="000D364E"/>
    <w:rsid w:val="000D419A"/>
    <w:rsid w:val="000D47BB"/>
    <w:rsid w:val="000D576F"/>
    <w:rsid w:val="000D6B53"/>
    <w:rsid w:val="000D769F"/>
    <w:rsid w:val="000D787C"/>
    <w:rsid w:val="000D7FB0"/>
    <w:rsid w:val="000E2174"/>
    <w:rsid w:val="000E3416"/>
    <w:rsid w:val="000E3AB3"/>
    <w:rsid w:val="000E6F22"/>
    <w:rsid w:val="000E6F5E"/>
    <w:rsid w:val="000F0133"/>
    <w:rsid w:val="000F0540"/>
    <w:rsid w:val="000F1137"/>
    <w:rsid w:val="000F3AF6"/>
    <w:rsid w:val="000F49D7"/>
    <w:rsid w:val="000F77BF"/>
    <w:rsid w:val="001011D5"/>
    <w:rsid w:val="001020F0"/>
    <w:rsid w:val="001048B6"/>
    <w:rsid w:val="00105BBC"/>
    <w:rsid w:val="001060BC"/>
    <w:rsid w:val="00107536"/>
    <w:rsid w:val="00107D18"/>
    <w:rsid w:val="00110705"/>
    <w:rsid w:val="001117E7"/>
    <w:rsid w:val="00116197"/>
    <w:rsid w:val="0011783B"/>
    <w:rsid w:val="001231DC"/>
    <w:rsid w:val="00123A27"/>
    <w:rsid w:val="00123A50"/>
    <w:rsid w:val="001253D3"/>
    <w:rsid w:val="001259F9"/>
    <w:rsid w:val="00125B06"/>
    <w:rsid w:val="00126748"/>
    <w:rsid w:val="00126BEF"/>
    <w:rsid w:val="0012743B"/>
    <w:rsid w:val="001316EA"/>
    <w:rsid w:val="00131877"/>
    <w:rsid w:val="001322C0"/>
    <w:rsid w:val="00133A83"/>
    <w:rsid w:val="001352D4"/>
    <w:rsid w:val="001366BA"/>
    <w:rsid w:val="00140296"/>
    <w:rsid w:val="00140A74"/>
    <w:rsid w:val="001411A7"/>
    <w:rsid w:val="00141C3F"/>
    <w:rsid w:val="00144186"/>
    <w:rsid w:val="00145644"/>
    <w:rsid w:val="00145B30"/>
    <w:rsid w:val="0014677F"/>
    <w:rsid w:val="001505F0"/>
    <w:rsid w:val="001530E7"/>
    <w:rsid w:val="00154159"/>
    <w:rsid w:val="001555CA"/>
    <w:rsid w:val="00155D24"/>
    <w:rsid w:val="00155E46"/>
    <w:rsid w:val="0015646D"/>
    <w:rsid w:val="001569D2"/>
    <w:rsid w:val="00157905"/>
    <w:rsid w:val="00166801"/>
    <w:rsid w:val="00166F00"/>
    <w:rsid w:val="001704F3"/>
    <w:rsid w:val="00170A51"/>
    <w:rsid w:val="00170C3F"/>
    <w:rsid w:val="00173F52"/>
    <w:rsid w:val="001746B7"/>
    <w:rsid w:val="00175FC5"/>
    <w:rsid w:val="00177297"/>
    <w:rsid w:val="00181D79"/>
    <w:rsid w:val="00184BFC"/>
    <w:rsid w:val="00186018"/>
    <w:rsid w:val="0018681C"/>
    <w:rsid w:val="0018723B"/>
    <w:rsid w:val="001878F2"/>
    <w:rsid w:val="00187FF3"/>
    <w:rsid w:val="00190AD7"/>
    <w:rsid w:val="00191ECD"/>
    <w:rsid w:val="00194A63"/>
    <w:rsid w:val="00197575"/>
    <w:rsid w:val="00197782"/>
    <w:rsid w:val="001A1220"/>
    <w:rsid w:val="001A1A33"/>
    <w:rsid w:val="001B2B4A"/>
    <w:rsid w:val="001B2CA8"/>
    <w:rsid w:val="001B4690"/>
    <w:rsid w:val="001B49FE"/>
    <w:rsid w:val="001C0254"/>
    <w:rsid w:val="001C2F6C"/>
    <w:rsid w:val="001C533F"/>
    <w:rsid w:val="001C746D"/>
    <w:rsid w:val="001C7725"/>
    <w:rsid w:val="001C7752"/>
    <w:rsid w:val="001D31E9"/>
    <w:rsid w:val="001D31F9"/>
    <w:rsid w:val="001D3EFC"/>
    <w:rsid w:val="001D4799"/>
    <w:rsid w:val="001D4D5B"/>
    <w:rsid w:val="001D595A"/>
    <w:rsid w:val="001D77FD"/>
    <w:rsid w:val="001E017A"/>
    <w:rsid w:val="001E0293"/>
    <w:rsid w:val="001E3123"/>
    <w:rsid w:val="001E6028"/>
    <w:rsid w:val="001F0332"/>
    <w:rsid w:val="001F5D4B"/>
    <w:rsid w:val="001F6105"/>
    <w:rsid w:val="001F688B"/>
    <w:rsid w:val="001F71B8"/>
    <w:rsid w:val="0020184A"/>
    <w:rsid w:val="00201E04"/>
    <w:rsid w:val="002026B8"/>
    <w:rsid w:val="002054EB"/>
    <w:rsid w:val="00205A4B"/>
    <w:rsid w:val="00205F22"/>
    <w:rsid w:val="00205F3E"/>
    <w:rsid w:val="002065CE"/>
    <w:rsid w:val="00207D08"/>
    <w:rsid w:val="002109F8"/>
    <w:rsid w:val="0021198F"/>
    <w:rsid w:val="00212F90"/>
    <w:rsid w:val="00213015"/>
    <w:rsid w:val="00213DFC"/>
    <w:rsid w:val="00217C70"/>
    <w:rsid w:val="00221361"/>
    <w:rsid w:val="00222098"/>
    <w:rsid w:val="002222C9"/>
    <w:rsid w:val="00223CA6"/>
    <w:rsid w:val="0022443D"/>
    <w:rsid w:val="00226883"/>
    <w:rsid w:val="00230678"/>
    <w:rsid w:val="00230B82"/>
    <w:rsid w:val="00230F01"/>
    <w:rsid w:val="00233FE7"/>
    <w:rsid w:val="0023457D"/>
    <w:rsid w:val="002345DD"/>
    <w:rsid w:val="00234AFD"/>
    <w:rsid w:val="00234BFF"/>
    <w:rsid w:val="00237647"/>
    <w:rsid w:val="00237F48"/>
    <w:rsid w:val="00240672"/>
    <w:rsid w:val="00240A3F"/>
    <w:rsid w:val="002429CB"/>
    <w:rsid w:val="00244517"/>
    <w:rsid w:val="002450C3"/>
    <w:rsid w:val="00245360"/>
    <w:rsid w:val="00245A71"/>
    <w:rsid w:val="00246B5B"/>
    <w:rsid w:val="002475B9"/>
    <w:rsid w:val="002511C6"/>
    <w:rsid w:val="00251435"/>
    <w:rsid w:val="00254309"/>
    <w:rsid w:val="002549C1"/>
    <w:rsid w:val="002552F9"/>
    <w:rsid w:val="0025580C"/>
    <w:rsid w:val="002575D2"/>
    <w:rsid w:val="0026167D"/>
    <w:rsid w:val="00264010"/>
    <w:rsid w:val="00267B60"/>
    <w:rsid w:val="00270501"/>
    <w:rsid w:val="002706D7"/>
    <w:rsid w:val="00270B19"/>
    <w:rsid w:val="00274FF1"/>
    <w:rsid w:val="002750EE"/>
    <w:rsid w:val="0027690C"/>
    <w:rsid w:val="00276C39"/>
    <w:rsid w:val="00277333"/>
    <w:rsid w:val="00281506"/>
    <w:rsid w:val="00281C25"/>
    <w:rsid w:val="00282A4B"/>
    <w:rsid w:val="00283591"/>
    <w:rsid w:val="00283666"/>
    <w:rsid w:val="00285ACA"/>
    <w:rsid w:val="00286E12"/>
    <w:rsid w:val="002877E2"/>
    <w:rsid w:val="00287A00"/>
    <w:rsid w:val="00287EC4"/>
    <w:rsid w:val="0029153A"/>
    <w:rsid w:val="0029575D"/>
    <w:rsid w:val="002962CE"/>
    <w:rsid w:val="00297813"/>
    <w:rsid w:val="002A041D"/>
    <w:rsid w:val="002A0F1E"/>
    <w:rsid w:val="002A18D9"/>
    <w:rsid w:val="002A1A78"/>
    <w:rsid w:val="002A1AC0"/>
    <w:rsid w:val="002A589D"/>
    <w:rsid w:val="002A61AB"/>
    <w:rsid w:val="002A65B9"/>
    <w:rsid w:val="002A6927"/>
    <w:rsid w:val="002A7B89"/>
    <w:rsid w:val="002A7FA2"/>
    <w:rsid w:val="002B0247"/>
    <w:rsid w:val="002B0C74"/>
    <w:rsid w:val="002B2828"/>
    <w:rsid w:val="002B4E35"/>
    <w:rsid w:val="002C0A2F"/>
    <w:rsid w:val="002C11E4"/>
    <w:rsid w:val="002C271E"/>
    <w:rsid w:val="002C2E23"/>
    <w:rsid w:val="002C5641"/>
    <w:rsid w:val="002C6642"/>
    <w:rsid w:val="002C6FD3"/>
    <w:rsid w:val="002C7B0D"/>
    <w:rsid w:val="002D1393"/>
    <w:rsid w:val="002D15E3"/>
    <w:rsid w:val="002D163E"/>
    <w:rsid w:val="002D221B"/>
    <w:rsid w:val="002D221E"/>
    <w:rsid w:val="002D264A"/>
    <w:rsid w:val="002D3F98"/>
    <w:rsid w:val="002D57C9"/>
    <w:rsid w:val="002D7B90"/>
    <w:rsid w:val="002E08E4"/>
    <w:rsid w:val="002E1AD9"/>
    <w:rsid w:val="002E2289"/>
    <w:rsid w:val="002E25EB"/>
    <w:rsid w:val="002E3C58"/>
    <w:rsid w:val="002E3E1A"/>
    <w:rsid w:val="002E4226"/>
    <w:rsid w:val="002E50C0"/>
    <w:rsid w:val="002E7A51"/>
    <w:rsid w:val="002E7C79"/>
    <w:rsid w:val="002F0059"/>
    <w:rsid w:val="002F4282"/>
    <w:rsid w:val="002F4DFF"/>
    <w:rsid w:val="002F4E53"/>
    <w:rsid w:val="002F6ECE"/>
    <w:rsid w:val="00303660"/>
    <w:rsid w:val="00303D8F"/>
    <w:rsid w:val="00305479"/>
    <w:rsid w:val="003102BE"/>
    <w:rsid w:val="00310DE4"/>
    <w:rsid w:val="0031470E"/>
    <w:rsid w:val="003150B7"/>
    <w:rsid w:val="00315D6F"/>
    <w:rsid w:val="00315E91"/>
    <w:rsid w:val="00316AF5"/>
    <w:rsid w:val="003174FA"/>
    <w:rsid w:val="00317A34"/>
    <w:rsid w:val="0032055F"/>
    <w:rsid w:val="0032342C"/>
    <w:rsid w:val="003247F8"/>
    <w:rsid w:val="00325190"/>
    <w:rsid w:val="00325310"/>
    <w:rsid w:val="00326048"/>
    <w:rsid w:val="00330757"/>
    <w:rsid w:val="003321C2"/>
    <w:rsid w:val="00332D03"/>
    <w:rsid w:val="00333442"/>
    <w:rsid w:val="003338E8"/>
    <w:rsid w:val="003353DF"/>
    <w:rsid w:val="0033551C"/>
    <w:rsid w:val="00336D4F"/>
    <w:rsid w:val="00337C0A"/>
    <w:rsid w:val="003401E7"/>
    <w:rsid w:val="0034175C"/>
    <w:rsid w:val="00341836"/>
    <w:rsid w:val="00341DD6"/>
    <w:rsid w:val="00342680"/>
    <w:rsid w:val="00342F83"/>
    <w:rsid w:val="00343AB2"/>
    <w:rsid w:val="00343C89"/>
    <w:rsid w:val="00344061"/>
    <w:rsid w:val="003470FE"/>
    <w:rsid w:val="00347E8A"/>
    <w:rsid w:val="003504D9"/>
    <w:rsid w:val="00352D75"/>
    <w:rsid w:val="003535A7"/>
    <w:rsid w:val="00360FA4"/>
    <w:rsid w:val="003616C5"/>
    <w:rsid w:val="00364F88"/>
    <w:rsid w:val="00365D27"/>
    <w:rsid w:val="00365E5D"/>
    <w:rsid w:val="00366267"/>
    <w:rsid w:val="00376BDF"/>
    <w:rsid w:val="00380270"/>
    <w:rsid w:val="0038103B"/>
    <w:rsid w:val="003810D5"/>
    <w:rsid w:val="0038138F"/>
    <w:rsid w:val="0038266E"/>
    <w:rsid w:val="00384E88"/>
    <w:rsid w:val="00384EFE"/>
    <w:rsid w:val="0038687F"/>
    <w:rsid w:val="00390682"/>
    <w:rsid w:val="00392943"/>
    <w:rsid w:val="00394035"/>
    <w:rsid w:val="00395043"/>
    <w:rsid w:val="00395427"/>
    <w:rsid w:val="00395C90"/>
    <w:rsid w:val="003961BA"/>
    <w:rsid w:val="003969F6"/>
    <w:rsid w:val="003A0211"/>
    <w:rsid w:val="003A0ABC"/>
    <w:rsid w:val="003A4BFC"/>
    <w:rsid w:val="003A5B77"/>
    <w:rsid w:val="003A5EFA"/>
    <w:rsid w:val="003A73FB"/>
    <w:rsid w:val="003A7D00"/>
    <w:rsid w:val="003B00E3"/>
    <w:rsid w:val="003B0963"/>
    <w:rsid w:val="003B1B3A"/>
    <w:rsid w:val="003B1EAA"/>
    <w:rsid w:val="003B30DD"/>
    <w:rsid w:val="003B3627"/>
    <w:rsid w:val="003B4AAA"/>
    <w:rsid w:val="003B5712"/>
    <w:rsid w:val="003B601D"/>
    <w:rsid w:val="003B664B"/>
    <w:rsid w:val="003B7D03"/>
    <w:rsid w:val="003C40FD"/>
    <w:rsid w:val="003C4222"/>
    <w:rsid w:val="003C462E"/>
    <w:rsid w:val="003C5761"/>
    <w:rsid w:val="003C5EC8"/>
    <w:rsid w:val="003C70D1"/>
    <w:rsid w:val="003C7799"/>
    <w:rsid w:val="003D16E4"/>
    <w:rsid w:val="003D1CB7"/>
    <w:rsid w:val="003D3504"/>
    <w:rsid w:val="003D50B5"/>
    <w:rsid w:val="003D5EC0"/>
    <w:rsid w:val="003D7BCE"/>
    <w:rsid w:val="003E0710"/>
    <w:rsid w:val="003E1025"/>
    <w:rsid w:val="003E3346"/>
    <w:rsid w:val="003E4C7F"/>
    <w:rsid w:val="003F069F"/>
    <w:rsid w:val="003F0A36"/>
    <w:rsid w:val="003F3381"/>
    <w:rsid w:val="003F7970"/>
    <w:rsid w:val="003F7BE7"/>
    <w:rsid w:val="00400799"/>
    <w:rsid w:val="004018F0"/>
    <w:rsid w:val="00401C11"/>
    <w:rsid w:val="00401D2A"/>
    <w:rsid w:val="00404A2D"/>
    <w:rsid w:val="00405DFC"/>
    <w:rsid w:val="00407C5D"/>
    <w:rsid w:val="0041136B"/>
    <w:rsid w:val="00412BA9"/>
    <w:rsid w:val="004149B7"/>
    <w:rsid w:val="00414D69"/>
    <w:rsid w:val="00415B2A"/>
    <w:rsid w:val="00415F36"/>
    <w:rsid w:val="0041636A"/>
    <w:rsid w:val="00420E5D"/>
    <w:rsid w:val="004226B0"/>
    <w:rsid w:val="00423C2E"/>
    <w:rsid w:val="00424A4B"/>
    <w:rsid w:val="00426187"/>
    <w:rsid w:val="0042713F"/>
    <w:rsid w:val="0042729A"/>
    <w:rsid w:val="00430278"/>
    <w:rsid w:val="004303BC"/>
    <w:rsid w:val="00430632"/>
    <w:rsid w:val="00430BF3"/>
    <w:rsid w:val="004326EA"/>
    <w:rsid w:val="00435090"/>
    <w:rsid w:val="004353D6"/>
    <w:rsid w:val="00435BF3"/>
    <w:rsid w:val="0044008A"/>
    <w:rsid w:val="00440CDF"/>
    <w:rsid w:val="004435A4"/>
    <w:rsid w:val="0044461D"/>
    <w:rsid w:val="00444CDB"/>
    <w:rsid w:val="00451351"/>
    <w:rsid w:val="00452FCD"/>
    <w:rsid w:val="004543E8"/>
    <w:rsid w:val="00454AD6"/>
    <w:rsid w:val="0045607F"/>
    <w:rsid w:val="00457305"/>
    <w:rsid w:val="00457BE2"/>
    <w:rsid w:val="00457EE1"/>
    <w:rsid w:val="00461040"/>
    <w:rsid w:val="0046228B"/>
    <w:rsid w:val="00465B9E"/>
    <w:rsid w:val="00465E0B"/>
    <w:rsid w:val="00467D22"/>
    <w:rsid w:val="004704A3"/>
    <w:rsid w:val="00470881"/>
    <w:rsid w:val="0047424E"/>
    <w:rsid w:val="0047425A"/>
    <w:rsid w:val="00474664"/>
    <w:rsid w:val="004752DC"/>
    <w:rsid w:val="00475534"/>
    <w:rsid w:val="004762E8"/>
    <w:rsid w:val="00477539"/>
    <w:rsid w:val="00480066"/>
    <w:rsid w:val="00480FBF"/>
    <w:rsid w:val="004857AB"/>
    <w:rsid w:val="00487CD4"/>
    <w:rsid w:val="00491CAB"/>
    <w:rsid w:val="00493FFF"/>
    <w:rsid w:val="00495114"/>
    <w:rsid w:val="00495D83"/>
    <w:rsid w:val="004A0C14"/>
    <w:rsid w:val="004A47A5"/>
    <w:rsid w:val="004A54A6"/>
    <w:rsid w:val="004A56C9"/>
    <w:rsid w:val="004A5BF6"/>
    <w:rsid w:val="004A6194"/>
    <w:rsid w:val="004A68C0"/>
    <w:rsid w:val="004A7094"/>
    <w:rsid w:val="004B00E7"/>
    <w:rsid w:val="004B100C"/>
    <w:rsid w:val="004B5F48"/>
    <w:rsid w:val="004B65E0"/>
    <w:rsid w:val="004B6D02"/>
    <w:rsid w:val="004C1BEA"/>
    <w:rsid w:val="004C383A"/>
    <w:rsid w:val="004C5C6A"/>
    <w:rsid w:val="004C6E95"/>
    <w:rsid w:val="004C7416"/>
    <w:rsid w:val="004D38D3"/>
    <w:rsid w:val="004D3925"/>
    <w:rsid w:val="004D3FC1"/>
    <w:rsid w:val="004D4450"/>
    <w:rsid w:val="004D794E"/>
    <w:rsid w:val="004E026D"/>
    <w:rsid w:val="004E2C9C"/>
    <w:rsid w:val="004E5833"/>
    <w:rsid w:val="004E6785"/>
    <w:rsid w:val="004E6DD9"/>
    <w:rsid w:val="004E7BAD"/>
    <w:rsid w:val="004E7DA7"/>
    <w:rsid w:val="004F009E"/>
    <w:rsid w:val="004F0688"/>
    <w:rsid w:val="004F0D64"/>
    <w:rsid w:val="004F2B23"/>
    <w:rsid w:val="004F4278"/>
    <w:rsid w:val="004F4A1C"/>
    <w:rsid w:val="004F5444"/>
    <w:rsid w:val="004F6EC4"/>
    <w:rsid w:val="00504A32"/>
    <w:rsid w:val="00505E74"/>
    <w:rsid w:val="005132FC"/>
    <w:rsid w:val="00513925"/>
    <w:rsid w:val="00514A49"/>
    <w:rsid w:val="00517358"/>
    <w:rsid w:val="005204F5"/>
    <w:rsid w:val="005226FE"/>
    <w:rsid w:val="00522AC4"/>
    <w:rsid w:val="005230A0"/>
    <w:rsid w:val="005239E4"/>
    <w:rsid w:val="00525132"/>
    <w:rsid w:val="00525E6A"/>
    <w:rsid w:val="00526047"/>
    <w:rsid w:val="00527302"/>
    <w:rsid w:val="00527413"/>
    <w:rsid w:val="00527586"/>
    <w:rsid w:val="00532C97"/>
    <w:rsid w:val="0053316F"/>
    <w:rsid w:val="00533F29"/>
    <w:rsid w:val="00534454"/>
    <w:rsid w:val="00535C6D"/>
    <w:rsid w:val="00535DEC"/>
    <w:rsid w:val="005367BD"/>
    <w:rsid w:val="005379E2"/>
    <w:rsid w:val="00540238"/>
    <w:rsid w:val="0054116D"/>
    <w:rsid w:val="00543583"/>
    <w:rsid w:val="005504A6"/>
    <w:rsid w:val="00551ECE"/>
    <w:rsid w:val="00552407"/>
    <w:rsid w:val="005600F7"/>
    <w:rsid w:val="005601DE"/>
    <w:rsid w:val="005602FB"/>
    <w:rsid w:val="00561093"/>
    <w:rsid w:val="005616EF"/>
    <w:rsid w:val="005633B2"/>
    <w:rsid w:val="005653CB"/>
    <w:rsid w:val="00566541"/>
    <w:rsid w:val="005666D2"/>
    <w:rsid w:val="005671A7"/>
    <w:rsid w:val="0057488F"/>
    <w:rsid w:val="00575689"/>
    <w:rsid w:val="005763BD"/>
    <w:rsid w:val="005766AF"/>
    <w:rsid w:val="005779B4"/>
    <w:rsid w:val="00580197"/>
    <w:rsid w:val="0058159A"/>
    <w:rsid w:val="005856D6"/>
    <w:rsid w:val="00586499"/>
    <w:rsid w:val="00587662"/>
    <w:rsid w:val="005877E9"/>
    <w:rsid w:val="00587947"/>
    <w:rsid w:val="00592E6B"/>
    <w:rsid w:val="00593697"/>
    <w:rsid w:val="00593A64"/>
    <w:rsid w:val="0059411C"/>
    <w:rsid w:val="00594EF1"/>
    <w:rsid w:val="0059638E"/>
    <w:rsid w:val="005A3047"/>
    <w:rsid w:val="005A3698"/>
    <w:rsid w:val="005A3A08"/>
    <w:rsid w:val="005A4164"/>
    <w:rsid w:val="005A67D8"/>
    <w:rsid w:val="005A6DCD"/>
    <w:rsid w:val="005A70E9"/>
    <w:rsid w:val="005B2250"/>
    <w:rsid w:val="005B3A9C"/>
    <w:rsid w:val="005B4394"/>
    <w:rsid w:val="005B50AD"/>
    <w:rsid w:val="005B5C1E"/>
    <w:rsid w:val="005C058B"/>
    <w:rsid w:val="005C0D45"/>
    <w:rsid w:val="005C4684"/>
    <w:rsid w:val="005C546A"/>
    <w:rsid w:val="005C579F"/>
    <w:rsid w:val="005C61A7"/>
    <w:rsid w:val="005C6C5B"/>
    <w:rsid w:val="005D039A"/>
    <w:rsid w:val="005D0DC9"/>
    <w:rsid w:val="005D1487"/>
    <w:rsid w:val="005D15BD"/>
    <w:rsid w:val="005D1E45"/>
    <w:rsid w:val="005D36B2"/>
    <w:rsid w:val="005D3FE8"/>
    <w:rsid w:val="005D4D7E"/>
    <w:rsid w:val="005E03A2"/>
    <w:rsid w:val="005E2D0C"/>
    <w:rsid w:val="005E4512"/>
    <w:rsid w:val="005F02B3"/>
    <w:rsid w:val="005F1448"/>
    <w:rsid w:val="005F25FB"/>
    <w:rsid w:val="005F2E97"/>
    <w:rsid w:val="005F32A7"/>
    <w:rsid w:val="005F3D47"/>
    <w:rsid w:val="005F6018"/>
    <w:rsid w:val="005F60D9"/>
    <w:rsid w:val="005F7A4E"/>
    <w:rsid w:val="00600BCD"/>
    <w:rsid w:val="00600E70"/>
    <w:rsid w:val="00601DB4"/>
    <w:rsid w:val="00602FA2"/>
    <w:rsid w:val="006040CA"/>
    <w:rsid w:val="006045D8"/>
    <w:rsid w:val="00604F9A"/>
    <w:rsid w:val="00605567"/>
    <w:rsid w:val="00605A79"/>
    <w:rsid w:val="006077E0"/>
    <w:rsid w:val="00611FD8"/>
    <w:rsid w:val="00612425"/>
    <w:rsid w:val="00616828"/>
    <w:rsid w:val="006211E3"/>
    <w:rsid w:val="00621E3C"/>
    <w:rsid w:val="00622D39"/>
    <w:rsid w:val="00624381"/>
    <w:rsid w:val="00624702"/>
    <w:rsid w:val="00625FA1"/>
    <w:rsid w:val="00626159"/>
    <w:rsid w:val="00630CE1"/>
    <w:rsid w:val="006316DF"/>
    <w:rsid w:val="006317A5"/>
    <w:rsid w:val="00631B10"/>
    <w:rsid w:val="00632CB7"/>
    <w:rsid w:val="00636BDA"/>
    <w:rsid w:val="00637F86"/>
    <w:rsid w:val="00641134"/>
    <w:rsid w:val="006414D4"/>
    <w:rsid w:val="006414DD"/>
    <w:rsid w:val="00642E5A"/>
    <w:rsid w:val="006430F1"/>
    <w:rsid w:val="00643229"/>
    <w:rsid w:val="006438A6"/>
    <w:rsid w:val="00643E42"/>
    <w:rsid w:val="006447FE"/>
    <w:rsid w:val="006451FF"/>
    <w:rsid w:val="006461AC"/>
    <w:rsid w:val="006508F9"/>
    <w:rsid w:val="00651BEA"/>
    <w:rsid w:val="0065206B"/>
    <w:rsid w:val="00653530"/>
    <w:rsid w:val="00655D4B"/>
    <w:rsid w:val="00660D59"/>
    <w:rsid w:val="00663F61"/>
    <w:rsid w:val="006649A8"/>
    <w:rsid w:val="006656B5"/>
    <w:rsid w:val="00670480"/>
    <w:rsid w:val="00672F76"/>
    <w:rsid w:val="00675022"/>
    <w:rsid w:val="00675212"/>
    <w:rsid w:val="00676839"/>
    <w:rsid w:val="00676D8B"/>
    <w:rsid w:val="00680478"/>
    <w:rsid w:val="00683521"/>
    <w:rsid w:val="00685B8F"/>
    <w:rsid w:val="00686756"/>
    <w:rsid w:val="0069230C"/>
    <w:rsid w:val="00694283"/>
    <w:rsid w:val="00694B3A"/>
    <w:rsid w:val="006965D3"/>
    <w:rsid w:val="006978A0"/>
    <w:rsid w:val="006A1123"/>
    <w:rsid w:val="006A1408"/>
    <w:rsid w:val="006A7CE7"/>
    <w:rsid w:val="006B03AB"/>
    <w:rsid w:val="006B3090"/>
    <w:rsid w:val="006B5664"/>
    <w:rsid w:val="006B6BE8"/>
    <w:rsid w:val="006B7D0A"/>
    <w:rsid w:val="006C1DDF"/>
    <w:rsid w:val="006C33F0"/>
    <w:rsid w:val="006C3D28"/>
    <w:rsid w:val="006C4039"/>
    <w:rsid w:val="006C464F"/>
    <w:rsid w:val="006C5A43"/>
    <w:rsid w:val="006C5E16"/>
    <w:rsid w:val="006C5F56"/>
    <w:rsid w:val="006C76EB"/>
    <w:rsid w:val="006D0FD9"/>
    <w:rsid w:val="006D1CE4"/>
    <w:rsid w:val="006D2B04"/>
    <w:rsid w:val="006D30E7"/>
    <w:rsid w:val="006D3EC8"/>
    <w:rsid w:val="006D41CE"/>
    <w:rsid w:val="006D44B4"/>
    <w:rsid w:val="006D5A06"/>
    <w:rsid w:val="006D611F"/>
    <w:rsid w:val="006D6EA0"/>
    <w:rsid w:val="006E29AA"/>
    <w:rsid w:val="006E3871"/>
    <w:rsid w:val="006E41F3"/>
    <w:rsid w:val="006E4BA1"/>
    <w:rsid w:val="006E4EE9"/>
    <w:rsid w:val="006E60E9"/>
    <w:rsid w:val="006E7C43"/>
    <w:rsid w:val="006F1595"/>
    <w:rsid w:val="006F2C7F"/>
    <w:rsid w:val="006F4F87"/>
    <w:rsid w:val="006F60A5"/>
    <w:rsid w:val="006F6998"/>
    <w:rsid w:val="006F6E4A"/>
    <w:rsid w:val="006F75A6"/>
    <w:rsid w:val="00702328"/>
    <w:rsid w:val="00704DFD"/>
    <w:rsid w:val="00705AC7"/>
    <w:rsid w:val="00705FFC"/>
    <w:rsid w:val="007101A9"/>
    <w:rsid w:val="007106B2"/>
    <w:rsid w:val="0071132F"/>
    <w:rsid w:val="00711475"/>
    <w:rsid w:val="00712310"/>
    <w:rsid w:val="007131A4"/>
    <w:rsid w:val="00713271"/>
    <w:rsid w:val="0071353B"/>
    <w:rsid w:val="00713B8C"/>
    <w:rsid w:val="0071584B"/>
    <w:rsid w:val="00715A70"/>
    <w:rsid w:val="00717BEC"/>
    <w:rsid w:val="00717E13"/>
    <w:rsid w:val="007204EE"/>
    <w:rsid w:val="00720C7A"/>
    <w:rsid w:val="00720F3D"/>
    <w:rsid w:val="00721B69"/>
    <w:rsid w:val="007224FF"/>
    <w:rsid w:val="0072289B"/>
    <w:rsid w:val="00722C1D"/>
    <w:rsid w:val="00722C47"/>
    <w:rsid w:val="0072323E"/>
    <w:rsid w:val="00723770"/>
    <w:rsid w:val="00723B51"/>
    <w:rsid w:val="0072548A"/>
    <w:rsid w:val="007256FA"/>
    <w:rsid w:val="00725C96"/>
    <w:rsid w:val="00726AA2"/>
    <w:rsid w:val="00727C24"/>
    <w:rsid w:val="00731BC2"/>
    <w:rsid w:val="00734196"/>
    <w:rsid w:val="00735B19"/>
    <w:rsid w:val="007407AD"/>
    <w:rsid w:val="00741262"/>
    <w:rsid w:val="00741B1E"/>
    <w:rsid w:val="0074249A"/>
    <w:rsid w:val="00742C12"/>
    <w:rsid w:val="00742F24"/>
    <w:rsid w:val="0074533B"/>
    <w:rsid w:val="0074574A"/>
    <w:rsid w:val="007501FA"/>
    <w:rsid w:val="007508ED"/>
    <w:rsid w:val="00751762"/>
    <w:rsid w:val="00753A49"/>
    <w:rsid w:val="007546A4"/>
    <w:rsid w:val="007551FC"/>
    <w:rsid w:val="00755FFA"/>
    <w:rsid w:val="00756A5B"/>
    <w:rsid w:val="00756AA0"/>
    <w:rsid w:val="0076198C"/>
    <w:rsid w:val="00764CA0"/>
    <w:rsid w:val="00766CD1"/>
    <w:rsid w:val="007676B3"/>
    <w:rsid w:val="00767DE7"/>
    <w:rsid w:val="007713C0"/>
    <w:rsid w:val="007725E9"/>
    <w:rsid w:val="00772C5D"/>
    <w:rsid w:val="007737DF"/>
    <w:rsid w:val="00773B9F"/>
    <w:rsid w:val="0077469C"/>
    <w:rsid w:val="0077562B"/>
    <w:rsid w:val="00776236"/>
    <w:rsid w:val="007822D0"/>
    <w:rsid w:val="00782693"/>
    <w:rsid w:val="00786841"/>
    <w:rsid w:val="00791934"/>
    <w:rsid w:val="00793C8E"/>
    <w:rsid w:val="00795880"/>
    <w:rsid w:val="00795B43"/>
    <w:rsid w:val="007A00B2"/>
    <w:rsid w:val="007A0465"/>
    <w:rsid w:val="007A14B8"/>
    <w:rsid w:val="007A2F0C"/>
    <w:rsid w:val="007A36A5"/>
    <w:rsid w:val="007A3B56"/>
    <w:rsid w:val="007A479B"/>
    <w:rsid w:val="007A4D9B"/>
    <w:rsid w:val="007A5B63"/>
    <w:rsid w:val="007A6076"/>
    <w:rsid w:val="007A7A5F"/>
    <w:rsid w:val="007A7F0D"/>
    <w:rsid w:val="007A7FD1"/>
    <w:rsid w:val="007B0B98"/>
    <w:rsid w:val="007B22F7"/>
    <w:rsid w:val="007B3195"/>
    <w:rsid w:val="007B33CC"/>
    <w:rsid w:val="007B485A"/>
    <w:rsid w:val="007B4BE1"/>
    <w:rsid w:val="007B582A"/>
    <w:rsid w:val="007B7561"/>
    <w:rsid w:val="007B7804"/>
    <w:rsid w:val="007B7D63"/>
    <w:rsid w:val="007C1DEA"/>
    <w:rsid w:val="007C2194"/>
    <w:rsid w:val="007C4EA5"/>
    <w:rsid w:val="007C50D3"/>
    <w:rsid w:val="007C6A8E"/>
    <w:rsid w:val="007C75D7"/>
    <w:rsid w:val="007D112C"/>
    <w:rsid w:val="007D2489"/>
    <w:rsid w:val="007D370D"/>
    <w:rsid w:val="007D3B8F"/>
    <w:rsid w:val="007D4866"/>
    <w:rsid w:val="007D50DD"/>
    <w:rsid w:val="007D55F0"/>
    <w:rsid w:val="007D7D1D"/>
    <w:rsid w:val="007E120D"/>
    <w:rsid w:val="007E155F"/>
    <w:rsid w:val="007E2134"/>
    <w:rsid w:val="007E44E5"/>
    <w:rsid w:val="007E44E8"/>
    <w:rsid w:val="007E7A93"/>
    <w:rsid w:val="007F07C1"/>
    <w:rsid w:val="007F1DBC"/>
    <w:rsid w:val="007F1EAB"/>
    <w:rsid w:val="007F4425"/>
    <w:rsid w:val="007F6A20"/>
    <w:rsid w:val="007F71E2"/>
    <w:rsid w:val="007F7406"/>
    <w:rsid w:val="0080034D"/>
    <w:rsid w:val="00800FB7"/>
    <w:rsid w:val="008021B4"/>
    <w:rsid w:val="00802A98"/>
    <w:rsid w:val="00805579"/>
    <w:rsid w:val="008073DE"/>
    <w:rsid w:val="00811EA5"/>
    <w:rsid w:val="008139C1"/>
    <w:rsid w:val="008162C0"/>
    <w:rsid w:val="00820673"/>
    <w:rsid w:val="00821D68"/>
    <w:rsid w:val="008233AA"/>
    <w:rsid w:val="00825127"/>
    <w:rsid w:val="00826DCF"/>
    <w:rsid w:val="00830807"/>
    <w:rsid w:val="0083080D"/>
    <w:rsid w:val="00831030"/>
    <w:rsid w:val="00831202"/>
    <w:rsid w:val="00831759"/>
    <w:rsid w:val="008317E5"/>
    <w:rsid w:val="0083182E"/>
    <w:rsid w:val="00831EF0"/>
    <w:rsid w:val="00832EA1"/>
    <w:rsid w:val="008333AA"/>
    <w:rsid w:val="00833C7D"/>
    <w:rsid w:val="0083473E"/>
    <w:rsid w:val="0083574A"/>
    <w:rsid w:val="00841C02"/>
    <w:rsid w:val="008449CD"/>
    <w:rsid w:val="00844D39"/>
    <w:rsid w:val="00845A93"/>
    <w:rsid w:val="008462DE"/>
    <w:rsid w:val="008505BF"/>
    <w:rsid w:val="0085214E"/>
    <w:rsid w:val="00852E90"/>
    <w:rsid w:val="008554AA"/>
    <w:rsid w:val="00855502"/>
    <w:rsid w:val="00857ADA"/>
    <w:rsid w:val="00860560"/>
    <w:rsid w:val="00860698"/>
    <w:rsid w:val="0086151A"/>
    <w:rsid w:val="0086276D"/>
    <w:rsid w:val="00863D5E"/>
    <w:rsid w:val="00863D81"/>
    <w:rsid w:val="0086653C"/>
    <w:rsid w:val="008677AF"/>
    <w:rsid w:val="00870E83"/>
    <w:rsid w:val="00871917"/>
    <w:rsid w:val="00872706"/>
    <w:rsid w:val="00872E4E"/>
    <w:rsid w:val="00874BCC"/>
    <w:rsid w:val="00875307"/>
    <w:rsid w:val="0087570C"/>
    <w:rsid w:val="00875B5B"/>
    <w:rsid w:val="008762D3"/>
    <w:rsid w:val="00876D4B"/>
    <w:rsid w:val="00877DA5"/>
    <w:rsid w:val="0088092E"/>
    <w:rsid w:val="00880F69"/>
    <w:rsid w:val="00881992"/>
    <w:rsid w:val="008820F6"/>
    <w:rsid w:val="008825D8"/>
    <w:rsid w:val="008826E6"/>
    <w:rsid w:val="0088323B"/>
    <w:rsid w:val="00883D98"/>
    <w:rsid w:val="008842C1"/>
    <w:rsid w:val="00890510"/>
    <w:rsid w:val="0089166C"/>
    <w:rsid w:val="00894B5D"/>
    <w:rsid w:val="00897392"/>
    <w:rsid w:val="008A08BC"/>
    <w:rsid w:val="008A1B80"/>
    <w:rsid w:val="008A4181"/>
    <w:rsid w:val="008A6C67"/>
    <w:rsid w:val="008B0095"/>
    <w:rsid w:val="008B0B9B"/>
    <w:rsid w:val="008B1A83"/>
    <w:rsid w:val="008B5EFB"/>
    <w:rsid w:val="008C0138"/>
    <w:rsid w:val="008C0BEF"/>
    <w:rsid w:val="008C38A5"/>
    <w:rsid w:val="008C5D0B"/>
    <w:rsid w:val="008C6667"/>
    <w:rsid w:val="008C66A1"/>
    <w:rsid w:val="008C6A69"/>
    <w:rsid w:val="008C6ACA"/>
    <w:rsid w:val="008D03BA"/>
    <w:rsid w:val="008D0555"/>
    <w:rsid w:val="008D275A"/>
    <w:rsid w:val="008D33EF"/>
    <w:rsid w:val="008D4A5F"/>
    <w:rsid w:val="008D662E"/>
    <w:rsid w:val="008D6ACD"/>
    <w:rsid w:val="008D73D4"/>
    <w:rsid w:val="008D7ECF"/>
    <w:rsid w:val="008D7F9B"/>
    <w:rsid w:val="008E10B5"/>
    <w:rsid w:val="008E217A"/>
    <w:rsid w:val="008E6081"/>
    <w:rsid w:val="008E6A27"/>
    <w:rsid w:val="008F27B2"/>
    <w:rsid w:val="008F5496"/>
    <w:rsid w:val="008F5521"/>
    <w:rsid w:val="008F72A9"/>
    <w:rsid w:val="00901C47"/>
    <w:rsid w:val="00902C0B"/>
    <w:rsid w:val="0090340E"/>
    <w:rsid w:val="00903715"/>
    <w:rsid w:val="00904A31"/>
    <w:rsid w:val="00905013"/>
    <w:rsid w:val="00906752"/>
    <w:rsid w:val="00907814"/>
    <w:rsid w:val="009116EC"/>
    <w:rsid w:val="00912934"/>
    <w:rsid w:val="0091474E"/>
    <w:rsid w:val="00915C63"/>
    <w:rsid w:val="009161DF"/>
    <w:rsid w:val="00917D9B"/>
    <w:rsid w:val="00920DF4"/>
    <w:rsid w:val="009210EC"/>
    <w:rsid w:val="00921CB3"/>
    <w:rsid w:val="00922779"/>
    <w:rsid w:val="00923516"/>
    <w:rsid w:val="0092660D"/>
    <w:rsid w:val="00926CB1"/>
    <w:rsid w:val="00926F9E"/>
    <w:rsid w:val="009271A5"/>
    <w:rsid w:val="00930FE9"/>
    <w:rsid w:val="00935E27"/>
    <w:rsid w:val="0093750A"/>
    <w:rsid w:val="00940978"/>
    <w:rsid w:val="00944864"/>
    <w:rsid w:val="009458BB"/>
    <w:rsid w:val="00945910"/>
    <w:rsid w:val="009472AA"/>
    <w:rsid w:val="00950101"/>
    <w:rsid w:val="00950BE2"/>
    <w:rsid w:val="009510EC"/>
    <w:rsid w:val="0095368B"/>
    <w:rsid w:val="009557C0"/>
    <w:rsid w:val="00957332"/>
    <w:rsid w:val="00957B18"/>
    <w:rsid w:val="00961657"/>
    <w:rsid w:val="00961CDD"/>
    <w:rsid w:val="009627F6"/>
    <w:rsid w:val="0096568E"/>
    <w:rsid w:val="00970757"/>
    <w:rsid w:val="00970A49"/>
    <w:rsid w:val="00971693"/>
    <w:rsid w:val="00972D5B"/>
    <w:rsid w:val="00973592"/>
    <w:rsid w:val="00981192"/>
    <w:rsid w:val="009815AA"/>
    <w:rsid w:val="00981C11"/>
    <w:rsid w:val="009846D0"/>
    <w:rsid w:val="009847C8"/>
    <w:rsid w:val="00985A4E"/>
    <w:rsid w:val="00986346"/>
    <w:rsid w:val="00987C9D"/>
    <w:rsid w:val="00991C49"/>
    <w:rsid w:val="009935B4"/>
    <w:rsid w:val="0099470E"/>
    <w:rsid w:val="0099514A"/>
    <w:rsid w:val="009953CE"/>
    <w:rsid w:val="00995C2B"/>
    <w:rsid w:val="0099634F"/>
    <w:rsid w:val="009974AC"/>
    <w:rsid w:val="009A0D3E"/>
    <w:rsid w:val="009A1AC8"/>
    <w:rsid w:val="009A203F"/>
    <w:rsid w:val="009A3E35"/>
    <w:rsid w:val="009A4E71"/>
    <w:rsid w:val="009A59FD"/>
    <w:rsid w:val="009A6C72"/>
    <w:rsid w:val="009A732A"/>
    <w:rsid w:val="009A7E39"/>
    <w:rsid w:val="009B02D1"/>
    <w:rsid w:val="009B11C3"/>
    <w:rsid w:val="009B1AA5"/>
    <w:rsid w:val="009B3C28"/>
    <w:rsid w:val="009B3E85"/>
    <w:rsid w:val="009B4F57"/>
    <w:rsid w:val="009B5166"/>
    <w:rsid w:val="009B7136"/>
    <w:rsid w:val="009B7B47"/>
    <w:rsid w:val="009C1718"/>
    <w:rsid w:val="009C2218"/>
    <w:rsid w:val="009C2B3C"/>
    <w:rsid w:val="009C37B9"/>
    <w:rsid w:val="009C71D5"/>
    <w:rsid w:val="009C788D"/>
    <w:rsid w:val="009D0D69"/>
    <w:rsid w:val="009D38E9"/>
    <w:rsid w:val="009D3A75"/>
    <w:rsid w:val="009D6553"/>
    <w:rsid w:val="009D7F58"/>
    <w:rsid w:val="009E0C25"/>
    <w:rsid w:val="009E17F8"/>
    <w:rsid w:val="009E1A6C"/>
    <w:rsid w:val="009E4301"/>
    <w:rsid w:val="009E52FA"/>
    <w:rsid w:val="009E5490"/>
    <w:rsid w:val="009E5B27"/>
    <w:rsid w:val="009E7949"/>
    <w:rsid w:val="009F2261"/>
    <w:rsid w:val="009F4349"/>
    <w:rsid w:val="009F4690"/>
    <w:rsid w:val="009F68AD"/>
    <w:rsid w:val="009F75B2"/>
    <w:rsid w:val="009F7E3C"/>
    <w:rsid w:val="00A01BBB"/>
    <w:rsid w:val="00A021AE"/>
    <w:rsid w:val="00A02EA3"/>
    <w:rsid w:val="00A03D5D"/>
    <w:rsid w:val="00A040A3"/>
    <w:rsid w:val="00A045B2"/>
    <w:rsid w:val="00A04DA8"/>
    <w:rsid w:val="00A04F9F"/>
    <w:rsid w:val="00A05A2D"/>
    <w:rsid w:val="00A1016E"/>
    <w:rsid w:val="00A1047C"/>
    <w:rsid w:val="00A116FB"/>
    <w:rsid w:val="00A12708"/>
    <w:rsid w:val="00A14714"/>
    <w:rsid w:val="00A166E1"/>
    <w:rsid w:val="00A1776A"/>
    <w:rsid w:val="00A211CF"/>
    <w:rsid w:val="00A218A4"/>
    <w:rsid w:val="00A21F5E"/>
    <w:rsid w:val="00A21FB8"/>
    <w:rsid w:val="00A220E0"/>
    <w:rsid w:val="00A23764"/>
    <w:rsid w:val="00A23EC5"/>
    <w:rsid w:val="00A2401C"/>
    <w:rsid w:val="00A2440C"/>
    <w:rsid w:val="00A26DF5"/>
    <w:rsid w:val="00A27840"/>
    <w:rsid w:val="00A329F4"/>
    <w:rsid w:val="00A3322D"/>
    <w:rsid w:val="00A35049"/>
    <w:rsid w:val="00A356CB"/>
    <w:rsid w:val="00A36EEE"/>
    <w:rsid w:val="00A37DC8"/>
    <w:rsid w:val="00A37EFA"/>
    <w:rsid w:val="00A40CE6"/>
    <w:rsid w:val="00A438D9"/>
    <w:rsid w:val="00A43B5B"/>
    <w:rsid w:val="00A4422A"/>
    <w:rsid w:val="00A444F9"/>
    <w:rsid w:val="00A456BE"/>
    <w:rsid w:val="00A457FE"/>
    <w:rsid w:val="00A51A4D"/>
    <w:rsid w:val="00A5273A"/>
    <w:rsid w:val="00A52B51"/>
    <w:rsid w:val="00A53499"/>
    <w:rsid w:val="00A54552"/>
    <w:rsid w:val="00A54FC2"/>
    <w:rsid w:val="00A55000"/>
    <w:rsid w:val="00A55177"/>
    <w:rsid w:val="00A55733"/>
    <w:rsid w:val="00A56EB8"/>
    <w:rsid w:val="00A570DE"/>
    <w:rsid w:val="00A60720"/>
    <w:rsid w:val="00A614D3"/>
    <w:rsid w:val="00A62470"/>
    <w:rsid w:val="00A62CD5"/>
    <w:rsid w:val="00A64438"/>
    <w:rsid w:val="00A64535"/>
    <w:rsid w:val="00A645AF"/>
    <w:rsid w:val="00A67B13"/>
    <w:rsid w:val="00A70942"/>
    <w:rsid w:val="00A7367D"/>
    <w:rsid w:val="00A739DF"/>
    <w:rsid w:val="00A73BE0"/>
    <w:rsid w:val="00A73E9F"/>
    <w:rsid w:val="00A775D7"/>
    <w:rsid w:val="00A77B50"/>
    <w:rsid w:val="00A77CD4"/>
    <w:rsid w:val="00A82FF5"/>
    <w:rsid w:val="00A84EDC"/>
    <w:rsid w:val="00A8523B"/>
    <w:rsid w:val="00A879AB"/>
    <w:rsid w:val="00A91B02"/>
    <w:rsid w:val="00A922A4"/>
    <w:rsid w:val="00A93370"/>
    <w:rsid w:val="00A94E28"/>
    <w:rsid w:val="00A97F4C"/>
    <w:rsid w:val="00AA016D"/>
    <w:rsid w:val="00AA19EE"/>
    <w:rsid w:val="00AA2DF2"/>
    <w:rsid w:val="00AA394F"/>
    <w:rsid w:val="00AA61AC"/>
    <w:rsid w:val="00AB2A2B"/>
    <w:rsid w:val="00AB47BA"/>
    <w:rsid w:val="00AB488C"/>
    <w:rsid w:val="00AB4A8E"/>
    <w:rsid w:val="00AB5D13"/>
    <w:rsid w:val="00AB6F37"/>
    <w:rsid w:val="00AC113D"/>
    <w:rsid w:val="00AC1E84"/>
    <w:rsid w:val="00AC3545"/>
    <w:rsid w:val="00AC3A2F"/>
    <w:rsid w:val="00AC435F"/>
    <w:rsid w:val="00AD06C3"/>
    <w:rsid w:val="00AD1533"/>
    <w:rsid w:val="00AD34B7"/>
    <w:rsid w:val="00AD3590"/>
    <w:rsid w:val="00AD412B"/>
    <w:rsid w:val="00AD4995"/>
    <w:rsid w:val="00AD6CBC"/>
    <w:rsid w:val="00AE03D1"/>
    <w:rsid w:val="00AE070B"/>
    <w:rsid w:val="00AE0A09"/>
    <w:rsid w:val="00AE14BF"/>
    <w:rsid w:val="00AE2527"/>
    <w:rsid w:val="00AE572F"/>
    <w:rsid w:val="00AE5D4F"/>
    <w:rsid w:val="00AE6F59"/>
    <w:rsid w:val="00AE7D1B"/>
    <w:rsid w:val="00AF110B"/>
    <w:rsid w:val="00AF2A28"/>
    <w:rsid w:val="00AF3BE8"/>
    <w:rsid w:val="00B00FAF"/>
    <w:rsid w:val="00B02B52"/>
    <w:rsid w:val="00B03B19"/>
    <w:rsid w:val="00B07574"/>
    <w:rsid w:val="00B07CE5"/>
    <w:rsid w:val="00B10E73"/>
    <w:rsid w:val="00B145F1"/>
    <w:rsid w:val="00B14602"/>
    <w:rsid w:val="00B14A1F"/>
    <w:rsid w:val="00B14A42"/>
    <w:rsid w:val="00B15AE8"/>
    <w:rsid w:val="00B16F8A"/>
    <w:rsid w:val="00B21BD8"/>
    <w:rsid w:val="00B22C8A"/>
    <w:rsid w:val="00B25013"/>
    <w:rsid w:val="00B2582E"/>
    <w:rsid w:val="00B2673D"/>
    <w:rsid w:val="00B275C8"/>
    <w:rsid w:val="00B277C1"/>
    <w:rsid w:val="00B27819"/>
    <w:rsid w:val="00B315CD"/>
    <w:rsid w:val="00B34191"/>
    <w:rsid w:val="00B34FF6"/>
    <w:rsid w:val="00B359DD"/>
    <w:rsid w:val="00B35E51"/>
    <w:rsid w:val="00B36488"/>
    <w:rsid w:val="00B36C29"/>
    <w:rsid w:val="00B415DC"/>
    <w:rsid w:val="00B437EB"/>
    <w:rsid w:val="00B44DAC"/>
    <w:rsid w:val="00B45624"/>
    <w:rsid w:val="00B46DB4"/>
    <w:rsid w:val="00B47EC7"/>
    <w:rsid w:val="00B505C7"/>
    <w:rsid w:val="00B52632"/>
    <w:rsid w:val="00B52BFD"/>
    <w:rsid w:val="00B54066"/>
    <w:rsid w:val="00B54ABC"/>
    <w:rsid w:val="00B551BA"/>
    <w:rsid w:val="00B56F21"/>
    <w:rsid w:val="00B57B89"/>
    <w:rsid w:val="00B57CA9"/>
    <w:rsid w:val="00B6040B"/>
    <w:rsid w:val="00B6144E"/>
    <w:rsid w:val="00B62E64"/>
    <w:rsid w:val="00B63AA5"/>
    <w:rsid w:val="00B63C1A"/>
    <w:rsid w:val="00B67317"/>
    <w:rsid w:val="00B67618"/>
    <w:rsid w:val="00B70A66"/>
    <w:rsid w:val="00B7321F"/>
    <w:rsid w:val="00B73F9C"/>
    <w:rsid w:val="00B740F1"/>
    <w:rsid w:val="00B7470B"/>
    <w:rsid w:val="00B751E2"/>
    <w:rsid w:val="00B758A6"/>
    <w:rsid w:val="00B77265"/>
    <w:rsid w:val="00B80AFB"/>
    <w:rsid w:val="00B828FE"/>
    <w:rsid w:val="00B8353D"/>
    <w:rsid w:val="00B8390A"/>
    <w:rsid w:val="00B84060"/>
    <w:rsid w:val="00B84414"/>
    <w:rsid w:val="00B84D3D"/>
    <w:rsid w:val="00B86D02"/>
    <w:rsid w:val="00B86DA3"/>
    <w:rsid w:val="00B90BDD"/>
    <w:rsid w:val="00B9171F"/>
    <w:rsid w:val="00B91A3D"/>
    <w:rsid w:val="00B9451E"/>
    <w:rsid w:val="00B94A2B"/>
    <w:rsid w:val="00B974E8"/>
    <w:rsid w:val="00BA0C34"/>
    <w:rsid w:val="00BA14D7"/>
    <w:rsid w:val="00BA2D89"/>
    <w:rsid w:val="00BA4B02"/>
    <w:rsid w:val="00BA6D34"/>
    <w:rsid w:val="00BB0DBC"/>
    <w:rsid w:val="00BB35B4"/>
    <w:rsid w:val="00BB37D8"/>
    <w:rsid w:val="00BB5BB1"/>
    <w:rsid w:val="00BC24C0"/>
    <w:rsid w:val="00BC2A11"/>
    <w:rsid w:val="00BC2E49"/>
    <w:rsid w:val="00BC4457"/>
    <w:rsid w:val="00BC7BCF"/>
    <w:rsid w:val="00BD2A62"/>
    <w:rsid w:val="00BD478F"/>
    <w:rsid w:val="00BD5C30"/>
    <w:rsid w:val="00BD779F"/>
    <w:rsid w:val="00BD7C52"/>
    <w:rsid w:val="00BE047E"/>
    <w:rsid w:val="00BE1E67"/>
    <w:rsid w:val="00BE2EDC"/>
    <w:rsid w:val="00BE415C"/>
    <w:rsid w:val="00BE46D7"/>
    <w:rsid w:val="00BE515B"/>
    <w:rsid w:val="00BE527C"/>
    <w:rsid w:val="00BE66A7"/>
    <w:rsid w:val="00BF02FD"/>
    <w:rsid w:val="00BF0571"/>
    <w:rsid w:val="00BF064A"/>
    <w:rsid w:val="00BF0CE4"/>
    <w:rsid w:val="00BF1325"/>
    <w:rsid w:val="00BF5AAD"/>
    <w:rsid w:val="00BF6749"/>
    <w:rsid w:val="00BF78DD"/>
    <w:rsid w:val="00C01F14"/>
    <w:rsid w:val="00C030DE"/>
    <w:rsid w:val="00C04155"/>
    <w:rsid w:val="00C06697"/>
    <w:rsid w:val="00C0756D"/>
    <w:rsid w:val="00C105E4"/>
    <w:rsid w:val="00C14C9D"/>
    <w:rsid w:val="00C20EDE"/>
    <w:rsid w:val="00C212B9"/>
    <w:rsid w:val="00C21472"/>
    <w:rsid w:val="00C23138"/>
    <w:rsid w:val="00C23270"/>
    <w:rsid w:val="00C2375F"/>
    <w:rsid w:val="00C23DF2"/>
    <w:rsid w:val="00C23F9F"/>
    <w:rsid w:val="00C2460D"/>
    <w:rsid w:val="00C27E05"/>
    <w:rsid w:val="00C3100B"/>
    <w:rsid w:val="00C319B6"/>
    <w:rsid w:val="00C31AF2"/>
    <w:rsid w:val="00C349CA"/>
    <w:rsid w:val="00C34DDB"/>
    <w:rsid w:val="00C3520D"/>
    <w:rsid w:val="00C3702E"/>
    <w:rsid w:val="00C378C7"/>
    <w:rsid w:val="00C405CB"/>
    <w:rsid w:val="00C42099"/>
    <w:rsid w:val="00C42854"/>
    <w:rsid w:val="00C42CD0"/>
    <w:rsid w:val="00C43BF2"/>
    <w:rsid w:val="00C44311"/>
    <w:rsid w:val="00C4621C"/>
    <w:rsid w:val="00C46CE6"/>
    <w:rsid w:val="00C50BF9"/>
    <w:rsid w:val="00C51831"/>
    <w:rsid w:val="00C55CCE"/>
    <w:rsid w:val="00C57A76"/>
    <w:rsid w:val="00C57D9A"/>
    <w:rsid w:val="00C608EC"/>
    <w:rsid w:val="00C60A19"/>
    <w:rsid w:val="00C612A1"/>
    <w:rsid w:val="00C627C8"/>
    <w:rsid w:val="00C62DD9"/>
    <w:rsid w:val="00C64256"/>
    <w:rsid w:val="00C65699"/>
    <w:rsid w:val="00C66451"/>
    <w:rsid w:val="00C66D45"/>
    <w:rsid w:val="00C67256"/>
    <w:rsid w:val="00C70EC0"/>
    <w:rsid w:val="00C72AD9"/>
    <w:rsid w:val="00C734D2"/>
    <w:rsid w:val="00C736BA"/>
    <w:rsid w:val="00C74255"/>
    <w:rsid w:val="00C744BD"/>
    <w:rsid w:val="00C75B6C"/>
    <w:rsid w:val="00C76302"/>
    <w:rsid w:val="00C76EBA"/>
    <w:rsid w:val="00C7764D"/>
    <w:rsid w:val="00C77B86"/>
    <w:rsid w:val="00C84677"/>
    <w:rsid w:val="00C86E2B"/>
    <w:rsid w:val="00C874CA"/>
    <w:rsid w:val="00C9224F"/>
    <w:rsid w:val="00C92793"/>
    <w:rsid w:val="00C93823"/>
    <w:rsid w:val="00C93972"/>
    <w:rsid w:val="00C93C2A"/>
    <w:rsid w:val="00C94040"/>
    <w:rsid w:val="00C9414A"/>
    <w:rsid w:val="00CA1E83"/>
    <w:rsid w:val="00CA72EA"/>
    <w:rsid w:val="00CA7C10"/>
    <w:rsid w:val="00CA7FB2"/>
    <w:rsid w:val="00CB14AC"/>
    <w:rsid w:val="00CB2E36"/>
    <w:rsid w:val="00CB4B82"/>
    <w:rsid w:val="00CC0205"/>
    <w:rsid w:val="00CC63B2"/>
    <w:rsid w:val="00CC7505"/>
    <w:rsid w:val="00CD18D6"/>
    <w:rsid w:val="00CD2A8E"/>
    <w:rsid w:val="00CD2D4F"/>
    <w:rsid w:val="00CD3452"/>
    <w:rsid w:val="00CD5996"/>
    <w:rsid w:val="00CD6476"/>
    <w:rsid w:val="00CD661B"/>
    <w:rsid w:val="00CD7BA9"/>
    <w:rsid w:val="00CE01C0"/>
    <w:rsid w:val="00CE1765"/>
    <w:rsid w:val="00CE20DF"/>
    <w:rsid w:val="00CE2E3C"/>
    <w:rsid w:val="00CE47FC"/>
    <w:rsid w:val="00CE5C59"/>
    <w:rsid w:val="00CE7241"/>
    <w:rsid w:val="00CF09A8"/>
    <w:rsid w:val="00CF0CC1"/>
    <w:rsid w:val="00CF2926"/>
    <w:rsid w:val="00CF43D8"/>
    <w:rsid w:val="00CF49AC"/>
    <w:rsid w:val="00CF75AD"/>
    <w:rsid w:val="00CF7B08"/>
    <w:rsid w:val="00D01D9A"/>
    <w:rsid w:val="00D022BF"/>
    <w:rsid w:val="00D03274"/>
    <w:rsid w:val="00D03382"/>
    <w:rsid w:val="00D03532"/>
    <w:rsid w:val="00D03EB5"/>
    <w:rsid w:val="00D06900"/>
    <w:rsid w:val="00D1027A"/>
    <w:rsid w:val="00D10663"/>
    <w:rsid w:val="00D12DCC"/>
    <w:rsid w:val="00D13F2B"/>
    <w:rsid w:val="00D141D4"/>
    <w:rsid w:val="00D149E0"/>
    <w:rsid w:val="00D14EAD"/>
    <w:rsid w:val="00D159F4"/>
    <w:rsid w:val="00D166B7"/>
    <w:rsid w:val="00D1696E"/>
    <w:rsid w:val="00D16E4D"/>
    <w:rsid w:val="00D17ECD"/>
    <w:rsid w:val="00D20338"/>
    <w:rsid w:val="00D21726"/>
    <w:rsid w:val="00D21FB5"/>
    <w:rsid w:val="00D23E57"/>
    <w:rsid w:val="00D24D6A"/>
    <w:rsid w:val="00D25D5E"/>
    <w:rsid w:val="00D26766"/>
    <w:rsid w:val="00D27301"/>
    <w:rsid w:val="00D276D0"/>
    <w:rsid w:val="00D30929"/>
    <w:rsid w:val="00D3108A"/>
    <w:rsid w:val="00D339A7"/>
    <w:rsid w:val="00D33C3E"/>
    <w:rsid w:val="00D378A8"/>
    <w:rsid w:val="00D4327A"/>
    <w:rsid w:val="00D44035"/>
    <w:rsid w:val="00D444B7"/>
    <w:rsid w:val="00D45669"/>
    <w:rsid w:val="00D46CBD"/>
    <w:rsid w:val="00D46EE9"/>
    <w:rsid w:val="00D517A1"/>
    <w:rsid w:val="00D52647"/>
    <w:rsid w:val="00D60914"/>
    <w:rsid w:val="00D60BAC"/>
    <w:rsid w:val="00D61086"/>
    <w:rsid w:val="00D6143F"/>
    <w:rsid w:val="00D646AF"/>
    <w:rsid w:val="00D6524E"/>
    <w:rsid w:val="00D66279"/>
    <w:rsid w:val="00D66895"/>
    <w:rsid w:val="00D704AF"/>
    <w:rsid w:val="00D71F73"/>
    <w:rsid w:val="00D725C3"/>
    <w:rsid w:val="00D733E0"/>
    <w:rsid w:val="00D74F05"/>
    <w:rsid w:val="00D832DB"/>
    <w:rsid w:val="00D85157"/>
    <w:rsid w:val="00D860AA"/>
    <w:rsid w:val="00D87759"/>
    <w:rsid w:val="00D90A9D"/>
    <w:rsid w:val="00D911E0"/>
    <w:rsid w:val="00D9186F"/>
    <w:rsid w:val="00D93B05"/>
    <w:rsid w:val="00D93B3E"/>
    <w:rsid w:val="00D93D8D"/>
    <w:rsid w:val="00D94B61"/>
    <w:rsid w:val="00D9573B"/>
    <w:rsid w:val="00D96853"/>
    <w:rsid w:val="00D96F66"/>
    <w:rsid w:val="00D9703D"/>
    <w:rsid w:val="00D970CC"/>
    <w:rsid w:val="00DA344A"/>
    <w:rsid w:val="00DA3499"/>
    <w:rsid w:val="00DA41BB"/>
    <w:rsid w:val="00DA4A92"/>
    <w:rsid w:val="00DA4FE3"/>
    <w:rsid w:val="00DA6BD6"/>
    <w:rsid w:val="00DA7E5E"/>
    <w:rsid w:val="00DB198A"/>
    <w:rsid w:val="00DB3F99"/>
    <w:rsid w:val="00DB4546"/>
    <w:rsid w:val="00DB5826"/>
    <w:rsid w:val="00DB5EE8"/>
    <w:rsid w:val="00DB702E"/>
    <w:rsid w:val="00DB752B"/>
    <w:rsid w:val="00DC151A"/>
    <w:rsid w:val="00DC3DF7"/>
    <w:rsid w:val="00DC43D2"/>
    <w:rsid w:val="00DC4738"/>
    <w:rsid w:val="00DC5E10"/>
    <w:rsid w:val="00DC7882"/>
    <w:rsid w:val="00DC7EE9"/>
    <w:rsid w:val="00DD00FA"/>
    <w:rsid w:val="00DD271A"/>
    <w:rsid w:val="00DD5844"/>
    <w:rsid w:val="00DD5A49"/>
    <w:rsid w:val="00DE0F50"/>
    <w:rsid w:val="00DE364D"/>
    <w:rsid w:val="00DE5343"/>
    <w:rsid w:val="00DE55FC"/>
    <w:rsid w:val="00DE577D"/>
    <w:rsid w:val="00DE6B5C"/>
    <w:rsid w:val="00DE6EBF"/>
    <w:rsid w:val="00DF2A20"/>
    <w:rsid w:val="00DF2BAC"/>
    <w:rsid w:val="00DF3F6A"/>
    <w:rsid w:val="00DF5A02"/>
    <w:rsid w:val="00DF7ED8"/>
    <w:rsid w:val="00E00646"/>
    <w:rsid w:val="00E00C03"/>
    <w:rsid w:val="00E016B0"/>
    <w:rsid w:val="00E0182D"/>
    <w:rsid w:val="00E022B8"/>
    <w:rsid w:val="00E023E3"/>
    <w:rsid w:val="00E02446"/>
    <w:rsid w:val="00E03E45"/>
    <w:rsid w:val="00E04D7B"/>
    <w:rsid w:val="00E04FAD"/>
    <w:rsid w:val="00E06D3D"/>
    <w:rsid w:val="00E07F2A"/>
    <w:rsid w:val="00E11225"/>
    <w:rsid w:val="00E11D75"/>
    <w:rsid w:val="00E13349"/>
    <w:rsid w:val="00E13F1B"/>
    <w:rsid w:val="00E13F3B"/>
    <w:rsid w:val="00E15F4E"/>
    <w:rsid w:val="00E162AB"/>
    <w:rsid w:val="00E17C62"/>
    <w:rsid w:val="00E20060"/>
    <w:rsid w:val="00E202B5"/>
    <w:rsid w:val="00E202F2"/>
    <w:rsid w:val="00E2086E"/>
    <w:rsid w:val="00E219EB"/>
    <w:rsid w:val="00E24117"/>
    <w:rsid w:val="00E2433D"/>
    <w:rsid w:val="00E255ED"/>
    <w:rsid w:val="00E27704"/>
    <w:rsid w:val="00E27CC0"/>
    <w:rsid w:val="00E302AE"/>
    <w:rsid w:val="00E3122A"/>
    <w:rsid w:val="00E32B07"/>
    <w:rsid w:val="00E36965"/>
    <w:rsid w:val="00E3705E"/>
    <w:rsid w:val="00E372D4"/>
    <w:rsid w:val="00E37EF6"/>
    <w:rsid w:val="00E40113"/>
    <w:rsid w:val="00E40A00"/>
    <w:rsid w:val="00E40A8D"/>
    <w:rsid w:val="00E41136"/>
    <w:rsid w:val="00E4145B"/>
    <w:rsid w:val="00E42227"/>
    <w:rsid w:val="00E423F9"/>
    <w:rsid w:val="00E42580"/>
    <w:rsid w:val="00E434EE"/>
    <w:rsid w:val="00E44A50"/>
    <w:rsid w:val="00E44C29"/>
    <w:rsid w:val="00E45625"/>
    <w:rsid w:val="00E45E94"/>
    <w:rsid w:val="00E461F7"/>
    <w:rsid w:val="00E4641A"/>
    <w:rsid w:val="00E47C23"/>
    <w:rsid w:val="00E501F4"/>
    <w:rsid w:val="00E528D9"/>
    <w:rsid w:val="00E52A1B"/>
    <w:rsid w:val="00E536A9"/>
    <w:rsid w:val="00E5391F"/>
    <w:rsid w:val="00E56433"/>
    <w:rsid w:val="00E569EA"/>
    <w:rsid w:val="00E57CF6"/>
    <w:rsid w:val="00E61D84"/>
    <w:rsid w:val="00E64F9A"/>
    <w:rsid w:val="00E65F00"/>
    <w:rsid w:val="00E66087"/>
    <w:rsid w:val="00E672BD"/>
    <w:rsid w:val="00E70259"/>
    <w:rsid w:val="00E72819"/>
    <w:rsid w:val="00E761FB"/>
    <w:rsid w:val="00E77FA7"/>
    <w:rsid w:val="00E807DB"/>
    <w:rsid w:val="00E822CE"/>
    <w:rsid w:val="00E8298C"/>
    <w:rsid w:val="00E83FA4"/>
    <w:rsid w:val="00E91D9B"/>
    <w:rsid w:val="00E92E84"/>
    <w:rsid w:val="00E93AC5"/>
    <w:rsid w:val="00E94A37"/>
    <w:rsid w:val="00E95612"/>
    <w:rsid w:val="00E95CCB"/>
    <w:rsid w:val="00E976F4"/>
    <w:rsid w:val="00E97F7F"/>
    <w:rsid w:val="00EA2384"/>
    <w:rsid w:val="00EA3110"/>
    <w:rsid w:val="00EA4698"/>
    <w:rsid w:val="00EA4CC5"/>
    <w:rsid w:val="00EA545D"/>
    <w:rsid w:val="00EA6140"/>
    <w:rsid w:val="00EA645A"/>
    <w:rsid w:val="00EA793A"/>
    <w:rsid w:val="00EB0097"/>
    <w:rsid w:val="00EB0227"/>
    <w:rsid w:val="00EB0C61"/>
    <w:rsid w:val="00EB418E"/>
    <w:rsid w:val="00EB42EA"/>
    <w:rsid w:val="00EB4FFC"/>
    <w:rsid w:val="00EB5D82"/>
    <w:rsid w:val="00EB6094"/>
    <w:rsid w:val="00EC2B6A"/>
    <w:rsid w:val="00EC2E1A"/>
    <w:rsid w:val="00EC65FB"/>
    <w:rsid w:val="00EC662A"/>
    <w:rsid w:val="00EC7A88"/>
    <w:rsid w:val="00ED1044"/>
    <w:rsid w:val="00ED18AA"/>
    <w:rsid w:val="00ED3504"/>
    <w:rsid w:val="00ED42D8"/>
    <w:rsid w:val="00ED466B"/>
    <w:rsid w:val="00ED4824"/>
    <w:rsid w:val="00ED4A4E"/>
    <w:rsid w:val="00ED6FFF"/>
    <w:rsid w:val="00EE18C4"/>
    <w:rsid w:val="00EE31FF"/>
    <w:rsid w:val="00EE32BD"/>
    <w:rsid w:val="00EF150A"/>
    <w:rsid w:val="00EF1FA9"/>
    <w:rsid w:val="00EF4080"/>
    <w:rsid w:val="00EF6A53"/>
    <w:rsid w:val="00EF75A6"/>
    <w:rsid w:val="00EF7A5D"/>
    <w:rsid w:val="00F00B9F"/>
    <w:rsid w:val="00F01F0F"/>
    <w:rsid w:val="00F030EA"/>
    <w:rsid w:val="00F03400"/>
    <w:rsid w:val="00F0492E"/>
    <w:rsid w:val="00F051F4"/>
    <w:rsid w:val="00F05690"/>
    <w:rsid w:val="00F05C26"/>
    <w:rsid w:val="00F06D4E"/>
    <w:rsid w:val="00F0765C"/>
    <w:rsid w:val="00F127CB"/>
    <w:rsid w:val="00F127DD"/>
    <w:rsid w:val="00F15623"/>
    <w:rsid w:val="00F15C6D"/>
    <w:rsid w:val="00F15E3B"/>
    <w:rsid w:val="00F16534"/>
    <w:rsid w:val="00F171F1"/>
    <w:rsid w:val="00F21A85"/>
    <w:rsid w:val="00F228AC"/>
    <w:rsid w:val="00F23B7C"/>
    <w:rsid w:val="00F25974"/>
    <w:rsid w:val="00F33D99"/>
    <w:rsid w:val="00F34D87"/>
    <w:rsid w:val="00F35CE0"/>
    <w:rsid w:val="00F35F3B"/>
    <w:rsid w:val="00F3704D"/>
    <w:rsid w:val="00F37237"/>
    <w:rsid w:val="00F3744E"/>
    <w:rsid w:val="00F37542"/>
    <w:rsid w:val="00F4071C"/>
    <w:rsid w:val="00F412BB"/>
    <w:rsid w:val="00F42F40"/>
    <w:rsid w:val="00F45FCE"/>
    <w:rsid w:val="00F47B4A"/>
    <w:rsid w:val="00F509F0"/>
    <w:rsid w:val="00F50C57"/>
    <w:rsid w:val="00F5172F"/>
    <w:rsid w:val="00F54F4F"/>
    <w:rsid w:val="00F55A04"/>
    <w:rsid w:val="00F56884"/>
    <w:rsid w:val="00F5756D"/>
    <w:rsid w:val="00F60FE9"/>
    <w:rsid w:val="00F61766"/>
    <w:rsid w:val="00F64383"/>
    <w:rsid w:val="00F66322"/>
    <w:rsid w:val="00F66738"/>
    <w:rsid w:val="00F66AF2"/>
    <w:rsid w:val="00F670E1"/>
    <w:rsid w:val="00F71090"/>
    <w:rsid w:val="00F710B0"/>
    <w:rsid w:val="00F71256"/>
    <w:rsid w:val="00F7282B"/>
    <w:rsid w:val="00F72D83"/>
    <w:rsid w:val="00F72DA0"/>
    <w:rsid w:val="00F7433A"/>
    <w:rsid w:val="00F7524D"/>
    <w:rsid w:val="00F77625"/>
    <w:rsid w:val="00F7777B"/>
    <w:rsid w:val="00F80066"/>
    <w:rsid w:val="00F813BA"/>
    <w:rsid w:val="00F81BF2"/>
    <w:rsid w:val="00F84114"/>
    <w:rsid w:val="00F86BB8"/>
    <w:rsid w:val="00F915DF"/>
    <w:rsid w:val="00F928FE"/>
    <w:rsid w:val="00F97EC8"/>
    <w:rsid w:val="00F97F6D"/>
    <w:rsid w:val="00FA0919"/>
    <w:rsid w:val="00FA1675"/>
    <w:rsid w:val="00FA23B7"/>
    <w:rsid w:val="00FA78BD"/>
    <w:rsid w:val="00FB1F47"/>
    <w:rsid w:val="00FB280E"/>
    <w:rsid w:val="00FB40BF"/>
    <w:rsid w:val="00FB71BD"/>
    <w:rsid w:val="00FB7D65"/>
    <w:rsid w:val="00FC0D68"/>
    <w:rsid w:val="00FC3DB0"/>
    <w:rsid w:val="00FC47E5"/>
    <w:rsid w:val="00FD0FB7"/>
    <w:rsid w:val="00FD1A45"/>
    <w:rsid w:val="00FD2279"/>
    <w:rsid w:val="00FE19C1"/>
    <w:rsid w:val="00FE1DC8"/>
    <w:rsid w:val="00FE2AF8"/>
    <w:rsid w:val="00FE3250"/>
    <w:rsid w:val="00FE3EEB"/>
    <w:rsid w:val="00FE4BD2"/>
    <w:rsid w:val="00FE6472"/>
    <w:rsid w:val="00FE689E"/>
    <w:rsid w:val="00FE6DC2"/>
    <w:rsid w:val="00FF1B90"/>
    <w:rsid w:val="00FF213D"/>
    <w:rsid w:val="00FF2C2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E9174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0" w:qFormat="1"/>
    <w:lsdException w:name="Salutation" w:semiHidden="1" w:unhideWhenUsed="1"/>
    <w:lsdException w:name="Date" w:semiHidden="1" w:uiPriority="1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6DF5"/>
    <w:pPr>
      <w:keepLines/>
      <w:spacing w:before="240" w:after="0" w:line="276" w:lineRule="auto"/>
    </w:pPr>
    <w:rPr>
      <w:sz w:val="24"/>
    </w:rPr>
  </w:style>
  <w:style w:type="paragraph" w:styleId="Heading1">
    <w:name w:val="heading 1"/>
    <w:basedOn w:val="Normal"/>
    <w:next w:val="Normal"/>
    <w:link w:val="Heading1Char"/>
    <w:uiPriority w:val="1"/>
    <w:qFormat/>
    <w:rsid w:val="00465B9E"/>
    <w:pPr>
      <w:keepNext/>
      <w:pageBreakBefore/>
      <w:spacing w:after="720" w:line="240" w:lineRule="auto"/>
      <w:outlineLvl w:val="0"/>
    </w:pPr>
    <w:rPr>
      <w:rFonts w:asciiTheme="majorHAnsi" w:eastAsiaTheme="majorEastAsia" w:hAnsiTheme="majorHAnsi" w:cstheme="majorBidi"/>
      <w:color w:val="FFFFFF" w:themeColor="background1"/>
      <w:sz w:val="56"/>
      <w:szCs w:val="52"/>
      <w:bdr w:val="single" w:sz="48" w:space="0" w:color="009C98" w:themeColor="accent1"/>
      <w:shd w:val="clear" w:color="auto" w:fill="009C98" w:themeFill="accent1"/>
    </w:rPr>
  </w:style>
  <w:style w:type="paragraph" w:styleId="Heading2">
    <w:name w:val="heading 2"/>
    <w:basedOn w:val="Heading1"/>
    <w:next w:val="Normal"/>
    <w:link w:val="Heading2Char"/>
    <w:uiPriority w:val="1"/>
    <w:unhideWhenUsed/>
    <w:qFormat/>
    <w:rsid w:val="002D221B"/>
    <w:pPr>
      <w:pageBreakBefore w:val="0"/>
      <w:pBdr>
        <w:top w:val="single" w:sz="24" w:space="9" w:color="009C98" w:themeColor="accent1"/>
      </w:pBdr>
      <w:spacing w:before="720" w:after="60"/>
      <w:outlineLvl w:val="1"/>
    </w:pPr>
    <w:rPr>
      <w:b/>
      <w:color w:val="0B4E60" w:themeColor="text2"/>
      <w:sz w:val="36"/>
      <w:szCs w:val="32"/>
      <w:bdr w:val="none" w:sz="0" w:space="0" w:color="auto"/>
      <w:shd w:val="clear" w:color="auto" w:fill="auto"/>
    </w:rPr>
  </w:style>
  <w:style w:type="paragraph" w:styleId="Heading3">
    <w:name w:val="heading 3"/>
    <w:basedOn w:val="Heading2"/>
    <w:next w:val="Normal"/>
    <w:link w:val="Heading3Char"/>
    <w:uiPriority w:val="1"/>
    <w:unhideWhenUsed/>
    <w:qFormat/>
    <w:rsid w:val="004E2C9C"/>
    <w:pPr>
      <w:pBdr>
        <w:top w:val="none" w:sz="0" w:space="0" w:color="auto"/>
      </w:pBdr>
      <w:spacing w:before="400" w:after="40"/>
      <w:outlineLvl w:val="2"/>
    </w:pPr>
    <w:rPr>
      <w:color w:val="auto"/>
      <w:sz w:val="32"/>
      <w:szCs w:val="30"/>
    </w:rPr>
  </w:style>
  <w:style w:type="paragraph" w:styleId="Heading4">
    <w:name w:val="heading 4"/>
    <w:basedOn w:val="Heading3"/>
    <w:next w:val="Normal"/>
    <w:link w:val="Heading4Char"/>
    <w:uiPriority w:val="1"/>
    <w:unhideWhenUsed/>
    <w:qFormat/>
    <w:rsid w:val="002D221B"/>
    <w:pPr>
      <w:spacing w:before="360"/>
      <w:outlineLvl w:val="3"/>
    </w:pPr>
    <w:rPr>
      <w:color w:val="004E4B" w:themeColor="accent1" w:themeShade="80"/>
      <w:sz w:val="28"/>
      <w:szCs w:val="29"/>
    </w:rPr>
  </w:style>
  <w:style w:type="paragraph" w:styleId="Heading5">
    <w:name w:val="heading 5"/>
    <w:basedOn w:val="Normal"/>
    <w:next w:val="Normal"/>
    <w:link w:val="Heading5Char1"/>
    <w:uiPriority w:val="9"/>
    <w:unhideWhenUsed/>
    <w:rsid w:val="004E2C9C"/>
    <w:pPr>
      <w:keepNext/>
      <w:spacing w:before="160"/>
      <w:outlineLvl w:val="4"/>
    </w:pPr>
    <w:rPr>
      <w:rFonts w:asciiTheme="majorHAnsi" w:eastAsiaTheme="majorEastAsia" w:hAnsiTheme="majorHAnsi" w:cstheme="majorBidi"/>
      <w:b/>
    </w:rPr>
  </w:style>
  <w:style w:type="paragraph" w:styleId="Heading6">
    <w:name w:val="heading 6"/>
    <w:basedOn w:val="Normal"/>
    <w:next w:val="Normal"/>
    <w:link w:val="Heading6Char1"/>
    <w:uiPriority w:val="9"/>
    <w:semiHidden/>
    <w:unhideWhenUsed/>
    <w:rsid w:val="004E2C9C"/>
    <w:pPr>
      <w:keepNext/>
      <w:spacing w:before="40"/>
      <w:outlineLvl w:val="5"/>
    </w:pPr>
    <w:rPr>
      <w:rFonts w:asciiTheme="majorHAnsi" w:eastAsiaTheme="majorEastAsia" w:hAnsiTheme="majorHAnsi" w:cstheme="majorBidi"/>
    </w:rPr>
  </w:style>
  <w:style w:type="paragraph" w:styleId="Heading7">
    <w:name w:val="heading 7"/>
    <w:basedOn w:val="Normal"/>
    <w:next w:val="Normal"/>
    <w:link w:val="Heading7Char"/>
    <w:uiPriority w:val="9"/>
    <w:semiHidden/>
    <w:unhideWhenUsed/>
    <w:qFormat/>
    <w:rsid w:val="003B7D03"/>
    <w:pPr>
      <w:keepNext/>
      <w:numPr>
        <w:ilvl w:val="6"/>
        <w:numId w:val="4"/>
      </w:numPr>
      <w:spacing w:before="40"/>
      <w:outlineLvl w:val="6"/>
    </w:pPr>
    <w:rPr>
      <w:rFonts w:asciiTheme="majorHAnsi" w:eastAsiaTheme="majorEastAsia" w:hAnsiTheme="majorHAnsi" w:cstheme="majorBidi"/>
      <w:i/>
      <w:iCs/>
      <w:color w:val="004D4B"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9"/>
    <w:qFormat/>
    <w:rsid w:val="004A5BF6"/>
    <w:pPr>
      <w:pBdr>
        <w:top w:val="single" w:sz="48" w:space="0" w:color="009C98" w:themeColor="accent1"/>
        <w:left w:val="single" w:sz="48" w:space="0" w:color="009C98" w:themeColor="accent1"/>
        <w:bottom w:val="single" w:sz="48" w:space="0" w:color="009C98" w:themeColor="accent1"/>
        <w:right w:val="single" w:sz="48" w:space="0" w:color="009C98" w:themeColor="accent1"/>
      </w:pBdr>
      <w:shd w:val="clear" w:color="auto" w:fill="009C98" w:themeFill="accent1"/>
      <w:spacing w:line="216" w:lineRule="auto"/>
      <w:contextualSpacing/>
    </w:pPr>
    <w:rPr>
      <w:rFonts w:asciiTheme="majorHAnsi" w:eastAsiaTheme="majorEastAsia" w:hAnsiTheme="majorHAnsi" w:cstheme="majorBidi"/>
      <w:color w:val="FFFFFF" w:themeColor="background1"/>
      <w:spacing w:val="2"/>
      <w:kern w:val="28"/>
      <w:sz w:val="104"/>
      <w:szCs w:val="104"/>
      <w:bdr w:val="single" w:sz="48" w:space="0" w:color="009C98" w:themeColor="accent1"/>
      <w:shd w:val="clear" w:color="auto" w:fill="009C98" w:themeFill="accent1"/>
    </w:rPr>
  </w:style>
  <w:style w:type="character" w:customStyle="1" w:styleId="TitleChar">
    <w:name w:val="Title Char"/>
    <w:basedOn w:val="DefaultParagraphFont"/>
    <w:link w:val="Title"/>
    <w:uiPriority w:val="9"/>
    <w:rsid w:val="00457EE1"/>
    <w:rPr>
      <w:rFonts w:asciiTheme="majorHAnsi" w:eastAsiaTheme="majorEastAsia" w:hAnsiTheme="majorHAnsi" w:cstheme="majorBidi"/>
      <w:color w:val="FFFFFF" w:themeColor="background1"/>
      <w:spacing w:val="2"/>
      <w:kern w:val="28"/>
      <w:sz w:val="104"/>
      <w:szCs w:val="104"/>
      <w:bdr w:val="single" w:sz="48" w:space="0" w:color="009C98" w:themeColor="accent1"/>
      <w:shd w:val="clear" w:color="auto" w:fill="009C98" w:themeFill="accent1"/>
    </w:rPr>
  </w:style>
  <w:style w:type="paragraph" w:styleId="Header">
    <w:name w:val="header"/>
    <w:basedOn w:val="Normal"/>
    <w:link w:val="HeaderChar"/>
    <w:uiPriority w:val="99"/>
    <w:unhideWhenUsed/>
    <w:rsid w:val="00A26DF5"/>
    <w:pPr>
      <w:tabs>
        <w:tab w:val="center" w:pos="4513"/>
        <w:tab w:val="right" w:pos="9026"/>
      </w:tabs>
      <w:spacing w:line="240" w:lineRule="auto"/>
    </w:pPr>
  </w:style>
  <w:style w:type="character" w:customStyle="1" w:styleId="HeaderChar">
    <w:name w:val="Header Char"/>
    <w:basedOn w:val="DefaultParagraphFont"/>
    <w:link w:val="Header"/>
    <w:uiPriority w:val="99"/>
    <w:rsid w:val="00A26DF5"/>
    <w:rPr>
      <w:sz w:val="24"/>
    </w:rPr>
  </w:style>
  <w:style w:type="paragraph" w:styleId="Footer">
    <w:name w:val="footer"/>
    <w:basedOn w:val="Normal"/>
    <w:link w:val="FooterChar"/>
    <w:uiPriority w:val="99"/>
    <w:unhideWhenUsed/>
    <w:rsid w:val="00A26DF5"/>
    <w:pPr>
      <w:tabs>
        <w:tab w:val="center" w:pos="4513"/>
        <w:tab w:val="right" w:pos="9026"/>
      </w:tabs>
      <w:spacing w:line="240" w:lineRule="auto"/>
    </w:pPr>
    <w:rPr>
      <w:color w:val="0B4E60" w:themeColor="text2"/>
    </w:rPr>
  </w:style>
  <w:style w:type="character" w:customStyle="1" w:styleId="FooterChar">
    <w:name w:val="Footer Char"/>
    <w:basedOn w:val="DefaultParagraphFont"/>
    <w:link w:val="Footer"/>
    <w:uiPriority w:val="99"/>
    <w:rsid w:val="00A26DF5"/>
    <w:rPr>
      <w:color w:val="0B4E60" w:themeColor="text2"/>
      <w:sz w:val="24"/>
    </w:rPr>
  </w:style>
  <w:style w:type="character" w:customStyle="1" w:styleId="Heading1Char">
    <w:name w:val="Heading 1 Char"/>
    <w:basedOn w:val="DefaultParagraphFont"/>
    <w:link w:val="Heading1"/>
    <w:uiPriority w:val="1"/>
    <w:rsid w:val="00465B9E"/>
    <w:rPr>
      <w:rFonts w:asciiTheme="majorHAnsi" w:eastAsiaTheme="majorEastAsia" w:hAnsiTheme="majorHAnsi" w:cstheme="majorBidi"/>
      <w:color w:val="FFFFFF" w:themeColor="background1"/>
      <w:sz w:val="56"/>
      <w:szCs w:val="52"/>
      <w:bdr w:val="single" w:sz="48" w:space="0" w:color="009C98" w:themeColor="accent1"/>
    </w:rPr>
  </w:style>
  <w:style w:type="character" w:customStyle="1" w:styleId="Heading2Char">
    <w:name w:val="Heading 2 Char"/>
    <w:basedOn w:val="DefaultParagraphFont"/>
    <w:link w:val="Heading2"/>
    <w:uiPriority w:val="1"/>
    <w:rsid w:val="002D221B"/>
    <w:rPr>
      <w:rFonts w:asciiTheme="majorHAnsi" w:eastAsiaTheme="majorEastAsia" w:hAnsiTheme="majorHAnsi" w:cstheme="majorBidi"/>
      <w:b/>
      <w:color w:val="0B4E60" w:themeColor="text2"/>
      <w:sz w:val="36"/>
      <w:szCs w:val="32"/>
    </w:rPr>
  </w:style>
  <w:style w:type="character" w:customStyle="1" w:styleId="Heading3Char">
    <w:name w:val="Heading 3 Char"/>
    <w:basedOn w:val="DefaultParagraphFont"/>
    <w:link w:val="Heading3"/>
    <w:uiPriority w:val="1"/>
    <w:rsid w:val="004E2C9C"/>
    <w:rPr>
      <w:rFonts w:asciiTheme="majorHAnsi" w:eastAsiaTheme="majorEastAsia" w:hAnsiTheme="majorHAnsi" w:cstheme="majorBidi"/>
      <w:b/>
      <w:sz w:val="32"/>
      <w:szCs w:val="30"/>
    </w:rPr>
  </w:style>
  <w:style w:type="character" w:customStyle="1" w:styleId="Heading4Char">
    <w:name w:val="Heading 4 Char"/>
    <w:basedOn w:val="DefaultParagraphFont"/>
    <w:link w:val="Heading4"/>
    <w:uiPriority w:val="1"/>
    <w:rsid w:val="002D221B"/>
    <w:rPr>
      <w:rFonts w:asciiTheme="majorHAnsi" w:eastAsiaTheme="majorEastAsia" w:hAnsiTheme="majorHAnsi" w:cstheme="majorBidi"/>
      <w:b/>
      <w:color w:val="004E4B" w:themeColor="accent1" w:themeShade="80"/>
      <w:sz w:val="28"/>
      <w:szCs w:val="29"/>
    </w:rPr>
  </w:style>
  <w:style w:type="paragraph" w:styleId="Subtitle">
    <w:name w:val="Subtitle"/>
    <w:basedOn w:val="Title"/>
    <w:next w:val="Normal"/>
    <w:link w:val="SubtitleChar"/>
    <w:uiPriority w:val="10"/>
    <w:qFormat/>
    <w:rsid w:val="00972D5B"/>
    <w:rPr>
      <w:sz w:val="44"/>
      <w:szCs w:val="44"/>
    </w:rPr>
  </w:style>
  <w:style w:type="character" w:customStyle="1" w:styleId="SubtitleChar">
    <w:name w:val="Subtitle Char"/>
    <w:basedOn w:val="DefaultParagraphFont"/>
    <w:link w:val="Subtitle"/>
    <w:uiPriority w:val="10"/>
    <w:rsid w:val="00457EE1"/>
    <w:rPr>
      <w:rFonts w:asciiTheme="majorHAnsi" w:eastAsiaTheme="majorEastAsia" w:hAnsiTheme="majorHAnsi" w:cstheme="majorBidi"/>
      <w:color w:val="FFFFFF" w:themeColor="background1"/>
      <w:spacing w:val="2"/>
      <w:kern w:val="28"/>
      <w:sz w:val="44"/>
      <w:szCs w:val="44"/>
      <w:bdr w:val="single" w:sz="48" w:space="0" w:color="009C98" w:themeColor="accent1"/>
      <w:shd w:val="clear" w:color="auto" w:fill="009C98" w:themeFill="accent1"/>
    </w:rPr>
  </w:style>
  <w:style w:type="paragraph" w:styleId="FootnoteText">
    <w:name w:val="footnote text"/>
    <w:aliases w:val="Footnote Text Char Char,Footnote Text Char1 Char Char,Footnote Text Char Char Char Char,Footnote Text Char1 Char Char Char Char,Footnote Char Char Char Char Char,Footnote Text Char Char Char Char Char Char,footnotes,fn,FA Fu,Char,5_G,f"/>
    <w:basedOn w:val="Normal"/>
    <w:link w:val="FootnoteTextChar"/>
    <w:uiPriority w:val="99"/>
    <w:unhideWhenUsed/>
    <w:qFormat/>
    <w:rsid w:val="00A26DF5"/>
    <w:pPr>
      <w:spacing w:before="160" w:after="120" w:line="240" w:lineRule="auto"/>
    </w:pPr>
    <w:rPr>
      <w:noProof/>
      <w:color w:val="0B4E60" w:themeColor="text2"/>
      <w:szCs w:val="20"/>
    </w:rPr>
  </w:style>
  <w:style w:type="character" w:customStyle="1" w:styleId="FootnoteTextChar">
    <w:name w:val="Footnote Text Char"/>
    <w:aliases w:val="Footnote Text Char Char Char,Footnote Text Char1 Char Char Char,Footnote Text Char Char Char Char Char,Footnote Text Char1 Char Char Char Char Char,Footnote Char Char Char Char Char Char,footnotes Char,fn Char,FA Fu Char,Char Char"/>
    <w:basedOn w:val="DefaultParagraphFont"/>
    <w:link w:val="FootnoteText"/>
    <w:uiPriority w:val="99"/>
    <w:rsid w:val="00A26DF5"/>
    <w:rPr>
      <w:noProof/>
      <w:color w:val="0B4E60" w:themeColor="text2"/>
      <w:sz w:val="24"/>
      <w:szCs w:val="20"/>
    </w:rPr>
  </w:style>
  <w:style w:type="character" w:styleId="FootnoteReference">
    <w:name w:val="footnote reference"/>
    <w:aliases w:val="Footnotes refss,Footnote Reference in text,Footnote Reference Superscript,Appel note de bas de p.,*Footnote Reference,Odwołanie przypisu,Footnote symbol,Footnote Reference Number,Appel note de bas de p,Black,(NECG) Footnote Reference"/>
    <w:basedOn w:val="DefaultParagraphFont"/>
    <w:link w:val="4GCharCharChar"/>
    <w:uiPriority w:val="99"/>
    <w:unhideWhenUsed/>
    <w:qFormat/>
    <w:rsid w:val="0038266E"/>
    <w:rPr>
      <w:vertAlign w:val="superscript"/>
    </w:rPr>
  </w:style>
  <w:style w:type="character" w:styleId="Emphasis">
    <w:name w:val="Emphasis"/>
    <w:basedOn w:val="DefaultParagraphFont"/>
    <w:uiPriority w:val="20"/>
    <w:rsid w:val="00A26DF5"/>
    <w:rPr>
      <w:b/>
      <w:i w:val="0"/>
      <w:iCs/>
      <w:sz w:val="24"/>
    </w:rPr>
  </w:style>
  <w:style w:type="character" w:styleId="IntenseEmphasis">
    <w:name w:val="Intense Emphasis"/>
    <w:basedOn w:val="DefaultParagraphFont"/>
    <w:uiPriority w:val="21"/>
    <w:rsid w:val="00A26DF5"/>
    <w:rPr>
      <w:b/>
      <w:i w:val="0"/>
      <w:iCs/>
      <w:color w:val="007471" w:themeColor="accent1" w:themeShade="BF"/>
    </w:rPr>
  </w:style>
  <w:style w:type="numbering" w:customStyle="1" w:styleId="StyleOutlinenumberedLatinHeadingsArialComplexHeadi1">
    <w:name w:val="Style Outline numbered (Latin) +Headings (Arial) (Complex) +Headi...1"/>
    <w:basedOn w:val="NoList"/>
    <w:rsid w:val="004E2C9C"/>
    <w:pPr>
      <w:numPr>
        <w:numId w:val="15"/>
      </w:numPr>
    </w:pPr>
  </w:style>
  <w:style w:type="character" w:styleId="Hyperlink">
    <w:name w:val="Hyperlink"/>
    <w:basedOn w:val="DefaultParagraphFont"/>
    <w:uiPriority w:val="99"/>
    <w:unhideWhenUsed/>
    <w:rsid w:val="00277333"/>
    <w:rPr>
      <w:color w:val="auto"/>
      <w:u w:val="single" w:color="009C98" w:themeColor="accent1"/>
    </w:rPr>
  </w:style>
  <w:style w:type="character" w:styleId="FollowedHyperlink">
    <w:name w:val="FollowedHyperlink"/>
    <w:basedOn w:val="DefaultParagraphFont"/>
    <w:uiPriority w:val="99"/>
    <w:semiHidden/>
    <w:unhideWhenUsed/>
    <w:rsid w:val="00277333"/>
    <w:rPr>
      <w:color w:val="auto"/>
      <w:u w:val="single" w:color="009C98" w:themeColor="accent1"/>
    </w:rPr>
  </w:style>
  <w:style w:type="paragraph" w:styleId="Quote">
    <w:name w:val="Quote"/>
    <w:basedOn w:val="Normal"/>
    <w:next w:val="Normal"/>
    <w:link w:val="QuoteChar"/>
    <w:uiPriority w:val="29"/>
    <w:qFormat/>
    <w:rsid w:val="00A82FF5"/>
    <w:pPr>
      <w:ind w:left="680" w:right="963"/>
    </w:pPr>
  </w:style>
  <w:style w:type="character" w:customStyle="1" w:styleId="QuoteChar">
    <w:name w:val="Quote Char"/>
    <w:basedOn w:val="DefaultParagraphFont"/>
    <w:link w:val="Quote"/>
    <w:uiPriority w:val="29"/>
    <w:rsid w:val="00A82FF5"/>
    <w:rPr>
      <w:sz w:val="24"/>
    </w:rPr>
  </w:style>
  <w:style w:type="paragraph" w:styleId="IntenseQuote">
    <w:name w:val="Intense Quote"/>
    <w:basedOn w:val="Normal"/>
    <w:next w:val="Normal"/>
    <w:link w:val="IntenseQuoteChar"/>
    <w:uiPriority w:val="30"/>
    <w:rsid w:val="00B14602"/>
    <w:pPr>
      <w:pBdr>
        <w:top w:val="single" w:sz="18" w:space="12" w:color="009C98" w:themeColor="accent1"/>
        <w:bottom w:val="single" w:sz="18" w:space="12" w:color="009C98" w:themeColor="accent1"/>
      </w:pBdr>
      <w:spacing w:before="360" w:after="480"/>
      <w:ind w:left="454" w:right="454"/>
    </w:pPr>
  </w:style>
  <w:style w:type="character" w:customStyle="1" w:styleId="IntenseQuoteChar">
    <w:name w:val="Intense Quote Char"/>
    <w:basedOn w:val="DefaultParagraphFont"/>
    <w:link w:val="IntenseQuote"/>
    <w:uiPriority w:val="30"/>
    <w:rsid w:val="00B14602"/>
    <w:rPr>
      <w:sz w:val="28"/>
    </w:rPr>
  </w:style>
  <w:style w:type="paragraph" w:styleId="ListParagraph">
    <w:name w:val="List Paragraph"/>
    <w:aliases w:val="Dot pt,No Spacing1,List Paragraph Char Char Char,Indicator Text,List Paragraph1,Numbered Para 1,Bullet 1,List Paragraph12,Bullet Points,MAIN CONTENT,F5 List Paragraph,Colorful List - Accent 11,Normal numbered,List Paragraph11,OBC Bullet,L"/>
    <w:basedOn w:val="Normal"/>
    <w:link w:val="ListParagraphChar"/>
    <w:uiPriority w:val="34"/>
    <w:qFormat/>
    <w:rsid w:val="00E3122A"/>
    <w:pPr>
      <w:spacing w:before="60"/>
      <w:ind w:left="227"/>
    </w:pPr>
  </w:style>
  <w:style w:type="paragraph" w:styleId="NoSpacing">
    <w:name w:val="No Spacing"/>
    <w:uiPriority w:val="1"/>
    <w:semiHidden/>
    <w:rsid w:val="00B14602"/>
    <w:pPr>
      <w:spacing w:after="0" w:line="240" w:lineRule="auto"/>
    </w:pPr>
    <w:rPr>
      <w:sz w:val="28"/>
    </w:rPr>
  </w:style>
  <w:style w:type="paragraph" w:styleId="ListBullet">
    <w:name w:val="List Bullet"/>
    <w:basedOn w:val="ListParagraph"/>
    <w:uiPriority w:val="1"/>
    <w:qFormat/>
    <w:rsid w:val="001253D3"/>
    <w:pPr>
      <w:numPr>
        <w:numId w:val="13"/>
      </w:numPr>
    </w:pPr>
  </w:style>
  <w:style w:type="paragraph" w:styleId="ListBullet2">
    <w:name w:val="List Bullet 2"/>
    <w:basedOn w:val="Normal"/>
    <w:uiPriority w:val="99"/>
    <w:unhideWhenUsed/>
    <w:rsid w:val="00B14602"/>
    <w:pPr>
      <w:numPr>
        <w:numId w:val="1"/>
      </w:numPr>
      <w:contextualSpacing/>
    </w:pPr>
  </w:style>
  <w:style w:type="paragraph" w:styleId="ListBullet3">
    <w:name w:val="List Bullet 3"/>
    <w:basedOn w:val="Normal"/>
    <w:uiPriority w:val="99"/>
    <w:unhideWhenUsed/>
    <w:rsid w:val="00B14602"/>
    <w:pPr>
      <w:numPr>
        <w:numId w:val="2"/>
      </w:numPr>
      <w:contextualSpacing/>
    </w:pPr>
  </w:style>
  <w:style w:type="paragraph" w:styleId="ListBullet4">
    <w:name w:val="List Bullet 4"/>
    <w:basedOn w:val="Normal"/>
    <w:uiPriority w:val="99"/>
    <w:unhideWhenUsed/>
    <w:rsid w:val="00B14602"/>
    <w:pPr>
      <w:numPr>
        <w:numId w:val="3"/>
      </w:numPr>
      <w:contextualSpacing/>
    </w:pPr>
  </w:style>
  <w:style w:type="paragraph" w:styleId="List">
    <w:name w:val="List"/>
    <w:basedOn w:val="Normal"/>
    <w:uiPriority w:val="99"/>
    <w:unhideWhenUsed/>
    <w:rsid w:val="00A26DF5"/>
    <w:pPr>
      <w:ind w:left="283" w:hanging="283"/>
      <w:contextualSpacing/>
    </w:pPr>
  </w:style>
  <w:style w:type="paragraph" w:customStyle="1" w:styleId="Figureparagraphnocaption">
    <w:name w:val="Figure paragraph no caption"/>
    <w:basedOn w:val="Normal"/>
    <w:uiPriority w:val="3"/>
    <w:semiHidden/>
    <w:unhideWhenUsed/>
    <w:qFormat/>
    <w:rsid w:val="00880F69"/>
    <w:pPr>
      <w:spacing w:after="480"/>
    </w:pPr>
  </w:style>
  <w:style w:type="character" w:customStyle="1" w:styleId="Howtousethistemplate">
    <w:name w:val="How to use this template"/>
    <w:basedOn w:val="DefaultParagraphFont"/>
    <w:uiPriority w:val="99"/>
    <w:rsid w:val="00A82FF5"/>
    <w:rPr>
      <w:color w:val="722856" w:themeColor="accent5"/>
      <w:sz w:val="24"/>
    </w:rPr>
  </w:style>
  <w:style w:type="paragraph" w:styleId="Date">
    <w:name w:val="Date"/>
    <w:basedOn w:val="Subtitle"/>
    <w:next w:val="Normal"/>
    <w:link w:val="DateChar"/>
    <w:uiPriority w:val="11"/>
    <w:qFormat/>
    <w:rsid w:val="00F171F1"/>
  </w:style>
  <w:style w:type="character" w:customStyle="1" w:styleId="DateChar">
    <w:name w:val="Date Char"/>
    <w:basedOn w:val="DefaultParagraphFont"/>
    <w:link w:val="Date"/>
    <w:uiPriority w:val="11"/>
    <w:rsid w:val="00457EE1"/>
    <w:rPr>
      <w:rFonts w:asciiTheme="majorHAnsi" w:eastAsiaTheme="majorEastAsia" w:hAnsiTheme="majorHAnsi" w:cstheme="majorBidi"/>
      <w:color w:val="FFFFFF" w:themeColor="background1"/>
      <w:spacing w:val="2"/>
      <w:kern w:val="28"/>
      <w:sz w:val="44"/>
      <w:szCs w:val="44"/>
      <w:bdr w:val="single" w:sz="48" w:space="0" w:color="009C98" w:themeColor="accent1"/>
      <w:shd w:val="clear" w:color="auto" w:fill="009C98" w:themeFill="accent1"/>
    </w:rPr>
  </w:style>
  <w:style w:type="paragraph" w:styleId="TOC2">
    <w:name w:val="toc 2"/>
    <w:basedOn w:val="Normal"/>
    <w:next w:val="Normal"/>
    <w:autoRedefine/>
    <w:uiPriority w:val="39"/>
    <w:unhideWhenUsed/>
    <w:rsid w:val="00A82FF5"/>
    <w:pPr>
      <w:spacing w:after="100"/>
      <w:ind w:left="280"/>
    </w:pPr>
  </w:style>
  <w:style w:type="paragraph" w:styleId="TOC1">
    <w:name w:val="toc 1"/>
    <w:basedOn w:val="Normal"/>
    <w:next w:val="Normal"/>
    <w:autoRedefine/>
    <w:uiPriority w:val="39"/>
    <w:unhideWhenUsed/>
    <w:rsid w:val="00A82FF5"/>
    <w:pPr>
      <w:spacing w:after="100"/>
    </w:pPr>
    <w:rPr>
      <w:b/>
    </w:rPr>
  </w:style>
  <w:style w:type="paragraph" w:styleId="ListNumber">
    <w:name w:val="List Number"/>
    <w:basedOn w:val="Normal"/>
    <w:uiPriority w:val="1"/>
    <w:qFormat/>
    <w:rsid w:val="00230678"/>
    <w:pPr>
      <w:numPr>
        <w:numId w:val="6"/>
      </w:numPr>
      <w:spacing w:before="60"/>
      <w:contextualSpacing/>
    </w:pPr>
  </w:style>
  <w:style w:type="paragraph" w:customStyle="1" w:styleId="FigureTabletitle">
    <w:name w:val="Figure / Table title"/>
    <w:basedOn w:val="Normal"/>
    <w:uiPriority w:val="2"/>
    <w:qFormat/>
    <w:rsid w:val="00A26DF5"/>
    <w:pPr>
      <w:keepNext/>
      <w:spacing w:before="480" w:after="120"/>
    </w:pPr>
    <w:rPr>
      <w:b/>
    </w:rPr>
  </w:style>
  <w:style w:type="paragraph" w:customStyle="1" w:styleId="FigureTablesource">
    <w:name w:val="Figure / Table source"/>
    <w:basedOn w:val="Normal"/>
    <w:uiPriority w:val="3"/>
    <w:qFormat/>
    <w:rsid w:val="00D93B3E"/>
    <w:pPr>
      <w:spacing w:after="360"/>
    </w:pPr>
    <w:rPr>
      <w:szCs w:val="24"/>
    </w:rPr>
  </w:style>
  <w:style w:type="table" w:styleId="TableGrid">
    <w:name w:val="Table Grid"/>
    <w:basedOn w:val="TableNormal"/>
    <w:uiPriority w:val="39"/>
    <w:rsid w:val="00EF1F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xtext">
    <w:name w:val="Box text"/>
    <w:basedOn w:val="Boxtitle"/>
    <w:uiPriority w:val="5"/>
    <w:qFormat/>
    <w:rsid w:val="00A26DF5"/>
    <w:rPr>
      <w:b w:val="0"/>
    </w:rPr>
  </w:style>
  <w:style w:type="paragraph" w:customStyle="1" w:styleId="Boxtitle">
    <w:name w:val="Box title"/>
    <w:basedOn w:val="FigureTabletitle"/>
    <w:uiPriority w:val="4"/>
    <w:qFormat/>
    <w:rsid w:val="004E2C9C"/>
    <w:pPr>
      <w:pBdr>
        <w:top w:val="single" w:sz="24" w:space="8" w:color="DDDE45" w:themeColor="accent3"/>
        <w:left w:val="single" w:sz="24" w:space="4" w:color="F1F1B4" w:themeColor="accent3" w:themeTint="66"/>
        <w:bottom w:val="single" w:sz="48" w:space="1" w:color="F1F1B4" w:themeColor="accent3" w:themeTint="66"/>
        <w:right w:val="single" w:sz="24" w:space="4" w:color="F1F1B4" w:themeColor="accent3" w:themeTint="66"/>
      </w:pBdr>
      <w:shd w:val="clear" w:color="auto" w:fill="F1F1B4" w:themeFill="accent3" w:themeFillTint="66"/>
      <w:spacing w:before="400" w:after="240"/>
      <w:ind w:left="142" w:right="198"/>
    </w:pPr>
  </w:style>
  <w:style w:type="paragraph" w:customStyle="1" w:styleId="Boxsource">
    <w:name w:val="Box source"/>
    <w:basedOn w:val="Boxtext"/>
    <w:uiPriority w:val="6"/>
    <w:rsid w:val="004E2C9C"/>
    <w:pPr>
      <w:spacing w:after="400"/>
    </w:pPr>
  </w:style>
  <w:style w:type="character" w:customStyle="1" w:styleId="Heading7Char">
    <w:name w:val="Heading 7 Char"/>
    <w:basedOn w:val="DefaultParagraphFont"/>
    <w:link w:val="Heading7"/>
    <w:uiPriority w:val="9"/>
    <w:semiHidden/>
    <w:rsid w:val="003B7D03"/>
    <w:rPr>
      <w:rFonts w:asciiTheme="majorHAnsi" w:eastAsiaTheme="majorEastAsia" w:hAnsiTheme="majorHAnsi" w:cstheme="majorBidi"/>
      <w:i/>
      <w:iCs/>
      <w:color w:val="004D4B" w:themeColor="accent1" w:themeShade="7F"/>
      <w:sz w:val="24"/>
    </w:rPr>
  </w:style>
  <w:style w:type="paragraph" w:customStyle="1" w:styleId="Boxstandfirst">
    <w:name w:val="Box standfirst"/>
    <w:basedOn w:val="Boxtext"/>
    <w:uiPriority w:val="6"/>
    <w:unhideWhenUsed/>
    <w:rsid w:val="00A26DF5"/>
    <w:pPr>
      <w:spacing w:before="0"/>
    </w:pPr>
    <w:rPr>
      <w:color w:val="0B4E60" w:themeColor="text2"/>
    </w:rPr>
  </w:style>
  <w:style w:type="paragraph" w:customStyle="1" w:styleId="TableParagraph">
    <w:name w:val="Table Paragraph"/>
    <w:basedOn w:val="FigureTabletitle"/>
    <w:uiPriority w:val="1"/>
    <w:rsid w:val="00A82FF5"/>
    <w:pPr>
      <w:spacing w:before="120"/>
    </w:pPr>
    <w:rPr>
      <w:rFonts w:asciiTheme="majorHAnsi" w:hAnsiTheme="majorHAnsi" w:cstheme="majorHAnsi"/>
      <w:b w:val="0"/>
      <w:szCs w:val="28"/>
    </w:rPr>
  </w:style>
  <w:style w:type="paragraph" w:styleId="BodyText">
    <w:name w:val="Body Text"/>
    <w:basedOn w:val="Normal"/>
    <w:link w:val="BodyTextChar"/>
    <w:uiPriority w:val="99"/>
    <w:semiHidden/>
    <w:unhideWhenUsed/>
    <w:rsid w:val="00A82FF5"/>
    <w:pPr>
      <w:spacing w:after="120"/>
    </w:pPr>
  </w:style>
  <w:style w:type="character" w:customStyle="1" w:styleId="BodyTextChar">
    <w:name w:val="Body Text Char"/>
    <w:basedOn w:val="DefaultParagraphFont"/>
    <w:link w:val="BodyText"/>
    <w:uiPriority w:val="99"/>
    <w:semiHidden/>
    <w:rsid w:val="00A82FF5"/>
    <w:rPr>
      <w:sz w:val="24"/>
    </w:rPr>
  </w:style>
  <w:style w:type="paragraph" w:styleId="TOC3">
    <w:name w:val="toc 3"/>
    <w:basedOn w:val="Normal"/>
    <w:next w:val="Normal"/>
    <w:autoRedefine/>
    <w:uiPriority w:val="39"/>
    <w:unhideWhenUsed/>
    <w:rsid w:val="00A82FF5"/>
    <w:pPr>
      <w:spacing w:after="100"/>
      <w:ind w:left="560"/>
    </w:pPr>
  </w:style>
  <w:style w:type="numbering" w:customStyle="1" w:styleId="StyleBulletedSymbolsymbolLeft063cmHanging063cm1">
    <w:name w:val="Style Bulleted Symbol (symbol) Left:  0.63 cm Hanging:  0.63 cm1"/>
    <w:basedOn w:val="NoList"/>
    <w:rsid w:val="00841C02"/>
    <w:pPr>
      <w:numPr>
        <w:numId w:val="5"/>
      </w:numPr>
    </w:pPr>
  </w:style>
  <w:style w:type="numbering" w:customStyle="1" w:styleId="StyleNumberedLeft0cmHanging127cm">
    <w:name w:val="Style Numbered Left:  0 cm Hanging:  1.27 cm"/>
    <w:basedOn w:val="NoList"/>
    <w:rsid w:val="00420E5D"/>
    <w:pPr>
      <w:numPr>
        <w:numId w:val="7"/>
      </w:numPr>
    </w:pPr>
  </w:style>
  <w:style w:type="character" w:customStyle="1" w:styleId="Heading5Char">
    <w:name w:val="Heading 5 Char"/>
    <w:basedOn w:val="DefaultParagraphFont"/>
    <w:uiPriority w:val="9"/>
    <w:semiHidden/>
    <w:rsid w:val="004A47A5"/>
    <w:rPr>
      <w:rFonts w:asciiTheme="majorHAnsi" w:eastAsiaTheme="majorEastAsia" w:hAnsiTheme="majorHAnsi" w:cstheme="majorBidi"/>
      <w:color w:val="007471" w:themeColor="accent1" w:themeShade="BF"/>
      <w:sz w:val="28"/>
    </w:rPr>
  </w:style>
  <w:style w:type="character" w:customStyle="1" w:styleId="Heading6Char">
    <w:name w:val="Heading 6 Char"/>
    <w:basedOn w:val="DefaultParagraphFont"/>
    <w:uiPriority w:val="9"/>
    <w:semiHidden/>
    <w:rsid w:val="004A47A5"/>
    <w:rPr>
      <w:rFonts w:asciiTheme="majorHAnsi" w:eastAsiaTheme="majorEastAsia" w:hAnsiTheme="majorHAnsi" w:cstheme="majorBidi"/>
      <w:color w:val="004D4B" w:themeColor="accent1" w:themeShade="7F"/>
      <w:sz w:val="28"/>
    </w:rPr>
  </w:style>
  <w:style w:type="character" w:customStyle="1" w:styleId="Heading8Char">
    <w:name w:val="Heading 8 Char"/>
    <w:basedOn w:val="DefaultParagraphFont"/>
    <w:uiPriority w:val="9"/>
    <w:semiHidden/>
    <w:rsid w:val="004A47A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uiPriority w:val="9"/>
    <w:semiHidden/>
    <w:rsid w:val="004A47A5"/>
    <w:rPr>
      <w:rFonts w:asciiTheme="majorHAnsi" w:eastAsiaTheme="majorEastAsia" w:hAnsiTheme="majorHAnsi" w:cstheme="majorBidi"/>
      <w:i/>
      <w:iCs/>
      <w:color w:val="272727" w:themeColor="text1" w:themeTint="D8"/>
      <w:sz w:val="21"/>
      <w:szCs w:val="21"/>
    </w:rPr>
  </w:style>
  <w:style w:type="character" w:styleId="CommentReference">
    <w:name w:val="annotation reference"/>
    <w:basedOn w:val="DefaultParagraphFont"/>
    <w:uiPriority w:val="99"/>
    <w:semiHidden/>
    <w:unhideWhenUsed/>
    <w:rsid w:val="00A457FE"/>
    <w:rPr>
      <w:sz w:val="16"/>
      <w:szCs w:val="16"/>
    </w:rPr>
  </w:style>
  <w:style w:type="paragraph" w:styleId="CommentText">
    <w:name w:val="annotation text"/>
    <w:basedOn w:val="Normal"/>
    <w:link w:val="CommentTextChar"/>
    <w:uiPriority w:val="99"/>
    <w:unhideWhenUsed/>
    <w:rsid w:val="00A457FE"/>
    <w:pPr>
      <w:spacing w:line="240" w:lineRule="auto"/>
    </w:pPr>
    <w:rPr>
      <w:sz w:val="20"/>
      <w:szCs w:val="20"/>
    </w:rPr>
  </w:style>
  <w:style w:type="character" w:customStyle="1" w:styleId="CommentTextChar">
    <w:name w:val="Comment Text Char"/>
    <w:basedOn w:val="DefaultParagraphFont"/>
    <w:link w:val="CommentText"/>
    <w:uiPriority w:val="99"/>
    <w:rsid w:val="00A457FE"/>
    <w:rPr>
      <w:sz w:val="20"/>
      <w:szCs w:val="20"/>
    </w:rPr>
  </w:style>
  <w:style w:type="paragraph" w:styleId="CommentSubject">
    <w:name w:val="annotation subject"/>
    <w:basedOn w:val="CommentText"/>
    <w:next w:val="CommentText"/>
    <w:link w:val="CommentSubjectChar"/>
    <w:uiPriority w:val="99"/>
    <w:semiHidden/>
    <w:unhideWhenUsed/>
    <w:rsid w:val="00A457FE"/>
    <w:rPr>
      <w:b/>
      <w:bCs/>
    </w:rPr>
  </w:style>
  <w:style w:type="character" w:customStyle="1" w:styleId="CommentSubjectChar">
    <w:name w:val="Comment Subject Char"/>
    <w:basedOn w:val="CommentTextChar"/>
    <w:link w:val="CommentSubject"/>
    <w:uiPriority w:val="99"/>
    <w:semiHidden/>
    <w:rsid w:val="00A457FE"/>
    <w:rPr>
      <w:b/>
      <w:bCs/>
      <w:sz w:val="20"/>
      <w:szCs w:val="20"/>
    </w:rPr>
  </w:style>
  <w:style w:type="paragraph" w:styleId="BalloonText">
    <w:name w:val="Balloon Text"/>
    <w:basedOn w:val="Normal"/>
    <w:link w:val="BalloonTextChar"/>
    <w:uiPriority w:val="99"/>
    <w:semiHidden/>
    <w:unhideWhenUsed/>
    <w:rsid w:val="00A457FE"/>
    <w:pPr>
      <w:spacing w:before="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57FE"/>
    <w:rPr>
      <w:rFonts w:ascii="Segoe UI" w:hAnsi="Segoe UI" w:cs="Segoe UI"/>
      <w:sz w:val="18"/>
      <w:szCs w:val="18"/>
    </w:rPr>
  </w:style>
  <w:style w:type="numbering" w:customStyle="1" w:styleId="StyleBulletedLatinCourierNewLeft19cmHanging063">
    <w:name w:val="Style Bulleted (Latin) Courier New Left:  1.9 cm Hanging:  0.63 ..."/>
    <w:basedOn w:val="NoList"/>
    <w:rsid w:val="009D0D69"/>
    <w:pPr>
      <w:numPr>
        <w:numId w:val="8"/>
      </w:numPr>
    </w:pPr>
  </w:style>
  <w:style w:type="character" w:styleId="PlaceholderText">
    <w:name w:val="Placeholder Text"/>
    <w:basedOn w:val="DefaultParagraphFont"/>
    <w:uiPriority w:val="99"/>
    <w:semiHidden/>
    <w:rsid w:val="00A82FF5"/>
    <w:rPr>
      <w:color w:val="808080"/>
      <w:sz w:val="24"/>
    </w:rPr>
  </w:style>
  <w:style w:type="paragraph" w:customStyle="1" w:styleId="Standfirst">
    <w:name w:val="Standfirst"/>
    <w:basedOn w:val="Normal"/>
    <w:uiPriority w:val="3"/>
    <w:semiHidden/>
    <w:unhideWhenUsed/>
    <w:rsid w:val="00A82FF5"/>
    <w:rPr>
      <w:color w:val="0B4E60" w:themeColor="text2"/>
    </w:rPr>
  </w:style>
  <w:style w:type="paragraph" w:styleId="TOC6">
    <w:name w:val="toc 6"/>
    <w:basedOn w:val="Normal"/>
    <w:next w:val="Normal"/>
    <w:autoRedefine/>
    <w:uiPriority w:val="39"/>
    <w:semiHidden/>
    <w:unhideWhenUsed/>
    <w:rsid w:val="00A82FF5"/>
    <w:pPr>
      <w:spacing w:after="100"/>
      <w:ind w:left="1400"/>
    </w:pPr>
  </w:style>
  <w:style w:type="character" w:customStyle="1" w:styleId="Heading5Char1">
    <w:name w:val="Heading 5 Char1"/>
    <w:basedOn w:val="DefaultParagraphFont"/>
    <w:link w:val="Heading5"/>
    <w:uiPriority w:val="9"/>
    <w:rsid w:val="004E2C9C"/>
    <w:rPr>
      <w:rFonts w:asciiTheme="majorHAnsi" w:eastAsiaTheme="majorEastAsia" w:hAnsiTheme="majorHAnsi" w:cstheme="majorBidi"/>
      <w:b/>
      <w:sz w:val="24"/>
    </w:rPr>
  </w:style>
  <w:style w:type="paragraph" w:styleId="TOCHeading">
    <w:name w:val="TOC Heading"/>
    <w:basedOn w:val="Normal"/>
    <w:next w:val="Normal"/>
    <w:uiPriority w:val="39"/>
    <w:unhideWhenUsed/>
    <w:qFormat/>
    <w:rsid w:val="00A82FF5"/>
    <w:rPr>
      <w:color w:val="009C98" w:themeColor="accent1"/>
      <w:sz w:val="52"/>
      <w:szCs w:val="56"/>
    </w:rPr>
  </w:style>
  <w:style w:type="paragraph" w:customStyle="1" w:styleId="Author">
    <w:name w:val="Author"/>
    <w:basedOn w:val="Normal"/>
    <w:uiPriority w:val="12"/>
    <w:rsid w:val="00E15F4E"/>
    <w:rPr>
      <w:sz w:val="36"/>
    </w:rPr>
  </w:style>
  <w:style w:type="paragraph" w:customStyle="1" w:styleId="Boxbullets">
    <w:name w:val="Box bullets"/>
    <w:basedOn w:val="Boxtext"/>
    <w:uiPriority w:val="6"/>
    <w:qFormat/>
    <w:rsid w:val="00A82FF5"/>
    <w:pPr>
      <w:numPr>
        <w:numId w:val="12"/>
      </w:numPr>
    </w:pPr>
  </w:style>
  <w:style w:type="paragraph" w:customStyle="1" w:styleId="Boxnumberedlist">
    <w:name w:val="Box numbered list"/>
    <w:basedOn w:val="Boxtext"/>
    <w:uiPriority w:val="6"/>
    <w:rsid w:val="00A82FF5"/>
    <w:pPr>
      <w:numPr>
        <w:numId w:val="9"/>
      </w:numPr>
      <w:ind w:left="709" w:hanging="567"/>
    </w:pPr>
  </w:style>
  <w:style w:type="numbering" w:customStyle="1" w:styleId="Basicbulletlist">
    <w:name w:val="Basic bullet list"/>
    <w:uiPriority w:val="99"/>
    <w:rsid w:val="00283666"/>
    <w:pPr>
      <w:numPr>
        <w:numId w:val="10"/>
      </w:numPr>
    </w:pPr>
  </w:style>
  <w:style w:type="numbering" w:customStyle="1" w:styleId="Boxbulletlist">
    <w:name w:val="Box bullet list"/>
    <w:uiPriority w:val="99"/>
    <w:rsid w:val="00283666"/>
    <w:pPr>
      <w:numPr>
        <w:numId w:val="11"/>
      </w:numPr>
    </w:pPr>
  </w:style>
  <w:style w:type="table" w:customStyle="1" w:styleId="EHRCTable1">
    <w:name w:val="EHRC Table 1"/>
    <w:basedOn w:val="TableNormal"/>
    <w:uiPriority w:val="99"/>
    <w:rsid w:val="00CC0205"/>
    <w:pPr>
      <w:spacing w:after="60" w:line="264" w:lineRule="auto"/>
      <w:jc w:val="right"/>
    </w:pPr>
    <w:rPr>
      <w:sz w:val="28"/>
    </w:rPr>
    <w:tblPr>
      <w:tblBorders>
        <w:top w:val="single" w:sz="4" w:space="0" w:color="7DCAC7" w:themeColor="background2"/>
        <w:bottom w:val="single" w:sz="2" w:space="0" w:color="7DCAC7" w:themeColor="background2"/>
        <w:insideH w:val="single" w:sz="2" w:space="0" w:color="7DCAC7" w:themeColor="background2"/>
        <w:insideV w:val="single" w:sz="2" w:space="0" w:color="7DCAC7" w:themeColor="background2"/>
      </w:tblBorders>
    </w:tblPr>
    <w:tcPr>
      <w:shd w:val="clear" w:color="auto" w:fill="auto"/>
      <w:tcMar>
        <w:top w:w="57" w:type="dxa"/>
        <w:bottom w:w="57" w:type="dxa"/>
      </w:tcMar>
    </w:tcPr>
    <w:tblStylePr w:type="firstRow">
      <w:pPr>
        <w:wordWrap/>
        <w:spacing w:beforeLines="0" w:before="60" w:beforeAutospacing="0" w:afterLines="0" w:after="60" w:afterAutospacing="0" w:line="264" w:lineRule="auto"/>
      </w:pPr>
      <w:rPr>
        <w:b/>
        <w:color w:val="FFFFFF" w:themeColor="background1"/>
      </w:rPr>
      <w:tblPr/>
      <w:tcPr>
        <w:tcBorders>
          <w:top w:val="nil"/>
          <w:insideV w:val="single" w:sz="4" w:space="0" w:color="FFFFFF" w:themeColor="background1"/>
        </w:tcBorders>
        <w:shd w:val="clear" w:color="auto" w:fill="009C98" w:themeFill="accent1"/>
      </w:tcPr>
    </w:tblStylePr>
    <w:tblStylePr w:type="lastRow">
      <w:rPr>
        <w:b/>
      </w:rPr>
      <w:tblPr/>
      <w:tcPr>
        <w:shd w:val="clear" w:color="auto" w:fill="E4F4F3" w:themeFill="background2" w:themeFillTint="33"/>
      </w:tcPr>
    </w:tblStylePr>
    <w:tblStylePr w:type="firstCol">
      <w:pPr>
        <w:jc w:val="left"/>
      </w:pPr>
    </w:tblStylePr>
  </w:style>
  <w:style w:type="table" w:customStyle="1" w:styleId="EHRCTable2">
    <w:name w:val="EHRC Table 2"/>
    <w:basedOn w:val="EHRCTable1"/>
    <w:uiPriority w:val="99"/>
    <w:rsid w:val="00CC0205"/>
    <w:pPr>
      <w:spacing w:after="0" w:line="240" w:lineRule="auto"/>
      <w:jc w:val="left"/>
    </w:pPr>
    <w:tblPr/>
    <w:tcPr>
      <w:shd w:val="clear" w:color="auto" w:fill="auto"/>
    </w:tcPr>
    <w:tblStylePr w:type="firstRow">
      <w:pPr>
        <w:wordWrap/>
        <w:spacing w:beforeLines="0" w:before="60" w:beforeAutospacing="0" w:afterLines="0" w:after="60" w:afterAutospacing="0" w:line="264" w:lineRule="auto"/>
      </w:pPr>
      <w:rPr>
        <w:b/>
        <w:color w:val="FFFFFF" w:themeColor="background1"/>
      </w:rPr>
      <w:tblPr/>
      <w:tcPr>
        <w:tcBorders>
          <w:top w:val="nil"/>
          <w:insideV w:val="single" w:sz="4" w:space="0" w:color="FFFFFF" w:themeColor="background1"/>
        </w:tcBorders>
        <w:shd w:val="clear" w:color="auto" w:fill="009C98" w:themeFill="accent1"/>
      </w:tcPr>
    </w:tblStylePr>
    <w:tblStylePr w:type="lastRow">
      <w:rPr>
        <w:b/>
      </w:rPr>
      <w:tblPr/>
      <w:tcPr>
        <w:shd w:val="clear" w:color="auto" w:fill="E4F4F3" w:themeFill="background2" w:themeFillTint="33"/>
      </w:tcPr>
    </w:tblStylePr>
    <w:tblStylePr w:type="firstCol">
      <w:pPr>
        <w:jc w:val="left"/>
      </w:pPr>
    </w:tblStylePr>
  </w:style>
  <w:style w:type="paragraph" w:styleId="EndnoteText">
    <w:name w:val="endnote text"/>
    <w:basedOn w:val="Normal"/>
    <w:link w:val="EndnoteTextChar"/>
    <w:uiPriority w:val="99"/>
    <w:unhideWhenUsed/>
    <w:rsid w:val="00A26DF5"/>
    <w:pPr>
      <w:spacing w:before="0" w:line="240" w:lineRule="auto"/>
    </w:pPr>
    <w:rPr>
      <w:szCs w:val="20"/>
    </w:rPr>
  </w:style>
  <w:style w:type="character" w:customStyle="1" w:styleId="EndnoteTextChar">
    <w:name w:val="Endnote Text Char"/>
    <w:basedOn w:val="DefaultParagraphFont"/>
    <w:link w:val="EndnoteText"/>
    <w:uiPriority w:val="99"/>
    <w:rsid w:val="00A26DF5"/>
    <w:rPr>
      <w:sz w:val="24"/>
      <w:szCs w:val="20"/>
    </w:rPr>
  </w:style>
  <w:style w:type="character" w:styleId="PageNumber">
    <w:name w:val="page number"/>
    <w:basedOn w:val="DefaultParagraphFont"/>
    <w:uiPriority w:val="99"/>
    <w:semiHidden/>
    <w:unhideWhenUsed/>
    <w:rsid w:val="00A82FF5"/>
    <w:rPr>
      <w:color w:val="0B4E60" w:themeColor="text2"/>
      <w:sz w:val="24"/>
    </w:rPr>
  </w:style>
  <w:style w:type="paragraph" w:customStyle="1" w:styleId="Casestudytext">
    <w:name w:val="Case study text"/>
    <w:basedOn w:val="Boxtext"/>
    <w:uiPriority w:val="8"/>
    <w:qFormat/>
    <w:rsid w:val="004E2C9C"/>
    <w:pPr>
      <w:pBdr>
        <w:top w:val="single" w:sz="2" w:space="8" w:color="FFFFFF" w:themeColor="background1"/>
        <w:left w:val="single" w:sz="2" w:space="6" w:color="FFFFFF" w:themeColor="background1"/>
        <w:bottom w:val="single" w:sz="2" w:space="4" w:color="FFFFFF" w:themeColor="background1"/>
        <w:right w:val="single" w:sz="2" w:space="6" w:color="FFFFFF" w:themeColor="background1"/>
      </w:pBdr>
      <w:shd w:val="clear" w:color="auto" w:fill="E4F4F3" w:themeFill="background2" w:themeFillTint="33"/>
      <w:spacing w:after="400"/>
    </w:pPr>
  </w:style>
  <w:style w:type="paragraph" w:customStyle="1" w:styleId="Casestudysource">
    <w:name w:val="Case study source"/>
    <w:basedOn w:val="Boxsource"/>
    <w:uiPriority w:val="8"/>
    <w:rsid w:val="004E2C9C"/>
    <w:pPr>
      <w:pBdr>
        <w:top w:val="single" w:sz="2" w:space="8" w:color="FFFFFF" w:themeColor="background1"/>
        <w:left w:val="single" w:sz="2" w:space="6" w:color="FFFFFF" w:themeColor="background1"/>
        <w:bottom w:val="single" w:sz="2" w:space="4" w:color="FFFFFF" w:themeColor="background1"/>
        <w:right w:val="single" w:sz="2" w:space="6" w:color="FFFFFF" w:themeColor="background1"/>
      </w:pBdr>
      <w:shd w:val="clear" w:color="auto" w:fill="E4F4F3" w:themeFill="background2" w:themeFillTint="33"/>
    </w:pPr>
    <w:rPr>
      <w:color w:val="0B4E60" w:themeColor="text2"/>
    </w:rPr>
  </w:style>
  <w:style w:type="paragraph" w:customStyle="1" w:styleId="Casestudytitle">
    <w:name w:val="Case study title"/>
    <w:basedOn w:val="Boxtitle"/>
    <w:uiPriority w:val="7"/>
    <w:qFormat/>
    <w:rsid w:val="004E2C9C"/>
    <w:pPr>
      <w:pBdr>
        <w:top w:val="single" w:sz="2" w:space="8" w:color="FFFFFF" w:themeColor="background1"/>
        <w:left w:val="single" w:sz="2" w:space="6" w:color="FFFFFF" w:themeColor="background1"/>
        <w:bottom w:val="single" w:sz="2" w:space="4" w:color="FFFFFF" w:themeColor="background1"/>
        <w:right w:val="single" w:sz="2" w:space="6" w:color="FFFFFF" w:themeColor="background1"/>
      </w:pBdr>
      <w:shd w:val="clear" w:color="auto" w:fill="0B4E60" w:themeFill="text2"/>
      <w:tabs>
        <w:tab w:val="left" w:pos="7938"/>
      </w:tabs>
      <w:spacing w:after="120"/>
    </w:pPr>
  </w:style>
  <w:style w:type="paragraph" w:customStyle="1" w:styleId="Documenttype">
    <w:name w:val="Document type"/>
    <w:basedOn w:val="Date"/>
    <w:rsid w:val="00A444F9"/>
    <w:pPr>
      <w:pBdr>
        <w:top w:val="single" w:sz="48" w:space="0" w:color="0B4E60" w:themeColor="text2"/>
        <w:left w:val="single" w:sz="48" w:space="0" w:color="0B4E60" w:themeColor="text2"/>
        <w:bottom w:val="single" w:sz="48" w:space="0" w:color="0B4E60" w:themeColor="text2"/>
        <w:right w:val="single" w:sz="48" w:space="0" w:color="0B4E60" w:themeColor="text2"/>
      </w:pBdr>
      <w:shd w:val="clear" w:color="auto" w:fill="0B4E60" w:themeFill="text2"/>
    </w:pPr>
    <w:rPr>
      <w:sz w:val="40"/>
      <w:bdr w:val="single" w:sz="48" w:space="0" w:color="0B4E60" w:themeColor="text2"/>
      <w:shd w:val="clear" w:color="auto" w:fill="auto"/>
    </w:rPr>
  </w:style>
  <w:style w:type="paragraph" w:customStyle="1" w:styleId="Documentstatus">
    <w:name w:val="Document status"/>
    <w:basedOn w:val="Author"/>
    <w:rsid w:val="00605567"/>
    <w:rPr>
      <w:sz w:val="32"/>
    </w:rPr>
  </w:style>
  <w:style w:type="paragraph" w:styleId="BodyText2">
    <w:name w:val="Body Text 2"/>
    <w:basedOn w:val="Normal"/>
    <w:link w:val="BodyText2Char"/>
    <w:uiPriority w:val="99"/>
    <w:semiHidden/>
    <w:unhideWhenUsed/>
    <w:rsid w:val="00A82FF5"/>
    <w:pPr>
      <w:spacing w:after="120" w:line="480" w:lineRule="auto"/>
    </w:pPr>
  </w:style>
  <w:style w:type="character" w:customStyle="1" w:styleId="BodyText2Char">
    <w:name w:val="Body Text 2 Char"/>
    <w:basedOn w:val="DefaultParagraphFont"/>
    <w:link w:val="BodyText2"/>
    <w:uiPriority w:val="99"/>
    <w:semiHidden/>
    <w:rsid w:val="00A82FF5"/>
    <w:rPr>
      <w:sz w:val="24"/>
    </w:rPr>
  </w:style>
  <w:style w:type="paragraph" w:styleId="BodyTextFirstIndent">
    <w:name w:val="Body Text First Indent"/>
    <w:basedOn w:val="BodyText"/>
    <w:link w:val="BodyTextFirstIndentChar"/>
    <w:uiPriority w:val="99"/>
    <w:semiHidden/>
    <w:unhideWhenUsed/>
    <w:rsid w:val="00A82FF5"/>
    <w:pPr>
      <w:spacing w:after="0"/>
      <w:ind w:firstLine="360"/>
    </w:pPr>
  </w:style>
  <w:style w:type="character" w:customStyle="1" w:styleId="BodyTextFirstIndentChar">
    <w:name w:val="Body Text First Indent Char"/>
    <w:basedOn w:val="BodyTextChar"/>
    <w:link w:val="BodyTextFirstIndent"/>
    <w:uiPriority w:val="99"/>
    <w:semiHidden/>
    <w:rsid w:val="00A82FF5"/>
    <w:rPr>
      <w:sz w:val="24"/>
    </w:rPr>
  </w:style>
  <w:style w:type="paragraph" w:styleId="BodyTextIndent">
    <w:name w:val="Body Text Indent"/>
    <w:basedOn w:val="Normal"/>
    <w:link w:val="BodyTextIndentChar"/>
    <w:uiPriority w:val="99"/>
    <w:semiHidden/>
    <w:unhideWhenUsed/>
    <w:rsid w:val="00A82FF5"/>
    <w:pPr>
      <w:spacing w:after="120"/>
      <w:ind w:left="283"/>
    </w:pPr>
  </w:style>
  <w:style w:type="character" w:customStyle="1" w:styleId="BodyTextIndentChar">
    <w:name w:val="Body Text Indent Char"/>
    <w:basedOn w:val="DefaultParagraphFont"/>
    <w:link w:val="BodyTextIndent"/>
    <w:uiPriority w:val="99"/>
    <w:semiHidden/>
    <w:rsid w:val="00A82FF5"/>
    <w:rPr>
      <w:sz w:val="24"/>
    </w:rPr>
  </w:style>
  <w:style w:type="paragraph" w:styleId="BodyTextFirstIndent2">
    <w:name w:val="Body Text First Indent 2"/>
    <w:basedOn w:val="BodyTextIndent"/>
    <w:link w:val="BodyTextFirstIndent2Char"/>
    <w:uiPriority w:val="99"/>
    <w:semiHidden/>
    <w:unhideWhenUsed/>
    <w:rsid w:val="00A82FF5"/>
    <w:pPr>
      <w:spacing w:after="0"/>
      <w:ind w:left="360" w:firstLine="360"/>
    </w:pPr>
  </w:style>
  <w:style w:type="character" w:customStyle="1" w:styleId="BodyTextFirstIndent2Char">
    <w:name w:val="Body Text First Indent 2 Char"/>
    <w:basedOn w:val="BodyTextIndentChar"/>
    <w:link w:val="BodyTextFirstIndent2"/>
    <w:uiPriority w:val="99"/>
    <w:semiHidden/>
    <w:rsid w:val="00A82FF5"/>
    <w:rPr>
      <w:sz w:val="24"/>
    </w:rPr>
  </w:style>
  <w:style w:type="paragraph" w:styleId="BodyTextIndent2">
    <w:name w:val="Body Text Indent 2"/>
    <w:basedOn w:val="Normal"/>
    <w:link w:val="BodyTextIndent2Char"/>
    <w:uiPriority w:val="99"/>
    <w:semiHidden/>
    <w:unhideWhenUsed/>
    <w:rsid w:val="00A82FF5"/>
    <w:pPr>
      <w:spacing w:after="120" w:line="480" w:lineRule="auto"/>
      <w:ind w:left="283"/>
    </w:pPr>
  </w:style>
  <w:style w:type="character" w:customStyle="1" w:styleId="BodyTextIndent2Char">
    <w:name w:val="Body Text Indent 2 Char"/>
    <w:basedOn w:val="DefaultParagraphFont"/>
    <w:link w:val="BodyTextIndent2"/>
    <w:uiPriority w:val="99"/>
    <w:semiHidden/>
    <w:rsid w:val="00A82FF5"/>
    <w:rPr>
      <w:sz w:val="24"/>
    </w:rPr>
  </w:style>
  <w:style w:type="paragraph" w:styleId="TOC7">
    <w:name w:val="toc 7"/>
    <w:basedOn w:val="Normal"/>
    <w:next w:val="Normal"/>
    <w:autoRedefine/>
    <w:uiPriority w:val="39"/>
    <w:semiHidden/>
    <w:unhideWhenUsed/>
    <w:rsid w:val="00A82FF5"/>
    <w:pPr>
      <w:spacing w:after="100"/>
      <w:ind w:left="1680"/>
    </w:pPr>
  </w:style>
  <w:style w:type="paragraph" w:styleId="TOC8">
    <w:name w:val="toc 8"/>
    <w:basedOn w:val="Normal"/>
    <w:next w:val="Normal"/>
    <w:autoRedefine/>
    <w:uiPriority w:val="39"/>
    <w:semiHidden/>
    <w:unhideWhenUsed/>
    <w:rsid w:val="00A82FF5"/>
    <w:pPr>
      <w:spacing w:after="100"/>
      <w:ind w:left="1960"/>
    </w:pPr>
  </w:style>
  <w:style w:type="paragraph" w:styleId="TOC9">
    <w:name w:val="toc 9"/>
    <w:basedOn w:val="Normal"/>
    <w:next w:val="Normal"/>
    <w:autoRedefine/>
    <w:uiPriority w:val="39"/>
    <w:semiHidden/>
    <w:unhideWhenUsed/>
    <w:rsid w:val="00A82FF5"/>
    <w:pPr>
      <w:spacing w:after="100"/>
      <w:ind w:left="2240"/>
    </w:pPr>
  </w:style>
  <w:style w:type="paragraph" w:styleId="TOC5">
    <w:name w:val="toc 5"/>
    <w:basedOn w:val="Normal"/>
    <w:next w:val="Normal"/>
    <w:autoRedefine/>
    <w:uiPriority w:val="39"/>
    <w:semiHidden/>
    <w:unhideWhenUsed/>
    <w:rsid w:val="00A82FF5"/>
    <w:pPr>
      <w:spacing w:after="100"/>
      <w:ind w:left="1120"/>
    </w:pPr>
  </w:style>
  <w:style w:type="paragraph" w:styleId="TOC4">
    <w:name w:val="toc 4"/>
    <w:basedOn w:val="Normal"/>
    <w:next w:val="Normal"/>
    <w:autoRedefine/>
    <w:uiPriority w:val="39"/>
    <w:semiHidden/>
    <w:unhideWhenUsed/>
    <w:rsid w:val="00A82FF5"/>
    <w:pPr>
      <w:spacing w:after="100"/>
      <w:ind w:left="840"/>
    </w:pPr>
  </w:style>
  <w:style w:type="paragraph" w:styleId="TOAHeading">
    <w:name w:val="toa heading"/>
    <w:basedOn w:val="Normal"/>
    <w:next w:val="Normal"/>
    <w:uiPriority w:val="99"/>
    <w:semiHidden/>
    <w:unhideWhenUsed/>
    <w:rsid w:val="00A82FF5"/>
    <w:pPr>
      <w:spacing w:before="120"/>
    </w:pPr>
    <w:rPr>
      <w:rFonts w:asciiTheme="majorHAnsi" w:eastAsiaTheme="majorEastAsia" w:hAnsiTheme="majorHAnsi" w:cstheme="majorBidi"/>
      <w:b/>
      <w:bCs/>
      <w:szCs w:val="24"/>
    </w:rPr>
  </w:style>
  <w:style w:type="paragraph" w:styleId="TableofFigures">
    <w:name w:val="table of figures"/>
    <w:basedOn w:val="Normal"/>
    <w:next w:val="Normal"/>
    <w:uiPriority w:val="99"/>
    <w:semiHidden/>
    <w:unhideWhenUsed/>
    <w:rsid w:val="00A82FF5"/>
  </w:style>
  <w:style w:type="paragraph" w:styleId="TableofAuthorities">
    <w:name w:val="table of authorities"/>
    <w:basedOn w:val="Normal"/>
    <w:next w:val="Normal"/>
    <w:uiPriority w:val="99"/>
    <w:semiHidden/>
    <w:unhideWhenUsed/>
    <w:rsid w:val="00A82FF5"/>
    <w:pPr>
      <w:ind w:left="280" w:hanging="280"/>
    </w:pPr>
  </w:style>
  <w:style w:type="character" w:styleId="SubtleReference">
    <w:name w:val="Subtle Reference"/>
    <w:basedOn w:val="DefaultParagraphFont"/>
    <w:uiPriority w:val="31"/>
    <w:rsid w:val="00A82FF5"/>
    <w:rPr>
      <w:smallCaps/>
      <w:color w:val="5A5A5A" w:themeColor="text1" w:themeTint="A5"/>
      <w:sz w:val="24"/>
    </w:rPr>
  </w:style>
  <w:style w:type="character" w:styleId="Strong">
    <w:name w:val="Strong"/>
    <w:basedOn w:val="DefaultParagraphFont"/>
    <w:uiPriority w:val="22"/>
    <w:qFormat/>
    <w:rsid w:val="00A82FF5"/>
    <w:rPr>
      <w:b/>
      <w:bCs/>
      <w:sz w:val="24"/>
    </w:rPr>
  </w:style>
  <w:style w:type="paragraph" w:styleId="Signature">
    <w:name w:val="Signature"/>
    <w:basedOn w:val="Normal"/>
    <w:link w:val="SignatureChar"/>
    <w:uiPriority w:val="99"/>
    <w:semiHidden/>
    <w:unhideWhenUsed/>
    <w:rsid w:val="00A82FF5"/>
    <w:pPr>
      <w:spacing w:before="0" w:line="240" w:lineRule="auto"/>
      <w:ind w:left="4252"/>
    </w:pPr>
  </w:style>
  <w:style w:type="character" w:customStyle="1" w:styleId="SignatureChar">
    <w:name w:val="Signature Char"/>
    <w:basedOn w:val="DefaultParagraphFont"/>
    <w:link w:val="Signature"/>
    <w:uiPriority w:val="99"/>
    <w:semiHidden/>
    <w:rsid w:val="00A82FF5"/>
    <w:rPr>
      <w:sz w:val="24"/>
    </w:rPr>
  </w:style>
  <w:style w:type="paragraph" w:styleId="NormalIndent">
    <w:name w:val="Normal Indent"/>
    <w:basedOn w:val="Normal"/>
    <w:uiPriority w:val="99"/>
    <w:semiHidden/>
    <w:unhideWhenUsed/>
    <w:rsid w:val="00A82FF5"/>
    <w:pPr>
      <w:ind w:left="720"/>
    </w:pPr>
  </w:style>
  <w:style w:type="paragraph" w:styleId="NoteHeading">
    <w:name w:val="Note Heading"/>
    <w:basedOn w:val="Normal"/>
    <w:next w:val="Normal"/>
    <w:link w:val="NoteHeadingChar"/>
    <w:uiPriority w:val="99"/>
    <w:semiHidden/>
    <w:unhideWhenUsed/>
    <w:rsid w:val="00A82FF5"/>
    <w:pPr>
      <w:spacing w:before="0" w:line="240" w:lineRule="auto"/>
    </w:pPr>
  </w:style>
  <w:style w:type="character" w:customStyle="1" w:styleId="NoteHeadingChar">
    <w:name w:val="Note Heading Char"/>
    <w:basedOn w:val="DefaultParagraphFont"/>
    <w:link w:val="NoteHeading"/>
    <w:uiPriority w:val="99"/>
    <w:semiHidden/>
    <w:rsid w:val="00A82FF5"/>
    <w:rPr>
      <w:sz w:val="24"/>
    </w:rPr>
  </w:style>
  <w:style w:type="numbering" w:customStyle="1" w:styleId="StyleOutlinenumberedLatinHeadingsArialComplexHeadi">
    <w:name w:val="Style Outline numbered (Latin) +Headings (Arial) (Complex) +Headi..."/>
    <w:basedOn w:val="NoList"/>
    <w:rsid w:val="00A82FF5"/>
    <w:pPr>
      <w:numPr>
        <w:numId w:val="14"/>
      </w:numPr>
    </w:pPr>
  </w:style>
  <w:style w:type="numbering" w:customStyle="1" w:styleId="StyleOutlinenumberedLatinHeadingsArialComplexHeadi2">
    <w:name w:val="Style Outline numbered (Latin) +Headings (Arial) (Complex) +Headi...2"/>
    <w:basedOn w:val="NoList"/>
    <w:rsid w:val="004E2C9C"/>
    <w:pPr>
      <w:numPr>
        <w:numId w:val="16"/>
      </w:numPr>
    </w:pPr>
  </w:style>
  <w:style w:type="character" w:customStyle="1" w:styleId="Heading6Char1">
    <w:name w:val="Heading 6 Char1"/>
    <w:basedOn w:val="DefaultParagraphFont"/>
    <w:link w:val="Heading6"/>
    <w:uiPriority w:val="9"/>
    <w:semiHidden/>
    <w:rsid w:val="004E2C9C"/>
    <w:rPr>
      <w:rFonts w:asciiTheme="majorHAnsi" w:eastAsiaTheme="majorEastAsia" w:hAnsiTheme="majorHAnsi" w:cstheme="majorBidi"/>
      <w:sz w:val="24"/>
    </w:rPr>
  </w:style>
  <w:style w:type="character" w:styleId="HTMLCite">
    <w:name w:val="HTML Cite"/>
    <w:basedOn w:val="DefaultParagraphFont"/>
    <w:uiPriority w:val="99"/>
    <w:semiHidden/>
    <w:unhideWhenUsed/>
    <w:rsid w:val="00A82FF5"/>
    <w:rPr>
      <w:i/>
      <w:iCs/>
      <w:sz w:val="24"/>
    </w:rPr>
  </w:style>
  <w:style w:type="paragraph" w:styleId="NormalWeb">
    <w:name w:val="Normal (Web)"/>
    <w:basedOn w:val="Normal"/>
    <w:uiPriority w:val="99"/>
    <w:unhideWhenUsed/>
    <w:rsid w:val="00A444F9"/>
    <w:pPr>
      <w:keepLines w:val="0"/>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ListParagraphChar">
    <w:name w:val="List Paragraph Char"/>
    <w:aliases w:val="Dot pt Char,No Spacing1 Char,List Paragraph Char Char Char Char,Indicator Text Char,List Paragraph1 Char,Numbered Para 1 Char,Bullet 1 Char,List Paragraph12 Char,Bullet Points Char,MAIN CONTENT Char,F5 List Paragraph Char,L Char"/>
    <w:basedOn w:val="DefaultParagraphFont"/>
    <w:link w:val="ListParagraph"/>
    <w:uiPriority w:val="34"/>
    <w:qFormat/>
    <w:locked/>
    <w:rsid w:val="0022443D"/>
    <w:rPr>
      <w:sz w:val="24"/>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0F0133"/>
    <w:pPr>
      <w:keepLines w:val="0"/>
      <w:spacing w:before="0" w:after="200" w:line="240" w:lineRule="exact"/>
      <w:jc w:val="both"/>
    </w:pPr>
    <w:rPr>
      <w:sz w:val="22"/>
      <w:vertAlign w:val="superscript"/>
    </w:rPr>
  </w:style>
  <w:style w:type="paragraph" w:styleId="Revision">
    <w:name w:val="Revision"/>
    <w:hidden/>
    <w:uiPriority w:val="99"/>
    <w:semiHidden/>
    <w:rsid w:val="00CE7241"/>
    <w:pPr>
      <w:spacing w:after="0" w:line="240" w:lineRule="auto"/>
    </w:pPr>
    <w:rPr>
      <w:sz w:val="24"/>
    </w:rPr>
  </w:style>
  <w:style w:type="character" w:styleId="EndnoteReference">
    <w:name w:val="endnote reference"/>
    <w:basedOn w:val="DefaultParagraphFont"/>
    <w:uiPriority w:val="99"/>
    <w:semiHidden/>
    <w:unhideWhenUsed/>
    <w:rsid w:val="0072548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074967">
      <w:bodyDiv w:val="1"/>
      <w:marLeft w:val="0"/>
      <w:marRight w:val="0"/>
      <w:marTop w:val="0"/>
      <w:marBottom w:val="0"/>
      <w:divBdr>
        <w:top w:val="none" w:sz="0" w:space="0" w:color="auto"/>
        <w:left w:val="none" w:sz="0" w:space="0" w:color="auto"/>
        <w:bottom w:val="none" w:sz="0" w:space="0" w:color="auto"/>
        <w:right w:val="none" w:sz="0" w:space="0" w:color="auto"/>
      </w:divBdr>
    </w:div>
    <w:div w:id="57562118">
      <w:bodyDiv w:val="1"/>
      <w:marLeft w:val="0"/>
      <w:marRight w:val="0"/>
      <w:marTop w:val="0"/>
      <w:marBottom w:val="0"/>
      <w:divBdr>
        <w:top w:val="none" w:sz="0" w:space="0" w:color="auto"/>
        <w:left w:val="none" w:sz="0" w:space="0" w:color="auto"/>
        <w:bottom w:val="none" w:sz="0" w:space="0" w:color="auto"/>
        <w:right w:val="none" w:sz="0" w:space="0" w:color="auto"/>
      </w:divBdr>
    </w:div>
    <w:div w:id="83260423">
      <w:bodyDiv w:val="1"/>
      <w:marLeft w:val="0"/>
      <w:marRight w:val="0"/>
      <w:marTop w:val="0"/>
      <w:marBottom w:val="0"/>
      <w:divBdr>
        <w:top w:val="none" w:sz="0" w:space="0" w:color="auto"/>
        <w:left w:val="none" w:sz="0" w:space="0" w:color="auto"/>
        <w:bottom w:val="none" w:sz="0" w:space="0" w:color="auto"/>
        <w:right w:val="none" w:sz="0" w:space="0" w:color="auto"/>
      </w:divBdr>
    </w:div>
    <w:div w:id="85272588">
      <w:bodyDiv w:val="1"/>
      <w:marLeft w:val="0"/>
      <w:marRight w:val="0"/>
      <w:marTop w:val="0"/>
      <w:marBottom w:val="0"/>
      <w:divBdr>
        <w:top w:val="none" w:sz="0" w:space="0" w:color="auto"/>
        <w:left w:val="none" w:sz="0" w:space="0" w:color="auto"/>
        <w:bottom w:val="none" w:sz="0" w:space="0" w:color="auto"/>
        <w:right w:val="none" w:sz="0" w:space="0" w:color="auto"/>
      </w:divBdr>
    </w:div>
    <w:div w:id="156307654">
      <w:bodyDiv w:val="1"/>
      <w:marLeft w:val="0"/>
      <w:marRight w:val="0"/>
      <w:marTop w:val="0"/>
      <w:marBottom w:val="0"/>
      <w:divBdr>
        <w:top w:val="none" w:sz="0" w:space="0" w:color="auto"/>
        <w:left w:val="none" w:sz="0" w:space="0" w:color="auto"/>
        <w:bottom w:val="none" w:sz="0" w:space="0" w:color="auto"/>
        <w:right w:val="none" w:sz="0" w:space="0" w:color="auto"/>
      </w:divBdr>
    </w:div>
    <w:div w:id="228156841">
      <w:bodyDiv w:val="1"/>
      <w:marLeft w:val="0"/>
      <w:marRight w:val="0"/>
      <w:marTop w:val="0"/>
      <w:marBottom w:val="0"/>
      <w:divBdr>
        <w:top w:val="none" w:sz="0" w:space="0" w:color="auto"/>
        <w:left w:val="none" w:sz="0" w:space="0" w:color="auto"/>
        <w:bottom w:val="none" w:sz="0" w:space="0" w:color="auto"/>
        <w:right w:val="none" w:sz="0" w:space="0" w:color="auto"/>
      </w:divBdr>
    </w:div>
    <w:div w:id="331102673">
      <w:bodyDiv w:val="1"/>
      <w:marLeft w:val="0"/>
      <w:marRight w:val="0"/>
      <w:marTop w:val="0"/>
      <w:marBottom w:val="0"/>
      <w:divBdr>
        <w:top w:val="none" w:sz="0" w:space="0" w:color="auto"/>
        <w:left w:val="none" w:sz="0" w:space="0" w:color="auto"/>
        <w:bottom w:val="none" w:sz="0" w:space="0" w:color="auto"/>
        <w:right w:val="none" w:sz="0" w:space="0" w:color="auto"/>
      </w:divBdr>
    </w:div>
    <w:div w:id="440538211">
      <w:bodyDiv w:val="1"/>
      <w:marLeft w:val="0"/>
      <w:marRight w:val="0"/>
      <w:marTop w:val="0"/>
      <w:marBottom w:val="0"/>
      <w:divBdr>
        <w:top w:val="none" w:sz="0" w:space="0" w:color="auto"/>
        <w:left w:val="none" w:sz="0" w:space="0" w:color="auto"/>
        <w:bottom w:val="none" w:sz="0" w:space="0" w:color="auto"/>
        <w:right w:val="none" w:sz="0" w:space="0" w:color="auto"/>
      </w:divBdr>
    </w:div>
    <w:div w:id="454369761">
      <w:bodyDiv w:val="1"/>
      <w:marLeft w:val="0"/>
      <w:marRight w:val="0"/>
      <w:marTop w:val="0"/>
      <w:marBottom w:val="0"/>
      <w:divBdr>
        <w:top w:val="none" w:sz="0" w:space="0" w:color="auto"/>
        <w:left w:val="none" w:sz="0" w:space="0" w:color="auto"/>
        <w:bottom w:val="none" w:sz="0" w:space="0" w:color="auto"/>
        <w:right w:val="none" w:sz="0" w:space="0" w:color="auto"/>
      </w:divBdr>
    </w:div>
    <w:div w:id="481434525">
      <w:bodyDiv w:val="1"/>
      <w:marLeft w:val="0"/>
      <w:marRight w:val="0"/>
      <w:marTop w:val="0"/>
      <w:marBottom w:val="0"/>
      <w:divBdr>
        <w:top w:val="none" w:sz="0" w:space="0" w:color="auto"/>
        <w:left w:val="none" w:sz="0" w:space="0" w:color="auto"/>
        <w:bottom w:val="none" w:sz="0" w:space="0" w:color="auto"/>
        <w:right w:val="none" w:sz="0" w:space="0" w:color="auto"/>
      </w:divBdr>
    </w:div>
    <w:div w:id="702023181">
      <w:bodyDiv w:val="1"/>
      <w:marLeft w:val="0"/>
      <w:marRight w:val="0"/>
      <w:marTop w:val="0"/>
      <w:marBottom w:val="0"/>
      <w:divBdr>
        <w:top w:val="none" w:sz="0" w:space="0" w:color="auto"/>
        <w:left w:val="none" w:sz="0" w:space="0" w:color="auto"/>
        <w:bottom w:val="none" w:sz="0" w:space="0" w:color="auto"/>
        <w:right w:val="none" w:sz="0" w:space="0" w:color="auto"/>
      </w:divBdr>
    </w:div>
    <w:div w:id="789209403">
      <w:bodyDiv w:val="1"/>
      <w:marLeft w:val="0"/>
      <w:marRight w:val="0"/>
      <w:marTop w:val="0"/>
      <w:marBottom w:val="0"/>
      <w:divBdr>
        <w:top w:val="none" w:sz="0" w:space="0" w:color="auto"/>
        <w:left w:val="none" w:sz="0" w:space="0" w:color="auto"/>
        <w:bottom w:val="none" w:sz="0" w:space="0" w:color="auto"/>
        <w:right w:val="none" w:sz="0" w:space="0" w:color="auto"/>
      </w:divBdr>
    </w:div>
    <w:div w:id="874198650">
      <w:bodyDiv w:val="1"/>
      <w:marLeft w:val="0"/>
      <w:marRight w:val="0"/>
      <w:marTop w:val="0"/>
      <w:marBottom w:val="0"/>
      <w:divBdr>
        <w:top w:val="none" w:sz="0" w:space="0" w:color="auto"/>
        <w:left w:val="none" w:sz="0" w:space="0" w:color="auto"/>
        <w:bottom w:val="none" w:sz="0" w:space="0" w:color="auto"/>
        <w:right w:val="none" w:sz="0" w:space="0" w:color="auto"/>
      </w:divBdr>
    </w:div>
    <w:div w:id="953639231">
      <w:bodyDiv w:val="1"/>
      <w:marLeft w:val="0"/>
      <w:marRight w:val="0"/>
      <w:marTop w:val="0"/>
      <w:marBottom w:val="0"/>
      <w:divBdr>
        <w:top w:val="none" w:sz="0" w:space="0" w:color="auto"/>
        <w:left w:val="none" w:sz="0" w:space="0" w:color="auto"/>
        <w:bottom w:val="none" w:sz="0" w:space="0" w:color="auto"/>
        <w:right w:val="none" w:sz="0" w:space="0" w:color="auto"/>
      </w:divBdr>
    </w:div>
    <w:div w:id="972366337">
      <w:bodyDiv w:val="1"/>
      <w:marLeft w:val="0"/>
      <w:marRight w:val="0"/>
      <w:marTop w:val="0"/>
      <w:marBottom w:val="0"/>
      <w:divBdr>
        <w:top w:val="none" w:sz="0" w:space="0" w:color="auto"/>
        <w:left w:val="none" w:sz="0" w:space="0" w:color="auto"/>
        <w:bottom w:val="none" w:sz="0" w:space="0" w:color="auto"/>
        <w:right w:val="none" w:sz="0" w:space="0" w:color="auto"/>
      </w:divBdr>
    </w:div>
    <w:div w:id="1136068969">
      <w:bodyDiv w:val="1"/>
      <w:marLeft w:val="0"/>
      <w:marRight w:val="0"/>
      <w:marTop w:val="0"/>
      <w:marBottom w:val="0"/>
      <w:divBdr>
        <w:top w:val="none" w:sz="0" w:space="0" w:color="auto"/>
        <w:left w:val="none" w:sz="0" w:space="0" w:color="auto"/>
        <w:bottom w:val="none" w:sz="0" w:space="0" w:color="auto"/>
        <w:right w:val="none" w:sz="0" w:space="0" w:color="auto"/>
      </w:divBdr>
    </w:div>
    <w:div w:id="1138568201">
      <w:bodyDiv w:val="1"/>
      <w:marLeft w:val="0"/>
      <w:marRight w:val="0"/>
      <w:marTop w:val="0"/>
      <w:marBottom w:val="0"/>
      <w:divBdr>
        <w:top w:val="none" w:sz="0" w:space="0" w:color="auto"/>
        <w:left w:val="none" w:sz="0" w:space="0" w:color="auto"/>
        <w:bottom w:val="none" w:sz="0" w:space="0" w:color="auto"/>
        <w:right w:val="none" w:sz="0" w:space="0" w:color="auto"/>
      </w:divBdr>
    </w:div>
    <w:div w:id="1138572733">
      <w:bodyDiv w:val="1"/>
      <w:marLeft w:val="0"/>
      <w:marRight w:val="0"/>
      <w:marTop w:val="0"/>
      <w:marBottom w:val="0"/>
      <w:divBdr>
        <w:top w:val="none" w:sz="0" w:space="0" w:color="auto"/>
        <w:left w:val="none" w:sz="0" w:space="0" w:color="auto"/>
        <w:bottom w:val="none" w:sz="0" w:space="0" w:color="auto"/>
        <w:right w:val="none" w:sz="0" w:space="0" w:color="auto"/>
      </w:divBdr>
    </w:div>
    <w:div w:id="1401174107">
      <w:bodyDiv w:val="1"/>
      <w:marLeft w:val="0"/>
      <w:marRight w:val="0"/>
      <w:marTop w:val="0"/>
      <w:marBottom w:val="0"/>
      <w:divBdr>
        <w:top w:val="none" w:sz="0" w:space="0" w:color="auto"/>
        <w:left w:val="none" w:sz="0" w:space="0" w:color="auto"/>
        <w:bottom w:val="none" w:sz="0" w:space="0" w:color="auto"/>
        <w:right w:val="none" w:sz="0" w:space="0" w:color="auto"/>
      </w:divBdr>
    </w:div>
    <w:div w:id="1426463674">
      <w:bodyDiv w:val="1"/>
      <w:marLeft w:val="0"/>
      <w:marRight w:val="0"/>
      <w:marTop w:val="0"/>
      <w:marBottom w:val="0"/>
      <w:divBdr>
        <w:top w:val="none" w:sz="0" w:space="0" w:color="auto"/>
        <w:left w:val="none" w:sz="0" w:space="0" w:color="auto"/>
        <w:bottom w:val="none" w:sz="0" w:space="0" w:color="auto"/>
        <w:right w:val="none" w:sz="0" w:space="0" w:color="auto"/>
      </w:divBdr>
    </w:div>
    <w:div w:id="1598513892">
      <w:bodyDiv w:val="1"/>
      <w:marLeft w:val="0"/>
      <w:marRight w:val="0"/>
      <w:marTop w:val="0"/>
      <w:marBottom w:val="0"/>
      <w:divBdr>
        <w:top w:val="none" w:sz="0" w:space="0" w:color="auto"/>
        <w:left w:val="none" w:sz="0" w:space="0" w:color="auto"/>
        <w:bottom w:val="none" w:sz="0" w:space="0" w:color="auto"/>
        <w:right w:val="none" w:sz="0" w:space="0" w:color="auto"/>
      </w:divBdr>
    </w:div>
    <w:div w:id="1794058208">
      <w:bodyDiv w:val="1"/>
      <w:marLeft w:val="0"/>
      <w:marRight w:val="0"/>
      <w:marTop w:val="0"/>
      <w:marBottom w:val="0"/>
      <w:divBdr>
        <w:top w:val="none" w:sz="0" w:space="0" w:color="auto"/>
        <w:left w:val="none" w:sz="0" w:space="0" w:color="auto"/>
        <w:bottom w:val="none" w:sz="0" w:space="0" w:color="auto"/>
        <w:right w:val="none" w:sz="0" w:space="0" w:color="auto"/>
      </w:divBdr>
    </w:div>
    <w:div w:id="1875196096">
      <w:bodyDiv w:val="1"/>
      <w:marLeft w:val="0"/>
      <w:marRight w:val="0"/>
      <w:marTop w:val="0"/>
      <w:marBottom w:val="0"/>
      <w:divBdr>
        <w:top w:val="none" w:sz="0" w:space="0" w:color="auto"/>
        <w:left w:val="none" w:sz="0" w:space="0" w:color="auto"/>
        <w:bottom w:val="none" w:sz="0" w:space="0" w:color="auto"/>
        <w:right w:val="none" w:sz="0" w:space="0" w:color="auto"/>
      </w:divBdr>
    </w:div>
    <w:div w:id="2063866733">
      <w:bodyDiv w:val="1"/>
      <w:marLeft w:val="0"/>
      <w:marRight w:val="0"/>
      <w:marTop w:val="0"/>
      <w:marBottom w:val="0"/>
      <w:divBdr>
        <w:top w:val="none" w:sz="0" w:space="0" w:color="auto"/>
        <w:left w:val="none" w:sz="0" w:space="0" w:color="auto"/>
        <w:bottom w:val="none" w:sz="0" w:space="0" w:color="auto"/>
        <w:right w:val="none" w:sz="0" w:space="0" w:color="auto"/>
      </w:divBdr>
    </w:div>
    <w:div w:id="2075661651">
      <w:bodyDiv w:val="1"/>
      <w:marLeft w:val="0"/>
      <w:marRight w:val="0"/>
      <w:marTop w:val="0"/>
      <w:marBottom w:val="0"/>
      <w:divBdr>
        <w:top w:val="none" w:sz="0" w:space="0" w:color="auto"/>
        <w:left w:val="none" w:sz="0" w:space="0" w:color="auto"/>
        <w:bottom w:val="none" w:sz="0" w:space="0" w:color="auto"/>
        <w:right w:val="none" w:sz="0" w:space="0" w:color="auto"/>
      </w:divBdr>
    </w:div>
    <w:div w:id="2104494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humanrightstracker.com/en/" TargetMode="External"/><Relationship Id="rId13" Type="http://schemas.openxmlformats.org/officeDocument/2006/relationships/hyperlink" Target="https://docstore.ohchr.org/SelfServices/FilesHandler.ashx?enc=4slQ6QSmlBEDzFEovLCuW3XRinAE8KCBFoqOHNz%2FvuCC%2BTxEKAI18bzE0UtfQhJkxxOSGuoMUxHGypYLjNFkwxnMR6GmqogLJF8BzscMe9zpGfTXBkZ4pEaigi44xqiL" TargetMode="External"/><Relationship Id="rId18" Type="http://schemas.openxmlformats.org/officeDocument/2006/relationships/hyperlink" Target="https://sdgs.un.org/goals" TargetMode="External"/><Relationship Id="rId26" Type="http://schemas.openxmlformats.org/officeDocument/2006/relationships/hyperlink" Target="http://www.equalityadvisoryservice.com" TargetMode="External"/><Relationship Id="rId3" Type="http://schemas.openxmlformats.org/officeDocument/2006/relationships/styles" Target="styles.xml"/><Relationship Id="rId21" Type="http://schemas.openxmlformats.org/officeDocument/2006/relationships/hyperlink" Target="https://sdgs.un.org/goals" TargetMode="External"/><Relationship Id="rId34" Type="http://schemas.openxmlformats.org/officeDocument/2006/relationships/glossaryDocument" Target="glossary/document.xml"/><Relationship Id="rId42" Type="http://schemas.microsoft.com/office/2018/08/relationships/commentsExtensible" Target="commentsExtensible.xml"/><Relationship Id="rId7" Type="http://schemas.openxmlformats.org/officeDocument/2006/relationships/endnotes" Target="endnotes.xml"/><Relationship Id="rId12" Type="http://schemas.openxmlformats.org/officeDocument/2006/relationships/hyperlink" Target="https://sdgs.un.org/goals" TargetMode="External"/><Relationship Id="rId17" Type="http://schemas.openxmlformats.org/officeDocument/2006/relationships/hyperlink" Target="https://docstore.ohchr.org/SelfServices/FilesHandler.ashx?enc=4slQ6QSmlBEDzFEovLCuW3XRinAE8KCBFoqOHNz%2FvuCC%2BTxEKAI18bzE0UtfQhJkxxOSGuoMUxHGypYLjNFkwxnMR6GmqogLJF8BzscMe9zpGfTXBkZ4pEaigi44xqiL" TargetMode="External"/><Relationship Id="rId25" Type="http://schemas.openxmlformats.org/officeDocument/2006/relationships/hyperlink" Target="https://www.equalityhumanrights.com/en/newsletter-sign"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sdgs.un.org/goals" TargetMode="External"/><Relationship Id="rId20" Type="http://schemas.openxmlformats.org/officeDocument/2006/relationships/hyperlink" Target="https://sdgs.un.org/goals"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tore.ohchr.org/SelfServices/FilesHandler.ashx?enc=4slQ6QSmlBEDzFEovLCuW3XRinAE8KCBFoqOHNz%2FvuCC%2BTxEKAI18bzE0UtfQhJkxxOSGuoMUxHGypYLjNFkwxnMR6GmqogLJF8BzscMe9zpGfTXBkZ4pEaigi44xqiL" TargetMode="External"/><Relationship Id="rId24" Type="http://schemas.openxmlformats.org/officeDocument/2006/relationships/hyperlink" Target="mailto:correspondence@equalityhumanrights.com" TargetMode="External"/><Relationship Id="rId32"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docstore.ohchr.org/SelfServices/FilesHandler.ashx?enc=4slQ6QSmlBEDzFEovLCuW3XRinAE8KCBFoqOHNz%2FvuCC%2BTxEKAI18bzE0UtfQhJkxxOSGuoMUxHGypYLjNFkwxnMR6GmqogLJF8BzscMe9zpGfTXBkZ4pEaigi44xqiL" TargetMode="External"/><Relationship Id="rId23" Type="http://schemas.openxmlformats.org/officeDocument/2006/relationships/hyperlink" Target="mailto:correspondence@equalityhumanrights.com" TargetMode="External"/><Relationship Id="rId28" Type="http://schemas.openxmlformats.org/officeDocument/2006/relationships/header" Target="header2.xml"/><Relationship Id="rId10" Type="http://schemas.openxmlformats.org/officeDocument/2006/relationships/hyperlink" Target="https://sdgs.un.org/goals" TargetMode="External"/><Relationship Id="rId19" Type="http://schemas.openxmlformats.org/officeDocument/2006/relationships/hyperlink" Target="https://docstore.ohchr.org/SelfServices/FilesHandler.ashx?enc=4slQ6QSmlBEDzFEovLCuW3XRinAE8KCBFoqOHNz%2FvuCC%2BTxEKAI18bzE0UtfQhJkxxOSGuoMUxHGypYLjNFkwxnMR6GmqogLJF8BzscMe9zpGfTXBkZ4pEaigi44xqiL" TargetMode="External"/><Relationship Id="rId31"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docstore.ohchr.org/SelfServices/FilesHandler.ashx?enc=4slQ6QSmlBEDzFEovLCuW3XRinAE8KCBFoqOHNz%2FvuCC%2BTxEKAI18bzE0UtfQhJkxxOSGuoMUxHGypYLjNFkwxnMR6GmqogLJF8BzscMe9zpGfTXBkZ4pEaigi44xqiL" TargetMode="External"/><Relationship Id="rId14" Type="http://schemas.openxmlformats.org/officeDocument/2006/relationships/hyperlink" Target="https://sdgs.un.org/goals" TargetMode="External"/><Relationship Id="rId22" Type="http://schemas.openxmlformats.org/officeDocument/2006/relationships/hyperlink" Target="http://www.equalityhumanrights.com" TargetMode="External"/><Relationship Id="rId27" Type="http://schemas.openxmlformats.org/officeDocument/2006/relationships/header" Target="header1.xml"/><Relationship Id="rId30" Type="http://schemas.openxmlformats.org/officeDocument/2006/relationships/footer" Target="footer2.xml"/><Relationship Id="rId35" Type="http://schemas.openxmlformats.org/officeDocument/2006/relationships/theme" Target="theme/theme1.xml"/><Relationship Id="rId43" Type="http://schemas.microsoft.com/office/2016/09/relationships/commentsIds" Target="commentsIds.xml"/></Relationships>
</file>

<file path=word/_rels/footer3.xml.rels><?xml version="1.0" encoding="UTF-8" standalone="yes"?>
<Relationships xmlns="http://schemas.openxmlformats.org/package/2006/relationships"><Relationship Id="rId1" Type="http://schemas.openxmlformats.org/officeDocument/2006/relationships/hyperlink" Target="http://www.equalityhumanrights.com" TargetMode="External"/></Relationships>
</file>

<file path=word/_rels/footnotes.xml.rels><?xml version="1.0" encoding="UTF-8" standalone="yes"?>
<Relationships xmlns="http://schemas.openxmlformats.org/package/2006/relationships"><Relationship Id="rId26" Type="http://schemas.openxmlformats.org/officeDocument/2006/relationships/hyperlink" Target="https://equalityhumanrights.com/en/publication-download/experiences-health-and-social-care-treatment-lower-paid-ethnic-minority-workers" TargetMode="External"/><Relationship Id="rId117" Type="http://schemas.openxmlformats.org/officeDocument/2006/relationships/hyperlink" Target="https://www.equalityhumanrights.com/sites/default/files/research-report-121-people-seeking-asylum-access-to-healthcare-evidence-review.pdf" TargetMode="External"/><Relationship Id="rId21" Type="http://schemas.openxmlformats.org/officeDocument/2006/relationships/hyperlink" Target="https://www.gov.uk/contract-types-and-employer-responsibilities/zero-hour-contracts" TargetMode="External"/><Relationship Id="rId42" Type="http://schemas.openxmlformats.org/officeDocument/2006/relationships/hyperlink" Target="https://committees.parliament.uk/publications/9616/documents/162588/default/" TargetMode="External"/><Relationship Id="rId47" Type="http://schemas.openxmlformats.org/officeDocument/2006/relationships/hyperlink" Target="https://www.gov.uk/government/publications/levelling-up-the-united-kingdom" TargetMode="External"/><Relationship Id="rId63" Type="http://schemas.openxmlformats.org/officeDocument/2006/relationships/hyperlink" Target="https://assets.publishing.service.gov.uk/government/uploads/system/uploads/attachment_data/file/757285/ICIBI_An_inspection_of_the_HO_management_of_asylum_accommodation.pdf" TargetMode="External"/><Relationship Id="rId68" Type="http://schemas.openxmlformats.org/officeDocument/2006/relationships/hyperlink" Target="https://www.gypsy-traveller.org/planning/new-research-shows-huge-unmet-need-for-pitches-on-traveller-sites-in-england/" TargetMode="External"/><Relationship Id="rId84" Type="http://schemas.openxmlformats.org/officeDocument/2006/relationships/hyperlink" Target="https://www.cqc.org.uk/sites/default/files/20201218_rssreview_report.pdf" TargetMode="External"/><Relationship Id="rId89" Type="http://schemas.openxmlformats.org/officeDocument/2006/relationships/hyperlink" Target="https://www.gov.uk/government/publications/build-back-better-our-plan-for-health-and-social-care" TargetMode="External"/><Relationship Id="rId112" Type="http://schemas.openxmlformats.org/officeDocument/2006/relationships/hyperlink" Target="https://www.cntw.nhs.uk/services/northern-region-gender-dysphoria-service-specialist-service-walkergate-park/waiting-list-waiting-times/" TargetMode="External"/><Relationship Id="rId133" Type="http://schemas.openxmlformats.org/officeDocument/2006/relationships/hyperlink" Target="https://publications.parliament.uk/pa/ld5802/ldselect/ldcomuni/54/5405.htm" TargetMode="External"/><Relationship Id="rId16" Type="http://schemas.openxmlformats.org/officeDocument/2006/relationships/hyperlink" Target="https://www.ons.gov.uk/employmentandlabourmarket/peopleinwork/earningsandworkinghours/articles/ethnicitypaygapsingreatbritain/2019" TargetMode="External"/><Relationship Id="rId107" Type="http://schemas.openxmlformats.org/officeDocument/2006/relationships/hyperlink" Target="https://senedd.wales/media/5cghzhqq/cr-ld13951-e.pdf" TargetMode="External"/><Relationship Id="rId11" Type="http://schemas.openxmlformats.org/officeDocument/2006/relationships/hyperlink" Target="https://www.legislation.gov.uk/ukpga/2010/15/contents" TargetMode="External"/><Relationship Id="rId32" Type="http://schemas.openxmlformats.org/officeDocument/2006/relationships/hyperlink" Target="https://www.gov.uk/government/consultations/consultation-on-sexual-harassment-in-the-workplace/outcome/consultation-on-sexual-harassment-in-the-workplace-government-response" TargetMode="External"/><Relationship Id="rId37" Type="http://schemas.openxmlformats.org/officeDocument/2006/relationships/hyperlink" Target="https://www.ons.gov.uk/peoplepopulationandcommunity/personalandhouseholdfinances/expenditure/articles/parentsmorelikelytoreportincreasesintheircostofliving/2022-09-07" TargetMode="External"/><Relationship Id="rId53" Type="http://schemas.openxmlformats.org/officeDocument/2006/relationships/hyperlink" Target="https://www.ethnicity-facts-figures.service.gov.uk/housing/housing-conditions/overcrowded-households/latest" TargetMode="External"/><Relationship Id="rId58" Type="http://schemas.openxmlformats.org/officeDocument/2006/relationships/hyperlink" Target="https://publications.parliament.uk/pa/cm5803/cmselect/cmcomloc/18/report.html" TargetMode="External"/><Relationship Id="rId74" Type="http://schemas.openxmlformats.org/officeDocument/2006/relationships/hyperlink" Target="https://www.equalityhumanrights.com/sites/default/files/consultation_response_jchr_social_care.docx" TargetMode="External"/><Relationship Id="rId79" Type="http://schemas.openxmlformats.org/officeDocument/2006/relationships/hyperlink" Target="https://www.ons.gov.uk/peoplepopulationandcommunity/birthsdeathsandmarriages/deaths/articles/deathsinvolvingcovid19inthecaresectorenglandandwales/deathsoccurringupto12june2020andregisteredupto20june2020provisional/relateddata" TargetMode="External"/><Relationship Id="rId102" Type="http://schemas.openxmlformats.org/officeDocument/2006/relationships/hyperlink" Target="https://gov.wales/sites/default/files/publications/2021-03/health-and-social-care-in-wales--covid-19-looking-forward_0.pdf" TargetMode="External"/><Relationship Id="rId123" Type="http://schemas.openxmlformats.org/officeDocument/2006/relationships/hyperlink" Target="https://tbinternet.ohchr.org/_layouts/15/treatybodyexternal/Download.aspx?symbolno=E%2fC.12%2fGC%2f21&amp;Lang=en" TargetMode="External"/><Relationship Id="rId128" Type="http://schemas.openxmlformats.org/officeDocument/2006/relationships/hyperlink" Target="https://www.gov.uk/government/publications/uks-digital-strategy/uk-digital-strategy" TargetMode="External"/><Relationship Id="rId5" Type="http://schemas.openxmlformats.org/officeDocument/2006/relationships/hyperlink" Target="https://docstore.ohchr.org/SelfServices/FilesHandler.ashx?enc=6QkG1d%2fPPRiCAqhKb7yhsldCrOlUTvLRFDjh6%2fx1pWBlVN3v0VNFrK%2fCLAYJuPRq92%2fg3ATFbVFYqzXXi8dmGtN5RYOO7VV85XZ2OqRif12GyIFGJeZaqlLHOg4TMZnV" TargetMode="External"/><Relationship Id="rId90" Type="http://schemas.openxmlformats.org/officeDocument/2006/relationships/hyperlink" Target="https://www.gov.uk/government/publications/people-at-the-heart-of-care-adult-social-care-reform-white-paper/people-at-the-heart-of-care-adult-social-care-reform" TargetMode="External"/><Relationship Id="rId95" Type="http://schemas.openxmlformats.org/officeDocument/2006/relationships/hyperlink" Target="https://www.equalityhumanrights.com/en/publication-download/strengthening-right-independent-living" TargetMode="External"/><Relationship Id="rId14" Type="http://schemas.openxmlformats.org/officeDocument/2006/relationships/hyperlink" Target="https://www.ons.gov.uk/employmentandlabourmarket/peopleinwork/earningsandworkinghours/bulletins/genderpaygapintheuk/2022" TargetMode="External"/><Relationship Id="rId22" Type="http://schemas.openxmlformats.org/officeDocument/2006/relationships/hyperlink" Target="https://www.ons.gov.uk/employmentandlabourmarket/peopleinwork/employmentandemployeetypes/datasets/emp17peopleinemploymentonzerohourscontracts" TargetMode="External"/><Relationship Id="rId27" Type="http://schemas.openxmlformats.org/officeDocument/2006/relationships/hyperlink" Target="https://www.tuc.org.uk/sites/default/files/2020-06/PregMatCovid-19.pdf" TargetMode="External"/><Relationship Id="rId30" Type="http://schemas.openxmlformats.org/officeDocument/2006/relationships/hyperlink" Target="https://bills.parliament.uk/bills/3191" TargetMode="External"/><Relationship Id="rId35" Type="http://schemas.openxmlformats.org/officeDocument/2006/relationships/hyperlink" Target="https://www.ons.gov.uk/peoplepopulationandcommunity/personalandhouseholdfinances/expenditure/articles/whatactionsarepeopletakingbecauseoftherisingcostofliving/latest" TargetMode="External"/><Relationship Id="rId43" Type="http://schemas.openxmlformats.org/officeDocument/2006/relationships/hyperlink" Target="https://www.equalityhumanrights.com/en/publication-download/cumulative-impact-tax-and-welfare-reforms" TargetMode="External"/><Relationship Id="rId48" Type="http://schemas.openxmlformats.org/officeDocument/2006/relationships/hyperlink" Target="https://committees.parliament.uk/publications/4597/documents/46478/default/" TargetMode="External"/><Relationship Id="rId56" Type="http://schemas.openxmlformats.org/officeDocument/2006/relationships/hyperlink" Target="https://www.gov.uk/government/publications/a-fairer-private-rented-sector/a-fairer-private-rented-sector" TargetMode="External"/><Relationship Id="rId64" Type="http://schemas.openxmlformats.org/officeDocument/2006/relationships/hyperlink" Target="https://publications.parliament.uk/pa/cm201719/cmselect/cmhaff/1758/1758.pdf" TargetMode="External"/><Relationship Id="rId69" Type="http://schemas.openxmlformats.org/officeDocument/2006/relationships/hyperlink" Target="https://www.equalityhumanrights.com/en/publication-download/gypsy-and-traveller-sites-revised-planning-definition%E2%80%99s-impact-assessing" TargetMode="External"/><Relationship Id="rId77" Type="http://schemas.openxmlformats.org/officeDocument/2006/relationships/hyperlink" Target="https://olderpeople.wales/resource/care-home-voices-a-snapshot-of-life-in-care-homes-in-wales-during-covid-19/" TargetMode="External"/><Relationship Id="rId100" Type="http://schemas.openxmlformats.org/officeDocument/2006/relationships/hyperlink" Target="https://www.gov.uk/government/publications/factors-influencing-covid-19-vaccine-uptake-among-minority-ethnic-groups-17-december-2020" TargetMode="External"/><Relationship Id="rId105" Type="http://schemas.openxmlformats.org/officeDocument/2006/relationships/hyperlink" Target="https://www.cardiff.ac.uk/__data/assets/pdf_file/0017/2512610/election_outlook_2021_health_08_04.pdf" TargetMode="External"/><Relationship Id="rId113" Type="http://schemas.openxmlformats.org/officeDocument/2006/relationships/hyperlink" Target="https://gic.nhs.uk/appointments/waiting-times/" TargetMode="External"/><Relationship Id="rId118" Type="http://schemas.openxmlformats.org/officeDocument/2006/relationships/hyperlink" Target="https://gov.wales/written-statement-healthier-wales-action-review" TargetMode="External"/><Relationship Id="rId126" Type="http://schemas.openxmlformats.org/officeDocument/2006/relationships/hyperlink" Target="https://gov.wales/national-survey-wales-results-viewer" TargetMode="External"/><Relationship Id="rId134" Type="http://schemas.openxmlformats.org/officeDocument/2006/relationships/hyperlink" Target="https://www.uksport.gov.uk/news/2021/06/23/tackling-racism-and-racial-inequality-in-sport-review" TargetMode="External"/><Relationship Id="rId8" Type="http://schemas.openxmlformats.org/officeDocument/2006/relationships/hyperlink" Target="https://www.gov.scot/news/new-human-rights-bill/" TargetMode="External"/><Relationship Id="rId51" Type="http://schemas.openxmlformats.org/officeDocument/2006/relationships/hyperlink" Target="https://www.gov.uk/government/statistics/english-housing-survey-2020-to-2021-headline-report" TargetMode="External"/><Relationship Id="rId72" Type="http://schemas.openxmlformats.org/officeDocument/2006/relationships/hyperlink" Target="https://www.gov.wales/gypsy-and-traveller-caravan-count-january-2022" TargetMode="External"/><Relationship Id="rId80" Type="http://schemas.openxmlformats.org/officeDocument/2006/relationships/hyperlink" Target="https://www.equalityhumanrights.com/sites/default/files/parliamentary_briefing_equality_and_human_rights_in_residential_care_coronavirus.docx" TargetMode="External"/><Relationship Id="rId85" Type="http://schemas.openxmlformats.org/officeDocument/2006/relationships/hyperlink" Target="https://www.cqc.org.uk/sites/default/files/20201218_rssreview_report.pdf" TargetMode="External"/><Relationship Id="rId93" Type="http://schemas.openxmlformats.org/officeDocument/2006/relationships/hyperlink" Target="https://www.gov.wales/sites/default/files/publications/2021-03/health-and-social-care-in-wales--covid-19-looking-forward_0.pdf" TargetMode="External"/><Relationship Id="rId98" Type="http://schemas.openxmlformats.org/officeDocument/2006/relationships/hyperlink" Target="https://www.ons.gov.uk/peoplepopulationandcommunity/healthandsocialcare/conditionsanddiseases/articles/coronaviruscovid19latestinsights/vaccines" TargetMode="External"/><Relationship Id="rId121" Type="http://schemas.openxmlformats.org/officeDocument/2006/relationships/hyperlink" Target="https://digital.nhs.uk/data-and-information/publications/statistical/mental-health-act-statistics-annual-figures" TargetMode="External"/><Relationship Id="rId3" Type="http://schemas.openxmlformats.org/officeDocument/2006/relationships/hyperlink" Target="https://www.equalityhumanrights.com/en/publication-download/briefing-sustainable-development-goals" TargetMode="External"/><Relationship Id="rId12" Type="http://schemas.openxmlformats.org/officeDocument/2006/relationships/hyperlink" Target="https://www.legislation.gov.uk/ukpga/2010/15/section/14" TargetMode="External"/><Relationship Id="rId17" Type="http://schemas.openxmlformats.org/officeDocument/2006/relationships/hyperlink" Target="https://assets.publishing.service.gov.uk/government/uploads/system/uploads/attachment_data/file/1041431/disability-workforce-reporting-consultation-web-accessible-pdf.pdf" TargetMode="External"/><Relationship Id="rId25" Type="http://schemas.openxmlformats.org/officeDocument/2006/relationships/hyperlink" Target="https://www.ons.gov.uk/employmentandlabourmarket/peopleinwork/employmentandemployeetypes/datasets/emp17peopleinemploymentonzerohourscontracts" TargetMode="External"/><Relationship Id="rId33" Type="http://schemas.openxmlformats.org/officeDocument/2006/relationships/hyperlink" Target="https://bills.parliament.uk/bills/3205" TargetMode="External"/><Relationship Id="rId38" Type="http://schemas.openxmlformats.org/officeDocument/2006/relationships/hyperlink" Target="https://commonslibrary.parliament.uk/research-briefings/sn07096/" TargetMode="External"/><Relationship Id="rId46" Type="http://schemas.openxmlformats.org/officeDocument/2006/relationships/hyperlink" Target="https://www.equalityhumanrights.com/en/our-work/news/ehrc-taking-action-improve-treatment-disabled-benefit-claimants" TargetMode="External"/><Relationship Id="rId59" Type="http://schemas.openxmlformats.org/officeDocument/2006/relationships/hyperlink" Target="https://assets.grenfelltowerinquiry.org.uk/Leslie%20Thomas%20QC%20submission%207%20July%202020.pdf" TargetMode="External"/><Relationship Id="rId67" Type="http://schemas.openxmlformats.org/officeDocument/2006/relationships/hyperlink" Target="https://libertyinvestigates.org.uk/articles/95-died-in-asylum-seeker-accommodation-in-five-years-amid-fears-home-office-downplayed-toll/" TargetMode="External"/><Relationship Id="rId103" Type="http://schemas.openxmlformats.org/officeDocument/2006/relationships/hyperlink" Target="https://www.equalityhumanrights.com/en/publication-download/britain-fairer-2018" TargetMode="External"/><Relationship Id="rId108" Type="http://schemas.openxmlformats.org/officeDocument/2006/relationships/hyperlink" Target="https://www.nhsconfed.org/publications/digital-inclusion-mental-health" TargetMode="External"/><Relationship Id="rId116" Type="http://schemas.openxmlformats.org/officeDocument/2006/relationships/hyperlink" Target="https://www.nhsrho.org/wp-content/uploads/2022/02/RHO-Rapid-Review-Final-Report_v.7.pdf" TargetMode="External"/><Relationship Id="rId124" Type="http://schemas.openxmlformats.org/officeDocument/2006/relationships/hyperlink" Target="https://www.ons.gov.uk/peoplepopulationandcommunity/householdcharacteristics/homeinternetandsocialmediausage/articles/exploringtheuksdigitaldivide/2019-03-04" TargetMode="External"/><Relationship Id="rId129" Type="http://schemas.openxmlformats.org/officeDocument/2006/relationships/hyperlink" Target="https://www.gov.uk/government/publications/uk-digital-strategy/uk-digital-strategy" TargetMode="External"/><Relationship Id="rId20" Type="http://schemas.openxmlformats.org/officeDocument/2006/relationships/hyperlink" Target="https://www.ons.gov.uk/employmentandlabourmarket/peopleinwork/employmentandemployeetypes/datasets/emp17peopleinemploymentonzerohourscontracts" TargetMode="External"/><Relationship Id="rId41" Type="http://schemas.openxmlformats.org/officeDocument/2006/relationships/hyperlink" Target="https://www.gov.uk/government/statistics/households-below-average-income-for-financial-years-ending-1995-to-2020/households-below-average-income-an-analysis-of-the-income-distribution-fye-1995-to-fye-2020" TargetMode="External"/><Relationship Id="rId54" Type="http://schemas.openxmlformats.org/officeDocument/2006/relationships/hyperlink" Target="https://gov.wales/sites/default/files/statistics-and-research/2022-09/housing-overcrowding-and-ethnicity-a-literature-review.pdf" TargetMode="External"/><Relationship Id="rId62" Type="http://schemas.openxmlformats.org/officeDocument/2006/relationships/hyperlink" Target="https://www.gov.uk/government/publications/grenfell-tower-inquiry-phase-1-report-government-response/grenfell-tower-inquiry-phase-1-report-government-response" TargetMode="External"/><Relationship Id="rId70" Type="http://schemas.openxmlformats.org/officeDocument/2006/relationships/hyperlink" Target="https://www.gov.uk/government/collections/traveller-site-fund-202223" TargetMode="External"/><Relationship Id="rId75" Type="http://schemas.openxmlformats.org/officeDocument/2006/relationships/hyperlink" Target="https://www.kingsfund.org.uk/publications/social-care-360/access" TargetMode="External"/><Relationship Id="rId83" Type="http://schemas.openxmlformats.org/officeDocument/2006/relationships/hyperlink" Target="https://www.cqc.org.uk/sites/default/files/20201218_rssreview_report.pdf" TargetMode="External"/><Relationship Id="rId88" Type="http://schemas.openxmlformats.org/officeDocument/2006/relationships/hyperlink" Target="https://gov.wales/learning-disability-strategic-action-plan-2022-2026-html" TargetMode="External"/><Relationship Id="rId91" Type="http://schemas.openxmlformats.org/officeDocument/2006/relationships/hyperlink" Target="https://equalityhumanrights.com/en/publication-download/experiences-health-and-social-care-treatment-lower-paid-ethnic-minority-workers" TargetMode="External"/><Relationship Id="rId96" Type="http://schemas.openxmlformats.org/officeDocument/2006/relationships/hyperlink" Target="https://coronavirus.data.gov.uk/details/vaccinations?areaType=nation&amp;areaName=England" TargetMode="External"/><Relationship Id="rId111" Type="http://schemas.openxmlformats.org/officeDocument/2006/relationships/hyperlink" Target="https://www.ncbi.nlm.nih.gov/pmc/articles/PMC7539281/" TargetMode="External"/><Relationship Id="rId132" Type="http://schemas.openxmlformats.org/officeDocument/2006/relationships/hyperlink" Target="https://www.gov.uk/government/publications/cdei-publishes-review-into-bias-in-algorithmic-decision-making/main-report-cdei-review-into-bias-in-algorithmic-decision-making" TargetMode="External"/><Relationship Id="rId1" Type="http://schemas.openxmlformats.org/officeDocument/2006/relationships/hyperlink" Target="https://www.legislation.gov.uk/ukpga/2006/3/section/9" TargetMode="External"/><Relationship Id="rId6" Type="http://schemas.openxmlformats.org/officeDocument/2006/relationships/hyperlink" Target="https://gov.wales/strengthening-and-advancing-equality-and-human-rights-wales-research-report-welsh-government" TargetMode="External"/><Relationship Id="rId15" Type="http://schemas.openxmlformats.org/officeDocument/2006/relationships/hyperlink" Target="https://www.ons.gov.uk/peoplepopulationandcommunity/healthandsocialcare/disability/articles/disabilitypaygapsintheuk/2021" TargetMode="External"/><Relationship Id="rId23" Type="http://schemas.openxmlformats.org/officeDocument/2006/relationships/hyperlink" Target="https://www.tuc.org.uk/research-analysis/reports/covid-19-and-insecure-work" TargetMode="External"/><Relationship Id="rId28" Type="http://schemas.openxmlformats.org/officeDocument/2006/relationships/hyperlink" Target="https://www.equalityhumanrights.com/en/managing-pregnancy-and-maternity-workplace/pregnancy-and-maternity-discrimination-research-findings" TargetMode="External"/><Relationship Id="rId36" Type="http://schemas.openxmlformats.org/officeDocument/2006/relationships/hyperlink" Target="https://www.ons.gov.uk/peoplepopulationandcommunity/wellbeing/bulletins/publicopinionsandsocialtrendsgreatbritain/26octoberto6november2022" TargetMode="External"/><Relationship Id="rId49" Type="http://schemas.openxmlformats.org/officeDocument/2006/relationships/hyperlink" Target="https://humanrightstracker.com/en/government-action/adequate-standard-of-living-poverty-government-action/" TargetMode="External"/><Relationship Id="rId57" Type="http://schemas.openxmlformats.org/officeDocument/2006/relationships/hyperlink" Target="https://assets.publishing.service.gov.uk/government/uploads/system/uploads/attachment_data/file/1088447/EHS_Housing_quality_and_condition_report_2020.pdf" TargetMode="External"/><Relationship Id="rId106" Type="http://schemas.openxmlformats.org/officeDocument/2006/relationships/hyperlink" Target="https://www.cqc.org.uk/publications/major-reports/soc202021_01d_mh-care-demand" TargetMode="External"/><Relationship Id="rId114" Type="http://schemas.openxmlformats.org/officeDocument/2006/relationships/hyperlink" Target="https://cass.independent-review.uk/publications/interim-report/" TargetMode="External"/><Relationship Id="rId119" Type="http://schemas.openxmlformats.org/officeDocument/2006/relationships/hyperlink" Target="https://www.gov.uk/government/publications/womens-health-strategy-for-england/womens-health-strategy-for-england" TargetMode="External"/><Relationship Id="rId127" Type="http://schemas.openxmlformats.org/officeDocument/2006/relationships/hyperlink" Target="https://www.ofcom.org.uk/__data/assets/pdf_file/0022/234364/digital-exclusion-review-2022.pdf" TargetMode="External"/><Relationship Id="rId10" Type="http://schemas.openxmlformats.org/officeDocument/2006/relationships/hyperlink" Target="https://www.legislation.gov.uk/ukpga/2010/15/part/2/chapter/1" TargetMode="External"/><Relationship Id="rId31" Type="http://schemas.openxmlformats.org/officeDocument/2006/relationships/hyperlink" Target="https://assets.publishing.service.gov.uk/government/uploads/system/uploads/attachment_data/file/1002873/2021-07-12_Sexual_Harassment_Report_FINAL.pdf" TargetMode="External"/><Relationship Id="rId44" Type="http://schemas.openxmlformats.org/officeDocument/2006/relationships/hyperlink" Target="https://www.gov.uk/government/publications/state-of-the-nation-2021-social-mobility-and-the-pandemic" TargetMode="External"/><Relationship Id="rId52" Type="http://schemas.openxmlformats.org/officeDocument/2006/relationships/hyperlink" Target="https://www.ethnicity-facts-figures.service.gov.uk/uk-population-by-ethnicity/demographics/people-living-in-deprived-neighbourhoods/latest" TargetMode="External"/><Relationship Id="rId60" Type="http://schemas.openxmlformats.org/officeDocument/2006/relationships/hyperlink" Target="https://www.equalityhumanrights.com/en/publication-download/summary-submissions-following-phase-1-grenfell-tower-inquiry" TargetMode="External"/><Relationship Id="rId65" Type="http://schemas.openxmlformats.org/officeDocument/2006/relationships/hyperlink" Target="https://committees.parliament.uk/oralevidence/11390/html/" TargetMode="External"/><Relationship Id="rId73" Type="http://schemas.openxmlformats.org/officeDocument/2006/relationships/hyperlink" Target="https://bills.parliament.uk/bills/2839/publications" TargetMode="External"/><Relationship Id="rId78" Type="http://schemas.openxmlformats.org/officeDocument/2006/relationships/hyperlink" Target="https://ltccovid.org/wp-content/uploads/2020/08/COVID-19-mortality-in-long-term-care-final-Sat-29-v1.pdf" TargetMode="External"/><Relationship Id="rId81" Type="http://schemas.openxmlformats.org/officeDocument/2006/relationships/hyperlink" Target="https://www.equalityhumanrights.com/sites/default/files/parliamentary_briefing_wales_equality_and_human_rights_in_residential_care_coronavirus.docx" TargetMode="External"/><Relationship Id="rId86" Type="http://schemas.openxmlformats.org/officeDocument/2006/relationships/hyperlink" Target="https://www.equalityhumanrights.com/en/our-work/news/our-response-allegations-about-mistreatment-people-edenfield-centre-mental-health-unit" TargetMode="External"/><Relationship Id="rId94" Type="http://schemas.openxmlformats.org/officeDocument/2006/relationships/hyperlink" Target="https://www.carersuk.org/wales/policy-resources-for-professionals/policy-library/state-of-caring-2021-report" TargetMode="External"/><Relationship Id="rId99" Type="http://schemas.openxmlformats.org/officeDocument/2006/relationships/hyperlink" Target="https://research.senedd.wales/research-articles/which-groups-have-lower-rates-of-vaccine-uptake/" TargetMode="External"/><Relationship Id="rId101" Type="http://schemas.openxmlformats.org/officeDocument/2006/relationships/hyperlink" Target="https://committees.parliament.uk/publications/2793/documents/27577/default/" TargetMode="External"/><Relationship Id="rId122" Type="http://schemas.openxmlformats.org/officeDocument/2006/relationships/hyperlink" Target="https://committees.parliament.uk/writtenevidence/111498/html/" TargetMode="External"/><Relationship Id="rId130" Type="http://schemas.openxmlformats.org/officeDocument/2006/relationships/hyperlink" Target="https://gov.wales/digital-strategy-wales-html" TargetMode="External"/><Relationship Id="rId135" Type="http://schemas.openxmlformats.org/officeDocument/2006/relationships/hyperlink" Target="https://www.tandfonline.com/doi/full/10.1080/16184742.2021.1904267" TargetMode="External"/><Relationship Id="rId4" Type="http://schemas.openxmlformats.org/officeDocument/2006/relationships/hyperlink" Target="https://justfair.org.uk/the-international-covenant-on-economic-social-and-cultural-rights/icescr-shadow-report/" TargetMode="External"/><Relationship Id="rId9" Type="http://schemas.openxmlformats.org/officeDocument/2006/relationships/hyperlink" Target="https://bills.parliament.uk/bills/3227" TargetMode="External"/><Relationship Id="rId13" Type="http://schemas.openxmlformats.org/officeDocument/2006/relationships/hyperlink" Target="https://www.legislation.gov.uk/ukpga/2010/15/contents" TargetMode="External"/><Relationship Id="rId18" Type="http://schemas.openxmlformats.org/officeDocument/2006/relationships/hyperlink" Target="https://www.gov.uk/government/publications/inclusive-britain-action-plan-government-response-to-the-commission-on-race-and-ethnic-disparities/inclusive-britain-government-response-to-the-commission-on-race-and-ethnic-disparities" TargetMode="External"/><Relationship Id="rId39" Type="http://schemas.openxmlformats.org/officeDocument/2006/relationships/hyperlink" Target="https://www.gov.uk/government/statistics/households-below-average-income-for-financial-years-ending-1995-to-2021/technical-report-assessment-of-the-impact-of-covid-19-on-the-hbai-statistics-for-fye2021" TargetMode="External"/><Relationship Id="rId109" Type="http://schemas.openxmlformats.org/officeDocument/2006/relationships/hyperlink" Target="https://www.doctorsoftheworld.org.uk/wp-content/uploads/2020/06/covid-full-rna-report.pdf" TargetMode="External"/><Relationship Id="rId34" Type="http://schemas.openxmlformats.org/officeDocument/2006/relationships/hyperlink" Target="https://www.ons.gov.uk/economy/inflationandpriceindices/bulletins/consumerpriceinflation/october2022" TargetMode="External"/><Relationship Id="rId50" Type="http://schemas.openxmlformats.org/officeDocument/2006/relationships/hyperlink" Target="https://gov.wales/child-poverty-strategy-wales-report" TargetMode="External"/><Relationship Id="rId55" Type="http://schemas.openxmlformats.org/officeDocument/2006/relationships/hyperlink" Target="https://assets.publishing.service.gov.uk/government/uploads/system/uploads/attachment_data/file/1088447/EHS_Housing_quality_and_condition_report_2020.pdf" TargetMode="External"/><Relationship Id="rId76" Type="http://schemas.openxmlformats.org/officeDocument/2006/relationships/hyperlink" Target="https://www.bma.org.uk/media/2841/the-hidden-impact-of-covid_web-pdf.pdf" TargetMode="External"/><Relationship Id="rId97" Type="http://schemas.openxmlformats.org/officeDocument/2006/relationships/hyperlink" Target="https://coronavirus.data.gov.uk/details/vaccinations?areaType=nation&amp;areaName=Wales" TargetMode="External"/><Relationship Id="rId104" Type="http://schemas.openxmlformats.org/officeDocument/2006/relationships/hyperlink" Target="https://www.england.nhs.uk/mental-health/taskforce/imp/mh-dashboard/" TargetMode="External"/><Relationship Id="rId120" Type="http://schemas.openxmlformats.org/officeDocument/2006/relationships/hyperlink" Target="https://www.gov.uk/government/publications/draft-mental-health-bill-2022" TargetMode="External"/><Relationship Id="rId125" Type="http://schemas.openxmlformats.org/officeDocument/2006/relationships/hyperlink" Target="https://www.ofcom.org.uk/__data/assets/pdf_file/0022/234364/digital-exclusion-review-2022.pdf" TargetMode="External"/><Relationship Id="rId7" Type="http://schemas.openxmlformats.org/officeDocument/2006/relationships/hyperlink" Target="https://www.gov.scot/publications/national-taskforce-human-rights-leadership-report/pages/1/" TargetMode="External"/><Relationship Id="rId71" Type="http://schemas.openxmlformats.org/officeDocument/2006/relationships/hyperlink" Target="https://gov.wales/sites/default/files/publications/2019-02/enabling-gypsies-roma-and-travellers_0.pdf" TargetMode="External"/><Relationship Id="rId92" Type="http://schemas.openxmlformats.org/officeDocument/2006/relationships/hyperlink" Target="https://www.equalityhumanrights.com/sites/default/files/consultation-response-joining-up-care-april-2022.docx" TargetMode="External"/><Relationship Id="rId2" Type="http://schemas.openxmlformats.org/officeDocument/2006/relationships/hyperlink" Target="https://assets.publishing.service.gov.uk/government/uploads/system/uploads/attachment_data/file/1076698/icesrc-uk-7-periodic-report-may-2022.pdf" TargetMode="External"/><Relationship Id="rId29" Type="http://schemas.openxmlformats.org/officeDocument/2006/relationships/hyperlink" Target="https://assets.publishing.service.gov.uk/government/uploads/system/uploads/attachment_data/file/819696/pregnancy-and-maternity-discrimination-consultation-government-response.pdf" TargetMode="External"/><Relationship Id="rId24" Type="http://schemas.openxmlformats.org/officeDocument/2006/relationships/hyperlink" Target="https://www.tuc.org.uk/news/tuc-bme-women-twice-likely-be-zero-hours-contracts-white-men" TargetMode="External"/><Relationship Id="rId40" Type="http://schemas.openxmlformats.org/officeDocument/2006/relationships/hyperlink" Target="https://www.jrf.org.uk/report/uk-poverty-2022" TargetMode="External"/><Relationship Id="rId45" Type="http://schemas.openxmlformats.org/officeDocument/2006/relationships/hyperlink" Target="https://www.ohchr.org/en/documents/thematic-reports/ahrc5038-non-take-rights-context-social-protection-report-special" TargetMode="External"/><Relationship Id="rId66" Type="http://schemas.openxmlformats.org/officeDocument/2006/relationships/hyperlink" Target="https://www.gov.uk/government/news/an-inspection-of-the-use-of-contingency-asylum-accommodation-key-findings-from-site-visits-to-penally-camp-and-napier-barracks" TargetMode="External"/><Relationship Id="rId87" Type="http://schemas.openxmlformats.org/officeDocument/2006/relationships/hyperlink" Target="https://www.gov.uk/government/publications/building-the-right-support-for-people-with-a-learning-disability-and-autistic-people/building-the-right-support-action-plan" TargetMode="External"/><Relationship Id="rId110" Type="http://schemas.openxmlformats.org/officeDocument/2006/relationships/hyperlink" Target="https://ageing-better.org.uk/sites/default/files/2021-07/COVID-19-and-the-digital-divide.pdf" TargetMode="External"/><Relationship Id="rId115" Type="http://schemas.openxmlformats.org/officeDocument/2006/relationships/hyperlink" Target="https://gender.wales/" TargetMode="External"/><Relationship Id="rId131" Type="http://schemas.openxmlformats.org/officeDocument/2006/relationships/hyperlink" Target="https://bills.parliament.uk/bills/3137" TargetMode="External"/><Relationship Id="rId136" Type="http://schemas.openxmlformats.org/officeDocument/2006/relationships/hyperlink" Target="https://www.uksport.gov.uk/-/media/tell-your-story_-digital-final.ashx?la=en&amp;hash=47E2118D7EE87C1AEA37B80E1F5CAEFA" TargetMode="External"/><Relationship Id="rId61" Type="http://schemas.openxmlformats.org/officeDocument/2006/relationships/hyperlink" Target="https://www.grenfelltowerinquiry.org.uk/about/terms-of-reference" TargetMode="External"/><Relationship Id="rId82" Type="http://schemas.openxmlformats.org/officeDocument/2006/relationships/hyperlink" Target="https://www.cqc.org.uk/guidance-providers/all-services/how-cqc-identifies-responds-closed-cultures" TargetMode="External"/><Relationship Id="rId19" Type="http://schemas.openxmlformats.org/officeDocument/2006/relationships/hyperlink" Target="https://www.legislation.gov.uk/wsi/2011/1064/regulation/11/made"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31B4CFA111498E8786028D23D5FCCA"/>
        <w:category>
          <w:name w:val="General"/>
          <w:gallery w:val="placeholder"/>
        </w:category>
        <w:types>
          <w:type w:val="bbPlcHdr"/>
        </w:types>
        <w:behaviors>
          <w:behavior w:val="content"/>
        </w:behaviors>
        <w:guid w:val="{F041AF1E-809C-4752-B73B-2F3911E51078}"/>
      </w:docPartPr>
      <w:docPartBody>
        <w:p w:rsidR="007D20DF" w:rsidRDefault="007D20DF">
          <w:pPr>
            <w:pStyle w:val="DE31B4CFA111498E8786028D23D5FCCA"/>
          </w:pPr>
          <w:r w:rsidRPr="00465B9E">
            <w:rPr>
              <w:rStyle w:val="PlaceholderText"/>
            </w:rPr>
            <w:t>Click or tap to select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20DF"/>
    <w:rsid w:val="00010CF3"/>
    <w:rsid w:val="00015AE1"/>
    <w:rsid w:val="00030475"/>
    <w:rsid w:val="00042049"/>
    <w:rsid w:val="00077B06"/>
    <w:rsid w:val="000826B9"/>
    <w:rsid w:val="000B1D39"/>
    <w:rsid w:val="000C3B7A"/>
    <w:rsid w:val="000D0EE6"/>
    <w:rsid w:val="000F3164"/>
    <w:rsid w:val="00101CFB"/>
    <w:rsid w:val="001A67F8"/>
    <w:rsid w:val="001B265F"/>
    <w:rsid w:val="001B40AF"/>
    <w:rsid w:val="0027208A"/>
    <w:rsid w:val="0028686E"/>
    <w:rsid w:val="002A32AE"/>
    <w:rsid w:val="002B45A3"/>
    <w:rsid w:val="002D19DC"/>
    <w:rsid w:val="00347A58"/>
    <w:rsid w:val="00354310"/>
    <w:rsid w:val="003A1B3D"/>
    <w:rsid w:val="003C0B6D"/>
    <w:rsid w:val="00403E59"/>
    <w:rsid w:val="004112C8"/>
    <w:rsid w:val="00422A9A"/>
    <w:rsid w:val="00426643"/>
    <w:rsid w:val="0043506C"/>
    <w:rsid w:val="00442665"/>
    <w:rsid w:val="004533F7"/>
    <w:rsid w:val="004935F1"/>
    <w:rsid w:val="004F0DEE"/>
    <w:rsid w:val="00507A5B"/>
    <w:rsid w:val="005B043A"/>
    <w:rsid w:val="006028C3"/>
    <w:rsid w:val="006457DC"/>
    <w:rsid w:val="00645CCE"/>
    <w:rsid w:val="00692C40"/>
    <w:rsid w:val="0069798D"/>
    <w:rsid w:val="006A6AC7"/>
    <w:rsid w:val="006B7285"/>
    <w:rsid w:val="006E0823"/>
    <w:rsid w:val="006F77D4"/>
    <w:rsid w:val="00721227"/>
    <w:rsid w:val="007B298C"/>
    <w:rsid w:val="007D20DF"/>
    <w:rsid w:val="00805129"/>
    <w:rsid w:val="0087628F"/>
    <w:rsid w:val="008D013D"/>
    <w:rsid w:val="008D6878"/>
    <w:rsid w:val="00975ED1"/>
    <w:rsid w:val="009A149A"/>
    <w:rsid w:val="009A7EA5"/>
    <w:rsid w:val="009B0471"/>
    <w:rsid w:val="009C73EA"/>
    <w:rsid w:val="009E1157"/>
    <w:rsid w:val="009F3B91"/>
    <w:rsid w:val="00A55E95"/>
    <w:rsid w:val="00A5768D"/>
    <w:rsid w:val="00A57861"/>
    <w:rsid w:val="00A65C3B"/>
    <w:rsid w:val="00A7358B"/>
    <w:rsid w:val="00A83D78"/>
    <w:rsid w:val="00A854E3"/>
    <w:rsid w:val="00AD7035"/>
    <w:rsid w:val="00B04296"/>
    <w:rsid w:val="00B2020C"/>
    <w:rsid w:val="00B43435"/>
    <w:rsid w:val="00B53304"/>
    <w:rsid w:val="00BA1499"/>
    <w:rsid w:val="00BB7AA9"/>
    <w:rsid w:val="00C75737"/>
    <w:rsid w:val="00C8284F"/>
    <w:rsid w:val="00C86AE3"/>
    <w:rsid w:val="00CD57EB"/>
    <w:rsid w:val="00D31BE0"/>
    <w:rsid w:val="00DC43BD"/>
    <w:rsid w:val="00E1107A"/>
    <w:rsid w:val="00E33A8D"/>
    <w:rsid w:val="00E3665E"/>
    <w:rsid w:val="00E409CD"/>
    <w:rsid w:val="00E4412B"/>
    <w:rsid w:val="00E44C6A"/>
    <w:rsid w:val="00E66F5C"/>
    <w:rsid w:val="00E82915"/>
    <w:rsid w:val="00EB1F8D"/>
    <w:rsid w:val="00F07688"/>
    <w:rsid w:val="00F53911"/>
    <w:rsid w:val="00F712A5"/>
    <w:rsid w:val="00FD3B11"/>
    <w:rsid w:val="00FF552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E9D85E6A7EE4E81B2C7E8C9CCA878DA">
    <w:name w:val="6E9D85E6A7EE4E81B2C7E8C9CCA878DA"/>
  </w:style>
  <w:style w:type="character" w:styleId="PlaceholderText">
    <w:name w:val="Placeholder Text"/>
    <w:basedOn w:val="DefaultParagraphFont"/>
    <w:uiPriority w:val="99"/>
    <w:semiHidden/>
    <w:rPr>
      <w:color w:val="808080"/>
      <w:sz w:val="24"/>
    </w:rPr>
  </w:style>
  <w:style w:type="paragraph" w:customStyle="1" w:styleId="DE31B4CFA111498E8786028D23D5FCCA">
    <w:name w:val="DE31B4CFA111498E8786028D23D5FCCA"/>
  </w:style>
  <w:style w:type="paragraph" w:customStyle="1" w:styleId="38E6432BAC0E4CF79BA7C28D56DEFA1C">
    <w:name w:val="38E6432BAC0E4CF79BA7C28D56DEFA1C"/>
  </w:style>
  <w:style w:type="paragraph" w:customStyle="1" w:styleId="E05576BA24C743E78C6E2FEE343B842B">
    <w:name w:val="E05576BA24C743E78C6E2FEE343B842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EHRC Arial">
  <a:themeElements>
    <a:clrScheme name="EHRC primary teal">
      <a:dk1>
        <a:sysClr val="windowText" lastClr="000000"/>
      </a:dk1>
      <a:lt1>
        <a:sysClr val="window" lastClr="FFFFFF"/>
      </a:lt1>
      <a:dk2>
        <a:srgbClr val="0B4E60"/>
      </a:dk2>
      <a:lt2>
        <a:srgbClr val="7DCAC7"/>
      </a:lt2>
      <a:accent1>
        <a:srgbClr val="009C98"/>
      </a:accent1>
      <a:accent2>
        <a:srgbClr val="64A230"/>
      </a:accent2>
      <a:accent3>
        <a:srgbClr val="DDDE45"/>
      </a:accent3>
      <a:accent4>
        <a:srgbClr val="E0AACC"/>
      </a:accent4>
      <a:accent5>
        <a:srgbClr val="722856"/>
      </a:accent5>
      <a:accent6>
        <a:srgbClr val="8B9292"/>
      </a:accent6>
      <a:hlink>
        <a:srgbClr val="009C98"/>
      </a:hlink>
      <a:folHlink>
        <a:srgbClr val="009C98"/>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A520FE-FE2C-428F-A1D9-D37994C063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4786</Words>
  <Characters>27282</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2022-12-21T12:23:00Z</dcterms:created>
  <dcterms:modified xsi:type="dcterms:W3CDTF">2022-12-21T16:12:00Z</dcterms:modified>
</cp:coreProperties>
</file>