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C1501" w14:textId="72E2B5ED" w:rsidR="005F225D" w:rsidRPr="002C54BA" w:rsidRDefault="005F225D" w:rsidP="00146418">
      <w:pPr>
        <w:rPr>
          <w:rFonts w:asciiTheme="minorHAnsi" w:hAnsiTheme="minorHAnsi"/>
          <w:szCs w:val="24"/>
        </w:rPr>
      </w:pPr>
      <w:bookmarkStart w:id="0" w:name="_GoBack"/>
      <w:bookmarkEnd w:id="0"/>
    </w:p>
    <w:p w14:paraId="53AABC90" w14:textId="77777777" w:rsidR="002C54BA" w:rsidRDefault="002C54BA" w:rsidP="002C54BA">
      <w:pPr>
        <w:rPr>
          <w:rFonts w:ascii="Trade Gothic LT Com Cn" w:hAnsi="Trade Gothic LT Com Cn"/>
          <w:sz w:val="36"/>
          <w:szCs w:val="36"/>
        </w:rPr>
      </w:pPr>
    </w:p>
    <w:p w14:paraId="4E1F5857" w14:textId="77777777" w:rsidR="00C33559" w:rsidRPr="00221137" w:rsidRDefault="00C33559" w:rsidP="00C33559">
      <w:pPr>
        <w:spacing w:after="240"/>
        <w:jc w:val="center"/>
        <w:rPr>
          <w:rFonts w:ascii="Gill Sans MT" w:eastAsiaTheme="majorEastAsia" w:hAnsi="Gill Sans MT" w:cstheme="majorBidi"/>
          <w:sz w:val="42"/>
          <w:szCs w:val="32"/>
        </w:rPr>
      </w:pPr>
      <w:r w:rsidRPr="00221137">
        <w:rPr>
          <w:rFonts w:ascii="Gill Sans MT" w:eastAsiaTheme="majorEastAsia" w:hAnsi="Gill Sans MT" w:cstheme="majorBidi"/>
          <w:sz w:val="42"/>
          <w:szCs w:val="32"/>
        </w:rPr>
        <w:t>SUBMISSION TO THE COMMITTEE ON ECONOMIC, SOCIAL AND CULTURAL RIGHTS FOR THE 71</w:t>
      </w:r>
      <w:r w:rsidRPr="00221137">
        <w:rPr>
          <w:rFonts w:ascii="Gill Sans MT" w:eastAsiaTheme="majorEastAsia" w:hAnsi="Gill Sans MT" w:cstheme="majorBidi"/>
          <w:sz w:val="42"/>
          <w:szCs w:val="32"/>
          <w:vertAlign w:val="superscript"/>
        </w:rPr>
        <w:t>ST</w:t>
      </w:r>
      <w:r w:rsidRPr="00221137">
        <w:rPr>
          <w:rFonts w:ascii="Gill Sans MT" w:eastAsiaTheme="majorEastAsia" w:hAnsi="Gill Sans MT" w:cstheme="majorBidi"/>
          <w:sz w:val="42"/>
          <w:szCs w:val="32"/>
        </w:rPr>
        <w:t xml:space="preserve"> SESSION</w:t>
      </w:r>
    </w:p>
    <w:p w14:paraId="238CEEEE" w14:textId="77777777" w:rsidR="00C33559" w:rsidRPr="00221137" w:rsidRDefault="00C33559" w:rsidP="00C33559">
      <w:pPr>
        <w:jc w:val="center"/>
        <w:rPr>
          <w:rFonts w:ascii="Gill Sans MT" w:eastAsiaTheme="majorEastAsia" w:hAnsi="Gill Sans MT" w:cstheme="majorBidi"/>
          <w:sz w:val="42"/>
          <w:szCs w:val="32"/>
        </w:rPr>
      </w:pPr>
      <w:r w:rsidRPr="00221137">
        <w:rPr>
          <w:rFonts w:ascii="Gill Sans MT" w:eastAsiaTheme="majorEastAsia" w:hAnsi="Gill Sans MT" w:cstheme="majorBidi"/>
          <w:sz w:val="42"/>
          <w:szCs w:val="32"/>
        </w:rPr>
        <w:t>Review of Serbia’s third periodic report</w:t>
      </w:r>
    </w:p>
    <w:p w14:paraId="70B6D475" w14:textId="77777777" w:rsidR="00C33559" w:rsidRPr="00221137" w:rsidRDefault="00C33559" w:rsidP="00C33559">
      <w:pPr>
        <w:jc w:val="center"/>
        <w:rPr>
          <w:rFonts w:ascii="Gill Sans MT" w:eastAsiaTheme="majorEastAsia" w:hAnsi="Gill Sans MT" w:cstheme="majorBidi"/>
          <w:sz w:val="42"/>
          <w:szCs w:val="32"/>
        </w:rPr>
      </w:pPr>
    </w:p>
    <w:p w14:paraId="31018EF5" w14:textId="77777777" w:rsidR="00C33559" w:rsidRPr="00221137" w:rsidRDefault="00C33559" w:rsidP="00C33559">
      <w:pPr>
        <w:jc w:val="center"/>
        <w:rPr>
          <w:rFonts w:ascii="Gill Sans MT" w:eastAsiaTheme="majorEastAsia" w:hAnsi="Gill Sans MT" w:cstheme="majorBidi"/>
          <w:i/>
          <w:iCs/>
          <w:sz w:val="42"/>
          <w:szCs w:val="32"/>
        </w:rPr>
      </w:pPr>
    </w:p>
    <w:p w14:paraId="23D6099F" w14:textId="77777777" w:rsidR="00C33559" w:rsidRPr="00221137" w:rsidRDefault="00C33559" w:rsidP="00C33559">
      <w:pPr>
        <w:jc w:val="center"/>
        <w:rPr>
          <w:rFonts w:ascii="Gill Sans MT" w:eastAsiaTheme="majorEastAsia" w:hAnsi="Gill Sans MT" w:cstheme="majorBidi"/>
          <w:i/>
          <w:iCs/>
          <w:sz w:val="42"/>
          <w:szCs w:val="32"/>
        </w:rPr>
      </w:pPr>
      <w:r w:rsidRPr="00221137">
        <w:rPr>
          <w:rFonts w:ascii="Gill Sans MT" w:eastAsiaTheme="majorEastAsia" w:hAnsi="Gill Sans MT" w:cstheme="majorBidi"/>
          <w:i/>
          <w:iCs/>
          <w:sz w:val="42"/>
          <w:szCs w:val="32"/>
        </w:rPr>
        <w:t>prepared by</w:t>
      </w:r>
    </w:p>
    <w:p w14:paraId="653BF093" w14:textId="77777777" w:rsidR="00C33559" w:rsidRPr="00221137" w:rsidRDefault="00C33559" w:rsidP="00C33559">
      <w:pPr>
        <w:jc w:val="center"/>
        <w:rPr>
          <w:rFonts w:ascii="Gill Sans MT" w:eastAsiaTheme="majorEastAsia" w:hAnsi="Gill Sans MT" w:cstheme="majorBidi"/>
          <w:sz w:val="42"/>
          <w:szCs w:val="32"/>
        </w:rPr>
      </w:pPr>
    </w:p>
    <w:p w14:paraId="4789331C" w14:textId="77777777" w:rsidR="00C33559" w:rsidRPr="00221137" w:rsidRDefault="00C33559" w:rsidP="00C33559">
      <w:pPr>
        <w:jc w:val="center"/>
        <w:rPr>
          <w:rFonts w:ascii="Gill Sans MT" w:eastAsiaTheme="majorEastAsia" w:hAnsi="Gill Sans MT" w:cstheme="majorBidi"/>
          <w:sz w:val="42"/>
          <w:szCs w:val="32"/>
        </w:rPr>
      </w:pPr>
      <w:r w:rsidRPr="00221137">
        <w:rPr>
          <w:rFonts w:ascii="Gill Sans MT" w:eastAsiaTheme="majorEastAsia" w:hAnsi="Gill Sans MT" w:cstheme="majorBidi"/>
          <w:sz w:val="42"/>
          <w:szCs w:val="32"/>
        </w:rPr>
        <w:t>Save the Children North West Balkans</w:t>
      </w:r>
    </w:p>
    <w:p w14:paraId="757A8EBD" w14:textId="77777777" w:rsidR="00C33559" w:rsidRPr="00221137" w:rsidRDefault="00C33559" w:rsidP="00C33559">
      <w:pPr>
        <w:jc w:val="center"/>
        <w:rPr>
          <w:rFonts w:ascii="Gill Sans MT" w:eastAsiaTheme="majorEastAsia" w:hAnsi="Gill Sans MT" w:cstheme="majorBidi"/>
          <w:sz w:val="42"/>
          <w:szCs w:val="32"/>
        </w:rPr>
      </w:pPr>
      <w:r w:rsidRPr="00221137">
        <w:rPr>
          <w:rFonts w:ascii="Gill Sans MT" w:eastAsiaTheme="majorEastAsia" w:hAnsi="Gill Sans MT" w:cstheme="majorBidi"/>
          <w:sz w:val="42"/>
          <w:szCs w:val="32"/>
        </w:rPr>
        <w:t>Balkans Migration and Displacement Hub</w:t>
      </w:r>
    </w:p>
    <w:p w14:paraId="79C2D321" w14:textId="77777777" w:rsidR="00C33559" w:rsidRPr="00221137" w:rsidRDefault="00C33559" w:rsidP="00C33559">
      <w:pPr>
        <w:jc w:val="center"/>
        <w:rPr>
          <w:rFonts w:ascii="Gill Sans MT" w:eastAsia="Calibri" w:hAnsi="Gill Sans MT" w:cs="Calibri"/>
          <w:b/>
          <w:szCs w:val="22"/>
        </w:rPr>
      </w:pPr>
    </w:p>
    <w:p w14:paraId="422A9D89" w14:textId="77777777" w:rsidR="00C33559" w:rsidRPr="00221137" w:rsidRDefault="00C33559" w:rsidP="00C33559">
      <w:pPr>
        <w:jc w:val="center"/>
        <w:rPr>
          <w:rFonts w:ascii="Gill Sans MT" w:eastAsia="Calibri" w:hAnsi="Gill Sans MT" w:cs="Calibri"/>
          <w:b/>
          <w:szCs w:val="22"/>
        </w:rPr>
      </w:pPr>
    </w:p>
    <w:p w14:paraId="77EA770B" w14:textId="77777777" w:rsidR="00C33559" w:rsidRPr="00221137" w:rsidRDefault="00C33559" w:rsidP="00C33559">
      <w:pPr>
        <w:jc w:val="center"/>
        <w:rPr>
          <w:rFonts w:ascii="Gill Sans MT" w:eastAsia="Calibri" w:hAnsi="Gill Sans MT" w:cs="Calibri"/>
          <w:b/>
          <w:szCs w:val="22"/>
        </w:rPr>
      </w:pPr>
    </w:p>
    <w:p w14:paraId="78E5DEDF" w14:textId="77777777" w:rsidR="00C33559" w:rsidRPr="00221137" w:rsidRDefault="00C33559" w:rsidP="00C33559">
      <w:pPr>
        <w:jc w:val="center"/>
        <w:rPr>
          <w:rFonts w:ascii="Gill Sans MT" w:eastAsia="Calibri" w:hAnsi="Gill Sans MT" w:cs="Calibri"/>
          <w:b/>
          <w:szCs w:val="22"/>
        </w:rPr>
      </w:pPr>
    </w:p>
    <w:p w14:paraId="25A41736" w14:textId="77777777" w:rsidR="00C33559" w:rsidRPr="00221137" w:rsidRDefault="00C33559" w:rsidP="00C33559">
      <w:pPr>
        <w:jc w:val="center"/>
        <w:rPr>
          <w:rFonts w:ascii="Gill Sans MT" w:eastAsia="Calibri" w:hAnsi="Gill Sans MT" w:cs="Calibri"/>
          <w:b/>
          <w:szCs w:val="22"/>
        </w:rPr>
      </w:pPr>
    </w:p>
    <w:p w14:paraId="231B3262" w14:textId="77777777" w:rsidR="00C33559" w:rsidRPr="00221137" w:rsidRDefault="00C33559" w:rsidP="00C33559">
      <w:pPr>
        <w:jc w:val="center"/>
        <w:rPr>
          <w:rFonts w:ascii="Gill Sans MT" w:eastAsia="Calibri" w:hAnsi="Gill Sans MT" w:cs="Calibri"/>
          <w:b/>
          <w:szCs w:val="22"/>
        </w:rPr>
      </w:pPr>
    </w:p>
    <w:p w14:paraId="6568A32E" w14:textId="77777777" w:rsidR="00C33559" w:rsidRPr="00221137" w:rsidRDefault="00C33559" w:rsidP="00C33559">
      <w:pPr>
        <w:jc w:val="center"/>
        <w:rPr>
          <w:rFonts w:ascii="Gill Sans MT" w:eastAsia="Calibri" w:hAnsi="Gill Sans MT" w:cs="Calibri"/>
          <w:b/>
          <w:szCs w:val="22"/>
        </w:rPr>
      </w:pPr>
    </w:p>
    <w:p w14:paraId="7A4903C8" w14:textId="77777777" w:rsidR="00C33559" w:rsidRPr="00221137" w:rsidRDefault="00C33559" w:rsidP="00C33559">
      <w:pPr>
        <w:jc w:val="center"/>
        <w:rPr>
          <w:rFonts w:ascii="Gill Sans MT" w:eastAsia="Calibri" w:hAnsi="Gill Sans MT" w:cs="Calibri"/>
          <w:b/>
          <w:szCs w:val="22"/>
        </w:rPr>
      </w:pPr>
    </w:p>
    <w:p w14:paraId="6B13B7AF" w14:textId="77777777" w:rsidR="00C33559" w:rsidRDefault="00C33559" w:rsidP="00C33559">
      <w:pPr>
        <w:jc w:val="center"/>
        <w:rPr>
          <w:rFonts w:ascii="Gill Sans MT" w:eastAsia="Calibri" w:hAnsi="Gill Sans MT" w:cs="Calibri"/>
          <w:bCs/>
          <w:sz w:val="36"/>
          <w:szCs w:val="32"/>
        </w:rPr>
      </w:pPr>
    </w:p>
    <w:p w14:paraId="5E231B52" w14:textId="76D52C5C" w:rsidR="00C33559" w:rsidRDefault="00C33559" w:rsidP="00C33559">
      <w:pPr>
        <w:jc w:val="center"/>
        <w:rPr>
          <w:rFonts w:ascii="Gill Sans MT" w:eastAsia="Calibri" w:hAnsi="Gill Sans MT" w:cs="Calibri"/>
          <w:bCs/>
          <w:sz w:val="36"/>
          <w:szCs w:val="32"/>
        </w:rPr>
      </w:pPr>
      <w:r w:rsidRPr="00221137">
        <w:rPr>
          <w:rFonts w:ascii="Gill Sans MT" w:eastAsia="Calibri" w:hAnsi="Gill Sans MT" w:cs="Calibri"/>
          <w:bCs/>
          <w:sz w:val="36"/>
          <w:szCs w:val="32"/>
        </w:rPr>
        <w:t>Belgrade, 14 January 2022</w:t>
      </w:r>
    </w:p>
    <w:p w14:paraId="620EB6BF" w14:textId="77777777" w:rsidR="00C6793E" w:rsidRDefault="00C6793E">
      <w:pPr>
        <w:spacing w:after="160" w:line="259" w:lineRule="auto"/>
        <w:rPr>
          <w:rFonts w:ascii="Calibri" w:eastAsia="Calibri" w:hAnsi="Calibri" w:cs="Calibri"/>
          <w:b/>
          <w:sz w:val="32"/>
          <w:szCs w:val="28"/>
        </w:rPr>
      </w:pPr>
      <w:r>
        <w:rPr>
          <w:rFonts w:ascii="Calibri" w:eastAsia="Calibri" w:hAnsi="Calibri" w:cs="Calibri"/>
          <w:b/>
          <w:sz w:val="32"/>
          <w:szCs w:val="28"/>
        </w:rPr>
        <w:br w:type="page"/>
      </w:r>
    </w:p>
    <w:p w14:paraId="3C9AF4BA" w14:textId="4A3EB0BA" w:rsidR="003E3A7D" w:rsidRPr="00C6793E" w:rsidRDefault="00110D6A" w:rsidP="00C6793E">
      <w:pPr>
        <w:pStyle w:val="Heading1"/>
        <w:rPr>
          <w:rFonts w:ascii="Calibri" w:eastAsia="Calibri" w:hAnsi="Calibri" w:cs="Calibri"/>
          <w:szCs w:val="28"/>
        </w:rPr>
      </w:pPr>
      <w:r>
        <w:rPr>
          <w:rFonts w:eastAsia="Calibri"/>
          <w:lang w:val="en-US"/>
        </w:rPr>
        <w:lastRenderedPageBreak/>
        <w:t>A</w:t>
      </w:r>
      <w:r w:rsidR="00BD6EC8">
        <w:rPr>
          <w:rFonts w:eastAsia="Calibri"/>
          <w:lang w:val="en-US"/>
        </w:rPr>
        <w:t>BOU</w:t>
      </w:r>
      <w:r w:rsidR="00936564">
        <w:rPr>
          <w:rFonts w:eastAsia="Calibri"/>
          <w:lang w:val="en-US"/>
        </w:rPr>
        <w:t>T BMDH</w:t>
      </w:r>
    </w:p>
    <w:p w14:paraId="25A4BB4D" w14:textId="19D37772" w:rsidR="00BD6EC8" w:rsidRPr="00AC6E95" w:rsidRDefault="00BD6EC8" w:rsidP="00BD6EC8">
      <w:pPr>
        <w:jc w:val="both"/>
        <w:rPr>
          <w:rStyle w:val="eop"/>
          <w:rFonts w:ascii="Gill Sans MT" w:hAnsi="Gill Sans MT"/>
          <w:color w:val="212121"/>
          <w:szCs w:val="24"/>
        </w:rPr>
      </w:pPr>
      <w:r w:rsidRPr="00AC6E95">
        <w:rPr>
          <w:rStyle w:val="normaltextrun"/>
          <w:rFonts w:ascii="Gill Sans MT" w:hAnsi="Gill Sans MT"/>
          <w:szCs w:val="24"/>
        </w:rPr>
        <w:t xml:space="preserve">Save the Children has been responding to the refugee and migrant crisis in the Western Balkans since 2015. In late 2017, recognising the protracted nature of mixed migration flows in the Balkans and the continued need for support to vulnerable children, Save the Children’s crisis response operations in countries along the Western Balkan Route were transformed into the Balkans Migration and Displacement Hub (BMDH) to ensure the needed support for girls and boys on the move. BMDH is based in Belgrade, Serbia and operates as a flexible, cost-effective structure under the Save the Children North West Balkans Country Office, striving to address sustained and systemic protection concerns of refugees and migrants in transit. </w:t>
      </w:r>
      <w:r w:rsidRPr="00AC6E95">
        <w:rPr>
          <w:rStyle w:val="normaltextrun"/>
          <w:rFonts w:ascii="Gill Sans MT" w:hAnsi="Gill Sans MT"/>
          <w:szCs w:val="24"/>
          <w:lang w:val="en-US"/>
        </w:rPr>
        <w:t>It is mandated to improve learning and knowledge sharing within Save the Children, monitor trends in migrations across the Balkans, promote emergency preparedness, ensure refugee and migrant children’s needs are prioriti</w:t>
      </w:r>
      <w:r w:rsidR="006213EC">
        <w:rPr>
          <w:rStyle w:val="normaltextrun"/>
          <w:rFonts w:ascii="Gill Sans MT" w:hAnsi="Gill Sans MT"/>
          <w:szCs w:val="24"/>
          <w:lang w:val="en-US"/>
        </w:rPr>
        <w:t>s</w:t>
      </w:r>
      <w:r w:rsidRPr="00AC6E95">
        <w:rPr>
          <w:rStyle w:val="normaltextrun"/>
          <w:rFonts w:ascii="Gill Sans MT" w:hAnsi="Gill Sans MT"/>
          <w:szCs w:val="24"/>
          <w:lang w:val="en-US"/>
        </w:rPr>
        <w:t>ed, develop partnerships in countries along the Balkans route and liaise with other stakeholders working with on the move to run and promote robust advocacy for children. BMDH is publishing quarterly data and trend analysis reports for the entire Western Balkans Route, from Greece to Bosnia and Herzegovina. </w:t>
      </w:r>
      <w:r w:rsidRPr="00AC6E95">
        <w:rPr>
          <w:rStyle w:val="eop"/>
          <w:rFonts w:ascii="Gill Sans MT" w:hAnsi="Gill Sans MT"/>
          <w:szCs w:val="24"/>
        </w:rPr>
        <w:t> </w:t>
      </w:r>
    </w:p>
    <w:p w14:paraId="612670C4" w14:textId="432D949B" w:rsidR="00C33559" w:rsidRPr="00C33559" w:rsidRDefault="00C33559" w:rsidP="00C33559">
      <w:pPr>
        <w:pStyle w:val="Heading1"/>
        <w:rPr>
          <w:rStyle w:val="eop"/>
        </w:rPr>
      </w:pPr>
      <w:r w:rsidRPr="00C33559">
        <w:rPr>
          <w:rStyle w:val="eop"/>
        </w:rPr>
        <w:t>ASYLUM PROCEDURE</w:t>
      </w:r>
    </w:p>
    <w:p w14:paraId="1B224D6D" w14:textId="78BBFA57" w:rsidR="00C33559" w:rsidRPr="00C33559" w:rsidRDefault="00C33559" w:rsidP="00C33559">
      <w:pPr>
        <w:rPr>
          <w:i/>
          <w:iCs/>
        </w:rPr>
      </w:pPr>
      <w:r w:rsidRPr="00C33559">
        <w:rPr>
          <w:i/>
          <w:iCs/>
        </w:rPr>
        <w:t>LOI: Please provide information on the steps taken by the State party to guarantee that the Asylum Office applies a fair and efficient asylum procedure, as recommended by the Committee in its previous concluding observations</w:t>
      </w:r>
      <w:r>
        <w:rPr>
          <w:i/>
          <w:iCs/>
        </w:rPr>
        <w:t xml:space="preserve"> (para. 10).</w:t>
      </w:r>
    </w:p>
    <w:p w14:paraId="0E0104A0" w14:textId="1274A40A" w:rsidR="00C33559" w:rsidRPr="00943C91" w:rsidRDefault="00C33559" w:rsidP="00C33559">
      <w:pPr>
        <w:jc w:val="both"/>
      </w:pPr>
      <w:r w:rsidRPr="00943C91">
        <w:t>Pertaining to the State party replies to the List of Issues (paragraph 10 thereof), and in particular</w:t>
      </w:r>
      <w:r w:rsidR="00FB4F72">
        <w:t>,</w:t>
      </w:r>
      <w:r w:rsidRPr="00943C91">
        <w:t xml:space="preserve"> paragraph 52 </w:t>
      </w:r>
      <w:r w:rsidR="00FB4F72">
        <w:t>on</w:t>
      </w:r>
      <w:r w:rsidRPr="00943C91">
        <w:t xml:space="preserve"> the duration of the asylum procedure, we find that the State party’s response is unclear, and therefore possibly misleading. The maximum prescribed duration of the asylum procedure, i. e. the deadline for decisions on asylum applications</w:t>
      </w:r>
      <w:r w:rsidR="006213EC">
        <w:t>,</w:t>
      </w:r>
      <w:r w:rsidRPr="00943C91">
        <w:t xml:space="preserve"> can in very specific circumstances be 12 months, while in regular circumstances it is three months.</w:t>
      </w:r>
      <w:r w:rsidRPr="00943C91">
        <w:rPr>
          <w:rStyle w:val="FootnoteReference"/>
        </w:rPr>
        <w:footnoteReference w:id="1"/>
      </w:r>
      <w:r w:rsidRPr="00943C91">
        <w:t xml:space="preserve"> However, according to the data at the disposal of the BMDH, there were several decisions in the first instance in cases concerning unaccompanied and separated children </w:t>
      </w:r>
      <w:r>
        <w:t>(</w:t>
      </w:r>
      <w:r w:rsidRPr="00943C91">
        <w:t>UASC</w:t>
      </w:r>
      <w:r>
        <w:t>)</w:t>
      </w:r>
      <w:r w:rsidRPr="00943C91">
        <w:t xml:space="preserve"> cases whereby these deadlines were gravely </w:t>
      </w:r>
      <w:r w:rsidRPr="00943C91">
        <w:lastRenderedPageBreak/>
        <w:t>breached.</w:t>
      </w:r>
      <w:r w:rsidRPr="00943C91">
        <w:rPr>
          <w:rStyle w:val="FootnoteReference"/>
        </w:rPr>
        <w:footnoteReference w:id="2"/>
      </w:r>
      <w:r w:rsidRPr="00943C91">
        <w:t xml:space="preserve"> </w:t>
      </w:r>
      <w:r w:rsidR="006213EC">
        <w:t>Local civil society</w:t>
      </w:r>
      <w:r w:rsidRPr="00943C91">
        <w:t xml:space="preserve"> organisations have written reports claiming that these procedures relating to UASC can be unreasonably long and the hearings themselves stressful for children, and that at times long periods of time pass between the moment a child expresses the intention to seek asylum and the lodging of the asylum application.</w:t>
      </w:r>
      <w:r w:rsidRPr="00943C91">
        <w:rPr>
          <w:rStyle w:val="FootnoteReference"/>
        </w:rPr>
        <w:footnoteReference w:id="3"/>
      </w:r>
      <w:r w:rsidRPr="00943C91">
        <w:t xml:space="preserve"> Furthermore, although the Law on Asylum and Temporary Protection prescribes that asylum applications pertaining to UASC should take priority over other applications, this is seldom the case.</w:t>
      </w:r>
      <w:r w:rsidRPr="00943C91">
        <w:rPr>
          <w:rStyle w:val="FootnoteReference"/>
        </w:rPr>
        <w:footnoteReference w:id="4"/>
      </w:r>
      <w:r w:rsidRPr="00943C91">
        <w:t xml:space="preserve"> This information also speaks to paragraph 50 of the State Party’s response to the List of Issues.</w:t>
      </w:r>
    </w:p>
    <w:p w14:paraId="581B202D" w14:textId="43160051" w:rsidR="00C33559" w:rsidRPr="00943C91" w:rsidRDefault="00C33559" w:rsidP="00C33559">
      <w:pPr>
        <w:jc w:val="both"/>
        <w:rPr>
          <w:rFonts w:eastAsia="Gill Sans MT" w:cs="Gill Sans MT"/>
          <w:color w:val="000000" w:themeColor="text1"/>
          <w:sz w:val="20"/>
          <w:vertAlign w:val="superscript"/>
        </w:rPr>
      </w:pPr>
      <w:r w:rsidRPr="00943C91">
        <w:rPr>
          <w:rFonts w:eastAsia="Gill Sans MT" w:cs="Gill Sans MT"/>
        </w:rPr>
        <w:t>Since many</w:t>
      </w:r>
      <w:r w:rsidRPr="39E5CEEA">
        <w:rPr>
          <w:rFonts w:eastAsia="Gill Sans MT" w:cs="Gill Sans MT"/>
        </w:rPr>
        <w:t xml:space="preserve"> refugee</w:t>
      </w:r>
      <w:r w:rsidRPr="7063CB47">
        <w:rPr>
          <w:rFonts w:eastAsia="Gill Sans MT" w:cs="Gill Sans MT"/>
        </w:rPr>
        <w:t xml:space="preserve"> and migrant</w:t>
      </w:r>
      <w:r w:rsidRPr="00943C91">
        <w:rPr>
          <w:rFonts w:eastAsia="Gill Sans MT" w:cs="Gill Sans MT"/>
        </w:rPr>
        <w:t xml:space="preserve"> children do not know their exact date of birth but only their approximate age, the Ministry of Interior most often puts in registration certificates 1 January as an official date of birth</w:t>
      </w:r>
      <w:r w:rsidRPr="59FD2EEE">
        <w:rPr>
          <w:rFonts w:eastAsia="Gill Sans MT" w:cs="Gill Sans MT"/>
        </w:rPr>
        <w:t xml:space="preserve"> without conducting an age assessment.</w:t>
      </w:r>
      <w:r w:rsidRPr="00943C91">
        <w:rPr>
          <w:rFonts w:eastAsia="Gill Sans MT" w:cs="Gill Sans MT"/>
        </w:rPr>
        <w:t xml:space="preserve"> This further means that those children who are not born on 1 January of the given year are treated as adults at the beginning of the calendar year in which they will turn adulthood. Consequently, they lose the support of temporary legal guardians even though it cannot be excluded that they are still underage (until 31 December at the latest). The same person can be issued with a copy of the registration certificate in the case it has expired or has been stolen or lost. </w:t>
      </w:r>
    </w:p>
    <w:p w14:paraId="23AE4514" w14:textId="3E16EF2E" w:rsidR="00C33559" w:rsidRPr="00943C91" w:rsidRDefault="00C33559" w:rsidP="00C33559">
      <w:pPr>
        <w:jc w:val="both"/>
        <w:rPr>
          <w:rFonts w:eastAsia="Gill Sans MT" w:cs="Gill Sans MT"/>
          <w:vertAlign w:val="superscript"/>
        </w:rPr>
      </w:pPr>
      <w:r w:rsidRPr="00943C91">
        <w:rPr>
          <w:rFonts w:eastAsia="Gill Sans MT" w:cs="Gill Sans MT"/>
        </w:rPr>
        <w:t>Another issue is related to reaching the reception facility within 72 hours of registration. The transportation is not organised and the costs of self-transportation are not covered. If children would fail to report to the designated facility (written on the certificate) in time, the regulations on the legal status of foreigners would apply. Thus, children will be considered as irregular migrants</w:t>
      </w:r>
      <w:r w:rsidRPr="00943C91">
        <w:rPr>
          <w:rFonts w:eastAsia="Gill Sans MT" w:cs="Gill Sans MT"/>
          <w:vertAlign w:val="superscript"/>
        </w:rPr>
        <w:footnoteReference w:id="5"/>
      </w:r>
      <w:r w:rsidRPr="00943C91">
        <w:rPr>
          <w:rFonts w:eastAsia="Gill Sans MT" w:cs="Gill Sans MT"/>
        </w:rPr>
        <w:t xml:space="preserve"> and will risk being penalised in the misdemeanour proceeding</w:t>
      </w:r>
      <w:r w:rsidRPr="00943C91">
        <w:rPr>
          <w:rFonts w:eastAsia="Gill Sans MT" w:cs="Gill Sans MT"/>
          <w:vertAlign w:val="superscript"/>
        </w:rPr>
        <w:footnoteReference w:id="6"/>
      </w:r>
      <w:r w:rsidRPr="00943C91">
        <w:rPr>
          <w:rFonts w:eastAsia="Gill Sans MT" w:cs="Gill Sans MT"/>
        </w:rPr>
        <w:t xml:space="preserve"> and served with the return decision.</w:t>
      </w:r>
      <w:r w:rsidRPr="00943C91">
        <w:rPr>
          <w:rFonts w:eastAsia="Gill Sans MT" w:cs="Gill Sans MT"/>
          <w:vertAlign w:val="superscript"/>
        </w:rPr>
        <w:footnoteReference w:id="7"/>
      </w:r>
      <w:r w:rsidRPr="00943C91">
        <w:rPr>
          <w:rFonts w:eastAsia="Gill Sans MT" w:cs="Gill Sans MT"/>
        </w:rPr>
        <w:t xml:space="preserve"> Moreover, it is still not clear if the law enforcement officers issuing registration certificates are informing asylum seekers on their rights and obligations, including the right to lodge an asylum application.</w:t>
      </w:r>
      <w:r w:rsidRPr="00943C91">
        <w:rPr>
          <w:rFonts w:eastAsia="Gill Sans MT" w:cs="Gill Sans MT"/>
          <w:vertAlign w:val="superscript"/>
        </w:rPr>
        <w:footnoteReference w:id="8"/>
      </w:r>
      <w:r w:rsidRPr="00943C91">
        <w:rPr>
          <w:rFonts w:eastAsia="Gill Sans MT" w:cs="Gill Sans MT"/>
        </w:rPr>
        <w:t xml:space="preserve"> According to the </w:t>
      </w:r>
      <w:r w:rsidRPr="00943C91">
        <w:rPr>
          <w:rFonts w:eastAsia="Gill Sans MT" w:cs="Gill Sans MT"/>
          <w:color w:val="000000" w:themeColor="text1"/>
        </w:rPr>
        <w:t>Ministry of Interior</w:t>
      </w:r>
      <w:r w:rsidRPr="00943C91">
        <w:rPr>
          <w:rFonts w:eastAsia="Gill Sans MT" w:cs="Gill Sans MT"/>
        </w:rPr>
        <w:t xml:space="preserve">, </w:t>
      </w:r>
      <w:r w:rsidRPr="00943C91">
        <w:rPr>
          <w:rFonts w:eastAsia="Gill Sans MT" w:cs="Gill Sans MT"/>
          <w:color w:val="000000" w:themeColor="text1"/>
        </w:rPr>
        <w:t>brochures on asylum seekers’ rights and obligations are being drafted and are still to be made available in all the organisational units of the Ministry of Interior that issue registration certificates.</w:t>
      </w:r>
      <w:r w:rsidRPr="00943C91">
        <w:rPr>
          <w:rFonts w:eastAsia="Gill Sans MT" w:cs="Gill Sans MT"/>
          <w:color w:val="000000" w:themeColor="text1"/>
          <w:vertAlign w:val="superscript"/>
        </w:rPr>
        <w:footnoteReference w:id="9"/>
      </w:r>
      <w:r w:rsidRPr="00943C91">
        <w:rPr>
          <w:rFonts w:eastAsia="Gill Sans MT" w:cs="Gill Sans MT"/>
          <w:color w:val="000000" w:themeColor="text1"/>
        </w:rPr>
        <w:t xml:space="preserve"> However, in cases when children issued a registration certificate are accompanied by temporary legal guardians, they are being informed by them of the future steps in their claim for international protection.</w:t>
      </w:r>
      <w:r w:rsidRPr="00943C91">
        <w:rPr>
          <w:rFonts w:eastAsia="Gill Sans MT" w:cs="Gill Sans MT"/>
        </w:rPr>
        <w:t xml:space="preserve"> One of the greatest challenges in practice has been the fact that the guardianship authorities lacked sufficient human resources to ensure effective support to </w:t>
      </w:r>
      <w:r w:rsidRPr="00943C91">
        <w:rPr>
          <w:rFonts w:eastAsia="Gill Sans MT" w:cs="Gill Sans MT"/>
        </w:rPr>
        <w:lastRenderedPageBreak/>
        <w:t>each child.</w:t>
      </w:r>
      <w:r w:rsidRPr="00943C91">
        <w:rPr>
          <w:rFonts w:eastAsia="Gill Sans MT" w:cs="Gill Sans MT"/>
          <w:vertAlign w:val="superscript"/>
        </w:rPr>
        <w:footnoteReference w:id="10"/>
      </w:r>
      <w:r w:rsidRPr="00943C91">
        <w:rPr>
          <w:rFonts w:eastAsia="Gill Sans MT" w:cs="Gill Sans MT"/>
        </w:rPr>
        <w:t xml:space="preserve"> For instance, it was a frequent situation that one guardian was appointed to dozens of UASC making it impossible for them to develop a meaningful and trusting relationship with children.</w:t>
      </w:r>
      <w:r w:rsidRPr="00943C91">
        <w:rPr>
          <w:rFonts w:eastAsia="Gill Sans MT" w:cs="Gill Sans MT"/>
          <w:vertAlign w:val="superscript"/>
        </w:rPr>
        <w:footnoteReference w:id="11"/>
      </w:r>
    </w:p>
    <w:p w14:paraId="6F9CC4DD" w14:textId="10E283B1" w:rsidR="00C33559" w:rsidRPr="00943C91" w:rsidRDefault="00C33559" w:rsidP="00C33559">
      <w:pPr>
        <w:jc w:val="both"/>
      </w:pPr>
      <w:r w:rsidRPr="00943C91">
        <w:t>In supplement, data collected by Save the Children indicate that UASC are often unable to understand procedures they were involved in, as well as the documents they were signing or refusing to sign due to lack of inadequate translation because the contents were not presented in a manner appropriate to their age, education and emotional state. They found the asylum procedure, among other procedures, difficult to comprehend and often misinterpreted the related information, potentially to their detriment. Furthermore, certain children reported that they were at times discouraged by the police officers from seeking asylum.</w:t>
      </w:r>
      <w:r w:rsidRPr="00943C91">
        <w:rPr>
          <w:rStyle w:val="FootnoteReference"/>
        </w:rPr>
        <w:footnoteReference w:id="12"/>
      </w:r>
    </w:p>
    <w:p w14:paraId="6C393FC1" w14:textId="7B551A07" w:rsidR="00C33559" w:rsidRDefault="00C33559" w:rsidP="00C33559">
      <w:pPr>
        <w:jc w:val="both"/>
      </w:pPr>
      <w:r w:rsidRPr="00943C91">
        <w:t>There have been also noted inconsistent practices in the work of the Asylum Office in their deliberation on UASC cases. Namely, the Asylum Office granted subsidiary protection to an unaccompanied child from Afghanistan,</w:t>
      </w:r>
      <w:r w:rsidRPr="00943C91">
        <w:rPr>
          <w:vertAlign w:val="superscript"/>
        </w:rPr>
        <w:footnoteReference w:id="13"/>
      </w:r>
      <w:r w:rsidRPr="00943C91">
        <w:t xml:space="preserve"> considering the deteriorating situation in his country and UNHCR’s view of 2018 that the situation is said country is unsafe. Only two days earlier the Asylum Office rejected the application of another unaccompanied child from Afghanistan,</w:t>
      </w:r>
      <w:r w:rsidRPr="00943C91">
        <w:rPr>
          <w:vertAlign w:val="superscript"/>
        </w:rPr>
        <w:footnoteReference w:id="14"/>
      </w:r>
      <w:r w:rsidRPr="00943C91">
        <w:t xml:space="preserve"> claiming that returning that Kabul is a safe destination as it was under the effective control of the Afghan Government.</w:t>
      </w:r>
      <w:r w:rsidRPr="00943C91">
        <w:rPr>
          <w:rStyle w:val="FootnoteReference"/>
        </w:rPr>
        <w:footnoteReference w:id="15"/>
      </w:r>
      <w:r>
        <w:t xml:space="preserve">  These inconsistencies also constitute a breach of the principle of predictability under the Law on Administrative Procedure.</w:t>
      </w:r>
      <w:r w:rsidRPr="5EB1D71C">
        <w:rPr>
          <w:vertAlign w:val="superscript"/>
        </w:rPr>
        <w:footnoteReference w:id="16"/>
      </w:r>
    </w:p>
    <w:p w14:paraId="0AD46BB8" w14:textId="05CBF424" w:rsidR="00C33559" w:rsidRPr="00943C91" w:rsidRDefault="00C33559" w:rsidP="00C33559">
      <w:pPr>
        <w:pStyle w:val="Heading1"/>
      </w:pPr>
      <w:r>
        <w:t>SOCIAL WELFARE SERVICES</w:t>
      </w:r>
    </w:p>
    <w:p w14:paraId="6B4FB77C" w14:textId="2541014D" w:rsidR="00C33559" w:rsidRPr="00943C91" w:rsidRDefault="00C33559" w:rsidP="00C33559">
      <w:pPr>
        <w:jc w:val="both"/>
        <w:rPr>
          <w:rFonts w:eastAsia="Gill Sans MT" w:cs="Gill Sans MT"/>
          <w:i/>
          <w:iCs/>
        </w:rPr>
      </w:pPr>
      <w:r w:rsidRPr="00943C91">
        <w:rPr>
          <w:rFonts w:eastAsia="Gill Sans MT" w:cs="Gill Sans MT"/>
          <w:i/>
          <w:iCs/>
        </w:rPr>
        <w:t>LOI: Please describe the impact of social welfare services, the agreement on grants and</w:t>
      </w:r>
      <w:r w:rsidRPr="27A84D1F">
        <w:rPr>
          <w:rFonts w:eastAsia="Gill Sans MT" w:cs="Gill Sans MT"/>
          <w:i/>
          <w:iCs/>
        </w:rPr>
        <w:t xml:space="preserve"> </w:t>
      </w:r>
      <w:r w:rsidRPr="00943C91">
        <w:rPr>
          <w:rFonts w:eastAsia="Gill Sans MT" w:cs="Gill Sans MT"/>
          <w:i/>
          <w:iCs/>
        </w:rPr>
        <w:t>the initiatives mentioned in the State party report on economic, social and cultural rights,</w:t>
      </w:r>
      <w:r w:rsidRPr="4A8F0E5F">
        <w:rPr>
          <w:rFonts w:eastAsia="Gill Sans MT" w:cs="Gill Sans MT"/>
          <w:i/>
          <w:iCs/>
        </w:rPr>
        <w:t xml:space="preserve"> </w:t>
      </w:r>
      <w:r w:rsidRPr="00943C91">
        <w:rPr>
          <w:rFonts w:eastAsia="Gill Sans MT" w:cs="Gill Sans MT"/>
          <w:i/>
          <w:iCs/>
        </w:rPr>
        <w:t>including on conditions in reception centres for unaccompanied minors, refugees, asylum</w:t>
      </w:r>
      <w:r w:rsidRPr="4A8F0E5F">
        <w:rPr>
          <w:rFonts w:eastAsia="Gill Sans MT" w:cs="Gill Sans MT"/>
          <w:i/>
          <w:iCs/>
        </w:rPr>
        <w:t xml:space="preserve"> </w:t>
      </w:r>
      <w:r w:rsidRPr="00943C91">
        <w:rPr>
          <w:rFonts w:eastAsia="Gill Sans MT" w:cs="Gill Sans MT"/>
          <w:i/>
          <w:iCs/>
        </w:rPr>
        <w:t>seekers, migrants in irregular situations and internally displaced persons (E/C.12/SRB/3,</w:t>
      </w:r>
      <w:r w:rsidRPr="4A8F0E5F">
        <w:rPr>
          <w:rFonts w:eastAsia="Gill Sans MT" w:cs="Gill Sans MT"/>
          <w:i/>
          <w:iCs/>
        </w:rPr>
        <w:t xml:space="preserve"> </w:t>
      </w:r>
      <w:r w:rsidRPr="00943C91">
        <w:rPr>
          <w:rFonts w:eastAsia="Gill Sans MT" w:cs="Gill Sans MT"/>
          <w:i/>
          <w:iCs/>
        </w:rPr>
        <w:t>paras. 64, 65 and 223). Please explain the geographical reach and envisaged expansion of</w:t>
      </w:r>
      <w:r w:rsidRPr="4A8F0E5F">
        <w:rPr>
          <w:rFonts w:eastAsia="Gill Sans MT" w:cs="Gill Sans MT"/>
          <w:i/>
          <w:iCs/>
        </w:rPr>
        <w:t xml:space="preserve"> </w:t>
      </w:r>
      <w:r w:rsidRPr="00943C91">
        <w:rPr>
          <w:rFonts w:eastAsia="Gill Sans MT" w:cs="Gill Sans MT"/>
          <w:i/>
          <w:iCs/>
        </w:rPr>
        <w:t>the initiatives throughout the State party, especially in the border regions and in migration</w:t>
      </w:r>
      <w:r w:rsidRPr="4A8F0E5F">
        <w:rPr>
          <w:rFonts w:eastAsia="Gill Sans MT" w:cs="Gill Sans MT"/>
          <w:i/>
          <w:iCs/>
        </w:rPr>
        <w:t xml:space="preserve"> </w:t>
      </w:r>
      <w:r w:rsidRPr="00943C91">
        <w:rPr>
          <w:rFonts w:eastAsia="Gill Sans MT" w:cs="Gill Sans MT"/>
          <w:i/>
          <w:iCs/>
        </w:rPr>
        <w:t>centres. Please also provide information on the support extended to civil society</w:t>
      </w:r>
      <w:r w:rsidRPr="4A8F0E5F">
        <w:rPr>
          <w:rFonts w:eastAsia="Gill Sans MT" w:cs="Gill Sans MT"/>
          <w:i/>
          <w:iCs/>
        </w:rPr>
        <w:t xml:space="preserve"> </w:t>
      </w:r>
      <w:r w:rsidRPr="00943C91">
        <w:rPr>
          <w:rFonts w:eastAsia="Gill Sans MT" w:cs="Gill Sans MT"/>
          <w:i/>
          <w:iCs/>
        </w:rPr>
        <w:t>organi</w:t>
      </w:r>
      <w:r w:rsidR="006213EC">
        <w:rPr>
          <w:rFonts w:eastAsia="Gill Sans MT" w:cs="Gill Sans MT"/>
          <w:i/>
          <w:iCs/>
        </w:rPr>
        <w:t>s</w:t>
      </w:r>
      <w:r w:rsidRPr="00943C91">
        <w:rPr>
          <w:rFonts w:eastAsia="Gill Sans MT" w:cs="Gill Sans MT"/>
          <w:i/>
          <w:iCs/>
        </w:rPr>
        <w:t>ations providing assistance to these groups</w:t>
      </w:r>
      <w:r>
        <w:rPr>
          <w:rFonts w:eastAsia="Gill Sans MT" w:cs="Gill Sans MT"/>
          <w:i/>
          <w:iCs/>
        </w:rPr>
        <w:t xml:space="preserve"> (para. 11).</w:t>
      </w:r>
    </w:p>
    <w:p w14:paraId="6C3F114C" w14:textId="14398509" w:rsidR="00C33559" w:rsidRPr="00943C91" w:rsidRDefault="00C33559" w:rsidP="00C33559">
      <w:pPr>
        <w:jc w:val="both"/>
        <w:rPr>
          <w:rFonts w:eastAsia="Gill Sans MT" w:cs="Gill Sans MT"/>
        </w:rPr>
      </w:pPr>
      <w:r w:rsidRPr="00943C91">
        <w:rPr>
          <w:rFonts w:eastAsia="Gill Sans MT" w:cs="Gill Sans MT"/>
        </w:rPr>
        <w:t xml:space="preserve">In paragraph 55 of the State Party response to para. 11 of the LoI, it is written that all unaccompanied minors are provided with access to education. While great strides have been made since </w:t>
      </w:r>
      <w:r w:rsidRPr="5560B475">
        <w:rPr>
          <w:rFonts w:eastAsia="Gill Sans MT" w:cs="Gill Sans MT"/>
        </w:rPr>
        <w:t>2015</w:t>
      </w:r>
      <w:r w:rsidRPr="00943C91">
        <w:rPr>
          <w:rFonts w:eastAsia="Gill Sans MT" w:cs="Gill Sans MT"/>
        </w:rPr>
        <w:t xml:space="preserve">, </w:t>
      </w:r>
      <w:r w:rsidR="00FB4F72">
        <w:rPr>
          <w:rFonts w:eastAsia="Gill Sans MT" w:cs="Gill Sans MT"/>
        </w:rPr>
        <w:t>some issues</w:t>
      </w:r>
      <w:r w:rsidRPr="00943C91">
        <w:rPr>
          <w:rFonts w:eastAsia="Gill Sans MT" w:cs="Gill Sans MT"/>
        </w:rPr>
        <w:t xml:space="preserve"> need to be further addressed. For example, there is still a notable lack of preparatory Serbian </w:t>
      </w:r>
      <w:r w:rsidRPr="00943C91">
        <w:rPr>
          <w:rFonts w:eastAsia="Gill Sans MT" w:cs="Gill Sans MT"/>
        </w:rPr>
        <w:lastRenderedPageBreak/>
        <w:t xml:space="preserve">language lessons, lack of additional </w:t>
      </w:r>
      <w:r w:rsidR="00FB4F72">
        <w:rPr>
          <w:rFonts w:eastAsia="Gill Sans MT" w:cs="Gill Sans MT"/>
        </w:rPr>
        <w:t>education support</w:t>
      </w:r>
      <w:r w:rsidRPr="00943C91">
        <w:rPr>
          <w:rFonts w:eastAsia="Gill Sans MT" w:cs="Gill Sans MT"/>
        </w:rPr>
        <w:t xml:space="preserve"> which is for the most part provided exclusively by </w:t>
      </w:r>
      <w:r w:rsidRPr="560FAC7A">
        <w:rPr>
          <w:rFonts w:eastAsia="Gill Sans MT" w:cs="Gill Sans MT"/>
        </w:rPr>
        <w:t>civil society organisations</w:t>
      </w:r>
      <w:r w:rsidRPr="00943C91">
        <w:rPr>
          <w:rFonts w:eastAsia="Gill Sans MT" w:cs="Gill Sans MT"/>
        </w:rPr>
        <w:t xml:space="preserve">, and </w:t>
      </w:r>
      <w:r w:rsidRPr="560FAC7A">
        <w:rPr>
          <w:rFonts w:eastAsia="Gill Sans MT" w:cs="Gill Sans MT"/>
        </w:rPr>
        <w:t xml:space="preserve">the </w:t>
      </w:r>
      <w:r w:rsidRPr="00943C91">
        <w:rPr>
          <w:rFonts w:eastAsia="Gill Sans MT" w:cs="Gill Sans MT"/>
        </w:rPr>
        <w:t xml:space="preserve">lack of interpreters. Additionally, according to the information at </w:t>
      </w:r>
      <w:r w:rsidRPr="560FAC7A">
        <w:rPr>
          <w:rFonts w:eastAsia="Gill Sans MT" w:cs="Gill Sans MT"/>
        </w:rPr>
        <w:t>BMDH’s</w:t>
      </w:r>
      <w:r w:rsidRPr="00943C91">
        <w:rPr>
          <w:rFonts w:eastAsia="Gill Sans MT" w:cs="Gill Sans MT"/>
        </w:rPr>
        <w:t xml:space="preserve"> disposal, the State monitors the enrolment rate but does not monitor dropout rates among asylum</w:t>
      </w:r>
      <w:r w:rsidRPr="560FAC7A">
        <w:rPr>
          <w:rFonts w:eastAsia="Gill Sans MT" w:cs="Gill Sans MT"/>
        </w:rPr>
        <w:t>-</w:t>
      </w:r>
      <w:r w:rsidRPr="00943C91">
        <w:rPr>
          <w:rFonts w:eastAsia="Gill Sans MT" w:cs="Gill Sans MT"/>
        </w:rPr>
        <w:t>seeking and refugee children.</w:t>
      </w:r>
      <w:r w:rsidRPr="04A552C7">
        <w:rPr>
          <w:rFonts w:eastAsia="Gill Sans MT" w:cs="Gill Sans MT"/>
        </w:rPr>
        <w:t xml:space="preserve"> The information collected by local </w:t>
      </w:r>
      <w:r w:rsidRPr="560FAC7A">
        <w:rPr>
          <w:rFonts w:eastAsia="Gill Sans MT" w:cs="Gill Sans MT"/>
        </w:rPr>
        <w:t>civil society organisations</w:t>
      </w:r>
      <w:r w:rsidRPr="04A552C7">
        <w:rPr>
          <w:rFonts w:eastAsia="Gill Sans MT" w:cs="Gill Sans MT"/>
        </w:rPr>
        <w:t xml:space="preserve"> suggests that dropout</w:t>
      </w:r>
      <w:r w:rsidRPr="3C205F68">
        <w:rPr>
          <w:rFonts w:eastAsia="Gill Sans MT" w:cs="Gill Sans MT"/>
        </w:rPr>
        <w:t xml:space="preserve"> rates are significant, especially with older children.</w:t>
      </w:r>
    </w:p>
    <w:p w14:paraId="4A877730" w14:textId="2FFEDB8C" w:rsidR="00C33559" w:rsidRPr="00943C91" w:rsidRDefault="00C33559" w:rsidP="00C33559">
      <w:pPr>
        <w:jc w:val="both"/>
      </w:pPr>
      <w:r w:rsidRPr="0060193C">
        <w:rPr>
          <w:rFonts w:eastAsia="Gill Sans MT" w:cs="Gill Sans MT"/>
        </w:rPr>
        <w:t>The</w:t>
      </w:r>
      <w:r>
        <w:rPr>
          <w:rFonts w:eastAsia="Gill Sans MT" w:cs="Gill Sans MT"/>
        </w:rPr>
        <w:t xml:space="preserve"> majority of UASC are accommodated in reception and asylum centres which are run by the Commissariat for Refugees and Migration of the Republic of Serbia (SCRM) and are not social protection institutions, hence social welfare workers are not regularly employed therein. </w:t>
      </w:r>
      <w:r w:rsidRPr="00943C91">
        <w:t xml:space="preserve">Accommodation for some UASC </w:t>
      </w:r>
      <w:r>
        <w:t xml:space="preserve">that </w:t>
      </w:r>
      <w:r w:rsidRPr="53805F4C">
        <w:t>are</w:t>
      </w:r>
      <w:r>
        <w:t xml:space="preserve"> </w:t>
      </w:r>
      <w:r w:rsidRPr="53805F4C">
        <w:t xml:space="preserve">in the </w:t>
      </w:r>
      <w:r w:rsidRPr="00943C91">
        <w:t xml:space="preserve">asylum </w:t>
      </w:r>
      <w:r w:rsidRPr="53805F4C">
        <w:t>procedure or were granted international protection</w:t>
      </w:r>
      <w:r w:rsidRPr="00943C91">
        <w:t xml:space="preserve"> is also provided in the social care institutions in Belgrade</w:t>
      </w:r>
      <w:r w:rsidRPr="00943C91">
        <w:rPr>
          <w:rStyle w:val="FootnoteReference"/>
        </w:rPr>
        <w:footnoteReference w:id="17"/>
      </w:r>
      <w:r w:rsidRPr="00943C91">
        <w:t xml:space="preserve"> or institutions run by non-state actors, such are Jesuit Refugee Service</w:t>
      </w:r>
      <w:r w:rsidRPr="00943C91">
        <w:rPr>
          <w:rStyle w:val="FootnoteReference"/>
        </w:rPr>
        <w:footnoteReference w:id="18"/>
      </w:r>
      <w:r w:rsidRPr="00943C91">
        <w:t xml:space="preserve"> in Belgrade and Border Free in Loznica,</w:t>
      </w:r>
      <w:r w:rsidRPr="00943C91">
        <w:rPr>
          <w:rStyle w:val="FootnoteReference"/>
        </w:rPr>
        <w:footnoteReference w:id="19"/>
      </w:r>
      <w:r w:rsidRPr="00943C91">
        <w:t xml:space="preserve"> based on special agreements with the competent ministry. Such modalities are resembling small group home types of accommodation. Although conditions in these institutions are better than in large-scale reception facilities managed by the </w:t>
      </w:r>
      <w:r>
        <w:t>SCRM</w:t>
      </w:r>
      <w:r w:rsidRPr="00943C91">
        <w:t>, they offer no programmes for supported living. UASC granted asylum most often continued to live in the same institutions in which they were placed before or after submitting their asylum applications. Their stay in those institutions is usually prolonged beyond reaching the age of majority, using the provisions of the Rulebook on closer conditions and standards for providing social protection services,</w:t>
      </w:r>
      <w:r w:rsidRPr="00943C91">
        <w:rPr>
          <w:rStyle w:val="FootnoteReference"/>
        </w:rPr>
        <w:footnoteReference w:id="20"/>
      </w:r>
      <w:r w:rsidRPr="00943C91">
        <w:t xml:space="preserve"> that stipulate the right to accommodation in the social protection institution for young adults until 26 provided that they are enrolled in education.</w:t>
      </w:r>
      <w:r w:rsidRPr="00943C91">
        <w:rPr>
          <w:rStyle w:val="FootnoteReference"/>
        </w:rPr>
        <w:footnoteReference w:id="21"/>
      </w:r>
      <w:r w:rsidRPr="00943C91">
        <w:t xml:space="preserve"> Family-based care for UASC is almost non-existing,</w:t>
      </w:r>
      <w:r w:rsidRPr="00943C91">
        <w:rPr>
          <w:rStyle w:val="FootnoteReference"/>
        </w:rPr>
        <w:footnoteReference w:id="22"/>
      </w:r>
      <w:r w:rsidRPr="00943C91">
        <w:t xml:space="preserve"> despite the support the system has received from international donors and civil society organisations in the previous years.</w:t>
      </w:r>
      <w:r w:rsidRPr="00943C91">
        <w:rPr>
          <w:rStyle w:val="FootnoteReference"/>
        </w:rPr>
        <w:footnoteReference w:id="23"/>
      </w:r>
    </w:p>
    <w:p w14:paraId="49F4398A" w14:textId="77777777" w:rsidR="00C33559" w:rsidRDefault="00C33559" w:rsidP="00C33559">
      <w:pPr>
        <w:jc w:val="both"/>
      </w:pPr>
      <w:r>
        <w:t>Recognised refugees and persons under subsidiary protection, as well as asylum seekers, have also the right to monthly financial assistance based on the same criteria as Serbian citizens provided that they are not living in institutions or foster/adoptive families.</w:t>
      </w:r>
      <w:r w:rsidRPr="2F746988">
        <w:rPr>
          <w:rStyle w:val="FootnoteReference"/>
        </w:rPr>
        <w:footnoteReference w:id="24"/>
      </w:r>
      <w:r>
        <w:t xml:space="preserve"> The minimum requirements from applicants and the manner of applying for this kind of support are regulated by the Rulebook on Social Assistance for Asylum Seekers or Persons who have been Granted Asylum.</w:t>
      </w:r>
      <w:r w:rsidRPr="2F746988">
        <w:rPr>
          <w:rStyle w:val="FootnoteReference"/>
        </w:rPr>
        <w:footnoteReference w:id="25"/>
      </w:r>
      <w:r>
        <w:t xml:space="preserve"> The general condition that applies to both groups (citizens and non-citizens) is that these individuals and members of their families do not have any income whatsoever or that the income they have is below the minimum </w:t>
      </w:r>
      <w:r>
        <w:lastRenderedPageBreak/>
        <w:t>threshold envisaged by the law and updated on a semi-annual basis. The request for social assistance should be submitted to territorially competent Centres for Social Welfare (CSW) in the municipality where the asylum seeker or person granted asylum resides; the CSW are evaluating the case and bringing the final decision, whereas the competent minister is serving as a second instance authority.</w:t>
      </w:r>
      <w:r w:rsidRPr="2F746988">
        <w:rPr>
          <w:rStyle w:val="FootnoteReference"/>
        </w:rPr>
        <w:footnoteReference w:id="26"/>
      </w:r>
      <w:r>
        <w:t xml:space="preserve"> With the request, the applicant has to submit all relevant evidence proofing that he/she is qualifying for financial assistance. The CSW are </w:t>
      </w:r>
      <w:r w:rsidRPr="2F746988">
        <w:rPr>
          <w:i/>
          <w:iCs/>
        </w:rPr>
        <w:t>ex officio</w:t>
      </w:r>
      <w:r>
        <w:t xml:space="preserve"> reevaluating the decision on granting financial assistance every 12 months.</w:t>
      </w:r>
      <w:r w:rsidRPr="2F746988">
        <w:rPr>
          <w:rStyle w:val="FootnoteReference"/>
        </w:rPr>
        <w:footnoteReference w:id="27"/>
      </w:r>
    </w:p>
    <w:p w14:paraId="39503973" w14:textId="77777777" w:rsidR="00C33559" w:rsidRDefault="00C33559" w:rsidP="00C33559">
      <w:pPr>
        <w:jc w:val="both"/>
      </w:pPr>
      <w:r>
        <w:t>Aside from this kind of support, the legislation also envisages the right to one-off financial assistance that should be submitted to and granted by the State, i. e. SCRM. Precisely, in ‘cases of special social or health need in accordance with the law’, persons granted asylum in Serbia can benefit from such support for 12 months after the decision on their status became final.</w:t>
      </w:r>
      <w:r w:rsidRPr="2F746988">
        <w:rPr>
          <w:rStyle w:val="FootnoteReference"/>
        </w:rPr>
        <w:footnoteReference w:id="28"/>
      </w:r>
      <w:r>
        <w:t xml:space="preserve"> Recognised refugees also have the right to accommodation support from the SCRM for 12 months after the decision on their status became final. This support is still always granted in form of monthly payments as there is a lack of available housing. At the same time as most UASC continue to live in social care institutions after they are granted asylum, they have no access to this support mechanism. The main issue concerning this support mechanism is that the payments are fixed regardless of the family size, therefore families with children receive an inadequate level of support.</w:t>
      </w:r>
    </w:p>
    <w:p w14:paraId="55B8D435" w14:textId="53200EE9" w:rsidR="00C33559" w:rsidRDefault="00C33559" w:rsidP="00C33559">
      <w:pPr>
        <w:jc w:val="both"/>
      </w:pPr>
      <w:r>
        <w:t>The availability of social services in practice differs from one municipality to another while the scope of social welfare services throughout Serbia is limited.</w:t>
      </w:r>
      <w:r w:rsidRPr="2F746988">
        <w:rPr>
          <w:rStyle w:val="FootnoteReference"/>
        </w:rPr>
        <w:footnoteReference w:id="29"/>
      </w:r>
      <w:r w:rsidRPr="2F746988">
        <w:rPr>
          <w:lang w:val="sr-Cyrl-RS"/>
        </w:rPr>
        <w:t xml:space="preserve"> Research</w:t>
      </w:r>
      <w:r>
        <w:t xml:space="preserve"> conducted by a local civil society organisation in 2018 showed that the majority (57%) of respondents (refugees, asylum seekers and migrants) were not aware of the existence of social welfare services.</w:t>
      </w:r>
      <w:r w:rsidRPr="2F746988">
        <w:rPr>
          <w:rStyle w:val="FootnoteReference"/>
        </w:rPr>
        <w:footnoteReference w:id="30"/>
      </w:r>
      <w:r>
        <w:t xml:space="preserve"> Children granted international protection</w:t>
      </w:r>
      <w:r w:rsidR="00FB4F72">
        <w:t>, as well as children in the asylum procedure,</w:t>
      </w:r>
      <w:r>
        <w:t xml:space="preserve"> can apply for financial support through their legal guardians under the same conditions as citizens. As the main condition is to live on a private address, i. e. not to live in a social protection institution, most children and young adults in formal education do not qualify. Those who live </w:t>
      </w:r>
      <w:r w:rsidR="00FB4F72">
        <w:t>at</w:t>
      </w:r>
      <w:r>
        <w:t xml:space="preserve"> a private address usually work or are receiving support from elsewhere to cover the expenses of accommodation, which is also disqualifying them from receiving social benefits.</w:t>
      </w:r>
    </w:p>
    <w:p w14:paraId="0FE8D099" w14:textId="57A32F29" w:rsidR="00FB4F72" w:rsidRDefault="00FB4F72" w:rsidP="00FB4F72">
      <w:pPr>
        <w:pStyle w:val="Heading1"/>
      </w:pPr>
      <w:r>
        <w:t>ACCESS TO HEALTHCARE</w:t>
      </w:r>
    </w:p>
    <w:p w14:paraId="2EB1D085" w14:textId="03A8B92D" w:rsidR="00C33559" w:rsidRPr="00FB4F72" w:rsidRDefault="00C33559" w:rsidP="00C33559">
      <w:pPr>
        <w:jc w:val="both"/>
        <w:rPr>
          <w:rFonts w:eastAsia="Gill Sans MT" w:cs="Gill Sans MT"/>
          <w:i/>
        </w:rPr>
      </w:pPr>
      <w:r w:rsidRPr="00FB4F72">
        <w:rPr>
          <w:rFonts w:eastAsia="Gill Sans MT" w:cs="Gill Sans MT"/>
          <w:i/>
          <w:iCs/>
        </w:rPr>
        <w:t xml:space="preserve">LOI: </w:t>
      </w:r>
      <w:r w:rsidRPr="00FB4F72">
        <w:rPr>
          <w:rFonts w:eastAsia="Gill Sans MT" w:cs="Gill Sans MT"/>
          <w:i/>
        </w:rPr>
        <w:t>Please provide information on the measures taken and envisaged to guarantee universal health coverage and unhindered access to health care and related services, in particular for Roma, refugees, asylum seekers, migrants in irregular situations, internally displaced persons, persons deprived of their liberty and cancer patients</w:t>
      </w:r>
      <w:r w:rsidR="00FB4F72" w:rsidRPr="00FB4F72">
        <w:rPr>
          <w:rFonts w:eastAsia="Gill Sans MT" w:cs="Gill Sans MT"/>
          <w:i/>
        </w:rPr>
        <w:t xml:space="preserve"> (</w:t>
      </w:r>
      <w:r w:rsidR="00FB4F72" w:rsidRPr="00FB4F72">
        <w:rPr>
          <w:rFonts w:eastAsia="Gill Sans MT" w:cs="Gill Sans MT"/>
          <w:i/>
          <w:iCs/>
        </w:rPr>
        <w:t xml:space="preserve">para. </w:t>
      </w:r>
      <w:r w:rsidR="00FB4F72" w:rsidRPr="00FB4F72">
        <w:rPr>
          <w:rFonts w:eastAsia="Gill Sans MT" w:cs="Gill Sans MT"/>
          <w:i/>
        </w:rPr>
        <w:t>25).</w:t>
      </w:r>
    </w:p>
    <w:p w14:paraId="76993AEE" w14:textId="6E15BDD2" w:rsidR="00C33559" w:rsidRPr="00943C91" w:rsidRDefault="00C33559" w:rsidP="00C33559">
      <w:pPr>
        <w:jc w:val="both"/>
      </w:pPr>
      <w:r w:rsidRPr="00943C91">
        <w:lastRenderedPageBreak/>
        <w:t>Healthcare Act</w:t>
      </w:r>
      <w:r w:rsidRPr="00943C91">
        <w:rPr>
          <w:rStyle w:val="FootnoteReference"/>
        </w:rPr>
        <w:footnoteReference w:id="31"/>
      </w:r>
      <w:r w:rsidRPr="00943C91">
        <w:t xml:space="preserve"> provides that urgent medical assistance is provided to everyone without charges. The law was adopted in 2019 and represents a significant improvement to the previous period as it now contains an entire section dedicated to defining </w:t>
      </w:r>
      <w:r w:rsidR="00FB4F72">
        <w:t xml:space="preserve">the </w:t>
      </w:r>
      <w:r w:rsidRPr="00943C91">
        <w:t>healthcare of foreign citizens, with clear definitions of the rights that concern refugees and asylum seekers. As one of the main principles of healthcare, protection from all forms of violence, abuse, neglect and exploitation is outlined, along with other principles such as the best interest of the child in all medical procedures,</w:t>
      </w:r>
      <w:r w:rsidRPr="00943C91">
        <w:rPr>
          <w:rStyle w:val="FootnoteReference"/>
        </w:rPr>
        <w:footnoteReference w:id="32"/>
      </w:r>
      <w:r w:rsidRPr="00943C91">
        <w:t xml:space="preserve"> while discrimination based on any grounds is strongly prohibited</w:t>
      </w:r>
      <w:r w:rsidRPr="00943C91">
        <w:rPr>
          <w:rStyle w:val="FootnoteReference"/>
        </w:rPr>
        <w:footnoteReference w:id="33"/>
      </w:r>
      <w:r w:rsidRPr="00943C91">
        <w:t xml:space="preserve"> and sanctioned in line with the </w:t>
      </w:r>
      <w:bookmarkStart w:id="1" w:name="_Hlk89427110"/>
      <w:r w:rsidRPr="00943C91">
        <w:t>Discrimination Prohibition Act</w:t>
      </w:r>
      <w:bookmarkEnd w:id="1"/>
      <w:r w:rsidRPr="00943C91">
        <w:t>.</w:t>
      </w:r>
      <w:r w:rsidRPr="00943C91">
        <w:rPr>
          <w:rStyle w:val="FootnoteReference"/>
        </w:rPr>
        <w:footnoteReference w:id="34"/>
      </w:r>
      <w:r>
        <w:t xml:space="preserve"> Moreover, </w:t>
      </w:r>
      <w:r w:rsidRPr="00943C91">
        <w:t>Asylum and Temporary Protection Act envisages mandatory medical examination of all asylum seekers entering the official reception facilities by competent medical personnel,</w:t>
      </w:r>
      <w:r w:rsidRPr="00943C91">
        <w:rPr>
          <w:rStyle w:val="FootnoteReference"/>
        </w:rPr>
        <w:footnoteReference w:id="35"/>
      </w:r>
      <w:r w:rsidRPr="00943C91">
        <w:t xml:space="preserve"> whereas this group has the same rights in this regard as other foreigners. The procedure of medical examination when accessing reception is further regulated in the Rulebook on Medical Examinations of Asylum Seekers upon Admission to Asylum Centre or Other Facility for Accommodation of Asylum Seekers.</w:t>
      </w:r>
      <w:r w:rsidRPr="00943C91">
        <w:rPr>
          <w:rStyle w:val="FootnoteReference"/>
        </w:rPr>
        <w:footnoteReference w:id="36"/>
      </w:r>
      <w:r w:rsidRPr="00943C91">
        <w:t xml:space="preserve"> </w:t>
      </w:r>
    </w:p>
    <w:p w14:paraId="17E9DA9C" w14:textId="77777777" w:rsidR="006213EC" w:rsidRDefault="00C33559" w:rsidP="00C33559">
      <w:pPr>
        <w:jc w:val="both"/>
        <w:rPr>
          <w:rFonts w:eastAsia="Gill Sans MT" w:cs="Gill Sans MT"/>
        </w:rPr>
      </w:pPr>
      <w:r w:rsidRPr="00943C91">
        <w:t xml:space="preserve">That being said, the situation in practice does not at all times correspond with the above outlined documents. </w:t>
      </w:r>
      <w:r w:rsidRPr="00943C91">
        <w:rPr>
          <w:rFonts w:eastAsia="Gill Sans MT" w:cs="Gill Sans MT"/>
        </w:rPr>
        <w:t>In relation to paragraph 25 of the List of Issues and the State party reply to the List of Issues in paragraph 107 - as well as to paragraph 55 thereof where the State party maintained that all refugees, migrants and asylum seekers accommodated in State asylum and reception centres receive mandatory examination upon entry, and that health care is provided on site – notably the UASC that are sheltered in the Bogovađa Asylum Centre do not have proper access to health care on site, as the State has been unable to provide access to healthcare services therein since the incident that took place in December 2020, when three UASC forced the SCRM official to kiss the prayer rug which she stepped on while walking through the hallway.</w:t>
      </w:r>
      <w:r w:rsidRPr="00943C91">
        <w:rPr>
          <w:rStyle w:val="FootnoteReference"/>
          <w:rFonts w:eastAsia="Gill Sans MT" w:cs="Gill Sans MT"/>
        </w:rPr>
        <w:footnoteReference w:id="37"/>
      </w:r>
      <w:r w:rsidRPr="00943C91">
        <w:rPr>
          <w:rFonts w:eastAsia="Gill Sans MT" w:cs="Gill Sans MT"/>
        </w:rPr>
        <w:t xml:space="preserve"> Since then, the healthcare staff of the Lajkovac Community Health Centre (the competent health care institution for the Bogovađa Asylum Centre) have not been present in the Asylum Centre. Considering that many UASC arrive in need of health care and support as a result of their journeys and the conditions and difficulties experienced on </w:t>
      </w:r>
      <w:r w:rsidR="00FB4F72">
        <w:rPr>
          <w:rFonts w:eastAsia="Gill Sans MT" w:cs="Gill Sans MT"/>
        </w:rPr>
        <w:t xml:space="preserve">the </w:t>
      </w:r>
      <w:r w:rsidRPr="00943C91">
        <w:rPr>
          <w:rFonts w:eastAsia="Gill Sans MT" w:cs="Gill Sans MT"/>
        </w:rPr>
        <w:t>route, and the above</w:t>
      </w:r>
      <w:r>
        <w:rPr>
          <w:rFonts w:eastAsia="Gill Sans MT" w:cs="Gill Sans MT"/>
        </w:rPr>
        <w:t>-</w:t>
      </w:r>
      <w:r w:rsidRPr="00943C91">
        <w:rPr>
          <w:rFonts w:eastAsia="Gill Sans MT" w:cs="Gill Sans MT"/>
        </w:rPr>
        <w:t xml:space="preserve">mentioned legal provisions, this is a serious deficiency </w:t>
      </w:r>
      <w:r w:rsidR="00FB4F72">
        <w:rPr>
          <w:rFonts w:eastAsia="Gill Sans MT" w:cs="Gill Sans MT"/>
        </w:rPr>
        <w:t>concerning</w:t>
      </w:r>
      <w:r w:rsidRPr="00943C91">
        <w:rPr>
          <w:rFonts w:eastAsia="Gill Sans MT" w:cs="Gill Sans MT"/>
        </w:rPr>
        <w:t xml:space="preserve"> the enjoyment of the right to the highest attainable standard of health of this particularly vulnerable group.</w:t>
      </w:r>
    </w:p>
    <w:p w14:paraId="4830FEC1" w14:textId="77777777" w:rsidR="006213EC" w:rsidRDefault="006213EC" w:rsidP="00C33559">
      <w:pPr>
        <w:jc w:val="both"/>
        <w:rPr>
          <w:rFonts w:eastAsia="Gill Sans MT" w:cs="Gill Sans MT"/>
        </w:rPr>
      </w:pPr>
    </w:p>
    <w:p w14:paraId="75CFC31B" w14:textId="77777777" w:rsidR="006213EC" w:rsidRDefault="006213EC" w:rsidP="00C33559">
      <w:pPr>
        <w:jc w:val="both"/>
        <w:rPr>
          <w:rFonts w:eastAsia="Gill Sans MT" w:cs="Gill Sans MT"/>
        </w:rPr>
      </w:pPr>
    </w:p>
    <w:p w14:paraId="6F76BAA3" w14:textId="57B92BBC" w:rsidR="00C33559" w:rsidRPr="00943C91" w:rsidRDefault="00C33559" w:rsidP="00C33559">
      <w:pPr>
        <w:jc w:val="both"/>
        <w:rPr>
          <w:b/>
          <w:bCs/>
        </w:rPr>
      </w:pPr>
      <w:r w:rsidRPr="00943C91">
        <w:rPr>
          <w:rFonts w:eastAsia="Gill Sans MT" w:cs="Gill Sans MT"/>
        </w:rPr>
        <w:t xml:space="preserve"> </w:t>
      </w:r>
    </w:p>
    <w:p w14:paraId="38E2FAEC" w14:textId="440F6DD8" w:rsidR="00C33559" w:rsidRDefault="00C33559" w:rsidP="00FB4F72">
      <w:pPr>
        <w:pStyle w:val="Heading1"/>
      </w:pPr>
      <w:r w:rsidRPr="00943C91">
        <w:lastRenderedPageBreak/>
        <w:t>WITH THE ABOVE INFORMATION IN MIND, BMDH URGES THE COMMITTEE TO RECOMMEND THE STATE PARTY TO:</w:t>
      </w:r>
    </w:p>
    <w:p w14:paraId="1EF5D894" w14:textId="77777777" w:rsidR="006213EC" w:rsidRPr="006213EC" w:rsidRDefault="006213EC" w:rsidP="006213EC"/>
    <w:p w14:paraId="76C10560" w14:textId="77777777" w:rsidR="00C33559" w:rsidRPr="00FB4F72" w:rsidRDefault="00C33559" w:rsidP="00C33559">
      <w:pPr>
        <w:pStyle w:val="ListParagraph"/>
        <w:numPr>
          <w:ilvl w:val="0"/>
          <w:numId w:val="47"/>
        </w:numPr>
        <w:jc w:val="both"/>
        <w:rPr>
          <w:b/>
          <w:bCs/>
        </w:rPr>
      </w:pPr>
      <w:r w:rsidRPr="00FB4F72">
        <w:rPr>
          <w:b/>
          <w:bCs/>
        </w:rPr>
        <w:t>Ensure that the provisions pertaining to the duration of the procedure of the Law on Asylum and Temporary Protection are implemented effectively, particularly in cases pertaining to the most vulnerable groups, such as unaccompanied and separated children;</w:t>
      </w:r>
    </w:p>
    <w:p w14:paraId="65F82551" w14:textId="77777777" w:rsidR="00C33559" w:rsidRPr="00FB4F72" w:rsidRDefault="00C33559" w:rsidP="00C33559">
      <w:pPr>
        <w:pStyle w:val="ListParagraph"/>
        <w:numPr>
          <w:ilvl w:val="0"/>
          <w:numId w:val="47"/>
        </w:numPr>
        <w:jc w:val="both"/>
        <w:rPr>
          <w:b/>
          <w:bCs/>
        </w:rPr>
      </w:pPr>
      <w:r w:rsidRPr="00FB4F72">
        <w:rPr>
          <w:b/>
          <w:bCs/>
        </w:rPr>
        <w:t>Ensure that asylum applications submitted by children are treated with priority, as prescribed by law;</w:t>
      </w:r>
    </w:p>
    <w:p w14:paraId="7BBC6E90" w14:textId="77777777" w:rsidR="00C33559" w:rsidRPr="00FB4F72" w:rsidRDefault="00C33559" w:rsidP="00C33559">
      <w:pPr>
        <w:pStyle w:val="ListParagraph"/>
        <w:numPr>
          <w:ilvl w:val="0"/>
          <w:numId w:val="47"/>
        </w:numPr>
        <w:jc w:val="both"/>
        <w:rPr>
          <w:b/>
          <w:bCs/>
        </w:rPr>
      </w:pPr>
      <w:r w:rsidRPr="00FB4F72">
        <w:rPr>
          <w:b/>
          <w:bCs/>
        </w:rPr>
        <w:t>Ensure that every UASC has a legal guardian imposed before his or her intention to submit an asylum application is registered, as prescribed by law;</w:t>
      </w:r>
    </w:p>
    <w:p w14:paraId="06EA77DD" w14:textId="77777777" w:rsidR="00C33559" w:rsidRPr="00FB4F72" w:rsidRDefault="00C33559" w:rsidP="00C33559">
      <w:pPr>
        <w:pStyle w:val="ListParagraph"/>
        <w:numPr>
          <w:ilvl w:val="0"/>
          <w:numId w:val="47"/>
        </w:numPr>
        <w:jc w:val="both"/>
        <w:rPr>
          <w:rFonts w:asciiTheme="minorHAnsi" w:eastAsiaTheme="minorEastAsia" w:hAnsiTheme="minorHAnsi" w:cstheme="minorBidi"/>
          <w:b/>
          <w:szCs w:val="22"/>
        </w:rPr>
      </w:pPr>
      <w:r w:rsidRPr="00FB4F72">
        <w:rPr>
          <w:b/>
          <w:bCs/>
        </w:rPr>
        <w:t>Ensure that all asylum seekers and other migrants have access to unhindered access to health care and related services regardless of the place of their residence;</w:t>
      </w:r>
    </w:p>
    <w:p w14:paraId="6C04FBF9" w14:textId="77777777" w:rsidR="00C33559" w:rsidRPr="00FB4F72" w:rsidRDefault="00C33559" w:rsidP="00C33559">
      <w:pPr>
        <w:pStyle w:val="ListParagraph"/>
        <w:numPr>
          <w:ilvl w:val="0"/>
          <w:numId w:val="47"/>
        </w:numPr>
        <w:jc w:val="both"/>
        <w:rPr>
          <w:b/>
        </w:rPr>
      </w:pPr>
      <w:r w:rsidRPr="00FB4F72">
        <w:rPr>
          <w:b/>
          <w:bCs/>
        </w:rPr>
        <w:t>Ensure that social care mechanisms are sensitive to the needs of UASC and families with children;</w:t>
      </w:r>
    </w:p>
    <w:p w14:paraId="6D61DC3A" w14:textId="187E9028" w:rsidR="00936564" w:rsidRPr="00FB4F72" w:rsidRDefault="00C33559" w:rsidP="00C33559">
      <w:pPr>
        <w:pStyle w:val="ListParagraph"/>
        <w:numPr>
          <w:ilvl w:val="0"/>
          <w:numId w:val="47"/>
        </w:numPr>
        <w:jc w:val="both"/>
        <w:rPr>
          <w:rFonts w:asciiTheme="minorHAnsi" w:eastAsiaTheme="minorEastAsia" w:hAnsiTheme="minorHAnsi" w:cstheme="minorBidi"/>
          <w:b/>
          <w:szCs w:val="22"/>
        </w:rPr>
      </w:pPr>
      <w:r w:rsidRPr="00FB4F72">
        <w:rPr>
          <w:b/>
          <w:bCs/>
        </w:rPr>
        <w:t xml:space="preserve">Ensure that family-based care for UASC is prioritised and supported by the state. </w:t>
      </w:r>
    </w:p>
    <w:sectPr w:rsidR="00936564" w:rsidRPr="00FB4F72" w:rsidSect="00110D6A">
      <w:headerReference w:type="even" r:id="rId11"/>
      <w:headerReference w:type="default" r:id="rId12"/>
      <w:footerReference w:type="even" r:id="rId13"/>
      <w:footerReference w:type="default" r:id="rId14"/>
      <w:headerReference w:type="first" r:id="rId15"/>
      <w:footerReference w:type="first" r:id="rId16"/>
      <w:pgSz w:w="11906" w:h="16838" w:code="9"/>
      <w:pgMar w:top="1440" w:right="1080" w:bottom="1440" w:left="1080" w:header="709" w:footer="62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3144B" w14:textId="77777777" w:rsidR="0062646E" w:rsidRDefault="0062646E" w:rsidP="00B66612">
      <w:r>
        <w:separator/>
      </w:r>
    </w:p>
  </w:endnote>
  <w:endnote w:type="continuationSeparator" w:id="0">
    <w:p w14:paraId="55830119" w14:textId="77777777" w:rsidR="0062646E" w:rsidRDefault="0062646E" w:rsidP="00B6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Infant Std">
    <w:altName w:val="Gill Sans MT"/>
    <w:panose1 w:val="00000000000000000000"/>
    <w:charset w:val="00"/>
    <w:family w:val="swiss"/>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rade Gothic LT Com Cn">
    <w:altName w:val="Franklin Gothic Demi Cond"/>
    <w:charset w:val="00"/>
    <w:family w:val="swiss"/>
    <w:pitch w:val="variable"/>
    <w:sig w:usb0="800000AF" w:usb1="5000204A" w:usb2="00000000" w:usb3="00000000" w:csb0="0000009B" w:csb1="00000000"/>
  </w:font>
  <w:font w:name="Gill Sans MT">
    <w:altName w:val="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CBBCE" w14:textId="77777777" w:rsidR="00FB4F72" w:rsidRDefault="00FB4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D8F28" w14:textId="77777777" w:rsidR="00C33559" w:rsidRDefault="00C33559" w:rsidP="000F4C24">
    <w:pPr>
      <w:pStyle w:val="PageNumber1"/>
      <w:rPr>
        <w:color w:val="FF0000"/>
      </w:rPr>
    </w:pPr>
  </w:p>
  <w:p w14:paraId="3101C378" w14:textId="3C3D25CA" w:rsidR="00E13BEF" w:rsidRPr="00110D6A" w:rsidRDefault="00E13BEF" w:rsidP="000F4C24">
    <w:pPr>
      <w:pStyle w:val="PageNumber1"/>
      <w:rPr>
        <w:noProof/>
        <w:color w:val="FF0000"/>
      </w:rPr>
    </w:pPr>
    <w:r w:rsidRPr="00110D6A">
      <w:rPr>
        <w:color w:val="FF0000"/>
      </w:rPr>
      <w:fldChar w:fldCharType="begin"/>
    </w:r>
    <w:r w:rsidRPr="00110D6A">
      <w:rPr>
        <w:color w:val="FF0000"/>
      </w:rPr>
      <w:instrText xml:space="preserve"> PAGE   \* MERGEFORMAT </w:instrText>
    </w:r>
    <w:r w:rsidRPr="00110D6A">
      <w:rPr>
        <w:color w:val="FF0000"/>
      </w:rPr>
      <w:fldChar w:fldCharType="separate"/>
    </w:r>
    <w:r w:rsidR="00F852FC">
      <w:rPr>
        <w:noProof/>
        <w:color w:val="FF0000"/>
      </w:rPr>
      <w:t>1</w:t>
    </w:r>
    <w:r w:rsidRPr="00110D6A">
      <w:rPr>
        <w:noProof/>
        <w:color w:val="FF0000"/>
      </w:rPr>
      <w:fldChar w:fldCharType="end"/>
    </w:r>
  </w:p>
  <w:p w14:paraId="2BB4919C" w14:textId="77777777" w:rsidR="00E13BEF" w:rsidRDefault="00E13BEF">
    <w:pPr>
      <w:pStyle w:val="Footer"/>
      <w:rPr>
        <w:noProof/>
      </w:rPr>
    </w:pPr>
  </w:p>
  <w:p w14:paraId="4942DE4B" w14:textId="11212B22" w:rsidR="00E13BEF" w:rsidRDefault="00E13BEF">
    <w:pPr>
      <w:pStyle w:val="Footer"/>
    </w:pPr>
    <w:r>
      <w:rPr>
        <w:noProof/>
        <w:lang w:eastAsia="en-GB"/>
      </w:rPr>
      <w:drawing>
        <wp:anchor distT="0" distB="0" distL="114300" distR="114300" simplePos="0" relativeHeight="251670528" behindDoc="1" locked="0" layoutInCell="1" allowOverlap="1" wp14:anchorId="195D7CAE" wp14:editId="3284E92B">
          <wp:simplePos x="0" y="0"/>
          <wp:positionH relativeFrom="page">
            <wp:posOffset>344384</wp:posOffset>
          </wp:positionH>
          <wp:positionV relativeFrom="page">
            <wp:posOffset>9678390</wp:posOffset>
          </wp:positionV>
          <wp:extent cx="6899541" cy="63359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ule and logo cont page.png"/>
                  <pic:cNvPicPr/>
                </pic:nvPicPr>
                <pic:blipFill>
                  <a:blip r:embed="rId1">
                    <a:extLst>
                      <a:ext uri="{28A0092B-C50C-407E-A947-70E740481C1C}">
                        <a14:useLocalDpi xmlns:a14="http://schemas.microsoft.com/office/drawing/2010/main" val="0"/>
                      </a:ext>
                    </a:extLst>
                  </a:blip>
                  <a:stretch>
                    <a:fillRect/>
                  </a:stretch>
                </pic:blipFill>
                <pic:spPr>
                  <a:xfrm>
                    <a:off x="0" y="0"/>
                    <a:ext cx="6899541" cy="63359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4384" behindDoc="0" locked="0" layoutInCell="1" allowOverlap="1" wp14:anchorId="2FF1D4D0" wp14:editId="6B7E0042">
              <wp:simplePos x="0" y="0"/>
              <wp:positionH relativeFrom="column">
                <wp:posOffset>0</wp:posOffset>
              </wp:positionH>
              <wp:positionV relativeFrom="paragraph">
                <wp:posOffset>-635</wp:posOffset>
              </wp:positionV>
              <wp:extent cx="152085" cy="6925308"/>
              <wp:effectExtent l="0" t="0" r="0" b="0"/>
              <wp:wrapNone/>
              <wp:docPr id="10" name="Rectangle 10"/>
              <wp:cNvGraphicFramePr/>
              <a:graphic xmlns:a="http://schemas.openxmlformats.org/drawingml/2006/main">
                <a:graphicData uri="http://schemas.microsoft.com/office/word/2010/wordprocessingShape">
                  <wps:wsp>
                    <wps:cNvSpPr/>
                    <wps:spPr>
                      <a:xfrm rot="5400000">
                        <a:off x="0" y="0"/>
                        <a:ext cx="152085" cy="6925308"/>
                      </a:xfrm>
                      <a:prstGeom prst="rect">
                        <a:avLst/>
                      </a:prstGeom>
                      <a:solidFill>
                        <a:srgbClr val="ED1C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37319B" id="Rectangle 10" o:spid="_x0000_s1026" style="position:absolute;margin-left:0;margin-top:-.05pt;width:12pt;height:545.3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PJiiAIAAG0FAAAOAAAAZHJzL2Uyb0RvYy54bWysVE1v2zAMvQ/YfxB0X/2xpGuDOEWQrsOA&#10;oi3WDj0rshQbkEVNUuJkv36U5Dhd29MwHwRJfHwkn0nNr/adIjthXQu6osVZTonQHOpWbyr68+nm&#10;0wUlzjNdMwVaVPQgHL1afPww781MlNCAqoUlSKLdrDcVbbw3syxzvBEdc2dghEajBNsxj0e7yWrL&#10;emTvVFbm+XnWg62NBS6cw9vrZKSLyC+l4P5eSic8URXF3HxcbVzXYc0WczbbWGaalg9psH/IomOt&#10;xqAj1TXzjGxt+4aqa7kFB9KfcegykLLlItaA1RT5q2oeG2ZErAXFcWaUyf0/Wn63ezQPFmXojZs5&#10;3IYq9tJ2xAKqNZ3k4Yu1YbZkH6U7jNKJvSccL4tpmV9MKeFoOr8sp5/zi6BtlrgCp7HOfxPQkbCp&#10;qMVfE1nZ7tb5BD1CAtyBauubVql4sJv1SlmyY/gbv14Xq3IysP8FUzqANQS3xBhuslNlcecPSgSc&#10;0j+EJG2N2Zcxk9h0YozDOBfaF8nUsFqk8NOoR6IfPWKlkTAwS4w/cg8EoaHfcieaAR9cRezZ0TkJ&#10;P4ZJGRwTS86jR4wM2o/OXavBvleZwqqGyAl/FClJE1RaQ314sKkHcG6c4Tct/rdb5vwDszgieIlj&#10;7+9xkQr6isKwo6QB+/u9+4DHzkUrJT2OXEXdry2zghL1XWNPXxaTSZjReJhMv5R4sC8t65cWve1W&#10;gO1QxOziNuC9Om6lhe4ZX4dliIompjnGrij39nhY+fQU4PvCxXIZYTiXhvlb/Wh4IA+qhr582j8z&#10;a4bm9dj2d3AcTzZ71cMJGzw1LLceZBsb/KTroDfOdGyc4f0Jj8bLc0SdXsnFHwAAAP//AwBQSwME&#10;FAAGAAgAAAAhAOtcvbzgAAAADAEAAA8AAABkcnMvZG93bnJldi54bWxMj0FPwzAMhe9I/IfISNy2&#10;lHYFVJpOaBInQGhjB7hljdeWNk5Jsq38ewwXuD37PT1/LpeTHcQRfegcKbiaJyCQamc6ahRsXx9m&#10;tyBC1GT04AgVfGGAZXV+VurCuBOt8biJjeASCoVW0MY4FlKGukWrw9yNSOztnbc68ugbabw+cbkd&#10;ZJok19LqjvhCq0dctVj3m4NV0L9/mv7jefuyyhZ7b/rHp8Xbulbq8mK6vwMRcYp/YfjBZ3SomGnn&#10;DmSCGBTM8izLOKuARQqCI3l+w5vdr0hBVqX8/0T1DQAA//8DAFBLAQItABQABgAIAAAAIQC2gziS&#10;/gAAAOEBAAATAAAAAAAAAAAAAAAAAAAAAABbQ29udGVudF9UeXBlc10ueG1sUEsBAi0AFAAGAAgA&#10;AAAhADj9If/WAAAAlAEAAAsAAAAAAAAAAAAAAAAALwEAAF9yZWxzLy5yZWxzUEsBAi0AFAAGAAgA&#10;AAAhAGcw8mKIAgAAbQUAAA4AAAAAAAAAAAAAAAAALgIAAGRycy9lMm9Eb2MueG1sUEsBAi0AFAAG&#10;AAgAAAAhAOtcvbzgAAAADAEAAA8AAAAAAAAAAAAAAAAA4gQAAGRycy9kb3ducmV2LnhtbFBLBQYA&#10;AAAABAAEAPMAAADvBQAAAAA=&#10;" fillcolor="#ed1c24" stroked="f" strokeweight="1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857CB" w14:textId="77777777" w:rsidR="00E13BEF" w:rsidRDefault="00E13BEF">
    <w:pPr>
      <w:pStyle w:val="Footer"/>
    </w:pPr>
    <w:r>
      <w:rPr>
        <w:noProof/>
        <w:lang w:eastAsia="en-GB"/>
      </w:rPr>
      <w:drawing>
        <wp:anchor distT="0" distB="0" distL="114300" distR="114300" simplePos="0" relativeHeight="251669504" behindDoc="1" locked="1" layoutInCell="1" allowOverlap="1" wp14:anchorId="6882A9DF" wp14:editId="77BBC9C4">
          <wp:simplePos x="0" y="0"/>
          <wp:positionH relativeFrom="page">
            <wp:posOffset>344170</wp:posOffset>
          </wp:positionH>
          <wp:positionV relativeFrom="page">
            <wp:posOffset>9678035</wp:posOffset>
          </wp:positionV>
          <wp:extent cx="6886800" cy="633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 line page 1.png"/>
                  <pic:cNvPicPr/>
                </pic:nvPicPr>
                <pic:blipFill>
                  <a:blip r:embed="rId1">
                    <a:extLst>
                      <a:ext uri="{28A0092B-C50C-407E-A947-70E740481C1C}">
                        <a14:useLocalDpi xmlns:a14="http://schemas.microsoft.com/office/drawing/2010/main" val="0"/>
                      </a:ext>
                    </a:extLst>
                  </a:blip>
                  <a:stretch>
                    <a:fillRect/>
                  </a:stretch>
                </pic:blipFill>
                <pic:spPr>
                  <a:xfrm>
                    <a:off x="0" y="0"/>
                    <a:ext cx="6886800" cy="6336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E96E1" w14:textId="77777777" w:rsidR="0062646E" w:rsidRDefault="0062646E" w:rsidP="00B66612">
      <w:r>
        <w:separator/>
      </w:r>
    </w:p>
  </w:footnote>
  <w:footnote w:type="continuationSeparator" w:id="0">
    <w:p w14:paraId="6067FD30" w14:textId="77777777" w:rsidR="0062646E" w:rsidRDefault="0062646E" w:rsidP="00B66612">
      <w:r>
        <w:continuationSeparator/>
      </w:r>
    </w:p>
  </w:footnote>
  <w:footnote w:id="1">
    <w:p w14:paraId="3717E19F" w14:textId="2DE6EEA9"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Pr="00FB4F72">
        <w:rPr>
          <w:sz w:val="18"/>
          <w:szCs w:val="18"/>
        </w:rPr>
        <w:tab/>
      </w:r>
      <w:r w:rsidRPr="00FB4F72">
        <w:rPr>
          <w:sz w:val="18"/>
          <w:szCs w:val="18"/>
          <w:lang w:val="sr-Latn-RS"/>
        </w:rPr>
        <w:t xml:space="preserve">The Law on Asylum and Temporary Protection (Official Gazette of the Republic of Serbia, No. 24/2018) states the following in relation to deadlines for rendering decisions on asylum applications: </w:t>
      </w:r>
    </w:p>
    <w:p w14:paraId="2A3765BB" w14:textId="77777777" w:rsidR="00C33559" w:rsidRPr="00FB4F72" w:rsidRDefault="00C33559" w:rsidP="00C33559">
      <w:pPr>
        <w:pStyle w:val="FootnoteText"/>
        <w:spacing w:after="0" w:line="240" w:lineRule="auto"/>
        <w:ind w:left="567"/>
        <w:rPr>
          <w:sz w:val="18"/>
          <w:szCs w:val="18"/>
        </w:rPr>
      </w:pPr>
      <w:r w:rsidRPr="00FB4F72">
        <w:rPr>
          <w:sz w:val="18"/>
          <w:szCs w:val="18"/>
        </w:rPr>
        <w:t xml:space="preserve">1) A decision on the asylum application in the regular procedure shall be rendered, at the latest, within three months after the date of the asylum application or the date of the admissible subsequent asylum application. </w:t>
      </w:r>
    </w:p>
    <w:p w14:paraId="2A469006" w14:textId="77777777" w:rsidR="00C33559" w:rsidRPr="00FB4F72" w:rsidRDefault="00C33559" w:rsidP="00C33559">
      <w:pPr>
        <w:pStyle w:val="FootnoteText"/>
        <w:spacing w:after="0" w:line="240" w:lineRule="auto"/>
        <w:ind w:firstLine="567"/>
        <w:rPr>
          <w:sz w:val="18"/>
          <w:szCs w:val="18"/>
        </w:rPr>
      </w:pPr>
      <w:r w:rsidRPr="00FB4F72">
        <w:rPr>
          <w:sz w:val="18"/>
          <w:szCs w:val="18"/>
        </w:rPr>
        <w:t>2) The time limit may be extended for a further three months if:</w:t>
      </w:r>
    </w:p>
    <w:p w14:paraId="70100EE4" w14:textId="77777777" w:rsidR="00C33559" w:rsidRPr="00FB4F72" w:rsidRDefault="00C33559" w:rsidP="00C33559">
      <w:pPr>
        <w:pStyle w:val="FootnoteText"/>
        <w:spacing w:after="0" w:line="240" w:lineRule="auto"/>
        <w:ind w:left="567" w:firstLine="153"/>
        <w:rPr>
          <w:sz w:val="18"/>
          <w:szCs w:val="18"/>
        </w:rPr>
      </w:pPr>
      <w:r w:rsidRPr="00FB4F72">
        <w:rPr>
          <w:sz w:val="18"/>
          <w:szCs w:val="18"/>
        </w:rPr>
        <w:t>1) the application includes complex factual and/or legal issues;</w:t>
      </w:r>
    </w:p>
    <w:p w14:paraId="3318436E" w14:textId="77777777" w:rsidR="00C33559" w:rsidRPr="00FB4F72" w:rsidRDefault="00C33559" w:rsidP="00C33559">
      <w:pPr>
        <w:pStyle w:val="FootnoteText"/>
        <w:spacing w:after="0" w:line="240" w:lineRule="auto"/>
        <w:ind w:left="567" w:firstLine="153"/>
        <w:rPr>
          <w:sz w:val="18"/>
          <w:szCs w:val="18"/>
        </w:rPr>
      </w:pPr>
      <w:r w:rsidRPr="00FB4F72">
        <w:rPr>
          <w:sz w:val="18"/>
          <w:szCs w:val="18"/>
        </w:rPr>
        <w:t>2) a large number of foreigners have submitted their asylum applications at the same time;</w:t>
      </w:r>
    </w:p>
    <w:p w14:paraId="44DF9D84" w14:textId="77777777" w:rsidR="00C33559" w:rsidRPr="00FB4F72" w:rsidRDefault="00C33559" w:rsidP="00C33559">
      <w:pPr>
        <w:pStyle w:val="FootnoteText"/>
        <w:spacing w:after="0" w:line="240" w:lineRule="auto"/>
        <w:ind w:left="720"/>
        <w:rPr>
          <w:sz w:val="18"/>
          <w:szCs w:val="18"/>
        </w:rPr>
      </w:pPr>
      <w:r w:rsidRPr="00FB4F72">
        <w:rPr>
          <w:sz w:val="18"/>
          <w:szCs w:val="18"/>
        </w:rPr>
        <w:t xml:space="preserve">3) Notwithstanding paragraph 2 of this Article, the time limit may be extended for a further three months if it is necessary to ensure a proper and complete assessment of the application. </w:t>
      </w:r>
    </w:p>
    <w:p w14:paraId="51AAA087" w14:textId="77777777" w:rsidR="00C33559" w:rsidRPr="00FB4F72" w:rsidRDefault="00C33559" w:rsidP="00C33559">
      <w:pPr>
        <w:pStyle w:val="FootnoteText"/>
        <w:spacing w:after="0" w:line="240" w:lineRule="auto"/>
        <w:ind w:left="720"/>
        <w:rPr>
          <w:sz w:val="18"/>
          <w:szCs w:val="18"/>
        </w:rPr>
      </w:pPr>
      <w:r w:rsidRPr="00FB4F72">
        <w:rPr>
          <w:sz w:val="18"/>
          <w:szCs w:val="18"/>
        </w:rPr>
        <w:t xml:space="preserve">4) If the decision cannot be rendered within the time limit referred to in paragraph 1 of this Article, the Applicant shall be informed about it, stating when he/she may expect the decision. </w:t>
      </w:r>
    </w:p>
    <w:p w14:paraId="19DD3123" w14:textId="77777777" w:rsidR="00C33559" w:rsidRPr="00FB4F72" w:rsidRDefault="00C33559" w:rsidP="00C33559">
      <w:pPr>
        <w:pStyle w:val="FootnoteText"/>
        <w:spacing w:after="0" w:line="240" w:lineRule="auto"/>
        <w:ind w:left="720"/>
        <w:rPr>
          <w:sz w:val="18"/>
          <w:szCs w:val="18"/>
        </w:rPr>
      </w:pPr>
      <w:r w:rsidRPr="00FB4F72">
        <w:rPr>
          <w:sz w:val="18"/>
          <w:szCs w:val="18"/>
        </w:rPr>
        <w:t xml:space="preserve">5) If it can be justifiably expected that the decision on the asylum application could not be rendered within the time limits referred to in paragraphs 1 through 3 of this Article, due to a non-lasting unsafe situation in the Applicant’s country of origin, the authorised officers of the Asylum Office shall verify the situation in the country of origin every three months, and inform the Applicant in reasonable time about the reasons for the deferral of the decision. </w:t>
      </w:r>
    </w:p>
    <w:p w14:paraId="55B2DA3D" w14:textId="77777777" w:rsidR="00C33559" w:rsidRPr="00FB4F72" w:rsidRDefault="00C33559" w:rsidP="00C33559">
      <w:pPr>
        <w:pStyle w:val="FootnoteText"/>
        <w:spacing w:after="0" w:line="240" w:lineRule="auto"/>
        <w:ind w:left="720"/>
        <w:rPr>
          <w:sz w:val="18"/>
          <w:szCs w:val="18"/>
          <w:lang w:val="sr-Latn-RS"/>
        </w:rPr>
      </w:pPr>
      <w:r w:rsidRPr="00FB4F72">
        <w:rPr>
          <w:sz w:val="18"/>
          <w:szCs w:val="18"/>
        </w:rPr>
        <w:t>6) In the case referred to in paragraph 5 of this Article, the decision shall be rendered, at the latest, within 12 months from the date of the asylum application.</w:t>
      </w:r>
    </w:p>
  </w:footnote>
  <w:footnote w:id="2">
    <w:p w14:paraId="496B3DC9" w14:textId="0F5EA08A"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Pr="00FB4F72">
        <w:rPr>
          <w:sz w:val="18"/>
          <w:szCs w:val="18"/>
        </w:rPr>
        <w:tab/>
        <w:t>Precisely, 12 months for decisions nos. 26-378/19, 26-374/19, 26-218/19 and 26-2471/19; 16 months for decision no. 26-1437/18; 17 months for decision no. 26-1946/18; 19 months for decision no. 26-1271/19.</w:t>
      </w:r>
    </w:p>
  </w:footnote>
  <w:footnote w:id="3">
    <w:p w14:paraId="322E29E1" w14:textId="7679361D"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Pr="00FB4F72">
        <w:rPr>
          <w:sz w:val="18"/>
          <w:szCs w:val="18"/>
        </w:rPr>
        <w:tab/>
      </w:r>
      <w:r w:rsidRPr="00FB4F72">
        <w:rPr>
          <w:rFonts w:eastAsia="Gill Sans MT" w:cs="Gill Sans MT"/>
          <w:sz w:val="18"/>
          <w:szCs w:val="18"/>
        </w:rPr>
        <w:t xml:space="preserve">Belgrade Centre for Human Rights, </w:t>
      </w:r>
      <w:r w:rsidRPr="00FB4F72">
        <w:rPr>
          <w:rFonts w:eastAsia="Gill Sans MT" w:cs="Gill Sans MT"/>
          <w:i/>
          <w:iCs/>
          <w:sz w:val="18"/>
          <w:szCs w:val="18"/>
        </w:rPr>
        <w:t>Right to Asylum in the Republic of Serbia 2019</w:t>
      </w:r>
      <w:r w:rsidRPr="00FB4F72">
        <w:rPr>
          <w:rFonts w:eastAsia="Gill Sans MT" w:cs="Gill Sans MT"/>
          <w:sz w:val="18"/>
          <w:szCs w:val="18"/>
        </w:rPr>
        <w:t xml:space="preserve">, December 2019, pp. 109-11, available at </w:t>
      </w:r>
      <w:hyperlink r:id="rId1">
        <w:r w:rsidRPr="00FB4F72">
          <w:rPr>
            <w:rStyle w:val="Hyperlink"/>
            <w:rFonts w:eastAsia="Gill Sans MT" w:cs="Gill Sans MT"/>
            <w:color w:val="auto"/>
            <w:sz w:val="18"/>
            <w:szCs w:val="18"/>
            <w:u w:val="none"/>
          </w:rPr>
          <w:t>http://bit.ly/2PYg1rd</w:t>
        </w:r>
      </w:hyperlink>
      <w:r w:rsidRPr="00FB4F72">
        <w:rPr>
          <w:rStyle w:val="Hyperlink"/>
          <w:rFonts w:eastAsia="Gill Sans MT" w:cs="Gill Sans MT"/>
          <w:color w:val="auto"/>
          <w:sz w:val="18"/>
          <w:szCs w:val="18"/>
          <w:u w:val="none"/>
        </w:rPr>
        <w:t>.</w:t>
      </w:r>
    </w:p>
  </w:footnote>
  <w:footnote w:id="4">
    <w:p w14:paraId="300958C2" w14:textId="231DF0F8"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Pr="00FB4F72">
        <w:rPr>
          <w:sz w:val="18"/>
          <w:szCs w:val="18"/>
        </w:rPr>
        <w:tab/>
      </w:r>
      <w:r w:rsidRPr="00FB4F72">
        <w:rPr>
          <w:i/>
          <w:iCs/>
          <w:sz w:val="18"/>
          <w:szCs w:val="18"/>
          <w:lang w:val="sr-Latn-RS"/>
        </w:rPr>
        <w:t>Ibid</w:t>
      </w:r>
      <w:r w:rsidRPr="00FB4F72">
        <w:rPr>
          <w:sz w:val="18"/>
          <w:szCs w:val="18"/>
          <w:lang w:val="sr-Latn-RS"/>
        </w:rPr>
        <w:t>.</w:t>
      </w:r>
    </w:p>
  </w:footnote>
  <w:footnote w:id="5">
    <w:p w14:paraId="719ED0E8" w14:textId="06E66977"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Style w:val="FootnoteReference"/>
          <w:rFonts w:eastAsia="Gill Sans MT"/>
          <w:sz w:val="18"/>
          <w:szCs w:val="18"/>
        </w:rPr>
        <w:t xml:space="preserve"> </w:t>
      </w:r>
      <w:r w:rsidRPr="00FB4F72">
        <w:rPr>
          <w:rStyle w:val="FootnoteReference"/>
          <w:rFonts w:eastAsia="Gill Sans MT"/>
          <w:sz w:val="18"/>
          <w:szCs w:val="18"/>
        </w:rPr>
        <w:tab/>
      </w:r>
      <w:r w:rsidRPr="00FB4F72">
        <w:rPr>
          <w:rFonts w:eastAsia="Gill Sans MT" w:cs="Gill Sans MT"/>
          <w:sz w:val="18"/>
          <w:szCs w:val="18"/>
        </w:rPr>
        <w:t xml:space="preserve">Article 35 (13), Asylum and Temporary Protection Act (Zakon o azilu i privremenoj zaštiti), </w:t>
      </w:r>
      <w:r w:rsidRPr="00FB4F72">
        <w:rPr>
          <w:rFonts w:eastAsia="Gill Sans MT" w:cs="Gill Sans MT"/>
          <w:i/>
          <w:iCs/>
          <w:sz w:val="18"/>
          <w:szCs w:val="18"/>
        </w:rPr>
        <w:t>Official Gazette of the Republic of Serbia</w:t>
      </w:r>
      <w:r w:rsidRPr="00FB4F72">
        <w:rPr>
          <w:rFonts w:eastAsia="Gill Sans MT" w:cs="Gill Sans MT"/>
          <w:sz w:val="18"/>
          <w:szCs w:val="18"/>
        </w:rPr>
        <w:t xml:space="preserve">, no. 24/2018, available in English at </w:t>
      </w:r>
      <w:hyperlink r:id="rId2">
        <w:r w:rsidRPr="00FB4F72">
          <w:rPr>
            <w:rStyle w:val="Hyperlink"/>
            <w:rFonts w:eastAsia="Gill Sans MT" w:cs="Gill Sans MT"/>
            <w:color w:val="auto"/>
            <w:sz w:val="18"/>
            <w:szCs w:val="18"/>
            <w:u w:val="none"/>
          </w:rPr>
          <w:t>https://bit.ly/3tK8WLG</w:t>
        </w:r>
      </w:hyperlink>
      <w:r w:rsidRPr="00FB4F72">
        <w:rPr>
          <w:rFonts w:eastAsia="Gill Sans MT" w:cs="Gill Sans MT"/>
          <w:sz w:val="18"/>
          <w:szCs w:val="18"/>
        </w:rPr>
        <w:t>.</w:t>
      </w:r>
    </w:p>
  </w:footnote>
  <w:footnote w:id="6">
    <w:p w14:paraId="74C14A97" w14:textId="5068A2FE"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Fonts w:eastAsia="Gill Sans MT" w:cs="Gill Sans MT"/>
          <w:sz w:val="18"/>
          <w:szCs w:val="18"/>
        </w:rPr>
        <w:t xml:space="preserve"> </w:t>
      </w:r>
      <w:r w:rsidRPr="00FB4F72">
        <w:rPr>
          <w:rFonts w:eastAsia="Gill Sans MT" w:cs="Gill Sans MT"/>
          <w:sz w:val="18"/>
          <w:szCs w:val="18"/>
        </w:rPr>
        <w:tab/>
        <w:t xml:space="preserve">Article 71, Border Control Act (Zakon o graničnoj kontroli), </w:t>
      </w:r>
      <w:r w:rsidRPr="00FB4F72">
        <w:rPr>
          <w:rFonts w:eastAsia="Gill Sans MT" w:cs="Gill Sans MT"/>
          <w:i/>
          <w:iCs/>
          <w:sz w:val="18"/>
          <w:szCs w:val="18"/>
        </w:rPr>
        <w:t>Official Gazette of the Republic of Serbia</w:t>
      </w:r>
      <w:r w:rsidRPr="00FB4F72">
        <w:rPr>
          <w:rFonts w:eastAsia="Gill Sans MT" w:cs="Gill Sans MT"/>
          <w:sz w:val="18"/>
          <w:szCs w:val="18"/>
        </w:rPr>
        <w:t>, no. 24/2018, and Article 121 and 122, Foreigners Act.</w:t>
      </w:r>
    </w:p>
  </w:footnote>
  <w:footnote w:id="7">
    <w:p w14:paraId="36577BDE" w14:textId="5941BCEB"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Style w:val="FootnoteReference"/>
          <w:rFonts w:eastAsia="Gill Sans MT"/>
          <w:sz w:val="18"/>
          <w:szCs w:val="18"/>
        </w:rPr>
        <w:t xml:space="preserve"> </w:t>
      </w:r>
      <w:r w:rsidRPr="00FB4F72">
        <w:rPr>
          <w:rStyle w:val="FootnoteReference"/>
          <w:rFonts w:eastAsia="Gill Sans MT"/>
          <w:sz w:val="18"/>
          <w:szCs w:val="18"/>
        </w:rPr>
        <w:tab/>
      </w:r>
      <w:r w:rsidRPr="00FB4F72">
        <w:rPr>
          <w:rFonts w:eastAsia="Gill Sans MT" w:cs="Gill Sans MT"/>
          <w:sz w:val="18"/>
          <w:szCs w:val="18"/>
        </w:rPr>
        <w:t>Article 77 (1), Foreigners Act.</w:t>
      </w:r>
    </w:p>
  </w:footnote>
  <w:footnote w:id="8">
    <w:p w14:paraId="5537B49C" w14:textId="49F96A9F"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Style w:val="FootnoteReference"/>
          <w:rFonts w:eastAsia="Gill Sans MT"/>
          <w:sz w:val="18"/>
          <w:szCs w:val="18"/>
        </w:rPr>
        <w:t xml:space="preserve"> </w:t>
      </w:r>
      <w:r w:rsidRPr="00FB4F72">
        <w:rPr>
          <w:rStyle w:val="FootnoteReference"/>
          <w:rFonts w:eastAsia="Gill Sans MT"/>
          <w:sz w:val="18"/>
          <w:szCs w:val="18"/>
        </w:rPr>
        <w:tab/>
      </w:r>
      <w:r w:rsidRPr="00FB4F72">
        <w:rPr>
          <w:rFonts w:eastAsia="Gill Sans MT" w:cs="Gill Sans MT"/>
          <w:sz w:val="18"/>
          <w:szCs w:val="18"/>
        </w:rPr>
        <w:t xml:space="preserve">ECRE, </w:t>
      </w:r>
      <w:r w:rsidRPr="00FB4F72">
        <w:rPr>
          <w:rFonts w:eastAsia="Gill Sans MT" w:cs="Gill Sans MT"/>
          <w:i/>
          <w:iCs/>
          <w:sz w:val="18"/>
          <w:szCs w:val="18"/>
        </w:rPr>
        <w:t>Country Report: Serbia - 2020 Update</w:t>
      </w:r>
      <w:r w:rsidRPr="00FB4F72">
        <w:rPr>
          <w:rFonts w:eastAsia="Gill Sans MT" w:cs="Gill Sans MT"/>
          <w:sz w:val="18"/>
          <w:szCs w:val="18"/>
        </w:rPr>
        <w:t xml:space="preserve">, AIDA, pp. 28-30, available at </w:t>
      </w:r>
      <w:hyperlink r:id="rId3">
        <w:r w:rsidRPr="00FB4F72">
          <w:rPr>
            <w:rStyle w:val="Hyperlink"/>
            <w:rFonts w:eastAsia="Gill Sans MT" w:cs="Gill Sans MT"/>
            <w:color w:val="auto"/>
            <w:sz w:val="18"/>
            <w:szCs w:val="18"/>
            <w:u w:val="none"/>
          </w:rPr>
          <w:t>https://bit.ly/3aVxSsw</w:t>
        </w:r>
      </w:hyperlink>
      <w:r w:rsidRPr="00FB4F72">
        <w:rPr>
          <w:rFonts w:eastAsia="Gill Sans MT" w:cs="Gill Sans MT"/>
          <w:sz w:val="18"/>
          <w:szCs w:val="18"/>
        </w:rPr>
        <w:t>.</w:t>
      </w:r>
    </w:p>
  </w:footnote>
  <w:footnote w:id="9">
    <w:p w14:paraId="5518B104" w14:textId="51C2DBB7"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Fonts w:eastAsia="Gill Sans MT" w:cs="Gill Sans MT"/>
          <w:sz w:val="18"/>
          <w:szCs w:val="18"/>
        </w:rPr>
        <w:t xml:space="preserve"> </w:t>
      </w:r>
      <w:r w:rsidRPr="00FB4F72">
        <w:rPr>
          <w:rFonts w:eastAsia="Gill Sans MT" w:cs="Gill Sans MT"/>
          <w:sz w:val="18"/>
          <w:szCs w:val="18"/>
        </w:rPr>
        <w:tab/>
      </w:r>
      <w:r w:rsidRPr="00FB4F72">
        <w:rPr>
          <w:rFonts w:eastAsia="Gill Sans MT" w:cs="Gill Sans MT"/>
          <w:i/>
          <w:iCs/>
          <w:sz w:val="18"/>
          <w:szCs w:val="18"/>
        </w:rPr>
        <w:t>Ibid</w:t>
      </w:r>
      <w:r w:rsidRPr="00FB4F72">
        <w:rPr>
          <w:rFonts w:eastAsia="Gill Sans MT" w:cs="Gill Sans MT"/>
          <w:sz w:val="18"/>
          <w:szCs w:val="18"/>
        </w:rPr>
        <w:t>., p. 32.</w:t>
      </w:r>
    </w:p>
  </w:footnote>
  <w:footnote w:id="10">
    <w:p w14:paraId="2F4BD952" w14:textId="3B73E32F"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Fonts w:eastAsia="Gill Sans MT" w:cs="Gill Sans MT"/>
          <w:sz w:val="18"/>
          <w:szCs w:val="18"/>
        </w:rPr>
        <w:t xml:space="preserve"> </w:t>
      </w:r>
      <w:r w:rsidRPr="00FB4F72">
        <w:rPr>
          <w:rFonts w:eastAsia="Gill Sans MT" w:cs="Gill Sans MT"/>
          <w:sz w:val="18"/>
          <w:szCs w:val="18"/>
        </w:rPr>
        <w:tab/>
        <w:t>UN Human Rights Committee</w:t>
      </w:r>
      <w:r w:rsidRPr="00FB4F72">
        <w:rPr>
          <w:rFonts w:eastAsia="Gill Sans MT" w:cs="Gill Sans MT"/>
          <w:sz w:val="18"/>
          <w:szCs w:val="18"/>
          <w:lang w:val="nl-BE"/>
        </w:rPr>
        <w:t xml:space="preserve">, </w:t>
      </w:r>
      <w:r w:rsidRPr="00FB4F72">
        <w:rPr>
          <w:rFonts w:eastAsia="Gill Sans MT" w:cs="Gill Sans MT"/>
          <w:i/>
          <w:iCs/>
          <w:sz w:val="18"/>
          <w:szCs w:val="18"/>
          <w:lang w:val="nl-BE"/>
        </w:rPr>
        <w:t>Concluding observations on the third periodic report of Serbia *</w:t>
      </w:r>
      <w:r w:rsidRPr="00FB4F72">
        <w:rPr>
          <w:rFonts w:eastAsia="Gill Sans MT" w:cs="Gill Sans MT"/>
          <w:sz w:val="18"/>
          <w:szCs w:val="18"/>
          <w:lang w:val="nl-BE"/>
        </w:rPr>
        <w:t xml:space="preserve">, CCPR/C/SRB/CO/3, 10 April 2017, </w:t>
      </w:r>
      <w:r w:rsidRPr="00FB4F72">
        <w:rPr>
          <w:rFonts w:eastAsia="Gill Sans MT" w:cs="Gill Sans MT"/>
          <w:sz w:val="18"/>
          <w:szCs w:val="18"/>
        </w:rPr>
        <w:t xml:space="preserve">paras. 32-33, </w:t>
      </w:r>
      <w:r w:rsidRPr="00FB4F72">
        <w:rPr>
          <w:rFonts w:eastAsia="Gill Sans MT" w:cs="Gill Sans MT"/>
          <w:sz w:val="18"/>
          <w:szCs w:val="18"/>
          <w:lang w:val="nl-BE"/>
        </w:rPr>
        <w:t xml:space="preserve">available at </w:t>
      </w:r>
      <w:hyperlink r:id="rId4">
        <w:r w:rsidRPr="00FB4F72">
          <w:rPr>
            <w:rStyle w:val="Hyperlink"/>
            <w:rFonts w:eastAsia="Gill Sans MT" w:cs="Gill Sans MT"/>
            <w:color w:val="auto"/>
            <w:sz w:val="18"/>
            <w:szCs w:val="18"/>
            <w:u w:val="none"/>
          </w:rPr>
          <w:t>https://bit.ly/3eJJGRx</w:t>
        </w:r>
      </w:hyperlink>
      <w:r w:rsidRPr="00FB4F72">
        <w:rPr>
          <w:rFonts w:eastAsia="Gill Sans MT" w:cs="Gill Sans MT"/>
          <w:sz w:val="18"/>
          <w:szCs w:val="18"/>
        </w:rPr>
        <w:t xml:space="preserve">; UN Committee on the Rights of the Child, </w:t>
      </w:r>
      <w:r w:rsidRPr="00FB4F72">
        <w:rPr>
          <w:rFonts w:eastAsia="Gill Sans MT" w:cs="Gill Sans MT"/>
          <w:i/>
          <w:iCs/>
          <w:sz w:val="18"/>
          <w:szCs w:val="18"/>
        </w:rPr>
        <w:t>Concluding observations on the combined second and third reports of Serbia</w:t>
      </w:r>
      <w:r w:rsidRPr="00FB4F72">
        <w:rPr>
          <w:rFonts w:eastAsia="Gill Sans MT" w:cs="Gill Sans MT"/>
          <w:sz w:val="18"/>
          <w:szCs w:val="18"/>
        </w:rPr>
        <w:t xml:space="preserve">, CRC/C/SRB/CO/2–3, 7 March 2017, para 56-57, available at </w:t>
      </w:r>
      <w:hyperlink r:id="rId5">
        <w:r w:rsidRPr="00FB4F72">
          <w:rPr>
            <w:rStyle w:val="Hyperlink"/>
            <w:rFonts w:eastAsia="Gill Sans MT" w:cs="Gill Sans MT"/>
            <w:color w:val="auto"/>
            <w:sz w:val="18"/>
            <w:szCs w:val="18"/>
            <w:u w:val="none"/>
          </w:rPr>
          <w:t>https://bit.ly/3w85D2u</w:t>
        </w:r>
      </w:hyperlink>
      <w:r w:rsidRPr="00FB4F72">
        <w:rPr>
          <w:rFonts w:eastAsia="Gill Sans MT" w:cs="Gill Sans MT"/>
          <w:sz w:val="18"/>
          <w:szCs w:val="18"/>
        </w:rPr>
        <w:t>.</w:t>
      </w:r>
    </w:p>
  </w:footnote>
  <w:footnote w:id="11">
    <w:p w14:paraId="0BDCE3BA" w14:textId="67DF4489" w:rsidR="00C33559" w:rsidRPr="00FB4F72" w:rsidRDefault="00C33559" w:rsidP="00C33559">
      <w:pPr>
        <w:spacing w:after="0" w:line="240" w:lineRule="auto"/>
        <w:ind w:left="567" w:hanging="283"/>
        <w:rPr>
          <w:sz w:val="18"/>
          <w:szCs w:val="18"/>
        </w:rPr>
      </w:pPr>
      <w:r w:rsidRPr="00FB4F72">
        <w:rPr>
          <w:rStyle w:val="FootnoteReference"/>
          <w:rFonts w:eastAsia="Gill Sans MT"/>
          <w:sz w:val="18"/>
          <w:szCs w:val="18"/>
        </w:rPr>
        <w:footnoteRef/>
      </w:r>
      <w:r w:rsidRPr="00FB4F72">
        <w:rPr>
          <w:rFonts w:eastAsia="Gill Sans MT" w:cs="Gill Sans MT"/>
          <w:sz w:val="18"/>
          <w:szCs w:val="18"/>
        </w:rPr>
        <w:t xml:space="preserve"> </w:t>
      </w:r>
      <w:r w:rsidRPr="00FB4F72">
        <w:rPr>
          <w:rFonts w:eastAsia="Gill Sans MT" w:cs="Gill Sans MT"/>
          <w:sz w:val="18"/>
          <w:szCs w:val="18"/>
        </w:rPr>
        <w:tab/>
        <w:t xml:space="preserve">ECRE, </w:t>
      </w:r>
      <w:r w:rsidRPr="00FB4F72">
        <w:rPr>
          <w:rFonts w:eastAsia="Gill Sans MT" w:cs="Gill Sans MT"/>
          <w:i/>
          <w:iCs/>
          <w:sz w:val="18"/>
          <w:szCs w:val="18"/>
        </w:rPr>
        <w:t>Country Report: Serbia - 2020 Update</w:t>
      </w:r>
      <w:r w:rsidRPr="00FB4F72">
        <w:rPr>
          <w:rFonts w:eastAsia="Gill Sans MT" w:cs="Gill Sans MT"/>
          <w:sz w:val="18"/>
          <w:szCs w:val="18"/>
        </w:rPr>
        <w:t xml:space="preserve">, AIDA, p. 63, available at </w:t>
      </w:r>
      <w:hyperlink r:id="rId6">
        <w:r w:rsidRPr="00FB4F72">
          <w:rPr>
            <w:rStyle w:val="Hyperlink"/>
            <w:rFonts w:eastAsia="Gill Sans MT" w:cs="Gill Sans MT"/>
            <w:color w:val="auto"/>
            <w:sz w:val="18"/>
            <w:szCs w:val="18"/>
            <w:u w:val="none"/>
          </w:rPr>
          <w:t>https://bit.ly/3aVxSsw</w:t>
        </w:r>
      </w:hyperlink>
      <w:r w:rsidRPr="00FB4F72">
        <w:rPr>
          <w:rFonts w:eastAsia="Gill Sans MT" w:cs="Gill Sans MT"/>
          <w:sz w:val="18"/>
          <w:szCs w:val="18"/>
        </w:rPr>
        <w:t>.</w:t>
      </w:r>
    </w:p>
  </w:footnote>
  <w:footnote w:id="12">
    <w:p w14:paraId="34190E3E" w14:textId="7AD4EC12" w:rsidR="00C33559" w:rsidRPr="00FB4F72" w:rsidRDefault="00C33559" w:rsidP="00FB4F72">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00FB4F72" w:rsidRPr="00FB4F72">
        <w:rPr>
          <w:sz w:val="18"/>
          <w:szCs w:val="18"/>
        </w:rPr>
        <w:tab/>
      </w:r>
      <w:r w:rsidRPr="00FB4F72">
        <w:rPr>
          <w:sz w:val="18"/>
          <w:szCs w:val="18"/>
        </w:rPr>
        <w:t xml:space="preserve">Balkans Migration and Displacement Hub - </w:t>
      </w:r>
      <w:r w:rsidRPr="00FB4F72">
        <w:rPr>
          <w:sz w:val="18"/>
          <w:szCs w:val="18"/>
          <w:lang w:val="sr-Latn-RS"/>
        </w:rPr>
        <w:t xml:space="preserve">Save the Children International, </w:t>
      </w:r>
      <w:r w:rsidRPr="00FB4F72">
        <w:rPr>
          <w:i/>
          <w:iCs/>
          <w:sz w:val="18"/>
          <w:szCs w:val="18"/>
          <w:lang w:val="sr-Latn-RS"/>
        </w:rPr>
        <w:t>Struggling to Survive: Unaccompanied and Separated Children Travelling the Balkans Route</w:t>
      </w:r>
      <w:r w:rsidRPr="00FB4F72">
        <w:rPr>
          <w:sz w:val="18"/>
          <w:szCs w:val="18"/>
          <w:lang w:val="sr-Latn-RS"/>
        </w:rPr>
        <w:t>, 2019, p. 48. This study was informed via 36 interviews with unaccopmanied and separated boy ages 13-17</w:t>
      </w:r>
      <w:r w:rsidR="00FB4F72" w:rsidRPr="00FB4F72">
        <w:rPr>
          <w:sz w:val="18"/>
          <w:szCs w:val="18"/>
          <w:lang w:val="sr-Latn-RS"/>
        </w:rPr>
        <w:t>,</w:t>
      </w:r>
      <w:r w:rsidRPr="00FB4F72">
        <w:rPr>
          <w:sz w:val="18"/>
          <w:szCs w:val="18"/>
          <w:lang w:val="sr-Latn-RS"/>
        </w:rPr>
        <w:t xml:space="preserve"> </w:t>
      </w:r>
      <w:r w:rsidR="00FB4F72" w:rsidRPr="00FB4F72">
        <w:rPr>
          <w:sz w:val="18"/>
          <w:szCs w:val="18"/>
          <w:lang w:val="sr-Latn-RS"/>
        </w:rPr>
        <w:t>a</w:t>
      </w:r>
      <w:r w:rsidRPr="00FB4F72">
        <w:rPr>
          <w:sz w:val="18"/>
          <w:szCs w:val="18"/>
          <w:lang w:val="sr-Latn-RS"/>
        </w:rPr>
        <w:t>vailable at</w:t>
      </w:r>
      <w:r w:rsidR="00FB4F72" w:rsidRPr="00FB4F72">
        <w:rPr>
          <w:sz w:val="18"/>
          <w:szCs w:val="18"/>
          <w:lang w:val="sr-Latn-RS"/>
        </w:rPr>
        <w:t xml:space="preserve"> https://bit.ly/3FqCkwp.</w:t>
      </w:r>
    </w:p>
  </w:footnote>
  <w:footnote w:id="13">
    <w:p w14:paraId="404438CA" w14:textId="0D95B8B7" w:rsidR="00C33559" w:rsidRPr="00FB4F72" w:rsidRDefault="00C33559" w:rsidP="00C33559">
      <w:pPr>
        <w:pStyle w:val="FootnoteText"/>
        <w:spacing w:after="0" w:line="240" w:lineRule="auto"/>
        <w:ind w:left="567" w:hanging="283"/>
        <w:rPr>
          <w:sz w:val="18"/>
          <w:szCs w:val="18"/>
        </w:rPr>
      </w:pPr>
      <w:r w:rsidRPr="00FB4F72">
        <w:rPr>
          <w:rStyle w:val="FootnoteReference"/>
          <w:sz w:val="18"/>
          <w:szCs w:val="18"/>
        </w:rPr>
        <w:footnoteRef/>
      </w:r>
      <w:r w:rsidRPr="00FB4F72">
        <w:rPr>
          <w:sz w:val="18"/>
          <w:szCs w:val="18"/>
        </w:rPr>
        <w:t xml:space="preserve"> </w:t>
      </w:r>
      <w:r w:rsidR="00FB4F72" w:rsidRPr="00FB4F72">
        <w:rPr>
          <w:sz w:val="18"/>
          <w:szCs w:val="18"/>
        </w:rPr>
        <w:tab/>
      </w:r>
      <w:r w:rsidRPr="00FB4F72">
        <w:rPr>
          <w:sz w:val="18"/>
          <w:szCs w:val="18"/>
        </w:rPr>
        <w:t>Decision no. 26-1437/19 of 13 February 2020.</w:t>
      </w:r>
    </w:p>
  </w:footnote>
  <w:footnote w:id="14">
    <w:p w14:paraId="1443762D" w14:textId="3ACAA43C" w:rsidR="00C33559" w:rsidRPr="00FB4F72" w:rsidRDefault="00C33559" w:rsidP="00C33559">
      <w:pPr>
        <w:pStyle w:val="FootnoteText"/>
        <w:spacing w:after="0" w:line="240" w:lineRule="auto"/>
        <w:ind w:left="567" w:hanging="283"/>
        <w:rPr>
          <w:sz w:val="18"/>
          <w:szCs w:val="18"/>
        </w:rPr>
      </w:pPr>
      <w:r w:rsidRPr="00FB4F72">
        <w:rPr>
          <w:rStyle w:val="FootnoteReference"/>
          <w:sz w:val="18"/>
          <w:szCs w:val="18"/>
        </w:rPr>
        <w:footnoteRef/>
      </w:r>
      <w:r w:rsidRPr="00FB4F72">
        <w:rPr>
          <w:rStyle w:val="FootnoteReference"/>
          <w:sz w:val="18"/>
          <w:szCs w:val="18"/>
        </w:rPr>
        <w:t xml:space="preserve"> </w:t>
      </w:r>
      <w:r w:rsidR="00FB4F72" w:rsidRPr="00FB4F72">
        <w:rPr>
          <w:sz w:val="18"/>
          <w:szCs w:val="18"/>
        </w:rPr>
        <w:tab/>
      </w:r>
      <w:r w:rsidRPr="00FB4F72">
        <w:rPr>
          <w:sz w:val="18"/>
          <w:szCs w:val="18"/>
        </w:rPr>
        <w:t>Decision no. 26-376/19 of 11 February 2020.</w:t>
      </w:r>
    </w:p>
  </w:footnote>
  <w:footnote w:id="15">
    <w:p w14:paraId="7B195930" w14:textId="50783E67"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00FB4F72" w:rsidRPr="00FB4F72">
        <w:rPr>
          <w:sz w:val="18"/>
          <w:szCs w:val="18"/>
        </w:rPr>
        <w:tab/>
      </w:r>
      <w:r w:rsidRPr="00FB4F72">
        <w:rPr>
          <w:rFonts w:eastAsia="Gill Sans MT" w:cs="Gill Sans MT"/>
          <w:sz w:val="18"/>
          <w:szCs w:val="18"/>
        </w:rPr>
        <w:t xml:space="preserve">Belgrade Centre for Human Rights, </w:t>
      </w:r>
      <w:r w:rsidRPr="00FB4F72">
        <w:rPr>
          <w:rFonts w:eastAsia="Gill Sans MT" w:cs="Gill Sans MT"/>
          <w:i/>
          <w:iCs/>
          <w:sz w:val="18"/>
          <w:szCs w:val="18"/>
        </w:rPr>
        <w:t>Right to Asylum in the Republic of Serbia 2020</w:t>
      </w:r>
      <w:r w:rsidRPr="00FB4F72">
        <w:rPr>
          <w:rFonts w:eastAsia="Gill Sans MT" w:cs="Gill Sans MT"/>
          <w:sz w:val="18"/>
          <w:szCs w:val="18"/>
        </w:rPr>
        <w:t>, December 2020, pp. 53-54</w:t>
      </w:r>
      <w:r w:rsidR="00FB4F72" w:rsidRPr="00FB4F72">
        <w:rPr>
          <w:rFonts w:eastAsia="Gill Sans MT" w:cs="Gill Sans MT"/>
          <w:sz w:val="18"/>
          <w:szCs w:val="18"/>
        </w:rPr>
        <w:t>, available at https://bit.ly/3I4Ly33.</w:t>
      </w:r>
    </w:p>
  </w:footnote>
  <w:footnote w:id="16">
    <w:p w14:paraId="167F7329" w14:textId="0B0B6E69" w:rsidR="00C33559" w:rsidRPr="00FB4F72" w:rsidRDefault="00C33559" w:rsidP="00C33559">
      <w:pPr>
        <w:pStyle w:val="FootnoteText"/>
        <w:spacing w:after="0" w:line="240" w:lineRule="auto"/>
        <w:ind w:left="567" w:hanging="283"/>
        <w:rPr>
          <w:sz w:val="18"/>
          <w:szCs w:val="18"/>
        </w:rPr>
      </w:pPr>
      <w:r w:rsidRPr="00FB4F72">
        <w:rPr>
          <w:rStyle w:val="FootnoteReference"/>
          <w:sz w:val="18"/>
          <w:szCs w:val="18"/>
        </w:rPr>
        <w:footnoteRef/>
      </w:r>
      <w:r w:rsidRPr="00FB4F72">
        <w:rPr>
          <w:sz w:val="18"/>
          <w:szCs w:val="18"/>
        </w:rPr>
        <w:t xml:space="preserve"> </w:t>
      </w:r>
      <w:r w:rsidR="00FB4F72" w:rsidRPr="00FB4F72">
        <w:rPr>
          <w:sz w:val="18"/>
          <w:szCs w:val="18"/>
        </w:rPr>
        <w:tab/>
      </w:r>
      <w:r w:rsidRPr="00FB4F72">
        <w:rPr>
          <w:sz w:val="18"/>
          <w:szCs w:val="18"/>
        </w:rPr>
        <w:t xml:space="preserve">Article 5, Zakon o opštem upravnom postupku, </w:t>
      </w:r>
      <w:r w:rsidRPr="00FB4F72">
        <w:rPr>
          <w:i/>
          <w:sz w:val="18"/>
          <w:szCs w:val="18"/>
        </w:rPr>
        <w:t>Official Gazette of the Republic of Serbia</w:t>
      </w:r>
      <w:r w:rsidRPr="00FB4F72">
        <w:rPr>
          <w:sz w:val="18"/>
          <w:szCs w:val="18"/>
        </w:rPr>
        <w:t>, nos. 18/2016 and 95/2018 - authentic interpretation.</w:t>
      </w:r>
    </w:p>
  </w:footnote>
  <w:footnote w:id="17">
    <w:p w14:paraId="3271B4F3" w14:textId="5097791A"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 special section of the Child and Youth Education Institute “Vasa Stajic” - Centre for Accommodation of Foreign Children Unaccompanied by Their Parents or Guardians with the capacity of 30 and Jovan Jovanović Zmaj orphanage with the capacity of 10 places.</w:t>
      </w:r>
    </w:p>
  </w:footnote>
  <w:footnote w:id="18">
    <w:p w14:paraId="4F37ABF0" w14:textId="5E0DB4CF"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Jesuit ‘Pedro Arrupe’ Integration House has the capacity of 15 places.</w:t>
      </w:r>
    </w:p>
  </w:footnote>
  <w:footnote w:id="19">
    <w:p w14:paraId="25CBF1FA" w14:textId="4EDE4549"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House of Rescue has the capacity of 14 places.</w:t>
      </w:r>
    </w:p>
  </w:footnote>
  <w:footnote w:id="20">
    <w:p w14:paraId="1C0ECADB" w14:textId="4014E46D"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Pravilnik o bližim uslovima i standardima za pružanje usluga socijalne zaštite, </w:t>
      </w:r>
      <w:r w:rsidRPr="00FB4F72">
        <w:rPr>
          <w:rFonts w:eastAsia="Gill Sans MT" w:cs="Gill Sans MT"/>
          <w:i/>
          <w:iCs/>
          <w:sz w:val="18"/>
          <w:szCs w:val="18"/>
        </w:rPr>
        <w:t>Official Gazette of the Republic of Serbia</w:t>
      </w:r>
      <w:r w:rsidRPr="00FB4F72">
        <w:rPr>
          <w:rFonts w:eastAsia="Gill Sans MT" w:cs="Gill Sans MT"/>
          <w:sz w:val="18"/>
          <w:szCs w:val="18"/>
        </w:rPr>
        <w:t>, nos. 42/2013, 89/2018 and 73/2019.</w:t>
      </w:r>
    </w:p>
  </w:footnote>
  <w:footnote w:id="21">
    <w:p w14:paraId="7E88EE86" w14:textId="7C8BFA71"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Article 22.</w:t>
      </w:r>
    </w:p>
  </w:footnote>
  <w:footnote w:id="22">
    <w:p w14:paraId="66338902" w14:textId="2113C0E1"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Belgrade Centre for Human Rights, </w:t>
      </w:r>
      <w:r w:rsidRPr="00FB4F72">
        <w:rPr>
          <w:rFonts w:eastAsia="Gill Sans MT" w:cs="Gill Sans MT"/>
          <w:i/>
          <w:iCs/>
          <w:sz w:val="18"/>
          <w:szCs w:val="18"/>
        </w:rPr>
        <w:t>Right to Asylum in the Republic of Serbia 2018</w:t>
      </w:r>
      <w:r w:rsidRPr="00FB4F72">
        <w:rPr>
          <w:rFonts w:eastAsia="Gill Sans MT" w:cs="Gill Sans MT"/>
          <w:sz w:val="18"/>
          <w:szCs w:val="18"/>
        </w:rPr>
        <w:t xml:space="preserve">, March 2019, pp. 65-6, available at </w:t>
      </w:r>
      <w:hyperlink r:id="rId7">
        <w:r w:rsidRPr="00FB4F72">
          <w:rPr>
            <w:rStyle w:val="Hyperlink"/>
            <w:rFonts w:eastAsia="Gill Sans MT" w:cs="Gill Sans MT"/>
            <w:color w:val="auto"/>
            <w:sz w:val="18"/>
            <w:szCs w:val="18"/>
            <w:u w:val="none"/>
          </w:rPr>
          <w:t>https://bit.ly/3G0vJtr</w:t>
        </w:r>
      </w:hyperlink>
      <w:r w:rsidRPr="00FB4F72">
        <w:rPr>
          <w:rFonts w:eastAsia="Gill Sans MT" w:cs="Gill Sans MT"/>
          <w:sz w:val="18"/>
          <w:szCs w:val="18"/>
        </w:rPr>
        <w:t xml:space="preserve">; Belgrade Centre for Human Rights, </w:t>
      </w:r>
      <w:r w:rsidRPr="00FB4F72">
        <w:rPr>
          <w:rFonts w:eastAsia="Gill Sans MT" w:cs="Gill Sans MT"/>
          <w:i/>
          <w:iCs/>
          <w:sz w:val="18"/>
          <w:szCs w:val="18"/>
        </w:rPr>
        <w:t>Right to Asylum in the Republic of Serbia 2019</w:t>
      </w:r>
      <w:r w:rsidRPr="00FB4F72">
        <w:rPr>
          <w:rFonts w:eastAsia="Gill Sans MT" w:cs="Gill Sans MT"/>
          <w:sz w:val="18"/>
          <w:szCs w:val="18"/>
        </w:rPr>
        <w:t>, December 2019, pp. 128-9, available at https://bit.ly/3FXiEko.</w:t>
      </w:r>
    </w:p>
  </w:footnote>
  <w:footnote w:id="23">
    <w:p w14:paraId="621BF528" w14:textId="0DDB4D16"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Save the Children, </w:t>
      </w:r>
      <w:r w:rsidRPr="00FB4F72">
        <w:rPr>
          <w:rFonts w:eastAsia="Gill Sans MT" w:cs="Gill Sans MT"/>
          <w:i/>
          <w:iCs/>
          <w:sz w:val="18"/>
          <w:szCs w:val="18"/>
        </w:rPr>
        <w:t>Specialised foster care for unaccompanied and separated children in Serbia – case study</w:t>
      </w:r>
      <w:r w:rsidRPr="00FB4F72">
        <w:rPr>
          <w:rFonts w:eastAsia="Gill Sans MT" w:cs="Gill Sans MT"/>
          <w:sz w:val="18"/>
          <w:szCs w:val="18"/>
        </w:rPr>
        <w:t>, 2017, available at https://bit.ly/3DV8NLt.</w:t>
      </w:r>
    </w:p>
  </w:footnote>
  <w:footnote w:id="24">
    <w:p w14:paraId="6598DACB" w14:textId="3128F433"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Article 3, Rulebook on Social Assistance.</w:t>
      </w:r>
    </w:p>
  </w:footnote>
  <w:footnote w:id="25">
    <w:p w14:paraId="340E80BA" w14:textId="5A4AA753"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Pravilnik o socijalnoj pomoći za lica koja traže odnosno kojima je odobren azil, </w:t>
      </w:r>
      <w:r w:rsidRPr="00FB4F72">
        <w:rPr>
          <w:rFonts w:eastAsia="Gill Sans MT" w:cs="Gill Sans MT"/>
          <w:i/>
          <w:iCs/>
          <w:sz w:val="18"/>
          <w:szCs w:val="18"/>
        </w:rPr>
        <w:t>Official Gazette of the Republic of Serbia</w:t>
      </w:r>
      <w:r w:rsidRPr="00FB4F72">
        <w:rPr>
          <w:rFonts w:eastAsia="Gill Sans MT" w:cs="Gill Sans MT"/>
          <w:sz w:val="18"/>
          <w:szCs w:val="18"/>
          <w:lang w:val="en-US"/>
        </w:rPr>
        <w:t xml:space="preserve">, no. 44/2008, </w:t>
      </w:r>
      <w:r w:rsidRPr="00FB4F72">
        <w:rPr>
          <w:sz w:val="18"/>
          <w:szCs w:val="18"/>
        </w:rPr>
        <w:t xml:space="preserve">available in Serbian at </w:t>
      </w:r>
      <w:r w:rsidRPr="00FB4F72">
        <w:rPr>
          <w:rStyle w:val="Hyperlink"/>
          <w:rFonts w:eastAsia="Gill Sans MT" w:cs="Gill Sans MT"/>
          <w:color w:val="auto"/>
          <w:sz w:val="18"/>
          <w:szCs w:val="18"/>
          <w:u w:val="none"/>
        </w:rPr>
        <w:t>https://bit.ly/3yn1qtY</w:t>
      </w:r>
      <w:r w:rsidRPr="00FB4F72">
        <w:rPr>
          <w:rFonts w:eastAsia="Gill Sans MT" w:cs="Gill Sans MT"/>
          <w:sz w:val="18"/>
          <w:szCs w:val="18"/>
        </w:rPr>
        <w:t>.</w:t>
      </w:r>
    </w:p>
  </w:footnote>
  <w:footnote w:id="26">
    <w:p w14:paraId="2B6D3763" w14:textId="28BF19F5"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Article 8 (1), Rulebook on Social Assistance.</w:t>
      </w:r>
    </w:p>
  </w:footnote>
  <w:footnote w:id="27">
    <w:p w14:paraId="17F2A650" w14:textId="4653A52B"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Article 12, Rulebook on Social Assistance.</w:t>
      </w:r>
    </w:p>
  </w:footnote>
  <w:footnote w:id="28">
    <w:p w14:paraId="52E2FA44" w14:textId="11F4424F"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Article 8, Integration Decree.</w:t>
      </w:r>
    </w:p>
  </w:footnote>
  <w:footnote w:id="29">
    <w:p w14:paraId="68A7ED2D" w14:textId="62A08273"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lang w:val="en-US"/>
        </w:rPr>
        <w:t xml:space="preserve">Belgrade Centre for Human Rights, </w:t>
      </w:r>
      <w:r w:rsidRPr="00FB4F72">
        <w:rPr>
          <w:rFonts w:eastAsia="Gill Sans MT" w:cs="Gill Sans MT"/>
          <w:i/>
          <w:iCs/>
          <w:sz w:val="18"/>
          <w:szCs w:val="18"/>
          <w:lang w:val="en-US"/>
        </w:rPr>
        <w:t>Right of migrants to social protection in the Republic of Serbia</w:t>
      </w:r>
      <w:r w:rsidRPr="00FB4F72">
        <w:rPr>
          <w:rFonts w:eastAsia="Gill Sans MT" w:cs="Gill Sans MT"/>
          <w:sz w:val="18"/>
          <w:szCs w:val="18"/>
          <w:lang w:val="en-US"/>
        </w:rPr>
        <w:t>, 2019, p. 49, available at https://bit.ly/3pgpryZ.</w:t>
      </w:r>
    </w:p>
  </w:footnote>
  <w:footnote w:id="30">
    <w:p w14:paraId="0D42B576" w14:textId="42B966FF"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i/>
          <w:iCs/>
          <w:sz w:val="18"/>
          <w:szCs w:val="18"/>
        </w:rPr>
        <w:t>Ibid</w:t>
      </w:r>
      <w:r w:rsidRPr="00FB4F72">
        <w:rPr>
          <w:rFonts w:eastAsia="Gill Sans MT" w:cs="Gill Sans MT"/>
          <w:sz w:val="18"/>
          <w:szCs w:val="18"/>
        </w:rPr>
        <w:t>., p. 50.</w:t>
      </w:r>
    </w:p>
  </w:footnote>
  <w:footnote w:id="31">
    <w:p w14:paraId="533828BD" w14:textId="5DB109B8"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Zakon o zdravstvenoj zaštiti, </w:t>
      </w:r>
      <w:r w:rsidRPr="00FB4F72">
        <w:rPr>
          <w:rFonts w:eastAsia="Gill Sans MT" w:cs="Gill Sans MT"/>
          <w:i/>
          <w:iCs/>
          <w:sz w:val="18"/>
          <w:szCs w:val="18"/>
          <w:lang w:val="en-US"/>
        </w:rPr>
        <w:t>Official Gazette of the Republic of Serbia</w:t>
      </w:r>
      <w:r w:rsidRPr="00FB4F72">
        <w:rPr>
          <w:rFonts w:eastAsia="Gill Sans MT" w:cs="Gill Sans MT"/>
          <w:sz w:val="18"/>
          <w:szCs w:val="18"/>
          <w:lang w:val="en-US"/>
        </w:rPr>
        <w:t>, no. 25/2019.</w:t>
      </w:r>
    </w:p>
  </w:footnote>
  <w:footnote w:id="32">
    <w:p w14:paraId="2C7FAF55" w14:textId="679EBDE0"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lang w:val="en-US"/>
        </w:rPr>
        <w:t>Article 20, Healthcare Act.</w:t>
      </w:r>
    </w:p>
  </w:footnote>
  <w:footnote w:id="33">
    <w:p w14:paraId="39760D19" w14:textId="4FE7394E"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lang w:val="en-US"/>
        </w:rPr>
        <w:t xml:space="preserve">Article 21, Healthcare Act. </w:t>
      </w:r>
    </w:p>
  </w:footnote>
  <w:footnote w:id="34">
    <w:p w14:paraId="00E13AEC" w14:textId="748E33A2" w:rsidR="00C33559" w:rsidRPr="00FB4F72" w:rsidRDefault="00C33559" w:rsidP="00C33559">
      <w:pPr>
        <w:pStyle w:val="FootnoteText"/>
        <w:spacing w:after="0" w:line="240" w:lineRule="auto"/>
        <w:ind w:left="567" w:hanging="283"/>
        <w:rPr>
          <w:sz w:val="18"/>
          <w:szCs w:val="18"/>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 xml:space="preserve">Zakon o zabrani diskriminacije, </w:t>
      </w:r>
      <w:r w:rsidRPr="00FB4F72">
        <w:rPr>
          <w:rFonts w:eastAsia="Gill Sans MT" w:cs="Gill Sans MT"/>
          <w:i/>
          <w:iCs/>
          <w:sz w:val="18"/>
          <w:szCs w:val="18"/>
        </w:rPr>
        <w:t>Official Gazette of the Republic of Serbia</w:t>
      </w:r>
      <w:r w:rsidRPr="00FB4F72">
        <w:rPr>
          <w:rFonts w:eastAsia="Gill Sans MT" w:cs="Gill Sans MT"/>
          <w:sz w:val="18"/>
          <w:szCs w:val="18"/>
        </w:rPr>
        <w:t>, nos. 22/2009 and 52/2021.</w:t>
      </w:r>
    </w:p>
  </w:footnote>
  <w:footnote w:id="35">
    <w:p w14:paraId="5B9E241C" w14:textId="0E5FC6F0"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lang w:val="en-US"/>
        </w:rPr>
        <w:t>Article 54, Asylum and Temporary Protection Act,</w:t>
      </w:r>
    </w:p>
  </w:footnote>
  <w:footnote w:id="36">
    <w:p w14:paraId="5CDC1EBD" w14:textId="0B5FAD0C" w:rsidR="00C33559" w:rsidRPr="00FB4F72" w:rsidRDefault="00C33559" w:rsidP="00C33559">
      <w:pPr>
        <w:pStyle w:val="FootnoteText"/>
        <w:spacing w:after="0" w:line="240" w:lineRule="auto"/>
        <w:ind w:left="567" w:hanging="283"/>
        <w:rPr>
          <w:sz w:val="18"/>
          <w:szCs w:val="18"/>
          <w:lang w:val="en-US"/>
        </w:rPr>
      </w:pPr>
      <w:r w:rsidRPr="00FB4F72">
        <w:rPr>
          <w:rStyle w:val="FootnoteReference"/>
          <w:rFonts w:eastAsia="Gill Sans MT" w:cs="Gill Sans MT"/>
          <w:sz w:val="18"/>
          <w:szCs w:val="18"/>
        </w:rPr>
        <w:footnoteRef/>
      </w:r>
      <w:r w:rsidRPr="00FB4F72">
        <w:rPr>
          <w:rFonts w:eastAsia="Gill Sans MT" w:cs="Gill Sans MT"/>
          <w:sz w:val="18"/>
          <w:szCs w:val="18"/>
        </w:rPr>
        <w:t xml:space="preserve"> </w:t>
      </w:r>
      <w:r w:rsidR="00FB4F72" w:rsidRPr="00FB4F72">
        <w:rPr>
          <w:rFonts w:eastAsia="Gill Sans MT" w:cs="Gill Sans MT"/>
          <w:sz w:val="18"/>
          <w:szCs w:val="18"/>
        </w:rPr>
        <w:tab/>
      </w:r>
      <w:r w:rsidRPr="00FB4F72">
        <w:rPr>
          <w:rFonts w:eastAsia="Gill Sans MT" w:cs="Gill Sans MT"/>
          <w:sz w:val="18"/>
          <w:szCs w:val="18"/>
        </w:rPr>
        <w:t>Pravilnik o zdravstvenim pregledima tražilaca azila prilikom prijema u Centar za azil ili drugi objekat za smeštaj tražilaca azila,</w:t>
      </w:r>
      <w:r w:rsidRPr="00FB4F72">
        <w:rPr>
          <w:rFonts w:eastAsia="Gill Sans MT" w:cs="Gill Sans MT"/>
          <w:sz w:val="18"/>
          <w:szCs w:val="18"/>
          <w:lang w:val="en-US"/>
        </w:rPr>
        <w:t xml:space="preserve"> </w:t>
      </w:r>
      <w:r w:rsidRPr="00FB4F72">
        <w:rPr>
          <w:rFonts w:eastAsia="Gill Sans MT" w:cs="Gill Sans MT"/>
          <w:i/>
          <w:iCs/>
          <w:sz w:val="18"/>
          <w:szCs w:val="18"/>
          <w:lang w:val="en-US"/>
        </w:rPr>
        <w:t>Official Gazette of the Republic of Serbia</w:t>
      </w:r>
      <w:r w:rsidRPr="00FB4F72">
        <w:rPr>
          <w:rFonts w:eastAsia="Gill Sans MT" w:cs="Gill Sans MT"/>
          <w:sz w:val="18"/>
          <w:szCs w:val="18"/>
          <w:lang w:val="en-US"/>
        </w:rPr>
        <w:t>, no. 57/2018, available in an unofficial translation in English at https://bit.ly/2Zo7upc.</w:t>
      </w:r>
    </w:p>
  </w:footnote>
  <w:footnote w:id="37">
    <w:p w14:paraId="0394126E" w14:textId="707E6040" w:rsidR="00C33559" w:rsidRPr="00FB4F72" w:rsidRDefault="00C33559" w:rsidP="00C33559">
      <w:pPr>
        <w:pStyle w:val="FootnoteText"/>
        <w:spacing w:after="0" w:line="240" w:lineRule="auto"/>
        <w:ind w:left="567" w:hanging="283"/>
        <w:rPr>
          <w:sz w:val="18"/>
          <w:szCs w:val="18"/>
          <w:lang w:val="sr-Latn-RS"/>
        </w:rPr>
      </w:pPr>
      <w:r w:rsidRPr="00FB4F72">
        <w:rPr>
          <w:rStyle w:val="FootnoteReference"/>
          <w:sz w:val="18"/>
          <w:szCs w:val="18"/>
        </w:rPr>
        <w:footnoteRef/>
      </w:r>
      <w:r w:rsidRPr="00FB4F72">
        <w:rPr>
          <w:sz w:val="18"/>
          <w:szCs w:val="18"/>
        </w:rPr>
        <w:t xml:space="preserve"> </w:t>
      </w:r>
      <w:r w:rsidR="00FB4F72" w:rsidRPr="00FB4F72">
        <w:rPr>
          <w:sz w:val="18"/>
          <w:szCs w:val="18"/>
        </w:rPr>
        <w:tab/>
      </w:r>
      <w:r w:rsidRPr="00FB4F72">
        <w:rPr>
          <w:sz w:val="18"/>
          <w:szCs w:val="18"/>
          <w:lang w:val="sr-Latn-RS"/>
        </w:rPr>
        <w:t>Video clip of the incident available on the following site: https://www.telegraf.rs/vesti/srbija/3282309-sta-se-desavalo-u-bogovadji-migranti-pretili-radnicima-da-ce-ih-ubiti-motkama-ako-ne-ljube-prostirku.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33E27" w14:textId="77777777" w:rsidR="00FB4F72" w:rsidRDefault="00FB4F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2A2D4" w14:textId="77777777" w:rsidR="00FB4F72" w:rsidRDefault="00FB4F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0292E" w14:textId="77777777" w:rsidR="00E13BEF" w:rsidRDefault="00E13BEF">
    <w:pPr>
      <w:pStyle w:val="Header"/>
    </w:pPr>
  </w:p>
  <w:p w14:paraId="5550B762" w14:textId="77777777" w:rsidR="00BD6EC8" w:rsidRDefault="00BD6EC8">
    <w:pPr>
      <w:pStyle w:val="Header"/>
    </w:pPr>
  </w:p>
  <w:p w14:paraId="3F838E5E" w14:textId="77777777" w:rsidR="00BD6EC8" w:rsidRDefault="00BD6EC8">
    <w:pPr>
      <w:pStyle w:val="Header"/>
    </w:pPr>
  </w:p>
  <w:p w14:paraId="68A89037" w14:textId="13B5C642" w:rsidR="00E13BEF" w:rsidRDefault="00E13BEF">
    <w:pPr>
      <w:pStyle w:val="Header"/>
    </w:pPr>
    <w:r>
      <w:rPr>
        <w:noProof/>
        <w:lang w:eastAsia="en-GB"/>
      </w:rPr>
      <w:drawing>
        <wp:anchor distT="0" distB="0" distL="114300" distR="114300" simplePos="0" relativeHeight="251655168" behindDoc="1" locked="1" layoutInCell="1" allowOverlap="1" wp14:anchorId="5BDCD5DE" wp14:editId="7B017BC7">
          <wp:simplePos x="0" y="0"/>
          <wp:positionH relativeFrom="page">
            <wp:posOffset>4533900</wp:posOffset>
          </wp:positionH>
          <wp:positionV relativeFrom="topMargin">
            <wp:posOffset>414655</wp:posOffset>
          </wp:positionV>
          <wp:extent cx="2513330" cy="52197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13330" cy="5219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intelligence.xml><?xml version="1.0" encoding="utf-8"?>
<int:Intelligence xmlns:int="http://schemas.microsoft.com/office/intelligence/2019/intelligence">
  <int:IntelligenceSettings/>
  <int:Manifest>
    <int:WordHash hashCode="gD0NHrr6BQHmXZ" id="85vB0NBY"/>
    <int:WordHash hashCode="Ee9SH3CFQQejKK" id="MmHOV5bQ"/>
    <int:WordHash hashCode="MuCH8Jm+EhwSES" id="YZb5WF7G"/>
    <int:WordHash hashCode="xpFTaHeR+1LBLO" id="g3noqthJ"/>
  </int:Manifest>
  <int:Observations>
    <int:Content id="85vB0NBY">
      <int:Rejection type="AugLoop_Text_Critique"/>
    </int:Content>
    <int:Content id="MmHOV5bQ">
      <int:Rejection type="AugLoop_Text_Critique"/>
    </int:Content>
    <int:Content id="YZb5WF7G">
      <int:Rejection type="AugLoop_Text_Critique"/>
    </int:Content>
    <int:Content id="g3noqthJ">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E98A0456"/>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2E503F3A"/>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1590A9F4"/>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890E7B52"/>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06C2436"/>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A64EF48"/>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62AE20DE"/>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2412296A"/>
    <w:lvl w:ilvl="0">
      <w:start w:val="1"/>
      <w:numFmt w:val="decimal"/>
      <w:pStyle w:val="ListNumber"/>
      <w:lvlText w:val="%1."/>
      <w:lvlJc w:val="left"/>
      <w:pPr>
        <w:ind w:left="360" w:hanging="360"/>
      </w:pPr>
      <w:rPr>
        <w:rFonts w:hint="default"/>
        <w:color w:val="DA291C" w:themeColor="background2"/>
      </w:rPr>
    </w:lvl>
  </w:abstractNum>
  <w:abstractNum w:abstractNumId="8" w15:restartNumberingAfterBreak="0">
    <w:nsid w:val="FFFFFF89"/>
    <w:multiLevelType w:val="singleLevel"/>
    <w:tmpl w:val="7EBA4946"/>
    <w:lvl w:ilvl="0">
      <w:start w:val="1"/>
      <w:numFmt w:val="bullet"/>
      <w:pStyle w:val="ListBullet"/>
      <w:lvlText w:val=""/>
      <w:lvlJc w:val="left"/>
      <w:pPr>
        <w:ind w:left="360" w:hanging="360"/>
      </w:pPr>
      <w:rPr>
        <w:rFonts w:ascii="Symbol" w:hAnsi="Symbol" w:hint="default"/>
        <w:color w:val="DA291C" w:themeColor="background2"/>
      </w:rPr>
    </w:lvl>
  </w:abstractNum>
  <w:abstractNum w:abstractNumId="9" w15:restartNumberingAfterBreak="0">
    <w:nsid w:val="01456343"/>
    <w:multiLevelType w:val="hybridMultilevel"/>
    <w:tmpl w:val="E4D42FF4"/>
    <w:lvl w:ilvl="0" w:tplc="12186310">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D568A4"/>
    <w:multiLevelType w:val="hybridMultilevel"/>
    <w:tmpl w:val="A7D40EB6"/>
    <w:lvl w:ilvl="0" w:tplc="AB56B34A">
      <w:start w:val="4"/>
      <w:numFmt w:val="decimal"/>
      <w:lvlText w:val="%1."/>
      <w:lvlJc w:val="left"/>
      <w:pPr>
        <w:ind w:left="720" w:hanging="360"/>
      </w:pPr>
      <w:rPr>
        <w:rFonts w:ascii="Gill Sans Infant Std" w:hAnsi="Gill Sans Infant Std"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B49232A"/>
    <w:multiLevelType w:val="hybridMultilevel"/>
    <w:tmpl w:val="521EDC68"/>
    <w:lvl w:ilvl="0" w:tplc="1EE24A6E">
      <w:start w:val="1"/>
      <w:numFmt w:val="decimal"/>
      <w:lvlText w:val="%1."/>
      <w:lvlJc w:val="left"/>
      <w:pPr>
        <w:ind w:left="720" w:hanging="360"/>
      </w:pPr>
    </w:lvl>
    <w:lvl w:ilvl="1" w:tplc="C6C06E50">
      <w:start w:val="1"/>
      <w:numFmt w:val="lowerLetter"/>
      <w:lvlText w:val="%2."/>
      <w:lvlJc w:val="left"/>
      <w:pPr>
        <w:ind w:left="1440" w:hanging="360"/>
      </w:pPr>
    </w:lvl>
    <w:lvl w:ilvl="2" w:tplc="4F8E6A1E">
      <w:start w:val="1"/>
      <w:numFmt w:val="lowerRoman"/>
      <w:lvlText w:val="%3."/>
      <w:lvlJc w:val="right"/>
      <w:pPr>
        <w:ind w:left="2160" w:hanging="180"/>
      </w:pPr>
    </w:lvl>
    <w:lvl w:ilvl="3" w:tplc="693EDAA2">
      <w:start w:val="1"/>
      <w:numFmt w:val="decimal"/>
      <w:lvlText w:val="%4."/>
      <w:lvlJc w:val="left"/>
      <w:pPr>
        <w:ind w:left="2880" w:hanging="360"/>
      </w:pPr>
    </w:lvl>
    <w:lvl w:ilvl="4" w:tplc="08AC085C">
      <w:start w:val="1"/>
      <w:numFmt w:val="lowerLetter"/>
      <w:lvlText w:val="%5."/>
      <w:lvlJc w:val="left"/>
      <w:pPr>
        <w:ind w:left="3600" w:hanging="360"/>
      </w:pPr>
    </w:lvl>
    <w:lvl w:ilvl="5" w:tplc="28F46666">
      <w:start w:val="1"/>
      <w:numFmt w:val="lowerRoman"/>
      <w:lvlText w:val="%6."/>
      <w:lvlJc w:val="right"/>
      <w:pPr>
        <w:ind w:left="4320" w:hanging="180"/>
      </w:pPr>
    </w:lvl>
    <w:lvl w:ilvl="6" w:tplc="D9789342">
      <w:start w:val="1"/>
      <w:numFmt w:val="decimal"/>
      <w:lvlText w:val="%7."/>
      <w:lvlJc w:val="left"/>
      <w:pPr>
        <w:ind w:left="5040" w:hanging="360"/>
      </w:pPr>
    </w:lvl>
    <w:lvl w:ilvl="7" w:tplc="BEB824C4">
      <w:start w:val="1"/>
      <w:numFmt w:val="lowerLetter"/>
      <w:lvlText w:val="%8."/>
      <w:lvlJc w:val="left"/>
      <w:pPr>
        <w:ind w:left="5760" w:hanging="360"/>
      </w:pPr>
    </w:lvl>
    <w:lvl w:ilvl="8" w:tplc="FC16997C">
      <w:start w:val="1"/>
      <w:numFmt w:val="lowerRoman"/>
      <w:lvlText w:val="%9."/>
      <w:lvlJc w:val="right"/>
      <w:pPr>
        <w:ind w:left="6480" w:hanging="180"/>
      </w:pPr>
    </w:lvl>
  </w:abstractNum>
  <w:abstractNum w:abstractNumId="12" w15:restartNumberingAfterBreak="0">
    <w:nsid w:val="10BF28BA"/>
    <w:multiLevelType w:val="hybridMultilevel"/>
    <w:tmpl w:val="57D6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D81C53"/>
    <w:multiLevelType w:val="hybridMultilevel"/>
    <w:tmpl w:val="06F09304"/>
    <w:lvl w:ilvl="0" w:tplc="B05A2348">
      <w:start w:val="2016"/>
      <w:numFmt w:val="bullet"/>
      <w:lvlText w:val="-"/>
      <w:lvlJc w:val="left"/>
      <w:pPr>
        <w:ind w:left="720" w:hanging="360"/>
      </w:pPr>
      <w:rPr>
        <w:rFonts w:ascii="Gill Sans Infant Std" w:eastAsia="Times New Roman" w:hAnsi="Gill Sans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47F9B"/>
    <w:multiLevelType w:val="hybridMultilevel"/>
    <w:tmpl w:val="3F003E5E"/>
    <w:lvl w:ilvl="0" w:tplc="1C5A1DF4">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2753EE"/>
    <w:multiLevelType w:val="hybridMultilevel"/>
    <w:tmpl w:val="F05EF1AA"/>
    <w:lvl w:ilvl="0" w:tplc="7E82CE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F70069"/>
    <w:multiLevelType w:val="hybridMultilevel"/>
    <w:tmpl w:val="CCBA9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25CF3FB8"/>
    <w:multiLevelType w:val="hybridMultilevel"/>
    <w:tmpl w:val="F87EA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AE2826"/>
    <w:multiLevelType w:val="multilevel"/>
    <w:tmpl w:val="EAB0EB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7D232F"/>
    <w:multiLevelType w:val="hybridMultilevel"/>
    <w:tmpl w:val="11B4A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742A65"/>
    <w:multiLevelType w:val="hybridMultilevel"/>
    <w:tmpl w:val="FA8436E0"/>
    <w:lvl w:ilvl="0" w:tplc="1B7CAD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9A324D"/>
    <w:multiLevelType w:val="hybridMultilevel"/>
    <w:tmpl w:val="8254326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B323E7"/>
    <w:multiLevelType w:val="hybridMultilevel"/>
    <w:tmpl w:val="268C51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5C458D"/>
    <w:multiLevelType w:val="hybridMultilevel"/>
    <w:tmpl w:val="ED1E1D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0A40884"/>
    <w:multiLevelType w:val="hybridMultilevel"/>
    <w:tmpl w:val="1B20F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8D69DC"/>
    <w:multiLevelType w:val="hybridMultilevel"/>
    <w:tmpl w:val="320C4CD2"/>
    <w:lvl w:ilvl="0" w:tplc="67B0529A">
      <w:numFmt w:val="bullet"/>
      <w:lvlText w:val="-"/>
      <w:lvlJc w:val="left"/>
      <w:pPr>
        <w:ind w:left="720" w:hanging="360"/>
      </w:pPr>
      <w:rPr>
        <w:rFonts w:ascii="Gill Sans Infant Std" w:eastAsia="Times New Roman" w:hAnsi="Gill Sans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122C1"/>
    <w:multiLevelType w:val="hybridMultilevel"/>
    <w:tmpl w:val="23446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F6247A"/>
    <w:multiLevelType w:val="hybridMultilevel"/>
    <w:tmpl w:val="5A6A2FB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E96ED7"/>
    <w:multiLevelType w:val="hybridMultilevel"/>
    <w:tmpl w:val="070A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424A82"/>
    <w:multiLevelType w:val="hybridMultilevel"/>
    <w:tmpl w:val="20A23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432CFA"/>
    <w:multiLevelType w:val="hybridMultilevel"/>
    <w:tmpl w:val="08B0C6F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36FDC"/>
    <w:multiLevelType w:val="hybridMultilevel"/>
    <w:tmpl w:val="2FC897DE"/>
    <w:lvl w:ilvl="0" w:tplc="B06A610E">
      <w:start w:val="1"/>
      <w:numFmt w:val="decimal"/>
      <w:lvlText w:val="%1."/>
      <w:lvlJc w:val="left"/>
      <w:pPr>
        <w:ind w:left="720" w:hanging="360"/>
      </w:pPr>
    </w:lvl>
    <w:lvl w:ilvl="1" w:tplc="B81C83EA">
      <w:start w:val="1"/>
      <w:numFmt w:val="lowerLetter"/>
      <w:lvlText w:val="%2."/>
      <w:lvlJc w:val="left"/>
      <w:pPr>
        <w:ind w:left="1440" w:hanging="360"/>
      </w:pPr>
    </w:lvl>
    <w:lvl w:ilvl="2" w:tplc="4B16E6FA">
      <w:start w:val="1"/>
      <w:numFmt w:val="lowerRoman"/>
      <w:lvlText w:val="%3."/>
      <w:lvlJc w:val="right"/>
      <w:pPr>
        <w:ind w:left="2160" w:hanging="180"/>
      </w:pPr>
    </w:lvl>
    <w:lvl w:ilvl="3" w:tplc="AC3886AA">
      <w:start w:val="1"/>
      <w:numFmt w:val="decimal"/>
      <w:lvlText w:val="%4."/>
      <w:lvlJc w:val="left"/>
      <w:pPr>
        <w:ind w:left="2880" w:hanging="360"/>
      </w:pPr>
    </w:lvl>
    <w:lvl w:ilvl="4" w:tplc="B0A8A3F4">
      <w:start w:val="1"/>
      <w:numFmt w:val="lowerLetter"/>
      <w:lvlText w:val="%5."/>
      <w:lvlJc w:val="left"/>
      <w:pPr>
        <w:ind w:left="3600" w:hanging="360"/>
      </w:pPr>
    </w:lvl>
    <w:lvl w:ilvl="5" w:tplc="3CC01666">
      <w:start w:val="1"/>
      <w:numFmt w:val="lowerRoman"/>
      <w:lvlText w:val="%6."/>
      <w:lvlJc w:val="right"/>
      <w:pPr>
        <w:ind w:left="4320" w:hanging="180"/>
      </w:pPr>
    </w:lvl>
    <w:lvl w:ilvl="6" w:tplc="A8C65B2A">
      <w:start w:val="1"/>
      <w:numFmt w:val="decimal"/>
      <w:lvlText w:val="%7."/>
      <w:lvlJc w:val="left"/>
      <w:pPr>
        <w:ind w:left="5040" w:hanging="360"/>
      </w:pPr>
    </w:lvl>
    <w:lvl w:ilvl="7" w:tplc="B3B83D96">
      <w:start w:val="1"/>
      <w:numFmt w:val="lowerLetter"/>
      <w:lvlText w:val="%8."/>
      <w:lvlJc w:val="left"/>
      <w:pPr>
        <w:ind w:left="5760" w:hanging="360"/>
      </w:pPr>
    </w:lvl>
    <w:lvl w:ilvl="8" w:tplc="0CBCD8CA">
      <w:start w:val="1"/>
      <w:numFmt w:val="lowerRoman"/>
      <w:lvlText w:val="%9."/>
      <w:lvlJc w:val="right"/>
      <w:pPr>
        <w:ind w:left="6480" w:hanging="180"/>
      </w:pPr>
    </w:lvl>
  </w:abstractNum>
  <w:abstractNum w:abstractNumId="32" w15:restartNumberingAfterBreak="0">
    <w:nsid w:val="59876158"/>
    <w:multiLevelType w:val="hybridMultilevel"/>
    <w:tmpl w:val="55D42C48"/>
    <w:lvl w:ilvl="0" w:tplc="0EEE0086">
      <w:start w:val="1"/>
      <w:numFmt w:val="decimal"/>
      <w:lvlText w:val="%1."/>
      <w:lvlJc w:val="left"/>
      <w:pPr>
        <w:ind w:left="720" w:hanging="360"/>
      </w:pPr>
    </w:lvl>
    <w:lvl w:ilvl="1" w:tplc="8514C262">
      <w:start w:val="1"/>
      <w:numFmt w:val="lowerLetter"/>
      <w:lvlText w:val="%2."/>
      <w:lvlJc w:val="left"/>
      <w:pPr>
        <w:ind w:left="1440" w:hanging="360"/>
      </w:pPr>
    </w:lvl>
    <w:lvl w:ilvl="2" w:tplc="B6D23E90">
      <w:start w:val="1"/>
      <w:numFmt w:val="lowerRoman"/>
      <w:lvlText w:val="%3."/>
      <w:lvlJc w:val="right"/>
      <w:pPr>
        <w:ind w:left="2160" w:hanging="180"/>
      </w:pPr>
    </w:lvl>
    <w:lvl w:ilvl="3" w:tplc="7486A6C6">
      <w:start w:val="1"/>
      <w:numFmt w:val="decimal"/>
      <w:lvlText w:val="%4."/>
      <w:lvlJc w:val="left"/>
      <w:pPr>
        <w:ind w:left="2880" w:hanging="360"/>
      </w:pPr>
    </w:lvl>
    <w:lvl w:ilvl="4" w:tplc="A72833FE">
      <w:start w:val="1"/>
      <w:numFmt w:val="lowerLetter"/>
      <w:lvlText w:val="%5."/>
      <w:lvlJc w:val="left"/>
      <w:pPr>
        <w:ind w:left="3600" w:hanging="360"/>
      </w:pPr>
    </w:lvl>
    <w:lvl w:ilvl="5" w:tplc="DFAC4E82">
      <w:start w:val="1"/>
      <w:numFmt w:val="lowerRoman"/>
      <w:lvlText w:val="%6."/>
      <w:lvlJc w:val="right"/>
      <w:pPr>
        <w:ind w:left="4320" w:hanging="180"/>
      </w:pPr>
    </w:lvl>
    <w:lvl w:ilvl="6" w:tplc="4530CC46">
      <w:start w:val="1"/>
      <w:numFmt w:val="decimal"/>
      <w:lvlText w:val="%7."/>
      <w:lvlJc w:val="left"/>
      <w:pPr>
        <w:ind w:left="5040" w:hanging="360"/>
      </w:pPr>
    </w:lvl>
    <w:lvl w:ilvl="7" w:tplc="3320C488">
      <w:start w:val="1"/>
      <w:numFmt w:val="lowerLetter"/>
      <w:lvlText w:val="%8."/>
      <w:lvlJc w:val="left"/>
      <w:pPr>
        <w:ind w:left="5760" w:hanging="360"/>
      </w:pPr>
    </w:lvl>
    <w:lvl w:ilvl="8" w:tplc="1A768E04">
      <w:start w:val="1"/>
      <w:numFmt w:val="lowerRoman"/>
      <w:lvlText w:val="%9."/>
      <w:lvlJc w:val="right"/>
      <w:pPr>
        <w:ind w:left="6480" w:hanging="180"/>
      </w:pPr>
    </w:lvl>
  </w:abstractNum>
  <w:abstractNum w:abstractNumId="33" w15:restartNumberingAfterBreak="0">
    <w:nsid w:val="5C0452A9"/>
    <w:multiLevelType w:val="hybridMultilevel"/>
    <w:tmpl w:val="ADBC7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5D711E"/>
    <w:multiLevelType w:val="hybridMultilevel"/>
    <w:tmpl w:val="936C0052"/>
    <w:lvl w:ilvl="0" w:tplc="357C508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720252"/>
    <w:multiLevelType w:val="hybridMultilevel"/>
    <w:tmpl w:val="8348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8559B7"/>
    <w:multiLevelType w:val="hybridMultilevel"/>
    <w:tmpl w:val="12EE85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70208D8"/>
    <w:multiLevelType w:val="hybridMultilevel"/>
    <w:tmpl w:val="947E469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B51852"/>
    <w:multiLevelType w:val="hybridMultilevel"/>
    <w:tmpl w:val="5088E2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C734480"/>
    <w:multiLevelType w:val="hybridMultilevel"/>
    <w:tmpl w:val="2D92B460"/>
    <w:lvl w:ilvl="0" w:tplc="A836936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0AE1BBD"/>
    <w:multiLevelType w:val="hybridMultilevel"/>
    <w:tmpl w:val="0A46597C"/>
    <w:lvl w:ilvl="0" w:tplc="FF3EACEC">
      <w:start w:val="1"/>
      <w:numFmt w:val="bullet"/>
      <w:lvlText w:val=""/>
      <w:lvlJc w:val="left"/>
      <w:pPr>
        <w:ind w:left="360" w:hanging="360"/>
      </w:pPr>
      <w:rPr>
        <w:rFonts w:ascii="Wingdings" w:hAnsi="Wingdings"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41" w15:restartNumberingAfterBreak="0">
    <w:nsid w:val="714C4EFB"/>
    <w:multiLevelType w:val="hybridMultilevel"/>
    <w:tmpl w:val="72B4D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1A177CA"/>
    <w:multiLevelType w:val="hybridMultilevel"/>
    <w:tmpl w:val="986E4C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A7C51"/>
    <w:multiLevelType w:val="hybridMultilevel"/>
    <w:tmpl w:val="F806B0C4"/>
    <w:lvl w:ilvl="0" w:tplc="08090001">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44" w15:restartNumberingAfterBreak="0">
    <w:nsid w:val="7CFB0276"/>
    <w:multiLevelType w:val="hybridMultilevel"/>
    <w:tmpl w:val="22B4A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C54F49"/>
    <w:multiLevelType w:val="hybridMultilevel"/>
    <w:tmpl w:val="C6DECEA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1"/>
  </w:num>
  <w:num w:numId="2">
    <w:abstractNumId w:val="32"/>
  </w:num>
  <w:num w:numId="3">
    <w:abstractNumId w:val="31"/>
  </w:num>
  <w:num w:numId="4">
    <w:abstractNumId w:val="8"/>
  </w:num>
  <w:num w:numId="5">
    <w:abstractNumId w:val="6"/>
  </w:num>
  <w:num w:numId="6">
    <w:abstractNumId w:val="5"/>
  </w:num>
  <w:num w:numId="7">
    <w:abstractNumId w:val="4"/>
  </w:num>
  <w:num w:numId="8">
    <w:abstractNumId w:val="3"/>
  </w:num>
  <w:num w:numId="9">
    <w:abstractNumId w:val="7"/>
  </w:num>
  <w:num w:numId="10">
    <w:abstractNumId w:val="2"/>
  </w:num>
  <w:num w:numId="11">
    <w:abstractNumId w:val="1"/>
  </w:num>
  <w:num w:numId="12">
    <w:abstractNumId w:val="0"/>
  </w:num>
  <w:num w:numId="13">
    <w:abstractNumId w:val="9"/>
  </w:num>
  <w:num w:numId="14">
    <w:abstractNumId w:val="40"/>
  </w:num>
  <w:num w:numId="15">
    <w:abstractNumId w:val="38"/>
  </w:num>
  <w:num w:numId="16">
    <w:abstractNumId w:val="16"/>
  </w:num>
  <w:num w:numId="17">
    <w:abstractNumId w:val="23"/>
  </w:num>
  <w:num w:numId="18">
    <w:abstractNumId w:val="26"/>
  </w:num>
  <w:num w:numId="19">
    <w:abstractNumId w:val="43"/>
  </w:num>
  <w:num w:numId="20">
    <w:abstractNumId w:val="41"/>
  </w:num>
  <w:num w:numId="21">
    <w:abstractNumId w:val="15"/>
  </w:num>
  <w:num w:numId="22">
    <w:abstractNumId w:val="13"/>
  </w:num>
  <w:num w:numId="23">
    <w:abstractNumId w:val="17"/>
  </w:num>
  <w:num w:numId="24">
    <w:abstractNumId w:val="29"/>
  </w:num>
  <w:num w:numId="25">
    <w:abstractNumId w:val="35"/>
  </w:num>
  <w:num w:numId="26">
    <w:abstractNumId w:val="28"/>
  </w:num>
  <w:num w:numId="27">
    <w:abstractNumId w:val="33"/>
  </w:num>
  <w:num w:numId="28">
    <w:abstractNumId w:val="20"/>
  </w:num>
  <w:num w:numId="29">
    <w:abstractNumId w:val="25"/>
  </w:num>
  <w:num w:numId="30">
    <w:abstractNumId w:val="27"/>
  </w:num>
  <w:num w:numId="31">
    <w:abstractNumId w:val="24"/>
  </w:num>
  <w:num w:numId="32">
    <w:abstractNumId w:val="12"/>
  </w:num>
  <w:num w:numId="33">
    <w:abstractNumId w:val="14"/>
  </w:num>
  <w:num w:numId="34">
    <w:abstractNumId w:val="22"/>
  </w:num>
  <w:num w:numId="35">
    <w:abstractNumId w:val="42"/>
  </w:num>
  <w:num w:numId="36">
    <w:abstractNumId w:val="18"/>
  </w:num>
  <w:num w:numId="37">
    <w:abstractNumId w:val="36"/>
  </w:num>
  <w:num w:numId="38">
    <w:abstractNumId w:val="39"/>
  </w:num>
  <w:num w:numId="39">
    <w:abstractNumId w:val="10"/>
  </w:num>
  <w:num w:numId="40">
    <w:abstractNumId w:val="37"/>
  </w:num>
  <w:num w:numId="41">
    <w:abstractNumId w:val="34"/>
  </w:num>
  <w:num w:numId="42">
    <w:abstractNumId w:val="21"/>
  </w:num>
  <w:num w:numId="4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44"/>
  </w:num>
  <w:num w:numId="46">
    <w:abstractNumId w:val="19"/>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Q0MbM0MTU0MjEwtzBU0lEKTi0uzszPAymwrAUAP4yhvCwAAAA="/>
  </w:docVars>
  <w:rsids>
    <w:rsidRoot w:val="0011763E"/>
    <w:rsid w:val="0000203D"/>
    <w:rsid w:val="000023BD"/>
    <w:rsid w:val="0000248D"/>
    <w:rsid w:val="000126CC"/>
    <w:rsid w:val="00013216"/>
    <w:rsid w:val="000147E6"/>
    <w:rsid w:val="0003121C"/>
    <w:rsid w:val="000313A6"/>
    <w:rsid w:val="0003283B"/>
    <w:rsid w:val="000328CC"/>
    <w:rsid w:val="0003473A"/>
    <w:rsid w:val="00036DC7"/>
    <w:rsid w:val="00037639"/>
    <w:rsid w:val="00041097"/>
    <w:rsid w:val="000461E5"/>
    <w:rsid w:val="00054898"/>
    <w:rsid w:val="00054B33"/>
    <w:rsid w:val="00057431"/>
    <w:rsid w:val="00057984"/>
    <w:rsid w:val="00061A61"/>
    <w:rsid w:val="00067073"/>
    <w:rsid w:val="000693BA"/>
    <w:rsid w:val="00070F76"/>
    <w:rsid w:val="00071CB6"/>
    <w:rsid w:val="000728E0"/>
    <w:rsid w:val="0007538E"/>
    <w:rsid w:val="00075494"/>
    <w:rsid w:val="000827DD"/>
    <w:rsid w:val="0009423F"/>
    <w:rsid w:val="0009469A"/>
    <w:rsid w:val="000A72D2"/>
    <w:rsid w:val="000B05C7"/>
    <w:rsid w:val="000B2838"/>
    <w:rsid w:val="000B4C3D"/>
    <w:rsid w:val="000B5582"/>
    <w:rsid w:val="000B5C6E"/>
    <w:rsid w:val="000B71CE"/>
    <w:rsid w:val="000B7D15"/>
    <w:rsid w:val="000C199F"/>
    <w:rsid w:val="000D01FC"/>
    <w:rsid w:val="000D0526"/>
    <w:rsid w:val="000D486D"/>
    <w:rsid w:val="000D56EC"/>
    <w:rsid w:val="000D66A1"/>
    <w:rsid w:val="000E0C73"/>
    <w:rsid w:val="000E4467"/>
    <w:rsid w:val="000F0FB4"/>
    <w:rsid w:val="000F4C24"/>
    <w:rsid w:val="00100BD0"/>
    <w:rsid w:val="00103916"/>
    <w:rsid w:val="00104582"/>
    <w:rsid w:val="001052AB"/>
    <w:rsid w:val="00105803"/>
    <w:rsid w:val="00110789"/>
    <w:rsid w:val="00110D6A"/>
    <w:rsid w:val="00110EAB"/>
    <w:rsid w:val="001175B8"/>
    <w:rsid w:val="0011763E"/>
    <w:rsid w:val="00117C5C"/>
    <w:rsid w:val="00120B20"/>
    <w:rsid w:val="001249D8"/>
    <w:rsid w:val="001312C6"/>
    <w:rsid w:val="00136850"/>
    <w:rsid w:val="0013753A"/>
    <w:rsid w:val="0014215F"/>
    <w:rsid w:val="00145138"/>
    <w:rsid w:val="00146418"/>
    <w:rsid w:val="00146EB6"/>
    <w:rsid w:val="00153912"/>
    <w:rsid w:val="00155AE6"/>
    <w:rsid w:val="00155E10"/>
    <w:rsid w:val="00160AC2"/>
    <w:rsid w:val="001620ED"/>
    <w:rsid w:val="001631F7"/>
    <w:rsid w:val="00164946"/>
    <w:rsid w:val="00171ABB"/>
    <w:rsid w:val="00173768"/>
    <w:rsid w:val="00177655"/>
    <w:rsid w:val="00180E53"/>
    <w:rsid w:val="00182616"/>
    <w:rsid w:val="001826A3"/>
    <w:rsid w:val="001870F2"/>
    <w:rsid w:val="0019137E"/>
    <w:rsid w:val="00195751"/>
    <w:rsid w:val="001A4974"/>
    <w:rsid w:val="001A5C7D"/>
    <w:rsid w:val="001A659F"/>
    <w:rsid w:val="001B0AB8"/>
    <w:rsid w:val="001B6EDD"/>
    <w:rsid w:val="001B7FAD"/>
    <w:rsid w:val="001C6756"/>
    <w:rsid w:val="001C6E17"/>
    <w:rsid w:val="001C736A"/>
    <w:rsid w:val="001C781A"/>
    <w:rsid w:val="001C7BF0"/>
    <w:rsid w:val="001D05AB"/>
    <w:rsid w:val="001D1D5F"/>
    <w:rsid w:val="001D4F9B"/>
    <w:rsid w:val="001E0528"/>
    <w:rsid w:val="001E073A"/>
    <w:rsid w:val="001E2A81"/>
    <w:rsid w:val="001E2B7B"/>
    <w:rsid w:val="001E2CB4"/>
    <w:rsid w:val="001E4AC7"/>
    <w:rsid w:val="001E4C89"/>
    <w:rsid w:val="001F0906"/>
    <w:rsid w:val="001F0EEA"/>
    <w:rsid w:val="001F177A"/>
    <w:rsid w:val="002036C7"/>
    <w:rsid w:val="002074A2"/>
    <w:rsid w:val="00210F04"/>
    <w:rsid w:val="00216815"/>
    <w:rsid w:val="002205F6"/>
    <w:rsid w:val="002244CB"/>
    <w:rsid w:val="00231096"/>
    <w:rsid w:val="002338A0"/>
    <w:rsid w:val="00237864"/>
    <w:rsid w:val="00244130"/>
    <w:rsid w:val="00247291"/>
    <w:rsid w:val="00247B18"/>
    <w:rsid w:val="002504F7"/>
    <w:rsid w:val="00251756"/>
    <w:rsid w:val="00252FB9"/>
    <w:rsid w:val="002538D1"/>
    <w:rsid w:val="0025513C"/>
    <w:rsid w:val="00255809"/>
    <w:rsid w:val="0026125E"/>
    <w:rsid w:val="0027053D"/>
    <w:rsid w:val="00270EA5"/>
    <w:rsid w:val="002862E7"/>
    <w:rsid w:val="002875F7"/>
    <w:rsid w:val="00290F25"/>
    <w:rsid w:val="00291299"/>
    <w:rsid w:val="002944BD"/>
    <w:rsid w:val="0029469A"/>
    <w:rsid w:val="00295983"/>
    <w:rsid w:val="002970DA"/>
    <w:rsid w:val="0029799C"/>
    <w:rsid w:val="002A021E"/>
    <w:rsid w:val="002A5ED5"/>
    <w:rsid w:val="002A692A"/>
    <w:rsid w:val="002B0303"/>
    <w:rsid w:val="002B43A4"/>
    <w:rsid w:val="002B4DA2"/>
    <w:rsid w:val="002B4E9D"/>
    <w:rsid w:val="002C08E5"/>
    <w:rsid w:val="002C0E6E"/>
    <w:rsid w:val="002C43A2"/>
    <w:rsid w:val="002C5330"/>
    <w:rsid w:val="002C54BA"/>
    <w:rsid w:val="002C7D5B"/>
    <w:rsid w:val="002D0498"/>
    <w:rsid w:val="002D0ACC"/>
    <w:rsid w:val="002D29FD"/>
    <w:rsid w:val="002D3D54"/>
    <w:rsid w:val="002D43EA"/>
    <w:rsid w:val="002D482A"/>
    <w:rsid w:val="002D78B4"/>
    <w:rsid w:val="002E07AB"/>
    <w:rsid w:val="002E4D1D"/>
    <w:rsid w:val="002E55B7"/>
    <w:rsid w:val="002E60C3"/>
    <w:rsid w:val="002F02F3"/>
    <w:rsid w:val="002F278E"/>
    <w:rsid w:val="002F3E49"/>
    <w:rsid w:val="00300EC5"/>
    <w:rsid w:val="00304378"/>
    <w:rsid w:val="00305A54"/>
    <w:rsid w:val="003101FA"/>
    <w:rsid w:val="0032169C"/>
    <w:rsid w:val="00321F8F"/>
    <w:rsid w:val="003240E5"/>
    <w:rsid w:val="003357A1"/>
    <w:rsid w:val="00352BE7"/>
    <w:rsid w:val="00353400"/>
    <w:rsid w:val="003805F4"/>
    <w:rsid w:val="003814FB"/>
    <w:rsid w:val="00387ADC"/>
    <w:rsid w:val="00394E4A"/>
    <w:rsid w:val="00396136"/>
    <w:rsid w:val="003962D7"/>
    <w:rsid w:val="00397338"/>
    <w:rsid w:val="003A1184"/>
    <w:rsid w:val="003B3B84"/>
    <w:rsid w:val="003B667D"/>
    <w:rsid w:val="003C03FD"/>
    <w:rsid w:val="003C14B6"/>
    <w:rsid w:val="003C27EA"/>
    <w:rsid w:val="003C38D3"/>
    <w:rsid w:val="003C4C15"/>
    <w:rsid w:val="003C4CD6"/>
    <w:rsid w:val="003C5B26"/>
    <w:rsid w:val="003D4DC7"/>
    <w:rsid w:val="003D56AE"/>
    <w:rsid w:val="003E0307"/>
    <w:rsid w:val="003E3A7D"/>
    <w:rsid w:val="003E3DAF"/>
    <w:rsid w:val="003E3DBC"/>
    <w:rsid w:val="003E5BF8"/>
    <w:rsid w:val="003E6FB8"/>
    <w:rsid w:val="003E7AF0"/>
    <w:rsid w:val="003E7D14"/>
    <w:rsid w:val="003F45B9"/>
    <w:rsid w:val="003F6880"/>
    <w:rsid w:val="003F6DDD"/>
    <w:rsid w:val="0040206B"/>
    <w:rsid w:val="00403B85"/>
    <w:rsid w:val="004106A5"/>
    <w:rsid w:val="00413439"/>
    <w:rsid w:val="00413EE8"/>
    <w:rsid w:val="00416454"/>
    <w:rsid w:val="004170DF"/>
    <w:rsid w:val="0041780F"/>
    <w:rsid w:val="004235B8"/>
    <w:rsid w:val="00435192"/>
    <w:rsid w:val="00437567"/>
    <w:rsid w:val="00444A9C"/>
    <w:rsid w:val="00445CD8"/>
    <w:rsid w:val="00447001"/>
    <w:rsid w:val="004501D7"/>
    <w:rsid w:val="00450293"/>
    <w:rsid w:val="004517CD"/>
    <w:rsid w:val="00451F4D"/>
    <w:rsid w:val="004551F9"/>
    <w:rsid w:val="0045793B"/>
    <w:rsid w:val="004613B3"/>
    <w:rsid w:val="00461DD3"/>
    <w:rsid w:val="00463D94"/>
    <w:rsid w:val="004645B9"/>
    <w:rsid w:val="00466CA4"/>
    <w:rsid w:val="00472212"/>
    <w:rsid w:val="00481203"/>
    <w:rsid w:val="00481680"/>
    <w:rsid w:val="00481CBC"/>
    <w:rsid w:val="00482317"/>
    <w:rsid w:val="004826DC"/>
    <w:rsid w:val="00484D2B"/>
    <w:rsid w:val="004850E7"/>
    <w:rsid w:val="00486285"/>
    <w:rsid w:val="00491A27"/>
    <w:rsid w:val="004955E8"/>
    <w:rsid w:val="00497F7E"/>
    <w:rsid w:val="004A1F10"/>
    <w:rsid w:val="004A30A2"/>
    <w:rsid w:val="004A4EC9"/>
    <w:rsid w:val="004A505A"/>
    <w:rsid w:val="004C556F"/>
    <w:rsid w:val="004D1029"/>
    <w:rsid w:val="004D24B5"/>
    <w:rsid w:val="004D57A5"/>
    <w:rsid w:val="004E77C9"/>
    <w:rsid w:val="004F07D6"/>
    <w:rsid w:val="004F1820"/>
    <w:rsid w:val="004F4448"/>
    <w:rsid w:val="004F4678"/>
    <w:rsid w:val="0050333F"/>
    <w:rsid w:val="005047B0"/>
    <w:rsid w:val="00506E82"/>
    <w:rsid w:val="005330FA"/>
    <w:rsid w:val="00533FFB"/>
    <w:rsid w:val="005345E0"/>
    <w:rsid w:val="005423CF"/>
    <w:rsid w:val="00543593"/>
    <w:rsid w:val="00551AB7"/>
    <w:rsid w:val="0055703C"/>
    <w:rsid w:val="0056020B"/>
    <w:rsid w:val="005647F4"/>
    <w:rsid w:val="0056600B"/>
    <w:rsid w:val="005705B4"/>
    <w:rsid w:val="005731D5"/>
    <w:rsid w:val="0057394D"/>
    <w:rsid w:val="005751A8"/>
    <w:rsid w:val="0057617F"/>
    <w:rsid w:val="005827EA"/>
    <w:rsid w:val="00590A81"/>
    <w:rsid w:val="00590EB5"/>
    <w:rsid w:val="00591C5C"/>
    <w:rsid w:val="00591EFB"/>
    <w:rsid w:val="0059552A"/>
    <w:rsid w:val="005A17A6"/>
    <w:rsid w:val="005B0BEE"/>
    <w:rsid w:val="005B21EB"/>
    <w:rsid w:val="005B3147"/>
    <w:rsid w:val="005B40C7"/>
    <w:rsid w:val="005B5E37"/>
    <w:rsid w:val="005B5F50"/>
    <w:rsid w:val="005B70CF"/>
    <w:rsid w:val="005C14DB"/>
    <w:rsid w:val="005C501B"/>
    <w:rsid w:val="005C5B16"/>
    <w:rsid w:val="005C6F49"/>
    <w:rsid w:val="005C7387"/>
    <w:rsid w:val="005D3E27"/>
    <w:rsid w:val="005D50F1"/>
    <w:rsid w:val="005E0583"/>
    <w:rsid w:val="005F17DF"/>
    <w:rsid w:val="005F225D"/>
    <w:rsid w:val="005F310C"/>
    <w:rsid w:val="00600519"/>
    <w:rsid w:val="006050D6"/>
    <w:rsid w:val="006051D8"/>
    <w:rsid w:val="00605A7E"/>
    <w:rsid w:val="006079AC"/>
    <w:rsid w:val="00607EEF"/>
    <w:rsid w:val="006213EC"/>
    <w:rsid w:val="0062646E"/>
    <w:rsid w:val="006276FE"/>
    <w:rsid w:val="006317EA"/>
    <w:rsid w:val="006333AA"/>
    <w:rsid w:val="0063448F"/>
    <w:rsid w:val="00641BE3"/>
    <w:rsid w:val="00642054"/>
    <w:rsid w:val="0064382A"/>
    <w:rsid w:val="00646EC5"/>
    <w:rsid w:val="00647B97"/>
    <w:rsid w:val="00650156"/>
    <w:rsid w:val="00651898"/>
    <w:rsid w:val="00655368"/>
    <w:rsid w:val="00656BB2"/>
    <w:rsid w:val="00657182"/>
    <w:rsid w:val="00660D28"/>
    <w:rsid w:val="00672B66"/>
    <w:rsid w:val="00691528"/>
    <w:rsid w:val="006928EB"/>
    <w:rsid w:val="0069356B"/>
    <w:rsid w:val="0069503D"/>
    <w:rsid w:val="00697FD1"/>
    <w:rsid w:val="006A55E4"/>
    <w:rsid w:val="006A6AC0"/>
    <w:rsid w:val="006B170E"/>
    <w:rsid w:val="006B78D0"/>
    <w:rsid w:val="006C26A3"/>
    <w:rsid w:val="006C33D8"/>
    <w:rsid w:val="006C5D1D"/>
    <w:rsid w:val="006C6C34"/>
    <w:rsid w:val="006C71A2"/>
    <w:rsid w:val="006D08BF"/>
    <w:rsid w:val="006F5599"/>
    <w:rsid w:val="006F7569"/>
    <w:rsid w:val="0070045F"/>
    <w:rsid w:val="00705237"/>
    <w:rsid w:val="00713730"/>
    <w:rsid w:val="00716900"/>
    <w:rsid w:val="00722D64"/>
    <w:rsid w:val="00727E13"/>
    <w:rsid w:val="00730D4A"/>
    <w:rsid w:val="00731548"/>
    <w:rsid w:val="00731BE6"/>
    <w:rsid w:val="00745684"/>
    <w:rsid w:val="00747929"/>
    <w:rsid w:val="00752779"/>
    <w:rsid w:val="00756F55"/>
    <w:rsid w:val="00761BD7"/>
    <w:rsid w:val="007666F1"/>
    <w:rsid w:val="0076691F"/>
    <w:rsid w:val="00776971"/>
    <w:rsid w:val="00784E59"/>
    <w:rsid w:val="00786A0C"/>
    <w:rsid w:val="00792D9D"/>
    <w:rsid w:val="007979F0"/>
    <w:rsid w:val="007B19FD"/>
    <w:rsid w:val="007C4FA0"/>
    <w:rsid w:val="007C6691"/>
    <w:rsid w:val="007D1220"/>
    <w:rsid w:val="007E13F2"/>
    <w:rsid w:val="007F0FE8"/>
    <w:rsid w:val="007F1F76"/>
    <w:rsid w:val="007F2862"/>
    <w:rsid w:val="007F315F"/>
    <w:rsid w:val="007F3448"/>
    <w:rsid w:val="007F4492"/>
    <w:rsid w:val="0080038B"/>
    <w:rsid w:val="008024D0"/>
    <w:rsid w:val="008059B2"/>
    <w:rsid w:val="00807090"/>
    <w:rsid w:val="00807146"/>
    <w:rsid w:val="008118F0"/>
    <w:rsid w:val="00820098"/>
    <w:rsid w:val="00820757"/>
    <w:rsid w:val="00822A98"/>
    <w:rsid w:val="00823066"/>
    <w:rsid w:val="00827448"/>
    <w:rsid w:val="008359DD"/>
    <w:rsid w:val="008405C4"/>
    <w:rsid w:val="008443C1"/>
    <w:rsid w:val="008468F3"/>
    <w:rsid w:val="0084696F"/>
    <w:rsid w:val="00854717"/>
    <w:rsid w:val="008567D3"/>
    <w:rsid w:val="00857A60"/>
    <w:rsid w:val="008636AF"/>
    <w:rsid w:val="00864F57"/>
    <w:rsid w:val="00876D78"/>
    <w:rsid w:val="0087756A"/>
    <w:rsid w:val="00877AC5"/>
    <w:rsid w:val="00882796"/>
    <w:rsid w:val="00884834"/>
    <w:rsid w:val="00887451"/>
    <w:rsid w:val="008901CA"/>
    <w:rsid w:val="0089053B"/>
    <w:rsid w:val="00890973"/>
    <w:rsid w:val="00892C09"/>
    <w:rsid w:val="008957C1"/>
    <w:rsid w:val="008A08EB"/>
    <w:rsid w:val="008A51C5"/>
    <w:rsid w:val="008A75D9"/>
    <w:rsid w:val="008B5926"/>
    <w:rsid w:val="008C2661"/>
    <w:rsid w:val="008D088C"/>
    <w:rsid w:val="008D1FA4"/>
    <w:rsid w:val="008D2258"/>
    <w:rsid w:val="008D2D63"/>
    <w:rsid w:val="008D466F"/>
    <w:rsid w:val="008D6E8B"/>
    <w:rsid w:val="008E2F0B"/>
    <w:rsid w:val="008E2F89"/>
    <w:rsid w:val="008E5CBA"/>
    <w:rsid w:val="008F1A9E"/>
    <w:rsid w:val="008F2A42"/>
    <w:rsid w:val="008F4414"/>
    <w:rsid w:val="008F6BFF"/>
    <w:rsid w:val="009069FB"/>
    <w:rsid w:val="009136D7"/>
    <w:rsid w:val="00914050"/>
    <w:rsid w:val="00915BA4"/>
    <w:rsid w:val="0092219E"/>
    <w:rsid w:val="0092784F"/>
    <w:rsid w:val="00931769"/>
    <w:rsid w:val="00932A7C"/>
    <w:rsid w:val="00936564"/>
    <w:rsid w:val="00937BD9"/>
    <w:rsid w:val="00941EA3"/>
    <w:rsid w:val="00950612"/>
    <w:rsid w:val="00950D25"/>
    <w:rsid w:val="009628E6"/>
    <w:rsid w:val="0096363B"/>
    <w:rsid w:val="00975318"/>
    <w:rsid w:val="00975415"/>
    <w:rsid w:val="0099462D"/>
    <w:rsid w:val="009968C8"/>
    <w:rsid w:val="00997F65"/>
    <w:rsid w:val="009A0D5E"/>
    <w:rsid w:val="009A1B93"/>
    <w:rsid w:val="009B09B6"/>
    <w:rsid w:val="009B6B0B"/>
    <w:rsid w:val="009C1E0A"/>
    <w:rsid w:val="009C319F"/>
    <w:rsid w:val="009D103D"/>
    <w:rsid w:val="009D4583"/>
    <w:rsid w:val="009D4773"/>
    <w:rsid w:val="009E6729"/>
    <w:rsid w:val="009F1DEE"/>
    <w:rsid w:val="009F2785"/>
    <w:rsid w:val="009F43FA"/>
    <w:rsid w:val="009F72AB"/>
    <w:rsid w:val="00A0021F"/>
    <w:rsid w:val="00A01B37"/>
    <w:rsid w:val="00A02207"/>
    <w:rsid w:val="00A05384"/>
    <w:rsid w:val="00A07FBC"/>
    <w:rsid w:val="00A114C4"/>
    <w:rsid w:val="00A11A4E"/>
    <w:rsid w:val="00A12F45"/>
    <w:rsid w:val="00A13BCF"/>
    <w:rsid w:val="00A14CA4"/>
    <w:rsid w:val="00A26A36"/>
    <w:rsid w:val="00A308FC"/>
    <w:rsid w:val="00A315D2"/>
    <w:rsid w:val="00A344F4"/>
    <w:rsid w:val="00A34AED"/>
    <w:rsid w:val="00A36C14"/>
    <w:rsid w:val="00A37704"/>
    <w:rsid w:val="00A414E0"/>
    <w:rsid w:val="00A5543C"/>
    <w:rsid w:val="00A56CE6"/>
    <w:rsid w:val="00A62904"/>
    <w:rsid w:val="00A648F0"/>
    <w:rsid w:val="00A65560"/>
    <w:rsid w:val="00A67F23"/>
    <w:rsid w:val="00A7045E"/>
    <w:rsid w:val="00A71CE2"/>
    <w:rsid w:val="00A72092"/>
    <w:rsid w:val="00A7683E"/>
    <w:rsid w:val="00A82C3E"/>
    <w:rsid w:val="00A82DAA"/>
    <w:rsid w:val="00A8502F"/>
    <w:rsid w:val="00A85D84"/>
    <w:rsid w:val="00A8717A"/>
    <w:rsid w:val="00A9103C"/>
    <w:rsid w:val="00A94E80"/>
    <w:rsid w:val="00A94FFF"/>
    <w:rsid w:val="00A9607E"/>
    <w:rsid w:val="00A9730D"/>
    <w:rsid w:val="00AA118C"/>
    <w:rsid w:val="00AA1218"/>
    <w:rsid w:val="00AA1556"/>
    <w:rsid w:val="00AA5B07"/>
    <w:rsid w:val="00AA6395"/>
    <w:rsid w:val="00AB0215"/>
    <w:rsid w:val="00AB2106"/>
    <w:rsid w:val="00AB3DF3"/>
    <w:rsid w:val="00AC6E95"/>
    <w:rsid w:val="00AD0A6C"/>
    <w:rsid w:val="00AD59B0"/>
    <w:rsid w:val="00AE4A0E"/>
    <w:rsid w:val="00AF1CDD"/>
    <w:rsid w:val="00AF6B0F"/>
    <w:rsid w:val="00B012A2"/>
    <w:rsid w:val="00B06321"/>
    <w:rsid w:val="00B13CF7"/>
    <w:rsid w:val="00B15A82"/>
    <w:rsid w:val="00B277E2"/>
    <w:rsid w:val="00B31506"/>
    <w:rsid w:val="00B34B99"/>
    <w:rsid w:val="00B36BA4"/>
    <w:rsid w:val="00B36F0D"/>
    <w:rsid w:val="00B37CD4"/>
    <w:rsid w:val="00B43DD5"/>
    <w:rsid w:val="00B47A8E"/>
    <w:rsid w:val="00B55CAB"/>
    <w:rsid w:val="00B66612"/>
    <w:rsid w:val="00B7076E"/>
    <w:rsid w:val="00B74EE2"/>
    <w:rsid w:val="00B84F45"/>
    <w:rsid w:val="00B85EF3"/>
    <w:rsid w:val="00B86AFF"/>
    <w:rsid w:val="00B94562"/>
    <w:rsid w:val="00BA6838"/>
    <w:rsid w:val="00BB132D"/>
    <w:rsid w:val="00BB18B8"/>
    <w:rsid w:val="00BB29D5"/>
    <w:rsid w:val="00BB2D62"/>
    <w:rsid w:val="00BB4D36"/>
    <w:rsid w:val="00BB5CB8"/>
    <w:rsid w:val="00BD1A0D"/>
    <w:rsid w:val="00BD266D"/>
    <w:rsid w:val="00BD26AC"/>
    <w:rsid w:val="00BD6EC8"/>
    <w:rsid w:val="00BE3CFB"/>
    <w:rsid w:val="00BF472D"/>
    <w:rsid w:val="00BF5823"/>
    <w:rsid w:val="00BF59AF"/>
    <w:rsid w:val="00C06FC6"/>
    <w:rsid w:val="00C16BC1"/>
    <w:rsid w:val="00C17D31"/>
    <w:rsid w:val="00C216C8"/>
    <w:rsid w:val="00C224F6"/>
    <w:rsid w:val="00C33559"/>
    <w:rsid w:val="00C34A74"/>
    <w:rsid w:val="00C3581E"/>
    <w:rsid w:val="00C36813"/>
    <w:rsid w:val="00C4094B"/>
    <w:rsid w:val="00C449C8"/>
    <w:rsid w:val="00C452D0"/>
    <w:rsid w:val="00C53F49"/>
    <w:rsid w:val="00C6081A"/>
    <w:rsid w:val="00C60899"/>
    <w:rsid w:val="00C65484"/>
    <w:rsid w:val="00C6793E"/>
    <w:rsid w:val="00C71668"/>
    <w:rsid w:val="00C72A56"/>
    <w:rsid w:val="00C731A2"/>
    <w:rsid w:val="00C77208"/>
    <w:rsid w:val="00C82E84"/>
    <w:rsid w:val="00C83D83"/>
    <w:rsid w:val="00C93D31"/>
    <w:rsid w:val="00C9449A"/>
    <w:rsid w:val="00C95B74"/>
    <w:rsid w:val="00CA6E4A"/>
    <w:rsid w:val="00CB0F11"/>
    <w:rsid w:val="00CB1B6C"/>
    <w:rsid w:val="00CB5CDA"/>
    <w:rsid w:val="00CB5F91"/>
    <w:rsid w:val="00CC5589"/>
    <w:rsid w:val="00CC62AE"/>
    <w:rsid w:val="00CC7959"/>
    <w:rsid w:val="00CD4480"/>
    <w:rsid w:val="00CE2DDD"/>
    <w:rsid w:val="00CE3AAB"/>
    <w:rsid w:val="00CE4EF7"/>
    <w:rsid w:val="00CE6F4A"/>
    <w:rsid w:val="00CE7BB2"/>
    <w:rsid w:val="00CF1974"/>
    <w:rsid w:val="00CF254B"/>
    <w:rsid w:val="00CF274A"/>
    <w:rsid w:val="00CF35E7"/>
    <w:rsid w:val="00D03617"/>
    <w:rsid w:val="00D047E7"/>
    <w:rsid w:val="00D056AD"/>
    <w:rsid w:val="00D06651"/>
    <w:rsid w:val="00D1054C"/>
    <w:rsid w:val="00D15FFD"/>
    <w:rsid w:val="00D176DA"/>
    <w:rsid w:val="00D251B5"/>
    <w:rsid w:val="00D26CE2"/>
    <w:rsid w:val="00D30FA9"/>
    <w:rsid w:val="00D319C1"/>
    <w:rsid w:val="00D31C44"/>
    <w:rsid w:val="00D402AF"/>
    <w:rsid w:val="00D4111D"/>
    <w:rsid w:val="00D41260"/>
    <w:rsid w:val="00D43C76"/>
    <w:rsid w:val="00D47410"/>
    <w:rsid w:val="00D566C9"/>
    <w:rsid w:val="00D60CCC"/>
    <w:rsid w:val="00D66517"/>
    <w:rsid w:val="00D674D4"/>
    <w:rsid w:val="00D7392C"/>
    <w:rsid w:val="00D7799B"/>
    <w:rsid w:val="00D80F26"/>
    <w:rsid w:val="00D8583D"/>
    <w:rsid w:val="00D916F3"/>
    <w:rsid w:val="00D954F8"/>
    <w:rsid w:val="00D95C4B"/>
    <w:rsid w:val="00D96035"/>
    <w:rsid w:val="00D96249"/>
    <w:rsid w:val="00DA01EA"/>
    <w:rsid w:val="00DB3255"/>
    <w:rsid w:val="00DB556E"/>
    <w:rsid w:val="00DC0C09"/>
    <w:rsid w:val="00DC0D47"/>
    <w:rsid w:val="00DC1271"/>
    <w:rsid w:val="00DC3086"/>
    <w:rsid w:val="00DC3233"/>
    <w:rsid w:val="00DC64AE"/>
    <w:rsid w:val="00DD0B38"/>
    <w:rsid w:val="00DD1736"/>
    <w:rsid w:val="00DD3B0F"/>
    <w:rsid w:val="00DD50D6"/>
    <w:rsid w:val="00DD7BF9"/>
    <w:rsid w:val="00DE2C3E"/>
    <w:rsid w:val="00DE31D6"/>
    <w:rsid w:val="00DE34FB"/>
    <w:rsid w:val="00DE355E"/>
    <w:rsid w:val="00DE67A9"/>
    <w:rsid w:val="00DE6F72"/>
    <w:rsid w:val="00DF0C69"/>
    <w:rsid w:val="00E01269"/>
    <w:rsid w:val="00E02297"/>
    <w:rsid w:val="00E057E1"/>
    <w:rsid w:val="00E122B7"/>
    <w:rsid w:val="00E136D0"/>
    <w:rsid w:val="00E13BEF"/>
    <w:rsid w:val="00E16D47"/>
    <w:rsid w:val="00E174C3"/>
    <w:rsid w:val="00E21D04"/>
    <w:rsid w:val="00E22559"/>
    <w:rsid w:val="00E26F51"/>
    <w:rsid w:val="00E27AE0"/>
    <w:rsid w:val="00E32164"/>
    <w:rsid w:val="00E338FC"/>
    <w:rsid w:val="00E36A61"/>
    <w:rsid w:val="00E40A46"/>
    <w:rsid w:val="00E41E82"/>
    <w:rsid w:val="00E43AC3"/>
    <w:rsid w:val="00E4515C"/>
    <w:rsid w:val="00E45A83"/>
    <w:rsid w:val="00E521D1"/>
    <w:rsid w:val="00E56507"/>
    <w:rsid w:val="00E60291"/>
    <w:rsid w:val="00E6142A"/>
    <w:rsid w:val="00E65EC9"/>
    <w:rsid w:val="00E7101A"/>
    <w:rsid w:val="00E71625"/>
    <w:rsid w:val="00E7262D"/>
    <w:rsid w:val="00E757C9"/>
    <w:rsid w:val="00E82F04"/>
    <w:rsid w:val="00E83987"/>
    <w:rsid w:val="00E84666"/>
    <w:rsid w:val="00E84803"/>
    <w:rsid w:val="00E84F2D"/>
    <w:rsid w:val="00E86CC6"/>
    <w:rsid w:val="00E87AA2"/>
    <w:rsid w:val="00E87E6D"/>
    <w:rsid w:val="00E9031D"/>
    <w:rsid w:val="00E91D4B"/>
    <w:rsid w:val="00E947B1"/>
    <w:rsid w:val="00E95D78"/>
    <w:rsid w:val="00EA0FE2"/>
    <w:rsid w:val="00EA207B"/>
    <w:rsid w:val="00EB2C34"/>
    <w:rsid w:val="00EB3BF3"/>
    <w:rsid w:val="00EC01E5"/>
    <w:rsid w:val="00EC0AD1"/>
    <w:rsid w:val="00EC27AE"/>
    <w:rsid w:val="00EC47B7"/>
    <w:rsid w:val="00EC5064"/>
    <w:rsid w:val="00EC7BB8"/>
    <w:rsid w:val="00ED2882"/>
    <w:rsid w:val="00ED6676"/>
    <w:rsid w:val="00ED7BBF"/>
    <w:rsid w:val="00EE4D9E"/>
    <w:rsid w:val="00EF17B9"/>
    <w:rsid w:val="00EF17D6"/>
    <w:rsid w:val="00EF2F00"/>
    <w:rsid w:val="00EF77F8"/>
    <w:rsid w:val="00F10B93"/>
    <w:rsid w:val="00F11DC8"/>
    <w:rsid w:val="00F11F0C"/>
    <w:rsid w:val="00F147D5"/>
    <w:rsid w:val="00F172B1"/>
    <w:rsid w:val="00F17F94"/>
    <w:rsid w:val="00F22417"/>
    <w:rsid w:val="00F24953"/>
    <w:rsid w:val="00F26927"/>
    <w:rsid w:val="00F32A37"/>
    <w:rsid w:val="00F4069A"/>
    <w:rsid w:val="00F4351F"/>
    <w:rsid w:val="00F457CE"/>
    <w:rsid w:val="00F5091D"/>
    <w:rsid w:val="00F50D4D"/>
    <w:rsid w:val="00F51DEF"/>
    <w:rsid w:val="00F5755C"/>
    <w:rsid w:val="00F60EC3"/>
    <w:rsid w:val="00F62AB4"/>
    <w:rsid w:val="00F62F0F"/>
    <w:rsid w:val="00F7034F"/>
    <w:rsid w:val="00F75A43"/>
    <w:rsid w:val="00F7F237"/>
    <w:rsid w:val="00F81584"/>
    <w:rsid w:val="00F852FC"/>
    <w:rsid w:val="00F8654E"/>
    <w:rsid w:val="00F93C9C"/>
    <w:rsid w:val="00F944DA"/>
    <w:rsid w:val="00F96E10"/>
    <w:rsid w:val="00F96FA8"/>
    <w:rsid w:val="00F97A3E"/>
    <w:rsid w:val="00FA1160"/>
    <w:rsid w:val="00FA1D00"/>
    <w:rsid w:val="00FA30A7"/>
    <w:rsid w:val="00FA4220"/>
    <w:rsid w:val="00FA57C8"/>
    <w:rsid w:val="00FA5B44"/>
    <w:rsid w:val="00FB0555"/>
    <w:rsid w:val="00FB163A"/>
    <w:rsid w:val="00FB4F72"/>
    <w:rsid w:val="00FC4C90"/>
    <w:rsid w:val="00FD438D"/>
    <w:rsid w:val="00FD5419"/>
    <w:rsid w:val="00FD5899"/>
    <w:rsid w:val="00FD6522"/>
    <w:rsid w:val="00FE00E6"/>
    <w:rsid w:val="00FE381B"/>
    <w:rsid w:val="00FE6109"/>
    <w:rsid w:val="00FE69F6"/>
    <w:rsid w:val="00FF3335"/>
    <w:rsid w:val="00FF3C56"/>
    <w:rsid w:val="00FF4DFE"/>
    <w:rsid w:val="00FF54B1"/>
    <w:rsid w:val="00FF7AFE"/>
    <w:rsid w:val="016CAAC3"/>
    <w:rsid w:val="0199D057"/>
    <w:rsid w:val="01B44E99"/>
    <w:rsid w:val="0326558A"/>
    <w:rsid w:val="0329CE5A"/>
    <w:rsid w:val="033EE6F4"/>
    <w:rsid w:val="041891FB"/>
    <w:rsid w:val="045ED517"/>
    <w:rsid w:val="04A7B51E"/>
    <w:rsid w:val="04F7A0DC"/>
    <w:rsid w:val="0529DDAF"/>
    <w:rsid w:val="052E7B08"/>
    <w:rsid w:val="061B62DA"/>
    <w:rsid w:val="0670F9B6"/>
    <w:rsid w:val="067CBE98"/>
    <w:rsid w:val="068452B3"/>
    <w:rsid w:val="06D2C59A"/>
    <w:rsid w:val="06D6B651"/>
    <w:rsid w:val="07549321"/>
    <w:rsid w:val="081DB672"/>
    <w:rsid w:val="0860FC2C"/>
    <w:rsid w:val="096D7465"/>
    <w:rsid w:val="0A78B65C"/>
    <w:rsid w:val="0A8C33E3"/>
    <w:rsid w:val="0AF5C0F7"/>
    <w:rsid w:val="0CE354FC"/>
    <w:rsid w:val="0CF76179"/>
    <w:rsid w:val="0DC3A2CF"/>
    <w:rsid w:val="0DC3D4A5"/>
    <w:rsid w:val="0E6175A1"/>
    <w:rsid w:val="0E9FEACE"/>
    <w:rsid w:val="0EF5FC3A"/>
    <w:rsid w:val="0F5FA506"/>
    <w:rsid w:val="0F8C0709"/>
    <w:rsid w:val="0FECC42F"/>
    <w:rsid w:val="10036E64"/>
    <w:rsid w:val="10BAAF3A"/>
    <w:rsid w:val="110362ED"/>
    <w:rsid w:val="12128964"/>
    <w:rsid w:val="123CC6AA"/>
    <w:rsid w:val="12C0F8CC"/>
    <w:rsid w:val="132DE689"/>
    <w:rsid w:val="13AE27EF"/>
    <w:rsid w:val="13C744CF"/>
    <w:rsid w:val="14AC9E11"/>
    <w:rsid w:val="14F83249"/>
    <w:rsid w:val="14FF98F9"/>
    <w:rsid w:val="15B65D1B"/>
    <w:rsid w:val="15D6D410"/>
    <w:rsid w:val="15F1E7E3"/>
    <w:rsid w:val="169B695A"/>
    <w:rsid w:val="16CCA92A"/>
    <w:rsid w:val="16E9C6E5"/>
    <w:rsid w:val="170B0001"/>
    <w:rsid w:val="1766939E"/>
    <w:rsid w:val="1789644F"/>
    <w:rsid w:val="181ACC4C"/>
    <w:rsid w:val="18A81D80"/>
    <w:rsid w:val="18D01440"/>
    <w:rsid w:val="19755C05"/>
    <w:rsid w:val="19C211C3"/>
    <w:rsid w:val="1A89CE3E"/>
    <w:rsid w:val="1ABACC8F"/>
    <w:rsid w:val="1B335A59"/>
    <w:rsid w:val="1BF7B4E8"/>
    <w:rsid w:val="1C1A1431"/>
    <w:rsid w:val="1C6F33AD"/>
    <w:rsid w:val="1C969B5C"/>
    <w:rsid w:val="1CAC59BC"/>
    <w:rsid w:val="1CACFCC7"/>
    <w:rsid w:val="1D11E814"/>
    <w:rsid w:val="1D3747D6"/>
    <w:rsid w:val="1D3BF72B"/>
    <w:rsid w:val="1D54A39A"/>
    <w:rsid w:val="1DCEE10F"/>
    <w:rsid w:val="1DEE161B"/>
    <w:rsid w:val="1E190821"/>
    <w:rsid w:val="1E1E5F5C"/>
    <w:rsid w:val="1E5BDB47"/>
    <w:rsid w:val="1F51B4F3"/>
    <w:rsid w:val="1F5F4CD1"/>
    <w:rsid w:val="1F71A583"/>
    <w:rsid w:val="1FD3000D"/>
    <w:rsid w:val="204EE1DD"/>
    <w:rsid w:val="20828D3D"/>
    <w:rsid w:val="20D27A14"/>
    <w:rsid w:val="20E19B77"/>
    <w:rsid w:val="20EE8972"/>
    <w:rsid w:val="20F2ACBC"/>
    <w:rsid w:val="2126236F"/>
    <w:rsid w:val="213F36E8"/>
    <w:rsid w:val="21AC6225"/>
    <w:rsid w:val="22DD94D3"/>
    <w:rsid w:val="22EE30D6"/>
    <w:rsid w:val="2384A622"/>
    <w:rsid w:val="239C4C84"/>
    <w:rsid w:val="239FD4C4"/>
    <w:rsid w:val="23EEEB5B"/>
    <w:rsid w:val="247166E1"/>
    <w:rsid w:val="24A0B952"/>
    <w:rsid w:val="24C61F62"/>
    <w:rsid w:val="2506C6E0"/>
    <w:rsid w:val="25340F3A"/>
    <w:rsid w:val="25E6DB54"/>
    <w:rsid w:val="26593BE2"/>
    <w:rsid w:val="265DC005"/>
    <w:rsid w:val="2687BF67"/>
    <w:rsid w:val="27175273"/>
    <w:rsid w:val="273B7991"/>
    <w:rsid w:val="2746FEF5"/>
    <w:rsid w:val="2788C83B"/>
    <w:rsid w:val="27A55017"/>
    <w:rsid w:val="287B064E"/>
    <w:rsid w:val="290B3E69"/>
    <w:rsid w:val="291887C9"/>
    <w:rsid w:val="296A6CE9"/>
    <w:rsid w:val="29EE46D7"/>
    <w:rsid w:val="2A257319"/>
    <w:rsid w:val="2A4EA569"/>
    <w:rsid w:val="2AEB089F"/>
    <w:rsid w:val="2AF2211D"/>
    <w:rsid w:val="2CABB2BF"/>
    <w:rsid w:val="2D2B682E"/>
    <w:rsid w:val="2DB64079"/>
    <w:rsid w:val="2DC34319"/>
    <w:rsid w:val="2DE6CEE8"/>
    <w:rsid w:val="2DF3600D"/>
    <w:rsid w:val="2E409421"/>
    <w:rsid w:val="2F443EB7"/>
    <w:rsid w:val="2F8FB6D3"/>
    <w:rsid w:val="30F93775"/>
    <w:rsid w:val="312B8734"/>
    <w:rsid w:val="31D7BD71"/>
    <w:rsid w:val="31FC2D51"/>
    <w:rsid w:val="32240F72"/>
    <w:rsid w:val="324DCE5B"/>
    <w:rsid w:val="32ABD91B"/>
    <w:rsid w:val="3339AC90"/>
    <w:rsid w:val="3354EC2F"/>
    <w:rsid w:val="337AF63E"/>
    <w:rsid w:val="3384A492"/>
    <w:rsid w:val="33958C3C"/>
    <w:rsid w:val="33A61578"/>
    <w:rsid w:val="33C9D5CA"/>
    <w:rsid w:val="33FE51C0"/>
    <w:rsid w:val="34294F1D"/>
    <w:rsid w:val="34D6CD9C"/>
    <w:rsid w:val="3583932F"/>
    <w:rsid w:val="35CF4961"/>
    <w:rsid w:val="362615EA"/>
    <w:rsid w:val="3639FD55"/>
    <w:rsid w:val="3663FC72"/>
    <w:rsid w:val="36B1B4D7"/>
    <w:rsid w:val="3747434E"/>
    <w:rsid w:val="3777C20D"/>
    <w:rsid w:val="377A3691"/>
    <w:rsid w:val="380673B4"/>
    <w:rsid w:val="38072966"/>
    <w:rsid w:val="3865A493"/>
    <w:rsid w:val="38BC3942"/>
    <w:rsid w:val="38D8A923"/>
    <w:rsid w:val="39009EDE"/>
    <w:rsid w:val="390413AF"/>
    <w:rsid w:val="39126F7F"/>
    <w:rsid w:val="391B0655"/>
    <w:rsid w:val="3A306C2E"/>
    <w:rsid w:val="3A40D078"/>
    <w:rsid w:val="3AA1DF11"/>
    <w:rsid w:val="3AB6D6B6"/>
    <w:rsid w:val="3B64541C"/>
    <w:rsid w:val="3B6F74DD"/>
    <w:rsid w:val="3CA5424F"/>
    <w:rsid w:val="3CD81FAA"/>
    <w:rsid w:val="3D3B3E3F"/>
    <w:rsid w:val="3E37238F"/>
    <w:rsid w:val="3E5F3FE3"/>
    <w:rsid w:val="3E6B237B"/>
    <w:rsid w:val="3E9BA382"/>
    <w:rsid w:val="3E9F0C16"/>
    <w:rsid w:val="3ED03EB0"/>
    <w:rsid w:val="3F9D8A69"/>
    <w:rsid w:val="3FB54AEF"/>
    <w:rsid w:val="40BF3EF0"/>
    <w:rsid w:val="40FE2068"/>
    <w:rsid w:val="41005E46"/>
    <w:rsid w:val="411629EF"/>
    <w:rsid w:val="41E8D6FF"/>
    <w:rsid w:val="4318F7AC"/>
    <w:rsid w:val="436C9DD9"/>
    <w:rsid w:val="448AD576"/>
    <w:rsid w:val="44BFC07D"/>
    <w:rsid w:val="44E5AC6E"/>
    <w:rsid w:val="4535B046"/>
    <w:rsid w:val="45746B24"/>
    <w:rsid w:val="45E9A5D1"/>
    <w:rsid w:val="46248C73"/>
    <w:rsid w:val="4652BBAA"/>
    <w:rsid w:val="46CC8038"/>
    <w:rsid w:val="479EFFD6"/>
    <w:rsid w:val="47AD03B4"/>
    <w:rsid w:val="487E6F8E"/>
    <w:rsid w:val="489483D2"/>
    <w:rsid w:val="48FDDC13"/>
    <w:rsid w:val="491107FA"/>
    <w:rsid w:val="4924FB73"/>
    <w:rsid w:val="49A4487C"/>
    <w:rsid w:val="4A18A15A"/>
    <w:rsid w:val="4A6C95B2"/>
    <w:rsid w:val="4AC21B87"/>
    <w:rsid w:val="4AC88F33"/>
    <w:rsid w:val="4AD2A7C2"/>
    <w:rsid w:val="4B258994"/>
    <w:rsid w:val="4B8FCE48"/>
    <w:rsid w:val="4BA0E402"/>
    <w:rsid w:val="4BA523F5"/>
    <w:rsid w:val="4BEBC089"/>
    <w:rsid w:val="4C4B7799"/>
    <w:rsid w:val="4CE0FF7D"/>
    <w:rsid w:val="4D08CCF0"/>
    <w:rsid w:val="4D3169BC"/>
    <w:rsid w:val="4D3CB463"/>
    <w:rsid w:val="4D44CFFF"/>
    <w:rsid w:val="4DAEDBA5"/>
    <w:rsid w:val="4DD939D7"/>
    <w:rsid w:val="4DE093EC"/>
    <w:rsid w:val="4E2F9E58"/>
    <w:rsid w:val="4E804CD2"/>
    <w:rsid w:val="4E9B6DD9"/>
    <w:rsid w:val="4EDCC4B7"/>
    <w:rsid w:val="4F0671D2"/>
    <w:rsid w:val="4F9EED3C"/>
    <w:rsid w:val="4FB81599"/>
    <w:rsid w:val="4FE3E521"/>
    <w:rsid w:val="500A6964"/>
    <w:rsid w:val="50A6C103"/>
    <w:rsid w:val="50F068A6"/>
    <w:rsid w:val="5110DA99"/>
    <w:rsid w:val="5113CB3A"/>
    <w:rsid w:val="51AE0110"/>
    <w:rsid w:val="51BC2C53"/>
    <w:rsid w:val="51BCA76F"/>
    <w:rsid w:val="523E2F58"/>
    <w:rsid w:val="52DDB54B"/>
    <w:rsid w:val="53CE39BF"/>
    <w:rsid w:val="53E19119"/>
    <w:rsid w:val="53E55B34"/>
    <w:rsid w:val="5427DAB4"/>
    <w:rsid w:val="54864F4C"/>
    <w:rsid w:val="55A95460"/>
    <w:rsid w:val="55B94088"/>
    <w:rsid w:val="569DF360"/>
    <w:rsid w:val="56D76093"/>
    <w:rsid w:val="571C1401"/>
    <w:rsid w:val="57F4C1EC"/>
    <w:rsid w:val="584A2085"/>
    <w:rsid w:val="5990924D"/>
    <w:rsid w:val="59D24BE3"/>
    <w:rsid w:val="59E5513F"/>
    <w:rsid w:val="59F03EC2"/>
    <w:rsid w:val="5A0FECC4"/>
    <w:rsid w:val="5A23BC69"/>
    <w:rsid w:val="5A633F5D"/>
    <w:rsid w:val="5AF8692D"/>
    <w:rsid w:val="5B5214E3"/>
    <w:rsid w:val="5B90D3F9"/>
    <w:rsid w:val="5BE02FC0"/>
    <w:rsid w:val="5C6461E2"/>
    <w:rsid w:val="5CE5E762"/>
    <w:rsid w:val="5D4EAA48"/>
    <w:rsid w:val="5E4ADB13"/>
    <w:rsid w:val="5E891FE6"/>
    <w:rsid w:val="5EF16D99"/>
    <w:rsid w:val="60693231"/>
    <w:rsid w:val="6079D590"/>
    <w:rsid w:val="61AC82C1"/>
    <w:rsid w:val="61B06ADE"/>
    <w:rsid w:val="62050292"/>
    <w:rsid w:val="6207F517"/>
    <w:rsid w:val="6261C5AC"/>
    <w:rsid w:val="62B365CB"/>
    <w:rsid w:val="63056E34"/>
    <w:rsid w:val="64F52DC2"/>
    <w:rsid w:val="655477B6"/>
    <w:rsid w:val="658F9E3C"/>
    <w:rsid w:val="65BF0FC9"/>
    <w:rsid w:val="65CA70BE"/>
    <w:rsid w:val="65D80DA3"/>
    <w:rsid w:val="668D46F3"/>
    <w:rsid w:val="6718157D"/>
    <w:rsid w:val="675AE02A"/>
    <w:rsid w:val="68744416"/>
    <w:rsid w:val="68E1C7E9"/>
    <w:rsid w:val="69595055"/>
    <w:rsid w:val="69926942"/>
    <w:rsid w:val="6A28D1C7"/>
    <w:rsid w:val="6A2E4615"/>
    <w:rsid w:val="6AC1D59C"/>
    <w:rsid w:val="6AC7518E"/>
    <w:rsid w:val="6B00AB24"/>
    <w:rsid w:val="6B6F5BD1"/>
    <w:rsid w:val="6B922B8F"/>
    <w:rsid w:val="6BAFD554"/>
    <w:rsid w:val="6BC53F0B"/>
    <w:rsid w:val="6C1F919D"/>
    <w:rsid w:val="6C90F117"/>
    <w:rsid w:val="6DB6E306"/>
    <w:rsid w:val="6E7844AE"/>
    <w:rsid w:val="6E8187B0"/>
    <w:rsid w:val="6EDE2F40"/>
    <w:rsid w:val="6FB3FF39"/>
    <w:rsid w:val="6FD41C47"/>
    <w:rsid w:val="6FE7EBEC"/>
    <w:rsid w:val="6FF4933C"/>
    <w:rsid w:val="703296D5"/>
    <w:rsid w:val="704A22CB"/>
    <w:rsid w:val="7079FFA1"/>
    <w:rsid w:val="70834677"/>
    <w:rsid w:val="709C3E76"/>
    <w:rsid w:val="717C2317"/>
    <w:rsid w:val="719B8807"/>
    <w:rsid w:val="72913E1A"/>
    <w:rsid w:val="7300FB47"/>
    <w:rsid w:val="7327D745"/>
    <w:rsid w:val="7348BBDA"/>
    <w:rsid w:val="73BAE739"/>
    <w:rsid w:val="73DBF206"/>
    <w:rsid w:val="73FE860B"/>
    <w:rsid w:val="740F0A96"/>
    <w:rsid w:val="74272546"/>
    <w:rsid w:val="75A8CC8E"/>
    <w:rsid w:val="75C76643"/>
    <w:rsid w:val="75DA4C84"/>
    <w:rsid w:val="762C44D2"/>
    <w:rsid w:val="7656E1C7"/>
    <w:rsid w:val="76890D35"/>
    <w:rsid w:val="7705547A"/>
    <w:rsid w:val="773626CD"/>
    <w:rsid w:val="773E6F56"/>
    <w:rsid w:val="77AB3D4E"/>
    <w:rsid w:val="77C93215"/>
    <w:rsid w:val="77EB7B46"/>
    <w:rsid w:val="77FFA521"/>
    <w:rsid w:val="784ADFD4"/>
    <w:rsid w:val="78D1F72E"/>
    <w:rsid w:val="78D5515F"/>
    <w:rsid w:val="79A36308"/>
    <w:rsid w:val="79B90A77"/>
    <w:rsid w:val="79C8E9B9"/>
    <w:rsid w:val="7A5BB9AC"/>
    <w:rsid w:val="7A66978C"/>
    <w:rsid w:val="7A87FE69"/>
    <w:rsid w:val="7B1DE6E2"/>
    <w:rsid w:val="7B3745E3"/>
    <w:rsid w:val="7B3F3369"/>
    <w:rsid w:val="7B8B376A"/>
    <w:rsid w:val="7BB513E7"/>
    <w:rsid w:val="7BE80AFA"/>
    <w:rsid w:val="7C4E280A"/>
    <w:rsid w:val="7C55E70D"/>
    <w:rsid w:val="7C9CA338"/>
    <w:rsid w:val="7CAD4697"/>
    <w:rsid w:val="7CCEF2F7"/>
    <w:rsid w:val="7CDAF6E4"/>
    <w:rsid w:val="7D374A9E"/>
    <w:rsid w:val="7DDF6446"/>
    <w:rsid w:val="7E2DC06A"/>
    <w:rsid w:val="7E387399"/>
    <w:rsid w:val="7E420375"/>
    <w:rsid w:val="7E995471"/>
    <w:rsid w:val="7F19FD1E"/>
    <w:rsid w:val="7F2BD0EF"/>
    <w:rsid w:val="7F4138B2"/>
    <w:rsid w:val="7FE6A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24802"/>
  <w15:docId w15:val="{A768E78B-C440-4200-A7AC-4676ED84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D6A"/>
    <w:pPr>
      <w:spacing w:after="120" w:line="276" w:lineRule="auto"/>
    </w:pPr>
    <w:rPr>
      <w:rFonts w:ascii="Gill Sans Infant Std" w:eastAsia="Times New Roman" w:hAnsi="Gill Sans Infant Std" w:cs="Times New Roman"/>
      <w:sz w:val="24"/>
      <w:szCs w:val="20"/>
    </w:rPr>
  </w:style>
  <w:style w:type="paragraph" w:styleId="Heading1">
    <w:name w:val="heading 1"/>
    <w:basedOn w:val="Normal"/>
    <w:next w:val="Normal"/>
    <w:link w:val="Heading1Char"/>
    <w:uiPriority w:val="9"/>
    <w:qFormat/>
    <w:rsid w:val="00FB4F72"/>
    <w:pPr>
      <w:keepNext/>
      <w:keepLines/>
      <w:spacing w:before="240"/>
      <w:outlineLvl w:val="0"/>
    </w:pPr>
    <w:rPr>
      <w:rFonts w:asciiTheme="majorHAnsi" w:eastAsiaTheme="majorEastAsia" w:hAnsiTheme="majorHAnsi" w:cstheme="majorBidi"/>
      <w:b/>
      <w:color w:val="FF0000"/>
      <w:szCs w:val="32"/>
    </w:rPr>
  </w:style>
  <w:style w:type="paragraph" w:styleId="Heading2">
    <w:name w:val="heading 2"/>
    <w:basedOn w:val="Normal"/>
    <w:next w:val="Normal"/>
    <w:link w:val="Heading2Char"/>
    <w:uiPriority w:val="9"/>
    <w:unhideWhenUsed/>
    <w:qFormat/>
    <w:rsid w:val="00950612"/>
    <w:pPr>
      <w:keepNext/>
      <w:keepLines/>
      <w:spacing w:before="40"/>
      <w:outlineLvl w:val="1"/>
    </w:pPr>
    <w:rPr>
      <w:rFonts w:asciiTheme="majorHAnsi" w:eastAsiaTheme="majorEastAsia" w:hAnsiTheme="majorHAnsi" w:cstheme="majorBidi"/>
      <w:b/>
      <w:color w:val="DA291C" w:themeColor="background2"/>
      <w:sz w:val="26"/>
      <w:szCs w:val="26"/>
    </w:rPr>
  </w:style>
  <w:style w:type="paragraph" w:styleId="Heading3">
    <w:name w:val="heading 3"/>
    <w:basedOn w:val="Normal"/>
    <w:next w:val="Normal"/>
    <w:link w:val="Heading3Char"/>
    <w:uiPriority w:val="9"/>
    <w:semiHidden/>
    <w:unhideWhenUsed/>
    <w:qFormat/>
    <w:rsid w:val="00950612"/>
    <w:pPr>
      <w:keepNext/>
      <w:keepLines/>
      <w:spacing w:before="40"/>
      <w:outlineLvl w:val="2"/>
    </w:pPr>
    <w:rPr>
      <w:rFonts w:asciiTheme="majorHAnsi" w:eastAsiaTheme="majorEastAsia" w:hAnsiTheme="majorHAnsi" w:cstheme="majorBidi"/>
      <w:b/>
      <w:color w:val="DA291C" w:themeColor="background2"/>
      <w:szCs w:val="24"/>
    </w:rPr>
  </w:style>
  <w:style w:type="paragraph" w:styleId="Heading4">
    <w:name w:val="heading 4"/>
    <w:basedOn w:val="Normal"/>
    <w:next w:val="Normal"/>
    <w:link w:val="Heading4Char"/>
    <w:uiPriority w:val="9"/>
    <w:semiHidden/>
    <w:unhideWhenUsed/>
    <w:qFormat/>
    <w:rsid w:val="006F7569"/>
    <w:pPr>
      <w:keepNext/>
      <w:keepLines/>
      <w:spacing w:before="40"/>
      <w:outlineLvl w:val="3"/>
    </w:pPr>
    <w:rPr>
      <w:rFonts w:asciiTheme="majorHAnsi" w:eastAsiaTheme="majorEastAsia" w:hAnsiTheme="majorHAnsi" w:cstheme="majorBidi"/>
      <w:i/>
      <w:iCs/>
      <w:color w:val="FFFFFF" w:themeColor="text2"/>
    </w:rPr>
  </w:style>
  <w:style w:type="paragraph" w:styleId="Heading5">
    <w:name w:val="heading 5"/>
    <w:basedOn w:val="Normal"/>
    <w:next w:val="Normal"/>
    <w:link w:val="Heading5Char"/>
    <w:uiPriority w:val="9"/>
    <w:semiHidden/>
    <w:unhideWhenUsed/>
    <w:qFormat/>
    <w:rsid w:val="006F7569"/>
    <w:pPr>
      <w:keepNext/>
      <w:keepLines/>
      <w:spacing w:before="40"/>
      <w:outlineLvl w:val="4"/>
    </w:pPr>
    <w:rPr>
      <w:rFonts w:asciiTheme="majorHAnsi" w:eastAsiaTheme="majorEastAsia" w:hAnsiTheme="majorHAnsi" w:cstheme="majorBidi"/>
      <w:color w:val="FFFFFF" w:themeColor="text2"/>
    </w:rPr>
  </w:style>
  <w:style w:type="paragraph" w:styleId="Heading6">
    <w:name w:val="heading 6"/>
    <w:basedOn w:val="Normal"/>
    <w:next w:val="Normal"/>
    <w:link w:val="Heading6Char"/>
    <w:uiPriority w:val="9"/>
    <w:semiHidden/>
    <w:unhideWhenUsed/>
    <w:qFormat/>
    <w:rsid w:val="006F7569"/>
    <w:pPr>
      <w:keepNext/>
      <w:keepLines/>
      <w:spacing w:before="40"/>
      <w:outlineLvl w:val="5"/>
    </w:pPr>
    <w:rPr>
      <w:rFonts w:asciiTheme="majorHAnsi" w:eastAsiaTheme="majorEastAsia" w:hAnsiTheme="majorHAnsi" w:cstheme="majorBidi"/>
      <w:color w:val="FFFFFF"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6612"/>
    <w:pPr>
      <w:tabs>
        <w:tab w:val="center" w:pos="4513"/>
        <w:tab w:val="right" w:pos="9026"/>
      </w:tabs>
    </w:pPr>
  </w:style>
  <w:style w:type="character" w:customStyle="1" w:styleId="HeaderChar">
    <w:name w:val="Header Char"/>
    <w:basedOn w:val="DefaultParagraphFont"/>
    <w:link w:val="Header"/>
    <w:uiPriority w:val="99"/>
    <w:semiHidden/>
    <w:rsid w:val="003E7AF0"/>
    <w:rPr>
      <w:rFonts w:ascii="Gill Sans Infant Std" w:eastAsia="Times New Roman" w:hAnsi="Gill Sans Infant Std" w:cs="Times New Roman"/>
      <w:szCs w:val="20"/>
    </w:rPr>
  </w:style>
  <w:style w:type="paragraph" w:styleId="Footer">
    <w:name w:val="footer"/>
    <w:basedOn w:val="Normal"/>
    <w:link w:val="FooterChar"/>
    <w:uiPriority w:val="99"/>
    <w:rsid w:val="00B66612"/>
    <w:pPr>
      <w:tabs>
        <w:tab w:val="center" w:pos="4513"/>
        <w:tab w:val="right" w:pos="9026"/>
      </w:tabs>
    </w:pPr>
    <w:rPr>
      <w:sz w:val="14"/>
    </w:rPr>
  </w:style>
  <w:style w:type="character" w:customStyle="1" w:styleId="FooterChar">
    <w:name w:val="Footer Char"/>
    <w:basedOn w:val="DefaultParagraphFont"/>
    <w:link w:val="Footer"/>
    <w:uiPriority w:val="99"/>
    <w:rsid w:val="003E7AF0"/>
    <w:rPr>
      <w:rFonts w:ascii="Gill Sans Infant Std" w:eastAsia="Times New Roman" w:hAnsi="Gill Sans Infant Std" w:cs="Times New Roman"/>
      <w:sz w:val="14"/>
      <w:szCs w:val="20"/>
    </w:rPr>
  </w:style>
  <w:style w:type="character" w:styleId="Hyperlink">
    <w:name w:val="Hyperlink"/>
    <w:semiHidden/>
    <w:rsid w:val="004517CD"/>
    <w:rPr>
      <w:color w:val="DA291C" w:themeColor="accent1"/>
      <w:u w:val="single"/>
    </w:rPr>
  </w:style>
  <w:style w:type="table" w:styleId="TableGrid">
    <w:name w:val="Table Grid"/>
    <w:basedOn w:val="TableNormal"/>
    <w:uiPriority w:val="59"/>
    <w:rsid w:val="00B66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5C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CB8"/>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FB4F72"/>
    <w:rPr>
      <w:rFonts w:asciiTheme="majorHAnsi" w:eastAsiaTheme="majorEastAsia" w:hAnsiTheme="majorHAnsi" w:cstheme="majorBidi"/>
      <w:b/>
      <w:color w:val="FF0000"/>
      <w:sz w:val="24"/>
      <w:szCs w:val="32"/>
    </w:rPr>
  </w:style>
  <w:style w:type="character" w:customStyle="1" w:styleId="Heading2Char">
    <w:name w:val="Heading 2 Char"/>
    <w:basedOn w:val="DefaultParagraphFont"/>
    <w:link w:val="Heading2"/>
    <w:uiPriority w:val="9"/>
    <w:rsid w:val="00950612"/>
    <w:rPr>
      <w:rFonts w:asciiTheme="majorHAnsi" w:eastAsiaTheme="majorEastAsia" w:hAnsiTheme="majorHAnsi" w:cstheme="majorBidi"/>
      <w:b/>
      <w:color w:val="DA291C" w:themeColor="background2"/>
      <w:sz w:val="26"/>
      <w:szCs w:val="26"/>
    </w:rPr>
  </w:style>
  <w:style w:type="character" w:customStyle="1" w:styleId="Heading3Char">
    <w:name w:val="Heading 3 Char"/>
    <w:basedOn w:val="DefaultParagraphFont"/>
    <w:link w:val="Heading3"/>
    <w:uiPriority w:val="9"/>
    <w:semiHidden/>
    <w:rsid w:val="00950612"/>
    <w:rPr>
      <w:rFonts w:asciiTheme="majorHAnsi" w:eastAsiaTheme="majorEastAsia" w:hAnsiTheme="majorHAnsi" w:cstheme="majorBidi"/>
      <w:b/>
      <w:color w:val="DA291C" w:themeColor="background2"/>
      <w:sz w:val="24"/>
      <w:szCs w:val="24"/>
    </w:rPr>
  </w:style>
  <w:style w:type="character" w:customStyle="1" w:styleId="Heading4Char">
    <w:name w:val="Heading 4 Char"/>
    <w:basedOn w:val="DefaultParagraphFont"/>
    <w:link w:val="Heading4"/>
    <w:uiPriority w:val="9"/>
    <w:semiHidden/>
    <w:rsid w:val="006F7569"/>
    <w:rPr>
      <w:rFonts w:asciiTheme="majorHAnsi" w:eastAsiaTheme="majorEastAsia" w:hAnsiTheme="majorHAnsi" w:cstheme="majorBidi"/>
      <w:i/>
      <w:iCs/>
      <w:color w:val="FFFFFF" w:themeColor="text2"/>
      <w:szCs w:val="20"/>
    </w:rPr>
  </w:style>
  <w:style w:type="character" w:customStyle="1" w:styleId="Heading5Char">
    <w:name w:val="Heading 5 Char"/>
    <w:basedOn w:val="DefaultParagraphFont"/>
    <w:link w:val="Heading5"/>
    <w:uiPriority w:val="9"/>
    <w:semiHidden/>
    <w:rsid w:val="006F7569"/>
    <w:rPr>
      <w:rFonts w:asciiTheme="majorHAnsi" w:eastAsiaTheme="majorEastAsia" w:hAnsiTheme="majorHAnsi" w:cstheme="majorBidi"/>
      <w:color w:val="FFFFFF" w:themeColor="text2"/>
      <w:szCs w:val="20"/>
    </w:rPr>
  </w:style>
  <w:style w:type="paragraph" w:styleId="ListBullet">
    <w:name w:val="List Bullet"/>
    <w:basedOn w:val="Normal"/>
    <w:uiPriority w:val="99"/>
    <w:unhideWhenUsed/>
    <w:qFormat/>
    <w:rsid w:val="0099462D"/>
    <w:pPr>
      <w:numPr>
        <w:numId w:val="4"/>
      </w:numPr>
      <w:ind w:left="284" w:hanging="284"/>
      <w:contextualSpacing/>
    </w:pPr>
  </w:style>
  <w:style w:type="paragraph" w:styleId="ListBullet2">
    <w:name w:val="List Bullet 2"/>
    <w:basedOn w:val="Normal"/>
    <w:uiPriority w:val="99"/>
    <w:unhideWhenUsed/>
    <w:qFormat/>
    <w:rsid w:val="006F7569"/>
    <w:pPr>
      <w:numPr>
        <w:numId w:val="5"/>
      </w:numPr>
      <w:ind w:left="568" w:hanging="284"/>
      <w:contextualSpacing/>
    </w:pPr>
  </w:style>
  <w:style w:type="paragraph" w:styleId="ListNumber">
    <w:name w:val="List Number"/>
    <w:basedOn w:val="Normal"/>
    <w:uiPriority w:val="99"/>
    <w:unhideWhenUsed/>
    <w:qFormat/>
    <w:rsid w:val="0099462D"/>
    <w:pPr>
      <w:numPr>
        <w:numId w:val="9"/>
      </w:numPr>
      <w:contextualSpacing/>
    </w:pPr>
  </w:style>
  <w:style w:type="paragraph" w:styleId="ListNumber2">
    <w:name w:val="List Number 2"/>
    <w:basedOn w:val="Normal"/>
    <w:uiPriority w:val="99"/>
    <w:unhideWhenUsed/>
    <w:qFormat/>
    <w:rsid w:val="006F7569"/>
    <w:pPr>
      <w:numPr>
        <w:numId w:val="10"/>
      </w:numPr>
      <w:tabs>
        <w:tab w:val="clear" w:pos="643"/>
        <w:tab w:val="num" w:pos="360"/>
      </w:tabs>
      <w:ind w:left="568" w:hanging="284"/>
      <w:contextualSpacing/>
    </w:pPr>
  </w:style>
  <w:style w:type="character" w:customStyle="1" w:styleId="Heading6Char">
    <w:name w:val="Heading 6 Char"/>
    <w:basedOn w:val="DefaultParagraphFont"/>
    <w:link w:val="Heading6"/>
    <w:uiPriority w:val="9"/>
    <w:semiHidden/>
    <w:rsid w:val="006F7569"/>
    <w:rPr>
      <w:rFonts w:asciiTheme="majorHAnsi" w:eastAsiaTheme="majorEastAsia" w:hAnsiTheme="majorHAnsi" w:cstheme="majorBidi"/>
      <w:color w:val="FFFFFF" w:themeColor="text2"/>
      <w:szCs w:val="20"/>
    </w:rPr>
  </w:style>
  <w:style w:type="paragraph" w:customStyle="1" w:styleId="PageNumber1">
    <w:name w:val="Page Number1"/>
    <w:basedOn w:val="Normal"/>
    <w:semiHidden/>
    <w:rsid w:val="000F4C24"/>
    <w:pPr>
      <w:ind w:left="170"/>
    </w:pPr>
  </w:style>
  <w:style w:type="paragraph" w:customStyle="1" w:styleId="Default">
    <w:name w:val="Default"/>
    <w:rsid w:val="00146418"/>
    <w:pPr>
      <w:autoSpaceDE w:val="0"/>
      <w:autoSpaceDN w:val="0"/>
      <w:adjustRightInd w:val="0"/>
      <w:spacing w:after="0" w:line="240" w:lineRule="auto"/>
    </w:pPr>
    <w:rPr>
      <w:rFonts w:ascii="Garamond" w:eastAsia="Calibri" w:hAnsi="Garamond" w:cs="Garamond"/>
      <w:color w:val="000000"/>
      <w:sz w:val="24"/>
      <w:szCs w:val="24"/>
      <w:lang w:eastAsia="en-GB"/>
    </w:rPr>
  </w:style>
  <w:style w:type="character" w:styleId="CommentReference">
    <w:name w:val="annotation reference"/>
    <w:uiPriority w:val="99"/>
    <w:semiHidden/>
    <w:unhideWhenUsed/>
    <w:rsid w:val="00146418"/>
    <w:rPr>
      <w:sz w:val="16"/>
      <w:szCs w:val="16"/>
    </w:rPr>
  </w:style>
  <w:style w:type="paragraph" w:styleId="CommentText">
    <w:name w:val="annotation text"/>
    <w:basedOn w:val="Normal"/>
    <w:link w:val="CommentTextChar"/>
    <w:semiHidden/>
    <w:unhideWhenUsed/>
    <w:rsid w:val="00146418"/>
    <w:pPr>
      <w:spacing w:after="200"/>
    </w:pPr>
    <w:rPr>
      <w:rFonts w:ascii="Calibri" w:eastAsia="Calibri" w:hAnsi="Calibri"/>
      <w:sz w:val="20"/>
    </w:rPr>
  </w:style>
  <w:style w:type="character" w:customStyle="1" w:styleId="CommentTextChar">
    <w:name w:val="Comment Text Char"/>
    <w:basedOn w:val="DefaultParagraphFont"/>
    <w:link w:val="CommentText"/>
    <w:semiHidden/>
    <w:rsid w:val="00146418"/>
    <w:rPr>
      <w:rFonts w:ascii="Calibri" w:eastAsia="Calibri" w:hAnsi="Calibri" w:cs="Times New Roman"/>
      <w:sz w:val="20"/>
      <w:szCs w:val="20"/>
    </w:rPr>
  </w:style>
  <w:style w:type="paragraph" w:styleId="ListParagraph">
    <w:name w:val="List Paragraph"/>
    <w:basedOn w:val="Normal"/>
    <w:uiPriority w:val="34"/>
    <w:qFormat/>
    <w:rsid w:val="00D95C4B"/>
    <w:pPr>
      <w:ind w:left="720"/>
      <w:contextualSpacing/>
    </w:pPr>
  </w:style>
  <w:style w:type="paragraph" w:styleId="CommentSubject">
    <w:name w:val="annotation subject"/>
    <w:basedOn w:val="CommentText"/>
    <w:next w:val="CommentText"/>
    <w:link w:val="CommentSubjectChar"/>
    <w:uiPriority w:val="99"/>
    <w:semiHidden/>
    <w:unhideWhenUsed/>
    <w:rsid w:val="00D566C9"/>
    <w:pPr>
      <w:spacing w:after="0" w:line="240" w:lineRule="auto"/>
    </w:pPr>
    <w:rPr>
      <w:rFonts w:ascii="Gill Sans Infant Std" w:eastAsia="Times New Roman" w:hAnsi="Gill Sans Infant Std"/>
      <w:b/>
      <w:bCs/>
    </w:rPr>
  </w:style>
  <w:style w:type="character" w:customStyle="1" w:styleId="CommentSubjectChar">
    <w:name w:val="Comment Subject Char"/>
    <w:basedOn w:val="CommentTextChar"/>
    <w:link w:val="CommentSubject"/>
    <w:uiPriority w:val="99"/>
    <w:semiHidden/>
    <w:rsid w:val="00D566C9"/>
    <w:rPr>
      <w:rFonts w:ascii="Gill Sans Infant Std" w:eastAsia="Times New Roman" w:hAnsi="Gill Sans Infant Std" w:cs="Times New Roman"/>
      <w:b/>
      <w:bCs/>
      <w:sz w:val="20"/>
      <w:szCs w:val="20"/>
    </w:rPr>
  </w:style>
  <w:style w:type="paragraph" w:styleId="FootnoteText">
    <w:name w:val="footnote text"/>
    <w:aliases w:val="Footnote Text Char Char,Char,Char Char Char,Char Char Char Char Char Char,Char Char Char Char Char Char Char Char Char Char,Char Char Char Char Char Char Char Char,Char Char Char Char Char Char Char Char Char Char Char,single spac,5_G,fn"/>
    <w:basedOn w:val="Normal"/>
    <w:link w:val="FootnoteTextChar"/>
    <w:uiPriority w:val="99"/>
    <w:unhideWhenUsed/>
    <w:qFormat/>
    <w:rsid w:val="00E60291"/>
    <w:rPr>
      <w:sz w:val="20"/>
    </w:rPr>
  </w:style>
  <w:style w:type="character" w:customStyle="1" w:styleId="FootnoteTextChar">
    <w:name w:val="Footnote Text Char"/>
    <w:aliases w:val="Footnote Text Char Char Char,Char Char,Char Char Char Char,Char Char Char Char Char Char Char,Char Char Char Char Char Char Char Char Char Char Char1,Char Char Char Char Char Char Char Char Char,single spac Char,5_G Char,fn Char"/>
    <w:basedOn w:val="DefaultParagraphFont"/>
    <w:link w:val="FootnoteText"/>
    <w:uiPriority w:val="99"/>
    <w:rsid w:val="00E60291"/>
    <w:rPr>
      <w:rFonts w:ascii="Gill Sans Infant Std" w:eastAsia="Times New Roman" w:hAnsi="Gill Sans Infant Std" w:cs="Times New Roman"/>
      <w:sz w:val="20"/>
      <w:szCs w:val="20"/>
    </w:rPr>
  </w:style>
  <w:style w:type="character" w:styleId="FootnoteReference">
    <w:name w:val="footnote reference"/>
    <w:aliases w:val=" BVI fnr,BVI fnr, BVI fnr Car Car,BVI fnr Car, BVI fnr Car Car Car Car, BVI fnr Car Car Car Car Char, BVI fnr Car Car Car Car Char Char Char Char Char,BVI fnr Car Car, BVI fnr Car Car Car Car Char Char, BVI fnr Char Car Car Ca,10 pt"/>
    <w:link w:val="Char2"/>
    <w:uiPriority w:val="99"/>
    <w:unhideWhenUsed/>
    <w:qFormat/>
    <w:rsid w:val="00E60291"/>
    <w:rPr>
      <w:vertAlign w:val="superscript"/>
    </w:rPr>
  </w:style>
  <w:style w:type="character" w:styleId="FollowedHyperlink">
    <w:name w:val="FollowedHyperlink"/>
    <w:basedOn w:val="DefaultParagraphFont"/>
    <w:uiPriority w:val="99"/>
    <w:semiHidden/>
    <w:unhideWhenUsed/>
    <w:rsid w:val="00057431"/>
    <w:rPr>
      <w:color w:val="761706" w:themeColor="followedHyperlink"/>
      <w:u w:val="single"/>
    </w:rPr>
  </w:style>
  <w:style w:type="character" w:customStyle="1" w:styleId="UnresolvedMention1">
    <w:name w:val="Unresolved Mention1"/>
    <w:basedOn w:val="DefaultParagraphFont"/>
    <w:uiPriority w:val="99"/>
    <w:semiHidden/>
    <w:unhideWhenUsed/>
    <w:rsid w:val="00E36A61"/>
    <w:rPr>
      <w:color w:val="808080"/>
      <w:shd w:val="clear" w:color="auto" w:fill="E6E6E6"/>
    </w:rPr>
  </w:style>
  <w:style w:type="paragraph" w:customStyle="1" w:styleId="Char2">
    <w:name w:val="Char2"/>
    <w:basedOn w:val="Normal"/>
    <w:link w:val="FootnoteReference"/>
    <w:uiPriority w:val="99"/>
    <w:rsid w:val="0055703C"/>
    <w:pPr>
      <w:spacing w:after="160" w:line="240" w:lineRule="exact"/>
    </w:pPr>
    <w:rPr>
      <w:rFonts w:asciiTheme="minorHAnsi" w:eastAsiaTheme="minorHAnsi" w:hAnsiTheme="minorHAnsi" w:cstheme="minorBidi"/>
      <w:szCs w:val="22"/>
      <w:vertAlign w:val="superscript"/>
    </w:rPr>
  </w:style>
  <w:style w:type="character" w:customStyle="1" w:styleId="UnresolvedMention2">
    <w:name w:val="Unresolved Mention2"/>
    <w:basedOn w:val="DefaultParagraphFont"/>
    <w:uiPriority w:val="99"/>
    <w:semiHidden/>
    <w:unhideWhenUsed/>
    <w:rsid w:val="009B09B6"/>
    <w:rPr>
      <w:color w:val="605E5C"/>
      <w:shd w:val="clear" w:color="auto" w:fill="E1DFDD"/>
    </w:rPr>
  </w:style>
  <w:style w:type="paragraph" w:customStyle="1" w:styleId="xmsonormal">
    <w:name w:val="x_msonormal"/>
    <w:basedOn w:val="Normal"/>
    <w:rsid w:val="00416454"/>
    <w:pPr>
      <w:spacing w:before="100" w:beforeAutospacing="1" w:after="100" w:afterAutospacing="1"/>
    </w:pPr>
    <w:rPr>
      <w:rFonts w:ascii="Times New Roman" w:hAnsi="Times New Roman"/>
      <w:szCs w:val="24"/>
      <w:lang w:val="en-US"/>
    </w:rPr>
  </w:style>
  <w:style w:type="paragraph" w:styleId="NormalWeb">
    <w:name w:val="Normal (Web)"/>
    <w:basedOn w:val="Normal"/>
    <w:uiPriority w:val="99"/>
    <w:semiHidden/>
    <w:unhideWhenUsed/>
    <w:rsid w:val="00FA1160"/>
    <w:pPr>
      <w:spacing w:before="100" w:beforeAutospacing="1" w:after="100" w:afterAutospacing="1"/>
    </w:pPr>
    <w:rPr>
      <w:rFonts w:ascii="Times New Roman" w:hAnsi="Times New Roman"/>
      <w:szCs w:val="24"/>
      <w:lang w:val="en-US"/>
    </w:rPr>
  </w:style>
  <w:style w:type="character" w:customStyle="1" w:styleId="apple-converted-space">
    <w:name w:val="apple-converted-space"/>
    <w:basedOn w:val="DefaultParagraphFont"/>
    <w:rsid w:val="00FA1160"/>
  </w:style>
  <w:style w:type="paragraph" w:styleId="Revision">
    <w:name w:val="Revision"/>
    <w:hidden/>
    <w:uiPriority w:val="99"/>
    <w:semiHidden/>
    <w:rsid w:val="00CE7BB2"/>
    <w:pPr>
      <w:spacing w:after="0" w:line="240" w:lineRule="auto"/>
    </w:pPr>
    <w:rPr>
      <w:rFonts w:ascii="Gill Sans Infant Std" w:eastAsia="Times New Roman" w:hAnsi="Gill Sans Infant Std" w:cs="Times New Roman"/>
      <w:szCs w:val="20"/>
    </w:rPr>
  </w:style>
  <w:style w:type="paragraph" w:customStyle="1" w:styleId="xxmsonormal">
    <w:name w:val="x_xmsonormal"/>
    <w:basedOn w:val="Normal"/>
    <w:rsid w:val="00DC3233"/>
    <w:rPr>
      <w:rFonts w:ascii="Calibri" w:eastAsiaTheme="minorHAnsi" w:hAnsi="Calibri" w:cs="Calibri"/>
      <w:szCs w:val="22"/>
      <w:lang w:val="en-US"/>
    </w:rPr>
  </w:style>
  <w:style w:type="paragraph" w:customStyle="1" w:styleId="paragraph">
    <w:name w:val="paragraph"/>
    <w:basedOn w:val="Normal"/>
    <w:rsid w:val="00BD6EC8"/>
    <w:pPr>
      <w:spacing w:before="100" w:beforeAutospacing="1" w:after="100" w:afterAutospacing="1"/>
    </w:pPr>
    <w:rPr>
      <w:rFonts w:ascii="Times New Roman" w:hAnsi="Times New Roman"/>
      <w:szCs w:val="24"/>
      <w:lang w:val="sr-Latn-RS" w:eastAsia="sr-Latn-RS"/>
    </w:rPr>
  </w:style>
  <w:style w:type="character" w:customStyle="1" w:styleId="normaltextrun">
    <w:name w:val="normaltextrun"/>
    <w:basedOn w:val="DefaultParagraphFont"/>
    <w:rsid w:val="00BD6EC8"/>
  </w:style>
  <w:style w:type="character" w:customStyle="1" w:styleId="eop">
    <w:name w:val="eop"/>
    <w:basedOn w:val="DefaultParagraphFont"/>
    <w:rsid w:val="00BD6EC8"/>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uiPriority w:val="99"/>
    <w:rsid w:val="00C33559"/>
    <w:pPr>
      <w:spacing w:before="120"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284865">
      <w:bodyDiv w:val="1"/>
      <w:marLeft w:val="0"/>
      <w:marRight w:val="0"/>
      <w:marTop w:val="0"/>
      <w:marBottom w:val="0"/>
      <w:divBdr>
        <w:top w:val="none" w:sz="0" w:space="0" w:color="auto"/>
        <w:left w:val="none" w:sz="0" w:space="0" w:color="auto"/>
        <w:bottom w:val="none" w:sz="0" w:space="0" w:color="auto"/>
        <w:right w:val="none" w:sz="0" w:space="0" w:color="auto"/>
      </w:divBdr>
    </w:div>
    <w:div w:id="448666564">
      <w:bodyDiv w:val="1"/>
      <w:marLeft w:val="0"/>
      <w:marRight w:val="0"/>
      <w:marTop w:val="0"/>
      <w:marBottom w:val="0"/>
      <w:divBdr>
        <w:top w:val="none" w:sz="0" w:space="0" w:color="auto"/>
        <w:left w:val="none" w:sz="0" w:space="0" w:color="auto"/>
        <w:bottom w:val="none" w:sz="0" w:space="0" w:color="auto"/>
        <w:right w:val="none" w:sz="0" w:space="0" w:color="auto"/>
      </w:divBdr>
    </w:div>
    <w:div w:id="536819537">
      <w:bodyDiv w:val="1"/>
      <w:marLeft w:val="0"/>
      <w:marRight w:val="0"/>
      <w:marTop w:val="0"/>
      <w:marBottom w:val="0"/>
      <w:divBdr>
        <w:top w:val="none" w:sz="0" w:space="0" w:color="auto"/>
        <w:left w:val="none" w:sz="0" w:space="0" w:color="auto"/>
        <w:bottom w:val="none" w:sz="0" w:space="0" w:color="auto"/>
        <w:right w:val="none" w:sz="0" w:space="0" w:color="auto"/>
      </w:divBdr>
      <w:divsChild>
        <w:div w:id="115678342">
          <w:marLeft w:val="0"/>
          <w:marRight w:val="0"/>
          <w:marTop w:val="0"/>
          <w:marBottom w:val="0"/>
          <w:divBdr>
            <w:top w:val="none" w:sz="0" w:space="0" w:color="auto"/>
            <w:left w:val="none" w:sz="0" w:space="0" w:color="auto"/>
            <w:bottom w:val="none" w:sz="0" w:space="0" w:color="auto"/>
            <w:right w:val="none" w:sz="0" w:space="0" w:color="auto"/>
          </w:divBdr>
        </w:div>
        <w:div w:id="142043738">
          <w:marLeft w:val="0"/>
          <w:marRight w:val="0"/>
          <w:marTop w:val="0"/>
          <w:marBottom w:val="0"/>
          <w:divBdr>
            <w:top w:val="none" w:sz="0" w:space="0" w:color="auto"/>
            <w:left w:val="none" w:sz="0" w:space="0" w:color="auto"/>
            <w:bottom w:val="none" w:sz="0" w:space="0" w:color="auto"/>
            <w:right w:val="none" w:sz="0" w:space="0" w:color="auto"/>
          </w:divBdr>
        </w:div>
        <w:div w:id="255674367">
          <w:marLeft w:val="0"/>
          <w:marRight w:val="0"/>
          <w:marTop w:val="0"/>
          <w:marBottom w:val="0"/>
          <w:divBdr>
            <w:top w:val="none" w:sz="0" w:space="0" w:color="auto"/>
            <w:left w:val="none" w:sz="0" w:space="0" w:color="auto"/>
            <w:bottom w:val="none" w:sz="0" w:space="0" w:color="auto"/>
            <w:right w:val="none" w:sz="0" w:space="0" w:color="auto"/>
          </w:divBdr>
        </w:div>
        <w:div w:id="285628581">
          <w:marLeft w:val="0"/>
          <w:marRight w:val="0"/>
          <w:marTop w:val="0"/>
          <w:marBottom w:val="0"/>
          <w:divBdr>
            <w:top w:val="none" w:sz="0" w:space="0" w:color="auto"/>
            <w:left w:val="none" w:sz="0" w:space="0" w:color="auto"/>
            <w:bottom w:val="none" w:sz="0" w:space="0" w:color="auto"/>
            <w:right w:val="none" w:sz="0" w:space="0" w:color="auto"/>
          </w:divBdr>
        </w:div>
        <w:div w:id="336035705">
          <w:marLeft w:val="0"/>
          <w:marRight w:val="0"/>
          <w:marTop w:val="0"/>
          <w:marBottom w:val="0"/>
          <w:divBdr>
            <w:top w:val="none" w:sz="0" w:space="0" w:color="auto"/>
            <w:left w:val="none" w:sz="0" w:space="0" w:color="auto"/>
            <w:bottom w:val="none" w:sz="0" w:space="0" w:color="auto"/>
            <w:right w:val="none" w:sz="0" w:space="0" w:color="auto"/>
          </w:divBdr>
        </w:div>
        <w:div w:id="345333104">
          <w:marLeft w:val="0"/>
          <w:marRight w:val="0"/>
          <w:marTop w:val="0"/>
          <w:marBottom w:val="0"/>
          <w:divBdr>
            <w:top w:val="none" w:sz="0" w:space="0" w:color="auto"/>
            <w:left w:val="none" w:sz="0" w:space="0" w:color="auto"/>
            <w:bottom w:val="none" w:sz="0" w:space="0" w:color="auto"/>
            <w:right w:val="none" w:sz="0" w:space="0" w:color="auto"/>
          </w:divBdr>
        </w:div>
        <w:div w:id="607008629">
          <w:marLeft w:val="0"/>
          <w:marRight w:val="0"/>
          <w:marTop w:val="0"/>
          <w:marBottom w:val="0"/>
          <w:divBdr>
            <w:top w:val="none" w:sz="0" w:space="0" w:color="auto"/>
            <w:left w:val="none" w:sz="0" w:space="0" w:color="auto"/>
            <w:bottom w:val="none" w:sz="0" w:space="0" w:color="auto"/>
            <w:right w:val="none" w:sz="0" w:space="0" w:color="auto"/>
          </w:divBdr>
        </w:div>
        <w:div w:id="832523631">
          <w:marLeft w:val="0"/>
          <w:marRight w:val="0"/>
          <w:marTop w:val="0"/>
          <w:marBottom w:val="0"/>
          <w:divBdr>
            <w:top w:val="none" w:sz="0" w:space="0" w:color="auto"/>
            <w:left w:val="none" w:sz="0" w:space="0" w:color="auto"/>
            <w:bottom w:val="none" w:sz="0" w:space="0" w:color="auto"/>
            <w:right w:val="none" w:sz="0" w:space="0" w:color="auto"/>
          </w:divBdr>
        </w:div>
        <w:div w:id="835455872">
          <w:marLeft w:val="0"/>
          <w:marRight w:val="0"/>
          <w:marTop w:val="0"/>
          <w:marBottom w:val="0"/>
          <w:divBdr>
            <w:top w:val="none" w:sz="0" w:space="0" w:color="auto"/>
            <w:left w:val="none" w:sz="0" w:space="0" w:color="auto"/>
            <w:bottom w:val="none" w:sz="0" w:space="0" w:color="auto"/>
            <w:right w:val="none" w:sz="0" w:space="0" w:color="auto"/>
          </w:divBdr>
        </w:div>
        <w:div w:id="893270894">
          <w:marLeft w:val="0"/>
          <w:marRight w:val="0"/>
          <w:marTop w:val="0"/>
          <w:marBottom w:val="0"/>
          <w:divBdr>
            <w:top w:val="none" w:sz="0" w:space="0" w:color="auto"/>
            <w:left w:val="none" w:sz="0" w:space="0" w:color="auto"/>
            <w:bottom w:val="none" w:sz="0" w:space="0" w:color="auto"/>
            <w:right w:val="none" w:sz="0" w:space="0" w:color="auto"/>
          </w:divBdr>
        </w:div>
        <w:div w:id="900167657">
          <w:marLeft w:val="0"/>
          <w:marRight w:val="0"/>
          <w:marTop w:val="0"/>
          <w:marBottom w:val="0"/>
          <w:divBdr>
            <w:top w:val="none" w:sz="0" w:space="0" w:color="auto"/>
            <w:left w:val="none" w:sz="0" w:space="0" w:color="auto"/>
            <w:bottom w:val="none" w:sz="0" w:space="0" w:color="auto"/>
            <w:right w:val="none" w:sz="0" w:space="0" w:color="auto"/>
          </w:divBdr>
        </w:div>
        <w:div w:id="935864814">
          <w:marLeft w:val="0"/>
          <w:marRight w:val="0"/>
          <w:marTop w:val="0"/>
          <w:marBottom w:val="0"/>
          <w:divBdr>
            <w:top w:val="none" w:sz="0" w:space="0" w:color="auto"/>
            <w:left w:val="none" w:sz="0" w:space="0" w:color="auto"/>
            <w:bottom w:val="none" w:sz="0" w:space="0" w:color="auto"/>
            <w:right w:val="none" w:sz="0" w:space="0" w:color="auto"/>
          </w:divBdr>
        </w:div>
        <w:div w:id="1023941569">
          <w:marLeft w:val="0"/>
          <w:marRight w:val="0"/>
          <w:marTop w:val="0"/>
          <w:marBottom w:val="0"/>
          <w:divBdr>
            <w:top w:val="none" w:sz="0" w:space="0" w:color="auto"/>
            <w:left w:val="none" w:sz="0" w:space="0" w:color="auto"/>
            <w:bottom w:val="none" w:sz="0" w:space="0" w:color="auto"/>
            <w:right w:val="none" w:sz="0" w:space="0" w:color="auto"/>
          </w:divBdr>
        </w:div>
        <w:div w:id="1060206643">
          <w:marLeft w:val="0"/>
          <w:marRight w:val="0"/>
          <w:marTop w:val="0"/>
          <w:marBottom w:val="0"/>
          <w:divBdr>
            <w:top w:val="none" w:sz="0" w:space="0" w:color="auto"/>
            <w:left w:val="none" w:sz="0" w:space="0" w:color="auto"/>
            <w:bottom w:val="none" w:sz="0" w:space="0" w:color="auto"/>
            <w:right w:val="none" w:sz="0" w:space="0" w:color="auto"/>
          </w:divBdr>
        </w:div>
        <w:div w:id="1131171530">
          <w:marLeft w:val="0"/>
          <w:marRight w:val="0"/>
          <w:marTop w:val="0"/>
          <w:marBottom w:val="0"/>
          <w:divBdr>
            <w:top w:val="none" w:sz="0" w:space="0" w:color="auto"/>
            <w:left w:val="none" w:sz="0" w:space="0" w:color="auto"/>
            <w:bottom w:val="none" w:sz="0" w:space="0" w:color="auto"/>
            <w:right w:val="none" w:sz="0" w:space="0" w:color="auto"/>
          </w:divBdr>
        </w:div>
        <w:div w:id="1194079967">
          <w:marLeft w:val="0"/>
          <w:marRight w:val="0"/>
          <w:marTop w:val="0"/>
          <w:marBottom w:val="0"/>
          <w:divBdr>
            <w:top w:val="none" w:sz="0" w:space="0" w:color="auto"/>
            <w:left w:val="none" w:sz="0" w:space="0" w:color="auto"/>
            <w:bottom w:val="none" w:sz="0" w:space="0" w:color="auto"/>
            <w:right w:val="none" w:sz="0" w:space="0" w:color="auto"/>
          </w:divBdr>
        </w:div>
        <w:div w:id="1325475591">
          <w:marLeft w:val="0"/>
          <w:marRight w:val="0"/>
          <w:marTop w:val="0"/>
          <w:marBottom w:val="0"/>
          <w:divBdr>
            <w:top w:val="none" w:sz="0" w:space="0" w:color="auto"/>
            <w:left w:val="none" w:sz="0" w:space="0" w:color="auto"/>
            <w:bottom w:val="none" w:sz="0" w:space="0" w:color="auto"/>
            <w:right w:val="none" w:sz="0" w:space="0" w:color="auto"/>
          </w:divBdr>
        </w:div>
        <w:div w:id="1395396202">
          <w:marLeft w:val="0"/>
          <w:marRight w:val="0"/>
          <w:marTop w:val="0"/>
          <w:marBottom w:val="0"/>
          <w:divBdr>
            <w:top w:val="none" w:sz="0" w:space="0" w:color="auto"/>
            <w:left w:val="none" w:sz="0" w:space="0" w:color="auto"/>
            <w:bottom w:val="none" w:sz="0" w:space="0" w:color="auto"/>
            <w:right w:val="none" w:sz="0" w:space="0" w:color="auto"/>
          </w:divBdr>
        </w:div>
        <w:div w:id="1528178523">
          <w:marLeft w:val="0"/>
          <w:marRight w:val="0"/>
          <w:marTop w:val="0"/>
          <w:marBottom w:val="0"/>
          <w:divBdr>
            <w:top w:val="none" w:sz="0" w:space="0" w:color="auto"/>
            <w:left w:val="none" w:sz="0" w:space="0" w:color="auto"/>
            <w:bottom w:val="none" w:sz="0" w:space="0" w:color="auto"/>
            <w:right w:val="none" w:sz="0" w:space="0" w:color="auto"/>
          </w:divBdr>
        </w:div>
        <w:div w:id="1673220665">
          <w:marLeft w:val="0"/>
          <w:marRight w:val="0"/>
          <w:marTop w:val="0"/>
          <w:marBottom w:val="0"/>
          <w:divBdr>
            <w:top w:val="none" w:sz="0" w:space="0" w:color="auto"/>
            <w:left w:val="none" w:sz="0" w:space="0" w:color="auto"/>
            <w:bottom w:val="none" w:sz="0" w:space="0" w:color="auto"/>
            <w:right w:val="none" w:sz="0" w:space="0" w:color="auto"/>
          </w:divBdr>
        </w:div>
        <w:div w:id="1720589385">
          <w:marLeft w:val="0"/>
          <w:marRight w:val="0"/>
          <w:marTop w:val="0"/>
          <w:marBottom w:val="0"/>
          <w:divBdr>
            <w:top w:val="none" w:sz="0" w:space="0" w:color="auto"/>
            <w:left w:val="none" w:sz="0" w:space="0" w:color="auto"/>
            <w:bottom w:val="none" w:sz="0" w:space="0" w:color="auto"/>
            <w:right w:val="none" w:sz="0" w:space="0" w:color="auto"/>
          </w:divBdr>
        </w:div>
        <w:div w:id="1746293813">
          <w:marLeft w:val="0"/>
          <w:marRight w:val="0"/>
          <w:marTop w:val="0"/>
          <w:marBottom w:val="0"/>
          <w:divBdr>
            <w:top w:val="none" w:sz="0" w:space="0" w:color="auto"/>
            <w:left w:val="none" w:sz="0" w:space="0" w:color="auto"/>
            <w:bottom w:val="none" w:sz="0" w:space="0" w:color="auto"/>
            <w:right w:val="none" w:sz="0" w:space="0" w:color="auto"/>
          </w:divBdr>
        </w:div>
        <w:div w:id="1995062912">
          <w:marLeft w:val="0"/>
          <w:marRight w:val="0"/>
          <w:marTop w:val="0"/>
          <w:marBottom w:val="0"/>
          <w:divBdr>
            <w:top w:val="none" w:sz="0" w:space="0" w:color="auto"/>
            <w:left w:val="none" w:sz="0" w:space="0" w:color="auto"/>
            <w:bottom w:val="none" w:sz="0" w:space="0" w:color="auto"/>
            <w:right w:val="none" w:sz="0" w:space="0" w:color="auto"/>
          </w:divBdr>
        </w:div>
        <w:div w:id="2045861408">
          <w:marLeft w:val="0"/>
          <w:marRight w:val="0"/>
          <w:marTop w:val="0"/>
          <w:marBottom w:val="0"/>
          <w:divBdr>
            <w:top w:val="none" w:sz="0" w:space="0" w:color="auto"/>
            <w:left w:val="none" w:sz="0" w:space="0" w:color="auto"/>
            <w:bottom w:val="none" w:sz="0" w:space="0" w:color="auto"/>
            <w:right w:val="none" w:sz="0" w:space="0" w:color="auto"/>
          </w:divBdr>
        </w:div>
      </w:divsChild>
    </w:div>
    <w:div w:id="671296959">
      <w:bodyDiv w:val="1"/>
      <w:marLeft w:val="0"/>
      <w:marRight w:val="0"/>
      <w:marTop w:val="0"/>
      <w:marBottom w:val="0"/>
      <w:divBdr>
        <w:top w:val="none" w:sz="0" w:space="0" w:color="auto"/>
        <w:left w:val="none" w:sz="0" w:space="0" w:color="auto"/>
        <w:bottom w:val="none" w:sz="0" w:space="0" w:color="auto"/>
        <w:right w:val="none" w:sz="0" w:space="0" w:color="auto"/>
      </w:divBdr>
      <w:divsChild>
        <w:div w:id="153880259">
          <w:marLeft w:val="0"/>
          <w:marRight w:val="0"/>
          <w:marTop w:val="0"/>
          <w:marBottom w:val="0"/>
          <w:divBdr>
            <w:top w:val="none" w:sz="0" w:space="0" w:color="auto"/>
            <w:left w:val="none" w:sz="0" w:space="0" w:color="auto"/>
            <w:bottom w:val="none" w:sz="0" w:space="0" w:color="auto"/>
            <w:right w:val="none" w:sz="0" w:space="0" w:color="auto"/>
          </w:divBdr>
        </w:div>
        <w:div w:id="1381048951">
          <w:marLeft w:val="0"/>
          <w:marRight w:val="0"/>
          <w:marTop w:val="0"/>
          <w:marBottom w:val="0"/>
          <w:divBdr>
            <w:top w:val="none" w:sz="0" w:space="0" w:color="auto"/>
            <w:left w:val="none" w:sz="0" w:space="0" w:color="auto"/>
            <w:bottom w:val="none" w:sz="0" w:space="0" w:color="auto"/>
            <w:right w:val="none" w:sz="0" w:space="0" w:color="auto"/>
          </w:divBdr>
        </w:div>
        <w:div w:id="1402604874">
          <w:marLeft w:val="0"/>
          <w:marRight w:val="0"/>
          <w:marTop w:val="0"/>
          <w:marBottom w:val="0"/>
          <w:divBdr>
            <w:top w:val="none" w:sz="0" w:space="0" w:color="auto"/>
            <w:left w:val="none" w:sz="0" w:space="0" w:color="auto"/>
            <w:bottom w:val="none" w:sz="0" w:space="0" w:color="auto"/>
            <w:right w:val="none" w:sz="0" w:space="0" w:color="auto"/>
          </w:divBdr>
        </w:div>
        <w:div w:id="1569029535">
          <w:marLeft w:val="0"/>
          <w:marRight w:val="0"/>
          <w:marTop w:val="0"/>
          <w:marBottom w:val="0"/>
          <w:divBdr>
            <w:top w:val="none" w:sz="0" w:space="0" w:color="auto"/>
            <w:left w:val="none" w:sz="0" w:space="0" w:color="auto"/>
            <w:bottom w:val="none" w:sz="0" w:space="0" w:color="auto"/>
            <w:right w:val="none" w:sz="0" w:space="0" w:color="auto"/>
          </w:divBdr>
        </w:div>
        <w:div w:id="1624267727">
          <w:marLeft w:val="0"/>
          <w:marRight w:val="0"/>
          <w:marTop w:val="0"/>
          <w:marBottom w:val="0"/>
          <w:divBdr>
            <w:top w:val="none" w:sz="0" w:space="0" w:color="auto"/>
            <w:left w:val="none" w:sz="0" w:space="0" w:color="auto"/>
            <w:bottom w:val="none" w:sz="0" w:space="0" w:color="auto"/>
            <w:right w:val="none" w:sz="0" w:space="0" w:color="auto"/>
          </w:divBdr>
        </w:div>
        <w:div w:id="1758937354">
          <w:marLeft w:val="0"/>
          <w:marRight w:val="0"/>
          <w:marTop w:val="0"/>
          <w:marBottom w:val="0"/>
          <w:divBdr>
            <w:top w:val="none" w:sz="0" w:space="0" w:color="auto"/>
            <w:left w:val="none" w:sz="0" w:space="0" w:color="auto"/>
            <w:bottom w:val="none" w:sz="0" w:space="0" w:color="auto"/>
            <w:right w:val="none" w:sz="0" w:space="0" w:color="auto"/>
          </w:divBdr>
        </w:div>
      </w:divsChild>
    </w:div>
    <w:div w:id="685332981">
      <w:bodyDiv w:val="1"/>
      <w:marLeft w:val="0"/>
      <w:marRight w:val="0"/>
      <w:marTop w:val="0"/>
      <w:marBottom w:val="0"/>
      <w:divBdr>
        <w:top w:val="none" w:sz="0" w:space="0" w:color="auto"/>
        <w:left w:val="none" w:sz="0" w:space="0" w:color="auto"/>
        <w:bottom w:val="none" w:sz="0" w:space="0" w:color="auto"/>
        <w:right w:val="none" w:sz="0" w:space="0" w:color="auto"/>
      </w:divBdr>
    </w:div>
    <w:div w:id="753942043">
      <w:bodyDiv w:val="1"/>
      <w:marLeft w:val="0"/>
      <w:marRight w:val="0"/>
      <w:marTop w:val="0"/>
      <w:marBottom w:val="0"/>
      <w:divBdr>
        <w:top w:val="none" w:sz="0" w:space="0" w:color="auto"/>
        <w:left w:val="none" w:sz="0" w:space="0" w:color="auto"/>
        <w:bottom w:val="none" w:sz="0" w:space="0" w:color="auto"/>
        <w:right w:val="none" w:sz="0" w:space="0" w:color="auto"/>
      </w:divBdr>
    </w:div>
    <w:div w:id="757598996">
      <w:bodyDiv w:val="1"/>
      <w:marLeft w:val="0"/>
      <w:marRight w:val="0"/>
      <w:marTop w:val="0"/>
      <w:marBottom w:val="0"/>
      <w:divBdr>
        <w:top w:val="none" w:sz="0" w:space="0" w:color="auto"/>
        <w:left w:val="none" w:sz="0" w:space="0" w:color="auto"/>
        <w:bottom w:val="none" w:sz="0" w:space="0" w:color="auto"/>
        <w:right w:val="none" w:sz="0" w:space="0" w:color="auto"/>
      </w:divBdr>
    </w:div>
    <w:div w:id="858082648">
      <w:bodyDiv w:val="1"/>
      <w:marLeft w:val="0"/>
      <w:marRight w:val="0"/>
      <w:marTop w:val="0"/>
      <w:marBottom w:val="0"/>
      <w:divBdr>
        <w:top w:val="none" w:sz="0" w:space="0" w:color="auto"/>
        <w:left w:val="none" w:sz="0" w:space="0" w:color="auto"/>
        <w:bottom w:val="none" w:sz="0" w:space="0" w:color="auto"/>
        <w:right w:val="none" w:sz="0" w:space="0" w:color="auto"/>
      </w:divBdr>
    </w:div>
    <w:div w:id="1025181373">
      <w:bodyDiv w:val="1"/>
      <w:marLeft w:val="0"/>
      <w:marRight w:val="0"/>
      <w:marTop w:val="0"/>
      <w:marBottom w:val="0"/>
      <w:divBdr>
        <w:top w:val="none" w:sz="0" w:space="0" w:color="auto"/>
        <w:left w:val="none" w:sz="0" w:space="0" w:color="auto"/>
        <w:bottom w:val="none" w:sz="0" w:space="0" w:color="auto"/>
        <w:right w:val="none" w:sz="0" w:space="0" w:color="auto"/>
      </w:divBdr>
    </w:div>
    <w:div w:id="1096902358">
      <w:bodyDiv w:val="1"/>
      <w:marLeft w:val="0"/>
      <w:marRight w:val="0"/>
      <w:marTop w:val="0"/>
      <w:marBottom w:val="0"/>
      <w:divBdr>
        <w:top w:val="none" w:sz="0" w:space="0" w:color="auto"/>
        <w:left w:val="none" w:sz="0" w:space="0" w:color="auto"/>
        <w:bottom w:val="none" w:sz="0" w:space="0" w:color="auto"/>
        <w:right w:val="none" w:sz="0" w:space="0" w:color="auto"/>
      </w:divBdr>
    </w:div>
    <w:div w:id="1169517953">
      <w:bodyDiv w:val="1"/>
      <w:marLeft w:val="0"/>
      <w:marRight w:val="0"/>
      <w:marTop w:val="0"/>
      <w:marBottom w:val="0"/>
      <w:divBdr>
        <w:top w:val="none" w:sz="0" w:space="0" w:color="auto"/>
        <w:left w:val="none" w:sz="0" w:space="0" w:color="auto"/>
        <w:bottom w:val="none" w:sz="0" w:space="0" w:color="auto"/>
        <w:right w:val="none" w:sz="0" w:space="0" w:color="auto"/>
      </w:divBdr>
    </w:div>
    <w:div w:id="1226339197">
      <w:bodyDiv w:val="1"/>
      <w:marLeft w:val="0"/>
      <w:marRight w:val="0"/>
      <w:marTop w:val="0"/>
      <w:marBottom w:val="0"/>
      <w:divBdr>
        <w:top w:val="none" w:sz="0" w:space="0" w:color="auto"/>
        <w:left w:val="none" w:sz="0" w:space="0" w:color="auto"/>
        <w:bottom w:val="none" w:sz="0" w:space="0" w:color="auto"/>
        <w:right w:val="none" w:sz="0" w:space="0" w:color="auto"/>
      </w:divBdr>
    </w:div>
    <w:div w:id="1543978995">
      <w:bodyDiv w:val="1"/>
      <w:marLeft w:val="0"/>
      <w:marRight w:val="0"/>
      <w:marTop w:val="0"/>
      <w:marBottom w:val="0"/>
      <w:divBdr>
        <w:top w:val="none" w:sz="0" w:space="0" w:color="auto"/>
        <w:left w:val="none" w:sz="0" w:space="0" w:color="auto"/>
        <w:bottom w:val="none" w:sz="0" w:space="0" w:color="auto"/>
        <w:right w:val="none" w:sz="0" w:space="0" w:color="auto"/>
      </w:divBdr>
    </w:div>
    <w:div w:id="1556426058">
      <w:bodyDiv w:val="1"/>
      <w:marLeft w:val="0"/>
      <w:marRight w:val="0"/>
      <w:marTop w:val="0"/>
      <w:marBottom w:val="0"/>
      <w:divBdr>
        <w:top w:val="none" w:sz="0" w:space="0" w:color="auto"/>
        <w:left w:val="none" w:sz="0" w:space="0" w:color="auto"/>
        <w:bottom w:val="none" w:sz="0" w:space="0" w:color="auto"/>
        <w:right w:val="none" w:sz="0" w:space="0" w:color="auto"/>
      </w:divBdr>
      <w:divsChild>
        <w:div w:id="1243294749">
          <w:marLeft w:val="0"/>
          <w:marRight w:val="0"/>
          <w:marTop w:val="0"/>
          <w:marBottom w:val="0"/>
          <w:divBdr>
            <w:top w:val="none" w:sz="0" w:space="0" w:color="auto"/>
            <w:left w:val="none" w:sz="0" w:space="0" w:color="auto"/>
            <w:bottom w:val="none" w:sz="0" w:space="0" w:color="auto"/>
            <w:right w:val="none" w:sz="0" w:space="0" w:color="auto"/>
          </w:divBdr>
        </w:div>
      </w:divsChild>
    </w:div>
    <w:div w:id="1627930644">
      <w:bodyDiv w:val="1"/>
      <w:marLeft w:val="0"/>
      <w:marRight w:val="0"/>
      <w:marTop w:val="0"/>
      <w:marBottom w:val="0"/>
      <w:divBdr>
        <w:top w:val="none" w:sz="0" w:space="0" w:color="auto"/>
        <w:left w:val="none" w:sz="0" w:space="0" w:color="auto"/>
        <w:bottom w:val="none" w:sz="0" w:space="0" w:color="auto"/>
        <w:right w:val="none" w:sz="0" w:space="0" w:color="auto"/>
      </w:divBdr>
    </w:div>
    <w:div w:id="1856339463">
      <w:bodyDiv w:val="1"/>
      <w:marLeft w:val="0"/>
      <w:marRight w:val="0"/>
      <w:marTop w:val="0"/>
      <w:marBottom w:val="0"/>
      <w:divBdr>
        <w:top w:val="none" w:sz="0" w:space="0" w:color="auto"/>
        <w:left w:val="none" w:sz="0" w:space="0" w:color="auto"/>
        <w:bottom w:val="none" w:sz="0" w:space="0" w:color="auto"/>
        <w:right w:val="none" w:sz="0" w:space="0" w:color="auto"/>
      </w:divBdr>
    </w:div>
    <w:div w:id="1997104176">
      <w:bodyDiv w:val="1"/>
      <w:marLeft w:val="0"/>
      <w:marRight w:val="0"/>
      <w:marTop w:val="0"/>
      <w:marBottom w:val="0"/>
      <w:divBdr>
        <w:top w:val="none" w:sz="0" w:space="0" w:color="auto"/>
        <w:left w:val="none" w:sz="0" w:space="0" w:color="auto"/>
        <w:bottom w:val="none" w:sz="0" w:space="0" w:color="auto"/>
        <w:right w:val="none" w:sz="0" w:space="0" w:color="auto"/>
      </w:divBdr>
    </w:div>
    <w:div w:id="203669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ef40ad67daaf42c4"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bit.ly/3aVxSsw" TargetMode="External"/><Relationship Id="rId7" Type="http://schemas.openxmlformats.org/officeDocument/2006/relationships/hyperlink" Target="https://bit.ly/3G0vJtr" TargetMode="External"/><Relationship Id="rId2" Type="http://schemas.openxmlformats.org/officeDocument/2006/relationships/hyperlink" Target="https://bit.ly/3tK8WLG" TargetMode="External"/><Relationship Id="rId1" Type="http://schemas.openxmlformats.org/officeDocument/2006/relationships/hyperlink" Target="http://bit.ly/2PYg1rd" TargetMode="External"/><Relationship Id="rId6" Type="http://schemas.openxmlformats.org/officeDocument/2006/relationships/hyperlink" Target="https://bit.ly/3aVxSsw" TargetMode="External"/><Relationship Id="rId5" Type="http://schemas.openxmlformats.org/officeDocument/2006/relationships/hyperlink" Target="https://bit.ly/3w85D2u" TargetMode="External"/><Relationship Id="rId4" Type="http://schemas.openxmlformats.org/officeDocument/2006/relationships/hyperlink" Target="https://bit.ly/3eJJGR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aham\AppData\Local\Microsoft\Windows\Temporary%20Internet%20Files\Content.Outlook\9A1YSHTU\STC-blanktemplate.dotx" TargetMode="External"/></Relationships>
</file>

<file path=word/theme/theme1.xml><?xml version="1.0" encoding="utf-8"?>
<a:theme xmlns:a="http://schemas.openxmlformats.org/drawingml/2006/main" name="Office Theme">
  <a:themeElements>
    <a:clrScheme name="Save the Children colour theme">
      <a:dk1>
        <a:sysClr val="windowText" lastClr="000000"/>
      </a:dk1>
      <a:lt1>
        <a:srgbClr val="FFFFFF"/>
      </a:lt1>
      <a:dk2>
        <a:srgbClr val="FFFFFF"/>
      </a:dk2>
      <a:lt2>
        <a:srgbClr val="DA291C"/>
      </a:lt2>
      <a:accent1>
        <a:srgbClr val="DA291C"/>
      </a:accent1>
      <a:accent2>
        <a:srgbClr val="D1CCBD"/>
      </a:accent2>
      <a:accent3>
        <a:srgbClr val="9A3324"/>
      </a:accent3>
      <a:accent4>
        <a:srgbClr val="FF4C02"/>
      </a:accent4>
      <a:accent5>
        <a:srgbClr val="F2A900"/>
      </a:accent5>
      <a:accent6>
        <a:srgbClr val="009CA6"/>
      </a:accent6>
      <a:hlink>
        <a:srgbClr val="DA291C"/>
      </a:hlink>
      <a:folHlink>
        <a:srgbClr val="761706"/>
      </a:folHlink>
    </a:clrScheme>
    <a:fontScheme name="Save the Children font theme">
      <a:majorFont>
        <a:latin typeface="Gill Sans Infant Std"/>
        <a:ea typeface=""/>
        <a:cs typeface=""/>
      </a:majorFont>
      <a:minorFont>
        <a:latin typeface="Gill Sans Infant St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F3F2B-F409-4E36-9EA5-7B0F10DDE727}">
  <ds:schemaRefs>
    <ds:schemaRef ds:uri="http://schemas.microsoft.com/sharepoint/v3/contenttype/forms"/>
  </ds:schemaRefs>
</ds:datastoreItem>
</file>

<file path=customXml/itemProps2.xml><?xml version="1.0" encoding="utf-8"?>
<ds:datastoreItem xmlns:ds="http://schemas.openxmlformats.org/officeDocument/2006/customXml" ds:itemID="{5A453E03-DD5B-4DAB-8673-783439D40F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4551c50-0325-424d-8a36-9dca3f401a6f"/>
    <ds:schemaRef ds:uri="http://www.w3.org/XML/1998/namespace"/>
    <ds:schemaRef ds:uri="http://purl.org/dc/dcmitype/"/>
  </ds:schemaRefs>
</ds:datastoreItem>
</file>

<file path=customXml/itemProps3.xml><?xml version="1.0" encoding="utf-8"?>
<ds:datastoreItem xmlns:ds="http://schemas.openxmlformats.org/officeDocument/2006/customXml" ds:itemID="{CF7EC252-4F85-4DA0-8E9B-15CCC7D160FE}"/>
</file>

<file path=customXml/itemProps4.xml><?xml version="1.0" encoding="utf-8"?>
<ds:datastoreItem xmlns:ds="http://schemas.openxmlformats.org/officeDocument/2006/customXml" ds:itemID="{B1A4D268-14D4-427D-9DC2-78E61AAC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STC-blanktemplate.dotx</Template>
  <TotalTime>1</TotalTime>
  <Pages>8</Pages>
  <Words>2516</Words>
  <Characters>14346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Save the Children</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Abraham</dc:creator>
  <cp:keywords/>
  <dc:description/>
  <cp:lastModifiedBy>REYNAUD Céline</cp:lastModifiedBy>
  <cp:revision>2</cp:revision>
  <cp:lastPrinted>2016-04-22T11:15:00Z</cp:lastPrinted>
  <dcterms:created xsi:type="dcterms:W3CDTF">2022-01-17T09:38:00Z</dcterms:created>
  <dcterms:modified xsi:type="dcterms:W3CDTF">2022-01-17T09:38:00Z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