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1611E" w14:paraId="07FC1516" w14:textId="77777777">
        <w:trPr>
          <w:cantSplit/>
          <w:trHeight w:hRule="exact" w:val="851"/>
        </w:trPr>
        <w:tc>
          <w:tcPr>
            <w:tcW w:w="1276" w:type="dxa"/>
            <w:tcBorders>
              <w:bottom w:val="single" w:sz="4" w:space="0" w:color="auto"/>
            </w:tcBorders>
            <w:vAlign w:val="bottom"/>
          </w:tcPr>
          <w:p w14:paraId="7D48D451" w14:textId="66CA0E1D" w:rsidR="00023A38" w:rsidRDefault="00023A38">
            <w:pPr>
              <w:spacing w:after="80"/>
            </w:pPr>
          </w:p>
        </w:tc>
        <w:tc>
          <w:tcPr>
            <w:tcW w:w="2268" w:type="dxa"/>
            <w:tcBorders>
              <w:bottom w:val="single" w:sz="4" w:space="0" w:color="auto"/>
            </w:tcBorders>
            <w:vAlign w:val="bottom"/>
          </w:tcPr>
          <w:p w14:paraId="6E062228" w14:textId="3E4E8ED3"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EA0CBA">
            <w:pPr>
              <w:suppressAutoHyphens w:val="0"/>
              <w:spacing w:after="20"/>
              <w:jc w:val="right"/>
            </w:pPr>
            <w:r>
              <w:rPr>
                <w:sz w:val="40"/>
              </w:rPr>
              <w:t>CEDAW</w:t>
            </w:r>
            <w:r>
              <w:t>/C/SWE/FCO/10</w:t>
            </w:r>
          </w:p>
        </w:tc>
      </w:tr>
      <w:tr w:rsidR="0091611E" w14:paraId="01ABAEEA" w14:textId="77777777">
        <w:trPr>
          <w:cantSplit/>
          <w:trHeight w:hRule="exact" w:val="2835"/>
        </w:trPr>
        <w:tc>
          <w:tcPr>
            <w:tcW w:w="1276" w:type="dxa"/>
            <w:tcBorders>
              <w:top w:val="single" w:sz="4" w:space="0" w:color="auto"/>
              <w:bottom w:val="single" w:sz="12" w:space="0" w:color="auto"/>
            </w:tcBorders>
          </w:tcPr>
          <w:p w14:paraId="6CC19EAB" w14:textId="708C6A17" w:rsidR="00023A38" w:rsidRDefault="00023A38">
            <w:pPr>
              <w:spacing w:before="120"/>
              <w:jc w:val="center"/>
            </w:pPr>
          </w:p>
        </w:tc>
        <w:tc>
          <w:tcPr>
            <w:tcW w:w="5528" w:type="dxa"/>
            <w:gridSpan w:val="2"/>
            <w:tcBorders>
              <w:top w:val="single" w:sz="4" w:space="0" w:color="auto"/>
              <w:bottom w:val="single" w:sz="12" w:space="0" w:color="auto"/>
            </w:tcBorders>
          </w:tcPr>
          <w:p w14:paraId="5AF0F05E" w14:textId="39826352" w:rsidR="00023A38" w:rsidRDefault="00677404">
            <w:pPr>
              <w:spacing w:before="120" w:line="380" w:lineRule="exact"/>
              <w:rPr>
                <w:b/>
                <w:sz w:val="34"/>
                <w:szCs w:val="40"/>
              </w:rPr>
            </w:pPr>
            <w:r>
              <w:rPr>
                <w:b/>
                <w:sz w:val="34"/>
                <w:szCs w:val="40"/>
              </w:rPr>
              <w:t xml:space="preserve">Advance </w:t>
            </w:r>
            <w:r w:rsidR="005A5A97">
              <w:rPr>
                <w:b/>
                <w:sz w:val="34"/>
                <w:szCs w:val="40"/>
              </w:rPr>
              <w:t>unedited version</w:t>
            </w:r>
          </w:p>
        </w:tc>
        <w:tc>
          <w:tcPr>
            <w:tcW w:w="2835" w:type="dxa"/>
            <w:tcBorders>
              <w:top w:val="single" w:sz="4" w:space="0" w:color="auto"/>
              <w:bottom w:val="single" w:sz="12" w:space="0" w:color="auto"/>
            </w:tcBorders>
          </w:tcPr>
          <w:p w14:paraId="684235DD" w14:textId="77777777" w:rsidR="00023A38" w:rsidRPr="004C166D" w:rsidRDefault="00EA0CBA">
            <w:pPr>
              <w:suppressAutoHyphens w:val="0"/>
              <w:spacing w:before="240" w:line="240" w:lineRule="exact"/>
              <w:rPr>
                <w:lang w:val="en-US"/>
              </w:rPr>
            </w:pPr>
            <w:r w:rsidRPr="004C166D">
              <w:rPr>
                <w:lang w:val="en-US"/>
              </w:rPr>
              <w:t>Distr.: General</w:t>
            </w:r>
          </w:p>
          <w:p w14:paraId="4F1958D1" w14:textId="77777777" w:rsidR="00023A38" w:rsidRPr="004C166D" w:rsidRDefault="007F4501">
            <w:pPr>
              <w:suppressAutoHyphens w:val="0"/>
              <w:rPr>
                <w:lang w:val="en-US"/>
              </w:rPr>
            </w:pPr>
            <w:r w:rsidRPr="004C166D">
              <w:rPr>
                <w:lang w:val="en-US"/>
              </w:rPr>
              <w:t>16 September 2024</w:t>
            </w:r>
          </w:p>
          <w:p w14:paraId="1A713B98" w14:textId="77777777" w:rsidR="00023A38" w:rsidRPr="004C166D" w:rsidRDefault="00023A38">
            <w:pPr>
              <w:suppressAutoHyphens w:val="0"/>
              <w:rPr>
                <w:lang w:val="en-US"/>
              </w:rPr>
            </w:pPr>
          </w:p>
          <w:p w14:paraId="0507FEC1" w14:textId="77777777" w:rsidR="00023A38" w:rsidRPr="004C166D" w:rsidRDefault="00EA0CBA">
            <w:pPr>
              <w:suppressAutoHyphens w:val="0"/>
              <w:rPr>
                <w:lang w:val="en-US"/>
              </w:rPr>
            </w:pPr>
            <w:r w:rsidRPr="004C166D">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EA0CBA">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EA0CBA" w:rsidP="004A43A3">
      <w:pPr>
        <w:pStyle w:val="HMG"/>
      </w:pPr>
      <w:r>
        <w:tab/>
      </w:r>
      <w:r>
        <w:tab/>
      </w:r>
      <w:r w:rsidR="003D6145">
        <w:t>Information received from Sweden on follow-up to the concl</w:t>
      </w:r>
      <w:r>
        <w:t xml:space="preserve">uding observations on </w:t>
      </w:r>
      <w:r w:rsidR="003D6145">
        <w:t>its</w:t>
      </w:r>
      <w:r>
        <w:t xml:space="preserve"> </w:t>
      </w:r>
      <w:r w:rsidR="00737760">
        <w:t>tenth periodic report</w:t>
      </w:r>
      <w:r>
        <w:rPr>
          <w:rStyle w:val="FootnoteReference"/>
          <w:b w:val="0"/>
          <w:sz w:val="20"/>
          <w:vertAlign w:val="baseline"/>
        </w:rPr>
        <w:footnoteReference w:customMarkFollows="1" w:id="2"/>
        <w:t>*</w:t>
      </w:r>
    </w:p>
    <w:p w14:paraId="56898E81" w14:textId="0A58B24F" w:rsidR="00023A38" w:rsidRDefault="00EA0CBA">
      <w:pPr>
        <w:pStyle w:val="SingleTxtG"/>
        <w:jc w:val="right"/>
      </w:pPr>
      <w:r>
        <w:t>[Date received: 16 August 2024]</w:t>
      </w:r>
    </w:p>
    <w:p w14:paraId="325FD293" w14:textId="387A4635" w:rsidR="00EA0CBA" w:rsidRDefault="00EA0CBA">
      <w:pPr>
        <w:suppressAutoHyphens w:val="0"/>
        <w:spacing w:after="200" w:line="276" w:lineRule="auto"/>
        <w:rPr>
          <w:rFonts w:eastAsiaTheme="minorHAnsi"/>
        </w:rPr>
      </w:pPr>
      <w:r>
        <w:br w:type="page"/>
      </w:r>
    </w:p>
    <w:p w14:paraId="796498DB" w14:textId="77A9743A" w:rsidR="004C166D" w:rsidRPr="0080005D" w:rsidRDefault="0080005D" w:rsidP="0080005D">
      <w:pPr>
        <w:pStyle w:val="HChG"/>
      </w:pPr>
      <w:r>
        <w:lastRenderedPageBreak/>
        <w:tab/>
        <w:t>I.</w:t>
      </w:r>
      <w:r>
        <w:tab/>
      </w:r>
      <w:r w:rsidR="006314DE">
        <w:t>Follow-up information</w:t>
      </w:r>
    </w:p>
    <w:p w14:paraId="73315719" w14:textId="478A4106" w:rsidR="00AC2651" w:rsidRDefault="00AC2651" w:rsidP="00AC2651">
      <w:pPr>
        <w:pStyle w:val="H1G"/>
      </w:pPr>
      <w:r>
        <w:tab/>
      </w:r>
      <w:bookmarkStart w:id="0" w:name="_Hlk177391727"/>
      <w:r w:rsidRPr="00AC2651">
        <w:t>A.</w:t>
      </w:r>
      <w:r w:rsidRPr="00AC2651">
        <w:tab/>
        <w:t>Follow-up information relating to paragraph</w:t>
      </w:r>
      <w:r>
        <w:t xml:space="preserve"> 24</w:t>
      </w:r>
      <w:r w:rsidRPr="00AC2651">
        <w:t xml:space="preserve"> (a) of the concluding observations</w:t>
      </w:r>
      <w:bookmarkEnd w:id="0"/>
    </w:p>
    <w:p w14:paraId="64F86FA7" w14:textId="77777777" w:rsidR="004C166D" w:rsidRPr="004C166D" w:rsidRDefault="004C166D" w:rsidP="0080005D">
      <w:pPr>
        <w:pStyle w:val="SingleTxtG"/>
        <w:numPr>
          <w:ilvl w:val="0"/>
          <w:numId w:val="26"/>
        </w:numPr>
        <w:ind w:left="1134" w:firstLine="0"/>
      </w:pPr>
      <w:r w:rsidRPr="004C166D">
        <w:t xml:space="preserve">Under the sixth sub-goal of the Swedish gender equality policy and the ten-year national strategy to prevent and combat men’s VAW 2017-2026, Sweden has taken, </w:t>
      </w:r>
      <w:r w:rsidRPr="004C166D">
        <w:rPr>
          <w:i/>
          <w:iCs/>
        </w:rPr>
        <w:t>inter alia,</w:t>
      </w:r>
      <w:r w:rsidRPr="004C166D">
        <w:t xml:space="preserve"> the following actions: NAPs e.g. one consisting of 99 measures including on combatting sexual violence 2021-2023, a draft of a NAP 2024-2026 and increased government budget allocations.</w:t>
      </w:r>
    </w:p>
    <w:p w14:paraId="29E03E73" w14:textId="77777777" w:rsidR="004C166D" w:rsidRPr="004C166D" w:rsidRDefault="004C166D" w:rsidP="0080005D">
      <w:pPr>
        <w:pStyle w:val="SingleTxtG"/>
        <w:numPr>
          <w:ilvl w:val="0"/>
          <w:numId w:val="26"/>
        </w:numPr>
        <w:ind w:left="1134" w:firstLine="0"/>
      </w:pPr>
      <w:bookmarkStart w:id="1" w:name="_Hlk167190144"/>
      <w:r w:rsidRPr="004C166D">
        <w:t xml:space="preserve">The Government has carried out initiatives to strengthen the work on mental health and suicide prevention. The national funding in this area has gradually increased. In 2023 around 2,2 billion SEK is allocated to targeted efforts. Of these funds 1,6 billion SEK is allocated through an agreement between the Government and Swedish Association of Local Authorities and Regions (SALAR) to strengthen and develop the municipalities and regions’ initiatives including funds to improve the children and youth psychiatry, the primary care, trauma care and to promote mental health and prevent mental ill health and suicide. The Government has also commissioned the Swedish Public Health Agency and the National Board of Health and Welfare, in collaboration with 24 other authorities, to submit a proposal for a new strategy on mental health and suicide prevention. The aim of the strategy is, </w:t>
      </w:r>
      <w:r w:rsidRPr="004C166D">
        <w:rPr>
          <w:i/>
          <w:iCs/>
        </w:rPr>
        <w:t>inter alia,</w:t>
      </w:r>
      <w:r w:rsidRPr="004C166D">
        <w:t xml:space="preserve"> to strengthen promotion and prevention efforts, follow-up and monitoring mechanisms and cross-sectorial collaboration between different actors and societal areas. The commission was reported in 2023 and the report is being processed by the Government Offices.</w:t>
      </w:r>
    </w:p>
    <w:p w14:paraId="1AC88105" w14:textId="77777777" w:rsidR="004C166D" w:rsidRPr="004C166D" w:rsidRDefault="004C166D" w:rsidP="0080005D">
      <w:pPr>
        <w:pStyle w:val="SingleTxtG"/>
        <w:numPr>
          <w:ilvl w:val="0"/>
          <w:numId w:val="26"/>
        </w:numPr>
        <w:ind w:left="1134" w:firstLine="0"/>
      </w:pPr>
      <w:r w:rsidRPr="004C166D">
        <w:t>In 2020, the Government assigned an inquiry with reviewing the division of responsibilities between the regions (health care) and the municipalities (social care) and submitting proposals for how the responsibility of psychiatric care and the treatment for addiction and abuse, including compulsory care, can be placed in the health care system. The inquiry has submitted two reports which are currently being processed by the Government Offices. In 2022, the Government assigned an inquiry with proposing how a continued restrictive drug policy can be combined with effective drug prevention work, a knowledge based, accessible and person-centred care for people with drug addiction that includes measures for harm reduction and efforts to prevent drug related deaths. The mission also includes proposing efforts that target people in specific settings such as prisoners and to propose how the development can be monitored. The report was submitted in 2023 and is currently being processed by the Government Offices.</w:t>
      </w:r>
    </w:p>
    <w:p w14:paraId="190A5BFC" w14:textId="77777777" w:rsidR="004C166D" w:rsidRPr="004C166D" w:rsidRDefault="004C166D" w:rsidP="0080005D">
      <w:pPr>
        <w:pStyle w:val="SingleTxtG"/>
        <w:numPr>
          <w:ilvl w:val="0"/>
          <w:numId w:val="26"/>
        </w:numPr>
        <w:ind w:left="1134" w:firstLine="0"/>
        <w:rPr>
          <w:bCs/>
        </w:rPr>
      </w:pPr>
      <w:bookmarkStart w:id="2" w:name="_Hlk149122819"/>
      <w:r w:rsidRPr="004C166D">
        <w:rPr>
          <w:bCs/>
        </w:rPr>
        <w:t xml:space="preserve">In 2021, two new offences were introduced, the offences to encourage suicide and to negligently </w:t>
      </w:r>
      <w:r w:rsidRPr="004C166D">
        <w:t>encourage</w:t>
      </w:r>
      <w:r w:rsidRPr="004C166D">
        <w:rPr>
          <w:bCs/>
        </w:rPr>
        <w:t xml:space="preserve"> suicide (Chapter 4, Section 7a of the Criminal Code). </w:t>
      </w:r>
      <w:bookmarkEnd w:id="2"/>
    </w:p>
    <w:p w14:paraId="3D778ABE" w14:textId="77777777" w:rsidR="004C166D" w:rsidRPr="004C166D" w:rsidRDefault="004C166D" w:rsidP="0080005D">
      <w:pPr>
        <w:pStyle w:val="SingleTxtG"/>
        <w:numPr>
          <w:ilvl w:val="0"/>
          <w:numId w:val="26"/>
        </w:numPr>
        <w:ind w:left="1134" w:firstLine="0"/>
      </w:pPr>
      <w:r w:rsidRPr="004C166D">
        <w:t xml:space="preserve">In 2022, the Government submitted a Communication to Parliament on “A Comprehensive Strategy for the Policy on Alcohol, Narcotics, Doping and Tobacco as well as gambling for money, 2022- 2025”. </w:t>
      </w:r>
      <w:r w:rsidRPr="004C166D">
        <w:rPr>
          <w:i/>
          <w:iCs/>
        </w:rPr>
        <w:t>Inter alia,</w:t>
      </w:r>
      <w:r w:rsidRPr="004C166D">
        <w:t xml:space="preserve"> the strategy emphasises cooperation between different perspectives relevant to public health policy and the work in this field and work on crime prevention and combatting, men’s VAW, HBV and oppression and parenting support and integration. The strategy points out that the support to children and young people as relatives needs to be intensified, referencing, </w:t>
      </w:r>
      <w:r w:rsidRPr="004C166D">
        <w:rPr>
          <w:i/>
          <w:iCs/>
        </w:rPr>
        <w:t>inter alia</w:t>
      </w:r>
      <w:r w:rsidRPr="004C166D">
        <w:t xml:space="preserve">, the possible presence of violence in the family and parental neglect of various kinds. The strategy highlights the need for early detection and support to mitigate the consequences which e.g. need to include measures to strengthen follow-up and the development of a coordinated family-oriented work approach within social services, health care and support structures for children in emergency situations, as well as national coordination in multiple areas. The strategy states that awareness about these children needs to be raised amongst personnel in services that interact with the children and their parents and that personnel needs increased knowledge of their obligations about support measures for the children. Furthermore, awareness should be raised on the connection between risky or damaging use of alcohol, narcotics, doping, tobacco and nicotine products, and gambling for money and other underlying factors such as exposure to violence and sexual violence, somatic illness or poor mental health. Of concern is also that the child perspective </w:t>
      </w:r>
      <w:r w:rsidRPr="004C166D">
        <w:lastRenderedPageBreak/>
        <w:t xml:space="preserve">and the connection between primarily alcohol and violence in intimate relationships is strengthened to offer more adequate support around these issues. </w:t>
      </w:r>
    </w:p>
    <w:p w14:paraId="2E127DB5" w14:textId="77777777" w:rsidR="004C166D" w:rsidRPr="004C166D" w:rsidRDefault="004C166D" w:rsidP="0080005D">
      <w:pPr>
        <w:pStyle w:val="SingleTxtG"/>
        <w:numPr>
          <w:ilvl w:val="0"/>
          <w:numId w:val="26"/>
        </w:numPr>
        <w:ind w:left="1134" w:firstLine="0"/>
      </w:pPr>
      <w:r w:rsidRPr="004C166D">
        <w:t>To accelerate development, the Government commissioned the National Board of Health and Welfare to continue developing support to children in families with destructive use, abuse of substances or addiction, mental illness or disability in which violence occurs or in which one parent or guardian is suffering from a serious disease or suddenly passes away.</w:t>
      </w:r>
    </w:p>
    <w:p w14:paraId="166D44B3" w14:textId="77777777" w:rsidR="004C166D" w:rsidRPr="004C166D" w:rsidRDefault="004C166D" w:rsidP="0080005D">
      <w:pPr>
        <w:pStyle w:val="SingleTxtG"/>
        <w:numPr>
          <w:ilvl w:val="0"/>
          <w:numId w:val="26"/>
        </w:numPr>
        <w:ind w:left="1134" w:firstLine="0"/>
      </w:pPr>
      <w:r w:rsidRPr="004C166D">
        <w:t>In 2022, the Government commissioned the Equality Ombudsman to deepen knowledge of risks of discrimination in the use of artificial intelligence (AI) and other automated decision-making in working life. The Equality Ombudsman reported the assignment in 2023. The report shows that employers’ use of AI is increasing which entails risks of discrimination. Furthermore, the Ombudsman highlighted that awareness needs to be raised both about when employers use AI and how risks of discrimination can be prevented.</w:t>
      </w:r>
    </w:p>
    <w:bookmarkEnd w:id="1"/>
    <w:p w14:paraId="64724279" w14:textId="5C4BEB76" w:rsidR="002B55F6" w:rsidRDefault="002B55F6" w:rsidP="002B55F6">
      <w:pPr>
        <w:pStyle w:val="H1G"/>
      </w:pPr>
      <w:r>
        <w:tab/>
      </w:r>
      <w:bookmarkStart w:id="3" w:name="_Hlk177391818"/>
      <w:r>
        <w:t>B.</w:t>
      </w:r>
      <w:r>
        <w:tab/>
      </w:r>
      <w:r w:rsidRPr="002B55F6">
        <w:t>Follow-up information relating to paragraph 24 (</w:t>
      </w:r>
      <w:r>
        <w:t>e</w:t>
      </w:r>
      <w:r w:rsidRPr="002B55F6">
        <w:t>) of the concluding observations</w:t>
      </w:r>
      <w:r w:rsidRPr="002B55F6">
        <w:t xml:space="preserve"> </w:t>
      </w:r>
      <w:bookmarkEnd w:id="3"/>
    </w:p>
    <w:p w14:paraId="5B2A23D7" w14:textId="43F3362D" w:rsidR="004C166D" w:rsidRPr="004C166D" w:rsidRDefault="004C166D" w:rsidP="002B55F6">
      <w:pPr>
        <w:pStyle w:val="SingleTxtG"/>
        <w:numPr>
          <w:ilvl w:val="0"/>
          <w:numId w:val="26"/>
        </w:numPr>
        <w:ind w:left="1134" w:firstLine="0"/>
      </w:pPr>
      <w:r w:rsidRPr="004C166D">
        <w:t xml:space="preserve">A person who takes the life of another person, regardless of whether the crime is directed against a woman or a man; is guilty of murder and sentenced to imprisonment for a fixed term of at least ten and at most eighteen years, or for life. If the murder was committed against a close relative, this may be of importance when determining the penalty and assessing the penalty value. </w:t>
      </w:r>
    </w:p>
    <w:p w14:paraId="7AADE7D0" w14:textId="77777777" w:rsidR="004C166D" w:rsidRPr="004C166D" w:rsidRDefault="004C166D" w:rsidP="0080005D">
      <w:pPr>
        <w:pStyle w:val="SingleTxtG"/>
        <w:numPr>
          <w:ilvl w:val="0"/>
          <w:numId w:val="26"/>
        </w:numPr>
        <w:ind w:left="1134" w:firstLine="0"/>
        <w:rPr>
          <w:bCs/>
        </w:rPr>
      </w:pPr>
      <w:r w:rsidRPr="004C166D">
        <w:rPr>
          <w:bCs/>
        </w:rPr>
        <w:t xml:space="preserve">In 2022, the Government appointed an Inquiry to, </w:t>
      </w:r>
      <w:r w:rsidRPr="004C166D">
        <w:rPr>
          <w:bCs/>
          <w:i/>
          <w:iCs/>
        </w:rPr>
        <w:t xml:space="preserve">inter alia, </w:t>
      </w:r>
      <w:r w:rsidRPr="004C166D">
        <w:rPr>
          <w:bCs/>
        </w:rPr>
        <w:t xml:space="preserve">consider whether gender as a hate crime motive </w:t>
      </w:r>
      <w:r w:rsidRPr="004C166D">
        <w:t>explicitly</w:t>
      </w:r>
      <w:r w:rsidRPr="004C166D">
        <w:rPr>
          <w:bCs/>
        </w:rPr>
        <w:t xml:space="preserve"> should be added as a new aggravating circumstance.</w:t>
      </w:r>
    </w:p>
    <w:p w14:paraId="7CA3084D" w14:textId="77777777" w:rsidR="004C166D" w:rsidRPr="004C166D" w:rsidRDefault="004C166D" w:rsidP="0080005D">
      <w:pPr>
        <w:pStyle w:val="SingleTxtG"/>
        <w:numPr>
          <w:ilvl w:val="0"/>
          <w:numId w:val="26"/>
        </w:numPr>
        <w:ind w:left="1134" w:firstLine="0"/>
      </w:pPr>
      <w:r w:rsidRPr="004C166D">
        <w:t xml:space="preserve">The Government has worked on combatting VAW in several ways including support to helplines such as “Choose to stop” and Preventell, a NAP on SRR and an inquiry into the possibility of an EXIT programme for adults subjected to prostitution and victims of human trafficking for sexual purposes. Regarding legislation the Government has, </w:t>
      </w:r>
      <w:r w:rsidRPr="004C166D">
        <w:rPr>
          <w:i/>
          <w:iCs/>
        </w:rPr>
        <w:t>inter alia</w:t>
      </w:r>
      <w:r w:rsidRPr="004C166D">
        <w:t>, made a number of legislative amendments in the area of criminal law to strengthen the protection of violence and oppression committed in the name of so-called “honour”, men’s VAW, violence against children, and sexual offences including the reform of the sexual offences legislation in 2018. After the reform it is an offence to perform a sexual act with someone who is not participating voluntarily. Moreover, the Government appointed an inquiry to review the legal framework concerning primarily the Non-Contact Order Act and an inquiry to consider changes within the framework of the penalty system e.g. with regard to parole and new possibilities to decide where a convicted person should or may not stay.</w:t>
      </w:r>
    </w:p>
    <w:p w14:paraId="158267FD" w14:textId="77777777" w:rsidR="004C166D" w:rsidRPr="004C166D" w:rsidRDefault="004C166D" w:rsidP="0080005D">
      <w:pPr>
        <w:pStyle w:val="SingleTxtG"/>
        <w:numPr>
          <w:ilvl w:val="0"/>
          <w:numId w:val="26"/>
        </w:numPr>
        <w:ind w:left="1134" w:firstLine="0"/>
      </w:pPr>
      <w:r w:rsidRPr="004C166D">
        <w:t xml:space="preserve">The annual budget allocation for special gender equality measures has increased in general since 2018 in Expenditure area 13 in the Central government budget. Approximately 90 percent of the budgeted expenditure has been dedicated to the sixth sub-goal of the Swedish gender equality policy. However, it is difficult to provide an absolute amount as, inter alia, allocations to gender equality policy do not include core funding to public authorities e.g. the criminal justice system. As of 2022, the level of funding for the sixth sub-goal of the gender equality policy within the national budget was made permanent at 300 million SEK a year. In 2022, an additional 150 million SEK were allocated for, </w:t>
      </w:r>
      <w:r w:rsidRPr="004C166D">
        <w:rPr>
          <w:i/>
          <w:iCs/>
        </w:rPr>
        <w:t>inter alia,</w:t>
      </w:r>
      <w:r w:rsidRPr="004C166D">
        <w:t xml:space="preserve"> Women’s Shelters. In the current Government’s first national budget (for 2023) a further 50 million SEK a year was allocated towards the preventative work against HBV and oppression. </w:t>
      </w:r>
    </w:p>
    <w:p w14:paraId="30387183" w14:textId="6D996062" w:rsidR="002B55F6" w:rsidRDefault="002B55F6" w:rsidP="002B55F6">
      <w:pPr>
        <w:pStyle w:val="H1G"/>
        <w:rPr>
          <w:iCs/>
        </w:rPr>
      </w:pPr>
      <w:r>
        <w:tab/>
        <w:t>C.</w:t>
      </w:r>
      <w:r>
        <w:tab/>
      </w:r>
      <w:r w:rsidRPr="002B55F6">
        <w:t>Follow-up information relating to paragraph 24 (</w:t>
      </w:r>
      <w:r>
        <w:t>f</w:t>
      </w:r>
      <w:r w:rsidRPr="002B55F6">
        <w:t>) of the concluding observations</w:t>
      </w:r>
    </w:p>
    <w:p w14:paraId="02B909F3" w14:textId="77777777" w:rsidR="004C166D" w:rsidRPr="004C166D" w:rsidRDefault="004C166D" w:rsidP="0080005D">
      <w:pPr>
        <w:pStyle w:val="SingleTxtG"/>
        <w:numPr>
          <w:ilvl w:val="0"/>
          <w:numId w:val="26"/>
        </w:numPr>
        <w:ind w:left="1134" w:firstLine="0"/>
        <w:rPr>
          <w:bCs/>
          <w:iCs/>
        </w:rPr>
      </w:pPr>
      <w:bookmarkStart w:id="4" w:name="_Hlk167190183"/>
      <w:r w:rsidRPr="004C166D">
        <w:rPr>
          <w:bCs/>
          <w:iCs/>
        </w:rPr>
        <w:t xml:space="preserve">As stated in Sweden’s tenth periodic report, since 2018, governmental agencies are required to include sex-disaggregated data in annual reports and budget documentation presented to the Government (Section 1, </w:t>
      </w:r>
      <w:r w:rsidRPr="004C166D">
        <w:t>Chapter</w:t>
      </w:r>
      <w:r w:rsidRPr="004C166D">
        <w:rPr>
          <w:bCs/>
          <w:iCs/>
        </w:rPr>
        <w:t xml:space="preserve"> 3 of the Annual Reports and Budget Documentation Ordinance). </w:t>
      </w:r>
    </w:p>
    <w:p w14:paraId="0FBF6CCC" w14:textId="77777777" w:rsidR="004C166D" w:rsidRPr="004C166D" w:rsidRDefault="004C166D" w:rsidP="0080005D">
      <w:pPr>
        <w:pStyle w:val="SingleTxtG"/>
        <w:numPr>
          <w:ilvl w:val="0"/>
          <w:numId w:val="26"/>
        </w:numPr>
        <w:ind w:left="1134" w:firstLine="0"/>
        <w:rPr>
          <w:bCs/>
          <w:iCs/>
        </w:rPr>
      </w:pPr>
      <w:r w:rsidRPr="004C166D">
        <w:rPr>
          <w:bCs/>
          <w:iCs/>
        </w:rPr>
        <w:lastRenderedPageBreak/>
        <w:t xml:space="preserve">Access to statistics disaggregated by sex in combination with other categories, e.g. ethnicity, religion and disability, is limited in Sweden since this information is regarded as personal data according to the General Data Protection Regulation. There are exceptions, for instance if an individual gives </w:t>
      </w:r>
      <w:r w:rsidRPr="004C166D">
        <w:t>explicit</w:t>
      </w:r>
      <w:r w:rsidRPr="004C166D">
        <w:rPr>
          <w:bCs/>
          <w:iCs/>
        </w:rPr>
        <w:t xml:space="preserve"> consent to being part of such data collection, and the National Living Conditions Survey (ULF/SILC) include statistics combining data on both disability and gender. Statistics Sweden and other government agencies do not collect data on ethnicity but instead gather data based on other parameters, such as citizenship and country or region of birth.</w:t>
      </w:r>
    </w:p>
    <w:p w14:paraId="3DBD8675" w14:textId="66AC2459" w:rsidR="004C166D" w:rsidRPr="004C166D" w:rsidRDefault="002B55F6" w:rsidP="002B55F6">
      <w:pPr>
        <w:pStyle w:val="H23G"/>
      </w:pPr>
      <w:r>
        <w:tab/>
      </w:r>
      <w:r>
        <w:tab/>
      </w:r>
      <w:r w:rsidR="004C166D" w:rsidRPr="004C166D">
        <w:t>New data categories on administrative judicial data introduced in 2019</w:t>
      </w:r>
    </w:p>
    <w:p w14:paraId="2ADC17C3" w14:textId="77777777" w:rsidR="004C166D" w:rsidRPr="004C166D" w:rsidRDefault="004C166D" w:rsidP="0080005D">
      <w:pPr>
        <w:pStyle w:val="SingleTxtG"/>
        <w:numPr>
          <w:ilvl w:val="0"/>
          <w:numId w:val="26"/>
        </w:numPr>
        <w:ind w:left="1134" w:firstLine="0"/>
        <w:rPr>
          <w:bCs/>
          <w:iCs/>
        </w:rPr>
      </w:pPr>
      <w:r w:rsidRPr="004C166D">
        <w:rPr>
          <w:bCs/>
          <w:iCs/>
        </w:rPr>
        <w:t>New data categories on several crimes related to men’s VAW were introduced in the official crime statistics in 2019. The new categories specify the age and sex of the victim (under 18 years old/18 or older, man/woman) and for victims 18 or older, the relationship between victim and perpetrator (</w:t>
      </w:r>
      <w:r w:rsidRPr="004C166D">
        <w:t>intimate</w:t>
      </w:r>
      <w:r w:rsidRPr="004C166D">
        <w:rPr>
          <w:bCs/>
          <w:iCs/>
        </w:rPr>
        <w:t xml:space="preserve"> partner, family member, other perpetrator known to the victim or perpetrator unknown to the victim). The crimes covered by the new data categories include: </w:t>
      </w:r>
    </w:p>
    <w:p w14:paraId="588864D6" w14:textId="2234B439" w:rsidR="004C166D" w:rsidRPr="004C166D" w:rsidRDefault="002B55F6" w:rsidP="002B55F6">
      <w:pPr>
        <w:pStyle w:val="Bullet1G"/>
      </w:pPr>
      <w:r>
        <w:t>A</w:t>
      </w:r>
      <w:r w:rsidR="004C166D" w:rsidRPr="004C166D">
        <w:t>ttempted murder or manslaughter</w:t>
      </w:r>
      <w:r>
        <w:t>;</w:t>
      </w:r>
    </w:p>
    <w:p w14:paraId="03914D26" w14:textId="616CBACC" w:rsidR="004C166D" w:rsidRPr="004C166D" w:rsidRDefault="002B55F6" w:rsidP="002B55F6">
      <w:pPr>
        <w:pStyle w:val="Bullet1G"/>
      </w:pPr>
      <w:r>
        <w:t>A</w:t>
      </w:r>
      <w:r w:rsidR="004C166D" w:rsidRPr="004C166D">
        <w:t>ssault</w:t>
      </w:r>
      <w:r>
        <w:t>;</w:t>
      </w:r>
    </w:p>
    <w:p w14:paraId="78495164" w14:textId="425326B6" w:rsidR="004C166D" w:rsidRPr="004C166D" w:rsidRDefault="002B55F6" w:rsidP="002B55F6">
      <w:pPr>
        <w:pStyle w:val="Bullet1G"/>
      </w:pPr>
      <w:r>
        <w:t>U</w:t>
      </w:r>
      <w:r w:rsidR="004C166D" w:rsidRPr="004C166D">
        <w:t>nlawful deprivation of liberty</w:t>
      </w:r>
      <w:r>
        <w:t>;</w:t>
      </w:r>
    </w:p>
    <w:p w14:paraId="2FC45813" w14:textId="7C08433C" w:rsidR="004C166D" w:rsidRPr="004C166D" w:rsidRDefault="002B55F6" w:rsidP="002B55F6">
      <w:pPr>
        <w:pStyle w:val="Bullet1G"/>
      </w:pPr>
      <w:r>
        <w:t>U</w:t>
      </w:r>
      <w:r w:rsidR="004C166D" w:rsidRPr="004C166D">
        <w:t>nlawful coercion</w:t>
      </w:r>
      <w:r>
        <w:t>;</w:t>
      </w:r>
    </w:p>
    <w:p w14:paraId="1A73965D" w14:textId="2D7E2CD3" w:rsidR="004C166D" w:rsidRPr="004C166D" w:rsidRDefault="002B55F6" w:rsidP="002B55F6">
      <w:pPr>
        <w:pStyle w:val="Bullet1G"/>
      </w:pPr>
      <w:r>
        <w:t>G</w:t>
      </w:r>
      <w:r w:rsidR="004C166D" w:rsidRPr="004C166D">
        <w:t>ross violation of integrity</w:t>
      </w:r>
      <w:r>
        <w:t>;</w:t>
      </w:r>
    </w:p>
    <w:p w14:paraId="5F5C2FDF" w14:textId="07942383" w:rsidR="004C166D" w:rsidRPr="004C166D" w:rsidRDefault="002B55F6" w:rsidP="002B55F6">
      <w:pPr>
        <w:pStyle w:val="Bullet1G"/>
      </w:pPr>
      <w:r>
        <w:t>G</w:t>
      </w:r>
      <w:r w:rsidR="004C166D" w:rsidRPr="004C166D">
        <w:t>ross violation of a woman’s integrity</w:t>
      </w:r>
      <w:r>
        <w:t>;</w:t>
      </w:r>
    </w:p>
    <w:p w14:paraId="6EA55FCA" w14:textId="2BC116C3" w:rsidR="004C166D" w:rsidRPr="004C166D" w:rsidRDefault="002B55F6" w:rsidP="002B55F6">
      <w:pPr>
        <w:pStyle w:val="Bullet1G"/>
      </w:pPr>
      <w:r>
        <w:t>U</w:t>
      </w:r>
      <w:r w:rsidR="004C166D" w:rsidRPr="004C166D">
        <w:t>nlawful harassment</w:t>
      </w:r>
      <w:r>
        <w:t>;</w:t>
      </w:r>
    </w:p>
    <w:p w14:paraId="5958CA28" w14:textId="6D87202C" w:rsidR="004C166D" w:rsidRPr="004C166D" w:rsidRDefault="002B55F6" w:rsidP="002B55F6">
      <w:pPr>
        <w:pStyle w:val="Bullet1G"/>
      </w:pPr>
      <w:r>
        <w:t>U</w:t>
      </w:r>
      <w:r w:rsidR="004C166D" w:rsidRPr="004C166D">
        <w:t>nlawful threat</w:t>
      </w:r>
      <w:r>
        <w:t>;</w:t>
      </w:r>
      <w:r w:rsidR="004C166D" w:rsidRPr="004C166D">
        <w:t xml:space="preserve"> </w:t>
      </w:r>
    </w:p>
    <w:p w14:paraId="3E505173" w14:textId="10AFDD06" w:rsidR="004C166D" w:rsidRPr="004C166D" w:rsidRDefault="002B55F6" w:rsidP="002B55F6">
      <w:pPr>
        <w:pStyle w:val="Bullet1G"/>
      </w:pPr>
      <w:r>
        <w:t>U</w:t>
      </w:r>
      <w:r w:rsidR="004C166D" w:rsidRPr="004C166D">
        <w:t>nlawful violation of privacy</w:t>
      </w:r>
      <w:r>
        <w:t>;</w:t>
      </w:r>
    </w:p>
    <w:p w14:paraId="2A51785A" w14:textId="6F93AB66" w:rsidR="004C166D" w:rsidRPr="004C166D" w:rsidRDefault="002B55F6" w:rsidP="002B55F6">
      <w:pPr>
        <w:pStyle w:val="Bullet1G"/>
      </w:pPr>
      <w:r>
        <w:t>N</w:t>
      </w:r>
      <w:r w:rsidR="004C166D" w:rsidRPr="004C166D">
        <w:t>on-sexual molestation</w:t>
      </w:r>
      <w:r>
        <w:t>;</w:t>
      </w:r>
    </w:p>
    <w:p w14:paraId="1282EACB" w14:textId="56FF70C1" w:rsidR="004C166D" w:rsidRPr="004C166D" w:rsidRDefault="002B55F6" w:rsidP="002B55F6">
      <w:pPr>
        <w:pStyle w:val="Bullet1G"/>
      </w:pPr>
      <w:r>
        <w:t>R</w:t>
      </w:r>
      <w:r w:rsidR="004C166D" w:rsidRPr="004C166D">
        <w:t>ape including gross rape</w:t>
      </w:r>
      <w:r>
        <w:t>;</w:t>
      </w:r>
    </w:p>
    <w:p w14:paraId="437615E8" w14:textId="07949ED0" w:rsidR="004C166D" w:rsidRPr="004C166D" w:rsidRDefault="002B55F6" w:rsidP="002B55F6">
      <w:pPr>
        <w:pStyle w:val="Bullet1G"/>
      </w:pPr>
      <w:r>
        <w:t>N</w:t>
      </w:r>
      <w:r w:rsidR="004C166D" w:rsidRPr="004C166D">
        <w:t>egligent rape</w:t>
      </w:r>
      <w:r>
        <w:t>;</w:t>
      </w:r>
    </w:p>
    <w:p w14:paraId="24334CE9" w14:textId="35FB457C" w:rsidR="004C166D" w:rsidRPr="004C166D" w:rsidRDefault="002B55F6" w:rsidP="002B55F6">
      <w:pPr>
        <w:pStyle w:val="Bullet1G"/>
      </w:pPr>
      <w:r>
        <w:t>S</w:t>
      </w:r>
      <w:r w:rsidR="004C166D" w:rsidRPr="004C166D">
        <w:t>exual assault</w:t>
      </w:r>
      <w:r>
        <w:t>;</w:t>
      </w:r>
    </w:p>
    <w:p w14:paraId="5F1A4223" w14:textId="3636383C" w:rsidR="004C166D" w:rsidRPr="004C166D" w:rsidRDefault="002B55F6" w:rsidP="002B55F6">
      <w:pPr>
        <w:pStyle w:val="Bullet1G"/>
      </w:pPr>
      <w:r>
        <w:t>N</w:t>
      </w:r>
      <w:r w:rsidR="004C166D" w:rsidRPr="004C166D">
        <w:t>egligent sexual assault</w:t>
      </w:r>
      <w:r>
        <w:t>;</w:t>
      </w:r>
    </w:p>
    <w:p w14:paraId="0D681B19" w14:textId="0E6CE2F6" w:rsidR="004C166D" w:rsidRPr="004C166D" w:rsidRDefault="002B55F6" w:rsidP="002B55F6">
      <w:pPr>
        <w:pStyle w:val="Bullet1G"/>
      </w:pPr>
      <w:r>
        <w:t>V</w:t>
      </w:r>
      <w:r w:rsidR="004C166D" w:rsidRPr="004C166D">
        <w:t xml:space="preserve">iolation of restraining order without electronic monitoring. </w:t>
      </w:r>
    </w:p>
    <w:p w14:paraId="6DE45483" w14:textId="77777777" w:rsidR="004C166D" w:rsidRPr="004C166D" w:rsidRDefault="004C166D" w:rsidP="0080005D">
      <w:pPr>
        <w:pStyle w:val="SingleTxtG"/>
        <w:numPr>
          <w:ilvl w:val="0"/>
          <w:numId w:val="26"/>
        </w:numPr>
        <w:ind w:left="1134" w:firstLine="0"/>
        <w:rPr>
          <w:bCs/>
          <w:iCs/>
        </w:rPr>
      </w:pPr>
      <w:r w:rsidRPr="004C166D">
        <w:rPr>
          <w:bCs/>
          <w:iCs/>
        </w:rPr>
        <w:t xml:space="preserve">Official crime statistics according to the above-mentioned categories is available for reported and processed offences as well as persons suspected of offences. The statistics on conviction decisions and sentencing is not, as it is structured according to the section of the law, not according to the data categories mentioned above. Therefore, data on convictions and sanctions is not available </w:t>
      </w:r>
      <w:r w:rsidRPr="004C166D">
        <w:t>disaggregated</w:t>
      </w:r>
      <w:r w:rsidRPr="004C166D">
        <w:rPr>
          <w:bCs/>
          <w:iCs/>
        </w:rPr>
        <w:t xml:space="preserve"> by the sex of the victim (except for the crime gross violation of a woman’s integrity). However, new initiatives have been taken regarding this issue, see the section on Data collection and exchange within the legal chain below.  </w:t>
      </w:r>
    </w:p>
    <w:p w14:paraId="6B8B1BE6" w14:textId="01DA9D24" w:rsidR="004C166D" w:rsidRPr="004C166D" w:rsidRDefault="002B55F6" w:rsidP="002B55F6">
      <w:pPr>
        <w:pStyle w:val="H23G"/>
      </w:pPr>
      <w:r>
        <w:tab/>
      </w:r>
      <w:r>
        <w:tab/>
      </w:r>
      <w:r w:rsidR="004C166D" w:rsidRPr="004C166D">
        <w:t>New initiatives on digitalisation of the judiciary -Increasing the quality of data and traceability in the judicial chain</w:t>
      </w:r>
    </w:p>
    <w:p w14:paraId="52BA3F90" w14:textId="77777777" w:rsidR="004C166D" w:rsidRPr="004C166D" w:rsidRDefault="004C166D" w:rsidP="0080005D">
      <w:pPr>
        <w:pStyle w:val="SingleTxtG"/>
        <w:numPr>
          <w:ilvl w:val="0"/>
          <w:numId w:val="26"/>
        </w:numPr>
        <w:ind w:left="1134" w:firstLine="0"/>
        <w:rPr>
          <w:bCs/>
          <w:iCs/>
        </w:rPr>
      </w:pPr>
      <w:r w:rsidRPr="004C166D">
        <w:rPr>
          <w:bCs/>
          <w:iCs/>
        </w:rPr>
        <w:t xml:space="preserve">Acting on government instructions, the authorities in the judicial chain are continuously working to develop a better exchange of information in the criminal justice process. In 2020, the Government enacted a regulation (2019:1283) on the digitalisation of the judiciary. The regulation contains </w:t>
      </w:r>
      <w:r w:rsidRPr="004C166D">
        <w:t>provisions</w:t>
      </w:r>
      <w:r w:rsidRPr="004C166D">
        <w:rPr>
          <w:bCs/>
          <w:iCs/>
        </w:rPr>
        <w:t xml:space="preserve"> on the coordination of work on digital information exchanges and other measures relating to digitization in criminal proceedings. The Council for the Digitization of the Judiciary, consisting of the heads of eleven authorities, has been established. The Council serves as a decision-making forum where the authorities agree on relevant issues. Each authority then implements its part of the joint agreements that has been reached. </w:t>
      </w:r>
    </w:p>
    <w:p w14:paraId="4E255EA3" w14:textId="77777777" w:rsidR="004C166D" w:rsidRPr="004C166D" w:rsidRDefault="004C166D" w:rsidP="0080005D">
      <w:pPr>
        <w:pStyle w:val="SingleTxtG"/>
        <w:numPr>
          <w:ilvl w:val="0"/>
          <w:numId w:val="26"/>
        </w:numPr>
        <w:ind w:left="1134" w:firstLine="0"/>
        <w:rPr>
          <w:bCs/>
          <w:iCs/>
        </w:rPr>
      </w:pPr>
      <w:r w:rsidRPr="004C166D">
        <w:rPr>
          <w:bCs/>
          <w:iCs/>
        </w:rPr>
        <w:lastRenderedPageBreak/>
        <w:t xml:space="preserve">The work has resulted in the introduction of so-called legal information in the Swedish Police Authority's case management system. In 2023, a joint project to develop and improve the data exchanges from the Police Authority to the Swedish National Council for Crime Prevention has started. The </w:t>
      </w:r>
      <w:r w:rsidRPr="004C166D">
        <w:t>project</w:t>
      </w:r>
      <w:r w:rsidRPr="004C166D">
        <w:rPr>
          <w:bCs/>
          <w:iCs/>
        </w:rPr>
        <w:t xml:space="preserve"> aims, </w:t>
      </w:r>
      <w:r w:rsidRPr="004C166D">
        <w:rPr>
          <w:bCs/>
          <w:i/>
        </w:rPr>
        <w:t>inter alia</w:t>
      </w:r>
      <w:r w:rsidRPr="004C166D">
        <w:rPr>
          <w:bCs/>
          <w:iCs/>
        </w:rPr>
        <w:t>, to expand the data exchange on reported offences with so-called legal information and will provide the possibility to increase in the quality of statistics on reported abuse of women in that regard.</w:t>
      </w:r>
    </w:p>
    <w:p w14:paraId="0AAC7F91" w14:textId="77777777" w:rsidR="004C166D" w:rsidRPr="004C166D" w:rsidRDefault="004C166D" w:rsidP="0080005D">
      <w:pPr>
        <w:pStyle w:val="SingleTxtG"/>
        <w:numPr>
          <w:ilvl w:val="0"/>
          <w:numId w:val="26"/>
        </w:numPr>
        <w:ind w:left="1134" w:firstLine="0"/>
        <w:rPr>
          <w:bCs/>
          <w:iCs/>
        </w:rPr>
      </w:pPr>
      <w:r w:rsidRPr="004C166D">
        <w:rPr>
          <w:bCs/>
          <w:iCs/>
        </w:rPr>
        <w:t xml:space="preserve">In 2021, the Council for the Digitization of the Judiciary developed a strategic plan for 2023–2027 that outlines the vision and strategic goals for digitization. One of the goals is to have the right digital </w:t>
      </w:r>
      <w:r w:rsidRPr="004C166D">
        <w:t>prerequisites</w:t>
      </w:r>
      <w:r w:rsidRPr="004C166D">
        <w:rPr>
          <w:bCs/>
          <w:iCs/>
        </w:rPr>
        <w:t xml:space="preserve"> for follow-up and analysis within the justice system.  </w:t>
      </w:r>
    </w:p>
    <w:p w14:paraId="16A683D1" w14:textId="77777777" w:rsidR="004C166D" w:rsidRPr="004C166D" w:rsidRDefault="004C166D" w:rsidP="0080005D">
      <w:pPr>
        <w:pStyle w:val="SingleTxtG"/>
        <w:numPr>
          <w:ilvl w:val="0"/>
          <w:numId w:val="26"/>
        </w:numPr>
        <w:ind w:left="1134" w:firstLine="0"/>
        <w:rPr>
          <w:bCs/>
          <w:iCs/>
        </w:rPr>
      </w:pPr>
      <w:r w:rsidRPr="004C166D">
        <w:rPr>
          <w:bCs/>
          <w:iCs/>
        </w:rPr>
        <w:t xml:space="preserve">In 2022, a new operational support was implemented in the courts, which enables fully digital criminal case decisions (DiBa). The system means increased traceability through the legal chain, which in turn leads to both better abilities to keep records up-to-date and correct, and time and efficiency </w:t>
      </w:r>
      <w:r w:rsidRPr="004C166D">
        <w:t>gains</w:t>
      </w:r>
      <w:r w:rsidRPr="004C166D">
        <w:rPr>
          <w:bCs/>
          <w:iCs/>
        </w:rPr>
        <w:t>. It is also a vital prerequisite for the authorities' continued joint digitisation work, including tracking a crime from reporting to conviction.</w:t>
      </w:r>
    </w:p>
    <w:p w14:paraId="0D1BADDD" w14:textId="77777777" w:rsidR="004C166D" w:rsidRPr="004C166D" w:rsidRDefault="004C166D" w:rsidP="0080005D">
      <w:pPr>
        <w:pStyle w:val="SingleTxtG"/>
        <w:numPr>
          <w:ilvl w:val="0"/>
          <w:numId w:val="26"/>
        </w:numPr>
        <w:ind w:left="1134" w:firstLine="0"/>
        <w:rPr>
          <w:bCs/>
          <w:iCs/>
        </w:rPr>
      </w:pPr>
      <w:r w:rsidRPr="004C166D">
        <w:rPr>
          <w:bCs/>
          <w:iCs/>
        </w:rPr>
        <w:t xml:space="preserve">In 2023, the Swedish National Council for Crime Prevention (Brå) initiated a feasibility study regarding the prerequisites for developing new statistics that will enable following a case from prosecution </w:t>
      </w:r>
      <w:r w:rsidRPr="004C166D">
        <w:t>further</w:t>
      </w:r>
      <w:r w:rsidRPr="004C166D">
        <w:rPr>
          <w:bCs/>
          <w:iCs/>
        </w:rPr>
        <w:t xml:space="preserve"> in the legal chain (at present, reported crime, including cases of VAW and domestic violence, can be tracked from reporting to prosecution). </w:t>
      </w:r>
    </w:p>
    <w:p w14:paraId="79E9AEF4" w14:textId="2CCAC990" w:rsidR="004C166D" w:rsidRPr="004C166D" w:rsidRDefault="002B55F6" w:rsidP="002B55F6">
      <w:pPr>
        <w:pStyle w:val="H23G"/>
      </w:pPr>
      <w:r>
        <w:tab/>
      </w:r>
      <w:r>
        <w:tab/>
      </w:r>
      <w:r w:rsidR="004C166D" w:rsidRPr="004C166D">
        <w:t>Statistics on plaintiffs introduced in 2021</w:t>
      </w:r>
    </w:p>
    <w:p w14:paraId="14E9C546" w14:textId="77777777" w:rsidR="004C166D" w:rsidRPr="004C166D" w:rsidRDefault="004C166D" w:rsidP="0080005D">
      <w:pPr>
        <w:pStyle w:val="SingleTxtG"/>
        <w:numPr>
          <w:ilvl w:val="0"/>
          <w:numId w:val="26"/>
        </w:numPr>
        <w:ind w:left="1134" w:firstLine="0"/>
        <w:rPr>
          <w:bCs/>
          <w:iCs/>
        </w:rPr>
      </w:pPr>
      <w:r w:rsidRPr="004C166D">
        <w:rPr>
          <w:bCs/>
          <w:iCs/>
        </w:rPr>
        <w:t xml:space="preserve">In 2021, Brå published new statistics on plaintiffs (for quality reasons, the target population has initially been limited to selected crimes directed against persons). The new plaintiff statistics include </w:t>
      </w:r>
      <w:r w:rsidRPr="004C166D">
        <w:t>basic</w:t>
      </w:r>
      <w:r w:rsidRPr="004C166D">
        <w:rPr>
          <w:bCs/>
          <w:iCs/>
        </w:rPr>
        <w:t xml:space="preserve"> statistics on the number of physical plaintiffs divided by sex, age, and type of crime 2014–2022. The purpose of plaintiff statistics is, </w:t>
      </w:r>
      <w:r w:rsidRPr="004C166D">
        <w:rPr>
          <w:bCs/>
          <w:i/>
        </w:rPr>
        <w:t>inter alia</w:t>
      </w:r>
      <w:r w:rsidRPr="004C166D">
        <w:rPr>
          <w:bCs/>
          <w:iCs/>
        </w:rPr>
        <w:t xml:space="preserve">, to supplement the picture of victims of crime reported in the Swedish Crime Survey. </w:t>
      </w:r>
    </w:p>
    <w:p w14:paraId="6741C101" w14:textId="279262D4" w:rsidR="004C166D" w:rsidRPr="004C166D" w:rsidRDefault="002B55F6" w:rsidP="002B55F6">
      <w:pPr>
        <w:pStyle w:val="H23G"/>
      </w:pPr>
      <w:r>
        <w:tab/>
      </w:r>
      <w:r>
        <w:tab/>
      </w:r>
      <w:r w:rsidR="004C166D" w:rsidRPr="004C166D">
        <w:t>Quality review on registered abuse cases</w:t>
      </w:r>
    </w:p>
    <w:p w14:paraId="60963481" w14:textId="77777777" w:rsidR="004C166D" w:rsidRPr="004C166D" w:rsidRDefault="004C166D" w:rsidP="0080005D">
      <w:pPr>
        <w:pStyle w:val="SingleTxtG"/>
        <w:numPr>
          <w:ilvl w:val="0"/>
          <w:numId w:val="26"/>
        </w:numPr>
        <w:ind w:left="1134" w:firstLine="0"/>
        <w:rPr>
          <w:bCs/>
          <w:iCs/>
        </w:rPr>
      </w:pPr>
      <w:r w:rsidRPr="004C166D">
        <w:rPr>
          <w:bCs/>
          <w:iCs/>
        </w:rPr>
        <w:t xml:space="preserve">The Government has commissioned Brå to study the quality of the relationship between victim and perpetrator in registered abuse cases between 2019 – 2021. Previous analyses had shown that there are quality deficiencies in the registration of the type of relationship between crime victims and perpetrators in reported assault crimes in the statistics, which have their basis in how the registration of crime codes is done. The deficiencies coincide with the revision of the classification codes for assault offenses in 2019. </w:t>
      </w:r>
    </w:p>
    <w:p w14:paraId="7D691D57" w14:textId="77777777" w:rsidR="004C166D" w:rsidRPr="004C166D" w:rsidRDefault="004C166D" w:rsidP="0080005D">
      <w:pPr>
        <w:pStyle w:val="SingleTxtG"/>
        <w:numPr>
          <w:ilvl w:val="0"/>
          <w:numId w:val="26"/>
        </w:numPr>
        <w:ind w:left="1134" w:firstLine="0"/>
        <w:rPr>
          <w:bCs/>
          <w:iCs/>
        </w:rPr>
      </w:pPr>
      <w:r w:rsidRPr="004C166D">
        <w:rPr>
          <w:bCs/>
          <w:iCs/>
        </w:rPr>
        <w:t xml:space="preserve">The results of the study show that the number of reported assault crimes against women by former or present intimate partner have been underestimated in the official statistics during the entire period studied. For abuse against a woman by a family member or by other acquaintances, the opposite relationship applies. The development of the number of reported assaults against </w:t>
      </w:r>
      <w:r w:rsidRPr="004C166D">
        <w:t>women</w:t>
      </w:r>
      <w:r w:rsidRPr="004C166D">
        <w:rPr>
          <w:bCs/>
          <w:iCs/>
        </w:rPr>
        <w:t xml:space="preserve"> for each relationship type has also been significantly more stable than what appears in the official statistics, although the estimates show both increases and reductions. Brå’s study also shows that the flaws have diminished during the studied time-period; however, according to Brå, there is still a risk that users of the data may draw incorrect conclusions about the level and development of reported assault crimes.</w:t>
      </w:r>
    </w:p>
    <w:p w14:paraId="449782B3" w14:textId="02B185BD" w:rsidR="004C166D" w:rsidRPr="004C166D" w:rsidRDefault="002B55F6" w:rsidP="002B55F6">
      <w:pPr>
        <w:pStyle w:val="H23G"/>
      </w:pPr>
      <w:r>
        <w:tab/>
      </w:r>
      <w:r>
        <w:tab/>
      </w:r>
      <w:r w:rsidR="004C166D" w:rsidRPr="004C166D">
        <w:t>Efforts to increase quality of registered offences</w:t>
      </w:r>
    </w:p>
    <w:p w14:paraId="037DDCAE" w14:textId="77777777" w:rsidR="004C166D" w:rsidRPr="004C166D" w:rsidRDefault="004C166D" w:rsidP="0080005D">
      <w:pPr>
        <w:pStyle w:val="SingleTxtG"/>
        <w:numPr>
          <w:ilvl w:val="0"/>
          <w:numId w:val="26"/>
        </w:numPr>
        <w:ind w:left="1134" w:firstLine="0"/>
        <w:rPr>
          <w:bCs/>
          <w:iCs/>
        </w:rPr>
      </w:pPr>
      <w:r w:rsidRPr="004C166D">
        <w:rPr>
          <w:bCs/>
          <w:iCs/>
        </w:rPr>
        <w:t xml:space="preserve">To improve the quality of official crime statistics regarding the relationship between the victim and the perpetrator, the Government requested a report from the Swedish Police Authority of how the Authority works to ensure that the registration of information on crime is done in a reliable and uniform manner. The Authority's report (2023) shows that competence-enhancing </w:t>
      </w:r>
      <w:r w:rsidRPr="004C166D">
        <w:t>measures</w:t>
      </w:r>
      <w:r w:rsidRPr="004C166D">
        <w:rPr>
          <w:bCs/>
          <w:iCs/>
        </w:rPr>
        <w:t xml:space="preserve"> have been taken to improve the quality of coding and investigation of crimes against women in relationships, including through information efforts towards those who receive reports of crimes at the Police's contact centre.</w:t>
      </w:r>
    </w:p>
    <w:p w14:paraId="0E87B5E9" w14:textId="3E9FDF7C" w:rsidR="004C166D" w:rsidRPr="004C166D" w:rsidRDefault="002B55F6" w:rsidP="002B55F6">
      <w:pPr>
        <w:pStyle w:val="H23G"/>
      </w:pPr>
      <w:r>
        <w:lastRenderedPageBreak/>
        <w:tab/>
      </w:r>
      <w:r>
        <w:tab/>
      </w:r>
      <w:r w:rsidR="004C166D" w:rsidRPr="004C166D">
        <w:t>The Swedish Crime Survey</w:t>
      </w:r>
    </w:p>
    <w:p w14:paraId="075A760D" w14:textId="77777777" w:rsidR="004C166D" w:rsidRPr="004C166D" w:rsidRDefault="004C166D" w:rsidP="0080005D">
      <w:pPr>
        <w:pStyle w:val="SingleTxtG"/>
        <w:numPr>
          <w:ilvl w:val="0"/>
          <w:numId w:val="26"/>
        </w:numPr>
        <w:ind w:left="1134" w:firstLine="0"/>
        <w:rPr>
          <w:bCs/>
          <w:iCs/>
        </w:rPr>
      </w:pPr>
      <w:r w:rsidRPr="004C166D">
        <w:rPr>
          <w:bCs/>
          <w:iCs/>
        </w:rPr>
        <w:t xml:space="preserve">The Swedish Crime Survey carried out by Brå, (SCS) is an annual survey of the attitudes and experiences of the general population of Sweden (aged 16–84 years) regarding victimisation, fear of crime, confidence in the criminal justice system, and crime victims' contacts with the criminal justice system. As for victimisation of women, relevant crimes include assault, threat, sexual offences, </w:t>
      </w:r>
      <w:r w:rsidRPr="004C166D">
        <w:t>online</w:t>
      </w:r>
      <w:r w:rsidRPr="004C166D">
        <w:rPr>
          <w:bCs/>
          <w:iCs/>
        </w:rPr>
        <w:t xml:space="preserve"> harassment, and harassment. Victimisation is stated in percentage of the respondents during the studied year. The SCS does not include domestic violence specifically (although special modules on domestic violence may be included, see below); however, the relationship between the victim and perpetrator in the crime incidents during the studied year is included in follow-up interviews. The SCS also includes information on Swedish/foreign background (born in Sweden with one/both parents born in Sweden, born in Sweden with both parents born outside Sweden or foreign-born), as well as age (age intervals).</w:t>
      </w:r>
    </w:p>
    <w:p w14:paraId="346F925C" w14:textId="77777777" w:rsidR="004C166D" w:rsidRPr="004C166D" w:rsidRDefault="004C166D" w:rsidP="0080005D">
      <w:pPr>
        <w:pStyle w:val="SingleTxtG"/>
        <w:numPr>
          <w:ilvl w:val="0"/>
          <w:numId w:val="26"/>
        </w:numPr>
        <w:ind w:left="1134" w:firstLine="0"/>
        <w:rPr>
          <w:bCs/>
          <w:iCs/>
        </w:rPr>
      </w:pPr>
      <w:r w:rsidRPr="004C166D">
        <w:rPr>
          <w:bCs/>
          <w:iCs/>
        </w:rPr>
        <w:t xml:space="preserve">In 2022, the Government commissioned Brå to implement a special module to measure crimes in close </w:t>
      </w:r>
      <w:r w:rsidRPr="004C166D">
        <w:t>relationships</w:t>
      </w:r>
      <w:r w:rsidRPr="004C166D">
        <w:rPr>
          <w:bCs/>
          <w:iCs/>
        </w:rPr>
        <w:t xml:space="preserve"> in the SCS (the last study was published in 2014). The module was originally intended to be implemented in SCS 2021, which refers to exposure to crimes in 2020, but was moved forward due to the COVID-19 pandemic. The results will be published in 2024.</w:t>
      </w:r>
    </w:p>
    <w:p w14:paraId="374EB1C2" w14:textId="6E15A3BC" w:rsidR="004C166D" w:rsidRPr="004C166D" w:rsidRDefault="002B55F6" w:rsidP="002B55F6">
      <w:pPr>
        <w:pStyle w:val="H23G"/>
      </w:pPr>
      <w:r>
        <w:tab/>
      </w:r>
      <w:r>
        <w:tab/>
      </w:r>
      <w:r w:rsidR="004C166D" w:rsidRPr="004C166D">
        <w:t>Persons with disabilities</w:t>
      </w:r>
    </w:p>
    <w:p w14:paraId="61062D40" w14:textId="77777777" w:rsidR="004C166D" w:rsidRPr="004C166D" w:rsidRDefault="004C166D" w:rsidP="0080005D">
      <w:pPr>
        <w:pStyle w:val="SingleTxtG"/>
        <w:numPr>
          <w:ilvl w:val="0"/>
          <w:numId w:val="26"/>
        </w:numPr>
        <w:ind w:left="1134" w:firstLine="0"/>
        <w:rPr>
          <w:bCs/>
          <w:iCs/>
        </w:rPr>
      </w:pPr>
      <w:r w:rsidRPr="004C166D">
        <w:rPr>
          <w:bCs/>
          <w:iCs/>
        </w:rPr>
        <w:t xml:space="preserve">In 2021, the Swedish Agency for Participation (MfD) was commissioned to compile knowledge about the exposure to violence among persons with disabilities and identifying knowledge gaps. In particular, the Agency was to consider knowledge of exposure to HBV and oppression. The </w:t>
      </w:r>
      <w:r w:rsidRPr="004C166D">
        <w:t>assignment</w:t>
      </w:r>
      <w:r w:rsidRPr="004C166D">
        <w:rPr>
          <w:bCs/>
          <w:iCs/>
        </w:rPr>
        <w:t xml:space="preserve"> included carrying out a survey of the measures taken to prevent and detect violence in the target group including on the knowledge about violence against persons with disabilities by employees who interact with persons with disabilities that have been or might have been subjected to violence, and how this knowledge is disseminated and utilised in relevant activities. It also included proposing measures. The results of the assignments were presented in 2023 and MfD has carried out many different dissemination and communication efforts to change mentalities and attitudes and raise awareness of the heightened exposure to violence of the target group. In 2023, the Agency was commissioned by the Government to chart and develop support material on violence against children and young persons with disabilities. In addition, MfD will do in-depth charting of HBV and oppression against persons with disabilities. The Agency will identify the target group’s particular vulnerability, conditions and needs.</w:t>
      </w:r>
    </w:p>
    <w:p w14:paraId="4502DEEB" w14:textId="0A8E67DD" w:rsidR="004C166D" w:rsidRPr="004C166D" w:rsidRDefault="002B55F6" w:rsidP="002B55F6">
      <w:pPr>
        <w:pStyle w:val="H23G"/>
      </w:pPr>
      <w:r>
        <w:tab/>
      </w:r>
      <w:r>
        <w:tab/>
      </w:r>
      <w:r w:rsidR="004C166D" w:rsidRPr="004C166D">
        <w:t>Older people</w:t>
      </w:r>
    </w:p>
    <w:p w14:paraId="1A2EC214" w14:textId="77777777" w:rsidR="004C166D" w:rsidRPr="004C166D" w:rsidRDefault="004C166D" w:rsidP="0080005D">
      <w:pPr>
        <w:pStyle w:val="SingleTxtG"/>
        <w:numPr>
          <w:ilvl w:val="0"/>
          <w:numId w:val="26"/>
        </w:numPr>
        <w:ind w:left="1134" w:firstLine="0"/>
        <w:rPr>
          <w:bCs/>
          <w:iCs/>
        </w:rPr>
      </w:pPr>
      <w:r w:rsidRPr="004C166D">
        <w:rPr>
          <w:bCs/>
          <w:iCs/>
        </w:rPr>
        <w:t>The GEA has been commissioned in 2023 to map the knowledge among municipalities, regions, and authorities regarding violence against older persons, aged 65 and above, and to identify knowledge gaps. The agency will also assess efforts to prevent and detect violence within this target group, and the interventions provided to those who have been subjected to violence. The assignment includes proposing measures to enhance the ability to detect violence and provide support and protection for those affected.</w:t>
      </w:r>
    </w:p>
    <w:p w14:paraId="0ED8318A" w14:textId="0A1BB497" w:rsidR="004C166D" w:rsidRPr="004C166D" w:rsidRDefault="002B55F6" w:rsidP="002B55F6">
      <w:pPr>
        <w:pStyle w:val="H23G"/>
      </w:pPr>
      <w:r>
        <w:tab/>
      </w:r>
      <w:r>
        <w:tab/>
      </w:r>
      <w:r w:rsidR="004C166D" w:rsidRPr="004C166D">
        <w:t>Young persons</w:t>
      </w:r>
    </w:p>
    <w:p w14:paraId="16F13E6C" w14:textId="77777777" w:rsidR="004C166D" w:rsidRPr="004C166D" w:rsidRDefault="004C166D" w:rsidP="0080005D">
      <w:pPr>
        <w:pStyle w:val="SingleTxtG"/>
        <w:numPr>
          <w:ilvl w:val="0"/>
          <w:numId w:val="26"/>
        </w:numPr>
        <w:ind w:left="1134" w:firstLine="0"/>
        <w:rPr>
          <w:bCs/>
          <w:iCs/>
        </w:rPr>
      </w:pPr>
      <w:r w:rsidRPr="004C166D">
        <w:rPr>
          <w:bCs/>
          <w:iCs/>
        </w:rPr>
        <w:t xml:space="preserve">In 2020, the Government commissioned Brå to study what measures can be taken to prevent violence in intimate partner relationships amongst young persons and to provide an overview of scientifically established causes of such violence. Based on the recommendations of this study, the Government in 2023, commissioned the GEA to map how different public authorities raise awareness and disseminate knowledge on violence amongst young people in intimate partner relationships, develop guidance material for professional groups and further recommend preventive measures. </w:t>
      </w:r>
    </w:p>
    <w:p w14:paraId="3FF46D0E" w14:textId="4AFA8D77" w:rsidR="004C166D" w:rsidRPr="004C166D" w:rsidRDefault="002B55F6" w:rsidP="002B55F6">
      <w:pPr>
        <w:pStyle w:val="H23G"/>
      </w:pPr>
      <w:r>
        <w:tab/>
      </w:r>
      <w:r>
        <w:tab/>
      </w:r>
      <w:r w:rsidR="004C166D" w:rsidRPr="004C166D">
        <w:t>Statistics Sweden</w:t>
      </w:r>
    </w:p>
    <w:p w14:paraId="1F08984A" w14:textId="77777777" w:rsidR="004C166D" w:rsidRPr="004C166D" w:rsidRDefault="004C166D" w:rsidP="0080005D">
      <w:pPr>
        <w:pStyle w:val="SingleTxtG"/>
        <w:numPr>
          <w:ilvl w:val="0"/>
          <w:numId w:val="26"/>
        </w:numPr>
        <w:ind w:left="1134" w:firstLine="0"/>
        <w:rPr>
          <w:bCs/>
          <w:iCs/>
        </w:rPr>
      </w:pPr>
      <w:bookmarkStart w:id="5" w:name="_Hlk149067177"/>
      <w:r w:rsidRPr="004C166D">
        <w:rPr>
          <w:bCs/>
          <w:iCs/>
        </w:rPr>
        <w:t xml:space="preserve">In 2022, the Government commissioned Statistics Sweden, to develop guidelines for work with statistics disaggregated by sex with a special focus on how sex can interrelate with </w:t>
      </w:r>
      <w:r w:rsidRPr="004C166D">
        <w:rPr>
          <w:bCs/>
          <w:iCs/>
        </w:rPr>
        <w:lastRenderedPageBreak/>
        <w:t xml:space="preserve">other variables. Variables to be considered included country of origin (birth) as well as foreign background (either foreign born or with at least one parent born abroad), duration of stay in Sweden as well as </w:t>
      </w:r>
      <w:r w:rsidRPr="004C166D">
        <w:t>educational</w:t>
      </w:r>
      <w:r w:rsidRPr="004C166D">
        <w:rPr>
          <w:bCs/>
          <w:iCs/>
        </w:rPr>
        <w:t xml:space="preserve"> background. The commission furthermore included conducting a study to examine Statistics Sweden’s possibility to deliver statistics disaggregated by sex to public authorities to enable more in- depth analyses of data and policy based on intersectional data. </w:t>
      </w:r>
    </w:p>
    <w:p w14:paraId="27C71F6F" w14:textId="77777777" w:rsidR="004C166D" w:rsidRPr="004C166D" w:rsidRDefault="004C166D" w:rsidP="0080005D">
      <w:pPr>
        <w:pStyle w:val="SingleTxtG"/>
        <w:numPr>
          <w:ilvl w:val="0"/>
          <w:numId w:val="26"/>
        </w:numPr>
        <w:ind w:left="1134" w:firstLine="0"/>
        <w:rPr>
          <w:bCs/>
          <w:iCs/>
        </w:rPr>
      </w:pPr>
      <w:bookmarkStart w:id="6" w:name="_Hlk149063075"/>
      <w:r w:rsidRPr="004C166D">
        <w:rPr>
          <w:bCs/>
          <w:iCs/>
        </w:rPr>
        <w:t>The study confirmed the need for support in the work to use statistics disaggregated by sex in gender equality analyses. Statistics Sweden hopes that the guidelines developed and published as part of the government commission will meet this need.</w:t>
      </w:r>
    </w:p>
    <w:p w14:paraId="43DA06A8" w14:textId="18E46CCA" w:rsidR="002B55F6" w:rsidRDefault="002B55F6" w:rsidP="002B55F6">
      <w:pPr>
        <w:pStyle w:val="H1G"/>
      </w:pPr>
      <w:r>
        <w:tab/>
        <w:t>D</w:t>
      </w:r>
      <w:r>
        <w:t>.</w:t>
      </w:r>
      <w:r>
        <w:tab/>
      </w:r>
      <w:r w:rsidRPr="002B55F6">
        <w:t>Follow-up information relating to paragraph 2</w:t>
      </w:r>
      <w:r>
        <w:t>6</w:t>
      </w:r>
      <w:r w:rsidRPr="002B55F6">
        <w:t xml:space="preserve"> (</w:t>
      </w:r>
      <w:r>
        <w:t>d</w:t>
      </w:r>
      <w:r w:rsidRPr="002B55F6">
        <w:t>) of the concluding observations</w:t>
      </w:r>
    </w:p>
    <w:bookmarkEnd w:id="4"/>
    <w:bookmarkEnd w:id="5"/>
    <w:bookmarkEnd w:id="6"/>
    <w:p w14:paraId="5865B612" w14:textId="77777777" w:rsidR="004C166D" w:rsidRPr="004C166D" w:rsidRDefault="004C166D" w:rsidP="0080005D">
      <w:pPr>
        <w:pStyle w:val="SingleTxtG"/>
        <w:numPr>
          <w:ilvl w:val="0"/>
          <w:numId w:val="26"/>
        </w:numPr>
        <w:ind w:left="1134" w:firstLine="0"/>
        <w:rPr>
          <w:bCs/>
          <w:iCs/>
        </w:rPr>
      </w:pPr>
      <w:r w:rsidRPr="004C166D">
        <w:t xml:space="preserve">Sweden has, </w:t>
      </w:r>
      <w:r w:rsidRPr="004C166D">
        <w:rPr>
          <w:i/>
          <w:iCs/>
        </w:rPr>
        <w:t>inter alia</w:t>
      </w:r>
      <w:r w:rsidRPr="004C166D">
        <w:t xml:space="preserve">, </w:t>
      </w:r>
      <w:r w:rsidRPr="004C166D">
        <w:rPr>
          <w:bCs/>
          <w:iCs/>
        </w:rPr>
        <w:t xml:space="preserve">expanded the possibilities to use covert coercive measures to investigate organised crime, such as human trafficking or human exploitation. The Government has </w:t>
      </w:r>
      <w:r w:rsidRPr="004C166D">
        <w:t>commissioned the GEA to strengthen its work to combat the sexual exploitation of children, prostitution, and human trafficking.</w:t>
      </w:r>
      <w:r w:rsidRPr="004C166D">
        <w:rPr>
          <w:bCs/>
          <w:iCs/>
        </w:rPr>
        <w:t xml:space="preserve"> </w:t>
      </w:r>
      <w:r w:rsidRPr="004C166D">
        <w:t xml:space="preserve">In 2022, the GEA has focused efforts on strengthening coordination and information efforts due to Russia’s invasion of Ukraine. Sweden has, together with France, continued to cooperate closely with international actors such as UNODC and OSCE regarding the obligation to address the demand (art 9.5 UN Palermo Protocol). Regarding prevention, </w:t>
      </w:r>
      <w:r w:rsidRPr="004C166D">
        <w:rPr>
          <w:i/>
          <w:iCs/>
        </w:rPr>
        <w:t>inter alia</w:t>
      </w:r>
      <w:r w:rsidRPr="004C166D">
        <w:t xml:space="preserve">, buyers of sexual services or people with other obsessive sexual behaviours, who wish to reduce or stop behaviours that risk impacting others and themselves negatively are offered counselling at specialised centres (KAST). </w:t>
      </w:r>
      <w:bookmarkStart w:id="7" w:name="_Hlk167190204"/>
    </w:p>
    <w:p w14:paraId="5106AAFA" w14:textId="77777777" w:rsidR="004C166D" w:rsidRPr="004C166D" w:rsidRDefault="004C166D" w:rsidP="0080005D">
      <w:pPr>
        <w:pStyle w:val="SingleTxtG"/>
        <w:numPr>
          <w:ilvl w:val="0"/>
          <w:numId w:val="26"/>
        </w:numPr>
        <w:ind w:left="1134" w:firstLine="0"/>
      </w:pPr>
      <w:r w:rsidRPr="004C166D">
        <w:rPr>
          <w:bCs/>
          <w:iCs/>
        </w:rPr>
        <w:t xml:space="preserve">A temporary residence permit for recovery and reflection may under certain conditions be granted a foreigner victim. In 2022, amendments to the Aliens Act were made allowing the municipal social service to, </w:t>
      </w:r>
      <w:r w:rsidRPr="004C166D">
        <w:t>besides</w:t>
      </w:r>
      <w:r w:rsidRPr="004C166D">
        <w:rPr>
          <w:bCs/>
          <w:iCs/>
        </w:rPr>
        <w:t xml:space="preserve"> the person in charge of a preliminary investigation, apply for such a residence permit on behalf of victims of trafficking or human exploitation. The changes in the Aliens Act regarding a reflection period enhance the possibility to receive support without contact with law enforcement. A victim may also, after an application made by the person in charge of a preliminary investigation, under certain conditions be granted a temporary residence permit for the purpose of their co-operation in preliminary investigation or criminal proceedings.</w:t>
      </w:r>
    </w:p>
    <w:p w14:paraId="07DA1BE1" w14:textId="77777777" w:rsidR="004C166D" w:rsidRPr="004C166D" w:rsidRDefault="004C166D" w:rsidP="0080005D">
      <w:pPr>
        <w:pStyle w:val="SingleTxtG"/>
        <w:numPr>
          <w:ilvl w:val="0"/>
          <w:numId w:val="26"/>
        </w:numPr>
        <w:ind w:left="1134" w:firstLine="0"/>
        <w:rPr>
          <w:bCs/>
          <w:iCs/>
        </w:rPr>
      </w:pPr>
      <w:r w:rsidRPr="004C166D">
        <w:rPr>
          <w:bCs/>
          <w:iCs/>
        </w:rPr>
        <w:t xml:space="preserve">To support the utilisation of this new legal provision for a reflection period in practice, the National Board of Health and Welfare and the GEA in 2023 have been commissioned by the Government to spread </w:t>
      </w:r>
      <w:r w:rsidRPr="004C166D">
        <w:t>information</w:t>
      </w:r>
      <w:r w:rsidRPr="004C166D">
        <w:rPr>
          <w:bCs/>
          <w:iCs/>
        </w:rPr>
        <w:t xml:space="preserve"> and support the capacity building of Social Welfare Committees on the topic of human trafficking including information about the changes in the legislation that entered into force in 2022. The agencies are to report on the commission by 2024. Information about the new legislation is updated in the Swedish version of the National Referral Mechanism (NRM). </w:t>
      </w:r>
    </w:p>
    <w:p w14:paraId="556C3F29" w14:textId="77777777" w:rsidR="004C166D" w:rsidRPr="004C166D" w:rsidRDefault="004C166D" w:rsidP="0080005D">
      <w:pPr>
        <w:pStyle w:val="SingleTxtG"/>
        <w:numPr>
          <w:ilvl w:val="0"/>
          <w:numId w:val="26"/>
        </w:numPr>
        <w:ind w:left="1134" w:firstLine="0"/>
      </w:pPr>
      <w:r w:rsidRPr="004C166D">
        <w:rPr>
          <w:bCs/>
          <w:iCs/>
        </w:rPr>
        <w:t xml:space="preserve">It should be noted that people fleeing Ukraine can apply for protection under the Temporary Protection </w:t>
      </w:r>
      <w:r w:rsidRPr="004C166D">
        <w:t>Directive</w:t>
      </w:r>
      <w:r w:rsidRPr="004C166D">
        <w:rPr>
          <w:bCs/>
          <w:iCs/>
        </w:rPr>
        <w:t xml:space="preserve">. </w:t>
      </w:r>
      <w:bookmarkEnd w:id="7"/>
      <w:r w:rsidRPr="004C166D">
        <w:tab/>
      </w:r>
    </w:p>
    <w:p w14:paraId="34BFD91E" w14:textId="77777777" w:rsidR="004C166D" w:rsidRPr="004C166D" w:rsidRDefault="004C166D" w:rsidP="0080005D">
      <w:pPr>
        <w:pStyle w:val="SingleTxtG"/>
        <w:numPr>
          <w:ilvl w:val="0"/>
          <w:numId w:val="26"/>
        </w:numPr>
        <w:ind w:left="1134" w:firstLine="0"/>
      </w:pPr>
      <w:bookmarkStart w:id="8" w:name="_Hlk167190215"/>
      <w:r w:rsidRPr="004C166D">
        <w:rPr>
          <w:bCs/>
          <w:iCs/>
        </w:rPr>
        <w:t xml:space="preserve">The Swedish Migration Agency´s internal processing support regarding human trafficking is updated regularly. Large parts have been updated in recent years, mainly focusing on the examination of </w:t>
      </w:r>
      <w:r w:rsidRPr="004C166D">
        <w:t>asylum</w:t>
      </w:r>
      <w:r w:rsidRPr="004C166D">
        <w:rPr>
          <w:bCs/>
          <w:iCs/>
        </w:rPr>
        <w:t xml:space="preserve"> cases where the applicant has been identified as a potential victim. For instance, a detailed support regarding the risk of “re-trafficking” has been published</w:t>
      </w:r>
      <w:bookmarkEnd w:id="8"/>
      <w:r w:rsidRPr="004C166D">
        <w:rPr>
          <w:bCs/>
          <w:iCs/>
        </w:rPr>
        <w:t xml:space="preserve">. </w:t>
      </w:r>
    </w:p>
    <w:p w14:paraId="45E43040" w14:textId="0E73A71E" w:rsidR="00023A38" w:rsidRPr="0013002C" w:rsidRDefault="0013002C" w:rsidP="0013002C">
      <w:pPr>
        <w:pStyle w:val="SingleTxtG"/>
        <w:jc w:val="center"/>
        <w:rPr>
          <w:u w:val="single"/>
        </w:rPr>
      </w:pPr>
      <w:r>
        <w:rPr>
          <w:u w:val="single"/>
        </w:rPr>
        <w:tab/>
      </w:r>
      <w:r>
        <w:rPr>
          <w:u w:val="single"/>
        </w:rPr>
        <w:tab/>
      </w:r>
      <w:r>
        <w:rPr>
          <w:u w:val="single"/>
        </w:rPr>
        <w:tab/>
      </w:r>
    </w:p>
    <w:sectPr w:rsidR="00023A38" w:rsidRPr="0013002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DA04C" w14:textId="77777777" w:rsidR="00023A38" w:rsidRDefault="00023A38">
      <w:pPr>
        <w:spacing w:line="240" w:lineRule="auto"/>
      </w:pPr>
    </w:p>
  </w:endnote>
  <w:endnote w:type="continuationSeparator" w:id="0">
    <w:p w14:paraId="5B104340" w14:textId="77777777" w:rsidR="00023A38" w:rsidRDefault="00023A38">
      <w:pPr>
        <w:pStyle w:val="Footer"/>
      </w:pPr>
    </w:p>
  </w:endnote>
  <w:endnote w:type="continuationNotice" w:id="1">
    <w:p w14:paraId="48CDE2C6" w14:textId="77777777" w:rsidR="00023A38" w:rsidRDefault="00023A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FB72A" w14:textId="77777777" w:rsidR="00023A38" w:rsidRDefault="00EA0CBA">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AD7D4" w14:textId="77777777" w:rsidR="00023A38" w:rsidRDefault="00EA0CBA">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A856109" wp14:editId="39E84ED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1611E" w14:paraId="4DBC1C97" w14:textId="77777777">
      <w:tc>
        <w:tcPr>
          <w:tcW w:w="1848" w:type="dxa"/>
          <w:vAlign w:val="bottom"/>
        </w:tcPr>
        <w:p w14:paraId="06A688EE" w14:textId="77777777" w:rsidR="00023A38" w:rsidRDefault="00EA0CBA">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20256D44" wp14:editId="56DD9767">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C7517" w14:textId="77777777" w:rsidR="00023A38" w:rsidRDefault="00EA0CBA">
      <w:pPr>
        <w:pStyle w:val="Footer"/>
        <w:tabs>
          <w:tab w:val="right" w:pos="2155"/>
        </w:tabs>
        <w:spacing w:after="80" w:line="240" w:lineRule="atLeast"/>
        <w:ind w:left="680"/>
        <w:rPr>
          <w:u w:val="single"/>
        </w:rPr>
      </w:pPr>
      <w:r>
        <w:rPr>
          <w:u w:val="single"/>
        </w:rPr>
        <w:tab/>
      </w:r>
    </w:p>
  </w:footnote>
  <w:footnote w:type="continuationSeparator" w:id="0">
    <w:p w14:paraId="7D2AB666" w14:textId="77777777" w:rsidR="00023A38" w:rsidRDefault="00EA0CBA">
      <w:pPr>
        <w:pStyle w:val="Footer"/>
        <w:tabs>
          <w:tab w:val="right" w:pos="2155"/>
        </w:tabs>
        <w:spacing w:after="80" w:line="240" w:lineRule="atLeast"/>
        <w:ind w:left="680"/>
        <w:rPr>
          <w:u w:val="single"/>
        </w:rPr>
      </w:pPr>
      <w:r>
        <w:rPr>
          <w:u w:val="single"/>
        </w:rPr>
        <w:tab/>
      </w:r>
    </w:p>
  </w:footnote>
  <w:footnote w:type="continuationNotice" w:id="1">
    <w:p w14:paraId="3E00AFE9" w14:textId="77777777" w:rsidR="00023A38" w:rsidRDefault="00023A38">
      <w:pPr>
        <w:spacing w:line="240" w:lineRule="auto"/>
        <w:rPr>
          <w:sz w:val="2"/>
          <w:szCs w:val="2"/>
        </w:rPr>
      </w:pPr>
    </w:p>
  </w:footnote>
  <w:footnote w:id="2">
    <w:p w14:paraId="3C702767" w14:textId="77777777" w:rsidR="00023A38" w:rsidRDefault="00EA0CBA">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7BA65" w14:textId="77777777" w:rsidR="00023A38" w:rsidRDefault="007F4501">
    <w:pPr>
      <w:pStyle w:val="Header"/>
    </w:pPr>
    <w:r>
      <w:t>CEDAW/C/SWE/FCO/10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EC4EA8" w14:textId="77777777" w:rsidR="00023A38" w:rsidRDefault="007F4501">
    <w:pPr>
      <w:pStyle w:val="Header"/>
      <w:jc w:val="right"/>
    </w:pPr>
    <w:r>
      <w:t>CEDAW/C/SWE/FCO/10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0F0DF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8D421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2E4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BF061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4A764E" w:tentative="1">
      <w:start w:val="1"/>
      <w:numFmt w:val="lowerLetter"/>
      <w:lvlText w:val="%2."/>
      <w:lvlJc w:val="left"/>
      <w:pPr>
        <w:tabs>
          <w:tab w:val="num" w:pos="1440"/>
        </w:tabs>
        <w:ind w:left="1440" w:hanging="360"/>
      </w:pPr>
    </w:lvl>
    <w:lvl w:ilvl="2" w:tplc="FCA03970" w:tentative="1">
      <w:start w:val="1"/>
      <w:numFmt w:val="lowerRoman"/>
      <w:lvlText w:val="%3."/>
      <w:lvlJc w:val="right"/>
      <w:pPr>
        <w:tabs>
          <w:tab w:val="num" w:pos="2160"/>
        </w:tabs>
        <w:ind w:left="2160" w:hanging="180"/>
      </w:pPr>
    </w:lvl>
    <w:lvl w:ilvl="3" w:tplc="05529DC4" w:tentative="1">
      <w:start w:val="1"/>
      <w:numFmt w:val="decimal"/>
      <w:lvlText w:val="%4."/>
      <w:lvlJc w:val="left"/>
      <w:pPr>
        <w:tabs>
          <w:tab w:val="num" w:pos="2880"/>
        </w:tabs>
        <w:ind w:left="2880" w:hanging="360"/>
      </w:pPr>
    </w:lvl>
    <w:lvl w:ilvl="4" w:tplc="CFE2C04E" w:tentative="1">
      <w:start w:val="1"/>
      <w:numFmt w:val="lowerLetter"/>
      <w:lvlText w:val="%5."/>
      <w:lvlJc w:val="left"/>
      <w:pPr>
        <w:tabs>
          <w:tab w:val="num" w:pos="3600"/>
        </w:tabs>
        <w:ind w:left="3600" w:hanging="360"/>
      </w:pPr>
    </w:lvl>
    <w:lvl w:ilvl="5" w:tplc="E4BCC118" w:tentative="1">
      <w:start w:val="1"/>
      <w:numFmt w:val="lowerRoman"/>
      <w:lvlText w:val="%6."/>
      <w:lvlJc w:val="right"/>
      <w:pPr>
        <w:tabs>
          <w:tab w:val="num" w:pos="4320"/>
        </w:tabs>
        <w:ind w:left="4320" w:hanging="180"/>
      </w:pPr>
    </w:lvl>
    <w:lvl w:ilvl="6" w:tplc="4E1AAF7C" w:tentative="1">
      <w:start w:val="1"/>
      <w:numFmt w:val="decimal"/>
      <w:lvlText w:val="%7."/>
      <w:lvlJc w:val="left"/>
      <w:pPr>
        <w:tabs>
          <w:tab w:val="num" w:pos="5040"/>
        </w:tabs>
        <w:ind w:left="5040" w:hanging="360"/>
      </w:pPr>
    </w:lvl>
    <w:lvl w:ilvl="7" w:tplc="93BABD3C" w:tentative="1">
      <w:start w:val="1"/>
      <w:numFmt w:val="lowerLetter"/>
      <w:lvlText w:val="%8."/>
      <w:lvlJc w:val="left"/>
      <w:pPr>
        <w:tabs>
          <w:tab w:val="num" w:pos="5760"/>
        </w:tabs>
        <w:ind w:left="5760" w:hanging="360"/>
      </w:pPr>
    </w:lvl>
    <w:lvl w:ilvl="8" w:tplc="529E0AAA" w:tentative="1">
      <w:start w:val="1"/>
      <w:numFmt w:val="lowerRoman"/>
      <w:lvlText w:val="%9."/>
      <w:lvlJc w:val="right"/>
      <w:pPr>
        <w:tabs>
          <w:tab w:val="num" w:pos="6480"/>
        </w:tabs>
        <w:ind w:left="6480" w:hanging="180"/>
      </w:pPr>
    </w:lvl>
  </w:abstractNum>
  <w:abstractNum w:abstractNumId="11" w15:restartNumberingAfterBreak="0">
    <w:nsid w:val="10D15729"/>
    <w:multiLevelType w:val="multilevel"/>
    <w:tmpl w:val="1A20A4CA"/>
    <w:styleLink w:val="RKPunktlista"/>
    <w:lvl w:ilvl="0">
      <w:start w:val="1"/>
      <w:numFmt w:val="bullet"/>
      <w:pStyle w:val="ListBullet"/>
      <w:lvlText w:val="•"/>
      <w:lvlJc w:val="left"/>
      <w:pPr>
        <w:tabs>
          <w:tab w:val="num" w:pos="425"/>
        </w:tabs>
        <w:ind w:left="425" w:hanging="425"/>
      </w:pPr>
      <w:rPr>
        <w:rFonts w:ascii="Garamond" w:hAnsi="Garamond" w:hint="default"/>
      </w:rPr>
    </w:lvl>
    <w:lvl w:ilvl="1">
      <w:start w:val="1"/>
      <w:numFmt w:val="bullet"/>
      <w:pStyle w:val="ListBullet2"/>
      <w:lvlText w:val="o"/>
      <w:lvlJc w:val="left"/>
      <w:pPr>
        <w:tabs>
          <w:tab w:val="num" w:pos="851"/>
        </w:tabs>
        <w:ind w:left="851" w:hanging="426"/>
      </w:pPr>
      <w:rPr>
        <w:rFonts w:ascii="Courier New" w:hAnsi="Courier New" w:hint="default"/>
      </w:rPr>
    </w:lvl>
    <w:lvl w:ilvl="2">
      <w:start w:val="1"/>
      <w:numFmt w:val="bullet"/>
      <w:pStyle w:val="ListBullet3"/>
      <w:lvlText w:val=""/>
      <w:lvlJc w:val="left"/>
      <w:pPr>
        <w:tabs>
          <w:tab w:val="num" w:pos="1276"/>
        </w:tabs>
        <w:ind w:left="1276" w:hanging="425"/>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C9B0453"/>
    <w:multiLevelType w:val="multilevel"/>
    <w:tmpl w:val="1A20A4CA"/>
    <w:numStyleLink w:val="RKPunktlista"/>
  </w:abstractNum>
  <w:abstractNum w:abstractNumId="13" w15:restartNumberingAfterBreak="0">
    <w:nsid w:val="3ACF4EB2"/>
    <w:multiLevelType w:val="hybridMultilevel"/>
    <w:tmpl w:val="CB6C816A"/>
    <w:lvl w:ilvl="0" w:tplc="EA229A6E">
      <w:start w:val="1"/>
      <w:numFmt w:val="bullet"/>
      <w:pStyle w:val="Bullet2G"/>
      <w:lvlText w:val="•"/>
      <w:lvlJc w:val="left"/>
      <w:pPr>
        <w:tabs>
          <w:tab w:val="num" w:pos="2268"/>
        </w:tabs>
        <w:ind w:left="2268" w:hanging="170"/>
      </w:pPr>
      <w:rPr>
        <w:rFonts w:ascii="Times New Roman" w:hAnsi="Times New Roman" w:cs="Times New Roman" w:hint="default"/>
      </w:rPr>
    </w:lvl>
    <w:lvl w:ilvl="1" w:tplc="FF1CA3EE" w:tentative="1">
      <w:start w:val="1"/>
      <w:numFmt w:val="bullet"/>
      <w:lvlText w:val="o"/>
      <w:lvlJc w:val="left"/>
      <w:pPr>
        <w:tabs>
          <w:tab w:val="num" w:pos="3708"/>
        </w:tabs>
        <w:ind w:left="3708" w:hanging="360"/>
      </w:pPr>
      <w:rPr>
        <w:rFonts w:ascii="Courier New" w:hAnsi="Courier New" w:hint="default"/>
      </w:rPr>
    </w:lvl>
    <w:lvl w:ilvl="2" w:tplc="8536DDE0" w:tentative="1">
      <w:start w:val="1"/>
      <w:numFmt w:val="bullet"/>
      <w:lvlText w:val=""/>
      <w:lvlJc w:val="left"/>
      <w:pPr>
        <w:tabs>
          <w:tab w:val="num" w:pos="4428"/>
        </w:tabs>
        <w:ind w:left="4428" w:hanging="360"/>
      </w:pPr>
      <w:rPr>
        <w:rFonts w:ascii="Wingdings" w:hAnsi="Wingdings" w:hint="default"/>
      </w:rPr>
    </w:lvl>
    <w:lvl w:ilvl="3" w:tplc="77DE2634" w:tentative="1">
      <w:start w:val="1"/>
      <w:numFmt w:val="bullet"/>
      <w:lvlText w:val=""/>
      <w:lvlJc w:val="left"/>
      <w:pPr>
        <w:tabs>
          <w:tab w:val="num" w:pos="5148"/>
        </w:tabs>
        <w:ind w:left="5148" w:hanging="360"/>
      </w:pPr>
      <w:rPr>
        <w:rFonts w:ascii="Symbol" w:hAnsi="Symbol" w:hint="default"/>
      </w:rPr>
    </w:lvl>
    <w:lvl w:ilvl="4" w:tplc="F6386BCE" w:tentative="1">
      <w:start w:val="1"/>
      <w:numFmt w:val="bullet"/>
      <w:lvlText w:val="o"/>
      <w:lvlJc w:val="left"/>
      <w:pPr>
        <w:tabs>
          <w:tab w:val="num" w:pos="5868"/>
        </w:tabs>
        <w:ind w:left="5868" w:hanging="360"/>
      </w:pPr>
      <w:rPr>
        <w:rFonts w:ascii="Courier New" w:hAnsi="Courier New" w:hint="default"/>
      </w:rPr>
    </w:lvl>
    <w:lvl w:ilvl="5" w:tplc="4DB6C584" w:tentative="1">
      <w:start w:val="1"/>
      <w:numFmt w:val="bullet"/>
      <w:lvlText w:val=""/>
      <w:lvlJc w:val="left"/>
      <w:pPr>
        <w:tabs>
          <w:tab w:val="num" w:pos="6588"/>
        </w:tabs>
        <w:ind w:left="6588" w:hanging="360"/>
      </w:pPr>
      <w:rPr>
        <w:rFonts w:ascii="Wingdings" w:hAnsi="Wingdings" w:hint="default"/>
      </w:rPr>
    </w:lvl>
    <w:lvl w:ilvl="6" w:tplc="FA04F23C" w:tentative="1">
      <w:start w:val="1"/>
      <w:numFmt w:val="bullet"/>
      <w:lvlText w:val=""/>
      <w:lvlJc w:val="left"/>
      <w:pPr>
        <w:tabs>
          <w:tab w:val="num" w:pos="7308"/>
        </w:tabs>
        <w:ind w:left="7308" w:hanging="360"/>
      </w:pPr>
      <w:rPr>
        <w:rFonts w:ascii="Symbol" w:hAnsi="Symbol" w:hint="default"/>
      </w:rPr>
    </w:lvl>
    <w:lvl w:ilvl="7" w:tplc="B32E83B4" w:tentative="1">
      <w:start w:val="1"/>
      <w:numFmt w:val="bullet"/>
      <w:lvlText w:val="o"/>
      <w:lvlJc w:val="left"/>
      <w:pPr>
        <w:tabs>
          <w:tab w:val="num" w:pos="8028"/>
        </w:tabs>
        <w:ind w:left="8028" w:hanging="360"/>
      </w:pPr>
      <w:rPr>
        <w:rFonts w:ascii="Courier New" w:hAnsi="Courier New" w:hint="default"/>
      </w:rPr>
    </w:lvl>
    <w:lvl w:ilvl="8" w:tplc="F3F003A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C649CC"/>
    <w:multiLevelType w:val="hybridMultilevel"/>
    <w:tmpl w:val="BA5CDA6E"/>
    <w:lvl w:ilvl="0" w:tplc="2B0CD95A">
      <w:start w:val="1"/>
      <w:numFmt w:val="upperRoman"/>
      <w:lvlText w:val="%1."/>
      <w:lvlJc w:val="left"/>
      <w:pPr>
        <w:ind w:left="2556" w:hanging="855"/>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5CBA138E"/>
    <w:multiLevelType w:val="hybridMultilevel"/>
    <w:tmpl w:val="9D6CD042"/>
    <w:lvl w:ilvl="0" w:tplc="1F84521E">
      <w:start w:val="1"/>
      <w:numFmt w:val="upperLetter"/>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E71174"/>
    <w:multiLevelType w:val="hybridMultilevel"/>
    <w:tmpl w:val="AB148FC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0E0D63"/>
    <w:multiLevelType w:val="hybridMultilevel"/>
    <w:tmpl w:val="2B06F246"/>
    <w:lvl w:ilvl="0" w:tplc="2000000F">
      <w:start w:val="1"/>
      <w:numFmt w:val="decimal"/>
      <w:lvlText w:val="%1."/>
      <w:lvlJc w:val="left"/>
      <w:pPr>
        <w:ind w:left="2556" w:hanging="855"/>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68AD07B2"/>
    <w:multiLevelType w:val="hybridMultilevel"/>
    <w:tmpl w:val="7FEE3222"/>
    <w:lvl w:ilvl="0" w:tplc="ECA63AF4">
      <w:start w:val="1"/>
      <w:numFmt w:val="bullet"/>
      <w:pStyle w:val="Bullet1G"/>
      <w:lvlText w:val="•"/>
      <w:lvlJc w:val="left"/>
      <w:pPr>
        <w:tabs>
          <w:tab w:val="num" w:pos="1701"/>
        </w:tabs>
        <w:ind w:left="1701" w:hanging="170"/>
      </w:pPr>
      <w:rPr>
        <w:rFonts w:ascii="Times New Roman" w:hAnsi="Times New Roman" w:cs="Times New Roman" w:hint="default"/>
      </w:rPr>
    </w:lvl>
    <w:lvl w:ilvl="1" w:tplc="F4B09742" w:tentative="1">
      <w:start w:val="1"/>
      <w:numFmt w:val="bullet"/>
      <w:lvlText w:val="o"/>
      <w:lvlJc w:val="left"/>
      <w:pPr>
        <w:tabs>
          <w:tab w:val="num" w:pos="3141"/>
        </w:tabs>
        <w:ind w:left="3141" w:hanging="360"/>
      </w:pPr>
      <w:rPr>
        <w:rFonts w:ascii="Courier New" w:hAnsi="Courier New" w:hint="default"/>
      </w:rPr>
    </w:lvl>
    <w:lvl w:ilvl="2" w:tplc="25743548" w:tentative="1">
      <w:start w:val="1"/>
      <w:numFmt w:val="bullet"/>
      <w:lvlText w:val=""/>
      <w:lvlJc w:val="left"/>
      <w:pPr>
        <w:tabs>
          <w:tab w:val="num" w:pos="3861"/>
        </w:tabs>
        <w:ind w:left="3861" w:hanging="360"/>
      </w:pPr>
      <w:rPr>
        <w:rFonts w:ascii="Wingdings" w:hAnsi="Wingdings" w:hint="default"/>
      </w:rPr>
    </w:lvl>
    <w:lvl w:ilvl="3" w:tplc="7B7E12FE" w:tentative="1">
      <w:start w:val="1"/>
      <w:numFmt w:val="bullet"/>
      <w:lvlText w:val=""/>
      <w:lvlJc w:val="left"/>
      <w:pPr>
        <w:tabs>
          <w:tab w:val="num" w:pos="4581"/>
        </w:tabs>
        <w:ind w:left="4581" w:hanging="360"/>
      </w:pPr>
      <w:rPr>
        <w:rFonts w:ascii="Symbol" w:hAnsi="Symbol" w:hint="default"/>
      </w:rPr>
    </w:lvl>
    <w:lvl w:ilvl="4" w:tplc="FCFA8E3C" w:tentative="1">
      <w:start w:val="1"/>
      <w:numFmt w:val="bullet"/>
      <w:lvlText w:val="o"/>
      <w:lvlJc w:val="left"/>
      <w:pPr>
        <w:tabs>
          <w:tab w:val="num" w:pos="5301"/>
        </w:tabs>
        <w:ind w:left="5301" w:hanging="360"/>
      </w:pPr>
      <w:rPr>
        <w:rFonts w:ascii="Courier New" w:hAnsi="Courier New" w:hint="default"/>
      </w:rPr>
    </w:lvl>
    <w:lvl w:ilvl="5" w:tplc="1592EB54" w:tentative="1">
      <w:start w:val="1"/>
      <w:numFmt w:val="bullet"/>
      <w:lvlText w:val=""/>
      <w:lvlJc w:val="left"/>
      <w:pPr>
        <w:tabs>
          <w:tab w:val="num" w:pos="6021"/>
        </w:tabs>
        <w:ind w:left="6021" w:hanging="360"/>
      </w:pPr>
      <w:rPr>
        <w:rFonts w:ascii="Wingdings" w:hAnsi="Wingdings" w:hint="default"/>
      </w:rPr>
    </w:lvl>
    <w:lvl w:ilvl="6" w:tplc="76147A46" w:tentative="1">
      <w:start w:val="1"/>
      <w:numFmt w:val="bullet"/>
      <w:lvlText w:val=""/>
      <w:lvlJc w:val="left"/>
      <w:pPr>
        <w:tabs>
          <w:tab w:val="num" w:pos="6741"/>
        </w:tabs>
        <w:ind w:left="6741" w:hanging="360"/>
      </w:pPr>
      <w:rPr>
        <w:rFonts w:ascii="Symbol" w:hAnsi="Symbol" w:hint="default"/>
      </w:rPr>
    </w:lvl>
    <w:lvl w:ilvl="7" w:tplc="58E82650" w:tentative="1">
      <w:start w:val="1"/>
      <w:numFmt w:val="bullet"/>
      <w:lvlText w:val="o"/>
      <w:lvlJc w:val="left"/>
      <w:pPr>
        <w:tabs>
          <w:tab w:val="num" w:pos="7461"/>
        </w:tabs>
        <w:ind w:left="7461" w:hanging="360"/>
      </w:pPr>
      <w:rPr>
        <w:rFonts w:ascii="Courier New" w:hAnsi="Courier New" w:hint="default"/>
      </w:rPr>
    </w:lvl>
    <w:lvl w:ilvl="8" w:tplc="4DB2117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FD102F7"/>
    <w:multiLevelType w:val="hybridMultilevel"/>
    <w:tmpl w:val="0598E274"/>
    <w:lvl w:ilvl="0" w:tplc="2B0CD95A">
      <w:start w:val="1"/>
      <w:numFmt w:val="upperRoman"/>
      <w:lvlText w:val="%1."/>
      <w:lvlJc w:val="left"/>
      <w:pPr>
        <w:ind w:left="1422" w:hanging="855"/>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76889865">
    <w:abstractNumId w:val="21"/>
  </w:num>
  <w:num w:numId="2" w16cid:durableId="1633093603">
    <w:abstractNumId w:val="13"/>
  </w:num>
  <w:num w:numId="3" w16cid:durableId="284044704">
    <w:abstractNumId w:val="10"/>
  </w:num>
  <w:num w:numId="4" w16cid:durableId="52656266">
    <w:abstractNumId w:val="8"/>
  </w:num>
  <w:num w:numId="5" w16cid:durableId="1532721359">
    <w:abstractNumId w:val="3"/>
  </w:num>
  <w:num w:numId="6" w16cid:durableId="321859692">
    <w:abstractNumId w:val="2"/>
  </w:num>
  <w:num w:numId="7" w16cid:durableId="1362045866">
    <w:abstractNumId w:val="1"/>
  </w:num>
  <w:num w:numId="8" w16cid:durableId="889265289">
    <w:abstractNumId w:val="0"/>
  </w:num>
  <w:num w:numId="9" w16cid:durableId="1036851990">
    <w:abstractNumId w:val="9"/>
  </w:num>
  <w:num w:numId="10" w16cid:durableId="1658148489">
    <w:abstractNumId w:val="7"/>
  </w:num>
  <w:num w:numId="11" w16cid:durableId="674302870">
    <w:abstractNumId w:val="6"/>
  </w:num>
  <w:num w:numId="12" w16cid:durableId="750925564">
    <w:abstractNumId w:val="5"/>
  </w:num>
  <w:num w:numId="13" w16cid:durableId="449471723">
    <w:abstractNumId w:val="4"/>
  </w:num>
  <w:num w:numId="14" w16cid:durableId="863329876">
    <w:abstractNumId w:val="21"/>
  </w:num>
  <w:num w:numId="15" w16cid:durableId="83191100">
    <w:abstractNumId w:val="13"/>
  </w:num>
  <w:num w:numId="16" w16cid:durableId="2030795804">
    <w:abstractNumId w:val="10"/>
  </w:num>
  <w:num w:numId="17" w16cid:durableId="630750702">
    <w:abstractNumId w:val="14"/>
  </w:num>
  <w:num w:numId="18" w16cid:durableId="660083292">
    <w:abstractNumId w:val="19"/>
  </w:num>
  <w:num w:numId="19" w16cid:durableId="1035539152">
    <w:abstractNumId w:val="17"/>
  </w:num>
  <w:num w:numId="20" w16cid:durableId="1577591858">
    <w:abstractNumId w:val="23"/>
  </w:num>
  <w:num w:numId="21" w16cid:durableId="187984357">
    <w:abstractNumId w:val="11"/>
  </w:num>
  <w:num w:numId="22" w16cid:durableId="278224686">
    <w:abstractNumId w:val="12"/>
  </w:num>
  <w:num w:numId="23" w16cid:durableId="1577283518">
    <w:abstractNumId w:val="18"/>
  </w:num>
  <w:num w:numId="24" w16cid:durableId="355740741">
    <w:abstractNumId w:val="22"/>
  </w:num>
  <w:num w:numId="25" w16cid:durableId="1569463726">
    <w:abstractNumId w:val="15"/>
  </w:num>
  <w:num w:numId="26" w16cid:durableId="803544382">
    <w:abstractNumId w:val="20"/>
  </w:num>
  <w:num w:numId="27" w16cid:durableId="270672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60A97"/>
    <w:rsid w:val="0013002C"/>
    <w:rsid w:val="002B55F6"/>
    <w:rsid w:val="00305E4C"/>
    <w:rsid w:val="00342FD1"/>
    <w:rsid w:val="00394C19"/>
    <w:rsid w:val="003D6145"/>
    <w:rsid w:val="004330CD"/>
    <w:rsid w:val="004A43A3"/>
    <w:rsid w:val="004C166D"/>
    <w:rsid w:val="005A5A97"/>
    <w:rsid w:val="005F7A44"/>
    <w:rsid w:val="006314DE"/>
    <w:rsid w:val="00677404"/>
    <w:rsid w:val="00737760"/>
    <w:rsid w:val="00764506"/>
    <w:rsid w:val="0078080C"/>
    <w:rsid w:val="007B0F98"/>
    <w:rsid w:val="007C6769"/>
    <w:rsid w:val="007F4501"/>
    <w:rsid w:val="0080005D"/>
    <w:rsid w:val="0091611E"/>
    <w:rsid w:val="009722AE"/>
    <w:rsid w:val="00A44539"/>
    <w:rsid w:val="00AC2651"/>
    <w:rsid w:val="00BC5766"/>
    <w:rsid w:val="00CB3652"/>
    <w:rsid w:val="00CF6F4F"/>
    <w:rsid w:val="00D50129"/>
    <w:rsid w:val="00EA0C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lsdException w:name="List Bullet 3" w:semiHidden="1" w:uiPriority="6"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Bullet">
    <w:name w:val="List Bullet"/>
    <w:basedOn w:val="Normal"/>
    <w:uiPriority w:val="6"/>
    <w:rsid w:val="004C166D"/>
    <w:pPr>
      <w:numPr>
        <w:numId w:val="22"/>
      </w:numPr>
      <w:suppressAutoHyphens w:val="0"/>
      <w:spacing w:after="100" w:line="276" w:lineRule="auto"/>
      <w:contextualSpacing/>
    </w:pPr>
    <w:rPr>
      <w:rFonts w:asciiTheme="minorHAnsi" w:eastAsiaTheme="minorHAnsi" w:hAnsiTheme="minorHAnsi" w:cstheme="minorBidi"/>
      <w:sz w:val="25"/>
      <w:szCs w:val="25"/>
    </w:rPr>
  </w:style>
  <w:style w:type="paragraph" w:styleId="ListBullet2">
    <w:name w:val="List Bullet 2"/>
    <w:basedOn w:val="Normal"/>
    <w:uiPriority w:val="6"/>
    <w:rsid w:val="004C166D"/>
    <w:pPr>
      <w:numPr>
        <w:ilvl w:val="1"/>
        <w:numId w:val="22"/>
      </w:numPr>
      <w:suppressAutoHyphens w:val="0"/>
      <w:spacing w:after="100" w:line="276" w:lineRule="auto"/>
      <w:ind w:left="850" w:hanging="425"/>
      <w:contextualSpacing/>
    </w:pPr>
    <w:rPr>
      <w:rFonts w:asciiTheme="minorHAnsi" w:eastAsiaTheme="minorHAnsi" w:hAnsiTheme="minorHAnsi" w:cstheme="minorBidi"/>
      <w:sz w:val="25"/>
      <w:szCs w:val="25"/>
    </w:rPr>
  </w:style>
  <w:style w:type="numbering" w:customStyle="1" w:styleId="RKPunktlista">
    <w:name w:val="RK Punktlista"/>
    <w:uiPriority w:val="99"/>
    <w:rsid w:val="004C166D"/>
    <w:pPr>
      <w:numPr>
        <w:numId w:val="21"/>
      </w:numPr>
    </w:pPr>
  </w:style>
  <w:style w:type="paragraph" w:styleId="ListBullet3">
    <w:name w:val="List Bullet 3"/>
    <w:basedOn w:val="Normal"/>
    <w:uiPriority w:val="6"/>
    <w:rsid w:val="004C166D"/>
    <w:pPr>
      <w:numPr>
        <w:ilvl w:val="2"/>
        <w:numId w:val="22"/>
      </w:numPr>
      <w:suppressAutoHyphens w:val="0"/>
      <w:spacing w:after="100" w:line="276" w:lineRule="auto"/>
      <w:contextualSpacing/>
    </w:pPr>
    <w:rPr>
      <w:rFonts w:asciiTheme="minorHAnsi" w:eastAsiaTheme="minorHAnsi" w:hAnsiTheme="minorHAnsi" w:cstheme="minorBidi"/>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2024-09-16T12:55:52+00:00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2.xml><?xml version="1.0" encoding="utf-8"?>
<ds:datastoreItem xmlns:ds="http://schemas.openxmlformats.org/officeDocument/2006/customXml" ds:itemID="{F901BEF9-3C33-4EDD-BB79-9E4886DAC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A5D47C-D9C6-499E-9359-81CF91844D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3530</Words>
  <Characters>20019</Characters>
  <Application>Microsoft Office Word</Application>
  <DocSecurity>0</DocSecurity>
  <Lines>417</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CEDAW/C/SWE/FCO/10</vt:lpstr>
      <vt:lpstr/>
      <vt:lpstr/>
    </vt:vector>
  </TitlesOfParts>
  <Company>DCM</Company>
  <LinksUpToDate>false</LinksUpToDate>
  <CharactersWithSpaces>23469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CEDAW/C/SWE/FCO/10</dc:title>
  <dc:creator>Gloria</dc:creator>
  <cp:lastModifiedBy>Jamila Devi Seerathun</cp:lastModifiedBy>
  <cp:revision>4</cp:revision>
  <cp:lastPrinted>2017-04-21T12:16:00Z</cp:lastPrinted>
  <dcterms:created xsi:type="dcterms:W3CDTF">2024-09-16T13:19:00Z</dcterms:created>
  <dcterms:modified xsi:type="dcterms:W3CDTF">2024-09-16T13:20:00Z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Sweden</vt:lpwstr>
  </property>
  <property fmtid="{D5CDD505-2E9C-101B-9397-08002B2CF9AE}" pid="9" name="countw">
    <vt:lpwstr>Sweden</vt:lpwstr>
  </property>
  <property fmtid="{D5CDD505-2E9C-101B-9397-08002B2CF9AE}" pid="10" name="countwd">
    <vt:lpwstr>Sweden</vt:lpwstr>
  </property>
  <property fmtid="{D5CDD505-2E9C-101B-9397-08002B2CF9AE}" pid="11" name="date">
    <vt:lpwstr>16 September 2024</vt:lpwstr>
  </property>
  <property fmtid="{D5CDD505-2E9C-101B-9397-08002B2CF9AE}" pid="12" name="Date-Generated">
    <vt:filetime>2024-09-16T12:54:41Z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tenth periodic report of Sweden</vt:lpwstr>
  </property>
  <property fmtid="{D5CDD505-2E9C-101B-9397-08002B2CF9AE}" pid="23" name="preps">
    <vt:lpwstr>tenth periodic report of Sweden</vt:lpwstr>
  </property>
  <property fmtid="{D5CDD505-2E9C-101B-9397-08002B2CF9AE}" pid="24" name="prepw">
    <vt:lpwstr>tenth periodic report</vt:lpwstr>
  </property>
  <property fmtid="{D5CDD505-2E9C-101B-9397-08002B2CF9AE}" pid="25" name="prepwc">
    <vt:lpwstr>Tenth periodic report </vt:lpwstr>
  </property>
  <property fmtid="{D5CDD505-2E9C-101B-9397-08002B2CF9AE}" pid="26" name="prepws">
    <vt:lpwstr>tenth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C/SWE/FCO/10</vt:lpwstr>
  </property>
  <property fmtid="{D5CDD505-2E9C-101B-9397-08002B2CF9AE}" pid="32" name="symh">
    <vt:lpwstr>CEDAW/C/SWE/FCO/10</vt:lpwstr>
  </property>
  <property fmtid="{D5CDD505-2E9C-101B-9397-08002B2CF9AE}" pid="33" name="Title">
    <vt:lpwstr>CEDAW/C/SWE/FCO/10</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