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line="259" w:lineRule="auto" w:before="80"/>
        <w:ind w:left="284"/>
      </w:pPr>
      <w:r>
        <w:rPr/>
        <w:drawing>
          <wp:anchor distT="0" distB="0" distL="0" distR="0" allowOverlap="1" layoutInCell="1" locked="0" behindDoc="1" simplePos="0" relativeHeight="487560192">
            <wp:simplePos x="0" y="0"/>
            <wp:positionH relativeFrom="page">
              <wp:posOffset>0</wp:posOffset>
            </wp:positionH>
            <wp:positionV relativeFrom="page">
              <wp:posOffset>0</wp:posOffset>
            </wp:positionV>
            <wp:extent cx="7560056" cy="10692003"/>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7560056" cy="10692003"/>
                    </a:xfrm>
                    <a:prstGeom prst="rect">
                      <a:avLst/>
                    </a:prstGeom>
                  </pic:spPr>
                </pic:pic>
              </a:graphicData>
            </a:graphic>
          </wp:anchor>
        </w:drawing>
      </w:r>
      <w:r>
        <w:rPr/>
        <w:t>Submission</w:t>
      </w:r>
      <w:r>
        <w:rPr>
          <w:spacing w:val="-2"/>
        </w:rPr>
        <w:t> </w:t>
      </w:r>
      <w:r>
        <w:rPr/>
        <w:t>to</w:t>
      </w:r>
      <w:r>
        <w:rPr>
          <w:spacing w:val="-2"/>
        </w:rPr>
        <w:t> </w:t>
      </w:r>
      <w:r>
        <w:rPr/>
        <w:t>the</w:t>
      </w:r>
      <w:r>
        <w:rPr>
          <w:spacing w:val="-3"/>
        </w:rPr>
        <w:t> </w:t>
      </w:r>
      <w:r>
        <w:rPr/>
        <w:t>Committee</w:t>
      </w:r>
      <w:r>
        <w:rPr>
          <w:spacing w:val="-3"/>
        </w:rPr>
        <w:t> </w:t>
      </w:r>
      <w:r>
        <w:rPr/>
        <w:t>of</w:t>
      </w:r>
      <w:r>
        <w:rPr>
          <w:spacing w:val="-2"/>
        </w:rPr>
        <w:t> </w:t>
      </w:r>
      <w:r>
        <w:rPr/>
        <w:t>Economic,</w:t>
      </w:r>
      <w:r>
        <w:rPr>
          <w:spacing w:val="-2"/>
        </w:rPr>
        <w:t> </w:t>
      </w:r>
      <w:r>
        <w:rPr/>
        <w:t>Social</w:t>
      </w:r>
      <w:r>
        <w:rPr>
          <w:spacing w:val="-3"/>
        </w:rPr>
        <w:t> </w:t>
      </w:r>
      <w:r>
        <w:rPr/>
        <w:t>and</w:t>
      </w:r>
      <w:r>
        <w:rPr>
          <w:spacing w:val="-2"/>
        </w:rPr>
        <w:t> </w:t>
      </w:r>
      <w:r>
        <w:rPr/>
        <w:t>Cultural</w:t>
      </w:r>
      <w:r>
        <w:rPr>
          <w:spacing w:val="-3"/>
        </w:rPr>
        <w:t> </w:t>
      </w:r>
      <w:r>
        <w:rPr/>
        <w:t>Rights</w:t>
      </w:r>
      <w:r>
        <w:rPr>
          <w:spacing w:val="-2"/>
        </w:rPr>
        <w:t> </w:t>
      </w:r>
      <w:r>
        <w:rPr/>
        <w:t>on</w:t>
      </w:r>
      <w:r>
        <w:rPr>
          <w:spacing w:val="-2"/>
        </w:rPr>
        <w:t> </w:t>
      </w:r>
      <w:r>
        <w:rPr/>
        <w:t>the</w:t>
      </w:r>
      <w:r>
        <w:rPr>
          <w:spacing w:val="-3"/>
        </w:rPr>
        <w:t> </w:t>
      </w:r>
      <w:r>
        <w:rPr/>
        <w:t>Fourth</w:t>
      </w:r>
      <w:r>
        <w:rPr>
          <w:spacing w:val="-2"/>
        </w:rPr>
        <w:t> </w:t>
      </w:r>
      <w:r>
        <w:rPr/>
        <w:t>Report</w:t>
      </w:r>
      <w:r>
        <w:rPr>
          <w:spacing w:val="-2"/>
        </w:rPr>
        <w:t> </w:t>
      </w:r>
      <w:r>
        <w:rPr/>
        <w:t>of China under the International Cultural Covenant of Economic, Social and Cultural Rights</w:t>
      </w:r>
    </w:p>
    <w:p>
      <w:pPr>
        <w:pStyle w:val="BodyText"/>
        <w:spacing w:before="10"/>
        <w:rPr>
          <w:b/>
          <w:sz w:val="24"/>
        </w:rPr>
      </w:pPr>
    </w:p>
    <w:p>
      <w:pPr>
        <w:pStyle w:val="BodyText"/>
        <w:spacing w:line="259" w:lineRule="auto" w:before="1"/>
        <w:ind w:left="113" w:right="112"/>
        <w:jc w:val="both"/>
      </w:pPr>
      <w:r>
        <w:rPr/>
        <w:t>This bulletin is prepared by the 29 Principles (referring to the 29 “UN Basic Principles on the Role of Lawyers”), a UK-based organisation supporting lawyers facing human rights oppression. The 29 Principles is committed to provide support to lawyers to help them fulfil the roles described in the Basic Principles, in particular on promoting the rule of law.</w:t>
      </w:r>
    </w:p>
    <w:p>
      <w:pPr>
        <w:pStyle w:val="BodyText"/>
        <w:rPr>
          <w:sz w:val="25"/>
        </w:rPr>
      </w:pPr>
    </w:p>
    <w:p>
      <w:pPr>
        <w:pStyle w:val="Heading1"/>
      </w:pPr>
      <w:r>
        <w:rPr>
          <w:u w:val="single"/>
        </w:rPr>
        <w:t>On</w:t>
      </w:r>
      <w:r>
        <w:rPr>
          <w:spacing w:val="-4"/>
          <w:u w:val="single"/>
        </w:rPr>
        <w:t> </w:t>
      </w:r>
      <w:r>
        <w:rPr>
          <w:u w:val="single"/>
        </w:rPr>
        <w:t>restriction</w:t>
      </w:r>
      <w:r>
        <w:rPr>
          <w:spacing w:val="-2"/>
          <w:u w:val="single"/>
        </w:rPr>
        <w:t> </w:t>
      </w:r>
      <w:r>
        <w:rPr>
          <w:u w:val="single"/>
        </w:rPr>
        <w:t>of</w:t>
      </w:r>
      <w:r>
        <w:rPr>
          <w:spacing w:val="-1"/>
          <w:u w:val="single"/>
        </w:rPr>
        <w:t> </w:t>
      </w:r>
      <w:r>
        <w:rPr>
          <w:u w:val="single"/>
        </w:rPr>
        <w:t>human</w:t>
      </w:r>
      <w:r>
        <w:rPr>
          <w:spacing w:val="-2"/>
          <w:u w:val="single"/>
        </w:rPr>
        <w:t> </w:t>
      </w:r>
      <w:r>
        <w:rPr>
          <w:u w:val="single"/>
        </w:rPr>
        <w:t>rights</w:t>
      </w:r>
      <w:r>
        <w:rPr>
          <w:spacing w:val="-2"/>
          <w:u w:val="single"/>
        </w:rPr>
        <w:t> </w:t>
      </w:r>
      <w:r>
        <w:rPr>
          <w:u w:val="single"/>
        </w:rPr>
        <w:t>lawyers’</w:t>
      </w:r>
      <w:r>
        <w:rPr>
          <w:spacing w:val="-18"/>
          <w:u w:val="single"/>
        </w:rPr>
        <w:t> </w:t>
      </w:r>
      <w:r>
        <w:rPr>
          <w:u w:val="single"/>
        </w:rPr>
        <w:t>economic</w:t>
      </w:r>
      <w:r>
        <w:rPr>
          <w:spacing w:val="-3"/>
          <w:u w:val="single"/>
        </w:rPr>
        <w:t> </w:t>
      </w:r>
      <w:r>
        <w:rPr>
          <w:u w:val="single"/>
        </w:rPr>
        <w:t>right</w:t>
      </w:r>
      <w:r>
        <w:rPr>
          <w:spacing w:val="-2"/>
          <w:u w:val="single"/>
        </w:rPr>
        <w:t> </w:t>
      </w:r>
      <w:r>
        <w:rPr>
          <w:u w:val="single"/>
        </w:rPr>
        <w:t>to</w:t>
      </w:r>
      <w:r>
        <w:rPr>
          <w:spacing w:val="-2"/>
          <w:u w:val="single"/>
        </w:rPr>
        <w:t> </w:t>
      </w:r>
      <w:r>
        <w:rPr>
          <w:u w:val="single"/>
        </w:rPr>
        <w:t>work</w:t>
      </w:r>
      <w:r>
        <w:rPr>
          <w:spacing w:val="-2"/>
          <w:u w:val="single"/>
        </w:rPr>
        <w:t> </w:t>
      </w:r>
      <w:r>
        <w:rPr>
          <w:u w:val="single"/>
        </w:rPr>
        <w:t>(Article</w:t>
      </w:r>
      <w:r>
        <w:rPr>
          <w:spacing w:val="-2"/>
          <w:u w:val="single"/>
        </w:rPr>
        <w:t> </w:t>
      </w:r>
      <w:r>
        <w:rPr>
          <w:spacing w:val="-5"/>
          <w:u w:val="single"/>
        </w:rPr>
        <w:t>6)</w:t>
      </w:r>
    </w:p>
    <w:p>
      <w:pPr>
        <w:pStyle w:val="BodyText"/>
        <w:spacing w:before="8"/>
        <w:rPr>
          <w:b/>
          <w:sz w:val="26"/>
        </w:rPr>
      </w:pPr>
    </w:p>
    <w:p>
      <w:pPr>
        <w:spacing w:before="0"/>
        <w:ind w:left="113" w:right="0" w:firstLine="0"/>
        <w:jc w:val="both"/>
        <w:rPr>
          <w:b/>
          <w:i/>
          <w:sz w:val="23"/>
        </w:rPr>
      </w:pPr>
      <w:r>
        <w:rPr>
          <w:b/>
          <w:i/>
          <w:sz w:val="23"/>
        </w:rPr>
        <w:t>Executive</w:t>
      </w:r>
      <w:r>
        <w:rPr>
          <w:b/>
          <w:i/>
          <w:spacing w:val="-4"/>
          <w:sz w:val="23"/>
        </w:rPr>
        <w:t> </w:t>
      </w:r>
      <w:r>
        <w:rPr>
          <w:b/>
          <w:i/>
          <w:spacing w:val="-2"/>
          <w:sz w:val="23"/>
        </w:rPr>
        <w:t>Summary</w:t>
      </w:r>
    </w:p>
    <w:p>
      <w:pPr>
        <w:pStyle w:val="BodyText"/>
        <w:spacing w:before="3"/>
        <w:rPr>
          <w:b/>
          <w:i/>
          <w:sz w:val="27"/>
        </w:rPr>
      </w:pPr>
    </w:p>
    <w:p>
      <w:pPr>
        <w:pStyle w:val="ListParagraph"/>
        <w:numPr>
          <w:ilvl w:val="0"/>
          <w:numId w:val="1"/>
        </w:numPr>
        <w:tabs>
          <w:tab w:pos="365" w:val="left" w:leader="none"/>
        </w:tabs>
        <w:spacing w:line="225" w:lineRule="auto" w:before="1" w:after="0"/>
        <w:ind w:left="364" w:right="112" w:hanging="251"/>
        <w:jc w:val="left"/>
        <w:rPr>
          <w:sz w:val="23"/>
        </w:rPr>
      </w:pPr>
      <w:r>
        <w:rPr>
          <w:sz w:val="23"/>
        </w:rPr>
        <w:t>Article</w:t>
      </w:r>
      <w:r>
        <w:rPr>
          <w:spacing w:val="34"/>
          <w:sz w:val="23"/>
        </w:rPr>
        <w:t> </w:t>
      </w:r>
      <w:r>
        <w:rPr>
          <w:sz w:val="23"/>
        </w:rPr>
        <w:t>6(2)</w:t>
      </w:r>
      <w:r>
        <w:rPr>
          <w:spacing w:val="34"/>
          <w:sz w:val="23"/>
        </w:rPr>
        <w:t> </w:t>
      </w:r>
      <w:r>
        <w:rPr>
          <w:sz w:val="23"/>
        </w:rPr>
        <w:t>of</w:t>
      </w:r>
      <w:r>
        <w:rPr>
          <w:spacing w:val="34"/>
          <w:sz w:val="23"/>
        </w:rPr>
        <w:t> </w:t>
      </w:r>
      <w:r>
        <w:rPr>
          <w:sz w:val="23"/>
        </w:rPr>
        <w:t>the</w:t>
      </w:r>
      <w:r>
        <w:rPr>
          <w:spacing w:val="34"/>
          <w:sz w:val="23"/>
        </w:rPr>
        <w:t> </w:t>
      </w:r>
      <w:r>
        <w:rPr>
          <w:sz w:val="23"/>
        </w:rPr>
        <w:t>ICESCR</w:t>
      </w:r>
      <w:r>
        <w:rPr>
          <w:spacing w:val="34"/>
          <w:sz w:val="23"/>
        </w:rPr>
        <w:t> </w:t>
      </w:r>
      <w:r>
        <w:rPr>
          <w:sz w:val="23"/>
        </w:rPr>
        <w:t>warrants</w:t>
      </w:r>
      <w:r>
        <w:rPr>
          <w:spacing w:val="34"/>
          <w:sz w:val="23"/>
        </w:rPr>
        <w:t> </w:t>
      </w:r>
      <w:r>
        <w:rPr>
          <w:sz w:val="23"/>
        </w:rPr>
        <w:t>the</w:t>
      </w:r>
      <w:r>
        <w:rPr>
          <w:spacing w:val="34"/>
          <w:sz w:val="23"/>
        </w:rPr>
        <w:t> </w:t>
      </w:r>
      <w:r>
        <w:rPr>
          <w:sz w:val="23"/>
        </w:rPr>
        <w:t>full</w:t>
      </w:r>
      <w:r>
        <w:rPr>
          <w:spacing w:val="34"/>
          <w:sz w:val="23"/>
        </w:rPr>
        <w:t> </w:t>
      </w:r>
      <w:r>
        <w:rPr>
          <w:sz w:val="23"/>
        </w:rPr>
        <w:t>realisation</w:t>
      </w:r>
      <w:r>
        <w:rPr>
          <w:spacing w:val="34"/>
          <w:sz w:val="23"/>
        </w:rPr>
        <w:t> </w:t>
      </w:r>
      <w:r>
        <w:rPr>
          <w:sz w:val="23"/>
        </w:rPr>
        <w:t>of</w:t>
      </w:r>
      <w:r>
        <w:rPr>
          <w:spacing w:val="34"/>
          <w:sz w:val="23"/>
        </w:rPr>
        <w:t> </w:t>
      </w:r>
      <w:r>
        <w:rPr>
          <w:sz w:val="23"/>
        </w:rPr>
        <w:t>the</w:t>
      </w:r>
      <w:r>
        <w:rPr>
          <w:spacing w:val="34"/>
          <w:sz w:val="23"/>
        </w:rPr>
        <w:t> </w:t>
      </w:r>
      <w:r>
        <w:rPr>
          <w:sz w:val="23"/>
        </w:rPr>
        <w:t>right</w:t>
      </w:r>
      <w:r>
        <w:rPr>
          <w:spacing w:val="34"/>
          <w:sz w:val="23"/>
        </w:rPr>
        <w:t> </w:t>
      </w:r>
      <w:r>
        <w:rPr>
          <w:sz w:val="23"/>
        </w:rPr>
        <w:t>to</w:t>
      </w:r>
      <w:r>
        <w:rPr>
          <w:spacing w:val="34"/>
          <w:sz w:val="23"/>
        </w:rPr>
        <w:t> </w:t>
      </w:r>
      <w:r>
        <w:rPr>
          <w:sz w:val="23"/>
        </w:rPr>
        <w:t>work,</w:t>
      </w:r>
      <w:r>
        <w:rPr>
          <w:spacing w:val="34"/>
          <w:sz w:val="23"/>
        </w:rPr>
        <w:t> </w:t>
      </w:r>
      <w:r>
        <w:rPr>
          <w:sz w:val="23"/>
        </w:rPr>
        <w:t>which</w:t>
      </w:r>
      <w:r>
        <w:rPr>
          <w:spacing w:val="34"/>
          <w:sz w:val="23"/>
        </w:rPr>
        <w:t> </w:t>
      </w:r>
      <w:r>
        <w:rPr>
          <w:sz w:val="23"/>
        </w:rPr>
        <w:t>includes</w:t>
      </w:r>
      <w:r>
        <w:rPr>
          <w:spacing w:val="34"/>
          <w:sz w:val="23"/>
        </w:rPr>
        <w:t> </w:t>
      </w:r>
      <w:r>
        <w:rPr>
          <w:sz w:val="23"/>
        </w:rPr>
        <w:t>the providing “</w:t>
      </w:r>
      <w:r>
        <w:rPr>
          <w:i/>
          <w:sz w:val="23"/>
        </w:rPr>
        <w:t>conditions safeguarding fundamental political and economic freedoms to the individual</w:t>
      </w:r>
      <w:r>
        <w:rPr>
          <w:sz w:val="23"/>
        </w:rPr>
        <w:t>”</w:t>
      </w:r>
    </w:p>
    <w:p>
      <w:pPr>
        <w:pStyle w:val="ListParagraph"/>
        <w:numPr>
          <w:ilvl w:val="0"/>
          <w:numId w:val="1"/>
        </w:numPr>
        <w:tabs>
          <w:tab w:pos="365" w:val="left" w:leader="none"/>
        </w:tabs>
        <w:spacing w:line="225" w:lineRule="auto" w:before="31" w:after="0"/>
        <w:ind w:left="364" w:right="112" w:hanging="251"/>
        <w:jc w:val="left"/>
        <w:rPr>
          <w:sz w:val="23"/>
        </w:rPr>
      </w:pPr>
      <w:r>
        <w:rPr>
          <w:sz w:val="23"/>
        </w:rPr>
        <w:t>Human</w:t>
      </w:r>
      <w:r>
        <w:rPr>
          <w:spacing w:val="40"/>
          <w:sz w:val="23"/>
        </w:rPr>
        <w:t> </w:t>
      </w:r>
      <w:r>
        <w:rPr>
          <w:sz w:val="23"/>
        </w:rPr>
        <w:t>rights</w:t>
      </w:r>
      <w:r>
        <w:rPr>
          <w:spacing w:val="40"/>
          <w:sz w:val="23"/>
        </w:rPr>
        <w:t> </w:t>
      </w:r>
      <w:r>
        <w:rPr>
          <w:sz w:val="23"/>
        </w:rPr>
        <w:t>lawyers</w:t>
      </w:r>
      <w:r>
        <w:rPr>
          <w:spacing w:val="40"/>
          <w:sz w:val="23"/>
        </w:rPr>
        <w:t> </w:t>
      </w:r>
      <w:r>
        <w:rPr>
          <w:sz w:val="23"/>
        </w:rPr>
        <w:t>in</w:t>
      </w:r>
      <w:r>
        <w:rPr>
          <w:spacing w:val="40"/>
          <w:sz w:val="23"/>
        </w:rPr>
        <w:t> </w:t>
      </w:r>
      <w:r>
        <w:rPr>
          <w:sz w:val="23"/>
        </w:rPr>
        <w:t>China</w:t>
      </w:r>
      <w:r>
        <w:rPr>
          <w:spacing w:val="40"/>
          <w:sz w:val="23"/>
        </w:rPr>
        <w:t> </w:t>
      </w:r>
      <w:r>
        <w:rPr>
          <w:sz w:val="23"/>
        </w:rPr>
        <w:t>are</w:t>
      </w:r>
      <w:r>
        <w:rPr>
          <w:spacing w:val="40"/>
          <w:sz w:val="23"/>
        </w:rPr>
        <w:t> </w:t>
      </w:r>
      <w:r>
        <w:rPr>
          <w:sz w:val="23"/>
        </w:rPr>
        <w:t>prevented</w:t>
      </w:r>
      <w:r>
        <w:rPr>
          <w:spacing w:val="40"/>
          <w:sz w:val="23"/>
        </w:rPr>
        <w:t> </w:t>
      </w:r>
      <w:r>
        <w:rPr>
          <w:sz w:val="23"/>
        </w:rPr>
        <w:t>from</w:t>
      </w:r>
      <w:r>
        <w:rPr>
          <w:spacing w:val="40"/>
          <w:sz w:val="23"/>
        </w:rPr>
        <w:t> </w:t>
      </w:r>
      <w:r>
        <w:rPr>
          <w:sz w:val="23"/>
        </w:rPr>
        <w:t>exercising</w:t>
      </w:r>
      <w:r>
        <w:rPr>
          <w:spacing w:val="40"/>
          <w:sz w:val="23"/>
        </w:rPr>
        <w:t> </w:t>
      </w:r>
      <w:r>
        <w:rPr>
          <w:sz w:val="23"/>
        </w:rPr>
        <w:t>their</w:t>
      </w:r>
      <w:r>
        <w:rPr>
          <w:spacing w:val="40"/>
          <w:sz w:val="23"/>
        </w:rPr>
        <w:t> </w:t>
      </w:r>
      <w:r>
        <w:rPr>
          <w:sz w:val="23"/>
        </w:rPr>
        <w:t>fundamental</w:t>
      </w:r>
      <w:r>
        <w:rPr>
          <w:spacing w:val="40"/>
          <w:sz w:val="23"/>
        </w:rPr>
        <w:t> </w:t>
      </w:r>
      <w:r>
        <w:rPr>
          <w:sz w:val="23"/>
        </w:rPr>
        <w:t>political</w:t>
      </w:r>
      <w:r>
        <w:rPr>
          <w:spacing w:val="40"/>
          <w:sz w:val="23"/>
        </w:rPr>
        <w:t> </w:t>
      </w:r>
      <w:r>
        <w:rPr>
          <w:sz w:val="23"/>
        </w:rPr>
        <w:t>and</w:t>
      </w:r>
      <w:r>
        <w:rPr>
          <w:spacing w:val="80"/>
          <w:w w:val="150"/>
          <w:sz w:val="23"/>
        </w:rPr>
        <w:t> </w:t>
      </w:r>
      <w:r>
        <w:rPr>
          <w:sz w:val="23"/>
        </w:rPr>
        <w:t>economic freedoms to fulfil their right to work as China utilises measures to restrain their practice</w:t>
      </w:r>
    </w:p>
    <w:p>
      <w:pPr>
        <w:pStyle w:val="ListParagraph"/>
        <w:numPr>
          <w:ilvl w:val="0"/>
          <w:numId w:val="1"/>
        </w:numPr>
        <w:tabs>
          <w:tab w:pos="365" w:val="left" w:leader="none"/>
        </w:tabs>
        <w:spacing w:line="298" w:lineRule="exact" w:before="18" w:after="0"/>
        <w:ind w:left="364" w:right="0" w:hanging="252"/>
        <w:jc w:val="left"/>
        <w:rPr>
          <w:sz w:val="23"/>
        </w:rPr>
      </w:pPr>
      <w:r>
        <w:rPr>
          <w:sz w:val="23"/>
        </w:rPr>
        <w:t>In</w:t>
      </w:r>
      <w:r>
        <w:rPr>
          <w:spacing w:val="-4"/>
          <w:sz w:val="23"/>
        </w:rPr>
        <w:t> </w:t>
      </w:r>
      <w:r>
        <w:rPr>
          <w:sz w:val="23"/>
        </w:rPr>
        <w:t>its</w:t>
      </w:r>
      <w:r>
        <w:rPr>
          <w:spacing w:val="-2"/>
          <w:sz w:val="23"/>
        </w:rPr>
        <w:t> </w:t>
      </w:r>
      <w:r>
        <w:rPr>
          <w:sz w:val="23"/>
        </w:rPr>
        <w:t>Replies,</w:t>
      </w:r>
      <w:r>
        <w:rPr>
          <w:spacing w:val="-1"/>
          <w:sz w:val="23"/>
        </w:rPr>
        <w:t> </w:t>
      </w:r>
      <w:r>
        <w:rPr>
          <w:sz w:val="23"/>
        </w:rPr>
        <w:t>China</w:t>
      </w:r>
      <w:r>
        <w:rPr>
          <w:spacing w:val="-3"/>
          <w:sz w:val="23"/>
        </w:rPr>
        <w:t> </w:t>
      </w:r>
      <w:r>
        <w:rPr>
          <w:sz w:val="23"/>
        </w:rPr>
        <w:t>omits</w:t>
      </w:r>
      <w:r>
        <w:rPr>
          <w:spacing w:val="-2"/>
          <w:sz w:val="23"/>
        </w:rPr>
        <w:t> </w:t>
      </w:r>
      <w:r>
        <w:rPr>
          <w:sz w:val="23"/>
        </w:rPr>
        <w:t>fact</w:t>
      </w:r>
      <w:r>
        <w:rPr>
          <w:spacing w:val="-1"/>
          <w:sz w:val="23"/>
        </w:rPr>
        <w:t> </w:t>
      </w:r>
      <w:r>
        <w:rPr>
          <w:sz w:val="23"/>
        </w:rPr>
        <w:t>patterns</w:t>
      </w:r>
      <w:r>
        <w:rPr>
          <w:spacing w:val="-2"/>
          <w:sz w:val="23"/>
        </w:rPr>
        <w:t> </w:t>
      </w:r>
      <w:r>
        <w:rPr>
          <w:sz w:val="23"/>
        </w:rPr>
        <w:t>which</w:t>
      </w:r>
      <w:r>
        <w:rPr>
          <w:spacing w:val="-1"/>
          <w:sz w:val="23"/>
        </w:rPr>
        <w:t> </w:t>
      </w:r>
      <w:r>
        <w:rPr>
          <w:sz w:val="23"/>
        </w:rPr>
        <w:t>constitute</w:t>
      </w:r>
      <w:r>
        <w:rPr>
          <w:spacing w:val="-3"/>
          <w:sz w:val="23"/>
        </w:rPr>
        <w:t> </w:t>
      </w:r>
      <w:r>
        <w:rPr>
          <w:sz w:val="23"/>
        </w:rPr>
        <w:t>intimidation</w:t>
      </w:r>
      <w:r>
        <w:rPr>
          <w:spacing w:val="-2"/>
          <w:sz w:val="23"/>
        </w:rPr>
        <w:t> </w:t>
      </w:r>
      <w:r>
        <w:rPr>
          <w:sz w:val="23"/>
        </w:rPr>
        <w:t>against</w:t>
      </w:r>
      <w:r>
        <w:rPr>
          <w:spacing w:val="-1"/>
          <w:sz w:val="23"/>
        </w:rPr>
        <w:t> </w:t>
      </w:r>
      <w:r>
        <w:rPr>
          <w:sz w:val="23"/>
        </w:rPr>
        <w:t>human</w:t>
      </w:r>
      <w:r>
        <w:rPr>
          <w:spacing w:val="-2"/>
          <w:sz w:val="23"/>
        </w:rPr>
        <w:t> </w:t>
      </w:r>
      <w:r>
        <w:rPr>
          <w:sz w:val="23"/>
        </w:rPr>
        <w:t>rights</w:t>
      </w:r>
      <w:r>
        <w:rPr>
          <w:spacing w:val="-1"/>
          <w:sz w:val="23"/>
        </w:rPr>
        <w:t> </w:t>
      </w:r>
      <w:r>
        <w:rPr>
          <w:spacing w:val="-2"/>
          <w:sz w:val="23"/>
        </w:rPr>
        <w:t>lawyers</w:t>
      </w:r>
    </w:p>
    <w:p>
      <w:pPr>
        <w:pStyle w:val="ListParagraph"/>
        <w:numPr>
          <w:ilvl w:val="0"/>
          <w:numId w:val="1"/>
        </w:numPr>
        <w:tabs>
          <w:tab w:pos="365" w:val="left" w:leader="none"/>
        </w:tabs>
        <w:spacing w:line="298" w:lineRule="exact" w:before="0" w:after="0"/>
        <w:ind w:left="364" w:right="0" w:hanging="252"/>
        <w:jc w:val="left"/>
        <w:rPr>
          <w:sz w:val="23"/>
        </w:rPr>
      </w:pPr>
      <w:r>
        <w:rPr>
          <w:sz w:val="23"/>
        </w:rPr>
        <w:t>Right</w:t>
      </w:r>
      <w:r>
        <w:rPr>
          <w:spacing w:val="-6"/>
          <w:sz w:val="23"/>
        </w:rPr>
        <w:t> </w:t>
      </w:r>
      <w:r>
        <w:rPr>
          <w:sz w:val="23"/>
        </w:rPr>
        <w:t>to</w:t>
      </w:r>
      <w:r>
        <w:rPr>
          <w:spacing w:val="-2"/>
          <w:sz w:val="23"/>
        </w:rPr>
        <w:t> </w:t>
      </w:r>
      <w:r>
        <w:rPr>
          <w:sz w:val="23"/>
        </w:rPr>
        <w:t>education</w:t>
      </w:r>
      <w:r>
        <w:rPr>
          <w:spacing w:val="-2"/>
          <w:sz w:val="23"/>
        </w:rPr>
        <w:t> </w:t>
      </w:r>
      <w:r>
        <w:rPr>
          <w:sz w:val="23"/>
        </w:rPr>
        <w:t>of</w:t>
      </w:r>
      <w:r>
        <w:rPr>
          <w:spacing w:val="-1"/>
          <w:sz w:val="23"/>
        </w:rPr>
        <w:t> </w:t>
      </w:r>
      <w:r>
        <w:rPr>
          <w:sz w:val="23"/>
        </w:rPr>
        <w:t>human</w:t>
      </w:r>
      <w:r>
        <w:rPr>
          <w:spacing w:val="-2"/>
          <w:sz w:val="23"/>
        </w:rPr>
        <w:t> </w:t>
      </w:r>
      <w:r>
        <w:rPr>
          <w:sz w:val="23"/>
        </w:rPr>
        <w:t>rights</w:t>
      </w:r>
      <w:r>
        <w:rPr>
          <w:spacing w:val="-2"/>
          <w:sz w:val="23"/>
        </w:rPr>
        <w:t> </w:t>
      </w:r>
      <w:r>
        <w:rPr>
          <w:sz w:val="23"/>
        </w:rPr>
        <w:t>lawyers’</w:t>
      </w:r>
      <w:r>
        <w:rPr>
          <w:spacing w:val="-18"/>
          <w:sz w:val="23"/>
        </w:rPr>
        <w:t> </w:t>
      </w:r>
      <w:r>
        <w:rPr>
          <w:sz w:val="23"/>
        </w:rPr>
        <w:t>children</w:t>
      </w:r>
      <w:r>
        <w:rPr>
          <w:spacing w:val="-1"/>
          <w:sz w:val="23"/>
        </w:rPr>
        <w:t> </w:t>
      </w:r>
      <w:r>
        <w:rPr>
          <w:sz w:val="23"/>
        </w:rPr>
        <w:t>was</w:t>
      </w:r>
      <w:r>
        <w:rPr>
          <w:spacing w:val="-2"/>
          <w:sz w:val="23"/>
        </w:rPr>
        <w:t> </w:t>
      </w:r>
      <w:r>
        <w:rPr>
          <w:sz w:val="23"/>
        </w:rPr>
        <w:t>restrained</w:t>
      </w:r>
      <w:r>
        <w:rPr>
          <w:spacing w:val="-2"/>
          <w:sz w:val="23"/>
        </w:rPr>
        <w:t> </w:t>
      </w:r>
      <w:r>
        <w:rPr>
          <w:sz w:val="23"/>
        </w:rPr>
        <w:t>as</w:t>
      </w:r>
      <w:r>
        <w:rPr>
          <w:spacing w:val="-1"/>
          <w:sz w:val="23"/>
        </w:rPr>
        <w:t> </w:t>
      </w:r>
      <w:r>
        <w:rPr>
          <w:sz w:val="23"/>
        </w:rPr>
        <w:t>indicated</w:t>
      </w:r>
      <w:r>
        <w:rPr>
          <w:spacing w:val="-2"/>
          <w:sz w:val="23"/>
        </w:rPr>
        <w:t> </w:t>
      </w:r>
      <w:r>
        <w:rPr>
          <w:sz w:val="23"/>
        </w:rPr>
        <w:t>in</w:t>
      </w:r>
      <w:r>
        <w:rPr>
          <w:spacing w:val="-2"/>
          <w:sz w:val="23"/>
        </w:rPr>
        <w:t> </w:t>
      </w:r>
      <w:r>
        <w:rPr>
          <w:sz w:val="23"/>
        </w:rPr>
        <w:t>news</w:t>
      </w:r>
      <w:r>
        <w:rPr>
          <w:spacing w:val="-1"/>
          <w:sz w:val="23"/>
        </w:rPr>
        <w:t> </w:t>
      </w:r>
      <w:r>
        <w:rPr>
          <w:spacing w:val="-2"/>
          <w:sz w:val="23"/>
        </w:rPr>
        <w:t>reports</w:t>
      </w:r>
    </w:p>
    <w:p>
      <w:pPr>
        <w:pStyle w:val="BodyText"/>
        <w:spacing w:line="259" w:lineRule="auto" w:before="269"/>
        <w:ind w:left="113" w:right="111"/>
        <w:jc w:val="both"/>
      </w:pPr>
      <w:r>
        <w:rPr/>
        <w:t>With Reference to the Committee’s </w:t>
      </w:r>
      <w:r>
        <w:rPr>
          <w:b/>
        </w:rPr>
        <w:t>List of Issues </w:t>
      </w:r>
      <w:r>
        <w:rPr/>
        <w:t>(E/C.12/CHN/3) (LOIs) and the corresponding </w:t>
      </w:r>
      <w:r>
        <w:rPr>
          <w:b/>
        </w:rPr>
        <w:t>Replies </w:t>
      </w:r>
      <w:r>
        <w:rPr/>
        <w:t>by China (E/C.12/CHN/RQ/3), this bulletin gathers and presents information regarding the restrictions against human rights lawyers to properly exercise their right to work which concerns </w:t>
      </w:r>
      <w:r>
        <w:rPr>
          <w:i/>
        </w:rPr>
        <w:t>inter</w:t>
      </w:r>
      <w:r>
        <w:rPr>
          <w:i/>
        </w:rPr>
        <w:t> alia </w:t>
      </w:r>
      <w:r>
        <w:rPr/>
        <w:t>Article 6 of the Covenant, and Item 4 in the LOIs. We also wish to emphasise the principles in the UN Basic Principles on the Role of Lawyers which warrants that lawyers’ right to practice should be </w:t>
      </w:r>
      <w:r>
        <w:rPr>
          <w:spacing w:val="-2"/>
        </w:rPr>
        <w:t>safeguarded.</w:t>
      </w:r>
    </w:p>
    <w:p>
      <w:pPr>
        <w:pStyle w:val="BodyText"/>
        <w:spacing w:before="1"/>
        <w:rPr>
          <w:sz w:val="25"/>
        </w:rPr>
      </w:pPr>
    </w:p>
    <w:p>
      <w:pPr>
        <w:pStyle w:val="BodyText"/>
        <w:spacing w:line="259" w:lineRule="auto"/>
        <w:ind w:left="113" w:firstLine="212"/>
      </w:pPr>
      <w:r>
        <w:rPr>
          <w:u w:val="single"/>
        </w:rPr>
        <w:t>Restraining lawyers’</w:t>
      </w:r>
      <w:r>
        <w:rPr>
          <w:spacing w:val="-11"/>
          <w:u w:val="single"/>
        </w:rPr>
        <w:t> </w:t>
      </w:r>
      <w:r>
        <w:rPr>
          <w:u w:val="single"/>
        </w:rPr>
        <w:t>economic rights to suppress their protection of proper exercise of human rights</w:t>
      </w:r>
      <w:r>
        <w:rPr/>
        <w:t> Clear</w:t>
      </w:r>
      <w:r>
        <w:rPr>
          <w:spacing w:val="25"/>
        </w:rPr>
        <w:t> </w:t>
      </w:r>
      <w:r>
        <w:rPr/>
        <w:t>fact</w:t>
      </w:r>
      <w:r>
        <w:rPr>
          <w:spacing w:val="25"/>
        </w:rPr>
        <w:t> </w:t>
      </w:r>
      <w:r>
        <w:rPr/>
        <w:t>patterns</w:t>
      </w:r>
      <w:r>
        <w:rPr>
          <w:spacing w:val="25"/>
        </w:rPr>
        <w:t> </w:t>
      </w:r>
      <w:r>
        <w:rPr/>
        <w:t>can</w:t>
      </w:r>
      <w:r>
        <w:rPr>
          <w:spacing w:val="25"/>
        </w:rPr>
        <w:t> </w:t>
      </w:r>
      <w:r>
        <w:rPr/>
        <w:t>be</w:t>
      </w:r>
      <w:r>
        <w:rPr>
          <w:spacing w:val="25"/>
        </w:rPr>
        <w:t> </w:t>
      </w:r>
      <w:r>
        <w:rPr/>
        <w:t>demonstrated</w:t>
      </w:r>
      <w:r>
        <w:rPr>
          <w:spacing w:val="25"/>
        </w:rPr>
        <w:t> </w:t>
      </w:r>
      <w:r>
        <w:rPr/>
        <w:t>currently</w:t>
      </w:r>
      <w:r>
        <w:rPr>
          <w:spacing w:val="25"/>
        </w:rPr>
        <w:t> </w:t>
      </w:r>
      <w:r>
        <w:rPr/>
        <w:t>as</w:t>
      </w:r>
      <w:r>
        <w:rPr>
          <w:spacing w:val="25"/>
        </w:rPr>
        <w:t> </w:t>
      </w:r>
      <w:r>
        <w:rPr/>
        <w:t>there</w:t>
      </w:r>
      <w:r>
        <w:rPr>
          <w:spacing w:val="25"/>
        </w:rPr>
        <w:t> </w:t>
      </w:r>
      <w:r>
        <w:rPr/>
        <w:t>have</w:t>
      </w:r>
      <w:r>
        <w:rPr>
          <w:spacing w:val="25"/>
        </w:rPr>
        <w:t> </w:t>
      </w:r>
      <w:r>
        <w:rPr/>
        <w:t>been</w:t>
      </w:r>
      <w:r>
        <w:rPr>
          <w:spacing w:val="25"/>
        </w:rPr>
        <w:t> </w:t>
      </w:r>
      <w:r>
        <w:rPr/>
        <w:t>nearly</w:t>
      </w:r>
      <w:r>
        <w:rPr>
          <w:spacing w:val="25"/>
        </w:rPr>
        <w:t> </w:t>
      </w:r>
      <w:r>
        <w:rPr/>
        <w:t>50</w:t>
      </w:r>
      <w:r>
        <w:rPr>
          <w:spacing w:val="25"/>
        </w:rPr>
        <w:t> </w:t>
      </w:r>
      <w:r>
        <w:rPr/>
        <w:t>human</w:t>
      </w:r>
      <w:r>
        <w:rPr>
          <w:spacing w:val="25"/>
        </w:rPr>
        <w:t> </w:t>
      </w:r>
      <w:r>
        <w:rPr/>
        <w:t>rights</w:t>
      </w:r>
      <w:r>
        <w:rPr>
          <w:spacing w:val="25"/>
        </w:rPr>
        <w:t> </w:t>
      </w:r>
      <w:r>
        <w:rPr/>
        <w:t>lawyers disbarred after the 709 Crackdown (shortly after the last CObs were issued in 2014), according to the</w:t>
      </w:r>
      <w:r>
        <w:rPr>
          <w:spacing w:val="80"/>
          <w:w w:val="150"/>
        </w:rPr>
        <w:t> </w:t>
      </w:r>
      <w:r>
        <w:rPr/>
        <w:t>records of The 29 Principles. Numerous other lawyers have experienced administrative and economic</w:t>
      </w:r>
      <w:r>
        <w:rPr>
          <w:spacing w:val="40"/>
        </w:rPr>
        <w:t> </w:t>
      </w:r>
      <w:r>
        <w:rPr/>
        <w:t>restraints</w:t>
      </w:r>
      <w:r>
        <w:rPr>
          <w:spacing w:val="31"/>
        </w:rPr>
        <w:t> </w:t>
      </w:r>
      <w:r>
        <w:rPr/>
        <w:t>which</w:t>
      </w:r>
      <w:r>
        <w:rPr>
          <w:spacing w:val="31"/>
        </w:rPr>
        <w:t> </w:t>
      </w:r>
      <w:r>
        <w:rPr/>
        <w:t>hinder</w:t>
      </w:r>
      <w:r>
        <w:rPr>
          <w:spacing w:val="31"/>
        </w:rPr>
        <w:t> </w:t>
      </w:r>
      <w:r>
        <w:rPr/>
        <w:t>their</w:t>
      </w:r>
      <w:r>
        <w:rPr>
          <w:spacing w:val="31"/>
        </w:rPr>
        <w:t> </w:t>
      </w:r>
      <w:r>
        <w:rPr/>
        <w:t>right</w:t>
      </w:r>
      <w:r>
        <w:rPr>
          <w:spacing w:val="31"/>
        </w:rPr>
        <w:t> </w:t>
      </w:r>
      <w:r>
        <w:rPr/>
        <w:t>to</w:t>
      </w:r>
      <w:r>
        <w:rPr>
          <w:spacing w:val="31"/>
        </w:rPr>
        <w:t> </w:t>
      </w:r>
      <w:r>
        <w:rPr/>
        <w:t>practice</w:t>
      </w:r>
      <w:r>
        <w:rPr>
          <w:spacing w:val="31"/>
        </w:rPr>
        <w:t> </w:t>
      </w:r>
      <w:r>
        <w:rPr/>
        <w:t>properly.</w:t>
      </w:r>
      <w:r>
        <w:rPr>
          <w:spacing w:val="31"/>
        </w:rPr>
        <w:t> </w:t>
      </w:r>
      <w:r>
        <w:rPr/>
        <w:t>China</w:t>
      </w:r>
      <w:r>
        <w:rPr>
          <w:spacing w:val="31"/>
        </w:rPr>
        <w:t> </w:t>
      </w:r>
      <w:r>
        <w:rPr/>
        <w:t>fails</w:t>
      </w:r>
      <w:r>
        <w:rPr>
          <w:spacing w:val="31"/>
        </w:rPr>
        <w:t> </w:t>
      </w:r>
      <w:r>
        <w:rPr/>
        <w:t>to</w:t>
      </w:r>
      <w:r>
        <w:rPr>
          <w:spacing w:val="31"/>
        </w:rPr>
        <w:t> </w:t>
      </w:r>
      <w:r>
        <w:rPr/>
        <w:t>explain</w:t>
      </w:r>
      <w:r>
        <w:rPr>
          <w:spacing w:val="31"/>
        </w:rPr>
        <w:t> </w:t>
      </w:r>
      <w:r>
        <w:rPr/>
        <w:t>comprehensively</w:t>
      </w:r>
      <w:r>
        <w:rPr>
          <w:spacing w:val="31"/>
        </w:rPr>
        <w:t> </w:t>
      </w:r>
      <w:r>
        <w:rPr/>
        <w:t>in</w:t>
      </w:r>
      <w:r>
        <w:rPr>
          <w:spacing w:val="31"/>
        </w:rPr>
        <w:t> </w:t>
      </w:r>
      <w:r>
        <w:rPr/>
        <w:t>its Replies</w:t>
      </w:r>
      <w:r>
        <w:rPr>
          <w:spacing w:val="40"/>
        </w:rPr>
        <w:t> </w:t>
      </w:r>
      <w:r>
        <w:rPr/>
        <w:t>how</w:t>
      </w:r>
      <w:r>
        <w:rPr>
          <w:spacing w:val="40"/>
        </w:rPr>
        <w:t> </w:t>
      </w:r>
      <w:r>
        <w:rPr/>
        <w:t>the</w:t>
      </w:r>
      <w:r>
        <w:rPr>
          <w:spacing w:val="40"/>
        </w:rPr>
        <w:t> </w:t>
      </w:r>
      <w:r>
        <w:rPr/>
        <w:t>administration</w:t>
      </w:r>
      <w:r>
        <w:rPr>
          <w:spacing w:val="40"/>
        </w:rPr>
        <w:t> </w:t>
      </w:r>
      <w:r>
        <w:rPr/>
        <w:t>of</w:t>
      </w:r>
      <w:r>
        <w:rPr>
          <w:spacing w:val="40"/>
        </w:rPr>
        <w:t> </w:t>
      </w:r>
      <w:r>
        <w:rPr/>
        <w:t>law</w:t>
      </w:r>
      <w:r>
        <w:rPr>
          <w:spacing w:val="40"/>
        </w:rPr>
        <w:t> </w:t>
      </w:r>
      <w:r>
        <w:rPr/>
        <w:t>firms</w:t>
      </w:r>
      <w:r>
        <w:rPr>
          <w:spacing w:val="40"/>
        </w:rPr>
        <w:t> </w:t>
      </w:r>
      <w:r>
        <w:rPr/>
        <w:t>and</w:t>
      </w:r>
      <w:r>
        <w:rPr>
          <w:spacing w:val="40"/>
        </w:rPr>
        <w:t> </w:t>
      </w:r>
      <w:r>
        <w:rPr/>
        <w:t>lawyers</w:t>
      </w:r>
      <w:r>
        <w:rPr>
          <w:spacing w:val="40"/>
        </w:rPr>
        <w:t> </w:t>
      </w:r>
      <w:r>
        <w:rPr/>
        <w:t>aligned</w:t>
      </w:r>
      <w:r>
        <w:rPr>
          <w:spacing w:val="40"/>
        </w:rPr>
        <w:t> </w:t>
      </w:r>
      <w:r>
        <w:rPr/>
        <w:t>with</w:t>
      </w:r>
      <w:r>
        <w:rPr>
          <w:spacing w:val="40"/>
        </w:rPr>
        <w:t> </w:t>
      </w:r>
      <w:r>
        <w:rPr>
          <w:i/>
        </w:rPr>
        <w:t>“safeguarding</w:t>
      </w:r>
      <w:r>
        <w:rPr>
          <w:i/>
          <w:spacing w:val="40"/>
        </w:rPr>
        <w:t> </w:t>
      </w:r>
      <w:r>
        <w:rPr>
          <w:i/>
        </w:rPr>
        <w:t>fundamental</w:t>
      </w:r>
      <w:r>
        <w:rPr>
          <w:i/>
        </w:rPr>
        <w:t> political and economic freedoms</w:t>
      </w:r>
      <w:r>
        <w:rPr/>
        <w:t>” and was not used for intimidation.</w:t>
      </w:r>
    </w:p>
    <w:p>
      <w:pPr>
        <w:pStyle w:val="BodyText"/>
        <w:spacing w:before="6"/>
        <w:rPr>
          <w:sz w:val="24"/>
        </w:rPr>
      </w:pPr>
    </w:p>
    <w:p>
      <w:pPr>
        <w:pStyle w:val="ListParagraph"/>
        <w:numPr>
          <w:ilvl w:val="0"/>
          <w:numId w:val="1"/>
        </w:numPr>
        <w:tabs>
          <w:tab w:pos="365" w:val="left" w:leader="none"/>
        </w:tabs>
        <w:spacing w:line="242" w:lineRule="auto" w:before="0" w:after="0"/>
        <w:ind w:left="364" w:right="112" w:hanging="251"/>
        <w:jc w:val="both"/>
        <w:rPr>
          <w:sz w:val="23"/>
        </w:rPr>
      </w:pPr>
      <w:r>
        <w:rPr>
          <w:sz w:val="23"/>
        </w:rPr>
        <w:t>There were </w:t>
      </w:r>
      <w:r>
        <w:rPr>
          <w:color w:val="0076BA"/>
          <w:sz w:val="23"/>
          <w:u w:val="single" w:color="000000"/>
        </w:rPr>
        <w:t>reports</w:t>
      </w:r>
      <w:r>
        <w:rPr>
          <w:color w:val="0076BA"/>
          <w:sz w:val="23"/>
        </w:rPr>
        <w:t> </w:t>
      </w:r>
      <w:r>
        <w:rPr>
          <w:sz w:val="23"/>
        </w:rPr>
        <w:t>as to how human rights lawyers were disbarred after they represented clients in</w:t>
      </w:r>
      <w:r>
        <w:rPr>
          <w:spacing w:val="40"/>
          <w:sz w:val="23"/>
        </w:rPr>
        <w:t> </w:t>
      </w:r>
      <w:r>
        <w:rPr>
          <w:sz w:val="23"/>
        </w:rPr>
        <w:t>so-called “sensitive cases”, even though they just utilised the judicial system, which their profession rightfully qualifies them to do so</w:t>
      </w:r>
    </w:p>
    <w:p>
      <w:pPr>
        <w:pStyle w:val="ListParagraph"/>
        <w:numPr>
          <w:ilvl w:val="0"/>
          <w:numId w:val="1"/>
        </w:numPr>
        <w:tabs>
          <w:tab w:pos="365" w:val="left" w:leader="none"/>
        </w:tabs>
        <w:spacing w:line="242" w:lineRule="auto" w:before="10" w:after="0"/>
        <w:ind w:left="364" w:right="112" w:hanging="251"/>
        <w:jc w:val="both"/>
        <w:rPr>
          <w:sz w:val="23"/>
        </w:rPr>
      </w:pPr>
      <w:r>
        <w:rPr>
          <w:sz w:val="23"/>
        </w:rPr>
        <w:t>The most recent example includes </w:t>
      </w:r>
      <w:r>
        <w:rPr>
          <w:color w:val="0076BA"/>
          <w:sz w:val="23"/>
          <w:u w:val="single" w:color="000000"/>
        </w:rPr>
        <w:t>human rights lawyers being contacted by officials to demand they</w:t>
      </w:r>
      <w:r>
        <w:rPr>
          <w:color w:val="0076BA"/>
          <w:sz w:val="23"/>
        </w:rPr>
        <w:t> </w:t>
      </w:r>
      <w:r>
        <w:rPr>
          <w:color w:val="0076BA"/>
          <w:sz w:val="23"/>
          <w:u w:val="single" w:color="000000"/>
        </w:rPr>
        <w:t>drop cases regarding individuals detained due to the “Blank Paper Incident”</w:t>
      </w:r>
      <w:r>
        <w:rPr>
          <w:sz w:val="23"/>
        </w:rPr>
        <w:t>, where Chinese residents protested against Covid policies which jeopardise their right to health and economic rights</w:t>
      </w:r>
    </w:p>
    <w:p>
      <w:pPr>
        <w:pStyle w:val="ListParagraph"/>
        <w:numPr>
          <w:ilvl w:val="0"/>
          <w:numId w:val="1"/>
        </w:numPr>
        <w:tabs>
          <w:tab w:pos="365" w:val="left" w:leader="none"/>
        </w:tabs>
        <w:spacing w:line="298" w:lineRule="exact" w:before="11" w:after="0"/>
        <w:ind w:left="364" w:right="0" w:hanging="252"/>
        <w:jc w:val="both"/>
        <w:rPr>
          <w:sz w:val="23"/>
        </w:rPr>
      </w:pPr>
      <w:r>
        <w:rPr>
          <w:sz w:val="23"/>
        </w:rPr>
        <w:t>China</w:t>
      </w:r>
      <w:r>
        <w:rPr>
          <w:spacing w:val="-5"/>
          <w:sz w:val="23"/>
        </w:rPr>
        <w:t> </w:t>
      </w:r>
      <w:r>
        <w:rPr>
          <w:sz w:val="23"/>
        </w:rPr>
        <w:t>omits</w:t>
      </w:r>
      <w:r>
        <w:rPr>
          <w:spacing w:val="-2"/>
          <w:sz w:val="23"/>
        </w:rPr>
        <w:t> </w:t>
      </w:r>
      <w:r>
        <w:rPr>
          <w:sz w:val="23"/>
        </w:rPr>
        <w:t>the</w:t>
      </w:r>
      <w:r>
        <w:rPr>
          <w:spacing w:val="-2"/>
          <w:sz w:val="23"/>
        </w:rPr>
        <w:t> </w:t>
      </w:r>
      <w:r>
        <w:rPr>
          <w:sz w:val="23"/>
        </w:rPr>
        <w:t>number</w:t>
      </w:r>
      <w:r>
        <w:rPr>
          <w:spacing w:val="-2"/>
          <w:sz w:val="23"/>
        </w:rPr>
        <w:t> </w:t>
      </w:r>
      <w:r>
        <w:rPr>
          <w:sz w:val="23"/>
        </w:rPr>
        <w:t>of</w:t>
      </w:r>
      <w:r>
        <w:rPr>
          <w:spacing w:val="-1"/>
          <w:sz w:val="23"/>
        </w:rPr>
        <w:t> </w:t>
      </w:r>
      <w:r>
        <w:rPr>
          <w:sz w:val="23"/>
        </w:rPr>
        <w:t>law</w:t>
      </w:r>
      <w:r>
        <w:rPr>
          <w:spacing w:val="-2"/>
          <w:sz w:val="23"/>
        </w:rPr>
        <w:t> </w:t>
      </w:r>
      <w:r>
        <w:rPr>
          <w:sz w:val="23"/>
        </w:rPr>
        <w:t>firms</w:t>
      </w:r>
      <w:r>
        <w:rPr>
          <w:spacing w:val="-1"/>
          <w:sz w:val="23"/>
        </w:rPr>
        <w:t> </w:t>
      </w:r>
      <w:r>
        <w:rPr>
          <w:sz w:val="23"/>
        </w:rPr>
        <w:t>and</w:t>
      </w:r>
      <w:r>
        <w:rPr>
          <w:spacing w:val="-2"/>
          <w:sz w:val="23"/>
        </w:rPr>
        <w:t> </w:t>
      </w:r>
      <w:r>
        <w:rPr>
          <w:sz w:val="23"/>
        </w:rPr>
        <w:t>lawyers</w:t>
      </w:r>
      <w:r>
        <w:rPr>
          <w:spacing w:val="-1"/>
          <w:sz w:val="23"/>
        </w:rPr>
        <w:t> </w:t>
      </w:r>
      <w:r>
        <w:rPr>
          <w:sz w:val="23"/>
        </w:rPr>
        <w:t>who</w:t>
      </w:r>
      <w:r>
        <w:rPr>
          <w:spacing w:val="-2"/>
          <w:sz w:val="23"/>
        </w:rPr>
        <w:t> </w:t>
      </w:r>
      <w:r>
        <w:rPr>
          <w:sz w:val="23"/>
        </w:rPr>
        <w:t>successfully</w:t>
      </w:r>
      <w:r>
        <w:rPr>
          <w:spacing w:val="-1"/>
          <w:sz w:val="23"/>
        </w:rPr>
        <w:t> </w:t>
      </w:r>
      <w:r>
        <w:rPr>
          <w:sz w:val="23"/>
        </w:rPr>
        <w:t>appealed</w:t>
      </w:r>
      <w:r>
        <w:rPr>
          <w:spacing w:val="-2"/>
          <w:sz w:val="23"/>
        </w:rPr>
        <w:t> </w:t>
      </w:r>
      <w:r>
        <w:rPr>
          <w:sz w:val="23"/>
        </w:rPr>
        <w:t>adverse</w:t>
      </w:r>
      <w:r>
        <w:rPr>
          <w:spacing w:val="-2"/>
          <w:sz w:val="23"/>
        </w:rPr>
        <w:t> decisions</w:t>
      </w:r>
    </w:p>
    <w:p>
      <w:pPr>
        <w:pStyle w:val="ListParagraph"/>
        <w:numPr>
          <w:ilvl w:val="0"/>
          <w:numId w:val="1"/>
        </w:numPr>
        <w:tabs>
          <w:tab w:pos="365" w:val="left" w:leader="none"/>
        </w:tabs>
        <w:spacing w:line="225" w:lineRule="auto" w:before="1" w:after="0"/>
        <w:ind w:left="364" w:right="112" w:hanging="251"/>
        <w:jc w:val="both"/>
        <w:rPr>
          <w:sz w:val="23"/>
        </w:rPr>
      </w:pPr>
      <w:r>
        <w:rPr>
          <w:sz w:val="23"/>
        </w:rPr>
        <w:t>There were </w:t>
      </w:r>
      <w:r>
        <w:rPr>
          <w:color w:val="0076BA"/>
          <w:sz w:val="23"/>
          <w:u w:val="single" w:color="000000"/>
        </w:rPr>
        <w:t>reports</w:t>
      </w:r>
      <w:r>
        <w:rPr>
          <w:color w:val="0076BA"/>
          <w:sz w:val="23"/>
        </w:rPr>
        <w:t> </w:t>
      </w:r>
      <w:r>
        <w:rPr>
          <w:sz w:val="23"/>
        </w:rPr>
        <w:t>showing that China further restrained the right to education of human rights lawyers’</w:t>
      </w:r>
      <w:r>
        <w:rPr>
          <w:spacing w:val="-9"/>
          <w:sz w:val="23"/>
        </w:rPr>
        <w:t> </w:t>
      </w:r>
      <w:r>
        <w:rPr>
          <w:sz w:val="23"/>
        </w:rPr>
        <w:t>children as they were prevented from leaving China to study abroad</w:t>
      </w:r>
    </w:p>
    <w:p>
      <w:pPr>
        <w:pStyle w:val="BodyText"/>
        <w:spacing w:before="10"/>
        <w:rPr>
          <w:sz w:val="4"/>
        </w:rPr>
      </w:pPr>
      <w:r>
        <w:rPr/>
        <w:pict>
          <v:shapetype id="_x0000_t202" o:spt="202" coordsize="21600,21600" path="m,l,21600r21600,l21600,xe">
            <v:stroke joinstyle="miter"/>
            <v:path gradientshapeok="t" o:connecttype="rect"/>
          </v:shapetype>
          <v:shape style="position:absolute;margin-left:57.192921pt;margin-top:4.499766pt;width:480.9pt;height:32.2pt;mso-position-horizontal-relative:page;mso-position-vertical-relative:paragraph;z-index:-15728640;mso-wrap-distance-left:0;mso-wrap-distance-right:0" type="#_x0000_t202" id="docshape1" filled="false" stroked="true" strokeweight="1pt" strokecolor="#000000">
            <v:textbox inset="0,0,0,0">
              <w:txbxContent>
                <w:p>
                  <w:pPr>
                    <w:spacing w:line="231" w:lineRule="exact" w:before="0"/>
                    <w:ind w:left="144" w:right="0" w:firstLine="0"/>
                    <w:jc w:val="left"/>
                    <w:rPr>
                      <w:b/>
                      <w:sz w:val="22"/>
                    </w:rPr>
                  </w:pPr>
                  <w:r>
                    <w:rPr>
                      <w:b/>
                      <w:sz w:val="22"/>
                    </w:rPr>
                    <w:t>We</w:t>
                  </w:r>
                  <w:r>
                    <w:rPr>
                      <w:b/>
                      <w:spacing w:val="17"/>
                      <w:sz w:val="22"/>
                    </w:rPr>
                    <w:t> </w:t>
                  </w:r>
                  <w:r>
                    <w:rPr>
                      <w:b/>
                      <w:sz w:val="22"/>
                    </w:rPr>
                    <w:t>strongly</w:t>
                  </w:r>
                  <w:r>
                    <w:rPr>
                      <w:b/>
                      <w:spacing w:val="17"/>
                      <w:sz w:val="22"/>
                    </w:rPr>
                    <w:t> </w:t>
                  </w:r>
                  <w:r>
                    <w:rPr>
                      <w:b/>
                      <w:sz w:val="22"/>
                    </w:rPr>
                    <w:t>urge</w:t>
                  </w:r>
                  <w:r>
                    <w:rPr>
                      <w:b/>
                      <w:spacing w:val="18"/>
                      <w:sz w:val="22"/>
                    </w:rPr>
                    <w:t> </w:t>
                  </w:r>
                  <w:r>
                    <w:rPr>
                      <w:b/>
                      <w:sz w:val="22"/>
                    </w:rPr>
                    <w:t>clarification</w:t>
                  </w:r>
                  <w:r>
                    <w:rPr>
                      <w:b/>
                      <w:spacing w:val="17"/>
                      <w:sz w:val="22"/>
                    </w:rPr>
                    <w:t> </w:t>
                  </w:r>
                  <w:r>
                    <w:rPr>
                      <w:b/>
                      <w:sz w:val="22"/>
                    </w:rPr>
                    <w:t>from</w:t>
                  </w:r>
                  <w:r>
                    <w:rPr>
                      <w:b/>
                      <w:spacing w:val="17"/>
                      <w:sz w:val="22"/>
                    </w:rPr>
                    <w:t> </w:t>
                  </w:r>
                  <w:r>
                    <w:rPr>
                      <w:b/>
                      <w:sz w:val="22"/>
                    </w:rPr>
                    <w:t>China</w:t>
                  </w:r>
                  <w:r>
                    <w:rPr>
                      <w:b/>
                      <w:spacing w:val="18"/>
                      <w:sz w:val="22"/>
                    </w:rPr>
                    <w:t> </w:t>
                  </w:r>
                  <w:r>
                    <w:rPr>
                      <w:b/>
                      <w:sz w:val="22"/>
                    </w:rPr>
                    <w:t>on</w:t>
                  </w:r>
                  <w:r>
                    <w:rPr>
                      <w:b/>
                      <w:spacing w:val="17"/>
                      <w:sz w:val="22"/>
                    </w:rPr>
                    <w:t> </w:t>
                  </w:r>
                  <w:r>
                    <w:rPr>
                      <w:b/>
                      <w:sz w:val="22"/>
                    </w:rPr>
                    <w:t>its</w:t>
                  </w:r>
                  <w:r>
                    <w:rPr>
                      <w:b/>
                      <w:spacing w:val="17"/>
                      <w:sz w:val="22"/>
                    </w:rPr>
                    <w:t> </w:t>
                  </w:r>
                  <w:r>
                    <w:rPr>
                      <w:b/>
                      <w:sz w:val="22"/>
                    </w:rPr>
                    <w:t>compliance</w:t>
                  </w:r>
                  <w:r>
                    <w:rPr>
                      <w:b/>
                      <w:spacing w:val="18"/>
                      <w:sz w:val="22"/>
                    </w:rPr>
                    <w:t> </w:t>
                  </w:r>
                  <w:r>
                    <w:rPr>
                      <w:b/>
                      <w:sz w:val="22"/>
                    </w:rPr>
                    <w:t>with</w:t>
                  </w:r>
                  <w:r>
                    <w:rPr>
                      <w:b/>
                      <w:spacing w:val="17"/>
                      <w:sz w:val="22"/>
                    </w:rPr>
                    <w:t> </w:t>
                  </w:r>
                  <w:r>
                    <w:rPr>
                      <w:b/>
                      <w:sz w:val="22"/>
                    </w:rPr>
                    <w:t>its</w:t>
                  </w:r>
                  <w:r>
                    <w:rPr>
                      <w:b/>
                      <w:spacing w:val="17"/>
                      <w:sz w:val="22"/>
                    </w:rPr>
                    <w:t> </w:t>
                  </w:r>
                  <w:r>
                    <w:rPr>
                      <w:b/>
                      <w:sz w:val="22"/>
                    </w:rPr>
                    <w:t>treaty</w:t>
                  </w:r>
                  <w:r>
                    <w:rPr>
                      <w:b/>
                      <w:spacing w:val="18"/>
                      <w:sz w:val="22"/>
                    </w:rPr>
                    <w:t> </w:t>
                  </w:r>
                  <w:r>
                    <w:rPr>
                      <w:b/>
                      <w:sz w:val="22"/>
                    </w:rPr>
                    <w:t>obligations</w:t>
                  </w:r>
                  <w:r>
                    <w:rPr>
                      <w:b/>
                      <w:spacing w:val="17"/>
                      <w:sz w:val="22"/>
                    </w:rPr>
                    <w:t> </w:t>
                  </w:r>
                  <w:r>
                    <w:rPr>
                      <w:b/>
                      <w:sz w:val="22"/>
                    </w:rPr>
                    <w:t>under</w:t>
                  </w:r>
                  <w:r>
                    <w:rPr>
                      <w:b/>
                      <w:spacing w:val="14"/>
                      <w:sz w:val="22"/>
                    </w:rPr>
                    <w:t> </w:t>
                  </w:r>
                  <w:r>
                    <w:rPr>
                      <w:b/>
                      <w:spacing w:val="-5"/>
                      <w:sz w:val="22"/>
                    </w:rPr>
                    <w:t>the</w:t>
                  </w:r>
                </w:p>
                <w:p>
                  <w:pPr>
                    <w:spacing w:before="99"/>
                    <w:ind w:left="144" w:right="0" w:firstLine="0"/>
                    <w:jc w:val="left"/>
                    <w:rPr>
                      <w:b/>
                      <w:sz w:val="22"/>
                    </w:rPr>
                  </w:pPr>
                  <w:r>
                    <w:rPr>
                      <w:b/>
                      <w:sz w:val="22"/>
                    </w:rPr>
                    <w:t>ICECSR</w:t>
                  </w:r>
                  <w:r>
                    <w:rPr>
                      <w:b/>
                      <w:spacing w:val="-3"/>
                      <w:sz w:val="22"/>
                    </w:rPr>
                    <w:t> </w:t>
                  </w:r>
                  <w:r>
                    <w:rPr>
                      <w:b/>
                      <w:sz w:val="22"/>
                    </w:rPr>
                    <w:t>despite</w:t>
                  </w:r>
                  <w:r>
                    <w:rPr>
                      <w:b/>
                      <w:spacing w:val="-2"/>
                      <w:sz w:val="22"/>
                    </w:rPr>
                    <w:t> </w:t>
                  </w:r>
                  <w:r>
                    <w:rPr>
                      <w:b/>
                      <w:sz w:val="22"/>
                    </w:rPr>
                    <w:t>the</w:t>
                  </w:r>
                  <w:r>
                    <w:rPr>
                      <w:b/>
                      <w:spacing w:val="-2"/>
                      <w:sz w:val="22"/>
                    </w:rPr>
                    <w:t> </w:t>
                  </w:r>
                  <w:r>
                    <w:rPr>
                      <w:b/>
                      <w:sz w:val="22"/>
                    </w:rPr>
                    <w:t>information</w:t>
                  </w:r>
                  <w:r>
                    <w:rPr>
                      <w:b/>
                      <w:spacing w:val="-1"/>
                      <w:sz w:val="22"/>
                    </w:rPr>
                    <w:t> </w:t>
                  </w:r>
                  <w:r>
                    <w:rPr>
                      <w:b/>
                      <w:sz w:val="22"/>
                    </w:rPr>
                    <w:t>and</w:t>
                  </w:r>
                  <w:r>
                    <w:rPr>
                      <w:b/>
                      <w:spacing w:val="-1"/>
                      <w:sz w:val="22"/>
                    </w:rPr>
                    <w:t> </w:t>
                  </w:r>
                  <w:r>
                    <w:rPr>
                      <w:b/>
                      <w:sz w:val="22"/>
                    </w:rPr>
                    <w:t>the</w:t>
                  </w:r>
                  <w:r>
                    <w:rPr>
                      <w:b/>
                      <w:spacing w:val="-1"/>
                      <w:sz w:val="22"/>
                    </w:rPr>
                    <w:t> </w:t>
                  </w:r>
                  <w:r>
                    <w:rPr>
                      <w:b/>
                      <w:sz w:val="22"/>
                    </w:rPr>
                    <w:t>established</w:t>
                  </w:r>
                  <w:r>
                    <w:rPr>
                      <w:b/>
                      <w:spacing w:val="-1"/>
                      <w:sz w:val="22"/>
                    </w:rPr>
                    <w:t> </w:t>
                  </w:r>
                  <w:r>
                    <w:rPr>
                      <w:b/>
                      <w:sz w:val="22"/>
                    </w:rPr>
                    <w:t>fact</w:t>
                  </w:r>
                  <w:r>
                    <w:rPr>
                      <w:b/>
                      <w:spacing w:val="-1"/>
                      <w:sz w:val="22"/>
                    </w:rPr>
                    <w:t> </w:t>
                  </w:r>
                  <w:r>
                    <w:rPr>
                      <w:b/>
                      <w:sz w:val="22"/>
                    </w:rPr>
                    <w:t>patterns</w:t>
                  </w:r>
                  <w:r>
                    <w:rPr>
                      <w:b/>
                      <w:spacing w:val="-1"/>
                      <w:sz w:val="22"/>
                    </w:rPr>
                    <w:t> </w:t>
                  </w:r>
                  <w:r>
                    <w:rPr>
                      <w:b/>
                      <w:sz w:val="22"/>
                    </w:rPr>
                    <w:t>above</w:t>
                  </w:r>
                  <w:r>
                    <w:rPr>
                      <w:b/>
                      <w:spacing w:val="-2"/>
                      <w:sz w:val="22"/>
                    </w:rPr>
                    <w:t> </w:t>
                  </w:r>
                  <w:r>
                    <w:rPr>
                      <w:b/>
                      <w:sz w:val="22"/>
                    </w:rPr>
                    <w:t>which</w:t>
                  </w:r>
                  <w:r>
                    <w:rPr>
                      <w:b/>
                      <w:spacing w:val="-1"/>
                      <w:sz w:val="22"/>
                    </w:rPr>
                    <w:t> </w:t>
                  </w:r>
                  <w:r>
                    <w:rPr>
                      <w:b/>
                      <w:sz w:val="22"/>
                    </w:rPr>
                    <w:t>suggest </w:t>
                  </w:r>
                  <w:r>
                    <w:rPr>
                      <w:b/>
                      <w:spacing w:val="-2"/>
                      <w:sz w:val="22"/>
                    </w:rPr>
                    <w:t>otherwise.</w:t>
                  </w:r>
                </w:p>
              </w:txbxContent>
            </v:textbox>
            <v:stroke dashstyle="solid"/>
            <w10:wrap type="topAndBottom"/>
          </v:shape>
        </w:pict>
      </w:r>
    </w:p>
    <w:sectPr>
      <w:type w:val="continuous"/>
      <w:pgSz w:w="11910" w:h="16840"/>
      <w:pgMar w:top="1860" w:bottom="280" w:left="102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364" w:hanging="251"/>
      </w:pPr>
      <w:rPr>
        <w:rFonts w:hint="default" w:ascii="Times New Roman" w:hAnsi="Times New Roman" w:eastAsia="Times New Roman" w:cs="Times New Roman"/>
        <w:b w:val="0"/>
        <w:bCs w:val="0"/>
        <w:i w:val="0"/>
        <w:iCs w:val="0"/>
        <w:w w:val="102"/>
        <w:position w:val="-2"/>
        <w:sz w:val="27"/>
        <w:szCs w:val="27"/>
        <w:lang w:val="en-US" w:eastAsia="en-US" w:bidi="ar-SA"/>
      </w:rPr>
    </w:lvl>
    <w:lvl w:ilvl="1">
      <w:start w:val="0"/>
      <w:numFmt w:val="bullet"/>
      <w:lvlText w:val="•"/>
      <w:lvlJc w:val="left"/>
      <w:pPr>
        <w:ind w:left="1310" w:hanging="251"/>
      </w:pPr>
      <w:rPr>
        <w:rFonts w:hint="default"/>
        <w:lang w:val="en-US" w:eastAsia="en-US" w:bidi="ar-SA"/>
      </w:rPr>
    </w:lvl>
    <w:lvl w:ilvl="2">
      <w:start w:val="0"/>
      <w:numFmt w:val="bullet"/>
      <w:lvlText w:val="•"/>
      <w:lvlJc w:val="left"/>
      <w:pPr>
        <w:ind w:left="2261" w:hanging="251"/>
      </w:pPr>
      <w:rPr>
        <w:rFonts w:hint="default"/>
        <w:lang w:val="en-US" w:eastAsia="en-US" w:bidi="ar-SA"/>
      </w:rPr>
    </w:lvl>
    <w:lvl w:ilvl="3">
      <w:start w:val="0"/>
      <w:numFmt w:val="bullet"/>
      <w:lvlText w:val="•"/>
      <w:lvlJc w:val="left"/>
      <w:pPr>
        <w:ind w:left="3211" w:hanging="251"/>
      </w:pPr>
      <w:rPr>
        <w:rFonts w:hint="default"/>
        <w:lang w:val="en-US" w:eastAsia="en-US" w:bidi="ar-SA"/>
      </w:rPr>
    </w:lvl>
    <w:lvl w:ilvl="4">
      <w:start w:val="0"/>
      <w:numFmt w:val="bullet"/>
      <w:lvlText w:val="•"/>
      <w:lvlJc w:val="left"/>
      <w:pPr>
        <w:ind w:left="4162" w:hanging="251"/>
      </w:pPr>
      <w:rPr>
        <w:rFonts w:hint="default"/>
        <w:lang w:val="en-US" w:eastAsia="en-US" w:bidi="ar-SA"/>
      </w:rPr>
    </w:lvl>
    <w:lvl w:ilvl="5">
      <w:start w:val="0"/>
      <w:numFmt w:val="bullet"/>
      <w:lvlText w:val="•"/>
      <w:lvlJc w:val="left"/>
      <w:pPr>
        <w:ind w:left="5112" w:hanging="251"/>
      </w:pPr>
      <w:rPr>
        <w:rFonts w:hint="default"/>
        <w:lang w:val="en-US" w:eastAsia="en-US" w:bidi="ar-SA"/>
      </w:rPr>
    </w:lvl>
    <w:lvl w:ilvl="6">
      <w:start w:val="0"/>
      <w:numFmt w:val="bullet"/>
      <w:lvlText w:val="•"/>
      <w:lvlJc w:val="left"/>
      <w:pPr>
        <w:ind w:left="6063" w:hanging="251"/>
      </w:pPr>
      <w:rPr>
        <w:rFonts w:hint="default"/>
        <w:lang w:val="en-US" w:eastAsia="en-US" w:bidi="ar-SA"/>
      </w:rPr>
    </w:lvl>
    <w:lvl w:ilvl="7">
      <w:start w:val="0"/>
      <w:numFmt w:val="bullet"/>
      <w:lvlText w:val="•"/>
      <w:lvlJc w:val="left"/>
      <w:pPr>
        <w:ind w:left="7013" w:hanging="251"/>
      </w:pPr>
      <w:rPr>
        <w:rFonts w:hint="default"/>
        <w:lang w:val="en-US" w:eastAsia="en-US" w:bidi="ar-SA"/>
      </w:rPr>
    </w:lvl>
    <w:lvl w:ilvl="8">
      <w:start w:val="0"/>
      <w:numFmt w:val="bullet"/>
      <w:lvlText w:val="•"/>
      <w:lvlJc w:val="left"/>
      <w:pPr>
        <w:ind w:left="7964" w:hanging="251"/>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3"/>
      <w:szCs w:val="23"/>
      <w:lang w:val="en-US" w:eastAsia="en-US" w:bidi="ar-SA"/>
    </w:rPr>
  </w:style>
  <w:style w:styleId="Heading1" w:type="paragraph">
    <w:name w:val="Heading 1"/>
    <w:basedOn w:val="Normal"/>
    <w:uiPriority w:val="1"/>
    <w:qFormat/>
    <w:pPr>
      <w:ind w:left="282" w:right="282"/>
      <w:jc w:val="center"/>
      <w:outlineLvl w:val="1"/>
    </w:pPr>
    <w:rPr>
      <w:rFonts w:ascii="Times New Roman" w:hAnsi="Times New Roman" w:eastAsia="Times New Roman" w:cs="Times New Roman"/>
      <w:b/>
      <w:bCs/>
      <w:sz w:val="23"/>
      <w:szCs w:val="23"/>
      <w:lang w:val="en-US" w:eastAsia="en-US" w:bidi="ar-SA"/>
    </w:rPr>
  </w:style>
  <w:style w:styleId="ListParagraph" w:type="paragraph">
    <w:name w:val="List Paragraph"/>
    <w:basedOn w:val="Normal"/>
    <w:uiPriority w:val="1"/>
    <w:qFormat/>
    <w:pPr>
      <w:ind w:left="364" w:right="112" w:hanging="251"/>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2023-02-10T11:12:58Z</dcterms:created>
  <dcterms:modified xsi:type="dcterms:W3CDTF">2023-02-10T11:12:58Z</dcterms:modified>
</cp:coreProperties>
</file>