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60E7D" w14:textId="77777777" w:rsidR="004E3D92" w:rsidRDefault="004E3D92">
      <w:pPr>
        <w:pStyle w:val="BodyText"/>
        <w:jc w:val="both"/>
        <w:rPr>
          <w:color w:val="000000"/>
          <w:sz w:val="26"/>
          <w:szCs w:val="26"/>
        </w:rPr>
      </w:pPr>
    </w:p>
    <w:p w14:paraId="6D76A16E" w14:textId="77777777" w:rsidR="004E3D92" w:rsidRDefault="004E3D92">
      <w:pPr>
        <w:pStyle w:val="BodyText"/>
        <w:jc w:val="both"/>
        <w:rPr>
          <w:color w:val="000000"/>
          <w:sz w:val="26"/>
          <w:szCs w:val="26"/>
        </w:rPr>
      </w:pPr>
    </w:p>
    <w:p w14:paraId="7B1BF8DC" w14:textId="77777777" w:rsidR="004E3D92" w:rsidRDefault="006F5374">
      <w:pPr>
        <w:pStyle w:val="Textoprformatado"/>
        <w:jc w:val="both"/>
        <w:rPr>
          <w:rFonts w:ascii="Liberation Serif" w:hAnsi="Liberation Serif"/>
          <w:color w:val="202124"/>
          <w:sz w:val="26"/>
          <w:szCs w:val="26"/>
          <w:lang w:val="en-US"/>
        </w:rPr>
      </w:pPr>
      <w:bookmarkStart w:id="0" w:name="tw-target-text"/>
      <w:bookmarkEnd w:id="0"/>
      <w:r>
        <w:rPr>
          <w:rFonts w:ascii="Liberation Serif" w:hAnsi="Liberation Serif"/>
          <w:color w:val="202124"/>
          <w:sz w:val="26"/>
          <w:szCs w:val="26"/>
          <w:lang w:val="en-US"/>
        </w:rPr>
        <w:t>For</w:t>
      </w:r>
    </w:p>
    <w:p w14:paraId="7B271285" w14:textId="77777777" w:rsidR="004E3D92" w:rsidRDefault="004E3D92">
      <w:pPr>
        <w:pStyle w:val="Textoprformatado"/>
        <w:shd w:val="clear" w:color="auto" w:fill="F8F9FA"/>
        <w:spacing w:line="540" w:lineRule="atLeast"/>
        <w:rPr>
          <w:rFonts w:ascii="Liberation Serif" w:hAnsi="Liberation Serif"/>
          <w:sz w:val="26"/>
          <w:szCs w:val="26"/>
        </w:rPr>
      </w:pPr>
    </w:p>
    <w:p w14:paraId="24FE693C" w14:textId="77777777" w:rsidR="004E3D92" w:rsidRDefault="006F5374">
      <w:pPr>
        <w:pStyle w:val="Textoprformatado"/>
        <w:shd w:val="clear" w:color="auto" w:fill="F8F9FA"/>
        <w:spacing w:line="540" w:lineRule="atLeast"/>
        <w:rPr>
          <w:rFonts w:ascii="Liberation Serif" w:hAnsi="Liberation Serif"/>
          <w:color w:val="202124"/>
          <w:sz w:val="26"/>
          <w:szCs w:val="26"/>
          <w:lang w:val="en-US"/>
        </w:rPr>
      </w:pPr>
      <w:r>
        <w:rPr>
          <w:rFonts w:ascii="Liberation Serif" w:hAnsi="Liberation Serif"/>
          <w:color w:val="202124"/>
          <w:sz w:val="26"/>
          <w:szCs w:val="26"/>
          <w:lang w:val="en-US"/>
        </w:rPr>
        <w:t>DHESC Committee - United Nations</w:t>
      </w:r>
    </w:p>
    <w:p w14:paraId="4F17F272" w14:textId="77777777" w:rsidR="004E3D92" w:rsidRDefault="004E3D92">
      <w:pPr>
        <w:pStyle w:val="Textoprformatado"/>
        <w:shd w:val="clear" w:color="auto" w:fill="F8F9FA"/>
        <w:spacing w:line="540" w:lineRule="atLeast"/>
        <w:rPr>
          <w:rFonts w:ascii="Liberation Serif" w:hAnsi="Liberation Serif"/>
          <w:sz w:val="26"/>
          <w:szCs w:val="26"/>
        </w:rPr>
      </w:pPr>
    </w:p>
    <w:p w14:paraId="64BCDC79" w14:textId="77777777" w:rsidR="004E3D92" w:rsidRDefault="006F5374">
      <w:pPr>
        <w:pStyle w:val="Textoprformatado"/>
        <w:shd w:val="clear" w:color="auto" w:fill="F8F9FA"/>
        <w:spacing w:line="540" w:lineRule="atLeast"/>
        <w:rPr>
          <w:rFonts w:ascii="Liberation Serif" w:hAnsi="Liberation Serif"/>
          <w:color w:val="202124"/>
          <w:sz w:val="26"/>
          <w:szCs w:val="26"/>
          <w:lang w:val="en-US"/>
        </w:rPr>
      </w:pPr>
      <w:r>
        <w:rPr>
          <w:rFonts w:ascii="Liberation Serif" w:hAnsi="Liberation Serif"/>
          <w:color w:val="202124"/>
          <w:sz w:val="26"/>
          <w:szCs w:val="26"/>
          <w:lang w:val="en-US"/>
        </w:rPr>
        <w:t>Ref.: Contributions and Participation in the 74th SESSION OF THE UN/UN ESCR COMMITTEE</w:t>
      </w:r>
    </w:p>
    <w:p w14:paraId="3C62FEBA" w14:textId="77777777" w:rsidR="004E3D92" w:rsidRDefault="004E3D92">
      <w:pPr>
        <w:pStyle w:val="BodyText"/>
        <w:jc w:val="both"/>
        <w:rPr>
          <w:color w:val="000000"/>
          <w:sz w:val="26"/>
          <w:szCs w:val="26"/>
        </w:rPr>
      </w:pPr>
    </w:p>
    <w:p w14:paraId="3CD2E735" w14:textId="77777777" w:rsidR="004E3D92" w:rsidRDefault="006F5374">
      <w:pPr>
        <w:pStyle w:val="Textoprformatado"/>
        <w:jc w:val="both"/>
        <w:rPr>
          <w:rFonts w:ascii="Liberation Serif" w:hAnsi="Liberation Serif"/>
          <w:color w:val="202124"/>
          <w:sz w:val="26"/>
          <w:szCs w:val="26"/>
          <w:lang w:val="en-US"/>
        </w:rPr>
      </w:pPr>
      <w:bookmarkStart w:id="1" w:name="tw-target-text1"/>
      <w:bookmarkEnd w:id="1"/>
      <w:r>
        <w:rPr>
          <w:rFonts w:ascii="Liberation Serif" w:hAnsi="Liberation Serif"/>
          <w:color w:val="202124"/>
          <w:sz w:val="26"/>
          <w:szCs w:val="26"/>
          <w:lang w:val="en-US"/>
        </w:rPr>
        <w:t>Article 11 - PIDESC - Right to Decent Housing</w:t>
      </w:r>
    </w:p>
    <w:p w14:paraId="01FCBA98" w14:textId="77777777" w:rsidR="004E3D92" w:rsidRDefault="004E3D92">
      <w:pPr>
        <w:pStyle w:val="BodyText"/>
        <w:jc w:val="both"/>
        <w:rPr>
          <w:color w:val="000000"/>
          <w:sz w:val="26"/>
          <w:szCs w:val="26"/>
        </w:rPr>
      </w:pPr>
    </w:p>
    <w:p w14:paraId="578F00A1" w14:textId="77777777" w:rsidR="004E3D92" w:rsidRDefault="004E3D92">
      <w:pPr>
        <w:pStyle w:val="BodyText"/>
        <w:jc w:val="both"/>
        <w:rPr>
          <w:color w:val="000000"/>
          <w:sz w:val="26"/>
          <w:szCs w:val="26"/>
        </w:rPr>
      </w:pPr>
    </w:p>
    <w:p w14:paraId="24180F29" w14:textId="77777777" w:rsidR="004E3D92" w:rsidRDefault="006F5374">
      <w:pPr>
        <w:pStyle w:val="BodyText"/>
        <w:jc w:val="both"/>
        <w:rPr>
          <w:color w:val="000000"/>
          <w:sz w:val="26"/>
          <w:szCs w:val="26"/>
        </w:rPr>
      </w:pPr>
      <w:r>
        <w:rPr>
          <w:color w:val="000000"/>
          <w:sz w:val="26"/>
          <w:szCs w:val="26"/>
        </w:rPr>
        <w:t xml:space="preserve"> </w:t>
      </w:r>
      <w:r>
        <w:rPr>
          <w:color w:val="000000"/>
          <w:sz w:val="26"/>
          <w:szCs w:val="26"/>
        </w:rPr>
        <w:tab/>
      </w:r>
      <w:r>
        <w:rPr>
          <w:color w:val="000000"/>
          <w:sz w:val="26"/>
          <w:szCs w:val="26"/>
        </w:rPr>
        <w:tab/>
      </w:r>
      <w:bookmarkStart w:id="2" w:name="tw-target-text2"/>
      <w:bookmarkEnd w:id="2"/>
      <w:r>
        <w:rPr>
          <w:color w:val="202124"/>
          <w:sz w:val="26"/>
          <w:szCs w:val="26"/>
          <w:lang w:val="en-US"/>
        </w:rPr>
        <w:t xml:space="preserve">The report presented by the Brazilian state to the United Nations DHESC </w:t>
      </w:r>
      <w:r>
        <w:rPr>
          <w:color w:val="202124"/>
          <w:sz w:val="26"/>
          <w:szCs w:val="26"/>
          <w:lang w:val="en-US"/>
        </w:rPr>
        <w:t>Committee prepared in 2019 contains the actions and public policies carried out before the 2016 coup that removed President-elect Dilma Rousseff from the presidency of Brazil. This report, then, does not take into account what happened after 2016, starting</w:t>
      </w:r>
      <w:r>
        <w:rPr>
          <w:color w:val="202124"/>
          <w:sz w:val="26"/>
          <w:szCs w:val="26"/>
          <w:lang w:val="en-US"/>
        </w:rPr>
        <w:t xml:space="preserve"> with the Temer government. It is important to say that the data and information contained in this report do not relate to the reality experienced by Brazil in 2019.</w:t>
      </w:r>
    </w:p>
    <w:p w14:paraId="4A0A6D3D" w14:textId="77777777" w:rsidR="004E3D92" w:rsidRDefault="004E3D92">
      <w:pPr>
        <w:pStyle w:val="BodyText"/>
        <w:jc w:val="both"/>
        <w:rPr>
          <w:color w:val="000000"/>
          <w:sz w:val="26"/>
          <w:szCs w:val="26"/>
        </w:rPr>
      </w:pPr>
    </w:p>
    <w:p w14:paraId="0D0D92BB" w14:textId="77777777" w:rsidR="004E3D92" w:rsidRDefault="006F5374">
      <w:pPr>
        <w:pStyle w:val="BodyText"/>
        <w:jc w:val="both"/>
        <w:rPr>
          <w:color w:val="000000"/>
          <w:sz w:val="26"/>
          <w:szCs w:val="26"/>
        </w:rPr>
      </w:pPr>
      <w:r>
        <w:rPr>
          <w:color w:val="000000"/>
          <w:sz w:val="26"/>
          <w:szCs w:val="26"/>
        </w:rPr>
        <w:tab/>
      </w:r>
      <w:r>
        <w:rPr>
          <w:color w:val="000000"/>
          <w:sz w:val="26"/>
          <w:szCs w:val="26"/>
        </w:rPr>
        <w:tab/>
      </w:r>
      <w:bookmarkStart w:id="3" w:name="tw-target-text3"/>
      <w:bookmarkEnd w:id="3"/>
      <w:r>
        <w:rPr>
          <w:color w:val="202124"/>
          <w:sz w:val="26"/>
          <w:szCs w:val="26"/>
          <w:lang w:val="en-US"/>
        </w:rPr>
        <w:t>Even so, with the presentation of advances in pre-coup d'état Brazilian urban policy, t</w:t>
      </w:r>
      <w:r>
        <w:rPr>
          <w:color w:val="202124"/>
          <w:sz w:val="26"/>
          <w:szCs w:val="26"/>
          <w:lang w:val="en-US"/>
        </w:rPr>
        <w:t>he Brazilian government still received the following recommendation from the DHESC Committee, in the list of questions raised as a result of that report:</w:t>
      </w:r>
    </w:p>
    <w:p w14:paraId="5CC2D40B" w14:textId="77777777" w:rsidR="004E3D92" w:rsidRDefault="004E3D92">
      <w:pPr>
        <w:pStyle w:val="BodyText"/>
        <w:jc w:val="both"/>
        <w:rPr>
          <w:color w:val="000000"/>
          <w:sz w:val="26"/>
          <w:szCs w:val="26"/>
        </w:rPr>
      </w:pPr>
    </w:p>
    <w:p w14:paraId="394D881B" w14:textId="77777777" w:rsidR="004E3D92" w:rsidRDefault="006F5374">
      <w:pPr>
        <w:pStyle w:val="Textoprformatado"/>
        <w:jc w:val="both"/>
      </w:pPr>
      <w:bookmarkStart w:id="4" w:name="tw-target-text26"/>
      <w:bookmarkEnd w:id="4"/>
      <w:r>
        <w:rPr>
          <w:rStyle w:val="ListLabel1"/>
          <w:rFonts w:ascii="Liberation Serif" w:hAnsi="Liberation Serif"/>
          <w:color w:val="000000"/>
          <w:sz w:val="24"/>
          <w:szCs w:val="24"/>
          <w:u w:val="none"/>
          <w:lang w:val="en-US"/>
        </w:rPr>
        <w:t>“</w:t>
      </w:r>
      <w:r>
        <w:rPr>
          <w:rStyle w:val="ListLabel1"/>
          <w:rFonts w:ascii="Liberation Serif" w:hAnsi="Liberation Serif"/>
          <w:color w:val="202124"/>
          <w:sz w:val="24"/>
          <w:szCs w:val="24"/>
          <w:u w:val="none"/>
          <w:lang w:val="en-US"/>
        </w:rPr>
        <w:t>24. Please indicate, using statistical data on availability and habitability, to what extent the Min</w:t>
      </w:r>
      <w:r>
        <w:rPr>
          <w:rStyle w:val="ListLabel1"/>
          <w:rFonts w:ascii="Liberation Serif" w:hAnsi="Liberation Serif"/>
          <w:color w:val="202124"/>
          <w:sz w:val="24"/>
          <w:szCs w:val="24"/>
          <w:u w:val="none"/>
          <w:lang w:val="en-US"/>
        </w:rPr>
        <w:t>ha Casa Minha Vida programme, mentioned in paragraph 177 of the State party's report, has benefited families living in informal settlements. Please also provide information, including statistical data for the last five years, on the forced evictions carrie</w:t>
      </w:r>
      <w:r>
        <w:rPr>
          <w:rStyle w:val="ListLabel1"/>
          <w:rFonts w:ascii="Liberation Serif" w:hAnsi="Liberation Serif"/>
          <w:color w:val="202124"/>
          <w:sz w:val="24"/>
          <w:szCs w:val="24"/>
          <w:u w:val="none"/>
          <w:lang w:val="en-US"/>
        </w:rPr>
        <w:t>d out in the State party, indicating the reasons that justified them and the reparation measures offered to the victims. Please comment on the effectiveness of legal and other safeguards in ensuring that victims of forced evictions do not become homeless a</w:t>
      </w:r>
      <w:r>
        <w:rPr>
          <w:rStyle w:val="ListLabel1"/>
          <w:rFonts w:ascii="Liberation Serif" w:hAnsi="Liberation Serif"/>
          <w:color w:val="202124"/>
          <w:sz w:val="24"/>
          <w:szCs w:val="24"/>
          <w:u w:val="none"/>
          <w:lang w:val="en-US"/>
        </w:rPr>
        <w:t>nd/or receive adequate alternative accommodation and/or compensation, and indicate whether the State party has instituted a moratorium on evictions during the COVID-19 pandemic.” (https://tbinternet.ohchr.org/_layouts/15/treatybodyexternal/Download.aspx?sy</w:t>
      </w:r>
      <w:r>
        <w:rPr>
          <w:rStyle w:val="ListLabel1"/>
          <w:rFonts w:ascii="Liberation Serif" w:hAnsi="Liberation Serif"/>
          <w:color w:val="202124"/>
          <w:sz w:val="24"/>
          <w:szCs w:val="24"/>
          <w:u w:val="none"/>
          <w:lang w:val="en-US"/>
        </w:rPr>
        <w:t>mbolno=E%2FC.12%2FBRA%2FQ%2F3&amp;Lang=en)”</w:t>
      </w:r>
    </w:p>
    <w:p w14:paraId="6E6B530A" w14:textId="77777777" w:rsidR="004E3D92" w:rsidRDefault="004E3D92">
      <w:pPr>
        <w:pStyle w:val="BodyText"/>
        <w:jc w:val="both"/>
        <w:rPr>
          <w:rStyle w:val="ListLabel1"/>
          <w:rFonts w:ascii="Liberation Serif" w:hAnsi="Liberation Serif"/>
          <w:color w:val="000000"/>
          <w:sz w:val="24"/>
          <w:szCs w:val="24"/>
          <w:u w:val="none"/>
        </w:rPr>
      </w:pPr>
    </w:p>
    <w:p w14:paraId="265DA1AB" w14:textId="77777777" w:rsidR="004E3D92" w:rsidRDefault="006F5374">
      <w:pPr>
        <w:pStyle w:val="BodyText"/>
        <w:jc w:val="both"/>
        <w:rPr>
          <w:color w:val="000000"/>
        </w:rPr>
      </w:pPr>
      <w:r>
        <w:rPr>
          <w:color w:val="000000"/>
        </w:rPr>
        <w:tab/>
      </w:r>
      <w:bookmarkStart w:id="5" w:name="tw-target-text4"/>
      <w:bookmarkEnd w:id="5"/>
      <w:r>
        <w:rPr>
          <w:color w:val="202124"/>
          <w:lang w:val="en-US"/>
        </w:rPr>
        <w:t>Thus, the Brazilian government prepared the following response to the questioning of the DHESC Committee:</w:t>
      </w:r>
    </w:p>
    <w:p w14:paraId="710FDA7C" w14:textId="77777777" w:rsidR="004E3D92" w:rsidRDefault="006F5374">
      <w:pPr>
        <w:pStyle w:val="BodyText"/>
        <w:jc w:val="both"/>
      </w:pPr>
      <w:r>
        <w:rPr>
          <w:color w:val="000000"/>
        </w:rPr>
        <w:tab/>
      </w:r>
      <w:r>
        <w:rPr>
          <w:color w:val="000000"/>
        </w:rPr>
        <w:tab/>
        <w:t xml:space="preserve">  </w:t>
      </w:r>
      <w:bookmarkStart w:id="6" w:name="tw-target-text27"/>
      <w:bookmarkEnd w:id="6"/>
      <w:r>
        <w:rPr>
          <w:rStyle w:val="ListLabel1"/>
          <w:rFonts w:ascii="Liberation Serif" w:hAnsi="Liberation Serif"/>
          <w:color w:val="202124"/>
          <w:sz w:val="24"/>
          <w:szCs w:val="24"/>
          <w:u w:val="none"/>
          <w:lang w:val="en-US"/>
        </w:rPr>
        <w:t>Response of the Brazilian government to paragraph 24 of the list of issues</w:t>
      </w:r>
    </w:p>
    <w:p w14:paraId="083DBE30" w14:textId="77777777" w:rsidR="004E3D92" w:rsidRDefault="006F5374">
      <w:pPr>
        <w:pStyle w:val="BodyText"/>
      </w:pPr>
      <w:r>
        <w:t>“</w:t>
      </w:r>
      <w:r>
        <w:rPr>
          <w:lang w:val="en-US"/>
        </w:rPr>
        <w:t xml:space="preserve">145. In December 2020, </w:t>
      </w:r>
      <w:r>
        <w:rPr>
          <w:lang w:val="en-US"/>
        </w:rPr>
        <w:t>the State party published an evaluation report of the My House, My Life Program. The report, available in Portuguese, evaluates the effects of that program using various tables and data. The document can be consulted at     https://www.gov.br/cgu/pt-br/ass</w:t>
      </w:r>
      <w:r>
        <w:rPr>
          <w:lang w:val="en-US"/>
        </w:rPr>
        <w:t>untos/noticias/2021/04/cgu-divulga-prestacao-de-contas-do-presidente-da-republica-de-2020 /relatorio-de-avaliacao-pmcmv.pdf. (https://tbinternet.ohchr.org/_layouts/15/treatybodyexternal/Download.aspx?symbolno=E%2FC.12%2FBRA%2FRQ%2F3&amp;Lang=en)”</w:t>
      </w:r>
    </w:p>
    <w:p w14:paraId="43B5E3B8" w14:textId="77777777" w:rsidR="004E3D92" w:rsidRDefault="006F5374">
      <w:pPr>
        <w:pStyle w:val="BodyText"/>
        <w:jc w:val="both"/>
      </w:pPr>
      <w:r>
        <w:rPr>
          <w:color w:val="000000"/>
          <w:sz w:val="26"/>
          <w:szCs w:val="26"/>
        </w:rPr>
        <w:tab/>
      </w:r>
      <w:r>
        <w:rPr>
          <w:color w:val="000000"/>
          <w:sz w:val="26"/>
          <w:szCs w:val="26"/>
        </w:rPr>
        <w:tab/>
      </w:r>
      <w:r>
        <w:rPr>
          <w:color w:val="000000"/>
          <w:sz w:val="26"/>
          <w:szCs w:val="26"/>
        </w:rPr>
        <w:tab/>
      </w:r>
      <w:bookmarkStart w:id="7" w:name="tw-target-text5"/>
      <w:bookmarkEnd w:id="7"/>
      <w:r>
        <w:rPr>
          <w:color w:val="202124"/>
          <w:sz w:val="26"/>
          <w:szCs w:val="26"/>
          <w:lang w:val="en-US"/>
        </w:rPr>
        <w:t>Faced with</w:t>
      </w:r>
      <w:r>
        <w:rPr>
          <w:color w:val="202124"/>
          <w:sz w:val="26"/>
          <w:szCs w:val="26"/>
          <w:lang w:val="en-US"/>
        </w:rPr>
        <w:t xml:space="preserve"> the non-existent response from the Brazilian government due to the questioning of the DHESC Committee, below are the real information about the current scenario of the right to decent housing in Brazil and what happened during the PANDEMIC in our country.</w:t>
      </w:r>
    </w:p>
    <w:p w14:paraId="33EDF119" w14:textId="77777777" w:rsidR="004E3D92" w:rsidRDefault="006F5374">
      <w:pPr>
        <w:pStyle w:val="BodyText"/>
        <w:jc w:val="both"/>
        <w:rPr>
          <w:color w:val="000000"/>
          <w:sz w:val="26"/>
          <w:szCs w:val="26"/>
        </w:rPr>
      </w:pPr>
      <w:r>
        <w:rPr>
          <w:color w:val="000000"/>
          <w:sz w:val="26"/>
          <w:szCs w:val="26"/>
        </w:rPr>
        <w:t xml:space="preserve"> </w:t>
      </w:r>
      <w:r>
        <w:rPr>
          <w:color w:val="000000"/>
          <w:sz w:val="26"/>
          <w:szCs w:val="26"/>
        </w:rPr>
        <w:tab/>
      </w:r>
      <w:r>
        <w:rPr>
          <w:color w:val="000000"/>
          <w:sz w:val="26"/>
          <w:szCs w:val="26"/>
        </w:rPr>
        <w:tab/>
      </w:r>
      <w:bookmarkStart w:id="8" w:name="tw-target-text6"/>
      <w:bookmarkEnd w:id="8"/>
      <w:r>
        <w:rPr>
          <w:color w:val="202124"/>
          <w:sz w:val="26"/>
          <w:szCs w:val="26"/>
          <w:lang w:val="en-US"/>
        </w:rPr>
        <w:t>More than 40,000 families have been victims of eviction or repossession across Brazil since the beginning of the Covid-19 pandemic in March 2020. Data compiled by the Zero Eviction Campaign mapped cases from March 2020 to February 2023. cases, 7,376 af</w:t>
      </w:r>
      <w:r>
        <w:rPr>
          <w:color w:val="202124"/>
          <w:sz w:val="26"/>
          <w:szCs w:val="26"/>
          <w:lang w:val="en-US"/>
        </w:rPr>
        <w:t>fected families are in São Paulo. The lack of public policies aimed at popular housing in recent years has intensified the issue.</w:t>
      </w:r>
    </w:p>
    <w:p w14:paraId="4A470B19" w14:textId="77777777" w:rsidR="004E3D92" w:rsidRDefault="006F5374">
      <w:pPr>
        <w:pStyle w:val="Textoprformatado"/>
        <w:jc w:val="both"/>
        <w:rPr>
          <w:rFonts w:ascii="Liberation Serif" w:hAnsi="Liberation Serif"/>
          <w:color w:val="202124"/>
          <w:sz w:val="26"/>
          <w:szCs w:val="26"/>
          <w:lang w:val="en-US"/>
        </w:rPr>
      </w:pPr>
      <w:bookmarkStart w:id="9" w:name="tw-target-text7"/>
      <w:bookmarkEnd w:id="9"/>
      <w:r>
        <w:rPr>
          <w:rFonts w:ascii="Liberation Serif" w:hAnsi="Liberation Serif"/>
          <w:color w:val="202124"/>
          <w:sz w:val="26"/>
          <w:szCs w:val="26"/>
          <w:lang w:val="en-US"/>
        </w:rPr>
        <w:t xml:space="preserve"> </w:t>
      </w:r>
      <w:r>
        <w:rPr>
          <w:rFonts w:ascii="Liberation Serif" w:hAnsi="Liberation Serif"/>
          <w:color w:val="202124"/>
          <w:sz w:val="26"/>
          <w:szCs w:val="26"/>
          <w:lang w:val="en-US"/>
        </w:rPr>
        <w:tab/>
      </w:r>
      <w:r>
        <w:rPr>
          <w:rFonts w:ascii="Liberation Serif" w:hAnsi="Liberation Serif"/>
          <w:color w:val="202124"/>
          <w:sz w:val="26"/>
          <w:szCs w:val="26"/>
          <w:lang w:val="en-US"/>
        </w:rPr>
        <w:tab/>
        <w:t xml:space="preserve">The state of São Paulo leads the survey, with 7,376 families evicted and another 65,600 under threat of eviction; followed </w:t>
      </w:r>
      <w:r>
        <w:rPr>
          <w:rFonts w:ascii="Liberation Serif" w:hAnsi="Liberation Serif"/>
          <w:color w:val="202124"/>
          <w:sz w:val="26"/>
          <w:szCs w:val="26"/>
          <w:lang w:val="en-US"/>
        </w:rPr>
        <w:t>by Rio de Janeiro (6,041 evicted and 5,513 threatened) and Amazonas (4,879 families evicted from their homes, 32,719 at risk of losing their homes). In total, there were 41,006 evictions in the country.</w:t>
      </w:r>
    </w:p>
    <w:p w14:paraId="22818EB5" w14:textId="77777777" w:rsidR="004E3D92" w:rsidRDefault="004E3D92">
      <w:pPr>
        <w:pStyle w:val="BodyText"/>
        <w:jc w:val="both"/>
      </w:pPr>
    </w:p>
    <w:p w14:paraId="5F4C7A50" w14:textId="77777777" w:rsidR="004E3D92" w:rsidRDefault="006F5374">
      <w:pPr>
        <w:pStyle w:val="BodyText"/>
        <w:jc w:val="both"/>
        <w:rPr>
          <w:color w:val="000000"/>
          <w:sz w:val="26"/>
          <w:szCs w:val="26"/>
        </w:rPr>
      </w:pPr>
      <w:r>
        <w:rPr>
          <w:color w:val="000000"/>
          <w:sz w:val="26"/>
          <w:szCs w:val="26"/>
        </w:rPr>
        <w:t xml:space="preserve">              </w:t>
      </w:r>
      <w:r>
        <w:rPr>
          <w:b/>
          <w:bCs/>
          <w:color w:val="000000"/>
          <w:sz w:val="26"/>
          <w:szCs w:val="26"/>
        </w:rPr>
        <w:t xml:space="preserve">  </w:t>
      </w:r>
      <w:bookmarkStart w:id="10" w:name="tw-target-text8"/>
      <w:bookmarkEnd w:id="10"/>
      <w:r>
        <w:rPr>
          <w:b/>
          <w:bCs/>
          <w:color w:val="202124"/>
          <w:sz w:val="26"/>
          <w:szCs w:val="26"/>
          <w:lang w:val="en-US"/>
        </w:rPr>
        <w:t xml:space="preserve">Records of evictions and </w:t>
      </w:r>
      <w:r>
        <w:rPr>
          <w:b/>
          <w:bCs/>
          <w:color w:val="202124"/>
          <w:sz w:val="26"/>
          <w:szCs w:val="26"/>
          <w:lang w:val="en-US"/>
        </w:rPr>
        <w:t>threats in Brazil</w:t>
      </w:r>
    </w:p>
    <w:tbl>
      <w:tblPr>
        <w:tblW w:w="6766" w:type="dxa"/>
        <w:jc w:val="center"/>
        <w:tblCellMar>
          <w:left w:w="0" w:type="dxa"/>
          <w:right w:w="0" w:type="dxa"/>
        </w:tblCellMar>
        <w:tblLook w:val="04A0" w:firstRow="1" w:lastRow="0" w:firstColumn="1" w:lastColumn="0" w:noHBand="0" w:noVBand="1"/>
      </w:tblPr>
      <w:tblGrid>
        <w:gridCol w:w="1040"/>
        <w:gridCol w:w="2848"/>
        <w:gridCol w:w="2878"/>
      </w:tblGrid>
      <w:tr w:rsidR="004E3D92" w14:paraId="308E4B4C" w14:textId="77777777">
        <w:trPr>
          <w:jc w:val="center"/>
        </w:trPr>
        <w:tc>
          <w:tcPr>
            <w:tcW w:w="1040" w:type="dxa"/>
            <w:shd w:val="clear" w:color="auto" w:fill="EEEEEE"/>
            <w:vAlign w:val="center"/>
          </w:tcPr>
          <w:p w14:paraId="13FD309F" w14:textId="77777777" w:rsidR="004E3D92" w:rsidRDefault="006F5374">
            <w:pPr>
              <w:pStyle w:val="BodyText"/>
              <w:jc w:val="both"/>
              <w:rPr>
                <w:color w:val="000000"/>
                <w:sz w:val="26"/>
                <w:szCs w:val="26"/>
              </w:rPr>
            </w:pPr>
            <w:r>
              <w:rPr>
                <w:color w:val="000000"/>
                <w:sz w:val="26"/>
                <w:szCs w:val="26"/>
              </w:rPr>
              <w:t>Estado</w:t>
            </w:r>
          </w:p>
        </w:tc>
        <w:tc>
          <w:tcPr>
            <w:tcW w:w="2848" w:type="dxa"/>
            <w:shd w:val="clear" w:color="auto" w:fill="EEEEEE"/>
            <w:vAlign w:val="center"/>
          </w:tcPr>
          <w:p w14:paraId="733F0A44" w14:textId="77777777" w:rsidR="004E3D92" w:rsidRDefault="006F5374">
            <w:pPr>
              <w:pStyle w:val="BodyText"/>
              <w:jc w:val="both"/>
              <w:rPr>
                <w:color w:val="000000"/>
                <w:sz w:val="26"/>
                <w:szCs w:val="26"/>
              </w:rPr>
            </w:pPr>
            <w:r>
              <w:rPr>
                <w:color w:val="000000"/>
                <w:sz w:val="26"/>
                <w:szCs w:val="26"/>
              </w:rPr>
              <w:t>Evictdes Families</w:t>
            </w:r>
          </w:p>
        </w:tc>
        <w:tc>
          <w:tcPr>
            <w:tcW w:w="2878" w:type="dxa"/>
            <w:shd w:val="clear" w:color="auto" w:fill="EEEEEE"/>
            <w:vAlign w:val="center"/>
          </w:tcPr>
          <w:p w14:paraId="5479CFFB" w14:textId="77777777" w:rsidR="004E3D92" w:rsidRDefault="006F5374">
            <w:pPr>
              <w:pStyle w:val="Textoprformatado"/>
              <w:jc w:val="both"/>
              <w:rPr>
                <w:rFonts w:ascii="Liberation Serif" w:hAnsi="Liberation Serif"/>
                <w:color w:val="202124"/>
                <w:sz w:val="26"/>
                <w:szCs w:val="26"/>
                <w:lang w:val="en-US"/>
              </w:rPr>
            </w:pPr>
            <w:bookmarkStart w:id="11" w:name="tw-target-text9"/>
            <w:bookmarkEnd w:id="11"/>
            <w:r>
              <w:rPr>
                <w:rFonts w:ascii="Liberation Serif" w:hAnsi="Liberation Serif"/>
                <w:color w:val="202124"/>
                <w:sz w:val="26"/>
                <w:szCs w:val="26"/>
                <w:lang w:val="en-US"/>
              </w:rPr>
              <w:t>threatened families</w:t>
            </w:r>
          </w:p>
          <w:p w14:paraId="602CC4FF" w14:textId="77777777" w:rsidR="004E3D92" w:rsidRDefault="004E3D92">
            <w:pPr>
              <w:pStyle w:val="BodyText"/>
              <w:jc w:val="both"/>
              <w:rPr>
                <w:color w:val="000000"/>
                <w:sz w:val="26"/>
                <w:szCs w:val="26"/>
              </w:rPr>
            </w:pPr>
          </w:p>
        </w:tc>
      </w:tr>
      <w:tr w:rsidR="004E3D92" w14:paraId="1973DAE1" w14:textId="77777777">
        <w:trPr>
          <w:jc w:val="center"/>
        </w:trPr>
        <w:tc>
          <w:tcPr>
            <w:tcW w:w="1040" w:type="dxa"/>
            <w:shd w:val="clear" w:color="auto" w:fill="EEEEEE"/>
            <w:vAlign w:val="center"/>
          </w:tcPr>
          <w:p w14:paraId="5DEB6239" w14:textId="77777777" w:rsidR="004E3D92" w:rsidRDefault="006F5374">
            <w:pPr>
              <w:pStyle w:val="BodyText"/>
              <w:jc w:val="both"/>
              <w:rPr>
                <w:color w:val="000000"/>
                <w:sz w:val="26"/>
                <w:szCs w:val="26"/>
              </w:rPr>
            </w:pPr>
            <w:r>
              <w:rPr>
                <w:color w:val="000000"/>
                <w:sz w:val="26"/>
                <w:szCs w:val="26"/>
              </w:rPr>
              <w:t>SP</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2A2406B7" w14:textId="77777777" w:rsidR="004E3D92" w:rsidRDefault="006F5374">
            <w:pPr>
              <w:pStyle w:val="BodyText"/>
              <w:jc w:val="both"/>
              <w:rPr>
                <w:color w:val="000000"/>
                <w:sz w:val="26"/>
                <w:szCs w:val="26"/>
              </w:rPr>
            </w:pPr>
            <w:r>
              <w:rPr>
                <w:color w:val="000000"/>
                <w:sz w:val="26"/>
                <w:szCs w:val="26"/>
              </w:rPr>
              <w:t>7.376</w:t>
            </w:r>
          </w:p>
        </w:tc>
        <w:tc>
          <w:tcPr>
            <w:tcW w:w="2878" w:type="dxa"/>
            <w:shd w:val="clear" w:color="auto" w:fill="auto"/>
            <w:vAlign w:val="center"/>
          </w:tcPr>
          <w:p w14:paraId="4322646F" w14:textId="77777777" w:rsidR="004E3D92" w:rsidRDefault="006F5374">
            <w:pPr>
              <w:pStyle w:val="BodyText"/>
              <w:jc w:val="both"/>
              <w:rPr>
                <w:color w:val="000000"/>
                <w:sz w:val="26"/>
                <w:szCs w:val="26"/>
              </w:rPr>
            </w:pPr>
            <w:r>
              <w:rPr>
                <w:color w:val="000000"/>
                <w:sz w:val="26"/>
                <w:szCs w:val="26"/>
              </w:rPr>
              <w:t>65.600</w:t>
            </w:r>
          </w:p>
        </w:tc>
      </w:tr>
      <w:tr w:rsidR="004E3D92" w14:paraId="3EBA74C1" w14:textId="77777777">
        <w:trPr>
          <w:jc w:val="center"/>
        </w:trPr>
        <w:tc>
          <w:tcPr>
            <w:tcW w:w="1040" w:type="dxa"/>
            <w:shd w:val="clear" w:color="auto" w:fill="EEEEEE"/>
            <w:vAlign w:val="center"/>
          </w:tcPr>
          <w:p w14:paraId="0CA0BA71" w14:textId="77777777" w:rsidR="004E3D92" w:rsidRDefault="006F5374">
            <w:pPr>
              <w:pStyle w:val="BodyText"/>
              <w:jc w:val="both"/>
              <w:rPr>
                <w:color w:val="000000"/>
                <w:sz w:val="26"/>
                <w:szCs w:val="26"/>
              </w:rPr>
            </w:pPr>
            <w:r>
              <w:rPr>
                <w:color w:val="000000"/>
                <w:sz w:val="26"/>
                <w:szCs w:val="26"/>
              </w:rPr>
              <w:t>RJ</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0D1D2638" w14:textId="77777777" w:rsidR="004E3D92" w:rsidRDefault="006F5374">
            <w:pPr>
              <w:pStyle w:val="BodyText"/>
              <w:jc w:val="both"/>
              <w:rPr>
                <w:color w:val="000000"/>
                <w:sz w:val="26"/>
                <w:szCs w:val="26"/>
              </w:rPr>
            </w:pPr>
            <w:r>
              <w:rPr>
                <w:color w:val="000000"/>
                <w:sz w:val="26"/>
                <w:szCs w:val="26"/>
              </w:rPr>
              <w:t>6.041</w:t>
            </w:r>
          </w:p>
        </w:tc>
        <w:tc>
          <w:tcPr>
            <w:tcW w:w="2878" w:type="dxa"/>
            <w:shd w:val="clear" w:color="auto" w:fill="auto"/>
            <w:vAlign w:val="center"/>
          </w:tcPr>
          <w:p w14:paraId="324FE96B" w14:textId="77777777" w:rsidR="004E3D92" w:rsidRDefault="006F5374">
            <w:pPr>
              <w:pStyle w:val="BodyText"/>
              <w:jc w:val="both"/>
              <w:rPr>
                <w:color w:val="000000"/>
                <w:sz w:val="26"/>
                <w:szCs w:val="26"/>
              </w:rPr>
            </w:pPr>
            <w:r>
              <w:rPr>
                <w:color w:val="000000"/>
                <w:sz w:val="26"/>
                <w:szCs w:val="26"/>
              </w:rPr>
              <w:t>5.513</w:t>
            </w:r>
          </w:p>
        </w:tc>
      </w:tr>
      <w:tr w:rsidR="004E3D92" w14:paraId="38027BEE" w14:textId="77777777">
        <w:trPr>
          <w:jc w:val="center"/>
        </w:trPr>
        <w:tc>
          <w:tcPr>
            <w:tcW w:w="1040" w:type="dxa"/>
            <w:shd w:val="clear" w:color="auto" w:fill="EEEEEE"/>
            <w:vAlign w:val="center"/>
          </w:tcPr>
          <w:p w14:paraId="121DE383" w14:textId="77777777" w:rsidR="004E3D92" w:rsidRDefault="006F5374">
            <w:pPr>
              <w:pStyle w:val="BodyText"/>
              <w:jc w:val="both"/>
              <w:rPr>
                <w:color w:val="000000"/>
                <w:sz w:val="26"/>
                <w:szCs w:val="26"/>
              </w:rPr>
            </w:pPr>
            <w:r>
              <w:rPr>
                <w:color w:val="000000"/>
                <w:sz w:val="26"/>
                <w:szCs w:val="26"/>
              </w:rPr>
              <w:t>AM</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1FADD270" w14:textId="77777777" w:rsidR="004E3D92" w:rsidRDefault="006F5374">
            <w:pPr>
              <w:pStyle w:val="BodyText"/>
              <w:jc w:val="both"/>
              <w:rPr>
                <w:color w:val="000000"/>
                <w:sz w:val="26"/>
                <w:szCs w:val="26"/>
              </w:rPr>
            </w:pPr>
            <w:r>
              <w:rPr>
                <w:color w:val="000000"/>
                <w:sz w:val="26"/>
                <w:szCs w:val="26"/>
              </w:rPr>
              <w:t>4.879</w:t>
            </w:r>
          </w:p>
        </w:tc>
        <w:tc>
          <w:tcPr>
            <w:tcW w:w="2878" w:type="dxa"/>
            <w:shd w:val="clear" w:color="auto" w:fill="auto"/>
            <w:vAlign w:val="center"/>
          </w:tcPr>
          <w:p w14:paraId="6A6ECEDA" w14:textId="77777777" w:rsidR="004E3D92" w:rsidRDefault="006F5374">
            <w:pPr>
              <w:pStyle w:val="BodyText"/>
              <w:jc w:val="both"/>
              <w:rPr>
                <w:color w:val="000000"/>
                <w:sz w:val="26"/>
                <w:szCs w:val="26"/>
              </w:rPr>
            </w:pPr>
            <w:r>
              <w:rPr>
                <w:color w:val="000000"/>
                <w:sz w:val="26"/>
                <w:szCs w:val="26"/>
              </w:rPr>
              <w:t>32.719</w:t>
            </w:r>
          </w:p>
        </w:tc>
      </w:tr>
      <w:tr w:rsidR="004E3D92" w14:paraId="68529308" w14:textId="77777777">
        <w:trPr>
          <w:jc w:val="center"/>
        </w:trPr>
        <w:tc>
          <w:tcPr>
            <w:tcW w:w="1040" w:type="dxa"/>
            <w:shd w:val="clear" w:color="auto" w:fill="EEEEEE"/>
            <w:vAlign w:val="center"/>
          </w:tcPr>
          <w:p w14:paraId="5259212B" w14:textId="77777777" w:rsidR="004E3D92" w:rsidRDefault="006F5374">
            <w:pPr>
              <w:pStyle w:val="BodyText"/>
              <w:jc w:val="both"/>
              <w:rPr>
                <w:color w:val="000000"/>
                <w:sz w:val="26"/>
                <w:szCs w:val="26"/>
              </w:rPr>
            </w:pPr>
            <w:r>
              <w:rPr>
                <w:color w:val="000000"/>
                <w:sz w:val="26"/>
                <w:szCs w:val="26"/>
              </w:rPr>
              <w:t>MA</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405A41F1" w14:textId="77777777" w:rsidR="004E3D92" w:rsidRDefault="006F5374">
            <w:pPr>
              <w:pStyle w:val="BodyText"/>
              <w:jc w:val="both"/>
              <w:rPr>
                <w:color w:val="000000"/>
                <w:sz w:val="26"/>
                <w:szCs w:val="26"/>
              </w:rPr>
            </w:pPr>
            <w:r>
              <w:rPr>
                <w:color w:val="000000"/>
                <w:sz w:val="26"/>
                <w:szCs w:val="26"/>
              </w:rPr>
              <w:t>3.583</w:t>
            </w:r>
          </w:p>
        </w:tc>
        <w:tc>
          <w:tcPr>
            <w:tcW w:w="2878" w:type="dxa"/>
            <w:shd w:val="clear" w:color="auto" w:fill="auto"/>
            <w:vAlign w:val="center"/>
          </w:tcPr>
          <w:p w14:paraId="61A093CA" w14:textId="77777777" w:rsidR="004E3D92" w:rsidRDefault="006F5374">
            <w:pPr>
              <w:pStyle w:val="BodyText"/>
              <w:jc w:val="both"/>
              <w:rPr>
                <w:color w:val="000000"/>
                <w:sz w:val="26"/>
                <w:szCs w:val="26"/>
              </w:rPr>
            </w:pPr>
            <w:r>
              <w:rPr>
                <w:color w:val="000000"/>
                <w:sz w:val="26"/>
                <w:szCs w:val="26"/>
              </w:rPr>
              <w:t>635</w:t>
            </w:r>
          </w:p>
        </w:tc>
      </w:tr>
      <w:tr w:rsidR="004E3D92" w14:paraId="28C4AE55" w14:textId="77777777">
        <w:trPr>
          <w:jc w:val="center"/>
        </w:trPr>
        <w:tc>
          <w:tcPr>
            <w:tcW w:w="1040" w:type="dxa"/>
            <w:shd w:val="clear" w:color="auto" w:fill="EEEEEE"/>
            <w:vAlign w:val="center"/>
          </w:tcPr>
          <w:p w14:paraId="42DF9444" w14:textId="77777777" w:rsidR="004E3D92" w:rsidRDefault="006F5374">
            <w:pPr>
              <w:pStyle w:val="BodyText"/>
              <w:jc w:val="both"/>
              <w:rPr>
                <w:color w:val="000000"/>
                <w:sz w:val="26"/>
                <w:szCs w:val="26"/>
              </w:rPr>
            </w:pPr>
            <w:r>
              <w:rPr>
                <w:color w:val="000000"/>
                <w:sz w:val="26"/>
                <w:szCs w:val="26"/>
              </w:rPr>
              <w:lastRenderedPageBreak/>
              <w:t>GO</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1647BFEF" w14:textId="77777777" w:rsidR="004E3D92" w:rsidRDefault="006F5374">
            <w:pPr>
              <w:pStyle w:val="BodyText"/>
              <w:jc w:val="both"/>
              <w:rPr>
                <w:color w:val="000000"/>
                <w:sz w:val="26"/>
                <w:szCs w:val="26"/>
              </w:rPr>
            </w:pPr>
            <w:r>
              <w:rPr>
                <w:color w:val="000000"/>
                <w:sz w:val="26"/>
                <w:szCs w:val="26"/>
              </w:rPr>
              <w:t>1.833</w:t>
            </w:r>
          </w:p>
        </w:tc>
        <w:tc>
          <w:tcPr>
            <w:tcW w:w="2878" w:type="dxa"/>
            <w:shd w:val="clear" w:color="auto" w:fill="auto"/>
            <w:vAlign w:val="center"/>
          </w:tcPr>
          <w:p w14:paraId="599AF563" w14:textId="77777777" w:rsidR="004E3D92" w:rsidRDefault="006F5374">
            <w:pPr>
              <w:pStyle w:val="BodyText"/>
              <w:jc w:val="both"/>
              <w:rPr>
                <w:color w:val="000000"/>
                <w:sz w:val="26"/>
                <w:szCs w:val="26"/>
              </w:rPr>
            </w:pPr>
            <w:r>
              <w:rPr>
                <w:color w:val="000000"/>
                <w:sz w:val="26"/>
                <w:szCs w:val="26"/>
              </w:rPr>
              <w:t>4.570</w:t>
            </w:r>
          </w:p>
        </w:tc>
      </w:tr>
      <w:tr w:rsidR="004E3D92" w14:paraId="020FC5B4" w14:textId="77777777">
        <w:trPr>
          <w:jc w:val="center"/>
        </w:trPr>
        <w:tc>
          <w:tcPr>
            <w:tcW w:w="1040" w:type="dxa"/>
            <w:shd w:val="clear" w:color="auto" w:fill="EEEEEE"/>
            <w:vAlign w:val="center"/>
          </w:tcPr>
          <w:p w14:paraId="1C60C4C7" w14:textId="77777777" w:rsidR="004E3D92" w:rsidRDefault="006F5374">
            <w:pPr>
              <w:pStyle w:val="BodyText"/>
              <w:jc w:val="both"/>
              <w:rPr>
                <w:color w:val="000000"/>
                <w:sz w:val="26"/>
                <w:szCs w:val="26"/>
              </w:rPr>
            </w:pPr>
            <w:r>
              <w:rPr>
                <w:color w:val="000000"/>
                <w:sz w:val="26"/>
                <w:szCs w:val="26"/>
              </w:rPr>
              <w:t>CE</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4769CE39" w14:textId="77777777" w:rsidR="004E3D92" w:rsidRDefault="006F5374">
            <w:pPr>
              <w:pStyle w:val="BodyText"/>
              <w:jc w:val="both"/>
              <w:rPr>
                <w:color w:val="000000"/>
                <w:sz w:val="26"/>
                <w:szCs w:val="26"/>
              </w:rPr>
            </w:pPr>
            <w:r>
              <w:rPr>
                <w:color w:val="000000"/>
                <w:sz w:val="26"/>
                <w:szCs w:val="26"/>
              </w:rPr>
              <w:t>1.740</w:t>
            </w:r>
          </w:p>
        </w:tc>
        <w:tc>
          <w:tcPr>
            <w:tcW w:w="2878" w:type="dxa"/>
            <w:shd w:val="clear" w:color="auto" w:fill="auto"/>
            <w:vAlign w:val="center"/>
          </w:tcPr>
          <w:p w14:paraId="411948EF" w14:textId="77777777" w:rsidR="004E3D92" w:rsidRDefault="006F5374">
            <w:pPr>
              <w:pStyle w:val="BodyText"/>
              <w:jc w:val="both"/>
              <w:rPr>
                <w:color w:val="000000"/>
                <w:sz w:val="26"/>
                <w:szCs w:val="26"/>
              </w:rPr>
            </w:pPr>
            <w:r>
              <w:rPr>
                <w:color w:val="000000"/>
                <w:sz w:val="26"/>
                <w:szCs w:val="26"/>
              </w:rPr>
              <w:t>11.285</w:t>
            </w:r>
          </w:p>
        </w:tc>
      </w:tr>
      <w:tr w:rsidR="004E3D92" w14:paraId="50029EF2" w14:textId="77777777">
        <w:trPr>
          <w:jc w:val="center"/>
        </w:trPr>
        <w:tc>
          <w:tcPr>
            <w:tcW w:w="1040" w:type="dxa"/>
            <w:shd w:val="clear" w:color="auto" w:fill="EEEEEE"/>
            <w:vAlign w:val="center"/>
          </w:tcPr>
          <w:p w14:paraId="32204BCE" w14:textId="77777777" w:rsidR="004E3D92" w:rsidRDefault="006F5374">
            <w:pPr>
              <w:pStyle w:val="BodyText"/>
              <w:jc w:val="both"/>
              <w:rPr>
                <w:color w:val="000000"/>
                <w:sz w:val="26"/>
                <w:szCs w:val="26"/>
              </w:rPr>
            </w:pPr>
            <w:r>
              <w:rPr>
                <w:color w:val="000000"/>
                <w:sz w:val="26"/>
                <w:szCs w:val="26"/>
              </w:rPr>
              <w:t>PR</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1C08E745" w14:textId="77777777" w:rsidR="004E3D92" w:rsidRDefault="006F5374">
            <w:pPr>
              <w:pStyle w:val="BodyText"/>
              <w:jc w:val="both"/>
              <w:rPr>
                <w:color w:val="000000"/>
                <w:sz w:val="26"/>
                <w:szCs w:val="26"/>
              </w:rPr>
            </w:pPr>
            <w:r>
              <w:rPr>
                <w:color w:val="000000"/>
                <w:sz w:val="26"/>
                <w:szCs w:val="26"/>
              </w:rPr>
              <w:t>1.712</w:t>
            </w:r>
          </w:p>
        </w:tc>
        <w:tc>
          <w:tcPr>
            <w:tcW w:w="2878" w:type="dxa"/>
            <w:shd w:val="clear" w:color="auto" w:fill="auto"/>
            <w:vAlign w:val="center"/>
          </w:tcPr>
          <w:p w14:paraId="1C9D0CD9" w14:textId="77777777" w:rsidR="004E3D92" w:rsidRDefault="006F5374">
            <w:pPr>
              <w:pStyle w:val="BodyText"/>
              <w:jc w:val="both"/>
              <w:rPr>
                <w:color w:val="000000"/>
                <w:sz w:val="26"/>
                <w:szCs w:val="26"/>
              </w:rPr>
            </w:pPr>
            <w:r>
              <w:rPr>
                <w:color w:val="000000"/>
                <w:sz w:val="26"/>
                <w:szCs w:val="26"/>
              </w:rPr>
              <w:t>5.311</w:t>
            </w:r>
          </w:p>
        </w:tc>
      </w:tr>
      <w:tr w:rsidR="004E3D92" w14:paraId="42B2A2BE" w14:textId="77777777">
        <w:trPr>
          <w:jc w:val="center"/>
        </w:trPr>
        <w:tc>
          <w:tcPr>
            <w:tcW w:w="1040" w:type="dxa"/>
            <w:shd w:val="clear" w:color="auto" w:fill="EEEEEE"/>
            <w:vAlign w:val="center"/>
          </w:tcPr>
          <w:p w14:paraId="0F989A03" w14:textId="77777777" w:rsidR="004E3D92" w:rsidRDefault="006F5374">
            <w:pPr>
              <w:pStyle w:val="BodyText"/>
              <w:jc w:val="both"/>
              <w:rPr>
                <w:color w:val="000000"/>
                <w:sz w:val="26"/>
                <w:szCs w:val="26"/>
              </w:rPr>
            </w:pPr>
            <w:r>
              <w:rPr>
                <w:color w:val="000000"/>
                <w:sz w:val="26"/>
                <w:szCs w:val="26"/>
              </w:rPr>
              <w:t>PE</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6C590E5F" w14:textId="77777777" w:rsidR="004E3D92" w:rsidRDefault="006F5374">
            <w:pPr>
              <w:pStyle w:val="BodyText"/>
              <w:jc w:val="both"/>
              <w:rPr>
                <w:color w:val="000000"/>
                <w:sz w:val="26"/>
                <w:szCs w:val="26"/>
              </w:rPr>
            </w:pPr>
            <w:r>
              <w:rPr>
                <w:color w:val="000000"/>
                <w:sz w:val="26"/>
                <w:szCs w:val="26"/>
              </w:rPr>
              <w:t>1.535</w:t>
            </w:r>
          </w:p>
        </w:tc>
        <w:tc>
          <w:tcPr>
            <w:tcW w:w="2878" w:type="dxa"/>
            <w:shd w:val="clear" w:color="auto" w:fill="auto"/>
            <w:vAlign w:val="center"/>
          </w:tcPr>
          <w:p w14:paraId="2F8955F0" w14:textId="77777777" w:rsidR="004E3D92" w:rsidRDefault="006F5374">
            <w:pPr>
              <w:pStyle w:val="BodyText"/>
              <w:jc w:val="both"/>
              <w:rPr>
                <w:color w:val="000000"/>
                <w:sz w:val="26"/>
                <w:szCs w:val="26"/>
              </w:rPr>
            </w:pPr>
            <w:r>
              <w:rPr>
                <w:color w:val="000000"/>
                <w:sz w:val="26"/>
                <w:szCs w:val="26"/>
              </w:rPr>
              <w:t>21.661</w:t>
            </w:r>
          </w:p>
        </w:tc>
      </w:tr>
      <w:tr w:rsidR="004E3D92" w14:paraId="1E0CD824" w14:textId="77777777">
        <w:trPr>
          <w:jc w:val="center"/>
        </w:trPr>
        <w:tc>
          <w:tcPr>
            <w:tcW w:w="1040" w:type="dxa"/>
            <w:shd w:val="clear" w:color="auto" w:fill="EEEEEE"/>
            <w:vAlign w:val="center"/>
          </w:tcPr>
          <w:p w14:paraId="5A1A2299" w14:textId="77777777" w:rsidR="004E3D92" w:rsidRDefault="006F5374">
            <w:pPr>
              <w:pStyle w:val="BodyText"/>
              <w:jc w:val="both"/>
              <w:rPr>
                <w:color w:val="000000"/>
                <w:sz w:val="26"/>
                <w:szCs w:val="26"/>
              </w:rPr>
            </w:pPr>
            <w:r>
              <w:rPr>
                <w:color w:val="000000"/>
                <w:sz w:val="26"/>
                <w:szCs w:val="26"/>
              </w:rPr>
              <w:t>DF</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37AE1DAD" w14:textId="77777777" w:rsidR="004E3D92" w:rsidRDefault="006F5374">
            <w:pPr>
              <w:pStyle w:val="BodyText"/>
              <w:jc w:val="both"/>
              <w:rPr>
                <w:color w:val="000000"/>
                <w:sz w:val="26"/>
                <w:szCs w:val="26"/>
              </w:rPr>
            </w:pPr>
            <w:r>
              <w:rPr>
                <w:color w:val="000000"/>
                <w:sz w:val="26"/>
                <w:szCs w:val="26"/>
              </w:rPr>
              <w:t>1.329</w:t>
            </w:r>
          </w:p>
        </w:tc>
        <w:tc>
          <w:tcPr>
            <w:tcW w:w="2878" w:type="dxa"/>
            <w:shd w:val="clear" w:color="auto" w:fill="auto"/>
            <w:vAlign w:val="center"/>
          </w:tcPr>
          <w:p w14:paraId="2DB54460" w14:textId="77777777" w:rsidR="004E3D92" w:rsidRDefault="006F5374">
            <w:pPr>
              <w:pStyle w:val="BodyText"/>
              <w:jc w:val="both"/>
              <w:rPr>
                <w:color w:val="000000"/>
                <w:sz w:val="26"/>
                <w:szCs w:val="26"/>
              </w:rPr>
            </w:pPr>
            <w:r>
              <w:rPr>
                <w:color w:val="000000"/>
                <w:sz w:val="26"/>
                <w:szCs w:val="26"/>
              </w:rPr>
              <w:t>5.584</w:t>
            </w:r>
          </w:p>
        </w:tc>
      </w:tr>
      <w:tr w:rsidR="004E3D92" w14:paraId="7A0D63F0" w14:textId="77777777">
        <w:trPr>
          <w:jc w:val="center"/>
        </w:trPr>
        <w:tc>
          <w:tcPr>
            <w:tcW w:w="1040" w:type="dxa"/>
            <w:shd w:val="clear" w:color="auto" w:fill="EEEEEE"/>
            <w:vAlign w:val="center"/>
          </w:tcPr>
          <w:p w14:paraId="6DCC9892" w14:textId="77777777" w:rsidR="004E3D92" w:rsidRDefault="006F5374">
            <w:pPr>
              <w:pStyle w:val="BodyText"/>
              <w:jc w:val="both"/>
              <w:rPr>
                <w:color w:val="000000"/>
                <w:sz w:val="26"/>
                <w:szCs w:val="26"/>
              </w:rPr>
            </w:pPr>
            <w:r>
              <w:rPr>
                <w:color w:val="000000"/>
                <w:sz w:val="26"/>
                <w:szCs w:val="26"/>
              </w:rPr>
              <w:t>MT</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5D05FB6B" w14:textId="77777777" w:rsidR="004E3D92" w:rsidRDefault="006F5374">
            <w:pPr>
              <w:pStyle w:val="BodyText"/>
              <w:jc w:val="both"/>
              <w:rPr>
                <w:color w:val="000000"/>
                <w:sz w:val="26"/>
                <w:szCs w:val="26"/>
              </w:rPr>
            </w:pPr>
            <w:r>
              <w:rPr>
                <w:color w:val="000000"/>
                <w:sz w:val="26"/>
                <w:szCs w:val="26"/>
              </w:rPr>
              <w:t>1.300</w:t>
            </w:r>
          </w:p>
        </w:tc>
        <w:tc>
          <w:tcPr>
            <w:tcW w:w="2878" w:type="dxa"/>
            <w:shd w:val="clear" w:color="auto" w:fill="auto"/>
            <w:vAlign w:val="center"/>
          </w:tcPr>
          <w:p w14:paraId="498B24BE" w14:textId="77777777" w:rsidR="004E3D92" w:rsidRDefault="006F5374">
            <w:pPr>
              <w:pStyle w:val="BodyText"/>
              <w:jc w:val="both"/>
              <w:rPr>
                <w:color w:val="000000"/>
                <w:sz w:val="26"/>
                <w:szCs w:val="26"/>
              </w:rPr>
            </w:pPr>
            <w:r>
              <w:rPr>
                <w:color w:val="000000"/>
                <w:sz w:val="26"/>
                <w:szCs w:val="26"/>
              </w:rPr>
              <w:t>1.343</w:t>
            </w:r>
          </w:p>
        </w:tc>
      </w:tr>
      <w:tr w:rsidR="004E3D92" w14:paraId="1790AE7F" w14:textId="77777777">
        <w:trPr>
          <w:jc w:val="center"/>
        </w:trPr>
        <w:tc>
          <w:tcPr>
            <w:tcW w:w="1040" w:type="dxa"/>
            <w:shd w:val="clear" w:color="auto" w:fill="EEEEEE"/>
            <w:vAlign w:val="center"/>
          </w:tcPr>
          <w:p w14:paraId="6EBFE300" w14:textId="77777777" w:rsidR="004E3D92" w:rsidRDefault="006F5374">
            <w:pPr>
              <w:pStyle w:val="BodyText"/>
              <w:jc w:val="both"/>
              <w:rPr>
                <w:color w:val="000000"/>
                <w:sz w:val="26"/>
                <w:szCs w:val="26"/>
              </w:rPr>
            </w:pPr>
            <w:r>
              <w:rPr>
                <w:color w:val="000000"/>
                <w:sz w:val="26"/>
                <w:szCs w:val="26"/>
              </w:rPr>
              <w:t>SE</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527457BB" w14:textId="77777777" w:rsidR="004E3D92" w:rsidRDefault="006F5374">
            <w:pPr>
              <w:pStyle w:val="BodyText"/>
              <w:jc w:val="both"/>
              <w:rPr>
                <w:color w:val="000000"/>
                <w:sz w:val="26"/>
                <w:szCs w:val="26"/>
              </w:rPr>
            </w:pPr>
            <w:r>
              <w:rPr>
                <w:color w:val="000000"/>
                <w:sz w:val="26"/>
                <w:szCs w:val="26"/>
              </w:rPr>
              <w:t>1.263</w:t>
            </w:r>
          </w:p>
        </w:tc>
        <w:tc>
          <w:tcPr>
            <w:tcW w:w="2878" w:type="dxa"/>
            <w:shd w:val="clear" w:color="auto" w:fill="auto"/>
            <w:vAlign w:val="center"/>
          </w:tcPr>
          <w:p w14:paraId="54568DF4" w14:textId="77777777" w:rsidR="004E3D92" w:rsidRDefault="006F5374">
            <w:pPr>
              <w:pStyle w:val="BodyText"/>
              <w:jc w:val="both"/>
              <w:rPr>
                <w:color w:val="000000"/>
                <w:sz w:val="26"/>
                <w:szCs w:val="26"/>
              </w:rPr>
            </w:pPr>
            <w:r>
              <w:rPr>
                <w:color w:val="000000"/>
                <w:sz w:val="26"/>
                <w:szCs w:val="26"/>
              </w:rPr>
              <w:t>622</w:t>
            </w:r>
          </w:p>
        </w:tc>
      </w:tr>
      <w:tr w:rsidR="004E3D92" w14:paraId="126BEE5C" w14:textId="77777777">
        <w:trPr>
          <w:jc w:val="center"/>
        </w:trPr>
        <w:tc>
          <w:tcPr>
            <w:tcW w:w="1040" w:type="dxa"/>
            <w:shd w:val="clear" w:color="auto" w:fill="EEEEEE"/>
            <w:vAlign w:val="center"/>
          </w:tcPr>
          <w:p w14:paraId="24830459" w14:textId="77777777" w:rsidR="004E3D92" w:rsidRDefault="006F5374">
            <w:pPr>
              <w:pStyle w:val="BodyText"/>
              <w:jc w:val="both"/>
              <w:rPr>
                <w:color w:val="000000"/>
                <w:sz w:val="26"/>
                <w:szCs w:val="26"/>
              </w:rPr>
            </w:pPr>
            <w:r>
              <w:rPr>
                <w:color w:val="000000"/>
                <w:sz w:val="26"/>
                <w:szCs w:val="26"/>
              </w:rPr>
              <w:t>RO</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514A8560" w14:textId="77777777" w:rsidR="004E3D92" w:rsidRDefault="006F5374">
            <w:pPr>
              <w:pStyle w:val="BodyText"/>
              <w:jc w:val="both"/>
              <w:rPr>
                <w:color w:val="000000"/>
                <w:sz w:val="26"/>
                <w:szCs w:val="26"/>
              </w:rPr>
            </w:pPr>
            <w:r>
              <w:rPr>
                <w:color w:val="000000"/>
                <w:sz w:val="26"/>
                <w:szCs w:val="26"/>
              </w:rPr>
              <w:t>1.170</w:t>
            </w:r>
          </w:p>
        </w:tc>
        <w:tc>
          <w:tcPr>
            <w:tcW w:w="2878" w:type="dxa"/>
            <w:shd w:val="clear" w:color="auto" w:fill="auto"/>
            <w:vAlign w:val="center"/>
          </w:tcPr>
          <w:p w14:paraId="32EB92CF" w14:textId="77777777" w:rsidR="004E3D92" w:rsidRDefault="006F5374">
            <w:pPr>
              <w:pStyle w:val="BodyText"/>
              <w:jc w:val="both"/>
              <w:rPr>
                <w:color w:val="000000"/>
                <w:sz w:val="26"/>
                <w:szCs w:val="26"/>
              </w:rPr>
            </w:pPr>
            <w:r>
              <w:rPr>
                <w:color w:val="000000"/>
                <w:sz w:val="26"/>
                <w:szCs w:val="26"/>
              </w:rPr>
              <w:t>14.512</w:t>
            </w:r>
          </w:p>
        </w:tc>
      </w:tr>
      <w:tr w:rsidR="004E3D92" w14:paraId="020C5111" w14:textId="77777777">
        <w:trPr>
          <w:jc w:val="center"/>
        </w:trPr>
        <w:tc>
          <w:tcPr>
            <w:tcW w:w="1040" w:type="dxa"/>
            <w:shd w:val="clear" w:color="auto" w:fill="EEEEEE"/>
            <w:vAlign w:val="center"/>
          </w:tcPr>
          <w:p w14:paraId="51A40D1F" w14:textId="77777777" w:rsidR="004E3D92" w:rsidRDefault="006F5374">
            <w:pPr>
              <w:pStyle w:val="BodyText"/>
              <w:jc w:val="both"/>
              <w:rPr>
                <w:color w:val="000000"/>
                <w:sz w:val="26"/>
                <w:szCs w:val="26"/>
              </w:rPr>
            </w:pPr>
            <w:r>
              <w:rPr>
                <w:color w:val="000000"/>
                <w:sz w:val="26"/>
                <w:szCs w:val="26"/>
              </w:rPr>
              <w:t>BA</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1D9845F7" w14:textId="77777777" w:rsidR="004E3D92" w:rsidRDefault="006F5374">
            <w:pPr>
              <w:pStyle w:val="BodyText"/>
              <w:jc w:val="both"/>
              <w:rPr>
                <w:color w:val="000000"/>
                <w:sz w:val="26"/>
                <w:szCs w:val="26"/>
              </w:rPr>
            </w:pPr>
            <w:r>
              <w:rPr>
                <w:color w:val="000000"/>
                <w:sz w:val="26"/>
                <w:szCs w:val="26"/>
              </w:rPr>
              <w:t>870</w:t>
            </w:r>
          </w:p>
        </w:tc>
        <w:tc>
          <w:tcPr>
            <w:tcW w:w="2878" w:type="dxa"/>
            <w:shd w:val="clear" w:color="auto" w:fill="auto"/>
            <w:vAlign w:val="center"/>
          </w:tcPr>
          <w:p w14:paraId="75C0D730" w14:textId="77777777" w:rsidR="004E3D92" w:rsidRDefault="006F5374">
            <w:pPr>
              <w:pStyle w:val="BodyText"/>
              <w:jc w:val="both"/>
              <w:rPr>
                <w:color w:val="000000"/>
                <w:sz w:val="26"/>
                <w:szCs w:val="26"/>
              </w:rPr>
            </w:pPr>
            <w:r>
              <w:rPr>
                <w:color w:val="000000"/>
                <w:sz w:val="26"/>
                <w:szCs w:val="26"/>
              </w:rPr>
              <w:t>4.048</w:t>
            </w:r>
          </w:p>
        </w:tc>
      </w:tr>
      <w:tr w:rsidR="004E3D92" w14:paraId="16D19811" w14:textId="77777777">
        <w:trPr>
          <w:jc w:val="center"/>
        </w:trPr>
        <w:tc>
          <w:tcPr>
            <w:tcW w:w="1040" w:type="dxa"/>
            <w:shd w:val="clear" w:color="auto" w:fill="EEEEEE"/>
            <w:vAlign w:val="center"/>
          </w:tcPr>
          <w:p w14:paraId="2D8E99C5" w14:textId="77777777" w:rsidR="004E3D92" w:rsidRDefault="006F5374">
            <w:pPr>
              <w:pStyle w:val="BodyText"/>
              <w:jc w:val="both"/>
              <w:rPr>
                <w:color w:val="000000"/>
                <w:sz w:val="26"/>
                <w:szCs w:val="26"/>
              </w:rPr>
            </w:pPr>
            <w:r>
              <w:rPr>
                <w:color w:val="000000"/>
                <w:sz w:val="26"/>
                <w:szCs w:val="26"/>
              </w:rPr>
              <w:t>RS</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52ADF4EE" w14:textId="77777777" w:rsidR="004E3D92" w:rsidRDefault="006F5374">
            <w:pPr>
              <w:pStyle w:val="BodyText"/>
              <w:jc w:val="both"/>
              <w:rPr>
                <w:color w:val="000000"/>
                <w:sz w:val="26"/>
                <w:szCs w:val="26"/>
              </w:rPr>
            </w:pPr>
            <w:r>
              <w:rPr>
                <w:color w:val="000000"/>
                <w:sz w:val="26"/>
                <w:szCs w:val="26"/>
              </w:rPr>
              <w:t>734</w:t>
            </w:r>
          </w:p>
        </w:tc>
        <w:tc>
          <w:tcPr>
            <w:tcW w:w="2878" w:type="dxa"/>
            <w:shd w:val="clear" w:color="auto" w:fill="auto"/>
            <w:vAlign w:val="center"/>
          </w:tcPr>
          <w:p w14:paraId="769A418C" w14:textId="77777777" w:rsidR="004E3D92" w:rsidRDefault="006F5374">
            <w:pPr>
              <w:pStyle w:val="BodyText"/>
              <w:jc w:val="both"/>
              <w:rPr>
                <w:color w:val="000000"/>
                <w:sz w:val="26"/>
                <w:szCs w:val="26"/>
              </w:rPr>
            </w:pPr>
            <w:r>
              <w:rPr>
                <w:color w:val="000000"/>
                <w:sz w:val="26"/>
                <w:szCs w:val="26"/>
              </w:rPr>
              <w:t>8.844</w:t>
            </w:r>
          </w:p>
        </w:tc>
      </w:tr>
      <w:tr w:rsidR="004E3D92" w14:paraId="22EC4AF8" w14:textId="77777777">
        <w:trPr>
          <w:jc w:val="center"/>
        </w:trPr>
        <w:tc>
          <w:tcPr>
            <w:tcW w:w="1040" w:type="dxa"/>
            <w:shd w:val="clear" w:color="auto" w:fill="EEEEEE"/>
            <w:vAlign w:val="center"/>
          </w:tcPr>
          <w:p w14:paraId="01C36F90" w14:textId="77777777" w:rsidR="004E3D92" w:rsidRDefault="006F5374">
            <w:pPr>
              <w:pStyle w:val="BodyText"/>
              <w:jc w:val="both"/>
              <w:rPr>
                <w:color w:val="000000"/>
                <w:sz w:val="26"/>
                <w:szCs w:val="26"/>
              </w:rPr>
            </w:pPr>
            <w:r>
              <w:rPr>
                <w:color w:val="000000"/>
                <w:sz w:val="26"/>
                <w:szCs w:val="26"/>
              </w:rPr>
              <w:t>PB</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419BA14F" w14:textId="77777777" w:rsidR="004E3D92" w:rsidRDefault="006F5374">
            <w:pPr>
              <w:pStyle w:val="BodyText"/>
              <w:jc w:val="both"/>
              <w:rPr>
                <w:color w:val="000000"/>
                <w:sz w:val="26"/>
                <w:szCs w:val="26"/>
              </w:rPr>
            </w:pPr>
            <w:r>
              <w:rPr>
                <w:color w:val="000000"/>
                <w:sz w:val="26"/>
                <w:szCs w:val="26"/>
              </w:rPr>
              <w:t>723</w:t>
            </w:r>
          </w:p>
        </w:tc>
        <w:tc>
          <w:tcPr>
            <w:tcW w:w="2878" w:type="dxa"/>
            <w:shd w:val="clear" w:color="auto" w:fill="auto"/>
            <w:vAlign w:val="center"/>
          </w:tcPr>
          <w:p w14:paraId="0A881DCF" w14:textId="77777777" w:rsidR="004E3D92" w:rsidRDefault="006F5374">
            <w:pPr>
              <w:pStyle w:val="BodyText"/>
              <w:jc w:val="both"/>
              <w:rPr>
                <w:color w:val="000000"/>
                <w:sz w:val="26"/>
                <w:szCs w:val="26"/>
              </w:rPr>
            </w:pPr>
            <w:r>
              <w:rPr>
                <w:color w:val="000000"/>
                <w:sz w:val="26"/>
                <w:szCs w:val="26"/>
              </w:rPr>
              <w:t>11.556</w:t>
            </w:r>
          </w:p>
        </w:tc>
      </w:tr>
      <w:tr w:rsidR="004E3D92" w14:paraId="2BAAD9B1" w14:textId="77777777">
        <w:trPr>
          <w:jc w:val="center"/>
        </w:trPr>
        <w:tc>
          <w:tcPr>
            <w:tcW w:w="1040" w:type="dxa"/>
            <w:shd w:val="clear" w:color="auto" w:fill="EEEEEE"/>
            <w:vAlign w:val="center"/>
          </w:tcPr>
          <w:p w14:paraId="5E04CB7B" w14:textId="77777777" w:rsidR="004E3D92" w:rsidRDefault="006F5374">
            <w:pPr>
              <w:pStyle w:val="BodyText"/>
              <w:jc w:val="both"/>
              <w:rPr>
                <w:color w:val="000000"/>
                <w:sz w:val="26"/>
                <w:szCs w:val="26"/>
              </w:rPr>
            </w:pPr>
            <w:r>
              <w:rPr>
                <w:color w:val="000000"/>
                <w:sz w:val="26"/>
                <w:szCs w:val="26"/>
              </w:rPr>
              <w:t>MG</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78FF2125" w14:textId="77777777" w:rsidR="004E3D92" w:rsidRDefault="006F5374">
            <w:pPr>
              <w:pStyle w:val="BodyText"/>
              <w:jc w:val="both"/>
              <w:rPr>
                <w:color w:val="000000"/>
                <w:sz w:val="26"/>
                <w:szCs w:val="26"/>
              </w:rPr>
            </w:pPr>
            <w:r>
              <w:rPr>
                <w:color w:val="000000"/>
                <w:sz w:val="26"/>
                <w:szCs w:val="26"/>
              </w:rPr>
              <w:t>704</w:t>
            </w:r>
          </w:p>
        </w:tc>
        <w:tc>
          <w:tcPr>
            <w:tcW w:w="2878" w:type="dxa"/>
            <w:shd w:val="clear" w:color="auto" w:fill="auto"/>
            <w:vAlign w:val="center"/>
          </w:tcPr>
          <w:p w14:paraId="6EA7851F" w14:textId="77777777" w:rsidR="004E3D92" w:rsidRDefault="006F5374">
            <w:pPr>
              <w:pStyle w:val="BodyText"/>
              <w:jc w:val="both"/>
              <w:rPr>
                <w:color w:val="000000"/>
                <w:sz w:val="26"/>
                <w:szCs w:val="26"/>
              </w:rPr>
            </w:pPr>
            <w:r>
              <w:rPr>
                <w:color w:val="000000"/>
                <w:sz w:val="26"/>
                <w:szCs w:val="26"/>
              </w:rPr>
              <w:t>3.449</w:t>
            </w:r>
          </w:p>
        </w:tc>
      </w:tr>
      <w:tr w:rsidR="004E3D92" w14:paraId="547AA95C" w14:textId="77777777">
        <w:trPr>
          <w:jc w:val="center"/>
        </w:trPr>
        <w:tc>
          <w:tcPr>
            <w:tcW w:w="1040" w:type="dxa"/>
            <w:shd w:val="clear" w:color="auto" w:fill="EEEEEE"/>
            <w:vAlign w:val="center"/>
          </w:tcPr>
          <w:p w14:paraId="546E36A3" w14:textId="77777777" w:rsidR="004E3D92" w:rsidRDefault="006F5374">
            <w:pPr>
              <w:pStyle w:val="BodyText"/>
              <w:jc w:val="both"/>
              <w:rPr>
                <w:color w:val="000000"/>
                <w:sz w:val="26"/>
                <w:szCs w:val="26"/>
              </w:rPr>
            </w:pPr>
            <w:r>
              <w:rPr>
                <w:color w:val="000000"/>
                <w:sz w:val="26"/>
                <w:szCs w:val="26"/>
              </w:rPr>
              <w:t>RN</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2332F52A" w14:textId="77777777" w:rsidR="004E3D92" w:rsidRDefault="006F5374">
            <w:pPr>
              <w:pStyle w:val="BodyText"/>
              <w:jc w:val="both"/>
              <w:rPr>
                <w:color w:val="000000"/>
                <w:sz w:val="26"/>
                <w:szCs w:val="26"/>
              </w:rPr>
            </w:pPr>
            <w:r>
              <w:rPr>
                <w:color w:val="000000"/>
                <w:sz w:val="26"/>
                <w:szCs w:val="26"/>
              </w:rPr>
              <w:t>652</w:t>
            </w:r>
          </w:p>
        </w:tc>
        <w:tc>
          <w:tcPr>
            <w:tcW w:w="2878" w:type="dxa"/>
            <w:shd w:val="clear" w:color="auto" w:fill="auto"/>
            <w:vAlign w:val="center"/>
          </w:tcPr>
          <w:p w14:paraId="74F41FF3" w14:textId="77777777" w:rsidR="004E3D92" w:rsidRDefault="006F5374">
            <w:pPr>
              <w:pStyle w:val="BodyText"/>
              <w:jc w:val="both"/>
              <w:rPr>
                <w:color w:val="000000"/>
                <w:sz w:val="26"/>
                <w:szCs w:val="26"/>
              </w:rPr>
            </w:pPr>
            <w:r>
              <w:rPr>
                <w:color w:val="000000"/>
                <w:sz w:val="26"/>
                <w:szCs w:val="26"/>
              </w:rPr>
              <w:t>841</w:t>
            </w:r>
          </w:p>
        </w:tc>
      </w:tr>
      <w:tr w:rsidR="004E3D92" w14:paraId="7C9A3348" w14:textId="77777777">
        <w:trPr>
          <w:jc w:val="center"/>
        </w:trPr>
        <w:tc>
          <w:tcPr>
            <w:tcW w:w="1040" w:type="dxa"/>
            <w:shd w:val="clear" w:color="auto" w:fill="EEEEEE"/>
            <w:vAlign w:val="center"/>
          </w:tcPr>
          <w:p w14:paraId="00C00079" w14:textId="77777777" w:rsidR="004E3D92" w:rsidRDefault="006F5374">
            <w:pPr>
              <w:pStyle w:val="BodyText"/>
              <w:jc w:val="both"/>
              <w:rPr>
                <w:color w:val="000000"/>
                <w:sz w:val="26"/>
                <w:szCs w:val="26"/>
              </w:rPr>
            </w:pPr>
            <w:r>
              <w:rPr>
                <w:color w:val="000000"/>
                <w:sz w:val="26"/>
                <w:szCs w:val="26"/>
              </w:rPr>
              <w:t>PA</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60DED176" w14:textId="77777777" w:rsidR="004E3D92" w:rsidRDefault="006F5374">
            <w:pPr>
              <w:pStyle w:val="BodyText"/>
              <w:jc w:val="both"/>
              <w:rPr>
                <w:color w:val="000000"/>
                <w:sz w:val="26"/>
                <w:szCs w:val="26"/>
              </w:rPr>
            </w:pPr>
            <w:r>
              <w:rPr>
                <w:color w:val="000000"/>
                <w:sz w:val="26"/>
                <w:szCs w:val="26"/>
              </w:rPr>
              <w:t>629</w:t>
            </w:r>
          </w:p>
        </w:tc>
        <w:tc>
          <w:tcPr>
            <w:tcW w:w="2878" w:type="dxa"/>
            <w:shd w:val="clear" w:color="auto" w:fill="auto"/>
            <w:vAlign w:val="center"/>
          </w:tcPr>
          <w:p w14:paraId="5F167BDA" w14:textId="77777777" w:rsidR="004E3D92" w:rsidRDefault="006F5374">
            <w:pPr>
              <w:pStyle w:val="BodyText"/>
              <w:jc w:val="both"/>
              <w:rPr>
                <w:color w:val="000000"/>
                <w:sz w:val="26"/>
                <w:szCs w:val="26"/>
              </w:rPr>
            </w:pPr>
            <w:r>
              <w:rPr>
                <w:color w:val="000000"/>
                <w:sz w:val="26"/>
                <w:szCs w:val="26"/>
              </w:rPr>
              <w:t>5.784</w:t>
            </w:r>
          </w:p>
        </w:tc>
      </w:tr>
      <w:tr w:rsidR="004E3D92" w14:paraId="007FFF5C" w14:textId="77777777">
        <w:trPr>
          <w:jc w:val="center"/>
        </w:trPr>
        <w:tc>
          <w:tcPr>
            <w:tcW w:w="1040" w:type="dxa"/>
            <w:shd w:val="clear" w:color="auto" w:fill="EEEEEE"/>
            <w:vAlign w:val="center"/>
          </w:tcPr>
          <w:p w14:paraId="42AE503C" w14:textId="77777777" w:rsidR="004E3D92" w:rsidRDefault="006F5374">
            <w:pPr>
              <w:pStyle w:val="BodyText"/>
              <w:jc w:val="both"/>
              <w:rPr>
                <w:color w:val="000000"/>
                <w:sz w:val="26"/>
                <w:szCs w:val="26"/>
              </w:rPr>
            </w:pPr>
            <w:r>
              <w:rPr>
                <w:color w:val="000000"/>
                <w:sz w:val="26"/>
                <w:szCs w:val="26"/>
              </w:rPr>
              <w:t>RR</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3448EA09" w14:textId="77777777" w:rsidR="004E3D92" w:rsidRDefault="006F5374">
            <w:pPr>
              <w:pStyle w:val="BodyText"/>
              <w:jc w:val="both"/>
              <w:rPr>
                <w:color w:val="000000"/>
                <w:sz w:val="26"/>
                <w:szCs w:val="26"/>
              </w:rPr>
            </w:pPr>
            <w:r>
              <w:rPr>
                <w:color w:val="000000"/>
                <w:sz w:val="26"/>
                <w:szCs w:val="26"/>
              </w:rPr>
              <w:t>603</w:t>
            </w:r>
          </w:p>
        </w:tc>
        <w:tc>
          <w:tcPr>
            <w:tcW w:w="2878" w:type="dxa"/>
            <w:shd w:val="clear" w:color="auto" w:fill="auto"/>
            <w:vAlign w:val="center"/>
          </w:tcPr>
          <w:p w14:paraId="6C4725BF" w14:textId="77777777" w:rsidR="004E3D92" w:rsidRDefault="006F5374">
            <w:pPr>
              <w:pStyle w:val="BodyText"/>
              <w:jc w:val="both"/>
              <w:rPr>
                <w:color w:val="000000"/>
                <w:sz w:val="26"/>
                <w:szCs w:val="26"/>
              </w:rPr>
            </w:pPr>
            <w:r>
              <w:rPr>
                <w:color w:val="000000"/>
                <w:sz w:val="26"/>
                <w:szCs w:val="26"/>
              </w:rPr>
              <w:t>200</w:t>
            </w:r>
          </w:p>
        </w:tc>
      </w:tr>
      <w:tr w:rsidR="004E3D92" w14:paraId="26713886" w14:textId="77777777">
        <w:trPr>
          <w:jc w:val="center"/>
        </w:trPr>
        <w:tc>
          <w:tcPr>
            <w:tcW w:w="1040" w:type="dxa"/>
            <w:shd w:val="clear" w:color="auto" w:fill="EEEEEE"/>
            <w:vAlign w:val="center"/>
          </w:tcPr>
          <w:p w14:paraId="49742059" w14:textId="77777777" w:rsidR="004E3D92" w:rsidRDefault="006F5374">
            <w:pPr>
              <w:pStyle w:val="BodyText"/>
              <w:jc w:val="both"/>
              <w:rPr>
                <w:color w:val="000000"/>
                <w:sz w:val="26"/>
                <w:szCs w:val="26"/>
              </w:rPr>
            </w:pPr>
            <w:r>
              <w:rPr>
                <w:color w:val="000000"/>
                <w:sz w:val="26"/>
                <w:szCs w:val="26"/>
              </w:rPr>
              <w:t>TO</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0709CB75" w14:textId="77777777" w:rsidR="004E3D92" w:rsidRDefault="006F5374">
            <w:pPr>
              <w:pStyle w:val="BodyText"/>
              <w:jc w:val="both"/>
              <w:rPr>
                <w:color w:val="000000"/>
                <w:sz w:val="26"/>
                <w:szCs w:val="26"/>
              </w:rPr>
            </w:pPr>
            <w:r>
              <w:rPr>
                <w:color w:val="000000"/>
                <w:sz w:val="26"/>
                <w:szCs w:val="26"/>
              </w:rPr>
              <w:t>505</w:t>
            </w:r>
          </w:p>
        </w:tc>
        <w:tc>
          <w:tcPr>
            <w:tcW w:w="2878" w:type="dxa"/>
            <w:shd w:val="clear" w:color="auto" w:fill="auto"/>
            <w:vAlign w:val="center"/>
          </w:tcPr>
          <w:p w14:paraId="1DCEED45" w14:textId="77777777" w:rsidR="004E3D92" w:rsidRDefault="006F5374">
            <w:pPr>
              <w:pStyle w:val="BodyText"/>
              <w:jc w:val="both"/>
              <w:rPr>
                <w:color w:val="000000"/>
                <w:sz w:val="26"/>
                <w:szCs w:val="26"/>
              </w:rPr>
            </w:pPr>
            <w:r>
              <w:rPr>
                <w:color w:val="000000"/>
                <w:sz w:val="26"/>
                <w:szCs w:val="26"/>
              </w:rPr>
              <w:t>180</w:t>
            </w:r>
          </w:p>
        </w:tc>
      </w:tr>
      <w:tr w:rsidR="004E3D92" w14:paraId="06CACF80" w14:textId="77777777">
        <w:trPr>
          <w:jc w:val="center"/>
        </w:trPr>
        <w:tc>
          <w:tcPr>
            <w:tcW w:w="1040" w:type="dxa"/>
            <w:shd w:val="clear" w:color="auto" w:fill="EEEEEE"/>
            <w:vAlign w:val="center"/>
          </w:tcPr>
          <w:p w14:paraId="609238F4" w14:textId="77777777" w:rsidR="004E3D92" w:rsidRDefault="006F5374">
            <w:pPr>
              <w:pStyle w:val="BodyText"/>
              <w:jc w:val="both"/>
              <w:rPr>
                <w:color w:val="000000"/>
                <w:sz w:val="26"/>
                <w:szCs w:val="26"/>
              </w:rPr>
            </w:pPr>
            <w:r>
              <w:rPr>
                <w:color w:val="000000"/>
                <w:sz w:val="26"/>
                <w:szCs w:val="26"/>
              </w:rPr>
              <w:t>AC</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649FE565" w14:textId="77777777" w:rsidR="004E3D92" w:rsidRDefault="006F5374">
            <w:pPr>
              <w:pStyle w:val="BodyText"/>
              <w:jc w:val="both"/>
              <w:rPr>
                <w:color w:val="000000"/>
                <w:sz w:val="26"/>
                <w:szCs w:val="26"/>
              </w:rPr>
            </w:pPr>
            <w:r>
              <w:rPr>
                <w:color w:val="000000"/>
                <w:sz w:val="26"/>
                <w:szCs w:val="26"/>
              </w:rPr>
              <w:t>482</w:t>
            </w:r>
          </w:p>
        </w:tc>
        <w:tc>
          <w:tcPr>
            <w:tcW w:w="2878" w:type="dxa"/>
            <w:shd w:val="clear" w:color="auto" w:fill="auto"/>
            <w:vAlign w:val="center"/>
          </w:tcPr>
          <w:p w14:paraId="65303E16" w14:textId="77777777" w:rsidR="004E3D92" w:rsidRDefault="006F5374">
            <w:pPr>
              <w:pStyle w:val="BodyText"/>
              <w:jc w:val="both"/>
              <w:rPr>
                <w:color w:val="000000"/>
                <w:sz w:val="26"/>
                <w:szCs w:val="26"/>
              </w:rPr>
            </w:pPr>
            <w:r>
              <w:rPr>
                <w:color w:val="000000"/>
                <w:sz w:val="26"/>
                <w:szCs w:val="26"/>
              </w:rPr>
              <w:t>209</w:t>
            </w:r>
          </w:p>
        </w:tc>
      </w:tr>
      <w:tr w:rsidR="004E3D92" w14:paraId="671DBE3B" w14:textId="77777777">
        <w:trPr>
          <w:jc w:val="center"/>
        </w:trPr>
        <w:tc>
          <w:tcPr>
            <w:tcW w:w="1040" w:type="dxa"/>
            <w:shd w:val="clear" w:color="auto" w:fill="EEEEEE"/>
            <w:vAlign w:val="center"/>
          </w:tcPr>
          <w:p w14:paraId="2D871E7E" w14:textId="77777777" w:rsidR="004E3D92" w:rsidRDefault="006F5374">
            <w:pPr>
              <w:pStyle w:val="BodyText"/>
              <w:jc w:val="both"/>
              <w:rPr>
                <w:color w:val="000000"/>
                <w:sz w:val="26"/>
                <w:szCs w:val="26"/>
              </w:rPr>
            </w:pPr>
            <w:r>
              <w:rPr>
                <w:color w:val="000000"/>
                <w:sz w:val="26"/>
                <w:szCs w:val="26"/>
              </w:rPr>
              <w:t>MS</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33A99C12" w14:textId="77777777" w:rsidR="004E3D92" w:rsidRDefault="006F5374">
            <w:pPr>
              <w:pStyle w:val="BodyText"/>
              <w:jc w:val="both"/>
              <w:rPr>
                <w:color w:val="000000"/>
                <w:sz w:val="26"/>
                <w:szCs w:val="26"/>
              </w:rPr>
            </w:pPr>
            <w:r>
              <w:rPr>
                <w:color w:val="000000"/>
                <w:sz w:val="26"/>
                <w:szCs w:val="26"/>
              </w:rPr>
              <w:t>310</w:t>
            </w:r>
          </w:p>
        </w:tc>
        <w:tc>
          <w:tcPr>
            <w:tcW w:w="2878" w:type="dxa"/>
            <w:shd w:val="clear" w:color="auto" w:fill="auto"/>
            <w:vAlign w:val="center"/>
          </w:tcPr>
          <w:p w14:paraId="0CD51F48" w14:textId="77777777" w:rsidR="004E3D92" w:rsidRDefault="006F5374">
            <w:pPr>
              <w:pStyle w:val="BodyText"/>
              <w:jc w:val="both"/>
              <w:rPr>
                <w:color w:val="000000"/>
                <w:sz w:val="26"/>
                <w:szCs w:val="26"/>
              </w:rPr>
            </w:pPr>
            <w:r>
              <w:rPr>
                <w:color w:val="000000"/>
                <w:sz w:val="26"/>
                <w:szCs w:val="26"/>
              </w:rPr>
              <w:t>2.840</w:t>
            </w:r>
          </w:p>
        </w:tc>
      </w:tr>
      <w:tr w:rsidR="004E3D92" w14:paraId="0947B506" w14:textId="77777777">
        <w:trPr>
          <w:jc w:val="center"/>
        </w:trPr>
        <w:tc>
          <w:tcPr>
            <w:tcW w:w="1040" w:type="dxa"/>
            <w:shd w:val="clear" w:color="auto" w:fill="EEEEEE"/>
            <w:vAlign w:val="center"/>
          </w:tcPr>
          <w:p w14:paraId="7B17DCA9" w14:textId="77777777" w:rsidR="004E3D92" w:rsidRDefault="006F5374">
            <w:pPr>
              <w:pStyle w:val="BodyText"/>
              <w:jc w:val="both"/>
              <w:rPr>
                <w:color w:val="000000"/>
                <w:sz w:val="26"/>
                <w:szCs w:val="26"/>
              </w:rPr>
            </w:pPr>
            <w:r>
              <w:rPr>
                <w:color w:val="000000"/>
                <w:sz w:val="26"/>
                <w:szCs w:val="26"/>
              </w:rPr>
              <w:t>AL</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5D792991" w14:textId="77777777" w:rsidR="004E3D92" w:rsidRDefault="006F5374">
            <w:pPr>
              <w:pStyle w:val="BodyText"/>
              <w:jc w:val="both"/>
              <w:rPr>
                <w:color w:val="000000"/>
                <w:sz w:val="26"/>
                <w:szCs w:val="26"/>
              </w:rPr>
            </w:pPr>
            <w:r>
              <w:rPr>
                <w:color w:val="000000"/>
                <w:sz w:val="26"/>
                <w:szCs w:val="26"/>
              </w:rPr>
              <w:t>308</w:t>
            </w:r>
          </w:p>
        </w:tc>
        <w:tc>
          <w:tcPr>
            <w:tcW w:w="2878" w:type="dxa"/>
            <w:shd w:val="clear" w:color="auto" w:fill="auto"/>
            <w:vAlign w:val="center"/>
          </w:tcPr>
          <w:p w14:paraId="0C3C885B" w14:textId="77777777" w:rsidR="004E3D92" w:rsidRDefault="006F5374">
            <w:pPr>
              <w:pStyle w:val="BodyText"/>
              <w:jc w:val="both"/>
              <w:rPr>
                <w:color w:val="000000"/>
                <w:sz w:val="26"/>
                <w:szCs w:val="26"/>
              </w:rPr>
            </w:pPr>
            <w:r>
              <w:rPr>
                <w:color w:val="000000"/>
                <w:sz w:val="26"/>
                <w:szCs w:val="26"/>
              </w:rPr>
              <w:t>770</w:t>
            </w:r>
          </w:p>
        </w:tc>
      </w:tr>
      <w:tr w:rsidR="004E3D92" w14:paraId="356523AF" w14:textId="77777777">
        <w:trPr>
          <w:jc w:val="center"/>
        </w:trPr>
        <w:tc>
          <w:tcPr>
            <w:tcW w:w="1040" w:type="dxa"/>
            <w:shd w:val="clear" w:color="auto" w:fill="EEEEEE"/>
            <w:vAlign w:val="center"/>
          </w:tcPr>
          <w:p w14:paraId="1EF84FDE" w14:textId="77777777" w:rsidR="004E3D92" w:rsidRDefault="006F5374">
            <w:pPr>
              <w:pStyle w:val="BodyText"/>
              <w:jc w:val="both"/>
              <w:rPr>
                <w:color w:val="000000"/>
                <w:sz w:val="26"/>
                <w:szCs w:val="26"/>
              </w:rPr>
            </w:pPr>
            <w:r>
              <w:rPr>
                <w:color w:val="000000"/>
                <w:sz w:val="26"/>
                <w:szCs w:val="26"/>
              </w:rPr>
              <w:t>AP</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371CC354" w14:textId="77777777" w:rsidR="004E3D92" w:rsidRDefault="006F5374">
            <w:pPr>
              <w:pStyle w:val="BodyText"/>
              <w:jc w:val="both"/>
              <w:rPr>
                <w:color w:val="000000"/>
                <w:sz w:val="26"/>
                <w:szCs w:val="26"/>
              </w:rPr>
            </w:pPr>
            <w:r>
              <w:rPr>
                <w:color w:val="000000"/>
                <w:sz w:val="26"/>
                <w:szCs w:val="26"/>
              </w:rPr>
              <w:t>230</w:t>
            </w:r>
          </w:p>
        </w:tc>
        <w:tc>
          <w:tcPr>
            <w:tcW w:w="2878" w:type="dxa"/>
            <w:shd w:val="clear" w:color="auto" w:fill="auto"/>
            <w:vAlign w:val="center"/>
          </w:tcPr>
          <w:p w14:paraId="657E3286" w14:textId="77777777" w:rsidR="004E3D92" w:rsidRDefault="006F5374">
            <w:pPr>
              <w:pStyle w:val="BodyText"/>
              <w:jc w:val="both"/>
              <w:rPr>
                <w:color w:val="000000"/>
                <w:sz w:val="26"/>
                <w:szCs w:val="26"/>
              </w:rPr>
            </w:pPr>
            <w:r>
              <w:rPr>
                <w:color w:val="000000"/>
                <w:sz w:val="26"/>
                <w:szCs w:val="26"/>
              </w:rPr>
              <w:t>3.550</w:t>
            </w:r>
          </w:p>
        </w:tc>
      </w:tr>
      <w:tr w:rsidR="004E3D92" w14:paraId="0B783057" w14:textId="77777777">
        <w:trPr>
          <w:jc w:val="center"/>
        </w:trPr>
        <w:tc>
          <w:tcPr>
            <w:tcW w:w="1040" w:type="dxa"/>
            <w:shd w:val="clear" w:color="auto" w:fill="EEEEEE"/>
            <w:vAlign w:val="center"/>
          </w:tcPr>
          <w:p w14:paraId="0416C4B9" w14:textId="77777777" w:rsidR="004E3D92" w:rsidRDefault="006F5374">
            <w:pPr>
              <w:pStyle w:val="BodyText"/>
              <w:jc w:val="both"/>
              <w:rPr>
                <w:color w:val="000000"/>
                <w:sz w:val="26"/>
                <w:szCs w:val="26"/>
              </w:rPr>
            </w:pPr>
            <w:r>
              <w:rPr>
                <w:color w:val="000000"/>
                <w:sz w:val="26"/>
                <w:szCs w:val="26"/>
              </w:rPr>
              <w:t>SC</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7885A001" w14:textId="77777777" w:rsidR="004E3D92" w:rsidRDefault="006F5374">
            <w:pPr>
              <w:pStyle w:val="BodyText"/>
              <w:jc w:val="both"/>
              <w:rPr>
                <w:color w:val="000000"/>
                <w:sz w:val="26"/>
                <w:szCs w:val="26"/>
              </w:rPr>
            </w:pPr>
            <w:r>
              <w:rPr>
                <w:color w:val="000000"/>
                <w:sz w:val="26"/>
                <w:szCs w:val="26"/>
              </w:rPr>
              <w:t>201</w:t>
            </w:r>
          </w:p>
        </w:tc>
        <w:tc>
          <w:tcPr>
            <w:tcW w:w="2878" w:type="dxa"/>
            <w:shd w:val="clear" w:color="auto" w:fill="auto"/>
            <w:vAlign w:val="center"/>
          </w:tcPr>
          <w:p w14:paraId="39584C69" w14:textId="77777777" w:rsidR="004E3D92" w:rsidRDefault="006F5374">
            <w:pPr>
              <w:pStyle w:val="BodyText"/>
              <w:jc w:val="both"/>
              <w:rPr>
                <w:color w:val="000000"/>
                <w:sz w:val="26"/>
                <w:szCs w:val="26"/>
              </w:rPr>
            </w:pPr>
            <w:r>
              <w:rPr>
                <w:color w:val="000000"/>
                <w:sz w:val="26"/>
                <w:szCs w:val="26"/>
              </w:rPr>
              <w:t>1.269</w:t>
            </w:r>
          </w:p>
        </w:tc>
      </w:tr>
      <w:tr w:rsidR="004E3D92" w14:paraId="253EFF51" w14:textId="77777777">
        <w:trPr>
          <w:jc w:val="center"/>
        </w:trPr>
        <w:tc>
          <w:tcPr>
            <w:tcW w:w="1040" w:type="dxa"/>
            <w:shd w:val="clear" w:color="auto" w:fill="EEEEEE"/>
            <w:vAlign w:val="center"/>
          </w:tcPr>
          <w:p w14:paraId="1CE32511" w14:textId="77777777" w:rsidR="004E3D92" w:rsidRDefault="006F5374">
            <w:pPr>
              <w:pStyle w:val="BodyText"/>
              <w:jc w:val="both"/>
              <w:rPr>
                <w:color w:val="000000"/>
                <w:sz w:val="26"/>
                <w:szCs w:val="26"/>
              </w:rPr>
            </w:pPr>
            <w:r>
              <w:rPr>
                <w:color w:val="000000"/>
                <w:sz w:val="26"/>
                <w:szCs w:val="26"/>
              </w:rPr>
              <w:t>PI</w:t>
            </w:r>
          </w:p>
        </w:tc>
        <w:tc>
          <w:tcPr>
            <w:tcW w:w="2848" w:type="dxa"/>
            <w:tcBorders>
              <w:top w:val="single" w:sz="2" w:space="0" w:color="EEEEEE"/>
              <w:left w:val="single" w:sz="2" w:space="0" w:color="EEEEEE"/>
              <w:bottom w:val="single" w:sz="2" w:space="0" w:color="EEEEEE"/>
              <w:right w:val="single" w:sz="2" w:space="0" w:color="EEEEEE"/>
            </w:tcBorders>
            <w:shd w:val="clear" w:color="auto" w:fill="auto"/>
            <w:tcMar>
              <w:top w:w="28" w:type="dxa"/>
              <w:left w:w="27" w:type="dxa"/>
              <w:bottom w:w="28" w:type="dxa"/>
              <w:right w:w="28" w:type="dxa"/>
            </w:tcMar>
            <w:vAlign w:val="center"/>
          </w:tcPr>
          <w:p w14:paraId="5111BE23" w14:textId="77777777" w:rsidR="004E3D92" w:rsidRDefault="006F5374">
            <w:pPr>
              <w:pStyle w:val="BodyText"/>
              <w:jc w:val="both"/>
              <w:rPr>
                <w:color w:val="000000"/>
                <w:sz w:val="26"/>
                <w:szCs w:val="26"/>
              </w:rPr>
            </w:pPr>
            <w:r>
              <w:rPr>
                <w:color w:val="000000"/>
                <w:sz w:val="26"/>
                <w:szCs w:val="26"/>
              </w:rPr>
              <w:t>150</w:t>
            </w:r>
          </w:p>
        </w:tc>
        <w:tc>
          <w:tcPr>
            <w:tcW w:w="2878" w:type="dxa"/>
            <w:shd w:val="clear" w:color="auto" w:fill="auto"/>
            <w:vAlign w:val="center"/>
          </w:tcPr>
          <w:p w14:paraId="30B83110" w14:textId="77777777" w:rsidR="004E3D92" w:rsidRDefault="006F5374">
            <w:pPr>
              <w:pStyle w:val="BodyText"/>
              <w:jc w:val="both"/>
              <w:rPr>
                <w:color w:val="000000"/>
                <w:sz w:val="26"/>
                <w:szCs w:val="26"/>
              </w:rPr>
            </w:pPr>
            <w:r>
              <w:rPr>
                <w:color w:val="000000"/>
                <w:sz w:val="26"/>
                <w:szCs w:val="26"/>
              </w:rPr>
              <w:t>3.845</w:t>
            </w:r>
          </w:p>
        </w:tc>
      </w:tr>
      <w:tr w:rsidR="004E3D92" w14:paraId="5B71F43A" w14:textId="77777777">
        <w:trPr>
          <w:jc w:val="center"/>
        </w:trPr>
        <w:tc>
          <w:tcPr>
            <w:tcW w:w="1040" w:type="dxa"/>
            <w:shd w:val="clear" w:color="auto" w:fill="EEEEEE"/>
            <w:vAlign w:val="center"/>
          </w:tcPr>
          <w:p w14:paraId="7CD58B5B" w14:textId="77777777" w:rsidR="004E3D92" w:rsidRDefault="006F5374">
            <w:pPr>
              <w:pStyle w:val="BodyText"/>
              <w:jc w:val="both"/>
              <w:rPr>
                <w:color w:val="000000"/>
                <w:sz w:val="26"/>
                <w:szCs w:val="26"/>
              </w:rPr>
            </w:pPr>
            <w:r>
              <w:rPr>
                <w:color w:val="000000"/>
                <w:sz w:val="26"/>
                <w:szCs w:val="26"/>
              </w:rPr>
              <w:t>ES</w:t>
            </w:r>
          </w:p>
        </w:tc>
        <w:tc>
          <w:tcPr>
            <w:tcW w:w="2848" w:type="dxa"/>
            <w:shd w:val="clear" w:color="auto" w:fill="auto"/>
            <w:vAlign w:val="center"/>
          </w:tcPr>
          <w:p w14:paraId="27502675" w14:textId="77777777" w:rsidR="004E3D92" w:rsidRDefault="006F5374">
            <w:pPr>
              <w:pStyle w:val="BodyText"/>
              <w:jc w:val="both"/>
              <w:rPr>
                <w:color w:val="000000"/>
                <w:sz w:val="26"/>
                <w:szCs w:val="26"/>
              </w:rPr>
            </w:pPr>
            <w:r>
              <w:rPr>
                <w:color w:val="000000"/>
                <w:sz w:val="26"/>
                <w:szCs w:val="26"/>
              </w:rPr>
              <w:t>144</w:t>
            </w:r>
          </w:p>
        </w:tc>
        <w:tc>
          <w:tcPr>
            <w:tcW w:w="2878" w:type="dxa"/>
            <w:shd w:val="clear" w:color="auto" w:fill="auto"/>
            <w:vAlign w:val="center"/>
          </w:tcPr>
          <w:p w14:paraId="48E02ED8" w14:textId="77777777" w:rsidR="004E3D92" w:rsidRDefault="006F5374">
            <w:pPr>
              <w:pStyle w:val="BodyText"/>
              <w:jc w:val="both"/>
              <w:rPr>
                <w:color w:val="000000"/>
                <w:sz w:val="26"/>
                <w:szCs w:val="26"/>
              </w:rPr>
            </w:pPr>
            <w:r>
              <w:rPr>
                <w:color w:val="000000"/>
                <w:sz w:val="26"/>
                <w:szCs w:val="26"/>
              </w:rPr>
              <w:t>1.241</w:t>
            </w:r>
          </w:p>
        </w:tc>
      </w:tr>
    </w:tbl>
    <w:p w14:paraId="3DB33428" w14:textId="77777777" w:rsidR="004E3D92" w:rsidRDefault="006F5374">
      <w:pPr>
        <w:pStyle w:val="BodyText"/>
        <w:jc w:val="both"/>
        <w:rPr>
          <w:color w:val="000000"/>
          <w:sz w:val="26"/>
          <w:szCs w:val="26"/>
        </w:rPr>
      </w:pPr>
      <w:r>
        <w:rPr>
          <w:color w:val="000000"/>
          <w:sz w:val="26"/>
          <w:szCs w:val="26"/>
        </w:rPr>
        <w:tab/>
      </w:r>
      <w:r>
        <w:rPr>
          <w:color w:val="000000"/>
          <w:sz w:val="26"/>
          <w:szCs w:val="26"/>
        </w:rPr>
        <w:tab/>
      </w:r>
      <w:bookmarkStart w:id="12" w:name="tw-target-text10"/>
      <w:bookmarkEnd w:id="12"/>
      <w:r>
        <w:rPr>
          <w:b/>
          <w:bCs/>
          <w:color w:val="000000"/>
          <w:sz w:val="26"/>
          <w:szCs w:val="26"/>
        </w:rPr>
        <w:t xml:space="preserve">  </w:t>
      </w:r>
      <w:r>
        <w:rPr>
          <w:b/>
          <w:bCs/>
          <w:color w:val="202124"/>
          <w:sz w:val="26"/>
          <w:szCs w:val="26"/>
          <w:lang w:val="en-US"/>
        </w:rPr>
        <w:t>Source: Zero Eviction Campaign</w:t>
      </w:r>
    </w:p>
    <w:p w14:paraId="1EE4A944" w14:textId="77777777" w:rsidR="004E3D92" w:rsidRDefault="004E3D92">
      <w:pPr>
        <w:pStyle w:val="BodyText"/>
        <w:jc w:val="both"/>
      </w:pPr>
    </w:p>
    <w:p w14:paraId="453E5B29" w14:textId="77777777" w:rsidR="004E3D92" w:rsidRDefault="006F5374">
      <w:pPr>
        <w:pStyle w:val="BodyText"/>
        <w:jc w:val="both"/>
        <w:rPr>
          <w:color w:val="000000"/>
          <w:sz w:val="26"/>
          <w:szCs w:val="26"/>
        </w:rPr>
      </w:pPr>
      <w:r>
        <w:rPr>
          <w:color w:val="000000"/>
          <w:sz w:val="26"/>
          <w:szCs w:val="26"/>
        </w:rPr>
        <w:t xml:space="preserve"> </w:t>
      </w:r>
      <w:r>
        <w:rPr>
          <w:color w:val="000000"/>
          <w:sz w:val="26"/>
          <w:szCs w:val="26"/>
        </w:rPr>
        <w:tab/>
      </w:r>
      <w:r>
        <w:rPr>
          <w:color w:val="000000"/>
          <w:sz w:val="26"/>
          <w:szCs w:val="26"/>
        </w:rPr>
        <w:tab/>
      </w:r>
      <w:bookmarkStart w:id="13" w:name="tw-target-text11"/>
      <w:bookmarkEnd w:id="13"/>
      <w:r>
        <w:rPr>
          <w:color w:val="202124"/>
          <w:sz w:val="26"/>
          <w:szCs w:val="26"/>
          <w:lang w:val="en-US"/>
        </w:rPr>
        <w:t>Nationwide, 177,628 children were affected by homelessness or the risk of losing their roof. The data also mapped 174,512 elderly people, 623,256 women and 685,582 black people among the victims of conflict over land and housing, as the Zero Eviction defin</w:t>
      </w:r>
      <w:r>
        <w:rPr>
          <w:color w:val="202124"/>
          <w:sz w:val="26"/>
          <w:szCs w:val="26"/>
          <w:lang w:val="en-US"/>
        </w:rPr>
        <w:t>es the situation. Cases of total or partial removal occur mainly in the Southeast (more than 16 thousand), Northeast (more than 10 thousand), North (more than 8 thousand), Midwest (more than 5 thousand) and South (more than 4 thousand).</w:t>
      </w:r>
    </w:p>
    <w:p w14:paraId="043C1C59" w14:textId="77777777" w:rsidR="004E3D92" w:rsidRDefault="006F5374">
      <w:pPr>
        <w:pStyle w:val="BodyText"/>
        <w:jc w:val="both"/>
        <w:rPr>
          <w:color w:val="000000"/>
          <w:sz w:val="26"/>
          <w:szCs w:val="26"/>
        </w:rPr>
      </w:pPr>
      <w:r>
        <w:rPr>
          <w:color w:val="000000"/>
          <w:sz w:val="26"/>
          <w:szCs w:val="26"/>
        </w:rPr>
        <w:t xml:space="preserve"> </w:t>
      </w:r>
      <w:r>
        <w:rPr>
          <w:color w:val="000000"/>
          <w:sz w:val="26"/>
          <w:szCs w:val="26"/>
        </w:rPr>
        <w:tab/>
      </w:r>
      <w:r>
        <w:rPr>
          <w:color w:val="000000"/>
          <w:sz w:val="26"/>
          <w:szCs w:val="26"/>
        </w:rPr>
        <w:tab/>
      </w:r>
      <w:bookmarkStart w:id="14" w:name="tw-target-text12"/>
      <w:bookmarkEnd w:id="14"/>
      <w:r>
        <w:rPr>
          <w:color w:val="202124"/>
          <w:sz w:val="26"/>
          <w:szCs w:val="26"/>
          <w:lang w:val="en-US"/>
        </w:rPr>
        <w:t>In addition to f</w:t>
      </w:r>
      <w:r>
        <w:rPr>
          <w:color w:val="202124"/>
          <w:sz w:val="26"/>
          <w:szCs w:val="26"/>
          <w:lang w:val="en-US"/>
        </w:rPr>
        <w:t>amilies displaced during the period, the mapping includes families who are at risk of losing their roof. In all, 217,881 of them are under threat in 933 different registries across the country. In parallel, 56,955 families with evictions suspended during t</w:t>
      </w:r>
      <w:r>
        <w:rPr>
          <w:color w:val="202124"/>
          <w:sz w:val="26"/>
          <w:szCs w:val="26"/>
          <w:lang w:val="en-US"/>
        </w:rPr>
        <w:t>he pandemic were identified</w:t>
      </w:r>
    </w:p>
    <w:p w14:paraId="11183DC1" w14:textId="77777777" w:rsidR="004E3D92" w:rsidRDefault="006F5374">
      <w:pPr>
        <w:pStyle w:val="BodyText"/>
        <w:jc w:val="both"/>
        <w:rPr>
          <w:color w:val="000000"/>
          <w:sz w:val="26"/>
          <w:szCs w:val="26"/>
        </w:rPr>
      </w:pPr>
      <w:r>
        <w:rPr>
          <w:color w:val="000000"/>
          <w:sz w:val="26"/>
          <w:szCs w:val="26"/>
        </w:rPr>
        <w:t xml:space="preserve"> </w:t>
      </w:r>
      <w:r>
        <w:rPr>
          <w:color w:val="000000"/>
          <w:sz w:val="26"/>
          <w:szCs w:val="26"/>
        </w:rPr>
        <w:tab/>
      </w:r>
      <w:r>
        <w:rPr>
          <w:color w:val="000000"/>
          <w:sz w:val="26"/>
          <w:szCs w:val="26"/>
        </w:rPr>
        <w:tab/>
      </w:r>
      <w:bookmarkStart w:id="15" w:name="tw-target-text13"/>
      <w:bookmarkEnd w:id="15"/>
      <w:r>
        <w:rPr>
          <w:color w:val="202124"/>
          <w:sz w:val="26"/>
          <w:szCs w:val="26"/>
          <w:lang w:val="en-US"/>
        </w:rPr>
        <w:t xml:space="preserve">According to the Zero Eviction Campaign, in 2022 more than 190 thousand families lived under threat of evictions in Brazil, accounting for almost one million people, or 907,876 (nine hundred and seven thousand, eight </w:t>
      </w:r>
      <w:r>
        <w:rPr>
          <w:color w:val="202124"/>
          <w:sz w:val="26"/>
          <w:szCs w:val="26"/>
          <w:lang w:val="en-US"/>
        </w:rPr>
        <w:t>hundred and seventy-six) people affected, with more than half of this population is made up of women. In 2021, the Panorama of Land Conflicts deepened the reading of data on evictions in Brazil in 10 Brazilian states, which together added up to over 150 th</w:t>
      </w:r>
      <w:r>
        <w:rPr>
          <w:color w:val="202124"/>
          <w:sz w:val="26"/>
          <w:szCs w:val="26"/>
          <w:lang w:val="en-US"/>
        </w:rPr>
        <w:t>ousand families threatened with eviction.</w:t>
      </w:r>
    </w:p>
    <w:p w14:paraId="6A05CA29" w14:textId="77777777" w:rsidR="004E3D92" w:rsidRDefault="006F5374">
      <w:pPr>
        <w:pStyle w:val="BodyText"/>
        <w:jc w:val="both"/>
        <w:rPr>
          <w:color w:val="000000"/>
          <w:sz w:val="26"/>
          <w:szCs w:val="26"/>
        </w:rPr>
      </w:pPr>
      <w:r>
        <w:rPr>
          <w:color w:val="000000"/>
          <w:sz w:val="26"/>
          <w:szCs w:val="26"/>
        </w:rPr>
        <w:t xml:space="preserve"> </w:t>
      </w:r>
      <w:r>
        <w:rPr>
          <w:color w:val="000000"/>
          <w:sz w:val="26"/>
          <w:szCs w:val="26"/>
        </w:rPr>
        <w:tab/>
      </w:r>
      <w:r>
        <w:rPr>
          <w:color w:val="000000"/>
          <w:sz w:val="26"/>
          <w:szCs w:val="26"/>
        </w:rPr>
        <w:tab/>
        <w:t xml:space="preserve"> </w:t>
      </w:r>
      <w:bookmarkStart w:id="16" w:name="tw-target-text14"/>
      <w:bookmarkEnd w:id="16"/>
      <w:r>
        <w:rPr>
          <w:color w:val="000000"/>
          <w:sz w:val="26"/>
          <w:szCs w:val="26"/>
        </w:rPr>
        <w:t>And for the</w:t>
      </w:r>
      <w:r>
        <w:rPr>
          <w:color w:val="202124"/>
          <w:sz w:val="26"/>
          <w:szCs w:val="26"/>
          <w:lang w:val="en-US"/>
        </w:rPr>
        <w:t xml:space="preserve"> Panorama, 69.57% of families occupied the areas for housing purposes for more than 10 years and 15.21% for less than 02 years, indicating an increase in occupations in the pandemic period. In the ye</w:t>
      </w:r>
      <w:r>
        <w:rPr>
          <w:color w:val="202124"/>
          <w:sz w:val="26"/>
          <w:szCs w:val="26"/>
          <w:lang w:val="en-US"/>
        </w:rPr>
        <w:t xml:space="preserve">ar 2022, more than 35 thousand families were evicted in actions promoted mostly by the so-called owners of the areas. Eviction is a serious violation of human rights and the decision to carry it out places the right to property, an individual right, above </w:t>
      </w:r>
      <w:r>
        <w:rPr>
          <w:color w:val="202124"/>
          <w:sz w:val="26"/>
          <w:szCs w:val="26"/>
          <w:lang w:val="en-US"/>
        </w:rPr>
        <w:t>the right to housing for thousands of families.</w:t>
      </w:r>
    </w:p>
    <w:p w14:paraId="7B2977CF" w14:textId="77777777" w:rsidR="004E3D92" w:rsidRDefault="006F5374">
      <w:pPr>
        <w:pStyle w:val="BodyText"/>
        <w:jc w:val="both"/>
        <w:rPr>
          <w:sz w:val="26"/>
          <w:szCs w:val="26"/>
        </w:rPr>
      </w:pPr>
      <w:r>
        <w:rPr>
          <w:rFonts w:cs="Arial"/>
          <w:color w:val="000000"/>
          <w:sz w:val="26"/>
          <w:szCs w:val="26"/>
        </w:rPr>
        <w:t xml:space="preserve"> </w:t>
      </w:r>
      <w:r>
        <w:rPr>
          <w:rFonts w:cs="Arial"/>
          <w:color w:val="000000"/>
          <w:sz w:val="26"/>
          <w:szCs w:val="26"/>
        </w:rPr>
        <w:tab/>
      </w:r>
      <w:r>
        <w:rPr>
          <w:rFonts w:cs="Arial"/>
          <w:color w:val="000000"/>
          <w:sz w:val="26"/>
          <w:szCs w:val="26"/>
        </w:rPr>
        <w:tab/>
      </w:r>
      <w:bookmarkStart w:id="17" w:name="tw-target-text15"/>
      <w:bookmarkEnd w:id="17"/>
      <w:r>
        <w:rPr>
          <w:rFonts w:cs="Arial"/>
          <w:color w:val="000000"/>
          <w:sz w:val="26"/>
          <w:szCs w:val="26"/>
        </w:rPr>
        <w:t>The</w:t>
      </w:r>
      <w:r>
        <w:rPr>
          <w:rFonts w:cs="Arial"/>
          <w:color w:val="000000"/>
          <w:sz w:val="26"/>
          <w:szCs w:val="26"/>
          <w:lang w:val="en-US"/>
        </w:rPr>
        <w:t xml:space="preserve"> 2019 survey by the João Pinheiro Foundation, the housing deficit throughout Brazil was 5.8 million homes, of which 79% were concentrated in low-income families. The study also indicates that 87.7% of t</w:t>
      </w:r>
      <w:r>
        <w:rPr>
          <w:rFonts w:cs="Arial"/>
          <w:color w:val="000000"/>
          <w:sz w:val="26"/>
          <w:szCs w:val="26"/>
          <w:lang w:val="en-US"/>
        </w:rPr>
        <w:t>he quantitative housing deficit (shortage housing, whether due to precarious housing, family cohabitation, too many people per square meter, or high cost of rent) is located in urban areas.</w:t>
      </w:r>
    </w:p>
    <w:p w14:paraId="00E63624" w14:textId="77777777" w:rsidR="004E3D92" w:rsidRDefault="006F5374">
      <w:pPr>
        <w:pStyle w:val="Textoprformatado"/>
        <w:jc w:val="both"/>
        <w:rPr>
          <w:rFonts w:ascii="Liberation Serif" w:hAnsi="Liberation Serif"/>
          <w:color w:val="202124"/>
          <w:sz w:val="26"/>
          <w:szCs w:val="26"/>
          <w:lang w:val="en-US"/>
        </w:rPr>
      </w:pPr>
      <w:bookmarkStart w:id="18" w:name="tw-target-text16"/>
      <w:bookmarkEnd w:id="18"/>
      <w:r>
        <w:rPr>
          <w:rFonts w:ascii="Liberation Serif" w:hAnsi="Liberation Serif" w:cs="Arial"/>
          <w:color w:val="000000"/>
          <w:sz w:val="26"/>
          <w:szCs w:val="26"/>
          <w:lang w:val="en-US"/>
        </w:rPr>
        <w:t xml:space="preserve"> </w:t>
      </w:r>
      <w:r>
        <w:rPr>
          <w:rFonts w:ascii="Liberation Serif" w:hAnsi="Liberation Serif" w:cs="Arial"/>
          <w:color w:val="000000"/>
          <w:sz w:val="26"/>
          <w:szCs w:val="26"/>
          <w:lang w:val="en-US"/>
        </w:rPr>
        <w:tab/>
      </w:r>
      <w:r>
        <w:rPr>
          <w:rFonts w:ascii="Liberation Serif" w:hAnsi="Liberation Serif" w:cs="Arial"/>
          <w:color w:val="000000"/>
          <w:sz w:val="26"/>
          <w:szCs w:val="26"/>
          <w:lang w:val="en-US"/>
        </w:rPr>
        <w:tab/>
        <w:t xml:space="preserve">In addition, it demonstrates that the absolute housing deficit </w:t>
      </w:r>
      <w:r>
        <w:rPr>
          <w:rFonts w:ascii="Liberation Serif" w:hAnsi="Liberation Serif" w:cs="Arial"/>
          <w:color w:val="000000"/>
          <w:sz w:val="26"/>
          <w:szCs w:val="26"/>
          <w:lang w:val="en-US"/>
        </w:rPr>
        <w:t>in Brazil increased from 5.657 million in 2016 to 5.877 million in 2019. These homes represent 8% of the country's households. One of the highlights of the survey was the impact of the high cost of urban rents. This deficit category went from 2.814 million</w:t>
      </w:r>
      <w:r>
        <w:rPr>
          <w:rFonts w:ascii="Liberation Serif" w:hAnsi="Liberation Serif" w:cs="Arial"/>
          <w:color w:val="000000"/>
          <w:sz w:val="26"/>
          <w:szCs w:val="26"/>
          <w:lang w:val="en-US"/>
        </w:rPr>
        <w:t xml:space="preserve"> in 2016 to 3.035 million in 2019, accounting for 52% of the total indicator. Houses whose rental cost corresponds to more than 30% of family income are included in this account.</w:t>
      </w:r>
    </w:p>
    <w:p w14:paraId="1AB7B2F6" w14:textId="77777777" w:rsidR="004E3D92" w:rsidRDefault="004E3D92">
      <w:pPr>
        <w:pStyle w:val="BodyText"/>
        <w:jc w:val="both"/>
        <w:rPr>
          <w:rFonts w:cs="Arial"/>
          <w:color w:val="000000"/>
        </w:rPr>
      </w:pPr>
    </w:p>
    <w:p w14:paraId="14593D78" w14:textId="77777777" w:rsidR="004E3D92" w:rsidRDefault="006F5374">
      <w:pPr>
        <w:pStyle w:val="BodyText"/>
        <w:jc w:val="both"/>
        <w:rPr>
          <w:color w:val="000000"/>
          <w:sz w:val="26"/>
          <w:szCs w:val="26"/>
        </w:rPr>
      </w:pPr>
      <w:r>
        <w:rPr>
          <w:color w:val="000000"/>
          <w:sz w:val="26"/>
          <w:szCs w:val="26"/>
        </w:rPr>
        <w:t xml:space="preserve"> </w:t>
      </w:r>
      <w:r>
        <w:rPr>
          <w:color w:val="000000"/>
          <w:sz w:val="26"/>
          <w:szCs w:val="26"/>
        </w:rPr>
        <w:tab/>
      </w:r>
      <w:r>
        <w:rPr>
          <w:color w:val="000000"/>
          <w:sz w:val="26"/>
          <w:szCs w:val="26"/>
        </w:rPr>
        <w:tab/>
      </w:r>
      <w:bookmarkStart w:id="19" w:name="tw-target-text17"/>
      <w:bookmarkEnd w:id="19"/>
      <w:r>
        <w:rPr>
          <w:color w:val="202124"/>
          <w:sz w:val="26"/>
          <w:szCs w:val="26"/>
          <w:lang w:val="en-US"/>
        </w:rPr>
        <w:t>In the excessive burden with urban rent component, the number of women ju</w:t>
      </w:r>
      <w:r>
        <w:rPr>
          <w:color w:val="202124"/>
          <w:sz w:val="26"/>
          <w:szCs w:val="26"/>
          <w:lang w:val="en-US"/>
        </w:rPr>
        <w:t>mped from 1.588 million (56%) in 2016 to 1.887 million (62%) in 2019. In the “cohabitation” component, there was also an increase in the participation of women. The percentage went from 50% (2016) to 56% (2019). The number of residences that present some t</w:t>
      </w:r>
      <w:r>
        <w:rPr>
          <w:color w:val="202124"/>
          <w:sz w:val="26"/>
          <w:szCs w:val="26"/>
          <w:lang w:val="en-US"/>
        </w:rPr>
        <w:t>ype of inadequacy reaches more than 24.8 million. This was the first time that this data was consolidated in the João Pinheiro Foundation survey.</w:t>
      </w:r>
    </w:p>
    <w:p w14:paraId="3E97E91E" w14:textId="77777777" w:rsidR="004E3D92" w:rsidRDefault="004E3D92">
      <w:pPr>
        <w:pStyle w:val="BodyText"/>
        <w:jc w:val="both"/>
        <w:rPr>
          <w:color w:val="202124"/>
          <w:lang w:val="en-US"/>
        </w:rPr>
      </w:pPr>
    </w:p>
    <w:p w14:paraId="64D6EECA" w14:textId="77777777" w:rsidR="004E3D92" w:rsidRDefault="006F5374">
      <w:pPr>
        <w:pStyle w:val="BodyText"/>
        <w:jc w:val="both"/>
      </w:pPr>
      <w:r>
        <w:t xml:space="preserve"> </w:t>
      </w:r>
      <w:r>
        <w:tab/>
      </w:r>
      <w:r>
        <w:tab/>
        <w:t>The indicator includes characteristics of urban infrastructure, such as lack of water supply, sewage, elec</w:t>
      </w:r>
      <w:r>
        <w:t>tricity, garbage collection, as well as other inadequacies, such as lack of storage space, lack of bathrooms, inadequate coverage and floors, among others. others. The total number of inadequate households in the country corresponds to 24.894 million.</w:t>
      </w:r>
    </w:p>
    <w:p w14:paraId="24939719" w14:textId="77777777" w:rsidR="004E3D92" w:rsidRDefault="006F5374">
      <w:pPr>
        <w:pStyle w:val="BodyText"/>
        <w:jc w:val="both"/>
        <w:rPr>
          <w:color w:val="000000"/>
          <w:sz w:val="26"/>
          <w:szCs w:val="26"/>
        </w:rPr>
      </w:pPr>
      <w:r>
        <w:rPr>
          <w:color w:val="000000"/>
          <w:sz w:val="26"/>
          <w:szCs w:val="26"/>
        </w:rPr>
        <w:t xml:space="preserve"> </w:t>
      </w:r>
      <w:r>
        <w:rPr>
          <w:color w:val="000000"/>
          <w:sz w:val="26"/>
          <w:szCs w:val="26"/>
        </w:rPr>
        <w:tab/>
      </w:r>
      <w:r>
        <w:rPr>
          <w:color w:val="000000"/>
          <w:sz w:val="26"/>
          <w:szCs w:val="26"/>
        </w:rPr>
        <w:tab/>
      </w:r>
      <w:bookmarkStart w:id="20" w:name="tw-target-text19"/>
      <w:bookmarkEnd w:id="20"/>
      <w:r>
        <w:rPr>
          <w:color w:val="202124"/>
          <w:sz w:val="26"/>
          <w:szCs w:val="26"/>
          <w:lang w:val="en-US"/>
        </w:rPr>
        <w:t>T</w:t>
      </w:r>
      <w:r>
        <w:rPr>
          <w:color w:val="202124"/>
          <w:sz w:val="26"/>
          <w:szCs w:val="26"/>
          <w:lang w:val="en-US"/>
        </w:rPr>
        <w:t xml:space="preserve">he budget cuts announced yesterday by President Bolsonaro for the year 2021 continue the genocidal actions of this government. The targets were many, from health – in the midst of a pandemic that has already killed nearly 400,000 Brazilian men and women – </w:t>
      </w:r>
      <w:r>
        <w:rPr>
          <w:color w:val="202124"/>
          <w:sz w:val="26"/>
          <w:szCs w:val="26"/>
          <w:lang w:val="en-US"/>
        </w:rPr>
        <w:t>to sanitation, education, the census, environmental preservation, among many fundamental areas. In the case of housing, the measures are tragic for the low-income population</w:t>
      </w:r>
    </w:p>
    <w:p w14:paraId="4D185A25" w14:textId="77777777" w:rsidR="004E3D92" w:rsidRDefault="006F5374">
      <w:pPr>
        <w:pStyle w:val="BodyText"/>
        <w:jc w:val="both"/>
        <w:rPr>
          <w:color w:val="000000"/>
          <w:sz w:val="26"/>
          <w:szCs w:val="26"/>
        </w:rPr>
      </w:pPr>
      <w:r>
        <w:rPr>
          <w:color w:val="000000"/>
          <w:sz w:val="26"/>
          <w:szCs w:val="26"/>
        </w:rPr>
        <w:t xml:space="preserve">. </w:t>
      </w:r>
      <w:bookmarkStart w:id="21" w:name="tw-target-text20"/>
      <w:bookmarkEnd w:id="21"/>
      <w:r>
        <w:rPr>
          <w:color w:val="202124"/>
          <w:sz w:val="26"/>
          <w:szCs w:val="26"/>
          <w:lang w:val="en-US"/>
        </w:rPr>
        <w:t>Items for the production of popular housing were cut by more than 2 billion, tha</w:t>
      </w:r>
      <w:r>
        <w:rPr>
          <w:color w:val="202124"/>
          <w:sz w:val="26"/>
          <w:szCs w:val="26"/>
          <w:lang w:val="en-US"/>
        </w:rPr>
        <w:t>t is 81% of the approved resources. This means that no work will start, no work at a standstill will be resumed and work on more than 200,000 homes in progress may be paralyzed from May onwards.</w:t>
      </w:r>
    </w:p>
    <w:p w14:paraId="3A4722E5" w14:textId="77777777" w:rsidR="004E3D92" w:rsidRDefault="004E3D92">
      <w:pPr>
        <w:pStyle w:val="BodyText"/>
        <w:jc w:val="both"/>
        <w:rPr>
          <w:color w:val="000000"/>
          <w:sz w:val="26"/>
          <w:szCs w:val="26"/>
        </w:rPr>
      </w:pPr>
    </w:p>
    <w:p w14:paraId="561282C8" w14:textId="77777777" w:rsidR="004E3D92" w:rsidRDefault="006F5374">
      <w:pPr>
        <w:pStyle w:val="BodyText"/>
        <w:jc w:val="both"/>
        <w:rPr>
          <w:sz w:val="26"/>
          <w:szCs w:val="26"/>
        </w:rPr>
      </w:pPr>
      <w:r>
        <w:rPr>
          <w:color w:val="000000"/>
          <w:sz w:val="26"/>
          <w:szCs w:val="26"/>
        </w:rPr>
        <w:t xml:space="preserve"> </w:t>
      </w:r>
      <w:r>
        <w:rPr>
          <w:color w:val="000000"/>
          <w:sz w:val="26"/>
          <w:szCs w:val="26"/>
        </w:rPr>
        <w:tab/>
      </w:r>
      <w:r>
        <w:rPr>
          <w:color w:val="000000"/>
          <w:sz w:val="26"/>
          <w:szCs w:val="26"/>
        </w:rPr>
        <w:tab/>
      </w:r>
      <w:bookmarkStart w:id="22" w:name="tw-target-text21"/>
      <w:bookmarkEnd w:id="22"/>
      <w:r>
        <w:rPr>
          <w:color w:val="000000"/>
          <w:sz w:val="26"/>
          <w:szCs w:val="26"/>
          <w:lang w:val="en-US"/>
        </w:rPr>
        <w:t>On the point related to land regularization and tenure se</w:t>
      </w:r>
      <w:r>
        <w:rPr>
          <w:color w:val="000000"/>
          <w:sz w:val="26"/>
          <w:szCs w:val="26"/>
          <w:lang w:val="en-US"/>
        </w:rPr>
        <w:t>curity, the normative bases have been Law n.º 13,465, of July 11, 2017 – the REURB Law and Law n. that establishes the Casa Verde e Amarela Program, the latter being the one that guides the way of operating the actions and their sources of financing. It is</w:t>
      </w:r>
      <w:r>
        <w:rPr>
          <w:color w:val="000000"/>
          <w:sz w:val="26"/>
          <w:szCs w:val="26"/>
          <w:lang w:val="en-US"/>
        </w:rPr>
        <w:t xml:space="preserve"> known that Law 13,465/2017 works with the logic of the financialization of land and has as one of its purposes to regularize public lands and forests in the Amazon invaded by agribusiness.</w:t>
      </w:r>
    </w:p>
    <w:p w14:paraId="1F301976" w14:textId="77777777" w:rsidR="004E3D92" w:rsidRDefault="006F5374">
      <w:pPr>
        <w:pStyle w:val="Textoprformatado"/>
        <w:jc w:val="both"/>
        <w:rPr>
          <w:rFonts w:ascii="Liberation Serif" w:hAnsi="Liberation Serif"/>
          <w:color w:val="202124"/>
          <w:sz w:val="26"/>
          <w:szCs w:val="26"/>
          <w:lang w:val="en-US"/>
        </w:rPr>
      </w:pPr>
      <w:bookmarkStart w:id="23" w:name="tw-target-text22"/>
      <w:bookmarkEnd w:id="23"/>
      <w:r>
        <w:rPr>
          <w:rFonts w:ascii="Liberation Serif" w:hAnsi="Liberation Serif"/>
          <w:color w:val="000000"/>
          <w:sz w:val="26"/>
          <w:szCs w:val="26"/>
          <w:lang w:val="en-US"/>
        </w:rPr>
        <w:t xml:space="preserve"> </w:t>
      </w:r>
      <w:r>
        <w:rPr>
          <w:rFonts w:ascii="Liberation Serif" w:hAnsi="Liberation Serif"/>
          <w:color w:val="000000"/>
          <w:sz w:val="26"/>
          <w:szCs w:val="26"/>
          <w:lang w:val="en-US"/>
        </w:rPr>
        <w:tab/>
      </w:r>
      <w:r>
        <w:rPr>
          <w:rFonts w:ascii="Liberation Serif" w:hAnsi="Liberation Serif"/>
          <w:color w:val="000000"/>
          <w:sz w:val="26"/>
          <w:szCs w:val="26"/>
          <w:lang w:val="en-US"/>
        </w:rPr>
        <w:tab/>
        <w:t>Although other relevant norms for land regularization are still</w:t>
      </w:r>
      <w:r>
        <w:rPr>
          <w:rFonts w:ascii="Liberation Serif" w:hAnsi="Liberation Serif"/>
          <w:color w:val="000000"/>
          <w:sz w:val="26"/>
          <w:szCs w:val="26"/>
          <w:lang w:val="en-US"/>
        </w:rPr>
        <w:t xml:space="preserve"> in force, such as the City Statute (Federal Law 10,527, of July 10, 2001), in 2022 the PEC 80, filed in 2019, intends to annul the social function of urban property , continued to be processed, as well as PL 8262 filed in 2017, which provides for the remo</w:t>
      </w:r>
      <w:r>
        <w:rPr>
          <w:rFonts w:ascii="Liberation Serif" w:hAnsi="Liberation Serif"/>
          <w:color w:val="000000"/>
          <w:sz w:val="26"/>
          <w:szCs w:val="26"/>
          <w:lang w:val="en-US"/>
        </w:rPr>
        <w:t>val of invaders from private property, with the help of the police and without a court order.</w:t>
      </w:r>
    </w:p>
    <w:p w14:paraId="134D7F70" w14:textId="77777777" w:rsidR="004E3D92" w:rsidRDefault="004E3D92">
      <w:pPr>
        <w:pStyle w:val="BodyText"/>
        <w:jc w:val="both"/>
        <w:rPr>
          <w:color w:val="000000"/>
        </w:rPr>
      </w:pPr>
    </w:p>
    <w:p w14:paraId="1F1EAEAD" w14:textId="77777777" w:rsidR="004E3D92" w:rsidRDefault="006F5374">
      <w:pPr>
        <w:pStyle w:val="BodyText"/>
        <w:jc w:val="both"/>
        <w:rPr>
          <w:color w:val="000000"/>
          <w:sz w:val="26"/>
          <w:szCs w:val="26"/>
        </w:rPr>
      </w:pPr>
      <w:r>
        <w:rPr>
          <w:color w:val="000000"/>
          <w:sz w:val="26"/>
          <w:szCs w:val="26"/>
        </w:rPr>
        <w:t xml:space="preserve"> </w:t>
      </w:r>
      <w:r>
        <w:rPr>
          <w:color w:val="000000"/>
          <w:sz w:val="26"/>
          <w:szCs w:val="26"/>
        </w:rPr>
        <w:tab/>
      </w:r>
      <w:r>
        <w:rPr>
          <w:color w:val="000000"/>
          <w:sz w:val="26"/>
          <w:szCs w:val="26"/>
        </w:rPr>
        <w:tab/>
      </w:r>
      <w:bookmarkStart w:id="24" w:name="tw-target-text23"/>
      <w:bookmarkEnd w:id="24"/>
      <w:r>
        <w:rPr>
          <w:color w:val="202124"/>
          <w:sz w:val="26"/>
          <w:szCs w:val="26"/>
          <w:lang w:val="en-US"/>
        </w:rPr>
        <w:t xml:space="preserve">Still on state production, given the lack of constancy and resources, the federal government was unable to cope with the production of informal and </w:t>
      </w:r>
      <w:r>
        <w:rPr>
          <w:color w:val="202124"/>
          <w:sz w:val="26"/>
          <w:szCs w:val="26"/>
          <w:lang w:val="en-US"/>
        </w:rPr>
        <w:t>inadequate housing. While housing production is conducted by impoverished populations in view of their vital need for a roof over their heads, public investments, in addition to being scarce, do not cover the most impoverished families.</w:t>
      </w:r>
    </w:p>
    <w:p w14:paraId="771FE528" w14:textId="77777777" w:rsidR="004E3D92" w:rsidRDefault="006F5374">
      <w:pPr>
        <w:pStyle w:val="Textoprformatado"/>
        <w:jc w:val="both"/>
        <w:rPr>
          <w:rFonts w:ascii="Liberation Serif" w:hAnsi="Liberation Serif"/>
          <w:color w:val="202124"/>
          <w:sz w:val="26"/>
          <w:szCs w:val="26"/>
          <w:lang w:val="en-US"/>
        </w:rPr>
      </w:pPr>
      <w:bookmarkStart w:id="25" w:name="tw-target-text24"/>
      <w:bookmarkEnd w:id="25"/>
      <w:r>
        <w:rPr>
          <w:rFonts w:ascii="Liberation Serif" w:hAnsi="Liberation Serif"/>
          <w:color w:val="202124"/>
          <w:sz w:val="26"/>
          <w:szCs w:val="26"/>
          <w:lang w:val="en-US"/>
        </w:rPr>
        <w:t xml:space="preserve"> </w:t>
      </w:r>
      <w:r>
        <w:rPr>
          <w:rFonts w:ascii="Liberation Serif" w:hAnsi="Liberation Serif"/>
          <w:color w:val="202124"/>
          <w:sz w:val="26"/>
          <w:szCs w:val="26"/>
          <w:lang w:val="en-US"/>
        </w:rPr>
        <w:tab/>
      </w:r>
      <w:r>
        <w:rPr>
          <w:rFonts w:ascii="Liberation Serif" w:hAnsi="Liberation Serif"/>
          <w:color w:val="202124"/>
          <w:sz w:val="26"/>
          <w:szCs w:val="26"/>
          <w:lang w:val="en-US"/>
        </w:rPr>
        <w:tab/>
        <w:t xml:space="preserve">In 2022, </w:t>
      </w:r>
      <w:r>
        <w:rPr>
          <w:rFonts w:ascii="Liberation Serif" w:hAnsi="Liberation Serif"/>
          <w:color w:val="202124"/>
          <w:sz w:val="26"/>
          <w:szCs w:val="26"/>
          <w:lang w:val="en-US"/>
        </w:rPr>
        <w:t>R$1.2 billion from the General Budget of the Union – OGU were allocated to Casa Verde Amarela and R$72.9 million from the FGTS – Severance Indemnity Fund, of which R$64.4 billion are onerous and R$8.5 billion for rebates. At the end of 2022, the Federal Go</w:t>
      </w:r>
      <w:r>
        <w:rPr>
          <w:rFonts w:ascii="Liberation Serif" w:hAnsi="Liberation Serif"/>
          <w:color w:val="202124"/>
          <w:sz w:val="26"/>
          <w:szCs w:val="26"/>
          <w:lang w:val="en-US"/>
        </w:rPr>
        <w:t>vernment announced a reduction to the lowest level of BRL 82 million for housing.</w:t>
      </w:r>
    </w:p>
    <w:p w14:paraId="1DA72638" w14:textId="77777777" w:rsidR="004E3D92" w:rsidRDefault="004E3D92">
      <w:pPr>
        <w:pStyle w:val="BodyText"/>
        <w:jc w:val="both"/>
        <w:rPr>
          <w:color w:val="000000"/>
          <w:sz w:val="26"/>
          <w:szCs w:val="26"/>
        </w:rPr>
      </w:pPr>
    </w:p>
    <w:p w14:paraId="30720165" w14:textId="77777777" w:rsidR="004E3D92" w:rsidRDefault="006F5374">
      <w:pPr>
        <w:pStyle w:val="BodyText"/>
        <w:jc w:val="both"/>
        <w:rPr>
          <w:color w:val="000000"/>
          <w:sz w:val="26"/>
          <w:szCs w:val="26"/>
        </w:rPr>
      </w:pPr>
      <w:r>
        <w:rPr>
          <w:color w:val="000000"/>
          <w:sz w:val="26"/>
          <w:szCs w:val="26"/>
        </w:rPr>
        <w:t xml:space="preserve"> </w:t>
      </w:r>
      <w:r>
        <w:rPr>
          <w:color w:val="000000"/>
          <w:sz w:val="26"/>
          <w:szCs w:val="26"/>
        </w:rPr>
        <w:tab/>
      </w:r>
      <w:r>
        <w:rPr>
          <w:color w:val="000000"/>
          <w:sz w:val="26"/>
          <w:szCs w:val="26"/>
        </w:rPr>
        <w:tab/>
      </w:r>
      <w:bookmarkStart w:id="26" w:name="tw-target-text25"/>
      <w:bookmarkEnd w:id="26"/>
      <w:r>
        <w:rPr>
          <w:color w:val="202124"/>
          <w:sz w:val="26"/>
          <w:szCs w:val="26"/>
          <w:lang w:val="en-US"/>
        </w:rPr>
        <w:t>Given the economic and health crisis, with its high unemployment rates and precarious work, the consequences of the dismantling of public policies associated with the fin</w:t>
      </w:r>
      <w:r>
        <w:rPr>
          <w:color w:val="202124"/>
          <w:sz w:val="26"/>
          <w:szCs w:val="26"/>
          <w:lang w:val="en-US"/>
        </w:rPr>
        <w:t>ancialization of rights promoted by the federal government, are perceived in the increase in the homeless population, in evictions, in the deficit housing in 5.9 million households and in more than 5.1 million households in subnormal agglomerations, accord</w:t>
      </w:r>
      <w:r>
        <w:rPr>
          <w:color w:val="202124"/>
          <w:sz w:val="26"/>
          <w:szCs w:val="26"/>
          <w:lang w:val="en-US"/>
        </w:rPr>
        <w:t>ing to data – lagged – from the IBGE, this point also being a major weakness inherited from the previous period.</w:t>
      </w:r>
    </w:p>
    <w:p w14:paraId="20AC4B5F" w14:textId="77777777" w:rsidR="004E3D92" w:rsidRDefault="004E3D92">
      <w:pPr>
        <w:pStyle w:val="BodyText"/>
        <w:jc w:val="both"/>
        <w:rPr>
          <w:color w:val="000000"/>
          <w:sz w:val="26"/>
          <w:szCs w:val="26"/>
        </w:rPr>
      </w:pPr>
    </w:p>
    <w:p w14:paraId="0CD44086" w14:textId="77777777" w:rsidR="004E3D92" w:rsidRDefault="006F5374">
      <w:pPr>
        <w:pStyle w:val="BodyText"/>
        <w:jc w:val="both"/>
        <w:rPr>
          <w:color w:val="000000"/>
          <w:sz w:val="26"/>
          <w:szCs w:val="26"/>
        </w:rPr>
      </w:pPr>
      <w:r>
        <w:rPr>
          <w:color w:val="000000"/>
          <w:sz w:val="26"/>
          <w:szCs w:val="26"/>
        </w:rPr>
        <w:t>SOURCES</w:t>
      </w:r>
    </w:p>
    <w:p w14:paraId="45BC1352" w14:textId="77777777" w:rsidR="004E3D92" w:rsidRDefault="006F5374">
      <w:pPr>
        <w:pStyle w:val="BodyText"/>
        <w:jc w:val="both"/>
      </w:pPr>
      <w:hyperlink r:id="rId7">
        <w:r>
          <w:rPr>
            <w:rStyle w:val="LinkdaInternet"/>
            <w:color w:val="000000"/>
            <w:sz w:val="26"/>
            <w:szCs w:val="26"/>
          </w:rPr>
          <w:t>https://unmp.org.br/2021/04/24/novo-programa-</w:t>
        </w:r>
        <w:r>
          <w:rPr>
            <w:rStyle w:val="LinkdaInternet"/>
            <w:color w:val="000000"/>
            <w:sz w:val="26"/>
            <w:szCs w:val="26"/>
          </w:rPr>
          <w:t>do-bolsonaro-moradia-zero/</w:t>
        </w:r>
      </w:hyperlink>
    </w:p>
    <w:p w14:paraId="5B3E04EF" w14:textId="77777777" w:rsidR="004E3D92" w:rsidRDefault="006F5374">
      <w:pPr>
        <w:pStyle w:val="BodyText"/>
        <w:jc w:val="both"/>
      </w:pPr>
      <w:hyperlink r:id="rId8">
        <w:r>
          <w:rPr>
            <w:rStyle w:val="LinkdaInternet"/>
            <w:color w:val="000000"/>
            <w:sz w:val="26"/>
            <w:szCs w:val="26"/>
          </w:rPr>
          <w:t>https://forumreformaurbana.org.br/2020/08/26/progr</w:t>
        </w:r>
        <w:r>
          <w:rPr>
            <w:rStyle w:val="LinkdaInternet"/>
            <w:color w:val="000000"/>
            <w:sz w:val="26"/>
            <w:szCs w:val="26"/>
          </w:rPr>
          <w:t>ama-casa-verde-e-amarela-exclui-as-familias-mais-pobres-do-acesso-a-moradia/</w:t>
        </w:r>
      </w:hyperlink>
    </w:p>
    <w:p w14:paraId="75501DFC" w14:textId="77777777" w:rsidR="004E3D92" w:rsidRDefault="006F5374">
      <w:pPr>
        <w:pStyle w:val="BodyText"/>
        <w:jc w:val="both"/>
        <w:rPr>
          <w:color w:val="000000"/>
        </w:rPr>
      </w:pPr>
      <w:hyperlink r:id="rId9">
        <w:r>
          <w:rPr>
            <w:rStyle w:val="LinkdaInternet"/>
            <w:color w:val="000000"/>
            <w:sz w:val="26"/>
            <w:szCs w:val="26"/>
          </w:rPr>
          <w:t>http://fjp.mg.gov.br/deficit-habitacional-no-brasil/</w:t>
        </w:r>
      </w:hyperlink>
    </w:p>
    <w:p w14:paraId="1D9B5299" w14:textId="77777777" w:rsidR="004E3D92" w:rsidRDefault="006F5374">
      <w:pPr>
        <w:pStyle w:val="BodyText"/>
        <w:jc w:val="both"/>
        <w:rPr>
          <w:color w:val="000000"/>
        </w:rPr>
      </w:pPr>
      <w:hyperlink r:id="rId10">
        <w:r>
          <w:rPr>
            <w:rStyle w:val="LinkdaInternet"/>
            <w:color w:val="000000"/>
            <w:sz w:val="26"/>
            <w:szCs w:val="26"/>
          </w:rPr>
          <w:t>http://campanhadespejozero.org</w:t>
        </w:r>
      </w:hyperlink>
    </w:p>
    <w:p w14:paraId="6ABC6968" w14:textId="77777777" w:rsidR="004E3D92" w:rsidRDefault="004E3D92">
      <w:pPr>
        <w:pStyle w:val="BodyText"/>
        <w:jc w:val="both"/>
        <w:rPr>
          <w:rStyle w:val="LinkdaInternet"/>
          <w:color w:val="000000"/>
          <w:sz w:val="26"/>
          <w:szCs w:val="26"/>
        </w:rPr>
      </w:pPr>
    </w:p>
    <w:sectPr w:rsidR="004E3D92">
      <w:headerReference w:type="default" r:id="rId11"/>
      <w:pgSz w:w="12240" w:h="15840"/>
      <w:pgMar w:top="1693" w:right="1134" w:bottom="1134" w:left="1134" w:header="1134"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815B0" w14:textId="77777777" w:rsidR="00000000" w:rsidRDefault="006F5374">
      <w:r>
        <w:separator/>
      </w:r>
    </w:p>
  </w:endnote>
  <w:endnote w:type="continuationSeparator" w:id="0">
    <w:p w14:paraId="422E5ABC" w14:textId="77777777" w:rsidR="00000000" w:rsidRDefault="006F5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Liberation Sans">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Mono">
    <w:altName w:val="Courier New"/>
    <w:charset w:val="01"/>
    <w:family w:val="modern"/>
    <w:pitch w:val="fixed"/>
  </w:font>
  <w:font w:name="DejaVu Sans Mono">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4B2F7" w14:textId="77777777" w:rsidR="00000000" w:rsidRDefault="006F5374">
      <w:r>
        <w:separator/>
      </w:r>
    </w:p>
  </w:footnote>
  <w:footnote w:type="continuationSeparator" w:id="0">
    <w:p w14:paraId="484D266F" w14:textId="77777777" w:rsidR="00000000" w:rsidRDefault="006F5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D765A" w14:textId="77777777" w:rsidR="004E3D92" w:rsidRDefault="006F5374">
    <w:pPr>
      <w:pStyle w:val="Header"/>
    </w:pPr>
    <w:r>
      <w:rPr>
        <w:noProof/>
      </w:rPr>
      <w:drawing>
        <wp:anchor distT="0" distB="0" distL="0" distR="0" simplePos="0" relativeHeight="2" behindDoc="0" locked="0" layoutInCell="1" allowOverlap="1" wp14:anchorId="1B50DC6C" wp14:editId="0824E784">
          <wp:simplePos x="0" y="0"/>
          <wp:positionH relativeFrom="column">
            <wp:posOffset>192405</wp:posOffset>
          </wp:positionH>
          <wp:positionV relativeFrom="paragraph">
            <wp:posOffset>-609600</wp:posOffset>
          </wp:positionV>
          <wp:extent cx="1593215" cy="944880"/>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1593215" cy="9448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34E46"/>
    <w:multiLevelType w:val="multilevel"/>
    <w:tmpl w:val="22EC0680"/>
    <w:lvl w:ilvl="0">
      <w:start w:val="1"/>
      <w:numFmt w:val="none"/>
      <w:pStyle w:val="Heading1"/>
      <w:suff w:val="nothing"/>
      <w:lvlText w:val=""/>
      <w:lvlJc w:val="left"/>
      <w:pPr>
        <w:ind w:left="0" w:firstLine="0"/>
      </w:p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260376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D92"/>
    <w:rsid w:val="004E3D92"/>
    <w:rsid w:val="006F537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C2195"/>
  <w15:docId w15:val="{ACDFC6C9-D2C5-4EEB-B8CF-D7D50A99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ans CJK SC" w:hAnsi="Liberation Serif" w:cs="Lohit Devanagari"/>
        <w:kern w:val="2"/>
        <w:sz w:val="24"/>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Ttulo"/>
    <w:next w:val="BodyText"/>
    <w:uiPriority w:val="9"/>
    <w:qFormat/>
    <w:pPr>
      <w:numPr>
        <w:numId w:val="1"/>
      </w:numPr>
      <w:outlineLvl w:val="0"/>
    </w:pPr>
    <w:rPr>
      <w:b/>
      <w:bCs/>
      <w:sz w:val="36"/>
      <w:szCs w:val="36"/>
    </w:rPr>
  </w:style>
  <w:style w:type="paragraph" w:styleId="Heading2">
    <w:name w:val="heading 2"/>
    <w:basedOn w:val="Ttulo"/>
    <w:next w:val="BodyText"/>
    <w:uiPriority w:val="9"/>
    <w:semiHidden/>
    <w:unhideWhenUsed/>
    <w:qFormat/>
    <w:pPr>
      <w:spacing w:before="200"/>
      <w:outlineLvl w:val="1"/>
    </w:pPr>
    <w:rPr>
      <w:rFonts w:ascii="Liberation Serif" w:hAnsi="Liberation Serif"/>
      <w:b/>
      <w:bCs/>
      <w:sz w:val="36"/>
      <w:szCs w:val="36"/>
    </w:rPr>
  </w:style>
  <w:style w:type="paragraph" w:styleId="Heading3">
    <w:name w:val="heading 3"/>
    <w:basedOn w:val="Ttulo"/>
    <w:next w:val="BodyText"/>
    <w:uiPriority w:val="9"/>
    <w:semiHidden/>
    <w:unhideWhenUsed/>
    <w:qFormat/>
    <w:pPr>
      <w:numPr>
        <w:ilvl w:val="2"/>
        <w:numId w:val="1"/>
      </w:numPr>
      <w:spacing w:before="140"/>
      <w:outlineLvl w:val="2"/>
    </w:pPr>
    <w:rPr>
      <w:b/>
      <w:bCs/>
    </w:rPr>
  </w:style>
  <w:style w:type="paragraph" w:styleId="Heading4">
    <w:name w:val="heading 4"/>
    <w:basedOn w:val="Ttulo"/>
    <w:next w:val="BodyText"/>
    <w:uiPriority w:val="9"/>
    <w:semiHidden/>
    <w:unhideWhenUsed/>
    <w:qFormat/>
    <w:pPr>
      <w:numPr>
        <w:ilvl w:val="3"/>
        <w:numId w:val="1"/>
      </w:numPr>
      <w:spacing w:before="120"/>
      <w:outlineLvl w:val="3"/>
    </w:pPr>
    <w:rPr>
      <w:b/>
      <w:bCs/>
      <w:i/>
      <w:i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nkdaInternet">
    <w:name w:val="Link da Internet"/>
    <w:rPr>
      <w:color w:val="0000FF"/>
      <w:u w:val="none"/>
    </w:rPr>
  </w:style>
  <w:style w:type="character" w:customStyle="1" w:styleId="ListLabel10">
    <w:name w:val="ListLabel 10"/>
    <w:qFormat/>
  </w:style>
  <w:style w:type="character" w:customStyle="1" w:styleId="ListLabel1">
    <w:name w:val="ListLabel 1"/>
    <w:qFormat/>
    <w:rPr>
      <w:rFonts w:ascii="Arial" w:eastAsia="Arial" w:hAnsi="Arial" w:cs="Arial"/>
      <w:color w:val="0563C1"/>
      <w:sz w:val="28"/>
      <w:szCs w:val="28"/>
      <w:u w:val="single"/>
    </w:rPr>
  </w:style>
  <w:style w:type="character" w:customStyle="1" w:styleId="ListLabel3">
    <w:name w:val="ListLabel 3"/>
    <w:qFormat/>
    <w:rPr>
      <w:rFonts w:ascii="Arial" w:eastAsia="Arial" w:hAnsi="Arial" w:cs="Arial"/>
      <w:color w:val="0563C1"/>
      <w:sz w:val="28"/>
      <w:szCs w:val="28"/>
      <w:u w:val="single"/>
    </w:rPr>
  </w:style>
  <w:style w:type="character" w:styleId="Strong">
    <w:name w:val="Strong"/>
    <w:basedOn w:val="DefaultParagraphFont"/>
    <w:qFormat/>
    <w:rPr>
      <w:b/>
      <w:bCs/>
    </w:rPr>
  </w:style>
  <w:style w:type="character" w:customStyle="1" w:styleId="ListLabel4">
    <w:name w:val="ListLabel 4"/>
    <w:qFormat/>
    <w:rPr>
      <w:rFonts w:ascii="Liberation Serif" w:hAnsi="Liberation Serif"/>
      <w:sz w:val="24"/>
      <w:szCs w:val="24"/>
    </w:rPr>
  </w:style>
  <w:style w:type="paragraph" w:customStyle="1" w:styleId="Ttulo">
    <w:name w:val="Título"/>
    <w:basedOn w:val="Normal"/>
    <w:next w:val="BodyText"/>
    <w:qFormat/>
    <w:pPr>
      <w:keepNext/>
      <w:spacing w:before="240" w:after="120"/>
    </w:pPr>
    <w:rPr>
      <w:rFonts w:ascii="Liberation Sans"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SingleTxtG">
    <w:name w:val="_ Single Txt_G"/>
    <w:basedOn w:val="Normal"/>
    <w:qFormat/>
    <w:pPr>
      <w:tabs>
        <w:tab w:val="left" w:pos="1701"/>
        <w:tab w:val="left" w:pos="2268"/>
        <w:tab w:val="left" w:pos="2835"/>
      </w:tabs>
      <w:spacing w:after="120"/>
      <w:ind w:left="1134" w:right="1134"/>
      <w:jc w:val="both"/>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styleId="Header">
    <w:name w:val="header"/>
    <w:basedOn w:val="Normal"/>
    <w:pPr>
      <w:suppressLineNumbers/>
      <w:tabs>
        <w:tab w:val="center" w:pos="4986"/>
        <w:tab w:val="right" w:pos="9972"/>
      </w:tabs>
    </w:pPr>
  </w:style>
  <w:style w:type="paragraph" w:styleId="NormalWeb">
    <w:name w:val="Normal (Web)"/>
    <w:basedOn w:val="Normal"/>
    <w:qFormat/>
    <w:pPr>
      <w:spacing w:beforeAutospacing="1" w:afterAutospacing="1"/>
    </w:pPr>
    <w:rPr>
      <w:rFonts w:ascii="Times New Roman" w:eastAsia="Times New Roman" w:hAnsi="Times New Roman" w:cs="Times New Roman"/>
      <w:lang w:eastAsia="pt-BR"/>
    </w:rPr>
  </w:style>
  <w:style w:type="paragraph" w:customStyle="1" w:styleId="Textoprformatado">
    <w:name w:val="Texto préformatado"/>
    <w:basedOn w:val="Normal"/>
    <w:qFormat/>
    <w:rPr>
      <w:rFonts w:ascii="Liberation Mono" w:eastAsia="DejaVu Sans Mono" w:hAnsi="Liberation Mono" w:cs="Liberation Mon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forumreformaurbana.org.br/2020/08/26/programa-casa-verde-e-amarela-exclui-as-familias-mais-pobres-do-acesso-a-morad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nmp.org.br/2021/04/24/novo-programa-do-bolsonaro-moradia-ze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campanhadespejozero.org/" TargetMode="External"/><Relationship Id="rId4" Type="http://schemas.openxmlformats.org/officeDocument/2006/relationships/webSettings" Target="webSettings.xml"/><Relationship Id="rId9" Type="http://schemas.openxmlformats.org/officeDocument/2006/relationships/hyperlink" Target="http://fjp.mg.gov.br/deficit-habitacional-no-bras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1722</Words>
  <Characters>9476</Characters>
  <Application>Microsoft Office Word</Application>
  <DocSecurity>0</DocSecurity>
  <Lines>249</Lines>
  <Paragraphs>145</Paragraphs>
  <ScaleCrop>false</ScaleCrop>
  <Company>OHCHR</Company>
  <LinksUpToDate>false</LinksUpToDate>
  <CharactersWithSpaces>11053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Reynaud</dc:creator>
  <dc:description/>
  <cp:lastModifiedBy>Celine Reynaud</cp:lastModifiedBy>
  <cp:revision>2</cp:revision>
  <dcterms:created xsi:type="dcterms:W3CDTF">2023-08-29T15:07:00Z</dcterms:created>
  <dcterms:modified xsi:type="dcterms:W3CDTF">2023-08-29T15:07:00Z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7bd6eb5ceb6dae2324ca8a106226610efa069ea1c023e8d710fe81d2e36789ed</vt:lpwstr>
  </property>
</Properties>
</file>