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3F0" w:rsidRPr="00331441" w:rsidRDefault="003D0DEA" w:rsidP="00955CA6">
      <w:pPr>
        <w:pBdr>
          <w:top w:val="single" w:sz="4" w:space="1" w:color="auto"/>
          <w:left w:val="single" w:sz="4" w:space="4" w:color="auto"/>
          <w:bottom w:val="single" w:sz="4" w:space="1" w:color="auto"/>
          <w:right w:val="single" w:sz="4" w:space="4" w:color="auto"/>
        </w:pBdr>
        <w:shd w:val="clear" w:color="auto" w:fill="D9D9D9" w:themeFill="background1" w:themeFillShade="D9"/>
        <w:spacing w:line="288" w:lineRule="auto"/>
        <w:jc w:val="center"/>
        <w:rPr>
          <w:rFonts w:ascii="Arial" w:hAnsi="Arial" w:cs="Arial"/>
          <w:b/>
          <w:sz w:val="22"/>
          <w:szCs w:val="22"/>
        </w:rPr>
      </w:pPr>
      <w:r w:rsidRPr="00331441">
        <w:rPr>
          <w:rFonts w:ascii="Arial" w:hAnsi="Arial" w:cs="Arial"/>
          <w:b/>
          <w:sz w:val="22"/>
          <w:szCs w:val="22"/>
        </w:rPr>
        <w:t>ANEXO 10</w:t>
      </w:r>
    </w:p>
    <w:p w:rsidR="004730DE" w:rsidRPr="00331441" w:rsidRDefault="00D403F0" w:rsidP="00955CA6">
      <w:pPr>
        <w:pBdr>
          <w:top w:val="single" w:sz="4" w:space="1" w:color="auto"/>
          <w:left w:val="single" w:sz="4" w:space="4" w:color="auto"/>
          <w:bottom w:val="single" w:sz="4" w:space="1" w:color="auto"/>
          <w:right w:val="single" w:sz="4" w:space="4" w:color="auto"/>
        </w:pBdr>
        <w:shd w:val="clear" w:color="auto" w:fill="D9D9D9" w:themeFill="background1" w:themeFillShade="D9"/>
        <w:spacing w:line="288" w:lineRule="auto"/>
        <w:jc w:val="center"/>
        <w:rPr>
          <w:rFonts w:ascii="Arial" w:hAnsi="Arial" w:cs="Arial"/>
          <w:b/>
          <w:sz w:val="22"/>
          <w:szCs w:val="22"/>
        </w:rPr>
      </w:pPr>
      <w:r w:rsidRPr="00331441">
        <w:rPr>
          <w:rFonts w:ascii="Arial" w:hAnsi="Arial" w:cs="Arial"/>
          <w:b/>
          <w:sz w:val="22"/>
          <w:szCs w:val="22"/>
        </w:rPr>
        <w:t>TABLA DE NORMAS OFICIALES MEXICANACANAS QUE PROTEGEN LA SALUD HUMANA DE LA CONTAMINACIÓN DEL AGUA, AIRE Y SUELO</w:t>
      </w:r>
    </w:p>
    <w:p w:rsidR="00D403F0" w:rsidRPr="00331441" w:rsidRDefault="00D403F0" w:rsidP="004730DE">
      <w:pPr>
        <w:spacing w:line="288" w:lineRule="auto"/>
        <w:jc w:val="both"/>
        <w:rPr>
          <w:rFonts w:ascii="Arial" w:hAnsi="Arial" w:cs="Arial"/>
          <w:sz w:val="22"/>
          <w:szCs w:val="22"/>
        </w:rPr>
      </w:pPr>
    </w:p>
    <w:tbl>
      <w:tblPr>
        <w:tblStyle w:val="Tablaconcuadrcula"/>
        <w:tblW w:w="9918" w:type="dxa"/>
        <w:tblLayout w:type="fixed"/>
        <w:tblLook w:val="04A0" w:firstRow="1" w:lastRow="0" w:firstColumn="1" w:lastColumn="0" w:noHBand="0" w:noVBand="1"/>
      </w:tblPr>
      <w:tblGrid>
        <w:gridCol w:w="1129"/>
        <w:gridCol w:w="3090"/>
        <w:gridCol w:w="1305"/>
        <w:gridCol w:w="4394"/>
      </w:tblGrid>
      <w:tr w:rsidR="004730DE" w:rsidRPr="00331441" w:rsidTr="00732BA8">
        <w:trPr>
          <w:tblHeader/>
        </w:trPr>
        <w:tc>
          <w:tcPr>
            <w:tcW w:w="1129" w:type="dxa"/>
            <w:shd w:val="clear" w:color="auto" w:fill="000000" w:themeFill="text1"/>
            <w:vAlign w:val="center"/>
          </w:tcPr>
          <w:p w:rsidR="004730DE" w:rsidRPr="00331441" w:rsidRDefault="004730DE" w:rsidP="00EE6D2E">
            <w:pPr>
              <w:spacing w:line="288" w:lineRule="auto"/>
              <w:jc w:val="center"/>
              <w:rPr>
                <w:rFonts w:ascii="Arial" w:hAnsi="Arial" w:cs="Arial"/>
                <w:b/>
                <w:smallCaps/>
                <w:color w:val="FFFFFF" w:themeColor="background1"/>
                <w:sz w:val="22"/>
                <w:szCs w:val="22"/>
              </w:rPr>
            </w:pPr>
            <w:r w:rsidRPr="00331441">
              <w:rPr>
                <w:rFonts w:ascii="Arial" w:hAnsi="Arial" w:cs="Arial"/>
                <w:b/>
                <w:smallCaps/>
                <w:color w:val="FFFFFF" w:themeColor="background1"/>
                <w:sz w:val="22"/>
                <w:szCs w:val="22"/>
              </w:rPr>
              <w:t>Medio</w:t>
            </w:r>
          </w:p>
        </w:tc>
        <w:tc>
          <w:tcPr>
            <w:tcW w:w="3090" w:type="dxa"/>
            <w:shd w:val="clear" w:color="auto" w:fill="000000" w:themeFill="text1"/>
            <w:vAlign w:val="center"/>
          </w:tcPr>
          <w:p w:rsidR="004730DE" w:rsidRPr="00331441" w:rsidRDefault="004730DE" w:rsidP="00EE6D2E">
            <w:pPr>
              <w:spacing w:line="288" w:lineRule="auto"/>
              <w:jc w:val="center"/>
              <w:rPr>
                <w:rFonts w:ascii="Arial" w:hAnsi="Arial" w:cs="Arial"/>
                <w:b/>
                <w:smallCaps/>
                <w:color w:val="FFFFFF" w:themeColor="background1"/>
                <w:sz w:val="22"/>
                <w:szCs w:val="22"/>
              </w:rPr>
            </w:pPr>
            <w:r w:rsidRPr="00331441">
              <w:rPr>
                <w:rFonts w:ascii="Arial" w:hAnsi="Arial" w:cs="Arial"/>
                <w:b/>
                <w:smallCaps/>
                <w:color w:val="FFFFFF" w:themeColor="background1"/>
                <w:sz w:val="22"/>
                <w:szCs w:val="22"/>
              </w:rPr>
              <w:t>Norma Oficial Mexicana</w:t>
            </w:r>
          </w:p>
        </w:tc>
        <w:tc>
          <w:tcPr>
            <w:tcW w:w="1305" w:type="dxa"/>
            <w:shd w:val="clear" w:color="auto" w:fill="000000" w:themeFill="text1"/>
            <w:vAlign w:val="center"/>
          </w:tcPr>
          <w:p w:rsidR="004730DE" w:rsidRPr="00331441" w:rsidRDefault="004730DE" w:rsidP="00EE6D2E">
            <w:pPr>
              <w:spacing w:line="288" w:lineRule="auto"/>
              <w:jc w:val="center"/>
              <w:rPr>
                <w:rFonts w:ascii="Arial" w:hAnsi="Arial" w:cs="Arial"/>
                <w:b/>
                <w:smallCaps/>
                <w:color w:val="FFFFFF" w:themeColor="background1"/>
                <w:sz w:val="22"/>
                <w:szCs w:val="22"/>
              </w:rPr>
            </w:pPr>
            <w:r w:rsidRPr="00331441">
              <w:rPr>
                <w:rFonts w:ascii="Arial" w:hAnsi="Arial" w:cs="Arial"/>
                <w:b/>
                <w:smallCaps/>
                <w:color w:val="FFFFFF" w:themeColor="background1"/>
                <w:sz w:val="22"/>
                <w:szCs w:val="22"/>
              </w:rPr>
              <w:t>Fecha de Publicación</w:t>
            </w:r>
          </w:p>
        </w:tc>
        <w:tc>
          <w:tcPr>
            <w:tcW w:w="4394" w:type="dxa"/>
            <w:shd w:val="clear" w:color="auto" w:fill="000000" w:themeFill="text1"/>
            <w:vAlign w:val="center"/>
          </w:tcPr>
          <w:p w:rsidR="004730DE" w:rsidRPr="00331441" w:rsidRDefault="004730DE" w:rsidP="00EE6D2E">
            <w:pPr>
              <w:spacing w:line="288" w:lineRule="auto"/>
              <w:jc w:val="center"/>
              <w:rPr>
                <w:rFonts w:ascii="Arial" w:hAnsi="Arial" w:cs="Arial"/>
                <w:b/>
                <w:smallCaps/>
                <w:color w:val="FFFFFF" w:themeColor="background1"/>
                <w:sz w:val="22"/>
                <w:szCs w:val="22"/>
              </w:rPr>
            </w:pPr>
            <w:r w:rsidRPr="00331441">
              <w:rPr>
                <w:rFonts w:ascii="Arial" w:hAnsi="Arial" w:cs="Arial"/>
                <w:b/>
                <w:smallCaps/>
                <w:color w:val="FFFFFF" w:themeColor="background1"/>
                <w:sz w:val="22"/>
                <w:szCs w:val="22"/>
              </w:rPr>
              <w:t>Objetivo, campo de aplicación y comentarios</w:t>
            </w:r>
          </w:p>
        </w:tc>
      </w:tr>
      <w:tr w:rsidR="004730DE" w:rsidRPr="00331441" w:rsidTr="00732BA8">
        <w:tc>
          <w:tcPr>
            <w:tcW w:w="1129" w:type="dxa"/>
            <w:vMerge w:val="restart"/>
            <w:vAlign w:val="center"/>
          </w:tcPr>
          <w:p w:rsidR="004730DE" w:rsidRPr="00331441" w:rsidRDefault="004730DE" w:rsidP="00EE6D2E">
            <w:pPr>
              <w:jc w:val="center"/>
              <w:rPr>
                <w:rFonts w:ascii="Arial" w:hAnsi="Arial" w:cs="Arial"/>
                <w:b/>
                <w:sz w:val="22"/>
                <w:szCs w:val="22"/>
              </w:rPr>
            </w:pPr>
            <w:r w:rsidRPr="00331441">
              <w:rPr>
                <w:rFonts w:ascii="Arial" w:hAnsi="Arial" w:cs="Arial"/>
                <w:b/>
                <w:sz w:val="22"/>
                <w:szCs w:val="22"/>
              </w:rPr>
              <w:t>AIRE</w:t>
            </w:r>
          </w:p>
        </w:tc>
        <w:tc>
          <w:tcPr>
            <w:tcW w:w="3090" w:type="dxa"/>
            <w:vAlign w:val="center"/>
          </w:tcPr>
          <w:p w:rsidR="004730DE" w:rsidRPr="00331441" w:rsidRDefault="004730DE" w:rsidP="00EE6D2E">
            <w:pPr>
              <w:jc w:val="center"/>
              <w:rPr>
                <w:rFonts w:ascii="Arial" w:hAnsi="Arial" w:cs="Arial"/>
                <w:b/>
                <w:sz w:val="22"/>
                <w:szCs w:val="22"/>
              </w:rPr>
            </w:pPr>
            <w:r w:rsidRPr="00331441">
              <w:rPr>
                <w:rFonts w:ascii="Arial" w:hAnsi="Arial" w:cs="Arial"/>
                <w:b/>
                <w:sz w:val="22"/>
                <w:szCs w:val="22"/>
              </w:rPr>
              <w:t>NOM-020-SSA1-2014</w:t>
            </w:r>
          </w:p>
          <w:p w:rsidR="004730DE" w:rsidRPr="00331441" w:rsidRDefault="004730DE" w:rsidP="00EE6D2E">
            <w:pPr>
              <w:jc w:val="both"/>
              <w:rPr>
                <w:rFonts w:ascii="Arial" w:hAnsi="Arial" w:cs="Arial"/>
                <w:sz w:val="22"/>
                <w:szCs w:val="22"/>
              </w:rPr>
            </w:pPr>
            <w:r w:rsidRPr="00331441">
              <w:rPr>
                <w:rFonts w:ascii="Arial" w:hAnsi="Arial" w:cs="Arial"/>
                <w:sz w:val="22"/>
                <w:szCs w:val="22"/>
              </w:rPr>
              <w:t>Salud ambiental. Valor límite permisible para la concentración de Ozono (O</w:t>
            </w:r>
            <w:r w:rsidRPr="00331441">
              <w:rPr>
                <w:rFonts w:ascii="Arial" w:hAnsi="Arial" w:cs="Arial"/>
                <w:sz w:val="22"/>
                <w:szCs w:val="22"/>
                <w:vertAlign w:val="subscript"/>
              </w:rPr>
              <w:t>3</w:t>
            </w:r>
            <w:r w:rsidRPr="00331441">
              <w:rPr>
                <w:rFonts w:ascii="Arial" w:hAnsi="Arial" w:cs="Arial"/>
                <w:sz w:val="22"/>
                <w:szCs w:val="22"/>
              </w:rPr>
              <w:t>) en el aire ambiente y criterios para su evaluación.</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19 de agosto de 2014</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Esta Norma tiene por objeto establecer los valores límite permisibles de concentración de ozono en el aire ambiente para la protección de la salud humana; así como los criterios para su evaluación, siendo de observancia obligatoria en todo el territorio nacional y servirá como referencia, para las autoridades federales y locales que tengan a su cargo la vigilancia y evaluación de la calidad del aire, con fines de protección de la salud de la población.</w:t>
            </w:r>
          </w:p>
        </w:tc>
      </w:tr>
      <w:tr w:rsidR="004730DE" w:rsidRPr="00331441" w:rsidTr="00732BA8">
        <w:tc>
          <w:tcPr>
            <w:tcW w:w="1129" w:type="dxa"/>
            <w:vMerge/>
            <w:vAlign w:val="center"/>
          </w:tcPr>
          <w:p w:rsidR="004730DE" w:rsidRPr="00331441" w:rsidRDefault="004730DE" w:rsidP="00EE6D2E">
            <w:pPr>
              <w:jc w:val="center"/>
              <w:rPr>
                <w:rFonts w:ascii="Arial" w:hAnsi="Arial" w:cs="Arial"/>
                <w:b/>
                <w:sz w:val="22"/>
                <w:szCs w:val="22"/>
              </w:rPr>
            </w:pP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NOM-021-SSA1-1993</w:t>
            </w:r>
          </w:p>
          <w:p w:rsidR="004730DE" w:rsidRPr="00331441" w:rsidRDefault="004730DE" w:rsidP="00EE6D2E">
            <w:pPr>
              <w:jc w:val="both"/>
              <w:rPr>
                <w:rFonts w:ascii="Arial" w:hAnsi="Arial" w:cs="Arial"/>
                <w:sz w:val="22"/>
                <w:szCs w:val="22"/>
              </w:rPr>
            </w:pPr>
            <w:r w:rsidRPr="00331441">
              <w:rPr>
                <w:rFonts w:ascii="Arial" w:hAnsi="Arial" w:cs="Arial"/>
                <w:sz w:val="22"/>
                <w:szCs w:val="22"/>
              </w:rPr>
              <w:t>Salud ambiental. Criterio para evaluar la calidad del aire ambiente con respecto al Monóxido de Carbono (CO). Valor permisible para la concentración de Monóxido de Carbono (CO) en el aire ambiente, como medida de protección a la salud de la población</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23 de diciembre de 1994</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Esta Norma Oficial Mexicana establece el valor permisible para la concentración de monóxido de carbono en el aire ambiente. Aplicable en todo el territorio mexicano. Aplicable en las políticas de saneamiento ambiental en lo referente a la salud humana. Aplicable en actividades o situaciones ambientales que causen o puedan causar riesgos o daños a la salud de las personas. Aplicable para el desarrollo de investigación permanente y sistemática de los riesgos y daños que, para la salud de la población, origine la contaminación ambiental por monóxido de carbono.</w:t>
            </w:r>
          </w:p>
        </w:tc>
      </w:tr>
      <w:tr w:rsidR="004730DE" w:rsidRPr="00331441" w:rsidTr="00732BA8">
        <w:tc>
          <w:tcPr>
            <w:tcW w:w="1129" w:type="dxa"/>
            <w:vMerge/>
            <w:vAlign w:val="center"/>
          </w:tcPr>
          <w:p w:rsidR="004730DE" w:rsidRPr="00331441" w:rsidRDefault="004730DE" w:rsidP="00EE6D2E">
            <w:pPr>
              <w:jc w:val="center"/>
              <w:rPr>
                <w:rFonts w:ascii="Arial" w:hAnsi="Arial" w:cs="Arial"/>
                <w:b/>
                <w:sz w:val="22"/>
                <w:szCs w:val="22"/>
              </w:rPr>
            </w:pP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NOM-022-SSA1-2010</w:t>
            </w:r>
          </w:p>
          <w:p w:rsidR="004730DE" w:rsidRPr="00331441" w:rsidRDefault="004730DE" w:rsidP="00EE6D2E">
            <w:pPr>
              <w:jc w:val="both"/>
              <w:rPr>
                <w:rFonts w:ascii="Arial" w:hAnsi="Arial" w:cs="Arial"/>
                <w:sz w:val="22"/>
                <w:szCs w:val="22"/>
              </w:rPr>
            </w:pPr>
            <w:r w:rsidRPr="00331441">
              <w:rPr>
                <w:rFonts w:ascii="Arial" w:hAnsi="Arial" w:cs="Arial"/>
                <w:sz w:val="22"/>
                <w:szCs w:val="22"/>
              </w:rPr>
              <w:t>Salud ambiental. Criterio para evaluar la calidad del aire ambiente, con respecto al dióxido de azufre (SO</w:t>
            </w:r>
            <w:r w:rsidRPr="00331441">
              <w:rPr>
                <w:rFonts w:ascii="Arial" w:hAnsi="Arial" w:cs="Arial"/>
                <w:sz w:val="22"/>
                <w:szCs w:val="22"/>
                <w:vertAlign w:val="subscript"/>
              </w:rPr>
              <w:t>2</w:t>
            </w:r>
            <w:r w:rsidRPr="00331441">
              <w:rPr>
                <w:rFonts w:ascii="Arial" w:hAnsi="Arial" w:cs="Arial"/>
                <w:sz w:val="22"/>
                <w:szCs w:val="22"/>
              </w:rPr>
              <w:t>). Valor normado para la concentración de dióxido de azufre (SO</w:t>
            </w:r>
            <w:r w:rsidRPr="00331441">
              <w:rPr>
                <w:rFonts w:ascii="Arial" w:hAnsi="Arial" w:cs="Arial"/>
                <w:sz w:val="22"/>
                <w:szCs w:val="22"/>
                <w:vertAlign w:val="subscript"/>
              </w:rPr>
              <w:t>2</w:t>
            </w:r>
            <w:r w:rsidRPr="00331441">
              <w:rPr>
                <w:rFonts w:ascii="Arial" w:hAnsi="Arial" w:cs="Arial"/>
                <w:sz w:val="22"/>
                <w:szCs w:val="22"/>
              </w:rPr>
              <w:t>) en el aire ambiente, como medida de protección a la salud de la población.</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08 de septiembre de 2010</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Esta Norma Oficial Mexicana establece los valores límites permisibles de concentración de dióxido de azufre (SO</w:t>
            </w:r>
            <w:r w:rsidRPr="00331441">
              <w:rPr>
                <w:rFonts w:ascii="Arial" w:hAnsi="Arial" w:cs="Arial"/>
                <w:sz w:val="22"/>
                <w:szCs w:val="22"/>
                <w:vertAlign w:val="subscript"/>
              </w:rPr>
              <w:t>2</w:t>
            </w:r>
            <w:r w:rsidRPr="00331441">
              <w:rPr>
                <w:rFonts w:ascii="Arial" w:hAnsi="Arial" w:cs="Arial"/>
                <w:sz w:val="22"/>
                <w:szCs w:val="22"/>
              </w:rPr>
              <w:t>) en el aire ambiente para la protección de la salud humana, siendo de observancia obligatoria en el territorio nacional.</w:t>
            </w:r>
          </w:p>
          <w:p w:rsidR="004730DE" w:rsidRPr="00331441" w:rsidRDefault="004730DE" w:rsidP="00EE6D2E">
            <w:pPr>
              <w:jc w:val="both"/>
              <w:rPr>
                <w:rFonts w:ascii="Arial" w:hAnsi="Arial" w:cs="Arial"/>
                <w:sz w:val="22"/>
                <w:szCs w:val="22"/>
              </w:rPr>
            </w:pPr>
            <w:r w:rsidRPr="00331441">
              <w:rPr>
                <w:rFonts w:ascii="Arial" w:hAnsi="Arial" w:cs="Arial"/>
                <w:i/>
                <w:sz w:val="22"/>
                <w:szCs w:val="22"/>
              </w:rPr>
              <w:t>Actualmente, la presente Norma se encuentra en proceso de actualización, ante el Comité Consultivo Nacional de Normalización de Regulación y Fomento Sanitario</w:t>
            </w:r>
            <w:r w:rsidRPr="00331441">
              <w:rPr>
                <w:rFonts w:ascii="Arial" w:hAnsi="Arial" w:cs="Arial"/>
                <w:sz w:val="22"/>
                <w:szCs w:val="22"/>
              </w:rPr>
              <w:t>.</w:t>
            </w:r>
          </w:p>
        </w:tc>
      </w:tr>
      <w:tr w:rsidR="004730DE" w:rsidRPr="00331441" w:rsidTr="00732BA8">
        <w:tc>
          <w:tcPr>
            <w:tcW w:w="1129" w:type="dxa"/>
            <w:vMerge/>
            <w:vAlign w:val="center"/>
          </w:tcPr>
          <w:p w:rsidR="004730DE" w:rsidRPr="00331441" w:rsidRDefault="004730DE" w:rsidP="00EE6D2E">
            <w:pPr>
              <w:jc w:val="center"/>
              <w:rPr>
                <w:rFonts w:ascii="Arial" w:hAnsi="Arial" w:cs="Arial"/>
                <w:b/>
                <w:sz w:val="22"/>
                <w:szCs w:val="22"/>
              </w:rPr>
            </w:pP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NOM-023-SSA1-1993</w:t>
            </w:r>
          </w:p>
          <w:p w:rsidR="004730DE" w:rsidRPr="00331441" w:rsidRDefault="004730DE" w:rsidP="00EE6D2E">
            <w:pPr>
              <w:jc w:val="both"/>
              <w:rPr>
                <w:rFonts w:ascii="Arial" w:hAnsi="Arial" w:cs="Arial"/>
                <w:sz w:val="22"/>
                <w:szCs w:val="22"/>
              </w:rPr>
            </w:pPr>
            <w:r w:rsidRPr="00331441">
              <w:rPr>
                <w:rFonts w:ascii="Arial" w:hAnsi="Arial" w:cs="Arial"/>
                <w:sz w:val="22"/>
                <w:szCs w:val="22"/>
              </w:rPr>
              <w:t>Salud ambiental. Criterio para evaluar la calidad del aire ambiente, con respecto al Bióxido de Nitrógeno (NO</w:t>
            </w:r>
            <w:r w:rsidRPr="00331441">
              <w:rPr>
                <w:rFonts w:ascii="Arial" w:hAnsi="Arial" w:cs="Arial"/>
                <w:sz w:val="22"/>
                <w:szCs w:val="22"/>
                <w:vertAlign w:val="subscript"/>
              </w:rPr>
              <w:t>2</w:t>
            </w:r>
            <w:r w:rsidRPr="00331441">
              <w:rPr>
                <w:rFonts w:ascii="Arial" w:hAnsi="Arial" w:cs="Arial"/>
                <w:sz w:val="22"/>
                <w:szCs w:val="22"/>
              </w:rPr>
              <w:t xml:space="preserve">). </w:t>
            </w:r>
            <w:r w:rsidRPr="00331441">
              <w:rPr>
                <w:rFonts w:ascii="Arial" w:hAnsi="Arial" w:cs="Arial"/>
                <w:sz w:val="22"/>
                <w:szCs w:val="22"/>
              </w:rPr>
              <w:lastRenderedPageBreak/>
              <w:t>Valor normado para la concentración de Bióxido de Nitrógeno (NO</w:t>
            </w:r>
            <w:r w:rsidRPr="00331441">
              <w:rPr>
                <w:rFonts w:ascii="Arial" w:hAnsi="Arial" w:cs="Arial"/>
                <w:sz w:val="22"/>
                <w:szCs w:val="22"/>
                <w:vertAlign w:val="subscript"/>
              </w:rPr>
              <w:t>2</w:t>
            </w:r>
            <w:r w:rsidRPr="00331441">
              <w:rPr>
                <w:rFonts w:ascii="Arial" w:hAnsi="Arial" w:cs="Arial"/>
                <w:sz w:val="22"/>
                <w:szCs w:val="22"/>
              </w:rPr>
              <w:t>) en el aire ambiente, como medida de protección a la salud de la población</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lastRenderedPageBreak/>
              <w:t>23 de diciembre de 1994</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 xml:space="preserve">Esta Norma Oficial Mexicana establece el valor permisible para la concentración de bióxido de nitrógeno en el aire ambiente. Aplicable en todo el territorio mexicano. Aplicable en las políticas de saneamiento </w:t>
            </w:r>
            <w:r w:rsidRPr="00331441">
              <w:rPr>
                <w:rFonts w:ascii="Arial" w:hAnsi="Arial" w:cs="Arial"/>
                <w:sz w:val="22"/>
                <w:szCs w:val="22"/>
              </w:rPr>
              <w:lastRenderedPageBreak/>
              <w:t>ambiental en lo referente a la salud humana. Aplicable en actividades o situaciones ambientales que causen o puedan causar riesgos o daños a la salud de las personas. Aplicable para el desarrollo de investigación permanente y sistemática de los riesgos y daños que, para la salud de la población, origine la contaminación ambiental por bióxido de nitrógeno.</w:t>
            </w:r>
          </w:p>
        </w:tc>
      </w:tr>
      <w:tr w:rsidR="004730DE" w:rsidRPr="00331441" w:rsidTr="00732BA8">
        <w:tc>
          <w:tcPr>
            <w:tcW w:w="1129" w:type="dxa"/>
            <w:vMerge/>
            <w:vAlign w:val="center"/>
          </w:tcPr>
          <w:p w:rsidR="004730DE" w:rsidRPr="00331441" w:rsidRDefault="004730DE" w:rsidP="00EE6D2E">
            <w:pPr>
              <w:jc w:val="center"/>
              <w:rPr>
                <w:rFonts w:ascii="Arial" w:hAnsi="Arial" w:cs="Arial"/>
                <w:b/>
                <w:sz w:val="22"/>
                <w:szCs w:val="22"/>
              </w:rPr>
            </w:pP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NOM-025-SSA1-2014</w:t>
            </w:r>
          </w:p>
          <w:p w:rsidR="004730DE" w:rsidRPr="00331441" w:rsidRDefault="00D66A9F" w:rsidP="00EE6D2E">
            <w:pPr>
              <w:jc w:val="both"/>
              <w:rPr>
                <w:rFonts w:ascii="Arial" w:hAnsi="Arial" w:cs="Arial"/>
                <w:sz w:val="22"/>
                <w:szCs w:val="22"/>
              </w:rPr>
            </w:pPr>
            <w:r w:rsidRPr="00331441">
              <w:rPr>
                <w:rFonts w:ascii="Arial" w:hAnsi="Arial" w:cs="Arial"/>
                <w:sz w:val="22"/>
                <w:szCs w:val="22"/>
              </w:rPr>
              <w:t xml:space="preserve">Salud ambiental. Valores límite </w:t>
            </w:r>
            <w:r w:rsidR="004730DE" w:rsidRPr="00331441">
              <w:rPr>
                <w:rFonts w:ascii="Arial" w:hAnsi="Arial" w:cs="Arial"/>
                <w:sz w:val="22"/>
                <w:szCs w:val="22"/>
              </w:rPr>
              <w:t>permisibles para la concentración de partículas suspendidas PM10 y PM2.5 en el aire ambiente y criterios para su evaluación.</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20 de agosto de 2014</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 xml:space="preserve">Esta Norma tiene por objeto establecer los valores </w:t>
            </w:r>
            <w:r w:rsidR="00D66A9F" w:rsidRPr="00331441">
              <w:rPr>
                <w:rFonts w:ascii="Arial" w:hAnsi="Arial" w:cs="Arial"/>
                <w:sz w:val="22"/>
                <w:szCs w:val="22"/>
              </w:rPr>
              <w:t>límite permisible</w:t>
            </w:r>
            <w:r w:rsidRPr="00331441">
              <w:rPr>
                <w:rFonts w:ascii="Arial" w:hAnsi="Arial" w:cs="Arial"/>
                <w:sz w:val="22"/>
                <w:szCs w:val="22"/>
              </w:rPr>
              <w:t xml:space="preserve"> de concentración de partículas suspendidas PM10 y PM2.5 en el aire ambiente y los criterios para su evaluación, con la finalidad de proteger la salud de la población.</w:t>
            </w:r>
          </w:p>
          <w:p w:rsidR="004730DE" w:rsidRPr="00331441" w:rsidRDefault="004730DE" w:rsidP="00EE6D2E">
            <w:pPr>
              <w:jc w:val="both"/>
              <w:rPr>
                <w:rFonts w:ascii="Arial" w:hAnsi="Arial" w:cs="Arial"/>
                <w:sz w:val="22"/>
                <w:szCs w:val="22"/>
              </w:rPr>
            </w:pPr>
            <w:r w:rsidRPr="00331441">
              <w:rPr>
                <w:rFonts w:ascii="Arial" w:hAnsi="Arial" w:cs="Arial"/>
                <w:sz w:val="22"/>
                <w:szCs w:val="22"/>
              </w:rPr>
              <w:t>Esta Norma es de observancia obligatoria en todo el territorio nacional, para las autoridades federales y locales que tengan a su cargo la vigilancia y evaluación de la calidad del aire, las cuales deberán tomar como referencia los valores e indicadores establecidos en esta Norma, para efectos de proteger la salud de la población.</w:t>
            </w:r>
          </w:p>
        </w:tc>
      </w:tr>
      <w:tr w:rsidR="004730DE" w:rsidRPr="00331441" w:rsidTr="00732BA8">
        <w:tc>
          <w:tcPr>
            <w:tcW w:w="1129" w:type="dxa"/>
            <w:vMerge/>
            <w:vAlign w:val="center"/>
          </w:tcPr>
          <w:p w:rsidR="004730DE" w:rsidRPr="00331441" w:rsidRDefault="004730DE" w:rsidP="00EE6D2E">
            <w:pPr>
              <w:jc w:val="center"/>
              <w:rPr>
                <w:rFonts w:ascii="Arial" w:hAnsi="Arial" w:cs="Arial"/>
                <w:b/>
                <w:sz w:val="22"/>
                <w:szCs w:val="22"/>
              </w:rPr>
            </w:pP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NOM-026-SSA1-1993</w:t>
            </w:r>
          </w:p>
          <w:p w:rsidR="004730DE" w:rsidRPr="00331441" w:rsidRDefault="004730DE" w:rsidP="00EE6D2E">
            <w:pPr>
              <w:jc w:val="both"/>
              <w:rPr>
                <w:rFonts w:ascii="Arial" w:hAnsi="Arial" w:cs="Arial"/>
                <w:sz w:val="22"/>
                <w:szCs w:val="22"/>
              </w:rPr>
            </w:pPr>
            <w:r w:rsidRPr="00331441">
              <w:rPr>
                <w:rFonts w:ascii="Arial" w:hAnsi="Arial" w:cs="Arial"/>
                <w:sz w:val="22"/>
                <w:szCs w:val="22"/>
              </w:rPr>
              <w:t>Salud ambiental. Criterio para evaluar la calidad del aire ambiente, con respecto al Plomo (Pb). Valor normado para la concentración de Plomo (Pb) en el aire ambiente, como medida de protección a la salud de la población.</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23 de diciembre de 1994</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Esta Norma Oficial Mexicana establece el valor permisible para la concentración de plomo en el aire ambiente. Aplicable en todo el territorio mexicano. Aplicable en las políticas de saneamiento ambiental en lo referente a la salud humana. Aplicable en actividades o situaciones ambientales que causen o puedan causar riesgos o daños a la salud de la población. Aplicable para el desarrollo de investigación permanente y sistemática de los riesgos y daños que, para la salud de la población, origine la contaminación ambiental por plomo.</w:t>
            </w:r>
          </w:p>
        </w:tc>
      </w:tr>
      <w:tr w:rsidR="004730DE" w:rsidRPr="00331441" w:rsidTr="00732BA8">
        <w:tc>
          <w:tcPr>
            <w:tcW w:w="1129" w:type="dxa"/>
            <w:vMerge w:val="restart"/>
            <w:shd w:val="clear" w:color="auto" w:fill="F2F2F2" w:themeFill="background1" w:themeFillShade="F2"/>
            <w:vAlign w:val="center"/>
          </w:tcPr>
          <w:p w:rsidR="004730DE" w:rsidRPr="00331441" w:rsidRDefault="004730DE" w:rsidP="00EE6D2E">
            <w:pPr>
              <w:jc w:val="center"/>
              <w:rPr>
                <w:rFonts w:ascii="Arial" w:hAnsi="Arial" w:cs="Arial"/>
                <w:b/>
                <w:sz w:val="22"/>
                <w:szCs w:val="22"/>
              </w:rPr>
            </w:pPr>
            <w:r w:rsidRPr="00331441">
              <w:rPr>
                <w:rFonts w:ascii="Arial" w:hAnsi="Arial" w:cs="Arial"/>
                <w:b/>
                <w:sz w:val="22"/>
                <w:szCs w:val="22"/>
              </w:rPr>
              <w:t>AGUA</w:t>
            </w:r>
          </w:p>
        </w:tc>
        <w:tc>
          <w:tcPr>
            <w:tcW w:w="3090" w:type="dxa"/>
            <w:shd w:val="clear" w:color="auto" w:fill="F2F2F2" w:themeFill="background1" w:themeFillShade="F2"/>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NOM-127-SSA1-1994</w:t>
            </w:r>
          </w:p>
          <w:p w:rsidR="004730DE" w:rsidRPr="00331441" w:rsidRDefault="004730DE" w:rsidP="00EE6D2E">
            <w:pPr>
              <w:jc w:val="both"/>
              <w:rPr>
                <w:rFonts w:ascii="Arial" w:hAnsi="Arial" w:cs="Arial"/>
                <w:sz w:val="22"/>
                <w:szCs w:val="22"/>
              </w:rPr>
            </w:pPr>
            <w:r w:rsidRPr="00331441">
              <w:rPr>
                <w:rFonts w:ascii="Arial" w:hAnsi="Arial" w:cs="Arial"/>
                <w:sz w:val="22"/>
                <w:szCs w:val="22"/>
              </w:rPr>
              <w:t>Salud ambiental. Agua para uso y consumo humano. Límites permisibles de calidad y tratamientos a que debe someterse el agua para su potabilización</w:t>
            </w:r>
          </w:p>
        </w:tc>
        <w:tc>
          <w:tcPr>
            <w:tcW w:w="1305" w:type="dxa"/>
            <w:shd w:val="clear" w:color="auto" w:fill="F2F2F2" w:themeFill="background1" w:themeFillShade="F2"/>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22 de noviembre de 2000</w:t>
            </w:r>
          </w:p>
        </w:tc>
        <w:tc>
          <w:tcPr>
            <w:tcW w:w="4394" w:type="dxa"/>
            <w:shd w:val="clear" w:color="auto" w:fill="F2F2F2" w:themeFill="background1" w:themeFillShade="F2"/>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 xml:space="preserve">Esta Norma Oficial Mexicana establece los límites permisibles de calidad y los tratamientos de potabilización del agua para uso y consumo humano, siendo aplicable a todos los sistemas de </w:t>
            </w:r>
            <w:r w:rsidR="00D66A9F" w:rsidRPr="00331441">
              <w:rPr>
                <w:rFonts w:ascii="Arial" w:hAnsi="Arial" w:cs="Arial"/>
                <w:sz w:val="22"/>
                <w:szCs w:val="22"/>
              </w:rPr>
              <w:t>abastecimiento público</w:t>
            </w:r>
            <w:r w:rsidRPr="00331441">
              <w:rPr>
                <w:rFonts w:ascii="Arial" w:hAnsi="Arial" w:cs="Arial"/>
                <w:sz w:val="22"/>
                <w:szCs w:val="22"/>
              </w:rPr>
              <w:t xml:space="preserve"> y privados y a cualquier persona física o moral que la distribuya, en todo el territorio nacional.</w:t>
            </w:r>
          </w:p>
          <w:p w:rsidR="004730DE" w:rsidRPr="00331441" w:rsidRDefault="004730DE" w:rsidP="00EE6D2E">
            <w:pPr>
              <w:jc w:val="both"/>
              <w:rPr>
                <w:rFonts w:ascii="Arial" w:hAnsi="Arial" w:cs="Arial"/>
                <w:sz w:val="22"/>
                <w:szCs w:val="22"/>
              </w:rPr>
            </w:pPr>
            <w:r w:rsidRPr="00331441">
              <w:rPr>
                <w:rFonts w:ascii="Arial" w:hAnsi="Arial" w:cs="Arial"/>
                <w:i/>
                <w:sz w:val="22"/>
                <w:szCs w:val="22"/>
              </w:rPr>
              <w:t xml:space="preserve">Actualmente, la presente Norma se encuentra en proceso de actualización, </w:t>
            </w:r>
            <w:r w:rsidRPr="00331441">
              <w:rPr>
                <w:rFonts w:ascii="Arial" w:hAnsi="Arial" w:cs="Arial"/>
                <w:i/>
                <w:sz w:val="22"/>
                <w:szCs w:val="22"/>
              </w:rPr>
              <w:lastRenderedPageBreak/>
              <w:t>ante el Comité Consultivo Nacional de Normalización de Regulación y Fomento Sanitario</w:t>
            </w:r>
            <w:r w:rsidRPr="00331441">
              <w:rPr>
                <w:rFonts w:ascii="Arial" w:hAnsi="Arial" w:cs="Arial"/>
                <w:sz w:val="22"/>
                <w:szCs w:val="22"/>
              </w:rPr>
              <w:t>.</w:t>
            </w:r>
          </w:p>
        </w:tc>
      </w:tr>
      <w:tr w:rsidR="004730DE" w:rsidRPr="00331441" w:rsidTr="00732BA8">
        <w:tc>
          <w:tcPr>
            <w:tcW w:w="1129" w:type="dxa"/>
            <w:vMerge/>
            <w:shd w:val="clear" w:color="auto" w:fill="F2F2F2" w:themeFill="background1" w:themeFillShade="F2"/>
            <w:vAlign w:val="center"/>
          </w:tcPr>
          <w:p w:rsidR="004730DE" w:rsidRPr="00331441" w:rsidRDefault="004730DE" w:rsidP="00EE6D2E">
            <w:pPr>
              <w:jc w:val="center"/>
              <w:rPr>
                <w:rFonts w:ascii="Arial" w:hAnsi="Arial" w:cs="Arial"/>
                <w:b/>
                <w:sz w:val="22"/>
                <w:szCs w:val="22"/>
              </w:rPr>
            </w:pPr>
          </w:p>
        </w:tc>
        <w:tc>
          <w:tcPr>
            <w:tcW w:w="3090" w:type="dxa"/>
            <w:shd w:val="clear" w:color="auto" w:fill="F2F2F2" w:themeFill="background1" w:themeFillShade="F2"/>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NOM-179-SSA1-1998</w:t>
            </w:r>
          </w:p>
          <w:p w:rsidR="004730DE" w:rsidRPr="00331441" w:rsidRDefault="004730DE" w:rsidP="00EE6D2E">
            <w:pPr>
              <w:jc w:val="both"/>
              <w:rPr>
                <w:rFonts w:ascii="Arial" w:hAnsi="Arial" w:cs="Arial"/>
                <w:sz w:val="22"/>
                <w:szCs w:val="22"/>
              </w:rPr>
            </w:pPr>
            <w:r w:rsidRPr="00331441">
              <w:rPr>
                <w:rFonts w:ascii="Arial" w:hAnsi="Arial" w:cs="Arial"/>
                <w:sz w:val="22"/>
                <w:szCs w:val="22"/>
              </w:rPr>
              <w:t>Vigilancia y evaluación del control de calidad del agua para uso y consumo humano, distribuida por sistemas de abastecimiento público.</w:t>
            </w:r>
          </w:p>
        </w:tc>
        <w:tc>
          <w:tcPr>
            <w:tcW w:w="1305" w:type="dxa"/>
            <w:shd w:val="clear" w:color="auto" w:fill="F2F2F2" w:themeFill="background1" w:themeFillShade="F2"/>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24 de septiembre de 2001</w:t>
            </w:r>
          </w:p>
        </w:tc>
        <w:tc>
          <w:tcPr>
            <w:tcW w:w="4394" w:type="dxa"/>
            <w:shd w:val="clear" w:color="auto" w:fill="F2F2F2" w:themeFill="background1" w:themeFillShade="F2"/>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Esta Norma Oficial Mexicana establece los requisitos y especificaciones que deberán observarse en las actividades de control de la calidad del agua para uso y consumo humano, siendo de observancia obligatoria en todo el territorio nacional y aplicable a todos los organismos operadores de los sistemas de abastecimiento público.</w:t>
            </w:r>
          </w:p>
          <w:p w:rsidR="004730DE" w:rsidRPr="00331441" w:rsidRDefault="004730DE" w:rsidP="00EE6D2E">
            <w:pPr>
              <w:jc w:val="both"/>
              <w:rPr>
                <w:rFonts w:ascii="Arial" w:hAnsi="Arial" w:cs="Arial"/>
                <w:i/>
                <w:sz w:val="22"/>
                <w:szCs w:val="22"/>
              </w:rPr>
            </w:pPr>
            <w:r w:rsidRPr="00331441">
              <w:rPr>
                <w:rFonts w:ascii="Arial" w:hAnsi="Arial" w:cs="Arial"/>
                <w:i/>
                <w:sz w:val="22"/>
                <w:szCs w:val="22"/>
              </w:rPr>
              <w:t>Actualmente, la presente Norma se encuentra en proceso de actualización, ante el Comité Consultivo Nacional de Normalización de Regulación y Fomento Sanitario.</w:t>
            </w:r>
          </w:p>
        </w:tc>
      </w:tr>
      <w:tr w:rsidR="004730DE" w:rsidRPr="00331441" w:rsidTr="00732BA8">
        <w:tc>
          <w:tcPr>
            <w:tcW w:w="1129" w:type="dxa"/>
            <w:vMerge w:val="restart"/>
            <w:vAlign w:val="center"/>
          </w:tcPr>
          <w:p w:rsidR="004730DE" w:rsidRPr="00331441" w:rsidRDefault="004730DE" w:rsidP="00EE6D2E">
            <w:pPr>
              <w:jc w:val="center"/>
              <w:rPr>
                <w:rFonts w:ascii="Arial" w:hAnsi="Arial" w:cs="Arial"/>
                <w:b/>
                <w:sz w:val="22"/>
                <w:szCs w:val="22"/>
              </w:rPr>
            </w:pPr>
            <w:r w:rsidRPr="00331441">
              <w:rPr>
                <w:rFonts w:ascii="Arial" w:hAnsi="Arial" w:cs="Arial"/>
                <w:b/>
                <w:sz w:val="22"/>
                <w:szCs w:val="22"/>
              </w:rPr>
              <w:t>SUELO</w:t>
            </w: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NOM-138-SEMARNAT/SSA1-2012</w:t>
            </w:r>
          </w:p>
          <w:p w:rsidR="004730DE" w:rsidRPr="00331441" w:rsidRDefault="004730DE" w:rsidP="00732BA8">
            <w:pPr>
              <w:jc w:val="both"/>
              <w:rPr>
                <w:rFonts w:ascii="Arial" w:hAnsi="Arial" w:cs="Arial"/>
                <w:sz w:val="22"/>
                <w:szCs w:val="22"/>
              </w:rPr>
            </w:pPr>
            <w:bookmarkStart w:id="0" w:name="_GoBack"/>
            <w:r w:rsidRPr="00331441">
              <w:rPr>
                <w:rFonts w:ascii="Arial" w:hAnsi="Arial" w:cs="Arial"/>
                <w:sz w:val="22"/>
                <w:szCs w:val="22"/>
              </w:rPr>
              <w:t>Límites máximos permisibles de hidrocarburos en suelos y lineamientos para el muestreo en la caracterización y especificaciones para la remediación</w:t>
            </w:r>
            <w:r w:rsidR="00732BA8">
              <w:rPr>
                <w:rFonts w:ascii="Arial" w:hAnsi="Arial" w:cs="Arial"/>
                <w:sz w:val="22"/>
                <w:szCs w:val="22"/>
              </w:rPr>
              <w:t>.</w:t>
            </w:r>
            <w:bookmarkEnd w:id="0"/>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10 de septiembre de 2013</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El objetivo del presente ordenamiento es el establecer los límites máximos permisibles de los hidrocarburos en suelos, incluidos en la TABLA 1 y los lineamientos para el muestreo en la caracterización y especificaciones para la remediación. Siendo de observancia obligatoria en todo el territorio nacional para quienes resulten responsables de la contaminación en suelos con los hidrocarburos incluidos en la TABLA 1.</w:t>
            </w:r>
          </w:p>
        </w:tc>
      </w:tr>
      <w:tr w:rsidR="004730DE" w:rsidRPr="00331441" w:rsidTr="00732BA8">
        <w:tc>
          <w:tcPr>
            <w:tcW w:w="1129" w:type="dxa"/>
            <w:vMerge/>
            <w:vAlign w:val="center"/>
          </w:tcPr>
          <w:p w:rsidR="004730DE" w:rsidRPr="00331441" w:rsidRDefault="004730DE" w:rsidP="00EE6D2E">
            <w:pPr>
              <w:jc w:val="center"/>
              <w:rPr>
                <w:rFonts w:ascii="Arial" w:hAnsi="Arial" w:cs="Arial"/>
                <w:sz w:val="22"/>
                <w:szCs w:val="22"/>
              </w:rPr>
            </w:pPr>
          </w:p>
        </w:tc>
        <w:tc>
          <w:tcPr>
            <w:tcW w:w="3090" w:type="dxa"/>
            <w:vAlign w:val="center"/>
          </w:tcPr>
          <w:p w:rsidR="004730DE" w:rsidRPr="00331441" w:rsidRDefault="004730DE" w:rsidP="00EE6D2E">
            <w:pPr>
              <w:jc w:val="center"/>
              <w:rPr>
                <w:rFonts w:ascii="Arial" w:hAnsi="Arial" w:cs="Arial"/>
                <w:sz w:val="22"/>
                <w:szCs w:val="22"/>
              </w:rPr>
            </w:pPr>
            <w:r w:rsidRPr="00331441">
              <w:rPr>
                <w:rFonts w:ascii="Arial" w:hAnsi="Arial" w:cs="Arial"/>
                <w:b/>
                <w:sz w:val="22"/>
                <w:szCs w:val="22"/>
              </w:rPr>
              <w:t>NOM-147-SEMARNAT/SSA1-2004</w:t>
            </w:r>
          </w:p>
          <w:p w:rsidR="004730DE" w:rsidRPr="00331441" w:rsidRDefault="004730DE" w:rsidP="00EE6D2E">
            <w:pPr>
              <w:jc w:val="both"/>
              <w:rPr>
                <w:rFonts w:ascii="Arial" w:hAnsi="Arial" w:cs="Arial"/>
                <w:sz w:val="22"/>
                <w:szCs w:val="22"/>
              </w:rPr>
            </w:pPr>
            <w:r w:rsidRPr="00331441">
              <w:rPr>
                <w:rFonts w:ascii="Arial" w:hAnsi="Arial" w:cs="Arial"/>
                <w:sz w:val="22"/>
                <w:szCs w:val="22"/>
              </w:rPr>
              <w:t>Que establece criterios para determinar las concentraciones de remediación de suelos contaminados por arsénico, bario, berilio, cadmio, cromo hexavalente, mercurio, níquel, plata, plomo, selenio, talio y/o vanadio.</w:t>
            </w:r>
          </w:p>
        </w:tc>
        <w:tc>
          <w:tcPr>
            <w:tcW w:w="1305" w:type="dxa"/>
            <w:vAlign w:val="center"/>
          </w:tcPr>
          <w:p w:rsidR="004730DE" w:rsidRPr="00331441" w:rsidRDefault="004730DE" w:rsidP="00EE6D2E">
            <w:pPr>
              <w:jc w:val="center"/>
              <w:rPr>
                <w:rFonts w:ascii="Arial" w:hAnsi="Arial" w:cs="Arial"/>
                <w:sz w:val="22"/>
                <w:szCs w:val="22"/>
              </w:rPr>
            </w:pPr>
            <w:r w:rsidRPr="00331441">
              <w:rPr>
                <w:rFonts w:ascii="Arial" w:hAnsi="Arial" w:cs="Arial"/>
                <w:sz w:val="22"/>
                <w:szCs w:val="22"/>
              </w:rPr>
              <w:t>2 de marzo de 2007</w:t>
            </w:r>
          </w:p>
        </w:tc>
        <w:tc>
          <w:tcPr>
            <w:tcW w:w="4394" w:type="dxa"/>
            <w:vAlign w:val="center"/>
          </w:tcPr>
          <w:p w:rsidR="004730DE" w:rsidRPr="00331441" w:rsidRDefault="004730DE" w:rsidP="00EE6D2E">
            <w:pPr>
              <w:jc w:val="both"/>
              <w:rPr>
                <w:rFonts w:ascii="Arial" w:hAnsi="Arial" w:cs="Arial"/>
                <w:sz w:val="22"/>
                <w:szCs w:val="22"/>
              </w:rPr>
            </w:pPr>
            <w:r w:rsidRPr="00331441">
              <w:rPr>
                <w:rFonts w:ascii="Arial" w:hAnsi="Arial" w:cs="Arial"/>
                <w:sz w:val="22"/>
                <w:szCs w:val="22"/>
              </w:rPr>
              <w:t>La presente Norma Oficial Mexicana establece criterios para la caracterización y determinación de concentraciones de remediación de suelos contaminados por arsénico, bario, berilio, cadmio, cromo hexavalente, mercurio, níquel, plata, plomo, selenio, talio, vanadio y sus compuestos inorgánicos; así como los criterios de remediación.</w:t>
            </w:r>
          </w:p>
          <w:p w:rsidR="004730DE" w:rsidRPr="00331441" w:rsidRDefault="004730DE" w:rsidP="00EE6D2E">
            <w:pPr>
              <w:jc w:val="both"/>
              <w:rPr>
                <w:rFonts w:ascii="Arial" w:hAnsi="Arial" w:cs="Arial"/>
                <w:sz w:val="22"/>
                <w:szCs w:val="22"/>
              </w:rPr>
            </w:pPr>
            <w:r w:rsidRPr="00331441">
              <w:rPr>
                <w:rFonts w:ascii="Arial" w:hAnsi="Arial" w:cs="Arial"/>
                <w:sz w:val="22"/>
                <w:szCs w:val="22"/>
              </w:rPr>
              <w:t>Esta Norma Oficial Mexicana es de observancia obligatoria para todas aquellas personas físicas y morales que deban determinar la contaminación de un suelo con materiales o residuos que contengan arsénico, bario, berilio, cadmio, cromo hexavalente, mercurio, níquel, plata, plomo, selenio, talio, vanadio y sus compuestos inorgánicos.</w:t>
            </w:r>
          </w:p>
        </w:tc>
      </w:tr>
    </w:tbl>
    <w:p w:rsidR="004730DE" w:rsidRPr="00331441" w:rsidRDefault="004730DE" w:rsidP="004730DE">
      <w:pPr>
        <w:spacing w:line="288" w:lineRule="auto"/>
        <w:jc w:val="both"/>
        <w:rPr>
          <w:rFonts w:ascii="Arial" w:hAnsi="Arial" w:cs="Arial"/>
          <w:sz w:val="22"/>
          <w:szCs w:val="22"/>
        </w:rPr>
      </w:pPr>
    </w:p>
    <w:sectPr w:rsidR="004730DE" w:rsidRPr="00331441" w:rsidSect="00955CA6">
      <w:headerReference w:type="default" r:id="rId8"/>
      <w:footerReference w:type="even" r:id="rId9"/>
      <w:footerReference w:type="default" r:id="rId10"/>
      <w:footerReference w:type="first" r:id="rId11"/>
      <w:pgSz w:w="12242" w:h="15842" w:code="1"/>
      <w:pgMar w:top="1560" w:right="1264" w:bottom="1135" w:left="1077" w:header="567"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D35" w:rsidRDefault="00561D35">
      <w:r>
        <w:separator/>
      </w:r>
    </w:p>
  </w:endnote>
  <w:endnote w:type="continuationSeparator" w:id="0">
    <w:p w:rsidR="00561D35" w:rsidRDefault="00561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Caslon Pro">
    <w:altName w:val="Georgia"/>
    <w:panose1 w:val="00000000000000000000"/>
    <w:charset w:val="00"/>
    <w:family w:val="roman"/>
    <w:notTrueType/>
    <w:pitch w:val="variable"/>
    <w:sig w:usb0="00000001" w:usb1="5000205B"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EA3" w:rsidRDefault="001C7BD3" w:rsidP="0071015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DB0EA3" w:rsidRDefault="00561D3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763325"/>
      <w:docPartObj>
        <w:docPartGallery w:val="Page Numbers (Bottom of Page)"/>
        <w:docPartUnique/>
      </w:docPartObj>
    </w:sdtPr>
    <w:sdtEndPr>
      <w:rPr>
        <w:rFonts w:ascii="Arial" w:hAnsi="Arial" w:cs="Arial"/>
        <w:sz w:val="22"/>
        <w:szCs w:val="22"/>
      </w:rPr>
    </w:sdtEndPr>
    <w:sdtContent>
      <w:p w:rsidR="00955CA6" w:rsidRPr="00331441" w:rsidRDefault="00955CA6">
        <w:pPr>
          <w:pStyle w:val="Piedepgina"/>
          <w:jc w:val="right"/>
          <w:rPr>
            <w:rFonts w:ascii="Arial" w:hAnsi="Arial" w:cs="Arial"/>
            <w:sz w:val="22"/>
            <w:szCs w:val="22"/>
          </w:rPr>
        </w:pPr>
        <w:r w:rsidRPr="00331441">
          <w:rPr>
            <w:rFonts w:ascii="Arial" w:hAnsi="Arial" w:cs="Arial"/>
            <w:sz w:val="22"/>
            <w:szCs w:val="22"/>
          </w:rPr>
          <w:fldChar w:fldCharType="begin"/>
        </w:r>
        <w:r w:rsidRPr="00331441">
          <w:rPr>
            <w:rFonts w:ascii="Arial" w:hAnsi="Arial" w:cs="Arial"/>
            <w:sz w:val="22"/>
            <w:szCs w:val="22"/>
          </w:rPr>
          <w:instrText>PAGE   \* MERGEFORMAT</w:instrText>
        </w:r>
        <w:r w:rsidRPr="00331441">
          <w:rPr>
            <w:rFonts w:ascii="Arial" w:hAnsi="Arial" w:cs="Arial"/>
            <w:sz w:val="22"/>
            <w:szCs w:val="22"/>
          </w:rPr>
          <w:fldChar w:fldCharType="separate"/>
        </w:r>
        <w:r w:rsidR="00732BA8">
          <w:rPr>
            <w:rFonts w:ascii="Arial" w:hAnsi="Arial" w:cs="Arial"/>
            <w:noProof/>
            <w:sz w:val="22"/>
            <w:szCs w:val="22"/>
          </w:rPr>
          <w:t>3</w:t>
        </w:r>
        <w:r w:rsidRPr="00331441">
          <w:rPr>
            <w:rFonts w:ascii="Arial" w:hAnsi="Arial" w:cs="Arial"/>
            <w:sz w:val="22"/>
            <w:szCs w:val="22"/>
          </w:rPr>
          <w:fldChar w:fldCharType="end"/>
        </w:r>
      </w:p>
    </w:sdtContent>
  </w:sdt>
  <w:p w:rsidR="00DB0EA3" w:rsidRPr="00295C09" w:rsidRDefault="00561D35" w:rsidP="00295C09">
    <w:pPr>
      <w:pStyle w:val="Piedepgina"/>
      <w:ind w:right="124"/>
      <w:jc w:val="center"/>
      <w:rPr>
        <w:rFonts w:ascii="Adobe Caslon Pro" w:hAnsi="Adobe Caslon Pro" w:cs="Arial"/>
        <w:color w:val="595959" w:themeColor="text1" w:themeTint="A6"/>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EA3" w:rsidRDefault="00561D35" w:rsidP="00931C3D">
    <w:pPr>
      <w:pStyle w:val="Piedepgina"/>
      <w:framePr w:w="144" w:h="537" w:hRule="exact" w:wrap="around" w:vAnchor="text" w:hAnchor="page" w:x="10798" w:y="-1"/>
      <w:rPr>
        <w:rStyle w:val="Nmerodepgina"/>
        <w:rFonts w:ascii="Arial Narrow" w:hAnsi="Arial Narrow"/>
        <w:sz w:val="20"/>
        <w:szCs w:val="20"/>
      </w:rPr>
    </w:pPr>
  </w:p>
  <w:p w:rsidR="00DB0EA3" w:rsidRPr="00931C3D" w:rsidRDefault="001C7BD3" w:rsidP="00931C3D">
    <w:pPr>
      <w:pStyle w:val="Piedepgina"/>
      <w:framePr w:w="144" w:h="537" w:hRule="exact" w:wrap="around" w:vAnchor="text" w:hAnchor="page" w:x="10798" w:y="-1"/>
      <w:jc w:val="right"/>
      <w:rPr>
        <w:rStyle w:val="Nmerodepgina"/>
        <w:rFonts w:ascii="Arial Narrow" w:hAnsi="Arial Narrow"/>
        <w:sz w:val="20"/>
        <w:szCs w:val="20"/>
      </w:rPr>
    </w:pPr>
    <w:r w:rsidRPr="00931C3D">
      <w:rPr>
        <w:rStyle w:val="Nmerodepgina"/>
        <w:rFonts w:ascii="Arial Narrow" w:hAnsi="Arial Narrow"/>
        <w:sz w:val="20"/>
        <w:szCs w:val="20"/>
      </w:rPr>
      <w:fldChar w:fldCharType="begin"/>
    </w:r>
    <w:r w:rsidRPr="00931C3D">
      <w:rPr>
        <w:rStyle w:val="Nmerodepgina"/>
        <w:rFonts w:ascii="Arial Narrow" w:hAnsi="Arial Narrow"/>
        <w:sz w:val="20"/>
        <w:szCs w:val="20"/>
      </w:rPr>
      <w:instrText xml:space="preserve">PAGE  </w:instrText>
    </w:r>
    <w:r w:rsidRPr="00931C3D">
      <w:rPr>
        <w:rStyle w:val="Nmerodepgina"/>
        <w:rFonts w:ascii="Arial Narrow" w:hAnsi="Arial Narrow"/>
        <w:sz w:val="20"/>
        <w:szCs w:val="20"/>
      </w:rPr>
      <w:fldChar w:fldCharType="separate"/>
    </w:r>
    <w:r>
      <w:rPr>
        <w:rStyle w:val="Nmerodepgina"/>
        <w:rFonts w:ascii="Arial Narrow" w:hAnsi="Arial Narrow"/>
        <w:noProof/>
        <w:sz w:val="20"/>
        <w:szCs w:val="20"/>
      </w:rPr>
      <w:t>1</w:t>
    </w:r>
    <w:r w:rsidRPr="00931C3D">
      <w:rPr>
        <w:rStyle w:val="Nmerodepgina"/>
        <w:rFonts w:ascii="Arial Narrow" w:hAnsi="Arial Narrow"/>
        <w:sz w:val="20"/>
        <w:szCs w:val="20"/>
      </w:rPr>
      <w:fldChar w:fldCharType="end"/>
    </w:r>
  </w:p>
  <w:p w:rsidR="00DB0EA3" w:rsidRDefault="001C7BD3" w:rsidP="00931C3D">
    <w:pPr>
      <w:pStyle w:val="Piedepgina"/>
      <w:ind w:right="360"/>
      <w:jc w:val="right"/>
    </w:pPr>
    <w:r>
      <w:rPr>
        <w:rFonts w:ascii="Arial Narrow" w:hAnsi="Arial Narrow"/>
        <w:noProof/>
        <w:sz w:val="20"/>
        <w:szCs w:val="20"/>
        <w:lang w:val="es-MX" w:eastAsia="es-MX"/>
      </w:rPr>
      <w:drawing>
        <wp:inline distT="0" distB="0" distL="0" distR="0" wp14:anchorId="5475D854" wp14:editId="47F8E61B">
          <wp:extent cx="3828415" cy="462280"/>
          <wp:effectExtent l="0" t="0" r="635" b="0"/>
          <wp:docPr id="23" name="Imagen 23" descr="Sec Gener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 General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8415" cy="46228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D35" w:rsidRDefault="00561D35">
      <w:r>
        <w:separator/>
      </w:r>
    </w:p>
  </w:footnote>
  <w:footnote w:type="continuationSeparator" w:id="0">
    <w:p w:rsidR="00561D35" w:rsidRDefault="00561D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CA6" w:rsidRDefault="00955CA6" w:rsidP="00955CA6">
    <w:pPr>
      <w:pStyle w:val="Sinespaciado"/>
      <w:ind w:left="2552"/>
      <w:jc w:val="right"/>
      <w:rPr>
        <w:rFonts w:ascii="Arial" w:eastAsia="Calibri" w:hAnsi="Arial" w:cs="Arial"/>
        <w:smallCaps/>
        <w:sz w:val="20"/>
        <w:szCs w:val="20"/>
        <w:lang w:eastAsia="es-MX"/>
      </w:rPr>
    </w:pPr>
    <w:r w:rsidRPr="001963F2">
      <w:rPr>
        <w:rFonts w:ascii="Arial" w:eastAsia="Calibri" w:hAnsi="Arial" w:cs="Arial"/>
        <w:smallCaps/>
        <w:sz w:val="20"/>
        <w:szCs w:val="20"/>
        <w:lang w:eastAsia="es-MX"/>
      </w:rPr>
      <w:t>Respuesta Del Estado Mexicano</w:t>
    </w:r>
    <w:r>
      <w:rPr>
        <w:rFonts w:ascii="Arial" w:eastAsia="Calibri" w:hAnsi="Arial" w:cs="Arial"/>
        <w:smallCaps/>
        <w:sz w:val="20"/>
        <w:szCs w:val="20"/>
        <w:lang w:eastAsia="es-MX"/>
      </w:rPr>
      <w:t xml:space="preserve"> </w:t>
    </w:r>
  </w:p>
  <w:p w:rsidR="00955CA6" w:rsidRPr="001963F2" w:rsidRDefault="00955CA6" w:rsidP="00955CA6">
    <w:pPr>
      <w:pStyle w:val="Sinespaciado"/>
      <w:ind w:left="2552"/>
      <w:jc w:val="right"/>
      <w:rPr>
        <w:rFonts w:ascii="Arial" w:eastAsia="Calibri" w:hAnsi="Arial" w:cs="Arial"/>
        <w:smallCaps/>
        <w:sz w:val="20"/>
        <w:szCs w:val="20"/>
        <w:lang w:eastAsia="es-MX"/>
      </w:rPr>
    </w:pPr>
    <w:r w:rsidRPr="001963F2">
      <w:rPr>
        <w:rFonts w:ascii="Arial" w:eastAsia="Calibri" w:hAnsi="Arial" w:cs="Arial"/>
        <w:smallCaps/>
        <w:sz w:val="20"/>
        <w:szCs w:val="20"/>
        <w:lang w:eastAsia="es-MX"/>
      </w:rPr>
      <w:t xml:space="preserve">Lista </w:t>
    </w:r>
    <w:r>
      <w:rPr>
        <w:rFonts w:ascii="Arial" w:eastAsia="Calibri" w:hAnsi="Arial" w:cs="Arial"/>
        <w:smallCaps/>
        <w:sz w:val="20"/>
        <w:szCs w:val="20"/>
        <w:lang w:eastAsia="es-MX"/>
      </w:rPr>
      <w:t>de</w:t>
    </w:r>
    <w:r w:rsidRPr="001963F2">
      <w:rPr>
        <w:rFonts w:ascii="Arial" w:eastAsia="Calibri" w:hAnsi="Arial" w:cs="Arial"/>
        <w:smallCaps/>
        <w:sz w:val="20"/>
        <w:szCs w:val="20"/>
        <w:lang w:eastAsia="es-MX"/>
      </w:rPr>
      <w:t xml:space="preserve"> Cuestiones Relativa </w:t>
    </w:r>
    <w:r>
      <w:rPr>
        <w:rFonts w:ascii="Arial" w:eastAsia="Calibri" w:hAnsi="Arial" w:cs="Arial"/>
        <w:smallCaps/>
        <w:sz w:val="20"/>
        <w:szCs w:val="20"/>
        <w:lang w:eastAsia="es-MX"/>
      </w:rPr>
      <w:t xml:space="preserve"> a los Informes Periódicos Quinto y</w:t>
    </w:r>
    <w:r w:rsidRPr="001963F2">
      <w:rPr>
        <w:rFonts w:ascii="Arial" w:eastAsia="Calibri" w:hAnsi="Arial" w:cs="Arial"/>
        <w:smallCaps/>
        <w:sz w:val="20"/>
        <w:szCs w:val="20"/>
        <w:lang w:eastAsia="es-MX"/>
      </w:rPr>
      <w:t xml:space="preserve"> Sexto Combinados </w:t>
    </w:r>
    <w:r>
      <w:rPr>
        <w:rFonts w:ascii="Arial" w:eastAsia="Calibri" w:hAnsi="Arial" w:cs="Arial"/>
        <w:smallCaps/>
        <w:sz w:val="20"/>
        <w:szCs w:val="20"/>
        <w:lang w:eastAsia="es-MX"/>
      </w:rPr>
      <w:t>sobre el</w:t>
    </w:r>
    <w:r w:rsidRPr="001963F2">
      <w:rPr>
        <w:rFonts w:ascii="Arial" w:eastAsia="Calibri" w:hAnsi="Arial" w:cs="Arial"/>
        <w:smallCaps/>
        <w:sz w:val="20"/>
        <w:szCs w:val="20"/>
        <w:lang w:eastAsia="es-MX"/>
      </w:rPr>
      <w:t xml:space="preserve"> Cumplimiento </w:t>
    </w:r>
    <w:r>
      <w:rPr>
        <w:rFonts w:ascii="Arial" w:eastAsia="Calibri" w:hAnsi="Arial" w:cs="Arial"/>
        <w:smallCaps/>
        <w:sz w:val="20"/>
        <w:szCs w:val="20"/>
        <w:lang w:eastAsia="es-MX"/>
      </w:rPr>
      <w:t>del</w:t>
    </w:r>
    <w:r w:rsidRPr="001963F2">
      <w:rPr>
        <w:rFonts w:ascii="Arial" w:eastAsia="Calibri" w:hAnsi="Arial" w:cs="Arial"/>
        <w:smallCaps/>
        <w:sz w:val="20"/>
        <w:szCs w:val="20"/>
        <w:lang w:eastAsia="es-MX"/>
      </w:rPr>
      <w:t xml:space="preserve"> Pacto Internacional </w:t>
    </w:r>
    <w:r>
      <w:rPr>
        <w:rFonts w:ascii="Arial" w:eastAsia="Calibri" w:hAnsi="Arial" w:cs="Arial"/>
        <w:smallCaps/>
        <w:sz w:val="20"/>
        <w:szCs w:val="20"/>
        <w:lang w:eastAsia="es-MX"/>
      </w:rPr>
      <w:t>de Derechos Económicos, Sociales y</w:t>
    </w:r>
    <w:r w:rsidRPr="001963F2">
      <w:rPr>
        <w:rFonts w:ascii="Arial" w:eastAsia="Calibri" w:hAnsi="Arial" w:cs="Arial"/>
        <w:smallCaps/>
        <w:sz w:val="20"/>
        <w:szCs w:val="20"/>
        <w:lang w:eastAsia="es-MX"/>
      </w:rPr>
      <w:t xml:space="preserve"> Culturales</w:t>
    </w:r>
  </w:p>
  <w:p w:rsidR="00DB0EA3" w:rsidRPr="00955CA6" w:rsidRDefault="00561D35" w:rsidP="0064387E">
    <w:pPr>
      <w:pStyle w:val="Encabezado"/>
      <w:tabs>
        <w:tab w:val="clear" w:pos="4252"/>
      </w:tabs>
      <w:jc w:val="both"/>
      <w:rPr>
        <w:u w:val="single"/>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8560D3"/>
    <w:multiLevelType w:val="hybridMultilevel"/>
    <w:tmpl w:val="6FF20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CB17613"/>
    <w:multiLevelType w:val="hybridMultilevel"/>
    <w:tmpl w:val="34B455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DF31757"/>
    <w:multiLevelType w:val="hybridMultilevel"/>
    <w:tmpl w:val="14404E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8A6"/>
    <w:rsid w:val="00013F1A"/>
    <w:rsid w:val="000214E7"/>
    <w:rsid w:val="00044F94"/>
    <w:rsid w:val="000823D4"/>
    <w:rsid w:val="00121953"/>
    <w:rsid w:val="001434A6"/>
    <w:rsid w:val="00177B46"/>
    <w:rsid w:val="00182E41"/>
    <w:rsid w:val="001C7BD3"/>
    <w:rsid w:val="002256BD"/>
    <w:rsid w:val="002B2533"/>
    <w:rsid w:val="002F5B51"/>
    <w:rsid w:val="00331441"/>
    <w:rsid w:val="00353ED3"/>
    <w:rsid w:val="0038798D"/>
    <w:rsid w:val="003D0DEA"/>
    <w:rsid w:val="003E503C"/>
    <w:rsid w:val="0042284B"/>
    <w:rsid w:val="004730DE"/>
    <w:rsid w:val="004B3EC3"/>
    <w:rsid w:val="00561D35"/>
    <w:rsid w:val="00577713"/>
    <w:rsid w:val="00580660"/>
    <w:rsid w:val="00590096"/>
    <w:rsid w:val="005928CE"/>
    <w:rsid w:val="005F72A4"/>
    <w:rsid w:val="006F6CE8"/>
    <w:rsid w:val="00732BA8"/>
    <w:rsid w:val="00754D05"/>
    <w:rsid w:val="00763769"/>
    <w:rsid w:val="007F4148"/>
    <w:rsid w:val="008814B5"/>
    <w:rsid w:val="008B639D"/>
    <w:rsid w:val="008C6A05"/>
    <w:rsid w:val="008E4C09"/>
    <w:rsid w:val="0092014B"/>
    <w:rsid w:val="009400C3"/>
    <w:rsid w:val="00955CA6"/>
    <w:rsid w:val="009B18A6"/>
    <w:rsid w:val="009D72B0"/>
    <w:rsid w:val="00A13D34"/>
    <w:rsid w:val="00A5668A"/>
    <w:rsid w:val="00A74ED6"/>
    <w:rsid w:val="00AB0F53"/>
    <w:rsid w:val="00AC0EC7"/>
    <w:rsid w:val="00AF3B7B"/>
    <w:rsid w:val="00AF6B3F"/>
    <w:rsid w:val="00BA3D01"/>
    <w:rsid w:val="00C55F25"/>
    <w:rsid w:val="00C70AE2"/>
    <w:rsid w:val="00C86E45"/>
    <w:rsid w:val="00C9773F"/>
    <w:rsid w:val="00CA58FB"/>
    <w:rsid w:val="00CB24B2"/>
    <w:rsid w:val="00CF64F1"/>
    <w:rsid w:val="00D403F0"/>
    <w:rsid w:val="00D51407"/>
    <w:rsid w:val="00D64255"/>
    <w:rsid w:val="00D66A9F"/>
    <w:rsid w:val="00D731D6"/>
    <w:rsid w:val="00DB408C"/>
    <w:rsid w:val="00DC5DAF"/>
    <w:rsid w:val="00DD40F1"/>
    <w:rsid w:val="00E05A5D"/>
    <w:rsid w:val="00E46E63"/>
    <w:rsid w:val="00EC1648"/>
    <w:rsid w:val="00EE4D59"/>
    <w:rsid w:val="00EF6981"/>
    <w:rsid w:val="00F610E0"/>
    <w:rsid w:val="00FF476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49DA05-6AEE-45B2-BB89-ADBD2A29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8A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B18A6"/>
    <w:pPr>
      <w:tabs>
        <w:tab w:val="center" w:pos="4252"/>
        <w:tab w:val="right" w:pos="8504"/>
      </w:tabs>
    </w:pPr>
  </w:style>
  <w:style w:type="character" w:customStyle="1" w:styleId="EncabezadoCar">
    <w:name w:val="Encabezado Car"/>
    <w:basedOn w:val="Fuentedeprrafopredeter"/>
    <w:link w:val="Encabezado"/>
    <w:uiPriority w:val="99"/>
    <w:rsid w:val="009B18A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9B18A6"/>
    <w:pPr>
      <w:tabs>
        <w:tab w:val="center" w:pos="4252"/>
        <w:tab w:val="right" w:pos="8504"/>
      </w:tabs>
    </w:pPr>
  </w:style>
  <w:style w:type="character" w:customStyle="1" w:styleId="PiedepginaCar">
    <w:name w:val="Pie de página Car"/>
    <w:basedOn w:val="Fuentedeprrafopredeter"/>
    <w:link w:val="Piedepgina"/>
    <w:uiPriority w:val="99"/>
    <w:rsid w:val="009B18A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B18A6"/>
    <w:pPr>
      <w:spacing w:before="100" w:beforeAutospacing="1" w:after="100" w:afterAutospacing="1"/>
    </w:pPr>
  </w:style>
  <w:style w:type="character" w:styleId="Nmerodepgina">
    <w:name w:val="page number"/>
    <w:uiPriority w:val="99"/>
    <w:rsid w:val="009B18A6"/>
    <w:rPr>
      <w:rFonts w:cs="Times New Roman"/>
    </w:rPr>
  </w:style>
  <w:style w:type="table" w:styleId="Tablaconcuadrcula">
    <w:name w:val="Table Grid"/>
    <w:basedOn w:val="Tablanormal"/>
    <w:uiPriority w:val="99"/>
    <w:rsid w:val="00A13D34"/>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nfasis3">
    <w:name w:val="Light Shading Accent 3"/>
    <w:basedOn w:val="Tablanormal"/>
    <w:uiPriority w:val="60"/>
    <w:rsid w:val="00A13D34"/>
    <w:pPr>
      <w:spacing w:after="0" w:line="240" w:lineRule="auto"/>
    </w:pPr>
    <w:rPr>
      <w:rFonts w:ascii="Times New Roman" w:eastAsia="Times New Roman" w:hAnsi="Times New Roman" w:cs="Times New Roman"/>
      <w:color w:val="76923C" w:themeColor="accent3" w:themeShade="BF"/>
      <w:sz w:val="20"/>
      <w:szCs w:val="20"/>
      <w:lang w:eastAsia="es-MX"/>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Prrafodelista">
    <w:name w:val="List Paragraph"/>
    <w:basedOn w:val="Normal"/>
    <w:uiPriority w:val="34"/>
    <w:qFormat/>
    <w:rsid w:val="008814B5"/>
    <w:pPr>
      <w:ind w:left="720"/>
      <w:contextualSpacing/>
    </w:pPr>
  </w:style>
  <w:style w:type="paragraph" w:styleId="Sinespaciado">
    <w:name w:val="No Spacing"/>
    <w:uiPriority w:val="1"/>
    <w:qFormat/>
    <w:rsid w:val="00955C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5804515">
      <w:bodyDiv w:val="1"/>
      <w:marLeft w:val="0"/>
      <w:marRight w:val="0"/>
      <w:marTop w:val="0"/>
      <w:marBottom w:val="0"/>
      <w:divBdr>
        <w:top w:val="none" w:sz="0" w:space="0" w:color="auto"/>
        <w:left w:val="none" w:sz="0" w:space="0" w:color="auto"/>
        <w:bottom w:val="none" w:sz="0" w:space="0" w:color="auto"/>
        <w:right w:val="none" w:sz="0" w:space="0" w:color="auto"/>
      </w:divBdr>
    </w:div>
    <w:div w:id="198149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F4A381-661D-4114-BF3B-12FD778D495B}"/>
</file>

<file path=customXml/itemProps2.xml><?xml version="1.0" encoding="utf-8"?>
<ds:datastoreItem xmlns:ds="http://schemas.openxmlformats.org/officeDocument/2006/customXml" ds:itemID="{D1AEB975-38DD-4BD3-9C6B-EF95AE028884}"/>
</file>

<file path=customXml/itemProps3.xml><?xml version="1.0" encoding="utf-8"?>
<ds:datastoreItem xmlns:ds="http://schemas.openxmlformats.org/officeDocument/2006/customXml" ds:itemID="{6CBDB3C3-F633-4748-9873-8A5ACC53A006}"/>
</file>

<file path=customXml/itemProps4.xml><?xml version="1.0" encoding="utf-8"?>
<ds:datastoreItem xmlns:ds="http://schemas.openxmlformats.org/officeDocument/2006/customXml" ds:itemID="{4B6A494F-1375-4413-90AF-5495364405E2}"/>
</file>

<file path=docProps/app.xml><?xml version="1.0" encoding="utf-8"?>
<Properties xmlns="http://schemas.openxmlformats.org/officeDocument/2006/extended-properties" xmlns:vt="http://schemas.openxmlformats.org/officeDocument/2006/docPropsVTypes">
  <Template>Normal.dotm</Template>
  <TotalTime>3</TotalTime>
  <Pages>3</Pages>
  <Words>1187</Words>
  <Characters>6533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 Corporation</Company>
  <LinksUpToDate>false</LinksUpToDate>
  <CharactersWithSpaces>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Armando Cid Islas</dc:creator>
  <cp:lastModifiedBy>Mendoza Carlos, Alondra Lisette</cp:lastModifiedBy>
  <cp:revision>4</cp:revision>
  <cp:lastPrinted>2017-04-17T23:16:00Z</cp:lastPrinted>
  <dcterms:created xsi:type="dcterms:W3CDTF">2017-07-13T23:50:00Z</dcterms:created>
  <dcterms:modified xsi:type="dcterms:W3CDTF">2017-07-13T23:52:00Z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