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D05D484" w14:textId="77777777" w:rsidR="001A5C71" w:rsidRPr="001A5C71" w:rsidRDefault="001A5C71" w:rsidP="001A5C71">
      <w:pPr>
        <w:pStyle w:val="HChG"/>
        <w:numPr>
          <w:ilvl w:val="0"/>
          <w:numId w:val="7"/>
        </w:numPr>
        <w:jc w:val="both"/>
        <w:rPr>
          <w:color w:val="0070C0"/>
        </w:rPr>
      </w:pPr>
      <w:bookmarkStart w:id="0" w:name="_GoBack"/>
      <w:bookmarkEnd w:id="0"/>
      <w:r>
        <w:rPr>
          <w:color w:val="000000"/>
          <w:szCs w:val="28"/>
        </w:rPr>
        <w:t>Introduction</w:t>
      </w:r>
    </w:p>
    <w:p w14:paraId="0B1CEEBC" w14:textId="2132E907" w:rsidR="00D43DDA" w:rsidRPr="001A5C71" w:rsidRDefault="00D43DDA" w:rsidP="001A5C71">
      <w:pPr>
        <w:pStyle w:val="HChG"/>
        <w:ind w:left="0" w:right="0" w:firstLine="0"/>
        <w:jc w:val="both"/>
        <w:rPr>
          <w:b w:val="0"/>
          <w:bCs/>
          <w:color w:val="000000"/>
          <w:sz w:val="20"/>
        </w:rPr>
      </w:pPr>
      <w:r w:rsidRPr="001A5C71">
        <w:rPr>
          <w:b w:val="0"/>
          <w:bCs/>
          <w:color w:val="000000"/>
          <w:sz w:val="20"/>
        </w:rPr>
        <w:t>The aim of this report is to expose the existing conditions of trans* rights in Italy. Currently</w:t>
      </w:r>
      <w:r w:rsidR="00B5537A" w:rsidRPr="001A5C71">
        <w:rPr>
          <w:b w:val="0"/>
          <w:bCs/>
          <w:color w:val="000000"/>
          <w:sz w:val="20"/>
        </w:rPr>
        <w:t>,</w:t>
      </w:r>
      <w:r w:rsidRPr="001A5C71">
        <w:rPr>
          <w:b w:val="0"/>
          <w:bCs/>
          <w:color w:val="000000"/>
          <w:sz w:val="20"/>
        </w:rPr>
        <w:t xml:space="preserve"> the national health system (SSN) is giving poor access to services for trans* people, and legal gender recognition is granted by law under tense and arbitrary conditions. We gathered </w:t>
      </w:r>
      <w:r w:rsidR="00B5537A" w:rsidRPr="001A5C71">
        <w:rPr>
          <w:b w:val="0"/>
          <w:bCs/>
          <w:color w:val="000000"/>
          <w:sz w:val="20"/>
        </w:rPr>
        <w:t>information</w:t>
      </w:r>
      <w:r w:rsidRPr="001A5C71">
        <w:rPr>
          <w:b w:val="0"/>
          <w:bCs/>
          <w:color w:val="000000"/>
          <w:sz w:val="20"/>
        </w:rPr>
        <w:t xml:space="preserve"> from articles and scientific papers that evaluate some areas of interest when it </w:t>
      </w:r>
      <w:r w:rsidR="00B5537A" w:rsidRPr="001A5C71">
        <w:rPr>
          <w:b w:val="0"/>
          <w:bCs/>
          <w:color w:val="000000"/>
          <w:sz w:val="20"/>
        </w:rPr>
        <w:t>comes</w:t>
      </w:r>
      <w:r w:rsidRPr="001A5C71">
        <w:rPr>
          <w:b w:val="0"/>
          <w:bCs/>
          <w:color w:val="000000"/>
          <w:sz w:val="20"/>
        </w:rPr>
        <w:t xml:space="preserve"> to trans* wellbeing.</w:t>
      </w:r>
      <w:r w:rsidR="00555F47" w:rsidRPr="001A5C71">
        <w:rPr>
          <w:b w:val="0"/>
          <w:bCs/>
          <w:color w:val="000000"/>
          <w:sz w:val="20"/>
        </w:rPr>
        <w:t xml:space="preserve"> </w:t>
      </w:r>
      <w:r w:rsidRPr="001A5C71">
        <w:rPr>
          <w:b w:val="0"/>
          <w:bCs/>
          <w:color w:val="000000"/>
          <w:sz w:val="20"/>
        </w:rPr>
        <w:t xml:space="preserve">When dealing with different paths of gender affirmation, many findings point out the lack of national guidelines and training for professionals at all levels. </w:t>
      </w:r>
    </w:p>
    <w:p w14:paraId="4954C550" w14:textId="77777777" w:rsidR="00D43DDA" w:rsidRPr="00D43DDA" w:rsidRDefault="00D43DDA" w:rsidP="00D15BA5">
      <w:pPr>
        <w:pStyle w:val="HChG"/>
        <w:jc w:val="both"/>
        <w:rPr>
          <w:b w:val="0"/>
          <w:bCs/>
          <w:color w:val="000000"/>
          <w:sz w:val="20"/>
        </w:rPr>
      </w:pPr>
      <w:r w:rsidRPr="00D43DDA">
        <w:rPr>
          <w:b w:val="0"/>
          <w:bCs/>
          <w:color w:val="000000"/>
          <w:sz w:val="20"/>
        </w:rPr>
        <w:t>The topics covered are as follows:</w:t>
      </w:r>
    </w:p>
    <w:p w14:paraId="60C7269F" w14:textId="310D2C06" w:rsidR="00D43DDA" w:rsidRPr="00B5537A" w:rsidRDefault="00D43DDA" w:rsidP="00334E64">
      <w:pPr>
        <w:pStyle w:val="NormalWeb"/>
        <w:numPr>
          <w:ilvl w:val="0"/>
          <w:numId w:val="9"/>
        </w:numPr>
        <w:shd w:val="clear" w:color="auto" w:fill="FFFFFF"/>
        <w:spacing w:after="0"/>
        <w:jc w:val="both"/>
        <w:rPr>
          <w:sz w:val="20"/>
          <w:szCs w:val="20"/>
          <w:lang w:val="en-US"/>
        </w:rPr>
      </w:pPr>
      <w:r w:rsidRPr="00B5537A">
        <w:rPr>
          <w:color w:val="000000"/>
          <w:sz w:val="20"/>
          <w:szCs w:val="20"/>
          <w:lang w:val="en-US"/>
        </w:rPr>
        <w:t>Pathologization of trans* people and difficulties in accessing gender transition processes.</w:t>
      </w:r>
    </w:p>
    <w:p w14:paraId="47F00F78" w14:textId="239791F3" w:rsidR="00D43DDA" w:rsidRDefault="00D43DDA" w:rsidP="00334E64">
      <w:pPr>
        <w:pStyle w:val="HChG"/>
        <w:numPr>
          <w:ilvl w:val="0"/>
          <w:numId w:val="9"/>
        </w:numPr>
        <w:jc w:val="both"/>
        <w:rPr>
          <w:b w:val="0"/>
          <w:bCs/>
          <w:color w:val="000000"/>
          <w:sz w:val="20"/>
        </w:rPr>
      </w:pPr>
      <w:r w:rsidRPr="00D43DDA">
        <w:rPr>
          <w:b w:val="0"/>
          <w:bCs/>
          <w:color w:val="000000"/>
          <w:sz w:val="20"/>
        </w:rPr>
        <w:t>Current legislation on gender affirmation;</w:t>
      </w:r>
    </w:p>
    <w:p w14:paraId="046692C0" w14:textId="08C6EFC5" w:rsidR="00D43DDA" w:rsidRPr="00D43DDA" w:rsidRDefault="00D43DDA" w:rsidP="00334E64">
      <w:pPr>
        <w:pStyle w:val="HChG"/>
        <w:numPr>
          <w:ilvl w:val="0"/>
          <w:numId w:val="9"/>
        </w:numPr>
        <w:jc w:val="both"/>
        <w:rPr>
          <w:b w:val="0"/>
          <w:bCs/>
          <w:color w:val="000000"/>
          <w:sz w:val="20"/>
        </w:rPr>
      </w:pPr>
      <w:r w:rsidRPr="00D43DDA">
        <w:rPr>
          <w:b w:val="0"/>
          <w:bCs/>
          <w:color w:val="000000"/>
          <w:sz w:val="20"/>
        </w:rPr>
        <w:t>Recognition of transgender childhood</w:t>
      </w:r>
    </w:p>
    <w:p w14:paraId="5F8E3ED7" w14:textId="52E91FE6" w:rsidR="00D43DDA" w:rsidRPr="00D43DDA" w:rsidRDefault="00D43DDA" w:rsidP="00334E64">
      <w:pPr>
        <w:pStyle w:val="HChG"/>
        <w:numPr>
          <w:ilvl w:val="0"/>
          <w:numId w:val="9"/>
        </w:numPr>
        <w:jc w:val="both"/>
        <w:rPr>
          <w:b w:val="0"/>
          <w:bCs/>
          <w:color w:val="000000"/>
          <w:sz w:val="20"/>
        </w:rPr>
      </w:pPr>
      <w:r w:rsidRPr="00D43DDA">
        <w:rPr>
          <w:b w:val="0"/>
          <w:bCs/>
          <w:color w:val="000000"/>
          <w:sz w:val="20"/>
        </w:rPr>
        <w:t>Discrimination in the medical and health care environment;</w:t>
      </w:r>
    </w:p>
    <w:p w14:paraId="6F0DAC8C" w14:textId="54799165" w:rsidR="00D43DDA" w:rsidRPr="00D43DDA" w:rsidRDefault="00D43DDA" w:rsidP="00334E64">
      <w:pPr>
        <w:pStyle w:val="HChG"/>
        <w:numPr>
          <w:ilvl w:val="0"/>
          <w:numId w:val="9"/>
        </w:numPr>
        <w:jc w:val="both"/>
        <w:rPr>
          <w:b w:val="0"/>
          <w:bCs/>
          <w:color w:val="000000"/>
          <w:sz w:val="20"/>
        </w:rPr>
      </w:pPr>
      <w:r w:rsidRPr="00D43DDA">
        <w:rPr>
          <w:b w:val="0"/>
          <w:bCs/>
          <w:color w:val="000000"/>
          <w:sz w:val="20"/>
        </w:rPr>
        <w:t>Sexual and reproductive rights of transgender people;</w:t>
      </w:r>
    </w:p>
    <w:p w14:paraId="7AA16D05" w14:textId="56CBBD89" w:rsidR="00D43DDA" w:rsidRPr="00D43DDA" w:rsidRDefault="00D43DDA" w:rsidP="00334E64">
      <w:pPr>
        <w:pStyle w:val="HChG"/>
        <w:numPr>
          <w:ilvl w:val="0"/>
          <w:numId w:val="9"/>
        </w:numPr>
        <w:jc w:val="both"/>
        <w:rPr>
          <w:b w:val="0"/>
          <w:bCs/>
          <w:color w:val="000000"/>
          <w:sz w:val="20"/>
        </w:rPr>
      </w:pPr>
      <w:r w:rsidRPr="00D43DDA">
        <w:rPr>
          <w:b w:val="0"/>
          <w:bCs/>
          <w:color w:val="000000"/>
          <w:sz w:val="20"/>
        </w:rPr>
        <w:t>Genital mutilation of intersex people.</w:t>
      </w:r>
    </w:p>
    <w:p w14:paraId="3F994B09" w14:textId="6133158C" w:rsidR="00D43DDA" w:rsidRPr="00D43DDA" w:rsidRDefault="00D43DDA" w:rsidP="00334E64">
      <w:pPr>
        <w:pStyle w:val="HChG"/>
        <w:numPr>
          <w:ilvl w:val="0"/>
          <w:numId w:val="9"/>
        </w:numPr>
        <w:jc w:val="both"/>
        <w:rPr>
          <w:b w:val="0"/>
          <w:bCs/>
          <w:color w:val="000000"/>
          <w:sz w:val="20"/>
        </w:rPr>
      </w:pPr>
      <w:r w:rsidRPr="00D43DDA">
        <w:rPr>
          <w:b w:val="0"/>
          <w:bCs/>
          <w:color w:val="000000"/>
          <w:sz w:val="20"/>
        </w:rPr>
        <w:t>Domestic violence between LGBTQIA+ partners.</w:t>
      </w:r>
    </w:p>
    <w:p w14:paraId="5A6755D5" w14:textId="2C95D619" w:rsidR="00D43DDA" w:rsidRDefault="00555F47" w:rsidP="00555F47">
      <w:pPr>
        <w:pStyle w:val="HChG"/>
        <w:ind w:left="0" w:right="0" w:firstLine="0"/>
        <w:jc w:val="both"/>
        <w:rPr>
          <w:b w:val="0"/>
          <w:bCs/>
          <w:color w:val="000000"/>
          <w:sz w:val="20"/>
        </w:rPr>
      </w:pPr>
      <w:r>
        <w:rPr>
          <w:b w:val="0"/>
          <w:bCs/>
          <w:color w:val="000000"/>
          <w:sz w:val="20"/>
        </w:rPr>
        <w:tab/>
      </w:r>
      <w:r w:rsidR="00D43DDA" w:rsidRPr="00D43DDA">
        <w:rPr>
          <w:b w:val="0"/>
          <w:bCs/>
          <w:color w:val="000000"/>
          <w:sz w:val="20"/>
        </w:rPr>
        <w:t>Available sources, which include articles written by the report authors, will be attached at the end of t</w:t>
      </w:r>
      <w:r>
        <w:rPr>
          <w:b w:val="0"/>
          <w:bCs/>
          <w:color w:val="000000"/>
          <w:sz w:val="20"/>
        </w:rPr>
        <w:t xml:space="preserve">he </w:t>
      </w:r>
      <w:r w:rsidR="00D43DDA" w:rsidRPr="00D43DDA">
        <w:rPr>
          <w:b w:val="0"/>
          <w:bCs/>
          <w:color w:val="000000"/>
          <w:sz w:val="20"/>
        </w:rPr>
        <w:t>report.</w:t>
      </w:r>
    </w:p>
    <w:p w14:paraId="580037C4" w14:textId="77777777" w:rsidR="00555F47" w:rsidRPr="00555F47" w:rsidRDefault="00555F47" w:rsidP="00555F47"/>
    <w:p w14:paraId="6CEF3B11" w14:textId="74FEA714" w:rsidR="00337477" w:rsidRPr="00B5537A" w:rsidRDefault="006256D3" w:rsidP="0085124A">
      <w:pPr>
        <w:pStyle w:val="NormalWeb"/>
        <w:numPr>
          <w:ilvl w:val="0"/>
          <w:numId w:val="4"/>
        </w:numPr>
        <w:shd w:val="clear" w:color="auto" w:fill="FFFFFF"/>
        <w:spacing w:after="0"/>
        <w:jc w:val="both"/>
        <w:rPr>
          <w:lang w:val="en-US"/>
        </w:rPr>
      </w:pPr>
      <w:r w:rsidRPr="00B5537A">
        <w:rPr>
          <w:b/>
          <w:bCs/>
          <w:color w:val="000000"/>
          <w:lang w:val="en-US"/>
        </w:rPr>
        <w:t>Pathologization of trans* people and difficulties in accessing gender transition processes.</w:t>
      </w:r>
    </w:p>
    <w:p w14:paraId="3FA3CAD8" w14:textId="713D842D" w:rsidR="006256D3" w:rsidRPr="00B5537A" w:rsidRDefault="006256D3" w:rsidP="0085124A">
      <w:pPr>
        <w:pStyle w:val="NormalWeb"/>
        <w:shd w:val="clear" w:color="auto" w:fill="FFFFFF"/>
        <w:spacing w:after="0"/>
        <w:jc w:val="both"/>
        <w:rPr>
          <w:sz w:val="16"/>
          <w:szCs w:val="16"/>
          <w:lang w:val="en-US"/>
        </w:rPr>
      </w:pPr>
      <w:r w:rsidRPr="00B5537A">
        <w:rPr>
          <w:color w:val="000000"/>
          <w:sz w:val="20"/>
          <w:szCs w:val="20"/>
          <w:lang w:val="en-US"/>
        </w:rPr>
        <w:t>T</w:t>
      </w:r>
      <w:r w:rsidRPr="006256D3">
        <w:rPr>
          <w:color w:val="000000"/>
          <w:sz w:val="20"/>
          <w:szCs w:val="20"/>
          <w:lang w:val="en-US"/>
        </w:rPr>
        <w:t>hroughout the parliamentary debate</w:t>
      </w:r>
      <w:r w:rsidR="00D15BA5">
        <w:rPr>
          <w:color w:val="000000"/>
          <w:sz w:val="20"/>
          <w:szCs w:val="20"/>
          <w:lang w:val="en-US"/>
        </w:rPr>
        <w:t>,</w:t>
      </w:r>
      <w:r w:rsidRPr="006256D3">
        <w:rPr>
          <w:color w:val="000000"/>
          <w:sz w:val="20"/>
          <w:szCs w:val="20"/>
          <w:lang w:val="en-US"/>
        </w:rPr>
        <w:t xml:space="preserve"> the principle that the right to change one</w:t>
      </w:r>
      <w:r w:rsidRPr="00B5537A">
        <w:rPr>
          <w:color w:val="000000"/>
          <w:sz w:val="20"/>
          <w:szCs w:val="20"/>
          <w:lang w:val="en-US"/>
        </w:rPr>
        <w:t>’</w:t>
      </w:r>
      <w:r w:rsidRPr="006256D3">
        <w:rPr>
          <w:color w:val="000000"/>
          <w:sz w:val="20"/>
          <w:szCs w:val="20"/>
          <w:lang w:val="en-US"/>
        </w:rPr>
        <w:t>s sex might derive from a principle of self-determination was repeatedly denied.</w:t>
      </w:r>
      <w:r w:rsidRPr="00B5537A">
        <w:rPr>
          <w:color w:val="000000"/>
          <w:sz w:val="20"/>
          <w:szCs w:val="20"/>
          <w:lang w:val="en-US"/>
        </w:rPr>
        <w:t xml:space="preserve"> </w:t>
      </w:r>
      <w:r w:rsidRPr="006256D3">
        <w:rPr>
          <w:color w:val="000000"/>
          <w:sz w:val="20"/>
          <w:szCs w:val="20"/>
          <w:lang w:val="en-US"/>
        </w:rPr>
        <w:t>Instead, it was replaced by a reiteration of the pathological nature of the trans condition</w:t>
      </w:r>
      <w:r w:rsidRPr="00B5537A">
        <w:rPr>
          <w:color w:val="000000"/>
          <w:sz w:val="20"/>
          <w:szCs w:val="20"/>
          <w:lang w:val="en-US"/>
        </w:rPr>
        <w:t xml:space="preserve"> (Voli, 2018).</w:t>
      </w:r>
    </w:p>
    <w:p w14:paraId="694FEC80" w14:textId="77777777" w:rsidR="00D15BA5" w:rsidRDefault="006256D3" w:rsidP="0085124A">
      <w:pPr>
        <w:pStyle w:val="NormalWeb"/>
        <w:shd w:val="clear" w:color="auto" w:fill="FFFFFF"/>
        <w:spacing w:after="0"/>
        <w:jc w:val="both"/>
        <w:rPr>
          <w:color w:val="000000"/>
          <w:sz w:val="20"/>
          <w:szCs w:val="20"/>
          <w:lang w:val="en-US"/>
        </w:rPr>
      </w:pPr>
      <w:r w:rsidRPr="006256D3">
        <w:rPr>
          <w:color w:val="000000"/>
          <w:sz w:val="20"/>
          <w:szCs w:val="20"/>
          <w:lang w:val="en-US"/>
        </w:rPr>
        <w:t>As shown by a vast amount of literature, pathologization represents a form of structural stigma that has legal, social</w:t>
      </w:r>
      <w:r w:rsidR="00D15BA5">
        <w:rPr>
          <w:color w:val="000000"/>
          <w:sz w:val="20"/>
          <w:szCs w:val="20"/>
          <w:lang w:val="en-US"/>
        </w:rPr>
        <w:t>,</w:t>
      </w:r>
      <w:r w:rsidRPr="006256D3">
        <w:rPr>
          <w:color w:val="000000"/>
          <w:sz w:val="20"/>
          <w:szCs w:val="20"/>
          <w:lang w:val="en-US"/>
        </w:rPr>
        <w:t xml:space="preserve"> and health consequences for trans and gender-diverse people</w:t>
      </w:r>
      <w:r w:rsidRPr="00B5537A">
        <w:rPr>
          <w:color w:val="FF9300"/>
          <w:sz w:val="20"/>
          <w:szCs w:val="20"/>
          <w:lang w:val="en-US"/>
        </w:rPr>
        <w:t xml:space="preserve">. </w:t>
      </w:r>
      <w:r w:rsidRPr="00B5537A">
        <w:rPr>
          <w:color w:val="000000"/>
          <w:sz w:val="20"/>
          <w:szCs w:val="20"/>
          <w:lang w:val="en-US"/>
        </w:rPr>
        <w:t>In</w:t>
      </w:r>
      <w:r w:rsidRPr="006256D3">
        <w:rPr>
          <w:color w:val="000000"/>
          <w:sz w:val="20"/>
          <w:szCs w:val="20"/>
          <w:lang w:val="en-US"/>
        </w:rPr>
        <w:t xml:space="preserve"> Italy</w:t>
      </w:r>
      <w:r w:rsidR="00D15BA5">
        <w:rPr>
          <w:color w:val="000000"/>
          <w:sz w:val="20"/>
          <w:szCs w:val="20"/>
          <w:lang w:val="en-US"/>
        </w:rPr>
        <w:t>,</w:t>
      </w:r>
      <w:r w:rsidRPr="006256D3">
        <w:rPr>
          <w:color w:val="000000"/>
          <w:sz w:val="20"/>
          <w:szCs w:val="20"/>
          <w:lang w:val="en-US"/>
        </w:rPr>
        <w:t xml:space="preserve"> having a diagnosis of gender dysphoria</w:t>
      </w:r>
      <w:r w:rsidRPr="00B5537A">
        <w:rPr>
          <w:color w:val="000000"/>
          <w:sz w:val="20"/>
          <w:szCs w:val="20"/>
          <w:lang w:val="en-US"/>
        </w:rPr>
        <w:t xml:space="preserve">, </w:t>
      </w:r>
      <w:r w:rsidRPr="006256D3">
        <w:rPr>
          <w:color w:val="000000"/>
          <w:sz w:val="20"/>
          <w:szCs w:val="20"/>
          <w:lang w:val="en-US"/>
        </w:rPr>
        <w:t xml:space="preserve">as well as </w:t>
      </w:r>
      <w:r w:rsidRPr="00B5537A">
        <w:rPr>
          <w:color w:val="000000"/>
          <w:sz w:val="20"/>
          <w:szCs w:val="20"/>
          <w:lang w:val="en-US"/>
        </w:rPr>
        <w:t xml:space="preserve">undergoing </w:t>
      </w:r>
      <w:r w:rsidR="00D15BA5">
        <w:rPr>
          <w:color w:val="000000"/>
          <w:sz w:val="20"/>
          <w:szCs w:val="20"/>
          <w:lang w:val="en-US"/>
        </w:rPr>
        <w:t>gender-affirming</w:t>
      </w:r>
      <w:r w:rsidRPr="00B5537A">
        <w:rPr>
          <w:color w:val="000000"/>
          <w:sz w:val="20"/>
          <w:szCs w:val="20"/>
          <w:lang w:val="en-US"/>
        </w:rPr>
        <w:t xml:space="preserve"> hormonal therapy,</w:t>
      </w:r>
      <w:r w:rsidRPr="006256D3">
        <w:rPr>
          <w:color w:val="000000"/>
          <w:sz w:val="20"/>
          <w:szCs w:val="20"/>
          <w:lang w:val="en-US"/>
        </w:rPr>
        <w:t xml:space="preserve"> is still a requisite for having one gender and name changed in identity documents</w:t>
      </w:r>
      <w:r w:rsidRPr="00B5537A">
        <w:rPr>
          <w:color w:val="000000"/>
          <w:sz w:val="20"/>
          <w:szCs w:val="20"/>
          <w:lang w:val="en-US"/>
        </w:rPr>
        <w:t xml:space="preserve">. </w:t>
      </w:r>
      <w:r w:rsidRPr="006256D3">
        <w:rPr>
          <w:color w:val="000000"/>
          <w:sz w:val="20"/>
          <w:szCs w:val="20"/>
          <w:lang w:val="en-US"/>
        </w:rPr>
        <w:t>Furthermore, in order to access gender-affirming treatments, a diagnosis of gender dysphoria is required</w:t>
      </w:r>
      <w:r w:rsidRPr="00B5537A">
        <w:rPr>
          <w:color w:val="000000"/>
          <w:sz w:val="20"/>
          <w:szCs w:val="20"/>
          <w:lang w:val="en-US"/>
        </w:rPr>
        <w:t>.</w:t>
      </w:r>
      <w:r w:rsidRPr="006256D3">
        <w:rPr>
          <w:color w:val="000000"/>
          <w:sz w:val="20"/>
          <w:szCs w:val="20"/>
          <w:lang w:val="en-US"/>
        </w:rPr>
        <w:t xml:space="preserve"> In an attempt to mitigate trans pathologization, the category of </w:t>
      </w:r>
      <w:r w:rsidRPr="00B5537A">
        <w:rPr>
          <w:color w:val="000000"/>
          <w:sz w:val="20"/>
          <w:szCs w:val="20"/>
          <w:lang w:val="en-US"/>
        </w:rPr>
        <w:t xml:space="preserve">“gender dysphoria” </w:t>
      </w:r>
      <w:r w:rsidRPr="006256D3">
        <w:rPr>
          <w:color w:val="000000"/>
          <w:sz w:val="20"/>
          <w:szCs w:val="20"/>
          <w:lang w:val="en-US"/>
        </w:rPr>
        <w:t xml:space="preserve">has been included in the DSM-V to replace </w:t>
      </w:r>
      <w:r w:rsidRPr="00B5537A">
        <w:rPr>
          <w:color w:val="000000"/>
          <w:sz w:val="20"/>
          <w:szCs w:val="20"/>
          <w:lang w:val="en-US"/>
        </w:rPr>
        <w:t>“</w:t>
      </w:r>
      <w:r w:rsidRPr="006256D3">
        <w:rPr>
          <w:color w:val="000000"/>
          <w:sz w:val="20"/>
          <w:szCs w:val="20"/>
          <w:lang w:val="en-US"/>
        </w:rPr>
        <w:t>gender identity disorder</w:t>
      </w:r>
      <w:r w:rsidRPr="00B5537A">
        <w:rPr>
          <w:color w:val="000000"/>
          <w:sz w:val="20"/>
          <w:szCs w:val="20"/>
          <w:lang w:val="en-US"/>
        </w:rPr>
        <w:t>”</w:t>
      </w:r>
      <w:r w:rsidRPr="006256D3">
        <w:rPr>
          <w:color w:val="000000"/>
          <w:sz w:val="20"/>
          <w:szCs w:val="20"/>
          <w:lang w:val="en-US"/>
        </w:rPr>
        <w:t>. Nevertheless, this category (and its inclusion in the DSM) is strongly criticized because it continues to pathologize the need for gendered body modifications in trans people</w:t>
      </w:r>
      <w:r w:rsidRPr="00B5537A">
        <w:rPr>
          <w:color w:val="000000"/>
          <w:sz w:val="20"/>
          <w:szCs w:val="20"/>
          <w:lang w:val="en-US"/>
        </w:rPr>
        <w:t>. “</w:t>
      </w:r>
      <w:r w:rsidRPr="006256D3">
        <w:rPr>
          <w:color w:val="000000"/>
          <w:sz w:val="20"/>
          <w:szCs w:val="20"/>
          <w:lang w:val="en-US"/>
        </w:rPr>
        <w:t>Gender identity disorders</w:t>
      </w:r>
      <w:r w:rsidRPr="00B5537A">
        <w:rPr>
          <w:color w:val="000000"/>
          <w:sz w:val="20"/>
          <w:szCs w:val="20"/>
          <w:lang w:val="en-US"/>
        </w:rPr>
        <w:t xml:space="preserve">” </w:t>
      </w:r>
      <w:r w:rsidRPr="006256D3">
        <w:rPr>
          <w:color w:val="000000"/>
          <w:sz w:val="20"/>
          <w:szCs w:val="20"/>
          <w:lang w:val="en-US"/>
        </w:rPr>
        <w:t xml:space="preserve">have also been removed from the chapter </w:t>
      </w:r>
      <w:r w:rsidRPr="00B5537A">
        <w:rPr>
          <w:color w:val="000000"/>
          <w:sz w:val="20"/>
          <w:szCs w:val="20"/>
          <w:lang w:val="en-US"/>
        </w:rPr>
        <w:t>“</w:t>
      </w:r>
      <w:r w:rsidRPr="006256D3">
        <w:rPr>
          <w:color w:val="000000"/>
          <w:sz w:val="20"/>
          <w:szCs w:val="20"/>
          <w:lang w:val="en-US"/>
        </w:rPr>
        <w:t>Mental and behavioral disorders</w:t>
      </w:r>
      <w:r w:rsidRPr="00B5537A">
        <w:rPr>
          <w:color w:val="000000"/>
          <w:sz w:val="20"/>
          <w:szCs w:val="20"/>
          <w:lang w:val="en-US"/>
        </w:rPr>
        <w:t xml:space="preserve">” </w:t>
      </w:r>
      <w:r w:rsidRPr="006256D3">
        <w:rPr>
          <w:color w:val="000000"/>
          <w:sz w:val="20"/>
          <w:szCs w:val="20"/>
          <w:lang w:val="en-US"/>
        </w:rPr>
        <w:t>of the 11th edition of the ICD</w:t>
      </w:r>
      <w:r w:rsidRPr="00B5537A">
        <w:rPr>
          <w:color w:val="000000"/>
          <w:sz w:val="20"/>
          <w:szCs w:val="20"/>
          <w:lang w:val="en-US"/>
        </w:rPr>
        <w:t>, and moved to the</w:t>
      </w:r>
      <w:r w:rsidRPr="006256D3">
        <w:rPr>
          <w:color w:val="000000"/>
          <w:sz w:val="20"/>
          <w:szCs w:val="20"/>
          <w:lang w:val="nl-NL"/>
        </w:rPr>
        <w:t xml:space="preserve"> chapter </w:t>
      </w:r>
      <w:r w:rsidRPr="00B5537A">
        <w:rPr>
          <w:color w:val="000000"/>
          <w:sz w:val="20"/>
          <w:szCs w:val="20"/>
          <w:lang w:val="en-US"/>
        </w:rPr>
        <w:t>“</w:t>
      </w:r>
      <w:r w:rsidRPr="006256D3">
        <w:rPr>
          <w:color w:val="000000"/>
          <w:sz w:val="20"/>
          <w:szCs w:val="20"/>
          <w:lang w:val="en-US"/>
        </w:rPr>
        <w:t>Conditions related to sexual health</w:t>
      </w:r>
      <w:r w:rsidRPr="00B5537A">
        <w:rPr>
          <w:color w:val="000000"/>
          <w:sz w:val="20"/>
          <w:szCs w:val="20"/>
          <w:lang w:val="en-US"/>
        </w:rPr>
        <w:t>”.</w:t>
      </w:r>
    </w:p>
    <w:p w14:paraId="09A9A5B3" w14:textId="51663E47" w:rsidR="006256D3" w:rsidRPr="00B5537A" w:rsidRDefault="006256D3" w:rsidP="0085124A">
      <w:pPr>
        <w:pStyle w:val="NormalWeb"/>
        <w:shd w:val="clear" w:color="auto" w:fill="FFFFFF"/>
        <w:spacing w:after="0"/>
        <w:jc w:val="both"/>
        <w:rPr>
          <w:sz w:val="16"/>
          <w:szCs w:val="16"/>
          <w:lang w:val="en-US"/>
        </w:rPr>
      </w:pPr>
      <w:r w:rsidRPr="00B5537A">
        <w:rPr>
          <w:color w:val="000000"/>
          <w:sz w:val="20"/>
          <w:szCs w:val="20"/>
          <w:lang w:val="en-US"/>
        </w:rPr>
        <w:t>M</w:t>
      </w:r>
      <w:r w:rsidRPr="006256D3">
        <w:rPr>
          <w:color w:val="000000"/>
          <w:sz w:val="20"/>
          <w:szCs w:val="20"/>
          <w:lang w:val="en-US"/>
        </w:rPr>
        <w:t>any practitioners and trans health advocates question the very use of diagnoses in gender transition services. The fact that access to these services depends on diagnostic evaluation is part of the broader phenomenon of trans pathologization</w:t>
      </w:r>
      <w:r w:rsidRPr="00B5537A">
        <w:rPr>
          <w:color w:val="000000"/>
          <w:sz w:val="20"/>
          <w:szCs w:val="20"/>
          <w:lang w:val="en-US"/>
        </w:rPr>
        <w:t xml:space="preserve"> (O. Fiorilli &amp; A. Ruocco, 2019). A</w:t>
      </w:r>
      <w:r w:rsidRPr="006256D3">
        <w:rPr>
          <w:color w:val="000000"/>
          <w:sz w:val="20"/>
          <w:szCs w:val="20"/>
          <w:lang w:val="en-US"/>
        </w:rPr>
        <w:t xml:space="preserve">dvancements </w:t>
      </w:r>
      <w:r w:rsidR="00D15BA5">
        <w:rPr>
          <w:color w:val="000000"/>
          <w:sz w:val="20"/>
          <w:szCs w:val="20"/>
          <w:lang w:val="en-US"/>
        </w:rPr>
        <w:t>toward</w:t>
      </w:r>
      <w:r w:rsidRPr="006256D3">
        <w:rPr>
          <w:color w:val="000000"/>
          <w:sz w:val="20"/>
          <w:szCs w:val="20"/>
          <w:lang w:val="en-US"/>
        </w:rPr>
        <w:t xml:space="preserve"> trans depathologization can be observed in the diagnostic classifications, </w:t>
      </w:r>
      <w:r w:rsidRPr="00B5537A">
        <w:rPr>
          <w:color w:val="000000"/>
          <w:sz w:val="20"/>
          <w:szCs w:val="20"/>
          <w:lang w:val="en-US"/>
        </w:rPr>
        <w:t>but a</w:t>
      </w:r>
      <w:r w:rsidRPr="006256D3">
        <w:rPr>
          <w:color w:val="000000"/>
          <w:sz w:val="20"/>
          <w:szCs w:val="20"/>
          <w:lang w:val="en-US"/>
        </w:rPr>
        <w:t xml:space="preserve">t the same time, trans people continue </w:t>
      </w:r>
      <w:r w:rsidR="00D15BA5">
        <w:rPr>
          <w:color w:val="000000"/>
          <w:sz w:val="20"/>
          <w:szCs w:val="20"/>
          <w:lang w:val="en-US"/>
        </w:rPr>
        <w:t>to be</w:t>
      </w:r>
      <w:r w:rsidRPr="006256D3">
        <w:rPr>
          <w:color w:val="000000"/>
          <w:sz w:val="20"/>
          <w:szCs w:val="20"/>
          <w:lang w:val="en-US"/>
        </w:rPr>
        <w:t xml:space="preserve"> pathologiz</w:t>
      </w:r>
      <w:r w:rsidRPr="00B5537A">
        <w:rPr>
          <w:color w:val="000000"/>
          <w:sz w:val="20"/>
          <w:szCs w:val="20"/>
          <w:lang w:val="en-US"/>
        </w:rPr>
        <w:t>ed (Schwend, 2020).</w:t>
      </w:r>
    </w:p>
    <w:p w14:paraId="4C4686B7" w14:textId="7A7F574C" w:rsidR="006256D3" w:rsidRPr="00B5537A" w:rsidRDefault="006256D3" w:rsidP="0085124A">
      <w:pPr>
        <w:pStyle w:val="NormalWeb"/>
        <w:shd w:val="clear" w:color="auto" w:fill="FFFFFF"/>
        <w:spacing w:after="0"/>
        <w:jc w:val="both"/>
        <w:rPr>
          <w:sz w:val="16"/>
          <w:szCs w:val="16"/>
          <w:lang w:val="en-US"/>
        </w:rPr>
      </w:pPr>
      <w:r w:rsidRPr="006256D3">
        <w:rPr>
          <w:color w:val="000000"/>
          <w:sz w:val="20"/>
          <w:szCs w:val="20"/>
          <w:lang w:val="en-US"/>
        </w:rPr>
        <w:lastRenderedPageBreak/>
        <w:t xml:space="preserve">The primary reason for the discrimination and poor access to healthcare </w:t>
      </w:r>
      <w:r w:rsidR="00D15BA5">
        <w:rPr>
          <w:color w:val="000000"/>
          <w:sz w:val="20"/>
          <w:szCs w:val="20"/>
          <w:lang w:val="en-US"/>
        </w:rPr>
        <w:t>for</w:t>
      </w:r>
      <w:r w:rsidRPr="006256D3">
        <w:rPr>
          <w:color w:val="000000"/>
          <w:sz w:val="20"/>
          <w:szCs w:val="20"/>
          <w:lang w:val="en-US"/>
        </w:rPr>
        <w:t xml:space="preserve"> trans</w:t>
      </w:r>
      <w:r w:rsidRPr="00B5537A">
        <w:rPr>
          <w:color w:val="000000"/>
          <w:sz w:val="20"/>
          <w:szCs w:val="20"/>
          <w:lang w:val="en-US"/>
        </w:rPr>
        <w:t xml:space="preserve">* </w:t>
      </w:r>
      <w:r w:rsidRPr="006256D3">
        <w:rPr>
          <w:color w:val="000000"/>
          <w:sz w:val="20"/>
          <w:szCs w:val="20"/>
          <w:lang w:val="en-US"/>
        </w:rPr>
        <w:t xml:space="preserve">people lies in the stigma associated with mental illness. </w:t>
      </w:r>
      <w:r w:rsidRPr="00B5537A">
        <w:rPr>
          <w:color w:val="000000"/>
          <w:sz w:val="20"/>
          <w:szCs w:val="20"/>
          <w:lang w:val="en-US"/>
        </w:rPr>
        <w:t>In order to</w:t>
      </w:r>
      <w:r w:rsidRPr="006256D3">
        <w:rPr>
          <w:color w:val="000000"/>
          <w:sz w:val="20"/>
          <w:szCs w:val="20"/>
          <w:lang w:val="en-US"/>
        </w:rPr>
        <w:t xml:space="preserve"> obtain a change in name or legal gender</w:t>
      </w:r>
      <w:r w:rsidR="00D15BA5">
        <w:rPr>
          <w:color w:val="000000"/>
          <w:sz w:val="20"/>
          <w:szCs w:val="20"/>
          <w:lang w:val="en-US"/>
        </w:rPr>
        <w:t>,</w:t>
      </w:r>
      <w:r w:rsidRPr="00B5537A">
        <w:rPr>
          <w:color w:val="000000"/>
          <w:sz w:val="20"/>
          <w:szCs w:val="20"/>
          <w:lang w:val="en-US"/>
        </w:rPr>
        <w:t xml:space="preserve"> a medical </w:t>
      </w:r>
      <w:r w:rsidRPr="006256D3">
        <w:rPr>
          <w:color w:val="000000"/>
          <w:sz w:val="20"/>
          <w:szCs w:val="20"/>
          <w:lang w:val="en-US"/>
        </w:rPr>
        <w:t>diagnosis is needed</w:t>
      </w:r>
      <w:r w:rsidR="00D15BA5">
        <w:rPr>
          <w:color w:val="000000"/>
          <w:sz w:val="20"/>
          <w:szCs w:val="20"/>
          <w:lang w:val="en-US"/>
        </w:rPr>
        <w:t>; even</w:t>
      </w:r>
      <w:r w:rsidRPr="006256D3">
        <w:rPr>
          <w:color w:val="000000"/>
          <w:sz w:val="20"/>
          <w:szCs w:val="20"/>
          <w:lang w:val="en-US"/>
        </w:rPr>
        <w:t xml:space="preserve"> for a civil</w:t>
      </w:r>
      <w:r w:rsidRPr="00B5537A">
        <w:rPr>
          <w:color w:val="000000"/>
          <w:sz w:val="20"/>
          <w:szCs w:val="20"/>
          <w:lang w:val="en-US"/>
        </w:rPr>
        <w:t xml:space="preserve"> or</w:t>
      </w:r>
      <w:r w:rsidRPr="006256D3">
        <w:rPr>
          <w:color w:val="000000"/>
          <w:sz w:val="20"/>
          <w:szCs w:val="20"/>
          <w:lang w:val="en-US"/>
        </w:rPr>
        <w:t xml:space="preserve"> administrative matter</w:t>
      </w:r>
      <w:r w:rsidR="00D15BA5">
        <w:rPr>
          <w:color w:val="000000"/>
          <w:sz w:val="20"/>
          <w:szCs w:val="20"/>
          <w:lang w:val="en-US"/>
        </w:rPr>
        <w:t>,</w:t>
      </w:r>
      <w:r w:rsidRPr="006256D3">
        <w:rPr>
          <w:color w:val="000000"/>
          <w:sz w:val="20"/>
          <w:szCs w:val="20"/>
          <w:lang w:val="en-US"/>
        </w:rPr>
        <w:t xml:space="preserve"> </w:t>
      </w:r>
      <w:r w:rsidRPr="00B5537A">
        <w:rPr>
          <w:color w:val="000000"/>
          <w:sz w:val="20"/>
          <w:szCs w:val="20"/>
          <w:lang w:val="en-US"/>
        </w:rPr>
        <w:t xml:space="preserve">it is required to have </w:t>
      </w:r>
      <w:r w:rsidR="00D15BA5">
        <w:rPr>
          <w:color w:val="000000"/>
          <w:sz w:val="20"/>
          <w:szCs w:val="20"/>
          <w:lang w:val="en-US"/>
        </w:rPr>
        <w:t>such a</w:t>
      </w:r>
      <w:r w:rsidRPr="00B5537A">
        <w:rPr>
          <w:color w:val="000000"/>
          <w:sz w:val="20"/>
          <w:szCs w:val="20"/>
          <w:lang w:val="en-US"/>
        </w:rPr>
        <w:t xml:space="preserve"> diagnosis (Castro-Peraza et al., 2019).</w:t>
      </w:r>
    </w:p>
    <w:p w14:paraId="5CA0BE7E" w14:textId="451B4CEF" w:rsidR="006256D3" w:rsidRPr="00B5537A" w:rsidRDefault="006256D3" w:rsidP="00555F47">
      <w:pPr>
        <w:pStyle w:val="NormalWeb"/>
        <w:shd w:val="clear" w:color="auto" w:fill="FFFFFF"/>
        <w:spacing w:after="0"/>
        <w:jc w:val="both"/>
        <w:rPr>
          <w:sz w:val="16"/>
          <w:szCs w:val="16"/>
          <w:lang w:val="en-US"/>
        </w:rPr>
      </w:pPr>
      <w:r w:rsidRPr="00B5537A">
        <w:rPr>
          <w:color w:val="000000"/>
          <w:sz w:val="20"/>
          <w:szCs w:val="20"/>
          <w:lang w:val="en-US"/>
        </w:rPr>
        <w:t>Since g</w:t>
      </w:r>
      <w:r w:rsidRPr="006256D3">
        <w:rPr>
          <w:color w:val="000000"/>
          <w:sz w:val="20"/>
          <w:szCs w:val="20"/>
          <w:lang w:val="en-US"/>
        </w:rPr>
        <w:t>ender diversity is not an illnes</w:t>
      </w:r>
      <w:r w:rsidRPr="00B5537A">
        <w:rPr>
          <w:color w:val="000000"/>
          <w:sz w:val="20"/>
          <w:szCs w:val="20"/>
          <w:lang w:val="en-US"/>
        </w:rPr>
        <w:t>s</w:t>
      </w:r>
      <w:r w:rsidRPr="006256D3">
        <w:rPr>
          <w:color w:val="000000"/>
          <w:sz w:val="20"/>
          <w:szCs w:val="20"/>
          <w:lang w:val="en-US"/>
        </w:rPr>
        <w:t xml:space="preserve">, the fact that only </w:t>
      </w:r>
      <w:r w:rsidR="00D15BA5">
        <w:rPr>
          <w:color w:val="000000"/>
          <w:sz w:val="20"/>
          <w:szCs w:val="20"/>
          <w:lang w:val="en-US"/>
        </w:rPr>
        <w:t>gender-diverse</w:t>
      </w:r>
      <w:r w:rsidRPr="006256D3">
        <w:rPr>
          <w:color w:val="000000"/>
          <w:sz w:val="20"/>
          <w:szCs w:val="20"/>
          <w:lang w:val="en-US"/>
        </w:rPr>
        <w:t xml:space="preserve"> people are pathologized constitutes unequal treatment, resulting in a violation of the right to non-discrimination.</w:t>
      </w:r>
      <w:r w:rsidRPr="00B5537A">
        <w:rPr>
          <w:color w:val="000000"/>
          <w:sz w:val="20"/>
          <w:szCs w:val="20"/>
          <w:lang w:val="en-US"/>
        </w:rPr>
        <w:t xml:space="preserve"> </w:t>
      </w:r>
    </w:p>
    <w:p w14:paraId="65A93B20" w14:textId="56B8C9D1" w:rsidR="007A68A7" w:rsidRPr="00583B09" w:rsidRDefault="005607B9" w:rsidP="0085124A">
      <w:pPr>
        <w:pStyle w:val="NormalWeb"/>
        <w:keepNext/>
        <w:numPr>
          <w:ilvl w:val="0"/>
          <w:numId w:val="4"/>
        </w:numPr>
        <w:shd w:val="clear" w:color="auto" w:fill="FFFFFF"/>
        <w:spacing w:after="0"/>
        <w:jc w:val="both"/>
        <w:rPr>
          <w:b/>
          <w:bCs/>
          <w:color w:val="000000"/>
          <w:lang w:val="fr-FR"/>
        </w:rPr>
      </w:pPr>
      <w:r w:rsidRPr="00583B09">
        <w:rPr>
          <w:b/>
          <w:bCs/>
          <w:color w:val="000000"/>
          <w:lang w:val="fr-FR"/>
        </w:rPr>
        <w:t>Current legislation on gender affirmation</w:t>
      </w:r>
    </w:p>
    <w:p w14:paraId="3999065E" w14:textId="2A696349" w:rsidR="005607B9" w:rsidRPr="00B5537A" w:rsidRDefault="005607B9" w:rsidP="0085124A">
      <w:pPr>
        <w:pStyle w:val="NormalWeb"/>
        <w:shd w:val="clear" w:color="auto" w:fill="FFFFFF"/>
        <w:spacing w:after="0"/>
        <w:jc w:val="both"/>
        <w:rPr>
          <w:sz w:val="16"/>
          <w:szCs w:val="16"/>
          <w:lang w:val="en-US"/>
        </w:rPr>
      </w:pPr>
      <w:r w:rsidRPr="005607B9">
        <w:rPr>
          <w:color w:val="000000"/>
          <w:sz w:val="20"/>
          <w:szCs w:val="20"/>
          <w:lang w:val="en-US"/>
        </w:rPr>
        <w:t>Passed in 1982, Law N. 164, entitled</w:t>
      </w:r>
      <w:r w:rsidRPr="00B5537A">
        <w:rPr>
          <w:color w:val="000000"/>
          <w:sz w:val="20"/>
          <w:szCs w:val="20"/>
          <w:lang w:val="en-US"/>
        </w:rPr>
        <w:t xml:space="preserve"> “</w:t>
      </w:r>
      <w:r w:rsidRPr="005607B9">
        <w:rPr>
          <w:color w:val="000000"/>
          <w:sz w:val="20"/>
          <w:szCs w:val="20"/>
          <w:lang w:val="en-US"/>
        </w:rPr>
        <w:t>Norms regulating changes in sex attribution</w:t>
      </w:r>
      <w:r w:rsidRPr="00B5537A">
        <w:rPr>
          <w:color w:val="000000"/>
          <w:sz w:val="20"/>
          <w:szCs w:val="20"/>
          <w:lang w:val="en-US"/>
        </w:rPr>
        <w:t>”</w:t>
      </w:r>
      <w:r w:rsidRPr="005607B9">
        <w:rPr>
          <w:color w:val="000000"/>
          <w:sz w:val="20"/>
          <w:szCs w:val="20"/>
          <w:lang w:val="en-US"/>
        </w:rPr>
        <w:t>, defined the legal process that should be followed to officially change gender in Italy.</w:t>
      </w:r>
      <w:r w:rsidRPr="00B5537A">
        <w:rPr>
          <w:color w:val="00A1FE"/>
          <w:sz w:val="20"/>
          <w:szCs w:val="20"/>
          <w:lang w:val="en-US"/>
        </w:rPr>
        <w:t xml:space="preserve"> </w:t>
      </w:r>
      <w:r w:rsidRPr="005607B9">
        <w:rPr>
          <w:color w:val="000000"/>
          <w:sz w:val="20"/>
          <w:szCs w:val="20"/>
          <w:lang w:val="en-US"/>
        </w:rPr>
        <w:t xml:space="preserve">Although this norm is currently the only legislation on the trans question in this country, it is interesting to note that it does not explicitly mention the trans condition, speaking only of </w:t>
      </w:r>
      <w:r w:rsidRPr="00B5537A">
        <w:rPr>
          <w:color w:val="000000"/>
          <w:sz w:val="20"/>
          <w:szCs w:val="20"/>
          <w:lang w:val="en-US"/>
        </w:rPr>
        <w:t>“</w:t>
      </w:r>
      <w:r w:rsidRPr="005607B9">
        <w:rPr>
          <w:color w:val="000000"/>
          <w:sz w:val="20"/>
          <w:szCs w:val="20"/>
          <w:lang w:val="fr-FR"/>
        </w:rPr>
        <w:t>sex change</w:t>
      </w:r>
      <w:r w:rsidRPr="00B5537A">
        <w:rPr>
          <w:color w:val="000000"/>
          <w:sz w:val="20"/>
          <w:szCs w:val="20"/>
          <w:lang w:val="en-US"/>
        </w:rPr>
        <w:t>”. Art. 1 states: “</w:t>
      </w:r>
      <w:r w:rsidRPr="005607B9">
        <w:rPr>
          <w:color w:val="000000"/>
          <w:sz w:val="20"/>
          <w:szCs w:val="20"/>
          <w:lang w:val="en-US"/>
        </w:rPr>
        <w:t>The sex change, as per article 454 of the civil code, is made possible by a definitive sentence of the judge attributing to a person a sex different from that declared at birth after the occurred modification of her/his sexual characteristics</w:t>
      </w:r>
      <w:r w:rsidRPr="00B5537A">
        <w:rPr>
          <w:color w:val="000000"/>
          <w:sz w:val="20"/>
          <w:szCs w:val="20"/>
          <w:lang w:val="en-US"/>
        </w:rPr>
        <w:t>” (Gazzetta Ufficiale 1982: 1), and Art. 3 specifies: “</w:t>
      </w:r>
      <w:r w:rsidRPr="005607B9">
        <w:rPr>
          <w:color w:val="000000"/>
          <w:sz w:val="20"/>
          <w:szCs w:val="20"/>
          <w:lang w:val="en-US"/>
        </w:rPr>
        <w:t>If competent experts prove that a person needs to undergo medical and surgical treatments in order to modify her/his sexual characteristics, the judge authorizes this intervention with a sentence. After the surgical operation, the judge allows the rectification of her/his personal data in identity documents</w:t>
      </w:r>
      <w:r w:rsidRPr="00B5537A">
        <w:rPr>
          <w:color w:val="000000"/>
          <w:sz w:val="20"/>
          <w:szCs w:val="20"/>
          <w:lang w:val="en-US"/>
        </w:rPr>
        <w:t xml:space="preserve">” </w:t>
      </w:r>
      <w:r w:rsidRPr="005607B9">
        <w:rPr>
          <w:color w:val="000000"/>
          <w:sz w:val="20"/>
          <w:szCs w:val="20"/>
          <w:lang w:val="en-US"/>
        </w:rPr>
        <w:t>(ibidem). In practice, these articles regulate the rectification of gender identity in personal documents.</w:t>
      </w:r>
    </w:p>
    <w:p w14:paraId="3E960603" w14:textId="709405FC" w:rsidR="005607B9" w:rsidRPr="00B5537A" w:rsidRDefault="005607B9" w:rsidP="0085124A">
      <w:pPr>
        <w:pStyle w:val="NormalWeb"/>
        <w:shd w:val="clear" w:color="auto" w:fill="FFFFFF"/>
        <w:spacing w:after="0"/>
        <w:jc w:val="both"/>
        <w:rPr>
          <w:sz w:val="16"/>
          <w:szCs w:val="16"/>
          <w:lang w:val="en-US"/>
        </w:rPr>
      </w:pPr>
      <w:r w:rsidRPr="005607B9">
        <w:rPr>
          <w:color w:val="000000"/>
          <w:sz w:val="20"/>
          <w:szCs w:val="20"/>
          <w:lang w:val="en-US"/>
        </w:rPr>
        <w:t>This formulation evidences the legal recognition of the medical apparatus as the competent actor in managing the gender transition process, thus taking for granted and confirming the pathological nature of the trans condition</w:t>
      </w:r>
      <w:r w:rsidRPr="00B5537A">
        <w:rPr>
          <w:color w:val="000000"/>
          <w:sz w:val="20"/>
          <w:szCs w:val="20"/>
          <w:lang w:val="en-US"/>
        </w:rPr>
        <w:t>; i</w:t>
      </w:r>
      <w:r w:rsidRPr="005607B9">
        <w:rPr>
          <w:color w:val="000000"/>
          <w:sz w:val="20"/>
          <w:szCs w:val="20"/>
          <w:lang w:val="en-US"/>
        </w:rPr>
        <w:t>t indicates the undergoing conception of gender</w:t>
      </w:r>
      <w:r w:rsidRPr="00B5537A">
        <w:rPr>
          <w:color w:val="000000"/>
          <w:sz w:val="20"/>
          <w:szCs w:val="20"/>
          <w:lang w:val="en-US"/>
        </w:rPr>
        <w:t>:</w:t>
      </w:r>
      <w:r w:rsidRPr="005607B9">
        <w:rPr>
          <w:color w:val="000000"/>
          <w:sz w:val="20"/>
          <w:szCs w:val="20"/>
          <w:lang w:val="de-DE"/>
        </w:rPr>
        <w:t xml:space="preserve"> gender</w:t>
      </w:r>
      <w:r w:rsidRPr="00B5537A">
        <w:rPr>
          <w:color w:val="000000"/>
          <w:sz w:val="20"/>
          <w:szCs w:val="20"/>
          <w:lang w:val="en-US"/>
        </w:rPr>
        <w:t xml:space="preserve"> is not mentioned</w:t>
      </w:r>
      <w:r w:rsidR="00D15BA5">
        <w:rPr>
          <w:color w:val="000000"/>
          <w:sz w:val="20"/>
          <w:szCs w:val="20"/>
          <w:lang w:val="en-US"/>
        </w:rPr>
        <w:t>; it</w:t>
      </w:r>
      <w:r w:rsidRPr="00B5537A">
        <w:rPr>
          <w:color w:val="000000"/>
          <w:sz w:val="20"/>
          <w:szCs w:val="20"/>
          <w:lang w:val="en-US"/>
        </w:rPr>
        <w:t xml:space="preserve"> is about</w:t>
      </w:r>
      <w:r w:rsidRPr="005607B9">
        <w:rPr>
          <w:color w:val="000000"/>
          <w:sz w:val="20"/>
          <w:szCs w:val="20"/>
          <w:lang w:val="en-US"/>
        </w:rPr>
        <w:t xml:space="preserve"> sex and sexual characteristics</w:t>
      </w:r>
      <w:r w:rsidRPr="00B5537A">
        <w:rPr>
          <w:color w:val="000000"/>
          <w:sz w:val="20"/>
          <w:szCs w:val="20"/>
          <w:lang w:val="en-US"/>
        </w:rPr>
        <w:t>, so</w:t>
      </w:r>
      <w:r w:rsidRPr="005607B9">
        <w:rPr>
          <w:color w:val="000000"/>
          <w:sz w:val="20"/>
          <w:szCs w:val="20"/>
          <w:lang w:val="en-US"/>
        </w:rPr>
        <w:t xml:space="preserve"> the issue of gender is left into brackets because its correspondence with the biological sex is considered implicitly natural</w:t>
      </w:r>
      <w:r w:rsidRPr="00B5537A">
        <w:rPr>
          <w:color w:val="000000"/>
          <w:sz w:val="20"/>
          <w:szCs w:val="20"/>
          <w:lang w:val="en-US"/>
        </w:rPr>
        <w:t xml:space="preserve"> (</w:t>
      </w:r>
      <w:r w:rsidRPr="005607B9">
        <w:rPr>
          <w:color w:val="000000"/>
          <w:sz w:val="20"/>
          <w:szCs w:val="20"/>
          <w:lang w:val="en-US"/>
        </w:rPr>
        <w:t>at the same time sex is defined exclusively as sexual characteristics; no mention is made, for instance, about chromosomes or hormones</w:t>
      </w:r>
      <w:r w:rsidRPr="00B5537A">
        <w:rPr>
          <w:color w:val="000000"/>
          <w:sz w:val="20"/>
          <w:szCs w:val="20"/>
          <w:lang w:val="en-US"/>
        </w:rPr>
        <w:t>)</w:t>
      </w:r>
      <w:r w:rsidRPr="00B5537A">
        <w:rPr>
          <w:color w:val="00A1FE"/>
          <w:sz w:val="20"/>
          <w:szCs w:val="20"/>
          <w:lang w:val="en-US"/>
        </w:rPr>
        <w:t xml:space="preserve"> </w:t>
      </w:r>
      <w:r w:rsidRPr="00B5537A">
        <w:rPr>
          <w:color w:val="000000"/>
          <w:sz w:val="20"/>
          <w:szCs w:val="20"/>
          <w:lang w:val="en-US"/>
        </w:rPr>
        <w:t>(Garosi, 2009).</w:t>
      </w:r>
    </w:p>
    <w:p w14:paraId="1C716DF8" w14:textId="426DA522" w:rsidR="005607B9" w:rsidRPr="00B5537A" w:rsidRDefault="005607B9" w:rsidP="0085124A">
      <w:pPr>
        <w:pStyle w:val="NormalWeb"/>
        <w:shd w:val="clear" w:color="auto" w:fill="FFFFFF"/>
        <w:spacing w:after="0"/>
        <w:jc w:val="both"/>
        <w:rPr>
          <w:sz w:val="16"/>
          <w:szCs w:val="16"/>
          <w:lang w:val="en-US"/>
        </w:rPr>
      </w:pPr>
      <w:r w:rsidRPr="00B5537A">
        <w:rPr>
          <w:color w:val="000000"/>
          <w:sz w:val="20"/>
          <w:szCs w:val="20"/>
          <w:lang w:val="en-US"/>
        </w:rPr>
        <w:t>T</w:t>
      </w:r>
      <w:r w:rsidRPr="005607B9">
        <w:rPr>
          <w:color w:val="000000"/>
          <w:sz w:val="20"/>
          <w:szCs w:val="20"/>
          <w:lang w:val="en-US"/>
        </w:rPr>
        <w:t xml:space="preserve">he interpretation of the Law n. 164/1982 is heavily influenced by a medical approach. </w:t>
      </w:r>
      <w:r w:rsidRPr="00B5537A">
        <w:rPr>
          <w:color w:val="000000"/>
          <w:sz w:val="20"/>
          <w:szCs w:val="20"/>
          <w:lang w:val="en-US"/>
        </w:rPr>
        <w:t>J</w:t>
      </w:r>
      <w:r w:rsidRPr="005607B9">
        <w:rPr>
          <w:color w:val="000000"/>
          <w:sz w:val="20"/>
          <w:szCs w:val="20"/>
          <w:lang w:val="en-US"/>
        </w:rPr>
        <w:t>udges rely almost exclusively on medical expertise and on physical appearance (Law 164/1982 establishes that change of legal sex and name on civil status records and papers is disposed</w:t>
      </w:r>
      <w:r w:rsidR="00D15BA5">
        <w:rPr>
          <w:color w:val="000000"/>
          <w:sz w:val="20"/>
          <w:szCs w:val="20"/>
          <w:lang w:val="en-US"/>
        </w:rPr>
        <w:t xml:space="preserve"> of</w:t>
      </w:r>
      <w:r w:rsidRPr="005607B9">
        <w:rPr>
          <w:color w:val="000000"/>
          <w:sz w:val="20"/>
          <w:szCs w:val="20"/>
          <w:lang w:val="en-US"/>
        </w:rPr>
        <w:t xml:space="preserve"> by a decision of the Tribunal)</w:t>
      </w:r>
      <w:r w:rsidRPr="00B5537A">
        <w:rPr>
          <w:color w:val="000000"/>
          <w:sz w:val="20"/>
          <w:szCs w:val="20"/>
          <w:lang w:val="en-US"/>
        </w:rPr>
        <w:t xml:space="preserve"> (Ruspini, 2018).</w:t>
      </w:r>
    </w:p>
    <w:p w14:paraId="46948482" w14:textId="11C558B5" w:rsidR="005607B9" w:rsidRPr="00B5537A" w:rsidRDefault="005607B9" w:rsidP="0085124A">
      <w:pPr>
        <w:pStyle w:val="NormalWeb"/>
        <w:shd w:val="clear" w:color="auto" w:fill="FFFFFF"/>
        <w:spacing w:after="0"/>
        <w:jc w:val="both"/>
        <w:rPr>
          <w:sz w:val="16"/>
          <w:szCs w:val="16"/>
          <w:lang w:val="en-US"/>
        </w:rPr>
      </w:pPr>
      <w:r w:rsidRPr="00B5537A">
        <w:rPr>
          <w:color w:val="000000"/>
          <w:sz w:val="20"/>
          <w:szCs w:val="20"/>
          <w:lang w:val="en-US"/>
        </w:rPr>
        <w:t>T</w:t>
      </w:r>
      <w:r w:rsidRPr="005607B9">
        <w:rPr>
          <w:color w:val="000000"/>
          <w:sz w:val="20"/>
          <w:szCs w:val="20"/>
          <w:lang w:val="en-US"/>
        </w:rPr>
        <w:t xml:space="preserve">his </w:t>
      </w:r>
      <w:r w:rsidRPr="00B5537A">
        <w:rPr>
          <w:color w:val="000000"/>
          <w:sz w:val="20"/>
          <w:szCs w:val="20"/>
          <w:lang w:val="en-US"/>
        </w:rPr>
        <w:t>law</w:t>
      </w:r>
      <w:r w:rsidRPr="005607B9">
        <w:rPr>
          <w:color w:val="000000"/>
          <w:sz w:val="20"/>
          <w:szCs w:val="20"/>
          <w:lang w:val="en-US"/>
        </w:rPr>
        <w:t xml:space="preserve"> is currently the only legislation </w:t>
      </w:r>
      <w:r w:rsidRPr="00B5537A">
        <w:rPr>
          <w:color w:val="000000"/>
          <w:sz w:val="20"/>
          <w:szCs w:val="20"/>
          <w:lang w:val="en-US"/>
        </w:rPr>
        <w:t>about trans* people</w:t>
      </w:r>
      <w:r w:rsidRPr="005607B9">
        <w:rPr>
          <w:color w:val="000000"/>
          <w:sz w:val="20"/>
          <w:szCs w:val="20"/>
          <w:lang w:val="en-US"/>
        </w:rPr>
        <w:t xml:space="preserve"> in </w:t>
      </w:r>
      <w:r w:rsidRPr="00B5537A">
        <w:rPr>
          <w:color w:val="000000"/>
          <w:sz w:val="20"/>
          <w:szCs w:val="20"/>
          <w:lang w:val="en-US"/>
        </w:rPr>
        <w:t>Italy</w:t>
      </w:r>
      <w:r w:rsidR="00D15BA5">
        <w:rPr>
          <w:color w:val="000000"/>
          <w:sz w:val="20"/>
          <w:szCs w:val="20"/>
          <w:lang w:val="en-US"/>
        </w:rPr>
        <w:t>,</w:t>
      </w:r>
      <w:r w:rsidRPr="00B5537A">
        <w:rPr>
          <w:color w:val="000000"/>
          <w:sz w:val="20"/>
          <w:szCs w:val="20"/>
          <w:lang w:val="en-US"/>
        </w:rPr>
        <w:t xml:space="preserve"> and</w:t>
      </w:r>
      <w:r w:rsidRPr="005607B9">
        <w:rPr>
          <w:color w:val="000000"/>
          <w:sz w:val="20"/>
          <w:szCs w:val="20"/>
          <w:lang w:val="en-US"/>
        </w:rPr>
        <w:t xml:space="preserve"> it is interesting to note that </w:t>
      </w:r>
      <w:r w:rsidRPr="00B5537A">
        <w:rPr>
          <w:color w:val="000000"/>
          <w:sz w:val="20"/>
          <w:szCs w:val="20"/>
          <w:lang w:val="en-US"/>
        </w:rPr>
        <w:t>the law</w:t>
      </w:r>
      <w:r w:rsidRPr="005607B9">
        <w:rPr>
          <w:color w:val="000000"/>
          <w:sz w:val="20"/>
          <w:szCs w:val="20"/>
          <w:lang w:val="en-US"/>
        </w:rPr>
        <w:t xml:space="preserve"> does not explicitly mention the trans condition, speaking only of </w:t>
      </w:r>
      <w:r w:rsidRPr="00B5537A">
        <w:rPr>
          <w:color w:val="000000"/>
          <w:sz w:val="20"/>
          <w:szCs w:val="20"/>
          <w:lang w:val="en-US"/>
        </w:rPr>
        <w:t>“</w:t>
      </w:r>
      <w:r w:rsidRPr="005607B9">
        <w:rPr>
          <w:color w:val="000000"/>
          <w:sz w:val="20"/>
          <w:szCs w:val="20"/>
          <w:lang w:val="fr-FR"/>
        </w:rPr>
        <w:t>sex change</w:t>
      </w:r>
      <w:r w:rsidRPr="00B5537A">
        <w:rPr>
          <w:color w:val="000000"/>
          <w:sz w:val="20"/>
          <w:szCs w:val="20"/>
          <w:lang w:val="en-US"/>
        </w:rPr>
        <w:t xml:space="preserve">”. </w:t>
      </w:r>
      <w:r w:rsidRPr="005607B9">
        <w:rPr>
          <w:color w:val="000000"/>
          <w:sz w:val="20"/>
          <w:szCs w:val="20"/>
          <w:lang w:val="en-US"/>
        </w:rPr>
        <w:t xml:space="preserve">Delegating to the medical science the treatment of </w:t>
      </w:r>
      <w:r w:rsidRPr="00B5537A">
        <w:rPr>
          <w:color w:val="000000"/>
          <w:sz w:val="20"/>
          <w:szCs w:val="20"/>
          <w:lang w:val="en-US"/>
        </w:rPr>
        <w:t>“</w:t>
      </w:r>
      <w:r w:rsidRPr="005607B9">
        <w:rPr>
          <w:color w:val="000000"/>
          <w:sz w:val="20"/>
          <w:szCs w:val="20"/>
          <w:lang w:val="fr-FR"/>
        </w:rPr>
        <w:t>sex change</w:t>
      </w:r>
      <w:r w:rsidRPr="00B5537A">
        <w:rPr>
          <w:color w:val="000000"/>
          <w:sz w:val="20"/>
          <w:szCs w:val="20"/>
          <w:lang w:val="en-US"/>
        </w:rPr>
        <w:t>”</w:t>
      </w:r>
      <w:r w:rsidRPr="005607B9">
        <w:rPr>
          <w:color w:val="000000"/>
          <w:sz w:val="20"/>
          <w:szCs w:val="20"/>
          <w:lang w:val="en-US"/>
        </w:rPr>
        <w:t>, the law is not concerned with defining what sexual characteristics are</w:t>
      </w:r>
      <w:r w:rsidRPr="00B5537A">
        <w:rPr>
          <w:color w:val="000000"/>
          <w:sz w:val="20"/>
          <w:szCs w:val="20"/>
          <w:lang w:val="en-US"/>
        </w:rPr>
        <w:t xml:space="preserve"> (Garosi, 2009). For this reason, the law is inadequate to assess legal gender recognition</w:t>
      </w:r>
      <w:r w:rsidR="0084302E">
        <w:rPr>
          <w:color w:val="000000"/>
          <w:sz w:val="20"/>
          <w:szCs w:val="20"/>
          <w:lang w:val="en-US"/>
        </w:rPr>
        <w:t>. Also,</w:t>
      </w:r>
      <w:r w:rsidRPr="00B5537A">
        <w:rPr>
          <w:color w:val="000000"/>
          <w:sz w:val="20"/>
          <w:szCs w:val="20"/>
          <w:lang w:val="en-US"/>
        </w:rPr>
        <w:t xml:space="preserve"> no anti-discrimination law lists gender identity as a ground </w:t>
      </w:r>
      <w:r w:rsidR="0084302E">
        <w:rPr>
          <w:color w:val="000000"/>
          <w:sz w:val="20"/>
          <w:szCs w:val="20"/>
          <w:lang w:val="en-US"/>
        </w:rPr>
        <w:t>for</w:t>
      </w:r>
      <w:r w:rsidRPr="00B5537A">
        <w:rPr>
          <w:color w:val="000000"/>
          <w:sz w:val="20"/>
          <w:szCs w:val="20"/>
          <w:lang w:val="en-US"/>
        </w:rPr>
        <w:t xml:space="preserve"> discrimination. </w:t>
      </w:r>
      <w:r w:rsidRPr="00B5537A">
        <w:rPr>
          <w:color w:val="000000"/>
          <w:sz w:val="20"/>
          <w:szCs w:val="20"/>
          <w:lang w:val="en-US"/>
        </w:rPr>
        <w:br/>
      </w:r>
      <w:r w:rsidRPr="005607B9">
        <w:rPr>
          <w:color w:val="000000"/>
          <w:sz w:val="20"/>
          <w:szCs w:val="20"/>
          <w:lang w:val="en-US"/>
        </w:rPr>
        <w:t xml:space="preserve">After the new AIFA resolution, the Italian NHS </w:t>
      </w:r>
      <w:r w:rsidR="0084302E">
        <w:rPr>
          <w:color w:val="000000"/>
          <w:sz w:val="20"/>
          <w:szCs w:val="20"/>
          <w:lang w:val="en-US"/>
        </w:rPr>
        <w:t>approved</w:t>
      </w:r>
      <w:r w:rsidRPr="005607B9">
        <w:rPr>
          <w:color w:val="000000"/>
          <w:sz w:val="20"/>
          <w:szCs w:val="20"/>
          <w:lang w:val="en-US"/>
        </w:rPr>
        <w:t xml:space="preserve"> testosterone, </w:t>
      </w:r>
      <w:r w:rsidR="00D15BA5">
        <w:rPr>
          <w:color w:val="000000"/>
          <w:sz w:val="20"/>
          <w:szCs w:val="20"/>
          <w:lang w:val="en-US"/>
        </w:rPr>
        <w:t>anti-androgens</w:t>
      </w:r>
      <w:r w:rsidR="0084302E">
        <w:rPr>
          <w:color w:val="000000"/>
          <w:sz w:val="20"/>
          <w:szCs w:val="20"/>
          <w:lang w:val="en-US"/>
        </w:rPr>
        <w:t>,</w:t>
      </w:r>
      <w:r w:rsidRPr="005607B9">
        <w:rPr>
          <w:color w:val="000000"/>
          <w:sz w:val="20"/>
          <w:szCs w:val="20"/>
          <w:lang w:val="en-US"/>
        </w:rPr>
        <w:t xml:space="preserve"> and estrogens </w:t>
      </w:r>
      <w:r w:rsidR="0084302E">
        <w:rPr>
          <w:color w:val="000000"/>
          <w:sz w:val="20"/>
          <w:szCs w:val="20"/>
          <w:lang w:val="en-US"/>
        </w:rPr>
        <w:t>to be</w:t>
      </w:r>
      <w:r w:rsidRPr="005607B9">
        <w:rPr>
          <w:color w:val="000000"/>
          <w:sz w:val="20"/>
          <w:szCs w:val="20"/>
          <w:lang w:val="en-US"/>
        </w:rPr>
        <w:t xml:space="preserve"> used with government </w:t>
      </w:r>
      <w:r w:rsidR="0084302E">
        <w:rPr>
          <w:color w:val="000000"/>
          <w:sz w:val="20"/>
          <w:szCs w:val="20"/>
          <w:lang w:val="en-US"/>
        </w:rPr>
        <w:t>funding</w:t>
      </w:r>
      <w:r w:rsidRPr="005607B9">
        <w:rPr>
          <w:color w:val="000000"/>
          <w:sz w:val="20"/>
          <w:szCs w:val="20"/>
          <w:lang w:val="en-US"/>
        </w:rPr>
        <w:t xml:space="preserve"> in case of a diagnosis of </w:t>
      </w:r>
      <w:r w:rsidRPr="00B5537A">
        <w:rPr>
          <w:color w:val="000000"/>
          <w:sz w:val="20"/>
          <w:szCs w:val="20"/>
          <w:lang w:val="en-US"/>
        </w:rPr>
        <w:t>“</w:t>
      </w:r>
      <w:r w:rsidRPr="005607B9">
        <w:rPr>
          <w:color w:val="000000"/>
          <w:sz w:val="20"/>
          <w:szCs w:val="20"/>
          <w:lang w:val="en-US"/>
        </w:rPr>
        <w:t>gender dysphoria or incongruence observed by a</w:t>
      </w:r>
      <w:r w:rsidRPr="00B5537A">
        <w:rPr>
          <w:color w:val="000000"/>
          <w:sz w:val="20"/>
          <w:szCs w:val="20"/>
          <w:lang w:val="en-US"/>
        </w:rPr>
        <w:t xml:space="preserve"> </w:t>
      </w:r>
      <w:r w:rsidRPr="005607B9">
        <w:rPr>
          <w:color w:val="000000"/>
          <w:sz w:val="20"/>
          <w:szCs w:val="20"/>
          <w:lang w:val="en-US"/>
        </w:rPr>
        <w:t>multidisciplinary equipe of specialized medical practitioners</w:t>
      </w:r>
      <w:r w:rsidRPr="00B5537A">
        <w:rPr>
          <w:color w:val="000000"/>
          <w:sz w:val="20"/>
          <w:szCs w:val="20"/>
          <w:lang w:val="en-US"/>
        </w:rPr>
        <w:t>”.</w:t>
      </w:r>
    </w:p>
    <w:p w14:paraId="4AAC38A8" w14:textId="77777777" w:rsidR="005607B9" w:rsidRPr="00B5537A" w:rsidRDefault="005607B9" w:rsidP="0085124A">
      <w:pPr>
        <w:pStyle w:val="NormalWeb"/>
        <w:shd w:val="clear" w:color="auto" w:fill="FFFFFF"/>
        <w:spacing w:after="0"/>
        <w:jc w:val="both"/>
        <w:rPr>
          <w:sz w:val="16"/>
          <w:szCs w:val="16"/>
          <w:lang w:val="en-US"/>
        </w:rPr>
      </w:pPr>
      <w:r w:rsidRPr="005607B9">
        <w:rPr>
          <w:color w:val="000000"/>
          <w:sz w:val="20"/>
          <w:szCs w:val="20"/>
          <w:lang w:val="en-US"/>
        </w:rPr>
        <w:t xml:space="preserve">This definition leaves room for various interpretations that paralyze the </w:t>
      </w:r>
      <w:r w:rsidRPr="00B5537A">
        <w:rPr>
          <w:color w:val="000000"/>
          <w:sz w:val="20"/>
          <w:szCs w:val="20"/>
          <w:lang w:val="en-US"/>
        </w:rPr>
        <w:t xml:space="preserve">medical </w:t>
      </w:r>
      <w:r w:rsidRPr="005607B9">
        <w:rPr>
          <w:color w:val="000000"/>
          <w:sz w:val="20"/>
          <w:szCs w:val="20"/>
          <w:lang w:val="en-US"/>
        </w:rPr>
        <w:t>system and increase the difficulties of the process with inequalities based on the chances to adhere to such criteria.</w:t>
      </w:r>
    </w:p>
    <w:p w14:paraId="4C065F2B" w14:textId="77777777" w:rsidR="005607B9" w:rsidRPr="005607B9" w:rsidRDefault="005607B9" w:rsidP="0085124A">
      <w:pPr>
        <w:pStyle w:val="NormalWeb"/>
        <w:shd w:val="clear" w:color="auto" w:fill="FFFFFF"/>
        <w:spacing w:after="0"/>
        <w:jc w:val="both"/>
        <w:rPr>
          <w:sz w:val="16"/>
          <w:szCs w:val="16"/>
          <w:lang w:val="en-US"/>
        </w:rPr>
      </w:pPr>
      <w:r w:rsidRPr="005607B9">
        <w:rPr>
          <w:color w:val="000000"/>
          <w:sz w:val="20"/>
          <w:szCs w:val="20"/>
          <w:lang w:val="en-US"/>
        </w:rPr>
        <w:t>The institutional website InfoTrans.it (run by the Italian National Health Institute and the National Office Against Racial Discrimination) in its Services Map pictures the imbalance of recognized centers through the country.</w:t>
      </w:r>
    </w:p>
    <w:p w14:paraId="2B7DE22B" w14:textId="33A35BBF" w:rsidR="005607B9" w:rsidRPr="00B5537A" w:rsidRDefault="005607B9" w:rsidP="0085124A">
      <w:pPr>
        <w:pStyle w:val="NormalWeb"/>
        <w:shd w:val="clear" w:color="auto" w:fill="FFFFFF"/>
        <w:spacing w:after="0"/>
        <w:jc w:val="both"/>
        <w:rPr>
          <w:sz w:val="16"/>
          <w:szCs w:val="16"/>
          <w:lang w:val="en-US"/>
        </w:rPr>
      </w:pPr>
      <w:r w:rsidRPr="005607B9">
        <w:rPr>
          <w:color w:val="000000"/>
          <w:sz w:val="20"/>
          <w:szCs w:val="20"/>
          <w:lang w:val="en-US"/>
        </w:rPr>
        <w:t xml:space="preserve">In the south of Italy there are overall 4 centers, a number that doubles in the north with its services. This all sums up to less than 20, the number of all the </w:t>
      </w:r>
      <w:r w:rsidR="0084302E" w:rsidRPr="005607B9">
        <w:rPr>
          <w:color w:val="000000"/>
          <w:sz w:val="20"/>
          <w:szCs w:val="20"/>
          <w:lang w:val="en-US"/>
        </w:rPr>
        <w:t>Italian</w:t>
      </w:r>
      <w:r w:rsidRPr="005607B9">
        <w:rPr>
          <w:color w:val="000000"/>
          <w:sz w:val="20"/>
          <w:szCs w:val="20"/>
          <w:lang w:val="en-US"/>
        </w:rPr>
        <w:t xml:space="preserve"> regions.</w:t>
      </w:r>
      <w:r w:rsidRPr="00B5537A">
        <w:rPr>
          <w:color w:val="000000"/>
          <w:sz w:val="20"/>
          <w:szCs w:val="20"/>
          <w:lang w:val="en-US"/>
        </w:rPr>
        <w:t xml:space="preserve"> </w:t>
      </w:r>
      <w:r w:rsidRPr="005607B9">
        <w:rPr>
          <w:color w:val="000000"/>
          <w:sz w:val="20"/>
          <w:szCs w:val="20"/>
          <w:lang w:val="en-US"/>
        </w:rPr>
        <w:t>If we add to that the 9 Local Health Authorities (LHA) and the 6 Polyclinics that have in their workforce the needed professionals, we get a total of 27 centers that could meet the new AIFA criteria.</w:t>
      </w:r>
    </w:p>
    <w:p w14:paraId="175A5487" w14:textId="77777777" w:rsidR="005607B9" w:rsidRPr="00B5537A" w:rsidRDefault="005607B9" w:rsidP="0085124A">
      <w:pPr>
        <w:pStyle w:val="NormalWeb"/>
        <w:shd w:val="clear" w:color="auto" w:fill="FFFFFF"/>
        <w:spacing w:after="0"/>
        <w:jc w:val="both"/>
        <w:rPr>
          <w:sz w:val="16"/>
          <w:szCs w:val="16"/>
          <w:lang w:val="en-US"/>
        </w:rPr>
      </w:pPr>
      <w:r w:rsidRPr="005607B9">
        <w:rPr>
          <w:color w:val="000000"/>
          <w:sz w:val="20"/>
          <w:szCs w:val="20"/>
          <w:lang w:val="en-US"/>
        </w:rPr>
        <w:t xml:space="preserve">This leaves uncovered and uncared for all those trans people who do not live close enough </w:t>
      </w:r>
      <w:r w:rsidRPr="00B5537A">
        <w:rPr>
          <w:color w:val="000000"/>
          <w:sz w:val="20"/>
          <w:szCs w:val="20"/>
          <w:lang w:val="en-US"/>
        </w:rPr>
        <w:t xml:space="preserve">– </w:t>
      </w:r>
      <w:r w:rsidRPr="005607B9">
        <w:rPr>
          <w:color w:val="000000"/>
          <w:sz w:val="20"/>
          <w:szCs w:val="20"/>
          <w:lang w:val="en-US"/>
        </w:rPr>
        <w:t xml:space="preserve">nor have the opportunity to get to </w:t>
      </w:r>
      <w:r w:rsidRPr="00B5537A">
        <w:rPr>
          <w:color w:val="000000"/>
          <w:sz w:val="20"/>
          <w:szCs w:val="20"/>
          <w:lang w:val="en-US"/>
        </w:rPr>
        <w:t xml:space="preserve">– </w:t>
      </w:r>
      <w:r w:rsidRPr="005607B9">
        <w:rPr>
          <w:color w:val="000000"/>
          <w:sz w:val="20"/>
          <w:szCs w:val="20"/>
          <w:lang w:val="en-US"/>
        </w:rPr>
        <w:t>one of these centers and limits the possibilities for doctors and LHAs to autonomously provide a gender dysphoria diagnosis.</w:t>
      </w:r>
    </w:p>
    <w:p w14:paraId="5259B670" w14:textId="4AB5891B" w:rsidR="005607B9" w:rsidRPr="00555F47" w:rsidRDefault="005607B9" w:rsidP="00555F47">
      <w:pPr>
        <w:pStyle w:val="NormalWeb"/>
        <w:shd w:val="clear" w:color="auto" w:fill="FFFFFF"/>
        <w:spacing w:after="0"/>
        <w:jc w:val="both"/>
        <w:rPr>
          <w:color w:val="000000"/>
          <w:sz w:val="20"/>
          <w:szCs w:val="20"/>
          <w:lang w:val="en-US"/>
        </w:rPr>
      </w:pPr>
      <w:r w:rsidRPr="005607B9">
        <w:rPr>
          <w:color w:val="000000"/>
          <w:sz w:val="20"/>
          <w:szCs w:val="20"/>
          <w:lang w:val="en-US"/>
        </w:rPr>
        <w:t xml:space="preserve">Furthermore, the recognized centers already have long waiting lists that </w:t>
      </w:r>
      <w:r w:rsidRPr="00B5537A">
        <w:rPr>
          <w:color w:val="000000"/>
          <w:sz w:val="20"/>
          <w:szCs w:val="20"/>
          <w:lang w:val="en-US"/>
        </w:rPr>
        <w:t>have</w:t>
      </w:r>
      <w:r w:rsidRPr="005607B9">
        <w:rPr>
          <w:color w:val="000000"/>
          <w:sz w:val="20"/>
          <w:szCs w:val="20"/>
          <w:lang w:val="en-US"/>
        </w:rPr>
        <w:t xml:space="preserve"> only worsen</w:t>
      </w:r>
      <w:r w:rsidRPr="00B5537A">
        <w:rPr>
          <w:color w:val="000000"/>
          <w:sz w:val="20"/>
          <w:szCs w:val="20"/>
          <w:lang w:val="en-US"/>
        </w:rPr>
        <w:t>ed</w:t>
      </w:r>
      <w:r w:rsidRPr="005607B9">
        <w:rPr>
          <w:color w:val="000000"/>
          <w:sz w:val="20"/>
          <w:szCs w:val="20"/>
          <w:lang w:val="en-US"/>
        </w:rPr>
        <w:t xml:space="preserve"> once </w:t>
      </w:r>
      <w:r w:rsidRPr="00B5537A">
        <w:rPr>
          <w:color w:val="000000"/>
          <w:sz w:val="20"/>
          <w:szCs w:val="20"/>
          <w:lang w:val="en-US"/>
        </w:rPr>
        <w:t>becoming</w:t>
      </w:r>
      <w:r w:rsidRPr="005607B9">
        <w:rPr>
          <w:color w:val="000000"/>
          <w:sz w:val="20"/>
          <w:szCs w:val="20"/>
          <w:lang w:val="en-US"/>
        </w:rPr>
        <w:t xml:space="preserve"> the only </w:t>
      </w:r>
      <w:r w:rsidRPr="00B5537A">
        <w:rPr>
          <w:color w:val="000000"/>
          <w:sz w:val="20"/>
          <w:szCs w:val="20"/>
          <w:lang w:val="en-US"/>
        </w:rPr>
        <w:t>adequate facilities</w:t>
      </w:r>
      <w:r w:rsidRPr="005607B9">
        <w:rPr>
          <w:color w:val="000000"/>
          <w:sz w:val="20"/>
          <w:szCs w:val="20"/>
          <w:lang w:val="en-US"/>
        </w:rPr>
        <w:t xml:space="preserve"> to obtain the required </w:t>
      </w:r>
      <w:r w:rsidR="0084302E">
        <w:rPr>
          <w:color w:val="000000"/>
          <w:sz w:val="20"/>
          <w:szCs w:val="20"/>
          <w:lang w:val="en-US"/>
        </w:rPr>
        <w:t>documentation</w:t>
      </w:r>
      <w:r w:rsidRPr="00B5537A">
        <w:rPr>
          <w:color w:val="000000"/>
          <w:sz w:val="20"/>
          <w:szCs w:val="20"/>
          <w:lang w:val="en-US"/>
        </w:rPr>
        <w:t xml:space="preserve"> (Cavagnacchi&amp;Barbaro, 2021).</w:t>
      </w:r>
      <w:r w:rsidRPr="00B5537A">
        <w:rPr>
          <w:color w:val="000000"/>
          <w:sz w:val="20"/>
          <w:szCs w:val="20"/>
          <w:lang w:val="en-US"/>
        </w:rPr>
        <w:br/>
        <w:t xml:space="preserve">In addition, </w:t>
      </w:r>
      <w:r w:rsidR="0084302E">
        <w:rPr>
          <w:color w:val="000000"/>
          <w:sz w:val="20"/>
          <w:szCs w:val="20"/>
          <w:lang w:val="en-US"/>
        </w:rPr>
        <w:t>considering</w:t>
      </w:r>
      <w:r w:rsidRPr="00B5537A">
        <w:rPr>
          <w:color w:val="000000"/>
          <w:sz w:val="20"/>
          <w:szCs w:val="20"/>
          <w:lang w:val="en-US"/>
        </w:rPr>
        <w:t xml:space="preserve"> the </w:t>
      </w:r>
      <w:r w:rsidR="0084302E">
        <w:rPr>
          <w:color w:val="000000"/>
          <w:sz w:val="20"/>
          <w:szCs w:val="20"/>
          <w:lang w:val="en-US"/>
        </w:rPr>
        <w:t>labor</w:t>
      </w:r>
      <w:r w:rsidRPr="00B5537A">
        <w:rPr>
          <w:color w:val="000000"/>
          <w:sz w:val="20"/>
          <w:szCs w:val="20"/>
          <w:lang w:val="en-US"/>
        </w:rPr>
        <w:t xml:space="preserve"> market and job placement, the lack of a national law on this subject has created a restricted and inaccessible </w:t>
      </w:r>
      <w:r w:rsidR="0084302E">
        <w:rPr>
          <w:color w:val="000000"/>
          <w:sz w:val="20"/>
          <w:szCs w:val="20"/>
          <w:lang w:val="en-US"/>
        </w:rPr>
        <w:t>labor</w:t>
      </w:r>
      <w:r w:rsidRPr="00B5537A">
        <w:rPr>
          <w:color w:val="000000"/>
          <w:sz w:val="20"/>
          <w:szCs w:val="20"/>
          <w:lang w:val="en-US"/>
        </w:rPr>
        <w:t xml:space="preserve"> market for trans people (A. H. Mawed, 2022).</w:t>
      </w:r>
      <w:r w:rsidRPr="00B5537A">
        <w:rPr>
          <w:b/>
          <w:bCs/>
          <w:color w:val="000000"/>
          <w:sz w:val="20"/>
          <w:szCs w:val="20"/>
          <w:lang w:val="en-US"/>
        </w:rPr>
        <w:br/>
      </w:r>
      <w:r w:rsidRPr="00B5537A">
        <w:rPr>
          <w:color w:val="000000"/>
          <w:sz w:val="20"/>
          <w:szCs w:val="20"/>
          <w:lang w:val="en-US"/>
        </w:rPr>
        <w:t>In Italy</w:t>
      </w:r>
      <w:r w:rsidR="0084302E">
        <w:rPr>
          <w:color w:val="000000"/>
          <w:sz w:val="20"/>
          <w:szCs w:val="20"/>
          <w:lang w:val="en-US"/>
        </w:rPr>
        <w:t>,</w:t>
      </w:r>
      <w:r w:rsidRPr="005607B9">
        <w:rPr>
          <w:color w:val="000000"/>
          <w:sz w:val="20"/>
          <w:szCs w:val="20"/>
          <w:lang w:val="en-US"/>
        </w:rPr>
        <w:t xml:space="preserve"> gender reassignment is not included among the recogni</w:t>
      </w:r>
      <w:r w:rsidRPr="00B5537A">
        <w:rPr>
          <w:color w:val="000000"/>
          <w:sz w:val="20"/>
          <w:szCs w:val="20"/>
          <w:lang w:val="en-US"/>
        </w:rPr>
        <w:t>z</w:t>
      </w:r>
      <w:r w:rsidRPr="005607B9">
        <w:rPr>
          <w:color w:val="000000"/>
          <w:sz w:val="20"/>
          <w:szCs w:val="20"/>
          <w:lang w:val="en-US"/>
        </w:rPr>
        <w:t>ed grounds for discrimination.</w:t>
      </w:r>
      <w:r w:rsidRPr="00B5537A">
        <w:rPr>
          <w:color w:val="000000"/>
          <w:sz w:val="20"/>
          <w:szCs w:val="20"/>
          <w:lang w:val="en-US"/>
        </w:rPr>
        <w:t xml:space="preserve"> </w:t>
      </w:r>
      <w:r w:rsidRPr="005607B9">
        <w:rPr>
          <w:color w:val="000000"/>
          <w:sz w:val="20"/>
          <w:szCs w:val="20"/>
          <w:lang w:val="en-US"/>
        </w:rPr>
        <w:t xml:space="preserve">Italian legislation does not address homophobic and transphobic hate </w:t>
      </w:r>
      <w:r w:rsidR="0084302E">
        <w:rPr>
          <w:color w:val="000000"/>
          <w:sz w:val="20"/>
          <w:szCs w:val="20"/>
          <w:lang w:val="en-US"/>
        </w:rPr>
        <w:t>crimes</w:t>
      </w:r>
      <w:r w:rsidRPr="005607B9">
        <w:rPr>
          <w:color w:val="000000"/>
          <w:sz w:val="20"/>
          <w:szCs w:val="20"/>
          <w:lang w:val="en-US"/>
        </w:rPr>
        <w:t xml:space="preserve"> and hate speech. On several occasions</w:t>
      </w:r>
      <w:r w:rsidR="0084302E">
        <w:rPr>
          <w:color w:val="000000"/>
          <w:sz w:val="20"/>
          <w:szCs w:val="20"/>
          <w:lang w:val="en-US"/>
        </w:rPr>
        <w:t>,</w:t>
      </w:r>
      <w:r w:rsidRPr="005607B9">
        <w:rPr>
          <w:color w:val="000000"/>
          <w:sz w:val="20"/>
          <w:szCs w:val="20"/>
          <w:lang w:val="en-US"/>
        </w:rPr>
        <w:t xml:space="preserve"> the Italian Parliament has rejected proposed laws on these issues. </w:t>
      </w:r>
      <w:r w:rsidRPr="00B5537A">
        <w:rPr>
          <w:color w:val="000000"/>
          <w:sz w:val="20"/>
          <w:szCs w:val="20"/>
          <w:lang w:val="en-US"/>
        </w:rPr>
        <w:t>Also,</w:t>
      </w:r>
      <w:r w:rsidRPr="005607B9">
        <w:rPr>
          <w:color w:val="000000"/>
          <w:sz w:val="20"/>
          <w:szCs w:val="20"/>
          <w:lang w:val="en-US"/>
        </w:rPr>
        <w:t xml:space="preserve"> </w:t>
      </w:r>
      <w:r w:rsidR="0084302E">
        <w:rPr>
          <w:color w:val="000000"/>
          <w:sz w:val="20"/>
          <w:szCs w:val="20"/>
          <w:lang w:val="en-US"/>
        </w:rPr>
        <w:t xml:space="preserve">the </w:t>
      </w:r>
      <w:r w:rsidRPr="005607B9">
        <w:rPr>
          <w:color w:val="000000"/>
          <w:sz w:val="20"/>
          <w:szCs w:val="20"/>
          <w:lang w:val="en-US"/>
        </w:rPr>
        <w:t>Italian legal system takes no account of whether a crime was committed with a homophobic/transphobic motivation</w:t>
      </w:r>
      <w:r w:rsidRPr="00B5537A">
        <w:rPr>
          <w:color w:val="000000"/>
          <w:sz w:val="20"/>
          <w:szCs w:val="20"/>
          <w:lang w:val="en-US"/>
        </w:rPr>
        <w:t xml:space="preserve"> (Ruspini, 2018). </w:t>
      </w:r>
      <w:r w:rsidR="00DC6857" w:rsidRPr="00B5537A">
        <w:rPr>
          <w:color w:val="000000"/>
          <w:sz w:val="20"/>
          <w:szCs w:val="20"/>
          <w:lang w:val="en-US"/>
        </w:rPr>
        <w:t>So,</w:t>
      </w:r>
      <w:r w:rsidRPr="00B5537A">
        <w:rPr>
          <w:color w:val="000000"/>
          <w:sz w:val="20"/>
          <w:szCs w:val="20"/>
          <w:lang w:val="en-US"/>
        </w:rPr>
        <w:t xml:space="preserve"> it is interesting to point out that since g</w:t>
      </w:r>
      <w:r w:rsidRPr="005607B9">
        <w:rPr>
          <w:color w:val="000000"/>
          <w:sz w:val="20"/>
          <w:szCs w:val="20"/>
          <w:lang w:val="en-US"/>
        </w:rPr>
        <w:t>ender diversity is not an illnes</w:t>
      </w:r>
      <w:r w:rsidRPr="00B5537A">
        <w:rPr>
          <w:color w:val="000000"/>
          <w:sz w:val="20"/>
          <w:szCs w:val="20"/>
          <w:lang w:val="en-US"/>
        </w:rPr>
        <w:t>s</w:t>
      </w:r>
      <w:r w:rsidRPr="005607B9">
        <w:rPr>
          <w:color w:val="000000"/>
          <w:sz w:val="20"/>
          <w:szCs w:val="20"/>
          <w:lang w:val="en-US"/>
        </w:rPr>
        <w:t xml:space="preserve">, the fact that only </w:t>
      </w:r>
      <w:r w:rsidR="0084302E">
        <w:rPr>
          <w:color w:val="000000"/>
          <w:sz w:val="20"/>
          <w:szCs w:val="20"/>
          <w:lang w:val="en-US"/>
        </w:rPr>
        <w:t>gender-diverse</w:t>
      </w:r>
      <w:r w:rsidRPr="005607B9">
        <w:rPr>
          <w:color w:val="000000"/>
          <w:sz w:val="20"/>
          <w:szCs w:val="20"/>
          <w:lang w:val="en-US"/>
        </w:rPr>
        <w:t xml:space="preserve"> people are pathologized constitutes unequal treatment, resulting in a violation of the right to non-discrimination.</w:t>
      </w:r>
    </w:p>
    <w:p w14:paraId="008E993F" w14:textId="1AAA0AA8" w:rsidR="005607B9" w:rsidRPr="00B5537A" w:rsidRDefault="00DD1D3E" w:rsidP="0085124A">
      <w:pPr>
        <w:pStyle w:val="NormalWeb"/>
        <w:keepNext/>
        <w:shd w:val="clear" w:color="auto" w:fill="FFFFFF"/>
        <w:spacing w:after="0"/>
        <w:jc w:val="both"/>
        <w:rPr>
          <w:lang w:val="en-US"/>
        </w:rPr>
      </w:pPr>
      <w:r w:rsidRPr="00B5537A">
        <w:rPr>
          <w:lang w:val="en-US"/>
        </w:rPr>
        <w:tab/>
      </w:r>
      <w:r w:rsidR="009849BD" w:rsidRPr="00B5537A">
        <w:rPr>
          <w:lang w:val="en-US"/>
        </w:rPr>
        <w:t>C</w:t>
      </w:r>
      <w:r w:rsidRPr="00B5537A">
        <w:rPr>
          <w:lang w:val="en-US"/>
        </w:rPr>
        <w:t>.</w:t>
      </w:r>
      <w:r w:rsidR="0034331A" w:rsidRPr="00B5537A">
        <w:rPr>
          <w:lang w:val="en-US"/>
        </w:rPr>
        <w:tab/>
      </w:r>
      <w:r w:rsidR="005607B9" w:rsidRPr="00583B09">
        <w:rPr>
          <w:b/>
          <w:bCs/>
          <w:color w:val="000000"/>
          <w:lang w:val="en-US"/>
        </w:rPr>
        <w:t>Recognition of transgender childhood</w:t>
      </w:r>
    </w:p>
    <w:p w14:paraId="754E8B70" w14:textId="3159B1EB" w:rsidR="005607B9" w:rsidRPr="0084302E" w:rsidRDefault="005607B9" w:rsidP="0085124A">
      <w:pPr>
        <w:pStyle w:val="NormalWeb"/>
        <w:shd w:val="clear" w:color="auto" w:fill="FFFFFF"/>
        <w:spacing w:after="0"/>
        <w:jc w:val="both"/>
        <w:rPr>
          <w:color w:val="000000"/>
          <w:sz w:val="20"/>
          <w:szCs w:val="20"/>
          <w:lang w:val="en-US"/>
        </w:rPr>
      </w:pPr>
      <w:r w:rsidRPr="005607B9">
        <w:rPr>
          <w:color w:val="000000"/>
          <w:sz w:val="20"/>
          <w:szCs w:val="20"/>
          <w:lang w:val="en-US"/>
        </w:rPr>
        <w:t xml:space="preserve">Another major concern is childhood pathologization. This diagnosis of </w:t>
      </w:r>
      <w:r w:rsidRPr="00B5537A">
        <w:rPr>
          <w:color w:val="000000"/>
          <w:sz w:val="20"/>
          <w:szCs w:val="20"/>
          <w:lang w:val="en-US"/>
        </w:rPr>
        <w:t xml:space="preserve">“gender dysphoria” </w:t>
      </w:r>
      <w:r w:rsidRPr="005607B9">
        <w:rPr>
          <w:color w:val="000000"/>
          <w:sz w:val="20"/>
          <w:szCs w:val="20"/>
          <w:lang w:val="en-US"/>
        </w:rPr>
        <w:t xml:space="preserve">in children in DSM-V or </w:t>
      </w:r>
      <w:r w:rsidRPr="00B5537A">
        <w:rPr>
          <w:color w:val="000000"/>
          <w:sz w:val="20"/>
          <w:szCs w:val="20"/>
          <w:lang w:val="en-US"/>
        </w:rPr>
        <w:t>“</w:t>
      </w:r>
      <w:r w:rsidRPr="005607B9">
        <w:rPr>
          <w:color w:val="000000"/>
          <w:sz w:val="20"/>
          <w:szCs w:val="20"/>
          <w:lang w:val="fr-FR"/>
        </w:rPr>
        <w:t>gender incongruence</w:t>
      </w:r>
      <w:r w:rsidRPr="00B5537A">
        <w:rPr>
          <w:color w:val="000000"/>
          <w:sz w:val="20"/>
          <w:szCs w:val="20"/>
          <w:lang w:val="en-US"/>
        </w:rPr>
        <w:t xml:space="preserve">” </w:t>
      </w:r>
      <w:r w:rsidRPr="005607B9">
        <w:rPr>
          <w:color w:val="000000"/>
          <w:sz w:val="20"/>
          <w:szCs w:val="20"/>
          <w:lang w:val="en-US"/>
        </w:rPr>
        <w:t>in childhood in ICD-11 has no clinical utility because children do not need treatment</w:t>
      </w:r>
      <w:r w:rsidRPr="00B5537A">
        <w:rPr>
          <w:color w:val="000000"/>
          <w:sz w:val="20"/>
          <w:szCs w:val="20"/>
          <w:lang w:val="en-US"/>
        </w:rPr>
        <w:t xml:space="preserve"> (Castro-Peraza et al., 2019) apart from hormone blockers.</w:t>
      </w:r>
      <w:r w:rsidR="00DC6857">
        <w:rPr>
          <w:color w:val="000000"/>
          <w:sz w:val="20"/>
          <w:szCs w:val="20"/>
          <w:lang w:val="en-US"/>
        </w:rPr>
        <w:t xml:space="preserve"> </w:t>
      </w:r>
      <w:r w:rsidRPr="005607B9">
        <w:rPr>
          <w:color w:val="000000"/>
          <w:sz w:val="20"/>
          <w:szCs w:val="20"/>
          <w:lang w:val="en-US"/>
        </w:rPr>
        <w:t xml:space="preserve">The population of </w:t>
      </w:r>
      <w:r w:rsidR="0084302E">
        <w:rPr>
          <w:color w:val="000000"/>
          <w:sz w:val="20"/>
          <w:szCs w:val="20"/>
          <w:lang w:val="en-US"/>
        </w:rPr>
        <w:t>gender-diverse</w:t>
      </w:r>
      <w:r w:rsidRPr="005607B9">
        <w:rPr>
          <w:color w:val="000000"/>
          <w:sz w:val="20"/>
          <w:szCs w:val="20"/>
          <w:lang w:val="en-US"/>
        </w:rPr>
        <w:t xml:space="preserve"> youths who are referred to gender clinics</w:t>
      </w:r>
      <w:r w:rsidRPr="00B5537A">
        <w:rPr>
          <w:color w:val="000000"/>
          <w:sz w:val="20"/>
          <w:szCs w:val="20"/>
          <w:lang w:val="en-US"/>
        </w:rPr>
        <w:t xml:space="preserve"> </w:t>
      </w:r>
      <w:r w:rsidRPr="005607B9">
        <w:rPr>
          <w:color w:val="000000"/>
          <w:sz w:val="20"/>
          <w:szCs w:val="20"/>
          <w:lang w:val="en-US"/>
        </w:rPr>
        <w:t xml:space="preserve">is continuing to </w:t>
      </w:r>
      <w:r w:rsidR="0084302E">
        <w:rPr>
          <w:color w:val="000000"/>
          <w:sz w:val="20"/>
          <w:szCs w:val="20"/>
          <w:lang w:val="en-US"/>
        </w:rPr>
        <w:t>rise</w:t>
      </w:r>
      <w:r w:rsidRPr="00B5537A">
        <w:rPr>
          <w:color w:val="000000"/>
          <w:sz w:val="20"/>
          <w:szCs w:val="20"/>
          <w:lang w:val="en-US"/>
        </w:rPr>
        <w:t xml:space="preserve"> in </w:t>
      </w:r>
      <w:r w:rsidR="0084302E">
        <w:rPr>
          <w:color w:val="000000"/>
          <w:sz w:val="20"/>
          <w:szCs w:val="20"/>
          <w:lang w:val="en-US"/>
        </w:rPr>
        <w:t>recent</w:t>
      </w:r>
      <w:r w:rsidRPr="00B5537A">
        <w:rPr>
          <w:color w:val="000000"/>
          <w:sz w:val="20"/>
          <w:szCs w:val="20"/>
          <w:lang w:val="en-US"/>
        </w:rPr>
        <w:t xml:space="preserve"> years</w:t>
      </w:r>
      <w:r w:rsidRPr="005607B9">
        <w:rPr>
          <w:color w:val="000000"/>
          <w:sz w:val="20"/>
          <w:szCs w:val="20"/>
          <w:lang w:val="en-US"/>
        </w:rPr>
        <w:t>, manifesting new needs and requests.</w:t>
      </w:r>
    </w:p>
    <w:p w14:paraId="614843EB" w14:textId="5CFAA47A" w:rsidR="005607B9" w:rsidRPr="00B5537A" w:rsidRDefault="005607B9" w:rsidP="0085124A">
      <w:pPr>
        <w:pStyle w:val="NormalWeb"/>
        <w:shd w:val="clear" w:color="auto" w:fill="FFFFFF"/>
        <w:spacing w:after="0"/>
        <w:jc w:val="both"/>
        <w:rPr>
          <w:sz w:val="20"/>
          <w:szCs w:val="20"/>
          <w:lang w:val="en-US"/>
        </w:rPr>
      </w:pPr>
      <w:r w:rsidRPr="005607B9">
        <w:rPr>
          <w:color w:val="000000"/>
          <w:sz w:val="20"/>
          <w:szCs w:val="20"/>
          <w:lang w:val="en-US"/>
        </w:rPr>
        <w:t>In Italy, specialized centers for trans* youth are networked within the Osservatorio Nazionale sull</w:t>
      </w:r>
      <w:r w:rsidRPr="00B5537A">
        <w:rPr>
          <w:color w:val="000000"/>
          <w:sz w:val="20"/>
          <w:szCs w:val="20"/>
          <w:lang w:val="en-US"/>
        </w:rPr>
        <w:t>’Identit</w:t>
      </w:r>
      <w:r w:rsidRPr="005607B9">
        <w:rPr>
          <w:color w:val="000000"/>
          <w:sz w:val="20"/>
          <w:szCs w:val="20"/>
          <w:lang w:val="fr-FR"/>
        </w:rPr>
        <w:t xml:space="preserve">à </w:t>
      </w:r>
      <w:r w:rsidRPr="005607B9">
        <w:rPr>
          <w:color w:val="000000"/>
          <w:sz w:val="20"/>
          <w:szCs w:val="20"/>
          <w:lang w:val="en-US"/>
        </w:rPr>
        <w:t xml:space="preserve">di Genere [National Observatory on Gender Identity] (ONIG), which, together with several scientific societies (e.g., the Italian Society of Andrology and Sexual Medicine, the Italian Society of Endocrinology, the Italian Society of Pediatric Endocrinology and Diabetes), established a consortium of professionals engaged in the clinical, endocrine, legal, and social management of trans * youths. In 2014, these societies promoted specific guidelines for centers and professionals to provide the best care and support to gender variant and transgender individuals. </w:t>
      </w:r>
      <w:r w:rsidRPr="00B5537A">
        <w:rPr>
          <w:color w:val="000000"/>
          <w:sz w:val="20"/>
          <w:szCs w:val="20"/>
          <w:lang w:val="en-US"/>
        </w:rPr>
        <w:br/>
        <w:t>But t</w:t>
      </w:r>
      <w:r w:rsidRPr="005607B9">
        <w:rPr>
          <w:color w:val="000000"/>
          <w:sz w:val="20"/>
          <w:szCs w:val="20"/>
          <w:lang w:val="en-US"/>
        </w:rPr>
        <w:t xml:space="preserve">he distribution of specialized centers for trans* youths across the Italian territory is not even: such centers are only present on the mainland, leaving large portions of the country without cover; many major </w:t>
      </w:r>
      <w:r w:rsidRPr="00B5537A">
        <w:rPr>
          <w:color w:val="000000"/>
          <w:sz w:val="20"/>
          <w:szCs w:val="20"/>
          <w:lang w:val="en-US"/>
        </w:rPr>
        <w:t>cities</w:t>
      </w:r>
      <w:r w:rsidRPr="005607B9">
        <w:rPr>
          <w:color w:val="000000"/>
          <w:sz w:val="20"/>
          <w:szCs w:val="20"/>
          <w:lang w:val="en-US"/>
        </w:rPr>
        <w:t xml:space="preserve"> are similarly lacking</w:t>
      </w:r>
      <w:r w:rsidRPr="00B5537A">
        <w:rPr>
          <w:color w:val="000000"/>
          <w:sz w:val="20"/>
          <w:szCs w:val="20"/>
          <w:lang w:val="en-US"/>
        </w:rPr>
        <w:t xml:space="preserve"> (</w:t>
      </w:r>
      <w:r w:rsidRPr="005607B9">
        <w:rPr>
          <w:color w:val="000000"/>
          <w:sz w:val="20"/>
          <w:szCs w:val="20"/>
          <w:lang w:val="en-US"/>
        </w:rPr>
        <w:t>within the Italian territory</w:t>
      </w:r>
      <w:r w:rsidR="0084302E">
        <w:rPr>
          <w:color w:val="000000"/>
          <w:sz w:val="20"/>
          <w:szCs w:val="20"/>
          <w:lang w:val="en-US"/>
        </w:rPr>
        <w:t>,</w:t>
      </w:r>
      <w:r w:rsidRPr="005607B9">
        <w:rPr>
          <w:color w:val="000000"/>
          <w:sz w:val="20"/>
          <w:szCs w:val="20"/>
          <w:lang w:val="en-US"/>
        </w:rPr>
        <w:t xml:space="preserve"> regional connections </w:t>
      </w:r>
      <w:r w:rsidRPr="00B5537A">
        <w:rPr>
          <w:color w:val="000000"/>
          <w:sz w:val="20"/>
          <w:szCs w:val="20"/>
          <w:lang w:val="en-US"/>
        </w:rPr>
        <w:t xml:space="preserve">and public transport </w:t>
      </w:r>
      <w:r w:rsidRPr="005607B9">
        <w:rPr>
          <w:color w:val="000000"/>
          <w:sz w:val="20"/>
          <w:szCs w:val="20"/>
          <w:lang w:val="en-US"/>
        </w:rPr>
        <w:t>are poor</w:t>
      </w:r>
      <w:r w:rsidRPr="00B5537A">
        <w:rPr>
          <w:color w:val="000000"/>
          <w:sz w:val="20"/>
          <w:szCs w:val="20"/>
          <w:lang w:val="en-US"/>
        </w:rPr>
        <w:t>, thus</w:t>
      </w:r>
      <w:r w:rsidRPr="005607B9">
        <w:rPr>
          <w:color w:val="000000"/>
          <w:sz w:val="20"/>
          <w:szCs w:val="20"/>
          <w:lang w:val="en-US"/>
        </w:rPr>
        <w:t xml:space="preserve"> for many families it is not </w:t>
      </w:r>
      <w:r w:rsidRPr="00B5537A">
        <w:rPr>
          <w:color w:val="000000"/>
          <w:sz w:val="20"/>
          <w:szCs w:val="20"/>
          <w:lang w:val="en-US"/>
        </w:rPr>
        <w:t>possible</w:t>
      </w:r>
      <w:r w:rsidRPr="005607B9">
        <w:rPr>
          <w:color w:val="000000"/>
          <w:sz w:val="20"/>
          <w:szCs w:val="20"/>
          <w:lang w:val="en-US"/>
        </w:rPr>
        <w:t xml:space="preserve"> to travel to specialized centers</w:t>
      </w:r>
      <w:r w:rsidRPr="00B5537A">
        <w:rPr>
          <w:color w:val="000000"/>
          <w:sz w:val="20"/>
          <w:szCs w:val="20"/>
          <w:lang w:val="en-US"/>
        </w:rPr>
        <w:t>) (Giovanardi et al. 2020).</w:t>
      </w:r>
    </w:p>
    <w:p w14:paraId="2C626E81" w14:textId="3A086769" w:rsidR="005607B9" w:rsidRPr="0084302E" w:rsidRDefault="005607B9" w:rsidP="0085124A">
      <w:pPr>
        <w:pStyle w:val="NormalWeb"/>
        <w:shd w:val="clear" w:color="auto" w:fill="FFFFFF"/>
        <w:spacing w:after="0"/>
        <w:jc w:val="both"/>
        <w:rPr>
          <w:color w:val="000000"/>
          <w:sz w:val="20"/>
          <w:szCs w:val="20"/>
          <w:lang w:val="en-US"/>
        </w:rPr>
      </w:pPr>
      <w:r w:rsidRPr="00B5537A">
        <w:rPr>
          <w:color w:val="000000"/>
          <w:sz w:val="20"/>
          <w:szCs w:val="20"/>
          <w:lang w:val="en-US"/>
        </w:rPr>
        <w:t xml:space="preserve">Regarding schools, a tool was developed, “Carriera </w:t>
      </w:r>
      <w:r w:rsidRPr="005607B9">
        <w:rPr>
          <w:color w:val="000000"/>
          <w:sz w:val="20"/>
          <w:szCs w:val="20"/>
          <w:lang w:val="pt-PT"/>
        </w:rPr>
        <w:t>Alias</w:t>
      </w:r>
      <w:r w:rsidRPr="00B5537A">
        <w:rPr>
          <w:color w:val="000000"/>
          <w:sz w:val="20"/>
          <w:szCs w:val="20"/>
          <w:lang w:val="en-US"/>
        </w:rPr>
        <w:t xml:space="preserve">” </w:t>
      </w:r>
      <w:r w:rsidR="0084302E">
        <w:rPr>
          <w:color w:val="000000"/>
          <w:sz w:val="20"/>
          <w:szCs w:val="20"/>
          <w:lang w:val="en-US"/>
        </w:rPr>
        <w:t xml:space="preserve">which </w:t>
      </w:r>
      <w:r w:rsidRPr="00B5537A">
        <w:rPr>
          <w:color w:val="000000"/>
          <w:sz w:val="20"/>
          <w:szCs w:val="20"/>
          <w:lang w:val="en-US"/>
        </w:rPr>
        <w:t xml:space="preserve">is a measure </w:t>
      </w:r>
      <w:r w:rsidRPr="005607B9">
        <w:rPr>
          <w:color w:val="000000"/>
          <w:sz w:val="20"/>
          <w:szCs w:val="20"/>
          <w:lang w:val="en-US"/>
        </w:rPr>
        <w:t>to protect people who are changing sex or gender</w:t>
      </w:r>
      <w:r w:rsidR="0084302E">
        <w:rPr>
          <w:color w:val="000000"/>
          <w:sz w:val="20"/>
          <w:szCs w:val="20"/>
          <w:lang w:val="en-US"/>
        </w:rPr>
        <w:t>. It</w:t>
      </w:r>
      <w:r w:rsidRPr="005607B9">
        <w:rPr>
          <w:color w:val="000000"/>
          <w:sz w:val="20"/>
          <w:szCs w:val="20"/>
          <w:lang w:val="en-US"/>
        </w:rPr>
        <w:t xml:space="preserve"> consists of a temporary bureaucratic profile </w:t>
      </w:r>
      <w:r w:rsidR="0084302E">
        <w:rPr>
          <w:color w:val="000000"/>
          <w:sz w:val="20"/>
          <w:szCs w:val="20"/>
          <w:lang w:val="en-US"/>
        </w:rPr>
        <w:t>allowing</w:t>
      </w:r>
      <w:r w:rsidRPr="005607B9">
        <w:rPr>
          <w:color w:val="000000"/>
          <w:sz w:val="20"/>
          <w:szCs w:val="20"/>
          <w:lang w:val="en-US"/>
        </w:rPr>
        <w:t xml:space="preserve"> trans* people to use their chosen name, different from the </w:t>
      </w:r>
      <w:r w:rsidRPr="00B5537A">
        <w:rPr>
          <w:color w:val="000000"/>
          <w:sz w:val="20"/>
          <w:szCs w:val="20"/>
          <w:lang w:val="en-US"/>
        </w:rPr>
        <w:t xml:space="preserve">birth </w:t>
      </w:r>
      <w:r w:rsidRPr="005607B9">
        <w:rPr>
          <w:color w:val="000000"/>
          <w:sz w:val="20"/>
          <w:szCs w:val="20"/>
          <w:lang w:val="en-US"/>
        </w:rPr>
        <w:t>name on official documents.</w:t>
      </w:r>
      <w:r w:rsidRPr="00B5537A">
        <w:rPr>
          <w:color w:val="000000"/>
          <w:sz w:val="20"/>
          <w:szCs w:val="20"/>
          <w:lang w:val="en-US"/>
        </w:rPr>
        <w:t xml:space="preserve"> “Carriera Alias” is in place because the procedure to change </w:t>
      </w:r>
      <w:r w:rsidR="0084302E">
        <w:rPr>
          <w:color w:val="000000"/>
          <w:sz w:val="20"/>
          <w:szCs w:val="20"/>
          <w:lang w:val="en-US"/>
        </w:rPr>
        <w:t xml:space="preserve">the </w:t>
      </w:r>
      <w:r w:rsidRPr="00B5537A">
        <w:rPr>
          <w:color w:val="000000"/>
          <w:sz w:val="20"/>
          <w:szCs w:val="20"/>
          <w:lang w:val="en-US"/>
        </w:rPr>
        <w:t>legal name and gender usually takes quite a long time</w:t>
      </w:r>
      <w:r w:rsidR="0084302E">
        <w:rPr>
          <w:color w:val="000000"/>
          <w:sz w:val="20"/>
          <w:szCs w:val="20"/>
          <w:lang w:val="en-US"/>
        </w:rPr>
        <w:t>. It</w:t>
      </w:r>
      <w:r w:rsidRPr="00B5537A">
        <w:rPr>
          <w:color w:val="000000"/>
          <w:sz w:val="20"/>
          <w:szCs w:val="20"/>
          <w:lang w:val="en-US"/>
        </w:rPr>
        <w:t xml:space="preserve"> can vary between 2 to 4 years. It </w:t>
      </w:r>
      <w:r w:rsidRPr="005607B9">
        <w:rPr>
          <w:color w:val="000000"/>
          <w:sz w:val="20"/>
          <w:szCs w:val="20"/>
          <w:lang w:val="en-US"/>
        </w:rPr>
        <w:t>aims to eliminate and break down situations of discomfort and prevent forms of discrimination</w:t>
      </w:r>
      <w:r w:rsidRPr="00B5537A">
        <w:rPr>
          <w:color w:val="000000"/>
          <w:sz w:val="20"/>
          <w:szCs w:val="20"/>
          <w:lang w:val="en-US"/>
        </w:rPr>
        <w:t xml:space="preserve">, but most universities exclusively grant a “Carriera Alias” to </w:t>
      </w:r>
      <w:r w:rsidRPr="005607B9">
        <w:rPr>
          <w:color w:val="000000"/>
          <w:sz w:val="20"/>
          <w:szCs w:val="20"/>
          <w:lang w:val="en-US"/>
        </w:rPr>
        <w:t xml:space="preserve">people </w:t>
      </w:r>
      <w:r w:rsidRPr="00B5537A">
        <w:rPr>
          <w:color w:val="000000"/>
          <w:sz w:val="20"/>
          <w:szCs w:val="20"/>
          <w:lang w:val="en-US"/>
        </w:rPr>
        <w:t>who have received a Gender Dysphoria diagnosis. In 2018, “Carriera Alias” is</w:t>
      </w:r>
      <w:r w:rsidRPr="005607B9">
        <w:rPr>
          <w:color w:val="000000"/>
          <w:sz w:val="20"/>
          <w:szCs w:val="20"/>
          <w:lang w:val="en-US"/>
        </w:rPr>
        <w:t xml:space="preserve"> active at 32 Colleges and Universities</w:t>
      </w:r>
      <w:r w:rsidRPr="00B5537A">
        <w:rPr>
          <w:color w:val="000000"/>
          <w:sz w:val="20"/>
          <w:szCs w:val="20"/>
          <w:lang w:val="en-US"/>
        </w:rPr>
        <w:t>.</w:t>
      </w:r>
      <w:r w:rsidRPr="00B5537A">
        <w:rPr>
          <w:color w:val="000000"/>
          <w:sz w:val="20"/>
          <w:szCs w:val="20"/>
          <w:lang w:val="en-US"/>
        </w:rPr>
        <w:br/>
        <w:t xml:space="preserve">A study showed that, </w:t>
      </w:r>
      <w:r w:rsidR="0084302E">
        <w:rPr>
          <w:color w:val="000000"/>
          <w:sz w:val="20"/>
          <w:szCs w:val="20"/>
          <w:lang w:val="en-US"/>
        </w:rPr>
        <w:t>among</w:t>
      </w:r>
      <w:r w:rsidRPr="00B5537A">
        <w:rPr>
          <w:color w:val="000000"/>
          <w:sz w:val="20"/>
          <w:szCs w:val="20"/>
          <w:lang w:val="en-US"/>
        </w:rPr>
        <w:t xml:space="preserve"> trans* students from 13 to 21 years old, more than 80% </w:t>
      </w:r>
      <w:r w:rsidR="0084302E">
        <w:rPr>
          <w:color w:val="000000"/>
          <w:sz w:val="20"/>
          <w:szCs w:val="20"/>
          <w:lang w:val="en-US"/>
        </w:rPr>
        <w:t>have</w:t>
      </w:r>
      <w:r w:rsidRPr="00B5537A">
        <w:rPr>
          <w:color w:val="000000"/>
          <w:sz w:val="20"/>
          <w:szCs w:val="20"/>
          <w:lang w:val="en-US"/>
        </w:rPr>
        <w:t xml:space="preserve"> feelings of insecurity and fear of being harmed because of their gender identity; 78% of them have been discriminated against during school; also school drop-out concerns up to 42% of the trans* population and is directly linked to transphobia or discrimination in schools (T. Russo, P. Valerio, 2019).</w:t>
      </w:r>
      <w:r w:rsidR="0084302E">
        <w:rPr>
          <w:color w:val="000000"/>
          <w:sz w:val="20"/>
          <w:szCs w:val="20"/>
          <w:lang w:val="en-US"/>
        </w:rPr>
        <w:t xml:space="preserve"> </w:t>
      </w:r>
      <w:r w:rsidRPr="00B5537A">
        <w:rPr>
          <w:color w:val="000000"/>
          <w:sz w:val="20"/>
          <w:szCs w:val="20"/>
          <w:lang w:val="en-US"/>
        </w:rPr>
        <w:t xml:space="preserve">This proves the urgent need to protect young trans* people in schools. Moreover, misinformation in social contexts such as family, school, hospital, work, etc. is not </w:t>
      </w:r>
      <w:r w:rsidR="0084302E">
        <w:rPr>
          <w:color w:val="000000"/>
          <w:sz w:val="20"/>
          <w:szCs w:val="20"/>
          <w:lang w:val="en-US"/>
        </w:rPr>
        <w:t>addressed</w:t>
      </w:r>
      <w:r w:rsidRPr="00B5537A">
        <w:rPr>
          <w:color w:val="000000"/>
          <w:sz w:val="20"/>
          <w:szCs w:val="20"/>
          <w:lang w:val="en-US"/>
        </w:rPr>
        <w:t>, and there lies stigma, prejudice and</w:t>
      </w:r>
      <w:r w:rsidR="0084302E">
        <w:rPr>
          <w:color w:val="000000"/>
          <w:sz w:val="20"/>
          <w:szCs w:val="20"/>
          <w:lang w:val="en-US"/>
        </w:rPr>
        <w:t>,</w:t>
      </w:r>
      <w:r w:rsidRPr="00B5537A">
        <w:rPr>
          <w:color w:val="000000"/>
          <w:sz w:val="20"/>
          <w:szCs w:val="20"/>
          <w:lang w:val="en-US"/>
        </w:rPr>
        <w:t xml:space="preserve"> therefore</w:t>
      </w:r>
      <w:r w:rsidR="0084302E">
        <w:rPr>
          <w:color w:val="000000"/>
          <w:sz w:val="20"/>
          <w:szCs w:val="20"/>
          <w:lang w:val="en-US"/>
        </w:rPr>
        <w:t>,</w:t>
      </w:r>
      <w:r w:rsidRPr="00B5537A">
        <w:rPr>
          <w:color w:val="000000"/>
          <w:sz w:val="20"/>
          <w:szCs w:val="20"/>
          <w:lang w:val="en-US"/>
        </w:rPr>
        <w:t xml:space="preserve"> discrimination.</w:t>
      </w:r>
    </w:p>
    <w:p w14:paraId="53A447B7" w14:textId="77777777" w:rsidR="005607B9" w:rsidRDefault="005607B9" w:rsidP="0085124A">
      <w:pPr>
        <w:pStyle w:val="SingleTxtG"/>
      </w:pPr>
    </w:p>
    <w:p w14:paraId="4CBB5C9A" w14:textId="77777777" w:rsidR="005607B9" w:rsidRPr="00B5537A" w:rsidRDefault="005E7DAC" w:rsidP="0085124A">
      <w:pPr>
        <w:pStyle w:val="NormalWeb"/>
        <w:shd w:val="clear" w:color="auto" w:fill="FFFFFF"/>
        <w:spacing w:after="0"/>
        <w:jc w:val="both"/>
        <w:rPr>
          <w:lang w:val="en-US"/>
        </w:rPr>
      </w:pPr>
      <w:r w:rsidRPr="00B5537A">
        <w:rPr>
          <w:lang w:val="en-US"/>
        </w:rPr>
        <w:tab/>
      </w:r>
      <w:r w:rsidR="009849BD" w:rsidRPr="00B5537A">
        <w:rPr>
          <w:lang w:val="en-US"/>
        </w:rPr>
        <w:t>D</w:t>
      </w:r>
      <w:r w:rsidR="00DD1D3E" w:rsidRPr="00B5537A">
        <w:rPr>
          <w:lang w:val="en-US"/>
        </w:rPr>
        <w:t>.</w:t>
      </w:r>
      <w:r w:rsidR="0034331A" w:rsidRPr="00B5537A">
        <w:rPr>
          <w:lang w:val="en-US"/>
        </w:rPr>
        <w:tab/>
      </w:r>
      <w:r w:rsidR="005607B9" w:rsidRPr="005607B9">
        <w:rPr>
          <w:b/>
          <w:bCs/>
          <w:color w:val="000000"/>
          <w:lang w:val="en-US"/>
        </w:rPr>
        <w:t>Mental health and discrimination in the transgender population</w:t>
      </w:r>
    </w:p>
    <w:p w14:paraId="3E9F309F" w14:textId="4B1974D0" w:rsidR="006B52B6" w:rsidRPr="00B5537A" w:rsidRDefault="006B52B6" w:rsidP="0085124A">
      <w:pPr>
        <w:pStyle w:val="NormalWeb"/>
        <w:shd w:val="clear" w:color="auto" w:fill="FFFFFF"/>
        <w:spacing w:after="0"/>
        <w:jc w:val="both"/>
        <w:rPr>
          <w:sz w:val="20"/>
          <w:szCs w:val="20"/>
          <w:lang w:val="en-US"/>
        </w:rPr>
      </w:pPr>
      <w:r w:rsidRPr="00B5537A">
        <w:rPr>
          <w:color w:val="000000"/>
          <w:sz w:val="20"/>
          <w:szCs w:val="20"/>
          <w:lang w:val="en-US"/>
        </w:rPr>
        <w:t xml:space="preserve">As far as Italy is concerned, a study of the European Agency for Fundamental Rights has shown that trans people experience high rates of </w:t>
      </w:r>
      <w:r w:rsidRPr="00B5537A">
        <w:rPr>
          <w:b/>
          <w:bCs/>
          <w:color w:val="000000"/>
          <w:sz w:val="20"/>
          <w:szCs w:val="20"/>
          <w:lang w:val="en-US"/>
        </w:rPr>
        <w:t>discrimination</w:t>
      </w:r>
      <w:r w:rsidRPr="00B5537A">
        <w:rPr>
          <w:color w:val="000000"/>
          <w:sz w:val="20"/>
          <w:szCs w:val="20"/>
          <w:lang w:val="en-US"/>
        </w:rPr>
        <w:t xml:space="preserve"> in education (23%) and employment (43% when looking for it and 22% in the workplace). Trans people are over-represented in the lowest income quartile (33%). Stigma is also high, 51% of respondents reported discrimination or harassment on the grounds of being trans in the 12 months preceding the survey. Marginalization is even stronger for those trans people who experience intersecting forms of stigma and structural oppression such as trans people of color, migrants and sex workers. Italy has the highest number of trans people murdered in the EU. Most of the victims are migrant trans women sex workers. Finally, trans people, are often victims of microaggressions (subtle forms of discrimination in which brief, daily, behavioral, verbal, or environmental injustices occur). All these factors are social determinants of ill health that negatively affect the general health of trans people. The most relevant social aspects related to premature mortality are </w:t>
      </w:r>
      <w:r w:rsidR="0084302E">
        <w:rPr>
          <w:color w:val="000000"/>
          <w:sz w:val="20"/>
          <w:szCs w:val="20"/>
          <w:lang w:val="en-US"/>
        </w:rPr>
        <w:t xml:space="preserve">the </w:t>
      </w:r>
      <w:r w:rsidRPr="00B5537A">
        <w:rPr>
          <w:color w:val="000000"/>
          <w:sz w:val="20"/>
          <w:szCs w:val="20"/>
          <w:lang w:val="en-US"/>
        </w:rPr>
        <w:t>availability of work and a family network, level of education</w:t>
      </w:r>
      <w:r w:rsidR="0084302E">
        <w:rPr>
          <w:color w:val="000000"/>
          <w:sz w:val="20"/>
          <w:szCs w:val="20"/>
          <w:lang w:val="en-US"/>
        </w:rPr>
        <w:t>,</w:t>
      </w:r>
      <w:r w:rsidRPr="00B5537A">
        <w:rPr>
          <w:color w:val="000000"/>
          <w:sz w:val="20"/>
          <w:szCs w:val="20"/>
          <w:lang w:val="en-US"/>
        </w:rPr>
        <w:t xml:space="preserve"> and material resources; as we have seen, access to these resources is restricted for trans people. Not surprisingly, trans people worldwide are burdened by substantial adverse health indicators, as consistently shown in the literature (O. Fiorilli &amp; A. Ruocco, 2019).</w:t>
      </w:r>
    </w:p>
    <w:p w14:paraId="7C190C37" w14:textId="77777777" w:rsidR="006B52B6" w:rsidRPr="00B5537A" w:rsidRDefault="006B52B6" w:rsidP="0085124A">
      <w:pPr>
        <w:pStyle w:val="NormalWeb"/>
        <w:shd w:val="clear" w:color="auto" w:fill="FFFFFF"/>
        <w:spacing w:after="0"/>
        <w:jc w:val="both"/>
        <w:rPr>
          <w:sz w:val="20"/>
          <w:szCs w:val="20"/>
          <w:lang w:val="en-US"/>
        </w:rPr>
      </w:pPr>
      <w:r w:rsidRPr="00B5537A">
        <w:rPr>
          <w:color w:val="000000"/>
          <w:sz w:val="20"/>
          <w:szCs w:val="20"/>
          <w:lang w:val="en-US"/>
        </w:rPr>
        <w:t>In Italy, as already stated, trans*</w:t>
      </w:r>
      <w:r w:rsidRPr="006B52B6">
        <w:rPr>
          <w:color w:val="000000"/>
          <w:sz w:val="20"/>
          <w:szCs w:val="20"/>
          <w:lang w:val="en-US"/>
        </w:rPr>
        <w:t xml:space="preserve"> people are required to obtain a diagnosis of gender identity disorder, regardless of the state of their mental health.</w:t>
      </w:r>
    </w:p>
    <w:p w14:paraId="67F68C9E" w14:textId="77777777" w:rsidR="006B52B6" w:rsidRPr="00B5537A" w:rsidRDefault="006B52B6" w:rsidP="0085124A">
      <w:pPr>
        <w:pStyle w:val="NormalWeb"/>
        <w:shd w:val="clear" w:color="auto" w:fill="FFFFFF"/>
        <w:spacing w:after="240"/>
        <w:jc w:val="both"/>
        <w:rPr>
          <w:sz w:val="20"/>
          <w:szCs w:val="20"/>
          <w:lang w:val="en-US"/>
        </w:rPr>
      </w:pPr>
      <w:r w:rsidRPr="006B52B6">
        <w:rPr>
          <w:color w:val="000000"/>
          <w:sz w:val="20"/>
          <w:szCs w:val="20"/>
          <w:lang w:val="en-US"/>
        </w:rPr>
        <w:t xml:space="preserve">When a state prohibits trans people from obtaining </w:t>
      </w:r>
      <w:r w:rsidRPr="00B5537A">
        <w:rPr>
          <w:color w:val="000000"/>
          <w:sz w:val="20"/>
          <w:szCs w:val="20"/>
          <w:lang w:val="en-US"/>
        </w:rPr>
        <w:t>legal gender recognition</w:t>
      </w:r>
      <w:r w:rsidRPr="006B52B6">
        <w:rPr>
          <w:color w:val="000000"/>
          <w:sz w:val="20"/>
          <w:szCs w:val="20"/>
          <w:lang w:val="en-US"/>
        </w:rPr>
        <w:t>, it actively denies the existence of trans people</w:t>
      </w:r>
      <w:r w:rsidRPr="00B5537A">
        <w:rPr>
          <w:color w:val="000000"/>
          <w:sz w:val="20"/>
          <w:szCs w:val="20"/>
          <w:lang w:val="en-US"/>
        </w:rPr>
        <w:t xml:space="preserve"> and takes away </w:t>
      </w:r>
      <w:r w:rsidRPr="006B52B6">
        <w:rPr>
          <w:color w:val="000000"/>
          <w:sz w:val="20"/>
          <w:szCs w:val="20"/>
          <w:lang w:val="en-US"/>
        </w:rPr>
        <w:t xml:space="preserve">the possibility of being </w:t>
      </w:r>
      <w:r w:rsidRPr="00B5537A">
        <w:rPr>
          <w:color w:val="000000"/>
          <w:sz w:val="20"/>
          <w:szCs w:val="20"/>
          <w:lang w:val="en-US"/>
        </w:rPr>
        <w:t>“</w:t>
      </w:r>
      <w:r w:rsidRPr="006B52B6">
        <w:rPr>
          <w:color w:val="000000"/>
          <w:sz w:val="20"/>
          <w:szCs w:val="20"/>
          <w:lang w:val="en-US"/>
        </w:rPr>
        <w:t>officially recogni</w:t>
      </w:r>
      <w:r w:rsidRPr="00B5537A">
        <w:rPr>
          <w:color w:val="000000"/>
          <w:sz w:val="20"/>
          <w:szCs w:val="20"/>
          <w:lang w:val="en-US"/>
        </w:rPr>
        <w:t>zed”</w:t>
      </w:r>
      <w:r w:rsidRPr="006B52B6">
        <w:rPr>
          <w:color w:val="000000"/>
          <w:sz w:val="20"/>
          <w:szCs w:val="20"/>
          <w:lang w:val="en-US"/>
        </w:rPr>
        <w:t xml:space="preserve"> as themselves</w:t>
      </w:r>
      <w:r w:rsidRPr="00B5537A">
        <w:rPr>
          <w:color w:val="000000"/>
          <w:sz w:val="20"/>
          <w:szCs w:val="20"/>
          <w:lang w:val="en-US"/>
        </w:rPr>
        <w:t>, also depriving them of legal protection</w:t>
      </w:r>
      <w:r w:rsidRPr="006B52B6">
        <w:rPr>
          <w:color w:val="000000"/>
          <w:sz w:val="20"/>
          <w:szCs w:val="20"/>
          <w:lang w:val="en-US"/>
        </w:rPr>
        <w:t>. The consequences of this systematic delegitimization of trans people's identity are extremely profound (Bassetti, 2020)</w:t>
      </w:r>
      <w:r w:rsidRPr="00B5537A">
        <w:rPr>
          <w:color w:val="000000"/>
          <w:sz w:val="20"/>
          <w:szCs w:val="20"/>
          <w:lang w:val="en-US"/>
        </w:rPr>
        <w:t>.</w:t>
      </w:r>
      <w:r w:rsidRPr="00B5537A">
        <w:rPr>
          <w:color w:val="000000"/>
          <w:sz w:val="20"/>
          <w:szCs w:val="20"/>
          <w:lang w:val="en-US"/>
        </w:rPr>
        <w:br/>
      </w:r>
      <w:r w:rsidRPr="00B5537A">
        <w:rPr>
          <w:color w:val="000000"/>
          <w:sz w:val="20"/>
          <w:szCs w:val="20"/>
          <w:lang w:val="en-US"/>
        </w:rPr>
        <w:br/>
        <w:t>The What We Know Project (2018) pinpoints a few important issues regarding mental health in gender affirming transitions:</w:t>
      </w:r>
    </w:p>
    <w:p w14:paraId="787D864D" w14:textId="77777777" w:rsidR="006B52B6" w:rsidRPr="00B5537A" w:rsidRDefault="006B52B6" w:rsidP="0085124A">
      <w:pPr>
        <w:pStyle w:val="NormalWeb"/>
        <w:shd w:val="clear" w:color="auto" w:fill="FFFFFF"/>
        <w:spacing w:after="0"/>
        <w:jc w:val="both"/>
        <w:rPr>
          <w:sz w:val="20"/>
          <w:szCs w:val="20"/>
          <w:lang w:val="en-US"/>
        </w:rPr>
      </w:pPr>
      <w:r w:rsidRPr="00B5537A">
        <w:rPr>
          <w:color w:val="000000"/>
          <w:sz w:val="20"/>
          <w:szCs w:val="20"/>
          <w:lang w:val="en-US"/>
        </w:rPr>
        <w:t>1. The scholarly literature makes clear that gender transition is effective in treating gender dysphoria and can significantly improve the well-being of transgender individuals.</w:t>
      </w:r>
    </w:p>
    <w:p w14:paraId="02963050" w14:textId="77777777" w:rsidR="006B52B6" w:rsidRPr="00B5537A" w:rsidRDefault="006B52B6" w:rsidP="0085124A">
      <w:pPr>
        <w:pStyle w:val="NormalWeb"/>
        <w:shd w:val="clear" w:color="auto" w:fill="FFFFFF"/>
        <w:spacing w:after="0"/>
        <w:jc w:val="both"/>
        <w:rPr>
          <w:sz w:val="20"/>
          <w:szCs w:val="20"/>
          <w:lang w:val="en-US"/>
        </w:rPr>
      </w:pPr>
      <w:r w:rsidRPr="00B5537A">
        <w:rPr>
          <w:color w:val="000000"/>
          <w:sz w:val="20"/>
          <w:szCs w:val="20"/>
          <w:lang w:val="en-US"/>
        </w:rPr>
        <w:t>2. Among the positive outcomes of gender transition and related medical treatments for transgender individuals are improved quality of life, greater relationship satisfaction, higher self-esteem and confidence, and reductions in anxiety, depression, suicidality, and substance use.</w:t>
      </w:r>
    </w:p>
    <w:p w14:paraId="56C815BF" w14:textId="77777777" w:rsidR="006B52B6" w:rsidRPr="00B5537A" w:rsidRDefault="006B52B6" w:rsidP="0085124A">
      <w:pPr>
        <w:pStyle w:val="NormalWeb"/>
        <w:shd w:val="clear" w:color="auto" w:fill="FFFFFF"/>
        <w:spacing w:after="0"/>
        <w:jc w:val="both"/>
        <w:rPr>
          <w:sz w:val="20"/>
          <w:szCs w:val="20"/>
          <w:lang w:val="en-US"/>
        </w:rPr>
      </w:pPr>
      <w:r w:rsidRPr="00B5537A">
        <w:rPr>
          <w:color w:val="000000"/>
          <w:sz w:val="20"/>
          <w:szCs w:val="20"/>
          <w:lang w:val="en-US"/>
        </w:rPr>
        <w:t>3. The positive impact of gender transition on transgender well-being has grown considerably in recent years, as both surgical techniques and social support have improved.</w:t>
      </w:r>
    </w:p>
    <w:p w14:paraId="54F7326E" w14:textId="77777777" w:rsidR="006B52B6" w:rsidRPr="00B5537A" w:rsidRDefault="006B52B6" w:rsidP="0085124A">
      <w:pPr>
        <w:pStyle w:val="NormalWeb"/>
        <w:shd w:val="clear" w:color="auto" w:fill="FFFFFF"/>
        <w:spacing w:after="0"/>
        <w:jc w:val="both"/>
        <w:rPr>
          <w:sz w:val="20"/>
          <w:szCs w:val="20"/>
          <w:lang w:val="en-US"/>
        </w:rPr>
      </w:pPr>
      <w:r w:rsidRPr="00B5537A">
        <w:rPr>
          <w:color w:val="000000"/>
          <w:sz w:val="20"/>
          <w:szCs w:val="20"/>
          <w:lang w:val="en-US"/>
        </w:rPr>
        <w:t>4. Regrets following gender transition are extremely rare and have become even rarer as both surgical techniques and social support have improved. Pooling data from numerous studies demonstrates a regret rate ranging from .3 percent to 3.8 percent. Regrets are most likely to result from a lack of social support after transition or poor surgical outcomes using older techniques.</w:t>
      </w:r>
    </w:p>
    <w:p w14:paraId="2A5681F9" w14:textId="77777777" w:rsidR="006B52B6" w:rsidRPr="00B5537A" w:rsidRDefault="006B52B6" w:rsidP="0085124A">
      <w:pPr>
        <w:pStyle w:val="NormalWeb"/>
        <w:shd w:val="clear" w:color="auto" w:fill="FFFFFF"/>
        <w:spacing w:after="0"/>
        <w:jc w:val="both"/>
        <w:rPr>
          <w:sz w:val="20"/>
          <w:szCs w:val="20"/>
          <w:lang w:val="en-US"/>
        </w:rPr>
      </w:pPr>
      <w:r w:rsidRPr="00B5537A">
        <w:rPr>
          <w:color w:val="000000"/>
          <w:sz w:val="20"/>
          <w:szCs w:val="20"/>
          <w:lang w:val="en-US"/>
        </w:rPr>
        <w:t>5. Factors that are predictive of success in the treatment of gender dysphoria include adequate preparation and mental health support prior to treatment, proper follow-up care from knowledgeable providers, consistent family and social support, and high-quality surgical outcomes (when surgery is involved).</w:t>
      </w:r>
    </w:p>
    <w:p w14:paraId="53C50965" w14:textId="77777777" w:rsidR="006B52B6" w:rsidRPr="00B5537A" w:rsidRDefault="006B52B6" w:rsidP="0085124A">
      <w:pPr>
        <w:pStyle w:val="NormalWeb"/>
        <w:shd w:val="clear" w:color="auto" w:fill="FFFFFF"/>
        <w:spacing w:after="0"/>
        <w:jc w:val="both"/>
        <w:rPr>
          <w:sz w:val="20"/>
          <w:szCs w:val="20"/>
          <w:lang w:val="en-US"/>
        </w:rPr>
      </w:pPr>
      <w:r w:rsidRPr="00B5537A">
        <w:rPr>
          <w:color w:val="000000"/>
          <w:sz w:val="20"/>
          <w:szCs w:val="20"/>
          <w:lang w:val="en-US"/>
        </w:rPr>
        <w:t>6. Transgender individuals, particularly those who cannot access treatment for gender dysphoria or who encounter unsupportive social environments, are more likely than the general population to experience health challenges such as depression, anxiety, suicidality and minority stress. While gender transition can mitigate these challenges, the health and well-being of transgender people can be harmed by stigmatizing and discriminatory treatment.</w:t>
      </w:r>
      <w:r w:rsidRPr="00B5537A">
        <w:rPr>
          <w:rFonts w:ascii="Arial Unicode MS" w:hAnsi="Arial Unicode MS"/>
          <w:color w:val="000000"/>
          <w:sz w:val="20"/>
          <w:szCs w:val="20"/>
          <w:lang w:val="en-US"/>
        </w:rPr>
        <w:br/>
      </w:r>
      <w:r w:rsidRPr="00B5537A">
        <w:rPr>
          <w:rFonts w:ascii="Arial Unicode MS" w:hAnsi="Arial Unicode MS"/>
          <w:color w:val="000000"/>
          <w:sz w:val="20"/>
          <w:szCs w:val="20"/>
          <w:lang w:val="en-US"/>
        </w:rPr>
        <w:br/>
      </w:r>
      <w:r w:rsidRPr="006B52B6">
        <w:rPr>
          <w:color w:val="000000"/>
          <w:sz w:val="20"/>
          <w:szCs w:val="20"/>
          <w:lang w:val="en-US"/>
        </w:rPr>
        <w:t>Instead, legal and medical transitions should be accessible to trans people and based on an informed consent system, rather than on a mental illness diagnosis (Bassetti, 2020).</w:t>
      </w:r>
      <w:r w:rsidRPr="00B5537A">
        <w:rPr>
          <w:color w:val="000000"/>
          <w:sz w:val="20"/>
          <w:szCs w:val="20"/>
          <w:lang w:val="en-US"/>
        </w:rPr>
        <w:t xml:space="preserve"> </w:t>
      </w:r>
      <w:r w:rsidRPr="006B52B6">
        <w:rPr>
          <w:color w:val="000000"/>
          <w:sz w:val="20"/>
          <w:szCs w:val="20"/>
          <w:lang w:val="en-US"/>
        </w:rPr>
        <w:t xml:space="preserve">The </w:t>
      </w:r>
      <w:r w:rsidRPr="00B5537A">
        <w:rPr>
          <w:color w:val="000000"/>
          <w:sz w:val="20"/>
          <w:szCs w:val="20"/>
          <w:lang w:val="en-US"/>
        </w:rPr>
        <w:t>‘</w:t>
      </w:r>
      <w:r w:rsidRPr="006B52B6">
        <w:rPr>
          <w:color w:val="000000"/>
          <w:sz w:val="20"/>
          <w:szCs w:val="20"/>
          <w:lang w:val="en-US"/>
        </w:rPr>
        <w:t>informed consent model</w:t>
      </w:r>
      <w:r w:rsidRPr="00B5537A">
        <w:rPr>
          <w:color w:val="000000"/>
          <w:sz w:val="20"/>
          <w:szCs w:val="20"/>
          <w:lang w:val="en-US"/>
        </w:rPr>
        <w:t xml:space="preserve">’ </w:t>
      </w:r>
      <w:r w:rsidRPr="006B52B6">
        <w:rPr>
          <w:color w:val="000000"/>
          <w:sz w:val="20"/>
          <w:szCs w:val="20"/>
          <w:lang w:val="en-US"/>
        </w:rPr>
        <w:t>puts emphasis on the capability of service users to choose their options once they have been informed of their implications, providing the possibility to seek treatment without requiring external evaluation</w:t>
      </w:r>
      <w:r w:rsidRPr="00B5537A">
        <w:rPr>
          <w:color w:val="000000"/>
          <w:sz w:val="20"/>
          <w:szCs w:val="20"/>
          <w:lang w:val="en-US"/>
        </w:rPr>
        <w:t xml:space="preserve"> (O. Fiorilli &amp; A. Ruocco, 2019).</w:t>
      </w:r>
    </w:p>
    <w:p w14:paraId="0F51F87D" w14:textId="3AD188E5" w:rsidR="006B52B6" w:rsidRPr="00B5537A" w:rsidRDefault="006B52B6" w:rsidP="0085124A">
      <w:pPr>
        <w:pStyle w:val="NormalWeb"/>
        <w:shd w:val="clear" w:color="auto" w:fill="FFFFFF"/>
        <w:spacing w:after="0"/>
        <w:jc w:val="both"/>
        <w:rPr>
          <w:b/>
          <w:bCs/>
          <w:color w:val="000000"/>
          <w:sz w:val="20"/>
          <w:szCs w:val="20"/>
          <w:lang w:val="en-US"/>
        </w:rPr>
      </w:pPr>
      <w:r w:rsidRPr="00B5537A">
        <w:rPr>
          <w:color w:val="000000"/>
          <w:sz w:val="20"/>
          <w:szCs w:val="20"/>
          <w:lang w:val="en-US"/>
        </w:rPr>
        <w:t>Parents live the deficient health care service as well</w:t>
      </w:r>
      <w:r w:rsidR="00836200">
        <w:rPr>
          <w:color w:val="000000"/>
          <w:sz w:val="20"/>
          <w:szCs w:val="20"/>
          <w:lang w:val="en-US"/>
        </w:rPr>
        <w:t>.</w:t>
      </w:r>
      <w:r w:rsidRPr="00B5537A">
        <w:rPr>
          <w:color w:val="000000"/>
          <w:sz w:val="20"/>
          <w:szCs w:val="20"/>
          <w:lang w:val="en-US"/>
        </w:rPr>
        <w:t xml:space="preserve"> </w:t>
      </w:r>
      <w:r w:rsidR="00836200">
        <w:rPr>
          <w:color w:val="000000"/>
          <w:sz w:val="20"/>
          <w:szCs w:val="20"/>
          <w:lang w:val="en-US"/>
        </w:rPr>
        <w:t>T</w:t>
      </w:r>
      <w:r w:rsidRPr="00B5537A">
        <w:rPr>
          <w:color w:val="000000"/>
          <w:sz w:val="20"/>
          <w:szCs w:val="20"/>
          <w:lang w:val="en-US"/>
        </w:rPr>
        <w:t xml:space="preserve">hey point out that </w:t>
      </w:r>
      <w:r w:rsidR="0084302E">
        <w:rPr>
          <w:color w:val="000000"/>
          <w:sz w:val="20"/>
          <w:szCs w:val="20"/>
          <w:lang w:val="en-US"/>
        </w:rPr>
        <w:t>gender-affirming</w:t>
      </w:r>
      <w:r w:rsidRPr="00B5537A">
        <w:rPr>
          <w:color w:val="000000"/>
          <w:sz w:val="20"/>
          <w:szCs w:val="20"/>
          <w:lang w:val="en-US"/>
        </w:rPr>
        <w:t xml:space="preserve"> services are not widespread in all areas and have difficulty </w:t>
      </w:r>
      <w:r w:rsidR="0084302E">
        <w:rPr>
          <w:color w:val="000000"/>
          <w:sz w:val="20"/>
          <w:szCs w:val="20"/>
          <w:lang w:val="en-US"/>
        </w:rPr>
        <w:t>in creating</w:t>
      </w:r>
      <w:r w:rsidRPr="00B5537A">
        <w:rPr>
          <w:color w:val="000000"/>
          <w:sz w:val="20"/>
          <w:szCs w:val="20"/>
          <w:lang w:val="en-US"/>
        </w:rPr>
        <w:t xml:space="preserve"> </w:t>
      </w:r>
      <w:r w:rsidR="0084302E">
        <w:rPr>
          <w:color w:val="000000"/>
          <w:sz w:val="20"/>
          <w:szCs w:val="20"/>
          <w:lang w:val="en-US"/>
        </w:rPr>
        <w:t>positive relationships</w:t>
      </w:r>
      <w:r w:rsidRPr="00B5537A">
        <w:rPr>
          <w:color w:val="000000"/>
          <w:sz w:val="20"/>
          <w:szCs w:val="20"/>
          <w:lang w:val="en-US"/>
        </w:rPr>
        <w:t xml:space="preserve"> with professionals (Frigerio et al., 2021). Is a challenging situation for families, which can struggle with the understanding of the trans experience (Frigerio et al., 2021) until becoming an activist to advocate for their children’s rights and change stereotypes </w:t>
      </w:r>
      <w:r w:rsidR="0084302E">
        <w:rPr>
          <w:color w:val="000000"/>
          <w:sz w:val="20"/>
          <w:szCs w:val="20"/>
          <w:lang w:val="en-US"/>
        </w:rPr>
        <w:t>about</w:t>
      </w:r>
      <w:r w:rsidRPr="00B5537A">
        <w:rPr>
          <w:color w:val="000000"/>
          <w:sz w:val="20"/>
          <w:szCs w:val="20"/>
          <w:lang w:val="en-US"/>
        </w:rPr>
        <w:t xml:space="preserve"> trans experiences (Lorusso &amp; Albanesi, 2021; Mariotto, 2022)</w:t>
      </w:r>
      <w:r w:rsidRPr="00B5537A">
        <w:rPr>
          <w:b/>
          <w:bCs/>
          <w:color w:val="000000"/>
          <w:sz w:val="20"/>
          <w:szCs w:val="20"/>
          <w:lang w:val="en-US"/>
        </w:rPr>
        <w:t>.</w:t>
      </w:r>
    </w:p>
    <w:p w14:paraId="50CE84C2" w14:textId="49D43817" w:rsidR="00635D4E" w:rsidRPr="00635D4E" w:rsidRDefault="00635D4E" w:rsidP="0085124A">
      <w:pPr>
        <w:pStyle w:val="NormalWeb"/>
        <w:shd w:val="clear" w:color="auto" w:fill="FFFFFF"/>
        <w:spacing w:after="0"/>
        <w:jc w:val="both"/>
        <w:rPr>
          <w:sz w:val="18"/>
          <w:szCs w:val="18"/>
        </w:rPr>
      </w:pPr>
      <w:r w:rsidRPr="00635D4E">
        <w:rPr>
          <w:b/>
          <w:bCs/>
          <w:color w:val="000000"/>
        </w:rPr>
        <w:t>R</w:t>
      </w:r>
      <w:r w:rsidR="00583B09">
        <w:rPr>
          <w:b/>
          <w:bCs/>
          <w:color w:val="000000"/>
        </w:rPr>
        <w:t xml:space="preserve">ecommendations </w:t>
      </w:r>
    </w:p>
    <w:p w14:paraId="1DC7DF32" w14:textId="77777777" w:rsidR="00635D4E" w:rsidRPr="00B5537A" w:rsidRDefault="00635D4E" w:rsidP="0085124A">
      <w:pPr>
        <w:pStyle w:val="NormalWeb"/>
        <w:numPr>
          <w:ilvl w:val="0"/>
          <w:numId w:val="5"/>
        </w:numPr>
        <w:shd w:val="clear" w:color="auto" w:fill="FFFFFF"/>
        <w:spacing w:after="0"/>
        <w:jc w:val="both"/>
        <w:rPr>
          <w:sz w:val="20"/>
          <w:szCs w:val="20"/>
          <w:lang w:val="en-US"/>
        </w:rPr>
      </w:pPr>
      <w:r w:rsidRPr="00B5537A">
        <w:rPr>
          <w:color w:val="333333"/>
          <w:sz w:val="20"/>
          <w:szCs w:val="20"/>
          <w:lang w:val="en-US"/>
        </w:rPr>
        <w:t xml:space="preserve">removal of the diagnostic classification of gender diversity in childhood from DSM and ICD; </w:t>
      </w:r>
    </w:p>
    <w:p w14:paraId="17CA370A" w14:textId="0DC51354" w:rsidR="00635D4E" w:rsidRPr="00B5537A" w:rsidRDefault="00635D4E" w:rsidP="0085124A">
      <w:pPr>
        <w:pStyle w:val="NormalWeb"/>
        <w:numPr>
          <w:ilvl w:val="0"/>
          <w:numId w:val="5"/>
        </w:numPr>
        <w:shd w:val="clear" w:color="auto" w:fill="FFFFFF"/>
        <w:spacing w:after="0"/>
        <w:jc w:val="both"/>
        <w:rPr>
          <w:sz w:val="20"/>
          <w:szCs w:val="20"/>
          <w:lang w:val="en-US"/>
        </w:rPr>
      </w:pPr>
      <w:r w:rsidRPr="00B5537A">
        <w:rPr>
          <w:color w:val="333333"/>
          <w:sz w:val="20"/>
          <w:szCs w:val="20"/>
          <w:lang w:val="en-US"/>
        </w:rPr>
        <w:t xml:space="preserve">support </w:t>
      </w:r>
      <w:r w:rsidR="00836200">
        <w:rPr>
          <w:color w:val="333333"/>
          <w:sz w:val="20"/>
          <w:szCs w:val="20"/>
          <w:lang w:val="en-US"/>
        </w:rPr>
        <w:t>for</w:t>
      </w:r>
      <w:r w:rsidRPr="00B5537A">
        <w:rPr>
          <w:color w:val="333333"/>
          <w:sz w:val="20"/>
          <w:szCs w:val="20"/>
          <w:lang w:val="en-US"/>
        </w:rPr>
        <w:t xml:space="preserve"> gender diversity in childhood and adolescence in the family, social, school, and health care context; </w:t>
      </w:r>
    </w:p>
    <w:p w14:paraId="43AE451D" w14:textId="77777777" w:rsidR="00635D4E" w:rsidRPr="00B5537A" w:rsidRDefault="00635D4E" w:rsidP="0085124A">
      <w:pPr>
        <w:pStyle w:val="NormalWeb"/>
        <w:numPr>
          <w:ilvl w:val="0"/>
          <w:numId w:val="5"/>
        </w:numPr>
        <w:shd w:val="clear" w:color="auto" w:fill="FFFFFF"/>
        <w:spacing w:after="0"/>
        <w:jc w:val="both"/>
        <w:rPr>
          <w:sz w:val="20"/>
          <w:szCs w:val="20"/>
          <w:lang w:val="en-US"/>
        </w:rPr>
      </w:pPr>
      <w:r w:rsidRPr="00B5537A">
        <w:rPr>
          <w:color w:val="333333"/>
          <w:sz w:val="20"/>
          <w:szCs w:val="20"/>
          <w:lang w:val="en-US"/>
        </w:rPr>
        <w:t>legal gender recognition for children and adolescents;</w:t>
      </w:r>
    </w:p>
    <w:p w14:paraId="0F9E3225" w14:textId="77777777" w:rsidR="00635D4E" w:rsidRPr="00B5537A" w:rsidRDefault="00635D4E" w:rsidP="0085124A">
      <w:pPr>
        <w:pStyle w:val="NormalWeb"/>
        <w:shd w:val="clear" w:color="auto" w:fill="FFFFFF"/>
        <w:spacing w:after="0"/>
        <w:jc w:val="both"/>
        <w:rPr>
          <w:sz w:val="20"/>
          <w:szCs w:val="20"/>
          <w:lang w:val="en-US"/>
        </w:rPr>
      </w:pPr>
      <w:r w:rsidRPr="00B5537A">
        <w:rPr>
          <w:color w:val="333333"/>
          <w:sz w:val="20"/>
          <w:szCs w:val="20"/>
          <w:lang w:val="en-US"/>
        </w:rPr>
        <w:br/>
        <w:t xml:space="preserve">Regarding the diagnostic classification of gender diversity in childhood, various international and regional activist networks published declarations demanding the removal of the diagnostic code “Gender incongruence of childhood” from ICD, and trans authors and allies contributed critical theoretical reflections on the diagnostic classification of gender diversity in childhood in the DSM and ICD </w:t>
      </w:r>
      <w:r w:rsidRPr="00B5537A">
        <w:rPr>
          <w:b/>
          <w:bCs/>
          <w:color w:val="333333"/>
          <w:sz w:val="20"/>
          <w:szCs w:val="20"/>
          <w:lang w:val="en-US"/>
        </w:rPr>
        <w:t>(Schwend, 2020).</w:t>
      </w:r>
    </w:p>
    <w:p w14:paraId="42F6694B" w14:textId="77777777" w:rsidR="00635D4E" w:rsidRPr="006B52B6" w:rsidRDefault="00635D4E" w:rsidP="0085124A">
      <w:pPr>
        <w:pStyle w:val="NormalWeb"/>
        <w:shd w:val="clear" w:color="auto" w:fill="FFFFFF"/>
        <w:spacing w:after="0"/>
        <w:jc w:val="both"/>
        <w:rPr>
          <w:sz w:val="20"/>
          <w:szCs w:val="20"/>
        </w:rPr>
      </w:pPr>
      <w:r w:rsidRPr="006B52B6">
        <w:rPr>
          <w:color w:val="000000"/>
          <w:sz w:val="20"/>
          <w:szCs w:val="20"/>
        </w:rPr>
        <w:t>Other recommendations:</w:t>
      </w:r>
    </w:p>
    <w:p w14:paraId="02323067" w14:textId="77777777" w:rsidR="00635D4E" w:rsidRPr="00B5537A" w:rsidRDefault="00635D4E" w:rsidP="0085124A">
      <w:pPr>
        <w:pStyle w:val="NormalWeb"/>
        <w:numPr>
          <w:ilvl w:val="0"/>
          <w:numId w:val="6"/>
        </w:numPr>
        <w:shd w:val="clear" w:color="auto" w:fill="FFFFFF"/>
        <w:spacing w:after="0"/>
        <w:jc w:val="both"/>
        <w:rPr>
          <w:sz w:val="20"/>
          <w:szCs w:val="20"/>
          <w:lang w:val="en-US"/>
        </w:rPr>
      </w:pPr>
      <w:r w:rsidRPr="00B5537A">
        <w:rPr>
          <w:color w:val="000000"/>
          <w:sz w:val="20"/>
          <w:szCs w:val="20"/>
          <w:lang w:val="en-US"/>
        </w:rPr>
        <w:t>ensure that minors have access to recognition of their gender identity;</w:t>
      </w:r>
    </w:p>
    <w:p w14:paraId="5A777DD6" w14:textId="77777777" w:rsidR="00635D4E" w:rsidRPr="00B5537A" w:rsidRDefault="00635D4E" w:rsidP="0085124A">
      <w:pPr>
        <w:pStyle w:val="NormalWeb"/>
        <w:numPr>
          <w:ilvl w:val="0"/>
          <w:numId w:val="6"/>
        </w:numPr>
        <w:shd w:val="clear" w:color="auto" w:fill="FFFFFF"/>
        <w:spacing w:after="0"/>
        <w:jc w:val="both"/>
        <w:rPr>
          <w:sz w:val="20"/>
          <w:szCs w:val="20"/>
          <w:lang w:val="en-US"/>
        </w:rPr>
      </w:pPr>
      <w:r w:rsidRPr="00B5537A">
        <w:rPr>
          <w:color w:val="000000"/>
          <w:sz w:val="20"/>
          <w:szCs w:val="20"/>
          <w:lang w:val="en-US"/>
        </w:rPr>
        <w:t>allow trans* people to self-determine their identity and obtain legal recognition;</w:t>
      </w:r>
    </w:p>
    <w:p w14:paraId="35237135" w14:textId="77777777" w:rsidR="00635D4E" w:rsidRPr="006B52B6" w:rsidRDefault="00635D4E" w:rsidP="0085124A">
      <w:pPr>
        <w:pStyle w:val="NormalWeb"/>
        <w:numPr>
          <w:ilvl w:val="0"/>
          <w:numId w:val="6"/>
        </w:numPr>
        <w:shd w:val="clear" w:color="auto" w:fill="FFFFFF"/>
        <w:spacing w:after="0"/>
        <w:jc w:val="both"/>
        <w:rPr>
          <w:sz w:val="20"/>
          <w:szCs w:val="20"/>
        </w:rPr>
      </w:pPr>
      <w:r w:rsidRPr="006B52B6">
        <w:rPr>
          <w:color w:val="000000"/>
          <w:sz w:val="20"/>
          <w:szCs w:val="20"/>
        </w:rPr>
        <w:t>recognize non-binary identities;</w:t>
      </w:r>
    </w:p>
    <w:p w14:paraId="2BBACF67" w14:textId="77777777" w:rsidR="00635D4E" w:rsidRPr="00B5537A" w:rsidRDefault="00635D4E" w:rsidP="0085124A">
      <w:pPr>
        <w:pStyle w:val="NormalWeb"/>
        <w:numPr>
          <w:ilvl w:val="0"/>
          <w:numId w:val="6"/>
        </w:numPr>
        <w:shd w:val="clear" w:color="auto" w:fill="FFFFFF"/>
        <w:spacing w:after="0"/>
        <w:jc w:val="both"/>
        <w:rPr>
          <w:sz w:val="20"/>
          <w:szCs w:val="20"/>
          <w:lang w:val="en-US"/>
        </w:rPr>
      </w:pPr>
      <w:r w:rsidRPr="00B5537A">
        <w:rPr>
          <w:color w:val="000000"/>
          <w:sz w:val="20"/>
          <w:szCs w:val="20"/>
          <w:lang w:val="en-US"/>
        </w:rPr>
        <w:t xml:space="preserve">establish an up-to-date law on trans* and lgbt+ rights in Italy; </w:t>
      </w:r>
    </w:p>
    <w:p w14:paraId="47ACF2CD" w14:textId="77777777" w:rsidR="00635D4E" w:rsidRPr="00B5537A" w:rsidRDefault="00635D4E" w:rsidP="0085124A">
      <w:pPr>
        <w:pStyle w:val="NormalWeb"/>
        <w:numPr>
          <w:ilvl w:val="0"/>
          <w:numId w:val="6"/>
        </w:numPr>
        <w:shd w:val="clear" w:color="auto" w:fill="FFFFFF"/>
        <w:spacing w:after="0"/>
        <w:jc w:val="both"/>
        <w:rPr>
          <w:sz w:val="20"/>
          <w:szCs w:val="20"/>
          <w:lang w:val="en-US"/>
        </w:rPr>
      </w:pPr>
      <w:r w:rsidRPr="00B5537A">
        <w:rPr>
          <w:color w:val="000000"/>
          <w:sz w:val="20"/>
          <w:szCs w:val="20"/>
          <w:lang w:val="en-US"/>
        </w:rPr>
        <w:t>approve an informed consent model to legally affirm one’s gender.</w:t>
      </w:r>
    </w:p>
    <w:p w14:paraId="5711F466" w14:textId="5C832BBF" w:rsidR="00635D4E" w:rsidRPr="00B5537A" w:rsidRDefault="00635D4E" w:rsidP="00836200">
      <w:pPr>
        <w:pStyle w:val="NormalWeb"/>
        <w:shd w:val="clear" w:color="auto" w:fill="FFFFFF"/>
        <w:spacing w:after="0"/>
        <w:jc w:val="both"/>
        <w:rPr>
          <w:sz w:val="20"/>
          <w:szCs w:val="20"/>
          <w:lang w:val="en-US"/>
        </w:rPr>
      </w:pPr>
      <w:r w:rsidRPr="00B5537A">
        <w:rPr>
          <w:color w:val="000000"/>
          <w:sz w:val="20"/>
          <w:szCs w:val="20"/>
          <w:lang w:val="en-US"/>
        </w:rPr>
        <w:t xml:space="preserve">Moreover, </w:t>
      </w:r>
      <w:r w:rsidRPr="00635D4E">
        <w:rPr>
          <w:color w:val="000000"/>
          <w:sz w:val="20"/>
          <w:szCs w:val="20"/>
          <w:lang w:val="en-US"/>
        </w:rPr>
        <w:t>the process of legal recognition of gender identity shoul</w:t>
      </w:r>
      <w:r w:rsidRPr="00B5537A">
        <w:rPr>
          <w:color w:val="000000"/>
          <w:sz w:val="20"/>
          <w:szCs w:val="20"/>
          <w:lang w:val="en-US"/>
        </w:rPr>
        <w:t>d:</w:t>
      </w:r>
    </w:p>
    <w:p w14:paraId="66D9DC8C" w14:textId="38672B87" w:rsidR="00635D4E" w:rsidRPr="00B5537A" w:rsidRDefault="00635D4E" w:rsidP="00836200">
      <w:pPr>
        <w:pStyle w:val="NormalWeb"/>
        <w:numPr>
          <w:ilvl w:val="0"/>
          <w:numId w:val="11"/>
        </w:numPr>
        <w:shd w:val="clear" w:color="auto" w:fill="FFFFFF"/>
        <w:spacing w:after="0"/>
        <w:jc w:val="both"/>
        <w:rPr>
          <w:sz w:val="20"/>
          <w:szCs w:val="20"/>
          <w:lang w:val="en-US"/>
        </w:rPr>
      </w:pPr>
      <w:r w:rsidRPr="006B52B6">
        <w:rPr>
          <w:color w:val="000000"/>
          <w:sz w:val="20"/>
          <w:szCs w:val="20"/>
          <w:lang w:val="en-US"/>
        </w:rPr>
        <w:t>be a simple administrative process</w:t>
      </w:r>
      <w:r w:rsidRPr="00B5537A">
        <w:rPr>
          <w:color w:val="000000"/>
          <w:sz w:val="20"/>
          <w:szCs w:val="20"/>
          <w:lang w:val="en-US"/>
        </w:rPr>
        <w:t xml:space="preserve"> (not a judicial process);</w:t>
      </w:r>
    </w:p>
    <w:p w14:paraId="4EEECB7D" w14:textId="6DF83E30" w:rsidR="00635D4E" w:rsidRPr="00B5537A" w:rsidRDefault="00635D4E" w:rsidP="00836200">
      <w:pPr>
        <w:pStyle w:val="NormalWeb"/>
        <w:numPr>
          <w:ilvl w:val="0"/>
          <w:numId w:val="11"/>
        </w:numPr>
        <w:shd w:val="clear" w:color="auto" w:fill="FFFFFF"/>
        <w:spacing w:after="0"/>
        <w:jc w:val="both"/>
        <w:rPr>
          <w:sz w:val="20"/>
          <w:szCs w:val="20"/>
          <w:lang w:val="en-US"/>
        </w:rPr>
      </w:pPr>
      <w:r w:rsidRPr="006B52B6">
        <w:rPr>
          <w:color w:val="000000"/>
          <w:sz w:val="20"/>
          <w:szCs w:val="20"/>
          <w:lang w:val="en-US"/>
        </w:rPr>
        <w:t>be accessible and cost-free;</w:t>
      </w:r>
    </w:p>
    <w:p w14:paraId="3A015214" w14:textId="4DF77CC7" w:rsidR="00635D4E" w:rsidRPr="00B5537A" w:rsidRDefault="00635D4E" w:rsidP="00836200">
      <w:pPr>
        <w:pStyle w:val="NormalWeb"/>
        <w:numPr>
          <w:ilvl w:val="0"/>
          <w:numId w:val="11"/>
        </w:numPr>
        <w:shd w:val="clear" w:color="auto" w:fill="FFFFFF"/>
        <w:spacing w:after="0"/>
        <w:jc w:val="both"/>
        <w:rPr>
          <w:sz w:val="20"/>
          <w:szCs w:val="20"/>
          <w:lang w:val="en-US"/>
        </w:rPr>
      </w:pPr>
      <w:r w:rsidRPr="006B52B6">
        <w:rPr>
          <w:color w:val="000000"/>
          <w:sz w:val="20"/>
          <w:szCs w:val="20"/>
          <w:lang w:val="en-US"/>
        </w:rPr>
        <w:t xml:space="preserve">not </w:t>
      </w:r>
      <w:r w:rsidR="00836200">
        <w:rPr>
          <w:color w:val="000000"/>
          <w:sz w:val="20"/>
          <w:szCs w:val="20"/>
          <w:lang w:val="en-US"/>
        </w:rPr>
        <w:t>required</w:t>
      </w:r>
      <w:r w:rsidRPr="006B52B6">
        <w:rPr>
          <w:color w:val="000000"/>
          <w:sz w:val="20"/>
          <w:szCs w:val="20"/>
          <w:lang w:val="en-US"/>
        </w:rPr>
        <w:t xml:space="preserve"> to</w:t>
      </w:r>
      <w:r w:rsidRPr="00B5537A">
        <w:rPr>
          <w:color w:val="000000"/>
          <w:sz w:val="20"/>
          <w:szCs w:val="20"/>
          <w:lang w:val="en-US"/>
        </w:rPr>
        <w:t xml:space="preserve"> previously fulfill</w:t>
      </w:r>
      <w:r w:rsidRPr="006B52B6">
        <w:rPr>
          <w:color w:val="000000"/>
          <w:sz w:val="20"/>
          <w:szCs w:val="20"/>
          <w:lang w:val="en-US"/>
        </w:rPr>
        <w:t xml:space="preserve"> abusive medical or legal requirements</w:t>
      </w:r>
      <w:r w:rsidRPr="00B5537A">
        <w:rPr>
          <w:color w:val="000000"/>
          <w:sz w:val="20"/>
          <w:szCs w:val="20"/>
          <w:lang w:val="en-US"/>
        </w:rPr>
        <w:t>.</w:t>
      </w:r>
    </w:p>
    <w:p w14:paraId="79D8F44B" w14:textId="3D9BD46C" w:rsidR="00635D4E" w:rsidRPr="00B5537A" w:rsidRDefault="00635D4E" w:rsidP="0085124A">
      <w:pPr>
        <w:pStyle w:val="NormalWeb"/>
        <w:shd w:val="clear" w:color="auto" w:fill="FFFFFF"/>
        <w:spacing w:after="0"/>
        <w:jc w:val="both"/>
        <w:rPr>
          <w:sz w:val="20"/>
          <w:szCs w:val="20"/>
          <w:lang w:val="en-US"/>
        </w:rPr>
      </w:pPr>
      <w:r w:rsidRPr="00B5537A">
        <w:rPr>
          <w:color w:val="000000"/>
          <w:sz w:val="20"/>
          <w:szCs w:val="20"/>
          <w:lang w:val="en-US"/>
        </w:rPr>
        <w:t xml:space="preserve">Access to medicaments and health services needs to become part of wider inclusion progress, shifting from a few </w:t>
      </w:r>
      <w:r w:rsidR="00836200">
        <w:rPr>
          <w:color w:val="000000"/>
          <w:sz w:val="20"/>
          <w:szCs w:val="20"/>
          <w:lang w:val="en-US"/>
        </w:rPr>
        <w:t>specialized</w:t>
      </w:r>
      <w:r w:rsidRPr="00B5537A">
        <w:rPr>
          <w:color w:val="000000"/>
          <w:sz w:val="20"/>
          <w:szCs w:val="20"/>
          <w:lang w:val="en-US"/>
        </w:rPr>
        <w:t xml:space="preserve"> centers and medical doctors to general knowledge and competence of the needs of the transgender population in all health providers. It is time to get past the diagnosis-therapy view of trans identities.</w:t>
      </w:r>
    </w:p>
    <w:p w14:paraId="4A8AFB10" w14:textId="77777777" w:rsidR="00635D4E" w:rsidRPr="00B5537A" w:rsidRDefault="00635D4E" w:rsidP="0085124A">
      <w:pPr>
        <w:pStyle w:val="NormalWeb"/>
        <w:shd w:val="clear" w:color="auto" w:fill="FFFFFF"/>
        <w:spacing w:after="0"/>
        <w:jc w:val="both"/>
        <w:rPr>
          <w:b/>
          <w:bCs/>
          <w:color w:val="000000"/>
          <w:sz w:val="20"/>
          <w:szCs w:val="20"/>
          <w:lang w:val="en-US"/>
        </w:rPr>
      </w:pPr>
    </w:p>
    <w:p w14:paraId="5BB08DE0" w14:textId="2B35FEA2" w:rsidR="00003A80" w:rsidRDefault="00003A80" w:rsidP="0085124A">
      <w:pPr>
        <w:pStyle w:val="NormalWeb"/>
        <w:shd w:val="clear" w:color="auto" w:fill="FFFFFF"/>
        <w:spacing w:after="0"/>
        <w:jc w:val="both"/>
        <w:rPr>
          <w:b/>
          <w:bCs/>
          <w:color w:val="000000"/>
          <w:lang w:val="en-US"/>
        </w:rPr>
      </w:pPr>
      <w:r>
        <w:rPr>
          <w:b/>
          <w:bCs/>
          <w:color w:val="000000"/>
          <w:lang w:val="en-US"/>
        </w:rPr>
        <w:t xml:space="preserve">        </w:t>
      </w:r>
      <w:r w:rsidRPr="00003A80">
        <w:rPr>
          <w:color w:val="000000"/>
          <w:lang w:val="en-US"/>
        </w:rPr>
        <w:t>E.</w:t>
      </w:r>
      <w:r w:rsidRPr="00003A80">
        <w:rPr>
          <w:b/>
          <w:bCs/>
          <w:color w:val="000000"/>
          <w:lang w:val="en-US"/>
        </w:rPr>
        <w:t xml:space="preserve"> </w:t>
      </w:r>
      <w:r>
        <w:rPr>
          <w:b/>
          <w:bCs/>
          <w:color w:val="000000"/>
          <w:lang w:val="en-US"/>
        </w:rPr>
        <w:t xml:space="preserve">   </w:t>
      </w:r>
      <w:r w:rsidRPr="00003A80">
        <w:rPr>
          <w:b/>
          <w:bCs/>
          <w:color w:val="000000"/>
          <w:lang w:val="en-US"/>
        </w:rPr>
        <w:t>Discrimination in the medical and health care environment</w:t>
      </w:r>
    </w:p>
    <w:p w14:paraId="5176578E" w14:textId="77777777" w:rsidR="00555F47" w:rsidRDefault="00555F47" w:rsidP="0085124A">
      <w:pPr>
        <w:pStyle w:val="NormalWeb"/>
        <w:shd w:val="clear" w:color="auto" w:fill="FFFFFF"/>
        <w:spacing w:after="0"/>
        <w:jc w:val="both"/>
        <w:rPr>
          <w:b/>
          <w:bCs/>
          <w:color w:val="000000"/>
          <w:lang w:val="en-US"/>
        </w:rPr>
      </w:pPr>
    </w:p>
    <w:p w14:paraId="6DDB81C1" w14:textId="77777777" w:rsidR="0085124A" w:rsidRPr="0085124A" w:rsidRDefault="0085124A" w:rsidP="0085124A">
      <w:pPr>
        <w:jc w:val="both"/>
        <w:rPr>
          <w:lang w:val="en-US"/>
        </w:rPr>
      </w:pPr>
      <w:r w:rsidRPr="0085124A">
        <w:rPr>
          <w:lang w:val="en-US"/>
        </w:rPr>
        <w:t>Currently, on the Italian territory, there is severe and systemic misinformation among medical personnel. It regards the approach to transgender patients (use of correct nouns and pronouns and appropriate terminology) and the medical-anatomical knowledge of trans bodies that have undergone modifications through hormonal therapies and surgeries.</w:t>
      </w:r>
    </w:p>
    <w:p w14:paraId="190DB95C" w14:textId="77777777" w:rsidR="0085124A" w:rsidRPr="0085124A" w:rsidRDefault="0085124A" w:rsidP="0085124A">
      <w:pPr>
        <w:jc w:val="both"/>
        <w:rPr>
          <w:lang w:val="en-US"/>
        </w:rPr>
      </w:pPr>
      <w:r w:rsidRPr="0085124A">
        <w:rPr>
          <w:lang w:val="en-US"/>
        </w:rPr>
        <w:t>This disinformation is mainly due to a lack of preparation and formal training by universities, which do not present programs on trans health within the curriculum, except for a few rare cases of optional courses. Even in pediatrics, basic skills are lacking, and no attention is paid to gender variance in childhood, resulting in a lack of adequate support and accompaniment for children and their families</w:t>
      </w:r>
      <w:r w:rsidRPr="0085124A">
        <w:rPr>
          <w:vertAlign w:val="superscript"/>
          <w:lang w:val="en-US"/>
        </w:rPr>
        <w:footnoteReference w:id="2"/>
      </w:r>
      <w:r w:rsidRPr="0085124A">
        <w:rPr>
          <w:lang w:val="en-US"/>
        </w:rPr>
        <w:t>.</w:t>
      </w:r>
    </w:p>
    <w:p w14:paraId="3E8CB5CB" w14:textId="77777777" w:rsidR="0085124A" w:rsidRPr="0085124A" w:rsidRDefault="0085124A" w:rsidP="0085124A">
      <w:pPr>
        <w:jc w:val="both"/>
        <w:rPr>
          <w:lang w:val="en-US"/>
        </w:rPr>
      </w:pPr>
      <w:r w:rsidRPr="0085124A">
        <w:rPr>
          <w:lang w:val="en-US"/>
        </w:rPr>
        <w:t>A recent study on the health status of the adult transgender population in Italy"</w:t>
      </w:r>
      <w:r w:rsidRPr="0085124A">
        <w:rPr>
          <w:vertAlign w:val="superscript"/>
          <w:lang w:val="en-US"/>
        </w:rPr>
        <w:footnoteReference w:id="3"/>
      </w:r>
      <w:r w:rsidRPr="0085124A">
        <w:rPr>
          <w:lang w:val="en-US"/>
        </w:rPr>
        <w:t>, conducted by the ISS (Istituto Superiore di Sanità) in collaboration with clinical centers distributed throughout the country and transgender associations/collectives and published on June 7, 2022, brings critical data to attention.</w:t>
      </w:r>
    </w:p>
    <w:p w14:paraId="37270F81" w14:textId="77777777" w:rsidR="0085124A" w:rsidRPr="0085124A" w:rsidRDefault="0085124A" w:rsidP="0085124A">
      <w:pPr>
        <w:jc w:val="both"/>
        <w:rPr>
          <w:lang w:val="en-US"/>
        </w:rPr>
      </w:pPr>
      <w:r w:rsidRPr="0085124A">
        <w:rPr>
          <w:lang w:val="en-US"/>
        </w:rPr>
        <w:t>As reported in the text, "The study, which shows the importance of specific health action on this population, shows especially the difficulty in accessing health services, particularly cancer screening. Only 20 percent of transgender people assigned female at birth perform a pap smear test; about 40 percent of transgender people suffer from depression, and 60 percent of the cases in the sample analyzed say they do not exercise."</w:t>
      </w:r>
    </w:p>
    <w:p w14:paraId="708A8AC6" w14:textId="77777777" w:rsidR="0085124A" w:rsidRPr="0085124A" w:rsidRDefault="0085124A" w:rsidP="0085124A">
      <w:pPr>
        <w:jc w:val="both"/>
        <w:rPr>
          <w:lang w:val="en-US"/>
        </w:rPr>
      </w:pPr>
      <w:r w:rsidRPr="0085124A">
        <w:rPr>
          <w:lang w:val="en-US"/>
        </w:rPr>
        <w:t xml:space="preserve">"[...] </w:t>
      </w:r>
      <w:r w:rsidRPr="0085124A">
        <w:rPr>
          <w:i/>
          <w:iCs/>
          <w:lang w:val="en-US"/>
        </w:rPr>
        <w:t>Regarding access to health services, 34 percent of AMAB (assigned male at birth) transgender people and 46 percent of AFAB (assigned female at birth) transgender people felt discriminated because of their gender identity and/or expression in accessing or using health services. This finding, at least in part, may explain the low percentage of transgender people who undergo cancer screenings.</w:t>
      </w:r>
      <w:r w:rsidRPr="0085124A">
        <w:rPr>
          <w:lang w:val="en-US"/>
        </w:rPr>
        <w:t>"</w:t>
      </w:r>
    </w:p>
    <w:p w14:paraId="0DFAAFA4" w14:textId="77777777" w:rsidR="0085124A" w:rsidRPr="0085124A" w:rsidRDefault="0085124A" w:rsidP="0085124A">
      <w:pPr>
        <w:jc w:val="both"/>
        <w:rPr>
          <w:lang w:val="en-US"/>
        </w:rPr>
      </w:pPr>
      <w:r w:rsidRPr="0085124A">
        <w:rPr>
          <w:lang w:val="en-US"/>
        </w:rPr>
        <w:t>And further:</w:t>
      </w:r>
    </w:p>
    <w:p w14:paraId="6530D4A8" w14:textId="77777777" w:rsidR="0085124A" w:rsidRPr="0085124A" w:rsidRDefault="0085124A" w:rsidP="0085124A">
      <w:pPr>
        <w:jc w:val="both"/>
        <w:rPr>
          <w:lang w:val="en-US"/>
        </w:rPr>
      </w:pPr>
      <w:r w:rsidRPr="0085124A">
        <w:rPr>
          <w:lang w:val="en-US"/>
        </w:rPr>
        <w:t>"</w:t>
      </w:r>
      <w:r w:rsidRPr="0085124A">
        <w:rPr>
          <w:i/>
          <w:iCs/>
          <w:lang w:val="en-US"/>
        </w:rPr>
        <w:t>Data regarding the presence of any diseases are still being analyzed, but preliminary results indicate significant differences between the transgender and general population. An example is a depression reported by 40% of AMAB transgender people and 34.5% of AFAB transgender people (a figure that reaches 60% in the nonbinary transgender population in both AMAB and AFAB) vs. 4.74% and 7.7% reported in men and women, respectively, in the general population (Passi surveillance 2017-2020, ISS). Regarding HIV infection, a picture emerges in line with international data indicating a higher prevalence, particularly in AMAB transgender people, than the estimated prevalence in the general population (percentage reported by AMAB transgender people 6.45% vs. 0.3% in men and 0.2% in women in the general population)</w:t>
      </w:r>
      <w:r w:rsidRPr="0085124A">
        <w:rPr>
          <w:lang w:val="en-US"/>
        </w:rPr>
        <w:t>."</w:t>
      </w:r>
    </w:p>
    <w:p w14:paraId="1D5B2612" w14:textId="77777777" w:rsidR="0085124A" w:rsidRPr="0085124A" w:rsidRDefault="0085124A" w:rsidP="0085124A">
      <w:pPr>
        <w:jc w:val="both"/>
        <w:rPr>
          <w:lang w:val="en-US"/>
        </w:rPr>
      </w:pPr>
      <w:r w:rsidRPr="0085124A">
        <w:rPr>
          <w:lang w:val="en-US"/>
        </w:rPr>
        <w:t>Analyzing the data that have emerged and the reported results, it appears that the right to health for transgender people is not guaranteed, with a large percentage of people who, in order not to incur discrimination and inadequate treatment, avoid going for medical examinations and checkups.</w:t>
      </w:r>
    </w:p>
    <w:p w14:paraId="4CD04FBD" w14:textId="77777777" w:rsidR="0085124A" w:rsidRPr="0085124A" w:rsidRDefault="0085124A" w:rsidP="0085124A">
      <w:pPr>
        <w:jc w:val="both"/>
        <w:rPr>
          <w:lang w:val="en-US"/>
        </w:rPr>
      </w:pPr>
      <w:r w:rsidRPr="0085124A">
        <w:rPr>
          <w:lang w:val="en-US"/>
        </w:rPr>
        <w:t>About hormone replacement therapies, access is also not guaranteed for all, despite a significant step forward. On Sept. 30, 2020, the AIFA (Italian Drug Agency) issued a determination</w:t>
      </w:r>
      <w:r w:rsidRPr="0085124A">
        <w:rPr>
          <w:vertAlign w:val="superscript"/>
          <w:lang w:val="en-US"/>
        </w:rPr>
        <w:footnoteReference w:id="4"/>
      </w:r>
      <w:r w:rsidRPr="0085124A">
        <w:rPr>
          <w:lang w:val="en-US"/>
        </w:rPr>
        <w:t xml:space="preserve"> making hormone drugs used for transitions, which are now fully paid for by the National Health System, free of charge. Despite the positive news, several serious critical issues there remain.</w:t>
      </w:r>
    </w:p>
    <w:p w14:paraId="4D12818C" w14:textId="77777777" w:rsidR="0085124A" w:rsidRDefault="0085124A" w:rsidP="0085124A">
      <w:pPr>
        <w:jc w:val="both"/>
        <w:rPr>
          <w:lang w:val="en-US"/>
        </w:rPr>
      </w:pPr>
      <w:r w:rsidRPr="0085124A">
        <w:rPr>
          <w:lang w:val="en-US"/>
        </w:rPr>
        <w:t>As transgender activist Christian Leonardo Cristalli explains</w:t>
      </w:r>
      <w:r w:rsidRPr="0085124A">
        <w:rPr>
          <w:vertAlign w:val="superscript"/>
          <w:lang w:val="en-US"/>
        </w:rPr>
        <w:footnoteReference w:id="5"/>
      </w:r>
      <w:r w:rsidRPr="0085124A">
        <w:rPr>
          <w:lang w:val="en-US"/>
        </w:rPr>
        <w:t xml:space="preserve">: </w:t>
      </w:r>
    </w:p>
    <w:p w14:paraId="6E8FDF46" w14:textId="348E2AF3" w:rsidR="0085124A" w:rsidRPr="0085124A" w:rsidRDefault="0085124A" w:rsidP="0085124A">
      <w:pPr>
        <w:jc w:val="both"/>
        <w:rPr>
          <w:lang w:val="en-US"/>
        </w:rPr>
      </w:pPr>
      <w:r w:rsidRPr="0085124A">
        <w:rPr>
          <w:lang w:val="en-US"/>
        </w:rPr>
        <w:t>"</w:t>
      </w:r>
      <w:r w:rsidRPr="0085124A">
        <w:rPr>
          <w:i/>
          <w:iCs/>
          <w:lang w:val="en-US"/>
        </w:rPr>
        <w:t>AIFA's determination included hormonal drugs [...] in band H, making them available at the hospital pharmacies of the enabling centers. "This is the first criticality we have found. In Italy, the centers are not present in every region. Some are completely lacking them, such as Marche and Abruzzo," Leonardo explains. From the "Infotrans"</w:t>
      </w:r>
      <w:r w:rsidRPr="0085124A">
        <w:rPr>
          <w:i/>
          <w:iCs/>
          <w:vertAlign w:val="superscript"/>
          <w:lang w:val="en-US"/>
        </w:rPr>
        <w:footnoteReference w:id="6"/>
      </w:r>
      <w:r w:rsidRPr="0085124A">
        <w:rPr>
          <w:i/>
          <w:iCs/>
          <w:lang w:val="en-US"/>
        </w:rPr>
        <w:t xml:space="preserve"> portal of the Istituto Superiore di Sanità (ISS), an institutional website that provides health and legal information for transgender people, there are only seven centers in the country, and Sardinia and Calabria also lack them. "The consequence is that trans people will be forced to move to have access to hormones, incurring the costs</w:t>
      </w:r>
      <w:r w:rsidRPr="0085124A">
        <w:rPr>
          <w:lang w:val="en-US"/>
        </w:rPr>
        <w:t>."</w:t>
      </w:r>
    </w:p>
    <w:p w14:paraId="20756390" w14:textId="77777777" w:rsidR="0085124A" w:rsidRPr="0085124A" w:rsidRDefault="0085124A" w:rsidP="0085124A">
      <w:pPr>
        <w:jc w:val="both"/>
        <w:rPr>
          <w:lang w:val="en-US"/>
        </w:rPr>
      </w:pPr>
      <w:r w:rsidRPr="0085124A">
        <w:rPr>
          <w:lang w:val="en-US"/>
        </w:rPr>
        <w:t>Severe problems are also present at the institutional level. Certain types of visits conducted in the public sector are recognized and assigned by the system only to people of a specific gender from a registry point of view, as is the case with gynecological visits. Suppose an AFAB person gets her biographical data changed, and consequently her social security number too (which becomes male). In that case, it will no longer be possible for her to have gynecological examinations or screening tests in the public sector, as the system considers her social security number incongruent with the gender to which such checkup is addressed.</w:t>
      </w:r>
    </w:p>
    <w:p w14:paraId="52794AC7" w14:textId="77777777" w:rsidR="0085124A" w:rsidRPr="0085124A" w:rsidRDefault="0085124A" w:rsidP="0085124A">
      <w:pPr>
        <w:jc w:val="both"/>
        <w:rPr>
          <w:lang w:val="en-US"/>
        </w:rPr>
      </w:pPr>
      <w:r w:rsidRPr="0085124A">
        <w:rPr>
          <w:lang w:val="en-US"/>
        </w:rPr>
        <w:t>The main problem is the lack of consideration of the very existence of transgender people by the state, which ignores the needs of that community. An important example is the medical-health measures taken at the beginning of the health emergency due to the SARS-COV19 pandemic, an issue also reported in an article by Drs. Giulia Gava, Renato Seracchioli, and M. Cristina Meriggiola, entitled "Telemedicine for endocrinological care of transgender subjects during COVID-19 pandemic"</w:t>
      </w:r>
      <w:r w:rsidRPr="0085124A">
        <w:rPr>
          <w:vertAlign w:val="superscript"/>
          <w:lang w:val="en-US"/>
        </w:rPr>
        <w:footnoteReference w:id="7"/>
      </w:r>
      <w:r w:rsidRPr="0085124A">
        <w:rPr>
          <w:lang w:val="en-US"/>
        </w:rPr>
        <w:t>. Excluded from the telemedicine measures initially put in place by the government were renewals of treatment plans for hormone therapies, which left many trans people without any more medication, impacting only their mental and physical health. Only because of mobilization by activists, associations and collectives were the extensions of therapeutic plans and specialist prescriptions containing hormone prescriptions enacted.</w:t>
      </w:r>
    </w:p>
    <w:p w14:paraId="1236885E" w14:textId="5A00B1F6" w:rsidR="0085124A" w:rsidRDefault="0085124A" w:rsidP="0085124A">
      <w:pPr>
        <w:jc w:val="both"/>
        <w:rPr>
          <w:lang w:val="en-US"/>
        </w:rPr>
      </w:pPr>
      <w:r w:rsidRPr="0085124A">
        <w:rPr>
          <w:lang w:val="en-US"/>
        </w:rPr>
        <w:t>Thus, the picture that emerges shows a state that does not take charge of the health and mental and physical well-being of the transgender community, with little attention to its needs and wants.</w:t>
      </w:r>
    </w:p>
    <w:p w14:paraId="67B80148" w14:textId="77777777" w:rsidR="0085124A" w:rsidRPr="0085124A" w:rsidRDefault="0085124A" w:rsidP="0085124A">
      <w:pPr>
        <w:jc w:val="both"/>
        <w:rPr>
          <w:lang w:val="en-US"/>
        </w:rPr>
      </w:pPr>
    </w:p>
    <w:p w14:paraId="450C8EBE" w14:textId="100BBC18" w:rsidR="00003A80" w:rsidRDefault="00003A80" w:rsidP="0085124A">
      <w:pPr>
        <w:pStyle w:val="NormalWeb"/>
        <w:shd w:val="clear" w:color="auto" w:fill="FFFFFF"/>
        <w:spacing w:after="0"/>
        <w:jc w:val="both"/>
        <w:rPr>
          <w:b/>
          <w:bCs/>
          <w:color w:val="000000"/>
          <w:lang w:val="en-US"/>
        </w:rPr>
      </w:pPr>
      <w:r w:rsidRPr="00003A80">
        <w:rPr>
          <w:color w:val="000000"/>
          <w:lang w:val="en-US"/>
        </w:rPr>
        <w:t xml:space="preserve">       F.</w:t>
      </w:r>
      <w:r>
        <w:rPr>
          <w:b/>
          <w:bCs/>
          <w:color w:val="000000"/>
          <w:lang w:val="en-US"/>
        </w:rPr>
        <w:t xml:space="preserve">   </w:t>
      </w:r>
      <w:r w:rsidRPr="00003A80">
        <w:rPr>
          <w:b/>
          <w:bCs/>
          <w:color w:val="000000"/>
          <w:lang w:val="en-US"/>
        </w:rPr>
        <w:t>Sex education and sexual and reproductive rights for transgender people</w:t>
      </w:r>
    </w:p>
    <w:p w14:paraId="0E81F583" w14:textId="77777777" w:rsidR="00003A80" w:rsidRDefault="00003A80" w:rsidP="0085124A">
      <w:pPr>
        <w:jc w:val="both"/>
      </w:pPr>
    </w:p>
    <w:p w14:paraId="09411368" w14:textId="77777777" w:rsidR="006D500C" w:rsidRPr="006D500C" w:rsidRDefault="006D500C" w:rsidP="006D500C">
      <w:pPr>
        <w:jc w:val="both"/>
        <w:rPr>
          <w:lang w:val="en-US"/>
        </w:rPr>
      </w:pPr>
      <w:r w:rsidRPr="006D500C">
        <w:rPr>
          <w:lang w:val="en-US"/>
        </w:rPr>
        <w:t>Presently, there are guidelines - issued by the MIUR (Ministry of Education of Universities and Research) in 2015</w:t>
      </w:r>
      <w:r w:rsidRPr="006D500C">
        <w:rPr>
          <w:vertAlign w:val="superscript"/>
          <w:lang w:val="en-US"/>
        </w:rPr>
        <w:footnoteReference w:id="8"/>
      </w:r>
      <w:r w:rsidRPr="006D500C">
        <w:rPr>
          <w:lang w:val="en-US"/>
        </w:rPr>
        <w:t xml:space="preserve"> - that aim to include education on respect for gender equality, prevention of gender-based violence, and all forms of discrimination in the educational offerings. However, all programs of sex education and topics related to sexual orientation and gender identity are excluded from these guidelines, all of which are grouped under the definition of "gender theory" and considered "practices that are foreign to the educational world," as stated in the text:</w:t>
      </w:r>
    </w:p>
    <w:p w14:paraId="20922E89" w14:textId="77777777" w:rsidR="006D500C" w:rsidRPr="006D500C" w:rsidRDefault="006D500C" w:rsidP="006D500C">
      <w:pPr>
        <w:jc w:val="both"/>
        <w:rPr>
          <w:lang w:val="en-US"/>
        </w:rPr>
      </w:pPr>
      <w:r w:rsidRPr="006D500C">
        <w:rPr>
          <w:lang w:val="en-US"/>
        </w:rPr>
        <w:t>"</w:t>
      </w:r>
      <w:r w:rsidRPr="006D500C">
        <w:rPr>
          <w:i/>
          <w:iCs/>
          <w:lang w:val="en-US"/>
        </w:rPr>
        <w:t xml:space="preserve">It is reiterated, therefore, that among rights, duties, and knowledge to be transmitted, neither "gender ideologies" nor the teaching of practices unrelated to the educational world fall within the scope of the law. In addition, it is worth noting that the two laws cited as a reference in Paragraph 16 of Law 107 merely transpose to a national level what has been decided over the years, with the consensus of all countries, at the European level, through Declarations, and at the international level with Charters." </w:t>
      </w:r>
      <w:r w:rsidRPr="006D500C">
        <w:rPr>
          <w:lang w:val="en-US"/>
        </w:rPr>
        <w:t>In these terms, therefore, the circular provides clarifications "</w:t>
      </w:r>
      <w:r w:rsidRPr="006D500C">
        <w:rPr>
          <w:i/>
          <w:iCs/>
          <w:lang w:val="en-US"/>
        </w:rPr>
        <w:t>regarding an alleged possibility of including within the School" Educational Offer Plans the so-called 'Gender Theory,' which would find implementation in practices and teachings that cannot be traced back to the curricula provided by the current school systems."</w:t>
      </w:r>
    </w:p>
    <w:p w14:paraId="231008A0" w14:textId="77777777" w:rsidR="006D500C" w:rsidRPr="006D500C" w:rsidRDefault="006D500C" w:rsidP="006D500C">
      <w:pPr>
        <w:jc w:val="both"/>
        <w:rPr>
          <w:lang w:val="en-US"/>
        </w:rPr>
      </w:pPr>
      <w:r w:rsidRPr="006D500C">
        <w:rPr>
          <w:lang w:val="en-US"/>
        </w:rPr>
        <w:t>A recent national survey carried out by the specialized magazine La Tecnica Della Scuola</w:t>
      </w:r>
      <w:r w:rsidRPr="006D500C">
        <w:rPr>
          <w:vertAlign w:val="superscript"/>
          <w:lang w:val="en-US"/>
        </w:rPr>
        <w:footnoteReference w:id="9"/>
      </w:r>
      <w:r w:rsidRPr="006D500C">
        <w:rPr>
          <w:lang w:val="en-US"/>
        </w:rPr>
        <w:t>, also shows that "</w:t>
      </w:r>
      <w:r w:rsidRPr="006D500C">
        <w:rPr>
          <w:i/>
          <w:iCs/>
          <w:lang w:val="en-US"/>
        </w:rPr>
        <w:t>concerning sex education in elementary school, 57.6 percent of teachers said they were against it: only 40.2 percent expressed their consent to dealing with this kind of content [</w:t>
      </w:r>
      <w:r w:rsidRPr="006D500C">
        <w:rPr>
          <w:lang w:val="en-US"/>
        </w:rPr>
        <w:t>...]."</w:t>
      </w:r>
    </w:p>
    <w:p w14:paraId="3927A736" w14:textId="77777777" w:rsidR="006D500C" w:rsidRPr="006D500C" w:rsidRDefault="006D500C" w:rsidP="006D500C">
      <w:pPr>
        <w:jc w:val="both"/>
        <w:rPr>
          <w:lang w:val="en-US"/>
        </w:rPr>
      </w:pPr>
      <w:r w:rsidRPr="006D500C">
        <w:rPr>
          <w:lang w:val="en-US"/>
        </w:rPr>
        <w:t>Sex education and education on respect for LGBTQIA+ people are absent from the teaching programs of schools of all levels and are possibly addressed at the discretion of individual teachers. The only formative moment on sexuality turns out to be that included within the science course starting from the secondary level of education through the dissemination of information on genital anatomy, sexual reproduction, and the use of contraceptives.</w:t>
      </w:r>
    </w:p>
    <w:p w14:paraId="4146883A" w14:textId="77777777" w:rsidR="006D500C" w:rsidRPr="006D500C" w:rsidRDefault="006D500C" w:rsidP="006D500C">
      <w:pPr>
        <w:jc w:val="both"/>
        <w:rPr>
          <w:lang w:val="en-US"/>
        </w:rPr>
      </w:pPr>
      <w:r w:rsidRPr="006D500C">
        <w:rPr>
          <w:lang w:val="en-US"/>
        </w:rPr>
        <w:t>This lack of information harms young people, especially those from marginalized groups such as the LGBTQIA+ community, as shown by a study published on the PubMed platform titled "Sexual habits among Italian transgender adolescents: a cross-sectional study."</w:t>
      </w:r>
      <w:r w:rsidRPr="006D500C">
        <w:rPr>
          <w:vertAlign w:val="superscript"/>
          <w:lang w:val="en-US"/>
        </w:rPr>
        <w:footnoteReference w:id="10"/>
      </w:r>
    </w:p>
    <w:p w14:paraId="49E4E918" w14:textId="77777777" w:rsidR="006D500C" w:rsidRPr="006D500C" w:rsidRDefault="006D500C" w:rsidP="006D500C">
      <w:pPr>
        <w:jc w:val="both"/>
        <w:rPr>
          <w:lang w:val="en-US"/>
        </w:rPr>
      </w:pPr>
      <w:r w:rsidRPr="006D500C">
        <w:rPr>
          <w:lang w:val="en-US"/>
        </w:rPr>
        <w:t>Concerning the sexual and reproductive rights of transgender people, we are faced with serious gaps and shortcomings. In addition to those previously addressed in the last section, there is the unpreparedness, on a notional and medical level, of most medical personnel in suggesting appropriate contraceptive methods compatible with hormone replacement therapies and nonconforming bodies, the difficulty of access to fertility preservation measures</w:t>
      </w:r>
      <w:r w:rsidRPr="006D500C">
        <w:rPr>
          <w:vertAlign w:val="superscript"/>
          <w:lang w:val="en-US"/>
        </w:rPr>
        <w:footnoteReference w:id="11"/>
      </w:r>
      <w:r w:rsidRPr="006D500C">
        <w:rPr>
          <w:lang w:val="en-US"/>
        </w:rPr>
        <w:t>, with problems in finding information and specialists sometimes going so far as to say that this is not possible, and finally, access to abortion for trans men and nonbinary people.</w:t>
      </w:r>
    </w:p>
    <w:p w14:paraId="6DCF1741" w14:textId="77777777" w:rsidR="006D500C" w:rsidRPr="006D500C" w:rsidRDefault="006D500C" w:rsidP="006D500C">
      <w:pPr>
        <w:jc w:val="both"/>
        <w:rPr>
          <w:lang w:val="en-US"/>
        </w:rPr>
      </w:pPr>
      <w:r w:rsidRPr="006D500C">
        <w:rPr>
          <w:lang w:val="en-US"/>
        </w:rPr>
        <w:t>Although abortion is legal, Italy tops the list of countries with the highest number of conscientious objectors in public hospitals. These statistics are missing all the pharmacists who, illegally, informally declare themselves objectors and refuse to sell the morning-after pill.</w:t>
      </w:r>
    </w:p>
    <w:p w14:paraId="3CBC1B24" w14:textId="77777777" w:rsidR="006D500C" w:rsidRPr="006D500C" w:rsidRDefault="006D500C" w:rsidP="006D500C">
      <w:pPr>
        <w:jc w:val="both"/>
        <w:rPr>
          <w:lang w:val="en-US"/>
        </w:rPr>
      </w:pPr>
      <w:r w:rsidRPr="006D500C">
        <w:rPr>
          <w:lang w:val="en-US"/>
        </w:rPr>
        <w:t>As emerges from the updated survey by Chiara Lalli, professor of History of Medicine, and Sonia Montegiove, computer scientist and journalist, reported by Il Sole 24 Ore</w:t>
      </w:r>
      <w:r w:rsidRPr="006D500C">
        <w:rPr>
          <w:vertAlign w:val="superscript"/>
          <w:lang w:val="en-US"/>
        </w:rPr>
        <w:footnoteReference w:id="12"/>
      </w:r>
      <w:r w:rsidRPr="006D500C">
        <w:rPr>
          <w:lang w:val="en-US"/>
        </w:rPr>
        <w:t>: "</w:t>
      </w:r>
      <w:r w:rsidRPr="006D500C">
        <w:rPr>
          <w:i/>
          <w:iCs/>
          <w:lang w:val="en-US"/>
        </w:rPr>
        <w:t>There are 31 health facilities in Italy (24 hospitals and 7 counseling centers) with 100 percent of conscientious objectors among gynecologists, anesthesiologists, nurses, and OSS (socio-health workers). Nearly 50 health facilities have a percentage above 90 percent and more than 80 those with an objection rate above 80 percent</w:t>
      </w:r>
      <w:r w:rsidRPr="006D500C">
        <w:rPr>
          <w:lang w:val="en-US"/>
        </w:rPr>
        <w:t>."</w:t>
      </w:r>
    </w:p>
    <w:p w14:paraId="1769F7BE" w14:textId="77777777" w:rsidR="006D500C" w:rsidRPr="006D500C" w:rsidRDefault="006D500C" w:rsidP="006D500C">
      <w:pPr>
        <w:jc w:val="both"/>
        <w:rPr>
          <w:lang w:val="en-US"/>
        </w:rPr>
      </w:pPr>
      <w:r w:rsidRPr="006D500C">
        <w:rPr>
          <w:lang w:val="en-US"/>
        </w:rPr>
        <w:t>Against this backdrop, access to abortion for transgender people is challenging: doctors are unprepared to handle patients with a gender nonconforming identity, and clinics offer forms where only one option for gender identity is available (only feminine, no trans identity). This makes it impossible to compile accurate statistics on the percentages of trans people who resort to voluntary termination of pregnancy. All critical issues are highlighted in Majid Capovani's article, titled "Trans people and abortion: a right denied”</w:t>
      </w:r>
      <w:r w:rsidRPr="006D500C">
        <w:rPr>
          <w:vertAlign w:val="superscript"/>
          <w:lang w:val="en-US"/>
        </w:rPr>
        <w:footnoteReference w:id="13"/>
      </w:r>
      <w:r w:rsidRPr="006D500C">
        <w:rPr>
          <w:lang w:val="en-US"/>
        </w:rPr>
        <w:t>.</w:t>
      </w:r>
    </w:p>
    <w:p w14:paraId="5751E853" w14:textId="77777777" w:rsidR="006D500C" w:rsidRPr="006D500C" w:rsidRDefault="006D500C" w:rsidP="006D500C">
      <w:pPr>
        <w:jc w:val="both"/>
        <w:rPr>
          <w:lang w:val="en-US"/>
        </w:rPr>
      </w:pPr>
      <w:r w:rsidRPr="006D500C">
        <w:rPr>
          <w:lang w:val="en-US"/>
        </w:rPr>
        <w:t>From the article:</w:t>
      </w:r>
    </w:p>
    <w:p w14:paraId="7C4A89BF" w14:textId="77777777" w:rsidR="006D500C" w:rsidRPr="006D500C" w:rsidRDefault="006D500C" w:rsidP="006D500C">
      <w:pPr>
        <w:jc w:val="both"/>
        <w:rPr>
          <w:i/>
          <w:iCs/>
          <w:lang w:val="en-US"/>
        </w:rPr>
      </w:pPr>
      <w:r w:rsidRPr="006D500C">
        <w:rPr>
          <w:lang w:val="en-US"/>
        </w:rPr>
        <w:t>"</w:t>
      </w:r>
      <w:r w:rsidRPr="006D500C">
        <w:rPr>
          <w:i/>
          <w:iCs/>
          <w:lang w:val="en-US"/>
        </w:rPr>
        <w:t>One of the biggest obstacles that transgender people face when they want to have an abortion is the lack of information and training of medical personnel, as well as the almost total disregard for the specifics regarding the health and well-being of trans people.</w:t>
      </w:r>
    </w:p>
    <w:p w14:paraId="52935D2C" w14:textId="77777777" w:rsidR="006D500C" w:rsidRPr="006D500C" w:rsidRDefault="006D500C" w:rsidP="006D500C">
      <w:pPr>
        <w:jc w:val="both"/>
        <w:rPr>
          <w:i/>
          <w:iCs/>
          <w:lang w:val="en-US"/>
        </w:rPr>
      </w:pPr>
      <w:r w:rsidRPr="006D500C">
        <w:rPr>
          <w:i/>
          <w:iCs/>
          <w:lang w:val="en-US"/>
        </w:rPr>
        <w:t>In most cases, medical personnel is severely unprepared even in terms of the basics, and transgender patients who need to have a voluntary termination of pregnancy face a whole range of problems, among which we can find:</w:t>
      </w:r>
    </w:p>
    <w:p w14:paraId="7A6A3354" w14:textId="77777777" w:rsidR="006D500C" w:rsidRPr="00555F47" w:rsidRDefault="006D500C" w:rsidP="00555F47">
      <w:pPr>
        <w:pStyle w:val="ListParagraph"/>
        <w:numPr>
          <w:ilvl w:val="0"/>
          <w:numId w:val="15"/>
        </w:numPr>
        <w:ind w:left="170" w:hanging="113"/>
        <w:jc w:val="both"/>
        <w:rPr>
          <w:i/>
          <w:iCs/>
          <w:lang w:val="en-US"/>
        </w:rPr>
      </w:pPr>
      <w:r w:rsidRPr="00555F47">
        <w:rPr>
          <w:i/>
          <w:iCs/>
          <w:lang w:val="en-US"/>
        </w:rPr>
        <w:t>Misgendering (a term for referring to a trans person using pronouns, nouns, words, or appellations that do not reflect that person's gender);</w:t>
      </w:r>
    </w:p>
    <w:p w14:paraId="57400F41" w14:textId="77777777" w:rsidR="006D500C" w:rsidRPr="00555F47" w:rsidRDefault="006D500C" w:rsidP="00555F47">
      <w:pPr>
        <w:pStyle w:val="ListParagraph"/>
        <w:numPr>
          <w:ilvl w:val="0"/>
          <w:numId w:val="15"/>
        </w:numPr>
        <w:ind w:left="170" w:hanging="113"/>
        <w:jc w:val="both"/>
        <w:rPr>
          <w:i/>
          <w:iCs/>
          <w:lang w:val="en-US"/>
        </w:rPr>
      </w:pPr>
      <w:r w:rsidRPr="00555F47">
        <w:rPr>
          <w:i/>
          <w:iCs/>
          <w:lang w:val="en-US"/>
        </w:rPr>
        <w:t>Deadnaming (referring to a trans person using the name assigned at birth);</w:t>
      </w:r>
    </w:p>
    <w:p w14:paraId="4F9626A0" w14:textId="77777777" w:rsidR="006D500C" w:rsidRPr="00555F47" w:rsidRDefault="006D500C" w:rsidP="00555F47">
      <w:pPr>
        <w:pStyle w:val="ListParagraph"/>
        <w:numPr>
          <w:ilvl w:val="0"/>
          <w:numId w:val="15"/>
        </w:numPr>
        <w:ind w:left="170" w:hanging="113"/>
        <w:jc w:val="both"/>
        <w:rPr>
          <w:i/>
          <w:iCs/>
          <w:lang w:val="en-US"/>
        </w:rPr>
      </w:pPr>
      <w:r w:rsidRPr="00555F47">
        <w:rPr>
          <w:i/>
          <w:iCs/>
          <w:lang w:val="en-US"/>
        </w:rPr>
        <w:t>Guilt-blaming, the same as that experienced by cisgender women;</w:t>
      </w:r>
    </w:p>
    <w:p w14:paraId="4E54A52F" w14:textId="77777777" w:rsidR="006D500C" w:rsidRPr="00555F47" w:rsidRDefault="006D500C" w:rsidP="00555F47">
      <w:pPr>
        <w:pStyle w:val="ListParagraph"/>
        <w:numPr>
          <w:ilvl w:val="0"/>
          <w:numId w:val="15"/>
        </w:numPr>
        <w:ind w:left="170" w:hanging="113"/>
        <w:jc w:val="both"/>
        <w:rPr>
          <w:i/>
          <w:iCs/>
          <w:lang w:val="en-US"/>
        </w:rPr>
      </w:pPr>
      <w:r w:rsidRPr="00555F47">
        <w:rPr>
          <w:i/>
          <w:iCs/>
          <w:lang w:val="en-US"/>
        </w:rPr>
        <w:t>Stigmatization;</w:t>
      </w:r>
    </w:p>
    <w:p w14:paraId="2051ECD8" w14:textId="77777777" w:rsidR="006D500C" w:rsidRPr="00555F47" w:rsidRDefault="006D500C" w:rsidP="00555F47">
      <w:pPr>
        <w:pStyle w:val="ListParagraph"/>
        <w:numPr>
          <w:ilvl w:val="0"/>
          <w:numId w:val="15"/>
        </w:numPr>
        <w:ind w:left="170" w:hanging="113"/>
        <w:jc w:val="both"/>
        <w:rPr>
          <w:i/>
          <w:iCs/>
          <w:lang w:val="en-US"/>
        </w:rPr>
      </w:pPr>
      <w:r w:rsidRPr="00555F47">
        <w:rPr>
          <w:i/>
          <w:iCs/>
          <w:lang w:val="en-US"/>
        </w:rPr>
        <w:t>Gatekeeping (the activity of controlling and restricting general access to something);</w:t>
      </w:r>
    </w:p>
    <w:p w14:paraId="01F7DC1C" w14:textId="77777777" w:rsidR="006D500C" w:rsidRPr="00555F47" w:rsidRDefault="006D500C" w:rsidP="00555F47">
      <w:pPr>
        <w:pStyle w:val="ListParagraph"/>
        <w:numPr>
          <w:ilvl w:val="0"/>
          <w:numId w:val="15"/>
        </w:numPr>
        <w:ind w:left="170" w:hanging="113"/>
        <w:jc w:val="both"/>
        <w:rPr>
          <w:i/>
          <w:iCs/>
          <w:lang w:val="en-US"/>
        </w:rPr>
      </w:pPr>
      <w:r w:rsidRPr="00555F47">
        <w:rPr>
          <w:i/>
          <w:iCs/>
          <w:lang w:val="en-US"/>
        </w:rPr>
        <w:t>Prejudice;</w:t>
      </w:r>
    </w:p>
    <w:p w14:paraId="1CC3D625" w14:textId="77777777" w:rsidR="006D500C" w:rsidRPr="00555F47" w:rsidRDefault="006D500C" w:rsidP="00555F47">
      <w:pPr>
        <w:pStyle w:val="ListParagraph"/>
        <w:numPr>
          <w:ilvl w:val="0"/>
          <w:numId w:val="15"/>
        </w:numPr>
        <w:ind w:left="170" w:hanging="113"/>
        <w:jc w:val="both"/>
        <w:rPr>
          <w:i/>
          <w:iCs/>
          <w:lang w:val="en-US"/>
        </w:rPr>
      </w:pPr>
      <w:r w:rsidRPr="00555F47">
        <w:rPr>
          <w:i/>
          <w:iCs/>
          <w:lang w:val="en-US"/>
        </w:rPr>
        <w:t>Overt transphobia (jokes, mockery, verbal, psychological, or physical violence).</w:t>
      </w:r>
    </w:p>
    <w:p w14:paraId="1FFB1739" w14:textId="77777777" w:rsidR="006D500C" w:rsidRPr="006D500C" w:rsidRDefault="006D500C" w:rsidP="006D500C">
      <w:pPr>
        <w:jc w:val="both"/>
        <w:rPr>
          <w:lang w:val="en-US"/>
        </w:rPr>
      </w:pPr>
      <w:r w:rsidRPr="006D500C">
        <w:rPr>
          <w:i/>
          <w:iCs/>
          <w:lang w:val="en-US"/>
        </w:rPr>
        <w:t>All this, added to the poor preparation of the staff (complicit in a university system that does not include trans and intersex issues in courses and curricula), makes this experience a real ordeal, with a heavy psychological impact</w:t>
      </w:r>
      <w:r w:rsidRPr="006D500C">
        <w:rPr>
          <w:lang w:val="en-US"/>
        </w:rPr>
        <w:t>."</w:t>
      </w:r>
    </w:p>
    <w:p w14:paraId="7EB69EA6" w14:textId="77777777" w:rsidR="006D500C" w:rsidRPr="006D500C" w:rsidRDefault="006D500C" w:rsidP="006D500C">
      <w:pPr>
        <w:jc w:val="both"/>
        <w:rPr>
          <w:lang w:val="en-US"/>
        </w:rPr>
      </w:pPr>
      <w:r w:rsidRPr="006D500C">
        <w:rPr>
          <w:lang w:val="en-US"/>
        </w:rPr>
        <w:t>It is therefore urgent to carry out adequate reforms that allow truly free and transversal access to people's sexual and reproductive rights, including sex education in school curricula, an aspect constantly ignored and ostracized by almost all current political parties.</w:t>
      </w:r>
    </w:p>
    <w:p w14:paraId="6173B193" w14:textId="2E702F97" w:rsidR="00003A80" w:rsidRDefault="00003A80" w:rsidP="0085124A">
      <w:pPr>
        <w:jc w:val="both"/>
      </w:pPr>
    </w:p>
    <w:p w14:paraId="20DE8FDF" w14:textId="51C078DB" w:rsidR="00003A80" w:rsidRDefault="00003A80" w:rsidP="0085124A">
      <w:pPr>
        <w:jc w:val="both"/>
        <w:rPr>
          <w:b/>
          <w:bCs/>
          <w:color w:val="000000"/>
          <w:sz w:val="24"/>
          <w:szCs w:val="24"/>
          <w:lang w:val="en-US" w:eastAsia="it-IT"/>
        </w:rPr>
      </w:pPr>
      <w:r>
        <w:rPr>
          <w:b/>
          <w:bCs/>
          <w:color w:val="000000"/>
          <w:sz w:val="24"/>
          <w:szCs w:val="24"/>
          <w:lang w:val="en-US" w:eastAsia="it-IT"/>
        </w:rPr>
        <w:t xml:space="preserve">        </w:t>
      </w:r>
      <w:r w:rsidRPr="00003A80">
        <w:rPr>
          <w:color w:val="000000"/>
          <w:sz w:val="24"/>
          <w:szCs w:val="24"/>
          <w:lang w:val="en-US" w:eastAsia="it-IT"/>
        </w:rPr>
        <w:t>G.</w:t>
      </w:r>
      <w:r>
        <w:t xml:space="preserve">  </w:t>
      </w:r>
      <w:r w:rsidRPr="00003A80">
        <w:rPr>
          <w:b/>
          <w:bCs/>
          <w:color w:val="000000"/>
          <w:sz w:val="24"/>
          <w:szCs w:val="24"/>
          <w:lang w:val="en-US" w:eastAsia="it-IT"/>
        </w:rPr>
        <w:t>Genital mutilation of intersex people</w:t>
      </w:r>
    </w:p>
    <w:p w14:paraId="00A5D73D" w14:textId="77777777" w:rsidR="00003A80" w:rsidRDefault="00003A80" w:rsidP="0085124A">
      <w:pPr>
        <w:jc w:val="both"/>
      </w:pPr>
    </w:p>
    <w:p w14:paraId="334CC61C" w14:textId="77777777" w:rsidR="006D500C" w:rsidRPr="006D500C" w:rsidRDefault="006D500C" w:rsidP="006D500C">
      <w:pPr>
        <w:jc w:val="both"/>
        <w:rPr>
          <w:lang w:val="en-US"/>
        </w:rPr>
      </w:pPr>
      <w:r w:rsidRPr="006D500C">
        <w:rPr>
          <w:lang w:val="en-US"/>
        </w:rPr>
        <w:t>In Italy, there are no protections of any kind for intersex people, that is, people who have innate biological characteristics in their sexual traits that do not fit with the notion of masculine and feminine that is most widely held in the population (definition provided by the page Intersex Esiste</w:t>
      </w:r>
      <w:r w:rsidRPr="006D500C">
        <w:rPr>
          <w:vertAlign w:val="superscript"/>
          <w:lang w:val="en-US"/>
        </w:rPr>
        <w:footnoteReference w:id="14"/>
      </w:r>
      <w:r w:rsidRPr="006D500C">
        <w:rPr>
          <w:lang w:val="en-US"/>
        </w:rPr>
        <w:t>). Those who exhibit ambiguous primary sexual characteristics at birth undergo surgical reassignment toward one of the two socially and culturally accepted sexes. Invasive and unnecessary operations are carried out when the person is still too young to consent, which also has long-term health consequences.</w:t>
      </w:r>
    </w:p>
    <w:p w14:paraId="2358DD51" w14:textId="77777777" w:rsidR="006D500C" w:rsidRPr="006D500C" w:rsidRDefault="006D500C" w:rsidP="006D500C">
      <w:pPr>
        <w:jc w:val="both"/>
        <w:rPr>
          <w:lang w:val="en-US"/>
        </w:rPr>
      </w:pPr>
      <w:r w:rsidRPr="006D500C">
        <w:rPr>
          <w:lang w:val="en-US"/>
        </w:rPr>
        <w:t>Even those who are in the period of puberty and begin to exhibit ambiguous secondary sexual characteristics undergo invasive and harmful forced medicalization and are often unaware of their condition because doctors do not always provide complete or correct information.</w:t>
      </w:r>
    </w:p>
    <w:p w14:paraId="232F284C" w14:textId="77777777" w:rsidR="006D500C" w:rsidRPr="006D500C" w:rsidRDefault="006D500C" w:rsidP="006D500C">
      <w:pPr>
        <w:jc w:val="both"/>
        <w:rPr>
          <w:lang w:val="en-US"/>
        </w:rPr>
      </w:pPr>
      <w:r w:rsidRPr="006D500C">
        <w:rPr>
          <w:lang w:val="en-US"/>
        </w:rPr>
        <w:t>The case of an intersex child from Palermo who underwent surgical sex reassignment surgery shortly after birth, an event for which a parliamentary question</w:t>
      </w:r>
      <w:r w:rsidRPr="006D500C">
        <w:rPr>
          <w:vertAlign w:val="superscript"/>
          <w:lang w:val="en-US"/>
        </w:rPr>
        <w:footnoteReference w:id="15"/>
      </w:r>
      <w:r w:rsidRPr="006D500C">
        <w:rPr>
          <w:lang w:val="en-US"/>
        </w:rPr>
        <w:t xml:space="preserve"> has been tabled, is famous.</w:t>
      </w:r>
    </w:p>
    <w:p w14:paraId="6329A41A" w14:textId="77777777" w:rsidR="006D500C" w:rsidRPr="006D500C" w:rsidRDefault="006D500C" w:rsidP="006D500C">
      <w:pPr>
        <w:jc w:val="both"/>
        <w:rPr>
          <w:lang w:val="en-US"/>
        </w:rPr>
      </w:pPr>
      <w:r w:rsidRPr="006D500C">
        <w:rPr>
          <w:lang w:val="en-US"/>
        </w:rPr>
        <w:t>As the text reads:</w:t>
      </w:r>
    </w:p>
    <w:p w14:paraId="67CD69D2" w14:textId="2F9E26B6" w:rsidR="006D500C" w:rsidRPr="006D500C" w:rsidRDefault="006D500C" w:rsidP="006D500C">
      <w:pPr>
        <w:jc w:val="both"/>
        <w:rPr>
          <w:lang w:val="en-US"/>
        </w:rPr>
      </w:pPr>
      <w:r w:rsidRPr="006D500C">
        <w:rPr>
          <w:lang w:val="en-US"/>
        </w:rPr>
        <w:t>"</w:t>
      </w:r>
      <w:r w:rsidRPr="006D500C">
        <w:rPr>
          <w:i/>
          <w:iCs/>
          <w:lang w:val="en-US"/>
        </w:rPr>
        <w:t>Current medical guidelines are geared toward erasing these forms of diversity using unnecessary drug treatments and neonatal surgeries aimed at 'correcting' traits that many doctors consider symptoms of a disease. These early surgeries are practiced without considering the irreversible consequences on the genital and reproductive systems and without being able to predict with certainty the fact that the development of the sexual identity of the person concerned might turn out to be discordant from the sex attributed and surgically modified at an early age</w:t>
      </w:r>
      <w:r w:rsidRPr="006D500C">
        <w:rPr>
          <w:lang w:val="en-US"/>
        </w:rPr>
        <w:t>."</w:t>
      </w:r>
    </w:p>
    <w:p w14:paraId="4E61849D" w14:textId="77777777" w:rsidR="006D500C" w:rsidRPr="006D500C" w:rsidRDefault="006D500C" w:rsidP="006D500C">
      <w:pPr>
        <w:jc w:val="both"/>
        <w:rPr>
          <w:lang w:val="en-US"/>
        </w:rPr>
      </w:pPr>
      <w:r w:rsidRPr="006D500C">
        <w:rPr>
          <w:lang w:val="en-US"/>
        </w:rPr>
        <w:t>There are also numerous testimonies of intersex people who have undergone forced medicalization and genital mutilation, such as Guido's, reported in The Vision's article, "The Genital Mutilation of Italian Children No One is Talking About"</w:t>
      </w:r>
      <w:r w:rsidRPr="006D500C">
        <w:rPr>
          <w:vertAlign w:val="superscript"/>
          <w:lang w:val="en-US"/>
        </w:rPr>
        <w:footnoteReference w:id="16"/>
      </w:r>
      <w:r w:rsidRPr="006D500C">
        <w:rPr>
          <w:lang w:val="en-US"/>
        </w:rPr>
        <w:t>, written by Jonathan Bazzi.</w:t>
      </w:r>
    </w:p>
    <w:p w14:paraId="0E296763" w14:textId="77777777" w:rsidR="006D500C" w:rsidRPr="006D500C" w:rsidRDefault="006D500C" w:rsidP="006D500C">
      <w:pPr>
        <w:jc w:val="both"/>
        <w:rPr>
          <w:lang w:val="en-US"/>
        </w:rPr>
      </w:pPr>
      <w:r w:rsidRPr="006D500C">
        <w:rPr>
          <w:lang w:val="en-US"/>
        </w:rPr>
        <w:t>"</w:t>
      </w:r>
      <w:r w:rsidRPr="006D500C">
        <w:rPr>
          <w:i/>
          <w:iCs/>
          <w:lang w:val="en-US"/>
        </w:rPr>
        <w:t>My name is Guido, I am 19 years old, but until I was two, I was called Giulia. I am intersex, meaning my genitals at birth were different from what my family expected. They were amputated, "corrected." No one asked my opinion. Decisions about surgical intervention were taken when I was still too young to have a say. I was born a girl, but something was strange with me: my father and mother were afraid, confused, and unprepared. They didn't know what to do. The doctors promised to resolve the situation in the operating room. When I was two years old, they ascertained that my chromosomes were male, so they proposed to my parents the operation as the only possible solution. A series of irreversible surgeries ravaged my body; to this day, I have pain and discomfort that I believe will never go away. Everything in my underwear feels like one huge scar. I avoid looking in the mirror and try not to think about what has been done to me. I was repeatedly told that medicine worked miracles with me, that the doctors were satisfied and even elated with the results, and that reporters came and talked about me on television. I only remember the gauze, the dressings, the excruciating pain at night, and when I went to the bathroom, and mother told me, "Come on, it will pass tomorrow, be patient." They removed my uterus and vagina and destroyed my clitoris. In the few sexual relations I had, I felt only discomfort and embarrassment. The doctors had advised my parents not to tell me anything, that everything would take care of itself in time. That was not true: my nature is not what was imposed on me with a scalpel.</w:t>
      </w:r>
      <w:r w:rsidRPr="006D500C">
        <w:rPr>
          <w:lang w:val="en-US"/>
        </w:rPr>
        <w:t>"</w:t>
      </w:r>
    </w:p>
    <w:p w14:paraId="656FE71A" w14:textId="77777777" w:rsidR="006D500C" w:rsidRPr="006D500C" w:rsidRDefault="006D500C" w:rsidP="006D500C">
      <w:pPr>
        <w:jc w:val="both"/>
        <w:rPr>
          <w:lang w:val="en-US"/>
        </w:rPr>
      </w:pPr>
      <w:r w:rsidRPr="006D500C">
        <w:rPr>
          <w:lang w:val="en-US"/>
        </w:rPr>
        <w:t>Italy had already received reminders from the United Nations (UN) in past years. Even at the 80th session of the Committee on the Rights of the Child (CRC)</w:t>
      </w:r>
      <w:r w:rsidRPr="006D500C">
        <w:rPr>
          <w:vertAlign w:val="superscript"/>
          <w:lang w:val="en-US"/>
        </w:rPr>
        <w:footnoteReference w:id="17"/>
      </w:r>
      <w:r w:rsidRPr="006D500C">
        <w:rPr>
          <w:lang w:val="en-US"/>
        </w:rPr>
        <w:t>. On January 22-23, 2019, the Committee examined the situation of intersex rights in Italy without obtaining any response from Prof. Salvatore Sciacchitano, an endocrinologist, and chief secretary at the Ministry of Health, regarding their protection. On the contrary, he claimed that it was environmental pollution that caused intersex variations in Veneto:</w:t>
      </w:r>
    </w:p>
    <w:p w14:paraId="1101BBBF" w14:textId="77777777" w:rsidR="006D500C" w:rsidRPr="006D500C" w:rsidRDefault="006D500C" w:rsidP="006D500C">
      <w:pPr>
        <w:jc w:val="both"/>
        <w:rPr>
          <w:lang w:val="en-US"/>
        </w:rPr>
      </w:pPr>
      <w:r w:rsidRPr="006D500C">
        <w:rPr>
          <w:lang w:val="en-US"/>
        </w:rPr>
        <w:t>"</w:t>
      </w:r>
      <w:r w:rsidRPr="006D500C">
        <w:rPr>
          <w:i/>
          <w:iCs/>
          <w:lang w:val="en-US"/>
        </w:rPr>
        <w:t>I would also like to mention that just these days, our Ministry is engaged on a high number of disorders of sexual differentiation in fetuses of mothers subjected to water pollution with perfluoralchilic substances (PFAS) in the region of Veneto. The so-called PFAS result from the processing of plastic materials that have damaged the fetuses - especially males - of contaminated mothers, causing dysfunction of their sexual differentiation. Our Ministry of Health is therefore also committed to the prevention front and research and identification of possible causes of disorders, especially those caused by environmental pollutants</w:t>
      </w:r>
      <w:r w:rsidRPr="006D500C">
        <w:rPr>
          <w:lang w:val="en-US"/>
        </w:rPr>
        <w:t>."</w:t>
      </w:r>
    </w:p>
    <w:p w14:paraId="0A8C4610" w14:textId="77777777" w:rsidR="006D500C" w:rsidRPr="006D500C" w:rsidRDefault="006D500C" w:rsidP="006D500C">
      <w:pPr>
        <w:jc w:val="both"/>
        <w:rPr>
          <w:lang w:val="en-US"/>
        </w:rPr>
      </w:pPr>
      <w:r w:rsidRPr="006D500C">
        <w:rPr>
          <w:lang w:val="en-US"/>
        </w:rPr>
        <w:t>There is an urgent need for Italy to take measures to protect children and intersex people by prohibiting their forced medicalization and genital mutilation, which continue to this day.</w:t>
      </w:r>
    </w:p>
    <w:p w14:paraId="5FE93D40" w14:textId="753EE765" w:rsidR="00003A80" w:rsidRDefault="00003A80" w:rsidP="0085124A">
      <w:pPr>
        <w:jc w:val="both"/>
      </w:pPr>
    </w:p>
    <w:p w14:paraId="093FFC4A" w14:textId="40FEE27B" w:rsidR="00003A80" w:rsidRDefault="00003A80" w:rsidP="0085124A">
      <w:pPr>
        <w:jc w:val="both"/>
        <w:rPr>
          <w:b/>
          <w:bCs/>
          <w:color w:val="000000"/>
          <w:sz w:val="24"/>
          <w:szCs w:val="24"/>
          <w:lang w:val="en-US" w:eastAsia="it-IT"/>
        </w:rPr>
      </w:pPr>
      <w:r>
        <w:rPr>
          <w:b/>
          <w:bCs/>
          <w:color w:val="000000"/>
          <w:sz w:val="24"/>
          <w:szCs w:val="24"/>
          <w:lang w:val="en-US" w:eastAsia="it-IT"/>
        </w:rPr>
        <w:t xml:space="preserve">        </w:t>
      </w:r>
      <w:r w:rsidRPr="00003A80">
        <w:rPr>
          <w:color w:val="000000"/>
          <w:sz w:val="24"/>
          <w:szCs w:val="24"/>
          <w:lang w:val="en-US" w:eastAsia="it-IT"/>
        </w:rPr>
        <w:t>H.</w:t>
      </w:r>
      <w:r w:rsidRPr="00003A80">
        <w:rPr>
          <w:b/>
          <w:bCs/>
          <w:color w:val="000000"/>
          <w:sz w:val="24"/>
          <w:szCs w:val="24"/>
          <w:lang w:val="en-US" w:eastAsia="it-IT"/>
        </w:rPr>
        <w:t xml:space="preserve"> </w:t>
      </w:r>
      <w:r>
        <w:rPr>
          <w:b/>
          <w:bCs/>
          <w:color w:val="000000"/>
          <w:sz w:val="24"/>
          <w:szCs w:val="24"/>
          <w:lang w:val="en-US" w:eastAsia="it-IT"/>
        </w:rPr>
        <w:t xml:space="preserve">  </w:t>
      </w:r>
      <w:r w:rsidRPr="00003A80">
        <w:rPr>
          <w:b/>
          <w:bCs/>
          <w:color w:val="000000"/>
          <w:sz w:val="24"/>
          <w:szCs w:val="24"/>
          <w:lang w:val="en-US" w:eastAsia="it-IT"/>
        </w:rPr>
        <w:t>Intimate partner violence between LGBTQIA+ partners</w:t>
      </w:r>
    </w:p>
    <w:p w14:paraId="7B20FE51" w14:textId="77777777" w:rsidR="005A662A" w:rsidRPr="005A662A" w:rsidRDefault="005A662A" w:rsidP="005A662A">
      <w:pPr>
        <w:jc w:val="both"/>
        <w:rPr>
          <w:color w:val="000000"/>
          <w:lang w:val="en-US" w:eastAsia="it-IT"/>
        </w:rPr>
      </w:pPr>
      <w:r w:rsidRPr="005A662A">
        <w:rPr>
          <w:color w:val="000000"/>
          <w:lang w:val="en-US" w:eastAsia="it-IT"/>
        </w:rPr>
        <w:t xml:space="preserve">Currently, no associations or protocols deal specifically with the phenomenon of intimate violence between lgbtqia+ partners, and on the part of the institutions, there is absolute silence. The issue is rarely addressed, even within the community itself, even though little research at the international level shows us that it is a problem that cannot be ignored anymore. </w:t>
      </w:r>
    </w:p>
    <w:p w14:paraId="3BC951F4" w14:textId="77777777" w:rsidR="005A662A" w:rsidRPr="005A662A" w:rsidRDefault="005A662A" w:rsidP="005A662A">
      <w:pPr>
        <w:jc w:val="both"/>
        <w:rPr>
          <w:color w:val="000000"/>
          <w:lang w:val="en-US" w:eastAsia="it-IT"/>
        </w:rPr>
      </w:pPr>
      <w:r w:rsidRPr="005A662A">
        <w:rPr>
          <w:color w:val="000000"/>
          <w:lang w:val="en-US" w:eastAsia="it-IT"/>
        </w:rPr>
        <w:t>There are no official victim support networks or specific numbers to contact in the case of violence and mistreatment, which within lgbtqia+ partner relationships present specificities.</w:t>
      </w:r>
    </w:p>
    <w:p w14:paraId="3559C01A" w14:textId="77777777" w:rsidR="005A662A" w:rsidRPr="005A662A" w:rsidRDefault="005A662A" w:rsidP="005A662A">
      <w:pPr>
        <w:jc w:val="both"/>
        <w:rPr>
          <w:color w:val="000000"/>
          <w:lang w:val="en-US" w:eastAsia="it-IT"/>
        </w:rPr>
      </w:pPr>
      <w:r w:rsidRPr="005A662A">
        <w:rPr>
          <w:color w:val="000000"/>
          <w:lang w:val="en-US" w:eastAsia="it-IT"/>
        </w:rPr>
        <w:t>As reported in an article in The Post</w:t>
      </w:r>
      <w:r w:rsidRPr="005A662A">
        <w:rPr>
          <w:color w:val="000000"/>
          <w:vertAlign w:val="superscript"/>
          <w:lang w:val="en-US" w:eastAsia="it-IT"/>
        </w:rPr>
        <w:footnoteReference w:id="18"/>
      </w:r>
      <w:r w:rsidRPr="005A662A">
        <w:rPr>
          <w:color w:val="000000"/>
          <w:lang w:val="en-US" w:eastAsia="it-IT"/>
        </w:rPr>
        <w:t>:</w:t>
      </w:r>
    </w:p>
    <w:p w14:paraId="4F2B83B4" w14:textId="77777777" w:rsidR="005A662A" w:rsidRPr="005A662A" w:rsidRDefault="005A662A" w:rsidP="005A662A">
      <w:pPr>
        <w:jc w:val="both"/>
        <w:rPr>
          <w:color w:val="000000"/>
          <w:lang w:val="en-US" w:eastAsia="it-IT"/>
        </w:rPr>
      </w:pPr>
      <w:r w:rsidRPr="005A662A">
        <w:rPr>
          <w:color w:val="000000"/>
          <w:lang w:val="en-US" w:eastAsia="it-IT"/>
        </w:rPr>
        <w:t>"</w:t>
      </w:r>
      <w:r w:rsidRPr="005A662A">
        <w:rPr>
          <w:i/>
          <w:iCs/>
          <w:color w:val="000000"/>
          <w:lang w:val="en-US" w:eastAsia="it-IT"/>
        </w:rPr>
        <w:t>Arcilesbica Roma carried out the first small research of this kind in Italy in 2011 on a sample of 102 homosexual women in Lazio: in more than one in five cases (20.6 percent), the respondent admitted to being afraid of their partner returning home. In the case of violence, 70.6 percent of the women surveyed said they would seek help mostly from friends (29.4 percent) and associations (14.7 percent). The percentage of women who could not indicate any person to whom they would turn for help was 32.4; 27 out of 102 women responded they would not ask for help; 76.5 percent of them did not give any reason to justify this choice; 11.8 percent, on the other hand, indicated confidentiality as a reason, and 5.9 percent indicated humiliation and discomfort."</w:t>
      </w:r>
    </w:p>
    <w:p w14:paraId="53687D8F" w14:textId="77777777" w:rsidR="005A662A" w:rsidRPr="005A662A" w:rsidRDefault="005A662A" w:rsidP="005A662A">
      <w:pPr>
        <w:jc w:val="both"/>
        <w:rPr>
          <w:color w:val="000000"/>
          <w:lang w:val="en-US" w:eastAsia="it-IT"/>
        </w:rPr>
      </w:pPr>
      <w:r w:rsidRPr="005A662A">
        <w:rPr>
          <w:color w:val="000000"/>
          <w:lang w:val="en-US" w:eastAsia="it-IT"/>
        </w:rPr>
        <w:t>The context of social and internalized homophobia in which LGBTQIA+ couples live often hinders reporting due to three factors: reporting compels disclosure of one's sexual orientation; it is often accompanied by LGBTQIA+ people's lack of trust in law enforcement. Italy at present lacks specifically trained assistance, as shown in this testimony of a 35-year-old man, also reported by The Post:</w:t>
      </w:r>
    </w:p>
    <w:p w14:paraId="6AA5C9BD" w14:textId="77777777" w:rsidR="005A662A" w:rsidRPr="005A662A" w:rsidRDefault="005A662A" w:rsidP="005A662A">
      <w:pPr>
        <w:jc w:val="both"/>
        <w:rPr>
          <w:color w:val="000000"/>
          <w:lang w:val="en-US" w:eastAsia="it-IT"/>
        </w:rPr>
      </w:pPr>
      <w:r w:rsidRPr="005A662A">
        <w:rPr>
          <w:color w:val="000000"/>
          <w:lang w:val="en-US" w:eastAsia="it-IT"/>
        </w:rPr>
        <w:t>"</w:t>
      </w:r>
      <w:r w:rsidRPr="005A662A">
        <w:rPr>
          <w:i/>
          <w:iCs/>
          <w:color w:val="000000"/>
          <w:lang w:val="en-US" w:eastAsia="it-IT"/>
        </w:rPr>
        <w:t>If I went back, I would not report again. I would end the relationship. It was too humiliating. Some officers told me I should respond to my ex's beating since I was a man. I felt I was the wrong one, unable to defend myself. And the anti-violence center I approached only decided after an extraordinary meeting to accept the case I had to call dozens of times. Then we started the process, but with great embarrassment. I was the first man they saw. And what about the statements I made in the prosecutor's office, as a stream of people went back and forth, snickering at my stories? I think people and facilities are not ready for stories like mine. When the victim of domestic violence is a man, everything becomes more difficult. I would have liked to find the institutions up to the task, but instead, I just felt uncomfortable</w:t>
      </w:r>
      <w:r w:rsidRPr="005A662A">
        <w:rPr>
          <w:color w:val="000000"/>
          <w:lang w:val="en-US" w:eastAsia="it-IT"/>
        </w:rPr>
        <w:t>."</w:t>
      </w:r>
    </w:p>
    <w:p w14:paraId="75393BFC" w14:textId="77777777" w:rsidR="005A662A" w:rsidRPr="005A662A" w:rsidRDefault="005A662A" w:rsidP="005A662A">
      <w:pPr>
        <w:jc w:val="both"/>
        <w:rPr>
          <w:color w:val="000000"/>
          <w:lang w:val="en-US" w:eastAsia="it-IT"/>
        </w:rPr>
      </w:pPr>
      <w:r w:rsidRPr="005A662A">
        <w:rPr>
          <w:color w:val="000000"/>
          <w:lang w:val="en-US" w:eastAsia="it-IT"/>
        </w:rPr>
        <w:t>Due to the lack of protective measures and information, many people struggle to recognize signs of an abusive relationship.</w:t>
      </w:r>
    </w:p>
    <w:p w14:paraId="2FBF3B11" w14:textId="77777777" w:rsidR="005A662A" w:rsidRPr="005A662A" w:rsidRDefault="005A662A" w:rsidP="005A662A">
      <w:pPr>
        <w:jc w:val="both"/>
        <w:rPr>
          <w:color w:val="000000"/>
          <w:lang w:val="en-US" w:eastAsia="it-IT"/>
        </w:rPr>
      </w:pPr>
      <w:r w:rsidRPr="005A662A">
        <w:rPr>
          <w:color w:val="000000"/>
          <w:lang w:val="en-US" w:eastAsia="it-IT"/>
        </w:rPr>
        <w:t>On Sept. 2, 2021, transgender activist Majid Capovani launched the hashtag #MeTooQueer</w:t>
      </w:r>
      <w:r w:rsidRPr="005A662A">
        <w:rPr>
          <w:color w:val="000000"/>
          <w:vertAlign w:val="superscript"/>
          <w:lang w:val="en-US" w:eastAsia="it-IT"/>
        </w:rPr>
        <w:footnoteReference w:id="19"/>
      </w:r>
      <w:r w:rsidRPr="005A662A">
        <w:rPr>
          <w:color w:val="000000"/>
          <w:lang w:val="en-US" w:eastAsia="it-IT"/>
        </w:rPr>
        <w:t xml:space="preserve"> on his Instagram page recounting his own experience as a victim of an abusive relationship with another trans person to shed light on this issue while continuing to raise awareness. Her writings have prompted others to tell their own stories of abuse, such as the testimony published by Il Grande Colibrì</w:t>
      </w:r>
      <w:r w:rsidRPr="005A662A">
        <w:rPr>
          <w:color w:val="000000"/>
          <w:vertAlign w:val="superscript"/>
          <w:lang w:val="en-US" w:eastAsia="it-IT"/>
        </w:rPr>
        <w:footnoteReference w:id="20"/>
      </w:r>
      <w:r w:rsidRPr="005A662A">
        <w:rPr>
          <w:color w:val="000000"/>
          <w:lang w:val="en-US" w:eastAsia="it-IT"/>
        </w:rPr>
        <w:t>, the final passage of which I quote:</w:t>
      </w:r>
    </w:p>
    <w:p w14:paraId="5649D337" w14:textId="77777777" w:rsidR="005A662A" w:rsidRPr="005A662A" w:rsidRDefault="005A662A" w:rsidP="005A662A">
      <w:pPr>
        <w:jc w:val="both"/>
        <w:rPr>
          <w:i/>
          <w:iCs/>
          <w:color w:val="000000"/>
          <w:lang w:val="en-US" w:eastAsia="it-IT"/>
        </w:rPr>
      </w:pPr>
      <w:r w:rsidRPr="005A662A">
        <w:rPr>
          <w:color w:val="000000"/>
          <w:lang w:val="en-US" w:eastAsia="it-IT"/>
        </w:rPr>
        <w:t>"</w:t>
      </w:r>
      <w:r w:rsidRPr="005A662A">
        <w:rPr>
          <w:i/>
          <w:iCs/>
          <w:color w:val="000000"/>
          <w:lang w:val="en-US" w:eastAsia="it-IT"/>
        </w:rPr>
        <w:t>Yes, there is violence in a two-woman couple. It is marginalized, though; it is stigmatized because no man is involved. Once out of everything, I told a few people what happened to me, but I also told them when it happened a few times, maybe veiledly, but I did. And I think, why has no one ever taken me aside and said, "Let's talk about it! You don't have to be with her!"? I know we save ourselves, and it's not the first time I've done this. You only get out of these things when your brain realizes the cage isn't there. But for Christ's sake! Did no one understand the seriousness of it? And I wonder, if there had been a man on the other side, would they have moved? Would it have been different? When I went to the doctor and made up the excuse for the ballooning, it was a plea for help. Silent. Unfortunately, they could not read my mind. However, I would have loved it. Heck, I would have loved it. It happened to me, and I have to take awareness of it."</w:t>
      </w:r>
    </w:p>
    <w:p w14:paraId="6938CF3A" w14:textId="77777777" w:rsidR="005A662A" w:rsidRPr="005A662A" w:rsidRDefault="005A662A" w:rsidP="005A662A">
      <w:pPr>
        <w:jc w:val="both"/>
        <w:rPr>
          <w:color w:val="000000"/>
          <w:lang w:val="en-US" w:eastAsia="it-IT"/>
        </w:rPr>
      </w:pPr>
      <w:r w:rsidRPr="005A662A">
        <w:rPr>
          <w:color w:val="000000"/>
          <w:lang w:val="en-US" w:eastAsia="it-IT"/>
        </w:rPr>
        <w:t>The international community must bring this issue to attention, spurring states to raise awareness and implement appropriate protective instruments that consider the specificities of these cases.</w:t>
      </w:r>
    </w:p>
    <w:p w14:paraId="02C80A90" w14:textId="77777777" w:rsidR="00635D4E" w:rsidRPr="00F561A8" w:rsidRDefault="00635D4E" w:rsidP="0085124A">
      <w:pPr>
        <w:jc w:val="both"/>
        <w:rPr>
          <w:rFonts w:asciiTheme="majorHAnsi" w:hAnsiTheme="majorHAnsi" w:cstheme="majorHAnsi"/>
          <w:sz w:val="24"/>
          <w:szCs w:val="24"/>
        </w:rPr>
      </w:pPr>
    </w:p>
    <w:p w14:paraId="56B685C3" w14:textId="0C95BEE1" w:rsidR="006B52B6" w:rsidRPr="00B5537A" w:rsidRDefault="006B52B6" w:rsidP="0085124A">
      <w:pPr>
        <w:pStyle w:val="NormalWeb"/>
        <w:shd w:val="clear" w:color="auto" w:fill="FFFFFF"/>
        <w:spacing w:after="0"/>
        <w:jc w:val="both"/>
        <w:rPr>
          <w:b/>
          <w:bCs/>
          <w:color w:val="000000"/>
          <w:sz w:val="28"/>
          <w:szCs w:val="28"/>
          <w:lang w:val="en-US"/>
        </w:rPr>
      </w:pPr>
      <w:r w:rsidRPr="00B5537A">
        <w:rPr>
          <w:b/>
          <w:bCs/>
          <w:color w:val="000000"/>
          <w:lang w:val="en-US"/>
        </w:rPr>
        <w:t>Sources</w:t>
      </w:r>
    </w:p>
    <w:p w14:paraId="4D224715" w14:textId="4172B28D" w:rsidR="006B52B6" w:rsidRPr="00B5537A" w:rsidRDefault="006B52B6" w:rsidP="0085124A">
      <w:pPr>
        <w:pStyle w:val="NormalWeb"/>
        <w:shd w:val="clear" w:color="auto" w:fill="FFFFFF"/>
        <w:spacing w:after="0"/>
        <w:jc w:val="both"/>
        <w:rPr>
          <w:sz w:val="16"/>
          <w:szCs w:val="16"/>
          <w:lang w:val="en-US"/>
        </w:rPr>
      </w:pPr>
      <w:r w:rsidRPr="001A5C71">
        <w:rPr>
          <w:i/>
          <w:iCs/>
          <w:color w:val="000000"/>
          <w:sz w:val="20"/>
          <w:szCs w:val="20"/>
          <w:lang w:val="en-US"/>
        </w:rPr>
        <w:t>Psychosocial issues in transgender health and barriers to healthcare</w:t>
      </w:r>
      <w:r w:rsidRPr="00B5537A">
        <w:rPr>
          <w:color w:val="000000"/>
          <w:sz w:val="20"/>
          <w:szCs w:val="20"/>
          <w:lang w:val="en-US"/>
        </w:rPr>
        <w:t xml:space="preserve"> (Olivia Fiorilli &amp; Angela Ruocco, 2019)</w:t>
      </w:r>
      <w:r w:rsidR="00836200">
        <w:rPr>
          <w:color w:val="000000"/>
          <w:sz w:val="20"/>
          <w:szCs w:val="20"/>
          <w:lang w:val="en-US"/>
        </w:rPr>
        <w:t>.</w:t>
      </w:r>
    </w:p>
    <w:p w14:paraId="281A23E3" w14:textId="37F4B28E" w:rsidR="006B52B6" w:rsidRPr="00B5537A" w:rsidRDefault="006B52B6" w:rsidP="0085124A">
      <w:pPr>
        <w:pStyle w:val="NormalWeb"/>
        <w:shd w:val="clear" w:color="auto" w:fill="FFFFFF"/>
        <w:spacing w:after="0"/>
        <w:jc w:val="both"/>
        <w:rPr>
          <w:sz w:val="16"/>
          <w:szCs w:val="16"/>
          <w:lang w:val="en-US"/>
        </w:rPr>
      </w:pPr>
      <w:r w:rsidRPr="001A5C71">
        <w:rPr>
          <w:i/>
          <w:iCs/>
          <w:color w:val="000000"/>
          <w:sz w:val="20"/>
          <w:szCs w:val="20"/>
          <w:lang w:val="en-US"/>
        </w:rPr>
        <w:t>Gender Diverse Children and Adolescents in Italy: A Qualitative Study on Specialized Centers’ Model of Care and Network</w:t>
      </w:r>
      <w:r w:rsidRPr="00B5537A">
        <w:rPr>
          <w:color w:val="000000"/>
          <w:sz w:val="20"/>
          <w:szCs w:val="20"/>
          <w:lang w:val="en-US"/>
        </w:rPr>
        <w:t xml:space="preserve"> (G. Giovanardi et al. 2020)</w:t>
      </w:r>
      <w:r w:rsidR="00836200">
        <w:rPr>
          <w:color w:val="000000"/>
          <w:sz w:val="20"/>
          <w:szCs w:val="20"/>
          <w:lang w:val="en-US"/>
        </w:rPr>
        <w:t>.</w:t>
      </w:r>
    </w:p>
    <w:p w14:paraId="0DDF8379" w14:textId="7C4681F6" w:rsidR="006B52B6" w:rsidRDefault="006B52B6" w:rsidP="0085124A">
      <w:pPr>
        <w:pStyle w:val="NormalWeb"/>
        <w:shd w:val="clear" w:color="auto" w:fill="FFFFFF"/>
        <w:spacing w:after="240"/>
        <w:jc w:val="both"/>
        <w:rPr>
          <w:color w:val="000000"/>
          <w:sz w:val="20"/>
          <w:szCs w:val="20"/>
          <w:lang w:val="en-US"/>
        </w:rPr>
      </w:pPr>
      <w:r w:rsidRPr="001A5C71">
        <w:rPr>
          <w:i/>
          <w:iCs/>
          <w:color w:val="000000"/>
          <w:sz w:val="20"/>
          <w:szCs w:val="20"/>
          <w:lang w:val="en-US"/>
        </w:rPr>
        <w:t>Under Construction: Becoming Trans in Italy</w:t>
      </w:r>
      <w:r w:rsidRPr="00B5537A">
        <w:rPr>
          <w:color w:val="000000"/>
          <w:sz w:val="20"/>
          <w:szCs w:val="20"/>
          <w:lang w:val="en-US"/>
        </w:rPr>
        <w:t xml:space="preserve"> (Eleonora Garosi, 2009)</w:t>
      </w:r>
      <w:r w:rsidR="00836200">
        <w:rPr>
          <w:color w:val="000000"/>
          <w:sz w:val="20"/>
          <w:szCs w:val="20"/>
          <w:lang w:val="en-US"/>
        </w:rPr>
        <w:t>.</w:t>
      </w:r>
    </w:p>
    <w:p w14:paraId="120F0375" w14:textId="3CC5687E" w:rsidR="00836200" w:rsidRPr="00B5537A" w:rsidRDefault="00836200" w:rsidP="0085124A">
      <w:pPr>
        <w:pStyle w:val="NormalWeb"/>
        <w:shd w:val="clear" w:color="auto" w:fill="FFFFFF"/>
        <w:spacing w:after="240"/>
        <w:jc w:val="both"/>
        <w:rPr>
          <w:sz w:val="16"/>
          <w:szCs w:val="16"/>
          <w:lang w:val="en-US"/>
        </w:rPr>
      </w:pPr>
      <w:r w:rsidRPr="001A5C71">
        <w:rPr>
          <w:i/>
          <w:iCs/>
          <w:color w:val="000000"/>
          <w:sz w:val="20"/>
          <w:szCs w:val="20"/>
          <w:lang w:val="en-US"/>
        </w:rPr>
        <w:t>Infancia Trans*: Etnografia de una crianza situada</w:t>
      </w:r>
      <w:r>
        <w:rPr>
          <w:color w:val="000000"/>
          <w:sz w:val="20"/>
          <w:szCs w:val="20"/>
          <w:lang w:val="en-US"/>
        </w:rPr>
        <w:t xml:space="preserve"> (Mariotto, 2022).</w:t>
      </w:r>
    </w:p>
    <w:p w14:paraId="655B5442" w14:textId="02F8E0CA" w:rsidR="00836200" w:rsidRDefault="006B52B6" w:rsidP="0085124A">
      <w:pPr>
        <w:pStyle w:val="NormalWeb"/>
        <w:shd w:val="clear" w:color="auto" w:fill="FFFFFF"/>
        <w:spacing w:after="238" w:line="261" w:lineRule="atLeast"/>
        <w:jc w:val="both"/>
        <w:rPr>
          <w:color w:val="000000"/>
          <w:sz w:val="20"/>
          <w:szCs w:val="20"/>
          <w:lang w:val="en-US"/>
        </w:rPr>
      </w:pPr>
      <w:r w:rsidRPr="006B52B6">
        <w:rPr>
          <w:color w:val="000000"/>
          <w:sz w:val="20"/>
          <w:szCs w:val="20"/>
          <w:lang w:val="en-US"/>
        </w:rPr>
        <w:t>Trans Pregnancy</w:t>
      </w:r>
      <w:r w:rsidRPr="00B5537A">
        <w:rPr>
          <w:color w:val="000000"/>
          <w:sz w:val="20"/>
          <w:szCs w:val="20"/>
          <w:lang w:val="en-US"/>
        </w:rPr>
        <w:t xml:space="preserve">. </w:t>
      </w:r>
      <w:r w:rsidRPr="006B52B6">
        <w:rPr>
          <w:color w:val="000000"/>
          <w:sz w:val="20"/>
          <w:szCs w:val="20"/>
          <w:lang w:val="en-US"/>
        </w:rPr>
        <w:t>An International Exploration of Transmasculine Practices of Reproduction</w:t>
      </w:r>
      <w:r w:rsidRPr="00B5537A">
        <w:rPr>
          <w:color w:val="000000"/>
          <w:sz w:val="20"/>
          <w:szCs w:val="20"/>
          <w:lang w:val="en-US"/>
        </w:rPr>
        <w:t xml:space="preserve"> (Elisabetta Ruspini, 2018)</w:t>
      </w:r>
    </w:p>
    <w:p w14:paraId="6B703002" w14:textId="77777777" w:rsidR="00635D4E" w:rsidRPr="00635D4E" w:rsidRDefault="001D05EF" w:rsidP="0085124A">
      <w:pPr>
        <w:jc w:val="both"/>
        <w:rPr>
          <w:rStyle w:val="Hyperlink"/>
        </w:rPr>
      </w:pPr>
      <w:hyperlink r:id="rId10" w:history="1">
        <w:r w:rsidR="00635D4E" w:rsidRPr="00635D4E">
          <w:rPr>
            <w:rStyle w:val="Hyperlink"/>
          </w:rPr>
          <w:t>https://www.iss.it/web/guest/comunicati-stampa/-/asset_publisher/fjTKmjJgSgdK/content/id/7190609</w:t>
        </w:r>
      </w:hyperlink>
    </w:p>
    <w:p w14:paraId="49EEC000" w14:textId="2A26F916" w:rsidR="00635D4E" w:rsidRDefault="001D05EF" w:rsidP="0085124A">
      <w:pPr>
        <w:jc w:val="both"/>
        <w:rPr>
          <w:rStyle w:val="Hyperlink"/>
        </w:rPr>
      </w:pPr>
      <w:hyperlink r:id="rId11" w:history="1">
        <w:r w:rsidR="00635D4E" w:rsidRPr="00635D4E">
          <w:rPr>
            <w:rStyle w:val="Hyperlink"/>
          </w:rPr>
          <w:t>https://altreconomia.it/il-diritto-alla-salute-per-le-persone-transgender-non-e-ancora-garantito/</w:t>
        </w:r>
      </w:hyperlink>
    </w:p>
    <w:p w14:paraId="7C9BCF7C" w14:textId="77777777" w:rsidR="00635D4E" w:rsidRPr="00635D4E" w:rsidRDefault="001D05EF" w:rsidP="0085124A">
      <w:pPr>
        <w:jc w:val="both"/>
        <w:rPr>
          <w:rStyle w:val="Hyperlink"/>
        </w:rPr>
      </w:pPr>
      <w:hyperlink r:id="rId12" w:history="1">
        <w:r w:rsidR="00635D4E" w:rsidRPr="00635D4E">
          <w:rPr>
            <w:rStyle w:val="Hyperlink"/>
          </w:rPr>
          <w:t>https://www.infotrans.it/it-schede-3-mappa_servizi_transgender</w:t>
        </w:r>
      </w:hyperlink>
    </w:p>
    <w:p w14:paraId="0073B0E0" w14:textId="77777777" w:rsidR="00635D4E" w:rsidRPr="00635D4E" w:rsidRDefault="001D05EF" w:rsidP="0085124A">
      <w:pPr>
        <w:jc w:val="both"/>
        <w:rPr>
          <w:rStyle w:val="Hyperlink"/>
        </w:rPr>
      </w:pPr>
      <w:hyperlink r:id="rId13" w:history="1">
        <w:r w:rsidR="00635D4E" w:rsidRPr="00635D4E">
          <w:rPr>
            <w:rStyle w:val="Hyperlink"/>
          </w:rPr>
          <w:t>https://www.infotrans.it/it-schede-43-preservazione_fertilita_transgender</w:t>
        </w:r>
      </w:hyperlink>
    </w:p>
    <w:p w14:paraId="71553958" w14:textId="77777777" w:rsidR="00635D4E" w:rsidRPr="00635D4E" w:rsidRDefault="001D05EF" w:rsidP="0085124A">
      <w:pPr>
        <w:jc w:val="both"/>
        <w:rPr>
          <w:rStyle w:val="Hyperlink"/>
        </w:rPr>
      </w:pPr>
      <w:hyperlink r:id="rId14" w:history="1">
        <w:r w:rsidR="00635D4E" w:rsidRPr="00635D4E">
          <w:rPr>
            <w:rStyle w:val="Hyperlink"/>
          </w:rPr>
          <w:t>https://pubmed.ncbi.nlm.nih.gov/33727693/</w:t>
        </w:r>
      </w:hyperlink>
    </w:p>
    <w:p w14:paraId="6D85D91B" w14:textId="77777777" w:rsidR="00635D4E" w:rsidRPr="00635D4E" w:rsidRDefault="001D05EF" w:rsidP="0085124A">
      <w:pPr>
        <w:jc w:val="both"/>
        <w:rPr>
          <w:rStyle w:val="Hyperlink"/>
        </w:rPr>
      </w:pPr>
      <w:hyperlink r:id="rId15" w:history="1">
        <w:r w:rsidR="00635D4E" w:rsidRPr="00635D4E">
          <w:rPr>
            <w:rStyle w:val="Hyperlink"/>
          </w:rPr>
          <w:t>https://www.mdpi.com/2227-9067/9/7/1027/htm</w:t>
        </w:r>
      </w:hyperlink>
      <w:r w:rsidR="00635D4E" w:rsidRPr="00635D4E">
        <w:rPr>
          <w:rStyle w:val="Hyperlink"/>
        </w:rPr>
        <w:t xml:space="preserve"> </w:t>
      </w:r>
    </w:p>
    <w:p w14:paraId="42E6DB04" w14:textId="77777777" w:rsidR="00635D4E" w:rsidRPr="00635D4E" w:rsidRDefault="001D05EF" w:rsidP="0085124A">
      <w:pPr>
        <w:jc w:val="both"/>
        <w:rPr>
          <w:rStyle w:val="Hyperlink"/>
        </w:rPr>
      </w:pPr>
      <w:hyperlink r:id="rId16" w:history="1">
        <w:r w:rsidR="00635D4E" w:rsidRPr="00635D4E">
          <w:rPr>
            <w:rStyle w:val="Hyperlink"/>
          </w:rPr>
          <w:t>https://ebmh.bmj.com/content/23/4/e1</w:t>
        </w:r>
      </w:hyperlink>
      <w:r w:rsidR="00635D4E" w:rsidRPr="00635D4E">
        <w:rPr>
          <w:rStyle w:val="Hyperlink"/>
        </w:rPr>
        <w:t xml:space="preserve"> </w:t>
      </w:r>
    </w:p>
    <w:p w14:paraId="2D6D0C2F" w14:textId="77777777" w:rsidR="00635D4E" w:rsidRPr="00635D4E" w:rsidRDefault="001D05EF" w:rsidP="0085124A">
      <w:pPr>
        <w:jc w:val="both"/>
        <w:rPr>
          <w:rStyle w:val="Hyperlink"/>
        </w:rPr>
      </w:pPr>
      <w:hyperlink r:id="rId17" w:history="1">
        <w:r w:rsidR="00635D4E" w:rsidRPr="00635D4E">
          <w:rPr>
            <w:rStyle w:val="Hyperlink"/>
          </w:rPr>
          <w:t>https://www.intersezionale.com/2020/10/27/persone-trans-e-aborto-un-diritto-negato-2/</w:t>
        </w:r>
      </w:hyperlink>
    </w:p>
    <w:p w14:paraId="4B7937D9" w14:textId="77777777" w:rsidR="00635D4E" w:rsidRPr="00635D4E" w:rsidRDefault="001D05EF" w:rsidP="0085124A">
      <w:pPr>
        <w:jc w:val="both"/>
        <w:rPr>
          <w:rStyle w:val="Hyperlink"/>
        </w:rPr>
      </w:pPr>
      <w:hyperlink r:id="rId18" w:history="1">
        <w:r w:rsidR="00635D4E" w:rsidRPr="00635D4E">
          <w:rPr>
            <w:rStyle w:val="Hyperlink"/>
          </w:rPr>
          <w:t>https://thevision.com/scienza/mutilazioni-intersex/</w:t>
        </w:r>
      </w:hyperlink>
    </w:p>
    <w:p w14:paraId="04605255" w14:textId="77777777" w:rsidR="00635D4E" w:rsidRPr="00635D4E" w:rsidRDefault="001D05EF" w:rsidP="0085124A">
      <w:pPr>
        <w:jc w:val="both"/>
        <w:rPr>
          <w:rStyle w:val="Hyperlink"/>
        </w:rPr>
      </w:pPr>
      <w:hyperlink r:id="rId19" w:history="1">
        <w:r w:rsidR="00635D4E" w:rsidRPr="00635D4E">
          <w:rPr>
            <w:rStyle w:val="Hyperlink"/>
          </w:rPr>
          <w:t>https://www.psicologiamonterotondo.it/2019/11/06/violenza-nella-coppia-e-dinamiche-di-potere-nelle-relazioni-lgbtqi/</w:t>
        </w:r>
      </w:hyperlink>
    </w:p>
    <w:p w14:paraId="7E4339D4" w14:textId="77777777" w:rsidR="00635D4E" w:rsidRPr="00635D4E" w:rsidRDefault="001D05EF" w:rsidP="0085124A">
      <w:pPr>
        <w:jc w:val="both"/>
        <w:rPr>
          <w:rStyle w:val="Hyperlink"/>
        </w:rPr>
      </w:pPr>
      <w:hyperlink r:id="rId20" w:history="1">
        <w:r w:rsidR="00635D4E" w:rsidRPr="00635D4E">
          <w:rPr>
            <w:rStyle w:val="Hyperlink"/>
          </w:rPr>
          <w:t>https://www.ilpost.it/2016/04/20/violenza-domestica-coppie-gay/</w:t>
        </w:r>
      </w:hyperlink>
    </w:p>
    <w:p w14:paraId="740E67A2" w14:textId="77777777" w:rsidR="00635D4E" w:rsidRPr="00635D4E" w:rsidRDefault="001D05EF" w:rsidP="0085124A">
      <w:pPr>
        <w:jc w:val="both"/>
        <w:rPr>
          <w:rStyle w:val="Hyperlink"/>
        </w:rPr>
      </w:pPr>
      <w:hyperlink r:id="rId21" w:history="1">
        <w:r w:rsidR="00635D4E" w:rsidRPr="00635D4E">
          <w:rPr>
            <w:rStyle w:val="Hyperlink"/>
          </w:rPr>
          <w:t>https://www.gazzettaufficiale.it/eli/id/2020/09/30/20A05245/SG</w:t>
        </w:r>
      </w:hyperlink>
    </w:p>
    <w:p w14:paraId="67AAA829" w14:textId="77777777" w:rsidR="00635D4E" w:rsidRPr="00635D4E" w:rsidRDefault="001D05EF" w:rsidP="0085124A">
      <w:pPr>
        <w:jc w:val="both"/>
        <w:rPr>
          <w:rStyle w:val="Hyperlink"/>
        </w:rPr>
      </w:pPr>
      <w:hyperlink r:id="rId22" w:history="1">
        <w:r w:rsidR="00635D4E" w:rsidRPr="00635D4E">
          <w:rPr>
            <w:rStyle w:val="Hyperlink"/>
          </w:rPr>
          <w:t>https://www.miur.gov.it/documents/20182/0/Linee+guida+Comma16+finale.pdf/</w:t>
        </w:r>
      </w:hyperlink>
    </w:p>
    <w:p w14:paraId="190225E8" w14:textId="77777777" w:rsidR="00635D4E" w:rsidRPr="00635D4E" w:rsidRDefault="001D05EF" w:rsidP="0085124A">
      <w:pPr>
        <w:jc w:val="both"/>
        <w:rPr>
          <w:rStyle w:val="Hyperlink"/>
        </w:rPr>
      </w:pPr>
      <w:hyperlink r:id="rId23" w:history="1">
        <w:r w:rsidR="00635D4E" w:rsidRPr="00635D4E">
          <w:rPr>
            <w:rStyle w:val="Hyperlink"/>
          </w:rPr>
          <w:t>https://www.ansa.it/canale_legalita_scuola/notizie/scuole/2022/05/31/scuola-educazione-sessuale-ai-bambini-genitori-contrari_b9481312-7c54-4ee9-a5f7-491138d61cd6.html</w:t>
        </w:r>
      </w:hyperlink>
    </w:p>
    <w:p w14:paraId="0274F62C" w14:textId="77777777" w:rsidR="00635D4E" w:rsidRPr="00635D4E" w:rsidRDefault="001D05EF" w:rsidP="0085124A">
      <w:pPr>
        <w:jc w:val="both"/>
        <w:rPr>
          <w:rStyle w:val="Hyperlink"/>
        </w:rPr>
      </w:pPr>
      <w:hyperlink r:id="rId24" w:history="1">
        <w:r w:rsidR="00635D4E" w:rsidRPr="00635D4E">
          <w:rPr>
            <w:rStyle w:val="Hyperlink"/>
          </w:rPr>
          <w:t>https://www.infodata.ilsole24ore.com/2022/06/16/come-sta-andando-la-194-i-risultati-dellindagine-mai-dati/?refresh_ce=1</w:t>
        </w:r>
      </w:hyperlink>
    </w:p>
    <w:p w14:paraId="5C14B4FF" w14:textId="77777777" w:rsidR="00635D4E" w:rsidRPr="00635D4E" w:rsidRDefault="001D05EF" w:rsidP="0085124A">
      <w:pPr>
        <w:jc w:val="both"/>
        <w:rPr>
          <w:rStyle w:val="Hyperlink"/>
        </w:rPr>
      </w:pPr>
      <w:hyperlink r:id="rId25" w:history="1">
        <w:r w:rsidR="00635D4E" w:rsidRPr="00635D4E">
          <w:rPr>
            <w:rStyle w:val="Hyperlink"/>
          </w:rPr>
          <w:t>https://www.intersexioni.it/il-crc-sollecita-litalia-a-proteggere-le-persone-intersex/</w:t>
        </w:r>
      </w:hyperlink>
    </w:p>
    <w:p w14:paraId="217091A1" w14:textId="77777777" w:rsidR="00635D4E" w:rsidRPr="00635D4E" w:rsidRDefault="001D05EF" w:rsidP="0085124A">
      <w:pPr>
        <w:jc w:val="both"/>
        <w:rPr>
          <w:rStyle w:val="Hyperlink"/>
        </w:rPr>
      </w:pPr>
      <w:hyperlink r:id="rId26" w:history="1">
        <w:r w:rsidR="00635D4E" w:rsidRPr="00635D4E">
          <w:rPr>
            <w:rStyle w:val="Hyperlink"/>
          </w:rPr>
          <w:t>https://www.intersexesiste.com/cose-l-intersex/</w:t>
        </w:r>
      </w:hyperlink>
    </w:p>
    <w:p w14:paraId="768F82AF" w14:textId="77777777" w:rsidR="00635D4E" w:rsidRPr="00635D4E" w:rsidRDefault="001D05EF" w:rsidP="0085124A">
      <w:pPr>
        <w:jc w:val="both"/>
        <w:rPr>
          <w:rStyle w:val="Hyperlink"/>
        </w:rPr>
      </w:pPr>
      <w:hyperlink r:id="rId27" w:history="1">
        <w:r w:rsidR="00635D4E" w:rsidRPr="00635D4E">
          <w:rPr>
            <w:rStyle w:val="Hyperlink"/>
          </w:rPr>
          <w:t>https://www.lasicilia.it/news/home/35715/diventa-un-caso-parlamentare-la-bambina-di-due-anni-che-ha-cambiato-sesso-a-palermo.html</w:t>
        </w:r>
      </w:hyperlink>
    </w:p>
    <w:p w14:paraId="342E863A" w14:textId="69F3AA0D" w:rsidR="00635D4E" w:rsidRDefault="00635D4E" w:rsidP="0085124A">
      <w:pPr>
        <w:jc w:val="both"/>
      </w:pPr>
    </w:p>
    <w:p w14:paraId="43CFB3BA" w14:textId="5A1AECF9" w:rsidR="00635D4E" w:rsidRDefault="00635D4E" w:rsidP="0085124A">
      <w:pPr>
        <w:jc w:val="both"/>
        <w:rPr>
          <w:b/>
          <w:bCs/>
          <w:sz w:val="24"/>
          <w:szCs w:val="24"/>
          <w:lang w:val="it-IT"/>
        </w:rPr>
      </w:pPr>
      <w:r w:rsidRPr="005A662A">
        <w:rPr>
          <w:b/>
          <w:bCs/>
          <w:sz w:val="24"/>
          <w:szCs w:val="24"/>
          <w:lang w:val="it-IT"/>
        </w:rPr>
        <w:t>Autors</w:t>
      </w:r>
    </w:p>
    <w:p w14:paraId="5601EB3E" w14:textId="77777777" w:rsidR="001A5C71" w:rsidRPr="005A662A" w:rsidRDefault="001A5C71" w:rsidP="0085124A">
      <w:pPr>
        <w:jc w:val="both"/>
        <w:rPr>
          <w:b/>
          <w:bCs/>
          <w:sz w:val="24"/>
          <w:szCs w:val="24"/>
          <w:lang w:val="it-IT"/>
        </w:rPr>
      </w:pPr>
    </w:p>
    <w:p w14:paraId="18ED4B9A" w14:textId="08FBA484" w:rsidR="00635D4E" w:rsidRPr="001A5C71" w:rsidRDefault="001A5C71" w:rsidP="0085124A">
      <w:pPr>
        <w:jc w:val="both"/>
        <w:rPr>
          <w:lang w:val="it-IT"/>
        </w:rPr>
      </w:pPr>
      <w:r>
        <w:rPr>
          <w:lang w:val="it-IT"/>
        </w:rPr>
        <w:t>GenderLens Aps</w:t>
      </w:r>
    </w:p>
    <w:p w14:paraId="597CE2CD" w14:textId="78D3B106" w:rsidR="00635D4E" w:rsidRPr="005A662A" w:rsidRDefault="00635D4E" w:rsidP="0085124A">
      <w:pPr>
        <w:jc w:val="both"/>
        <w:rPr>
          <w:lang w:val="it-IT"/>
        </w:rPr>
      </w:pPr>
      <w:r w:rsidRPr="005A662A">
        <w:rPr>
          <w:lang w:val="it-IT"/>
        </w:rPr>
        <w:t xml:space="preserve">Capovani, </w:t>
      </w:r>
      <w:r w:rsidR="005A662A" w:rsidRPr="005A662A">
        <w:rPr>
          <w:lang w:val="it-IT"/>
        </w:rPr>
        <w:t>Majid</w:t>
      </w:r>
    </w:p>
    <w:p w14:paraId="019D0D80" w14:textId="6CB49B70" w:rsidR="005A662A" w:rsidRPr="005A662A" w:rsidRDefault="005A662A" w:rsidP="0085124A">
      <w:pPr>
        <w:jc w:val="both"/>
        <w:rPr>
          <w:lang w:val="it-IT"/>
        </w:rPr>
      </w:pPr>
      <w:r w:rsidRPr="005A662A">
        <w:rPr>
          <w:lang w:val="it-IT"/>
        </w:rPr>
        <w:t>Querio Gianetto, Kyle</w:t>
      </w:r>
    </w:p>
    <w:p w14:paraId="4CDF93AF" w14:textId="77777777" w:rsidR="005A662A" w:rsidRPr="005A662A" w:rsidRDefault="005A662A" w:rsidP="0085124A">
      <w:pPr>
        <w:jc w:val="both"/>
        <w:rPr>
          <w:lang w:val="it-IT"/>
        </w:rPr>
      </w:pPr>
    </w:p>
    <w:p w14:paraId="752C794F" w14:textId="77777777" w:rsidR="00635D4E" w:rsidRPr="006B52B6" w:rsidRDefault="00635D4E" w:rsidP="0085124A">
      <w:pPr>
        <w:pStyle w:val="NormalWeb"/>
        <w:shd w:val="clear" w:color="auto" w:fill="FFFFFF"/>
        <w:spacing w:after="238" w:line="261" w:lineRule="atLeast"/>
        <w:jc w:val="both"/>
        <w:rPr>
          <w:sz w:val="16"/>
          <w:szCs w:val="16"/>
        </w:rPr>
      </w:pPr>
    </w:p>
    <w:p w14:paraId="6F3D810D" w14:textId="77777777" w:rsidR="006B52B6" w:rsidRPr="005A662A" w:rsidRDefault="006B52B6" w:rsidP="0085124A">
      <w:pPr>
        <w:pStyle w:val="SingleTxtG"/>
        <w:spacing w:before="240" w:after="0"/>
        <w:rPr>
          <w:lang w:val="it-IT"/>
        </w:rPr>
      </w:pPr>
    </w:p>
    <w:p w14:paraId="10B32D1A" w14:textId="5299BEE7" w:rsidR="00A64FB8" w:rsidRPr="005A662A" w:rsidRDefault="00A64FB8" w:rsidP="0085124A">
      <w:pPr>
        <w:pStyle w:val="SingleTxtG"/>
        <w:spacing w:before="240" w:after="0"/>
        <w:rPr>
          <w:u w:val="single"/>
          <w:lang w:val="it-IT"/>
        </w:rPr>
      </w:pPr>
      <w:r w:rsidRPr="005A662A">
        <w:rPr>
          <w:u w:val="single"/>
          <w:lang w:val="it-IT"/>
        </w:rPr>
        <w:tab/>
      </w:r>
      <w:r w:rsidRPr="005A662A">
        <w:rPr>
          <w:u w:val="single"/>
          <w:lang w:val="it-IT"/>
        </w:rPr>
        <w:tab/>
      </w:r>
      <w:r w:rsidRPr="005A662A">
        <w:rPr>
          <w:u w:val="single"/>
          <w:lang w:val="it-IT"/>
        </w:rPr>
        <w:tab/>
      </w:r>
    </w:p>
    <w:sectPr w:rsidR="00A64FB8" w:rsidRPr="005A662A" w:rsidSect="006908F0">
      <w:headerReference w:type="even" r:id="rId28"/>
      <w:headerReference w:type="default" r:id="rId29"/>
      <w:footerReference w:type="even" r:id="rId30"/>
      <w:footerReference w:type="default" r:id="rId31"/>
      <w:endnotePr>
        <w:numFmt w:val="decimal"/>
      </w:endnotePr>
      <w:pgSz w:w="11907" w:h="16840" w:code="9"/>
      <w:pgMar w:top="1418" w:right="1134" w:bottom="1134" w:left="1134" w:header="851"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E4C7D7E" w14:textId="77777777" w:rsidR="00FE3AFB" w:rsidRDefault="00FE3AFB"/>
  </w:endnote>
  <w:endnote w:type="continuationSeparator" w:id="0">
    <w:p w14:paraId="5076D033" w14:textId="77777777" w:rsidR="00FE3AFB" w:rsidRDefault="00FE3AFB"/>
  </w:endnote>
  <w:endnote w:type="continuationNotice" w:id="1">
    <w:p w14:paraId="10762532" w14:textId="77777777" w:rsidR="00FE3AFB" w:rsidRDefault="00FE3AF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03C9D0A" w14:textId="17829DA5" w:rsidR="001D4EF8" w:rsidRPr="001D4EF8" w:rsidRDefault="001D4EF8" w:rsidP="001D4EF8">
    <w:pPr>
      <w:pStyle w:val="Footer"/>
      <w:tabs>
        <w:tab w:val="right" w:pos="9638"/>
      </w:tabs>
      <w:rPr>
        <w:sz w:val="18"/>
      </w:rPr>
    </w:pPr>
    <w:r w:rsidRPr="001D4EF8">
      <w:rPr>
        <w:b/>
        <w:sz w:val="18"/>
      </w:rPr>
      <w:fldChar w:fldCharType="begin"/>
    </w:r>
    <w:r w:rsidRPr="001D4EF8">
      <w:rPr>
        <w:b/>
        <w:sz w:val="18"/>
      </w:rPr>
      <w:instrText xml:space="preserve"> PAGE  \* MERGEFORMAT </w:instrText>
    </w:r>
    <w:r w:rsidRPr="001D4EF8">
      <w:rPr>
        <w:b/>
        <w:sz w:val="18"/>
      </w:rPr>
      <w:fldChar w:fldCharType="separate"/>
    </w:r>
    <w:r w:rsidR="001D05EF">
      <w:rPr>
        <w:b/>
        <w:noProof/>
        <w:sz w:val="18"/>
      </w:rPr>
      <w:t>10</w:t>
    </w:r>
    <w:r w:rsidRPr="001D4EF8">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64D521" w14:textId="14F7126E" w:rsidR="001D4EF8" w:rsidRPr="001D4EF8" w:rsidRDefault="001D4EF8" w:rsidP="001D4EF8">
    <w:pPr>
      <w:pStyle w:val="Footer"/>
      <w:tabs>
        <w:tab w:val="right" w:pos="9638"/>
      </w:tabs>
      <w:rPr>
        <w:b/>
        <w:sz w:val="18"/>
      </w:rPr>
    </w:pPr>
    <w:r>
      <w:tab/>
    </w:r>
    <w:r w:rsidRPr="001D4EF8">
      <w:rPr>
        <w:b/>
        <w:sz w:val="18"/>
      </w:rPr>
      <w:fldChar w:fldCharType="begin"/>
    </w:r>
    <w:r w:rsidRPr="001D4EF8">
      <w:rPr>
        <w:b/>
        <w:sz w:val="18"/>
      </w:rPr>
      <w:instrText xml:space="preserve"> PAGE  \* MERGEFORMAT </w:instrText>
    </w:r>
    <w:r w:rsidRPr="001D4EF8">
      <w:rPr>
        <w:b/>
        <w:sz w:val="18"/>
      </w:rPr>
      <w:fldChar w:fldCharType="separate"/>
    </w:r>
    <w:r w:rsidR="001D05EF">
      <w:rPr>
        <w:b/>
        <w:noProof/>
        <w:sz w:val="18"/>
      </w:rPr>
      <w:t>9</w:t>
    </w:r>
    <w:r w:rsidRPr="001D4EF8">
      <w:rPr>
        <w:b/>
        <w:sz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AE53FDA" w14:textId="77777777" w:rsidR="00FE3AFB" w:rsidRPr="000B175B" w:rsidRDefault="00FE3AFB" w:rsidP="000B175B">
      <w:pPr>
        <w:tabs>
          <w:tab w:val="right" w:pos="2155"/>
        </w:tabs>
        <w:spacing w:after="80"/>
        <w:ind w:left="680"/>
        <w:rPr>
          <w:u w:val="single"/>
        </w:rPr>
      </w:pPr>
      <w:r>
        <w:rPr>
          <w:u w:val="single"/>
        </w:rPr>
        <w:tab/>
      </w:r>
    </w:p>
  </w:footnote>
  <w:footnote w:type="continuationSeparator" w:id="0">
    <w:p w14:paraId="6ED644F9" w14:textId="77777777" w:rsidR="00FE3AFB" w:rsidRPr="00FC68B7" w:rsidRDefault="00FE3AFB" w:rsidP="00FC68B7">
      <w:pPr>
        <w:tabs>
          <w:tab w:val="left" w:pos="2155"/>
        </w:tabs>
        <w:spacing w:after="80"/>
        <w:ind w:left="680"/>
        <w:rPr>
          <w:u w:val="single"/>
        </w:rPr>
      </w:pPr>
      <w:r>
        <w:rPr>
          <w:u w:val="single"/>
        </w:rPr>
        <w:tab/>
      </w:r>
    </w:p>
  </w:footnote>
  <w:footnote w:type="continuationNotice" w:id="1">
    <w:p w14:paraId="66551DCC" w14:textId="77777777" w:rsidR="00FE3AFB" w:rsidRDefault="00FE3AFB"/>
  </w:footnote>
  <w:footnote w:id="2">
    <w:p w14:paraId="511A29FB" w14:textId="77777777" w:rsidR="0085124A" w:rsidRPr="007D15C2" w:rsidRDefault="0085124A" w:rsidP="0085124A">
      <w:pPr>
        <w:pStyle w:val="FootnoteText"/>
        <w:rPr>
          <w:lang w:val="en-US"/>
        </w:rPr>
      </w:pPr>
      <w:r>
        <w:rPr>
          <w:rStyle w:val="FootnoteReference"/>
        </w:rPr>
        <w:footnoteRef/>
      </w:r>
      <w:r>
        <w:t xml:space="preserve"> </w:t>
      </w:r>
      <w:r w:rsidRPr="00173D55">
        <w:rPr>
          <w:sz w:val="20"/>
          <w:lang w:val="en-US"/>
        </w:rPr>
        <w:t>https://www.mdpi.com/2227-9067/9/7/1027/htm</w:t>
      </w:r>
    </w:p>
  </w:footnote>
  <w:footnote w:id="3">
    <w:p w14:paraId="73C965FC" w14:textId="77777777" w:rsidR="0085124A" w:rsidRPr="00A10D56" w:rsidRDefault="0085124A" w:rsidP="0085124A">
      <w:pPr>
        <w:pStyle w:val="FootnoteText"/>
        <w:rPr>
          <w:lang w:val="en-US"/>
        </w:rPr>
      </w:pPr>
      <w:r>
        <w:rPr>
          <w:rStyle w:val="FootnoteReference"/>
        </w:rPr>
        <w:footnoteRef/>
      </w:r>
      <w:r w:rsidRPr="00A10D56">
        <w:rPr>
          <w:lang w:val="en-US"/>
        </w:rPr>
        <w:t xml:space="preserve"> https://www.iss.it/web/guest/comunicati-stampa/-/asset_publisher/fjTKmjJgSgdK/content/id/7190609</w:t>
      </w:r>
    </w:p>
  </w:footnote>
  <w:footnote w:id="4">
    <w:p w14:paraId="105A72A8" w14:textId="77777777" w:rsidR="0085124A" w:rsidRPr="0085124A" w:rsidRDefault="0085124A" w:rsidP="0085124A">
      <w:pPr>
        <w:pStyle w:val="FootnoteText"/>
        <w:rPr>
          <w:lang w:val="en-US"/>
        </w:rPr>
      </w:pPr>
      <w:r>
        <w:rPr>
          <w:rStyle w:val="FootnoteReference"/>
        </w:rPr>
        <w:footnoteRef/>
      </w:r>
      <w:r w:rsidRPr="0085124A">
        <w:rPr>
          <w:lang w:val="en-US"/>
        </w:rPr>
        <w:t xml:space="preserve"> </w:t>
      </w:r>
      <w:r w:rsidRPr="0085124A">
        <w:rPr>
          <w:sz w:val="20"/>
          <w:lang w:val="en-US"/>
        </w:rPr>
        <w:t>https://www.gazzettaufficiale.it/eli/id/2020/09/30/20A05245/SG</w:t>
      </w:r>
    </w:p>
  </w:footnote>
  <w:footnote w:id="5">
    <w:p w14:paraId="78ED3F1D" w14:textId="77777777" w:rsidR="0085124A" w:rsidRPr="0085124A" w:rsidRDefault="0085124A" w:rsidP="0085124A">
      <w:pPr>
        <w:pStyle w:val="FootnoteText"/>
        <w:rPr>
          <w:lang w:val="en-US"/>
        </w:rPr>
      </w:pPr>
      <w:r>
        <w:rPr>
          <w:rStyle w:val="FootnoteReference"/>
        </w:rPr>
        <w:footnoteRef/>
      </w:r>
      <w:r w:rsidRPr="0085124A">
        <w:rPr>
          <w:lang w:val="en-US"/>
        </w:rPr>
        <w:t xml:space="preserve"> </w:t>
      </w:r>
      <w:r w:rsidRPr="0085124A">
        <w:rPr>
          <w:sz w:val="20"/>
          <w:lang w:val="en-US"/>
        </w:rPr>
        <w:t>https://altreconomia.it/il-diritto-alla-salute-per-le-persone-transgender-non-e-ancora-garantito/</w:t>
      </w:r>
    </w:p>
  </w:footnote>
  <w:footnote w:id="6">
    <w:p w14:paraId="409B428E" w14:textId="77777777" w:rsidR="0085124A" w:rsidRPr="0085124A" w:rsidRDefault="0085124A" w:rsidP="0085124A">
      <w:pPr>
        <w:pStyle w:val="FootnoteText"/>
        <w:rPr>
          <w:lang w:val="en-US"/>
        </w:rPr>
      </w:pPr>
      <w:r>
        <w:rPr>
          <w:rStyle w:val="FootnoteReference"/>
        </w:rPr>
        <w:footnoteRef/>
      </w:r>
      <w:r w:rsidRPr="0085124A">
        <w:rPr>
          <w:lang w:val="en-US"/>
        </w:rPr>
        <w:t xml:space="preserve"> https://www.infotrans.it/it-schede-3-mappa_servizi_transgender</w:t>
      </w:r>
    </w:p>
  </w:footnote>
  <w:footnote w:id="7">
    <w:p w14:paraId="1F5527B7" w14:textId="77777777" w:rsidR="0085124A" w:rsidRPr="0085124A" w:rsidRDefault="0085124A" w:rsidP="0085124A">
      <w:pPr>
        <w:pStyle w:val="FootnoteText"/>
        <w:rPr>
          <w:lang w:val="en-US"/>
        </w:rPr>
      </w:pPr>
      <w:r>
        <w:rPr>
          <w:rStyle w:val="FootnoteReference"/>
        </w:rPr>
        <w:footnoteRef/>
      </w:r>
      <w:r w:rsidRPr="0085124A">
        <w:rPr>
          <w:lang w:val="en-US"/>
        </w:rPr>
        <w:t xml:space="preserve"> </w:t>
      </w:r>
      <w:r w:rsidRPr="0085124A">
        <w:rPr>
          <w:sz w:val="20"/>
          <w:lang w:val="en-US"/>
        </w:rPr>
        <w:t>https://ebmh.bmj.com/content/23/4/e1</w:t>
      </w:r>
    </w:p>
  </w:footnote>
  <w:footnote w:id="8">
    <w:p w14:paraId="3EF1484E" w14:textId="77777777" w:rsidR="006D500C" w:rsidRPr="006D500C" w:rsidRDefault="006D500C" w:rsidP="006D500C">
      <w:pPr>
        <w:pStyle w:val="FootnoteText"/>
        <w:rPr>
          <w:lang w:val="en-US"/>
        </w:rPr>
      </w:pPr>
      <w:r>
        <w:rPr>
          <w:rStyle w:val="FootnoteReference"/>
        </w:rPr>
        <w:footnoteRef/>
      </w:r>
      <w:r w:rsidRPr="006D500C">
        <w:rPr>
          <w:lang w:val="en-US"/>
        </w:rPr>
        <w:t xml:space="preserve"> https://www.miur.gov.it/documents/20182/0/Linee+guida+Comma16+finale.pdf/</w:t>
      </w:r>
    </w:p>
  </w:footnote>
  <w:footnote w:id="9">
    <w:p w14:paraId="496FB7DF" w14:textId="77777777" w:rsidR="006D500C" w:rsidRPr="006D500C" w:rsidRDefault="006D500C" w:rsidP="006D500C">
      <w:pPr>
        <w:pStyle w:val="FootnoteText"/>
        <w:rPr>
          <w:lang w:val="en-US"/>
        </w:rPr>
      </w:pPr>
      <w:r>
        <w:rPr>
          <w:rStyle w:val="FootnoteReference"/>
        </w:rPr>
        <w:footnoteRef/>
      </w:r>
      <w:r w:rsidRPr="006D500C">
        <w:rPr>
          <w:lang w:val="en-US"/>
        </w:rPr>
        <w:t xml:space="preserve"> </w:t>
      </w:r>
      <w:r w:rsidRPr="006D500C">
        <w:rPr>
          <w:sz w:val="20"/>
          <w:lang w:val="en-US"/>
        </w:rPr>
        <w:t>https://www.ansa.it/canale_legalita_scuola/notizie/scuole/2022/05/31/scuola-educazione-sessuale-ai-bambini-genitori-contrari_b9481312-7c54-4ee9-a5f7-491138d61cd6.html</w:t>
      </w:r>
    </w:p>
  </w:footnote>
  <w:footnote w:id="10">
    <w:p w14:paraId="5DEDB030" w14:textId="77777777" w:rsidR="006D500C" w:rsidRPr="006D500C" w:rsidRDefault="006D500C" w:rsidP="006D500C">
      <w:pPr>
        <w:pStyle w:val="FootnoteText"/>
        <w:rPr>
          <w:lang w:val="en-US"/>
        </w:rPr>
      </w:pPr>
      <w:r>
        <w:rPr>
          <w:rStyle w:val="FootnoteReference"/>
        </w:rPr>
        <w:footnoteRef/>
      </w:r>
      <w:r w:rsidRPr="006D500C">
        <w:rPr>
          <w:lang w:val="en-US"/>
        </w:rPr>
        <w:t xml:space="preserve"> </w:t>
      </w:r>
      <w:r w:rsidRPr="006D500C">
        <w:rPr>
          <w:sz w:val="20"/>
          <w:lang w:val="en-US"/>
        </w:rPr>
        <w:t>https://pubmed.ncbi.nlm.nih.gov/33727693/</w:t>
      </w:r>
    </w:p>
  </w:footnote>
  <w:footnote w:id="11">
    <w:p w14:paraId="028D1AE6" w14:textId="77777777" w:rsidR="006D500C" w:rsidRPr="006D500C" w:rsidRDefault="006D500C" w:rsidP="006D500C">
      <w:pPr>
        <w:pStyle w:val="FootnoteText"/>
        <w:rPr>
          <w:lang w:val="en-US"/>
        </w:rPr>
      </w:pPr>
      <w:r>
        <w:rPr>
          <w:rStyle w:val="FootnoteReference"/>
        </w:rPr>
        <w:footnoteRef/>
      </w:r>
      <w:r w:rsidRPr="006D500C">
        <w:rPr>
          <w:lang w:val="en-US"/>
        </w:rPr>
        <w:t xml:space="preserve"> https://www.infotrans.it/it-schede-43-preservazione_fertilita_transgender</w:t>
      </w:r>
    </w:p>
  </w:footnote>
  <w:footnote w:id="12">
    <w:p w14:paraId="7A4DADE3" w14:textId="77777777" w:rsidR="006D500C" w:rsidRPr="006D500C" w:rsidRDefault="006D500C" w:rsidP="006D500C">
      <w:pPr>
        <w:pStyle w:val="FootnoteText"/>
        <w:rPr>
          <w:lang w:val="en-US"/>
        </w:rPr>
      </w:pPr>
      <w:r>
        <w:rPr>
          <w:rStyle w:val="FootnoteReference"/>
        </w:rPr>
        <w:footnoteRef/>
      </w:r>
      <w:r w:rsidRPr="006D500C">
        <w:rPr>
          <w:lang w:val="en-US"/>
        </w:rPr>
        <w:t xml:space="preserve"> https://www.infodata.ilsole24ore.com/2022/06/16/come-sta-andando-la-194-i-risultati-dellindagine-mai-dati/?refresh_ce=1</w:t>
      </w:r>
    </w:p>
  </w:footnote>
  <w:footnote w:id="13">
    <w:p w14:paraId="1114D07C" w14:textId="77777777" w:rsidR="006D500C" w:rsidRPr="006D500C" w:rsidRDefault="006D500C" w:rsidP="006D500C">
      <w:pPr>
        <w:pStyle w:val="FootnoteText"/>
        <w:spacing w:line="240" w:lineRule="auto"/>
        <w:rPr>
          <w:sz w:val="20"/>
          <w:lang w:val="en-US"/>
        </w:rPr>
      </w:pPr>
      <w:r>
        <w:rPr>
          <w:rStyle w:val="FootnoteReference"/>
        </w:rPr>
        <w:footnoteRef/>
      </w:r>
      <w:r w:rsidRPr="006D500C">
        <w:rPr>
          <w:lang w:val="en-US"/>
        </w:rPr>
        <w:t xml:space="preserve"> </w:t>
      </w:r>
      <w:r w:rsidRPr="006D500C">
        <w:rPr>
          <w:sz w:val="20"/>
          <w:lang w:val="en-US"/>
        </w:rPr>
        <w:t>https://www.intersezionale.com/2020/10/27/persone-trans-e-aborto-un-diritto-negato-2/</w:t>
      </w:r>
    </w:p>
    <w:p w14:paraId="668EE88E" w14:textId="77777777" w:rsidR="006D500C" w:rsidRPr="006D500C" w:rsidRDefault="006D500C" w:rsidP="006D500C">
      <w:pPr>
        <w:pStyle w:val="FootnoteText"/>
        <w:rPr>
          <w:lang w:val="en-US"/>
        </w:rPr>
      </w:pPr>
    </w:p>
  </w:footnote>
  <w:footnote w:id="14">
    <w:p w14:paraId="426885B7" w14:textId="77777777" w:rsidR="006D500C" w:rsidRPr="006D500C" w:rsidRDefault="006D500C" w:rsidP="006D500C">
      <w:pPr>
        <w:pStyle w:val="FootnoteText"/>
        <w:rPr>
          <w:lang w:val="en-US"/>
        </w:rPr>
      </w:pPr>
      <w:r>
        <w:rPr>
          <w:rStyle w:val="FootnoteReference"/>
        </w:rPr>
        <w:footnoteRef/>
      </w:r>
      <w:r w:rsidRPr="006D500C">
        <w:rPr>
          <w:lang w:val="en-US"/>
        </w:rPr>
        <w:t xml:space="preserve"> </w:t>
      </w:r>
      <w:r w:rsidRPr="006D500C">
        <w:rPr>
          <w:sz w:val="20"/>
          <w:lang w:val="en-US"/>
        </w:rPr>
        <w:t>https://www.intersexesiste.com/cose-l-intersex/</w:t>
      </w:r>
    </w:p>
  </w:footnote>
  <w:footnote w:id="15">
    <w:p w14:paraId="3EDE9645" w14:textId="77777777" w:rsidR="006D500C" w:rsidRPr="006D500C" w:rsidRDefault="006D500C" w:rsidP="006D500C">
      <w:pPr>
        <w:pStyle w:val="FootnoteText"/>
        <w:rPr>
          <w:lang w:val="en-US"/>
        </w:rPr>
      </w:pPr>
      <w:r>
        <w:rPr>
          <w:rStyle w:val="FootnoteReference"/>
        </w:rPr>
        <w:footnoteRef/>
      </w:r>
      <w:r w:rsidRPr="006D500C">
        <w:rPr>
          <w:lang w:val="en-US"/>
        </w:rPr>
        <w:t xml:space="preserve"> https://www.lasicilia.it/news/home/35715/diventa-un-caso-parlamentare-la-bambina-di-due-anni-che-ha-cambiato-sesso-a-palermo.html</w:t>
      </w:r>
    </w:p>
  </w:footnote>
  <w:footnote w:id="16">
    <w:p w14:paraId="7C37B845" w14:textId="77777777" w:rsidR="006D500C" w:rsidRPr="006D500C" w:rsidRDefault="006D500C" w:rsidP="006D500C">
      <w:pPr>
        <w:pStyle w:val="FootnoteText"/>
        <w:rPr>
          <w:lang w:val="en-US"/>
        </w:rPr>
      </w:pPr>
      <w:r>
        <w:rPr>
          <w:rStyle w:val="FootnoteReference"/>
        </w:rPr>
        <w:footnoteRef/>
      </w:r>
      <w:r w:rsidRPr="006D500C">
        <w:rPr>
          <w:lang w:val="en-US"/>
        </w:rPr>
        <w:t xml:space="preserve"> https://thevision.com/scienza/mutilazioni-intersex/</w:t>
      </w:r>
    </w:p>
  </w:footnote>
  <w:footnote w:id="17">
    <w:p w14:paraId="00A51BCB" w14:textId="77777777" w:rsidR="006D500C" w:rsidRPr="006D500C" w:rsidRDefault="006D500C" w:rsidP="006D500C">
      <w:pPr>
        <w:pStyle w:val="FootnoteText"/>
        <w:rPr>
          <w:lang w:val="en-US"/>
        </w:rPr>
      </w:pPr>
      <w:r>
        <w:rPr>
          <w:rStyle w:val="FootnoteReference"/>
        </w:rPr>
        <w:footnoteRef/>
      </w:r>
      <w:r w:rsidRPr="006D500C">
        <w:rPr>
          <w:lang w:val="en-US"/>
        </w:rPr>
        <w:t xml:space="preserve"> https://www.intersexioni.it/il-crc-sollecita-litalia-a-proteggere-le-persone-intersex/</w:t>
      </w:r>
    </w:p>
  </w:footnote>
  <w:footnote w:id="18">
    <w:p w14:paraId="4372D3A3" w14:textId="77777777" w:rsidR="005A662A" w:rsidRPr="005A662A" w:rsidRDefault="005A662A" w:rsidP="005A662A">
      <w:pPr>
        <w:pStyle w:val="FootnoteText"/>
        <w:rPr>
          <w:lang w:val="en-US"/>
        </w:rPr>
      </w:pPr>
      <w:r>
        <w:rPr>
          <w:rStyle w:val="FootnoteReference"/>
        </w:rPr>
        <w:footnoteRef/>
      </w:r>
      <w:r w:rsidRPr="005A662A">
        <w:rPr>
          <w:lang w:val="en-US"/>
        </w:rPr>
        <w:t xml:space="preserve"> </w:t>
      </w:r>
      <w:r w:rsidRPr="005A662A">
        <w:rPr>
          <w:sz w:val="20"/>
          <w:lang w:val="en-US"/>
        </w:rPr>
        <w:t>https://www.ilpost.it/2016/04/20/violenza-domestica-coppie-gay/</w:t>
      </w:r>
    </w:p>
  </w:footnote>
  <w:footnote w:id="19">
    <w:p w14:paraId="272DFFD0" w14:textId="77777777" w:rsidR="005A662A" w:rsidRPr="005A662A" w:rsidRDefault="005A662A" w:rsidP="005A662A">
      <w:pPr>
        <w:pStyle w:val="FootnoteText"/>
        <w:rPr>
          <w:lang w:val="en-US"/>
        </w:rPr>
      </w:pPr>
      <w:r>
        <w:rPr>
          <w:rStyle w:val="FootnoteReference"/>
        </w:rPr>
        <w:footnoteRef/>
      </w:r>
      <w:r w:rsidRPr="005A662A">
        <w:rPr>
          <w:lang w:val="en-US"/>
        </w:rPr>
        <w:t xml:space="preserve"> </w:t>
      </w:r>
      <w:r w:rsidRPr="005A662A">
        <w:rPr>
          <w:sz w:val="20"/>
          <w:lang w:val="en-US"/>
        </w:rPr>
        <w:t>https://www.instagram.com/p/CM7M-OYqboX/</w:t>
      </w:r>
    </w:p>
  </w:footnote>
  <w:footnote w:id="20">
    <w:p w14:paraId="2ABBA21C" w14:textId="77777777" w:rsidR="005A662A" w:rsidRPr="005A662A" w:rsidRDefault="005A662A" w:rsidP="005A662A">
      <w:pPr>
        <w:pStyle w:val="FootnoteText"/>
        <w:spacing w:line="240" w:lineRule="auto"/>
        <w:rPr>
          <w:sz w:val="20"/>
          <w:lang w:val="en-US"/>
        </w:rPr>
      </w:pPr>
      <w:r>
        <w:rPr>
          <w:rStyle w:val="FootnoteReference"/>
        </w:rPr>
        <w:footnoteRef/>
      </w:r>
      <w:r w:rsidRPr="005A662A">
        <w:rPr>
          <w:lang w:val="en-US"/>
        </w:rPr>
        <w:t xml:space="preserve"> </w:t>
      </w:r>
      <w:r w:rsidRPr="005A662A">
        <w:rPr>
          <w:sz w:val="20"/>
          <w:lang w:val="en-US"/>
        </w:rPr>
        <w:t>https://iosonominoranza.it/violenza-coppia-lesbica/</w:t>
      </w:r>
    </w:p>
    <w:p w14:paraId="7B46D3F3" w14:textId="77777777" w:rsidR="005A662A" w:rsidRPr="005A662A" w:rsidRDefault="005A662A" w:rsidP="005A662A">
      <w:pPr>
        <w:pStyle w:val="FootnoteText"/>
        <w:rPr>
          <w:lang w:val="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05D84B" w14:textId="77777777" w:rsidR="001D4EF8" w:rsidRPr="001D4EF8" w:rsidRDefault="00A379EA">
    <w:pPr>
      <w:pStyle w:val="Header"/>
    </w:pPr>
    <w:fldSimple w:instr=" TITLE  \* MERGEFORMAT ">
      <w:r w:rsidR="00000521">
        <w:t>xxxx/x/xx/xx</w:t>
      </w:r>
    </w:fldSimple>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12F5A7" w14:textId="77777777" w:rsidR="001D4EF8" w:rsidRPr="001D4EF8" w:rsidRDefault="00A379EA" w:rsidP="001D4EF8">
    <w:pPr>
      <w:pStyle w:val="Header"/>
      <w:jc w:val="right"/>
    </w:pPr>
    <w:fldSimple w:instr=" TITLE  \* MERGEFORMAT ">
      <w:r w:rsidR="00000521">
        <w:t>xxxx/x/xx/xx</w:t>
      </w:r>
    </w:fldSimple>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ABE4821"/>
    <w:multiLevelType w:val="multilevel"/>
    <w:tmpl w:val="94BC7F2A"/>
    <w:numStyleLink w:val="Stile1"/>
  </w:abstractNum>
  <w:abstractNum w:abstractNumId="2" w15:restartNumberingAfterBreak="0">
    <w:nsid w:val="0BBF4CE0"/>
    <w:multiLevelType w:val="hybridMultilevel"/>
    <w:tmpl w:val="501253BC"/>
    <w:lvl w:ilvl="0" w:tplc="C3F06F40">
      <w:start w:val="1"/>
      <w:numFmt w:val="upperRoman"/>
      <w:lvlText w:val="%1."/>
      <w:lvlJc w:val="left"/>
      <w:pPr>
        <w:ind w:left="1395" w:hanging="720"/>
      </w:pPr>
      <w:rPr>
        <w:rFonts w:hint="default"/>
        <w:color w:val="auto"/>
      </w:rPr>
    </w:lvl>
    <w:lvl w:ilvl="1" w:tplc="04100019" w:tentative="1">
      <w:start w:val="1"/>
      <w:numFmt w:val="lowerLetter"/>
      <w:lvlText w:val="%2."/>
      <w:lvlJc w:val="left"/>
      <w:pPr>
        <w:ind w:left="1755" w:hanging="360"/>
      </w:pPr>
    </w:lvl>
    <w:lvl w:ilvl="2" w:tplc="0410001B" w:tentative="1">
      <w:start w:val="1"/>
      <w:numFmt w:val="lowerRoman"/>
      <w:lvlText w:val="%3."/>
      <w:lvlJc w:val="right"/>
      <w:pPr>
        <w:ind w:left="2475" w:hanging="180"/>
      </w:pPr>
    </w:lvl>
    <w:lvl w:ilvl="3" w:tplc="0410000F" w:tentative="1">
      <w:start w:val="1"/>
      <w:numFmt w:val="decimal"/>
      <w:lvlText w:val="%4."/>
      <w:lvlJc w:val="left"/>
      <w:pPr>
        <w:ind w:left="3195" w:hanging="360"/>
      </w:pPr>
    </w:lvl>
    <w:lvl w:ilvl="4" w:tplc="04100019" w:tentative="1">
      <w:start w:val="1"/>
      <w:numFmt w:val="lowerLetter"/>
      <w:lvlText w:val="%5."/>
      <w:lvlJc w:val="left"/>
      <w:pPr>
        <w:ind w:left="3915" w:hanging="360"/>
      </w:pPr>
    </w:lvl>
    <w:lvl w:ilvl="5" w:tplc="0410001B" w:tentative="1">
      <w:start w:val="1"/>
      <w:numFmt w:val="lowerRoman"/>
      <w:lvlText w:val="%6."/>
      <w:lvlJc w:val="right"/>
      <w:pPr>
        <w:ind w:left="4635" w:hanging="180"/>
      </w:pPr>
    </w:lvl>
    <w:lvl w:ilvl="6" w:tplc="0410000F" w:tentative="1">
      <w:start w:val="1"/>
      <w:numFmt w:val="decimal"/>
      <w:lvlText w:val="%7."/>
      <w:lvlJc w:val="left"/>
      <w:pPr>
        <w:ind w:left="5355" w:hanging="360"/>
      </w:pPr>
    </w:lvl>
    <w:lvl w:ilvl="7" w:tplc="04100019" w:tentative="1">
      <w:start w:val="1"/>
      <w:numFmt w:val="lowerLetter"/>
      <w:lvlText w:val="%8."/>
      <w:lvlJc w:val="left"/>
      <w:pPr>
        <w:ind w:left="6075" w:hanging="360"/>
      </w:pPr>
    </w:lvl>
    <w:lvl w:ilvl="8" w:tplc="0410001B" w:tentative="1">
      <w:start w:val="1"/>
      <w:numFmt w:val="lowerRoman"/>
      <w:lvlText w:val="%9."/>
      <w:lvlJc w:val="right"/>
      <w:pPr>
        <w:ind w:left="6795" w:hanging="180"/>
      </w:pPr>
    </w:lvl>
  </w:abstractNum>
  <w:abstractNum w:abstractNumId="3" w15:restartNumberingAfterBreak="0">
    <w:nsid w:val="0C287FB3"/>
    <w:multiLevelType w:val="hybridMultilevel"/>
    <w:tmpl w:val="6F2C5EA4"/>
    <w:lvl w:ilvl="0" w:tplc="7946EEE6">
      <w:start w:val="1"/>
      <w:numFmt w:val="bullet"/>
      <w:lvlText w:val=""/>
      <w:lvlJc w:val="left"/>
      <w:pPr>
        <w:ind w:left="720" w:hanging="360"/>
      </w:pPr>
      <w:rPr>
        <w:rFonts w:ascii="Symbol" w:hAnsi="Symbol" w:hint="default"/>
        <w:b w:val="0"/>
        <w:i w:val="0"/>
        <w:sz w:val="20"/>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5" w15:restartNumberingAfterBreak="0">
    <w:nsid w:val="11843908"/>
    <w:multiLevelType w:val="hybridMultilevel"/>
    <w:tmpl w:val="5E208428"/>
    <w:lvl w:ilvl="0" w:tplc="F6863B10">
      <w:start w:val="1"/>
      <w:numFmt w:val="upperLetter"/>
      <w:lvlText w:val="%1."/>
      <w:lvlJc w:val="left"/>
      <w:pPr>
        <w:ind w:left="1140" w:hanging="570"/>
      </w:pPr>
      <w:rPr>
        <w:rFonts w:hint="default"/>
        <w:b w:val="0"/>
        <w:color w:val="auto"/>
      </w:rPr>
    </w:lvl>
    <w:lvl w:ilvl="1" w:tplc="04100019" w:tentative="1">
      <w:start w:val="1"/>
      <w:numFmt w:val="lowerLetter"/>
      <w:lvlText w:val="%2."/>
      <w:lvlJc w:val="left"/>
      <w:pPr>
        <w:ind w:left="1650" w:hanging="360"/>
      </w:pPr>
    </w:lvl>
    <w:lvl w:ilvl="2" w:tplc="0410001B" w:tentative="1">
      <w:start w:val="1"/>
      <w:numFmt w:val="lowerRoman"/>
      <w:lvlText w:val="%3."/>
      <w:lvlJc w:val="right"/>
      <w:pPr>
        <w:ind w:left="2370" w:hanging="180"/>
      </w:pPr>
    </w:lvl>
    <w:lvl w:ilvl="3" w:tplc="0410000F" w:tentative="1">
      <w:start w:val="1"/>
      <w:numFmt w:val="decimal"/>
      <w:lvlText w:val="%4."/>
      <w:lvlJc w:val="left"/>
      <w:pPr>
        <w:ind w:left="3090" w:hanging="360"/>
      </w:pPr>
    </w:lvl>
    <w:lvl w:ilvl="4" w:tplc="04100019" w:tentative="1">
      <w:start w:val="1"/>
      <w:numFmt w:val="lowerLetter"/>
      <w:lvlText w:val="%5."/>
      <w:lvlJc w:val="left"/>
      <w:pPr>
        <w:ind w:left="3810" w:hanging="360"/>
      </w:pPr>
    </w:lvl>
    <w:lvl w:ilvl="5" w:tplc="0410001B" w:tentative="1">
      <w:start w:val="1"/>
      <w:numFmt w:val="lowerRoman"/>
      <w:lvlText w:val="%6."/>
      <w:lvlJc w:val="right"/>
      <w:pPr>
        <w:ind w:left="4530" w:hanging="180"/>
      </w:pPr>
    </w:lvl>
    <w:lvl w:ilvl="6" w:tplc="0410000F" w:tentative="1">
      <w:start w:val="1"/>
      <w:numFmt w:val="decimal"/>
      <w:lvlText w:val="%7."/>
      <w:lvlJc w:val="left"/>
      <w:pPr>
        <w:ind w:left="5250" w:hanging="360"/>
      </w:pPr>
    </w:lvl>
    <w:lvl w:ilvl="7" w:tplc="04100019" w:tentative="1">
      <w:start w:val="1"/>
      <w:numFmt w:val="lowerLetter"/>
      <w:lvlText w:val="%8."/>
      <w:lvlJc w:val="left"/>
      <w:pPr>
        <w:ind w:left="5970" w:hanging="360"/>
      </w:pPr>
    </w:lvl>
    <w:lvl w:ilvl="8" w:tplc="0410001B" w:tentative="1">
      <w:start w:val="1"/>
      <w:numFmt w:val="lowerRoman"/>
      <w:lvlText w:val="%9."/>
      <w:lvlJc w:val="right"/>
      <w:pPr>
        <w:ind w:left="6690" w:hanging="180"/>
      </w:pPr>
    </w:lvl>
  </w:abstractNum>
  <w:abstractNum w:abstractNumId="6" w15:restartNumberingAfterBreak="0">
    <w:nsid w:val="34C827A4"/>
    <w:multiLevelType w:val="multilevel"/>
    <w:tmpl w:val="94BC7F2A"/>
    <w:lvl w:ilvl="0">
      <w:start w:val="1"/>
      <w:numFmt w:val="bullet"/>
      <w:lvlText w:val=""/>
      <w:lvlJc w:val="left"/>
      <w:pPr>
        <w:ind w:left="720" w:hanging="360"/>
      </w:pPr>
      <w:rPr>
        <w:rFonts w:ascii="Symbol" w:hAnsi="Symbol" w:hint="default"/>
        <w:b w:val="0"/>
        <w:i w:val="0"/>
        <w:sz w:val="20"/>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3D2032C4"/>
    <w:multiLevelType w:val="hybridMultilevel"/>
    <w:tmpl w:val="94BC7F2A"/>
    <w:lvl w:ilvl="0" w:tplc="7946EEE6">
      <w:start w:val="1"/>
      <w:numFmt w:val="bullet"/>
      <w:lvlText w:val=""/>
      <w:lvlJc w:val="left"/>
      <w:pPr>
        <w:ind w:left="720" w:hanging="360"/>
      </w:pPr>
      <w:rPr>
        <w:rFonts w:ascii="Symbol" w:hAnsi="Symbol" w:hint="default"/>
        <w:b w:val="0"/>
        <w:i w:val="0"/>
        <w:sz w:val="20"/>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44467D86"/>
    <w:multiLevelType w:val="hybridMultilevel"/>
    <w:tmpl w:val="B3E4AF78"/>
    <w:lvl w:ilvl="0" w:tplc="7946EEE6">
      <w:start w:val="1"/>
      <w:numFmt w:val="bullet"/>
      <w:lvlText w:val=""/>
      <w:lvlJc w:val="left"/>
      <w:pPr>
        <w:ind w:left="720" w:hanging="360"/>
      </w:pPr>
      <w:rPr>
        <w:rFonts w:ascii="Symbol" w:hAnsi="Symbol" w:hint="default"/>
        <w:b w:val="0"/>
        <w:i w:val="0"/>
        <w:sz w:val="20"/>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485939C5"/>
    <w:multiLevelType w:val="multilevel"/>
    <w:tmpl w:val="94BC7F2A"/>
    <w:styleLink w:val="Stile1"/>
    <w:lvl w:ilvl="0">
      <w:start w:val="1"/>
      <w:numFmt w:val="bullet"/>
      <w:lvlText w:val=""/>
      <w:lvlJc w:val="left"/>
      <w:pPr>
        <w:ind w:left="720" w:hanging="360"/>
      </w:pPr>
      <w:rPr>
        <w:rFonts w:ascii="Symbol" w:hAnsi="Symbol" w:hint="default"/>
        <w:b w:val="0"/>
        <w:i w:val="0"/>
        <w:sz w:val="16"/>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0" w15:restartNumberingAfterBreak="0">
    <w:nsid w:val="5CE3449E"/>
    <w:multiLevelType w:val="multilevel"/>
    <w:tmpl w:val="6E68F1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703746DD"/>
    <w:multiLevelType w:val="multilevel"/>
    <w:tmpl w:val="9F76E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A403ECC"/>
    <w:multiLevelType w:val="hybridMultilevel"/>
    <w:tmpl w:val="A41424F6"/>
    <w:lvl w:ilvl="0" w:tplc="040A0015">
      <w:start w:val="1"/>
      <w:numFmt w:val="upp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7B511655"/>
    <w:multiLevelType w:val="hybridMultilevel"/>
    <w:tmpl w:val="C01CA46C"/>
    <w:lvl w:ilvl="0" w:tplc="7376E1FA">
      <w:start w:val="1"/>
      <w:numFmt w:val="decimal"/>
      <w:lvlText w:val="%1."/>
      <w:lvlJc w:val="left"/>
      <w:pPr>
        <w:ind w:left="1760" w:hanging="360"/>
      </w:pPr>
      <w:rPr>
        <w:rFonts w:hint="default"/>
        <w:color w:val="000000"/>
      </w:rPr>
    </w:lvl>
    <w:lvl w:ilvl="1" w:tplc="04100019" w:tentative="1">
      <w:start w:val="1"/>
      <w:numFmt w:val="lowerLetter"/>
      <w:lvlText w:val="%2."/>
      <w:lvlJc w:val="left"/>
      <w:pPr>
        <w:ind w:left="2480" w:hanging="360"/>
      </w:pPr>
    </w:lvl>
    <w:lvl w:ilvl="2" w:tplc="0410001B" w:tentative="1">
      <w:start w:val="1"/>
      <w:numFmt w:val="lowerRoman"/>
      <w:lvlText w:val="%3."/>
      <w:lvlJc w:val="right"/>
      <w:pPr>
        <w:ind w:left="3200" w:hanging="180"/>
      </w:pPr>
    </w:lvl>
    <w:lvl w:ilvl="3" w:tplc="0410000F" w:tentative="1">
      <w:start w:val="1"/>
      <w:numFmt w:val="decimal"/>
      <w:lvlText w:val="%4."/>
      <w:lvlJc w:val="left"/>
      <w:pPr>
        <w:ind w:left="3920" w:hanging="360"/>
      </w:pPr>
    </w:lvl>
    <w:lvl w:ilvl="4" w:tplc="04100019" w:tentative="1">
      <w:start w:val="1"/>
      <w:numFmt w:val="lowerLetter"/>
      <w:lvlText w:val="%5."/>
      <w:lvlJc w:val="left"/>
      <w:pPr>
        <w:ind w:left="4640" w:hanging="360"/>
      </w:pPr>
    </w:lvl>
    <w:lvl w:ilvl="5" w:tplc="0410001B" w:tentative="1">
      <w:start w:val="1"/>
      <w:numFmt w:val="lowerRoman"/>
      <w:lvlText w:val="%6."/>
      <w:lvlJc w:val="right"/>
      <w:pPr>
        <w:ind w:left="5360" w:hanging="180"/>
      </w:pPr>
    </w:lvl>
    <w:lvl w:ilvl="6" w:tplc="0410000F" w:tentative="1">
      <w:start w:val="1"/>
      <w:numFmt w:val="decimal"/>
      <w:lvlText w:val="%7."/>
      <w:lvlJc w:val="left"/>
      <w:pPr>
        <w:ind w:left="6080" w:hanging="360"/>
      </w:pPr>
    </w:lvl>
    <w:lvl w:ilvl="7" w:tplc="04100019" w:tentative="1">
      <w:start w:val="1"/>
      <w:numFmt w:val="lowerLetter"/>
      <w:lvlText w:val="%8."/>
      <w:lvlJc w:val="left"/>
      <w:pPr>
        <w:ind w:left="6800" w:hanging="360"/>
      </w:pPr>
    </w:lvl>
    <w:lvl w:ilvl="8" w:tplc="0410001B" w:tentative="1">
      <w:start w:val="1"/>
      <w:numFmt w:val="lowerRoman"/>
      <w:lvlText w:val="%9."/>
      <w:lvlJc w:val="right"/>
      <w:pPr>
        <w:ind w:left="7520" w:hanging="180"/>
      </w:pPr>
    </w:lvl>
  </w:abstractNum>
  <w:num w:numId="1">
    <w:abstractNumId w:val="0"/>
  </w:num>
  <w:num w:numId="2">
    <w:abstractNumId w:val="11"/>
  </w:num>
  <w:num w:numId="3">
    <w:abstractNumId w:val="4"/>
  </w:num>
  <w:num w:numId="4">
    <w:abstractNumId w:val="5"/>
  </w:num>
  <w:num w:numId="5">
    <w:abstractNumId w:val="12"/>
  </w:num>
  <w:num w:numId="6">
    <w:abstractNumId w:val="10"/>
  </w:num>
  <w:num w:numId="7">
    <w:abstractNumId w:val="2"/>
  </w:num>
  <w:num w:numId="8">
    <w:abstractNumId w:val="3"/>
  </w:num>
  <w:num w:numId="9">
    <w:abstractNumId w:val="13"/>
  </w:num>
  <w:num w:numId="10">
    <w:abstractNumId w:val="14"/>
  </w:num>
  <w:num w:numId="11">
    <w:abstractNumId w:val="8"/>
  </w:num>
  <w:num w:numId="12">
    <w:abstractNumId w:val="7"/>
  </w:num>
  <w:num w:numId="13">
    <w:abstractNumId w:val="6"/>
  </w:num>
  <w:num w:numId="14">
    <w:abstractNumId w:val="9"/>
  </w:num>
  <w:num w:numId="15">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doNotDisplayPageBoundaries/>
  <w:activeWritingStyle w:appName="MSWord" w:lang="en-GB" w:vendorID="64" w:dllVersion="5" w:nlCheck="1" w:checkStyle="1"/>
  <w:activeWritingStyle w:appName="MSWord" w:lang="en-GB" w:vendorID="64" w:dllVersion="6" w:nlCheck="1" w:checkStyle="1"/>
  <w:activeWritingStyle w:appName="MSWord" w:lang="fr-FR" w:vendorID="64" w:dllVersion="6" w:nlCheck="1" w:checkStyle="0"/>
  <w:activeWritingStyle w:appName="MSWord" w:lang="en-GB" w:vendorID="64" w:dllVersion="4096" w:nlCheck="1" w:checkStyle="0"/>
  <w:activeWritingStyle w:appName="MSWord" w:lang="it-IT" w:vendorID="64" w:dllVersion="4096" w:nlCheck="1" w:checkStyle="0"/>
  <w:activeWritingStyle w:appName="MSWord" w:lang="en-US" w:vendorID="64" w:dllVersion="4096" w:nlCheck="1" w:checkStyle="0"/>
  <w:activeWritingStyle w:appName="MSWord" w:lang="fr-FR" w:vendorID="64" w:dllVersion="4096" w:nlCheck="1" w:checkStyle="0"/>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activeWritingStyle w:appName="MSWord" w:lang="it-IT" w:vendorID="64" w:dllVersion="0" w:nlCheck="1" w:checkStyle="0"/>
  <w:activeWritingStyle w:appName="MSWord" w:lang="en-US" w:vendorID="64" w:dllVersion="131078" w:nlCheck="1"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D4EF8"/>
    <w:rsid w:val="00000521"/>
    <w:rsid w:val="00003A80"/>
    <w:rsid w:val="00050F6B"/>
    <w:rsid w:val="0006283C"/>
    <w:rsid w:val="00072C8C"/>
    <w:rsid w:val="000766DD"/>
    <w:rsid w:val="000931C0"/>
    <w:rsid w:val="000B175B"/>
    <w:rsid w:val="000B3A0F"/>
    <w:rsid w:val="000B675E"/>
    <w:rsid w:val="000E0415"/>
    <w:rsid w:val="00160899"/>
    <w:rsid w:val="001A1BD4"/>
    <w:rsid w:val="001A5C71"/>
    <w:rsid w:val="001B4B04"/>
    <w:rsid w:val="001C6663"/>
    <w:rsid w:val="001C7895"/>
    <w:rsid w:val="001D05EF"/>
    <w:rsid w:val="001D1FB6"/>
    <w:rsid w:val="001D26DF"/>
    <w:rsid w:val="001D4EF8"/>
    <w:rsid w:val="001F1320"/>
    <w:rsid w:val="001F3AED"/>
    <w:rsid w:val="002058BC"/>
    <w:rsid w:val="00211E0B"/>
    <w:rsid w:val="00257434"/>
    <w:rsid w:val="002D4629"/>
    <w:rsid w:val="003107FA"/>
    <w:rsid w:val="003229D8"/>
    <w:rsid w:val="003312A5"/>
    <w:rsid w:val="00334E64"/>
    <w:rsid w:val="0033745A"/>
    <w:rsid w:val="00337477"/>
    <w:rsid w:val="0034331A"/>
    <w:rsid w:val="003502B4"/>
    <w:rsid w:val="0035707F"/>
    <w:rsid w:val="0039277A"/>
    <w:rsid w:val="0039481A"/>
    <w:rsid w:val="003972E0"/>
    <w:rsid w:val="003A6806"/>
    <w:rsid w:val="003C2CC4"/>
    <w:rsid w:val="003D4B23"/>
    <w:rsid w:val="003E30A6"/>
    <w:rsid w:val="004325CB"/>
    <w:rsid w:val="00442210"/>
    <w:rsid w:val="00446DE4"/>
    <w:rsid w:val="004A41CA"/>
    <w:rsid w:val="00503228"/>
    <w:rsid w:val="005052E3"/>
    <w:rsid w:val="00505384"/>
    <w:rsid w:val="005258BB"/>
    <w:rsid w:val="005420F2"/>
    <w:rsid w:val="00555F47"/>
    <w:rsid w:val="00557BD5"/>
    <w:rsid w:val="005607B9"/>
    <w:rsid w:val="00583B09"/>
    <w:rsid w:val="005A662A"/>
    <w:rsid w:val="005B3DB3"/>
    <w:rsid w:val="005E7DAC"/>
    <w:rsid w:val="00611FC4"/>
    <w:rsid w:val="006176FB"/>
    <w:rsid w:val="006256D3"/>
    <w:rsid w:val="00627ED0"/>
    <w:rsid w:val="00635D4E"/>
    <w:rsid w:val="00640B26"/>
    <w:rsid w:val="00665595"/>
    <w:rsid w:val="006908F0"/>
    <w:rsid w:val="006A7392"/>
    <w:rsid w:val="006B52B6"/>
    <w:rsid w:val="006D23F8"/>
    <w:rsid w:val="006D500C"/>
    <w:rsid w:val="006E564B"/>
    <w:rsid w:val="0072632A"/>
    <w:rsid w:val="007369EB"/>
    <w:rsid w:val="00765AFE"/>
    <w:rsid w:val="007A68A7"/>
    <w:rsid w:val="007B23E7"/>
    <w:rsid w:val="007B6BA5"/>
    <w:rsid w:val="007C3390"/>
    <w:rsid w:val="007C4F4B"/>
    <w:rsid w:val="007F0B83"/>
    <w:rsid w:val="007F6611"/>
    <w:rsid w:val="00803E78"/>
    <w:rsid w:val="008175E9"/>
    <w:rsid w:val="008242D7"/>
    <w:rsid w:val="008311A3"/>
    <w:rsid w:val="00836200"/>
    <w:rsid w:val="0084302E"/>
    <w:rsid w:val="0085124A"/>
    <w:rsid w:val="00861F97"/>
    <w:rsid w:val="00871FD5"/>
    <w:rsid w:val="00891870"/>
    <w:rsid w:val="008979B1"/>
    <w:rsid w:val="008A6B25"/>
    <w:rsid w:val="008A6C4F"/>
    <w:rsid w:val="008E0E46"/>
    <w:rsid w:val="00907AD2"/>
    <w:rsid w:val="00963CBA"/>
    <w:rsid w:val="00974A8D"/>
    <w:rsid w:val="009849BD"/>
    <w:rsid w:val="00991261"/>
    <w:rsid w:val="009F3A17"/>
    <w:rsid w:val="00A1427D"/>
    <w:rsid w:val="00A379EA"/>
    <w:rsid w:val="00A37D4B"/>
    <w:rsid w:val="00A43A48"/>
    <w:rsid w:val="00A64FB8"/>
    <w:rsid w:val="00A72F22"/>
    <w:rsid w:val="00A748A6"/>
    <w:rsid w:val="00A879A4"/>
    <w:rsid w:val="00AC145F"/>
    <w:rsid w:val="00AD1BEE"/>
    <w:rsid w:val="00B26334"/>
    <w:rsid w:val="00B27BD0"/>
    <w:rsid w:val="00B30179"/>
    <w:rsid w:val="00B33EC0"/>
    <w:rsid w:val="00B5537A"/>
    <w:rsid w:val="00B81E12"/>
    <w:rsid w:val="00BC74E9"/>
    <w:rsid w:val="00BE1884"/>
    <w:rsid w:val="00BE4F74"/>
    <w:rsid w:val="00BE618E"/>
    <w:rsid w:val="00C17699"/>
    <w:rsid w:val="00C463DD"/>
    <w:rsid w:val="00C745C3"/>
    <w:rsid w:val="00CE4A8F"/>
    <w:rsid w:val="00D14F61"/>
    <w:rsid w:val="00D15BA5"/>
    <w:rsid w:val="00D2031B"/>
    <w:rsid w:val="00D25FE2"/>
    <w:rsid w:val="00D317BB"/>
    <w:rsid w:val="00D43252"/>
    <w:rsid w:val="00D43DDA"/>
    <w:rsid w:val="00D665CA"/>
    <w:rsid w:val="00D978C6"/>
    <w:rsid w:val="00DA67AD"/>
    <w:rsid w:val="00DB5D0F"/>
    <w:rsid w:val="00DC5F89"/>
    <w:rsid w:val="00DC6857"/>
    <w:rsid w:val="00DD1D3E"/>
    <w:rsid w:val="00DF0F82"/>
    <w:rsid w:val="00DF12F7"/>
    <w:rsid w:val="00E02C81"/>
    <w:rsid w:val="00E130AB"/>
    <w:rsid w:val="00E1514B"/>
    <w:rsid w:val="00E3517E"/>
    <w:rsid w:val="00E7260F"/>
    <w:rsid w:val="00E87921"/>
    <w:rsid w:val="00E96630"/>
    <w:rsid w:val="00ED7A2A"/>
    <w:rsid w:val="00EF1D7F"/>
    <w:rsid w:val="00F0697A"/>
    <w:rsid w:val="00F20223"/>
    <w:rsid w:val="00F53EDA"/>
    <w:rsid w:val="00F7141A"/>
    <w:rsid w:val="00F76845"/>
    <w:rsid w:val="00F7753D"/>
    <w:rsid w:val="00F85F34"/>
    <w:rsid w:val="00FA06F7"/>
    <w:rsid w:val="00FB171A"/>
    <w:rsid w:val="00FC68B7"/>
    <w:rsid w:val="00FD7BF6"/>
    <w:rsid w:val="00FE3AF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BB115D"/>
  <w15:docId w15:val="{2B5D0147-ED64-48E9-9A9E-5E7EB2F2EA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58BB"/>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semiHidden/>
    <w:qFormat/>
    <w:rsid w:val="00503228"/>
    <w:pPr>
      <w:spacing w:line="240" w:lineRule="auto"/>
      <w:outlineLvl w:val="1"/>
    </w:pPr>
  </w:style>
  <w:style w:type="paragraph" w:styleId="Heading3">
    <w:name w:val="heading 3"/>
    <w:basedOn w:val="Normal"/>
    <w:next w:val="Normal"/>
    <w:semiHidden/>
    <w:qFormat/>
    <w:rsid w:val="00503228"/>
    <w:pPr>
      <w:spacing w:line="240" w:lineRule="auto"/>
      <w:outlineLvl w:val="2"/>
    </w:pPr>
  </w:style>
  <w:style w:type="paragraph" w:styleId="Heading4">
    <w:name w:val="heading 4"/>
    <w:basedOn w:val="Normal"/>
    <w:next w:val="Normal"/>
    <w:semiHidden/>
    <w:qFormat/>
    <w:rsid w:val="00503228"/>
    <w:pPr>
      <w:spacing w:line="240" w:lineRule="auto"/>
      <w:outlineLvl w:val="3"/>
    </w:pPr>
  </w:style>
  <w:style w:type="paragraph" w:styleId="Heading5">
    <w:name w:val="heading 5"/>
    <w:basedOn w:val="Normal"/>
    <w:next w:val="Normal"/>
    <w:semiHidden/>
    <w:qFormat/>
    <w:rsid w:val="00503228"/>
    <w:pPr>
      <w:spacing w:line="240" w:lineRule="auto"/>
      <w:outlineLvl w:val="4"/>
    </w:pPr>
  </w:style>
  <w:style w:type="paragraph" w:styleId="Heading6">
    <w:name w:val="heading 6"/>
    <w:basedOn w:val="Normal"/>
    <w:next w:val="Normal"/>
    <w:semiHidden/>
    <w:qFormat/>
    <w:rsid w:val="00503228"/>
    <w:pPr>
      <w:spacing w:line="240" w:lineRule="auto"/>
      <w:outlineLvl w:val="5"/>
    </w:pPr>
  </w:style>
  <w:style w:type="paragraph" w:styleId="Heading7">
    <w:name w:val="heading 7"/>
    <w:basedOn w:val="Normal"/>
    <w:next w:val="Normal"/>
    <w:semiHidden/>
    <w:qFormat/>
    <w:rsid w:val="00503228"/>
    <w:pPr>
      <w:spacing w:line="240" w:lineRule="auto"/>
      <w:outlineLvl w:val="6"/>
    </w:pPr>
  </w:style>
  <w:style w:type="paragraph" w:styleId="Heading8">
    <w:name w:val="heading 8"/>
    <w:basedOn w:val="Normal"/>
    <w:next w:val="Normal"/>
    <w:semiHidden/>
    <w:qFormat/>
    <w:rsid w:val="00503228"/>
    <w:pPr>
      <w:spacing w:line="240" w:lineRule="auto"/>
      <w:outlineLvl w:val="7"/>
    </w:pPr>
  </w:style>
  <w:style w:type="paragraph" w:styleId="Heading9">
    <w:name w:val="heading 9"/>
    <w:basedOn w:val="Normal"/>
    <w:next w:val="Normal"/>
    <w:semiHidden/>
    <w:qFormat/>
    <w:rsid w:val="00503228"/>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503228"/>
    <w:pPr>
      <w:spacing w:after="120"/>
      <w:ind w:left="1134" w:right="1134"/>
      <w:jc w:val="both"/>
    </w:pPr>
  </w:style>
  <w:style w:type="paragraph" w:customStyle="1" w:styleId="HMG">
    <w:name w:val="_ H __M_G"/>
    <w:basedOn w:val="Normal"/>
    <w:next w:val="Normal"/>
    <w:qFormat/>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uiPriority w:val="99"/>
    <w:qFormat/>
    <w:rsid w:val="00503228"/>
    <w:rPr>
      <w:rFonts w:ascii="Times New Roman" w:hAnsi="Times New Roman"/>
      <w:sz w:val="18"/>
      <w:vertAlign w:val="superscript"/>
    </w:rPr>
  </w:style>
  <w:style w:type="character" w:styleId="EndnoteReference">
    <w:name w:val="endnote reference"/>
    <w:aliases w:val="1_G"/>
    <w:basedOn w:val="FootnoteReference"/>
    <w:qFormat/>
    <w:rsid w:val="00503228"/>
    <w:rPr>
      <w:rFonts w:ascii="Times New Roman" w:hAnsi="Times New Roman"/>
      <w:sz w:val="18"/>
      <w:vertAlign w:val="superscript"/>
    </w:rPr>
  </w:style>
  <w:style w:type="paragraph" w:styleId="Header">
    <w:name w:val="header"/>
    <w:aliases w:val="6_G"/>
    <w:basedOn w:val="Normal"/>
    <w:qFormat/>
    <w:rsid w:val="00503228"/>
    <w:pPr>
      <w:pBdr>
        <w:bottom w:val="single" w:sz="4" w:space="4" w:color="auto"/>
      </w:pBdr>
      <w:spacing w:line="240" w:lineRule="auto"/>
    </w:pPr>
    <w:rPr>
      <w:b/>
      <w:sz w:val="18"/>
    </w:rPr>
  </w:style>
  <w:style w:type="table" w:styleId="TableGrid">
    <w:name w:val="Table Grid"/>
    <w:basedOn w:val="TableNormal"/>
    <w:semiHidden/>
    <w:rsid w:val="00DC5F8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DC5F89"/>
    <w:rPr>
      <w:color w:val="auto"/>
      <w:u w:val="none"/>
    </w:rPr>
  </w:style>
  <w:style w:type="character" w:styleId="FollowedHyperlink">
    <w:name w:val="FollowedHyperlink"/>
    <w:basedOn w:val="DefaultParagraphFont"/>
    <w:semiHidden/>
    <w:rsid w:val="00DC5F89"/>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link w:val="FootnoteTextChar"/>
    <w:uiPriority w:val="99"/>
    <w:qFormat/>
    <w:rsid w:val="00503228"/>
    <w:pPr>
      <w:tabs>
        <w:tab w:val="right" w:pos="1021"/>
      </w:tabs>
      <w:spacing w:line="220" w:lineRule="exact"/>
      <w:ind w:left="1134" w:right="1134" w:hanging="1134"/>
    </w:pPr>
    <w:rPr>
      <w:sz w:val="18"/>
    </w:rPr>
  </w:style>
  <w:style w:type="paragraph" w:styleId="EndnoteText">
    <w:name w:val="endnote text"/>
    <w:aliases w:val="2_G"/>
    <w:basedOn w:val="FootnoteText"/>
    <w:qFormat/>
    <w:rsid w:val="00503228"/>
  </w:style>
  <w:style w:type="character" w:styleId="PageNumber">
    <w:name w:val="page number"/>
    <w:aliases w:val="7_G"/>
    <w:basedOn w:val="DefaultParagraphFont"/>
    <w:qFormat/>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qFormat/>
    <w:rsid w:val="00503228"/>
    <w:pPr>
      <w:numPr>
        <w:numId w:val="1"/>
      </w:numPr>
      <w:spacing w:after="120"/>
      <w:ind w:right="1134"/>
      <w:jc w:val="both"/>
    </w:pPr>
  </w:style>
  <w:style w:type="paragraph" w:styleId="Footer">
    <w:name w:val="footer"/>
    <w:aliases w:val="3_G"/>
    <w:basedOn w:val="Normal"/>
    <w:qFormat/>
    <w:rsid w:val="00503228"/>
    <w:pPr>
      <w:spacing w:line="240" w:lineRule="auto"/>
    </w:pPr>
    <w:rPr>
      <w:sz w:val="16"/>
    </w:rPr>
  </w:style>
  <w:style w:type="paragraph" w:customStyle="1" w:styleId="Bullet2G">
    <w:name w:val="_Bullet 2_G"/>
    <w:basedOn w:val="Normal"/>
    <w:qFormat/>
    <w:rsid w:val="00503228"/>
    <w:pPr>
      <w:numPr>
        <w:numId w:val="2"/>
      </w:numPr>
      <w:spacing w:after="120"/>
      <w:ind w:right="1134"/>
      <w:jc w:val="both"/>
    </w:pPr>
  </w:style>
  <w:style w:type="paragraph" w:customStyle="1" w:styleId="H1G">
    <w:name w:val="_ H_1_G"/>
    <w:basedOn w:val="Normal"/>
    <w:next w:val="Normal"/>
    <w:qFormat/>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503228"/>
    <w:pPr>
      <w:keepNext/>
      <w:keepLines/>
      <w:tabs>
        <w:tab w:val="right" w:pos="851"/>
      </w:tabs>
      <w:spacing w:before="240" w:after="120" w:line="240" w:lineRule="exact"/>
      <w:ind w:left="1134" w:right="1134" w:hanging="1134"/>
    </w:pPr>
  </w:style>
  <w:style w:type="paragraph" w:customStyle="1" w:styleId="ParNoG">
    <w:name w:val="_ParNo_G"/>
    <w:basedOn w:val="SingleTxtG"/>
    <w:qFormat/>
    <w:rsid w:val="000766DD"/>
    <w:pPr>
      <w:numPr>
        <w:numId w:val="3"/>
      </w:numPr>
      <w:suppressAutoHyphens w:val="0"/>
      <w:spacing w:line="240" w:lineRule="auto"/>
    </w:pPr>
  </w:style>
  <w:style w:type="paragraph" w:styleId="BalloonText">
    <w:name w:val="Balloon Text"/>
    <w:basedOn w:val="Normal"/>
    <w:link w:val="BalloonTextChar"/>
    <w:semiHidden/>
    <w:unhideWhenUsed/>
    <w:rsid w:val="00000521"/>
    <w:pPr>
      <w:spacing w:line="240" w:lineRule="auto"/>
    </w:pPr>
    <w:rPr>
      <w:rFonts w:ascii="Segoe UI" w:hAnsi="Segoe UI" w:cs="Segoe UI"/>
      <w:sz w:val="18"/>
      <w:szCs w:val="18"/>
    </w:rPr>
  </w:style>
  <w:style w:type="character" w:customStyle="1" w:styleId="BalloonTextChar">
    <w:name w:val="Balloon Text Char"/>
    <w:basedOn w:val="DefaultParagraphFont"/>
    <w:link w:val="BalloonText"/>
    <w:semiHidden/>
    <w:rsid w:val="00000521"/>
    <w:rPr>
      <w:rFonts w:ascii="Segoe UI" w:hAnsi="Segoe UI" w:cs="Segoe UI"/>
      <w:sz w:val="18"/>
      <w:szCs w:val="18"/>
      <w:lang w:val="en-GB" w:eastAsia="en-US"/>
    </w:rPr>
  </w:style>
  <w:style w:type="paragraph" w:styleId="NormalWeb">
    <w:name w:val="Normal (Web)"/>
    <w:basedOn w:val="Normal"/>
    <w:uiPriority w:val="99"/>
    <w:unhideWhenUsed/>
    <w:rsid w:val="006256D3"/>
    <w:pPr>
      <w:suppressAutoHyphens w:val="0"/>
      <w:spacing w:before="100" w:beforeAutospacing="1" w:after="119" w:line="240" w:lineRule="auto"/>
    </w:pPr>
    <w:rPr>
      <w:sz w:val="24"/>
      <w:szCs w:val="24"/>
      <w:lang w:val="it-IT" w:eastAsia="it-IT"/>
    </w:rPr>
  </w:style>
  <w:style w:type="character" w:customStyle="1" w:styleId="FootnoteTextChar">
    <w:name w:val="Footnote Text Char"/>
    <w:aliases w:val="5_G Char"/>
    <w:basedOn w:val="DefaultParagraphFont"/>
    <w:link w:val="FootnoteText"/>
    <w:uiPriority w:val="99"/>
    <w:rsid w:val="00003A80"/>
    <w:rPr>
      <w:sz w:val="18"/>
      <w:lang w:val="en-GB" w:eastAsia="en-US"/>
    </w:rPr>
  </w:style>
  <w:style w:type="paragraph" w:styleId="ListParagraph">
    <w:name w:val="List Paragraph"/>
    <w:basedOn w:val="Normal"/>
    <w:uiPriority w:val="34"/>
    <w:semiHidden/>
    <w:rsid w:val="00555F47"/>
    <w:pPr>
      <w:ind w:left="720"/>
      <w:contextualSpacing/>
    </w:pPr>
  </w:style>
  <w:style w:type="numbering" w:customStyle="1" w:styleId="Stile1">
    <w:name w:val="Stile1"/>
    <w:uiPriority w:val="99"/>
    <w:rsid w:val="00555F47"/>
    <w:pPr>
      <w:numPr>
        <w:numId w:val="14"/>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749786">
      <w:bodyDiv w:val="1"/>
      <w:marLeft w:val="0"/>
      <w:marRight w:val="0"/>
      <w:marTop w:val="0"/>
      <w:marBottom w:val="0"/>
      <w:divBdr>
        <w:top w:val="none" w:sz="0" w:space="0" w:color="auto"/>
        <w:left w:val="none" w:sz="0" w:space="0" w:color="auto"/>
        <w:bottom w:val="none" w:sz="0" w:space="0" w:color="auto"/>
        <w:right w:val="none" w:sz="0" w:space="0" w:color="auto"/>
      </w:divBdr>
    </w:div>
    <w:div w:id="491920147">
      <w:bodyDiv w:val="1"/>
      <w:marLeft w:val="0"/>
      <w:marRight w:val="0"/>
      <w:marTop w:val="0"/>
      <w:marBottom w:val="0"/>
      <w:divBdr>
        <w:top w:val="none" w:sz="0" w:space="0" w:color="auto"/>
        <w:left w:val="none" w:sz="0" w:space="0" w:color="auto"/>
        <w:bottom w:val="none" w:sz="0" w:space="0" w:color="auto"/>
        <w:right w:val="none" w:sz="0" w:space="0" w:color="auto"/>
      </w:divBdr>
    </w:div>
    <w:div w:id="579364243">
      <w:bodyDiv w:val="1"/>
      <w:marLeft w:val="0"/>
      <w:marRight w:val="0"/>
      <w:marTop w:val="0"/>
      <w:marBottom w:val="0"/>
      <w:divBdr>
        <w:top w:val="none" w:sz="0" w:space="0" w:color="auto"/>
        <w:left w:val="none" w:sz="0" w:space="0" w:color="auto"/>
        <w:bottom w:val="none" w:sz="0" w:space="0" w:color="auto"/>
        <w:right w:val="none" w:sz="0" w:space="0" w:color="auto"/>
      </w:divBdr>
    </w:div>
    <w:div w:id="1170945399">
      <w:bodyDiv w:val="1"/>
      <w:marLeft w:val="0"/>
      <w:marRight w:val="0"/>
      <w:marTop w:val="0"/>
      <w:marBottom w:val="0"/>
      <w:divBdr>
        <w:top w:val="none" w:sz="0" w:space="0" w:color="auto"/>
        <w:left w:val="none" w:sz="0" w:space="0" w:color="auto"/>
        <w:bottom w:val="none" w:sz="0" w:space="0" w:color="auto"/>
        <w:right w:val="none" w:sz="0" w:space="0" w:color="auto"/>
      </w:divBdr>
    </w:div>
    <w:div w:id="1204751200">
      <w:bodyDiv w:val="1"/>
      <w:marLeft w:val="0"/>
      <w:marRight w:val="0"/>
      <w:marTop w:val="0"/>
      <w:marBottom w:val="0"/>
      <w:divBdr>
        <w:top w:val="none" w:sz="0" w:space="0" w:color="auto"/>
        <w:left w:val="none" w:sz="0" w:space="0" w:color="auto"/>
        <w:bottom w:val="none" w:sz="0" w:space="0" w:color="auto"/>
        <w:right w:val="none" w:sz="0" w:space="0" w:color="auto"/>
      </w:divBdr>
    </w:div>
    <w:div w:id="1423256832">
      <w:bodyDiv w:val="1"/>
      <w:marLeft w:val="0"/>
      <w:marRight w:val="0"/>
      <w:marTop w:val="0"/>
      <w:marBottom w:val="0"/>
      <w:divBdr>
        <w:top w:val="none" w:sz="0" w:space="0" w:color="auto"/>
        <w:left w:val="none" w:sz="0" w:space="0" w:color="auto"/>
        <w:bottom w:val="none" w:sz="0" w:space="0" w:color="auto"/>
        <w:right w:val="none" w:sz="0" w:space="0" w:color="auto"/>
      </w:divBdr>
    </w:div>
    <w:div w:id="1554610322">
      <w:bodyDiv w:val="1"/>
      <w:marLeft w:val="0"/>
      <w:marRight w:val="0"/>
      <w:marTop w:val="0"/>
      <w:marBottom w:val="0"/>
      <w:divBdr>
        <w:top w:val="none" w:sz="0" w:space="0" w:color="auto"/>
        <w:left w:val="none" w:sz="0" w:space="0" w:color="auto"/>
        <w:bottom w:val="none" w:sz="0" w:space="0" w:color="auto"/>
        <w:right w:val="none" w:sz="0" w:space="0" w:color="auto"/>
      </w:divBdr>
    </w:div>
    <w:div w:id="1558125206">
      <w:bodyDiv w:val="1"/>
      <w:marLeft w:val="0"/>
      <w:marRight w:val="0"/>
      <w:marTop w:val="0"/>
      <w:marBottom w:val="0"/>
      <w:divBdr>
        <w:top w:val="none" w:sz="0" w:space="0" w:color="auto"/>
        <w:left w:val="none" w:sz="0" w:space="0" w:color="auto"/>
        <w:bottom w:val="none" w:sz="0" w:space="0" w:color="auto"/>
        <w:right w:val="none" w:sz="0" w:space="0" w:color="auto"/>
      </w:divBdr>
    </w:div>
    <w:div w:id="1562666492">
      <w:bodyDiv w:val="1"/>
      <w:marLeft w:val="0"/>
      <w:marRight w:val="0"/>
      <w:marTop w:val="0"/>
      <w:marBottom w:val="0"/>
      <w:divBdr>
        <w:top w:val="none" w:sz="0" w:space="0" w:color="auto"/>
        <w:left w:val="none" w:sz="0" w:space="0" w:color="auto"/>
        <w:bottom w:val="none" w:sz="0" w:space="0" w:color="auto"/>
        <w:right w:val="none" w:sz="0" w:space="0" w:color="auto"/>
      </w:divBdr>
    </w:div>
    <w:div w:id="1571110002">
      <w:bodyDiv w:val="1"/>
      <w:marLeft w:val="0"/>
      <w:marRight w:val="0"/>
      <w:marTop w:val="0"/>
      <w:marBottom w:val="0"/>
      <w:divBdr>
        <w:top w:val="none" w:sz="0" w:space="0" w:color="auto"/>
        <w:left w:val="none" w:sz="0" w:space="0" w:color="auto"/>
        <w:bottom w:val="none" w:sz="0" w:space="0" w:color="auto"/>
        <w:right w:val="none" w:sz="0" w:space="0" w:color="auto"/>
      </w:divBdr>
    </w:div>
    <w:div w:id="1834494335">
      <w:bodyDiv w:val="1"/>
      <w:marLeft w:val="0"/>
      <w:marRight w:val="0"/>
      <w:marTop w:val="0"/>
      <w:marBottom w:val="0"/>
      <w:divBdr>
        <w:top w:val="none" w:sz="0" w:space="0" w:color="auto"/>
        <w:left w:val="none" w:sz="0" w:space="0" w:color="auto"/>
        <w:bottom w:val="none" w:sz="0" w:space="0" w:color="auto"/>
        <w:right w:val="none" w:sz="0" w:space="0" w:color="auto"/>
      </w:divBdr>
    </w:div>
    <w:div w:id="2108498503">
      <w:bodyDiv w:val="1"/>
      <w:marLeft w:val="0"/>
      <w:marRight w:val="0"/>
      <w:marTop w:val="0"/>
      <w:marBottom w:val="0"/>
      <w:divBdr>
        <w:top w:val="none" w:sz="0" w:space="0" w:color="auto"/>
        <w:left w:val="none" w:sz="0" w:space="0" w:color="auto"/>
        <w:bottom w:val="none" w:sz="0" w:space="0" w:color="auto"/>
        <w:right w:val="none" w:sz="0" w:space="0" w:color="auto"/>
      </w:divBdr>
    </w:div>
    <w:div w:id="21324801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infotrans.it/it-schede-43-preservazione_fertilita_transgender" TargetMode="External"/><Relationship Id="rId18" Type="http://schemas.openxmlformats.org/officeDocument/2006/relationships/hyperlink" Target="https://thevision.com/scienza/mutilazioni-intersex/" TargetMode="External"/><Relationship Id="rId26" Type="http://schemas.openxmlformats.org/officeDocument/2006/relationships/hyperlink" Target="https://www.intersexesiste.com/cose-l-intersex/" TargetMode="External"/><Relationship Id="rId3" Type="http://schemas.openxmlformats.org/officeDocument/2006/relationships/customXml" Target="../customXml/item3.xml"/><Relationship Id="rId21" Type="http://schemas.openxmlformats.org/officeDocument/2006/relationships/hyperlink" Target="https://www.gazzettaufficiale.it/eli/id/2020/09/30/20A05245/SG" TargetMode="External"/><Relationship Id="rId7" Type="http://schemas.openxmlformats.org/officeDocument/2006/relationships/webSettings" Target="webSettings.xml"/><Relationship Id="rId12" Type="http://schemas.openxmlformats.org/officeDocument/2006/relationships/hyperlink" Target="https://www.infotrans.it/it-schede-3-mappa_servizi_transgender" TargetMode="External"/><Relationship Id="rId17" Type="http://schemas.openxmlformats.org/officeDocument/2006/relationships/hyperlink" Target="https://www.intersezionale.com/2020/10/27/persone-trans-e-aborto-un-diritto-negato-2/" TargetMode="External"/><Relationship Id="rId25" Type="http://schemas.openxmlformats.org/officeDocument/2006/relationships/hyperlink" Target="https://www.intersexioni.it/il-crc-sollecita-litalia-a-proteggere-le-persone-intersex/"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ebmh.bmj.com/content/23/4/e1" TargetMode="External"/><Relationship Id="rId20" Type="http://schemas.openxmlformats.org/officeDocument/2006/relationships/hyperlink" Target="https://www.ilpost.it/2016/04/20/violenza-domestica-coppie-gay/"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altreconomia.it/il-diritto-alla-salute-per-le-persone-transgender-non-e-ancora-garantito/" TargetMode="External"/><Relationship Id="rId24" Type="http://schemas.openxmlformats.org/officeDocument/2006/relationships/hyperlink" Target="https://www.infodata.ilsole24ore.com/2022/06/16/come-sta-andando-la-194-i-risultati-dellindagine-mai-dati/?refresh_ce=1" TargetMode="External"/><Relationship Id="rId32"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hyperlink" Target="https://www.mdpi.com/2227-9067/9/7/1027/htm" TargetMode="External"/><Relationship Id="rId23" Type="http://schemas.openxmlformats.org/officeDocument/2006/relationships/hyperlink" Target="https://www.ansa.it/canale_legalita_scuola/notizie/scuole/2022/05/31/scuola-educazione-sessuale-ai-bambini-genitori-contrari_b9481312-7c54-4ee9-a5f7-491138d61cd6.html" TargetMode="External"/><Relationship Id="rId28" Type="http://schemas.openxmlformats.org/officeDocument/2006/relationships/header" Target="header1.xml"/><Relationship Id="rId10" Type="http://schemas.openxmlformats.org/officeDocument/2006/relationships/hyperlink" Target="https://www.iss.it/web/guest/comunicati-stampa/-/asset_publisher/fjTKmjJgSgdK/content/id/7190609" TargetMode="External"/><Relationship Id="rId19" Type="http://schemas.openxmlformats.org/officeDocument/2006/relationships/hyperlink" Target="https://www.psicologiamonterotondo.it/2019/11/06/violenza-nella-coppia-e-dinamiche-di-potere-nelle-relazioni-lgbtqi/" TargetMode="External"/><Relationship Id="rId31"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pubmed.ncbi.nlm.nih.gov/33727693/" TargetMode="External"/><Relationship Id="rId22" Type="http://schemas.openxmlformats.org/officeDocument/2006/relationships/hyperlink" Target="https://www.miur.gov.it/documents/20182/0/Linee+guida+Comma16+finale.pdf/" TargetMode="External"/><Relationship Id="rId27" Type="http://schemas.openxmlformats.org/officeDocument/2006/relationships/hyperlink" Target="https://www.lasicilia.it/news/home/35715/diventa-un-caso-parlamentare-la-bambina-di-due-anni-che-ha-cambiato-sesso-a-palermo.html" TargetMode="External"/><Relationship Id="rId3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PlainPage\PlainPage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8EE47FB-1EE4-42D0-943A-529EFC6B801E}">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microsoft.com/sharepoint/v3"/>
    <ds:schemaRef ds:uri="http://purl.org/dc/terms/"/>
    <ds:schemaRef ds:uri="http://www.w3.org/XML/1998/namespace"/>
    <ds:schemaRef ds:uri="http://purl.org/dc/dcmitype/"/>
  </ds:schemaRefs>
</ds:datastoreItem>
</file>

<file path=customXml/itemProps2.xml><?xml version="1.0" encoding="utf-8"?>
<ds:datastoreItem xmlns:ds="http://schemas.openxmlformats.org/officeDocument/2006/customXml" ds:itemID="{3345A89A-3E2B-45BD-88CC-86574B750CC9}"/>
</file>

<file path=customXml/itemProps3.xml><?xml version="1.0" encoding="utf-8"?>
<ds:datastoreItem xmlns:ds="http://schemas.openxmlformats.org/officeDocument/2006/customXml" ds:itemID="{C8EA4E76-97F9-4C85-9B30-18A6CE4B53E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PlainPage_E.dotm</Template>
  <TotalTime>0</TotalTime>
  <Pages>10</Pages>
  <Words>6403</Words>
  <Characters>36499</Characters>
  <Application>Microsoft Office Word</Application>
  <DocSecurity>0</DocSecurity>
  <Lines>304</Lines>
  <Paragraphs>85</Paragraphs>
  <ScaleCrop>false</ScaleCrop>
  <HeadingPairs>
    <vt:vector size="6" baseType="variant">
      <vt:variant>
        <vt:lpstr>Title</vt:lpstr>
      </vt:variant>
      <vt:variant>
        <vt:i4>1</vt:i4>
      </vt:variant>
      <vt:variant>
        <vt:lpstr>Titolo</vt:lpstr>
      </vt:variant>
      <vt:variant>
        <vt:i4>1</vt:i4>
      </vt:variant>
      <vt:variant>
        <vt:lpstr>Titre</vt:lpstr>
      </vt:variant>
      <vt:variant>
        <vt:i4>1</vt:i4>
      </vt:variant>
    </vt:vector>
  </HeadingPairs>
  <TitlesOfParts>
    <vt:vector size="3" baseType="lpstr">
      <vt:lpstr>xxxx/x/xx/xx</vt:lpstr>
      <vt:lpstr>xxxx/x/xx/xx</vt:lpstr>
      <vt:lpstr/>
    </vt:vector>
  </TitlesOfParts>
  <Company>CSD</Company>
  <LinksUpToDate>false</LinksUpToDate>
  <CharactersWithSpaces>42817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xxxx/x/xx/xx</dc:title>
  <dc:creator>CAILLOT Lucille</dc:creator>
  <cp:lastModifiedBy>REYNAUD Céline</cp:lastModifiedBy>
  <cp:revision>2</cp:revision>
  <cp:lastPrinted>2019-06-03T13:18:00Z</cp:lastPrinted>
  <dcterms:created xsi:type="dcterms:W3CDTF">2022-08-30T13:28:00Z</dcterms:created>
  <dcterms:modified xsi:type="dcterms:W3CDTF">2022-08-30T13:28:00Z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