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03158F" w14:textId="77777777" w:rsidR="0045744D" w:rsidRPr="0045744D" w:rsidRDefault="0045744D" w:rsidP="0045744D">
      <w:pPr>
        <w:tabs>
          <w:tab w:val="right" w:leader="dot" w:pos="9055"/>
        </w:tabs>
        <w:spacing w:before="120" w:after="120" w:line="240" w:lineRule="auto"/>
        <w:rPr>
          <w:rFonts w:eastAsiaTheme="minorEastAsia"/>
          <w:b/>
          <w:bCs/>
          <w:caps/>
          <w:sz w:val="20"/>
          <w:szCs w:val="20"/>
          <w:lang w:val="en-US" w:eastAsia="fr-FR"/>
        </w:rPr>
      </w:pPr>
    </w:p>
    <w:p w14:paraId="245ED29D" w14:textId="77777777" w:rsidR="0045744D" w:rsidRPr="0045744D" w:rsidRDefault="0045744D" w:rsidP="0045744D">
      <w:pPr>
        <w:jc w:val="both"/>
        <w:rPr>
          <w:rFonts w:ascii="Arial" w:hAnsi="Arial" w:cs="Arial"/>
          <w:sz w:val="20"/>
          <w:szCs w:val="20"/>
        </w:rPr>
      </w:pPr>
      <w:r w:rsidRPr="0045744D">
        <w:rPr>
          <w:rFonts w:ascii="Arial" w:hAnsi="Arial" w:cs="Arial"/>
          <w:noProof/>
          <w:sz w:val="20"/>
          <w:szCs w:val="20"/>
          <w:lang w:eastAsia="fr-FR"/>
        </w:rPr>
        <w:drawing>
          <wp:inline distT="0" distB="0" distL="0" distR="0" wp14:anchorId="7181FE2F" wp14:editId="23014058">
            <wp:extent cx="1914525" cy="1914525"/>
            <wp:effectExtent l="19050" t="0" r="9525" b="0"/>
            <wp:docPr id="2" name="Image 1" descr="LOGO-LD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LDH"/>
                    <pic:cNvPicPr>
                      <a:picLocks noChangeAspect="1" noChangeArrowheads="1"/>
                    </pic:cNvPicPr>
                  </pic:nvPicPr>
                  <pic:blipFill>
                    <a:blip r:embed="rId8" cstate="print"/>
                    <a:srcRect/>
                    <a:stretch>
                      <a:fillRect/>
                    </a:stretch>
                  </pic:blipFill>
                  <pic:spPr bwMode="auto">
                    <a:xfrm>
                      <a:off x="0" y="0"/>
                      <a:ext cx="1914525" cy="1914525"/>
                    </a:xfrm>
                    <a:prstGeom prst="rect">
                      <a:avLst/>
                    </a:prstGeom>
                    <a:noFill/>
                    <a:ln w="9525">
                      <a:noFill/>
                      <a:miter lim="800000"/>
                      <a:headEnd/>
                      <a:tailEnd/>
                    </a:ln>
                  </pic:spPr>
                </pic:pic>
              </a:graphicData>
            </a:graphic>
          </wp:inline>
        </w:drawing>
      </w:r>
    </w:p>
    <w:p w14:paraId="64C28555" w14:textId="77777777" w:rsidR="0045744D" w:rsidRPr="0045744D" w:rsidRDefault="0045744D" w:rsidP="0045744D">
      <w:pPr>
        <w:jc w:val="both"/>
        <w:rPr>
          <w:rFonts w:ascii="Arial" w:hAnsi="Arial" w:cs="Arial"/>
          <w:sz w:val="20"/>
          <w:szCs w:val="20"/>
        </w:rPr>
      </w:pPr>
    </w:p>
    <w:p w14:paraId="158205D8" w14:textId="77777777" w:rsidR="0045744D" w:rsidRPr="0045744D" w:rsidRDefault="0045744D" w:rsidP="0045744D">
      <w:pPr>
        <w:jc w:val="both"/>
        <w:rPr>
          <w:rFonts w:ascii="Arial" w:hAnsi="Arial" w:cs="Arial"/>
          <w:sz w:val="20"/>
          <w:szCs w:val="20"/>
        </w:rPr>
      </w:pPr>
    </w:p>
    <w:p w14:paraId="3826DB87" w14:textId="77777777" w:rsidR="0045744D" w:rsidRPr="0045744D" w:rsidRDefault="0045744D" w:rsidP="0045744D">
      <w:pPr>
        <w:jc w:val="both"/>
        <w:rPr>
          <w:rFonts w:ascii="Arial" w:hAnsi="Arial" w:cs="Arial"/>
          <w:sz w:val="20"/>
          <w:szCs w:val="20"/>
        </w:rPr>
      </w:pPr>
    </w:p>
    <w:p w14:paraId="45C09C64" w14:textId="77777777" w:rsidR="0045744D" w:rsidRPr="0045744D" w:rsidRDefault="0045744D" w:rsidP="0045744D">
      <w:pPr>
        <w:jc w:val="both"/>
        <w:rPr>
          <w:rFonts w:ascii="Arial" w:hAnsi="Arial" w:cs="Arial"/>
          <w:sz w:val="20"/>
          <w:szCs w:val="20"/>
        </w:rPr>
      </w:pPr>
    </w:p>
    <w:p w14:paraId="093C73B6" w14:textId="77777777" w:rsidR="0045744D" w:rsidRPr="0045744D" w:rsidRDefault="0045744D" w:rsidP="0045744D">
      <w:pPr>
        <w:jc w:val="both"/>
        <w:rPr>
          <w:rFonts w:ascii="Arial" w:hAnsi="Arial" w:cs="Arial"/>
          <w:sz w:val="20"/>
          <w:szCs w:val="20"/>
        </w:rPr>
      </w:pPr>
    </w:p>
    <w:p w14:paraId="6F2FB640" w14:textId="77777777" w:rsidR="0045744D" w:rsidRPr="0045744D" w:rsidRDefault="0045744D" w:rsidP="0045744D">
      <w:pPr>
        <w:spacing w:line="360" w:lineRule="auto"/>
        <w:rPr>
          <w:rFonts w:ascii="Arial" w:hAnsi="Arial" w:cs="Arial"/>
          <w:sz w:val="20"/>
          <w:szCs w:val="20"/>
        </w:rPr>
      </w:pPr>
    </w:p>
    <w:p w14:paraId="146FAABE" w14:textId="77777777" w:rsidR="0045744D" w:rsidRPr="0045744D" w:rsidRDefault="0045744D" w:rsidP="0045744D">
      <w:pPr>
        <w:jc w:val="center"/>
        <w:rPr>
          <w:rFonts w:ascii="Arial" w:hAnsi="Arial" w:cs="Arial"/>
          <w:b/>
        </w:rPr>
      </w:pPr>
      <w:r w:rsidRPr="0045744D">
        <w:rPr>
          <w:rFonts w:ascii="Arial" w:hAnsi="Arial" w:cs="Arial"/>
          <w:b/>
        </w:rPr>
        <w:t>COMITÉ POUR L’ÉLIMINATION DE LA DISCRIMINATION RACIALE</w:t>
      </w:r>
    </w:p>
    <w:p w14:paraId="1AF5E74F" w14:textId="77777777" w:rsidR="0045744D" w:rsidRPr="0045744D" w:rsidRDefault="0045744D" w:rsidP="0045744D">
      <w:pPr>
        <w:jc w:val="center"/>
        <w:rPr>
          <w:rFonts w:ascii="Arial" w:hAnsi="Arial" w:cs="Arial"/>
          <w:b/>
        </w:rPr>
      </w:pPr>
      <w:r w:rsidRPr="0045744D">
        <w:rPr>
          <w:rFonts w:ascii="Arial" w:hAnsi="Arial" w:cs="Arial"/>
          <w:b/>
        </w:rPr>
        <w:t>108°session – 14 Novembre</w:t>
      </w:r>
      <w:r w:rsidR="00B71394">
        <w:rPr>
          <w:rFonts w:ascii="Arial" w:hAnsi="Arial" w:cs="Arial"/>
          <w:b/>
        </w:rPr>
        <w:t xml:space="preserve"> </w:t>
      </w:r>
      <w:r w:rsidRPr="0045744D">
        <w:rPr>
          <w:rFonts w:ascii="Arial" w:hAnsi="Arial" w:cs="Arial"/>
          <w:b/>
        </w:rPr>
        <w:t>/</w:t>
      </w:r>
      <w:r w:rsidR="00B71394">
        <w:rPr>
          <w:rFonts w:ascii="Arial" w:hAnsi="Arial" w:cs="Arial"/>
          <w:b/>
        </w:rPr>
        <w:t xml:space="preserve"> </w:t>
      </w:r>
      <w:r w:rsidRPr="0045744D">
        <w:rPr>
          <w:rFonts w:ascii="Arial" w:hAnsi="Arial" w:cs="Arial"/>
          <w:b/>
        </w:rPr>
        <w:t>2 Décembre 2022</w:t>
      </w:r>
    </w:p>
    <w:p w14:paraId="66B78296" w14:textId="77777777" w:rsidR="0045744D" w:rsidRPr="0045744D" w:rsidRDefault="0045744D" w:rsidP="0045744D">
      <w:pPr>
        <w:rPr>
          <w:rFonts w:ascii="Arial" w:hAnsi="Arial" w:cs="Arial"/>
          <w:b/>
        </w:rPr>
      </w:pPr>
    </w:p>
    <w:p w14:paraId="291999DF" w14:textId="77777777" w:rsidR="0045744D" w:rsidRPr="0045744D" w:rsidRDefault="0045744D" w:rsidP="0045744D">
      <w:pPr>
        <w:rPr>
          <w:rFonts w:ascii="Arial" w:hAnsi="Arial" w:cs="Arial"/>
          <w:b/>
          <w:sz w:val="20"/>
          <w:szCs w:val="20"/>
        </w:rPr>
      </w:pPr>
    </w:p>
    <w:p w14:paraId="5630D0A2" w14:textId="77777777" w:rsidR="0045744D" w:rsidRPr="0045744D" w:rsidRDefault="0045744D" w:rsidP="0045744D">
      <w:pPr>
        <w:jc w:val="center"/>
        <w:rPr>
          <w:rFonts w:ascii="Arial" w:hAnsi="Arial" w:cs="Arial"/>
          <w:b/>
        </w:rPr>
      </w:pPr>
      <w:r w:rsidRPr="0045744D">
        <w:rPr>
          <w:rFonts w:ascii="Arial" w:hAnsi="Arial" w:cs="Arial"/>
          <w:b/>
        </w:rPr>
        <w:t xml:space="preserve">RAPPORT ALTERNATIF DE LA </w:t>
      </w:r>
      <w:r w:rsidR="007F23E0">
        <w:rPr>
          <w:rFonts w:ascii="Arial" w:hAnsi="Arial" w:cs="Arial"/>
          <w:b/>
        </w:rPr>
        <w:t>LDH (</w:t>
      </w:r>
      <w:r w:rsidRPr="0045744D">
        <w:rPr>
          <w:rFonts w:ascii="Arial" w:hAnsi="Arial" w:cs="Arial"/>
          <w:b/>
        </w:rPr>
        <w:t>LIGUE DES DROITS DE L’HOMME</w:t>
      </w:r>
      <w:r w:rsidR="007F23E0">
        <w:rPr>
          <w:rFonts w:ascii="Arial" w:hAnsi="Arial" w:cs="Arial"/>
          <w:b/>
        </w:rPr>
        <w:t>)</w:t>
      </w:r>
      <w:r w:rsidRPr="0045744D">
        <w:rPr>
          <w:rFonts w:ascii="Arial" w:hAnsi="Arial" w:cs="Arial"/>
          <w:b/>
        </w:rPr>
        <w:t xml:space="preserve"> À PROPOS DES VINGT-DEUXIÈME ET VINGT-TROISIÈME RAPPORTS PÉRIODIQUES DE LA FRANCE</w:t>
      </w:r>
    </w:p>
    <w:p w14:paraId="29C0C1C7" w14:textId="77777777" w:rsidR="0045744D" w:rsidRPr="0045744D" w:rsidRDefault="0045744D" w:rsidP="0045744D">
      <w:pPr>
        <w:spacing w:line="360" w:lineRule="auto"/>
        <w:jc w:val="both"/>
        <w:rPr>
          <w:rFonts w:ascii="Arial" w:hAnsi="Arial" w:cs="Arial"/>
          <w:b/>
          <w:sz w:val="20"/>
          <w:szCs w:val="20"/>
        </w:rPr>
      </w:pPr>
    </w:p>
    <w:p w14:paraId="62D6AA7C" w14:textId="77777777" w:rsidR="0045744D" w:rsidRPr="0045744D" w:rsidRDefault="0045744D" w:rsidP="0045744D">
      <w:pPr>
        <w:spacing w:line="360" w:lineRule="auto"/>
        <w:jc w:val="both"/>
        <w:rPr>
          <w:rFonts w:ascii="Arial" w:hAnsi="Arial" w:cs="Arial"/>
          <w:b/>
          <w:sz w:val="20"/>
          <w:szCs w:val="20"/>
        </w:rPr>
      </w:pPr>
    </w:p>
    <w:p w14:paraId="605743EB" w14:textId="77777777" w:rsidR="0045744D" w:rsidRPr="0045744D" w:rsidRDefault="0045744D" w:rsidP="0045744D">
      <w:pPr>
        <w:spacing w:line="360" w:lineRule="auto"/>
        <w:jc w:val="both"/>
        <w:rPr>
          <w:rFonts w:ascii="Arial" w:hAnsi="Arial" w:cs="Arial"/>
          <w:b/>
          <w:sz w:val="20"/>
          <w:szCs w:val="20"/>
        </w:rPr>
      </w:pPr>
    </w:p>
    <w:p w14:paraId="0ED5654B" w14:textId="77777777" w:rsidR="0045744D" w:rsidRPr="0045744D" w:rsidRDefault="0045744D" w:rsidP="0045744D">
      <w:pPr>
        <w:spacing w:line="360" w:lineRule="auto"/>
        <w:jc w:val="both"/>
        <w:rPr>
          <w:rFonts w:ascii="Arial" w:hAnsi="Arial" w:cs="Arial"/>
          <w:b/>
          <w:sz w:val="20"/>
          <w:szCs w:val="20"/>
        </w:rPr>
      </w:pPr>
    </w:p>
    <w:p w14:paraId="2B9B9656" w14:textId="77777777" w:rsidR="0045744D" w:rsidRPr="0045744D" w:rsidRDefault="0045744D" w:rsidP="0045744D">
      <w:pPr>
        <w:spacing w:line="360" w:lineRule="auto"/>
        <w:jc w:val="both"/>
        <w:rPr>
          <w:rFonts w:ascii="Arial" w:hAnsi="Arial" w:cs="Arial"/>
          <w:b/>
          <w:sz w:val="20"/>
          <w:szCs w:val="20"/>
        </w:rPr>
      </w:pPr>
    </w:p>
    <w:p w14:paraId="0AE31B8A" w14:textId="77777777" w:rsidR="0045744D" w:rsidRPr="0045744D" w:rsidRDefault="0045744D" w:rsidP="0045744D">
      <w:pPr>
        <w:spacing w:line="360" w:lineRule="auto"/>
        <w:rPr>
          <w:rFonts w:ascii="Arial" w:hAnsi="Arial" w:cs="Arial"/>
          <w:b/>
          <w:sz w:val="20"/>
          <w:szCs w:val="20"/>
        </w:rPr>
      </w:pPr>
    </w:p>
    <w:p w14:paraId="45A43CBF" w14:textId="77777777" w:rsidR="0045744D" w:rsidRPr="0045744D" w:rsidRDefault="0045744D" w:rsidP="0045744D">
      <w:pPr>
        <w:spacing w:line="360" w:lineRule="auto"/>
        <w:rPr>
          <w:rFonts w:ascii="Arial" w:hAnsi="Arial" w:cs="Arial"/>
          <w:b/>
          <w:sz w:val="20"/>
          <w:szCs w:val="20"/>
        </w:rPr>
      </w:pPr>
    </w:p>
    <w:p w14:paraId="48BB4D65" w14:textId="77777777" w:rsidR="0045744D" w:rsidRPr="0045744D" w:rsidRDefault="0045744D" w:rsidP="0045744D">
      <w:pPr>
        <w:spacing w:after="0"/>
        <w:rPr>
          <w:rFonts w:ascii="Calibri" w:hAnsi="Calibri"/>
          <w:color w:val="000000"/>
          <w:sz w:val="20"/>
          <w:szCs w:val="20"/>
        </w:rPr>
      </w:pPr>
      <w:r w:rsidRPr="0045744D">
        <w:rPr>
          <w:rFonts w:ascii="Calibri" w:hAnsi="Calibri"/>
          <w:noProof/>
          <w:color w:val="000000"/>
          <w:sz w:val="20"/>
          <w:szCs w:val="20"/>
          <w:lang w:eastAsia="fr-FR"/>
        </w:rPr>
        <w:drawing>
          <wp:inline distT="0" distB="0" distL="0" distR="0" wp14:anchorId="020E3FC6" wp14:editId="77B12D33">
            <wp:extent cx="2857500" cy="314325"/>
            <wp:effectExtent l="0" t="0" r="0" b="0"/>
            <wp:docPr id="4" name="Image 1" descr="cid:image001.gif@01CF8BD7.EDEE7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cid:image001.gif@01CF8BD7.EDEE7150"/>
                    <pic:cNvPicPr>
                      <a:picLocks noChangeAspect="1" noChangeArrowheads="1"/>
                    </pic:cNvPicPr>
                  </pic:nvPicPr>
                  <pic:blipFill>
                    <a:blip r:embed="rId9" r:link="rId10" cstate="print"/>
                    <a:srcRect/>
                    <a:stretch>
                      <a:fillRect/>
                    </a:stretch>
                  </pic:blipFill>
                  <pic:spPr bwMode="auto">
                    <a:xfrm>
                      <a:off x="0" y="0"/>
                      <a:ext cx="2857500" cy="314325"/>
                    </a:xfrm>
                    <a:prstGeom prst="rect">
                      <a:avLst/>
                    </a:prstGeom>
                    <a:noFill/>
                    <a:ln w="9525">
                      <a:noFill/>
                      <a:miter lim="800000"/>
                      <a:headEnd/>
                      <a:tailEnd/>
                    </a:ln>
                  </pic:spPr>
                </pic:pic>
              </a:graphicData>
            </a:graphic>
          </wp:inline>
        </w:drawing>
      </w:r>
    </w:p>
    <w:p w14:paraId="5494E5A5" w14:textId="77777777" w:rsidR="0045744D" w:rsidRPr="0045744D" w:rsidRDefault="0045744D" w:rsidP="0045744D">
      <w:pPr>
        <w:spacing w:after="0"/>
        <w:rPr>
          <w:rFonts w:ascii="Calibri" w:hAnsi="Calibri"/>
          <w:color w:val="E9142B"/>
          <w:sz w:val="16"/>
          <w:szCs w:val="16"/>
        </w:rPr>
      </w:pPr>
      <w:r w:rsidRPr="0045744D">
        <w:rPr>
          <w:rFonts w:ascii="Calibri" w:hAnsi="Calibri"/>
          <w:color w:val="E9142B"/>
          <w:sz w:val="16"/>
          <w:szCs w:val="16"/>
        </w:rPr>
        <w:t>138 rue Marcadet - 75018 Paris</w:t>
      </w:r>
    </w:p>
    <w:p w14:paraId="6F3ACF7E" w14:textId="77777777" w:rsidR="0045744D" w:rsidRPr="0045744D" w:rsidRDefault="0045744D" w:rsidP="0045744D">
      <w:pPr>
        <w:spacing w:after="0"/>
        <w:rPr>
          <w:rFonts w:ascii="Calibri" w:hAnsi="Calibri"/>
          <w:color w:val="E9142B"/>
          <w:sz w:val="16"/>
          <w:szCs w:val="16"/>
        </w:rPr>
      </w:pPr>
      <w:r w:rsidRPr="0045744D">
        <w:rPr>
          <w:rFonts w:ascii="Calibri" w:hAnsi="Calibri"/>
          <w:color w:val="E9142B"/>
          <w:sz w:val="16"/>
          <w:szCs w:val="16"/>
        </w:rPr>
        <w:t>Tél. 00.33.1 56 55 51 00 - Fax : 00.33.1.42 55 51 21</w:t>
      </w:r>
    </w:p>
    <w:p w14:paraId="3E370BD6" w14:textId="77777777" w:rsidR="0045744D" w:rsidRPr="0045744D" w:rsidRDefault="00581C13" w:rsidP="0045744D">
      <w:pPr>
        <w:spacing w:after="0"/>
        <w:rPr>
          <w:rFonts w:ascii="Calibri" w:hAnsi="Calibri"/>
          <w:color w:val="E9142B"/>
          <w:sz w:val="16"/>
          <w:szCs w:val="16"/>
        </w:rPr>
      </w:pPr>
      <w:hyperlink r:id="rId11" w:history="1">
        <w:r w:rsidR="0045744D" w:rsidRPr="0045744D">
          <w:rPr>
            <w:rFonts w:ascii="Calibri" w:hAnsi="Calibri"/>
            <w:color w:val="0563C1" w:themeColor="hyperlink"/>
            <w:sz w:val="16"/>
            <w:szCs w:val="16"/>
            <w:u w:val="single"/>
          </w:rPr>
          <w:t>ldh@ldh-france.org</w:t>
        </w:r>
      </w:hyperlink>
      <w:r w:rsidR="0045744D" w:rsidRPr="0045744D">
        <w:rPr>
          <w:rFonts w:ascii="Calibri" w:hAnsi="Calibri"/>
          <w:color w:val="E9142B"/>
          <w:sz w:val="16"/>
          <w:szCs w:val="16"/>
        </w:rPr>
        <w:t xml:space="preserve"> – </w:t>
      </w:r>
      <w:hyperlink r:id="rId12" w:history="1">
        <w:r w:rsidR="0045744D" w:rsidRPr="0045744D">
          <w:rPr>
            <w:rFonts w:ascii="Calibri" w:hAnsi="Calibri"/>
            <w:color w:val="0563C1" w:themeColor="hyperlink"/>
            <w:sz w:val="16"/>
            <w:szCs w:val="16"/>
            <w:u w:val="single"/>
          </w:rPr>
          <w:t>www.ldh-france.org</w:t>
        </w:r>
      </w:hyperlink>
    </w:p>
    <w:p w14:paraId="60CDDC58" w14:textId="77777777" w:rsidR="0045744D" w:rsidRPr="0045744D" w:rsidRDefault="0045744D" w:rsidP="0045744D">
      <w:pPr>
        <w:rPr>
          <w:rFonts w:ascii="Times New Roman" w:hAnsi="Times New Roman" w:cs="Times New Roman"/>
          <w:b/>
          <w:sz w:val="20"/>
          <w:szCs w:val="20"/>
        </w:rPr>
      </w:pPr>
    </w:p>
    <w:p w14:paraId="548B005F" w14:textId="77777777" w:rsidR="0045744D" w:rsidRPr="0045744D" w:rsidRDefault="0045744D" w:rsidP="0045744D">
      <w:pPr>
        <w:tabs>
          <w:tab w:val="right" w:leader="dot" w:pos="9055"/>
        </w:tabs>
        <w:spacing w:before="120" w:after="120" w:line="240" w:lineRule="auto"/>
        <w:rPr>
          <w:rFonts w:ascii="Arial" w:eastAsiaTheme="minorEastAsia" w:hAnsi="Arial" w:cs="Arial"/>
          <w:b/>
          <w:bCs/>
          <w:caps/>
          <w:sz w:val="20"/>
          <w:szCs w:val="20"/>
          <w:lang w:val="en-US" w:eastAsia="fr-FR"/>
        </w:rPr>
      </w:pPr>
    </w:p>
    <w:p w14:paraId="739A25A2" w14:textId="77777777" w:rsidR="0045744D" w:rsidRPr="0045744D" w:rsidRDefault="0045744D" w:rsidP="0045744D">
      <w:pPr>
        <w:tabs>
          <w:tab w:val="right" w:leader="dot" w:pos="9055"/>
        </w:tabs>
        <w:spacing w:before="120" w:after="120" w:line="240" w:lineRule="auto"/>
        <w:rPr>
          <w:rFonts w:ascii="Arial" w:eastAsiaTheme="minorEastAsia" w:hAnsi="Arial" w:cs="Arial"/>
          <w:b/>
          <w:bCs/>
          <w:caps/>
          <w:sz w:val="20"/>
          <w:szCs w:val="20"/>
          <w:lang w:val="en-US" w:eastAsia="fr-FR"/>
        </w:rPr>
      </w:pPr>
    </w:p>
    <w:p w14:paraId="7BA2B1FB" w14:textId="77777777" w:rsidR="0045744D" w:rsidRPr="0045744D" w:rsidRDefault="0045744D" w:rsidP="0045744D">
      <w:pPr>
        <w:tabs>
          <w:tab w:val="right" w:leader="dot" w:pos="9055"/>
        </w:tabs>
        <w:spacing w:before="120" w:after="120" w:line="240" w:lineRule="auto"/>
        <w:rPr>
          <w:rFonts w:ascii="Arial" w:eastAsiaTheme="minorEastAsia" w:hAnsi="Arial" w:cs="Arial"/>
          <w:b/>
          <w:bCs/>
          <w:caps/>
          <w:sz w:val="20"/>
          <w:szCs w:val="20"/>
          <w:lang w:val="en-US" w:eastAsia="fr-FR"/>
        </w:rPr>
      </w:pPr>
    </w:p>
    <w:p w14:paraId="2B92ED62" w14:textId="77777777" w:rsidR="00FA732D" w:rsidRDefault="00FA732D" w:rsidP="0045744D">
      <w:pPr>
        <w:tabs>
          <w:tab w:val="right" w:leader="dot" w:pos="9055"/>
        </w:tabs>
        <w:spacing w:before="120" w:after="120" w:line="240" w:lineRule="auto"/>
      </w:pPr>
    </w:p>
    <w:p w14:paraId="3EA9A48A" w14:textId="77777777" w:rsidR="00FA732D" w:rsidRDefault="00FA732D" w:rsidP="0045744D">
      <w:pPr>
        <w:tabs>
          <w:tab w:val="right" w:leader="dot" w:pos="9055"/>
        </w:tabs>
        <w:spacing w:before="120" w:after="120" w:line="240" w:lineRule="auto"/>
      </w:pPr>
    </w:p>
    <w:p w14:paraId="0D1A171B" w14:textId="77777777" w:rsidR="00FA732D" w:rsidRDefault="00FA732D" w:rsidP="0045744D">
      <w:pPr>
        <w:tabs>
          <w:tab w:val="right" w:leader="dot" w:pos="9055"/>
        </w:tabs>
        <w:spacing w:before="120" w:after="120" w:line="240" w:lineRule="auto"/>
      </w:pPr>
    </w:p>
    <w:p w14:paraId="3CF51989" w14:textId="77777777" w:rsidR="00FA732D" w:rsidRDefault="00FA732D" w:rsidP="0045744D">
      <w:pPr>
        <w:tabs>
          <w:tab w:val="right" w:leader="dot" w:pos="9055"/>
        </w:tabs>
        <w:spacing w:before="120" w:after="120" w:line="240" w:lineRule="auto"/>
      </w:pPr>
    </w:p>
    <w:p w14:paraId="21E1757D" w14:textId="77777777" w:rsidR="00FA732D" w:rsidRDefault="00FA732D" w:rsidP="0045744D">
      <w:pPr>
        <w:tabs>
          <w:tab w:val="right" w:leader="dot" w:pos="9055"/>
        </w:tabs>
        <w:spacing w:before="120" w:after="120" w:line="240" w:lineRule="auto"/>
      </w:pPr>
    </w:p>
    <w:p w14:paraId="6164F248" w14:textId="77777777" w:rsidR="0045744D" w:rsidRPr="0045744D" w:rsidRDefault="00581C13" w:rsidP="0045744D">
      <w:pPr>
        <w:tabs>
          <w:tab w:val="right" w:leader="dot" w:pos="9055"/>
        </w:tabs>
        <w:spacing w:before="120" w:after="120" w:line="240" w:lineRule="auto"/>
        <w:rPr>
          <w:rFonts w:ascii="Arial" w:eastAsiaTheme="minorEastAsia" w:hAnsi="Arial" w:cs="Arial"/>
          <w:noProof/>
          <w:lang w:eastAsia="fr-FR"/>
        </w:rPr>
      </w:pPr>
      <w:hyperlink w:anchor="_Toc415581580" w:history="1">
        <w:r w:rsidR="0045744D" w:rsidRPr="0045744D">
          <w:rPr>
            <w:rFonts w:ascii="Arial" w:eastAsiaTheme="minorEastAsia" w:hAnsi="Arial" w:cs="Arial"/>
            <w:b/>
            <w:bCs/>
            <w:caps/>
            <w:noProof/>
            <w:sz w:val="20"/>
            <w:szCs w:val="20"/>
            <w:lang w:eastAsia="fr-FR"/>
          </w:rPr>
          <w:t>LA LUTTE CONTRE LE RACISME, L’ANTISÉMITISME ET LA XÉNOPHOBIE</w:t>
        </w:r>
        <w:r w:rsidR="0045744D" w:rsidRPr="0045744D">
          <w:rPr>
            <w:rFonts w:ascii="Arial" w:eastAsiaTheme="minorEastAsia" w:hAnsi="Arial" w:cs="Arial"/>
            <w:b/>
            <w:bCs/>
            <w:caps/>
            <w:noProof/>
            <w:webHidden/>
            <w:sz w:val="20"/>
            <w:szCs w:val="20"/>
            <w:lang w:val="en-US" w:eastAsia="fr-FR"/>
          </w:rPr>
          <w:tab/>
        </w:r>
      </w:hyperlink>
    </w:p>
    <w:p w14:paraId="78AFA4FF" w14:textId="77777777" w:rsidR="0045744D" w:rsidRPr="0045744D" w:rsidRDefault="00581C13" w:rsidP="0045744D">
      <w:pPr>
        <w:tabs>
          <w:tab w:val="left" w:pos="720"/>
          <w:tab w:val="right" w:leader="dot" w:pos="9055"/>
        </w:tabs>
        <w:spacing w:after="0" w:line="240" w:lineRule="auto"/>
        <w:ind w:left="240"/>
        <w:rPr>
          <w:rFonts w:ascii="Arial" w:eastAsiaTheme="minorEastAsia" w:hAnsi="Arial" w:cs="Arial"/>
          <w:noProof/>
          <w:lang w:eastAsia="fr-FR"/>
        </w:rPr>
      </w:pPr>
      <w:hyperlink w:anchor="_Toc415581582" w:history="1">
        <w:r w:rsidR="0045744D" w:rsidRPr="0045744D">
          <w:rPr>
            <w:rFonts w:ascii="Arial" w:eastAsiaTheme="minorEastAsia" w:hAnsi="Arial" w:cs="Arial"/>
            <w:smallCaps/>
            <w:noProof/>
            <w:sz w:val="20"/>
            <w:szCs w:val="20"/>
            <w:lang w:eastAsia="fr-FR"/>
          </w:rPr>
          <w:t>1.</w:t>
        </w:r>
        <w:r w:rsidR="0045744D" w:rsidRPr="0045744D">
          <w:rPr>
            <w:rFonts w:ascii="Arial" w:eastAsiaTheme="minorEastAsia" w:hAnsi="Arial" w:cs="Arial"/>
            <w:noProof/>
            <w:lang w:eastAsia="fr-FR"/>
          </w:rPr>
          <w:tab/>
        </w:r>
        <w:r w:rsidR="0045744D" w:rsidRPr="0045744D">
          <w:rPr>
            <w:rFonts w:ascii="Arial" w:eastAsiaTheme="minorEastAsia" w:hAnsi="Arial" w:cs="Arial"/>
            <w:smallCaps/>
            <w:noProof/>
            <w:sz w:val="20"/>
            <w:szCs w:val="20"/>
            <w:lang w:eastAsia="fr-FR"/>
          </w:rPr>
          <w:t>Discours  et actes politiques</w:t>
        </w:r>
        <w:r w:rsidR="0045744D" w:rsidRPr="0045744D">
          <w:rPr>
            <w:rFonts w:ascii="Arial" w:eastAsiaTheme="minorEastAsia" w:hAnsi="Arial" w:cs="Arial"/>
            <w:smallCaps/>
            <w:noProof/>
            <w:webHidden/>
            <w:sz w:val="20"/>
            <w:szCs w:val="20"/>
            <w:lang w:val="en-US" w:eastAsia="fr-FR"/>
          </w:rPr>
          <w:tab/>
        </w:r>
      </w:hyperlink>
      <w:r w:rsidR="00FA732D">
        <w:rPr>
          <w:rFonts w:ascii="Arial" w:eastAsiaTheme="minorEastAsia" w:hAnsi="Arial" w:cs="Arial"/>
          <w:smallCaps/>
          <w:noProof/>
          <w:sz w:val="20"/>
          <w:szCs w:val="20"/>
          <w:lang w:val="en-US" w:eastAsia="fr-FR"/>
        </w:rPr>
        <w:t>1</w:t>
      </w:r>
    </w:p>
    <w:p w14:paraId="0559B99C" w14:textId="77777777" w:rsidR="0045744D" w:rsidRPr="0045744D" w:rsidRDefault="00581C13" w:rsidP="0045744D">
      <w:pPr>
        <w:tabs>
          <w:tab w:val="left" w:pos="720"/>
          <w:tab w:val="right" w:leader="dot" w:pos="9055"/>
        </w:tabs>
        <w:spacing w:after="0" w:line="240" w:lineRule="auto"/>
        <w:ind w:left="240"/>
        <w:rPr>
          <w:rFonts w:ascii="Arial" w:eastAsiaTheme="minorEastAsia" w:hAnsi="Arial" w:cs="Arial"/>
          <w:noProof/>
          <w:lang w:eastAsia="fr-FR"/>
        </w:rPr>
      </w:pPr>
      <w:hyperlink w:anchor="_Toc415581583" w:history="1">
        <w:r w:rsidR="0045744D" w:rsidRPr="0045744D">
          <w:rPr>
            <w:rFonts w:ascii="Arial" w:eastAsiaTheme="minorEastAsia" w:hAnsi="Arial" w:cs="Arial"/>
            <w:smallCaps/>
            <w:noProof/>
            <w:sz w:val="20"/>
            <w:szCs w:val="20"/>
            <w:lang w:eastAsia="fr-FR"/>
          </w:rPr>
          <w:t>2.</w:t>
        </w:r>
        <w:r w:rsidR="0045744D" w:rsidRPr="0045744D">
          <w:rPr>
            <w:rFonts w:ascii="Arial" w:eastAsiaTheme="minorEastAsia" w:hAnsi="Arial" w:cs="Arial"/>
            <w:noProof/>
            <w:lang w:eastAsia="fr-FR"/>
          </w:rPr>
          <w:tab/>
        </w:r>
        <w:r w:rsidR="0045744D" w:rsidRPr="0045744D">
          <w:rPr>
            <w:rFonts w:ascii="Arial" w:eastAsiaTheme="minorEastAsia" w:hAnsi="Arial" w:cs="Arial"/>
            <w:smallCaps/>
            <w:noProof/>
            <w:sz w:val="20"/>
            <w:szCs w:val="20"/>
            <w:lang w:eastAsia="fr-FR"/>
          </w:rPr>
          <w:t>Le fait islamophobe</w:t>
        </w:r>
        <w:r w:rsidR="0045744D" w:rsidRPr="0045744D">
          <w:rPr>
            <w:rFonts w:ascii="Arial" w:eastAsiaTheme="minorEastAsia" w:hAnsi="Arial" w:cs="Arial"/>
            <w:smallCaps/>
            <w:noProof/>
            <w:webHidden/>
            <w:sz w:val="20"/>
            <w:szCs w:val="20"/>
            <w:lang w:val="en-US" w:eastAsia="fr-FR"/>
          </w:rPr>
          <w:tab/>
        </w:r>
      </w:hyperlink>
      <w:r w:rsidR="00FA732D">
        <w:rPr>
          <w:rFonts w:ascii="Arial" w:eastAsiaTheme="minorEastAsia" w:hAnsi="Arial" w:cs="Arial"/>
          <w:smallCaps/>
          <w:noProof/>
          <w:sz w:val="20"/>
          <w:szCs w:val="20"/>
          <w:lang w:val="en-US" w:eastAsia="fr-FR"/>
        </w:rPr>
        <w:t>2</w:t>
      </w:r>
    </w:p>
    <w:p w14:paraId="5E324998" w14:textId="77777777" w:rsidR="0045744D" w:rsidRPr="0045744D" w:rsidRDefault="00581C13" w:rsidP="0045744D">
      <w:pPr>
        <w:tabs>
          <w:tab w:val="left" w:pos="720"/>
          <w:tab w:val="right" w:leader="dot" w:pos="9055"/>
        </w:tabs>
        <w:spacing w:after="0" w:line="240" w:lineRule="auto"/>
        <w:ind w:left="240"/>
        <w:rPr>
          <w:rFonts w:ascii="Arial" w:eastAsiaTheme="minorEastAsia" w:hAnsi="Arial" w:cs="Arial"/>
          <w:noProof/>
          <w:lang w:eastAsia="fr-FR"/>
        </w:rPr>
      </w:pPr>
      <w:hyperlink w:anchor="_Toc415581584" w:history="1">
        <w:r w:rsidR="0045744D" w:rsidRPr="0045744D">
          <w:rPr>
            <w:rFonts w:ascii="Arial" w:eastAsiaTheme="minorEastAsia" w:hAnsi="Arial" w:cs="Arial"/>
            <w:smallCaps/>
            <w:noProof/>
            <w:sz w:val="20"/>
            <w:szCs w:val="20"/>
            <w:lang w:val="en-US" w:eastAsia="fr-FR"/>
          </w:rPr>
          <w:t>3.</w:t>
        </w:r>
        <w:r w:rsidR="0045744D" w:rsidRPr="0045744D">
          <w:rPr>
            <w:rFonts w:ascii="Arial" w:eastAsiaTheme="minorEastAsia" w:hAnsi="Arial" w:cs="Arial"/>
            <w:noProof/>
            <w:lang w:eastAsia="fr-FR"/>
          </w:rPr>
          <w:tab/>
        </w:r>
        <w:r w:rsidR="0045744D" w:rsidRPr="0045744D">
          <w:rPr>
            <w:rFonts w:ascii="Arial" w:eastAsiaTheme="minorEastAsia" w:hAnsi="Arial" w:cs="Arial"/>
            <w:smallCaps/>
            <w:noProof/>
            <w:sz w:val="20"/>
            <w:szCs w:val="20"/>
            <w:lang w:val="en-US" w:eastAsia="fr-FR"/>
          </w:rPr>
          <w:t>Les contrôles d’identité</w:t>
        </w:r>
        <w:r w:rsidR="0045744D" w:rsidRPr="0045744D">
          <w:rPr>
            <w:rFonts w:ascii="Arial" w:eastAsiaTheme="minorEastAsia" w:hAnsi="Arial" w:cs="Arial"/>
            <w:smallCaps/>
            <w:noProof/>
            <w:webHidden/>
            <w:sz w:val="20"/>
            <w:szCs w:val="20"/>
            <w:lang w:val="en-US" w:eastAsia="fr-FR"/>
          </w:rPr>
          <w:tab/>
        </w:r>
      </w:hyperlink>
      <w:r w:rsidR="00FA732D">
        <w:rPr>
          <w:rFonts w:ascii="Arial" w:eastAsiaTheme="minorEastAsia" w:hAnsi="Arial" w:cs="Arial"/>
          <w:smallCaps/>
          <w:noProof/>
          <w:sz w:val="20"/>
          <w:szCs w:val="20"/>
          <w:lang w:val="en-US" w:eastAsia="fr-FR"/>
        </w:rPr>
        <w:t>4</w:t>
      </w:r>
    </w:p>
    <w:p w14:paraId="4A3E47B3" w14:textId="77777777" w:rsidR="0045744D" w:rsidRPr="0045744D" w:rsidRDefault="00581C13" w:rsidP="0045744D">
      <w:pPr>
        <w:tabs>
          <w:tab w:val="right" w:leader="dot" w:pos="9055"/>
        </w:tabs>
        <w:spacing w:before="120" w:after="120" w:line="240" w:lineRule="auto"/>
        <w:rPr>
          <w:rFonts w:ascii="Arial" w:eastAsiaTheme="minorEastAsia" w:hAnsi="Arial" w:cs="Arial"/>
          <w:noProof/>
          <w:lang w:eastAsia="fr-FR"/>
        </w:rPr>
      </w:pPr>
      <w:hyperlink w:anchor="_Toc415581586" w:history="1">
        <w:r w:rsidR="0045744D" w:rsidRPr="0045744D">
          <w:rPr>
            <w:rFonts w:ascii="Arial" w:eastAsiaTheme="minorEastAsia" w:hAnsi="Arial" w:cs="Arial"/>
            <w:b/>
            <w:bCs/>
            <w:caps/>
            <w:smallCaps/>
            <w:noProof/>
            <w:sz w:val="20"/>
            <w:szCs w:val="20"/>
            <w:lang w:eastAsia="fr-FR"/>
          </w:rPr>
          <w:t>recommandations</w:t>
        </w:r>
        <w:r w:rsidR="0045744D" w:rsidRPr="0045744D">
          <w:rPr>
            <w:rFonts w:ascii="Arial" w:eastAsiaTheme="minorEastAsia" w:hAnsi="Arial" w:cs="Arial"/>
            <w:b/>
            <w:bCs/>
            <w:caps/>
            <w:noProof/>
            <w:webHidden/>
            <w:sz w:val="20"/>
            <w:szCs w:val="20"/>
            <w:lang w:val="en-US" w:eastAsia="fr-FR"/>
          </w:rPr>
          <w:tab/>
        </w:r>
      </w:hyperlink>
      <w:r w:rsidR="00FA732D">
        <w:rPr>
          <w:rFonts w:ascii="Arial" w:eastAsiaTheme="minorEastAsia" w:hAnsi="Arial" w:cs="Arial"/>
          <w:b/>
          <w:bCs/>
          <w:caps/>
          <w:noProof/>
          <w:sz w:val="20"/>
          <w:szCs w:val="20"/>
          <w:lang w:val="en-US" w:eastAsia="fr-FR"/>
        </w:rPr>
        <w:t>5</w:t>
      </w:r>
    </w:p>
    <w:p w14:paraId="5251850E" w14:textId="77777777" w:rsidR="0045744D" w:rsidRPr="0045744D" w:rsidRDefault="0045744D" w:rsidP="0045744D">
      <w:pPr>
        <w:tabs>
          <w:tab w:val="right" w:leader="dot" w:pos="9055"/>
        </w:tabs>
        <w:spacing w:before="120" w:after="120" w:line="240" w:lineRule="auto"/>
        <w:rPr>
          <w:rFonts w:ascii="Arial" w:eastAsiaTheme="minorEastAsia" w:hAnsi="Arial" w:cs="Arial"/>
          <w:b/>
          <w:bCs/>
          <w:caps/>
          <w:sz w:val="20"/>
          <w:szCs w:val="20"/>
          <w:lang w:val="en-US" w:eastAsia="fr-FR"/>
        </w:rPr>
      </w:pPr>
    </w:p>
    <w:p w14:paraId="1C6A3A90" w14:textId="77777777" w:rsidR="0045744D" w:rsidRPr="0045744D" w:rsidRDefault="00581C13" w:rsidP="0045744D">
      <w:pPr>
        <w:tabs>
          <w:tab w:val="right" w:leader="dot" w:pos="9055"/>
        </w:tabs>
        <w:spacing w:before="120" w:after="120" w:line="240" w:lineRule="auto"/>
        <w:rPr>
          <w:rFonts w:ascii="Arial" w:eastAsiaTheme="minorEastAsia" w:hAnsi="Arial" w:cs="Arial"/>
          <w:b/>
          <w:bCs/>
          <w:caps/>
          <w:noProof/>
          <w:sz w:val="20"/>
          <w:szCs w:val="20"/>
          <w:lang w:val="en-US" w:eastAsia="fr-FR"/>
        </w:rPr>
      </w:pPr>
      <w:hyperlink w:anchor="_Toc415581566" w:history="1">
        <w:r w:rsidR="0045744D" w:rsidRPr="0045744D">
          <w:rPr>
            <w:rFonts w:ascii="Arial" w:eastAsiaTheme="minorEastAsia" w:hAnsi="Arial" w:cs="Arial"/>
            <w:b/>
            <w:bCs/>
            <w:caps/>
            <w:noProof/>
            <w:sz w:val="20"/>
            <w:szCs w:val="20"/>
            <w:lang w:val="en-US" w:eastAsia="fr-FR"/>
          </w:rPr>
          <w:t>Les gens du voyage</w:t>
        </w:r>
        <w:r w:rsidR="0045744D" w:rsidRPr="0045744D">
          <w:rPr>
            <w:rFonts w:ascii="Arial" w:eastAsiaTheme="minorEastAsia" w:hAnsi="Arial" w:cs="Arial"/>
            <w:b/>
            <w:bCs/>
            <w:caps/>
            <w:noProof/>
            <w:webHidden/>
            <w:sz w:val="20"/>
            <w:szCs w:val="20"/>
            <w:lang w:val="en-US" w:eastAsia="fr-FR"/>
          </w:rPr>
          <w:tab/>
        </w:r>
      </w:hyperlink>
      <w:r w:rsidR="00FA732D" w:rsidRPr="00FA732D">
        <w:rPr>
          <w:rFonts w:ascii="Arial" w:eastAsiaTheme="minorEastAsia" w:hAnsi="Arial" w:cs="Arial"/>
          <w:bCs/>
          <w:caps/>
          <w:noProof/>
          <w:sz w:val="20"/>
          <w:szCs w:val="20"/>
          <w:lang w:val="en-US" w:eastAsia="fr-FR"/>
        </w:rPr>
        <w:t>6</w:t>
      </w:r>
    </w:p>
    <w:p w14:paraId="32555CF0" w14:textId="77777777" w:rsidR="0045744D" w:rsidRPr="0045744D" w:rsidRDefault="00581C13" w:rsidP="0045744D">
      <w:pPr>
        <w:tabs>
          <w:tab w:val="right" w:leader="dot" w:pos="9055"/>
        </w:tabs>
        <w:spacing w:before="120" w:after="120" w:line="240" w:lineRule="auto"/>
        <w:rPr>
          <w:rFonts w:ascii="Arial" w:eastAsiaTheme="minorEastAsia" w:hAnsi="Arial" w:cs="Arial"/>
          <w:noProof/>
          <w:lang w:eastAsia="fr-FR"/>
        </w:rPr>
      </w:pPr>
      <w:hyperlink w:anchor="_Toc415581595" w:history="1">
        <w:r w:rsidR="0045744D" w:rsidRPr="0045744D">
          <w:rPr>
            <w:rFonts w:ascii="Arial" w:eastAsiaTheme="minorEastAsia" w:hAnsi="Arial" w:cs="Arial"/>
            <w:b/>
            <w:bCs/>
            <w:caps/>
            <w:noProof/>
            <w:sz w:val="20"/>
            <w:szCs w:val="20"/>
            <w:lang w:eastAsia="fr-FR"/>
          </w:rPr>
          <w:t>Recommandations</w:t>
        </w:r>
        <w:r w:rsidR="0045744D" w:rsidRPr="0045744D">
          <w:rPr>
            <w:rFonts w:ascii="Arial" w:eastAsiaTheme="minorEastAsia" w:hAnsi="Arial" w:cs="Arial"/>
            <w:b/>
            <w:bCs/>
            <w:caps/>
            <w:noProof/>
            <w:webHidden/>
            <w:sz w:val="20"/>
            <w:szCs w:val="20"/>
            <w:lang w:val="en-US" w:eastAsia="fr-FR"/>
          </w:rPr>
          <w:tab/>
        </w:r>
      </w:hyperlink>
      <w:r w:rsidR="00FA732D">
        <w:rPr>
          <w:rFonts w:ascii="Arial" w:eastAsiaTheme="minorEastAsia" w:hAnsi="Arial" w:cs="Arial"/>
          <w:b/>
          <w:bCs/>
          <w:caps/>
          <w:noProof/>
          <w:sz w:val="20"/>
          <w:szCs w:val="20"/>
          <w:lang w:val="en-US" w:eastAsia="fr-FR"/>
        </w:rPr>
        <w:t>8</w:t>
      </w:r>
    </w:p>
    <w:p w14:paraId="0FDB26A0" w14:textId="77777777" w:rsidR="0045744D" w:rsidRPr="0045744D" w:rsidRDefault="0045744D" w:rsidP="0045744D">
      <w:pPr>
        <w:tabs>
          <w:tab w:val="right" w:leader="dot" w:pos="9055"/>
        </w:tabs>
        <w:spacing w:before="120" w:after="120" w:line="240" w:lineRule="auto"/>
        <w:rPr>
          <w:rFonts w:ascii="Arial" w:eastAsiaTheme="minorEastAsia" w:hAnsi="Arial" w:cs="Arial"/>
          <w:b/>
          <w:bCs/>
          <w:caps/>
          <w:sz w:val="20"/>
          <w:szCs w:val="20"/>
          <w:lang w:val="en-US" w:eastAsia="fr-FR"/>
        </w:rPr>
      </w:pPr>
    </w:p>
    <w:p w14:paraId="65658DE2" w14:textId="77777777" w:rsidR="0045744D" w:rsidRPr="0045744D" w:rsidRDefault="00581C13" w:rsidP="0045744D">
      <w:pPr>
        <w:tabs>
          <w:tab w:val="right" w:leader="dot" w:pos="9055"/>
        </w:tabs>
        <w:spacing w:before="120" w:after="120" w:line="240" w:lineRule="auto"/>
        <w:rPr>
          <w:rFonts w:ascii="Arial" w:eastAsiaTheme="minorEastAsia" w:hAnsi="Arial" w:cs="Arial"/>
          <w:noProof/>
          <w:lang w:eastAsia="fr-FR"/>
        </w:rPr>
      </w:pPr>
      <w:hyperlink w:anchor="_Toc415581587" w:history="1">
        <w:r w:rsidR="0045744D" w:rsidRPr="0045744D">
          <w:rPr>
            <w:rFonts w:ascii="Arial" w:eastAsiaTheme="minorEastAsia" w:hAnsi="Arial" w:cs="Arial"/>
            <w:b/>
            <w:bCs/>
            <w:caps/>
            <w:noProof/>
            <w:sz w:val="20"/>
            <w:szCs w:val="20"/>
            <w:lang w:eastAsia="fr-FR"/>
          </w:rPr>
          <w:t>l’outre-mer</w:t>
        </w:r>
        <w:r w:rsidR="0045744D" w:rsidRPr="0045744D">
          <w:rPr>
            <w:rFonts w:ascii="Arial" w:eastAsiaTheme="minorEastAsia" w:hAnsi="Arial" w:cs="Arial"/>
            <w:b/>
            <w:bCs/>
            <w:caps/>
            <w:noProof/>
            <w:webHidden/>
            <w:sz w:val="20"/>
            <w:szCs w:val="20"/>
            <w:lang w:val="en-US" w:eastAsia="fr-FR"/>
          </w:rPr>
          <w:tab/>
        </w:r>
      </w:hyperlink>
    </w:p>
    <w:p w14:paraId="0400F511" w14:textId="77777777" w:rsidR="0045744D" w:rsidRPr="0045744D" w:rsidRDefault="00581C13" w:rsidP="0045744D">
      <w:pPr>
        <w:tabs>
          <w:tab w:val="left" w:pos="720"/>
          <w:tab w:val="right" w:leader="dot" w:pos="9055"/>
        </w:tabs>
        <w:spacing w:after="0" w:line="240" w:lineRule="auto"/>
        <w:ind w:left="240"/>
        <w:rPr>
          <w:rFonts w:ascii="Arial" w:eastAsiaTheme="minorEastAsia" w:hAnsi="Arial" w:cs="Arial"/>
          <w:noProof/>
          <w:lang w:eastAsia="fr-FR"/>
        </w:rPr>
      </w:pPr>
      <w:hyperlink w:anchor="_Toc415581590" w:history="1">
        <w:r w:rsidR="0045744D" w:rsidRPr="0045744D">
          <w:rPr>
            <w:rFonts w:ascii="Arial" w:eastAsiaTheme="minorEastAsia" w:hAnsi="Arial" w:cs="Arial"/>
            <w:smallCaps/>
            <w:noProof/>
            <w:sz w:val="20"/>
            <w:szCs w:val="20"/>
            <w:lang w:eastAsia="fr-FR"/>
          </w:rPr>
          <w:t>3.</w:t>
        </w:r>
        <w:r w:rsidR="0045744D" w:rsidRPr="0045744D">
          <w:rPr>
            <w:rFonts w:ascii="Arial" w:eastAsiaTheme="minorEastAsia" w:hAnsi="Arial" w:cs="Arial"/>
            <w:noProof/>
            <w:lang w:eastAsia="fr-FR"/>
          </w:rPr>
          <w:tab/>
        </w:r>
        <w:r w:rsidR="0045744D" w:rsidRPr="0045744D">
          <w:rPr>
            <w:rFonts w:ascii="Arial" w:eastAsiaTheme="minorEastAsia" w:hAnsi="Arial" w:cs="Arial"/>
            <w:smallCaps/>
            <w:noProof/>
            <w:sz w:val="20"/>
            <w:szCs w:val="20"/>
            <w:lang w:eastAsia="fr-FR"/>
          </w:rPr>
          <w:t>Le droit à la santé à Mayotte</w:t>
        </w:r>
        <w:r w:rsidR="0045744D" w:rsidRPr="0045744D">
          <w:rPr>
            <w:rFonts w:ascii="Arial" w:eastAsiaTheme="minorEastAsia" w:hAnsi="Arial" w:cs="Arial"/>
            <w:smallCaps/>
            <w:noProof/>
            <w:webHidden/>
            <w:sz w:val="20"/>
            <w:szCs w:val="20"/>
            <w:lang w:val="en-US" w:eastAsia="fr-FR"/>
          </w:rPr>
          <w:tab/>
        </w:r>
      </w:hyperlink>
      <w:r w:rsidR="00FA732D">
        <w:rPr>
          <w:rFonts w:ascii="Arial" w:eastAsiaTheme="minorEastAsia" w:hAnsi="Arial" w:cs="Arial"/>
          <w:smallCaps/>
          <w:noProof/>
          <w:sz w:val="20"/>
          <w:szCs w:val="20"/>
          <w:lang w:val="en-US" w:eastAsia="fr-FR"/>
        </w:rPr>
        <w:t>8</w:t>
      </w:r>
    </w:p>
    <w:p w14:paraId="33C6381C" w14:textId="77777777" w:rsidR="0045744D" w:rsidRPr="0045744D" w:rsidRDefault="00581C13" w:rsidP="0045744D">
      <w:pPr>
        <w:tabs>
          <w:tab w:val="left" w:pos="720"/>
          <w:tab w:val="right" w:leader="dot" w:pos="9055"/>
        </w:tabs>
        <w:spacing w:after="0" w:line="240" w:lineRule="auto"/>
        <w:ind w:left="240"/>
        <w:rPr>
          <w:rFonts w:ascii="Arial" w:eastAsiaTheme="minorEastAsia" w:hAnsi="Arial" w:cs="Arial"/>
          <w:noProof/>
          <w:lang w:eastAsia="fr-FR"/>
        </w:rPr>
      </w:pPr>
      <w:hyperlink w:anchor="_Toc415581591" w:history="1">
        <w:r w:rsidR="0045744D" w:rsidRPr="0045744D">
          <w:rPr>
            <w:rFonts w:ascii="Arial" w:eastAsiaTheme="minorEastAsia" w:hAnsi="Arial" w:cs="Arial"/>
            <w:smallCaps/>
            <w:noProof/>
            <w:sz w:val="20"/>
            <w:szCs w:val="20"/>
            <w:lang w:eastAsia="fr-FR"/>
          </w:rPr>
          <w:t>4.</w:t>
        </w:r>
        <w:r w:rsidR="0045744D" w:rsidRPr="0045744D">
          <w:rPr>
            <w:rFonts w:ascii="Arial" w:eastAsiaTheme="minorEastAsia" w:hAnsi="Arial" w:cs="Arial"/>
            <w:noProof/>
            <w:lang w:eastAsia="fr-FR"/>
          </w:rPr>
          <w:tab/>
        </w:r>
        <w:r w:rsidR="0045744D" w:rsidRPr="0045744D">
          <w:rPr>
            <w:rFonts w:ascii="Arial" w:eastAsiaTheme="minorEastAsia" w:hAnsi="Arial" w:cs="Arial"/>
            <w:smallCaps/>
            <w:noProof/>
            <w:sz w:val="20"/>
            <w:szCs w:val="20"/>
            <w:lang w:eastAsia="fr-FR"/>
          </w:rPr>
          <w:t>Le droit à l’éducation</w:t>
        </w:r>
        <w:r w:rsidR="0045744D" w:rsidRPr="0045744D">
          <w:rPr>
            <w:rFonts w:ascii="Arial" w:eastAsiaTheme="minorEastAsia" w:hAnsi="Arial" w:cs="Arial"/>
            <w:smallCaps/>
            <w:noProof/>
            <w:webHidden/>
            <w:sz w:val="20"/>
            <w:szCs w:val="20"/>
            <w:lang w:val="en-US" w:eastAsia="fr-FR"/>
          </w:rPr>
          <w:tab/>
        </w:r>
      </w:hyperlink>
      <w:r w:rsidR="00FA732D">
        <w:rPr>
          <w:rFonts w:ascii="Arial" w:eastAsiaTheme="minorEastAsia" w:hAnsi="Arial" w:cs="Arial"/>
          <w:smallCaps/>
          <w:noProof/>
          <w:sz w:val="20"/>
          <w:szCs w:val="20"/>
          <w:lang w:val="en-US" w:eastAsia="fr-FR"/>
        </w:rPr>
        <w:t>10</w:t>
      </w:r>
    </w:p>
    <w:p w14:paraId="56636715" w14:textId="77777777" w:rsidR="0045744D" w:rsidRPr="0045744D" w:rsidRDefault="00581C13" w:rsidP="0045744D">
      <w:pPr>
        <w:tabs>
          <w:tab w:val="left" w:pos="720"/>
          <w:tab w:val="right" w:leader="dot" w:pos="9055"/>
        </w:tabs>
        <w:spacing w:after="0" w:line="240" w:lineRule="auto"/>
        <w:ind w:left="240"/>
        <w:rPr>
          <w:rFonts w:ascii="Arial" w:eastAsiaTheme="minorEastAsia" w:hAnsi="Arial" w:cs="Arial"/>
          <w:noProof/>
          <w:lang w:eastAsia="fr-FR"/>
        </w:rPr>
      </w:pPr>
      <w:hyperlink w:anchor="_Toc415581592" w:history="1">
        <w:r w:rsidR="0045744D" w:rsidRPr="0045744D">
          <w:rPr>
            <w:rFonts w:ascii="Arial" w:eastAsiaTheme="minorEastAsia" w:hAnsi="Arial" w:cs="Arial"/>
            <w:smallCaps/>
            <w:noProof/>
            <w:sz w:val="20"/>
            <w:szCs w:val="20"/>
            <w:lang w:eastAsia="fr-FR"/>
          </w:rPr>
          <w:t>5.</w:t>
        </w:r>
        <w:r w:rsidR="0045744D" w:rsidRPr="0045744D">
          <w:rPr>
            <w:rFonts w:ascii="Arial" w:eastAsiaTheme="minorEastAsia" w:hAnsi="Arial" w:cs="Arial"/>
            <w:noProof/>
            <w:lang w:eastAsia="fr-FR"/>
          </w:rPr>
          <w:tab/>
        </w:r>
        <w:r w:rsidR="0045744D" w:rsidRPr="0045744D">
          <w:rPr>
            <w:rFonts w:ascii="Arial" w:eastAsiaTheme="minorEastAsia" w:hAnsi="Arial" w:cs="Arial"/>
            <w:smallCaps/>
            <w:noProof/>
            <w:sz w:val="20"/>
            <w:szCs w:val="20"/>
            <w:lang w:eastAsia="fr-FR"/>
          </w:rPr>
          <w:t>La politique migratoire</w:t>
        </w:r>
        <w:r w:rsidR="0045744D" w:rsidRPr="0045744D">
          <w:rPr>
            <w:rFonts w:ascii="Arial" w:eastAsiaTheme="minorEastAsia" w:hAnsi="Arial" w:cs="Arial"/>
            <w:smallCaps/>
            <w:noProof/>
            <w:webHidden/>
            <w:sz w:val="20"/>
            <w:szCs w:val="20"/>
            <w:lang w:val="en-US" w:eastAsia="fr-FR"/>
          </w:rPr>
          <w:tab/>
        </w:r>
      </w:hyperlink>
      <w:r w:rsidR="00FA732D">
        <w:rPr>
          <w:rFonts w:ascii="Arial" w:eastAsiaTheme="minorEastAsia" w:hAnsi="Arial" w:cs="Arial"/>
          <w:smallCaps/>
          <w:noProof/>
          <w:sz w:val="20"/>
          <w:szCs w:val="20"/>
          <w:lang w:val="en-US" w:eastAsia="fr-FR"/>
        </w:rPr>
        <w:t>13</w:t>
      </w:r>
    </w:p>
    <w:p w14:paraId="3E767376" w14:textId="77777777" w:rsidR="0045744D" w:rsidRPr="0045744D" w:rsidRDefault="00581C13" w:rsidP="0045744D">
      <w:pPr>
        <w:tabs>
          <w:tab w:val="right" w:leader="dot" w:pos="9055"/>
        </w:tabs>
        <w:spacing w:before="120" w:after="120" w:line="240" w:lineRule="auto"/>
        <w:rPr>
          <w:rFonts w:ascii="Arial" w:eastAsiaTheme="minorEastAsia" w:hAnsi="Arial" w:cs="Arial"/>
          <w:noProof/>
          <w:lang w:eastAsia="fr-FR"/>
        </w:rPr>
      </w:pPr>
      <w:hyperlink w:anchor="_Toc415581595" w:history="1">
        <w:r w:rsidR="0045744D" w:rsidRPr="0045744D">
          <w:rPr>
            <w:rFonts w:ascii="Arial" w:eastAsiaTheme="minorEastAsia" w:hAnsi="Arial" w:cs="Arial"/>
            <w:b/>
            <w:bCs/>
            <w:caps/>
            <w:noProof/>
            <w:sz w:val="20"/>
            <w:szCs w:val="20"/>
            <w:lang w:eastAsia="fr-FR"/>
          </w:rPr>
          <w:t>Recommandations</w:t>
        </w:r>
        <w:r w:rsidR="0045744D" w:rsidRPr="0045744D">
          <w:rPr>
            <w:rFonts w:ascii="Arial" w:eastAsiaTheme="minorEastAsia" w:hAnsi="Arial" w:cs="Arial"/>
            <w:b/>
            <w:bCs/>
            <w:caps/>
            <w:noProof/>
            <w:webHidden/>
            <w:sz w:val="20"/>
            <w:szCs w:val="20"/>
            <w:lang w:val="en-US" w:eastAsia="fr-FR"/>
          </w:rPr>
          <w:tab/>
        </w:r>
      </w:hyperlink>
      <w:r w:rsidR="00FA732D">
        <w:rPr>
          <w:rFonts w:ascii="Arial" w:eastAsiaTheme="minorEastAsia" w:hAnsi="Arial" w:cs="Arial"/>
          <w:b/>
          <w:bCs/>
          <w:caps/>
          <w:noProof/>
          <w:sz w:val="20"/>
          <w:szCs w:val="20"/>
          <w:lang w:val="en-US" w:eastAsia="fr-FR"/>
        </w:rPr>
        <w:t>16</w:t>
      </w:r>
    </w:p>
    <w:p w14:paraId="61383FBF" w14:textId="77777777" w:rsidR="0045744D" w:rsidRPr="0045744D" w:rsidRDefault="0045744D" w:rsidP="0045744D">
      <w:pPr>
        <w:tabs>
          <w:tab w:val="right" w:leader="dot" w:pos="9055"/>
        </w:tabs>
        <w:spacing w:before="120" w:after="120" w:line="240" w:lineRule="auto"/>
        <w:rPr>
          <w:rFonts w:ascii="Arial" w:eastAsiaTheme="minorEastAsia" w:hAnsi="Arial" w:cs="Arial"/>
          <w:b/>
          <w:bCs/>
          <w:caps/>
          <w:sz w:val="20"/>
          <w:szCs w:val="20"/>
          <w:lang w:val="en-US" w:eastAsia="fr-FR"/>
        </w:rPr>
      </w:pPr>
    </w:p>
    <w:p w14:paraId="45F25FF9" w14:textId="77777777" w:rsidR="0045744D" w:rsidRPr="0045744D" w:rsidRDefault="00581C13" w:rsidP="0045744D">
      <w:pPr>
        <w:tabs>
          <w:tab w:val="right" w:leader="dot" w:pos="9055"/>
        </w:tabs>
        <w:spacing w:before="120" w:after="120" w:line="240" w:lineRule="auto"/>
        <w:rPr>
          <w:rFonts w:ascii="Arial" w:eastAsiaTheme="minorEastAsia" w:hAnsi="Arial" w:cs="Arial"/>
          <w:noProof/>
          <w:lang w:eastAsia="fr-FR"/>
        </w:rPr>
      </w:pPr>
      <w:hyperlink w:anchor="_Toc415581587" w:history="1">
        <w:r w:rsidR="0045744D" w:rsidRPr="0045744D">
          <w:rPr>
            <w:rFonts w:ascii="Arial" w:eastAsiaTheme="minorEastAsia" w:hAnsi="Arial" w:cs="Arial"/>
            <w:b/>
            <w:bCs/>
            <w:caps/>
            <w:noProof/>
            <w:sz w:val="20"/>
            <w:szCs w:val="20"/>
            <w:lang w:eastAsia="fr-FR"/>
          </w:rPr>
          <w:t>La politique d’immigration</w:t>
        </w:r>
        <w:r w:rsidR="0045744D" w:rsidRPr="0045744D">
          <w:rPr>
            <w:rFonts w:ascii="Arial" w:eastAsiaTheme="minorEastAsia" w:hAnsi="Arial" w:cs="Arial"/>
            <w:b/>
            <w:bCs/>
            <w:caps/>
            <w:noProof/>
            <w:webHidden/>
            <w:sz w:val="20"/>
            <w:szCs w:val="20"/>
            <w:lang w:val="en-US" w:eastAsia="fr-FR"/>
          </w:rPr>
          <w:tab/>
        </w:r>
      </w:hyperlink>
    </w:p>
    <w:p w14:paraId="7E58A846" w14:textId="77777777" w:rsidR="0045744D" w:rsidRPr="0045744D" w:rsidRDefault="00581C13" w:rsidP="0045744D">
      <w:pPr>
        <w:tabs>
          <w:tab w:val="left" w:pos="720"/>
          <w:tab w:val="right" w:leader="dot" w:pos="9055"/>
        </w:tabs>
        <w:spacing w:after="0" w:line="240" w:lineRule="auto"/>
        <w:ind w:left="240"/>
        <w:rPr>
          <w:rFonts w:ascii="Arial" w:eastAsiaTheme="minorEastAsia" w:hAnsi="Arial" w:cs="Arial"/>
          <w:noProof/>
          <w:lang w:eastAsia="fr-FR"/>
        </w:rPr>
      </w:pPr>
      <w:hyperlink w:anchor="_Toc415581588" w:history="1">
        <w:r w:rsidR="0045744D" w:rsidRPr="0045744D">
          <w:rPr>
            <w:rFonts w:ascii="Arial" w:eastAsiaTheme="minorEastAsia" w:hAnsi="Arial" w:cs="Arial"/>
            <w:smallCaps/>
            <w:noProof/>
            <w:sz w:val="20"/>
            <w:szCs w:val="20"/>
            <w:lang w:eastAsia="fr-FR"/>
          </w:rPr>
          <w:t>1.</w:t>
        </w:r>
        <w:r w:rsidR="0045744D" w:rsidRPr="0045744D">
          <w:rPr>
            <w:rFonts w:ascii="Arial" w:eastAsiaTheme="minorEastAsia" w:hAnsi="Arial" w:cs="Arial"/>
            <w:noProof/>
            <w:lang w:eastAsia="fr-FR"/>
          </w:rPr>
          <w:tab/>
        </w:r>
        <w:r w:rsidR="0045744D" w:rsidRPr="0045744D">
          <w:rPr>
            <w:rFonts w:ascii="Arial" w:eastAsiaTheme="minorEastAsia" w:hAnsi="Arial" w:cs="Arial"/>
            <w:smallCaps/>
            <w:noProof/>
            <w:sz w:val="20"/>
            <w:szCs w:val="20"/>
            <w:lang w:eastAsia="fr-FR"/>
          </w:rPr>
          <w:t>Les mineurs non accompagnés</w:t>
        </w:r>
        <w:r w:rsidR="0045744D" w:rsidRPr="0045744D">
          <w:rPr>
            <w:rFonts w:ascii="Arial" w:eastAsiaTheme="minorEastAsia" w:hAnsi="Arial" w:cs="Arial"/>
            <w:smallCaps/>
            <w:noProof/>
            <w:webHidden/>
            <w:sz w:val="20"/>
            <w:szCs w:val="20"/>
            <w:lang w:val="en-US" w:eastAsia="fr-FR"/>
          </w:rPr>
          <w:tab/>
        </w:r>
      </w:hyperlink>
      <w:r w:rsidR="00FA732D">
        <w:rPr>
          <w:rFonts w:ascii="Arial" w:eastAsiaTheme="minorEastAsia" w:hAnsi="Arial" w:cs="Arial"/>
          <w:smallCaps/>
          <w:noProof/>
          <w:sz w:val="20"/>
          <w:szCs w:val="20"/>
          <w:lang w:val="en-US" w:eastAsia="fr-FR"/>
        </w:rPr>
        <w:t>16</w:t>
      </w:r>
    </w:p>
    <w:p w14:paraId="2A3C76F3" w14:textId="77777777" w:rsidR="0045744D" w:rsidRPr="0045744D" w:rsidRDefault="00581C13" w:rsidP="0045744D">
      <w:pPr>
        <w:tabs>
          <w:tab w:val="left" w:pos="720"/>
          <w:tab w:val="right" w:leader="dot" w:pos="9055"/>
        </w:tabs>
        <w:spacing w:after="0" w:line="240" w:lineRule="auto"/>
        <w:ind w:left="240"/>
        <w:rPr>
          <w:rFonts w:ascii="Arial" w:eastAsiaTheme="minorEastAsia" w:hAnsi="Arial" w:cs="Arial"/>
          <w:noProof/>
          <w:lang w:eastAsia="fr-FR"/>
        </w:rPr>
      </w:pPr>
      <w:hyperlink w:anchor="_Toc415581589" w:history="1">
        <w:r w:rsidR="0045744D" w:rsidRPr="0045744D">
          <w:rPr>
            <w:rFonts w:ascii="Arial" w:eastAsiaTheme="minorEastAsia" w:hAnsi="Arial" w:cs="Arial"/>
            <w:smallCaps/>
            <w:noProof/>
            <w:sz w:val="20"/>
            <w:szCs w:val="20"/>
            <w:lang w:eastAsia="fr-FR"/>
          </w:rPr>
          <w:t>2.</w:t>
        </w:r>
        <w:r w:rsidR="0045744D" w:rsidRPr="0045744D">
          <w:rPr>
            <w:rFonts w:ascii="Arial" w:eastAsiaTheme="minorEastAsia" w:hAnsi="Arial" w:cs="Arial"/>
            <w:noProof/>
            <w:lang w:eastAsia="fr-FR"/>
          </w:rPr>
          <w:tab/>
        </w:r>
        <w:r w:rsidR="0045744D" w:rsidRPr="0045744D">
          <w:rPr>
            <w:rFonts w:ascii="Arial" w:eastAsiaTheme="minorEastAsia" w:hAnsi="Arial" w:cs="Arial"/>
            <w:smallCaps/>
            <w:noProof/>
            <w:sz w:val="20"/>
            <w:szCs w:val="20"/>
            <w:lang w:eastAsia="fr-FR"/>
          </w:rPr>
          <w:t>l’accès aux services publics des etrangers</w:t>
        </w:r>
        <w:r w:rsidR="0045744D" w:rsidRPr="0045744D">
          <w:rPr>
            <w:rFonts w:ascii="Arial" w:eastAsiaTheme="minorEastAsia" w:hAnsi="Arial" w:cs="Arial"/>
            <w:smallCaps/>
            <w:noProof/>
            <w:webHidden/>
            <w:sz w:val="20"/>
            <w:szCs w:val="20"/>
            <w:lang w:val="en-US" w:eastAsia="fr-FR"/>
          </w:rPr>
          <w:tab/>
        </w:r>
      </w:hyperlink>
      <w:r w:rsidR="00FA732D">
        <w:rPr>
          <w:rFonts w:ascii="Arial" w:eastAsiaTheme="minorEastAsia" w:hAnsi="Arial" w:cs="Arial"/>
          <w:smallCaps/>
          <w:noProof/>
          <w:sz w:val="20"/>
          <w:szCs w:val="20"/>
          <w:lang w:val="en-US" w:eastAsia="fr-FR"/>
        </w:rPr>
        <w:t>19</w:t>
      </w:r>
    </w:p>
    <w:p w14:paraId="6CAC02F2" w14:textId="77777777" w:rsidR="0045744D" w:rsidRPr="0045744D" w:rsidRDefault="00581C13" w:rsidP="0045744D">
      <w:pPr>
        <w:tabs>
          <w:tab w:val="right" w:leader="dot" w:pos="9055"/>
        </w:tabs>
        <w:spacing w:before="120" w:after="120" w:line="240" w:lineRule="auto"/>
        <w:rPr>
          <w:rFonts w:ascii="Arial" w:eastAsiaTheme="minorEastAsia" w:hAnsi="Arial" w:cs="Arial"/>
          <w:noProof/>
          <w:lang w:eastAsia="fr-FR"/>
        </w:rPr>
      </w:pPr>
      <w:hyperlink w:anchor="_Toc415581595" w:history="1">
        <w:r w:rsidR="0045744D" w:rsidRPr="0045744D">
          <w:rPr>
            <w:rFonts w:ascii="Arial" w:eastAsiaTheme="minorEastAsia" w:hAnsi="Arial" w:cs="Arial"/>
            <w:b/>
            <w:bCs/>
            <w:caps/>
            <w:noProof/>
            <w:sz w:val="20"/>
            <w:szCs w:val="20"/>
            <w:lang w:eastAsia="fr-FR"/>
          </w:rPr>
          <w:t>Recommandations</w:t>
        </w:r>
        <w:r w:rsidR="0045744D" w:rsidRPr="0045744D">
          <w:rPr>
            <w:rFonts w:ascii="Arial" w:eastAsiaTheme="minorEastAsia" w:hAnsi="Arial" w:cs="Arial"/>
            <w:b/>
            <w:bCs/>
            <w:caps/>
            <w:noProof/>
            <w:webHidden/>
            <w:sz w:val="20"/>
            <w:szCs w:val="20"/>
            <w:lang w:val="en-US" w:eastAsia="fr-FR"/>
          </w:rPr>
          <w:tab/>
        </w:r>
      </w:hyperlink>
      <w:r w:rsidR="00FA732D">
        <w:rPr>
          <w:rFonts w:ascii="Arial" w:eastAsiaTheme="minorEastAsia" w:hAnsi="Arial" w:cs="Arial"/>
          <w:b/>
          <w:bCs/>
          <w:caps/>
          <w:noProof/>
          <w:sz w:val="20"/>
          <w:szCs w:val="20"/>
          <w:lang w:val="en-US" w:eastAsia="fr-FR"/>
        </w:rPr>
        <w:t>20</w:t>
      </w:r>
    </w:p>
    <w:p w14:paraId="1DF9E05F" w14:textId="77777777" w:rsidR="0045744D" w:rsidRPr="0045744D" w:rsidRDefault="0045744D" w:rsidP="0045744D">
      <w:pPr>
        <w:tabs>
          <w:tab w:val="left" w:pos="960"/>
          <w:tab w:val="right" w:leader="dot" w:pos="9055"/>
        </w:tabs>
        <w:spacing w:after="0" w:line="240" w:lineRule="auto"/>
        <w:ind w:left="480"/>
        <w:rPr>
          <w:rFonts w:ascii="Arial" w:eastAsiaTheme="minorEastAsia" w:hAnsi="Arial" w:cs="Arial"/>
          <w:noProof/>
          <w:lang w:eastAsia="fr-FR"/>
        </w:rPr>
      </w:pPr>
    </w:p>
    <w:p w14:paraId="16216A11" w14:textId="77777777" w:rsidR="0045744D" w:rsidRPr="0045744D" w:rsidRDefault="0045744D" w:rsidP="0045744D">
      <w:pPr>
        <w:rPr>
          <w:rFonts w:ascii="Arial" w:hAnsi="Arial" w:cs="Arial"/>
          <w:lang w:eastAsia="fr-FR"/>
        </w:rPr>
      </w:pPr>
    </w:p>
    <w:p w14:paraId="1AEEC194" w14:textId="77777777" w:rsidR="0045744D" w:rsidRPr="0045744D" w:rsidRDefault="0045744D" w:rsidP="0045744D">
      <w:pPr>
        <w:rPr>
          <w:lang w:eastAsia="fr-FR"/>
        </w:rPr>
      </w:pPr>
    </w:p>
    <w:p w14:paraId="54851578" w14:textId="77777777" w:rsidR="0045744D" w:rsidRPr="0045744D" w:rsidRDefault="0045744D" w:rsidP="0045744D">
      <w:pPr>
        <w:rPr>
          <w:lang w:eastAsia="fr-FR"/>
        </w:rPr>
      </w:pPr>
    </w:p>
    <w:p w14:paraId="10957A1C" w14:textId="77777777" w:rsidR="0045744D" w:rsidRPr="0045744D" w:rsidRDefault="0045744D" w:rsidP="0045744D">
      <w:pPr>
        <w:rPr>
          <w:lang w:eastAsia="fr-FR"/>
        </w:rPr>
      </w:pPr>
    </w:p>
    <w:p w14:paraId="517A2BA9" w14:textId="77777777" w:rsidR="0045744D" w:rsidRPr="0045744D" w:rsidRDefault="0045744D" w:rsidP="0045744D">
      <w:pPr>
        <w:rPr>
          <w:lang w:eastAsia="fr-FR"/>
        </w:rPr>
      </w:pPr>
    </w:p>
    <w:p w14:paraId="56E9C1AB" w14:textId="77777777" w:rsidR="0045744D" w:rsidRPr="0045744D" w:rsidRDefault="0045744D" w:rsidP="0045744D">
      <w:pPr>
        <w:rPr>
          <w:lang w:eastAsia="fr-FR"/>
        </w:rPr>
      </w:pPr>
    </w:p>
    <w:p w14:paraId="60B79DB4" w14:textId="77777777" w:rsidR="0045744D" w:rsidRPr="0045744D" w:rsidRDefault="0045744D" w:rsidP="0045744D">
      <w:pPr>
        <w:rPr>
          <w:lang w:eastAsia="fr-FR"/>
        </w:rPr>
      </w:pPr>
    </w:p>
    <w:p w14:paraId="7F29E165" w14:textId="77777777" w:rsidR="0045744D" w:rsidRPr="0045744D" w:rsidRDefault="0045744D" w:rsidP="0045744D">
      <w:pPr>
        <w:rPr>
          <w:lang w:eastAsia="fr-FR"/>
        </w:rPr>
      </w:pPr>
    </w:p>
    <w:p w14:paraId="04B8EC30" w14:textId="77777777" w:rsidR="0045744D" w:rsidRPr="0045744D" w:rsidRDefault="0045744D" w:rsidP="0045744D">
      <w:pPr>
        <w:rPr>
          <w:lang w:eastAsia="fr-FR"/>
        </w:rPr>
      </w:pPr>
    </w:p>
    <w:p w14:paraId="454990BB" w14:textId="77777777" w:rsidR="0045744D" w:rsidRPr="0045744D" w:rsidRDefault="0045744D" w:rsidP="0045744D">
      <w:pPr>
        <w:rPr>
          <w:lang w:eastAsia="fr-FR"/>
        </w:rPr>
      </w:pPr>
    </w:p>
    <w:p w14:paraId="32421E9D" w14:textId="77777777" w:rsidR="0045744D" w:rsidRPr="0045744D" w:rsidRDefault="0045744D" w:rsidP="0045744D">
      <w:pPr>
        <w:rPr>
          <w:lang w:eastAsia="fr-FR"/>
        </w:rPr>
      </w:pPr>
    </w:p>
    <w:p w14:paraId="2D9D4E38" w14:textId="77777777" w:rsidR="0045744D" w:rsidRPr="0045744D" w:rsidRDefault="0045744D" w:rsidP="0045744D">
      <w:pPr>
        <w:rPr>
          <w:lang w:eastAsia="fr-FR"/>
        </w:rPr>
      </w:pPr>
    </w:p>
    <w:p w14:paraId="06CE8460" w14:textId="77777777" w:rsidR="0045744D" w:rsidRPr="0045744D" w:rsidRDefault="0045744D" w:rsidP="0045744D">
      <w:pPr>
        <w:rPr>
          <w:lang w:eastAsia="fr-FR"/>
        </w:rPr>
      </w:pPr>
    </w:p>
    <w:p w14:paraId="3BB91C09" w14:textId="77777777" w:rsidR="000C0044" w:rsidRDefault="000C0044">
      <w:pPr>
        <w:rPr>
          <w:lang w:eastAsia="fr-FR"/>
        </w:rPr>
        <w:sectPr w:rsidR="000C0044" w:rsidSect="00526E57">
          <w:footerReference w:type="default" r:id="rId13"/>
          <w:pgSz w:w="11906" w:h="16838"/>
          <w:pgMar w:top="1135" w:right="1417" w:bottom="709" w:left="1417" w:header="708" w:footer="708" w:gutter="0"/>
          <w:cols w:space="708"/>
          <w:titlePg/>
          <w:docGrid w:linePitch="360"/>
        </w:sectPr>
      </w:pPr>
      <w:r>
        <w:rPr>
          <w:noProof/>
          <w:lang w:eastAsia="fr-FR"/>
        </w:rPr>
        <mc:AlternateContent>
          <mc:Choice Requires="wps">
            <w:drawing>
              <wp:anchor distT="0" distB="0" distL="114300" distR="114300" simplePos="0" relativeHeight="251659264" behindDoc="0" locked="0" layoutInCell="1" allowOverlap="1" wp14:anchorId="631FE60E" wp14:editId="59C98079">
                <wp:simplePos x="0" y="0"/>
                <wp:positionH relativeFrom="column">
                  <wp:posOffset>5601430</wp:posOffset>
                </wp:positionH>
                <wp:positionV relativeFrom="paragraph">
                  <wp:posOffset>521933</wp:posOffset>
                </wp:positionV>
                <wp:extent cx="340327" cy="231812"/>
                <wp:effectExtent l="0" t="0" r="3175" b="0"/>
                <wp:wrapNone/>
                <wp:docPr id="1" name="Ellipse 1"/>
                <wp:cNvGraphicFramePr/>
                <a:graphic xmlns:a="http://schemas.openxmlformats.org/drawingml/2006/main">
                  <a:graphicData uri="http://schemas.microsoft.com/office/word/2010/wordprocessingShape">
                    <wps:wsp>
                      <wps:cNvSpPr/>
                      <wps:spPr>
                        <a:xfrm>
                          <a:off x="0" y="0"/>
                          <a:ext cx="340327" cy="231812"/>
                        </a:xfrm>
                        <a:prstGeom prst="ellipse">
                          <a:avLst/>
                        </a:prstGeom>
                        <a:solidFill>
                          <a:schemeClr val="bg1"/>
                        </a:solid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C877238" id="Ellipse 1" o:spid="_x0000_s1026" style="position:absolute;margin-left:441.05pt;margin-top:41.1pt;width:26.8pt;height:1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" fillcolor="white [3212]" stroked="f" strokeweight="1pt">
                <v:stroke joinstyle="miter"/>
              </v:oval>
            </w:pict>
          </mc:Fallback>
        </mc:AlternateContent>
      </w:r>
    </w:p>
    <w:tbl>
      <w:tblPr>
        <w:tblStyle w:val="Grilledutableau"/>
        <w:tblW w:w="0" w:type="auto"/>
        <w:tblLook w:val="04A0" w:firstRow="1" w:lastRow="0" w:firstColumn="1" w:lastColumn="0" w:noHBand="0" w:noVBand="1"/>
      </w:tblPr>
      <w:tblGrid>
        <w:gridCol w:w="9072"/>
      </w:tblGrid>
      <w:tr w:rsidR="0045744D" w:rsidRPr="0045744D" w14:paraId="7AD1BDBB" w14:textId="77777777" w:rsidTr="0045744D">
        <w:tc>
          <w:tcPr>
            <w:tcW w:w="9072" w:type="dxa"/>
            <w:tcBorders>
              <w:top w:val="nil"/>
              <w:left w:val="nil"/>
              <w:bottom w:val="nil"/>
              <w:right w:val="nil"/>
            </w:tcBorders>
            <w:shd w:val="clear" w:color="auto" w:fill="D9D9D9" w:themeFill="background1" w:themeFillShade="D9"/>
          </w:tcPr>
          <w:p w14:paraId="477551D9" w14:textId="77777777" w:rsidR="0045744D" w:rsidRPr="0045744D" w:rsidRDefault="0045744D" w:rsidP="0045744D">
            <w:pPr>
              <w:keepNext/>
              <w:keepLines/>
              <w:jc w:val="both"/>
              <w:outlineLvl w:val="0"/>
              <w:rPr>
                <w:rFonts w:ascii="Arial" w:eastAsiaTheme="majorEastAsia" w:hAnsi="Arial" w:cs="Arial"/>
                <w:b/>
                <w:bCs/>
                <w:sz w:val="20"/>
                <w:szCs w:val="20"/>
              </w:rPr>
            </w:pPr>
            <w:bookmarkStart w:id="0" w:name="_Toc282794096"/>
            <w:bookmarkStart w:id="1" w:name="_Toc282794286"/>
            <w:bookmarkStart w:id="2" w:name="_Toc282795919"/>
            <w:bookmarkStart w:id="3" w:name="_Toc413409290"/>
            <w:bookmarkStart w:id="4" w:name="_Toc415581580"/>
            <w:r w:rsidRPr="0045744D">
              <w:rPr>
                <w:rFonts w:ascii="Arial" w:eastAsiaTheme="majorEastAsia" w:hAnsi="Arial" w:cs="Arial"/>
                <w:b/>
                <w:bCs/>
                <w:sz w:val="20"/>
                <w:szCs w:val="20"/>
              </w:rPr>
              <w:lastRenderedPageBreak/>
              <w:t>LA LUTTE CONTRE LE RACISME, L’ANTISÉMITISME ET LA XÉNOPHOBIE</w:t>
            </w:r>
            <w:bookmarkEnd w:id="0"/>
            <w:bookmarkEnd w:id="1"/>
            <w:bookmarkEnd w:id="2"/>
            <w:bookmarkEnd w:id="3"/>
            <w:bookmarkEnd w:id="4"/>
          </w:p>
        </w:tc>
      </w:tr>
    </w:tbl>
    <w:p w14:paraId="5B68AF36" w14:textId="77777777" w:rsidR="0045744D" w:rsidRPr="0045744D" w:rsidRDefault="0045744D" w:rsidP="0045744D">
      <w:pPr>
        <w:spacing w:after="0" w:line="240" w:lineRule="atLeast"/>
        <w:jc w:val="both"/>
        <w:rPr>
          <w:rFonts w:ascii="Arial" w:eastAsia="Calibri" w:hAnsi="Arial" w:cs="Arial"/>
          <w:b/>
          <w:sz w:val="20"/>
          <w:szCs w:val="20"/>
        </w:rPr>
      </w:pPr>
    </w:p>
    <w:p w14:paraId="5A168342" w14:textId="77777777" w:rsidR="0045744D" w:rsidRPr="0045744D" w:rsidRDefault="0045744D" w:rsidP="0045744D">
      <w:pPr>
        <w:numPr>
          <w:ilvl w:val="0"/>
          <w:numId w:val="1"/>
        </w:numPr>
        <w:spacing w:after="0" w:line="240" w:lineRule="atLeast"/>
        <w:contextualSpacing/>
        <w:jc w:val="both"/>
        <w:rPr>
          <w:rFonts w:ascii="Arial" w:eastAsia="Calibri" w:hAnsi="Arial" w:cs="Arial"/>
          <w:b/>
          <w:sz w:val="20"/>
          <w:szCs w:val="20"/>
        </w:rPr>
      </w:pPr>
      <w:r w:rsidRPr="0045744D">
        <w:rPr>
          <w:rFonts w:ascii="Arial" w:eastAsia="Calibri" w:hAnsi="Arial" w:cs="Arial"/>
          <w:b/>
          <w:sz w:val="20"/>
          <w:szCs w:val="20"/>
        </w:rPr>
        <w:t xml:space="preserve">Les discours de haine à l’encontre des populations étrangères </w:t>
      </w:r>
    </w:p>
    <w:p w14:paraId="2CB6503F" w14:textId="77777777" w:rsidR="0045744D" w:rsidRPr="0045744D" w:rsidRDefault="0045744D" w:rsidP="0045744D">
      <w:pPr>
        <w:spacing w:after="0" w:line="240" w:lineRule="atLeast"/>
        <w:jc w:val="both"/>
        <w:rPr>
          <w:rFonts w:ascii="Arial" w:eastAsia="Calibri" w:hAnsi="Arial" w:cs="Arial"/>
          <w:sz w:val="20"/>
          <w:szCs w:val="20"/>
        </w:rPr>
      </w:pPr>
    </w:p>
    <w:p w14:paraId="69314F7C" w14:textId="77777777" w:rsidR="0045744D" w:rsidRPr="004F6CD1" w:rsidRDefault="0045744D" w:rsidP="00A37B18">
      <w:pPr>
        <w:pStyle w:val="Paragraphedeliste"/>
        <w:numPr>
          <w:ilvl w:val="0"/>
          <w:numId w:val="9"/>
        </w:numPr>
        <w:spacing w:after="0" w:line="240" w:lineRule="auto"/>
        <w:jc w:val="both"/>
        <w:rPr>
          <w:rFonts w:ascii="Arial" w:eastAsia="Calibri" w:hAnsi="Arial" w:cs="Arial"/>
          <w:sz w:val="20"/>
          <w:szCs w:val="20"/>
        </w:rPr>
      </w:pPr>
      <w:r w:rsidRPr="004F6CD1">
        <w:rPr>
          <w:rFonts w:ascii="Arial" w:eastAsia="Calibri" w:hAnsi="Arial" w:cs="Arial"/>
          <w:sz w:val="20"/>
          <w:szCs w:val="20"/>
        </w:rPr>
        <w:t>Dans ses observations finales, votre Comité était préoccupé par la recrudescence du discours de haine raciale et xénophobe de la part de certains milieux politiques et des médias contribuant à la banalisation du racisme et de la xénophobie au sein de la population française à l’égard des étrangers et des personnes appartenant à des groupes minoritaires et prononçait ainsi plusieurs recommandations</w:t>
      </w:r>
      <w:r w:rsidRPr="0045744D">
        <w:rPr>
          <w:vertAlign w:val="superscript"/>
        </w:rPr>
        <w:footnoteReference w:id="1"/>
      </w:r>
      <w:r w:rsidRPr="004F6CD1">
        <w:rPr>
          <w:rFonts w:ascii="Arial" w:eastAsia="Calibri" w:hAnsi="Arial" w:cs="Arial"/>
          <w:sz w:val="20"/>
          <w:szCs w:val="20"/>
        </w:rPr>
        <w:t>.</w:t>
      </w:r>
    </w:p>
    <w:p w14:paraId="23C336A5" w14:textId="77777777" w:rsidR="0045744D" w:rsidRPr="004F6CD1" w:rsidRDefault="0045744D" w:rsidP="00A37B18">
      <w:pPr>
        <w:pStyle w:val="Paragraphedeliste"/>
        <w:spacing w:after="0" w:line="240" w:lineRule="auto"/>
        <w:ind w:left="360"/>
        <w:jc w:val="both"/>
        <w:rPr>
          <w:rFonts w:ascii="Arial" w:eastAsia="Calibri" w:hAnsi="Arial" w:cs="Arial"/>
          <w:sz w:val="20"/>
          <w:szCs w:val="20"/>
        </w:rPr>
      </w:pPr>
    </w:p>
    <w:p w14:paraId="13140F51" w14:textId="77777777" w:rsidR="0045744D" w:rsidRPr="004F6CD1" w:rsidRDefault="0045744D" w:rsidP="00A37B18">
      <w:pPr>
        <w:pStyle w:val="Paragraphedeliste"/>
        <w:numPr>
          <w:ilvl w:val="0"/>
          <w:numId w:val="9"/>
        </w:numPr>
        <w:spacing w:after="0" w:line="240" w:lineRule="auto"/>
        <w:jc w:val="both"/>
        <w:rPr>
          <w:rFonts w:ascii="Arial" w:eastAsia="Calibri" w:hAnsi="Arial" w:cs="Arial"/>
          <w:sz w:val="20"/>
          <w:szCs w:val="20"/>
        </w:rPr>
      </w:pPr>
      <w:r w:rsidRPr="004F6CD1">
        <w:rPr>
          <w:rFonts w:ascii="Arial" w:eastAsia="Calibri" w:hAnsi="Arial" w:cs="Arial"/>
          <w:sz w:val="20"/>
          <w:szCs w:val="20"/>
        </w:rPr>
        <w:t>Force est de constater que depuis les sept années qui ont suivi vos observations, les disco</w:t>
      </w:r>
      <w:r w:rsidR="008F762E">
        <w:rPr>
          <w:rFonts w:ascii="Arial" w:eastAsia="Calibri" w:hAnsi="Arial" w:cs="Arial"/>
          <w:sz w:val="20"/>
          <w:szCs w:val="20"/>
        </w:rPr>
        <w:t>urs de haine à caractère racial</w:t>
      </w:r>
      <w:r w:rsidRPr="004F6CD1">
        <w:rPr>
          <w:rFonts w:ascii="Arial" w:eastAsia="Calibri" w:hAnsi="Arial" w:cs="Arial"/>
          <w:sz w:val="20"/>
          <w:szCs w:val="20"/>
        </w:rPr>
        <w:t xml:space="preserve"> ont proliféré et que trop souvent, les pouvoirs publics restent taisant</w:t>
      </w:r>
      <w:r w:rsidR="008F762E">
        <w:rPr>
          <w:rFonts w:ascii="Arial" w:eastAsia="Calibri" w:hAnsi="Arial" w:cs="Arial"/>
          <w:sz w:val="20"/>
          <w:szCs w:val="20"/>
        </w:rPr>
        <w:t>s</w:t>
      </w:r>
      <w:r w:rsidRPr="004F6CD1">
        <w:rPr>
          <w:rFonts w:ascii="Arial" w:eastAsia="Calibri" w:hAnsi="Arial" w:cs="Arial"/>
          <w:sz w:val="20"/>
          <w:szCs w:val="20"/>
        </w:rPr>
        <w:t xml:space="preserve"> envers nombre d’entre eux, notamment ceux visant la communauté musulmane. </w:t>
      </w:r>
    </w:p>
    <w:p w14:paraId="039C52D2" w14:textId="77777777" w:rsidR="0045744D" w:rsidRPr="004F6CD1" w:rsidRDefault="0045744D" w:rsidP="00A37B18">
      <w:pPr>
        <w:pStyle w:val="Paragraphedeliste"/>
        <w:spacing w:after="0" w:line="240" w:lineRule="auto"/>
        <w:ind w:left="360"/>
        <w:jc w:val="both"/>
        <w:rPr>
          <w:rFonts w:ascii="Arial" w:eastAsia="Calibri" w:hAnsi="Arial" w:cs="Arial"/>
          <w:sz w:val="20"/>
          <w:szCs w:val="20"/>
        </w:rPr>
      </w:pPr>
    </w:p>
    <w:p w14:paraId="1F220534" w14:textId="49DEE365" w:rsidR="0045744D" w:rsidRPr="004F6CD1" w:rsidRDefault="0045744D" w:rsidP="00A37B18">
      <w:pPr>
        <w:pStyle w:val="Paragraphedeliste"/>
        <w:numPr>
          <w:ilvl w:val="0"/>
          <w:numId w:val="9"/>
        </w:numPr>
        <w:spacing w:after="0" w:line="240" w:lineRule="auto"/>
        <w:jc w:val="both"/>
        <w:rPr>
          <w:rFonts w:ascii="Arial" w:eastAsia="Calibri" w:hAnsi="Arial" w:cs="Arial"/>
          <w:sz w:val="20"/>
          <w:szCs w:val="20"/>
        </w:rPr>
      </w:pPr>
      <w:r w:rsidRPr="004F6CD1">
        <w:rPr>
          <w:rFonts w:ascii="Arial" w:eastAsia="Calibri" w:hAnsi="Arial" w:cs="Arial"/>
          <w:sz w:val="20"/>
          <w:szCs w:val="20"/>
        </w:rPr>
        <w:t>La LDH n’entend pas ici recenser l’ensemble des propos tenus ou non sur internet appelant à la haine l’ayant conduit</w:t>
      </w:r>
      <w:r w:rsidR="008F5418">
        <w:rPr>
          <w:rFonts w:ascii="Arial" w:eastAsia="Calibri" w:hAnsi="Arial" w:cs="Arial"/>
          <w:sz w:val="20"/>
          <w:szCs w:val="20"/>
        </w:rPr>
        <w:t>e</w:t>
      </w:r>
      <w:r w:rsidRPr="004F6CD1">
        <w:rPr>
          <w:rFonts w:ascii="Arial" w:eastAsia="Calibri" w:hAnsi="Arial" w:cs="Arial"/>
          <w:sz w:val="20"/>
          <w:szCs w:val="20"/>
        </w:rPr>
        <w:t xml:space="preserve"> à mener une action judiciaire. En revanche, l’inaction des pouvoirs publics contre les propos tenus notamment par des personnages publics, pour certains d’entre eux représentants l’autorité publique, mérite d’être pointée comme ayant manifestement méconnu les </w:t>
      </w:r>
      <w:r w:rsidR="008F762E">
        <w:rPr>
          <w:rFonts w:ascii="Arial" w:eastAsia="Calibri" w:hAnsi="Arial" w:cs="Arial"/>
          <w:sz w:val="20"/>
          <w:szCs w:val="20"/>
        </w:rPr>
        <w:t>recommandations issues de vos dernières observations finales</w:t>
      </w:r>
      <w:r w:rsidRPr="004F6CD1">
        <w:rPr>
          <w:rFonts w:ascii="Arial" w:eastAsia="Calibri" w:hAnsi="Arial" w:cs="Arial"/>
          <w:sz w:val="20"/>
          <w:szCs w:val="20"/>
        </w:rPr>
        <w:t xml:space="preserve">. </w:t>
      </w:r>
    </w:p>
    <w:p w14:paraId="772E573B" w14:textId="77777777" w:rsidR="0045744D" w:rsidRPr="004F6CD1" w:rsidRDefault="0045744D" w:rsidP="00A37B18">
      <w:pPr>
        <w:pStyle w:val="Paragraphedeliste"/>
        <w:spacing w:after="0" w:line="240" w:lineRule="auto"/>
        <w:ind w:left="360"/>
        <w:jc w:val="both"/>
        <w:rPr>
          <w:rFonts w:ascii="Arial" w:eastAsia="Calibri" w:hAnsi="Arial" w:cs="Arial"/>
          <w:sz w:val="20"/>
          <w:szCs w:val="20"/>
        </w:rPr>
      </w:pPr>
    </w:p>
    <w:p w14:paraId="47D56D3E" w14:textId="77777777" w:rsidR="0045744D" w:rsidRPr="004F6CD1" w:rsidRDefault="0045744D" w:rsidP="00A37B18">
      <w:pPr>
        <w:pStyle w:val="Paragraphedeliste"/>
        <w:numPr>
          <w:ilvl w:val="0"/>
          <w:numId w:val="9"/>
        </w:numPr>
        <w:spacing w:after="0" w:line="240" w:lineRule="auto"/>
        <w:jc w:val="both"/>
        <w:rPr>
          <w:rFonts w:ascii="Arial" w:eastAsia="Calibri" w:hAnsi="Arial" w:cs="Arial"/>
          <w:sz w:val="20"/>
          <w:szCs w:val="20"/>
        </w:rPr>
      </w:pPr>
      <w:r w:rsidRPr="004F6CD1">
        <w:rPr>
          <w:rFonts w:ascii="Arial" w:eastAsia="Calibri" w:hAnsi="Arial" w:cs="Arial"/>
          <w:sz w:val="20"/>
          <w:szCs w:val="20"/>
        </w:rPr>
        <w:t>Pourtant, la circulaire du garde des Sceaux du 4 avril 2019 de « lutte contre les discriminations, les propos et les comportements haineux »</w:t>
      </w:r>
      <w:r w:rsidRPr="0045744D">
        <w:rPr>
          <w:vertAlign w:val="superscript"/>
        </w:rPr>
        <w:footnoteReference w:id="2"/>
      </w:r>
      <w:r w:rsidRPr="004F6CD1">
        <w:rPr>
          <w:rFonts w:ascii="Arial" w:eastAsia="Calibri" w:hAnsi="Arial" w:cs="Arial"/>
          <w:sz w:val="20"/>
          <w:szCs w:val="20"/>
        </w:rPr>
        <w:t xml:space="preserve"> affiche en son point 2.1.1 sa volonté d’apporter « </w:t>
      </w:r>
      <w:r w:rsidRPr="004F6CD1">
        <w:rPr>
          <w:rFonts w:ascii="Arial" w:eastAsia="Calibri" w:hAnsi="Arial" w:cs="Arial"/>
          <w:i/>
          <w:sz w:val="20"/>
          <w:szCs w:val="20"/>
        </w:rPr>
        <w:t>une réponse systématique adaptée au contexte et à la personnalité de l’auteur</w:t>
      </w:r>
      <w:r w:rsidRPr="004F6CD1">
        <w:rPr>
          <w:rFonts w:ascii="Arial" w:eastAsia="Calibri" w:hAnsi="Arial" w:cs="Arial"/>
          <w:sz w:val="20"/>
          <w:szCs w:val="20"/>
        </w:rPr>
        <w:t> ». Précisément, s’agissant des propos haineux</w:t>
      </w:r>
      <w:r w:rsidR="00AE12A1">
        <w:rPr>
          <w:rFonts w:ascii="Arial" w:eastAsia="Calibri" w:hAnsi="Arial" w:cs="Arial"/>
          <w:sz w:val="20"/>
          <w:szCs w:val="20"/>
        </w:rPr>
        <w:t>,</w:t>
      </w:r>
      <w:r w:rsidRPr="004F6CD1">
        <w:rPr>
          <w:rFonts w:ascii="Arial" w:eastAsia="Calibri" w:hAnsi="Arial" w:cs="Arial"/>
          <w:sz w:val="20"/>
          <w:szCs w:val="20"/>
        </w:rPr>
        <w:t xml:space="preserve"> la circulaire mentionne que « </w:t>
      </w:r>
      <w:r w:rsidRPr="004F6CD1">
        <w:rPr>
          <w:rFonts w:ascii="Arial" w:eastAsia="Calibri" w:hAnsi="Arial" w:cs="Arial"/>
          <w:i/>
          <w:sz w:val="20"/>
          <w:szCs w:val="20"/>
        </w:rPr>
        <w:t>Il faut en effet que la réponse pénale permette non seulement de faire cesser le trouble à l’ordre public, de rassurer les victimes mais aussi de préparer l’avenir en prévenant la récidive</w:t>
      </w:r>
      <w:r w:rsidRPr="004F6CD1">
        <w:rPr>
          <w:rFonts w:ascii="Arial" w:eastAsia="Calibri" w:hAnsi="Arial" w:cs="Arial"/>
          <w:sz w:val="20"/>
          <w:szCs w:val="20"/>
        </w:rPr>
        <w:t> ». Et d’ajouter « </w:t>
      </w:r>
      <w:r w:rsidRPr="004F6CD1">
        <w:rPr>
          <w:rFonts w:ascii="Arial" w:eastAsia="Calibri" w:hAnsi="Arial" w:cs="Arial"/>
          <w:i/>
          <w:sz w:val="20"/>
          <w:szCs w:val="20"/>
        </w:rPr>
        <w:t>ces poursuites devront être diligentées avec célérité afin de veiller à ce que la diffusion du message haineux cesse</w:t>
      </w:r>
      <w:r w:rsidRPr="004F6CD1">
        <w:rPr>
          <w:rFonts w:ascii="Arial" w:eastAsia="Calibri" w:hAnsi="Arial" w:cs="Arial"/>
          <w:sz w:val="20"/>
          <w:szCs w:val="20"/>
        </w:rPr>
        <w:t> ».</w:t>
      </w:r>
    </w:p>
    <w:p w14:paraId="61CCB245" w14:textId="77777777" w:rsidR="0045744D" w:rsidRPr="004F6CD1" w:rsidRDefault="0045744D" w:rsidP="00A37B18">
      <w:pPr>
        <w:pStyle w:val="Paragraphedeliste"/>
        <w:spacing w:after="0" w:line="240" w:lineRule="auto"/>
        <w:ind w:left="360"/>
        <w:jc w:val="both"/>
        <w:rPr>
          <w:rFonts w:ascii="Arial" w:eastAsia="Calibri" w:hAnsi="Arial" w:cs="Arial"/>
          <w:sz w:val="20"/>
          <w:szCs w:val="20"/>
        </w:rPr>
      </w:pPr>
    </w:p>
    <w:p w14:paraId="04DFFD9A" w14:textId="77777777" w:rsidR="0045744D" w:rsidRPr="004F6CD1" w:rsidRDefault="0045744D" w:rsidP="00A37B18">
      <w:pPr>
        <w:pStyle w:val="Paragraphedeliste"/>
        <w:numPr>
          <w:ilvl w:val="0"/>
          <w:numId w:val="9"/>
        </w:numPr>
        <w:spacing w:after="0" w:line="240" w:lineRule="auto"/>
        <w:jc w:val="both"/>
        <w:rPr>
          <w:rFonts w:ascii="Arial" w:eastAsia="Calibri" w:hAnsi="Arial" w:cs="Arial"/>
          <w:sz w:val="20"/>
          <w:szCs w:val="20"/>
        </w:rPr>
      </w:pPr>
      <w:r w:rsidRPr="004F6CD1">
        <w:rPr>
          <w:rFonts w:ascii="Arial" w:eastAsia="Calibri" w:hAnsi="Arial" w:cs="Arial"/>
          <w:sz w:val="20"/>
          <w:szCs w:val="20"/>
        </w:rPr>
        <w:t>La LDH ne peut que constater que ces prescriptions n’ont pas été mise</w:t>
      </w:r>
      <w:r w:rsidR="00AE12A1">
        <w:rPr>
          <w:rFonts w:ascii="Arial" w:eastAsia="Calibri" w:hAnsi="Arial" w:cs="Arial"/>
          <w:sz w:val="20"/>
          <w:szCs w:val="20"/>
        </w:rPr>
        <w:t>s</w:t>
      </w:r>
      <w:r w:rsidRPr="004F6CD1">
        <w:rPr>
          <w:rFonts w:ascii="Arial" w:eastAsia="Calibri" w:hAnsi="Arial" w:cs="Arial"/>
          <w:sz w:val="20"/>
          <w:szCs w:val="20"/>
        </w:rPr>
        <w:t xml:space="preserve"> en œuvre. Sans exhaustivité, la LDH peut ici rapporter plus</w:t>
      </w:r>
      <w:r w:rsidR="00AE12A1">
        <w:rPr>
          <w:rFonts w:ascii="Arial" w:eastAsia="Calibri" w:hAnsi="Arial" w:cs="Arial"/>
          <w:sz w:val="20"/>
          <w:szCs w:val="20"/>
        </w:rPr>
        <w:t>ieurs</w:t>
      </w:r>
      <w:r w:rsidRPr="004F6CD1">
        <w:rPr>
          <w:rFonts w:ascii="Arial" w:eastAsia="Calibri" w:hAnsi="Arial" w:cs="Arial"/>
          <w:sz w:val="20"/>
          <w:szCs w:val="20"/>
        </w:rPr>
        <w:t xml:space="preserve"> affaires récentes dans lesquelles des personnages publics se sont illustrés en tenant des discours largement médiatisés incitant manifestement à la haine raciale ou constitutifs d’injures à caractère racial pour lesquelles l’autorité judiciaire n’a pas pris l’initiative de poursuivre. </w:t>
      </w:r>
    </w:p>
    <w:p w14:paraId="2010AC14" w14:textId="77777777" w:rsidR="0045744D" w:rsidRPr="004F6CD1" w:rsidRDefault="0045744D" w:rsidP="00A37B18">
      <w:pPr>
        <w:pStyle w:val="Paragraphedeliste"/>
        <w:spacing w:after="0" w:line="240" w:lineRule="auto"/>
        <w:ind w:left="360"/>
        <w:jc w:val="both"/>
        <w:rPr>
          <w:rFonts w:ascii="Arial" w:eastAsia="Times New Roman" w:hAnsi="Arial" w:cs="Arial"/>
          <w:bCs/>
          <w:sz w:val="20"/>
          <w:szCs w:val="20"/>
          <w:lang w:eastAsia="fr-FR"/>
        </w:rPr>
      </w:pPr>
    </w:p>
    <w:p w14:paraId="3AA63868" w14:textId="77777777" w:rsidR="0045744D" w:rsidRPr="004F6CD1" w:rsidRDefault="0045744D" w:rsidP="00A37B18">
      <w:pPr>
        <w:pStyle w:val="Paragraphedeliste"/>
        <w:numPr>
          <w:ilvl w:val="0"/>
          <w:numId w:val="9"/>
        </w:numPr>
        <w:spacing w:after="0" w:line="240" w:lineRule="auto"/>
        <w:jc w:val="both"/>
        <w:rPr>
          <w:rFonts w:ascii="Arial" w:eastAsia="Calibri" w:hAnsi="Arial" w:cs="Arial"/>
          <w:sz w:val="20"/>
          <w:szCs w:val="20"/>
        </w:rPr>
      </w:pPr>
      <w:r w:rsidRPr="004F6CD1">
        <w:rPr>
          <w:rFonts w:ascii="Arial" w:eastAsia="Calibri" w:hAnsi="Arial" w:cs="Arial"/>
          <w:sz w:val="20"/>
          <w:szCs w:val="20"/>
        </w:rPr>
        <w:t xml:space="preserve">Madame Agnès Cerighelli conseillère municipale à Saint-Germain-en-Laye s’est illustrée au mois de décembre 2019, à l'occasion de la grève de la SNCF et de la RATP, par des tweets islamophobes accusant la direction de la RATP d'avoir </w:t>
      </w:r>
      <w:r w:rsidRPr="004F6CD1">
        <w:rPr>
          <w:rFonts w:ascii="Arial" w:eastAsia="Calibri" w:hAnsi="Arial" w:cs="Arial"/>
          <w:i/>
          <w:iCs/>
          <w:sz w:val="20"/>
          <w:szCs w:val="20"/>
        </w:rPr>
        <w:t>« embauché trop d'arabo-musulmans</w:t>
      </w:r>
      <w:r w:rsidRPr="004F6CD1">
        <w:rPr>
          <w:rFonts w:ascii="Arial" w:eastAsia="Calibri" w:hAnsi="Arial" w:cs="Arial"/>
          <w:iCs/>
          <w:sz w:val="20"/>
          <w:szCs w:val="20"/>
        </w:rPr>
        <w:t> »</w:t>
      </w:r>
      <w:r w:rsidRPr="004F6CD1">
        <w:rPr>
          <w:rFonts w:ascii="Arial" w:eastAsia="Calibri" w:hAnsi="Arial" w:cs="Arial"/>
          <w:sz w:val="20"/>
          <w:szCs w:val="20"/>
        </w:rPr>
        <w:t xml:space="preserve"> qui traiteraient les usagers </w:t>
      </w:r>
      <w:r w:rsidRPr="004F6CD1">
        <w:rPr>
          <w:rFonts w:ascii="Arial" w:eastAsia="Calibri" w:hAnsi="Arial" w:cs="Arial"/>
          <w:i/>
          <w:iCs/>
          <w:sz w:val="20"/>
          <w:szCs w:val="20"/>
        </w:rPr>
        <w:t>« comme du bétail </w:t>
      </w:r>
      <w:r w:rsidRPr="004F6CD1">
        <w:rPr>
          <w:rFonts w:ascii="Arial" w:eastAsia="Calibri" w:hAnsi="Arial" w:cs="Arial"/>
          <w:iCs/>
          <w:sz w:val="20"/>
          <w:szCs w:val="20"/>
        </w:rPr>
        <w:t>», ajoutant « </w:t>
      </w:r>
      <w:r w:rsidRPr="004F6CD1">
        <w:rPr>
          <w:rFonts w:ascii="Arial" w:eastAsia="Calibri" w:hAnsi="Arial" w:cs="Arial"/>
          <w:i/>
          <w:iCs/>
          <w:sz w:val="20"/>
          <w:szCs w:val="20"/>
        </w:rPr>
        <w:t>Le prosélytisme islamique s’est aggravé. A l’approche de Noël, la grève est systématique. Le DRH de la RATP a recruté des milliers d’agents arabo-musulmans qui méprisent Noël</w:t>
      </w:r>
      <w:r w:rsidRPr="004F6CD1">
        <w:rPr>
          <w:rFonts w:ascii="Arial" w:eastAsia="Calibri" w:hAnsi="Arial" w:cs="Arial"/>
          <w:iCs/>
          <w:sz w:val="20"/>
          <w:szCs w:val="20"/>
        </w:rPr>
        <w:t> »</w:t>
      </w:r>
      <w:r w:rsidRPr="004F6CD1">
        <w:rPr>
          <w:rFonts w:ascii="Arial" w:eastAsia="Calibri" w:hAnsi="Arial" w:cs="Arial"/>
          <w:sz w:val="20"/>
          <w:szCs w:val="20"/>
        </w:rPr>
        <w:t xml:space="preserve">. La LDH a porté plainte pour discrimination raciale. </w:t>
      </w:r>
    </w:p>
    <w:p w14:paraId="15CED004" w14:textId="77777777" w:rsidR="0045744D" w:rsidRPr="004F6CD1" w:rsidRDefault="0045744D" w:rsidP="00A37B18">
      <w:pPr>
        <w:pStyle w:val="Paragraphedeliste"/>
        <w:spacing w:after="0" w:line="240" w:lineRule="auto"/>
        <w:ind w:left="360"/>
        <w:jc w:val="both"/>
        <w:rPr>
          <w:rFonts w:ascii="Arial" w:eastAsia="Calibri" w:hAnsi="Arial" w:cs="Arial"/>
          <w:sz w:val="20"/>
          <w:szCs w:val="20"/>
        </w:rPr>
      </w:pPr>
    </w:p>
    <w:p w14:paraId="3A0EE1F3" w14:textId="28683099" w:rsidR="0045744D" w:rsidRPr="004F6CD1" w:rsidRDefault="0045744D" w:rsidP="00A37B18">
      <w:pPr>
        <w:pStyle w:val="Paragraphedeliste"/>
        <w:numPr>
          <w:ilvl w:val="0"/>
          <w:numId w:val="9"/>
        </w:numPr>
        <w:spacing w:after="0" w:line="240" w:lineRule="auto"/>
        <w:jc w:val="both"/>
        <w:rPr>
          <w:rFonts w:ascii="Arial" w:eastAsia="Calibri" w:hAnsi="Arial" w:cs="Arial"/>
          <w:sz w:val="20"/>
          <w:szCs w:val="20"/>
        </w:rPr>
      </w:pPr>
      <w:r w:rsidRPr="004F6CD1">
        <w:rPr>
          <w:rFonts w:ascii="Arial" w:eastAsia="Calibri" w:hAnsi="Arial" w:cs="Arial"/>
          <w:sz w:val="20"/>
          <w:szCs w:val="20"/>
        </w:rPr>
        <w:t>Le 27 août 2020, le magazine Valeurs Actuelles publiait une « politique-fiction » illustrée dont le titre était « </w:t>
      </w:r>
      <w:r w:rsidRPr="004F6CD1">
        <w:rPr>
          <w:rFonts w:ascii="Arial" w:eastAsia="Calibri" w:hAnsi="Arial" w:cs="Arial"/>
          <w:i/>
          <w:sz w:val="20"/>
          <w:szCs w:val="20"/>
        </w:rPr>
        <w:t>Obono l’Africaine</w:t>
      </w:r>
      <w:r w:rsidRPr="004F6CD1">
        <w:rPr>
          <w:rFonts w:ascii="Arial" w:eastAsia="Calibri" w:hAnsi="Arial" w:cs="Arial"/>
          <w:sz w:val="20"/>
          <w:szCs w:val="20"/>
        </w:rPr>
        <w:t> ». La Une du magaz</w:t>
      </w:r>
      <w:r w:rsidR="00037036">
        <w:rPr>
          <w:rFonts w:ascii="Arial" w:eastAsia="Calibri" w:hAnsi="Arial" w:cs="Arial"/>
          <w:sz w:val="20"/>
          <w:szCs w:val="20"/>
        </w:rPr>
        <w:t>ine présente en bandeau le dess</w:t>
      </w:r>
      <w:r w:rsidRPr="004F6CD1">
        <w:rPr>
          <w:rFonts w:ascii="Arial" w:eastAsia="Calibri" w:hAnsi="Arial" w:cs="Arial"/>
          <w:sz w:val="20"/>
          <w:szCs w:val="20"/>
        </w:rPr>
        <w:t>in de madame Danièle Obono avec le titre « </w:t>
      </w:r>
      <w:r w:rsidRPr="004F6CD1">
        <w:rPr>
          <w:rFonts w:ascii="Arial" w:eastAsia="Calibri" w:hAnsi="Arial" w:cs="Arial"/>
          <w:i/>
          <w:sz w:val="20"/>
          <w:szCs w:val="20"/>
        </w:rPr>
        <w:t>Danièle Obono au temps de l’esclavage</w:t>
      </w:r>
      <w:r w:rsidRPr="004F6CD1">
        <w:rPr>
          <w:rFonts w:ascii="Arial" w:eastAsia="Calibri" w:hAnsi="Arial" w:cs="Arial"/>
          <w:sz w:val="20"/>
          <w:szCs w:val="20"/>
        </w:rPr>
        <w:t> ». Dans cet article illustré par des dessins explicites, la parlementaire est représentée en esclave. La LDH s’est constituée partie civile à l’audience. Les trois prévenus ont été condamnés chacun à une amende de 1 500 €. Un appel a été interjeté, l</w:t>
      </w:r>
      <w:r w:rsidR="00E02A0A">
        <w:rPr>
          <w:rFonts w:ascii="Arial" w:eastAsia="Calibri" w:hAnsi="Arial" w:cs="Arial"/>
          <w:sz w:val="20"/>
          <w:szCs w:val="20"/>
        </w:rPr>
        <w:t>’affaire</w:t>
      </w:r>
      <w:r w:rsidRPr="004F6CD1">
        <w:rPr>
          <w:rFonts w:ascii="Arial" w:eastAsia="Calibri" w:hAnsi="Arial" w:cs="Arial"/>
          <w:sz w:val="20"/>
          <w:szCs w:val="20"/>
        </w:rPr>
        <w:t xml:space="preserve"> est en cours.</w:t>
      </w:r>
    </w:p>
    <w:p w14:paraId="67FEFF77" w14:textId="77777777" w:rsidR="0045744D" w:rsidRPr="004F6CD1" w:rsidRDefault="0045744D" w:rsidP="00A37B18">
      <w:pPr>
        <w:pStyle w:val="Paragraphedeliste"/>
        <w:spacing w:after="0" w:line="240" w:lineRule="auto"/>
        <w:ind w:left="360"/>
        <w:jc w:val="both"/>
        <w:rPr>
          <w:rFonts w:ascii="Arial" w:eastAsia="Calibri" w:hAnsi="Arial" w:cs="Arial"/>
          <w:sz w:val="20"/>
          <w:szCs w:val="20"/>
        </w:rPr>
      </w:pPr>
    </w:p>
    <w:p w14:paraId="3C9B706A" w14:textId="77777777" w:rsidR="0045744D" w:rsidRDefault="0045744D" w:rsidP="00A37B18">
      <w:pPr>
        <w:pStyle w:val="Paragraphedeliste"/>
        <w:numPr>
          <w:ilvl w:val="0"/>
          <w:numId w:val="9"/>
        </w:numPr>
        <w:spacing w:after="0" w:line="240" w:lineRule="auto"/>
        <w:jc w:val="both"/>
        <w:rPr>
          <w:rFonts w:ascii="Arial" w:eastAsia="Calibri" w:hAnsi="Arial" w:cs="Arial"/>
          <w:sz w:val="20"/>
          <w:szCs w:val="20"/>
        </w:rPr>
      </w:pPr>
      <w:r w:rsidRPr="004F6CD1">
        <w:rPr>
          <w:rFonts w:ascii="Arial" w:eastAsia="Calibri" w:hAnsi="Arial" w:cs="Arial"/>
          <w:sz w:val="20"/>
          <w:szCs w:val="20"/>
        </w:rPr>
        <w:t xml:space="preserve">Le 29 septembre 2020, lors d’une émission sur la chaine CNEWS, a été abordé le sujet des mineurs isolés en France avec comme titre s’affichant à l’écran « </w:t>
      </w:r>
      <w:r w:rsidRPr="004F6CD1">
        <w:rPr>
          <w:rFonts w:ascii="Arial" w:eastAsia="Calibri" w:hAnsi="Arial" w:cs="Arial"/>
          <w:i/>
          <w:smallCaps/>
          <w:sz w:val="20"/>
          <w:szCs w:val="20"/>
        </w:rPr>
        <w:t>mineurs isolés : une naïveté française</w:t>
      </w:r>
      <w:r w:rsidRPr="004F6CD1">
        <w:rPr>
          <w:rFonts w:ascii="Arial" w:eastAsia="Calibri" w:hAnsi="Arial" w:cs="Arial"/>
          <w:i/>
          <w:sz w:val="20"/>
          <w:szCs w:val="20"/>
        </w:rPr>
        <w:t> ?</w:t>
      </w:r>
      <w:r w:rsidRPr="004F6CD1">
        <w:rPr>
          <w:rFonts w:ascii="Arial" w:eastAsia="Calibri" w:hAnsi="Arial" w:cs="Arial"/>
          <w:sz w:val="20"/>
          <w:szCs w:val="20"/>
        </w:rPr>
        <w:t> ». Eric Zemmour, candidat aux élections présidentielles</w:t>
      </w:r>
      <w:r w:rsidR="00E02A0A">
        <w:rPr>
          <w:rFonts w:ascii="Arial" w:eastAsia="Calibri" w:hAnsi="Arial" w:cs="Arial"/>
          <w:sz w:val="20"/>
          <w:szCs w:val="20"/>
        </w:rPr>
        <w:t xml:space="preserve"> de</w:t>
      </w:r>
      <w:r w:rsidRPr="004F6CD1">
        <w:rPr>
          <w:rFonts w:ascii="Arial" w:eastAsia="Calibri" w:hAnsi="Arial" w:cs="Arial"/>
          <w:sz w:val="20"/>
          <w:szCs w:val="20"/>
        </w:rPr>
        <w:t xml:space="preserve"> 2021</w:t>
      </w:r>
      <w:r w:rsidRPr="0045744D">
        <w:rPr>
          <w:vertAlign w:val="superscript"/>
        </w:rPr>
        <w:footnoteReference w:id="3"/>
      </w:r>
      <w:r w:rsidRPr="004F6CD1">
        <w:rPr>
          <w:rFonts w:ascii="Arial" w:eastAsia="Calibri" w:hAnsi="Arial" w:cs="Arial"/>
          <w:sz w:val="20"/>
          <w:szCs w:val="20"/>
        </w:rPr>
        <w:t>, a notamment pointé le fait que ces jeunes, tout en précisant « </w:t>
      </w:r>
      <w:r w:rsidRPr="004F6CD1">
        <w:rPr>
          <w:rFonts w:ascii="Arial" w:eastAsia="Calibri" w:hAnsi="Arial" w:cs="Arial"/>
          <w:i/>
          <w:sz w:val="20"/>
          <w:szCs w:val="20"/>
        </w:rPr>
        <w:t>comme le reste de l’immigration</w:t>
      </w:r>
      <w:r w:rsidRPr="004F6CD1">
        <w:rPr>
          <w:rFonts w:ascii="Arial" w:eastAsia="Calibri" w:hAnsi="Arial" w:cs="Arial"/>
          <w:sz w:val="20"/>
          <w:szCs w:val="20"/>
        </w:rPr>
        <w:t> », « </w:t>
      </w:r>
      <w:r w:rsidRPr="004F6CD1">
        <w:rPr>
          <w:rFonts w:ascii="Arial" w:eastAsia="Calibri" w:hAnsi="Arial" w:cs="Arial"/>
          <w:i/>
          <w:sz w:val="20"/>
          <w:szCs w:val="20"/>
        </w:rPr>
        <w:t>n’ont rien à faire ici</w:t>
      </w:r>
      <w:r w:rsidRPr="004F6CD1">
        <w:rPr>
          <w:rFonts w:ascii="Arial" w:eastAsia="Calibri" w:hAnsi="Arial" w:cs="Arial"/>
          <w:sz w:val="20"/>
          <w:szCs w:val="20"/>
        </w:rPr>
        <w:t> ». Pour illustrer son affirmation, monsieur Zemmour précise : « </w:t>
      </w:r>
      <w:r w:rsidRPr="004F6CD1">
        <w:rPr>
          <w:rFonts w:ascii="Arial" w:eastAsia="Calibri" w:hAnsi="Arial" w:cs="Arial"/>
          <w:i/>
          <w:sz w:val="20"/>
          <w:szCs w:val="20"/>
        </w:rPr>
        <w:t>Ils sont des voleurs, ils sont des assassins, ils sont des violeurs.</w:t>
      </w:r>
      <w:r w:rsidRPr="004F6CD1">
        <w:rPr>
          <w:rFonts w:ascii="Arial" w:eastAsia="Calibri" w:hAnsi="Arial" w:cs="Arial"/>
          <w:sz w:val="20"/>
          <w:szCs w:val="20"/>
        </w:rPr>
        <w:t xml:space="preserve"> ». La LDH et d’autres associations ont porté l’affaire devant le tribunal correctionnel de Paris qui a condamné l’intéressé au paiement d’une somme de 10 000 euros et le directeur de </w:t>
      </w:r>
      <w:r w:rsidR="00F26721">
        <w:rPr>
          <w:rFonts w:ascii="Arial" w:eastAsia="Calibri" w:hAnsi="Arial" w:cs="Arial"/>
          <w:sz w:val="20"/>
          <w:szCs w:val="20"/>
        </w:rPr>
        <w:t>la chaîne de télévision à</w:t>
      </w:r>
      <w:r w:rsidRPr="004F6CD1">
        <w:rPr>
          <w:rFonts w:ascii="Arial" w:eastAsia="Calibri" w:hAnsi="Arial" w:cs="Arial"/>
          <w:sz w:val="20"/>
          <w:szCs w:val="20"/>
        </w:rPr>
        <w:t xml:space="preserve"> 3000 euros. </w:t>
      </w:r>
    </w:p>
    <w:p w14:paraId="323479D6" w14:textId="77777777" w:rsidR="000C0044" w:rsidRDefault="000C0044">
      <w:pPr>
        <w:rPr>
          <w:rFonts w:ascii="Arial" w:eastAsia="Calibri" w:hAnsi="Arial" w:cs="Arial"/>
          <w:sz w:val="20"/>
          <w:szCs w:val="20"/>
        </w:rPr>
        <w:sectPr w:rsidR="000C0044" w:rsidSect="000C0044">
          <w:footerReference w:type="first" r:id="rId14"/>
          <w:pgSz w:w="11906" w:h="16838"/>
          <w:pgMar w:top="1134" w:right="1418" w:bottom="709" w:left="1418" w:header="709" w:footer="709" w:gutter="0"/>
          <w:pgNumType w:start="1"/>
          <w:cols w:space="708"/>
          <w:titlePg/>
          <w:docGrid w:linePitch="360"/>
        </w:sectPr>
      </w:pPr>
      <w:r>
        <w:rPr>
          <w:rFonts w:ascii="Arial" w:eastAsia="Calibri" w:hAnsi="Arial" w:cs="Arial"/>
          <w:sz w:val="20"/>
          <w:szCs w:val="20"/>
        </w:rPr>
        <w:br w:type="page"/>
      </w:r>
    </w:p>
    <w:p w14:paraId="2232CCBA" w14:textId="77777777" w:rsidR="0045744D" w:rsidRPr="004F6CD1" w:rsidRDefault="0045744D" w:rsidP="00A37B18">
      <w:pPr>
        <w:pStyle w:val="Paragraphedeliste"/>
        <w:numPr>
          <w:ilvl w:val="0"/>
          <w:numId w:val="9"/>
        </w:numPr>
        <w:spacing w:after="0" w:line="240" w:lineRule="auto"/>
        <w:jc w:val="both"/>
        <w:rPr>
          <w:rFonts w:ascii="Arial" w:eastAsia="Calibri" w:hAnsi="Arial" w:cs="Arial"/>
          <w:sz w:val="20"/>
          <w:szCs w:val="20"/>
        </w:rPr>
      </w:pPr>
      <w:r w:rsidRPr="004F6CD1">
        <w:rPr>
          <w:rFonts w:ascii="Arial" w:eastAsia="Calibri" w:hAnsi="Arial" w:cs="Arial"/>
          <w:sz w:val="20"/>
          <w:szCs w:val="20"/>
        </w:rPr>
        <w:lastRenderedPageBreak/>
        <w:t>Le 3 novembre 2020, une professeure de droit à l’Université d’Aix-Marseille, a qualifié le judaïsme et l’Islam de « </w:t>
      </w:r>
      <w:r w:rsidRPr="004F6CD1">
        <w:rPr>
          <w:rFonts w:ascii="Arial" w:eastAsia="Calibri" w:hAnsi="Arial" w:cs="Arial"/>
          <w:i/>
          <w:iCs/>
          <w:sz w:val="20"/>
          <w:szCs w:val="20"/>
        </w:rPr>
        <w:t>maladie sexuellement transmissible</w:t>
      </w:r>
      <w:r w:rsidRPr="004F6CD1">
        <w:rPr>
          <w:rFonts w:ascii="Arial" w:eastAsia="Calibri" w:hAnsi="Arial" w:cs="Arial"/>
          <w:sz w:val="20"/>
          <w:szCs w:val="20"/>
        </w:rPr>
        <w:t xml:space="preserve"> ». Ces propos ont été enregistrés dans le cadre du cours de l’enseignante, intégralement enregistré sur la plateforme Ametys de l’établissement universitaire, destinée à être consultée par les étudiants-e-s dans le contexte de l’enseignement à distance. L’affaire est en cours. </w:t>
      </w:r>
    </w:p>
    <w:p w14:paraId="11E4C813" w14:textId="77777777" w:rsidR="0045744D" w:rsidRPr="004F6CD1" w:rsidRDefault="0045744D" w:rsidP="00A37B18">
      <w:pPr>
        <w:pStyle w:val="Paragraphedeliste"/>
        <w:spacing w:after="0" w:line="240" w:lineRule="auto"/>
        <w:ind w:left="360"/>
        <w:jc w:val="both"/>
        <w:rPr>
          <w:rFonts w:ascii="Arial" w:eastAsia="Calibri" w:hAnsi="Arial" w:cs="Arial"/>
          <w:sz w:val="20"/>
          <w:szCs w:val="20"/>
        </w:rPr>
      </w:pPr>
    </w:p>
    <w:p w14:paraId="10DC45D7" w14:textId="77777777" w:rsidR="0045744D" w:rsidRPr="004F6CD1" w:rsidRDefault="0045744D" w:rsidP="00A37B18">
      <w:pPr>
        <w:pStyle w:val="Paragraphedeliste"/>
        <w:numPr>
          <w:ilvl w:val="0"/>
          <w:numId w:val="9"/>
        </w:numPr>
        <w:spacing w:after="0" w:line="240" w:lineRule="auto"/>
        <w:jc w:val="both"/>
        <w:rPr>
          <w:rFonts w:ascii="Arial" w:eastAsia="Calibri" w:hAnsi="Arial" w:cs="Arial"/>
          <w:bCs/>
          <w:sz w:val="20"/>
          <w:szCs w:val="20"/>
        </w:rPr>
      </w:pPr>
      <w:r w:rsidRPr="004F6CD1">
        <w:rPr>
          <w:rFonts w:ascii="Arial" w:eastAsia="Calibri" w:hAnsi="Arial" w:cs="Arial"/>
          <w:bCs/>
          <w:sz w:val="20"/>
          <w:szCs w:val="20"/>
        </w:rPr>
        <w:t>Ou encore un tweet rédigé par monsieur Stéphane RAVIER, sénateur RN des Bouches-du-Rhône, en date du 11 juillet 2021, en réaction à un fait divers mortel, l’été dernier en région parisienne.</w:t>
      </w:r>
      <w:r w:rsidRPr="004F6CD1">
        <w:rPr>
          <w:rFonts w:ascii="Arial" w:eastAsia="Calibri" w:hAnsi="Arial" w:cs="Arial"/>
          <w:iCs/>
          <w:sz w:val="20"/>
          <w:szCs w:val="20"/>
        </w:rPr>
        <w:t xml:space="preserve"> </w:t>
      </w:r>
    </w:p>
    <w:p w14:paraId="6D7000C6" w14:textId="77777777" w:rsidR="0045744D" w:rsidRPr="004F6CD1" w:rsidRDefault="0045744D" w:rsidP="00A37B18">
      <w:pPr>
        <w:pStyle w:val="Paragraphedeliste"/>
        <w:spacing w:after="0" w:line="240" w:lineRule="auto"/>
        <w:ind w:left="360"/>
        <w:jc w:val="both"/>
        <w:rPr>
          <w:rFonts w:ascii="Arial" w:eastAsia="Calibri" w:hAnsi="Arial" w:cs="Arial"/>
          <w:bCs/>
          <w:sz w:val="20"/>
          <w:szCs w:val="20"/>
        </w:rPr>
      </w:pPr>
      <w:r w:rsidRPr="004F6CD1">
        <w:rPr>
          <w:rFonts w:ascii="Arial" w:eastAsia="Calibri" w:hAnsi="Arial" w:cs="Arial"/>
          <w:bCs/>
          <w:sz w:val="20"/>
          <w:szCs w:val="20"/>
        </w:rPr>
        <w:t>:« </w:t>
      </w:r>
      <w:r w:rsidRPr="004F6CD1">
        <w:rPr>
          <w:rFonts w:ascii="Arial" w:eastAsia="Calibri" w:hAnsi="Arial" w:cs="Arial"/>
          <w:bCs/>
          <w:i/>
          <w:sz w:val="20"/>
          <w:szCs w:val="20"/>
        </w:rPr>
        <w:t>Théo, 18 ans, assassiné hier par un Sénégalais à #ClayeSouilly. L’immigration tue la jeunesse de France</w:t>
      </w:r>
      <w:r w:rsidRPr="004F6CD1">
        <w:rPr>
          <w:rFonts w:ascii="Arial" w:eastAsia="Calibri" w:hAnsi="Arial" w:cs="Arial"/>
          <w:bCs/>
          <w:sz w:val="20"/>
          <w:szCs w:val="20"/>
        </w:rPr>
        <w:t> ».</w:t>
      </w:r>
      <w:r w:rsidRPr="004F6CD1">
        <w:rPr>
          <w:rFonts w:ascii="Arial" w:eastAsia="Calibri" w:hAnsi="Arial" w:cs="Arial"/>
          <w:iCs/>
          <w:sz w:val="20"/>
          <w:szCs w:val="20"/>
        </w:rPr>
        <w:t xml:space="preserve"> </w:t>
      </w:r>
    </w:p>
    <w:p w14:paraId="7CDAAA8E" w14:textId="77777777" w:rsidR="0045744D" w:rsidRPr="004F6CD1" w:rsidRDefault="0045744D" w:rsidP="00A37B18">
      <w:pPr>
        <w:pStyle w:val="Paragraphedeliste"/>
        <w:spacing w:after="0" w:line="240" w:lineRule="auto"/>
        <w:ind w:left="360"/>
        <w:jc w:val="both"/>
        <w:rPr>
          <w:rFonts w:ascii="Arial" w:eastAsia="Calibri" w:hAnsi="Arial" w:cs="Arial"/>
          <w:bCs/>
          <w:sz w:val="20"/>
          <w:szCs w:val="20"/>
        </w:rPr>
      </w:pPr>
    </w:p>
    <w:p w14:paraId="6BCE08E3" w14:textId="77777777" w:rsidR="0045744D" w:rsidRPr="004F6CD1" w:rsidRDefault="0045744D" w:rsidP="00A37B18">
      <w:pPr>
        <w:pStyle w:val="Paragraphedeliste"/>
        <w:numPr>
          <w:ilvl w:val="0"/>
          <w:numId w:val="9"/>
        </w:numPr>
        <w:spacing w:after="0" w:line="240" w:lineRule="auto"/>
        <w:jc w:val="both"/>
        <w:rPr>
          <w:rFonts w:ascii="Arial" w:eastAsia="Calibri" w:hAnsi="Arial" w:cs="Arial"/>
          <w:sz w:val="20"/>
          <w:szCs w:val="20"/>
        </w:rPr>
      </w:pPr>
      <w:r w:rsidRPr="004F6CD1">
        <w:rPr>
          <w:rFonts w:ascii="Arial" w:eastAsia="Calibri" w:hAnsi="Arial" w:cs="Arial"/>
          <w:sz w:val="20"/>
          <w:szCs w:val="20"/>
        </w:rPr>
        <w:t>Éric Zemmour dans son livre, « </w:t>
      </w:r>
      <w:r w:rsidRPr="004F6CD1">
        <w:rPr>
          <w:rFonts w:ascii="Arial" w:eastAsia="Calibri" w:hAnsi="Arial" w:cs="Arial"/>
          <w:i/>
          <w:sz w:val="20"/>
          <w:szCs w:val="20"/>
        </w:rPr>
        <w:t>La France n’a pas dit son dernier mot</w:t>
      </w:r>
      <w:r w:rsidRPr="004F6CD1">
        <w:rPr>
          <w:rFonts w:ascii="Arial" w:eastAsia="Calibri" w:hAnsi="Arial" w:cs="Arial"/>
          <w:sz w:val="20"/>
          <w:szCs w:val="20"/>
        </w:rPr>
        <w:t xml:space="preserve"> », paru au mois de septembre 2021 aux éditions Rubempré dans lequel il est possible de lire : </w:t>
      </w:r>
      <w:r w:rsidRPr="004F6CD1">
        <w:rPr>
          <w:rFonts w:ascii="Arial" w:eastAsia="Calibri" w:hAnsi="Arial" w:cs="Arial"/>
          <w:i/>
          <w:iCs/>
          <w:sz w:val="20"/>
          <w:szCs w:val="20"/>
        </w:rPr>
        <w:t>« La déportation en France d’homosexuels en raison de leur orientation sexuelle, comme on dit aujourd’hui, est une légende»</w:t>
      </w:r>
      <w:r w:rsidRPr="004F6CD1">
        <w:rPr>
          <w:rFonts w:ascii="Arial" w:eastAsia="Calibri" w:hAnsi="Arial" w:cs="Arial"/>
          <w:sz w:val="20"/>
          <w:szCs w:val="20"/>
        </w:rPr>
        <w:t>.</w:t>
      </w:r>
    </w:p>
    <w:p w14:paraId="5A37DDAE" w14:textId="77777777" w:rsidR="0045744D" w:rsidRPr="004F6CD1" w:rsidRDefault="0045744D" w:rsidP="00A37B18">
      <w:pPr>
        <w:pStyle w:val="Paragraphedeliste"/>
        <w:spacing w:after="0" w:line="240" w:lineRule="auto"/>
        <w:ind w:left="360"/>
        <w:jc w:val="both"/>
        <w:rPr>
          <w:rFonts w:ascii="Arial" w:eastAsia="Calibri" w:hAnsi="Arial" w:cs="Arial"/>
          <w:sz w:val="20"/>
          <w:szCs w:val="20"/>
        </w:rPr>
      </w:pPr>
    </w:p>
    <w:p w14:paraId="2C4047BC" w14:textId="77777777" w:rsidR="0045744D" w:rsidRPr="004F6CD1" w:rsidRDefault="0045744D" w:rsidP="00A37B18">
      <w:pPr>
        <w:pStyle w:val="Paragraphedeliste"/>
        <w:numPr>
          <w:ilvl w:val="0"/>
          <w:numId w:val="9"/>
        </w:numPr>
        <w:spacing w:after="0" w:line="240" w:lineRule="auto"/>
        <w:jc w:val="both"/>
        <w:rPr>
          <w:rFonts w:ascii="Arial" w:eastAsia="Times New Roman" w:hAnsi="Arial" w:cs="Arial"/>
          <w:sz w:val="20"/>
          <w:szCs w:val="20"/>
          <w:lang w:eastAsia="fr-FR"/>
        </w:rPr>
      </w:pPr>
      <w:r w:rsidRPr="004F6CD1">
        <w:rPr>
          <w:rFonts w:ascii="Arial" w:eastAsia="Times New Roman" w:hAnsi="Arial" w:cs="Arial"/>
          <w:sz w:val="20"/>
          <w:szCs w:val="20"/>
          <w:lang w:eastAsia="fr-FR"/>
        </w:rPr>
        <w:t xml:space="preserve">Éric Zemmour toujours, le 26 janvier 2022 sur la chaîne </w:t>
      </w:r>
      <w:r w:rsidRPr="004F6CD1">
        <w:rPr>
          <w:rFonts w:ascii="Arial" w:eastAsia="Times New Roman" w:hAnsi="Arial" w:cs="Arial"/>
          <w:i/>
          <w:sz w:val="20"/>
          <w:szCs w:val="20"/>
          <w:lang w:eastAsia="fr-FR"/>
        </w:rPr>
        <w:t>Public Sénat</w:t>
      </w:r>
      <w:r w:rsidRPr="004F6CD1">
        <w:rPr>
          <w:rFonts w:ascii="Arial" w:eastAsia="Times New Roman" w:hAnsi="Arial" w:cs="Arial"/>
          <w:sz w:val="20"/>
          <w:szCs w:val="20"/>
          <w:lang w:eastAsia="fr-FR"/>
        </w:rPr>
        <w:t xml:space="preserve"> répondant à l’affirmation de son interlocutrice selon laquelle tous les délinquants ne sont pas des enfants d’immigrés : « </w:t>
      </w:r>
      <w:r w:rsidRPr="004F6CD1">
        <w:rPr>
          <w:rFonts w:ascii="Arial" w:eastAsia="Times New Roman" w:hAnsi="Arial" w:cs="Arial"/>
          <w:i/>
          <w:iCs/>
          <w:sz w:val="20"/>
          <w:szCs w:val="20"/>
          <w:lang w:eastAsia="fr-FR"/>
        </w:rPr>
        <w:t>Si ! Bah si ! Excusez-moi mais allez voir dans les prisons françaises et vous verrez</w:t>
      </w:r>
      <w:r w:rsidRPr="004F6CD1">
        <w:rPr>
          <w:rFonts w:ascii="Arial" w:eastAsia="Times New Roman" w:hAnsi="Arial" w:cs="Arial"/>
          <w:sz w:val="20"/>
          <w:szCs w:val="20"/>
          <w:lang w:eastAsia="fr-FR"/>
        </w:rPr>
        <w:t> ».</w:t>
      </w:r>
    </w:p>
    <w:p w14:paraId="390CC3E0" w14:textId="77777777" w:rsidR="0045744D" w:rsidRPr="004F6CD1" w:rsidRDefault="0045744D" w:rsidP="00A37B18">
      <w:pPr>
        <w:pStyle w:val="Paragraphedeliste"/>
        <w:spacing w:after="0" w:line="240" w:lineRule="auto"/>
        <w:ind w:left="360"/>
        <w:jc w:val="both"/>
        <w:rPr>
          <w:rFonts w:ascii="Arial" w:eastAsia="Times New Roman" w:hAnsi="Arial" w:cs="Arial"/>
          <w:sz w:val="20"/>
          <w:szCs w:val="20"/>
          <w:lang w:eastAsia="fr-FR"/>
        </w:rPr>
      </w:pPr>
    </w:p>
    <w:p w14:paraId="39C33447" w14:textId="77777777" w:rsidR="0045744D" w:rsidRPr="004F6CD1" w:rsidRDefault="0045744D" w:rsidP="00A37B18">
      <w:pPr>
        <w:pStyle w:val="Paragraphedeliste"/>
        <w:numPr>
          <w:ilvl w:val="0"/>
          <w:numId w:val="9"/>
        </w:numPr>
        <w:spacing w:after="0" w:line="240" w:lineRule="auto"/>
        <w:jc w:val="both"/>
        <w:rPr>
          <w:rFonts w:ascii="Arial" w:eastAsia="Calibri" w:hAnsi="Arial" w:cs="Arial"/>
          <w:sz w:val="20"/>
          <w:szCs w:val="20"/>
        </w:rPr>
      </w:pPr>
      <w:r w:rsidRPr="004F6CD1">
        <w:rPr>
          <w:rFonts w:ascii="Arial" w:eastAsia="Calibri" w:hAnsi="Arial" w:cs="Arial"/>
          <w:sz w:val="20"/>
          <w:szCs w:val="20"/>
        </w:rPr>
        <w:t>Monsieur Jean-Philippe H</w:t>
      </w:r>
      <w:r w:rsidR="00B1292F">
        <w:rPr>
          <w:rFonts w:ascii="Arial" w:eastAsia="Calibri" w:hAnsi="Arial" w:cs="Arial"/>
          <w:sz w:val="20"/>
          <w:szCs w:val="20"/>
        </w:rPr>
        <w:t>oudinet</w:t>
      </w:r>
      <w:r w:rsidRPr="004F6CD1">
        <w:rPr>
          <w:rFonts w:ascii="Arial" w:eastAsia="Calibri" w:hAnsi="Arial" w:cs="Arial"/>
          <w:sz w:val="20"/>
          <w:szCs w:val="20"/>
        </w:rPr>
        <w:t>, Général de l’Armée Française publiait le 15 septembre 2022 une tribune dans le journal l’Echo des Vosges dans laquelle il affirmait « </w:t>
      </w:r>
      <w:r w:rsidRPr="004F6CD1">
        <w:rPr>
          <w:rFonts w:ascii="Arial" w:eastAsia="Calibri" w:hAnsi="Arial" w:cs="Arial"/>
          <w:i/>
          <w:sz w:val="20"/>
          <w:szCs w:val="20"/>
        </w:rPr>
        <w:t>c’est bien la religion musulmane qui met à mal notre façon de vivre, nos libertés fondamentales</w:t>
      </w:r>
      <w:r w:rsidRPr="004F6CD1">
        <w:rPr>
          <w:rFonts w:ascii="Arial" w:eastAsia="Calibri" w:hAnsi="Arial" w:cs="Arial"/>
          <w:sz w:val="20"/>
          <w:szCs w:val="20"/>
        </w:rPr>
        <w:t> » avant de s’exclamer que « </w:t>
      </w:r>
      <w:r w:rsidRPr="004F6CD1">
        <w:rPr>
          <w:rFonts w:ascii="Arial" w:eastAsia="Calibri" w:hAnsi="Arial" w:cs="Arial"/>
          <w:i/>
          <w:sz w:val="20"/>
          <w:szCs w:val="20"/>
        </w:rPr>
        <w:t>tout est bon pour brandir l’islamophobie comme un étendard, faire plier le genou en terre, baisser les yeux et la tête comme dans les halls d’immeuble des cités de non-droit et ramper les démocraties</w:t>
      </w:r>
      <w:r w:rsidRPr="004F6CD1">
        <w:rPr>
          <w:rFonts w:ascii="Arial" w:eastAsia="Calibri" w:hAnsi="Arial" w:cs="Arial"/>
          <w:sz w:val="20"/>
          <w:szCs w:val="20"/>
        </w:rPr>
        <w:t xml:space="preserve"> ». </w:t>
      </w:r>
    </w:p>
    <w:p w14:paraId="10B961B6" w14:textId="77777777" w:rsidR="0045744D" w:rsidRPr="004F6CD1" w:rsidRDefault="0045744D" w:rsidP="00A37B18">
      <w:pPr>
        <w:pStyle w:val="Paragraphedeliste"/>
        <w:spacing w:after="0" w:line="240" w:lineRule="auto"/>
        <w:ind w:left="360"/>
        <w:jc w:val="both"/>
        <w:rPr>
          <w:rFonts w:ascii="Arial" w:eastAsia="Calibri" w:hAnsi="Arial" w:cs="Arial"/>
          <w:sz w:val="20"/>
          <w:szCs w:val="20"/>
        </w:rPr>
      </w:pPr>
    </w:p>
    <w:p w14:paraId="32E63565" w14:textId="77777777" w:rsidR="0045744D" w:rsidRPr="004F6CD1" w:rsidRDefault="0045744D" w:rsidP="00A37B18">
      <w:pPr>
        <w:pStyle w:val="Paragraphedeliste"/>
        <w:numPr>
          <w:ilvl w:val="0"/>
          <w:numId w:val="9"/>
        </w:numPr>
        <w:spacing w:after="0" w:line="240" w:lineRule="auto"/>
        <w:jc w:val="both"/>
        <w:rPr>
          <w:rFonts w:ascii="Arial" w:eastAsia="Calibri" w:hAnsi="Arial" w:cs="Arial"/>
          <w:sz w:val="20"/>
          <w:szCs w:val="20"/>
        </w:rPr>
      </w:pPr>
      <w:r w:rsidRPr="004F6CD1">
        <w:rPr>
          <w:rFonts w:ascii="Arial" w:eastAsia="Calibri" w:hAnsi="Arial" w:cs="Arial"/>
          <w:sz w:val="20"/>
          <w:szCs w:val="20"/>
        </w:rPr>
        <w:t>Enfin et illustrant cette dérive jusqu’aux autorités de l’Etat</w:t>
      </w:r>
      <w:r w:rsidR="00834945">
        <w:rPr>
          <w:rFonts w:ascii="Arial" w:eastAsia="Calibri" w:hAnsi="Arial" w:cs="Arial"/>
          <w:sz w:val="20"/>
          <w:szCs w:val="20"/>
        </w:rPr>
        <w:t>,</w:t>
      </w:r>
      <w:r w:rsidRPr="004F6CD1">
        <w:rPr>
          <w:rFonts w:ascii="Arial" w:eastAsia="Calibri" w:hAnsi="Arial" w:cs="Arial"/>
          <w:sz w:val="20"/>
          <w:szCs w:val="20"/>
        </w:rPr>
        <w:t xml:space="preserve"> le préfet de l’Hérault publiait un tweet le 29 septembre 2022 exprimant sa volonté d’« </w:t>
      </w:r>
      <w:r w:rsidRPr="004F6CD1">
        <w:rPr>
          <w:rFonts w:ascii="Arial" w:eastAsia="Calibri" w:hAnsi="Arial" w:cs="Arial"/>
          <w:i/>
          <w:sz w:val="20"/>
          <w:szCs w:val="20"/>
        </w:rPr>
        <w:t>en finir avec cette délinquance des SDF étrangers</w:t>
      </w:r>
      <w:r w:rsidRPr="004F6CD1">
        <w:rPr>
          <w:rFonts w:ascii="Arial" w:eastAsia="Calibri" w:hAnsi="Arial" w:cs="Arial"/>
          <w:sz w:val="20"/>
          <w:szCs w:val="20"/>
        </w:rPr>
        <w:t> » en détaillant le nombre de gardes à vues depuis août 2022 et en concluant « </w:t>
      </w:r>
      <w:r w:rsidRPr="004F6CD1">
        <w:rPr>
          <w:rFonts w:ascii="Arial" w:eastAsia="Calibri" w:hAnsi="Arial" w:cs="Arial"/>
          <w:i/>
          <w:sz w:val="20"/>
          <w:szCs w:val="20"/>
        </w:rPr>
        <w:t>nous serons intraitables avec eux. J’ai donné instruction aux CRS qui patrouillent en ville de ne pas les lâcher. Ces personnes ne sont pas les bienvenues ici</w:t>
      </w:r>
      <w:r w:rsidRPr="004F6CD1">
        <w:rPr>
          <w:rFonts w:ascii="Arial" w:eastAsia="Calibri" w:hAnsi="Arial" w:cs="Arial"/>
          <w:sz w:val="20"/>
          <w:szCs w:val="20"/>
        </w:rPr>
        <w:t> ». Au-delà des poursuites</w:t>
      </w:r>
      <w:r w:rsidR="00834945">
        <w:rPr>
          <w:rFonts w:ascii="Arial" w:eastAsia="Calibri" w:hAnsi="Arial" w:cs="Arial"/>
          <w:sz w:val="20"/>
          <w:szCs w:val="20"/>
        </w:rPr>
        <w:t>,</w:t>
      </w:r>
      <w:r w:rsidRPr="004F6CD1">
        <w:rPr>
          <w:rFonts w:ascii="Arial" w:eastAsia="Calibri" w:hAnsi="Arial" w:cs="Arial"/>
          <w:sz w:val="20"/>
          <w:szCs w:val="20"/>
        </w:rPr>
        <w:t xml:space="preserve"> aucune sanction ne semble avoir été prise à son égard. </w:t>
      </w:r>
    </w:p>
    <w:p w14:paraId="449B38F6" w14:textId="77777777" w:rsidR="0045744D" w:rsidRPr="004F6CD1" w:rsidRDefault="0045744D" w:rsidP="00A37B18">
      <w:pPr>
        <w:pStyle w:val="Paragraphedeliste"/>
        <w:spacing w:after="0" w:line="240" w:lineRule="auto"/>
        <w:ind w:left="360"/>
        <w:jc w:val="both"/>
        <w:rPr>
          <w:rFonts w:ascii="Arial" w:eastAsia="Calibri" w:hAnsi="Arial" w:cs="Arial"/>
          <w:sz w:val="20"/>
          <w:szCs w:val="20"/>
        </w:rPr>
      </w:pPr>
    </w:p>
    <w:p w14:paraId="11E503F8" w14:textId="77777777" w:rsidR="0045744D" w:rsidRDefault="0045744D" w:rsidP="00A37B18">
      <w:pPr>
        <w:pStyle w:val="Paragraphedeliste"/>
        <w:numPr>
          <w:ilvl w:val="0"/>
          <w:numId w:val="1"/>
        </w:numPr>
        <w:spacing w:after="0" w:line="240" w:lineRule="auto"/>
        <w:rPr>
          <w:rFonts w:ascii="Arial" w:hAnsi="Arial" w:cs="Arial"/>
          <w:b/>
          <w:color w:val="000000" w:themeColor="text1"/>
          <w:sz w:val="20"/>
          <w:szCs w:val="20"/>
        </w:rPr>
      </w:pPr>
      <w:r w:rsidRPr="00227041">
        <w:rPr>
          <w:rFonts w:ascii="Arial" w:hAnsi="Arial" w:cs="Arial"/>
          <w:b/>
          <w:color w:val="000000" w:themeColor="text1"/>
          <w:sz w:val="20"/>
          <w:szCs w:val="20"/>
        </w:rPr>
        <w:t xml:space="preserve">Lutte contre les stéréotypes raciaux : Le fait islamophobe </w:t>
      </w:r>
    </w:p>
    <w:p w14:paraId="19D60954" w14:textId="77777777" w:rsidR="00DB197C" w:rsidRPr="00227041" w:rsidRDefault="00DB197C" w:rsidP="00DB197C">
      <w:pPr>
        <w:pStyle w:val="Paragraphedeliste"/>
        <w:spacing w:after="0" w:line="240" w:lineRule="auto"/>
        <w:rPr>
          <w:rFonts w:ascii="Arial" w:hAnsi="Arial" w:cs="Arial"/>
          <w:b/>
          <w:color w:val="000000" w:themeColor="text1"/>
          <w:sz w:val="20"/>
          <w:szCs w:val="20"/>
        </w:rPr>
      </w:pPr>
    </w:p>
    <w:p w14:paraId="433092E3" w14:textId="77777777" w:rsidR="0045744D" w:rsidRPr="00DB197C" w:rsidRDefault="0045744D" w:rsidP="00DB197C">
      <w:pPr>
        <w:pStyle w:val="Paragraphedeliste"/>
        <w:numPr>
          <w:ilvl w:val="1"/>
          <w:numId w:val="1"/>
        </w:numPr>
        <w:spacing w:after="0" w:line="240" w:lineRule="auto"/>
        <w:rPr>
          <w:rFonts w:ascii="Arial" w:hAnsi="Arial" w:cs="Arial"/>
          <w:color w:val="000000" w:themeColor="text1"/>
          <w:sz w:val="20"/>
          <w:szCs w:val="20"/>
          <w:u w:val="single"/>
        </w:rPr>
      </w:pPr>
      <w:r w:rsidRPr="00DB197C">
        <w:rPr>
          <w:rFonts w:ascii="Arial" w:hAnsi="Arial" w:cs="Arial"/>
          <w:color w:val="000000" w:themeColor="text1"/>
          <w:sz w:val="20"/>
          <w:szCs w:val="20"/>
          <w:u w:val="single"/>
        </w:rPr>
        <w:t>L’interdiction du port du burkini encouragée par le gouvernement</w:t>
      </w:r>
    </w:p>
    <w:p w14:paraId="397FF139" w14:textId="77777777" w:rsidR="00DB197C" w:rsidRPr="00DB197C" w:rsidRDefault="00DB197C" w:rsidP="00DB197C">
      <w:pPr>
        <w:pStyle w:val="Paragraphedeliste"/>
        <w:spacing w:after="0" w:line="240" w:lineRule="auto"/>
        <w:ind w:left="390"/>
        <w:rPr>
          <w:rFonts w:ascii="Arial" w:hAnsi="Arial" w:cs="Arial"/>
          <w:color w:val="000000" w:themeColor="text1"/>
          <w:sz w:val="20"/>
          <w:szCs w:val="20"/>
          <w:u w:val="single"/>
        </w:rPr>
      </w:pPr>
    </w:p>
    <w:p w14:paraId="7C55DA9D" w14:textId="77777777" w:rsidR="0045744D" w:rsidRDefault="0045744D" w:rsidP="00A37B18">
      <w:pPr>
        <w:pStyle w:val="Paragraphedeliste"/>
        <w:numPr>
          <w:ilvl w:val="0"/>
          <w:numId w:val="9"/>
        </w:numPr>
        <w:spacing w:after="0" w:line="240" w:lineRule="auto"/>
        <w:jc w:val="both"/>
        <w:rPr>
          <w:rFonts w:ascii="Arial" w:hAnsi="Arial" w:cs="Arial"/>
          <w:color w:val="000000" w:themeColor="text1"/>
          <w:sz w:val="20"/>
          <w:szCs w:val="20"/>
        </w:rPr>
      </w:pPr>
      <w:r w:rsidRPr="004F6CD1">
        <w:rPr>
          <w:rFonts w:ascii="Arial" w:hAnsi="Arial" w:cs="Arial"/>
          <w:color w:val="000000" w:themeColor="text1"/>
          <w:sz w:val="20"/>
          <w:szCs w:val="20"/>
        </w:rPr>
        <w:t xml:space="preserve">A l’instar des discours de haine proférés à l’encontre des personnes de confession musulmane, la société française s’est illustrée depuis </w:t>
      </w:r>
      <w:r w:rsidR="00143B5B">
        <w:rPr>
          <w:rFonts w:ascii="Arial" w:hAnsi="Arial" w:cs="Arial"/>
          <w:color w:val="000000" w:themeColor="text1"/>
          <w:sz w:val="20"/>
          <w:szCs w:val="20"/>
        </w:rPr>
        <w:t>vos dernières observations finales</w:t>
      </w:r>
      <w:r w:rsidRPr="004F6CD1">
        <w:rPr>
          <w:rFonts w:ascii="Arial" w:hAnsi="Arial" w:cs="Arial"/>
          <w:color w:val="000000" w:themeColor="text1"/>
          <w:sz w:val="20"/>
          <w:szCs w:val="20"/>
        </w:rPr>
        <w:t xml:space="preserve">, à l’été 2016, par la prise de multiples arrêtés municipaux visant à l’interdiction sur les plages du littoral français du port du burkini, tenue de bain utilisée par des femmes musulmanes. Ces arrêtés, fondés sur une conception pour le moins erronée du principe de laïcité, se sont ainsi multipliés obligeant la LDH à introduire quinze recours devant la juridiction administrative. Mais c’est une trentaine d’arrêtés similaires qui ont ainsi été pris en France au cours de cette période estivale. </w:t>
      </w:r>
    </w:p>
    <w:p w14:paraId="04B0C11C" w14:textId="77777777" w:rsidR="00D32E79" w:rsidRPr="004F6CD1" w:rsidRDefault="00D32E79" w:rsidP="00A37B18">
      <w:pPr>
        <w:pStyle w:val="Paragraphedeliste"/>
        <w:spacing w:after="0" w:line="240" w:lineRule="auto"/>
        <w:ind w:left="360"/>
        <w:jc w:val="both"/>
        <w:rPr>
          <w:rFonts w:ascii="Arial" w:hAnsi="Arial" w:cs="Arial"/>
          <w:color w:val="000000" w:themeColor="text1"/>
          <w:sz w:val="20"/>
          <w:szCs w:val="20"/>
        </w:rPr>
      </w:pPr>
    </w:p>
    <w:p w14:paraId="0BECFD42" w14:textId="77777777" w:rsidR="00D32E79" w:rsidRDefault="0045744D" w:rsidP="00A37B18">
      <w:pPr>
        <w:pStyle w:val="Paragraphedeliste"/>
        <w:numPr>
          <w:ilvl w:val="0"/>
          <w:numId w:val="9"/>
        </w:numPr>
        <w:spacing w:after="0" w:line="240" w:lineRule="auto"/>
        <w:jc w:val="both"/>
        <w:rPr>
          <w:rFonts w:ascii="Arial" w:hAnsi="Arial" w:cs="Arial"/>
          <w:color w:val="000000" w:themeColor="text1"/>
          <w:sz w:val="20"/>
          <w:szCs w:val="20"/>
        </w:rPr>
      </w:pPr>
      <w:r w:rsidRPr="004F6CD1">
        <w:rPr>
          <w:rFonts w:ascii="Arial" w:hAnsi="Arial" w:cs="Arial"/>
          <w:color w:val="000000" w:themeColor="text1"/>
          <w:sz w:val="20"/>
          <w:szCs w:val="20"/>
        </w:rPr>
        <w:t xml:space="preserve">Dans cette querelle, dont la presse étrangère s’est souvent faite l’écho avec ironie, la question, en effet, n’est pas tant le port du burkini que celle de sa prohibition. </w:t>
      </w:r>
    </w:p>
    <w:p w14:paraId="1DBC754A" w14:textId="77777777" w:rsidR="00D32E79" w:rsidRPr="00D32E79" w:rsidRDefault="00D32E79" w:rsidP="00A37B18">
      <w:pPr>
        <w:pStyle w:val="Paragraphedeliste"/>
        <w:spacing w:after="0" w:line="240" w:lineRule="auto"/>
        <w:ind w:left="360"/>
        <w:jc w:val="both"/>
        <w:rPr>
          <w:rFonts w:ascii="Arial" w:hAnsi="Arial" w:cs="Arial"/>
          <w:color w:val="000000" w:themeColor="text1"/>
          <w:sz w:val="20"/>
          <w:szCs w:val="20"/>
        </w:rPr>
      </w:pPr>
    </w:p>
    <w:p w14:paraId="61EC6715" w14:textId="77777777" w:rsidR="0045744D" w:rsidRDefault="0045744D" w:rsidP="00A37B18">
      <w:pPr>
        <w:pStyle w:val="Paragraphedeliste"/>
        <w:numPr>
          <w:ilvl w:val="0"/>
          <w:numId w:val="9"/>
        </w:numPr>
        <w:spacing w:after="0" w:line="240" w:lineRule="auto"/>
        <w:jc w:val="both"/>
        <w:rPr>
          <w:rFonts w:ascii="Arial" w:hAnsi="Arial" w:cs="Arial"/>
          <w:color w:val="000000" w:themeColor="text1"/>
          <w:sz w:val="20"/>
          <w:szCs w:val="20"/>
        </w:rPr>
      </w:pPr>
      <w:r w:rsidRPr="004F6CD1">
        <w:rPr>
          <w:rFonts w:ascii="Arial" w:hAnsi="Arial" w:cs="Arial"/>
          <w:color w:val="000000" w:themeColor="text1"/>
          <w:sz w:val="20"/>
          <w:szCs w:val="20"/>
        </w:rPr>
        <w:t>Loin de contester la légitimité de ces mesures, par essence discriminantes, le gouvernement, par la voie de son premier Ministre de l’époque, Manuel Valls, a soutenu les maires en approuvant publiquement ces décisions pourtant manifestement illégales</w:t>
      </w:r>
      <w:r w:rsidRPr="0045744D">
        <w:rPr>
          <w:vertAlign w:val="superscript"/>
        </w:rPr>
        <w:footnoteReference w:id="4"/>
      </w:r>
      <w:r w:rsidRPr="004F6CD1">
        <w:rPr>
          <w:rFonts w:ascii="Arial" w:hAnsi="Arial" w:cs="Arial"/>
          <w:color w:val="000000" w:themeColor="text1"/>
          <w:sz w:val="20"/>
          <w:szCs w:val="20"/>
        </w:rPr>
        <w:t xml:space="preserve">. Il va sans dire qu’aucun préfet n’a exercé son contrôle de légalité sur ces mesures en les soumettant à l’appréciation de la juridiction administrative.  </w:t>
      </w:r>
    </w:p>
    <w:p w14:paraId="453B6A3E" w14:textId="77777777" w:rsidR="00D32E79" w:rsidRPr="004F6CD1" w:rsidRDefault="00D32E79" w:rsidP="00A37B18">
      <w:pPr>
        <w:pStyle w:val="Paragraphedeliste"/>
        <w:spacing w:after="0" w:line="240" w:lineRule="auto"/>
        <w:ind w:left="360"/>
        <w:jc w:val="both"/>
        <w:rPr>
          <w:rFonts w:ascii="Arial" w:hAnsi="Arial" w:cs="Arial"/>
          <w:color w:val="000000" w:themeColor="text1"/>
          <w:sz w:val="20"/>
          <w:szCs w:val="20"/>
        </w:rPr>
      </w:pPr>
    </w:p>
    <w:p w14:paraId="1367AFA8" w14:textId="77777777" w:rsidR="0045744D" w:rsidRDefault="0045744D" w:rsidP="008F548F">
      <w:pPr>
        <w:pStyle w:val="Paragraphedeliste"/>
        <w:numPr>
          <w:ilvl w:val="0"/>
          <w:numId w:val="9"/>
        </w:numPr>
        <w:spacing w:after="0" w:line="240" w:lineRule="auto"/>
        <w:jc w:val="both"/>
        <w:rPr>
          <w:rFonts w:ascii="Arial" w:hAnsi="Arial" w:cs="Arial"/>
          <w:color w:val="000000" w:themeColor="text1"/>
          <w:sz w:val="20"/>
          <w:szCs w:val="20"/>
        </w:rPr>
      </w:pPr>
      <w:r w:rsidRPr="004F6CD1">
        <w:rPr>
          <w:rFonts w:ascii="Arial" w:hAnsi="Arial" w:cs="Arial"/>
          <w:color w:val="000000" w:themeColor="text1"/>
          <w:sz w:val="20"/>
          <w:szCs w:val="20"/>
        </w:rPr>
        <w:t>Alors même que les discours gouvernementaux et les textes se sont multipliés ces dernières années pour annoncer la lutte de l’Etat contre les discriminations en tous genres, le gouvernement français a au pire été complice, au mieux taisant, sur des actes de discriminations pourtant patents</w:t>
      </w:r>
      <w:r w:rsidRPr="0045744D">
        <w:rPr>
          <w:vertAlign w:val="superscript"/>
        </w:rPr>
        <w:footnoteReference w:id="5"/>
      </w:r>
      <w:r w:rsidRPr="004F6CD1">
        <w:rPr>
          <w:rFonts w:ascii="Arial" w:hAnsi="Arial" w:cs="Arial"/>
          <w:color w:val="000000" w:themeColor="text1"/>
          <w:sz w:val="20"/>
          <w:szCs w:val="20"/>
        </w:rPr>
        <w:t xml:space="preserve">. </w:t>
      </w:r>
    </w:p>
    <w:p w14:paraId="0BCA7F6D" w14:textId="77777777" w:rsidR="00D32E79" w:rsidRPr="00D32E79" w:rsidRDefault="00D32E79" w:rsidP="00A37B18">
      <w:pPr>
        <w:pStyle w:val="Paragraphedeliste"/>
        <w:spacing w:after="0" w:line="240" w:lineRule="auto"/>
        <w:rPr>
          <w:rFonts w:ascii="Arial" w:hAnsi="Arial" w:cs="Arial"/>
          <w:color w:val="000000" w:themeColor="text1"/>
          <w:sz w:val="20"/>
          <w:szCs w:val="20"/>
        </w:rPr>
      </w:pPr>
    </w:p>
    <w:p w14:paraId="72871F55" w14:textId="77777777" w:rsidR="00D32E79" w:rsidRDefault="0045744D" w:rsidP="00A37B18">
      <w:pPr>
        <w:pStyle w:val="Paragraphedeliste"/>
        <w:numPr>
          <w:ilvl w:val="0"/>
          <w:numId w:val="9"/>
        </w:numPr>
        <w:spacing w:after="0" w:line="240" w:lineRule="auto"/>
        <w:jc w:val="both"/>
        <w:rPr>
          <w:rFonts w:ascii="Arial" w:hAnsi="Arial" w:cs="Arial"/>
          <w:color w:val="000000" w:themeColor="text1"/>
          <w:sz w:val="20"/>
          <w:szCs w:val="20"/>
        </w:rPr>
      </w:pPr>
      <w:r w:rsidRPr="004F6CD1">
        <w:rPr>
          <w:rFonts w:ascii="Arial" w:hAnsi="Arial" w:cs="Arial"/>
          <w:bCs/>
          <w:color w:val="000000" w:themeColor="text1"/>
          <w:sz w:val="20"/>
          <w:szCs w:val="20"/>
        </w:rPr>
        <w:lastRenderedPageBreak/>
        <w:t xml:space="preserve">De tels </w:t>
      </w:r>
      <w:r w:rsidRPr="004F6CD1">
        <w:rPr>
          <w:rFonts w:ascii="Arial" w:hAnsi="Arial" w:cs="Arial"/>
          <w:color w:val="000000" w:themeColor="text1"/>
          <w:sz w:val="20"/>
          <w:szCs w:val="20"/>
        </w:rPr>
        <w:t xml:space="preserve">arrêtés portent en effet </w:t>
      </w:r>
      <w:r w:rsidRPr="004F6CD1">
        <w:rPr>
          <w:rFonts w:ascii="Arial" w:hAnsi="Arial" w:cs="Arial"/>
          <w:bCs/>
          <w:color w:val="000000" w:themeColor="text1"/>
          <w:sz w:val="20"/>
          <w:szCs w:val="20"/>
        </w:rPr>
        <w:t xml:space="preserve">une atteinte grave et manifestement illégale à plusieurs libertés fondamentales et notamment à </w:t>
      </w:r>
      <w:r w:rsidRPr="004F6CD1">
        <w:rPr>
          <w:rFonts w:ascii="Arial" w:hAnsi="Arial" w:cs="Arial"/>
          <w:color w:val="000000" w:themeColor="text1"/>
          <w:sz w:val="20"/>
          <w:szCs w:val="20"/>
        </w:rPr>
        <w:t>la liberté de manifester ses convictions religieuses</w:t>
      </w:r>
      <w:r w:rsidRPr="0045744D">
        <w:rPr>
          <w:vertAlign w:val="superscript"/>
        </w:rPr>
        <w:footnoteReference w:id="6"/>
      </w:r>
      <w:r w:rsidRPr="004F6CD1">
        <w:rPr>
          <w:rFonts w:ascii="Arial" w:hAnsi="Arial" w:cs="Arial"/>
          <w:color w:val="000000" w:themeColor="text1"/>
          <w:sz w:val="20"/>
          <w:szCs w:val="20"/>
        </w:rPr>
        <w:t>, la liberté d’aller et venir</w:t>
      </w:r>
      <w:r w:rsidRPr="0045744D">
        <w:rPr>
          <w:vertAlign w:val="superscript"/>
        </w:rPr>
        <w:footnoteReference w:id="7"/>
      </w:r>
      <w:r w:rsidRPr="004F6CD1">
        <w:rPr>
          <w:rFonts w:ascii="Arial" w:hAnsi="Arial" w:cs="Arial"/>
          <w:color w:val="000000" w:themeColor="text1"/>
          <w:sz w:val="20"/>
          <w:szCs w:val="20"/>
        </w:rPr>
        <w:t xml:space="preserve"> ou encore la </w:t>
      </w:r>
      <w:r w:rsidR="00A227CE">
        <w:rPr>
          <w:rFonts w:ascii="Arial" w:hAnsi="Arial" w:cs="Arial"/>
          <w:color w:val="000000" w:themeColor="text1"/>
          <w:sz w:val="20"/>
          <w:szCs w:val="20"/>
        </w:rPr>
        <w:t xml:space="preserve">liberté </w:t>
      </w:r>
      <w:r w:rsidRPr="004F6CD1">
        <w:rPr>
          <w:rFonts w:ascii="Arial" w:hAnsi="Arial" w:cs="Arial"/>
          <w:color w:val="000000" w:themeColor="text1"/>
          <w:sz w:val="20"/>
          <w:szCs w:val="20"/>
        </w:rPr>
        <w:t>personnelle.</w:t>
      </w:r>
    </w:p>
    <w:p w14:paraId="44C9FC8F" w14:textId="77777777" w:rsidR="00D32E79" w:rsidRDefault="00D32E79" w:rsidP="00A37B18">
      <w:pPr>
        <w:pStyle w:val="Paragraphedeliste"/>
        <w:spacing w:after="0" w:line="240" w:lineRule="auto"/>
        <w:ind w:left="360"/>
        <w:jc w:val="both"/>
        <w:rPr>
          <w:rFonts w:ascii="Arial" w:hAnsi="Arial" w:cs="Arial"/>
          <w:color w:val="000000" w:themeColor="text1"/>
          <w:sz w:val="20"/>
          <w:szCs w:val="20"/>
        </w:rPr>
      </w:pPr>
    </w:p>
    <w:p w14:paraId="13EADD62" w14:textId="1EFC2331" w:rsidR="0045744D" w:rsidRDefault="0045744D" w:rsidP="00A37B18">
      <w:pPr>
        <w:pStyle w:val="Paragraphedeliste"/>
        <w:numPr>
          <w:ilvl w:val="0"/>
          <w:numId w:val="9"/>
        </w:numPr>
        <w:spacing w:after="0" w:line="240" w:lineRule="auto"/>
        <w:jc w:val="both"/>
        <w:rPr>
          <w:rFonts w:ascii="Arial" w:hAnsi="Arial" w:cs="Arial"/>
          <w:color w:val="000000" w:themeColor="text1"/>
          <w:sz w:val="20"/>
          <w:szCs w:val="20"/>
        </w:rPr>
      </w:pPr>
      <w:r w:rsidRPr="004F6CD1">
        <w:rPr>
          <w:rFonts w:ascii="Arial" w:hAnsi="Arial" w:cs="Arial"/>
          <w:color w:val="000000" w:themeColor="text1"/>
          <w:sz w:val="20"/>
          <w:szCs w:val="20"/>
        </w:rPr>
        <w:t xml:space="preserve">En effet, </w:t>
      </w:r>
      <w:r w:rsidRPr="004F6CD1">
        <w:rPr>
          <w:rFonts w:ascii="Arial" w:hAnsi="Arial" w:cs="Arial"/>
          <w:bCs/>
          <w:color w:val="000000" w:themeColor="text1"/>
          <w:sz w:val="20"/>
          <w:szCs w:val="20"/>
        </w:rPr>
        <w:t>en interdisant l'accès à la baignade à toute personne ne disposant pas d'une tenue correcte, respectueuse des bonnes mœurs et du principe de laïcité, et respectant les règles d'hygiène et de sécurité adaptées au domaine public maritime</w:t>
      </w:r>
      <w:r w:rsidRPr="004F6CD1">
        <w:rPr>
          <w:rFonts w:ascii="Arial" w:hAnsi="Arial" w:cs="Arial"/>
          <w:color w:val="000000" w:themeColor="text1"/>
          <w:sz w:val="20"/>
          <w:szCs w:val="20"/>
        </w:rPr>
        <w:t>, les arrêtés contestés font obstacle au libre accès à un espace public ouvert à tous et empêche</w:t>
      </w:r>
      <w:r w:rsidR="008F5418">
        <w:rPr>
          <w:rFonts w:ascii="Arial" w:hAnsi="Arial" w:cs="Arial"/>
          <w:color w:val="000000" w:themeColor="text1"/>
          <w:sz w:val="20"/>
          <w:szCs w:val="20"/>
        </w:rPr>
        <w:t>nt</w:t>
      </w:r>
      <w:r w:rsidRPr="004F6CD1">
        <w:rPr>
          <w:rFonts w:ascii="Arial" w:hAnsi="Arial" w:cs="Arial"/>
          <w:color w:val="000000" w:themeColor="text1"/>
          <w:sz w:val="20"/>
          <w:szCs w:val="20"/>
        </w:rPr>
        <w:t xml:space="preserve"> l’exercice de libertés fondamentales dans cet espace.</w:t>
      </w:r>
    </w:p>
    <w:p w14:paraId="343BAD81" w14:textId="77777777" w:rsidR="00D32E79" w:rsidRPr="004F6CD1" w:rsidRDefault="00D32E79" w:rsidP="00A37B18">
      <w:pPr>
        <w:pStyle w:val="Paragraphedeliste"/>
        <w:spacing w:after="0" w:line="240" w:lineRule="auto"/>
        <w:ind w:left="360"/>
        <w:jc w:val="both"/>
        <w:rPr>
          <w:rFonts w:ascii="Arial" w:hAnsi="Arial" w:cs="Arial"/>
          <w:color w:val="000000" w:themeColor="text1"/>
          <w:sz w:val="20"/>
          <w:szCs w:val="20"/>
        </w:rPr>
      </w:pPr>
    </w:p>
    <w:p w14:paraId="707BEA7A" w14:textId="77777777" w:rsidR="0045744D" w:rsidRDefault="0045744D" w:rsidP="00A37B18">
      <w:pPr>
        <w:pStyle w:val="Paragraphedeliste"/>
        <w:numPr>
          <w:ilvl w:val="0"/>
          <w:numId w:val="9"/>
        </w:numPr>
        <w:spacing w:after="0" w:line="240" w:lineRule="auto"/>
        <w:jc w:val="both"/>
        <w:rPr>
          <w:rFonts w:ascii="Arial" w:hAnsi="Arial" w:cs="Arial"/>
          <w:color w:val="000000" w:themeColor="text1"/>
          <w:sz w:val="20"/>
          <w:szCs w:val="20"/>
        </w:rPr>
      </w:pPr>
      <w:r w:rsidRPr="004F6CD1">
        <w:rPr>
          <w:rFonts w:ascii="Arial" w:hAnsi="Arial" w:cs="Arial"/>
          <w:color w:val="000000" w:themeColor="text1"/>
          <w:sz w:val="20"/>
          <w:szCs w:val="20"/>
        </w:rPr>
        <w:t>Et ce, de façon discriminatoire et sans justification aucune.</w:t>
      </w:r>
      <w:r w:rsidRPr="004F6CD1">
        <w:rPr>
          <w:rFonts w:ascii="Arial" w:eastAsia="Times New Roman" w:hAnsi="Arial" w:cs="Arial"/>
          <w:color w:val="000000" w:themeColor="text1"/>
          <w:sz w:val="20"/>
          <w:szCs w:val="20"/>
          <w:lang w:eastAsia="fr-FR"/>
        </w:rPr>
        <w:t xml:space="preserve"> De telles mesures </w:t>
      </w:r>
      <w:r w:rsidRPr="004F6CD1">
        <w:rPr>
          <w:rFonts w:ascii="Arial" w:hAnsi="Arial" w:cs="Arial"/>
          <w:color w:val="000000" w:themeColor="text1"/>
          <w:sz w:val="20"/>
          <w:szCs w:val="20"/>
        </w:rPr>
        <w:t>visent spécifiquement un groupe de personnes en raison de leur religion. A cet ég</w:t>
      </w:r>
      <w:r w:rsidR="00A227CE">
        <w:rPr>
          <w:rFonts w:ascii="Arial" w:hAnsi="Arial" w:cs="Arial"/>
          <w:color w:val="000000" w:themeColor="text1"/>
          <w:sz w:val="20"/>
          <w:szCs w:val="20"/>
        </w:rPr>
        <w:t>ard, les propos du maire de la c</w:t>
      </w:r>
      <w:r w:rsidRPr="004F6CD1">
        <w:rPr>
          <w:rFonts w:ascii="Arial" w:hAnsi="Arial" w:cs="Arial"/>
          <w:color w:val="000000" w:themeColor="text1"/>
          <w:sz w:val="20"/>
          <w:szCs w:val="20"/>
        </w:rPr>
        <w:t xml:space="preserve">ommune de Villeneuve sont pour le moins éloquents, puisque pour justifier son arrêté, il a affirmé dans la presse que « </w:t>
      </w:r>
      <w:r w:rsidRPr="004F6CD1">
        <w:rPr>
          <w:rFonts w:ascii="Arial" w:hAnsi="Arial" w:cs="Arial"/>
          <w:i/>
          <w:color w:val="000000" w:themeColor="text1"/>
          <w:sz w:val="20"/>
          <w:szCs w:val="20"/>
        </w:rPr>
        <w:t>la République, ce n’est pas venir à la plage habillé en affichant ses convictions religieuses, d’autant que ce sont de fausses convictions, car la religion ne demande rien</w:t>
      </w:r>
      <w:r w:rsidRPr="004F6CD1">
        <w:rPr>
          <w:rFonts w:ascii="Arial" w:hAnsi="Arial" w:cs="Arial"/>
          <w:color w:val="000000" w:themeColor="text1"/>
          <w:sz w:val="20"/>
          <w:szCs w:val="20"/>
        </w:rPr>
        <w:t xml:space="preserve"> »</w:t>
      </w:r>
      <w:r w:rsidR="007F758F">
        <w:rPr>
          <w:rStyle w:val="Appelnotedebasdep"/>
          <w:rFonts w:ascii="Arial" w:hAnsi="Arial" w:cs="Arial"/>
          <w:color w:val="000000" w:themeColor="text1"/>
          <w:sz w:val="20"/>
          <w:szCs w:val="20"/>
        </w:rPr>
        <w:footnoteReference w:id="8"/>
      </w:r>
      <w:r w:rsidRPr="004F6CD1">
        <w:rPr>
          <w:rFonts w:ascii="Arial" w:hAnsi="Arial" w:cs="Arial"/>
          <w:color w:val="000000" w:themeColor="text1"/>
          <w:sz w:val="20"/>
          <w:szCs w:val="20"/>
        </w:rPr>
        <w:t>.</w:t>
      </w:r>
    </w:p>
    <w:p w14:paraId="5CDF4880" w14:textId="77777777" w:rsidR="00D32E79" w:rsidRDefault="00D32E79" w:rsidP="00A37B18">
      <w:pPr>
        <w:pStyle w:val="Paragraphedeliste"/>
        <w:spacing w:after="0" w:line="240" w:lineRule="auto"/>
        <w:ind w:left="360"/>
        <w:jc w:val="both"/>
        <w:rPr>
          <w:rFonts w:ascii="Arial" w:hAnsi="Arial" w:cs="Arial"/>
          <w:color w:val="000000" w:themeColor="text1"/>
          <w:sz w:val="20"/>
          <w:szCs w:val="20"/>
        </w:rPr>
      </w:pPr>
    </w:p>
    <w:p w14:paraId="7CED2BD7" w14:textId="77777777" w:rsidR="00D32E79" w:rsidRDefault="0045744D" w:rsidP="00A37B18">
      <w:pPr>
        <w:pStyle w:val="Paragraphedeliste"/>
        <w:numPr>
          <w:ilvl w:val="0"/>
          <w:numId w:val="9"/>
        </w:numPr>
        <w:spacing w:after="0" w:line="240" w:lineRule="auto"/>
        <w:jc w:val="both"/>
        <w:rPr>
          <w:rFonts w:ascii="Arial" w:hAnsi="Arial" w:cs="Arial"/>
          <w:color w:val="000000" w:themeColor="text1"/>
          <w:sz w:val="20"/>
          <w:szCs w:val="20"/>
        </w:rPr>
      </w:pPr>
      <w:r w:rsidRPr="004F6CD1">
        <w:rPr>
          <w:rFonts w:ascii="Arial" w:hAnsi="Arial" w:cs="Arial"/>
          <w:color w:val="000000" w:themeColor="text1"/>
          <w:sz w:val="20"/>
          <w:szCs w:val="20"/>
        </w:rPr>
        <w:t>Le principe de laïcité, pour le moins dévoyé, qui était l’un des fondements des arrêtés contestés, n’a logiquement pas été retenu par la haute juridiction administrative qui a censuré cette mes</w:t>
      </w:r>
      <w:r w:rsidR="00205019">
        <w:rPr>
          <w:rFonts w:ascii="Arial" w:hAnsi="Arial" w:cs="Arial"/>
          <w:color w:val="000000" w:themeColor="text1"/>
          <w:sz w:val="20"/>
          <w:szCs w:val="20"/>
        </w:rPr>
        <w:t xml:space="preserve">ure aux motifs qu’elle portait </w:t>
      </w:r>
      <w:r w:rsidRPr="004F6CD1">
        <w:rPr>
          <w:rFonts w:ascii="Arial" w:hAnsi="Arial" w:cs="Arial"/>
          <w:color w:val="000000" w:themeColor="text1"/>
          <w:sz w:val="20"/>
          <w:szCs w:val="20"/>
        </w:rPr>
        <w:t>une atteinte grave et manifestement illégale aux libertés fondamentales que sont la liberté d’aller et venir, la liberté de conscience et la liberté personnelle</w:t>
      </w:r>
      <w:r w:rsidRPr="0045744D">
        <w:rPr>
          <w:vertAlign w:val="superscript"/>
        </w:rPr>
        <w:footnoteReference w:id="9"/>
      </w:r>
      <w:r w:rsidRPr="004F6CD1">
        <w:rPr>
          <w:rFonts w:ascii="Arial" w:hAnsi="Arial" w:cs="Arial"/>
          <w:color w:val="000000" w:themeColor="text1"/>
          <w:sz w:val="20"/>
          <w:szCs w:val="20"/>
        </w:rPr>
        <w:t xml:space="preserve">. </w:t>
      </w:r>
    </w:p>
    <w:p w14:paraId="31B7D30A" w14:textId="77777777" w:rsidR="00227041" w:rsidRPr="00227041" w:rsidRDefault="00227041" w:rsidP="00A37B18">
      <w:pPr>
        <w:pStyle w:val="Paragraphedeliste"/>
        <w:spacing w:after="0" w:line="240" w:lineRule="auto"/>
        <w:rPr>
          <w:rFonts w:ascii="Arial" w:hAnsi="Arial" w:cs="Arial"/>
          <w:color w:val="000000" w:themeColor="text1"/>
          <w:sz w:val="20"/>
          <w:szCs w:val="20"/>
        </w:rPr>
      </w:pPr>
    </w:p>
    <w:p w14:paraId="7427EAE4" w14:textId="77777777" w:rsidR="0045744D" w:rsidRDefault="0045744D" w:rsidP="00A37B18">
      <w:pPr>
        <w:pStyle w:val="Paragraphedeliste"/>
        <w:numPr>
          <w:ilvl w:val="0"/>
          <w:numId w:val="9"/>
        </w:numPr>
        <w:spacing w:after="0" w:line="240" w:lineRule="auto"/>
        <w:jc w:val="both"/>
        <w:rPr>
          <w:rFonts w:ascii="Arial" w:hAnsi="Arial" w:cs="Arial"/>
          <w:color w:val="000000" w:themeColor="text1"/>
          <w:sz w:val="20"/>
          <w:szCs w:val="20"/>
        </w:rPr>
      </w:pPr>
      <w:r w:rsidRPr="004F6CD1">
        <w:rPr>
          <w:rFonts w:ascii="Arial" w:hAnsi="Arial" w:cs="Arial"/>
          <w:color w:val="000000" w:themeColor="text1"/>
          <w:sz w:val="20"/>
          <w:szCs w:val="20"/>
        </w:rPr>
        <w:t>Il n’en demeure pas moins que certaines municipalités continuent de prendre de telles décisions à l’approche de la saison estivale</w:t>
      </w:r>
      <w:r w:rsidRPr="0045744D">
        <w:rPr>
          <w:vertAlign w:val="superscript"/>
        </w:rPr>
        <w:footnoteReference w:id="10"/>
      </w:r>
      <w:r w:rsidRPr="004F6CD1">
        <w:rPr>
          <w:rFonts w:ascii="Arial" w:hAnsi="Arial" w:cs="Arial"/>
          <w:color w:val="000000" w:themeColor="text1"/>
          <w:sz w:val="20"/>
          <w:szCs w:val="20"/>
        </w:rPr>
        <w:t>, toujours dans l’indifférence ou la complicité des autorités préfectorales qui n’entendent toujours pas exercer leur contrôle de légalité malgré la caractère hautement liberticide de ces mesures.</w:t>
      </w:r>
    </w:p>
    <w:p w14:paraId="3A6B18E0" w14:textId="77777777" w:rsidR="00227041" w:rsidRPr="00227041" w:rsidRDefault="00227041" w:rsidP="00A37B18">
      <w:pPr>
        <w:spacing w:after="0" w:line="240" w:lineRule="auto"/>
        <w:jc w:val="both"/>
        <w:rPr>
          <w:rFonts w:ascii="Arial" w:hAnsi="Arial" w:cs="Arial"/>
          <w:color w:val="000000" w:themeColor="text1"/>
          <w:sz w:val="20"/>
          <w:szCs w:val="20"/>
        </w:rPr>
      </w:pPr>
    </w:p>
    <w:p w14:paraId="39A62084" w14:textId="77777777" w:rsidR="0045744D" w:rsidRPr="00DB197C" w:rsidRDefault="0045744D" w:rsidP="00DB197C">
      <w:pPr>
        <w:pStyle w:val="Paragraphedeliste"/>
        <w:numPr>
          <w:ilvl w:val="1"/>
          <w:numId w:val="1"/>
        </w:numPr>
        <w:spacing w:after="0" w:line="240" w:lineRule="auto"/>
        <w:rPr>
          <w:rFonts w:ascii="Arial" w:hAnsi="Arial" w:cs="Arial"/>
          <w:color w:val="000000" w:themeColor="text1"/>
          <w:sz w:val="20"/>
          <w:szCs w:val="20"/>
          <w:u w:val="single"/>
        </w:rPr>
      </w:pPr>
      <w:r w:rsidRPr="00DB197C">
        <w:rPr>
          <w:rFonts w:ascii="Arial" w:hAnsi="Arial" w:cs="Arial"/>
          <w:color w:val="000000" w:themeColor="text1"/>
          <w:sz w:val="20"/>
          <w:szCs w:val="20"/>
          <w:u w:val="single"/>
        </w:rPr>
        <w:t>L’amalgame religieux</w:t>
      </w:r>
      <w:r w:rsidR="00BD5447">
        <w:rPr>
          <w:rFonts w:ascii="Arial" w:hAnsi="Arial" w:cs="Arial"/>
          <w:color w:val="000000" w:themeColor="text1"/>
          <w:sz w:val="20"/>
          <w:szCs w:val="20"/>
          <w:u w:val="single"/>
        </w:rPr>
        <w:t xml:space="preserve"> et la discrimination entretenu</w:t>
      </w:r>
      <w:r w:rsidRPr="00DB197C">
        <w:rPr>
          <w:rFonts w:ascii="Arial" w:hAnsi="Arial" w:cs="Arial"/>
          <w:color w:val="000000" w:themeColor="text1"/>
          <w:sz w:val="20"/>
          <w:szCs w:val="20"/>
          <w:u w:val="single"/>
        </w:rPr>
        <w:t>s par le pouvoir exécutif : Le préfet de police de Paris</w:t>
      </w:r>
      <w:r w:rsidR="00BD5447">
        <w:rPr>
          <w:rFonts w:ascii="Arial" w:hAnsi="Arial" w:cs="Arial"/>
          <w:color w:val="000000" w:themeColor="text1"/>
          <w:sz w:val="20"/>
          <w:szCs w:val="20"/>
          <w:u w:val="single"/>
        </w:rPr>
        <w:t xml:space="preserve"> interdit la manifestation des h</w:t>
      </w:r>
      <w:r w:rsidRPr="00DB197C">
        <w:rPr>
          <w:rFonts w:ascii="Arial" w:hAnsi="Arial" w:cs="Arial"/>
          <w:color w:val="000000" w:themeColor="text1"/>
          <w:sz w:val="20"/>
          <w:szCs w:val="20"/>
          <w:u w:val="single"/>
        </w:rPr>
        <w:t>ijabeuses</w:t>
      </w:r>
    </w:p>
    <w:p w14:paraId="353A4B4F" w14:textId="77777777" w:rsidR="00DB197C" w:rsidRPr="00DB197C" w:rsidRDefault="00DB197C" w:rsidP="00DB197C">
      <w:pPr>
        <w:pStyle w:val="Paragraphedeliste"/>
        <w:spacing w:after="0" w:line="240" w:lineRule="auto"/>
        <w:ind w:left="390"/>
        <w:rPr>
          <w:rFonts w:ascii="Arial" w:hAnsi="Arial" w:cs="Arial"/>
          <w:color w:val="000000" w:themeColor="text1"/>
          <w:sz w:val="20"/>
          <w:szCs w:val="20"/>
          <w:u w:val="single"/>
        </w:rPr>
      </w:pPr>
    </w:p>
    <w:p w14:paraId="1867E9FF" w14:textId="77777777" w:rsidR="0045744D" w:rsidRDefault="0045744D" w:rsidP="00A37B18">
      <w:pPr>
        <w:pStyle w:val="Paragraphedeliste"/>
        <w:numPr>
          <w:ilvl w:val="0"/>
          <w:numId w:val="9"/>
        </w:numPr>
        <w:spacing w:after="0" w:line="240" w:lineRule="auto"/>
        <w:jc w:val="both"/>
        <w:rPr>
          <w:rFonts w:ascii="Arial" w:hAnsi="Arial" w:cs="Arial"/>
          <w:color w:val="000000" w:themeColor="text1"/>
          <w:sz w:val="20"/>
          <w:szCs w:val="20"/>
        </w:rPr>
      </w:pPr>
      <w:r w:rsidRPr="004F6CD1">
        <w:rPr>
          <w:rFonts w:ascii="Arial" w:hAnsi="Arial" w:cs="Arial"/>
          <w:color w:val="000000" w:themeColor="text1"/>
          <w:sz w:val="20"/>
          <w:szCs w:val="20"/>
        </w:rPr>
        <w:t>Désireuses de revendiquer leur droit de pratiquer le football en portant un voile et plus globalement un signe religieux, un collectif de femmes avait décidé, face au silence tant des autorités nationales que sportives, d’organiser une manifestation sportive avec les députés devant l’Assemblée Nationale</w:t>
      </w:r>
      <w:r w:rsidRPr="0045744D">
        <w:rPr>
          <w:vertAlign w:val="superscript"/>
        </w:rPr>
        <w:footnoteReference w:id="11"/>
      </w:r>
      <w:r w:rsidRPr="004F6CD1">
        <w:rPr>
          <w:rFonts w:ascii="Arial" w:hAnsi="Arial" w:cs="Arial"/>
          <w:color w:val="000000" w:themeColor="text1"/>
          <w:sz w:val="20"/>
          <w:szCs w:val="20"/>
        </w:rPr>
        <w:t xml:space="preserve">. </w:t>
      </w:r>
    </w:p>
    <w:p w14:paraId="65889C5F" w14:textId="77777777" w:rsidR="00360448" w:rsidRPr="004F6CD1" w:rsidRDefault="00360448" w:rsidP="00A37B18">
      <w:pPr>
        <w:pStyle w:val="Paragraphedeliste"/>
        <w:spacing w:after="0" w:line="240" w:lineRule="auto"/>
        <w:ind w:left="360"/>
        <w:jc w:val="both"/>
        <w:rPr>
          <w:rFonts w:ascii="Arial" w:hAnsi="Arial" w:cs="Arial"/>
          <w:color w:val="000000" w:themeColor="text1"/>
          <w:sz w:val="20"/>
          <w:szCs w:val="20"/>
        </w:rPr>
      </w:pPr>
    </w:p>
    <w:p w14:paraId="44E3E651" w14:textId="77777777" w:rsidR="0045744D" w:rsidRDefault="0045744D" w:rsidP="00A37B18">
      <w:pPr>
        <w:pStyle w:val="Paragraphedeliste"/>
        <w:numPr>
          <w:ilvl w:val="0"/>
          <w:numId w:val="9"/>
        </w:numPr>
        <w:spacing w:after="0" w:line="240" w:lineRule="auto"/>
        <w:jc w:val="both"/>
        <w:rPr>
          <w:rFonts w:ascii="Arial" w:hAnsi="Arial" w:cs="Arial"/>
          <w:color w:val="000000" w:themeColor="text1"/>
          <w:sz w:val="20"/>
          <w:szCs w:val="20"/>
        </w:rPr>
      </w:pPr>
      <w:r w:rsidRPr="004F6CD1">
        <w:rPr>
          <w:rFonts w:ascii="Arial" w:hAnsi="Arial" w:cs="Arial"/>
          <w:color w:val="000000" w:themeColor="text1"/>
          <w:sz w:val="20"/>
          <w:szCs w:val="20"/>
        </w:rPr>
        <w:t>Par un arrêté daté du 8 février 2022</w:t>
      </w:r>
      <w:r w:rsidR="005A36B1">
        <w:rPr>
          <w:rFonts w:ascii="Arial" w:hAnsi="Arial" w:cs="Arial"/>
          <w:color w:val="000000" w:themeColor="text1"/>
          <w:sz w:val="20"/>
          <w:szCs w:val="20"/>
        </w:rPr>
        <w:t>,</w:t>
      </w:r>
      <w:r w:rsidRPr="004F6CD1">
        <w:rPr>
          <w:rFonts w:ascii="Arial" w:hAnsi="Arial" w:cs="Arial"/>
          <w:color w:val="000000" w:themeColor="text1"/>
          <w:sz w:val="20"/>
          <w:szCs w:val="20"/>
        </w:rPr>
        <w:t xml:space="preserve"> le préfet de police a interdit la manifestation déclarée pour le mercredi 9 février 2022 intitulée «</w:t>
      </w:r>
      <w:r w:rsidRPr="004F6CD1">
        <w:rPr>
          <w:rFonts w:ascii="Arial" w:hAnsi="Arial" w:cs="Arial"/>
          <w:i/>
          <w:iCs/>
          <w:color w:val="000000" w:themeColor="text1"/>
          <w:sz w:val="20"/>
          <w:szCs w:val="20"/>
        </w:rPr>
        <w:t xml:space="preserve"> les députés jouent au football avec les hijabeuses</w:t>
      </w:r>
      <w:r w:rsidRPr="004F6CD1">
        <w:rPr>
          <w:rFonts w:ascii="Arial" w:hAnsi="Arial" w:cs="Arial"/>
          <w:color w:val="000000" w:themeColor="text1"/>
          <w:sz w:val="20"/>
          <w:szCs w:val="20"/>
        </w:rPr>
        <w:t> ».</w:t>
      </w:r>
    </w:p>
    <w:p w14:paraId="76078A4A" w14:textId="77777777" w:rsidR="00360448" w:rsidRPr="00360448" w:rsidRDefault="00360448" w:rsidP="00A37B18">
      <w:pPr>
        <w:pStyle w:val="Paragraphedeliste"/>
        <w:spacing w:after="0" w:line="240" w:lineRule="auto"/>
        <w:rPr>
          <w:rFonts w:ascii="Arial" w:hAnsi="Arial" w:cs="Arial"/>
          <w:color w:val="000000" w:themeColor="text1"/>
          <w:sz w:val="20"/>
          <w:szCs w:val="20"/>
        </w:rPr>
      </w:pPr>
    </w:p>
    <w:p w14:paraId="1A51230F" w14:textId="77777777" w:rsidR="0045744D" w:rsidRDefault="0045744D" w:rsidP="00A37B18">
      <w:pPr>
        <w:pStyle w:val="Paragraphedeliste"/>
        <w:numPr>
          <w:ilvl w:val="0"/>
          <w:numId w:val="9"/>
        </w:numPr>
        <w:spacing w:after="0" w:line="240" w:lineRule="auto"/>
        <w:jc w:val="both"/>
        <w:rPr>
          <w:rFonts w:ascii="Arial" w:hAnsi="Arial" w:cs="Arial"/>
          <w:i/>
          <w:iCs/>
          <w:color w:val="000000" w:themeColor="text1"/>
          <w:sz w:val="20"/>
          <w:szCs w:val="20"/>
        </w:rPr>
      </w:pPr>
      <w:r w:rsidRPr="004F6CD1">
        <w:rPr>
          <w:rFonts w:ascii="Arial" w:hAnsi="Arial" w:cs="Arial"/>
          <w:color w:val="000000" w:themeColor="text1"/>
          <w:sz w:val="20"/>
          <w:szCs w:val="20"/>
        </w:rPr>
        <w:t>Pour interdire cette manifestation, le préfet de police a tout particulièrement retenu des motifs pour le moins emprunts d’amalgame</w:t>
      </w:r>
      <w:r w:rsidR="005A36B1">
        <w:rPr>
          <w:rFonts w:ascii="Arial" w:hAnsi="Arial" w:cs="Arial"/>
          <w:color w:val="000000" w:themeColor="text1"/>
          <w:sz w:val="20"/>
          <w:szCs w:val="20"/>
        </w:rPr>
        <w:t>s</w:t>
      </w:r>
      <w:r w:rsidRPr="004F6CD1">
        <w:rPr>
          <w:rFonts w:ascii="Arial" w:hAnsi="Arial" w:cs="Arial"/>
          <w:color w:val="000000" w:themeColor="text1"/>
          <w:sz w:val="20"/>
          <w:szCs w:val="20"/>
        </w:rPr>
        <w:t xml:space="preserve"> et d’approximations plus qu’hasardeuses tel</w:t>
      </w:r>
      <w:r w:rsidR="005A36B1">
        <w:rPr>
          <w:rFonts w:ascii="Arial" w:hAnsi="Arial" w:cs="Arial"/>
          <w:color w:val="000000" w:themeColor="text1"/>
          <w:sz w:val="20"/>
          <w:szCs w:val="20"/>
        </w:rPr>
        <w:t>s</w:t>
      </w:r>
      <w:r w:rsidRPr="004F6CD1">
        <w:rPr>
          <w:rFonts w:ascii="Arial" w:hAnsi="Arial" w:cs="Arial"/>
          <w:color w:val="000000" w:themeColor="text1"/>
          <w:sz w:val="20"/>
          <w:szCs w:val="20"/>
        </w:rPr>
        <w:t xml:space="preserve"> que celui selon lequel la revendication de cette manifestation faisait l’objet d’un « </w:t>
      </w:r>
      <w:r w:rsidRPr="004F6CD1">
        <w:rPr>
          <w:rFonts w:ascii="Arial" w:hAnsi="Arial" w:cs="Arial"/>
          <w:i/>
          <w:iCs/>
          <w:color w:val="000000" w:themeColor="text1"/>
          <w:sz w:val="20"/>
          <w:szCs w:val="20"/>
        </w:rPr>
        <w:t>vif débat et d’un clivage important au sein de la société entre partisans de l’affirmation d’un islam politique, qui prône le port du voile par les femmes, et partisans des valeurs républicaines d’égalité entre les femmes et les hommes</w:t>
      </w:r>
      <w:r w:rsidRPr="004F6CD1">
        <w:rPr>
          <w:rFonts w:ascii="Arial" w:hAnsi="Arial" w:cs="Arial"/>
          <w:iCs/>
          <w:color w:val="000000" w:themeColor="text1"/>
          <w:sz w:val="20"/>
          <w:szCs w:val="20"/>
        </w:rPr>
        <w:t> »</w:t>
      </w:r>
      <w:r w:rsidRPr="004F6CD1">
        <w:rPr>
          <w:rFonts w:ascii="Arial" w:hAnsi="Arial" w:cs="Arial"/>
          <w:i/>
          <w:iCs/>
          <w:color w:val="000000" w:themeColor="text1"/>
          <w:sz w:val="20"/>
          <w:szCs w:val="20"/>
        </w:rPr>
        <w:t xml:space="preserve">. </w:t>
      </w:r>
    </w:p>
    <w:p w14:paraId="35BAB8C3" w14:textId="77777777" w:rsidR="00360448" w:rsidRPr="00360448" w:rsidRDefault="00360448" w:rsidP="00A37B18">
      <w:pPr>
        <w:pStyle w:val="Paragraphedeliste"/>
        <w:spacing w:after="0" w:line="240" w:lineRule="auto"/>
        <w:rPr>
          <w:rFonts w:ascii="Arial" w:hAnsi="Arial" w:cs="Arial"/>
          <w:i/>
          <w:iCs/>
          <w:color w:val="000000" w:themeColor="text1"/>
          <w:sz w:val="20"/>
          <w:szCs w:val="20"/>
        </w:rPr>
      </w:pPr>
    </w:p>
    <w:p w14:paraId="574EE129" w14:textId="77777777" w:rsidR="0045744D" w:rsidRPr="00360448" w:rsidRDefault="0045744D" w:rsidP="00A37B18">
      <w:pPr>
        <w:pStyle w:val="Paragraphedeliste"/>
        <w:numPr>
          <w:ilvl w:val="0"/>
          <w:numId w:val="9"/>
        </w:numPr>
        <w:spacing w:after="0" w:line="240" w:lineRule="auto"/>
        <w:jc w:val="both"/>
        <w:rPr>
          <w:rFonts w:ascii="Arial" w:hAnsi="Arial" w:cs="Arial"/>
          <w:i/>
          <w:iCs/>
          <w:color w:val="000000" w:themeColor="text1"/>
          <w:sz w:val="20"/>
          <w:szCs w:val="20"/>
        </w:rPr>
      </w:pPr>
      <w:r w:rsidRPr="00360448">
        <w:rPr>
          <w:rFonts w:ascii="Arial" w:hAnsi="Arial" w:cs="Arial"/>
          <w:color w:val="000000" w:themeColor="text1"/>
          <w:sz w:val="20"/>
          <w:szCs w:val="20"/>
        </w:rPr>
        <w:t xml:space="preserve">La LDH, estimant que cet arrêté d’interdiction portait </w:t>
      </w:r>
      <w:r w:rsidR="005A36B1">
        <w:rPr>
          <w:rFonts w:ascii="Arial" w:hAnsi="Arial" w:cs="Arial"/>
          <w:color w:val="000000" w:themeColor="text1"/>
          <w:sz w:val="20"/>
          <w:szCs w:val="20"/>
        </w:rPr>
        <w:t>atteinte</w:t>
      </w:r>
      <w:r w:rsidRPr="00360448">
        <w:rPr>
          <w:rFonts w:ascii="Arial" w:hAnsi="Arial" w:cs="Arial"/>
          <w:color w:val="000000" w:themeColor="text1"/>
          <w:sz w:val="20"/>
          <w:szCs w:val="20"/>
        </w:rPr>
        <w:t xml:space="preserve"> à la liberté de manifester, a saisi le tribunal administratif d’un référé-liberté qui a suspendu l’arrêté d’interdiction en enjoignant au préfet de police de Paris de lever tout obstacle à la tenue de la manifestation déclarée</w:t>
      </w:r>
      <w:r w:rsidRPr="0045744D">
        <w:rPr>
          <w:vertAlign w:val="superscript"/>
        </w:rPr>
        <w:footnoteReference w:id="12"/>
      </w:r>
      <w:r w:rsidRPr="00360448">
        <w:rPr>
          <w:rFonts w:ascii="Arial" w:hAnsi="Arial" w:cs="Arial"/>
          <w:color w:val="000000" w:themeColor="text1"/>
          <w:sz w:val="20"/>
          <w:szCs w:val="20"/>
        </w:rPr>
        <w:t>.</w:t>
      </w:r>
    </w:p>
    <w:p w14:paraId="0820D750" w14:textId="77777777" w:rsidR="00360448" w:rsidRPr="00360448" w:rsidRDefault="00360448" w:rsidP="00A37B18">
      <w:pPr>
        <w:spacing w:after="0" w:line="240" w:lineRule="auto"/>
        <w:jc w:val="both"/>
        <w:rPr>
          <w:rFonts w:ascii="Arial" w:hAnsi="Arial" w:cs="Arial"/>
          <w:i/>
          <w:iCs/>
          <w:color w:val="000000" w:themeColor="text1"/>
          <w:sz w:val="20"/>
          <w:szCs w:val="20"/>
        </w:rPr>
      </w:pPr>
    </w:p>
    <w:p w14:paraId="6EF0BD60" w14:textId="77777777" w:rsidR="0045744D" w:rsidRPr="00C03648" w:rsidRDefault="0045744D" w:rsidP="00C03648">
      <w:pPr>
        <w:pStyle w:val="Paragraphedeliste"/>
        <w:numPr>
          <w:ilvl w:val="1"/>
          <w:numId w:val="1"/>
        </w:numPr>
        <w:spacing w:after="0" w:line="240" w:lineRule="auto"/>
        <w:jc w:val="both"/>
        <w:rPr>
          <w:rFonts w:ascii="Arial" w:hAnsi="Arial" w:cs="Arial"/>
          <w:bCs/>
          <w:color w:val="000000" w:themeColor="text1"/>
          <w:sz w:val="20"/>
          <w:szCs w:val="20"/>
          <w:u w:val="single"/>
        </w:rPr>
      </w:pPr>
      <w:r w:rsidRPr="00C03648">
        <w:rPr>
          <w:rFonts w:ascii="Arial" w:hAnsi="Arial" w:cs="Arial"/>
          <w:bCs/>
          <w:color w:val="000000" w:themeColor="text1"/>
          <w:sz w:val="20"/>
          <w:szCs w:val="20"/>
          <w:u w:val="single"/>
        </w:rPr>
        <w:t>La Fédération Française de Football impose le principe de neutralité aux personnes participant à une manifestation sportive</w:t>
      </w:r>
    </w:p>
    <w:p w14:paraId="249DF740" w14:textId="77777777" w:rsidR="00C03648" w:rsidRPr="00C03648" w:rsidRDefault="00C03648" w:rsidP="00C03648">
      <w:pPr>
        <w:pStyle w:val="Paragraphedeliste"/>
        <w:spacing w:after="0" w:line="240" w:lineRule="auto"/>
        <w:ind w:left="390"/>
        <w:jc w:val="both"/>
        <w:rPr>
          <w:rFonts w:ascii="Arial" w:hAnsi="Arial" w:cs="Arial"/>
          <w:bCs/>
          <w:color w:val="000000" w:themeColor="text1"/>
          <w:sz w:val="20"/>
          <w:szCs w:val="20"/>
        </w:rPr>
      </w:pPr>
    </w:p>
    <w:p w14:paraId="5B2310F7" w14:textId="55C6A025" w:rsidR="0045744D" w:rsidRDefault="0045744D" w:rsidP="00A37B18">
      <w:pPr>
        <w:pStyle w:val="Paragraphedeliste"/>
        <w:numPr>
          <w:ilvl w:val="0"/>
          <w:numId w:val="9"/>
        </w:numPr>
        <w:spacing w:after="0" w:line="240" w:lineRule="auto"/>
        <w:jc w:val="both"/>
        <w:rPr>
          <w:rFonts w:ascii="Arial" w:hAnsi="Arial" w:cs="Arial"/>
          <w:color w:val="000000" w:themeColor="text1"/>
          <w:sz w:val="20"/>
          <w:szCs w:val="20"/>
        </w:rPr>
      </w:pPr>
      <w:r w:rsidRPr="004F6CD1">
        <w:rPr>
          <w:rFonts w:ascii="Arial" w:hAnsi="Arial" w:cs="Arial"/>
          <w:color w:val="000000" w:themeColor="text1"/>
          <w:sz w:val="20"/>
          <w:szCs w:val="20"/>
        </w:rPr>
        <w:t xml:space="preserve">Alors que la Fédération internationale de football (FIFA) avait autorisé en 2014 les footballeuses musulmanes </w:t>
      </w:r>
      <w:r w:rsidR="00DA1B43" w:rsidRPr="004508A4">
        <w:rPr>
          <w:rFonts w:ascii="Arial" w:hAnsi="Arial" w:cs="Arial"/>
          <w:sz w:val="20"/>
          <w:szCs w:val="20"/>
        </w:rPr>
        <w:t>à</w:t>
      </w:r>
      <w:r w:rsidRPr="004508A4">
        <w:rPr>
          <w:rFonts w:ascii="Arial" w:hAnsi="Arial" w:cs="Arial"/>
          <w:sz w:val="20"/>
          <w:szCs w:val="20"/>
        </w:rPr>
        <w:t xml:space="preserve"> port</w:t>
      </w:r>
      <w:r w:rsidR="00DA1B43" w:rsidRPr="004508A4">
        <w:rPr>
          <w:rFonts w:ascii="Arial" w:hAnsi="Arial" w:cs="Arial"/>
          <w:sz w:val="20"/>
          <w:szCs w:val="20"/>
        </w:rPr>
        <w:t>er</w:t>
      </w:r>
      <w:r w:rsidRPr="004508A4">
        <w:rPr>
          <w:rFonts w:ascii="Arial" w:hAnsi="Arial" w:cs="Arial"/>
          <w:sz w:val="20"/>
          <w:szCs w:val="20"/>
        </w:rPr>
        <w:t xml:space="preserve"> </w:t>
      </w:r>
      <w:r w:rsidRPr="004F6CD1">
        <w:rPr>
          <w:rFonts w:ascii="Arial" w:hAnsi="Arial" w:cs="Arial"/>
          <w:color w:val="000000" w:themeColor="text1"/>
          <w:sz w:val="20"/>
          <w:szCs w:val="20"/>
        </w:rPr>
        <w:t xml:space="preserve">le voile sur les terrains en signe de tolérance et pour respecter la liberté religieuse telle que définie dans la Déclaration universelle des droits de l’Homme, les statuts de la Fédération française de football (FFF), établis au titre de la saison 2021-2022, font apparaître </w:t>
      </w:r>
      <w:r w:rsidRPr="004F6CD1">
        <w:rPr>
          <w:rFonts w:ascii="Arial" w:hAnsi="Arial" w:cs="Arial"/>
          <w:color w:val="000000" w:themeColor="text1"/>
          <w:sz w:val="20"/>
          <w:szCs w:val="20"/>
        </w:rPr>
        <w:lastRenderedPageBreak/>
        <w:t>l’interdiction « </w:t>
      </w:r>
      <w:r w:rsidRPr="004F6CD1">
        <w:rPr>
          <w:rFonts w:ascii="Arial" w:hAnsi="Arial" w:cs="Arial"/>
          <w:i/>
          <w:iCs/>
          <w:color w:val="000000" w:themeColor="text1"/>
          <w:sz w:val="20"/>
          <w:szCs w:val="20"/>
        </w:rPr>
        <w:t>à l’occasion de compétitions ou de manifestations organisées sur le territoire de la fédération ou en lien avec celles-ci, (de) tout discours ou affichage à caractère politique, idéologique, religieux ou syndical, (de) tout port de signe ou tenue manifestant ostensiblement une appartenance politique, philosophique, religieuse ou syndicale, (et de) – tout acte de prosélytisme ou manœuvre de propagande</w:t>
      </w:r>
      <w:r w:rsidRPr="004F6CD1">
        <w:rPr>
          <w:rFonts w:ascii="Arial" w:hAnsi="Arial" w:cs="Arial"/>
          <w:color w:val="000000" w:themeColor="text1"/>
          <w:sz w:val="20"/>
          <w:szCs w:val="20"/>
        </w:rPr>
        <w:t> ».</w:t>
      </w:r>
    </w:p>
    <w:p w14:paraId="6B4EAED7" w14:textId="77777777" w:rsidR="00853F91" w:rsidRPr="004F6CD1" w:rsidRDefault="00853F91" w:rsidP="00A37B18">
      <w:pPr>
        <w:pStyle w:val="Paragraphedeliste"/>
        <w:spacing w:after="0" w:line="240" w:lineRule="auto"/>
        <w:ind w:left="360"/>
        <w:jc w:val="both"/>
        <w:rPr>
          <w:rFonts w:ascii="Arial" w:hAnsi="Arial" w:cs="Arial"/>
          <w:color w:val="000000" w:themeColor="text1"/>
          <w:sz w:val="20"/>
          <w:szCs w:val="20"/>
        </w:rPr>
      </w:pPr>
    </w:p>
    <w:p w14:paraId="44966983" w14:textId="77777777" w:rsidR="0045744D" w:rsidRDefault="0045744D" w:rsidP="00A37B18">
      <w:pPr>
        <w:pStyle w:val="Paragraphedeliste"/>
        <w:numPr>
          <w:ilvl w:val="0"/>
          <w:numId w:val="9"/>
        </w:numPr>
        <w:spacing w:after="0" w:line="240" w:lineRule="auto"/>
        <w:jc w:val="both"/>
        <w:rPr>
          <w:rFonts w:ascii="Arial" w:hAnsi="Arial" w:cs="Arial"/>
          <w:color w:val="000000" w:themeColor="text1"/>
          <w:sz w:val="20"/>
          <w:szCs w:val="20"/>
        </w:rPr>
      </w:pPr>
      <w:r w:rsidRPr="004F6CD1">
        <w:rPr>
          <w:rFonts w:ascii="Arial" w:hAnsi="Arial" w:cs="Arial"/>
          <w:color w:val="000000" w:themeColor="text1"/>
          <w:sz w:val="20"/>
          <w:szCs w:val="20"/>
        </w:rPr>
        <w:t xml:space="preserve">En instituant </w:t>
      </w:r>
      <w:r w:rsidR="004F472F">
        <w:rPr>
          <w:rFonts w:ascii="Arial" w:hAnsi="Arial" w:cs="Arial"/>
          <w:color w:val="000000" w:themeColor="text1"/>
          <w:sz w:val="20"/>
          <w:szCs w:val="20"/>
        </w:rPr>
        <w:t xml:space="preserve">une telle règle, la FFF a créé </w:t>
      </w:r>
      <w:r w:rsidRPr="004F6CD1">
        <w:rPr>
          <w:rFonts w:ascii="Arial" w:hAnsi="Arial" w:cs="Arial"/>
          <w:color w:val="000000" w:themeColor="text1"/>
          <w:sz w:val="20"/>
          <w:szCs w:val="20"/>
        </w:rPr>
        <w:t>à l’encontre de</w:t>
      </w:r>
      <w:r w:rsidR="004F472F">
        <w:rPr>
          <w:rFonts w:ascii="Arial" w:hAnsi="Arial" w:cs="Arial"/>
          <w:color w:val="000000" w:themeColor="text1"/>
          <w:sz w:val="20"/>
          <w:szCs w:val="20"/>
        </w:rPr>
        <w:t xml:space="preserve"> se</w:t>
      </w:r>
      <w:r w:rsidRPr="004F6CD1">
        <w:rPr>
          <w:rFonts w:ascii="Arial" w:hAnsi="Arial" w:cs="Arial"/>
          <w:color w:val="000000" w:themeColor="text1"/>
          <w:sz w:val="20"/>
          <w:szCs w:val="20"/>
        </w:rPr>
        <w:t>s licencié</w:t>
      </w:r>
      <w:r w:rsidR="004F472F">
        <w:rPr>
          <w:rFonts w:ascii="Arial" w:hAnsi="Arial" w:cs="Arial"/>
          <w:color w:val="000000" w:themeColor="text1"/>
          <w:sz w:val="20"/>
          <w:szCs w:val="20"/>
        </w:rPr>
        <w:t>.e.</w:t>
      </w:r>
      <w:r w:rsidRPr="004F6CD1">
        <w:rPr>
          <w:rFonts w:ascii="Arial" w:hAnsi="Arial" w:cs="Arial"/>
          <w:color w:val="000000" w:themeColor="text1"/>
          <w:sz w:val="20"/>
          <w:szCs w:val="20"/>
        </w:rPr>
        <w:t>s une obligation de neutralité dont la portée est aussi générale qu’absolue.</w:t>
      </w:r>
    </w:p>
    <w:p w14:paraId="595AA6B9" w14:textId="77777777" w:rsidR="00853F91" w:rsidRPr="00853F91" w:rsidRDefault="00853F91" w:rsidP="00A37B18">
      <w:pPr>
        <w:spacing w:after="0" w:line="240" w:lineRule="auto"/>
        <w:jc w:val="both"/>
        <w:rPr>
          <w:rFonts w:ascii="Arial" w:hAnsi="Arial" w:cs="Arial"/>
          <w:color w:val="000000" w:themeColor="text1"/>
          <w:sz w:val="20"/>
          <w:szCs w:val="20"/>
        </w:rPr>
      </w:pPr>
    </w:p>
    <w:p w14:paraId="05BAE2C6" w14:textId="77777777" w:rsidR="00853F91" w:rsidRDefault="0045744D" w:rsidP="00A37B18">
      <w:pPr>
        <w:pStyle w:val="Paragraphedeliste"/>
        <w:numPr>
          <w:ilvl w:val="0"/>
          <w:numId w:val="9"/>
        </w:numPr>
        <w:spacing w:after="0" w:line="240" w:lineRule="auto"/>
        <w:jc w:val="both"/>
        <w:rPr>
          <w:rFonts w:ascii="Arial" w:hAnsi="Arial" w:cs="Arial"/>
          <w:color w:val="000000" w:themeColor="text1"/>
          <w:sz w:val="20"/>
          <w:szCs w:val="20"/>
        </w:rPr>
      </w:pPr>
      <w:r w:rsidRPr="004F6CD1">
        <w:rPr>
          <w:rFonts w:ascii="Arial" w:hAnsi="Arial" w:cs="Arial"/>
          <w:color w:val="000000" w:themeColor="text1"/>
          <w:sz w:val="20"/>
          <w:szCs w:val="20"/>
        </w:rPr>
        <w:t>Or, en vertu de l’article 34 de la Constitution, il ne revient qu’au législateur de poser, le cas échéant, un tel principe tout particulièrement lorsque ce dernier apporte des restrictions à l’accès à un service public dont une personne privée a la charge, l’obligation ainsi posée dans les statuts de la FFF ne trouve sa source ni dans la Constitution, ni dans aucune loi.</w:t>
      </w:r>
    </w:p>
    <w:p w14:paraId="6D9A780E" w14:textId="77777777" w:rsidR="00853F91" w:rsidRPr="00853F91" w:rsidRDefault="00853F91" w:rsidP="00A37B18">
      <w:pPr>
        <w:spacing w:after="0" w:line="240" w:lineRule="auto"/>
        <w:jc w:val="both"/>
        <w:rPr>
          <w:rFonts w:ascii="Arial" w:hAnsi="Arial" w:cs="Arial"/>
          <w:color w:val="000000" w:themeColor="text1"/>
          <w:sz w:val="20"/>
          <w:szCs w:val="20"/>
        </w:rPr>
      </w:pPr>
      <w:r w:rsidRPr="00853F91">
        <w:rPr>
          <w:rFonts w:ascii="Arial" w:hAnsi="Arial" w:cs="Arial"/>
          <w:color w:val="000000" w:themeColor="text1"/>
          <w:sz w:val="20"/>
          <w:szCs w:val="20"/>
        </w:rPr>
        <w:t xml:space="preserve"> </w:t>
      </w:r>
    </w:p>
    <w:p w14:paraId="59FC9EC8" w14:textId="77777777" w:rsidR="0045744D" w:rsidRDefault="0045744D" w:rsidP="00A37B18">
      <w:pPr>
        <w:pStyle w:val="Paragraphedeliste"/>
        <w:numPr>
          <w:ilvl w:val="0"/>
          <w:numId w:val="9"/>
        </w:numPr>
        <w:spacing w:after="0" w:line="240" w:lineRule="auto"/>
        <w:jc w:val="both"/>
        <w:rPr>
          <w:rFonts w:ascii="Arial" w:hAnsi="Arial" w:cs="Arial"/>
          <w:color w:val="000000" w:themeColor="text1"/>
          <w:sz w:val="20"/>
          <w:szCs w:val="20"/>
        </w:rPr>
      </w:pPr>
      <w:r w:rsidRPr="004F6CD1">
        <w:rPr>
          <w:rFonts w:ascii="Arial" w:hAnsi="Arial" w:cs="Arial"/>
          <w:color w:val="000000" w:themeColor="text1"/>
          <w:sz w:val="20"/>
          <w:szCs w:val="20"/>
        </w:rPr>
        <w:t xml:space="preserve">A cet égard, la commission spéciale chargée d’examiner le projet de loi confortant le respect des principes de la République et de lutte contre le séparatisme a expressément renoncé à imposer une telle obligation de neutralité, en supprimant l’amendement qui </w:t>
      </w:r>
      <w:r w:rsidR="00D21531">
        <w:rPr>
          <w:rFonts w:ascii="Arial" w:hAnsi="Arial" w:cs="Arial"/>
          <w:color w:val="000000" w:themeColor="text1"/>
          <w:sz w:val="20"/>
          <w:szCs w:val="20"/>
        </w:rPr>
        <w:t>prévoyait d’</w:t>
      </w:r>
      <w:r w:rsidRPr="004F6CD1">
        <w:rPr>
          <w:rFonts w:ascii="Arial" w:hAnsi="Arial" w:cs="Arial"/>
          <w:color w:val="000000" w:themeColor="text1"/>
          <w:sz w:val="20"/>
          <w:szCs w:val="20"/>
        </w:rPr>
        <w:t>étendre l’application du principe de neutralité aux participant</w:t>
      </w:r>
      <w:r w:rsidR="00D21531">
        <w:rPr>
          <w:rFonts w:ascii="Arial" w:hAnsi="Arial" w:cs="Arial"/>
          <w:color w:val="000000" w:themeColor="text1"/>
          <w:sz w:val="20"/>
          <w:szCs w:val="20"/>
        </w:rPr>
        <w:t>.e.</w:t>
      </w:r>
      <w:r w:rsidRPr="004F6CD1">
        <w:rPr>
          <w:rFonts w:ascii="Arial" w:hAnsi="Arial" w:cs="Arial"/>
          <w:color w:val="000000" w:themeColor="text1"/>
          <w:sz w:val="20"/>
          <w:szCs w:val="20"/>
        </w:rPr>
        <w:t xml:space="preserve">s </w:t>
      </w:r>
      <w:r w:rsidR="00D21531">
        <w:rPr>
          <w:rFonts w:ascii="Arial" w:hAnsi="Arial" w:cs="Arial"/>
          <w:color w:val="000000" w:themeColor="text1"/>
          <w:sz w:val="20"/>
          <w:szCs w:val="20"/>
        </w:rPr>
        <w:t>aux</w:t>
      </w:r>
      <w:r w:rsidRPr="004F6CD1">
        <w:rPr>
          <w:rFonts w:ascii="Arial" w:hAnsi="Arial" w:cs="Arial"/>
          <w:color w:val="000000" w:themeColor="text1"/>
          <w:sz w:val="20"/>
          <w:szCs w:val="20"/>
        </w:rPr>
        <w:t xml:space="preserve"> compétitions.</w:t>
      </w:r>
    </w:p>
    <w:p w14:paraId="4B64357F" w14:textId="77777777" w:rsidR="00853F91" w:rsidRPr="00853F91" w:rsidRDefault="00853F91" w:rsidP="00A37B18">
      <w:pPr>
        <w:spacing w:after="0" w:line="240" w:lineRule="auto"/>
        <w:jc w:val="both"/>
        <w:rPr>
          <w:rFonts w:ascii="Arial" w:hAnsi="Arial" w:cs="Arial"/>
          <w:color w:val="000000" w:themeColor="text1"/>
          <w:sz w:val="20"/>
          <w:szCs w:val="20"/>
        </w:rPr>
      </w:pPr>
    </w:p>
    <w:p w14:paraId="5E6536FB" w14:textId="77777777" w:rsidR="0045744D" w:rsidRDefault="0045744D" w:rsidP="00A37B18">
      <w:pPr>
        <w:pStyle w:val="Paragraphedeliste"/>
        <w:numPr>
          <w:ilvl w:val="0"/>
          <w:numId w:val="9"/>
        </w:numPr>
        <w:spacing w:after="0" w:line="240" w:lineRule="auto"/>
        <w:jc w:val="both"/>
        <w:rPr>
          <w:rFonts w:ascii="Arial" w:hAnsi="Arial" w:cs="Arial"/>
          <w:color w:val="000000" w:themeColor="text1"/>
          <w:sz w:val="20"/>
          <w:szCs w:val="20"/>
        </w:rPr>
      </w:pPr>
      <w:r w:rsidRPr="004F6CD1">
        <w:rPr>
          <w:rFonts w:ascii="Arial" w:hAnsi="Arial" w:cs="Arial"/>
          <w:color w:val="000000" w:themeColor="text1"/>
          <w:sz w:val="20"/>
          <w:szCs w:val="20"/>
        </w:rPr>
        <w:t>En l’état, le principe de laïcité et les textes applicables se bornent à rappeler que ce sont les seuls agents publics investis d’une mission de service public qui se trouvent investis d’une telle obligation de neutralité, à l’exclusion donc des usagers et, plus généralement, du public au profit duquel l’activité de service public ou la mission d’intérêt général est exercée.</w:t>
      </w:r>
    </w:p>
    <w:p w14:paraId="6BFB1FF6" w14:textId="77777777" w:rsidR="00853F91" w:rsidRPr="00853F91" w:rsidRDefault="00853F91" w:rsidP="00A37B18">
      <w:pPr>
        <w:spacing w:after="0" w:line="240" w:lineRule="auto"/>
        <w:jc w:val="both"/>
        <w:rPr>
          <w:rFonts w:ascii="Arial" w:hAnsi="Arial" w:cs="Arial"/>
          <w:color w:val="000000" w:themeColor="text1"/>
          <w:sz w:val="20"/>
          <w:szCs w:val="20"/>
        </w:rPr>
      </w:pPr>
    </w:p>
    <w:p w14:paraId="1C0605F9" w14:textId="77777777" w:rsidR="0045744D" w:rsidRDefault="0045744D" w:rsidP="00A37B18">
      <w:pPr>
        <w:pStyle w:val="Paragraphedeliste"/>
        <w:numPr>
          <w:ilvl w:val="0"/>
          <w:numId w:val="9"/>
        </w:numPr>
        <w:spacing w:after="0" w:line="240" w:lineRule="auto"/>
        <w:jc w:val="both"/>
        <w:rPr>
          <w:rFonts w:ascii="Arial" w:hAnsi="Arial" w:cs="Arial"/>
          <w:color w:val="000000" w:themeColor="text1"/>
          <w:sz w:val="20"/>
          <w:szCs w:val="20"/>
        </w:rPr>
      </w:pPr>
      <w:r w:rsidRPr="004F6CD1">
        <w:rPr>
          <w:rFonts w:ascii="Arial" w:hAnsi="Arial" w:cs="Arial"/>
          <w:color w:val="000000" w:themeColor="text1"/>
          <w:sz w:val="20"/>
          <w:szCs w:val="20"/>
        </w:rPr>
        <w:t>La LDH a adressé le 15 décembre dernier au président de la FFF une demande d’abrogation restée sans réponse à ce jour et a donc saisi le Conseil d’Etat d’une requête en annulation.</w:t>
      </w:r>
    </w:p>
    <w:p w14:paraId="2E1FE09F" w14:textId="77777777" w:rsidR="00853F91" w:rsidRPr="00853F91" w:rsidRDefault="00853F91" w:rsidP="00A37B18">
      <w:pPr>
        <w:spacing w:after="0" w:line="240" w:lineRule="auto"/>
        <w:jc w:val="both"/>
        <w:rPr>
          <w:rFonts w:ascii="Arial" w:hAnsi="Arial" w:cs="Arial"/>
          <w:color w:val="000000" w:themeColor="text1"/>
          <w:sz w:val="20"/>
          <w:szCs w:val="20"/>
        </w:rPr>
      </w:pPr>
    </w:p>
    <w:p w14:paraId="17F91253" w14:textId="77777777" w:rsidR="0045744D" w:rsidRDefault="0045744D" w:rsidP="00A37B18">
      <w:pPr>
        <w:pStyle w:val="Paragraphedeliste"/>
        <w:numPr>
          <w:ilvl w:val="0"/>
          <w:numId w:val="9"/>
        </w:numPr>
        <w:spacing w:after="0" w:line="240" w:lineRule="auto"/>
        <w:jc w:val="both"/>
        <w:rPr>
          <w:rFonts w:ascii="Arial" w:hAnsi="Arial" w:cs="Arial"/>
          <w:color w:val="000000" w:themeColor="text1"/>
          <w:sz w:val="20"/>
          <w:szCs w:val="20"/>
        </w:rPr>
      </w:pPr>
      <w:r w:rsidRPr="004F6CD1">
        <w:rPr>
          <w:rFonts w:ascii="Arial" w:hAnsi="Arial" w:cs="Arial"/>
          <w:color w:val="000000" w:themeColor="text1"/>
          <w:sz w:val="20"/>
          <w:szCs w:val="20"/>
        </w:rPr>
        <w:t>Si un strict devoir de neutralité</w:t>
      </w:r>
      <w:r w:rsidRPr="004F6CD1">
        <w:rPr>
          <w:rFonts w:ascii="Arial" w:hAnsi="Arial" w:cs="Arial"/>
          <w:i/>
          <w:iCs/>
          <w:color w:val="000000" w:themeColor="text1"/>
          <w:sz w:val="20"/>
          <w:szCs w:val="20"/>
        </w:rPr>
        <w:t xml:space="preserve">, </w:t>
      </w:r>
      <w:r w:rsidRPr="004F6CD1">
        <w:rPr>
          <w:rFonts w:ascii="Arial" w:hAnsi="Arial" w:cs="Arial"/>
          <w:color w:val="000000" w:themeColor="text1"/>
          <w:sz w:val="20"/>
          <w:szCs w:val="20"/>
        </w:rPr>
        <w:t>est ainsi imposé à tous participant</w:t>
      </w:r>
      <w:r w:rsidR="00E52C59">
        <w:rPr>
          <w:rFonts w:ascii="Arial" w:hAnsi="Arial" w:cs="Arial"/>
          <w:color w:val="000000" w:themeColor="text1"/>
          <w:sz w:val="20"/>
          <w:szCs w:val="20"/>
        </w:rPr>
        <w:t>.e.</w:t>
      </w:r>
      <w:r w:rsidRPr="004F6CD1">
        <w:rPr>
          <w:rFonts w:ascii="Arial" w:hAnsi="Arial" w:cs="Arial"/>
          <w:color w:val="000000" w:themeColor="text1"/>
          <w:sz w:val="20"/>
          <w:szCs w:val="20"/>
        </w:rPr>
        <w:t xml:space="preserve">s à une manifestation sportive organisée dans le cadre de la FFF dans le domaine </w:t>
      </w:r>
      <w:r w:rsidRPr="004F6CD1">
        <w:rPr>
          <w:rFonts w:ascii="Arial" w:hAnsi="Arial" w:cs="Arial"/>
          <w:i/>
          <w:iCs/>
          <w:color w:val="000000" w:themeColor="text1"/>
          <w:sz w:val="20"/>
          <w:szCs w:val="20"/>
        </w:rPr>
        <w:t>politique, idéologique, religieux ou syndical</w:t>
      </w:r>
      <w:r w:rsidRPr="004F6CD1">
        <w:rPr>
          <w:rFonts w:ascii="Arial" w:hAnsi="Arial" w:cs="Arial"/>
          <w:color w:val="000000" w:themeColor="text1"/>
          <w:sz w:val="20"/>
          <w:szCs w:val="20"/>
        </w:rPr>
        <w:t>, il semble bien que la religion musulmane soit la cible de la modification statutaire opérée par la FFF. Il suffit pour s’en convaincre de constater les différentes formes d’expression politique légitimes de soutien à l’Ukraine ou enco</w:t>
      </w:r>
      <w:r w:rsidR="00E52C59">
        <w:rPr>
          <w:rFonts w:ascii="Arial" w:hAnsi="Arial" w:cs="Arial"/>
          <w:color w:val="000000" w:themeColor="text1"/>
          <w:sz w:val="20"/>
          <w:szCs w:val="20"/>
        </w:rPr>
        <w:t>re contre le racisme qui ont lieu tous les week-</w:t>
      </w:r>
      <w:r w:rsidRPr="004F6CD1">
        <w:rPr>
          <w:rFonts w:ascii="Arial" w:hAnsi="Arial" w:cs="Arial"/>
          <w:color w:val="000000" w:themeColor="text1"/>
          <w:sz w:val="20"/>
          <w:szCs w:val="20"/>
        </w:rPr>
        <w:t>end sur les terrains de football</w:t>
      </w:r>
      <w:r w:rsidR="00E52C59">
        <w:rPr>
          <w:rFonts w:ascii="Arial" w:hAnsi="Arial" w:cs="Arial"/>
          <w:color w:val="000000" w:themeColor="text1"/>
          <w:sz w:val="20"/>
          <w:szCs w:val="20"/>
        </w:rPr>
        <w:t xml:space="preserve"> où le défaut de neutralité n’est pas contesté</w:t>
      </w:r>
      <w:r w:rsidRPr="004F6CD1">
        <w:rPr>
          <w:rFonts w:ascii="Arial" w:hAnsi="Arial" w:cs="Arial"/>
          <w:color w:val="000000" w:themeColor="text1"/>
          <w:sz w:val="20"/>
          <w:szCs w:val="20"/>
        </w:rPr>
        <w:t xml:space="preserve">. </w:t>
      </w:r>
    </w:p>
    <w:p w14:paraId="4940B678" w14:textId="77777777" w:rsidR="00DB197C" w:rsidRPr="00DB197C" w:rsidRDefault="00DB197C" w:rsidP="00DB197C">
      <w:pPr>
        <w:spacing w:after="0" w:line="240" w:lineRule="auto"/>
        <w:jc w:val="both"/>
        <w:rPr>
          <w:rFonts w:ascii="Arial" w:hAnsi="Arial" w:cs="Arial"/>
          <w:color w:val="000000" w:themeColor="text1"/>
          <w:sz w:val="20"/>
          <w:szCs w:val="20"/>
        </w:rPr>
      </w:pPr>
    </w:p>
    <w:p w14:paraId="52A4FBE6" w14:textId="77777777" w:rsidR="0045744D" w:rsidRPr="00DB197C" w:rsidRDefault="0045744D" w:rsidP="00DB197C">
      <w:pPr>
        <w:pStyle w:val="Paragraphedeliste"/>
        <w:numPr>
          <w:ilvl w:val="0"/>
          <w:numId w:val="1"/>
        </w:numPr>
        <w:spacing w:after="0" w:line="240" w:lineRule="auto"/>
        <w:rPr>
          <w:rFonts w:ascii="Arial" w:hAnsi="Arial" w:cs="Arial"/>
          <w:b/>
          <w:color w:val="000000" w:themeColor="text1"/>
          <w:sz w:val="20"/>
          <w:szCs w:val="20"/>
        </w:rPr>
      </w:pPr>
      <w:r w:rsidRPr="00DB197C">
        <w:rPr>
          <w:rFonts w:ascii="Arial" w:hAnsi="Arial" w:cs="Arial"/>
          <w:b/>
          <w:color w:val="000000" w:themeColor="text1"/>
          <w:sz w:val="20"/>
          <w:szCs w:val="20"/>
        </w:rPr>
        <w:t>Les contrôles d’identité discriminatoires dits « au faciès »</w:t>
      </w:r>
    </w:p>
    <w:p w14:paraId="1E608C62" w14:textId="77777777" w:rsidR="00DB197C" w:rsidRPr="00DB197C" w:rsidRDefault="00DB197C" w:rsidP="00DB197C">
      <w:pPr>
        <w:pStyle w:val="Paragraphedeliste"/>
        <w:spacing w:after="0" w:line="240" w:lineRule="auto"/>
        <w:rPr>
          <w:rFonts w:ascii="Arial" w:hAnsi="Arial" w:cs="Arial"/>
          <w:b/>
          <w:color w:val="000000" w:themeColor="text1"/>
          <w:sz w:val="20"/>
          <w:szCs w:val="20"/>
        </w:rPr>
      </w:pPr>
    </w:p>
    <w:p w14:paraId="78F65FAB" w14:textId="77777777" w:rsidR="0045744D"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Une différence de traitement prohibée peut résulter de la mise en œuvre d'un dispositif normatif ou d'une pratique des autorités publiques. Les contrôles au faciès procèdent de cette dernière catégorie.</w:t>
      </w:r>
    </w:p>
    <w:p w14:paraId="1EC11BAF" w14:textId="77777777" w:rsidR="00853F91" w:rsidRPr="004F6CD1" w:rsidRDefault="00853F91" w:rsidP="00A37B18">
      <w:pPr>
        <w:pStyle w:val="Paragraphedeliste"/>
        <w:spacing w:after="0" w:line="240" w:lineRule="auto"/>
        <w:ind w:left="360"/>
        <w:jc w:val="both"/>
        <w:rPr>
          <w:rFonts w:ascii="Arial" w:hAnsi="Arial" w:cs="Arial"/>
          <w:sz w:val="20"/>
          <w:szCs w:val="20"/>
        </w:rPr>
      </w:pPr>
    </w:p>
    <w:p w14:paraId="714FC616" w14:textId="19CD2DFB" w:rsidR="00853F91"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 xml:space="preserve">La LDH souhaite présenter ses observations relativement aux pratiques de contrôles d’identité discriminatoires fondées sur la prétendue race ou l’origine ethnique, réelle ou supposée des personnes ciblées, liées notamment à l’interprétation de certaines dispositions légales susceptible </w:t>
      </w:r>
      <w:r w:rsidR="001B3494">
        <w:rPr>
          <w:rFonts w:ascii="Arial" w:hAnsi="Arial" w:cs="Arial"/>
          <w:sz w:val="20"/>
          <w:szCs w:val="20"/>
        </w:rPr>
        <w:t xml:space="preserve">de conduire </w:t>
      </w:r>
      <w:r w:rsidRPr="004F6CD1">
        <w:rPr>
          <w:rFonts w:ascii="Arial" w:hAnsi="Arial" w:cs="Arial"/>
          <w:sz w:val="20"/>
          <w:szCs w:val="20"/>
        </w:rPr>
        <w:t>à l’arbitraire policier.</w:t>
      </w:r>
    </w:p>
    <w:p w14:paraId="1C6F3F11" w14:textId="77777777" w:rsidR="00853F91" w:rsidRPr="00853F91" w:rsidRDefault="00853F91" w:rsidP="00A37B18">
      <w:pPr>
        <w:spacing w:after="0" w:line="240" w:lineRule="auto"/>
        <w:jc w:val="both"/>
        <w:rPr>
          <w:rFonts w:ascii="Arial" w:hAnsi="Arial" w:cs="Arial"/>
          <w:sz w:val="20"/>
          <w:szCs w:val="20"/>
        </w:rPr>
      </w:pPr>
    </w:p>
    <w:p w14:paraId="72D3396D" w14:textId="77777777" w:rsidR="00853F91"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 xml:space="preserve">Tout d’abord, le contrôle d’identité peut être fait par les officiers de police judiciaire (OPJ) et, </w:t>
      </w:r>
      <w:r w:rsidRPr="004F6CD1">
        <w:rPr>
          <w:rFonts w:ascii="Arial" w:hAnsi="Arial" w:cs="Arial"/>
          <w:i/>
          <w:iCs/>
          <w:sz w:val="20"/>
          <w:szCs w:val="20"/>
        </w:rPr>
        <w:t xml:space="preserve">« sur l’ordre et sous la responsabilité » </w:t>
      </w:r>
      <w:r w:rsidRPr="004F6CD1">
        <w:rPr>
          <w:rFonts w:ascii="Arial" w:hAnsi="Arial" w:cs="Arial"/>
          <w:iCs/>
          <w:sz w:val="20"/>
          <w:szCs w:val="20"/>
        </w:rPr>
        <w:t>de ceux-ci,</w:t>
      </w:r>
      <w:r w:rsidRPr="004F6CD1">
        <w:rPr>
          <w:rFonts w:ascii="Arial" w:hAnsi="Arial" w:cs="Arial"/>
          <w:sz w:val="20"/>
          <w:szCs w:val="20"/>
        </w:rPr>
        <w:t xml:space="preserve"> par les agents de police judiciaires (APJ) et les APJ adjoints</w:t>
      </w:r>
      <w:r w:rsidRPr="0045744D">
        <w:rPr>
          <w:vertAlign w:val="superscript"/>
        </w:rPr>
        <w:footnoteReference w:id="13"/>
      </w:r>
      <w:r w:rsidRPr="004F6CD1">
        <w:rPr>
          <w:rFonts w:ascii="Arial" w:hAnsi="Arial" w:cs="Arial"/>
          <w:sz w:val="20"/>
          <w:szCs w:val="20"/>
        </w:rPr>
        <w:t xml:space="preserve">. Cependant, l’OPJ n’a pas à être présent sur les lieux, sauf si la personne interpellée est conduite au poste, </w:t>
      </w:r>
      <w:r w:rsidR="001B3494">
        <w:rPr>
          <w:rFonts w:ascii="Arial" w:hAnsi="Arial" w:cs="Arial"/>
          <w:sz w:val="20"/>
          <w:szCs w:val="20"/>
        </w:rPr>
        <w:t xml:space="preserve">engendrant ainsi en pratique </w:t>
      </w:r>
      <w:r w:rsidRPr="004F6CD1">
        <w:rPr>
          <w:rFonts w:ascii="Arial" w:hAnsi="Arial" w:cs="Arial"/>
          <w:sz w:val="20"/>
          <w:szCs w:val="20"/>
        </w:rPr>
        <w:t xml:space="preserve">une </w:t>
      </w:r>
      <w:r w:rsidRPr="004F6CD1">
        <w:rPr>
          <w:rFonts w:ascii="Arial" w:hAnsi="Arial" w:cs="Arial"/>
          <w:bCs/>
          <w:color w:val="000000" w:themeColor="text1"/>
          <w:sz w:val="20"/>
          <w:szCs w:val="20"/>
        </w:rPr>
        <w:t>absence d’encadrement hiérarchique</w:t>
      </w:r>
      <w:r w:rsidRPr="004F6CD1">
        <w:rPr>
          <w:rFonts w:ascii="Arial" w:hAnsi="Arial" w:cs="Arial"/>
          <w:sz w:val="20"/>
          <w:szCs w:val="20"/>
        </w:rPr>
        <w:t>.</w:t>
      </w:r>
    </w:p>
    <w:p w14:paraId="2C4F0B07" w14:textId="77777777" w:rsidR="00853F91" w:rsidRPr="00853F91" w:rsidRDefault="00853F91" w:rsidP="00A37B18">
      <w:pPr>
        <w:spacing w:after="0" w:line="240" w:lineRule="auto"/>
        <w:jc w:val="both"/>
        <w:rPr>
          <w:rFonts w:ascii="Arial" w:hAnsi="Arial" w:cs="Arial"/>
          <w:sz w:val="20"/>
          <w:szCs w:val="20"/>
        </w:rPr>
      </w:pPr>
    </w:p>
    <w:p w14:paraId="6F66CBE7" w14:textId="53D28861" w:rsidR="00853F91"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S’agissant ensuite du régime applicable, le contrôle d’identité peut être judiciaire ou administratif. Concernant les premiers, ils peuvent être effectués quand il existe une ou plusieurs raisons de soupçonner qu’une personne se prépare à commettre ou a commis ou tenté de commettre une infraction</w:t>
      </w:r>
      <w:r w:rsidRPr="0045744D">
        <w:rPr>
          <w:vertAlign w:val="superscript"/>
        </w:rPr>
        <w:footnoteReference w:id="14"/>
      </w:r>
      <w:r w:rsidRPr="004F6CD1">
        <w:rPr>
          <w:rFonts w:ascii="Arial" w:hAnsi="Arial" w:cs="Arial"/>
          <w:sz w:val="20"/>
          <w:szCs w:val="20"/>
        </w:rPr>
        <w:t>. Ce contrôle est assez encadré par le juge qui exige la démonstration d’un indice objectif apparent justifiant de cibler une personne déterminée</w:t>
      </w:r>
      <w:r w:rsidRPr="0045744D">
        <w:rPr>
          <w:vertAlign w:val="superscript"/>
        </w:rPr>
        <w:footnoteReference w:id="15"/>
      </w:r>
      <w:r w:rsidRPr="004F6CD1">
        <w:rPr>
          <w:rFonts w:ascii="Arial" w:hAnsi="Arial" w:cs="Arial"/>
          <w:i/>
          <w:iCs/>
          <w:sz w:val="20"/>
          <w:szCs w:val="20"/>
        </w:rPr>
        <w:t>.</w:t>
      </w:r>
      <w:r w:rsidRPr="004F6CD1">
        <w:rPr>
          <w:rFonts w:ascii="Arial" w:hAnsi="Arial" w:cs="Arial"/>
          <w:sz w:val="20"/>
          <w:szCs w:val="20"/>
        </w:rPr>
        <w:t xml:space="preserve"> Un contrôle judiciaire peut également résul</w:t>
      </w:r>
      <w:r w:rsidR="00E94C82">
        <w:rPr>
          <w:rFonts w:ascii="Arial" w:hAnsi="Arial" w:cs="Arial"/>
          <w:sz w:val="20"/>
          <w:szCs w:val="20"/>
        </w:rPr>
        <w:t>ter d’une opération de contrôle</w:t>
      </w:r>
      <w:r w:rsidRPr="004F6CD1">
        <w:rPr>
          <w:rFonts w:ascii="Arial" w:hAnsi="Arial" w:cs="Arial"/>
          <w:sz w:val="20"/>
          <w:szCs w:val="20"/>
        </w:rPr>
        <w:t xml:space="preserve"> d’identité sur réquisitions du procureur de la République, susceptible de générer des contrôles dits au faciès. En effet, il suffit que les réquisitions mentionnent bien le périmètre concerné, les horaires, les infractions listées pour qu’elles soient valables sans qu’il soit nécessaire que le contrôle soit relié à celles-ci. En outre, </w:t>
      </w:r>
      <w:r w:rsidRPr="004F6CD1">
        <w:rPr>
          <w:rFonts w:ascii="Arial" w:hAnsi="Arial" w:cs="Arial"/>
          <w:sz w:val="20"/>
          <w:szCs w:val="20"/>
        </w:rPr>
        <w:lastRenderedPageBreak/>
        <w:t>l’intervention du procureur de la République a justifié qu’il n’y ait qu’un contrôle restreint exercé par le juge.</w:t>
      </w:r>
    </w:p>
    <w:p w14:paraId="55A95E3E" w14:textId="77777777" w:rsidR="00853F91" w:rsidRPr="00853F91" w:rsidRDefault="00853F91" w:rsidP="00A37B18">
      <w:pPr>
        <w:spacing w:after="0" w:line="240" w:lineRule="auto"/>
        <w:jc w:val="both"/>
        <w:rPr>
          <w:rFonts w:ascii="Arial" w:hAnsi="Arial" w:cs="Arial"/>
          <w:sz w:val="20"/>
          <w:szCs w:val="20"/>
        </w:rPr>
      </w:pPr>
      <w:r w:rsidRPr="00853F91">
        <w:rPr>
          <w:rFonts w:ascii="Arial" w:hAnsi="Arial" w:cs="Arial"/>
          <w:sz w:val="20"/>
          <w:szCs w:val="20"/>
        </w:rPr>
        <w:t xml:space="preserve"> </w:t>
      </w:r>
    </w:p>
    <w:p w14:paraId="5D915E24" w14:textId="77777777" w:rsidR="0045744D" w:rsidRDefault="0045744D" w:rsidP="00A37B18">
      <w:pPr>
        <w:pStyle w:val="Paragraphedeliste"/>
        <w:numPr>
          <w:ilvl w:val="0"/>
          <w:numId w:val="9"/>
        </w:numPr>
        <w:spacing w:after="0" w:line="240" w:lineRule="auto"/>
        <w:jc w:val="both"/>
        <w:rPr>
          <w:rFonts w:ascii="Arial" w:hAnsi="Arial" w:cs="Arial"/>
          <w:iCs/>
          <w:sz w:val="20"/>
          <w:szCs w:val="20"/>
        </w:rPr>
      </w:pPr>
      <w:r w:rsidRPr="004F6CD1">
        <w:rPr>
          <w:rFonts w:ascii="Arial" w:hAnsi="Arial" w:cs="Arial"/>
          <w:sz w:val="20"/>
          <w:szCs w:val="20"/>
        </w:rPr>
        <w:t>Concernant le contrôle d’identité administratif, dont l’objet est de prévenir les atteintes aux personnes ou aux biens</w:t>
      </w:r>
      <w:r w:rsidRPr="0045744D">
        <w:rPr>
          <w:vertAlign w:val="superscript"/>
        </w:rPr>
        <w:footnoteReference w:id="16"/>
      </w:r>
      <w:r w:rsidRPr="004F6CD1">
        <w:rPr>
          <w:rFonts w:ascii="Arial" w:hAnsi="Arial" w:cs="Arial"/>
          <w:sz w:val="20"/>
          <w:szCs w:val="20"/>
        </w:rPr>
        <w:t>, l’autorité procédant à ce contrôle doit justifier « </w:t>
      </w:r>
      <w:r w:rsidRPr="004F6CD1">
        <w:rPr>
          <w:rFonts w:ascii="Arial" w:hAnsi="Arial" w:cs="Arial"/>
          <w:i/>
          <w:iCs/>
          <w:sz w:val="20"/>
          <w:szCs w:val="20"/>
        </w:rPr>
        <w:t xml:space="preserve">dans tous les cas, des </w:t>
      </w:r>
      <w:r w:rsidRPr="004F6CD1">
        <w:rPr>
          <w:rFonts w:ascii="Arial" w:hAnsi="Arial" w:cs="Arial"/>
          <w:bCs/>
          <w:i/>
          <w:iCs/>
          <w:sz w:val="20"/>
          <w:szCs w:val="20"/>
        </w:rPr>
        <w:t>circonstances particulières de temps et de lieu</w:t>
      </w:r>
      <w:r w:rsidRPr="004F6CD1">
        <w:rPr>
          <w:rFonts w:ascii="Arial" w:hAnsi="Arial" w:cs="Arial"/>
          <w:i/>
          <w:iCs/>
          <w:sz w:val="20"/>
          <w:szCs w:val="20"/>
        </w:rPr>
        <w:t xml:space="preserve"> établissant le risque d’atteinte à l’ordre public qui a motivé le contrôle »</w:t>
      </w:r>
      <w:r w:rsidRPr="0045744D">
        <w:rPr>
          <w:i/>
          <w:iCs/>
          <w:vertAlign w:val="superscript"/>
        </w:rPr>
        <w:footnoteReference w:id="17"/>
      </w:r>
      <w:r w:rsidRPr="004F6CD1">
        <w:rPr>
          <w:rFonts w:ascii="Arial" w:hAnsi="Arial" w:cs="Arial"/>
          <w:i/>
          <w:iCs/>
          <w:sz w:val="20"/>
          <w:szCs w:val="20"/>
        </w:rPr>
        <w:t>,</w:t>
      </w:r>
      <w:r w:rsidRPr="004F6CD1">
        <w:rPr>
          <w:rFonts w:ascii="Arial" w:hAnsi="Arial" w:cs="Arial"/>
          <w:iCs/>
          <w:sz w:val="20"/>
          <w:szCs w:val="20"/>
        </w:rPr>
        <w:t xml:space="preserve"> sans toutefois que soit exigé le lien avec le comportement de la personne contrôlée, laissant ainsi place aux contrôles discrétionnaires.</w:t>
      </w:r>
    </w:p>
    <w:p w14:paraId="2CD58151" w14:textId="77777777" w:rsidR="00853F91" w:rsidRPr="00853F91" w:rsidRDefault="00853F91" w:rsidP="00A37B18">
      <w:pPr>
        <w:spacing w:after="0" w:line="240" w:lineRule="auto"/>
        <w:jc w:val="both"/>
        <w:rPr>
          <w:rFonts w:ascii="Arial" w:hAnsi="Arial" w:cs="Arial"/>
          <w:iCs/>
          <w:sz w:val="20"/>
          <w:szCs w:val="20"/>
        </w:rPr>
      </w:pPr>
    </w:p>
    <w:p w14:paraId="15CECC08" w14:textId="77777777" w:rsidR="00853F91" w:rsidRDefault="0045744D" w:rsidP="00A37B18">
      <w:pPr>
        <w:pStyle w:val="Paragraphedeliste"/>
        <w:numPr>
          <w:ilvl w:val="0"/>
          <w:numId w:val="9"/>
        </w:numPr>
        <w:spacing w:after="0" w:line="240" w:lineRule="auto"/>
        <w:jc w:val="both"/>
        <w:rPr>
          <w:rFonts w:ascii="Arial" w:hAnsi="Arial" w:cs="Arial"/>
          <w:bCs/>
          <w:color w:val="000000" w:themeColor="text1"/>
          <w:sz w:val="20"/>
          <w:szCs w:val="20"/>
        </w:rPr>
      </w:pPr>
      <w:r w:rsidRPr="004F6CD1">
        <w:rPr>
          <w:rFonts w:ascii="Arial" w:hAnsi="Arial" w:cs="Arial"/>
          <w:bCs/>
          <w:color w:val="000000" w:themeColor="text1"/>
          <w:sz w:val="20"/>
          <w:szCs w:val="20"/>
        </w:rPr>
        <w:t xml:space="preserve">Sans garanties réelles, ces dispositions permettent en réalité un contrôle d’identité dit au faciès. Plusieurs enquêtes menées ces dernières années ont révélé une pratique discriminatoire </w:t>
      </w:r>
      <w:r w:rsidRPr="0045744D">
        <w:rPr>
          <w:vertAlign w:val="superscript"/>
        </w:rPr>
        <w:footnoteReference w:id="18"/>
      </w:r>
      <w:r w:rsidRPr="004F6CD1">
        <w:rPr>
          <w:rFonts w:ascii="Arial" w:hAnsi="Arial" w:cs="Arial"/>
          <w:bCs/>
          <w:color w:val="000000" w:themeColor="text1"/>
          <w:sz w:val="20"/>
          <w:szCs w:val="20"/>
        </w:rPr>
        <w:t>. Toute la population n’est pas visée par ces contrôles à répétition ni par ces pratiques d’humiliation dans l’espace public : ce sont principalement des jeunes d’origine étrangère qui sont la cible de ces contrôles discriminatoires comme en attestent les nombreux témoignages de victimes et ceux de policiers</w:t>
      </w:r>
      <w:r w:rsidRPr="0045744D">
        <w:rPr>
          <w:vertAlign w:val="superscript"/>
        </w:rPr>
        <w:footnoteReference w:id="19"/>
      </w:r>
      <w:r w:rsidRPr="004F6CD1">
        <w:rPr>
          <w:rFonts w:ascii="Arial" w:hAnsi="Arial" w:cs="Arial"/>
          <w:bCs/>
          <w:color w:val="000000" w:themeColor="text1"/>
          <w:sz w:val="20"/>
          <w:szCs w:val="20"/>
        </w:rPr>
        <w:t>.</w:t>
      </w:r>
    </w:p>
    <w:p w14:paraId="39760CF3" w14:textId="77777777" w:rsidR="00853F91" w:rsidRPr="00853F91" w:rsidRDefault="00853F91" w:rsidP="00A37B18">
      <w:pPr>
        <w:spacing w:after="0" w:line="240" w:lineRule="auto"/>
        <w:jc w:val="both"/>
        <w:rPr>
          <w:rFonts w:ascii="Arial" w:hAnsi="Arial" w:cs="Arial"/>
          <w:bCs/>
          <w:color w:val="000000" w:themeColor="text1"/>
          <w:sz w:val="20"/>
          <w:szCs w:val="20"/>
        </w:rPr>
      </w:pPr>
    </w:p>
    <w:p w14:paraId="00DB890B" w14:textId="77777777" w:rsidR="00853F91" w:rsidRPr="00853F91" w:rsidRDefault="0045744D" w:rsidP="00A37B18">
      <w:pPr>
        <w:pStyle w:val="Paragraphedeliste"/>
        <w:numPr>
          <w:ilvl w:val="0"/>
          <w:numId w:val="9"/>
        </w:numPr>
        <w:spacing w:after="0" w:line="240" w:lineRule="auto"/>
        <w:jc w:val="both"/>
        <w:rPr>
          <w:rFonts w:ascii="Arial" w:hAnsi="Arial" w:cs="Arial"/>
          <w:i/>
          <w:iCs/>
          <w:sz w:val="20"/>
          <w:szCs w:val="20"/>
        </w:rPr>
      </w:pPr>
      <w:r w:rsidRPr="004F6CD1">
        <w:rPr>
          <w:rFonts w:ascii="Arial" w:hAnsi="Arial" w:cs="Arial"/>
          <w:sz w:val="20"/>
          <w:szCs w:val="20"/>
        </w:rPr>
        <w:t>La pratique des contrôles au faciès est dénoncée depuis de longues années par la société civile. Cette dénonciation s’est considérablement accentuée face à sa généralisation et au sentiment d’injustice qui s’est répandu au sein de la société française</w:t>
      </w:r>
      <w:r w:rsidRPr="0045744D">
        <w:rPr>
          <w:vertAlign w:val="superscript"/>
        </w:rPr>
        <w:footnoteReference w:id="20"/>
      </w:r>
      <w:r w:rsidRPr="004F6CD1">
        <w:rPr>
          <w:rFonts w:ascii="Arial" w:hAnsi="Arial" w:cs="Arial"/>
          <w:sz w:val="20"/>
          <w:szCs w:val="20"/>
        </w:rPr>
        <w:t>, poussant plusieurs organisations à mener en 2021 une action de groupe, actuellement pendante, devant le Conseil d’Etat</w:t>
      </w:r>
      <w:r w:rsidR="00584685">
        <w:rPr>
          <w:rStyle w:val="Appelnotedebasdep"/>
          <w:rFonts w:ascii="Arial" w:hAnsi="Arial" w:cs="Arial"/>
          <w:sz w:val="20"/>
          <w:szCs w:val="20"/>
        </w:rPr>
        <w:footnoteReference w:id="21"/>
      </w:r>
      <w:r w:rsidRPr="004F6CD1">
        <w:rPr>
          <w:rFonts w:ascii="Arial" w:hAnsi="Arial" w:cs="Arial"/>
          <w:sz w:val="20"/>
          <w:szCs w:val="20"/>
        </w:rPr>
        <w:t xml:space="preserve">. </w:t>
      </w:r>
    </w:p>
    <w:p w14:paraId="01251868" w14:textId="77777777" w:rsidR="00853F91" w:rsidRPr="004F6CD1" w:rsidRDefault="00853F91" w:rsidP="00A37B18">
      <w:pPr>
        <w:pStyle w:val="Paragraphedeliste"/>
        <w:spacing w:after="0" w:line="240" w:lineRule="auto"/>
        <w:ind w:left="360"/>
        <w:jc w:val="both"/>
        <w:rPr>
          <w:rFonts w:ascii="Arial" w:hAnsi="Arial" w:cs="Arial"/>
          <w:i/>
          <w:iCs/>
          <w:sz w:val="20"/>
          <w:szCs w:val="20"/>
        </w:rPr>
      </w:pPr>
    </w:p>
    <w:p w14:paraId="0726041C" w14:textId="77777777" w:rsidR="0045744D"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 xml:space="preserve">En effet, la grande majorité des contrôles effectués se situe hors de tout contrôle par le juge : ils ne sont même pas répertoriés comme actes devant être enregistrés pour des statistiques ou pour le suivi de l’action de l’administration. Les policiers sont ainsi livrés à eux-mêmes et peuvent pratiquer des contrôles en-dehors de tout cadre légal, sans aucune sanction ni à l’encontre du contrôle illégal, ni éventuellement à l’encontre de ceux qui y ont procédé s’ils ont effectué un contrôle discriminatoire, dès lors qu’aucun procès-verbal n’est établi en vue de poursuites. En effet, les contrôles d’identité ne font l’objet d’aucune transcription s’ils ne donnent pas lieu à des poursuites. La rédaction d’un procès-verbal ou à tout le moins, </w:t>
      </w:r>
      <w:r w:rsidR="00794D6C">
        <w:rPr>
          <w:rFonts w:ascii="Arial" w:hAnsi="Arial" w:cs="Arial"/>
          <w:sz w:val="20"/>
          <w:szCs w:val="20"/>
        </w:rPr>
        <w:t xml:space="preserve">la remise </w:t>
      </w:r>
      <w:r w:rsidRPr="004F6CD1">
        <w:rPr>
          <w:rFonts w:ascii="Arial" w:hAnsi="Arial" w:cs="Arial"/>
          <w:sz w:val="20"/>
          <w:szCs w:val="20"/>
        </w:rPr>
        <w:t>d’un récépissé à l’usager contrôlé est une revendication ancienne, notamment portée par les autorités administratives indépendantes</w:t>
      </w:r>
      <w:r w:rsidRPr="0045744D">
        <w:rPr>
          <w:i/>
          <w:iCs/>
          <w:vertAlign w:val="superscript"/>
        </w:rPr>
        <w:footnoteReference w:id="22"/>
      </w:r>
      <w:r w:rsidRPr="004F6CD1">
        <w:rPr>
          <w:rFonts w:ascii="Arial" w:hAnsi="Arial" w:cs="Arial"/>
          <w:sz w:val="20"/>
          <w:szCs w:val="20"/>
        </w:rPr>
        <w:t>.</w:t>
      </w:r>
    </w:p>
    <w:p w14:paraId="5878593B" w14:textId="77777777" w:rsidR="00853F91" w:rsidRPr="00853F91" w:rsidRDefault="00853F91" w:rsidP="00A37B18">
      <w:pPr>
        <w:spacing w:after="0" w:line="240" w:lineRule="auto"/>
        <w:jc w:val="both"/>
        <w:rPr>
          <w:rFonts w:ascii="Arial" w:hAnsi="Arial" w:cs="Arial"/>
          <w:sz w:val="20"/>
          <w:szCs w:val="20"/>
        </w:rPr>
      </w:pPr>
    </w:p>
    <w:p w14:paraId="65671B7D" w14:textId="1EF5F05D" w:rsidR="00794D6C" w:rsidRDefault="0045744D" w:rsidP="00794D6C">
      <w:pPr>
        <w:pStyle w:val="Paragraphedeliste"/>
        <w:numPr>
          <w:ilvl w:val="0"/>
          <w:numId w:val="9"/>
        </w:numPr>
        <w:spacing w:after="0" w:line="240" w:lineRule="auto"/>
        <w:jc w:val="both"/>
        <w:rPr>
          <w:rFonts w:ascii="Arial" w:hAnsi="Arial" w:cs="Arial"/>
          <w:sz w:val="20"/>
          <w:szCs w:val="20"/>
        </w:rPr>
      </w:pPr>
      <w:r w:rsidRPr="00C606B5">
        <w:rPr>
          <w:rFonts w:ascii="Arial" w:hAnsi="Arial" w:cs="Arial"/>
          <w:sz w:val="20"/>
          <w:szCs w:val="20"/>
        </w:rPr>
        <w:t>L’immense majorité des contrôles d’identité ne débouche sur aucune suite judiciaire, hormis s’ils donnent lieu à des actes de rébellion ou d’outrage à agent, qui seront jugés indifféremment de la légalité ou non du contrôle</w:t>
      </w:r>
      <w:r w:rsidRPr="0045744D">
        <w:rPr>
          <w:vertAlign w:val="superscript"/>
        </w:rPr>
        <w:footnoteReference w:id="23"/>
      </w:r>
      <w:r w:rsidRPr="00C606B5">
        <w:rPr>
          <w:rFonts w:ascii="Arial" w:hAnsi="Arial" w:cs="Arial"/>
          <w:sz w:val="20"/>
          <w:szCs w:val="20"/>
        </w:rPr>
        <w:t>.</w:t>
      </w:r>
      <w:r w:rsidRPr="00C606B5">
        <w:rPr>
          <w:rFonts w:ascii="Arial" w:hAnsi="Arial" w:cs="Arial"/>
          <w:i/>
          <w:iCs/>
          <w:sz w:val="20"/>
          <w:szCs w:val="20"/>
        </w:rPr>
        <w:t xml:space="preserve"> </w:t>
      </w:r>
      <w:r w:rsidRPr="00C606B5">
        <w:rPr>
          <w:rFonts w:ascii="Arial" w:hAnsi="Arial" w:cs="Arial"/>
          <w:sz w:val="20"/>
          <w:szCs w:val="20"/>
        </w:rPr>
        <w:t xml:space="preserve">Rares sont les décisions judiciaires à avoir censuré ces contrôles. </w:t>
      </w:r>
    </w:p>
    <w:p w14:paraId="5CEA4843" w14:textId="77777777" w:rsidR="00C606B5" w:rsidRPr="00C606B5" w:rsidRDefault="00C606B5" w:rsidP="00C606B5">
      <w:pPr>
        <w:pStyle w:val="Paragraphedeliste"/>
        <w:rPr>
          <w:rFonts w:ascii="Arial" w:hAnsi="Arial" w:cs="Arial"/>
          <w:sz w:val="20"/>
          <w:szCs w:val="20"/>
        </w:rPr>
      </w:pPr>
    </w:p>
    <w:p w14:paraId="3F96678C" w14:textId="77777777" w:rsidR="0045744D" w:rsidRPr="00274A4F"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 xml:space="preserve">Aussi, à ce jour, seule une action en responsabilité contre l’Etat peut être envisagée pour dysfonctionnement du service public de la justice qui ne permet pas de faire cesser ces pratiques. Il n’est pas possible d’envisager d’enrayer ces pratiques sans </w:t>
      </w:r>
      <w:r w:rsidRPr="004F6CD1">
        <w:rPr>
          <w:rFonts w:ascii="Arial" w:hAnsi="Arial" w:cs="Arial"/>
          <w:color w:val="000000" w:themeColor="text1"/>
          <w:sz w:val="20"/>
          <w:szCs w:val="20"/>
        </w:rPr>
        <w:t xml:space="preserve">modifier la législation. </w:t>
      </w:r>
      <w:r w:rsidRPr="004F6CD1">
        <w:rPr>
          <w:rFonts w:ascii="Arial" w:hAnsi="Arial" w:cs="Arial"/>
          <w:color w:val="FF0000"/>
          <w:sz w:val="20"/>
          <w:szCs w:val="20"/>
        </w:rPr>
        <w:t xml:space="preserve"> </w:t>
      </w:r>
    </w:p>
    <w:p w14:paraId="080F373C" w14:textId="77777777" w:rsidR="00274A4F" w:rsidRPr="004F6CD1" w:rsidRDefault="00274A4F" w:rsidP="00A37B18">
      <w:pPr>
        <w:pStyle w:val="Paragraphedeliste"/>
        <w:spacing w:after="0" w:line="240" w:lineRule="auto"/>
        <w:ind w:left="360"/>
        <w:jc w:val="both"/>
        <w:rPr>
          <w:rFonts w:ascii="Arial" w:hAnsi="Arial" w:cs="Arial"/>
          <w:sz w:val="20"/>
          <w:szCs w:val="20"/>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9072"/>
      </w:tblGrid>
      <w:tr w:rsidR="0045744D" w:rsidRPr="0045744D" w14:paraId="444CF9C6" w14:textId="77777777" w:rsidTr="0045744D">
        <w:tc>
          <w:tcPr>
            <w:tcW w:w="9072" w:type="dxa"/>
            <w:shd w:val="clear" w:color="auto" w:fill="D9D9D9" w:themeFill="background1" w:themeFillShade="D9"/>
          </w:tcPr>
          <w:p w14:paraId="4AC6B650" w14:textId="77777777" w:rsidR="0045744D" w:rsidRPr="004322CF" w:rsidRDefault="0045744D" w:rsidP="00A37B18">
            <w:pPr>
              <w:pStyle w:val="Paragraphedeliste"/>
              <w:keepNext/>
              <w:keepLines/>
              <w:ind w:left="360"/>
              <w:outlineLvl w:val="0"/>
              <w:rPr>
                <w:rFonts w:ascii="Arial" w:eastAsiaTheme="majorEastAsia" w:hAnsi="Arial" w:cs="Arial"/>
                <w:b/>
                <w:bCs/>
                <w:smallCaps/>
                <w:sz w:val="20"/>
                <w:szCs w:val="20"/>
              </w:rPr>
            </w:pPr>
            <w:bookmarkStart w:id="5" w:name="_Toc282795905"/>
            <w:bookmarkStart w:id="6" w:name="_Toc413409276"/>
            <w:bookmarkStart w:id="7" w:name="_Toc415581565"/>
            <w:r w:rsidRPr="004322CF">
              <w:rPr>
                <w:rFonts w:ascii="Arial" w:eastAsiaTheme="majorEastAsia" w:hAnsi="Arial" w:cs="Arial"/>
                <w:b/>
                <w:bCs/>
                <w:smallCaps/>
                <w:sz w:val="20"/>
                <w:szCs w:val="20"/>
              </w:rPr>
              <w:t>recommandations</w:t>
            </w:r>
            <w:bookmarkEnd w:id="5"/>
            <w:bookmarkEnd w:id="6"/>
            <w:bookmarkEnd w:id="7"/>
          </w:p>
        </w:tc>
      </w:tr>
    </w:tbl>
    <w:p w14:paraId="5816EB2F" w14:textId="77777777" w:rsidR="0045744D" w:rsidRPr="004F6CD1" w:rsidRDefault="0045744D" w:rsidP="00A37B18">
      <w:pPr>
        <w:pStyle w:val="Paragraphedeliste"/>
        <w:spacing w:after="0" w:line="240" w:lineRule="auto"/>
        <w:ind w:left="360"/>
        <w:jc w:val="both"/>
        <w:rPr>
          <w:rFonts w:ascii="Arial" w:eastAsia="Times New Roman" w:hAnsi="Arial" w:cs="Arial"/>
          <w:bCs/>
          <w:sz w:val="20"/>
          <w:szCs w:val="20"/>
          <w:lang w:eastAsia="fr-FR"/>
        </w:rPr>
      </w:pPr>
    </w:p>
    <w:p w14:paraId="02494424" w14:textId="77777777" w:rsidR="0045744D" w:rsidRPr="004F6CD1" w:rsidRDefault="0045744D" w:rsidP="00A37B18">
      <w:pPr>
        <w:pStyle w:val="Paragraphedeliste"/>
        <w:spacing w:after="0" w:line="240" w:lineRule="auto"/>
        <w:ind w:left="360"/>
        <w:jc w:val="both"/>
        <w:rPr>
          <w:rFonts w:ascii="Arial" w:eastAsia="Times New Roman" w:hAnsi="Arial" w:cs="Arial"/>
          <w:bCs/>
          <w:sz w:val="20"/>
          <w:szCs w:val="20"/>
          <w:lang w:eastAsia="fr-FR"/>
        </w:rPr>
      </w:pPr>
      <w:r w:rsidRPr="004F6CD1">
        <w:rPr>
          <w:rFonts w:ascii="Arial" w:eastAsia="Times New Roman" w:hAnsi="Arial" w:cs="Arial"/>
          <w:bCs/>
          <w:sz w:val="20"/>
          <w:szCs w:val="20"/>
          <w:lang w:eastAsia="fr-FR"/>
        </w:rPr>
        <w:t>La LDH demande aux autorités françaises :</w:t>
      </w:r>
    </w:p>
    <w:p w14:paraId="4FC7D94B" w14:textId="77777777" w:rsidR="0045744D" w:rsidRPr="004F6CD1" w:rsidRDefault="0045744D" w:rsidP="00A37B18">
      <w:pPr>
        <w:pStyle w:val="Paragraphedeliste"/>
        <w:spacing w:after="0" w:line="240" w:lineRule="auto"/>
        <w:ind w:left="360"/>
        <w:jc w:val="both"/>
        <w:rPr>
          <w:rFonts w:ascii="Arial" w:eastAsia="Times New Roman" w:hAnsi="Arial" w:cs="Arial"/>
          <w:bCs/>
          <w:sz w:val="20"/>
          <w:szCs w:val="20"/>
          <w:lang w:eastAsia="fr-FR"/>
        </w:rPr>
      </w:pPr>
    </w:p>
    <w:p w14:paraId="40E7DF46" w14:textId="77777777" w:rsidR="0045744D" w:rsidRPr="00274A4F" w:rsidRDefault="0045744D" w:rsidP="00A37B18">
      <w:pPr>
        <w:pStyle w:val="Paragraphedeliste"/>
        <w:numPr>
          <w:ilvl w:val="0"/>
          <w:numId w:val="11"/>
        </w:numPr>
        <w:spacing w:after="0" w:line="240" w:lineRule="auto"/>
        <w:jc w:val="both"/>
        <w:rPr>
          <w:rFonts w:ascii="Arial" w:eastAsia="Times New Roman" w:hAnsi="Arial" w:cs="Arial"/>
          <w:bCs/>
          <w:sz w:val="20"/>
          <w:szCs w:val="20"/>
          <w:lang w:eastAsia="fr-FR"/>
        </w:rPr>
      </w:pPr>
      <w:r w:rsidRPr="00274A4F">
        <w:rPr>
          <w:rFonts w:ascii="Arial" w:eastAsia="Times New Roman" w:hAnsi="Arial" w:cs="Arial"/>
          <w:bCs/>
          <w:sz w:val="20"/>
          <w:szCs w:val="20"/>
          <w:lang w:eastAsia="fr-FR"/>
        </w:rPr>
        <w:t xml:space="preserve">de </w:t>
      </w:r>
      <w:r w:rsidR="004C4F8F">
        <w:rPr>
          <w:rFonts w:ascii="Arial" w:eastAsia="Times New Roman" w:hAnsi="Arial" w:cs="Arial"/>
          <w:bCs/>
          <w:sz w:val="20"/>
          <w:szCs w:val="20"/>
          <w:lang w:eastAsia="fr-FR"/>
        </w:rPr>
        <w:t xml:space="preserve">rendre </w:t>
      </w:r>
      <w:r w:rsidRPr="00274A4F">
        <w:rPr>
          <w:rFonts w:ascii="Arial" w:eastAsia="Times New Roman" w:hAnsi="Arial" w:cs="Arial"/>
          <w:bCs/>
          <w:sz w:val="20"/>
          <w:szCs w:val="20"/>
          <w:lang w:eastAsia="fr-FR"/>
        </w:rPr>
        <w:t>effective une politique pénale qui engage le Parquet à poursuivre de lui-même les infractions en matière de racisme et de discrimination ;</w:t>
      </w:r>
    </w:p>
    <w:p w14:paraId="1A6D66C9" w14:textId="2319C119" w:rsidR="0045744D" w:rsidRPr="004C4F8F" w:rsidRDefault="0045744D" w:rsidP="004C4F8F">
      <w:pPr>
        <w:pStyle w:val="Paragraphedeliste"/>
        <w:numPr>
          <w:ilvl w:val="0"/>
          <w:numId w:val="11"/>
        </w:numPr>
        <w:spacing w:after="0" w:line="240" w:lineRule="auto"/>
        <w:jc w:val="both"/>
        <w:rPr>
          <w:rFonts w:ascii="Arial" w:eastAsia="Times New Roman" w:hAnsi="Arial" w:cs="Arial"/>
          <w:bCs/>
          <w:sz w:val="20"/>
          <w:szCs w:val="20"/>
          <w:lang w:eastAsia="fr-FR"/>
        </w:rPr>
      </w:pPr>
      <w:r w:rsidRPr="004C4F8F">
        <w:rPr>
          <w:rFonts w:ascii="Arial" w:eastAsia="Times New Roman" w:hAnsi="Arial" w:cs="Arial"/>
          <w:bCs/>
          <w:sz w:val="20"/>
          <w:szCs w:val="20"/>
          <w:lang w:eastAsia="fr-FR"/>
        </w:rPr>
        <w:t>que des instructions générales du garde des</w:t>
      </w:r>
      <w:r w:rsidR="004C4F8F">
        <w:rPr>
          <w:rFonts w:ascii="Arial" w:eastAsia="Times New Roman" w:hAnsi="Arial" w:cs="Arial"/>
          <w:bCs/>
          <w:sz w:val="20"/>
          <w:szCs w:val="20"/>
          <w:lang w:eastAsia="fr-FR"/>
        </w:rPr>
        <w:t xml:space="preserve"> S</w:t>
      </w:r>
      <w:r w:rsidRPr="004C4F8F">
        <w:rPr>
          <w:rFonts w:ascii="Arial" w:eastAsia="Times New Roman" w:hAnsi="Arial" w:cs="Arial"/>
          <w:bCs/>
          <w:sz w:val="20"/>
          <w:szCs w:val="20"/>
          <w:lang w:eastAsia="fr-FR"/>
        </w:rPr>
        <w:t xml:space="preserve">ceaux soient émises </w:t>
      </w:r>
      <w:r w:rsidR="004C4F8F">
        <w:rPr>
          <w:rFonts w:ascii="Arial" w:eastAsia="Times New Roman" w:hAnsi="Arial" w:cs="Arial"/>
          <w:bCs/>
          <w:sz w:val="20"/>
          <w:szCs w:val="20"/>
          <w:lang w:eastAsia="fr-FR"/>
        </w:rPr>
        <w:t>aux P</w:t>
      </w:r>
      <w:r w:rsidRPr="004C4F8F">
        <w:rPr>
          <w:rFonts w:ascii="Arial" w:eastAsia="Times New Roman" w:hAnsi="Arial" w:cs="Arial"/>
          <w:bCs/>
          <w:sz w:val="20"/>
          <w:szCs w:val="20"/>
          <w:lang w:eastAsia="fr-FR"/>
        </w:rPr>
        <w:t>arquet</w:t>
      </w:r>
      <w:r w:rsidR="004C4F8F">
        <w:rPr>
          <w:rFonts w:ascii="Arial" w:eastAsia="Times New Roman" w:hAnsi="Arial" w:cs="Arial"/>
          <w:bCs/>
          <w:sz w:val="20"/>
          <w:szCs w:val="20"/>
          <w:lang w:eastAsia="fr-FR"/>
        </w:rPr>
        <w:t>s</w:t>
      </w:r>
      <w:r w:rsidRPr="004C4F8F">
        <w:rPr>
          <w:rFonts w:ascii="Arial" w:eastAsia="Times New Roman" w:hAnsi="Arial" w:cs="Arial"/>
          <w:bCs/>
          <w:sz w:val="20"/>
          <w:szCs w:val="20"/>
          <w:lang w:eastAsia="fr-FR"/>
        </w:rPr>
        <w:t xml:space="preserve"> afin que soit systématiquement </w:t>
      </w:r>
      <w:r w:rsidRPr="004508A4">
        <w:rPr>
          <w:rFonts w:ascii="Arial" w:eastAsia="Times New Roman" w:hAnsi="Arial" w:cs="Arial"/>
          <w:bCs/>
          <w:sz w:val="20"/>
          <w:szCs w:val="20"/>
          <w:lang w:eastAsia="fr-FR"/>
        </w:rPr>
        <w:t>requis</w:t>
      </w:r>
      <w:r w:rsidR="00DA1B43" w:rsidRPr="004508A4">
        <w:rPr>
          <w:rFonts w:ascii="Arial" w:eastAsia="Times New Roman" w:hAnsi="Arial" w:cs="Arial"/>
          <w:bCs/>
          <w:sz w:val="20"/>
          <w:szCs w:val="20"/>
          <w:lang w:eastAsia="fr-FR"/>
        </w:rPr>
        <w:t>e</w:t>
      </w:r>
      <w:r w:rsidRPr="00DA1B43">
        <w:rPr>
          <w:rFonts w:ascii="Arial" w:eastAsia="Times New Roman" w:hAnsi="Arial" w:cs="Arial"/>
          <w:bCs/>
          <w:color w:val="FF0000"/>
          <w:sz w:val="20"/>
          <w:szCs w:val="20"/>
          <w:lang w:eastAsia="fr-FR"/>
        </w:rPr>
        <w:t xml:space="preserve"> </w:t>
      </w:r>
      <w:r w:rsidRPr="004C4F8F">
        <w:rPr>
          <w:rFonts w:ascii="Arial" w:eastAsia="Times New Roman" w:hAnsi="Arial" w:cs="Arial"/>
          <w:bCs/>
          <w:sz w:val="20"/>
          <w:szCs w:val="20"/>
          <w:lang w:eastAsia="fr-FR"/>
        </w:rPr>
        <w:t>une peine d’inéligibilité en cas de récidive du délit d’injure à caractère racial ou de provocation à la discrimination ou à la haine raciale</w:t>
      </w:r>
      <w:r w:rsidR="004C4F8F">
        <w:rPr>
          <w:rFonts w:ascii="Arial" w:eastAsia="Times New Roman" w:hAnsi="Arial" w:cs="Arial"/>
          <w:bCs/>
          <w:sz w:val="20"/>
          <w:szCs w:val="20"/>
          <w:lang w:eastAsia="fr-FR"/>
        </w:rPr>
        <w:t> ;</w:t>
      </w:r>
    </w:p>
    <w:p w14:paraId="720CE523" w14:textId="77777777" w:rsidR="0045744D" w:rsidRDefault="00CF27BD" w:rsidP="00A37B18">
      <w:pPr>
        <w:pStyle w:val="Paragraphedeliste"/>
        <w:numPr>
          <w:ilvl w:val="0"/>
          <w:numId w:val="11"/>
        </w:numPr>
        <w:spacing w:after="0" w:line="240" w:lineRule="auto"/>
        <w:jc w:val="both"/>
        <w:rPr>
          <w:rFonts w:ascii="Arial" w:eastAsia="Times New Roman" w:hAnsi="Arial" w:cs="Arial"/>
          <w:bCs/>
          <w:sz w:val="20"/>
          <w:szCs w:val="20"/>
          <w:lang w:eastAsia="fr-FR"/>
        </w:rPr>
      </w:pPr>
      <w:r>
        <w:rPr>
          <w:rFonts w:ascii="Arial" w:eastAsia="Times New Roman" w:hAnsi="Arial" w:cs="Arial"/>
          <w:bCs/>
          <w:sz w:val="20"/>
          <w:szCs w:val="20"/>
          <w:lang w:eastAsia="fr-FR"/>
        </w:rPr>
        <w:lastRenderedPageBreak/>
        <w:t>de prendre des instructions destinées aux Préfets afin de recours contre les actes des collectivités territoriales attentatoires aux libertés fondamentales</w:t>
      </w:r>
      <w:r w:rsidR="0045744D" w:rsidRPr="00274A4F">
        <w:rPr>
          <w:rFonts w:ascii="Arial" w:eastAsia="Times New Roman" w:hAnsi="Arial" w:cs="Arial"/>
          <w:bCs/>
          <w:sz w:val="20"/>
          <w:szCs w:val="20"/>
          <w:lang w:eastAsia="fr-FR"/>
        </w:rPr>
        <w:t> ;</w:t>
      </w:r>
    </w:p>
    <w:p w14:paraId="73BF71CA" w14:textId="77777777" w:rsidR="00CF27BD" w:rsidRPr="00274A4F" w:rsidRDefault="00CF27BD" w:rsidP="00A37B18">
      <w:pPr>
        <w:pStyle w:val="Paragraphedeliste"/>
        <w:numPr>
          <w:ilvl w:val="0"/>
          <w:numId w:val="11"/>
        </w:numPr>
        <w:spacing w:after="0" w:line="240" w:lineRule="auto"/>
        <w:jc w:val="both"/>
        <w:rPr>
          <w:rFonts w:ascii="Arial" w:eastAsia="Times New Roman" w:hAnsi="Arial" w:cs="Arial"/>
          <w:bCs/>
          <w:sz w:val="20"/>
          <w:szCs w:val="20"/>
          <w:lang w:eastAsia="fr-FR"/>
        </w:rPr>
      </w:pPr>
      <w:r>
        <w:rPr>
          <w:rFonts w:ascii="Arial" w:eastAsia="Times New Roman" w:hAnsi="Arial" w:cs="Arial"/>
          <w:bCs/>
          <w:sz w:val="20"/>
          <w:szCs w:val="20"/>
          <w:lang w:eastAsia="fr-FR"/>
        </w:rPr>
        <w:t>de sensibiliser les forces de l’ordre à la lutte contre la discrimination notamment par le biais de formations ;</w:t>
      </w:r>
    </w:p>
    <w:p w14:paraId="127D38D0" w14:textId="77777777" w:rsidR="0045744D" w:rsidRPr="00274A4F" w:rsidRDefault="0045744D" w:rsidP="00A37B18">
      <w:pPr>
        <w:pStyle w:val="Paragraphedeliste"/>
        <w:numPr>
          <w:ilvl w:val="0"/>
          <w:numId w:val="11"/>
        </w:numPr>
        <w:spacing w:after="0" w:line="240" w:lineRule="auto"/>
        <w:jc w:val="both"/>
        <w:rPr>
          <w:rFonts w:ascii="Arial" w:eastAsia="Times New Roman" w:hAnsi="Arial" w:cs="Arial"/>
          <w:bCs/>
          <w:sz w:val="20"/>
          <w:szCs w:val="20"/>
          <w:lang w:eastAsia="fr-FR"/>
        </w:rPr>
      </w:pPr>
      <w:r w:rsidRPr="00274A4F">
        <w:rPr>
          <w:rFonts w:ascii="Arial" w:eastAsia="Times New Roman" w:hAnsi="Arial" w:cs="Arial"/>
          <w:bCs/>
          <w:sz w:val="20"/>
          <w:szCs w:val="20"/>
          <w:lang w:eastAsia="fr-FR"/>
        </w:rPr>
        <w:t>qu’un récépissé soit remis systématiquement à toute personne faisant l’objet d’un contrôle d’identité ;</w:t>
      </w:r>
    </w:p>
    <w:p w14:paraId="68F942BA" w14:textId="77777777" w:rsidR="0045744D" w:rsidRPr="00274A4F" w:rsidRDefault="0045744D" w:rsidP="00A37B18">
      <w:pPr>
        <w:pStyle w:val="Paragraphedeliste"/>
        <w:numPr>
          <w:ilvl w:val="0"/>
          <w:numId w:val="11"/>
        </w:numPr>
        <w:spacing w:after="0" w:line="240" w:lineRule="auto"/>
        <w:jc w:val="both"/>
        <w:rPr>
          <w:rFonts w:ascii="Arial" w:eastAsia="Times New Roman" w:hAnsi="Arial" w:cs="Arial"/>
          <w:bCs/>
          <w:sz w:val="20"/>
          <w:szCs w:val="20"/>
          <w:lang w:eastAsia="fr-FR"/>
        </w:rPr>
      </w:pPr>
      <w:r w:rsidRPr="00274A4F">
        <w:rPr>
          <w:rFonts w:ascii="Arial" w:eastAsia="Times New Roman" w:hAnsi="Arial" w:cs="Arial"/>
          <w:bCs/>
          <w:sz w:val="20"/>
          <w:szCs w:val="20"/>
          <w:lang w:eastAsia="fr-FR"/>
        </w:rPr>
        <w:t xml:space="preserve">de mettre en place un organisme indépendant chargé d’être destinataire, en plus des autorités judiciaires, des plaintes déposées par les personnes contrôlées et de dresser un bilan </w:t>
      </w:r>
      <w:r w:rsidR="00CF27BD">
        <w:rPr>
          <w:rFonts w:ascii="Arial" w:eastAsia="Times New Roman" w:hAnsi="Arial" w:cs="Arial"/>
          <w:bCs/>
          <w:sz w:val="20"/>
          <w:szCs w:val="20"/>
          <w:lang w:eastAsia="fr-FR"/>
        </w:rPr>
        <w:t>annuel.</w:t>
      </w:r>
    </w:p>
    <w:p w14:paraId="3D81B821" w14:textId="77777777" w:rsidR="0045744D" w:rsidRPr="004F6CD1" w:rsidRDefault="0045744D" w:rsidP="00A37B18">
      <w:pPr>
        <w:pStyle w:val="Paragraphedeliste"/>
        <w:spacing w:after="0" w:line="240" w:lineRule="auto"/>
        <w:ind w:left="1728"/>
        <w:jc w:val="both"/>
        <w:rPr>
          <w:rFonts w:ascii="Arial" w:eastAsia="Times New Roman" w:hAnsi="Arial" w:cs="Arial"/>
          <w:bCs/>
          <w:sz w:val="20"/>
          <w:szCs w:val="20"/>
          <w:lang w:eastAsia="fr-FR"/>
        </w:rPr>
      </w:pPr>
    </w:p>
    <w:p w14:paraId="3481ACAB" w14:textId="77777777" w:rsidR="0045744D" w:rsidRPr="004F6CD1" w:rsidRDefault="0045744D" w:rsidP="00A37B18">
      <w:pPr>
        <w:pStyle w:val="Paragraphedeliste"/>
        <w:spacing w:after="0" w:line="240" w:lineRule="auto"/>
        <w:ind w:left="1728"/>
        <w:jc w:val="both"/>
        <w:rPr>
          <w:rFonts w:ascii="Arial" w:eastAsia="Times New Roman" w:hAnsi="Arial" w:cs="Arial"/>
          <w:bCs/>
          <w:sz w:val="20"/>
          <w:szCs w:val="20"/>
          <w:lang w:eastAsia="fr-FR"/>
        </w:rPr>
      </w:pPr>
    </w:p>
    <w:tbl>
      <w:tblPr>
        <w:tblStyle w:val="Grilledutableau"/>
        <w:tblW w:w="0" w:type="auto"/>
        <w:tblLook w:val="04A0" w:firstRow="1" w:lastRow="0" w:firstColumn="1" w:lastColumn="0" w:noHBand="0" w:noVBand="1"/>
      </w:tblPr>
      <w:tblGrid>
        <w:gridCol w:w="9072"/>
      </w:tblGrid>
      <w:tr w:rsidR="0045744D" w:rsidRPr="0045744D" w14:paraId="7932816C" w14:textId="77777777" w:rsidTr="0045744D">
        <w:tc>
          <w:tcPr>
            <w:tcW w:w="9072" w:type="dxa"/>
            <w:tcBorders>
              <w:top w:val="nil"/>
              <w:left w:val="nil"/>
              <w:bottom w:val="nil"/>
              <w:right w:val="nil"/>
            </w:tcBorders>
            <w:shd w:val="clear" w:color="auto" w:fill="D9D9D9" w:themeFill="background1" w:themeFillShade="D9"/>
          </w:tcPr>
          <w:p w14:paraId="6DC9FE6D" w14:textId="77777777" w:rsidR="0045744D" w:rsidRPr="004F6CD1" w:rsidRDefault="0045744D" w:rsidP="00A37B18">
            <w:pPr>
              <w:pStyle w:val="Paragraphedeliste"/>
              <w:keepNext/>
              <w:keepLines/>
              <w:ind w:left="360"/>
              <w:outlineLvl w:val="0"/>
              <w:rPr>
                <w:rFonts w:ascii="Arial" w:eastAsiaTheme="majorEastAsia" w:hAnsi="Arial" w:cs="Arial"/>
                <w:b/>
                <w:bCs/>
                <w:caps/>
                <w:sz w:val="20"/>
                <w:szCs w:val="20"/>
                <w:lang w:val="en-US"/>
              </w:rPr>
            </w:pPr>
            <w:bookmarkStart w:id="8" w:name="_Toc282794085"/>
            <w:bookmarkStart w:id="9" w:name="_Toc282794275"/>
            <w:bookmarkStart w:id="10" w:name="_Toc282795906"/>
            <w:bookmarkStart w:id="11" w:name="_Toc413409277"/>
            <w:bookmarkStart w:id="12" w:name="_Toc415581566"/>
            <w:r w:rsidRPr="004F6CD1">
              <w:rPr>
                <w:rFonts w:ascii="Arial" w:eastAsiaTheme="majorEastAsia" w:hAnsi="Arial" w:cs="Arial"/>
                <w:b/>
                <w:bCs/>
                <w:caps/>
                <w:sz w:val="20"/>
                <w:szCs w:val="20"/>
                <w:lang w:val="en-US"/>
              </w:rPr>
              <w:t>Les gens du voyage</w:t>
            </w:r>
            <w:bookmarkEnd w:id="8"/>
            <w:bookmarkEnd w:id="9"/>
            <w:bookmarkEnd w:id="10"/>
            <w:bookmarkEnd w:id="11"/>
            <w:bookmarkEnd w:id="12"/>
          </w:p>
        </w:tc>
      </w:tr>
    </w:tbl>
    <w:p w14:paraId="219C06BF" w14:textId="77777777" w:rsidR="0045744D" w:rsidRPr="004F6CD1" w:rsidRDefault="0045744D" w:rsidP="00A37B18">
      <w:pPr>
        <w:pStyle w:val="Paragraphedeliste"/>
        <w:spacing w:after="0" w:line="240" w:lineRule="auto"/>
        <w:ind w:left="360"/>
        <w:jc w:val="both"/>
        <w:rPr>
          <w:rFonts w:ascii="Arial" w:eastAsia="Times New Roman" w:hAnsi="Arial" w:cs="Arial"/>
          <w:bCs/>
          <w:sz w:val="20"/>
          <w:szCs w:val="20"/>
          <w:lang w:eastAsia="fr-FR"/>
        </w:rPr>
      </w:pPr>
    </w:p>
    <w:p w14:paraId="79BB8043" w14:textId="6C1AC918" w:rsidR="0045744D" w:rsidRDefault="00DF4FE9" w:rsidP="00A37B18">
      <w:pPr>
        <w:pStyle w:val="Paragraphedeliste"/>
        <w:numPr>
          <w:ilvl w:val="0"/>
          <w:numId w:val="9"/>
        </w:numPr>
        <w:spacing w:after="0" w:line="240" w:lineRule="auto"/>
        <w:jc w:val="both"/>
        <w:rPr>
          <w:rFonts w:ascii="Arial" w:hAnsi="Arial" w:cs="Arial"/>
          <w:sz w:val="20"/>
          <w:szCs w:val="20"/>
        </w:rPr>
      </w:pPr>
      <w:r>
        <w:rPr>
          <w:rFonts w:ascii="Arial" w:hAnsi="Arial" w:cs="Arial"/>
          <w:sz w:val="20"/>
          <w:szCs w:val="20"/>
        </w:rPr>
        <w:t>L</w:t>
      </w:r>
      <w:r w:rsidR="0045744D" w:rsidRPr="004F6CD1">
        <w:rPr>
          <w:rFonts w:ascii="Arial" w:hAnsi="Arial" w:cs="Arial"/>
          <w:sz w:val="20"/>
          <w:szCs w:val="20"/>
        </w:rPr>
        <w:t>e nombre précis de « Gens du voyage » en France n’est pas connu, les estimations varient de 250 000 à 500</w:t>
      </w:r>
      <w:r w:rsidR="00274A4F">
        <w:rPr>
          <w:rFonts w:ascii="Arial" w:hAnsi="Arial" w:cs="Arial"/>
          <w:sz w:val="20"/>
          <w:szCs w:val="20"/>
        </w:rPr>
        <w:t> </w:t>
      </w:r>
      <w:r w:rsidR="0045744D" w:rsidRPr="004F6CD1">
        <w:rPr>
          <w:rFonts w:ascii="Arial" w:hAnsi="Arial" w:cs="Arial"/>
          <w:sz w:val="20"/>
          <w:szCs w:val="20"/>
        </w:rPr>
        <w:t>000.</w:t>
      </w:r>
    </w:p>
    <w:p w14:paraId="293470FE" w14:textId="77777777" w:rsidR="00274A4F" w:rsidRPr="004F6CD1" w:rsidRDefault="00274A4F" w:rsidP="00A37B18">
      <w:pPr>
        <w:pStyle w:val="Paragraphedeliste"/>
        <w:spacing w:after="0" w:line="240" w:lineRule="auto"/>
        <w:ind w:left="357"/>
        <w:jc w:val="both"/>
        <w:rPr>
          <w:rFonts w:ascii="Arial" w:hAnsi="Arial" w:cs="Arial"/>
          <w:sz w:val="20"/>
          <w:szCs w:val="20"/>
        </w:rPr>
      </w:pPr>
    </w:p>
    <w:p w14:paraId="5BDF946B" w14:textId="77777777" w:rsidR="00274A4F"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Depuis les observations finales de votre Comité</w:t>
      </w:r>
      <w:r w:rsidRPr="0045744D">
        <w:rPr>
          <w:vertAlign w:val="superscript"/>
        </w:rPr>
        <w:footnoteReference w:id="24"/>
      </w:r>
      <w:r w:rsidRPr="004F6CD1">
        <w:rPr>
          <w:rFonts w:ascii="Arial" w:hAnsi="Arial" w:cs="Arial"/>
          <w:sz w:val="20"/>
          <w:szCs w:val="20"/>
        </w:rPr>
        <w:t>, la France a abrogé la loi 3 janvier 1969 relative à l'exercice des activités ambulantes et au régime applicable aux personnes circulant en France sans domicile ni résidence fixe en mettant fin ainsi au régime discriminatoire qui imposait aux « Gens du voyage » le rattachement à une commune ainsi qu’un livret de circulation</w:t>
      </w:r>
      <w:r w:rsidRPr="0045744D">
        <w:rPr>
          <w:vertAlign w:val="superscript"/>
        </w:rPr>
        <w:footnoteReference w:id="25"/>
      </w:r>
      <w:r w:rsidRPr="004F6CD1">
        <w:rPr>
          <w:rFonts w:ascii="Arial" w:hAnsi="Arial" w:cs="Arial"/>
          <w:sz w:val="20"/>
          <w:szCs w:val="20"/>
        </w:rPr>
        <w:t>.</w:t>
      </w:r>
    </w:p>
    <w:p w14:paraId="2B4DA60A" w14:textId="77777777" w:rsidR="00274A4F" w:rsidRPr="00274A4F" w:rsidRDefault="00274A4F" w:rsidP="00A37B18">
      <w:pPr>
        <w:spacing w:after="0" w:line="240" w:lineRule="auto"/>
        <w:jc w:val="both"/>
        <w:rPr>
          <w:rFonts w:ascii="Arial" w:hAnsi="Arial" w:cs="Arial"/>
          <w:sz w:val="20"/>
          <w:szCs w:val="20"/>
        </w:rPr>
      </w:pPr>
    </w:p>
    <w:p w14:paraId="5CE786F4" w14:textId="77777777" w:rsidR="00274A4F"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En outre, la Commission nationale consultative des Gens du voyage a été instaurée le 17 décembre 2015. Elle vise la prise en compte des besoins des Gens du voyage et leur implication dans l’élaboration et le suivi des politiques publiques les concernant.</w:t>
      </w:r>
    </w:p>
    <w:p w14:paraId="393116C2" w14:textId="77777777" w:rsidR="00274A4F" w:rsidRPr="00274A4F" w:rsidRDefault="00274A4F" w:rsidP="00A37B18">
      <w:pPr>
        <w:spacing w:after="0" w:line="240" w:lineRule="auto"/>
        <w:jc w:val="both"/>
        <w:rPr>
          <w:rFonts w:ascii="Arial" w:hAnsi="Arial" w:cs="Arial"/>
          <w:sz w:val="20"/>
          <w:szCs w:val="20"/>
        </w:rPr>
      </w:pPr>
    </w:p>
    <w:p w14:paraId="2B42DB55" w14:textId="77777777" w:rsidR="0045744D"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Si ces avancées peuvent être saluées, il n’en demeure pas moins que l’Etat doit intensifier ses efforts notamment quant à la création d’aires d’accueil, et quand elles existent, à la qualité de leurs équipements et de leurs localisations.</w:t>
      </w:r>
    </w:p>
    <w:p w14:paraId="3EE510F7" w14:textId="77777777" w:rsidR="00274A4F" w:rsidRPr="00274A4F" w:rsidRDefault="00274A4F" w:rsidP="00A37B18">
      <w:pPr>
        <w:spacing w:after="0" w:line="240" w:lineRule="auto"/>
        <w:jc w:val="both"/>
        <w:rPr>
          <w:rFonts w:ascii="Arial" w:hAnsi="Arial" w:cs="Arial"/>
          <w:sz w:val="20"/>
          <w:szCs w:val="20"/>
        </w:rPr>
      </w:pPr>
    </w:p>
    <w:p w14:paraId="74C89956" w14:textId="77777777" w:rsidR="00274A4F"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La loi du 5 juillet 2000 relative à l’accueil et à l’habitat des « Gens du voyage » prévoit d’une part, la planification et la création des différentes possibilités d’accueil des « Gens du voyage » dans les schémas départementaux et d’autre part, et en contrepartie, l’obligation pour les « Gens du voyage » de stationner sur les terrains qui leur sont dédiés et la possibilité de se voir interdire le stationnement sur le reste du territoire communal, dès lors que la commune aurait rempli ses obligations d’accueil.</w:t>
      </w:r>
    </w:p>
    <w:p w14:paraId="4EAF6EA1" w14:textId="77777777" w:rsidR="00274A4F" w:rsidRPr="00274A4F" w:rsidRDefault="00274A4F" w:rsidP="00A37B18">
      <w:pPr>
        <w:spacing w:after="0" w:line="240" w:lineRule="auto"/>
        <w:jc w:val="both"/>
        <w:rPr>
          <w:rFonts w:ascii="Arial" w:hAnsi="Arial" w:cs="Arial"/>
          <w:sz w:val="20"/>
          <w:szCs w:val="20"/>
        </w:rPr>
      </w:pPr>
    </w:p>
    <w:p w14:paraId="3B33F007" w14:textId="77777777" w:rsidR="0045744D"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Les schémas départementaux intègrent obligatoirement les communes de plus de 5 000 habitants, lesquelles doivent disposer d’aires ou de terrains adaptés sur leur territoire, ou contribuer financièrement à la réalisation de tels espaces sur le territoire d’autres communes.</w:t>
      </w:r>
    </w:p>
    <w:p w14:paraId="528C18B4" w14:textId="77777777" w:rsidR="00274A4F" w:rsidRPr="00274A4F" w:rsidRDefault="00274A4F" w:rsidP="00A37B18">
      <w:pPr>
        <w:spacing w:after="0" w:line="240" w:lineRule="auto"/>
        <w:jc w:val="both"/>
        <w:rPr>
          <w:rFonts w:ascii="Arial" w:hAnsi="Arial" w:cs="Arial"/>
          <w:sz w:val="20"/>
          <w:szCs w:val="20"/>
        </w:rPr>
      </w:pPr>
    </w:p>
    <w:p w14:paraId="639C9B43" w14:textId="77777777" w:rsidR="0045744D"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 xml:space="preserve">Bien que non visées par les obligations prévues par la loi du 5 juillet 2000, les communes de moins </w:t>
      </w:r>
      <w:r w:rsidR="00C66120">
        <w:rPr>
          <w:rFonts w:ascii="Arial" w:hAnsi="Arial" w:cs="Arial"/>
          <w:sz w:val="20"/>
          <w:szCs w:val="20"/>
        </w:rPr>
        <w:t xml:space="preserve">de 5000 habitants sont tenues à </w:t>
      </w:r>
      <w:r w:rsidRPr="004F6CD1">
        <w:rPr>
          <w:rFonts w:ascii="Arial" w:hAnsi="Arial" w:cs="Arial"/>
          <w:sz w:val="20"/>
          <w:szCs w:val="20"/>
        </w:rPr>
        <w:t>une obligation d’accueil minimal.</w:t>
      </w:r>
    </w:p>
    <w:p w14:paraId="09FD4C6F" w14:textId="77777777" w:rsidR="00C66120" w:rsidRPr="00C66120" w:rsidRDefault="00C66120" w:rsidP="00C66120">
      <w:pPr>
        <w:spacing w:after="0" w:line="240" w:lineRule="auto"/>
        <w:jc w:val="both"/>
        <w:rPr>
          <w:rFonts w:ascii="Arial" w:hAnsi="Arial" w:cs="Arial"/>
          <w:sz w:val="20"/>
          <w:szCs w:val="20"/>
        </w:rPr>
      </w:pPr>
    </w:p>
    <w:p w14:paraId="5569F1CD" w14:textId="77777777" w:rsidR="0045744D"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Depuis l’arrêt du Conseil d’Etat</w:t>
      </w:r>
      <w:r w:rsidRPr="0045744D">
        <w:rPr>
          <w:vertAlign w:val="superscript"/>
        </w:rPr>
        <w:footnoteReference w:id="26"/>
      </w:r>
      <w:r w:rsidRPr="004F6CD1">
        <w:rPr>
          <w:rFonts w:ascii="Arial" w:hAnsi="Arial" w:cs="Arial"/>
          <w:sz w:val="20"/>
          <w:szCs w:val="20"/>
        </w:rPr>
        <w:t>, les communes de moins de 5 000 habitants ont l’obligation d’assurer un accueil temporaire des gens du voyage sur leur territoire, sur des terrains de passage officiellement désignés et bénéficiant d’un équipement minimal (notamment sur le plan sanitaire) permettant une halte pour une durée minimale de quarante-huit heures et maximale de quinze jours</w:t>
      </w:r>
      <w:r w:rsidRPr="0045744D">
        <w:rPr>
          <w:vertAlign w:val="superscript"/>
        </w:rPr>
        <w:footnoteReference w:id="27"/>
      </w:r>
      <w:r w:rsidRPr="004F6CD1">
        <w:rPr>
          <w:rFonts w:ascii="Arial" w:hAnsi="Arial" w:cs="Arial"/>
          <w:sz w:val="20"/>
          <w:szCs w:val="20"/>
        </w:rPr>
        <w:t>.</w:t>
      </w:r>
    </w:p>
    <w:p w14:paraId="5C6E1725" w14:textId="77777777" w:rsidR="00A37B18" w:rsidRPr="004F6CD1" w:rsidRDefault="00A37B18" w:rsidP="00A37B18">
      <w:pPr>
        <w:pStyle w:val="Paragraphedeliste"/>
        <w:spacing w:after="0" w:line="240" w:lineRule="auto"/>
        <w:ind w:left="357"/>
        <w:jc w:val="both"/>
        <w:rPr>
          <w:rFonts w:ascii="Arial" w:hAnsi="Arial" w:cs="Arial"/>
          <w:sz w:val="20"/>
          <w:szCs w:val="20"/>
        </w:rPr>
      </w:pPr>
    </w:p>
    <w:p w14:paraId="067ABFD6" w14:textId="77777777" w:rsidR="0045744D"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La Cour des comptes, qui a consacré deux rapports à l’accueil et l’accompagnement des « Gens du voyage » en 2012 puis en 2017</w:t>
      </w:r>
      <w:r w:rsidRPr="0045744D">
        <w:rPr>
          <w:vertAlign w:val="superscript"/>
        </w:rPr>
        <w:footnoteReference w:id="28"/>
      </w:r>
      <w:r w:rsidRPr="004F6CD1">
        <w:rPr>
          <w:rFonts w:ascii="Arial" w:hAnsi="Arial" w:cs="Arial"/>
          <w:sz w:val="20"/>
          <w:szCs w:val="20"/>
        </w:rPr>
        <w:t>, fait le constat de l’ineffectivité de la loi du 5 juillet 2000. Elle relève en particulier des progrès très lents et inégaux sur les territoires : en 2017, seuls 17 départements avaient totalement rempli leurs obligations ; ils étaient 22 fin 2020, selon un bilan publié par le ministère du Logement, chiffre qui témoigne de la lenteur des progrès en la matière.</w:t>
      </w:r>
    </w:p>
    <w:p w14:paraId="2E1E1C9B" w14:textId="77777777" w:rsidR="00A37B18" w:rsidRPr="00A37B18" w:rsidRDefault="00A37B18" w:rsidP="00A37B18">
      <w:pPr>
        <w:spacing w:after="0" w:line="240" w:lineRule="auto"/>
        <w:jc w:val="both"/>
        <w:rPr>
          <w:rFonts w:ascii="Arial" w:hAnsi="Arial" w:cs="Arial"/>
          <w:sz w:val="20"/>
          <w:szCs w:val="20"/>
        </w:rPr>
      </w:pPr>
    </w:p>
    <w:p w14:paraId="543C320F" w14:textId="77777777" w:rsidR="0045744D"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 xml:space="preserve">Fin 2020, les objectifs fixés n’ont été atteints que dans 26 départements, avec de fortes disparités géographiques (entre 31,4 % et 100 % selon les régions), On estime que près de 11 500 familles </w:t>
      </w:r>
      <w:r w:rsidRPr="004F6CD1">
        <w:rPr>
          <w:rFonts w:ascii="Arial" w:hAnsi="Arial" w:cs="Arial"/>
          <w:sz w:val="20"/>
          <w:szCs w:val="20"/>
        </w:rPr>
        <w:lastRenderedPageBreak/>
        <w:t>ne trouvent donc pas de places aujourd’hui. Les aires de grand passage comptent 24 549 places</w:t>
      </w:r>
      <w:r w:rsidRPr="0045744D">
        <w:rPr>
          <w:vertAlign w:val="superscript"/>
        </w:rPr>
        <w:footnoteReference w:id="29"/>
      </w:r>
      <w:r w:rsidRPr="004F6CD1">
        <w:rPr>
          <w:rFonts w:ascii="Arial" w:hAnsi="Arial" w:cs="Arial"/>
          <w:sz w:val="20"/>
          <w:szCs w:val="20"/>
        </w:rPr>
        <w:t>.</w:t>
      </w:r>
    </w:p>
    <w:p w14:paraId="24595BCB" w14:textId="77777777" w:rsidR="00A37B18" w:rsidRPr="00A37B18" w:rsidRDefault="00A37B18" w:rsidP="00A37B18">
      <w:pPr>
        <w:spacing w:after="0" w:line="240" w:lineRule="auto"/>
        <w:jc w:val="both"/>
        <w:rPr>
          <w:rFonts w:ascii="Arial" w:hAnsi="Arial" w:cs="Arial"/>
          <w:sz w:val="20"/>
          <w:szCs w:val="20"/>
        </w:rPr>
      </w:pPr>
    </w:p>
    <w:p w14:paraId="13233545" w14:textId="77777777" w:rsidR="00A37B18" w:rsidRDefault="0045744D" w:rsidP="004750DE">
      <w:pPr>
        <w:pStyle w:val="Paragraphedeliste"/>
        <w:numPr>
          <w:ilvl w:val="0"/>
          <w:numId w:val="9"/>
        </w:numPr>
        <w:spacing w:after="0" w:line="240" w:lineRule="auto"/>
        <w:ind w:left="357" w:hanging="73"/>
        <w:jc w:val="both"/>
        <w:rPr>
          <w:rFonts w:ascii="Arial" w:hAnsi="Arial" w:cs="Arial"/>
          <w:sz w:val="20"/>
          <w:szCs w:val="20"/>
        </w:rPr>
      </w:pPr>
      <w:r w:rsidRPr="004F6CD1">
        <w:rPr>
          <w:rFonts w:ascii="Arial" w:hAnsi="Arial" w:cs="Arial"/>
          <w:sz w:val="20"/>
          <w:szCs w:val="20"/>
        </w:rPr>
        <w:t>La Défenseure des droits</w:t>
      </w:r>
      <w:r w:rsidRPr="004F6CD1">
        <w:rPr>
          <w:rFonts w:ascii="Arial" w:hAnsi="Arial" w:cs="Arial"/>
          <w:sz w:val="20"/>
          <w:szCs w:val="20"/>
          <w:vertAlign w:val="superscript"/>
        </w:rPr>
        <w:t xml:space="preserve"> </w:t>
      </w:r>
      <w:r w:rsidRPr="004F6CD1">
        <w:rPr>
          <w:rFonts w:ascii="Arial" w:hAnsi="Arial" w:cs="Arial"/>
          <w:sz w:val="20"/>
          <w:szCs w:val="20"/>
        </w:rPr>
        <w:t>parvient également au même constat : les objectifs d’accueil des « Gens du voyage » prévus par la loi ne sont toujours pas atteints 20 ans après son adoption</w:t>
      </w:r>
      <w:r w:rsidR="000068D6">
        <w:rPr>
          <w:rStyle w:val="Appelnotedebasdep"/>
          <w:rFonts w:ascii="Arial" w:hAnsi="Arial" w:cs="Arial"/>
          <w:sz w:val="20"/>
          <w:szCs w:val="20"/>
        </w:rPr>
        <w:footnoteReference w:id="30"/>
      </w:r>
      <w:r w:rsidRPr="004F6CD1">
        <w:rPr>
          <w:rFonts w:ascii="Arial" w:hAnsi="Arial" w:cs="Arial"/>
          <w:sz w:val="20"/>
          <w:szCs w:val="20"/>
        </w:rPr>
        <w:t xml:space="preserve">. </w:t>
      </w:r>
    </w:p>
    <w:p w14:paraId="48BF4639" w14:textId="77777777" w:rsidR="00A37B18" w:rsidRPr="00A37B18" w:rsidRDefault="00A37B18" w:rsidP="00A37B18">
      <w:pPr>
        <w:spacing w:after="0" w:line="240" w:lineRule="auto"/>
        <w:jc w:val="both"/>
        <w:rPr>
          <w:rFonts w:ascii="Arial" w:hAnsi="Arial" w:cs="Arial"/>
          <w:sz w:val="20"/>
          <w:szCs w:val="20"/>
        </w:rPr>
      </w:pPr>
    </w:p>
    <w:p w14:paraId="6CF5CE59" w14:textId="77777777" w:rsidR="00A37B18"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La pénurie de foncier est avancée, de manière quasi-systématique, comme le principal obstacle à la concrétisation d’une opération d’accueil ou d’habitat des Gens du voyage. Or selon la Fnasat,  l’expression souvent employée de « tension foncière » n’est souvent autre que la prétendue dévalorisation du foncier que susciterait l’implantation d’un tel équipement à proximité d’une zone d’habitat</w:t>
      </w:r>
      <w:r w:rsidRPr="0045744D">
        <w:rPr>
          <w:vertAlign w:val="superscript"/>
        </w:rPr>
        <w:footnoteReference w:id="31"/>
      </w:r>
      <w:r w:rsidRPr="004F6CD1">
        <w:rPr>
          <w:rFonts w:ascii="Arial" w:hAnsi="Arial" w:cs="Arial"/>
          <w:sz w:val="20"/>
          <w:szCs w:val="20"/>
        </w:rPr>
        <w:t>.</w:t>
      </w:r>
    </w:p>
    <w:p w14:paraId="2CFA1DC6" w14:textId="77777777" w:rsidR="00A37B18" w:rsidRPr="00A37B18" w:rsidRDefault="00A37B18" w:rsidP="00A37B18">
      <w:pPr>
        <w:spacing w:after="0" w:line="240" w:lineRule="auto"/>
        <w:jc w:val="both"/>
        <w:rPr>
          <w:rFonts w:ascii="Arial" w:hAnsi="Arial" w:cs="Arial"/>
          <w:sz w:val="20"/>
          <w:szCs w:val="20"/>
        </w:rPr>
      </w:pPr>
    </w:p>
    <w:p w14:paraId="12550F12" w14:textId="77777777" w:rsidR="00A37B18" w:rsidRPr="00A37B18"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La Commission nationale consultative des gens du voyage rappelle avec insistance que</w:t>
      </w:r>
      <w:r w:rsidRPr="0045744D">
        <w:rPr>
          <w:vertAlign w:val="superscript"/>
        </w:rPr>
        <w:footnoteReference w:id="32"/>
      </w:r>
      <w:r w:rsidRPr="004F6CD1">
        <w:rPr>
          <w:rFonts w:ascii="Arial" w:hAnsi="Arial" w:cs="Arial"/>
          <w:sz w:val="20"/>
          <w:szCs w:val="20"/>
        </w:rPr>
        <w:t xml:space="preserve"> : « </w:t>
      </w:r>
      <w:r w:rsidRPr="004F6CD1">
        <w:rPr>
          <w:rFonts w:ascii="Arial" w:hAnsi="Arial" w:cs="Arial"/>
          <w:i/>
          <w:sz w:val="20"/>
          <w:szCs w:val="20"/>
        </w:rPr>
        <w:t>le déficit de places d’accueil et d’habitat qui en résulte favorise les stationnements illicites, entretient les conflits en usage d’occupation et les tensions »</w:t>
      </w:r>
      <w:r w:rsidRPr="004F6CD1">
        <w:rPr>
          <w:rFonts w:ascii="Arial" w:hAnsi="Arial" w:cs="Arial"/>
          <w:sz w:val="20"/>
          <w:szCs w:val="20"/>
        </w:rPr>
        <w:t>.</w:t>
      </w:r>
    </w:p>
    <w:p w14:paraId="642FECB8" w14:textId="77777777" w:rsidR="00A37B18" w:rsidRPr="00A37B18" w:rsidRDefault="00A37B18" w:rsidP="00A37B18">
      <w:pPr>
        <w:pStyle w:val="Paragraphedeliste"/>
        <w:spacing w:after="0" w:line="240" w:lineRule="auto"/>
        <w:ind w:left="360"/>
        <w:jc w:val="both"/>
        <w:rPr>
          <w:rFonts w:ascii="Arial" w:hAnsi="Arial" w:cs="Arial"/>
          <w:sz w:val="20"/>
          <w:szCs w:val="20"/>
        </w:rPr>
      </w:pPr>
    </w:p>
    <w:p w14:paraId="1D993E1D" w14:textId="77777777" w:rsidR="0045744D"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Dans plusieurs avis relatifs à des propositions de loi</w:t>
      </w:r>
      <w:r w:rsidR="000068D6">
        <w:rPr>
          <w:rStyle w:val="Appelnotedebasdep"/>
          <w:rFonts w:ascii="Arial" w:hAnsi="Arial" w:cs="Arial"/>
          <w:sz w:val="20"/>
          <w:szCs w:val="20"/>
        </w:rPr>
        <w:footnoteReference w:id="33"/>
      </w:r>
      <w:r w:rsidRPr="004F6CD1">
        <w:rPr>
          <w:rFonts w:ascii="Arial" w:hAnsi="Arial" w:cs="Arial"/>
          <w:sz w:val="20"/>
          <w:szCs w:val="20"/>
        </w:rPr>
        <w:t>, le Défenseur des droits réitère ses préoccupations, en premier lieu quant à l’insuffisance des aires d’accueil mais également aux conditions d’accès et de disponibilité des aires de grand passage.</w:t>
      </w:r>
    </w:p>
    <w:p w14:paraId="1AF0AE43" w14:textId="77777777" w:rsidR="00A37B18" w:rsidRPr="00A37B18" w:rsidRDefault="00A37B18" w:rsidP="00A37B18">
      <w:pPr>
        <w:spacing w:after="0" w:line="240" w:lineRule="auto"/>
        <w:jc w:val="both"/>
        <w:rPr>
          <w:rFonts w:ascii="Arial" w:hAnsi="Arial" w:cs="Arial"/>
          <w:sz w:val="20"/>
          <w:szCs w:val="20"/>
        </w:rPr>
      </w:pPr>
    </w:p>
    <w:p w14:paraId="1E59FE02" w14:textId="77777777" w:rsidR="0045744D" w:rsidRDefault="0045744D" w:rsidP="004750DE">
      <w:pPr>
        <w:pStyle w:val="Paragraphedeliste"/>
        <w:numPr>
          <w:ilvl w:val="0"/>
          <w:numId w:val="9"/>
        </w:numPr>
        <w:spacing w:after="0" w:line="240" w:lineRule="auto"/>
        <w:ind w:left="357" w:hanging="73"/>
        <w:jc w:val="both"/>
        <w:rPr>
          <w:rFonts w:ascii="Arial" w:hAnsi="Arial" w:cs="Arial"/>
          <w:sz w:val="20"/>
          <w:szCs w:val="20"/>
        </w:rPr>
      </w:pPr>
      <w:r w:rsidRPr="004F6CD1">
        <w:rPr>
          <w:rFonts w:ascii="Arial" w:hAnsi="Arial" w:cs="Arial"/>
          <w:sz w:val="20"/>
          <w:szCs w:val="20"/>
        </w:rPr>
        <w:t>En effet, au manque de places disponibles d’accueil des Gens du voyage s’ajoutent des insuffisances qualitatives</w:t>
      </w:r>
      <w:r w:rsidR="000068D6">
        <w:rPr>
          <w:rStyle w:val="Appelnotedebasdep"/>
          <w:rFonts w:ascii="Arial" w:hAnsi="Arial" w:cs="Arial"/>
          <w:sz w:val="20"/>
          <w:szCs w:val="20"/>
        </w:rPr>
        <w:footnoteReference w:id="34"/>
      </w:r>
      <w:r w:rsidRPr="004F6CD1">
        <w:rPr>
          <w:rFonts w:ascii="Arial" w:hAnsi="Arial" w:cs="Arial"/>
          <w:sz w:val="20"/>
          <w:szCs w:val="20"/>
        </w:rPr>
        <w:t>.</w:t>
      </w:r>
    </w:p>
    <w:p w14:paraId="7D725902" w14:textId="77777777" w:rsidR="00A37B18" w:rsidRPr="00A37B18" w:rsidRDefault="00A37B18" w:rsidP="00A37B18">
      <w:pPr>
        <w:spacing w:after="0" w:line="240" w:lineRule="auto"/>
        <w:jc w:val="both"/>
        <w:rPr>
          <w:rFonts w:ascii="Arial" w:hAnsi="Arial" w:cs="Arial"/>
          <w:sz w:val="20"/>
          <w:szCs w:val="20"/>
        </w:rPr>
      </w:pPr>
    </w:p>
    <w:p w14:paraId="26CD8A1B" w14:textId="0174AC6F" w:rsidR="0045744D" w:rsidRDefault="0045744D" w:rsidP="004750DE">
      <w:pPr>
        <w:pStyle w:val="Paragraphedeliste"/>
        <w:numPr>
          <w:ilvl w:val="0"/>
          <w:numId w:val="9"/>
        </w:numPr>
        <w:spacing w:after="0" w:line="240" w:lineRule="auto"/>
        <w:ind w:left="357" w:hanging="73"/>
        <w:jc w:val="both"/>
        <w:rPr>
          <w:rFonts w:ascii="Arial" w:hAnsi="Arial" w:cs="Arial"/>
          <w:sz w:val="20"/>
          <w:szCs w:val="20"/>
        </w:rPr>
      </w:pPr>
      <w:r w:rsidRPr="004F6CD1">
        <w:rPr>
          <w:rFonts w:ascii="Arial" w:hAnsi="Arial" w:cs="Arial"/>
          <w:sz w:val="20"/>
          <w:szCs w:val="20"/>
        </w:rPr>
        <w:t xml:space="preserve">Il est constaté d’une part </w:t>
      </w:r>
      <w:r w:rsidR="00D27E42" w:rsidRPr="004508A4">
        <w:rPr>
          <w:rFonts w:ascii="Arial" w:hAnsi="Arial" w:cs="Arial"/>
          <w:sz w:val="20"/>
          <w:szCs w:val="20"/>
        </w:rPr>
        <w:t xml:space="preserve">le </w:t>
      </w:r>
      <w:r w:rsidRPr="004F6CD1">
        <w:rPr>
          <w:rFonts w:ascii="Arial" w:hAnsi="Arial" w:cs="Arial"/>
          <w:sz w:val="20"/>
          <w:szCs w:val="20"/>
        </w:rPr>
        <w:t>caractère inadapté des terrains, des aménagements et équipements, ainsi que l’absence de raccordements aux réseaux et d’autre part que l’implantation des aires d’accueil est éloignée des services publi</w:t>
      </w:r>
      <w:r w:rsidR="00A10BC3">
        <w:rPr>
          <w:rFonts w:ascii="Arial" w:hAnsi="Arial" w:cs="Arial"/>
          <w:sz w:val="20"/>
          <w:szCs w:val="20"/>
        </w:rPr>
        <w:t>cs et privés, et en particulier</w:t>
      </w:r>
      <w:r w:rsidRPr="004F6CD1">
        <w:rPr>
          <w:rFonts w:ascii="Arial" w:hAnsi="Arial" w:cs="Arial"/>
          <w:sz w:val="20"/>
          <w:szCs w:val="20"/>
        </w:rPr>
        <w:t xml:space="preserve"> des écoles</w:t>
      </w:r>
      <w:r w:rsidR="00A10BC3">
        <w:rPr>
          <w:rFonts w:ascii="Arial" w:hAnsi="Arial" w:cs="Arial"/>
          <w:sz w:val="20"/>
          <w:szCs w:val="20"/>
        </w:rPr>
        <w:t>,</w:t>
      </w:r>
      <w:r w:rsidR="00A85F8D">
        <w:rPr>
          <w:rFonts w:ascii="Arial" w:hAnsi="Arial" w:cs="Arial"/>
          <w:sz w:val="20"/>
          <w:szCs w:val="20"/>
        </w:rPr>
        <w:t xml:space="preserve"> et reléguée</w:t>
      </w:r>
      <w:r w:rsidRPr="004F6CD1">
        <w:rPr>
          <w:rFonts w:ascii="Arial" w:hAnsi="Arial" w:cs="Arial"/>
          <w:sz w:val="20"/>
          <w:szCs w:val="20"/>
        </w:rPr>
        <w:t xml:space="preserve"> en dehors des zones d’habitat.</w:t>
      </w:r>
    </w:p>
    <w:p w14:paraId="3637E256" w14:textId="77777777" w:rsidR="00A37B18" w:rsidRPr="00A37B18" w:rsidRDefault="00A37B18" w:rsidP="00A37B18">
      <w:pPr>
        <w:spacing w:after="0" w:line="240" w:lineRule="auto"/>
        <w:jc w:val="both"/>
        <w:rPr>
          <w:rFonts w:ascii="Arial" w:hAnsi="Arial" w:cs="Arial"/>
          <w:sz w:val="20"/>
          <w:szCs w:val="20"/>
        </w:rPr>
      </w:pPr>
    </w:p>
    <w:p w14:paraId="18F2BD62" w14:textId="77777777" w:rsidR="0045744D" w:rsidRDefault="0045744D" w:rsidP="004750DE">
      <w:pPr>
        <w:pStyle w:val="Paragraphedeliste"/>
        <w:numPr>
          <w:ilvl w:val="0"/>
          <w:numId w:val="9"/>
        </w:numPr>
        <w:spacing w:after="0" w:line="240" w:lineRule="auto"/>
        <w:ind w:left="357" w:hanging="73"/>
        <w:jc w:val="both"/>
        <w:rPr>
          <w:rFonts w:ascii="Arial" w:hAnsi="Arial" w:cs="Arial"/>
          <w:sz w:val="20"/>
          <w:szCs w:val="20"/>
        </w:rPr>
      </w:pPr>
      <w:r w:rsidRPr="004F6CD1">
        <w:rPr>
          <w:rFonts w:ascii="Arial" w:hAnsi="Arial" w:cs="Arial"/>
          <w:sz w:val="20"/>
          <w:szCs w:val="20"/>
        </w:rPr>
        <w:t>L’éloignement des Gens du voyage institue une rupture d’égalité de l’accès à l’ensemble des politiques publiques : culture, économie, santé, droits, etc.</w:t>
      </w:r>
    </w:p>
    <w:p w14:paraId="33581EA9" w14:textId="77777777" w:rsidR="00A37B18" w:rsidRPr="00A37B18" w:rsidRDefault="00A37B18" w:rsidP="00A37B18">
      <w:pPr>
        <w:spacing w:after="0" w:line="240" w:lineRule="auto"/>
        <w:jc w:val="both"/>
        <w:rPr>
          <w:rFonts w:ascii="Arial" w:hAnsi="Arial" w:cs="Arial"/>
          <w:sz w:val="20"/>
          <w:szCs w:val="20"/>
        </w:rPr>
      </w:pPr>
    </w:p>
    <w:p w14:paraId="569D0CDD" w14:textId="77777777" w:rsidR="0045744D" w:rsidRDefault="0045744D" w:rsidP="004750DE">
      <w:pPr>
        <w:pStyle w:val="Paragraphedeliste"/>
        <w:numPr>
          <w:ilvl w:val="0"/>
          <w:numId w:val="9"/>
        </w:numPr>
        <w:spacing w:after="0" w:line="240" w:lineRule="auto"/>
        <w:ind w:left="357" w:hanging="73"/>
        <w:jc w:val="both"/>
        <w:rPr>
          <w:rFonts w:ascii="Arial" w:hAnsi="Arial" w:cs="Arial"/>
          <w:sz w:val="20"/>
          <w:szCs w:val="20"/>
        </w:rPr>
      </w:pPr>
      <w:r w:rsidRPr="004F6CD1">
        <w:rPr>
          <w:rFonts w:ascii="Arial" w:hAnsi="Arial" w:cs="Arial"/>
          <w:sz w:val="20"/>
          <w:szCs w:val="20"/>
        </w:rPr>
        <w:t>La Défenseure des droits recommande ainsi que « </w:t>
      </w:r>
      <w:r w:rsidRPr="004F6CD1">
        <w:rPr>
          <w:rFonts w:ascii="Arial" w:hAnsi="Arial" w:cs="Arial"/>
          <w:i/>
          <w:sz w:val="20"/>
          <w:szCs w:val="20"/>
        </w:rPr>
        <w:t>une attention particulière soit portée au caractère adapté des terrains mobilisés pour les aires d’accueil et de leur localisation, ainsi qu’à la qualité de leurs aménagements, de leurs équipements et de leur entretien, de même qu’à leur proximité des biens et services et de l’école pour les enfants. Elle souhaite qu’une étude systématique concernant leur possible exposition à des risques sanitaires ou de sécurité soit réalisée</w:t>
      </w:r>
      <w:r w:rsidRPr="004F6CD1">
        <w:rPr>
          <w:rFonts w:ascii="Arial" w:hAnsi="Arial" w:cs="Arial"/>
          <w:sz w:val="20"/>
          <w:szCs w:val="20"/>
        </w:rPr>
        <w:t> »</w:t>
      </w:r>
      <w:r w:rsidRPr="0045744D">
        <w:rPr>
          <w:vertAlign w:val="superscript"/>
        </w:rPr>
        <w:footnoteReference w:id="35"/>
      </w:r>
      <w:r w:rsidRPr="004F6CD1">
        <w:rPr>
          <w:rFonts w:ascii="Arial" w:hAnsi="Arial" w:cs="Arial"/>
          <w:sz w:val="20"/>
          <w:szCs w:val="20"/>
        </w:rPr>
        <w:t>.</w:t>
      </w:r>
    </w:p>
    <w:p w14:paraId="62036176" w14:textId="77777777" w:rsidR="00DB197C" w:rsidRPr="00DB197C" w:rsidRDefault="00DB197C" w:rsidP="00DB197C">
      <w:pPr>
        <w:spacing w:after="0" w:line="240" w:lineRule="auto"/>
        <w:jc w:val="both"/>
        <w:rPr>
          <w:rFonts w:ascii="Arial" w:hAnsi="Arial" w:cs="Arial"/>
          <w:sz w:val="20"/>
          <w:szCs w:val="20"/>
        </w:rPr>
      </w:pPr>
    </w:p>
    <w:p w14:paraId="36BECA47" w14:textId="77777777" w:rsidR="0045744D" w:rsidRDefault="0045744D" w:rsidP="004750DE">
      <w:pPr>
        <w:pStyle w:val="Paragraphedeliste"/>
        <w:numPr>
          <w:ilvl w:val="0"/>
          <w:numId w:val="9"/>
        </w:numPr>
        <w:spacing w:after="0" w:line="240" w:lineRule="auto"/>
        <w:ind w:left="357" w:hanging="73"/>
        <w:jc w:val="both"/>
        <w:rPr>
          <w:rFonts w:ascii="Arial" w:hAnsi="Arial" w:cs="Arial"/>
          <w:sz w:val="20"/>
          <w:szCs w:val="20"/>
        </w:rPr>
      </w:pPr>
      <w:r w:rsidRPr="004F6CD1">
        <w:rPr>
          <w:rFonts w:ascii="Arial" w:hAnsi="Arial" w:cs="Arial"/>
          <w:sz w:val="20"/>
          <w:szCs w:val="20"/>
        </w:rPr>
        <w:t xml:space="preserve">En outre, l’implantation des aires d’accueil </w:t>
      </w:r>
      <w:r w:rsidR="00A10BC3">
        <w:rPr>
          <w:rFonts w:ascii="Arial" w:hAnsi="Arial" w:cs="Arial"/>
          <w:sz w:val="20"/>
          <w:szCs w:val="20"/>
        </w:rPr>
        <w:t>es</w:t>
      </w:r>
      <w:r w:rsidRPr="004F6CD1">
        <w:rPr>
          <w:rFonts w:ascii="Arial" w:hAnsi="Arial" w:cs="Arial"/>
          <w:sz w:val="20"/>
          <w:szCs w:val="20"/>
        </w:rPr>
        <w:t>t le plus souvent située sur des zones à risques environnementaux pouvant porter atteinte à la santé des Gens du voyage. Plusieurs enquêtes démontrent que la plupart des équipements sont situés à proximité d’une ou plusieurs sources de pollution : nuisances sonores (proximité des axes de circulation), olfactives (proximité de stations d’épurations et d’usines polluantes), pesticides (proximité de cultures agricoles), etc</w:t>
      </w:r>
      <w:r w:rsidRPr="0045744D">
        <w:rPr>
          <w:vertAlign w:val="superscript"/>
        </w:rPr>
        <w:footnoteReference w:id="36"/>
      </w:r>
      <w:r w:rsidRPr="004F6CD1">
        <w:rPr>
          <w:rFonts w:ascii="Arial" w:hAnsi="Arial" w:cs="Arial"/>
          <w:sz w:val="20"/>
          <w:szCs w:val="20"/>
        </w:rPr>
        <w:t>.L’implantation d’une aire d’accueil ne comporte aucune restriction réglementaire vis-à-vis de l’exposition aux nuisances sonores, de la proximité d’une station d’épuration ou bien de l’exposition aux pesticides, du fait que la caravane ne soit pas reconnue comme un logement.</w:t>
      </w:r>
    </w:p>
    <w:p w14:paraId="5062DA89" w14:textId="77777777" w:rsidR="00BA5DA0" w:rsidRPr="00BA5DA0" w:rsidRDefault="00BA5DA0" w:rsidP="00BA5DA0">
      <w:pPr>
        <w:spacing w:after="0" w:line="240" w:lineRule="auto"/>
        <w:jc w:val="both"/>
        <w:rPr>
          <w:rFonts w:ascii="Arial" w:hAnsi="Arial" w:cs="Arial"/>
          <w:sz w:val="20"/>
          <w:szCs w:val="20"/>
        </w:rPr>
      </w:pPr>
    </w:p>
    <w:p w14:paraId="7B66A450" w14:textId="77777777" w:rsidR="007532D0" w:rsidRDefault="0045744D" w:rsidP="007532D0">
      <w:pPr>
        <w:pStyle w:val="Paragraphedeliste"/>
        <w:numPr>
          <w:ilvl w:val="0"/>
          <w:numId w:val="9"/>
        </w:numPr>
        <w:spacing w:after="0" w:line="240" w:lineRule="auto"/>
        <w:ind w:left="357" w:hanging="73"/>
        <w:jc w:val="both"/>
        <w:rPr>
          <w:rFonts w:ascii="Arial" w:hAnsi="Arial" w:cs="Arial"/>
          <w:sz w:val="20"/>
          <w:szCs w:val="20"/>
        </w:rPr>
      </w:pPr>
      <w:r w:rsidRPr="004F6CD1">
        <w:rPr>
          <w:rFonts w:ascii="Arial" w:hAnsi="Arial" w:cs="Arial"/>
          <w:sz w:val="20"/>
          <w:szCs w:val="20"/>
        </w:rPr>
        <w:t xml:space="preserve">Cette absence de reconnaissance est à la source de multiples discriminations dans différents domaines : la domiciliation, le lieu d’imposition, l'ouverture d’un droit aux aides au logement (APL), l'accès au crédit immobilier, l’accès aux assurances habitation pour les caravanes, l’accès au </w:t>
      </w:r>
      <w:r w:rsidRPr="004F6CD1">
        <w:rPr>
          <w:rFonts w:ascii="Arial" w:hAnsi="Arial" w:cs="Arial"/>
          <w:sz w:val="20"/>
          <w:szCs w:val="20"/>
        </w:rPr>
        <w:lastRenderedPageBreak/>
        <w:t xml:space="preserve">crédit, la protection contre la suspension des fluides et de l’eau en période hivernale, l’obtention du droit de garde d’un enfant, etc. </w:t>
      </w:r>
    </w:p>
    <w:p w14:paraId="2BBA9C81" w14:textId="77777777" w:rsidR="007532D0" w:rsidRPr="007532D0" w:rsidRDefault="007532D0" w:rsidP="007532D0">
      <w:pPr>
        <w:pStyle w:val="Paragraphedeliste"/>
        <w:rPr>
          <w:rFonts w:ascii="Arial" w:hAnsi="Arial" w:cs="Arial"/>
          <w:sz w:val="20"/>
          <w:szCs w:val="20"/>
        </w:rPr>
      </w:pPr>
    </w:p>
    <w:p w14:paraId="3112DC0D" w14:textId="77777777" w:rsidR="007532D0" w:rsidRPr="007532D0" w:rsidRDefault="007532D0" w:rsidP="007532D0">
      <w:pPr>
        <w:pStyle w:val="Paragraphedeliste"/>
        <w:spacing w:after="0" w:line="240" w:lineRule="auto"/>
        <w:ind w:left="357"/>
        <w:jc w:val="both"/>
        <w:rPr>
          <w:rFonts w:ascii="Arial" w:hAnsi="Arial" w:cs="Arial"/>
          <w:sz w:val="20"/>
          <w:szCs w:val="20"/>
        </w:rPr>
      </w:pPr>
    </w:p>
    <w:p w14:paraId="3B90BABC" w14:textId="77777777" w:rsidR="0045744D" w:rsidRDefault="0045744D" w:rsidP="004750DE">
      <w:pPr>
        <w:pStyle w:val="Paragraphedeliste"/>
        <w:numPr>
          <w:ilvl w:val="0"/>
          <w:numId w:val="9"/>
        </w:numPr>
        <w:spacing w:after="0" w:line="240" w:lineRule="auto"/>
        <w:ind w:left="357" w:hanging="73"/>
        <w:jc w:val="both"/>
        <w:rPr>
          <w:rFonts w:ascii="Arial" w:hAnsi="Arial" w:cs="Arial"/>
          <w:sz w:val="20"/>
          <w:szCs w:val="20"/>
        </w:rPr>
      </w:pPr>
      <w:r w:rsidRPr="004F6CD1">
        <w:rPr>
          <w:rFonts w:ascii="Arial" w:hAnsi="Arial" w:cs="Arial"/>
          <w:sz w:val="20"/>
          <w:szCs w:val="20"/>
        </w:rPr>
        <w:t>De nombreuses associations, mais aussi la CNCDH</w:t>
      </w:r>
      <w:r w:rsidRPr="0045744D">
        <w:rPr>
          <w:vertAlign w:val="superscript"/>
        </w:rPr>
        <w:footnoteReference w:id="37"/>
      </w:r>
      <w:r w:rsidRPr="004F6CD1">
        <w:rPr>
          <w:rFonts w:ascii="Arial" w:hAnsi="Arial" w:cs="Arial"/>
          <w:sz w:val="20"/>
          <w:szCs w:val="20"/>
        </w:rPr>
        <w:t xml:space="preserve"> et la Commission Nationale Consultative des Gens du voyage</w:t>
      </w:r>
      <w:r w:rsidRPr="0045744D">
        <w:rPr>
          <w:vertAlign w:val="superscript"/>
        </w:rPr>
        <w:footnoteReference w:id="38"/>
      </w:r>
      <w:r w:rsidRPr="004F6CD1">
        <w:rPr>
          <w:rFonts w:ascii="Arial" w:hAnsi="Arial" w:cs="Arial"/>
          <w:sz w:val="20"/>
          <w:szCs w:val="20"/>
        </w:rPr>
        <w:t xml:space="preserve"> appellent à faire évoluer le cadre légal en la matière. </w:t>
      </w:r>
    </w:p>
    <w:p w14:paraId="3A589A3C" w14:textId="77777777" w:rsidR="00DB197C" w:rsidRPr="00DB197C" w:rsidRDefault="00DB197C" w:rsidP="00DB197C">
      <w:pPr>
        <w:spacing w:after="0" w:line="240" w:lineRule="auto"/>
        <w:jc w:val="both"/>
        <w:rPr>
          <w:rFonts w:ascii="Arial" w:hAnsi="Arial" w:cs="Arial"/>
          <w:sz w:val="20"/>
          <w:szCs w:val="20"/>
        </w:rPr>
      </w:pPr>
    </w:p>
    <w:p w14:paraId="7421C4C3" w14:textId="77777777" w:rsidR="0045744D" w:rsidRDefault="0045744D" w:rsidP="004750DE">
      <w:pPr>
        <w:pStyle w:val="Paragraphedeliste"/>
        <w:numPr>
          <w:ilvl w:val="0"/>
          <w:numId w:val="9"/>
        </w:numPr>
        <w:spacing w:after="0" w:line="240" w:lineRule="auto"/>
        <w:ind w:left="357" w:hanging="73"/>
        <w:jc w:val="both"/>
        <w:rPr>
          <w:rFonts w:ascii="Arial" w:hAnsi="Arial" w:cs="Arial"/>
          <w:sz w:val="20"/>
          <w:szCs w:val="20"/>
        </w:rPr>
      </w:pPr>
      <w:r w:rsidRPr="004F6CD1">
        <w:rPr>
          <w:rFonts w:ascii="Arial" w:hAnsi="Arial" w:cs="Arial"/>
          <w:sz w:val="20"/>
          <w:szCs w:val="20"/>
        </w:rPr>
        <w:t>La Fnasat appelle à la reconnaissance de la résidence mobile comme tout ou partie d’un logement : « </w:t>
      </w:r>
      <w:r w:rsidRPr="004F6CD1">
        <w:rPr>
          <w:rFonts w:ascii="Arial" w:hAnsi="Arial" w:cs="Arial"/>
          <w:i/>
          <w:sz w:val="20"/>
          <w:szCs w:val="20"/>
        </w:rPr>
        <w:t>cette reconnaissance doit permettre d’appliquer les mêmes règles en termes de localisation que celles du logement et donc de permettre la localisation des équipements dans des zones d’habitat et de bénéficier des mêmes droits et obligations que les occupants de logement classique (chèque énergie, allocations logement, etc.</w:t>
      </w:r>
      <w:r w:rsidRPr="004F6CD1">
        <w:rPr>
          <w:rFonts w:ascii="Arial" w:hAnsi="Arial" w:cs="Arial"/>
          <w:sz w:val="20"/>
          <w:szCs w:val="20"/>
        </w:rPr>
        <w:t>) »</w:t>
      </w:r>
      <w:r w:rsidRPr="0045744D">
        <w:rPr>
          <w:vertAlign w:val="superscript"/>
        </w:rPr>
        <w:footnoteReference w:id="39"/>
      </w:r>
      <w:r w:rsidR="00DB197C">
        <w:rPr>
          <w:rFonts w:ascii="Arial" w:hAnsi="Arial" w:cs="Arial"/>
          <w:sz w:val="20"/>
          <w:szCs w:val="20"/>
        </w:rPr>
        <w:t>.</w:t>
      </w:r>
    </w:p>
    <w:p w14:paraId="4E866C4B" w14:textId="77777777" w:rsidR="00DB197C" w:rsidRPr="00DB197C" w:rsidRDefault="00DB197C" w:rsidP="00DB197C">
      <w:pPr>
        <w:spacing w:after="0" w:line="240" w:lineRule="auto"/>
        <w:jc w:val="both"/>
        <w:rPr>
          <w:rFonts w:ascii="Arial" w:hAnsi="Arial" w:cs="Arial"/>
          <w:sz w:val="20"/>
          <w:szCs w:val="20"/>
        </w:rPr>
      </w:pPr>
    </w:p>
    <w:p w14:paraId="15F5520A" w14:textId="77777777" w:rsidR="0045744D" w:rsidRDefault="0045744D" w:rsidP="004750DE">
      <w:pPr>
        <w:pStyle w:val="Paragraphedeliste"/>
        <w:numPr>
          <w:ilvl w:val="0"/>
          <w:numId w:val="9"/>
        </w:numPr>
        <w:spacing w:after="0" w:line="240" w:lineRule="auto"/>
        <w:ind w:left="357" w:hanging="73"/>
        <w:jc w:val="both"/>
        <w:rPr>
          <w:rFonts w:ascii="Arial" w:hAnsi="Arial" w:cs="Arial"/>
          <w:sz w:val="20"/>
          <w:szCs w:val="20"/>
        </w:rPr>
      </w:pPr>
      <w:r w:rsidRPr="004F6CD1">
        <w:rPr>
          <w:rFonts w:ascii="Arial" w:hAnsi="Arial" w:cs="Arial"/>
          <w:sz w:val="20"/>
          <w:szCs w:val="20"/>
        </w:rPr>
        <w:t>Dans le même sens, la CNCDH recommande que « </w:t>
      </w:r>
      <w:r w:rsidRPr="004F6CD1">
        <w:rPr>
          <w:rFonts w:ascii="Arial" w:hAnsi="Arial" w:cs="Arial"/>
          <w:i/>
          <w:sz w:val="20"/>
          <w:szCs w:val="20"/>
        </w:rPr>
        <w:t>pour que les Gens du Voyage jouissent d’un droit au logement effectif (et des droits qui en découlent), il est urgent de reconnaître la caravane comme un « logement » à part entière et non plus seulement comme un « habitat</w:t>
      </w:r>
      <w:r w:rsidRPr="004F6CD1">
        <w:rPr>
          <w:rFonts w:ascii="Arial" w:hAnsi="Arial" w:cs="Arial"/>
          <w:sz w:val="20"/>
          <w:szCs w:val="20"/>
        </w:rPr>
        <w:t xml:space="preserve"> »</w:t>
      </w:r>
      <w:r w:rsidRPr="0045744D">
        <w:rPr>
          <w:vertAlign w:val="superscript"/>
        </w:rPr>
        <w:footnoteReference w:id="40"/>
      </w:r>
      <w:r w:rsidRPr="004F6CD1">
        <w:rPr>
          <w:rFonts w:ascii="Arial" w:hAnsi="Arial" w:cs="Arial"/>
          <w:sz w:val="20"/>
          <w:szCs w:val="20"/>
        </w:rPr>
        <w:t>.</w:t>
      </w:r>
    </w:p>
    <w:p w14:paraId="7F590679" w14:textId="77777777" w:rsidR="00DB197C" w:rsidRPr="00DB197C" w:rsidRDefault="00DB197C" w:rsidP="00DB197C">
      <w:pPr>
        <w:spacing w:after="0" w:line="240" w:lineRule="auto"/>
        <w:jc w:val="both"/>
        <w:rPr>
          <w:rFonts w:ascii="Arial" w:hAnsi="Arial" w:cs="Arial"/>
          <w:sz w:val="20"/>
          <w:szCs w:val="20"/>
        </w:rPr>
      </w:pPr>
    </w:p>
    <w:p w14:paraId="155A3CAE" w14:textId="77777777" w:rsidR="0045744D" w:rsidRDefault="0045744D" w:rsidP="004750DE">
      <w:pPr>
        <w:pStyle w:val="Paragraphedeliste"/>
        <w:numPr>
          <w:ilvl w:val="0"/>
          <w:numId w:val="9"/>
        </w:numPr>
        <w:spacing w:after="0" w:line="240" w:lineRule="auto"/>
        <w:ind w:left="357" w:hanging="73"/>
        <w:jc w:val="both"/>
        <w:rPr>
          <w:rFonts w:ascii="Arial" w:hAnsi="Arial" w:cs="Arial"/>
          <w:sz w:val="20"/>
          <w:szCs w:val="20"/>
        </w:rPr>
      </w:pPr>
      <w:r w:rsidRPr="004F6CD1">
        <w:rPr>
          <w:rFonts w:ascii="Arial" w:hAnsi="Arial" w:cs="Arial"/>
          <w:sz w:val="20"/>
          <w:szCs w:val="20"/>
        </w:rPr>
        <w:t>Enfin, la reconnaissance de la caravane comme logement est l’une des principales recommandations formulées par la Rapporteure spéciale de l’ONU au droit à un logement convenable dans son rapport du 24 août 2020 sur le droit au logement en France.</w:t>
      </w:r>
    </w:p>
    <w:p w14:paraId="41D6A844" w14:textId="77777777" w:rsidR="00DB197C" w:rsidRPr="00DB197C" w:rsidRDefault="00DB197C" w:rsidP="00DB197C">
      <w:pPr>
        <w:spacing w:after="0" w:line="240" w:lineRule="auto"/>
        <w:jc w:val="both"/>
        <w:rPr>
          <w:rFonts w:ascii="Arial" w:hAnsi="Arial" w:cs="Arial"/>
          <w:sz w:val="20"/>
          <w:szCs w:val="20"/>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9072"/>
      </w:tblGrid>
      <w:tr w:rsidR="0045744D" w:rsidRPr="0045744D" w14:paraId="6220C992" w14:textId="77777777" w:rsidTr="0045744D">
        <w:tc>
          <w:tcPr>
            <w:tcW w:w="9072" w:type="dxa"/>
            <w:shd w:val="clear" w:color="auto" w:fill="D9D9D9" w:themeFill="background1" w:themeFillShade="D9"/>
          </w:tcPr>
          <w:p w14:paraId="6302165D" w14:textId="77777777" w:rsidR="0045744D" w:rsidRPr="00DB197C" w:rsidRDefault="0045744D" w:rsidP="00DB197C">
            <w:pPr>
              <w:pStyle w:val="Paragraphedeliste"/>
              <w:keepNext/>
              <w:keepLines/>
              <w:ind w:left="360"/>
              <w:outlineLvl w:val="0"/>
              <w:rPr>
                <w:rFonts w:ascii="Arial" w:eastAsiaTheme="majorEastAsia" w:hAnsi="Arial" w:cs="Arial"/>
                <w:b/>
                <w:bCs/>
                <w:smallCaps/>
                <w:sz w:val="20"/>
                <w:szCs w:val="20"/>
              </w:rPr>
            </w:pPr>
            <w:r w:rsidRPr="00DB197C">
              <w:rPr>
                <w:rFonts w:ascii="Arial" w:eastAsiaTheme="majorEastAsia" w:hAnsi="Arial" w:cs="Arial"/>
                <w:b/>
                <w:bCs/>
                <w:smallCaps/>
                <w:sz w:val="20"/>
                <w:szCs w:val="20"/>
              </w:rPr>
              <w:t>recommandations</w:t>
            </w:r>
          </w:p>
        </w:tc>
      </w:tr>
    </w:tbl>
    <w:p w14:paraId="1EE1D370" w14:textId="77777777" w:rsidR="0045744D" w:rsidRPr="004F6CD1" w:rsidRDefault="0045744D" w:rsidP="00DB197C">
      <w:pPr>
        <w:pStyle w:val="Paragraphedeliste"/>
        <w:spacing w:after="0" w:line="240" w:lineRule="auto"/>
        <w:ind w:left="360"/>
        <w:jc w:val="both"/>
        <w:rPr>
          <w:rFonts w:ascii="Arial" w:eastAsia="Times New Roman" w:hAnsi="Arial" w:cs="Arial"/>
          <w:bCs/>
          <w:sz w:val="20"/>
          <w:szCs w:val="20"/>
          <w:lang w:eastAsia="fr-FR"/>
        </w:rPr>
      </w:pPr>
    </w:p>
    <w:p w14:paraId="58792AA8" w14:textId="77777777" w:rsidR="0045744D" w:rsidRPr="00DB197C" w:rsidRDefault="0045744D" w:rsidP="00DB197C">
      <w:pPr>
        <w:spacing w:after="0" w:line="240" w:lineRule="auto"/>
        <w:jc w:val="both"/>
        <w:rPr>
          <w:rFonts w:ascii="Arial" w:eastAsia="Times New Roman" w:hAnsi="Arial" w:cs="Arial"/>
          <w:bCs/>
          <w:sz w:val="20"/>
          <w:szCs w:val="20"/>
          <w:lang w:eastAsia="fr-FR"/>
        </w:rPr>
      </w:pPr>
      <w:r w:rsidRPr="00DB197C">
        <w:rPr>
          <w:rFonts w:ascii="Arial" w:eastAsia="Times New Roman" w:hAnsi="Arial" w:cs="Arial"/>
          <w:bCs/>
          <w:sz w:val="20"/>
          <w:szCs w:val="20"/>
          <w:lang w:eastAsia="fr-FR"/>
        </w:rPr>
        <w:t>La LDH demande aux autorités françaises :</w:t>
      </w:r>
    </w:p>
    <w:p w14:paraId="3B6646FF" w14:textId="77777777" w:rsidR="0045744D" w:rsidRPr="004F6CD1" w:rsidRDefault="0045744D" w:rsidP="00DB197C">
      <w:pPr>
        <w:pStyle w:val="Paragraphedeliste"/>
        <w:spacing w:after="0" w:line="240" w:lineRule="auto"/>
        <w:ind w:left="360"/>
        <w:jc w:val="both"/>
        <w:rPr>
          <w:rFonts w:ascii="Arial" w:eastAsia="Times New Roman" w:hAnsi="Arial" w:cs="Arial"/>
          <w:bCs/>
          <w:sz w:val="20"/>
          <w:szCs w:val="20"/>
          <w:lang w:eastAsia="fr-FR"/>
        </w:rPr>
      </w:pPr>
    </w:p>
    <w:p w14:paraId="5DBE87EA" w14:textId="77777777" w:rsidR="0045744D" w:rsidRPr="00DB197C" w:rsidRDefault="0045744D" w:rsidP="00DB197C">
      <w:pPr>
        <w:pStyle w:val="Paragraphedeliste"/>
        <w:numPr>
          <w:ilvl w:val="0"/>
          <w:numId w:val="11"/>
        </w:numPr>
        <w:spacing w:after="0" w:line="240" w:lineRule="auto"/>
        <w:jc w:val="both"/>
        <w:rPr>
          <w:rFonts w:ascii="Arial" w:eastAsia="Times New Roman" w:hAnsi="Arial" w:cs="Arial"/>
          <w:bCs/>
          <w:sz w:val="20"/>
          <w:szCs w:val="20"/>
          <w:lang w:eastAsia="fr-FR"/>
        </w:rPr>
      </w:pPr>
      <w:r w:rsidRPr="00DB197C">
        <w:rPr>
          <w:rFonts w:ascii="Arial" w:eastAsia="Times New Roman" w:hAnsi="Arial" w:cs="Arial"/>
          <w:bCs/>
          <w:sz w:val="20"/>
          <w:szCs w:val="20"/>
          <w:lang w:eastAsia="fr-FR"/>
        </w:rPr>
        <w:t>une application effective de la législation en matière d’aire d’accueil, notamment par la planification et la création des différentes possibilités d’accueil des « Gens du voyage » ;</w:t>
      </w:r>
    </w:p>
    <w:p w14:paraId="71710FB2" w14:textId="77777777" w:rsidR="0045744D" w:rsidRPr="00DB197C" w:rsidRDefault="0045744D" w:rsidP="00DB197C">
      <w:pPr>
        <w:pStyle w:val="Paragraphedeliste"/>
        <w:numPr>
          <w:ilvl w:val="0"/>
          <w:numId w:val="11"/>
        </w:numPr>
        <w:spacing w:after="0" w:line="240" w:lineRule="auto"/>
        <w:jc w:val="both"/>
        <w:rPr>
          <w:rFonts w:ascii="Arial" w:eastAsia="Times New Roman" w:hAnsi="Arial" w:cs="Arial"/>
          <w:bCs/>
          <w:sz w:val="20"/>
          <w:szCs w:val="20"/>
          <w:lang w:eastAsia="fr-FR"/>
        </w:rPr>
      </w:pPr>
      <w:r w:rsidRPr="00DB197C">
        <w:rPr>
          <w:rFonts w:ascii="Arial" w:eastAsia="Times New Roman" w:hAnsi="Arial" w:cs="Arial"/>
          <w:bCs/>
          <w:sz w:val="20"/>
          <w:szCs w:val="20"/>
          <w:lang w:eastAsia="fr-FR"/>
        </w:rPr>
        <w:t>que les terrains mobilisés pour les aires d’accueil et leur localisation soient adaptés et à proximité des biens et services et de l’école pour les enfants ;</w:t>
      </w:r>
    </w:p>
    <w:p w14:paraId="19740AE4" w14:textId="77777777" w:rsidR="0045744D" w:rsidRPr="00DB197C" w:rsidRDefault="0045744D" w:rsidP="00DB197C">
      <w:pPr>
        <w:pStyle w:val="Paragraphedeliste"/>
        <w:numPr>
          <w:ilvl w:val="0"/>
          <w:numId w:val="11"/>
        </w:numPr>
        <w:spacing w:after="0" w:line="240" w:lineRule="auto"/>
        <w:jc w:val="both"/>
        <w:rPr>
          <w:rFonts w:ascii="Arial" w:eastAsia="Times New Roman" w:hAnsi="Arial" w:cs="Arial"/>
          <w:bCs/>
          <w:sz w:val="20"/>
          <w:szCs w:val="20"/>
          <w:lang w:eastAsia="fr-FR"/>
        </w:rPr>
      </w:pPr>
      <w:r w:rsidRPr="00DB197C">
        <w:rPr>
          <w:rFonts w:ascii="Arial" w:eastAsia="Times New Roman" w:hAnsi="Arial" w:cs="Arial"/>
          <w:bCs/>
          <w:sz w:val="20"/>
          <w:szCs w:val="20"/>
          <w:lang w:eastAsia="fr-FR"/>
        </w:rPr>
        <w:t>que l’aménagement, l’équipement et l’entretien des possibilités d’accueil soient qualitatifs ;</w:t>
      </w:r>
    </w:p>
    <w:p w14:paraId="13D27D9C" w14:textId="77777777" w:rsidR="0045744D" w:rsidRPr="00DB197C" w:rsidRDefault="0045744D" w:rsidP="00DB197C">
      <w:pPr>
        <w:pStyle w:val="Paragraphedeliste"/>
        <w:numPr>
          <w:ilvl w:val="0"/>
          <w:numId w:val="11"/>
        </w:numPr>
        <w:spacing w:after="0" w:line="240" w:lineRule="auto"/>
        <w:jc w:val="both"/>
        <w:rPr>
          <w:rFonts w:ascii="Arial" w:eastAsia="Times New Roman" w:hAnsi="Arial" w:cs="Arial"/>
          <w:bCs/>
          <w:sz w:val="20"/>
          <w:szCs w:val="20"/>
          <w:lang w:eastAsia="fr-FR"/>
        </w:rPr>
      </w:pPr>
      <w:r w:rsidRPr="00DB197C">
        <w:rPr>
          <w:rFonts w:ascii="Arial" w:eastAsia="Times New Roman" w:hAnsi="Arial" w:cs="Arial"/>
          <w:bCs/>
          <w:sz w:val="20"/>
          <w:szCs w:val="20"/>
          <w:lang w:eastAsia="fr-FR"/>
        </w:rPr>
        <w:t xml:space="preserve">enfin que la caravane soit reconnue comme un logement au sens de la loi. </w:t>
      </w:r>
    </w:p>
    <w:p w14:paraId="0D2986AB" w14:textId="77777777" w:rsidR="0045744D" w:rsidRPr="0045744D" w:rsidRDefault="0045744D" w:rsidP="00DB197C">
      <w:pPr>
        <w:pStyle w:val="Paragraphedeliste"/>
        <w:spacing w:after="0" w:line="240" w:lineRule="auto"/>
        <w:ind w:left="360"/>
        <w:rPr>
          <w:lang w:eastAsia="fr-FR"/>
        </w:rPr>
      </w:pPr>
    </w:p>
    <w:tbl>
      <w:tblPr>
        <w:tblStyle w:val="Grilledutableau"/>
        <w:tblW w:w="0" w:type="auto"/>
        <w:tblLook w:val="04A0" w:firstRow="1" w:lastRow="0" w:firstColumn="1" w:lastColumn="0" w:noHBand="0" w:noVBand="1"/>
      </w:tblPr>
      <w:tblGrid>
        <w:gridCol w:w="9072"/>
      </w:tblGrid>
      <w:tr w:rsidR="0045744D" w:rsidRPr="0045744D" w14:paraId="1F1565D4" w14:textId="77777777" w:rsidTr="0045744D">
        <w:tc>
          <w:tcPr>
            <w:tcW w:w="9072" w:type="dxa"/>
            <w:tcBorders>
              <w:top w:val="nil"/>
              <w:left w:val="nil"/>
              <w:bottom w:val="nil"/>
              <w:right w:val="nil"/>
            </w:tcBorders>
            <w:shd w:val="clear" w:color="auto" w:fill="D9D9D9" w:themeFill="background1" w:themeFillShade="D9"/>
          </w:tcPr>
          <w:p w14:paraId="0D1FFC0E" w14:textId="77777777" w:rsidR="0045744D" w:rsidRPr="004F6CD1" w:rsidRDefault="0045744D" w:rsidP="00DB197C">
            <w:pPr>
              <w:pStyle w:val="Paragraphedeliste"/>
              <w:keepNext/>
              <w:keepLines/>
              <w:ind w:left="360"/>
              <w:outlineLvl w:val="0"/>
              <w:rPr>
                <w:rFonts w:ascii="Arial" w:eastAsiaTheme="majorEastAsia" w:hAnsi="Arial" w:cs="Arial"/>
                <w:b/>
                <w:bCs/>
                <w:caps/>
                <w:sz w:val="20"/>
                <w:szCs w:val="20"/>
                <w:lang w:val="en-US"/>
              </w:rPr>
            </w:pPr>
            <w:r w:rsidRPr="004F6CD1">
              <w:rPr>
                <w:rFonts w:ascii="Arial" w:eastAsiaTheme="majorEastAsia" w:hAnsi="Arial" w:cs="Arial"/>
                <w:b/>
                <w:bCs/>
                <w:caps/>
                <w:sz w:val="20"/>
                <w:szCs w:val="20"/>
                <w:lang w:val="en-US"/>
              </w:rPr>
              <w:t xml:space="preserve">l’outre-mer </w:t>
            </w:r>
          </w:p>
        </w:tc>
      </w:tr>
    </w:tbl>
    <w:p w14:paraId="12F02719" w14:textId="77777777" w:rsidR="00DB197C" w:rsidRDefault="00DB197C" w:rsidP="00DB197C">
      <w:pPr>
        <w:spacing w:after="0" w:line="240" w:lineRule="auto"/>
        <w:jc w:val="both"/>
        <w:rPr>
          <w:lang w:eastAsia="fr-FR"/>
        </w:rPr>
      </w:pPr>
      <w:bookmarkStart w:id="13" w:name="_Toc415581590"/>
    </w:p>
    <w:p w14:paraId="22189C96" w14:textId="77777777" w:rsidR="0045744D" w:rsidRPr="00DB197C" w:rsidRDefault="0045744D" w:rsidP="00DB197C">
      <w:pPr>
        <w:pStyle w:val="Paragraphedeliste"/>
        <w:numPr>
          <w:ilvl w:val="0"/>
          <w:numId w:val="12"/>
        </w:numPr>
        <w:spacing w:after="0" w:line="240" w:lineRule="auto"/>
        <w:jc w:val="both"/>
        <w:rPr>
          <w:rFonts w:ascii="Arial" w:hAnsi="Arial" w:cs="Arial"/>
          <w:b/>
          <w:bCs/>
          <w:sz w:val="20"/>
          <w:szCs w:val="20"/>
        </w:rPr>
      </w:pPr>
      <w:r w:rsidRPr="00DB197C">
        <w:rPr>
          <w:rFonts w:ascii="Arial" w:hAnsi="Arial" w:cs="Arial"/>
          <w:b/>
          <w:bCs/>
          <w:sz w:val="20"/>
          <w:szCs w:val="20"/>
        </w:rPr>
        <w:t>Le droit à la santé à Mayotte</w:t>
      </w:r>
      <w:bookmarkEnd w:id="13"/>
    </w:p>
    <w:p w14:paraId="253BEA4E" w14:textId="77777777" w:rsidR="00DB197C" w:rsidRDefault="00DB197C" w:rsidP="00DB197C">
      <w:pPr>
        <w:spacing w:after="0" w:line="240" w:lineRule="auto"/>
        <w:jc w:val="both"/>
        <w:rPr>
          <w:rFonts w:ascii="Arial" w:hAnsi="Arial" w:cs="Arial"/>
          <w:sz w:val="20"/>
          <w:szCs w:val="20"/>
          <w:u w:val="single"/>
        </w:rPr>
      </w:pPr>
    </w:p>
    <w:p w14:paraId="06987494" w14:textId="77777777" w:rsidR="0045744D" w:rsidRDefault="00DB197C" w:rsidP="00BA5DA0">
      <w:pPr>
        <w:spacing w:after="0" w:line="240" w:lineRule="auto"/>
        <w:ind w:firstLine="360"/>
        <w:jc w:val="both"/>
        <w:rPr>
          <w:rFonts w:ascii="Arial" w:hAnsi="Arial" w:cs="Arial"/>
          <w:sz w:val="20"/>
          <w:szCs w:val="20"/>
          <w:u w:val="single"/>
        </w:rPr>
      </w:pPr>
      <w:r w:rsidRPr="00DB197C">
        <w:rPr>
          <w:rFonts w:ascii="Arial" w:hAnsi="Arial" w:cs="Arial"/>
          <w:sz w:val="20"/>
          <w:szCs w:val="20"/>
        </w:rPr>
        <w:t xml:space="preserve">1.1 </w:t>
      </w:r>
      <w:r w:rsidR="0045744D" w:rsidRPr="00DB197C">
        <w:rPr>
          <w:rFonts w:ascii="Arial" w:hAnsi="Arial" w:cs="Arial"/>
          <w:sz w:val="20"/>
          <w:szCs w:val="20"/>
          <w:u w:val="single"/>
        </w:rPr>
        <w:t>Sur l’absence de l’aide médicale d’état</w:t>
      </w:r>
    </w:p>
    <w:p w14:paraId="21BCF4C2" w14:textId="77777777" w:rsidR="00DB197C" w:rsidRPr="00DB197C" w:rsidRDefault="00DB197C" w:rsidP="00DB197C">
      <w:pPr>
        <w:spacing w:after="0" w:line="240" w:lineRule="auto"/>
        <w:jc w:val="both"/>
        <w:rPr>
          <w:rFonts w:ascii="Arial" w:hAnsi="Arial" w:cs="Arial"/>
          <w:sz w:val="20"/>
          <w:szCs w:val="20"/>
          <w:u w:val="single"/>
        </w:rPr>
      </w:pPr>
    </w:p>
    <w:p w14:paraId="690689A5" w14:textId="77777777" w:rsidR="0045744D"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A titre liminaire, il convient de rappeler que le Conseil constitutionnel érige le droit à la protection de la santé, entendue comme protection de la santé publique et droit individuel, en un principe à valeur constitutionnelle</w:t>
      </w:r>
      <w:r w:rsidRPr="0045744D">
        <w:rPr>
          <w:vertAlign w:val="superscript"/>
        </w:rPr>
        <w:footnoteReference w:id="41"/>
      </w:r>
      <w:r w:rsidRPr="004F6CD1">
        <w:rPr>
          <w:rFonts w:ascii="Arial" w:hAnsi="Arial" w:cs="Arial"/>
          <w:sz w:val="20"/>
          <w:szCs w:val="20"/>
        </w:rPr>
        <w:t>.</w:t>
      </w:r>
    </w:p>
    <w:p w14:paraId="3ADB709C" w14:textId="77777777" w:rsidR="00CB3515" w:rsidRPr="004F6CD1" w:rsidRDefault="00CB3515" w:rsidP="00CB3515">
      <w:pPr>
        <w:pStyle w:val="Paragraphedeliste"/>
        <w:spacing w:after="0" w:line="240" w:lineRule="auto"/>
        <w:ind w:left="360"/>
        <w:jc w:val="both"/>
        <w:rPr>
          <w:rFonts w:ascii="Arial" w:hAnsi="Arial" w:cs="Arial"/>
          <w:sz w:val="20"/>
          <w:szCs w:val="20"/>
        </w:rPr>
      </w:pPr>
    </w:p>
    <w:p w14:paraId="0F7BD935" w14:textId="3F837D25" w:rsidR="0045744D"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 xml:space="preserve">En outre, la France s’est engagée, en application des articles 2 et 12 du Pacte international des droits économiques, sociaux et culturels à reconnaître « </w:t>
      </w:r>
      <w:r w:rsidRPr="004F6CD1">
        <w:rPr>
          <w:rFonts w:ascii="Arial" w:hAnsi="Arial" w:cs="Arial"/>
          <w:i/>
          <w:sz w:val="20"/>
          <w:szCs w:val="20"/>
        </w:rPr>
        <w:t xml:space="preserve">le droit </w:t>
      </w:r>
      <w:r w:rsidRPr="004508A4">
        <w:rPr>
          <w:rFonts w:ascii="Arial" w:hAnsi="Arial" w:cs="Arial"/>
          <w:i/>
          <w:sz w:val="20"/>
          <w:szCs w:val="20"/>
        </w:rPr>
        <w:t>qu’</w:t>
      </w:r>
      <w:r w:rsidR="00D27E42" w:rsidRPr="004508A4">
        <w:rPr>
          <w:rFonts w:ascii="Arial" w:hAnsi="Arial" w:cs="Arial"/>
          <w:i/>
          <w:sz w:val="20"/>
          <w:szCs w:val="20"/>
        </w:rPr>
        <w:t>a</w:t>
      </w:r>
      <w:r w:rsidRPr="004F6CD1">
        <w:rPr>
          <w:rFonts w:ascii="Arial" w:hAnsi="Arial" w:cs="Arial"/>
          <w:i/>
          <w:sz w:val="20"/>
          <w:szCs w:val="20"/>
        </w:rPr>
        <w:t xml:space="preserve"> toute personne de jouir du meilleur état de santé physique et mental qu’elle soit capable d’atteindre</w:t>
      </w:r>
      <w:r w:rsidRPr="004F6CD1">
        <w:rPr>
          <w:rFonts w:ascii="Arial" w:hAnsi="Arial" w:cs="Arial"/>
          <w:sz w:val="20"/>
          <w:szCs w:val="20"/>
        </w:rPr>
        <w:t xml:space="preserve"> », sans discrimination aucune, fondée notamment « </w:t>
      </w:r>
      <w:r w:rsidRPr="004F6CD1">
        <w:rPr>
          <w:rFonts w:ascii="Arial" w:hAnsi="Arial" w:cs="Arial"/>
          <w:i/>
          <w:sz w:val="20"/>
          <w:szCs w:val="20"/>
        </w:rPr>
        <w:t>(…) sur l’origine nationale ou sociale, la fortune, la naissance ou toute autre situation</w:t>
      </w:r>
      <w:r w:rsidRPr="004F6CD1">
        <w:rPr>
          <w:rFonts w:ascii="Arial" w:hAnsi="Arial" w:cs="Arial"/>
          <w:sz w:val="20"/>
          <w:szCs w:val="20"/>
        </w:rPr>
        <w:t xml:space="preserve"> ». </w:t>
      </w:r>
    </w:p>
    <w:p w14:paraId="1D487323" w14:textId="77777777" w:rsidR="00CB3515" w:rsidRPr="004F6CD1" w:rsidRDefault="00CB3515" w:rsidP="00CB3515">
      <w:pPr>
        <w:pStyle w:val="Paragraphedeliste"/>
        <w:spacing w:after="0" w:line="240" w:lineRule="auto"/>
        <w:ind w:left="360"/>
        <w:jc w:val="both"/>
        <w:rPr>
          <w:rFonts w:ascii="Arial" w:hAnsi="Arial" w:cs="Arial"/>
          <w:sz w:val="20"/>
          <w:szCs w:val="20"/>
        </w:rPr>
      </w:pPr>
    </w:p>
    <w:p w14:paraId="7F75D7FC" w14:textId="77777777" w:rsidR="0045744D"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Or, le gouvernement a mis en place un système de santé dérogatoire à Mayotte concernant les étrangers en situation irrégulière, et ce dans un souci d’éviter « un appel d’air » à l’immigration clandestine</w:t>
      </w:r>
      <w:r w:rsidRPr="0045744D">
        <w:rPr>
          <w:vertAlign w:val="superscript"/>
        </w:rPr>
        <w:footnoteReference w:id="42"/>
      </w:r>
      <w:r w:rsidRPr="004F6CD1">
        <w:rPr>
          <w:rFonts w:ascii="Arial" w:hAnsi="Arial" w:cs="Arial"/>
          <w:sz w:val="20"/>
          <w:szCs w:val="20"/>
        </w:rPr>
        <w:t xml:space="preserve">. La départementalisation de Mayotte, le 31 mars 2011, n’a pas donné lieu à un alignement des législations en matière de protection sociale, laquelle demeure complètement dérogatoire. </w:t>
      </w:r>
    </w:p>
    <w:p w14:paraId="66EBC951" w14:textId="77777777" w:rsidR="00DB4934" w:rsidRPr="00DB4934" w:rsidRDefault="00DB4934" w:rsidP="00DB4934">
      <w:pPr>
        <w:pStyle w:val="Paragraphedeliste"/>
        <w:rPr>
          <w:rFonts w:ascii="Arial" w:hAnsi="Arial" w:cs="Arial"/>
          <w:sz w:val="20"/>
          <w:szCs w:val="20"/>
        </w:rPr>
      </w:pPr>
    </w:p>
    <w:p w14:paraId="7E97227B" w14:textId="77777777" w:rsidR="0045744D"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 xml:space="preserve">En effet, le code de la sécurité sociale s’applique « </w:t>
      </w:r>
      <w:r w:rsidRPr="004F6CD1">
        <w:rPr>
          <w:rFonts w:ascii="Arial" w:hAnsi="Arial" w:cs="Arial"/>
          <w:i/>
          <w:sz w:val="20"/>
          <w:szCs w:val="20"/>
        </w:rPr>
        <w:t>en France métropolitaine, en Guadeloupe, en Guyane, en Martinique, à La Réunion, à Saint-Barthélemy et à Saint-Martin</w:t>
      </w:r>
      <w:r w:rsidRPr="004F6CD1">
        <w:rPr>
          <w:rFonts w:ascii="Arial" w:hAnsi="Arial" w:cs="Arial"/>
          <w:sz w:val="20"/>
          <w:szCs w:val="20"/>
        </w:rPr>
        <w:t xml:space="preserve"> »</w:t>
      </w:r>
      <w:r w:rsidRPr="0045744D">
        <w:rPr>
          <w:vertAlign w:val="superscript"/>
        </w:rPr>
        <w:footnoteReference w:id="43"/>
      </w:r>
      <w:r w:rsidRPr="004F6CD1">
        <w:rPr>
          <w:rFonts w:ascii="Arial" w:hAnsi="Arial" w:cs="Arial"/>
          <w:sz w:val="20"/>
          <w:szCs w:val="20"/>
        </w:rPr>
        <w:t xml:space="preserve">, à l’exclusion de </w:t>
      </w:r>
      <w:r w:rsidRPr="004F6CD1">
        <w:rPr>
          <w:rFonts w:ascii="Arial" w:hAnsi="Arial" w:cs="Arial"/>
          <w:sz w:val="20"/>
          <w:szCs w:val="20"/>
        </w:rPr>
        <w:lastRenderedPageBreak/>
        <w:t>Mayotte. En ce domaine, les règles sont fixées par des textes législatifs distincts, des ordonnances.</w:t>
      </w:r>
    </w:p>
    <w:p w14:paraId="0712C4C5" w14:textId="77777777" w:rsidR="0038095E" w:rsidRPr="004F6CD1" w:rsidRDefault="0038095E" w:rsidP="0038095E">
      <w:pPr>
        <w:pStyle w:val="Paragraphedeliste"/>
        <w:spacing w:after="0" w:line="240" w:lineRule="auto"/>
        <w:ind w:left="360"/>
        <w:jc w:val="both"/>
        <w:rPr>
          <w:rFonts w:ascii="Arial" w:hAnsi="Arial" w:cs="Arial"/>
          <w:sz w:val="20"/>
          <w:szCs w:val="20"/>
        </w:rPr>
      </w:pPr>
    </w:p>
    <w:p w14:paraId="7613653F" w14:textId="77777777" w:rsidR="0045744D"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En particulier, la Complémentaire santé solidaire</w:t>
      </w:r>
      <w:r w:rsidRPr="0045744D">
        <w:rPr>
          <w:vertAlign w:val="superscript"/>
        </w:rPr>
        <w:footnoteReference w:id="44"/>
      </w:r>
      <w:r w:rsidRPr="004F6CD1">
        <w:rPr>
          <w:rFonts w:ascii="Arial" w:hAnsi="Arial" w:cs="Arial"/>
          <w:sz w:val="20"/>
          <w:szCs w:val="20"/>
        </w:rPr>
        <w:t xml:space="preserve"> et l’aide médicale de l’Etat (AME) n’y existent pas. Si le déploiement de la complémentaire santé solidaire à Mayotte est annoncé pour 2022, rien de tel ne semble en revanche envisagé pour l’AME. En effet, le plan « Mayotte 2025, une ambition pour la République », signé en juin 2015 par le Premier ministre et les ministres concernés, ainsi que par les élus locaux et nationaux de Mayotte, et qui établit un nouvel agenda social pour Mayotte, ne prévoit pas l'extension de l'aide médicale de l'État dans ce département.</w:t>
      </w:r>
    </w:p>
    <w:p w14:paraId="61201E1E" w14:textId="77777777" w:rsidR="0038095E" w:rsidRPr="0038095E" w:rsidRDefault="0038095E" w:rsidP="0038095E">
      <w:pPr>
        <w:spacing w:after="0" w:line="240" w:lineRule="auto"/>
        <w:jc w:val="both"/>
        <w:rPr>
          <w:rFonts w:ascii="Arial" w:hAnsi="Arial" w:cs="Arial"/>
          <w:sz w:val="20"/>
          <w:szCs w:val="20"/>
        </w:rPr>
      </w:pPr>
    </w:p>
    <w:p w14:paraId="28304509" w14:textId="77777777" w:rsidR="0045744D"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L’AME est un dispositif réservé aux étrangers en situation irrégulière, sous condition de ressources et de résidence stable en France, qui permet une prise en charge à 100% de certains soins médicaux et hospitaliers dans la limite des tarifs de la sécurité sociale</w:t>
      </w:r>
      <w:r w:rsidRPr="0045744D">
        <w:rPr>
          <w:vertAlign w:val="superscript"/>
        </w:rPr>
        <w:footnoteReference w:id="45"/>
      </w:r>
      <w:r w:rsidRPr="004F6CD1">
        <w:rPr>
          <w:rFonts w:ascii="Arial" w:hAnsi="Arial" w:cs="Arial"/>
          <w:sz w:val="20"/>
          <w:szCs w:val="20"/>
        </w:rPr>
        <w:t xml:space="preserve">. </w:t>
      </w:r>
    </w:p>
    <w:p w14:paraId="5ED51F78" w14:textId="77777777" w:rsidR="0038095E" w:rsidRPr="0038095E" w:rsidRDefault="0038095E" w:rsidP="0038095E">
      <w:pPr>
        <w:spacing w:after="0" w:line="240" w:lineRule="auto"/>
        <w:jc w:val="both"/>
        <w:rPr>
          <w:rFonts w:ascii="Arial" w:hAnsi="Arial" w:cs="Arial"/>
          <w:sz w:val="20"/>
          <w:szCs w:val="20"/>
        </w:rPr>
      </w:pPr>
    </w:p>
    <w:p w14:paraId="31251716" w14:textId="67DE0D21" w:rsidR="0045744D"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Aux termes d’un rapport d'information n° 833 (2021-2022), déposé le 27 juillet 2022, une part substantielle de la population se retrouve sans droits ouverts à l'assurance maladie,</w:t>
      </w:r>
      <w:r w:rsidR="00DE1E5B">
        <w:rPr>
          <w:rFonts w:ascii="Arial" w:hAnsi="Arial" w:cs="Arial"/>
          <w:sz w:val="20"/>
          <w:szCs w:val="20"/>
        </w:rPr>
        <w:t xml:space="preserve"> puisque près de 40 % ne serai</w:t>
      </w:r>
      <w:r w:rsidRPr="004F6CD1">
        <w:rPr>
          <w:rFonts w:ascii="Arial" w:hAnsi="Arial" w:cs="Arial"/>
          <w:sz w:val="20"/>
          <w:szCs w:val="20"/>
        </w:rPr>
        <w:t>t pas affilié</w:t>
      </w:r>
      <w:r w:rsidR="000A79D6">
        <w:rPr>
          <w:rFonts w:ascii="Arial" w:hAnsi="Arial" w:cs="Arial"/>
          <w:sz w:val="20"/>
          <w:szCs w:val="20"/>
        </w:rPr>
        <w:t>e</w:t>
      </w:r>
      <w:r w:rsidRPr="004F6CD1">
        <w:rPr>
          <w:rFonts w:ascii="Arial" w:hAnsi="Arial" w:cs="Arial"/>
          <w:sz w:val="20"/>
          <w:szCs w:val="20"/>
        </w:rPr>
        <w:t xml:space="preserve"> à la sécurité sociale</w:t>
      </w:r>
      <w:r w:rsidRPr="0045744D">
        <w:rPr>
          <w:vertAlign w:val="superscript"/>
        </w:rPr>
        <w:footnoteReference w:id="46"/>
      </w:r>
      <w:r w:rsidRPr="004F6CD1">
        <w:rPr>
          <w:rFonts w:ascii="Arial" w:hAnsi="Arial" w:cs="Arial"/>
          <w:sz w:val="20"/>
          <w:szCs w:val="20"/>
        </w:rPr>
        <w:t>. Les Rapporteurs recommandaient à cet égard d’engager une réflexion sur le droit applicable concernant la prise en charge de frais de santé des personnes en situation irrégulière et la possibilité de l'aide médicale d'État lors d'une résidence constatée de plus de trois mois, recommandation motivée plus particulièrement par le financement des établissements de santé et des prestations de soins à Mayotte.</w:t>
      </w:r>
    </w:p>
    <w:p w14:paraId="76F36E52" w14:textId="77777777" w:rsidR="0038095E" w:rsidRPr="0038095E" w:rsidRDefault="0038095E" w:rsidP="0038095E">
      <w:pPr>
        <w:spacing w:after="0" w:line="240" w:lineRule="auto"/>
        <w:jc w:val="both"/>
        <w:rPr>
          <w:rFonts w:ascii="Arial" w:hAnsi="Arial" w:cs="Arial"/>
          <w:sz w:val="20"/>
          <w:szCs w:val="20"/>
        </w:rPr>
      </w:pPr>
    </w:p>
    <w:p w14:paraId="73DC3CFE" w14:textId="626D156D" w:rsidR="0045744D"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 xml:space="preserve">A ce jour, </w:t>
      </w:r>
      <w:r w:rsidR="00D27E42" w:rsidRPr="004508A4">
        <w:rPr>
          <w:rFonts w:ascii="Arial" w:hAnsi="Arial" w:cs="Arial"/>
          <w:sz w:val="20"/>
          <w:szCs w:val="20"/>
        </w:rPr>
        <w:t>pour</w:t>
      </w:r>
      <w:r w:rsidR="00D27E42" w:rsidRPr="00D27E42">
        <w:rPr>
          <w:rFonts w:ascii="Arial" w:hAnsi="Arial" w:cs="Arial"/>
          <w:color w:val="FF0000"/>
          <w:sz w:val="20"/>
          <w:szCs w:val="20"/>
        </w:rPr>
        <w:t xml:space="preserve"> </w:t>
      </w:r>
      <w:r w:rsidRPr="004F6CD1">
        <w:rPr>
          <w:rFonts w:ascii="Arial" w:hAnsi="Arial" w:cs="Arial"/>
          <w:sz w:val="20"/>
          <w:szCs w:val="20"/>
        </w:rPr>
        <w:t>les personnes qui ne sont pas affiliées au régime d'assurance maladie de Mayotte, les frais de santé de ces établissements sont à leur charge, les non-affiliés sociaux devant acquitter une provision financière forfaitaire pour les soins délivrés par l’hôpital, exigence écartée en cas de risque vital, épidémique, ou pour la maternité et les prises en charge pédiatriques où les frais d'hospitalisation sont pris en charge par l'État, partiellement ou en totalité. La provision financière à la charge des étrangers en situation irrégulière peut s’avérer prohibitive, notamment au regard de leur situation précaire, administrative et financière, et rendre l’accès aux soins ineffectif.</w:t>
      </w:r>
    </w:p>
    <w:p w14:paraId="631CCA31" w14:textId="77777777" w:rsidR="0038095E" w:rsidRPr="0038095E" w:rsidRDefault="0038095E" w:rsidP="0038095E">
      <w:pPr>
        <w:spacing w:after="0" w:line="240" w:lineRule="auto"/>
        <w:jc w:val="both"/>
        <w:rPr>
          <w:rFonts w:ascii="Arial" w:hAnsi="Arial" w:cs="Arial"/>
          <w:sz w:val="20"/>
          <w:szCs w:val="20"/>
        </w:rPr>
      </w:pPr>
    </w:p>
    <w:p w14:paraId="6285A59F" w14:textId="77777777" w:rsidR="0045744D"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 xml:space="preserve">Le refus persistant d’étendre le dispositif de l’AME aux étrangers en situation irrégulière installés à Mayotte est justifié par « </w:t>
      </w:r>
      <w:r w:rsidRPr="004F6CD1">
        <w:rPr>
          <w:rFonts w:ascii="Arial" w:hAnsi="Arial" w:cs="Arial"/>
          <w:i/>
          <w:sz w:val="20"/>
          <w:szCs w:val="20"/>
        </w:rPr>
        <w:t xml:space="preserve">le coût du dispositif compte tenu du contexte administratif encore très déficient à Mayotte </w:t>
      </w:r>
      <w:r w:rsidRPr="004F6CD1">
        <w:rPr>
          <w:rFonts w:ascii="Arial" w:hAnsi="Arial" w:cs="Arial"/>
          <w:sz w:val="20"/>
          <w:szCs w:val="20"/>
        </w:rPr>
        <w:t>» et que son extension serait un appel d’air à l’immigration clandestine. Cette distinction de traitement manque de justification objective et raisonnable.</w:t>
      </w:r>
    </w:p>
    <w:p w14:paraId="3C2FAD36" w14:textId="77777777" w:rsidR="0038095E" w:rsidRPr="0038095E" w:rsidRDefault="0038095E" w:rsidP="0038095E">
      <w:pPr>
        <w:spacing w:after="0" w:line="240" w:lineRule="auto"/>
        <w:jc w:val="both"/>
        <w:rPr>
          <w:rFonts w:ascii="Arial" w:hAnsi="Arial" w:cs="Arial"/>
          <w:sz w:val="20"/>
          <w:szCs w:val="20"/>
        </w:rPr>
      </w:pPr>
    </w:p>
    <w:p w14:paraId="0C14D267" w14:textId="77777777" w:rsidR="0045744D" w:rsidRDefault="00BD5213" w:rsidP="00A37B18">
      <w:pPr>
        <w:pStyle w:val="Paragraphedeliste"/>
        <w:numPr>
          <w:ilvl w:val="0"/>
          <w:numId w:val="9"/>
        </w:numPr>
        <w:spacing w:after="0" w:line="240" w:lineRule="auto"/>
        <w:jc w:val="both"/>
        <w:rPr>
          <w:rFonts w:ascii="Arial" w:hAnsi="Arial" w:cs="Arial"/>
          <w:sz w:val="20"/>
          <w:szCs w:val="20"/>
        </w:rPr>
      </w:pPr>
      <w:r>
        <w:rPr>
          <w:rFonts w:ascii="Arial" w:hAnsi="Arial" w:cs="Arial"/>
          <w:sz w:val="20"/>
          <w:szCs w:val="20"/>
        </w:rPr>
        <w:t>Le rapport des m</w:t>
      </w:r>
      <w:r w:rsidR="0045744D" w:rsidRPr="004F6CD1">
        <w:rPr>
          <w:rFonts w:ascii="Arial" w:hAnsi="Arial" w:cs="Arial"/>
          <w:sz w:val="20"/>
          <w:szCs w:val="20"/>
        </w:rPr>
        <w:t>inistère</w:t>
      </w:r>
      <w:r>
        <w:rPr>
          <w:rFonts w:ascii="Arial" w:hAnsi="Arial" w:cs="Arial"/>
          <w:sz w:val="20"/>
          <w:szCs w:val="20"/>
        </w:rPr>
        <w:t>s des Solidarités et de la Santé et de l’Action et des C</w:t>
      </w:r>
      <w:r w:rsidR="0045744D" w:rsidRPr="004F6CD1">
        <w:rPr>
          <w:rFonts w:ascii="Arial" w:hAnsi="Arial" w:cs="Arial"/>
          <w:sz w:val="20"/>
          <w:szCs w:val="20"/>
        </w:rPr>
        <w:t>omptes public</w:t>
      </w:r>
      <w:r>
        <w:rPr>
          <w:rFonts w:ascii="Arial" w:hAnsi="Arial" w:cs="Arial"/>
          <w:sz w:val="20"/>
          <w:szCs w:val="20"/>
        </w:rPr>
        <w:t>s</w:t>
      </w:r>
      <w:r w:rsidR="0045744D" w:rsidRPr="004F6CD1">
        <w:rPr>
          <w:rFonts w:ascii="Arial" w:hAnsi="Arial" w:cs="Arial"/>
          <w:sz w:val="20"/>
          <w:szCs w:val="20"/>
        </w:rPr>
        <w:t xml:space="preserve"> intitulé « Aide médicale d’état : diagnostic et propositions », publié en octobre 2019, rappelle que « </w:t>
      </w:r>
      <w:r w:rsidR="0045744D" w:rsidRPr="004F6CD1">
        <w:rPr>
          <w:rFonts w:ascii="Arial" w:hAnsi="Arial" w:cs="Arial"/>
          <w:i/>
          <w:sz w:val="20"/>
          <w:szCs w:val="20"/>
        </w:rPr>
        <w:t xml:space="preserve">L’AME répond en premier lieu à un principe éthique et humanitaire, mais aussi à un objectif de santé publique et de pertinence de la dépense. </w:t>
      </w:r>
      <w:r w:rsidR="0045744D" w:rsidRPr="004F6CD1">
        <w:rPr>
          <w:rFonts w:ascii="Arial" w:hAnsi="Arial" w:cs="Arial"/>
          <w:b/>
          <w:i/>
          <w:sz w:val="20"/>
          <w:szCs w:val="20"/>
        </w:rPr>
        <w:t>Elle n’est pas un outil de politique migratoire</w:t>
      </w:r>
      <w:r w:rsidR="0045744D" w:rsidRPr="004F6CD1">
        <w:rPr>
          <w:rFonts w:ascii="Arial" w:hAnsi="Arial" w:cs="Arial"/>
          <w:sz w:val="20"/>
          <w:szCs w:val="20"/>
        </w:rPr>
        <w:t xml:space="preserve"> ».</w:t>
      </w:r>
    </w:p>
    <w:p w14:paraId="15D86E78" w14:textId="77777777" w:rsidR="0038095E" w:rsidRPr="0038095E" w:rsidRDefault="0038095E" w:rsidP="0038095E">
      <w:pPr>
        <w:spacing w:after="0" w:line="240" w:lineRule="auto"/>
        <w:jc w:val="both"/>
        <w:rPr>
          <w:rFonts w:ascii="Arial" w:hAnsi="Arial" w:cs="Arial"/>
          <w:sz w:val="20"/>
          <w:szCs w:val="20"/>
        </w:rPr>
      </w:pPr>
    </w:p>
    <w:p w14:paraId="2B12BC26" w14:textId="232F3D09" w:rsidR="0045744D"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L’exclusion du dispositif de l’AME à Mayotte constitue ainsi une violation des principes constitutionnels ainsi que des engagements internationaux de la France en ce sens que, le droit à une assurance maladie, corollaire né</w:t>
      </w:r>
      <w:r w:rsidR="001A6B96">
        <w:rPr>
          <w:rFonts w:ascii="Arial" w:hAnsi="Arial" w:cs="Arial"/>
          <w:sz w:val="20"/>
          <w:szCs w:val="20"/>
        </w:rPr>
        <w:t>cessaire au droit à protection de</w:t>
      </w:r>
      <w:r w:rsidRPr="004F6CD1">
        <w:rPr>
          <w:rFonts w:ascii="Arial" w:hAnsi="Arial" w:cs="Arial"/>
          <w:sz w:val="20"/>
          <w:szCs w:val="20"/>
        </w:rPr>
        <w:t xml:space="preserve"> la santé, doit être consacré pour toute personne présente sur le territoire français, sans condition de nationalité ni de régularité de séjour.</w:t>
      </w:r>
    </w:p>
    <w:p w14:paraId="08C8CD62" w14:textId="77777777" w:rsidR="0038095E" w:rsidRPr="0038095E" w:rsidRDefault="0038095E" w:rsidP="0038095E">
      <w:pPr>
        <w:spacing w:after="0" w:line="240" w:lineRule="auto"/>
        <w:jc w:val="both"/>
        <w:rPr>
          <w:rFonts w:ascii="Arial" w:hAnsi="Arial" w:cs="Arial"/>
          <w:sz w:val="20"/>
          <w:szCs w:val="20"/>
        </w:rPr>
      </w:pPr>
    </w:p>
    <w:p w14:paraId="1A7BD855" w14:textId="77777777" w:rsidR="001C1168"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A cet égard, en application de l’article 14 combiné à l’article 1</w:t>
      </w:r>
      <w:r w:rsidRPr="004F6CD1">
        <w:rPr>
          <w:rFonts w:ascii="Arial" w:hAnsi="Arial" w:cs="Arial"/>
          <w:sz w:val="20"/>
          <w:szCs w:val="20"/>
          <w:vertAlign w:val="superscript"/>
        </w:rPr>
        <w:t>er</w:t>
      </w:r>
      <w:r w:rsidRPr="004F6CD1">
        <w:rPr>
          <w:rFonts w:ascii="Arial" w:hAnsi="Arial" w:cs="Arial"/>
          <w:sz w:val="20"/>
          <w:szCs w:val="20"/>
        </w:rPr>
        <w:t xml:space="preserve"> du protocole additionnel de la Convention européenne de sauvegarde des droits de l’Homme et des libertés fondamentales, la Cour européenne des droits de l’Homme a jugé, dans sa décision Khoua Poarez c. France du 30 décembre 2003, que les prestations non contributives, telles que l’AME, sont assimilées à un bien qui doit être garanti à toute personne, sans discrimination fondée notamment, sur l’origine nationale ou toute autre situation.</w:t>
      </w:r>
    </w:p>
    <w:p w14:paraId="1C270368" w14:textId="77777777" w:rsidR="004750DE" w:rsidRPr="004750DE" w:rsidRDefault="004750DE" w:rsidP="004750DE">
      <w:pPr>
        <w:spacing w:after="0" w:line="240" w:lineRule="auto"/>
        <w:jc w:val="both"/>
        <w:rPr>
          <w:rFonts w:ascii="Arial" w:hAnsi="Arial" w:cs="Arial"/>
          <w:sz w:val="20"/>
          <w:szCs w:val="20"/>
        </w:rPr>
      </w:pPr>
    </w:p>
    <w:p w14:paraId="1FBA6E0C" w14:textId="77777777" w:rsidR="0045744D"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Le Défenseur des droits recommande ainsi régulièrement que la CMU-c et l’AME soient étendues à Mayotte</w:t>
      </w:r>
      <w:r w:rsidRPr="0045744D">
        <w:rPr>
          <w:vertAlign w:val="superscript"/>
        </w:rPr>
        <w:footnoteReference w:id="47"/>
      </w:r>
      <w:r w:rsidRPr="004F6CD1">
        <w:rPr>
          <w:rFonts w:ascii="Arial" w:hAnsi="Arial" w:cs="Arial"/>
          <w:sz w:val="20"/>
          <w:szCs w:val="20"/>
        </w:rPr>
        <w:t xml:space="preserve">, plus récemment dans son rapport « Etablir Mayotte dans ses droits », en février </w:t>
      </w:r>
      <w:r w:rsidRPr="004F6CD1">
        <w:rPr>
          <w:rFonts w:ascii="Arial" w:hAnsi="Arial" w:cs="Arial"/>
          <w:sz w:val="20"/>
          <w:szCs w:val="20"/>
        </w:rPr>
        <w:lastRenderedPageBreak/>
        <w:t>2020, faisant suite au déplacement d’une délégation de ses services à Mayotte les 2 et 3 octobre 2019.</w:t>
      </w:r>
    </w:p>
    <w:p w14:paraId="4E1C7DDA" w14:textId="77777777" w:rsidR="0038095E" w:rsidRPr="0038095E" w:rsidRDefault="0038095E" w:rsidP="0038095E">
      <w:pPr>
        <w:spacing w:after="0" w:line="240" w:lineRule="auto"/>
        <w:jc w:val="both"/>
        <w:rPr>
          <w:rFonts w:ascii="Arial" w:hAnsi="Arial" w:cs="Arial"/>
          <w:sz w:val="20"/>
          <w:szCs w:val="20"/>
        </w:rPr>
      </w:pPr>
    </w:p>
    <w:p w14:paraId="3614F694" w14:textId="77777777" w:rsidR="0045744D"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Dans le même sens, la CNCDH recommande que « </w:t>
      </w:r>
      <w:r w:rsidRPr="004F6CD1">
        <w:rPr>
          <w:rFonts w:ascii="Arial" w:hAnsi="Arial" w:cs="Arial"/>
          <w:i/>
          <w:sz w:val="20"/>
          <w:szCs w:val="20"/>
        </w:rPr>
        <w:t>Compte tenu de la gravité de la situation sanitaire que soit évaluée la perspective de mettre fin au régime dérogatoire excluant du bénéfice de l’aide médicale de l’État les étrangers éligibles au dispositif à Mayotte</w:t>
      </w:r>
      <w:r w:rsidRPr="004F6CD1">
        <w:rPr>
          <w:rFonts w:ascii="Arial" w:hAnsi="Arial" w:cs="Arial"/>
          <w:sz w:val="20"/>
          <w:szCs w:val="20"/>
        </w:rPr>
        <w:t>»</w:t>
      </w:r>
      <w:r w:rsidRPr="0045744D">
        <w:rPr>
          <w:vertAlign w:val="superscript"/>
        </w:rPr>
        <w:footnoteReference w:id="48"/>
      </w:r>
      <w:r w:rsidRPr="004F6CD1">
        <w:rPr>
          <w:rFonts w:ascii="Arial" w:hAnsi="Arial" w:cs="Arial"/>
          <w:sz w:val="20"/>
          <w:szCs w:val="20"/>
        </w:rPr>
        <w:t>.</w:t>
      </w:r>
    </w:p>
    <w:p w14:paraId="5D445232" w14:textId="77777777" w:rsidR="0038095E" w:rsidRPr="0038095E" w:rsidRDefault="0038095E" w:rsidP="0038095E">
      <w:pPr>
        <w:spacing w:after="0" w:line="240" w:lineRule="auto"/>
        <w:jc w:val="both"/>
        <w:rPr>
          <w:rFonts w:ascii="Arial" w:hAnsi="Arial" w:cs="Arial"/>
          <w:sz w:val="20"/>
          <w:szCs w:val="20"/>
        </w:rPr>
      </w:pPr>
    </w:p>
    <w:p w14:paraId="21123E7A" w14:textId="77777777" w:rsidR="0045744D" w:rsidRDefault="0045744D" w:rsidP="0038095E">
      <w:pPr>
        <w:pStyle w:val="Paragraphedeliste"/>
        <w:numPr>
          <w:ilvl w:val="1"/>
          <w:numId w:val="12"/>
        </w:numPr>
        <w:spacing w:after="0" w:line="240" w:lineRule="auto"/>
        <w:jc w:val="both"/>
        <w:rPr>
          <w:rFonts w:ascii="Arial" w:hAnsi="Arial" w:cs="Arial"/>
          <w:sz w:val="20"/>
          <w:szCs w:val="20"/>
          <w:u w:val="single"/>
        </w:rPr>
      </w:pPr>
      <w:r w:rsidRPr="0038095E">
        <w:rPr>
          <w:rFonts w:ascii="Arial" w:hAnsi="Arial" w:cs="Arial"/>
          <w:sz w:val="20"/>
          <w:szCs w:val="20"/>
          <w:u w:val="single"/>
        </w:rPr>
        <w:t>Sur l’absence de maintien des droits des personnes momentanément privées de titre de séjour</w:t>
      </w:r>
    </w:p>
    <w:p w14:paraId="53F3A0E4" w14:textId="77777777" w:rsidR="0038095E" w:rsidRPr="0038095E" w:rsidRDefault="0038095E" w:rsidP="0038095E">
      <w:pPr>
        <w:spacing w:after="0" w:line="240" w:lineRule="auto"/>
        <w:ind w:left="360"/>
        <w:jc w:val="both"/>
        <w:rPr>
          <w:rFonts w:ascii="Arial" w:hAnsi="Arial" w:cs="Arial"/>
          <w:sz w:val="20"/>
          <w:szCs w:val="20"/>
          <w:u w:val="single"/>
        </w:rPr>
      </w:pPr>
    </w:p>
    <w:p w14:paraId="44702B1C" w14:textId="77777777" w:rsidR="0045744D"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A Mayotte, il n’existe pas de dispositif de maintien des droits similaire à celui prévu par le droit commun pour les personnes bénéficiant d’une prise en charge de leurs frais de santé</w:t>
      </w:r>
      <w:r w:rsidRPr="0045744D">
        <w:rPr>
          <w:vertAlign w:val="superscript"/>
        </w:rPr>
        <w:footnoteReference w:id="49"/>
      </w:r>
      <w:r w:rsidRPr="004F6CD1">
        <w:rPr>
          <w:rFonts w:ascii="Arial" w:hAnsi="Arial" w:cs="Arial"/>
          <w:sz w:val="20"/>
          <w:szCs w:val="20"/>
        </w:rPr>
        <w:t>.</w:t>
      </w:r>
    </w:p>
    <w:p w14:paraId="1E32BAAC" w14:textId="77777777" w:rsidR="0038095E" w:rsidRPr="0038095E" w:rsidRDefault="0038095E" w:rsidP="0038095E">
      <w:pPr>
        <w:spacing w:after="0" w:line="240" w:lineRule="auto"/>
        <w:jc w:val="both"/>
        <w:rPr>
          <w:rFonts w:ascii="Arial" w:hAnsi="Arial" w:cs="Arial"/>
          <w:sz w:val="20"/>
          <w:szCs w:val="20"/>
        </w:rPr>
      </w:pPr>
    </w:p>
    <w:p w14:paraId="1B3028BC" w14:textId="77777777" w:rsidR="0045744D"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Conformément à l’article R.111-4 du code de la sécurité sociale, ces dernières bénéficient en effet, en Métropole, d’un maintien de leurs droits à prestations durant six mois en cas d’expiration des documents produits pour justifier de la régularité de leur séjour</w:t>
      </w:r>
      <w:r w:rsidRPr="004F6CD1">
        <w:rPr>
          <w:rFonts w:ascii="Arial" w:hAnsi="Arial" w:cs="Arial"/>
          <w:sz w:val="20"/>
          <w:szCs w:val="20"/>
          <w:vertAlign w:val="superscript"/>
        </w:rPr>
        <w:t xml:space="preserve"> </w:t>
      </w:r>
      <w:r w:rsidRPr="0045744D">
        <w:rPr>
          <w:vertAlign w:val="superscript"/>
        </w:rPr>
        <w:footnoteReference w:id="50"/>
      </w:r>
      <w:r w:rsidRPr="004F6CD1">
        <w:rPr>
          <w:rFonts w:ascii="Arial" w:hAnsi="Arial" w:cs="Arial"/>
          <w:sz w:val="20"/>
          <w:szCs w:val="20"/>
        </w:rPr>
        <w:t>.</w:t>
      </w:r>
    </w:p>
    <w:p w14:paraId="21977C61" w14:textId="77777777" w:rsidR="0038095E" w:rsidRPr="0038095E" w:rsidRDefault="0038095E" w:rsidP="0038095E">
      <w:pPr>
        <w:spacing w:after="0" w:line="240" w:lineRule="auto"/>
        <w:jc w:val="both"/>
        <w:rPr>
          <w:rFonts w:ascii="Arial" w:hAnsi="Arial" w:cs="Arial"/>
          <w:sz w:val="20"/>
          <w:szCs w:val="20"/>
        </w:rPr>
      </w:pPr>
    </w:p>
    <w:p w14:paraId="4B8B6509" w14:textId="77777777" w:rsidR="0045744D"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L’absence de dispositif comparable à Mayotte est d’autant plus regrettable que le service des étrangers de la préfecture, en charge d’établir les documents de séjour, connaît régulièrement des défaillances conduisant à ce que des personnes étrangères en situation régulière se trouvent momentanément dans l’impossibilité de justifier de leur droit au séjour.</w:t>
      </w:r>
    </w:p>
    <w:p w14:paraId="3DAFF545" w14:textId="77777777" w:rsidR="0038095E" w:rsidRPr="0038095E" w:rsidRDefault="0038095E" w:rsidP="0038095E">
      <w:pPr>
        <w:spacing w:after="0" w:line="240" w:lineRule="auto"/>
        <w:jc w:val="both"/>
        <w:rPr>
          <w:rFonts w:ascii="Arial" w:hAnsi="Arial" w:cs="Arial"/>
          <w:sz w:val="20"/>
          <w:szCs w:val="20"/>
        </w:rPr>
      </w:pPr>
    </w:p>
    <w:p w14:paraId="22611A3B" w14:textId="77777777" w:rsidR="0045744D"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 xml:space="preserve">A cet égard, dans son dernier rapport, le Défenseur des droits « </w:t>
      </w:r>
      <w:r w:rsidRPr="004F6CD1">
        <w:rPr>
          <w:rFonts w:ascii="Arial" w:hAnsi="Arial" w:cs="Arial"/>
          <w:i/>
          <w:sz w:val="20"/>
          <w:szCs w:val="20"/>
        </w:rPr>
        <w:t>recommande que le dispositif de maintien des droits prévu par l’article R.111-4 du code de la sécurité sociale en cas de perte momentanée du droit au séjour soit étendu à Mayotte pour les personnes affiliées à la Caisse de sécurité sociale de Mayotte. L’extension d’un tel dispositif à Mayotte revêt des enjeux d’autant plus importants que, compte tenu de la charge qui pèse sur les services préfectoraux, les retards dans la délivrance des titres de séjour sont fréquents</w:t>
      </w:r>
      <w:r w:rsidRPr="004F6CD1">
        <w:rPr>
          <w:rFonts w:ascii="Arial" w:hAnsi="Arial" w:cs="Arial"/>
          <w:sz w:val="20"/>
          <w:szCs w:val="20"/>
        </w:rPr>
        <w:t xml:space="preserve"> » </w:t>
      </w:r>
      <w:r w:rsidRPr="0045744D">
        <w:rPr>
          <w:vertAlign w:val="superscript"/>
        </w:rPr>
        <w:footnoteReference w:id="51"/>
      </w:r>
      <w:r w:rsidRPr="004F6CD1">
        <w:rPr>
          <w:rFonts w:ascii="Arial" w:hAnsi="Arial" w:cs="Arial"/>
          <w:sz w:val="20"/>
          <w:szCs w:val="20"/>
        </w:rPr>
        <w:t>.</w:t>
      </w:r>
    </w:p>
    <w:p w14:paraId="02380BD3" w14:textId="77777777" w:rsidR="0038095E" w:rsidRPr="0038095E" w:rsidRDefault="0038095E" w:rsidP="0038095E">
      <w:pPr>
        <w:spacing w:after="0" w:line="240" w:lineRule="auto"/>
        <w:jc w:val="both"/>
        <w:rPr>
          <w:rFonts w:ascii="Arial" w:hAnsi="Arial" w:cs="Arial"/>
          <w:sz w:val="20"/>
          <w:szCs w:val="20"/>
        </w:rPr>
      </w:pPr>
    </w:p>
    <w:p w14:paraId="3B2A4E95" w14:textId="77777777" w:rsidR="0045744D"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 xml:space="preserve">En conclusion, cette politique gouvernementale, impulsée par une stigmatisation des populations dites étrangères, va à l’encontre de la politique de la santé publique. Les restrictions de l’accès à la protection sociale des étrangers, ou de son maintien, motivées par des considérations migratoires et économiques, qui ne peuvent être une justification objective et raisonnable, sont constitutives d’une discrimination raciale. </w:t>
      </w:r>
    </w:p>
    <w:p w14:paraId="6115750F" w14:textId="77777777" w:rsidR="0038095E" w:rsidRPr="0038095E" w:rsidRDefault="0038095E" w:rsidP="0038095E">
      <w:pPr>
        <w:spacing w:after="0" w:line="240" w:lineRule="auto"/>
        <w:jc w:val="both"/>
        <w:rPr>
          <w:rFonts w:ascii="Arial" w:hAnsi="Arial" w:cs="Arial"/>
          <w:sz w:val="20"/>
          <w:szCs w:val="20"/>
        </w:rPr>
      </w:pPr>
    </w:p>
    <w:p w14:paraId="0F38A382" w14:textId="77777777" w:rsidR="0045744D" w:rsidRPr="0038095E" w:rsidRDefault="0045744D" w:rsidP="0038095E">
      <w:pPr>
        <w:pStyle w:val="Paragraphedeliste"/>
        <w:numPr>
          <w:ilvl w:val="0"/>
          <w:numId w:val="12"/>
        </w:numPr>
        <w:spacing w:after="0" w:line="240" w:lineRule="auto"/>
        <w:jc w:val="both"/>
        <w:rPr>
          <w:rFonts w:ascii="Arial" w:hAnsi="Arial" w:cs="Arial"/>
          <w:b/>
          <w:sz w:val="20"/>
          <w:szCs w:val="20"/>
        </w:rPr>
      </w:pPr>
      <w:r w:rsidRPr="0038095E">
        <w:rPr>
          <w:rFonts w:ascii="Arial" w:hAnsi="Arial" w:cs="Arial"/>
          <w:b/>
          <w:sz w:val="20"/>
          <w:szCs w:val="20"/>
        </w:rPr>
        <w:t>Le droit à l’éducation</w:t>
      </w:r>
    </w:p>
    <w:p w14:paraId="0AE56AA7" w14:textId="77777777" w:rsidR="0045744D" w:rsidRPr="0038095E" w:rsidRDefault="0045744D" w:rsidP="0038095E">
      <w:pPr>
        <w:spacing w:after="0" w:line="240" w:lineRule="auto"/>
        <w:ind w:left="720"/>
        <w:jc w:val="both"/>
        <w:rPr>
          <w:rFonts w:ascii="Arial" w:hAnsi="Arial" w:cs="Arial"/>
          <w:b/>
          <w:sz w:val="20"/>
          <w:szCs w:val="20"/>
        </w:rPr>
      </w:pPr>
    </w:p>
    <w:p w14:paraId="1E393388" w14:textId="77777777" w:rsidR="00957759" w:rsidRPr="00957759" w:rsidRDefault="0045744D" w:rsidP="00957759">
      <w:pPr>
        <w:pStyle w:val="Paragraphedeliste"/>
        <w:numPr>
          <w:ilvl w:val="0"/>
          <w:numId w:val="9"/>
        </w:numPr>
        <w:spacing w:after="0" w:line="240" w:lineRule="auto"/>
        <w:jc w:val="both"/>
        <w:rPr>
          <w:rFonts w:ascii="Arial" w:hAnsi="Arial" w:cs="Arial"/>
          <w:b/>
          <w:sz w:val="20"/>
          <w:szCs w:val="20"/>
          <w:u w:val="single"/>
        </w:rPr>
      </w:pPr>
      <w:r w:rsidRPr="00182FB9">
        <w:rPr>
          <w:rFonts w:ascii="Arial" w:hAnsi="Arial" w:cs="Arial"/>
          <w:sz w:val="20"/>
          <w:szCs w:val="20"/>
        </w:rPr>
        <w:t>Le droit à l’éducation est garanti à tous les enfants en France par des textes ratifiés au niveau national et international</w:t>
      </w:r>
      <w:r w:rsidRPr="00182FB9">
        <w:rPr>
          <w:rFonts w:ascii="Arial" w:hAnsi="Arial" w:cs="Arial"/>
          <w:sz w:val="20"/>
          <w:szCs w:val="20"/>
          <w:vertAlign w:val="superscript"/>
        </w:rPr>
        <w:footnoteReference w:id="52"/>
      </w:r>
      <w:r w:rsidRPr="00182FB9">
        <w:rPr>
          <w:rFonts w:ascii="Arial" w:hAnsi="Arial" w:cs="Arial"/>
          <w:sz w:val="20"/>
          <w:szCs w:val="20"/>
        </w:rPr>
        <w:t>, au premier rang desquels la Convention internationale des droits de l’enfant</w:t>
      </w:r>
      <w:r w:rsidRPr="00182FB9">
        <w:rPr>
          <w:rFonts w:ascii="Arial" w:hAnsi="Arial" w:cs="Arial"/>
          <w:sz w:val="20"/>
          <w:szCs w:val="20"/>
          <w:vertAlign w:val="superscript"/>
        </w:rPr>
        <w:footnoteReference w:id="53"/>
      </w:r>
      <w:r w:rsidRPr="00182FB9">
        <w:rPr>
          <w:rFonts w:ascii="Arial" w:hAnsi="Arial" w:cs="Arial"/>
          <w:sz w:val="20"/>
          <w:szCs w:val="20"/>
        </w:rPr>
        <w:t>. Il s’agit d’un droit fondamental inconditionnel à la charge de l’État devant ainsi s’appliquer sans considération d’origine ou de nationalité</w:t>
      </w:r>
      <w:r w:rsidRPr="004F6CD1">
        <w:rPr>
          <w:rFonts w:ascii="Arial" w:hAnsi="Arial" w:cs="Arial"/>
          <w:sz w:val="20"/>
          <w:szCs w:val="20"/>
        </w:rPr>
        <w:t>.</w:t>
      </w:r>
    </w:p>
    <w:p w14:paraId="137A97FD" w14:textId="77777777" w:rsidR="00957759" w:rsidRPr="00957759" w:rsidRDefault="00957759" w:rsidP="00957759">
      <w:pPr>
        <w:pStyle w:val="Paragraphedeliste"/>
        <w:spacing w:after="0" w:line="240" w:lineRule="auto"/>
        <w:ind w:left="360"/>
        <w:jc w:val="both"/>
        <w:rPr>
          <w:rFonts w:ascii="Arial" w:hAnsi="Arial" w:cs="Arial"/>
          <w:b/>
          <w:sz w:val="20"/>
          <w:szCs w:val="20"/>
          <w:u w:val="single"/>
        </w:rPr>
      </w:pPr>
    </w:p>
    <w:p w14:paraId="6125857F" w14:textId="77777777" w:rsidR="0045744D" w:rsidRPr="00957759" w:rsidRDefault="0045744D" w:rsidP="00957759">
      <w:pPr>
        <w:pStyle w:val="Paragraphedeliste"/>
        <w:numPr>
          <w:ilvl w:val="0"/>
          <w:numId w:val="9"/>
        </w:numPr>
        <w:spacing w:after="0" w:line="240" w:lineRule="auto"/>
        <w:jc w:val="both"/>
        <w:rPr>
          <w:rFonts w:ascii="Arial" w:hAnsi="Arial" w:cs="Arial"/>
          <w:b/>
          <w:sz w:val="20"/>
          <w:szCs w:val="20"/>
          <w:u w:val="single"/>
        </w:rPr>
      </w:pPr>
      <w:r w:rsidRPr="00957759">
        <w:rPr>
          <w:rFonts w:ascii="Arial" w:hAnsi="Arial" w:cs="Arial"/>
          <w:sz w:val="20"/>
          <w:szCs w:val="20"/>
        </w:rPr>
        <w:t>Ainsi, il appartient aux autorités d’en assurer l’effectivité et de permettre la scolarisation de tous les enfants présents sur le territoire national en particulier lorsqu’ils sont en âge d’obligation scolaire</w:t>
      </w:r>
      <w:r w:rsidRPr="0045744D">
        <w:rPr>
          <w:vertAlign w:val="superscript"/>
        </w:rPr>
        <w:footnoteReference w:id="54"/>
      </w:r>
      <w:r w:rsidRPr="00957759">
        <w:rPr>
          <w:rFonts w:ascii="Arial" w:hAnsi="Arial" w:cs="Arial"/>
          <w:sz w:val="20"/>
          <w:szCs w:val="20"/>
        </w:rPr>
        <w:t xml:space="preserve"> et en situation de vulnérabilité.</w:t>
      </w:r>
    </w:p>
    <w:p w14:paraId="777F4900" w14:textId="77777777" w:rsidR="0038095E" w:rsidRPr="0038095E" w:rsidRDefault="0038095E" w:rsidP="0038095E">
      <w:pPr>
        <w:spacing w:after="0" w:line="240" w:lineRule="auto"/>
        <w:jc w:val="both"/>
        <w:rPr>
          <w:rFonts w:ascii="Arial" w:hAnsi="Arial" w:cs="Arial"/>
          <w:sz w:val="20"/>
          <w:szCs w:val="20"/>
        </w:rPr>
      </w:pPr>
    </w:p>
    <w:p w14:paraId="69208C78" w14:textId="77777777" w:rsidR="0045744D"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En Outre-mer, et tout particulièrement en Guyane et à Mayotte, force est de constater que l’accès à l’éducation des enfants résidant sur ces territoires est entravé à raison de plusieurs facteurs : des infrastructures scolaires insuffisantes et mal réparties, une accessibilité inégale aux services conditionnant l’accès à l’école, un déficit du personnel enseignant qualifié </w:t>
      </w:r>
      <w:r w:rsidR="00EE47A0">
        <w:rPr>
          <w:rFonts w:ascii="Arial" w:hAnsi="Arial" w:cs="Arial"/>
          <w:sz w:val="20"/>
          <w:szCs w:val="20"/>
        </w:rPr>
        <w:t>et des procédures d’inscription scolaire</w:t>
      </w:r>
      <w:r w:rsidRPr="004F6CD1">
        <w:rPr>
          <w:rFonts w:ascii="Arial" w:hAnsi="Arial" w:cs="Arial"/>
          <w:sz w:val="20"/>
          <w:szCs w:val="20"/>
        </w:rPr>
        <w:t xml:space="preserve"> discriminatoires à l’encontre des enfants étrangers ou perçus comme tels, et/ou en situation d’une particulière précarité.</w:t>
      </w:r>
    </w:p>
    <w:p w14:paraId="20B9C105" w14:textId="77777777" w:rsidR="00DB4934" w:rsidRPr="00DB4934" w:rsidRDefault="00DB4934" w:rsidP="00DB4934">
      <w:pPr>
        <w:spacing w:after="0" w:line="240" w:lineRule="auto"/>
        <w:jc w:val="both"/>
        <w:rPr>
          <w:rFonts w:ascii="Arial" w:hAnsi="Arial" w:cs="Arial"/>
          <w:sz w:val="20"/>
          <w:szCs w:val="20"/>
        </w:rPr>
      </w:pPr>
    </w:p>
    <w:p w14:paraId="112EA619" w14:textId="77777777" w:rsidR="0045744D"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 xml:space="preserve">Depuis deux décennies, des autorités indépendantes telles que la Haute autorité de lutte contre les discriminations (Halde) et le Défenseur des droits dénoncent cette situation en rappelant que </w:t>
      </w:r>
      <w:r w:rsidRPr="004F6CD1">
        <w:rPr>
          <w:rFonts w:ascii="Arial" w:hAnsi="Arial" w:cs="Arial"/>
          <w:sz w:val="20"/>
          <w:szCs w:val="20"/>
        </w:rPr>
        <w:lastRenderedPageBreak/>
        <w:t>le contexte de Mayotte ou de la Guyane ne saurait exonérer les pouvoirs publics de leurs obligations fondées sur la Convention internationale des droits de l'enfant</w:t>
      </w:r>
      <w:r w:rsidRPr="0045744D">
        <w:rPr>
          <w:vertAlign w:val="superscript"/>
        </w:rPr>
        <w:footnoteReference w:id="55"/>
      </w:r>
      <w:r w:rsidRPr="004F6CD1">
        <w:rPr>
          <w:rFonts w:ascii="Arial" w:hAnsi="Arial" w:cs="Arial"/>
          <w:sz w:val="20"/>
          <w:szCs w:val="20"/>
        </w:rPr>
        <w:t>.</w:t>
      </w:r>
    </w:p>
    <w:p w14:paraId="45A6D949" w14:textId="77777777" w:rsidR="0038095E" w:rsidRPr="004F6CD1" w:rsidRDefault="0038095E" w:rsidP="0038095E">
      <w:pPr>
        <w:pStyle w:val="Paragraphedeliste"/>
        <w:spacing w:after="0" w:line="240" w:lineRule="auto"/>
        <w:ind w:left="360"/>
        <w:jc w:val="both"/>
        <w:rPr>
          <w:rFonts w:ascii="Arial" w:hAnsi="Arial" w:cs="Arial"/>
          <w:sz w:val="20"/>
          <w:szCs w:val="20"/>
        </w:rPr>
      </w:pPr>
    </w:p>
    <w:p w14:paraId="2CEA94F2" w14:textId="77777777" w:rsidR="0045744D"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 xml:space="preserve">A l’occasion du 70e anniversaire de la DDUH, la CNCDH a décidé de consacrer une étude à « </w:t>
      </w:r>
      <w:r w:rsidRPr="004F6CD1">
        <w:rPr>
          <w:rFonts w:ascii="Arial" w:hAnsi="Arial" w:cs="Arial"/>
          <w:i/>
          <w:sz w:val="20"/>
          <w:szCs w:val="20"/>
        </w:rPr>
        <w:t>L’effectivité des droits de l’Homme dans les Outre-mer</w:t>
      </w:r>
      <w:r w:rsidRPr="004F6CD1">
        <w:rPr>
          <w:rFonts w:ascii="Arial" w:hAnsi="Arial" w:cs="Arial"/>
          <w:sz w:val="20"/>
          <w:szCs w:val="20"/>
        </w:rPr>
        <w:t> », territoires trop souvent oubliés des politiques publiques nationales, parue en 2017. C’est dans ce cadre la LDH a été auditionnée le 20 février 2017 concernant plus particulièrement l’effectivité du droit à l’éducation en Outre-mer.</w:t>
      </w:r>
    </w:p>
    <w:p w14:paraId="3E60D012" w14:textId="77777777" w:rsidR="0038095E" w:rsidRPr="0038095E" w:rsidRDefault="0038095E" w:rsidP="0038095E">
      <w:pPr>
        <w:spacing w:after="0" w:line="240" w:lineRule="auto"/>
        <w:jc w:val="both"/>
        <w:rPr>
          <w:rFonts w:ascii="Arial" w:hAnsi="Arial" w:cs="Arial"/>
          <w:sz w:val="20"/>
          <w:szCs w:val="20"/>
        </w:rPr>
      </w:pPr>
    </w:p>
    <w:p w14:paraId="231B194F" w14:textId="77777777" w:rsidR="0045744D" w:rsidRDefault="0045744D" w:rsidP="0038095E">
      <w:pPr>
        <w:pStyle w:val="Paragraphedeliste"/>
        <w:spacing w:after="0" w:line="240" w:lineRule="auto"/>
        <w:ind w:left="360"/>
        <w:jc w:val="both"/>
        <w:rPr>
          <w:rFonts w:ascii="Arial" w:hAnsi="Arial" w:cs="Arial"/>
          <w:sz w:val="20"/>
          <w:szCs w:val="20"/>
          <w:u w:val="single"/>
        </w:rPr>
      </w:pPr>
      <w:r w:rsidRPr="004F6CD1">
        <w:rPr>
          <w:rFonts w:ascii="Arial" w:hAnsi="Arial" w:cs="Arial"/>
          <w:sz w:val="20"/>
          <w:szCs w:val="20"/>
        </w:rPr>
        <w:t>2.1</w:t>
      </w:r>
      <w:r w:rsidRPr="004F6CD1">
        <w:rPr>
          <w:rFonts w:ascii="Arial" w:hAnsi="Arial" w:cs="Arial"/>
          <w:sz w:val="20"/>
          <w:szCs w:val="20"/>
          <w:u w:val="single"/>
        </w:rPr>
        <w:t xml:space="preserve"> les entraves à l’inscription scolaire discriminatoires</w:t>
      </w:r>
    </w:p>
    <w:p w14:paraId="61A6AC36" w14:textId="77777777" w:rsidR="0038095E" w:rsidRPr="004F6CD1" w:rsidRDefault="0038095E" w:rsidP="0038095E">
      <w:pPr>
        <w:pStyle w:val="Paragraphedeliste"/>
        <w:spacing w:after="0" w:line="240" w:lineRule="auto"/>
        <w:ind w:left="360"/>
        <w:jc w:val="both"/>
        <w:rPr>
          <w:rFonts w:ascii="Arial" w:hAnsi="Arial" w:cs="Arial"/>
          <w:sz w:val="20"/>
          <w:szCs w:val="20"/>
        </w:rPr>
      </w:pPr>
    </w:p>
    <w:p w14:paraId="52297C84" w14:textId="77777777" w:rsidR="0045744D"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Depuis plusieurs années, la LDH dénonce régulièrement avec le collectif Migrants Outre-mer (MOM), dont elle est un membre actif, les atteintes au droit à l’éducation des enfants étrangers, ou perçus comme tels, dans les territoires de Guyane et de Mayotte</w:t>
      </w:r>
      <w:r w:rsidRPr="0045744D">
        <w:rPr>
          <w:vertAlign w:val="superscript"/>
        </w:rPr>
        <w:footnoteReference w:id="56"/>
      </w:r>
      <w:r w:rsidRPr="004F6CD1">
        <w:rPr>
          <w:rFonts w:ascii="Arial" w:hAnsi="Arial" w:cs="Arial"/>
          <w:sz w:val="20"/>
          <w:szCs w:val="20"/>
        </w:rPr>
        <w:t>.</w:t>
      </w:r>
    </w:p>
    <w:p w14:paraId="1C9AB92F" w14:textId="77777777" w:rsidR="0038095E" w:rsidRPr="004F6CD1" w:rsidRDefault="0038095E" w:rsidP="0038095E">
      <w:pPr>
        <w:pStyle w:val="Paragraphedeliste"/>
        <w:spacing w:after="0" w:line="240" w:lineRule="auto"/>
        <w:ind w:left="360"/>
        <w:jc w:val="both"/>
        <w:rPr>
          <w:rFonts w:ascii="Arial" w:hAnsi="Arial" w:cs="Arial"/>
          <w:sz w:val="20"/>
          <w:szCs w:val="20"/>
        </w:rPr>
      </w:pPr>
    </w:p>
    <w:p w14:paraId="76BF02C2" w14:textId="77777777" w:rsidR="0045744D"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Plus récemment, le 10 décembre 2019, la LDH a saisi avec le collectif MOM le Défenseur des droits concernant les atteintes observées au droit à l’éducation constitutives d’une discrimination à Mayotte</w:t>
      </w:r>
      <w:r w:rsidRPr="0045744D">
        <w:rPr>
          <w:vertAlign w:val="superscript"/>
        </w:rPr>
        <w:footnoteReference w:id="57"/>
      </w:r>
      <w:r w:rsidRPr="004F6CD1">
        <w:rPr>
          <w:rFonts w:ascii="Arial" w:hAnsi="Arial" w:cs="Arial"/>
          <w:sz w:val="20"/>
          <w:szCs w:val="20"/>
        </w:rPr>
        <w:t>.</w:t>
      </w:r>
    </w:p>
    <w:p w14:paraId="18D9BFA5" w14:textId="77777777" w:rsidR="0038095E" w:rsidRPr="0038095E" w:rsidRDefault="0038095E" w:rsidP="0038095E">
      <w:pPr>
        <w:spacing w:after="0" w:line="240" w:lineRule="auto"/>
        <w:jc w:val="both"/>
        <w:rPr>
          <w:rFonts w:ascii="Arial" w:hAnsi="Arial" w:cs="Arial"/>
          <w:sz w:val="20"/>
          <w:szCs w:val="20"/>
        </w:rPr>
      </w:pPr>
    </w:p>
    <w:p w14:paraId="7499D775" w14:textId="77777777" w:rsidR="0045744D"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Il a en effet été observé par nos associations une pratique illégale des mairies visant à subordonner l’inscription scolaire à la production de documents relatifs à la qualité du représentant de l’enfant – et parfois à sa nationalité ou à sa situation administrative – et au domicile, dont la finalité est l’empêchement à la scolarisation des enfants, pour la plupart étrangers et/ou en situation de grande précarité.</w:t>
      </w:r>
    </w:p>
    <w:p w14:paraId="4CEB9E63" w14:textId="77777777" w:rsidR="0038095E" w:rsidRPr="0038095E" w:rsidRDefault="0038095E" w:rsidP="0038095E">
      <w:pPr>
        <w:spacing w:after="0" w:line="240" w:lineRule="auto"/>
        <w:jc w:val="both"/>
        <w:rPr>
          <w:rFonts w:ascii="Arial" w:hAnsi="Arial" w:cs="Arial"/>
          <w:sz w:val="20"/>
          <w:szCs w:val="20"/>
        </w:rPr>
      </w:pPr>
    </w:p>
    <w:p w14:paraId="0628119D" w14:textId="77777777" w:rsidR="0045744D"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A cet égard, le Défenseur des droits a pu constater lors de sa visite à Mayotte, les 2 et 3 octobre 2019,  que la pratique des refus d’inscription perdurait en raison de l’illégalité des pièces exigées par certaines communes et, afin que soit assurée l’effectivité du droit à l’éducation de tous les enfants, il réitère ses précédentes recommandations à l’attention des maires de Mayotte, en rappelant que le refus, opposé par un maire, d’inscrire à l’école un enfant résidant sur sa commune et en âge d’être scolarisé, est constitutif d’une discrimination punie par la loi s’il est fondé sur un des critères prohibés, tels que l’origine, l’appartenance ou non-appartenance, vraie ou supposée, à une nation, le lieu de résidence et la particulière vulnérabilité résultant de la situation économique</w:t>
      </w:r>
      <w:r w:rsidRPr="0045744D">
        <w:rPr>
          <w:vertAlign w:val="superscript"/>
        </w:rPr>
        <w:footnoteReference w:id="58"/>
      </w:r>
      <w:r w:rsidRPr="004F6CD1">
        <w:rPr>
          <w:rFonts w:ascii="Arial" w:hAnsi="Arial" w:cs="Arial"/>
          <w:sz w:val="20"/>
          <w:szCs w:val="20"/>
        </w:rPr>
        <w:t xml:space="preserve">. </w:t>
      </w:r>
    </w:p>
    <w:p w14:paraId="4A3858C0" w14:textId="77777777" w:rsidR="0038095E" w:rsidRPr="0038095E" w:rsidRDefault="0038095E" w:rsidP="0038095E">
      <w:pPr>
        <w:spacing w:after="0" w:line="240" w:lineRule="auto"/>
        <w:jc w:val="both"/>
        <w:rPr>
          <w:rFonts w:ascii="Arial" w:hAnsi="Arial" w:cs="Arial"/>
          <w:sz w:val="20"/>
          <w:szCs w:val="20"/>
        </w:rPr>
      </w:pPr>
    </w:p>
    <w:p w14:paraId="6EB197BD" w14:textId="77777777" w:rsidR="0045744D" w:rsidRPr="00F76C5A" w:rsidRDefault="0045744D" w:rsidP="00A37B18">
      <w:pPr>
        <w:pStyle w:val="Paragraphedeliste"/>
        <w:numPr>
          <w:ilvl w:val="0"/>
          <w:numId w:val="9"/>
        </w:numPr>
        <w:spacing w:after="0" w:line="240" w:lineRule="auto"/>
        <w:jc w:val="both"/>
      </w:pPr>
      <w:r w:rsidRPr="004F6CD1">
        <w:rPr>
          <w:rFonts w:ascii="Arial" w:hAnsi="Arial" w:cs="Arial"/>
          <w:sz w:val="20"/>
          <w:szCs w:val="20"/>
        </w:rPr>
        <w:t>Le Défenseur des droits rappelle en outre que dans l’attente de la parution du prochain décret relatif aux documents exigibles pour l’inscription scolaire d’un enfant</w:t>
      </w:r>
      <w:r w:rsidRPr="004F6CD1">
        <w:rPr>
          <w:rFonts w:ascii="Arial" w:hAnsi="Arial" w:cs="Arial"/>
          <w:i/>
          <w:sz w:val="20"/>
          <w:szCs w:val="20"/>
        </w:rPr>
        <w:t>,</w:t>
      </w:r>
      <w:r w:rsidRPr="004F6CD1">
        <w:rPr>
          <w:rFonts w:ascii="Arial" w:hAnsi="Arial" w:cs="Arial"/>
          <w:sz w:val="20"/>
          <w:szCs w:val="20"/>
        </w:rPr>
        <w:t xml:space="preserve"> seuls les documents d’état civil de l’enfant et de la personne qui en a la charge, le justificatif de résidence sur la commune et le document attestant des vaccinations obligatoires doivent être exigés par les mairies</w:t>
      </w:r>
      <w:r w:rsidRPr="0045744D">
        <w:rPr>
          <w:vertAlign w:val="superscript"/>
        </w:rPr>
        <w:footnoteReference w:id="59"/>
      </w:r>
      <w:r w:rsidRPr="004F6CD1">
        <w:rPr>
          <w:rFonts w:ascii="Arial" w:hAnsi="Arial" w:cs="Arial"/>
          <w:sz w:val="20"/>
          <w:szCs w:val="20"/>
        </w:rPr>
        <w:t>.</w:t>
      </w:r>
    </w:p>
    <w:p w14:paraId="2E170D45" w14:textId="77777777" w:rsidR="00F76C5A" w:rsidRDefault="00F76C5A" w:rsidP="00F76C5A">
      <w:pPr>
        <w:pStyle w:val="Paragraphedeliste"/>
      </w:pPr>
    </w:p>
    <w:p w14:paraId="4564E137" w14:textId="77777777" w:rsidR="00F76C5A" w:rsidRPr="00F76C5A" w:rsidRDefault="00F76C5A" w:rsidP="00F76C5A">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 xml:space="preserve">A cet égard,  afin de mettre fin aux pratiques hétérogènes et opaques en matière de scolarisation des enfants dans le premier degré et de lutter contre la non-scolarisation,  la CNCDH recommande « </w:t>
      </w:r>
      <w:r w:rsidRPr="004F6CD1">
        <w:rPr>
          <w:rFonts w:ascii="Arial" w:hAnsi="Arial" w:cs="Arial"/>
          <w:i/>
          <w:sz w:val="20"/>
          <w:szCs w:val="20"/>
        </w:rPr>
        <w:t>d’envisager la possibilité d’encadrer strictement par décret les pièces justificatives pouvant être réclamées par les mairies lors de la procédure d’inscription scolaire, pour justifier du domicile (dont une attestation sur l’honneur) et de son identité (par tout moyen, dont la notoriété publique), et en rappelant le principe d’identification de la personne responsable ainsi que le délai de transmission du certificat médical</w:t>
      </w:r>
      <w:r w:rsidRPr="004F6CD1">
        <w:rPr>
          <w:rFonts w:ascii="Arial" w:hAnsi="Arial" w:cs="Arial"/>
          <w:sz w:val="20"/>
          <w:szCs w:val="20"/>
        </w:rPr>
        <w:t xml:space="preserve"> »</w:t>
      </w:r>
      <w:r w:rsidRPr="0045744D">
        <w:rPr>
          <w:vertAlign w:val="superscript"/>
        </w:rPr>
        <w:footnoteReference w:id="60"/>
      </w:r>
      <w:r w:rsidRPr="004F6CD1">
        <w:rPr>
          <w:rFonts w:ascii="Arial" w:hAnsi="Arial" w:cs="Arial"/>
          <w:sz w:val="20"/>
          <w:szCs w:val="20"/>
        </w:rPr>
        <w:t>.</w:t>
      </w:r>
    </w:p>
    <w:p w14:paraId="4A20C9F4" w14:textId="77777777" w:rsidR="00941BC0" w:rsidRPr="00941BC0" w:rsidRDefault="00941BC0" w:rsidP="00773253">
      <w:pPr>
        <w:spacing w:after="0" w:line="240" w:lineRule="auto"/>
        <w:jc w:val="both"/>
        <w:rPr>
          <w:rFonts w:ascii="Arial" w:hAnsi="Arial" w:cs="Arial"/>
          <w:sz w:val="20"/>
          <w:szCs w:val="20"/>
        </w:rPr>
      </w:pPr>
    </w:p>
    <w:p w14:paraId="66F080B6" w14:textId="77777777" w:rsidR="00941BC0" w:rsidRDefault="00941BC0" w:rsidP="00941BC0">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 xml:space="preserve">Aussi, face à la pression de la société civile et des autorités administratives indépendantes, le décret n° 2020-811 du 29 juin 2020, qui est venu préciser et circonscrire la liste des pièces qui </w:t>
      </w:r>
      <w:r w:rsidRPr="004F6CD1">
        <w:rPr>
          <w:rFonts w:ascii="Arial" w:hAnsi="Arial" w:cs="Arial"/>
          <w:sz w:val="20"/>
          <w:szCs w:val="20"/>
        </w:rPr>
        <w:lastRenderedPageBreak/>
        <w:t xml:space="preserve">pouvaient être exigées à l’appui d’une demande de scolarisation d’un enfant âgé de 3 à 16 ans </w:t>
      </w:r>
      <w:r w:rsidRPr="0045744D">
        <w:rPr>
          <w:vertAlign w:val="superscript"/>
        </w:rPr>
        <w:footnoteReference w:id="61"/>
      </w:r>
      <w:r w:rsidRPr="004F6CD1">
        <w:rPr>
          <w:rFonts w:ascii="Arial" w:hAnsi="Arial" w:cs="Arial"/>
          <w:sz w:val="20"/>
          <w:szCs w:val="20"/>
        </w:rPr>
        <w:t>, a été adopté, devant ainsi remédier à certains obstacles à la scolarisation.</w:t>
      </w:r>
    </w:p>
    <w:p w14:paraId="3386B59D" w14:textId="77777777" w:rsidR="00F76C5A" w:rsidRPr="00F76C5A" w:rsidRDefault="00F76C5A" w:rsidP="00F76C5A">
      <w:pPr>
        <w:pStyle w:val="Paragraphedeliste"/>
        <w:rPr>
          <w:rFonts w:ascii="Arial" w:hAnsi="Arial" w:cs="Arial"/>
          <w:sz w:val="20"/>
          <w:szCs w:val="20"/>
        </w:rPr>
      </w:pPr>
    </w:p>
    <w:p w14:paraId="51F2064D" w14:textId="77777777" w:rsidR="00F76C5A" w:rsidRPr="00F76C5A" w:rsidRDefault="00F76C5A" w:rsidP="00F76C5A">
      <w:pPr>
        <w:spacing w:after="0" w:line="240" w:lineRule="auto"/>
        <w:jc w:val="both"/>
        <w:rPr>
          <w:rFonts w:ascii="Arial" w:hAnsi="Arial" w:cs="Arial"/>
          <w:sz w:val="20"/>
          <w:szCs w:val="20"/>
        </w:rPr>
      </w:pPr>
    </w:p>
    <w:p w14:paraId="4CE88FA3" w14:textId="77777777" w:rsidR="0045744D" w:rsidRDefault="0045744D" w:rsidP="0038095E">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Or, à ce jour encore, le maintien des pratiques municipales discriminatoires en matière d’inscription scolaire a été observé en Guyane et à Mayotte, nonobstant la publication du décret du 29 juin 2020.</w:t>
      </w:r>
    </w:p>
    <w:p w14:paraId="10DB4DFD" w14:textId="77777777" w:rsidR="0038095E" w:rsidRPr="0038095E" w:rsidRDefault="0038095E" w:rsidP="0038095E">
      <w:pPr>
        <w:spacing w:after="0" w:line="240" w:lineRule="auto"/>
        <w:jc w:val="both"/>
        <w:rPr>
          <w:rFonts w:ascii="Arial" w:hAnsi="Arial" w:cs="Arial"/>
          <w:sz w:val="20"/>
          <w:szCs w:val="20"/>
        </w:rPr>
      </w:pPr>
    </w:p>
    <w:p w14:paraId="484B9A5B" w14:textId="77777777" w:rsidR="0045744D"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En Guyane, des familles résidant dans des quartiers informels sont toujours contraintes de recourir à (voire d’acheter) de fausses attestations d’hébergement –  qui ne correspondent pas toujours à la réalité de leur lieu de vie –  pour répondre à la demande de justifier d’une adresse officielle lors de l’inscription scolaire. Les enfants concernés obtiennent ainsi des affectations éloignées de leur lieu de résidence, et sont contraints à des trajets longs et laborieux, augmentant ainsi le risque d’absentéisme et de décrochage scolaire</w:t>
      </w:r>
      <w:r w:rsidRPr="0045744D">
        <w:rPr>
          <w:vertAlign w:val="superscript"/>
        </w:rPr>
        <w:footnoteReference w:id="62"/>
      </w:r>
      <w:r w:rsidRPr="004F6CD1">
        <w:rPr>
          <w:rFonts w:ascii="Arial" w:hAnsi="Arial" w:cs="Arial"/>
          <w:sz w:val="20"/>
          <w:szCs w:val="20"/>
        </w:rPr>
        <w:t>.</w:t>
      </w:r>
    </w:p>
    <w:p w14:paraId="176D7EC9" w14:textId="77777777" w:rsidR="0038095E" w:rsidRPr="0038095E" w:rsidRDefault="0038095E" w:rsidP="0038095E">
      <w:pPr>
        <w:spacing w:after="0" w:line="240" w:lineRule="auto"/>
        <w:jc w:val="both"/>
        <w:rPr>
          <w:rFonts w:ascii="Arial" w:hAnsi="Arial" w:cs="Arial"/>
          <w:sz w:val="20"/>
          <w:szCs w:val="20"/>
        </w:rPr>
      </w:pPr>
    </w:p>
    <w:p w14:paraId="5EA5A3CF" w14:textId="77777777" w:rsidR="0045744D"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Dans son étude</w:t>
      </w:r>
      <w:r w:rsidRPr="0045744D">
        <w:rPr>
          <w:vertAlign w:val="superscript"/>
        </w:rPr>
        <w:footnoteReference w:id="63"/>
      </w:r>
      <w:r w:rsidRPr="004F6CD1">
        <w:rPr>
          <w:rFonts w:ascii="Arial" w:hAnsi="Arial" w:cs="Arial"/>
          <w:sz w:val="20"/>
          <w:szCs w:val="20"/>
        </w:rPr>
        <w:t xml:space="preserve">, l’UNICEF France et le Défenseur des droits constatent en effet qu’en Guyane, « </w:t>
      </w:r>
      <w:r w:rsidRPr="004F6CD1">
        <w:rPr>
          <w:rFonts w:ascii="Arial" w:hAnsi="Arial" w:cs="Arial"/>
          <w:i/>
          <w:sz w:val="20"/>
          <w:szCs w:val="20"/>
        </w:rPr>
        <w:t>malgré les alertes répétées émanant de la société civile quant au caractère discriminatoire d’un certain nombre de pratiques, l’exigence illégale de pièces administratives (que certaines familles ne peuvent produire) continuent à entraver l’accès au droit à l’éducation de nombreux enfants, au premier rang desquels les jeunes étrangers, en âge de scolarisation et de formation obligatoires</w:t>
      </w:r>
      <w:r w:rsidRPr="004F6CD1">
        <w:rPr>
          <w:rFonts w:ascii="Arial" w:hAnsi="Arial" w:cs="Arial"/>
          <w:sz w:val="20"/>
          <w:szCs w:val="20"/>
        </w:rPr>
        <w:t xml:space="preserve"> » et recommandent « </w:t>
      </w:r>
      <w:r w:rsidRPr="004F6CD1">
        <w:rPr>
          <w:rFonts w:ascii="Arial" w:hAnsi="Arial" w:cs="Arial"/>
          <w:i/>
          <w:sz w:val="20"/>
          <w:szCs w:val="20"/>
        </w:rPr>
        <w:t>aux communes d’appliquer le décret n° 2020-811 du 29 juin 2020 relatif à la simplification de l’inscription scolaire, et au ministère de l’Éducation nationale de s’assurer que le cadre est connu et respecté par les communes</w:t>
      </w:r>
      <w:r w:rsidRPr="004F6CD1">
        <w:rPr>
          <w:rFonts w:ascii="Arial" w:hAnsi="Arial" w:cs="Arial"/>
          <w:sz w:val="20"/>
          <w:szCs w:val="20"/>
        </w:rPr>
        <w:t xml:space="preserve"> ».</w:t>
      </w:r>
    </w:p>
    <w:p w14:paraId="138A1E49" w14:textId="77777777" w:rsidR="0038095E" w:rsidRPr="0038095E" w:rsidRDefault="0038095E" w:rsidP="0038095E">
      <w:pPr>
        <w:spacing w:after="0" w:line="240" w:lineRule="auto"/>
        <w:jc w:val="both"/>
        <w:rPr>
          <w:rFonts w:ascii="Arial" w:hAnsi="Arial" w:cs="Arial"/>
          <w:sz w:val="20"/>
          <w:szCs w:val="20"/>
        </w:rPr>
      </w:pPr>
    </w:p>
    <w:p w14:paraId="34B88114" w14:textId="77777777" w:rsidR="0045744D"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Concernant Mayotte, la LDH avec le collectif MOM a de nouveau interpellé</w:t>
      </w:r>
      <w:r w:rsidRPr="0045744D">
        <w:t xml:space="preserve"> </w:t>
      </w:r>
      <w:r w:rsidRPr="004F6CD1">
        <w:rPr>
          <w:rFonts w:ascii="Arial" w:hAnsi="Arial" w:cs="Arial"/>
          <w:sz w:val="20"/>
          <w:szCs w:val="20"/>
        </w:rPr>
        <w:t>le 1</w:t>
      </w:r>
      <w:r w:rsidRPr="004F6CD1">
        <w:rPr>
          <w:rFonts w:ascii="Arial" w:hAnsi="Arial" w:cs="Arial"/>
          <w:sz w:val="20"/>
          <w:szCs w:val="20"/>
          <w:vertAlign w:val="superscript"/>
        </w:rPr>
        <w:t>er</w:t>
      </w:r>
      <w:r w:rsidRPr="004F6CD1">
        <w:rPr>
          <w:rFonts w:ascii="Arial" w:hAnsi="Arial" w:cs="Arial"/>
          <w:sz w:val="20"/>
          <w:szCs w:val="20"/>
        </w:rPr>
        <w:t xml:space="preserve"> juin 2021 l’ensemble des communes sur la persistance de la violation du droit à l’éducation et leur a demandé la stricte application du décret n°2020-811 du 29 juin 2020.</w:t>
      </w:r>
    </w:p>
    <w:p w14:paraId="253CBCB3" w14:textId="77777777" w:rsidR="0038095E" w:rsidRPr="0038095E" w:rsidRDefault="0038095E" w:rsidP="0038095E">
      <w:pPr>
        <w:spacing w:after="0" w:line="240" w:lineRule="auto"/>
        <w:jc w:val="both"/>
        <w:rPr>
          <w:rFonts w:ascii="Arial" w:hAnsi="Arial" w:cs="Arial"/>
          <w:sz w:val="20"/>
          <w:szCs w:val="20"/>
        </w:rPr>
      </w:pPr>
    </w:p>
    <w:p w14:paraId="261FF01A" w14:textId="77777777" w:rsidR="0038095E" w:rsidRDefault="0045744D" w:rsidP="0038095E">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Face au silence gardé des autorités municipales, et de la récurrence des refus d’inscription, onze requêtes ont été déposées</w:t>
      </w:r>
      <w:r w:rsidRPr="0045744D">
        <w:rPr>
          <w:vertAlign w:val="superscript"/>
        </w:rPr>
        <w:footnoteReference w:id="64"/>
      </w:r>
      <w:r w:rsidRPr="004F6CD1">
        <w:rPr>
          <w:rFonts w:ascii="Arial" w:hAnsi="Arial" w:cs="Arial"/>
          <w:sz w:val="20"/>
          <w:szCs w:val="20"/>
        </w:rPr>
        <w:t xml:space="preserve"> devant le tribunal administratif de Mayotte par des parents confrontés à des décisions de refus implicites de scolarisation de leurs enfants âgés de 3 à 5 ans par la mairie de Tsingoni, au soutien desquelles la LDH était également requérante.</w:t>
      </w:r>
    </w:p>
    <w:p w14:paraId="324ADD74" w14:textId="77777777" w:rsidR="00771D78" w:rsidRPr="00771D78" w:rsidRDefault="00771D78" w:rsidP="00771D78">
      <w:pPr>
        <w:pStyle w:val="Paragraphedeliste"/>
        <w:rPr>
          <w:rFonts w:ascii="Arial" w:hAnsi="Arial" w:cs="Arial"/>
          <w:sz w:val="20"/>
          <w:szCs w:val="20"/>
        </w:rPr>
      </w:pPr>
    </w:p>
    <w:p w14:paraId="7D1E73F8" w14:textId="77777777" w:rsidR="0045744D" w:rsidRPr="00771D78" w:rsidRDefault="0045744D" w:rsidP="00771D78">
      <w:pPr>
        <w:pStyle w:val="Paragraphedeliste"/>
        <w:numPr>
          <w:ilvl w:val="0"/>
          <w:numId w:val="9"/>
        </w:numPr>
        <w:spacing w:after="0" w:line="240" w:lineRule="auto"/>
        <w:jc w:val="both"/>
        <w:rPr>
          <w:rFonts w:ascii="Arial" w:hAnsi="Arial" w:cs="Arial"/>
          <w:sz w:val="20"/>
          <w:szCs w:val="20"/>
        </w:rPr>
      </w:pPr>
      <w:r w:rsidRPr="00771D78">
        <w:rPr>
          <w:rFonts w:ascii="Arial" w:hAnsi="Arial" w:cs="Arial"/>
          <w:sz w:val="20"/>
          <w:szCs w:val="20"/>
        </w:rPr>
        <w:t>Par des ordonnances rendues le 28 octobre 2021</w:t>
      </w:r>
      <w:r w:rsidRPr="0045744D">
        <w:rPr>
          <w:vertAlign w:val="superscript"/>
        </w:rPr>
        <w:footnoteReference w:id="65"/>
      </w:r>
      <w:r w:rsidRPr="00771D78">
        <w:rPr>
          <w:rFonts w:ascii="Arial" w:hAnsi="Arial" w:cs="Arial"/>
          <w:sz w:val="20"/>
          <w:szCs w:val="20"/>
        </w:rPr>
        <w:t xml:space="preserve">, le juge des référés du tribunal administratif de Mayotte a considéré « </w:t>
      </w:r>
      <w:r w:rsidRPr="00771D78">
        <w:rPr>
          <w:rFonts w:ascii="Arial" w:hAnsi="Arial" w:cs="Arial"/>
          <w:i/>
          <w:sz w:val="20"/>
          <w:szCs w:val="20"/>
        </w:rPr>
        <w:t xml:space="preserve">que le maire de Tsingoni agissant au nom de l’Etat, de même que le recteur de Mayotte, au titre de son absence d’intervention à l’égard des agissements irréguliers du maire, ont porté une atteinte grave et manifestement illégale aux libertés fondamentales que constituent le droit à l’instruction, l’intérêt supérieur de l’enfant et le principe de non-discrimination » </w:t>
      </w:r>
      <w:r w:rsidRPr="00771D78">
        <w:rPr>
          <w:rFonts w:ascii="Arial" w:hAnsi="Arial" w:cs="Arial"/>
          <w:sz w:val="20"/>
          <w:szCs w:val="20"/>
        </w:rPr>
        <w:t>et, afin de faire cesser les atteintes, il a enjoint aux autorités de</w:t>
      </w:r>
      <w:r w:rsidRPr="00771D78">
        <w:rPr>
          <w:rFonts w:ascii="Arial" w:hAnsi="Arial" w:cs="Arial"/>
          <w:i/>
          <w:sz w:val="20"/>
          <w:szCs w:val="20"/>
        </w:rPr>
        <w:t xml:space="preserve"> « faire le nécessaire, dans un délai de cinq jours, pour que soit assurée leur scolarisation</w:t>
      </w:r>
      <w:r w:rsidRPr="00771D78">
        <w:rPr>
          <w:rFonts w:ascii="Arial" w:hAnsi="Arial" w:cs="Arial"/>
          <w:sz w:val="20"/>
          <w:szCs w:val="20"/>
        </w:rPr>
        <w:t xml:space="preserve"> ».</w:t>
      </w:r>
    </w:p>
    <w:p w14:paraId="1453E037" w14:textId="77777777" w:rsidR="0038095E" w:rsidRPr="0038095E" w:rsidRDefault="0038095E" w:rsidP="0038095E">
      <w:pPr>
        <w:spacing w:after="0" w:line="240" w:lineRule="auto"/>
        <w:jc w:val="both"/>
        <w:rPr>
          <w:rFonts w:ascii="Arial" w:hAnsi="Arial" w:cs="Arial"/>
          <w:sz w:val="20"/>
          <w:szCs w:val="20"/>
        </w:rPr>
      </w:pPr>
    </w:p>
    <w:p w14:paraId="70CD5FD7" w14:textId="77777777" w:rsidR="0045744D" w:rsidRDefault="0045744D" w:rsidP="0038095E">
      <w:pPr>
        <w:pStyle w:val="Paragraphedeliste"/>
        <w:spacing w:after="0" w:line="240" w:lineRule="auto"/>
        <w:ind w:left="360"/>
        <w:jc w:val="both"/>
        <w:rPr>
          <w:rFonts w:ascii="Arial" w:hAnsi="Arial" w:cs="Arial"/>
          <w:sz w:val="20"/>
          <w:szCs w:val="20"/>
          <w:u w:val="single"/>
        </w:rPr>
      </w:pPr>
      <w:r w:rsidRPr="004F6CD1">
        <w:rPr>
          <w:rFonts w:ascii="Arial" w:hAnsi="Arial" w:cs="Arial"/>
          <w:sz w:val="20"/>
          <w:szCs w:val="20"/>
        </w:rPr>
        <w:t xml:space="preserve">2.1 </w:t>
      </w:r>
      <w:r w:rsidRPr="004F6CD1">
        <w:rPr>
          <w:rFonts w:ascii="Arial" w:hAnsi="Arial" w:cs="Arial"/>
          <w:sz w:val="20"/>
          <w:szCs w:val="20"/>
          <w:u w:val="single"/>
        </w:rPr>
        <w:t>Des modalités d’instruction dérogatoires</w:t>
      </w:r>
    </w:p>
    <w:p w14:paraId="11E2AE59" w14:textId="77777777" w:rsidR="0038095E" w:rsidRPr="004F6CD1" w:rsidRDefault="0038095E" w:rsidP="0038095E">
      <w:pPr>
        <w:pStyle w:val="Paragraphedeliste"/>
        <w:spacing w:after="0" w:line="240" w:lineRule="auto"/>
        <w:ind w:left="360"/>
        <w:jc w:val="both"/>
        <w:rPr>
          <w:rFonts w:ascii="Arial" w:hAnsi="Arial" w:cs="Arial"/>
          <w:sz w:val="20"/>
          <w:szCs w:val="20"/>
        </w:rPr>
      </w:pPr>
    </w:p>
    <w:p w14:paraId="40474DE5" w14:textId="77777777" w:rsidR="0045744D"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Selon le rapport du Défenseur des droits</w:t>
      </w:r>
      <w:r w:rsidRPr="0045744D">
        <w:rPr>
          <w:vertAlign w:val="superscript"/>
        </w:rPr>
        <w:footnoteReference w:id="66"/>
      </w:r>
      <w:r w:rsidRPr="004F6CD1">
        <w:rPr>
          <w:rFonts w:ascii="Arial" w:hAnsi="Arial" w:cs="Arial"/>
          <w:sz w:val="20"/>
          <w:szCs w:val="20"/>
        </w:rPr>
        <w:t>, 40% des écoles de l’île fonctionnent sur la base d’un système de rotation, c’est-à-dire que les élèves sont susceptibles d’être divisés en deux groupes, l’un suivant les cours uniquement le matin et l’autre uniquement l’après-midi, ce qui constitue une atteinte au droit à l’éducation et une rupture d’égalité avec les élèves de métropole.</w:t>
      </w:r>
    </w:p>
    <w:p w14:paraId="0A842190" w14:textId="77777777" w:rsidR="0038095E" w:rsidRPr="004F6CD1" w:rsidRDefault="0038095E" w:rsidP="0038095E">
      <w:pPr>
        <w:pStyle w:val="Paragraphedeliste"/>
        <w:spacing w:after="0" w:line="240" w:lineRule="auto"/>
        <w:ind w:left="360"/>
        <w:jc w:val="both"/>
        <w:rPr>
          <w:rFonts w:ascii="Arial" w:hAnsi="Arial" w:cs="Arial"/>
          <w:sz w:val="20"/>
          <w:szCs w:val="20"/>
        </w:rPr>
      </w:pPr>
    </w:p>
    <w:p w14:paraId="0A083CD9" w14:textId="77777777" w:rsidR="0045744D"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En outre, pour pallier le manque de places dans les établissements scolaires du premier degré, le rectorat de Mayotte a décidé la mise en œuvre d’un dispositif dit de « classes itinérantes ».</w:t>
      </w:r>
    </w:p>
    <w:p w14:paraId="791318C3" w14:textId="77777777" w:rsidR="0038095E" w:rsidRPr="0038095E" w:rsidRDefault="0038095E" w:rsidP="0038095E">
      <w:pPr>
        <w:spacing w:after="0" w:line="240" w:lineRule="auto"/>
        <w:jc w:val="both"/>
        <w:rPr>
          <w:rFonts w:ascii="Arial" w:hAnsi="Arial" w:cs="Arial"/>
          <w:sz w:val="20"/>
          <w:szCs w:val="20"/>
        </w:rPr>
      </w:pPr>
    </w:p>
    <w:p w14:paraId="6CA9D910" w14:textId="77777777" w:rsidR="0045744D"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D’après les informations recueillies auprès des familles concernées, les enfants inscrits en classes itinérantes seraient pris en charge moins de deux demi-journées par semaine. A titre d’exemple, les enfants inscrits dans le groupe 5 de la classe itinérante mis en place à la MJC de Tsingoni sont reçus les mercredis de 7h00 à 9h30 puis les vendredis de 9h40 à 12h00.</w:t>
      </w:r>
    </w:p>
    <w:p w14:paraId="4AF92E20" w14:textId="77777777" w:rsidR="0038095E" w:rsidRPr="0038095E" w:rsidRDefault="0038095E" w:rsidP="0038095E">
      <w:pPr>
        <w:spacing w:after="0" w:line="240" w:lineRule="auto"/>
        <w:jc w:val="both"/>
        <w:rPr>
          <w:rFonts w:ascii="Arial" w:hAnsi="Arial" w:cs="Arial"/>
          <w:sz w:val="20"/>
          <w:szCs w:val="20"/>
        </w:rPr>
      </w:pPr>
    </w:p>
    <w:p w14:paraId="546B7071" w14:textId="77777777" w:rsidR="0045744D"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Par ailleurs, il apparaitrait dans les faits rapportés que les enfants de nationalité française seraient ainsi scolarisés de préférence au sein des écoles de la commune. Les enfants étrangers dont les familles se sont vues délivrer un titre de séjour seraient accueillis une matinée par semaine à la MJC de Tsingoni. Les enfants de nationalité étrangère et dont les familles seraient en situation administrative irrégulière sur le territoire ne seraient pas toujours pas inscrits sur les listes.</w:t>
      </w:r>
    </w:p>
    <w:p w14:paraId="38C591B1" w14:textId="77777777" w:rsidR="0038095E" w:rsidRPr="0038095E" w:rsidRDefault="0038095E" w:rsidP="0038095E">
      <w:pPr>
        <w:spacing w:after="0" w:line="240" w:lineRule="auto"/>
        <w:jc w:val="both"/>
        <w:rPr>
          <w:rFonts w:ascii="Arial" w:hAnsi="Arial" w:cs="Arial"/>
          <w:sz w:val="20"/>
          <w:szCs w:val="20"/>
        </w:rPr>
      </w:pPr>
    </w:p>
    <w:p w14:paraId="0E7309B2" w14:textId="77777777" w:rsidR="0045744D"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Aussi, la LDH avec le Gisti et la Fasti a interpellé, le 15 novembre 2021, le Rectorat de Mayotte, la préfecture de Mayotte et le ministère de l’Education nationale concernant le déploiement du dispositif dit de « classes itinérantes » dans le département constitutif d’une atteinte grave au droit de tout enfant à l’instruction et d’une rupture d’égalité.</w:t>
      </w:r>
    </w:p>
    <w:p w14:paraId="6E47B5B2" w14:textId="77777777" w:rsidR="0038095E" w:rsidRPr="0038095E" w:rsidRDefault="0038095E" w:rsidP="0038095E">
      <w:pPr>
        <w:spacing w:after="0" w:line="240" w:lineRule="auto"/>
        <w:jc w:val="both"/>
        <w:rPr>
          <w:rFonts w:ascii="Arial" w:hAnsi="Arial" w:cs="Arial"/>
          <w:sz w:val="20"/>
          <w:szCs w:val="20"/>
        </w:rPr>
      </w:pPr>
    </w:p>
    <w:p w14:paraId="50126B2B" w14:textId="584BD2C0" w:rsidR="0045744D"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En septembre 2021, interpellé par la mise en œuvre de classes itinérantes</w:t>
      </w:r>
      <w:r w:rsidR="00A15216">
        <w:rPr>
          <w:rFonts w:ascii="Arial" w:hAnsi="Arial" w:cs="Arial"/>
          <w:sz w:val="20"/>
          <w:szCs w:val="20"/>
        </w:rPr>
        <w:t xml:space="preserve"> sur la commune de Tsingoni, la </w:t>
      </w:r>
      <w:r w:rsidRPr="004F6CD1">
        <w:rPr>
          <w:rFonts w:ascii="Arial" w:hAnsi="Arial" w:cs="Arial"/>
          <w:sz w:val="20"/>
          <w:szCs w:val="20"/>
        </w:rPr>
        <w:t>Défenseur</w:t>
      </w:r>
      <w:r w:rsidR="00A15216">
        <w:rPr>
          <w:rFonts w:ascii="Arial" w:hAnsi="Arial" w:cs="Arial"/>
          <w:sz w:val="20"/>
          <w:szCs w:val="20"/>
        </w:rPr>
        <w:t>e</w:t>
      </w:r>
      <w:r w:rsidRPr="004F6CD1">
        <w:rPr>
          <w:rFonts w:ascii="Arial" w:hAnsi="Arial" w:cs="Arial"/>
          <w:sz w:val="20"/>
          <w:szCs w:val="20"/>
        </w:rPr>
        <w:t xml:space="preserve"> des droits a présenté ses observations dans la procédure contentieuse initiée par nos associations devant le tribunal administratif de Mayotte</w:t>
      </w:r>
      <w:r w:rsidRPr="0045744D">
        <w:rPr>
          <w:vertAlign w:val="superscript"/>
        </w:rPr>
        <w:footnoteReference w:id="67"/>
      </w:r>
      <w:r w:rsidRPr="004F6CD1">
        <w:rPr>
          <w:rFonts w:ascii="Arial" w:hAnsi="Arial" w:cs="Arial"/>
          <w:sz w:val="20"/>
          <w:szCs w:val="20"/>
        </w:rPr>
        <w:t>.</w:t>
      </w:r>
    </w:p>
    <w:p w14:paraId="6DA6340C" w14:textId="77777777" w:rsidR="0038095E" w:rsidRPr="0038095E" w:rsidRDefault="0038095E" w:rsidP="0038095E">
      <w:pPr>
        <w:spacing w:after="0" w:line="240" w:lineRule="auto"/>
        <w:jc w:val="both"/>
        <w:rPr>
          <w:rFonts w:ascii="Arial" w:hAnsi="Arial" w:cs="Arial"/>
          <w:sz w:val="20"/>
          <w:szCs w:val="20"/>
        </w:rPr>
      </w:pPr>
    </w:p>
    <w:p w14:paraId="1C27B1FD" w14:textId="77777777" w:rsidR="0045744D"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 xml:space="preserve">La Défenseure des droits souligne que de telles modalités de prise en charge ne sont pas de nature à satisfaire l’obligation de scolarisation de tous les enfants, pesant sur l’Etat et les communes. </w:t>
      </w:r>
    </w:p>
    <w:p w14:paraId="39E3F3AD" w14:textId="77777777" w:rsidR="0038095E" w:rsidRPr="0038095E" w:rsidRDefault="0038095E" w:rsidP="0038095E">
      <w:pPr>
        <w:spacing w:after="0" w:line="240" w:lineRule="auto"/>
        <w:jc w:val="both"/>
        <w:rPr>
          <w:rFonts w:ascii="Arial" w:hAnsi="Arial" w:cs="Arial"/>
          <w:sz w:val="20"/>
          <w:szCs w:val="20"/>
        </w:rPr>
      </w:pPr>
    </w:p>
    <w:p w14:paraId="79081999" w14:textId="548D7E3A" w:rsidR="0045744D"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Il convient de rappeler que le Conseil d’Etat juge que l’insuffisance des structures d‘accueil existantes et l’impossibilité qui en résulterait d’accueillir les enfants soumis à l’obligation scolaire, ne saurai</w:t>
      </w:r>
      <w:r w:rsidR="00DD2127">
        <w:rPr>
          <w:rFonts w:ascii="Arial" w:hAnsi="Arial" w:cs="Arial"/>
          <w:sz w:val="20"/>
          <w:szCs w:val="20"/>
        </w:rPr>
        <w:t>en</w:t>
      </w:r>
      <w:r w:rsidRPr="004F6CD1">
        <w:rPr>
          <w:rFonts w:ascii="Arial" w:hAnsi="Arial" w:cs="Arial"/>
          <w:sz w:val="20"/>
          <w:szCs w:val="20"/>
        </w:rPr>
        <w:t xml:space="preserve">t exonérer l’Etat et les communes de la responsabilité qui leur incombe et des obligations auxquelles ils sont tenus </w:t>
      </w:r>
      <w:r w:rsidRPr="0045744D">
        <w:rPr>
          <w:vertAlign w:val="superscript"/>
        </w:rPr>
        <w:footnoteReference w:id="68"/>
      </w:r>
      <w:r w:rsidRPr="004F6CD1">
        <w:rPr>
          <w:rFonts w:ascii="Arial" w:hAnsi="Arial" w:cs="Arial"/>
          <w:sz w:val="20"/>
          <w:szCs w:val="20"/>
        </w:rPr>
        <w:t>.</w:t>
      </w:r>
    </w:p>
    <w:p w14:paraId="46CAF60C" w14:textId="77777777" w:rsidR="0038095E" w:rsidRPr="0038095E" w:rsidRDefault="0038095E" w:rsidP="0038095E">
      <w:pPr>
        <w:spacing w:after="0" w:line="240" w:lineRule="auto"/>
        <w:jc w:val="both"/>
        <w:rPr>
          <w:rFonts w:ascii="Arial" w:hAnsi="Arial" w:cs="Arial"/>
          <w:sz w:val="20"/>
          <w:szCs w:val="20"/>
        </w:rPr>
      </w:pPr>
    </w:p>
    <w:p w14:paraId="734E00C0" w14:textId="28C666BB" w:rsidR="0045744D"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 xml:space="preserve">La Défenseure des droits considère à juste titre que le seul fait de réunir plusieurs </w:t>
      </w:r>
      <w:r w:rsidRPr="004508A4">
        <w:rPr>
          <w:rFonts w:ascii="Arial" w:hAnsi="Arial" w:cs="Arial"/>
          <w:sz w:val="20"/>
          <w:szCs w:val="20"/>
        </w:rPr>
        <w:t>dizaine</w:t>
      </w:r>
      <w:r w:rsidR="00640D9E" w:rsidRPr="004508A4">
        <w:rPr>
          <w:rFonts w:ascii="Arial" w:hAnsi="Arial" w:cs="Arial"/>
          <w:sz w:val="20"/>
          <w:szCs w:val="20"/>
        </w:rPr>
        <w:t>s</w:t>
      </w:r>
      <w:r w:rsidRPr="00640D9E">
        <w:rPr>
          <w:rFonts w:ascii="Arial" w:hAnsi="Arial" w:cs="Arial"/>
          <w:color w:val="FF0000"/>
          <w:sz w:val="20"/>
          <w:szCs w:val="20"/>
        </w:rPr>
        <w:t xml:space="preserve"> </w:t>
      </w:r>
      <w:r w:rsidRPr="004F6CD1">
        <w:rPr>
          <w:rFonts w:ascii="Arial" w:hAnsi="Arial" w:cs="Arial"/>
          <w:sz w:val="20"/>
          <w:szCs w:val="20"/>
        </w:rPr>
        <w:t>d’enfants, 3 heures par semaine dans une MJC, ne peut être considéré comme une scolarisation, ni ne peut être interprété comme permettant un accès à l’instruction ni comme satisfaisant aux obligations conventionnelles et légales qui pèsent sur la commune de Tsingoni et le rectorat de Mayotte de respecter le droit fondamental des enfants à l’éducation</w:t>
      </w:r>
      <w:r w:rsidRPr="0045744D">
        <w:rPr>
          <w:vertAlign w:val="superscript"/>
        </w:rPr>
        <w:footnoteReference w:id="69"/>
      </w:r>
      <w:r w:rsidRPr="004F6CD1">
        <w:rPr>
          <w:rFonts w:ascii="Arial" w:hAnsi="Arial" w:cs="Arial"/>
          <w:sz w:val="20"/>
          <w:szCs w:val="20"/>
        </w:rPr>
        <w:t>.</w:t>
      </w:r>
    </w:p>
    <w:p w14:paraId="127FB027" w14:textId="77777777" w:rsidR="0038095E" w:rsidRPr="0038095E" w:rsidRDefault="0038095E" w:rsidP="0038095E">
      <w:pPr>
        <w:spacing w:after="0" w:line="240" w:lineRule="auto"/>
        <w:jc w:val="both"/>
        <w:rPr>
          <w:rFonts w:ascii="Arial" w:hAnsi="Arial" w:cs="Arial"/>
          <w:sz w:val="20"/>
          <w:szCs w:val="20"/>
        </w:rPr>
      </w:pPr>
    </w:p>
    <w:p w14:paraId="479578F2" w14:textId="77777777" w:rsidR="0045744D"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En outre, elle relève que les éléments de faits laissent supposer que le critère de l’origine des enfants, de la nationalité de leurs parents est retenu afin de leur refuser l’accès à la scolarisation ou de leur proposer des modalités de scolarisation spécifiques et contraires à leur droit à l’éducation.</w:t>
      </w:r>
    </w:p>
    <w:p w14:paraId="4C4DBF45" w14:textId="77777777" w:rsidR="0038095E" w:rsidRPr="0038095E" w:rsidRDefault="0038095E" w:rsidP="0038095E">
      <w:pPr>
        <w:spacing w:after="0" w:line="240" w:lineRule="auto"/>
        <w:jc w:val="both"/>
        <w:rPr>
          <w:rFonts w:ascii="Arial" w:hAnsi="Arial" w:cs="Arial"/>
          <w:sz w:val="20"/>
          <w:szCs w:val="20"/>
        </w:rPr>
      </w:pPr>
    </w:p>
    <w:p w14:paraId="5DAF8E5C" w14:textId="77777777" w:rsidR="0045744D"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Ses observations concluent donc que « </w:t>
      </w:r>
      <w:r w:rsidRPr="004F6CD1">
        <w:rPr>
          <w:rFonts w:ascii="Arial" w:hAnsi="Arial" w:cs="Arial"/>
          <w:i/>
          <w:sz w:val="20"/>
          <w:szCs w:val="20"/>
        </w:rPr>
        <w:t>Au vu de l’ensemble de ces éléments, la Défenseure des droits considère que les refus opposés aux demandes d’inscription scolaire présentées par les parents de nationalité étrangère, en situation de particulière vulnérabilité économique, et l’accueil durant quelques heures, des enfants au sein d’un dispositif dérogatoire au droit commun, dit de « classes itinérantes » constituent une atteinte grave au droit fondamental à l’éducation, une rupture du principe d’égalité devant le service publique ainsi qu’une discrimination prohibée par la loi, contraire à l’intérêt supérieur de ces enfants</w:t>
      </w:r>
      <w:r w:rsidRPr="004F6CD1">
        <w:rPr>
          <w:rFonts w:ascii="Arial" w:hAnsi="Arial" w:cs="Arial"/>
          <w:sz w:val="20"/>
          <w:szCs w:val="20"/>
        </w:rPr>
        <w:t> »</w:t>
      </w:r>
      <w:r w:rsidRPr="0045744D">
        <w:rPr>
          <w:vertAlign w:val="superscript"/>
        </w:rPr>
        <w:footnoteReference w:id="70"/>
      </w:r>
      <w:r w:rsidRPr="004F6CD1">
        <w:rPr>
          <w:rFonts w:ascii="Arial" w:hAnsi="Arial" w:cs="Arial"/>
          <w:sz w:val="20"/>
          <w:szCs w:val="20"/>
        </w:rPr>
        <w:t>.</w:t>
      </w:r>
    </w:p>
    <w:p w14:paraId="32F54686" w14:textId="77777777" w:rsidR="0038095E" w:rsidRPr="0038095E" w:rsidRDefault="0038095E" w:rsidP="0038095E">
      <w:pPr>
        <w:spacing w:after="0" w:line="240" w:lineRule="auto"/>
        <w:jc w:val="both"/>
        <w:rPr>
          <w:rFonts w:ascii="Arial" w:hAnsi="Arial" w:cs="Arial"/>
          <w:sz w:val="20"/>
          <w:szCs w:val="20"/>
        </w:rPr>
      </w:pPr>
    </w:p>
    <w:p w14:paraId="069F5A20" w14:textId="77777777" w:rsidR="0045744D" w:rsidRPr="0038095E" w:rsidRDefault="0045744D" w:rsidP="0038095E">
      <w:pPr>
        <w:pStyle w:val="Paragraphedeliste"/>
        <w:numPr>
          <w:ilvl w:val="0"/>
          <w:numId w:val="12"/>
        </w:numPr>
        <w:spacing w:after="0" w:line="240" w:lineRule="auto"/>
        <w:jc w:val="both"/>
        <w:rPr>
          <w:rFonts w:ascii="Arial" w:hAnsi="Arial" w:cs="Arial"/>
          <w:b/>
          <w:sz w:val="20"/>
          <w:szCs w:val="20"/>
        </w:rPr>
      </w:pPr>
      <w:r w:rsidRPr="0038095E">
        <w:rPr>
          <w:rFonts w:ascii="Arial" w:hAnsi="Arial" w:cs="Arial"/>
          <w:b/>
          <w:sz w:val="20"/>
          <w:szCs w:val="20"/>
        </w:rPr>
        <w:t>La politique migratoire</w:t>
      </w:r>
    </w:p>
    <w:p w14:paraId="2A513021" w14:textId="77777777" w:rsidR="0045744D" w:rsidRPr="0038095E" w:rsidRDefault="0045744D" w:rsidP="0038095E">
      <w:pPr>
        <w:spacing w:after="0" w:line="240" w:lineRule="auto"/>
        <w:jc w:val="both"/>
        <w:rPr>
          <w:rFonts w:ascii="Arial" w:eastAsia="MS Mincho" w:hAnsi="Arial" w:cs="Arial"/>
          <w:sz w:val="20"/>
          <w:szCs w:val="20"/>
          <w:lang w:eastAsia="fr-FR"/>
        </w:rPr>
      </w:pPr>
    </w:p>
    <w:p w14:paraId="07B025CD" w14:textId="77777777" w:rsidR="0045744D" w:rsidRPr="004F6CD1" w:rsidRDefault="0045744D" w:rsidP="00A37B18">
      <w:pPr>
        <w:pStyle w:val="Paragraphedeliste"/>
        <w:numPr>
          <w:ilvl w:val="0"/>
          <w:numId w:val="9"/>
        </w:numPr>
        <w:spacing w:after="0" w:line="240" w:lineRule="auto"/>
        <w:jc w:val="both"/>
        <w:rPr>
          <w:rFonts w:ascii="Arial" w:eastAsia="MS Mincho" w:hAnsi="Arial" w:cs="Arial"/>
          <w:sz w:val="20"/>
          <w:szCs w:val="20"/>
          <w:lang w:eastAsia="fr-FR"/>
        </w:rPr>
      </w:pPr>
      <w:r w:rsidRPr="004F6CD1">
        <w:rPr>
          <w:rFonts w:ascii="Arial" w:eastAsia="MS Mincho" w:hAnsi="Arial" w:cs="Arial"/>
          <w:sz w:val="20"/>
          <w:szCs w:val="20"/>
          <w:lang w:eastAsia="fr-FR"/>
        </w:rPr>
        <w:t>La Ligue des droits de l'Homme souhaite attirer l’attention sur une situation particulièrement préoccupante concernant le respect des droits des migrants en outre-mer, et plus particulièrement en Guyane et Mayotte où au nom de la lutte contre l’immigration clandestine, un véritable régime d’exception a été instauré dans ces territoires ultramarins</w:t>
      </w:r>
      <w:r w:rsidRPr="0045744D">
        <w:rPr>
          <w:vertAlign w:val="superscript"/>
          <w:lang w:eastAsia="fr-FR"/>
        </w:rPr>
        <w:footnoteReference w:id="71"/>
      </w:r>
      <w:r w:rsidRPr="004F6CD1">
        <w:rPr>
          <w:rFonts w:ascii="Arial" w:eastAsia="MS Mincho" w:hAnsi="Arial" w:cs="Arial"/>
          <w:sz w:val="20"/>
          <w:szCs w:val="20"/>
          <w:lang w:eastAsia="fr-FR"/>
        </w:rPr>
        <w:t xml:space="preserve">. </w:t>
      </w:r>
    </w:p>
    <w:p w14:paraId="0BA6EBB6" w14:textId="77777777" w:rsidR="0045744D" w:rsidRPr="004F6CD1" w:rsidRDefault="0045744D" w:rsidP="0038095E">
      <w:pPr>
        <w:pStyle w:val="Paragraphedeliste"/>
        <w:spacing w:after="0" w:line="240" w:lineRule="auto"/>
        <w:ind w:left="360"/>
        <w:jc w:val="both"/>
        <w:rPr>
          <w:rFonts w:ascii="Arial" w:eastAsia="MS Mincho" w:hAnsi="Arial" w:cs="Arial"/>
          <w:sz w:val="20"/>
          <w:szCs w:val="20"/>
          <w:u w:val="single"/>
          <w:lang w:eastAsia="fr-FR"/>
        </w:rPr>
      </w:pPr>
    </w:p>
    <w:p w14:paraId="1DAD6E79" w14:textId="77777777" w:rsidR="0045744D" w:rsidRPr="004F6CD1" w:rsidRDefault="0045744D" w:rsidP="0038095E">
      <w:pPr>
        <w:pStyle w:val="Paragraphedeliste"/>
        <w:spacing w:after="0" w:line="240" w:lineRule="auto"/>
        <w:ind w:left="360"/>
        <w:jc w:val="both"/>
        <w:rPr>
          <w:rFonts w:ascii="Arial" w:eastAsia="MS Mincho" w:hAnsi="Arial" w:cs="Arial"/>
          <w:sz w:val="20"/>
          <w:szCs w:val="20"/>
          <w:u w:val="single"/>
          <w:lang w:eastAsia="fr-FR"/>
        </w:rPr>
      </w:pPr>
      <w:r w:rsidRPr="004F6CD1">
        <w:rPr>
          <w:rFonts w:ascii="Arial" w:eastAsia="MS Mincho" w:hAnsi="Arial" w:cs="Arial"/>
          <w:sz w:val="20"/>
          <w:szCs w:val="20"/>
          <w:lang w:eastAsia="fr-FR"/>
        </w:rPr>
        <w:t xml:space="preserve">3.1 </w:t>
      </w:r>
      <w:r w:rsidRPr="004F6CD1">
        <w:rPr>
          <w:rFonts w:ascii="Arial" w:eastAsia="MS Mincho" w:hAnsi="Arial" w:cs="Arial"/>
          <w:sz w:val="20"/>
          <w:szCs w:val="20"/>
          <w:u w:val="single"/>
          <w:lang w:eastAsia="fr-FR"/>
        </w:rPr>
        <w:t>Les contrôles d’identité systématiques</w:t>
      </w:r>
    </w:p>
    <w:p w14:paraId="2173EB21" w14:textId="77777777" w:rsidR="0045744D" w:rsidRPr="004F6CD1" w:rsidRDefault="0045744D" w:rsidP="0038095E">
      <w:pPr>
        <w:pStyle w:val="Paragraphedeliste"/>
        <w:spacing w:after="0" w:line="240" w:lineRule="auto"/>
        <w:ind w:left="360"/>
        <w:jc w:val="both"/>
        <w:rPr>
          <w:rFonts w:ascii="Arial" w:eastAsia="MS Mincho" w:hAnsi="Arial" w:cs="Arial"/>
          <w:sz w:val="20"/>
          <w:szCs w:val="20"/>
          <w:lang w:eastAsia="fr-FR"/>
        </w:rPr>
      </w:pPr>
    </w:p>
    <w:p w14:paraId="77101C4A" w14:textId="77777777" w:rsidR="0045744D" w:rsidRPr="004F6CD1" w:rsidRDefault="0045744D" w:rsidP="00A37B18">
      <w:pPr>
        <w:pStyle w:val="Paragraphedeliste"/>
        <w:numPr>
          <w:ilvl w:val="0"/>
          <w:numId w:val="9"/>
        </w:numPr>
        <w:spacing w:after="0" w:line="240" w:lineRule="auto"/>
        <w:jc w:val="both"/>
        <w:rPr>
          <w:rFonts w:ascii="Arial" w:eastAsia="MS Mincho" w:hAnsi="Arial" w:cs="Arial"/>
          <w:sz w:val="20"/>
          <w:szCs w:val="20"/>
          <w:lang w:eastAsia="fr-FR"/>
        </w:rPr>
      </w:pPr>
      <w:r w:rsidRPr="004F6CD1">
        <w:rPr>
          <w:rFonts w:ascii="Arial" w:eastAsia="MS Mincho" w:hAnsi="Arial" w:cs="Arial"/>
          <w:sz w:val="20"/>
          <w:szCs w:val="20"/>
          <w:lang w:eastAsia="fr-FR"/>
        </w:rPr>
        <w:t>Dans les territoires ultramarins</w:t>
      </w:r>
      <w:r w:rsidRPr="0045744D">
        <w:rPr>
          <w:vertAlign w:val="superscript"/>
          <w:lang w:eastAsia="fr-FR"/>
        </w:rPr>
        <w:footnoteReference w:id="72"/>
      </w:r>
      <w:r w:rsidRPr="004F6CD1">
        <w:rPr>
          <w:rFonts w:ascii="Arial" w:eastAsia="MS Mincho" w:hAnsi="Arial" w:cs="Arial"/>
          <w:sz w:val="20"/>
          <w:szCs w:val="20"/>
          <w:lang w:eastAsia="fr-FR"/>
        </w:rPr>
        <w:t>, des dispositions spécifiques</w:t>
      </w:r>
      <w:r w:rsidRPr="0045744D">
        <w:rPr>
          <w:vertAlign w:val="superscript"/>
          <w:lang w:eastAsia="fr-FR"/>
        </w:rPr>
        <w:footnoteReference w:id="73"/>
      </w:r>
      <w:r w:rsidRPr="004F6CD1">
        <w:rPr>
          <w:rFonts w:ascii="Arial" w:eastAsia="MS Mincho" w:hAnsi="Arial" w:cs="Arial"/>
          <w:sz w:val="20"/>
          <w:szCs w:val="20"/>
          <w:lang w:eastAsia="fr-FR"/>
        </w:rPr>
        <w:t xml:space="preserve"> permettent de contrôler l’identité de toute personne, aux fins de vérifications du respect des obligations de détention, de port et de présentation des titres et documents prévus par la loi dans des zones que permettent de couvrir </w:t>
      </w:r>
      <w:r w:rsidRPr="004F6CD1">
        <w:rPr>
          <w:rFonts w:ascii="Arial" w:eastAsia="MS Mincho" w:hAnsi="Arial" w:cs="Arial"/>
          <w:sz w:val="20"/>
          <w:szCs w:val="20"/>
          <w:lang w:eastAsia="fr-FR"/>
        </w:rPr>
        <w:lastRenderedPageBreak/>
        <w:t>presque tout le territoire, tant la zone géographique est étendue. Ce dispositif est justifié à Mayotte par la pression migratoire et en Guyane par la lutte contre la délinquance et l’immigration clandestine</w:t>
      </w:r>
      <w:r w:rsidRPr="0045744D">
        <w:rPr>
          <w:vertAlign w:val="superscript"/>
          <w:lang w:eastAsia="fr-FR"/>
        </w:rPr>
        <w:footnoteReference w:id="74"/>
      </w:r>
      <w:r w:rsidRPr="004F6CD1">
        <w:rPr>
          <w:rFonts w:ascii="Arial" w:eastAsia="MS Mincho" w:hAnsi="Arial" w:cs="Arial"/>
          <w:sz w:val="20"/>
          <w:szCs w:val="20"/>
          <w:lang w:eastAsia="fr-FR"/>
        </w:rPr>
        <w:t>.</w:t>
      </w:r>
    </w:p>
    <w:p w14:paraId="401A31C7" w14:textId="77777777" w:rsidR="0045744D" w:rsidRPr="004F6CD1" w:rsidRDefault="0045744D" w:rsidP="0038095E">
      <w:pPr>
        <w:pStyle w:val="Paragraphedeliste"/>
        <w:spacing w:after="0" w:line="240" w:lineRule="auto"/>
        <w:ind w:left="360"/>
        <w:jc w:val="both"/>
        <w:rPr>
          <w:rFonts w:ascii="Arial" w:eastAsia="MS Mincho" w:hAnsi="Arial" w:cs="Arial"/>
          <w:sz w:val="20"/>
          <w:szCs w:val="20"/>
          <w:lang w:eastAsia="fr-FR"/>
        </w:rPr>
      </w:pPr>
    </w:p>
    <w:p w14:paraId="47F4728A" w14:textId="77777777" w:rsidR="0045744D" w:rsidRPr="004F6CD1" w:rsidRDefault="0045744D" w:rsidP="00A37B18">
      <w:pPr>
        <w:pStyle w:val="Paragraphedeliste"/>
        <w:numPr>
          <w:ilvl w:val="0"/>
          <w:numId w:val="9"/>
        </w:numPr>
        <w:spacing w:after="0" w:line="240" w:lineRule="auto"/>
        <w:jc w:val="both"/>
        <w:rPr>
          <w:rFonts w:ascii="Arial" w:eastAsia="MS Mincho" w:hAnsi="Arial" w:cs="Arial"/>
          <w:sz w:val="20"/>
          <w:szCs w:val="20"/>
          <w:lang w:eastAsia="fr-FR"/>
        </w:rPr>
      </w:pPr>
      <w:r w:rsidRPr="004F6CD1">
        <w:rPr>
          <w:rFonts w:ascii="Arial" w:eastAsia="MS Mincho" w:hAnsi="Arial" w:cs="Arial"/>
          <w:sz w:val="20"/>
          <w:szCs w:val="20"/>
          <w:lang w:eastAsia="fr-FR"/>
        </w:rPr>
        <w:t>La loi n°2018-778 du 10 septembre 2018 pour une immigration maîtrisée, un droit d'asile effectif et une intégration réussie permet désormais aux forces de l’ordre de contrôler l’identité de toute personne sans éléments liés au comportement individuel et sans réquisitions du procureur de la République sur l’ensemble du territoire de Mayotte</w:t>
      </w:r>
      <w:r w:rsidRPr="0045744D">
        <w:rPr>
          <w:vertAlign w:val="superscript"/>
          <w:lang w:eastAsia="fr-FR"/>
        </w:rPr>
        <w:footnoteReference w:id="75"/>
      </w:r>
      <w:r w:rsidRPr="004F6CD1">
        <w:rPr>
          <w:rFonts w:ascii="Arial" w:eastAsia="MS Mincho" w:hAnsi="Arial" w:cs="Arial"/>
          <w:sz w:val="20"/>
          <w:szCs w:val="20"/>
          <w:lang w:eastAsia="fr-FR"/>
        </w:rPr>
        <w:t>.</w:t>
      </w:r>
    </w:p>
    <w:p w14:paraId="07DAEA68" w14:textId="77777777" w:rsidR="0045744D" w:rsidRPr="004F6CD1" w:rsidRDefault="0045744D" w:rsidP="0038095E">
      <w:pPr>
        <w:pStyle w:val="Paragraphedeliste"/>
        <w:spacing w:after="0" w:line="240" w:lineRule="auto"/>
        <w:ind w:left="360"/>
        <w:jc w:val="both"/>
        <w:rPr>
          <w:rFonts w:ascii="Arial" w:eastAsia="MS Mincho" w:hAnsi="Arial" w:cs="Arial"/>
          <w:sz w:val="20"/>
          <w:szCs w:val="20"/>
          <w:lang w:eastAsia="fr-FR"/>
        </w:rPr>
      </w:pPr>
    </w:p>
    <w:p w14:paraId="745F5C30" w14:textId="77777777" w:rsidR="0045744D" w:rsidRPr="004F6CD1" w:rsidRDefault="0045744D" w:rsidP="00A37B18">
      <w:pPr>
        <w:pStyle w:val="Paragraphedeliste"/>
        <w:numPr>
          <w:ilvl w:val="0"/>
          <w:numId w:val="9"/>
        </w:numPr>
        <w:spacing w:after="0" w:line="240" w:lineRule="auto"/>
        <w:jc w:val="both"/>
        <w:rPr>
          <w:rFonts w:ascii="Arial" w:eastAsia="MS Mincho" w:hAnsi="Arial" w:cs="Arial"/>
          <w:sz w:val="20"/>
          <w:szCs w:val="20"/>
          <w:lang w:eastAsia="fr-FR"/>
        </w:rPr>
      </w:pPr>
      <w:r w:rsidRPr="004F6CD1">
        <w:rPr>
          <w:rFonts w:ascii="Arial" w:eastAsia="MS Mincho" w:hAnsi="Arial" w:cs="Arial"/>
          <w:sz w:val="20"/>
          <w:szCs w:val="20"/>
          <w:lang w:eastAsia="fr-FR"/>
        </w:rPr>
        <w:t>En 2021, tous les indicateurs du bilan préfectoral de lutte contre l'immigration clandestine ont été à la hausse à Mayotte, dans la partie orientale de l'archipel des Comores : les interpellations à terre ont grimpé de 47% (23.124 en 2021 contre 11.849 en 2020) et les arrestations en mer de 59% (6.355 en 2021 contre 3.989 en 2020), selon le bilan préfectoral</w:t>
      </w:r>
      <w:r w:rsidRPr="0045744D">
        <w:rPr>
          <w:vertAlign w:val="superscript"/>
          <w:lang w:eastAsia="fr-FR"/>
        </w:rPr>
        <w:footnoteReference w:id="76"/>
      </w:r>
      <w:r w:rsidRPr="004F6CD1">
        <w:rPr>
          <w:rFonts w:ascii="Arial" w:eastAsia="MS Mincho" w:hAnsi="Arial" w:cs="Arial"/>
          <w:sz w:val="20"/>
          <w:szCs w:val="20"/>
          <w:lang w:eastAsia="fr-FR"/>
        </w:rPr>
        <w:t>.</w:t>
      </w:r>
    </w:p>
    <w:p w14:paraId="0960976D" w14:textId="77777777" w:rsidR="0045744D" w:rsidRPr="004F6CD1" w:rsidRDefault="0045744D" w:rsidP="0038095E">
      <w:pPr>
        <w:pStyle w:val="Paragraphedeliste"/>
        <w:spacing w:after="0" w:line="240" w:lineRule="auto"/>
        <w:ind w:left="360"/>
        <w:jc w:val="both"/>
        <w:rPr>
          <w:rFonts w:ascii="Arial" w:eastAsia="MS Mincho" w:hAnsi="Arial" w:cs="Arial"/>
          <w:sz w:val="20"/>
          <w:szCs w:val="20"/>
          <w:lang w:eastAsia="fr-FR"/>
        </w:rPr>
      </w:pPr>
    </w:p>
    <w:p w14:paraId="599DD8FC" w14:textId="77777777" w:rsidR="0045744D" w:rsidRPr="004F6CD1" w:rsidRDefault="0045744D" w:rsidP="00A37B18">
      <w:pPr>
        <w:pStyle w:val="Paragraphedeliste"/>
        <w:numPr>
          <w:ilvl w:val="0"/>
          <w:numId w:val="9"/>
        </w:numPr>
        <w:spacing w:after="0" w:line="240" w:lineRule="auto"/>
        <w:jc w:val="both"/>
        <w:rPr>
          <w:rFonts w:ascii="Arial" w:eastAsia="MS Mincho" w:hAnsi="Arial" w:cs="Arial"/>
          <w:sz w:val="20"/>
          <w:szCs w:val="20"/>
          <w:lang w:eastAsia="fr-FR"/>
        </w:rPr>
      </w:pPr>
      <w:r w:rsidRPr="004F6CD1">
        <w:rPr>
          <w:rFonts w:ascii="Arial" w:eastAsia="MS Mincho" w:hAnsi="Arial" w:cs="Arial"/>
          <w:sz w:val="20"/>
          <w:szCs w:val="20"/>
          <w:lang w:eastAsia="fr-FR"/>
        </w:rPr>
        <w:t>Ce régime spécial, restreignant les libertés au motif d’une menace permanente de la pression migratoire, est au service d’une politique d’éloignement massive. Des contrôles facilités par plusieurs dispositions dérogatoires permettent aux forces de l’ordre de procéder chaque année à de nombreuses interpellations, et à l’administration d’organiser plusieurs milliers d’éloignements. A titre d’exemple, quelque 23.724 étrangers en situation irrégulière ont été reconduits à la frontière l'an dernier à Mayotte, soit 78% de plus qu'en 2020</w:t>
      </w:r>
      <w:r w:rsidRPr="0045744D">
        <w:rPr>
          <w:vertAlign w:val="superscript"/>
          <w:lang w:eastAsia="fr-FR"/>
        </w:rPr>
        <w:footnoteReference w:id="77"/>
      </w:r>
      <w:r w:rsidRPr="004F6CD1">
        <w:rPr>
          <w:rFonts w:ascii="Arial" w:eastAsia="MS Mincho" w:hAnsi="Arial" w:cs="Arial"/>
          <w:sz w:val="20"/>
          <w:szCs w:val="20"/>
          <w:lang w:eastAsia="fr-FR"/>
        </w:rPr>
        <w:t>.</w:t>
      </w:r>
    </w:p>
    <w:p w14:paraId="179A11B8" w14:textId="77777777" w:rsidR="0045744D" w:rsidRPr="004F6CD1" w:rsidRDefault="0045744D" w:rsidP="0038095E">
      <w:pPr>
        <w:pStyle w:val="Paragraphedeliste"/>
        <w:spacing w:after="0" w:line="240" w:lineRule="auto"/>
        <w:ind w:left="360"/>
        <w:jc w:val="both"/>
        <w:rPr>
          <w:rFonts w:ascii="Arial" w:eastAsia="MS Mincho" w:hAnsi="Arial" w:cs="Arial"/>
          <w:sz w:val="20"/>
          <w:szCs w:val="20"/>
          <w:lang w:eastAsia="fr-FR"/>
        </w:rPr>
      </w:pPr>
    </w:p>
    <w:p w14:paraId="0CA66EFA" w14:textId="77777777" w:rsidR="0045744D" w:rsidRPr="004F6CD1" w:rsidRDefault="0045744D" w:rsidP="00A37B18">
      <w:pPr>
        <w:pStyle w:val="Paragraphedeliste"/>
        <w:numPr>
          <w:ilvl w:val="0"/>
          <w:numId w:val="9"/>
        </w:numPr>
        <w:spacing w:after="0" w:line="240" w:lineRule="auto"/>
        <w:jc w:val="both"/>
        <w:rPr>
          <w:rFonts w:ascii="Arial" w:eastAsia="MS Mincho" w:hAnsi="Arial" w:cs="Arial"/>
          <w:sz w:val="20"/>
          <w:szCs w:val="20"/>
          <w:lang w:eastAsia="fr-FR"/>
        </w:rPr>
      </w:pPr>
      <w:r w:rsidRPr="004F6CD1">
        <w:rPr>
          <w:rFonts w:ascii="Arial" w:eastAsia="MS Mincho" w:hAnsi="Arial" w:cs="Arial"/>
          <w:sz w:val="20"/>
          <w:szCs w:val="20"/>
          <w:lang w:eastAsia="fr-FR"/>
        </w:rPr>
        <w:t xml:space="preserve">La mise en œuvre de ce dispositif dérogatoire favorise l’éloignement et la privation de liberté des étrangers en situation irrégulière, au mépris des droits les plus fondamentaux. </w:t>
      </w:r>
    </w:p>
    <w:p w14:paraId="67FC29F6" w14:textId="77777777" w:rsidR="0045744D" w:rsidRPr="004F6CD1" w:rsidRDefault="0045744D" w:rsidP="0038095E">
      <w:pPr>
        <w:pStyle w:val="Paragraphedeliste"/>
        <w:spacing w:after="0" w:line="240" w:lineRule="auto"/>
        <w:ind w:left="360"/>
        <w:jc w:val="both"/>
        <w:rPr>
          <w:rFonts w:ascii="Arial" w:eastAsia="MS Mincho" w:hAnsi="Arial" w:cs="Arial"/>
          <w:sz w:val="20"/>
          <w:szCs w:val="20"/>
          <w:lang w:eastAsia="fr-FR"/>
        </w:rPr>
      </w:pPr>
    </w:p>
    <w:p w14:paraId="4FE2A499" w14:textId="77777777" w:rsidR="0045744D" w:rsidRPr="004F6CD1" w:rsidRDefault="0045744D" w:rsidP="00A37B18">
      <w:pPr>
        <w:pStyle w:val="Paragraphedeliste"/>
        <w:numPr>
          <w:ilvl w:val="0"/>
          <w:numId w:val="9"/>
        </w:numPr>
        <w:spacing w:after="0" w:line="240" w:lineRule="auto"/>
        <w:jc w:val="both"/>
        <w:rPr>
          <w:rFonts w:ascii="Arial" w:eastAsia="MS Mincho" w:hAnsi="Arial" w:cs="Arial"/>
          <w:sz w:val="20"/>
          <w:szCs w:val="20"/>
          <w:lang w:eastAsia="fr-FR"/>
        </w:rPr>
      </w:pPr>
      <w:r w:rsidRPr="004F6CD1">
        <w:rPr>
          <w:rFonts w:ascii="Arial" w:eastAsia="MS Mincho" w:hAnsi="Arial" w:cs="Arial"/>
          <w:sz w:val="20"/>
          <w:szCs w:val="20"/>
          <w:lang w:eastAsia="fr-FR"/>
        </w:rPr>
        <w:t>A cet égard, la CNCDH dénonce les conséquences disproportionnées de ces contrôles systématiques qui peuvent conduire à une traque permanente des étrangers présumés en situation irrégulière. La CNCDH recommande de mettre un terme aux pouvoirs de contrôle exorbitants du droit commun</w:t>
      </w:r>
      <w:r w:rsidRPr="0045744D">
        <w:rPr>
          <w:vertAlign w:val="superscript"/>
          <w:lang w:eastAsia="fr-FR"/>
        </w:rPr>
        <w:footnoteReference w:id="78"/>
      </w:r>
      <w:r w:rsidRPr="004F6CD1">
        <w:rPr>
          <w:rFonts w:ascii="Arial" w:eastAsia="MS Mincho" w:hAnsi="Arial" w:cs="Arial"/>
          <w:sz w:val="20"/>
          <w:szCs w:val="20"/>
          <w:lang w:eastAsia="fr-FR"/>
        </w:rPr>
        <w:t>.</w:t>
      </w:r>
    </w:p>
    <w:p w14:paraId="44D16071" w14:textId="77777777" w:rsidR="0045744D" w:rsidRPr="004F6CD1" w:rsidRDefault="0045744D" w:rsidP="0038095E">
      <w:pPr>
        <w:pStyle w:val="Paragraphedeliste"/>
        <w:spacing w:after="0" w:line="240" w:lineRule="auto"/>
        <w:ind w:left="360"/>
        <w:jc w:val="both"/>
        <w:rPr>
          <w:rFonts w:ascii="Arial" w:eastAsia="MS Mincho" w:hAnsi="Arial" w:cs="Arial"/>
          <w:sz w:val="20"/>
          <w:szCs w:val="20"/>
          <w:lang w:eastAsia="fr-FR"/>
        </w:rPr>
      </w:pPr>
    </w:p>
    <w:p w14:paraId="2F6DA73E" w14:textId="77777777" w:rsidR="0045744D" w:rsidRPr="004F6CD1" w:rsidRDefault="0045744D" w:rsidP="00A37B18">
      <w:pPr>
        <w:pStyle w:val="Paragraphedeliste"/>
        <w:numPr>
          <w:ilvl w:val="0"/>
          <w:numId w:val="9"/>
        </w:numPr>
        <w:spacing w:after="0" w:line="240" w:lineRule="auto"/>
        <w:jc w:val="both"/>
        <w:rPr>
          <w:rFonts w:ascii="Arial" w:eastAsia="MS Mincho" w:hAnsi="Arial" w:cs="Arial"/>
          <w:sz w:val="20"/>
          <w:szCs w:val="20"/>
          <w:lang w:eastAsia="fr-FR"/>
        </w:rPr>
      </w:pPr>
      <w:r w:rsidRPr="004F6CD1">
        <w:rPr>
          <w:rFonts w:ascii="Arial" w:eastAsia="MS Mincho" w:hAnsi="Arial" w:cs="Arial"/>
          <w:sz w:val="20"/>
          <w:szCs w:val="20"/>
          <w:lang w:eastAsia="fr-FR"/>
        </w:rPr>
        <w:t>Forte du même constat, la LDH avec la Cimade, Médecins du Monde et la Fasti a déposé une Question prioritaire de constitutionnalité (QPC) visant à faire constater qu’en édictant les dispositions de l’article 78-2, alinéa 14 du code de procédure pénale, prévoyant le contrôle d’identité sur l’ensemble du territoire de Mayotte, le législateur a méconnu la liberté d’aller et venir telle qu’elle est garantie par les articles 2 et 4 de la Déclaration des droits de l'homme et du citoyen de 1789.  Les associations soutiennent en outre, et de façon corrélative, que le dispositif litigieux emporte de lourdes conséquences sur la protection effective des droits et libertés, en particulier la liberté d’aller et de venir, le droit à la santé et le droit à l’éducation.</w:t>
      </w:r>
    </w:p>
    <w:p w14:paraId="1CB5C759" w14:textId="77777777" w:rsidR="0045744D" w:rsidRPr="004F6CD1" w:rsidRDefault="0045744D" w:rsidP="0038095E">
      <w:pPr>
        <w:pStyle w:val="Paragraphedeliste"/>
        <w:spacing w:after="0" w:line="240" w:lineRule="auto"/>
        <w:ind w:left="360"/>
        <w:jc w:val="both"/>
        <w:rPr>
          <w:rFonts w:ascii="Arial" w:eastAsia="MS Mincho" w:hAnsi="Arial" w:cs="Arial"/>
          <w:sz w:val="20"/>
          <w:szCs w:val="20"/>
          <w:lang w:eastAsia="fr-FR"/>
        </w:rPr>
      </w:pPr>
    </w:p>
    <w:p w14:paraId="04AD624C" w14:textId="6E221317" w:rsidR="0045744D" w:rsidRPr="004F6CD1" w:rsidRDefault="0045744D" w:rsidP="00A37B18">
      <w:pPr>
        <w:pStyle w:val="Paragraphedeliste"/>
        <w:numPr>
          <w:ilvl w:val="0"/>
          <w:numId w:val="9"/>
        </w:numPr>
        <w:spacing w:after="0" w:line="240" w:lineRule="auto"/>
        <w:jc w:val="both"/>
        <w:rPr>
          <w:rFonts w:ascii="Arial" w:eastAsia="MS Mincho" w:hAnsi="Arial" w:cs="Arial"/>
          <w:sz w:val="20"/>
          <w:szCs w:val="20"/>
          <w:lang w:eastAsia="fr-FR"/>
        </w:rPr>
      </w:pPr>
      <w:r w:rsidRPr="004F6CD1">
        <w:rPr>
          <w:rFonts w:ascii="Arial" w:eastAsia="MS Mincho" w:hAnsi="Arial" w:cs="Arial"/>
          <w:sz w:val="20"/>
          <w:szCs w:val="20"/>
          <w:lang w:eastAsia="fr-FR"/>
        </w:rPr>
        <w:t>Par un arrêt du 21 septembre 2022, la Cour de cassation a renvoyé au Conseil constitutionnel la question prioritaire de constitutionnalité ayant pour objet de faire constater la non-conformité à la Constitution des dispositions de l’article 78-2, alinéa 14, du code de procédure pénale</w:t>
      </w:r>
      <w:r w:rsidRPr="0045744D">
        <w:rPr>
          <w:vertAlign w:val="superscript"/>
          <w:lang w:eastAsia="fr-FR"/>
        </w:rPr>
        <w:footnoteReference w:id="79"/>
      </w:r>
      <w:r w:rsidRPr="004F6CD1">
        <w:rPr>
          <w:rFonts w:ascii="Arial" w:eastAsia="MS Mincho" w:hAnsi="Arial" w:cs="Arial"/>
          <w:sz w:val="20"/>
          <w:szCs w:val="20"/>
          <w:lang w:eastAsia="fr-FR"/>
        </w:rPr>
        <w:t xml:space="preserve">.La Cour précise en effet que « </w:t>
      </w:r>
      <w:r w:rsidRPr="004F6CD1">
        <w:rPr>
          <w:rFonts w:ascii="Arial" w:eastAsia="MS Mincho" w:hAnsi="Arial" w:cs="Arial"/>
          <w:i/>
          <w:iCs/>
          <w:sz w:val="20"/>
          <w:szCs w:val="20"/>
          <w:lang w:eastAsia="fr-FR"/>
        </w:rPr>
        <w:t>La question posée présente un caractère sérieux en ce que la disposition en cause admet qu'il soit procédé à des contrôles d'identité discrétionnaires sur l'ensemble du département de Mayotte, de nature à porter atteinte à la liberté d'aller et venir garantie aux articles 2 et 4 de la Déclaration des droits de l'homme et du citoyen du 26 août 1789, de sorte qu'il importe de déterminer si des caractéristiques et des contraintes particulières au sens de l'article 73 de la Constitution peuvent les justifier</w:t>
      </w:r>
      <w:r w:rsidRPr="004F6CD1">
        <w:rPr>
          <w:rFonts w:ascii="Arial" w:eastAsia="MS Mincho" w:hAnsi="Arial" w:cs="Arial"/>
          <w:sz w:val="20"/>
          <w:szCs w:val="20"/>
          <w:lang w:eastAsia="fr-FR"/>
        </w:rPr>
        <w:t>»</w:t>
      </w:r>
      <w:r w:rsidRPr="0045744D">
        <w:rPr>
          <w:vertAlign w:val="superscript"/>
          <w:lang w:eastAsia="fr-FR"/>
        </w:rPr>
        <w:footnoteReference w:id="80"/>
      </w:r>
      <w:r w:rsidRPr="004F6CD1">
        <w:rPr>
          <w:rFonts w:ascii="Arial" w:eastAsia="MS Mincho" w:hAnsi="Arial" w:cs="Arial"/>
          <w:sz w:val="20"/>
          <w:szCs w:val="20"/>
          <w:lang w:eastAsia="fr-FR"/>
        </w:rPr>
        <w:t>. A ce jour, le Conseil constitutionn</w:t>
      </w:r>
      <w:r w:rsidR="00DD2127">
        <w:rPr>
          <w:rFonts w:ascii="Arial" w:eastAsia="MS Mincho" w:hAnsi="Arial" w:cs="Arial"/>
          <w:sz w:val="20"/>
          <w:szCs w:val="20"/>
          <w:lang w:eastAsia="fr-FR"/>
        </w:rPr>
        <w:t>el ne s’est pas encore prononcé</w:t>
      </w:r>
      <w:r w:rsidRPr="004F6CD1">
        <w:rPr>
          <w:rFonts w:ascii="Arial" w:eastAsia="MS Mincho" w:hAnsi="Arial" w:cs="Arial"/>
          <w:sz w:val="20"/>
          <w:szCs w:val="20"/>
          <w:lang w:eastAsia="fr-FR"/>
        </w:rPr>
        <w:t xml:space="preserve"> sur la QPC.</w:t>
      </w:r>
    </w:p>
    <w:p w14:paraId="0AA0C399" w14:textId="77777777" w:rsidR="0045744D" w:rsidRPr="00DD2127" w:rsidRDefault="0045744D" w:rsidP="00DD2127">
      <w:pPr>
        <w:spacing w:after="0" w:line="240" w:lineRule="auto"/>
        <w:ind w:left="288"/>
        <w:rPr>
          <w:rFonts w:ascii="Arial" w:eastAsia="MS Mincho" w:hAnsi="Arial" w:cs="Arial"/>
          <w:sz w:val="20"/>
          <w:szCs w:val="20"/>
          <w:lang w:eastAsia="fr-FR"/>
        </w:rPr>
      </w:pPr>
    </w:p>
    <w:p w14:paraId="547C6AB8" w14:textId="77777777" w:rsidR="0045744D" w:rsidRDefault="0045744D" w:rsidP="0038095E">
      <w:pPr>
        <w:pStyle w:val="Paragraphedeliste"/>
        <w:numPr>
          <w:ilvl w:val="1"/>
          <w:numId w:val="12"/>
        </w:numPr>
        <w:spacing w:after="0" w:line="240" w:lineRule="auto"/>
        <w:rPr>
          <w:rFonts w:ascii="Arial" w:eastAsia="MS Mincho" w:hAnsi="Arial" w:cs="Arial"/>
          <w:sz w:val="20"/>
          <w:szCs w:val="20"/>
          <w:u w:val="single"/>
          <w:lang w:eastAsia="fr-FR"/>
        </w:rPr>
      </w:pPr>
      <w:r w:rsidRPr="004F6CD1">
        <w:rPr>
          <w:rFonts w:ascii="Arial" w:eastAsia="MS Mincho" w:hAnsi="Arial" w:cs="Arial"/>
          <w:sz w:val="20"/>
          <w:szCs w:val="20"/>
          <w:u w:val="single"/>
          <w:lang w:eastAsia="fr-FR"/>
        </w:rPr>
        <w:t>L’insuffisance « du recours suspensif » prévu contre les mesures d’éloignement du territoire</w:t>
      </w:r>
    </w:p>
    <w:p w14:paraId="44170024" w14:textId="77777777" w:rsidR="0038095E" w:rsidRPr="004F6CD1" w:rsidRDefault="0038095E" w:rsidP="0038095E">
      <w:pPr>
        <w:pStyle w:val="Paragraphedeliste"/>
        <w:spacing w:after="0" w:line="240" w:lineRule="auto"/>
        <w:rPr>
          <w:rFonts w:ascii="Arial" w:eastAsia="MS Mincho" w:hAnsi="Arial" w:cs="Arial"/>
          <w:sz w:val="20"/>
          <w:szCs w:val="20"/>
          <w:u w:val="single"/>
          <w:lang w:eastAsia="fr-FR"/>
        </w:rPr>
      </w:pPr>
    </w:p>
    <w:p w14:paraId="416D431D" w14:textId="77777777" w:rsidR="0045744D"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 xml:space="preserve">En dérogation au droit commun applicable en France métropolitaine qui prévoit le caractère suspensif du recours contre la mesure administrative d’éloignement (OQTF) – impliquant que la </w:t>
      </w:r>
      <w:r w:rsidRPr="004F6CD1">
        <w:rPr>
          <w:rFonts w:ascii="Arial" w:hAnsi="Arial" w:cs="Arial"/>
          <w:sz w:val="20"/>
          <w:szCs w:val="20"/>
        </w:rPr>
        <w:lastRenderedPageBreak/>
        <w:t>personne ne peut être éloignée avant que le tribunal administratif qui a été saisi n’ait statué sur le recours – , les territoires ultramarins</w:t>
      </w:r>
      <w:r w:rsidRPr="0045744D">
        <w:rPr>
          <w:vertAlign w:val="superscript"/>
        </w:rPr>
        <w:footnoteReference w:id="81"/>
      </w:r>
      <w:r w:rsidRPr="004F6CD1">
        <w:rPr>
          <w:rFonts w:ascii="Arial" w:hAnsi="Arial" w:cs="Arial"/>
          <w:sz w:val="20"/>
          <w:szCs w:val="20"/>
        </w:rPr>
        <w:t xml:space="preserve"> sont soumis à un régime d’exception législative.</w:t>
      </w:r>
    </w:p>
    <w:p w14:paraId="17B487CE" w14:textId="77777777" w:rsidR="0038095E" w:rsidRPr="004F6CD1" w:rsidRDefault="0038095E" w:rsidP="0038095E">
      <w:pPr>
        <w:pStyle w:val="Paragraphedeliste"/>
        <w:spacing w:after="0" w:line="240" w:lineRule="auto"/>
        <w:ind w:left="360"/>
        <w:jc w:val="both"/>
        <w:rPr>
          <w:rFonts w:ascii="Arial" w:hAnsi="Arial" w:cs="Arial"/>
          <w:sz w:val="20"/>
          <w:szCs w:val="20"/>
        </w:rPr>
      </w:pPr>
    </w:p>
    <w:p w14:paraId="03CA9C44" w14:textId="77777777" w:rsidR="00287F9A" w:rsidRDefault="0045744D" w:rsidP="00287F9A">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Pour autant, la Cour européenne considère que ni le contexte géographique ni la pression migratoire de ces territoires ne peut suffire à justifier l’absence d’effet suspensif du recours contre une mesure d’éloignement, dérogation constitutive d’une atteinte au droit à un recours effectif, entrainant à cet égard une condamnation de la France</w:t>
      </w:r>
      <w:r w:rsidR="0051108B">
        <w:rPr>
          <w:rStyle w:val="Appelnotedebasdep"/>
          <w:rFonts w:ascii="Arial" w:hAnsi="Arial" w:cs="Arial"/>
          <w:sz w:val="20"/>
          <w:szCs w:val="20"/>
        </w:rPr>
        <w:footnoteReference w:id="82"/>
      </w:r>
      <w:r w:rsidRPr="004F6CD1">
        <w:rPr>
          <w:rFonts w:ascii="Arial" w:hAnsi="Arial" w:cs="Arial"/>
          <w:sz w:val="20"/>
          <w:szCs w:val="20"/>
        </w:rPr>
        <w:t>. Dans cette affaire, la LDH était intervenue en qualité de tierce partie.</w:t>
      </w:r>
    </w:p>
    <w:p w14:paraId="0ED9998C" w14:textId="77777777" w:rsidR="00287F9A" w:rsidRPr="00287F9A" w:rsidRDefault="00287F9A" w:rsidP="00287F9A">
      <w:pPr>
        <w:pStyle w:val="Paragraphedeliste"/>
        <w:rPr>
          <w:rFonts w:ascii="Arial" w:hAnsi="Arial" w:cs="Arial"/>
          <w:sz w:val="20"/>
          <w:szCs w:val="20"/>
        </w:rPr>
      </w:pPr>
    </w:p>
    <w:p w14:paraId="4CE45637" w14:textId="77777777" w:rsidR="0045744D" w:rsidRDefault="0045744D" w:rsidP="00287F9A">
      <w:pPr>
        <w:pStyle w:val="Paragraphedeliste"/>
        <w:numPr>
          <w:ilvl w:val="0"/>
          <w:numId w:val="9"/>
        </w:numPr>
        <w:spacing w:after="0" w:line="240" w:lineRule="auto"/>
        <w:jc w:val="both"/>
        <w:rPr>
          <w:rFonts w:ascii="Arial" w:hAnsi="Arial" w:cs="Arial"/>
          <w:sz w:val="20"/>
          <w:szCs w:val="20"/>
        </w:rPr>
      </w:pPr>
      <w:r w:rsidRPr="00287F9A">
        <w:rPr>
          <w:rFonts w:ascii="Arial" w:hAnsi="Arial" w:cs="Arial"/>
          <w:sz w:val="20"/>
          <w:szCs w:val="20"/>
        </w:rPr>
        <w:t>Suite à la saisine de la LDH et de plusieurs associations</w:t>
      </w:r>
      <w:r w:rsidRPr="0045744D">
        <w:rPr>
          <w:vertAlign w:val="superscript"/>
        </w:rPr>
        <w:footnoteReference w:id="83"/>
      </w:r>
      <w:r w:rsidRPr="00287F9A">
        <w:rPr>
          <w:rFonts w:ascii="Arial" w:hAnsi="Arial" w:cs="Arial"/>
          <w:sz w:val="20"/>
          <w:szCs w:val="20"/>
        </w:rPr>
        <w:t>, le Défenseur des droits observe que l’absence d’une telle garantie – que représente le recours suspensif – n’était pas conforme aux exigences du droit européen et, en particulier, de la solution dégagée par la Cour européenne</w:t>
      </w:r>
      <w:r w:rsidRPr="0045744D">
        <w:rPr>
          <w:vertAlign w:val="superscript"/>
        </w:rPr>
        <w:footnoteReference w:id="84"/>
      </w:r>
      <w:r w:rsidRPr="00287F9A">
        <w:rPr>
          <w:rFonts w:ascii="Arial" w:hAnsi="Arial" w:cs="Arial"/>
          <w:sz w:val="20"/>
          <w:szCs w:val="20"/>
        </w:rPr>
        <w:t xml:space="preserve">. Il fait valoir en outre que, « </w:t>
      </w:r>
      <w:r w:rsidRPr="00287F9A">
        <w:rPr>
          <w:rFonts w:ascii="Arial" w:hAnsi="Arial" w:cs="Arial"/>
          <w:i/>
          <w:sz w:val="20"/>
          <w:szCs w:val="20"/>
        </w:rPr>
        <w:t xml:space="preserve">lorsque les griefs invoqués à l’appui de la contestation de la mesure sont fondés sur les articles 2 (droit à la vie) ou 3 (interdiction des traitements inhumains et dégradants) de la Convention européenne de sauvegarde des droits de l’Homme et des libertés fondamentales, ou sur l’article 4 du Protocole n°4 (expulsions collectives) le recours suspensif de plein droit s’impose </w:t>
      </w:r>
      <w:r w:rsidRPr="00287F9A">
        <w:rPr>
          <w:rFonts w:ascii="Arial" w:hAnsi="Arial" w:cs="Arial"/>
          <w:sz w:val="20"/>
          <w:szCs w:val="20"/>
        </w:rPr>
        <w:t xml:space="preserve">». </w:t>
      </w:r>
    </w:p>
    <w:p w14:paraId="6ECC6B52" w14:textId="77777777" w:rsidR="00287F9A" w:rsidRPr="00287F9A" w:rsidRDefault="00287F9A" w:rsidP="00287F9A">
      <w:pPr>
        <w:pStyle w:val="Paragraphedeliste"/>
        <w:rPr>
          <w:rFonts w:ascii="Arial" w:hAnsi="Arial" w:cs="Arial"/>
          <w:sz w:val="20"/>
          <w:szCs w:val="20"/>
        </w:rPr>
      </w:pPr>
    </w:p>
    <w:p w14:paraId="333E25D8" w14:textId="77777777" w:rsidR="0045744D" w:rsidRPr="00287F9A" w:rsidRDefault="0045744D" w:rsidP="00287F9A">
      <w:pPr>
        <w:pStyle w:val="Paragraphedeliste"/>
        <w:numPr>
          <w:ilvl w:val="0"/>
          <w:numId w:val="9"/>
        </w:numPr>
        <w:spacing w:after="0" w:line="240" w:lineRule="auto"/>
        <w:jc w:val="both"/>
        <w:rPr>
          <w:rFonts w:ascii="Arial" w:hAnsi="Arial" w:cs="Arial"/>
          <w:sz w:val="20"/>
          <w:szCs w:val="20"/>
        </w:rPr>
      </w:pPr>
      <w:r w:rsidRPr="00287F9A">
        <w:rPr>
          <w:rFonts w:ascii="Arial" w:hAnsi="Arial" w:cs="Arial"/>
          <w:sz w:val="20"/>
          <w:szCs w:val="20"/>
        </w:rPr>
        <w:t>Il aura fallu attendre la loi n° 2016-274 du 7 mars 2016 relative au droit des étrangers en France pour que la France introduise une nouvelle disposition conférant un caractère suspensif au référé-liberté, devant permettre ainsi de geler à la date de son dépôt l’exécution d’une mesure d’éloignement jusqu’à ce que le juge ait statué sur ce recours.</w:t>
      </w:r>
    </w:p>
    <w:p w14:paraId="723EAF73" w14:textId="77777777" w:rsidR="0047782E" w:rsidRPr="0047782E" w:rsidRDefault="0047782E" w:rsidP="0047782E">
      <w:pPr>
        <w:spacing w:after="0" w:line="240" w:lineRule="auto"/>
        <w:jc w:val="both"/>
        <w:rPr>
          <w:rFonts w:ascii="Arial" w:hAnsi="Arial" w:cs="Arial"/>
          <w:sz w:val="20"/>
          <w:szCs w:val="20"/>
        </w:rPr>
      </w:pPr>
    </w:p>
    <w:p w14:paraId="69DDC2C4" w14:textId="77777777" w:rsidR="0045744D"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Si le nouveau dispositif prévu par la loi constitue une avancée, il ne confère pas néanmoins de caractère suspensif à l’ensemble des recours que les étrangers peuvent introduire contre une OQTF</w:t>
      </w:r>
      <w:r w:rsidRPr="0045744D">
        <w:rPr>
          <w:vertAlign w:val="superscript"/>
        </w:rPr>
        <w:footnoteReference w:id="85"/>
      </w:r>
      <w:r w:rsidRPr="004F6CD1">
        <w:rPr>
          <w:rFonts w:ascii="Arial" w:hAnsi="Arial" w:cs="Arial"/>
          <w:sz w:val="20"/>
          <w:szCs w:val="20"/>
        </w:rPr>
        <w:t xml:space="preserve">, notamment au référé-suspension. </w:t>
      </w:r>
    </w:p>
    <w:p w14:paraId="7B85B9EF" w14:textId="77777777" w:rsidR="0047782E" w:rsidRPr="0047782E" w:rsidRDefault="0047782E" w:rsidP="0047782E">
      <w:pPr>
        <w:spacing w:after="0" w:line="240" w:lineRule="auto"/>
        <w:jc w:val="both"/>
        <w:rPr>
          <w:rFonts w:ascii="Arial" w:hAnsi="Arial" w:cs="Arial"/>
          <w:sz w:val="20"/>
          <w:szCs w:val="20"/>
        </w:rPr>
      </w:pPr>
    </w:p>
    <w:p w14:paraId="543AF2C5" w14:textId="77777777" w:rsidR="0045744D"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En outre, le référé-liberté est une procédure justifiée par l'urgence par laquelle il est demandé</w:t>
      </w:r>
      <w:r w:rsidRPr="004F6CD1">
        <w:rPr>
          <w:rFonts w:ascii="Arial" w:hAnsi="Arial" w:cs="Arial"/>
          <w:sz w:val="20"/>
          <w:szCs w:val="20"/>
        </w:rPr>
        <w:br/>
        <w:t>au juge de constater que la mesure porte une atteinte grave et manifestement illégale à la</w:t>
      </w:r>
      <w:r w:rsidRPr="004F6CD1">
        <w:rPr>
          <w:rFonts w:ascii="Arial" w:hAnsi="Arial" w:cs="Arial"/>
          <w:sz w:val="20"/>
          <w:szCs w:val="20"/>
        </w:rPr>
        <w:br/>
        <w:t>sauvegarde d'une liberté fondamentale. Aussi, les conditions de ce recours sont très restrictives et son champ ne s’applique en principe qu’aux situations de violation de droit les plus extrêmes.</w:t>
      </w:r>
    </w:p>
    <w:p w14:paraId="74804D99" w14:textId="77777777" w:rsidR="0047782E" w:rsidRPr="0047782E" w:rsidRDefault="0047782E" w:rsidP="0047782E">
      <w:pPr>
        <w:spacing w:after="0" w:line="240" w:lineRule="auto"/>
        <w:jc w:val="both"/>
        <w:rPr>
          <w:rFonts w:ascii="Arial" w:hAnsi="Arial" w:cs="Arial"/>
          <w:sz w:val="20"/>
          <w:szCs w:val="20"/>
        </w:rPr>
      </w:pPr>
    </w:p>
    <w:p w14:paraId="792DE535" w14:textId="77777777" w:rsidR="0045744D"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Bien plus, les étrangers dans l’impossibilité de se prévaloir d’une atteinte grave à une liberté fondamentale sont toujours privés du droit à un recours effectif, dont bénéficient les étrangers partout ailleurs sur le territoire par le biais du référé-suspension et qui consiste</w:t>
      </w:r>
      <w:r w:rsidR="004F0B9B">
        <w:rPr>
          <w:rFonts w:ascii="Arial" w:hAnsi="Arial" w:cs="Arial"/>
          <w:sz w:val="20"/>
          <w:szCs w:val="20"/>
        </w:rPr>
        <w:t xml:space="preserve"> </w:t>
      </w:r>
      <w:r w:rsidRPr="004F6CD1">
        <w:rPr>
          <w:rFonts w:ascii="Arial" w:hAnsi="Arial" w:cs="Arial"/>
          <w:sz w:val="20"/>
          <w:szCs w:val="20"/>
        </w:rPr>
        <w:t>à demander au juge d’examiner la légalité de ladite mesure et d’en suspendre l’exécution.</w:t>
      </w:r>
    </w:p>
    <w:p w14:paraId="70BF218E" w14:textId="77777777" w:rsidR="0047782E" w:rsidRPr="0047782E" w:rsidRDefault="0047782E" w:rsidP="0047782E">
      <w:pPr>
        <w:spacing w:after="0" w:line="240" w:lineRule="auto"/>
        <w:jc w:val="both"/>
        <w:rPr>
          <w:rFonts w:ascii="Arial" w:hAnsi="Arial" w:cs="Arial"/>
          <w:sz w:val="20"/>
          <w:szCs w:val="20"/>
        </w:rPr>
      </w:pPr>
    </w:p>
    <w:p w14:paraId="6F7735CD" w14:textId="77777777" w:rsidR="0045744D"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Par ailleurs, cette procédure ne permet pas au juge de s’exprimer sur la légalité de la mesure mais se borne à lui demander d’ordonner les mesures les plus urgentes afin d’assurer la sauvegarde des droits fondamentaux invoqués.  Or, la jurisprudence européenne exige expressément un examen sérieux et suffisamment approfondi</w:t>
      </w:r>
      <w:r w:rsidRPr="0045744D">
        <w:rPr>
          <w:vertAlign w:val="superscript"/>
        </w:rPr>
        <w:footnoteReference w:id="86"/>
      </w:r>
      <w:r w:rsidR="0047782E">
        <w:rPr>
          <w:rFonts w:ascii="Arial" w:hAnsi="Arial" w:cs="Arial"/>
          <w:sz w:val="20"/>
          <w:szCs w:val="20"/>
        </w:rPr>
        <w:t>.</w:t>
      </w:r>
    </w:p>
    <w:p w14:paraId="4B57E4FF" w14:textId="77777777" w:rsidR="0047782E" w:rsidRPr="0047782E" w:rsidRDefault="0047782E" w:rsidP="0047782E">
      <w:pPr>
        <w:spacing w:after="0" w:line="240" w:lineRule="auto"/>
        <w:jc w:val="both"/>
        <w:rPr>
          <w:rFonts w:ascii="Arial" w:hAnsi="Arial" w:cs="Arial"/>
          <w:sz w:val="20"/>
          <w:szCs w:val="20"/>
        </w:rPr>
      </w:pPr>
    </w:p>
    <w:p w14:paraId="05F8D74B" w14:textId="77777777" w:rsidR="0045744D"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La CNCDH juge également cette nouvelle disposition insuffisante : « </w:t>
      </w:r>
      <w:r w:rsidRPr="004F6CD1">
        <w:rPr>
          <w:rFonts w:ascii="Arial" w:hAnsi="Arial" w:cs="Arial"/>
          <w:i/>
          <w:sz w:val="20"/>
          <w:szCs w:val="20"/>
        </w:rPr>
        <w:t>D’une part, le référé-liberté n’offre pas les mêmes garanties qu’un recours suspensif de plein droit qui permet un examen complet de la légalité de la mesure d’éloignement par le juge administratif.Les conditions pour l’introduire sont beaucoup plus strictes, puisqu’il faut être en présence d’une violation grave et manifestement illégale d’une liberté fondamentale</w:t>
      </w:r>
      <w:r w:rsidRPr="004F6CD1">
        <w:rPr>
          <w:rFonts w:ascii="Arial" w:hAnsi="Arial" w:cs="Arial"/>
          <w:sz w:val="20"/>
          <w:szCs w:val="20"/>
        </w:rPr>
        <w:t> »</w:t>
      </w:r>
      <w:r w:rsidRPr="0045744D">
        <w:rPr>
          <w:vertAlign w:val="superscript"/>
        </w:rPr>
        <w:footnoteReference w:id="87"/>
      </w:r>
      <w:r w:rsidR="009302FD">
        <w:rPr>
          <w:rFonts w:ascii="Arial" w:hAnsi="Arial" w:cs="Arial"/>
          <w:sz w:val="20"/>
          <w:szCs w:val="20"/>
        </w:rPr>
        <w:t>.</w:t>
      </w:r>
    </w:p>
    <w:p w14:paraId="366804C1" w14:textId="77777777" w:rsidR="009302FD" w:rsidRPr="009302FD" w:rsidRDefault="009302FD" w:rsidP="009302FD">
      <w:pPr>
        <w:spacing w:after="0" w:line="240" w:lineRule="auto"/>
        <w:jc w:val="both"/>
        <w:rPr>
          <w:rFonts w:ascii="Arial" w:hAnsi="Arial" w:cs="Arial"/>
          <w:sz w:val="20"/>
          <w:szCs w:val="20"/>
        </w:rPr>
      </w:pPr>
    </w:p>
    <w:p w14:paraId="4F8B35E8" w14:textId="77777777" w:rsidR="0045744D"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Enfin, il est important de rappeler que l’effectivité du recours n’est garantie pour la Cour européenne que si l’intervention du juge est « réelle » afin d’éviter tout risque de décision arbitraire et si les autorités ne procèdent pas de manière expéditive à l’éloignement de la personne, ce qui rend le recours inopérant et inaccessible</w:t>
      </w:r>
      <w:r w:rsidRPr="0045744D">
        <w:rPr>
          <w:vertAlign w:val="superscript"/>
        </w:rPr>
        <w:footnoteReference w:id="88"/>
      </w:r>
      <w:r w:rsidRPr="004F6CD1">
        <w:rPr>
          <w:rFonts w:ascii="Arial" w:hAnsi="Arial" w:cs="Arial"/>
          <w:sz w:val="20"/>
          <w:szCs w:val="20"/>
        </w:rPr>
        <w:t>.</w:t>
      </w:r>
    </w:p>
    <w:p w14:paraId="2A9FDE4C" w14:textId="77777777" w:rsidR="0047782E" w:rsidRPr="0047782E" w:rsidRDefault="0047782E" w:rsidP="0047782E">
      <w:pPr>
        <w:spacing w:after="0" w:line="240" w:lineRule="auto"/>
        <w:jc w:val="both"/>
        <w:rPr>
          <w:rFonts w:ascii="Arial" w:hAnsi="Arial" w:cs="Arial"/>
          <w:sz w:val="20"/>
          <w:szCs w:val="20"/>
        </w:rPr>
      </w:pPr>
    </w:p>
    <w:p w14:paraId="521FDB5B" w14:textId="77777777" w:rsidR="0045744D"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lastRenderedPageBreak/>
        <w:t>Or, tant que les éloignements forcés seront exécutés de manière aussi expéditive, notamment à Mayotte</w:t>
      </w:r>
      <w:r w:rsidRPr="0045744D">
        <w:rPr>
          <w:vertAlign w:val="superscript"/>
        </w:rPr>
        <w:footnoteReference w:id="89"/>
      </w:r>
      <w:r w:rsidRPr="004F6CD1">
        <w:rPr>
          <w:rFonts w:ascii="Arial" w:hAnsi="Arial" w:cs="Arial"/>
          <w:sz w:val="20"/>
          <w:szCs w:val="20"/>
        </w:rPr>
        <w:t>, il sera le plus souvent impossible de déposer quelque recours que ce soit, suspensif ou non.</w:t>
      </w:r>
    </w:p>
    <w:p w14:paraId="2B2F126B" w14:textId="77777777" w:rsidR="00680A5C" w:rsidRPr="00680A5C" w:rsidRDefault="00680A5C" w:rsidP="00680A5C">
      <w:pPr>
        <w:spacing w:after="0" w:line="240" w:lineRule="auto"/>
        <w:jc w:val="both"/>
        <w:rPr>
          <w:rFonts w:ascii="Arial" w:hAnsi="Arial" w:cs="Arial"/>
          <w:sz w:val="20"/>
          <w:szCs w:val="20"/>
        </w:rPr>
      </w:pPr>
    </w:p>
    <w:p w14:paraId="47E25CFA" w14:textId="77777777" w:rsidR="0045744D"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Le Commissaire aux droits de l’Homme du Conseil de l’Europe considère à cet égard que la loi du 7 mars 2016 « </w:t>
      </w:r>
      <w:r w:rsidRPr="004F6CD1">
        <w:rPr>
          <w:rFonts w:ascii="Arial" w:hAnsi="Arial" w:cs="Arial"/>
          <w:i/>
          <w:sz w:val="20"/>
          <w:szCs w:val="20"/>
        </w:rPr>
        <w:t>prévoit certes la possibilité de saisir le juge administratif d’un référé liberté pour obtenir la suspension de l’éloignement du territoire, mais ce recours d’urgence risque d’être insuffisant s’il est procédé à l’exécution de l’OQTF avant que la personne intéressée ait pu saisir le juge des référés</w:t>
      </w:r>
      <w:r w:rsidRPr="004F6CD1">
        <w:rPr>
          <w:rFonts w:ascii="Arial" w:hAnsi="Arial" w:cs="Arial"/>
          <w:sz w:val="20"/>
          <w:szCs w:val="20"/>
        </w:rPr>
        <w:t> »</w:t>
      </w:r>
      <w:r w:rsidRPr="0045744D">
        <w:rPr>
          <w:vertAlign w:val="superscript"/>
        </w:rPr>
        <w:footnoteReference w:id="90"/>
      </w:r>
      <w:r w:rsidRPr="004F6CD1">
        <w:rPr>
          <w:rFonts w:ascii="Arial" w:hAnsi="Arial" w:cs="Arial"/>
          <w:sz w:val="20"/>
          <w:szCs w:val="20"/>
        </w:rPr>
        <w:t>.</w:t>
      </w:r>
    </w:p>
    <w:p w14:paraId="5215AEF2" w14:textId="77777777" w:rsidR="00680A5C" w:rsidRPr="00680A5C" w:rsidRDefault="00680A5C" w:rsidP="00680A5C">
      <w:pPr>
        <w:spacing w:after="0" w:line="240" w:lineRule="auto"/>
        <w:jc w:val="both"/>
        <w:rPr>
          <w:rFonts w:ascii="Arial" w:hAnsi="Arial" w:cs="Arial"/>
          <w:sz w:val="20"/>
          <w:szCs w:val="20"/>
        </w:rPr>
      </w:pPr>
    </w:p>
    <w:p w14:paraId="24E568BC" w14:textId="77777777" w:rsidR="0045744D"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Le Commissaire estime que « </w:t>
      </w:r>
      <w:r w:rsidRPr="004F6CD1">
        <w:rPr>
          <w:rFonts w:ascii="Arial" w:hAnsi="Arial" w:cs="Arial"/>
          <w:i/>
          <w:sz w:val="20"/>
          <w:szCs w:val="20"/>
        </w:rPr>
        <w:t>la pression migratoire subie par un territoire ne devrait pas justifier des dérogations ayant pour effet de restreindre les garanties procédurales en matière d’asile et d’immigration. Il appelle donc les autorités à assortir sans délai les recours existant outre-mer d’un effet suspensif de plein droit, qui constitue l’une des conditions de leur effectivité</w:t>
      </w:r>
      <w:r w:rsidRPr="004F6CD1">
        <w:rPr>
          <w:rFonts w:ascii="Arial" w:hAnsi="Arial" w:cs="Arial"/>
          <w:sz w:val="20"/>
          <w:szCs w:val="20"/>
        </w:rPr>
        <w:t> ».</w:t>
      </w:r>
    </w:p>
    <w:p w14:paraId="0FEFC094" w14:textId="77777777" w:rsidR="00680A5C" w:rsidRPr="00680A5C" w:rsidRDefault="00680A5C" w:rsidP="00680A5C">
      <w:pPr>
        <w:spacing w:after="0" w:line="240" w:lineRule="auto"/>
        <w:jc w:val="both"/>
        <w:rPr>
          <w:rFonts w:ascii="Arial" w:hAnsi="Arial" w:cs="Arial"/>
          <w:sz w:val="20"/>
          <w:szCs w:val="20"/>
        </w:rPr>
      </w:pPr>
    </w:p>
    <w:p w14:paraId="7BBB9DCB" w14:textId="77777777" w:rsidR="00F73691" w:rsidRDefault="0045744D" w:rsidP="00F73691">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Dans le même sens, le Défenseur des droits préconise également un alignement du contentieux de l’éloignement en outre-mer à celui en vigueur en métropole</w:t>
      </w:r>
      <w:r w:rsidRPr="0045744D">
        <w:rPr>
          <w:vertAlign w:val="superscript"/>
        </w:rPr>
        <w:footnoteReference w:id="91"/>
      </w:r>
      <w:r w:rsidRPr="004F6CD1">
        <w:rPr>
          <w:rFonts w:ascii="Arial" w:hAnsi="Arial" w:cs="Arial"/>
          <w:sz w:val="20"/>
          <w:szCs w:val="20"/>
        </w:rPr>
        <w:t>.</w:t>
      </w:r>
    </w:p>
    <w:p w14:paraId="67A15F24" w14:textId="77777777" w:rsidR="00F73691" w:rsidRPr="00F73691" w:rsidRDefault="00F73691" w:rsidP="00F73691">
      <w:pPr>
        <w:pStyle w:val="Paragraphedeliste"/>
        <w:rPr>
          <w:rFonts w:ascii="Arial" w:hAnsi="Arial" w:cs="Arial"/>
          <w:sz w:val="20"/>
          <w:szCs w:val="20"/>
        </w:rPr>
      </w:pPr>
    </w:p>
    <w:p w14:paraId="34CBE596" w14:textId="77777777" w:rsidR="0045744D" w:rsidRPr="00F73691" w:rsidRDefault="0045744D" w:rsidP="00F73691">
      <w:pPr>
        <w:pStyle w:val="Paragraphedeliste"/>
        <w:numPr>
          <w:ilvl w:val="0"/>
          <w:numId w:val="9"/>
        </w:numPr>
        <w:spacing w:after="0" w:line="240" w:lineRule="auto"/>
        <w:jc w:val="both"/>
        <w:rPr>
          <w:rFonts w:ascii="Arial" w:hAnsi="Arial" w:cs="Arial"/>
          <w:sz w:val="20"/>
          <w:szCs w:val="20"/>
        </w:rPr>
      </w:pPr>
      <w:r w:rsidRPr="00F73691">
        <w:rPr>
          <w:rFonts w:ascii="Arial" w:hAnsi="Arial" w:cs="Arial"/>
          <w:sz w:val="20"/>
          <w:szCs w:val="20"/>
        </w:rPr>
        <w:t>La CNCDH rappelle que à Mayotte et en Guyane, </w:t>
      </w:r>
      <w:r w:rsidRPr="00F73691">
        <w:rPr>
          <w:rFonts w:ascii="Arial" w:hAnsi="Arial" w:cs="Arial"/>
          <w:i/>
          <w:sz w:val="20"/>
          <w:szCs w:val="20"/>
        </w:rPr>
        <w:t xml:space="preserve">« la majorité des mesures d’éloignement est exécutée en moins de 24 heures, avec des horaires de placement parfois tardifs le soir. En pratique, la possibilité d’introduire un référé-liberté suspensif est donc réduite à néant dès lors que la mesure d’éloignement est mise à exécution immédiatement » </w:t>
      </w:r>
      <w:r w:rsidRPr="00F73691">
        <w:rPr>
          <w:rFonts w:ascii="Arial" w:hAnsi="Arial" w:cs="Arial"/>
          <w:sz w:val="20"/>
          <w:szCs w:val="20"/>
        </w:rPr>
        <w:t>et juge en tout état de cause que « </w:t>
      </w:r>
      <w:r w:rsidRPr="00F73691">
        <w:rPr>
          <w:rFonts w:ascii="Arial" w:hAnsi="Arial" w:cs="Arial"/>
          <w:i/>
          <w:sz w:val="20"/>
          <w:szCs w:val="20"/>
        </w:rPr>
        <w:t xml:space="preserve">l’impact de cette nouvelle mesure, est tout à fait négligeable » </w:t>
      </w:r>
      <w:r w:rsidRPr="00F73691">
        <w:rPr>
          <w:rFonts w:ascii="Arial" w:hAnsi="Arial" w:cs="Arial"/>
          <w:sz w:val="20"/>
          <w:szCs w:val="20"/>
        </w:rPr>
        <w:t>et</w:t>
      </w:r>
      <w:r w:rsidRPr="00F73691">
        <w:rPr>
          <w:rFonts w:ascii="Arial" w:hAnsi="Arial" w:cs="Arial"/>
          <w:i/>
          <w:sz w:val="20"/>
          <w:szCs w:val="20"/>
        </w:rPr>
        <w:t xml:space="preserve"> « ne répond pas pleinement aux exigences de la CESDH ». </w:t>
      </w:r>
      <w:r w:rsidRPr="00F73691">
        <w:rPr>
          <w:rFonts w:ascii="Arial" w:hAnsi="Arial" w:cs="Arial"/>
          <w:sz w:val="20"/>
          <w:szCs w:val="20"/>
        </w:rPr>
        <w:t>La CNCDH y voit toujours une violation évidente de l’article 13 de la CESDH </w:t>
      </w:r>
      <w:r w:rsidRPr="0045744D">
        <w:rPr>
          <w:vertAlign w:val="superscript"/>
        </w:rPr>
        <w:footnoteReference w:id="92"/>
      </w:r>
      <w:r w:rsidRPr="00F73691">
        <w:rPr>
          <w:rFonts w:ascii="Arial" w:hAnsi="Arial" w:cs="Arial"/>
          <w:sz w:val="20"/>
          <w:szCs w:val="20"/>
        </w:rPr>
        <w:t>.</w:t>
      </w:r>
    </w:p>
    <w:p w14:paraId="0D33687D" w14:textId="77777777" w:rsidR="00680A5C" w:rsidRPr="00680A5C" w:rsidRDefault="00680A5C" w:rsidP="00680A5C">
      <w:pPr>
        <w:spacing w:after="0" w:line="240" w:lineRule="auto"/>
        <w:jc w:val="both"/>
        <w:rPr>
          <w:rFonts w:ascii="Arial" w:hAnsi="Arial" w:cs="Arial"/>
          <w:i/>
          <w:sz w:val="20"/>
          <w:szCs w:val="20"/>
        </w:rPr>
      </w:pPr>
    </w:p>
    <w:p w14:paraId="083C3158" w14:textId="77777777" w:rsidR="0045744D"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Aussi, la CNCH recommande « </w:t>
      </w:r>
      <w:r w:rsidRPr="004F6CD1">
        <w:rPr>
          <w:rFonts w:ascii="Arial" w:hAnsi="Arial" w:cs="Arial"/>
          <w:i/>
          <w:sz w:val="20"/>
          <w:szCs w:val="20"/>
        </w:rPr>
        <w:t>d’aligner pleinement le régime du contentieux des territoires d’Outre-mer sur celui de la métropole en introduisant dans la loi un jour franc systématique et un droit au recours suspensif afin que la France se conforme aux dispositions européennes et ouvre la possibilité aux étrangers d’exercer réellement leurs droits dans l’ensemble du territoire français</w:t>
      </w:r>
      <w:r w:rsidRPr="004F6CD1">
        <w:rPr>
          <w:rFonts w:ascii="Arial" w:hAnsi="Arial" w:cs="Arial"/>
          <w:sz w:val="20"/>
          <w:szCs w:val="20"/>
        </w:rPr>
        <w:t> »</w:t>
      </w:r>
      <w:r w:rsidRPr="0045744D">
        <w:rPr>
          <w:vertAlign w:val="superscript"/>
        </w:rPr>
        <w:footnoteReference w:id="93"/>
      </w:r>
      <w:r w:rsidRPr="004F6CD1">
        <w:rPr>
          <w:rFonts w:ascii="Arial" w:hAnsi="Arial" w:cs="Arial"/>
          <w:sz w:val="20"/>
          <w:szCs w:val="20"/>
        </w:rPr>
        <w:t>.</w:t>
      </w:r>
    </w:p>
    <w:p w14:paraId="083DBDB6" w14:textId="77777777" w:rsidR="00680A5C" w:rsidRPr="00680A5C" w:rsidRDefault="00680A5C" w:rsidP="00680A5C">
      <w:pPr>
        <w:spacing w:after="0" w:line="240" w:lineRule="auto"/>
        <w:jc w:val="both"/>
        <w:rPr>
          <w:rFonts w:ascii="Arial" w:hAnsi="Arial" w:cs="Arial"/>
          <w:sz w:val="20"/>
          <w:szCs w:val="20"/>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9072"/>
      </w:tblGrid>
      <w:tr w:rsidR="0045744D" w:rsidRPr="0045744D" w14:paraId="77457707" w14:textId="77777777" w:rsidTr="0045744D">
        <w:tc>
          <w:tcPr>
            <w:tcW w:w="9072" w:type="dxa"/>
            <w:shd w:val="clear" w:color="auto" w:fill="D9D9D9" w:themeFill="background1" w:themeFillShade="D9"/>
          </w:tcPr>
          <w:p w14:paraId="43A3A032" w14:textId="77777777" w:rsidR="0045744D" w:rsidRPr="004F6CD1" w:rsidRDefault="0045744D" w:rsidP="00680A5C">
            <w:pPr>
              <w:pStyle w:val="Paragraphedeliste"/>
              <w:keepNext/>
              <w:keepLines/>
              <w:ind w:left="360"/>
              <w:outlineLvl w:val="0"/>
              <w:rPr>
                <w:rFonts w:ascii="Arial" w:eastAsiaTheme="majorEastAsia" w:hAnsi="Arial" w:cs="Arial"/>
                <w:b/>
                <w:bCs/>
                <w:smallCaps/>
                <w:sz w:val="20"/>
                <w:szCs w:val="20"/>
              </w:rPr>
            </w:pPr>
            <w:r w:rsidRPr="004F6CD1">
              <w:rPr>
                <w:rFonts w:ascii="Arial" w:eastAsiaTheme="majorEastAsia" w:hAnsi="Arial" w:cs="Arial"/>
                <w:b/>
                <w:bCs/>
                <w:smallCaps/>
                <w:sz w:val="20"/>
                <w:szCs w:val="20"/>
              </w:rPr>
              <w:t>recommandations</w:t>
            </w:r>
          </w:p>
        </w:tc>
      </w:tr>
    </w:tbl>
    <w:p w14:paraId="3EF431B7" w14:textId="77777777" w:rsidR="0045744D" w:rsidRPr="004F6CD1" w:rsidRDefault="0045744D" w:rsidP="00680A5C">
      <w:pPr>
        <w:pStyle w:val="Paragraphedeliste"/>
        <w:spacing w:after="0" w:line="240" w:lineRule="auto"/>
        <w:ind w:left="360"/>
        <w:jc w:val="both"/>
        <w:rPr>
          <w:rFonts w:ascii="Arial" w:hAnsi="Arial" w:cs="Arial"/>
          <w:sz w:val="20"/>
          <w:szCs w:val="20"/>
        </w:rPr>
      </w:pPr>
    </w:p>
    <w:p w14:paraId="39242228" w14:textId="77777777" w:rsidR="0045744D" w:rsidRDefault="0045744D" w:rsidP="00680A5C">
      <w:pPr>
        <w:spacing w:after="0" w:line="240" w:lineRule="auto"/>
        <w:jc w:val="both"/>
        <w:rPr>
          <w:rFonts w:ascii="Arial" w:hAnsi="Arial" w:cs="Arial"/>
          <w:sz w:val="20"/>
          <w:szCs w:val="20"/>
        </w:rPr>
      </w:pPr>
      <w:r w:rsidRPr="00680A5C">
        <w:rPr>
          <w:rFonts w:ascii="Arial" w:hAnsi="Arial" w:cs="Arial"/>
          <w:sz w:val="20"/>
          <w:szCs w:val="20"/>
        </w:rPr>
        <w:t>La LDH demande aux autorités françaises :</w:t>
      </w:r>
    </w:p>
    <w:p w14:paraId="3A3F28DB" w14:textId="77777777" w:rsidR="00680A5C" w:rsidRPr="00680A5C" w:rsidRDefault="00680A5C" w:rsidP="00680A5C">
      <w:pPr>
        <w:spacing w:after="0" w:line="240" w:lineRule="auto"/>
        <w:jc w:val="both"/>
        <w:rPr>
          <w:rFonts w:ascii="Arial" w:hAnsi="Arial" w:cs="Arial"/>
          <w:sz w:val="20"/>
          <w:szCs w:val="20"/>
        </w:rPr>
      </w:pPr>
    </w:p>
    <w:p w14:paraId="240F289C" w14:textId="77777777" w:rsidR="0045744D" w:rsidRPr="00680A5C" w:rsidRDefault="0045744D" w:rsidP="00680A5C">
      <w:pPr>
        <w:pStyle w:val="Paragraphedeliste"/>
        <w:numPr>
          <w:ilvl w:val="0"/>
          <w:numId w:val="11"/>
        </w:numPr>
        <w:spacing w:after="0" w:line="240" w:lineRule="auto"/>
        <w:jc w:val="both"/>
        <w:rPr>
          <w:rFonts w:ascii="Arial" w:hAnsi="Arial" w:cs="Arial"/>
          <w:sz w:val="20"/>
          <w:szCs w:val="20"/>
        </w:rPr>
      </w:pPr>
      <w:r w:rsidRPr="00680A5C">
        <w:rPr>
          <w:rFonts w:ascii="Arial" w:hAnsi="Arial" w:cs="Arial"/>
          <w:sz w:val="20"/>
          <w:szCs w:val="20"/>
        </w:rPr>
        <w:t>l’intégration du dispositif de l’aide médicale d’état à Mayotte</w:t>
      </w:r>
      <w:r w:rsidR="00496EEF">
        <w:rPr>
          <w:rFonts w:ascii="Arial" w:hAnsi="Arial" w:cs="Arial"/>
          <w:sz w:val="20"/>
          <w:szCs w:val="20"/>
        </w:rPr>
        <w:t> ;</w:t>
      </w:r>
      <w:r w:rsidRPr="00680A5C">
        <w:rPr>
          <w:rFonts w:ascii="Arial" w:hAnsi="Arial" w:cs="Arial"/>
          <w:sz w:val="20"/>
          <w:szCs w:val="20"/>
        </w:rPr>
        <w:t xml:space="preserve"> </w:t>
      </w:r>
    </w:p>
    <w:p w14:paraId="7495B459" w14:textId="77777777" w:rsidR="0045744D" w:rsidRPr="00680A5C" w:rsidRDefault="0045744D" w:rsidP="00680A5C">
      <w:pPr>
        <w:pStyle w:val="Paragraphedeliste"/>
        <w:numPr>
          <w:ilvl w:val="0"/>
          <w:numId w:val="11"/>
        </w:numPr>
        <w:spacing w:after="0" w:line="240" w:lineRule="auto"/>
        <w:jc w:val="both"/>
        <w:rPr>
          <w:rFonts w:ascii="Arial" w:hAnsi="Arial" w:cs="Arial"/>
          <w:sz w:val="20"/>
          <w:szCs w:val="20"/>
        </w:rPr>
      </w:pPr>
      <w:r w:rsidRPr="00680A5C">
        <w:rPr>
          <w:rFonts w:ascii="Arial" w:hAnsi="Arial" w:cs="Arial"/>
          <w:sz w:val="20"/>
          <w:szCs w:val="20"/>
        </w:rPr>
        <w:t>la disparition des pratiques administratives illégales en matière d’inscription scolaire par la stricte application du décret n° 2020-811 du 29 juin 2020 ;</w:t>
      </w:r>
    </w:p>
    <w:p w14:paraId="2E34A5B5" w14:textId="77777777" w:rsidR="0045744D" w:rsidRPr="00680A5C" w:rsidRDefault="0045744D" w:rsidP="00680A5C">
      <w:pPr>
        <w:pStyle w:val="Paragraphedeliste"/>
        <w:numPr>
          <w:ilvl w:val="0"/>
          <w:numId w:val="11"/>
        </w:numPr>
        <w:spacing w:after="0" w:line="240" w:lineRule="auto"/>
        <w:jc w:val="both"/>
        <w:rPr>
          <w:rFonts w:ascii="Arial" w:hAnsi="Arial" w:cs="Arial"/>
          <w:sz w:val="20"/>
          <w:szCs w:val="20"/>
        </w:rPr>
      </w:pPr>
      <w:r w:rsidRPr="00680A5C">
        <w:rPr>
          <w:rFonts w:ascii="Arial" w:hAnsi="Arial" w:cs="Arial"/>
          <w:sz w:val="20"/>
          <w:szCs w:val="20"/>
        </w:rPr>
        <w:t>l’abrogation des dispositifs dérogatoires relatifs au contrôle d’identité ; </w:t>
      </w:r>
    </w:p>
    <w:p w14:paraId="34C5CF78" w14:textId="77777777" w:rsidR="0045744D" w:rsidRPr="00680A5C" w:rsidRDefault="0045744D" w:rsidP="00680A5C">
      <w:pPr>
        <w:pStyle w:val="Paragraphedeliste"/>
        <w:numPr>
          <w:ilvl w:val="0"/>
          <w:numId w:val="11"/>
        </w:numPr>
        <w:spacing w:after="0" w:line="240" w:lineRule="auto"/>
        <w:jc w:val="both"/>
        <w:rPr>
          <w:rFonts w:ascii="Arial" w:hAnsi="Arial" w:cs="Arial"/>
          <w:sz w:val="20"/>
          <w:szCs w:val="20"/>
        </w:rPr>
      </w:pPr>
      <w:r w:rsidRPr="00680A5C">
        <w:rPr>
          <w:rFonts w:ascii="Arial" w:hAnsi="Arial" w:cs="Arial"/>
          <w:sz w:val="20"/>
          <w:szCs w:val="20"/>
        </w:rPr>
        <w:t>l’alignement du régime du contentieux du droit des étrangers des territoires d’Outre-mer sur celui de la métropole.</w:t>
      </w:r>
    </w:p>
    <w:p w14:paraId="23B509B5" w14:textId="77777777" w:rsidR="0045744D" w:rsidRPr="004F6CD1" w:rsidRDefault="0045744D" w:rsidP="00680A5C">
      <w:pPr>
        <w:pStyle w:val="Paragraphedeliste"/>
        <w:spacing w:after="0" w:line="240" w:lineRule="auto"/>
        <w:ind w:left="360"/>
        <w:jc w:val="both"/>
        <w:rPr>
          <w:rFonts w:ascii="Arial" w:hAnsi="Arial" w:cs="Arial"/>
          <w:sz w:val="20"/>
          <w:szCs w:val="20"/>
        </w:rPr>
      </w:pPr>
    </w:p>
    <w:tbl>
      <w:tblPr>
        <w:tblStyle w:val="Grilledutableau"/>
        <w:tblW w:w="0" w:type="auto"/>
        <w:tblLook w:val="04A0" w:firstRow="1" w:lastRow="0" w:firstColumn="1" w:lastColumn="0" w:noHBand="0" w:noVBand="1"/>
      </w:tblPr>
      <w:tblGrid>
        <w:gridCol w:w="9072"/>
      </w:tblGrid>
      <w:tr w:rsidR="0045744D" w:rsidRPr="0045744D" w14:paraId="4EB0272B" w14:textId="77777777" w:rsidTr="0045744D">
        <w:tc>
          <w:tcPr>
            <w:tcW w:w="9072" w:type="dxa"/>
            <w:tcBorders>
              <w:top w:val="nil"/>
              <w:left w:val="nil"/>
              <w:bottom w:val="nil"/>
              <w:right w:val="nil"/>
            </w:tcBorders>
            <w:shd w:val="clear" w:color="auto" w:fill="D9D9D9" w:themeFill="background1" w:themeFillShade="D9"/>
          </w:tcPr>
          <w:p w14:paraId="734239CB" w14:textId="77777777" w:rsidR="0045744D" w:rsidRPr="004F6CD1" w:rsidRDefault="0045744D" w:rsidP="00680A5C">
            <w:pPr>
              <w:pStyle w:val="Paragraphedeliste"/>
              <w:keepNext/>
              <w:keepLines/>
              <w:ind w:left="360"/>
              <w:outlineLvl w:val="0"/>
              <w:rPr>
                <w:rFonts w:ascii="Arial" w:eastAsiaTheme="majorEastAsia" w:hAnsi="Arial" w:cs="Arial"/>
                <w:b/>
                <w:bCs/>
                <w:caps/>
                <w:sz w:val="20"/>
                <w:szCs w:val="20"/>
                <w:lang w:val="en-US"/>
              </w:rPr>
            </w:pPr>
            <w:r w:rsidRPr="004F6CD1">
              <w:rPr>
                <w:rFonts w:ascii="Arial" w:eastAsiaTheme="majorEastAsia" w:hAnsi="Arial" w:cs="Arial"/>
                <w:b/>
                <w:bCs/>
                <w:caps/>
                <w:sz w:val="20"/>
                <w:szCs w:val="20"/>
                <w:lang w:val="en-US"/>
              </w:rPr>
              <w:t xml:space="preserve">la politique d’immigration </w:t>
            </w:r>
          </w:p>
        </w:tc>
      </w:tr>
    </w:tbl>
    <w:p w14:paraId="56DB715D" w14:textId="77777777" w:rsidR="0045744D" w:rsidRPr="004F6CD1" w:rsidRDefault="0045744D" w:rsidP="00680A5C">
      <w:pPr>
        <w:pStyle w:val="Paragraphedeliste"/>
        <w:spacing w:after="0" w:line="240" w:lineRule="auto"/>
        <w:ind w:left="360"/>
        <w:jc w:val="both"/>
        <w:rPr>
          <w:rFonts w:ascii="Arial" w:hAnsi="Arial" w:cs="Arial"/>
          <w:b/>
          <w:sz w:val="20"/>
          <w:szCs w:val="20"/>
        </w:rPr>
      </w:pPr>
    </w:p>
    <w:p w14:paraId="3B98E755" w14:textId="77777777" w:rsidR="0045744D" w:rsidRPr="00680A5C" w:rsidRDefault="0045744D" w:rsidP="00680A5C">
      <w:pPr>
        <w:pStyle w:val="Paragraphedeliste"/>
        <w:numPr>
          <w:ilvl w:val="0"/>
          <w:numId w:val="13"/>
        </w:numPr>
        <w:spacing w:after="0" w:line="240" w:lineRule="auto"/>
        <w:jc w:val="both"/>
        <w:rPr>
          <w:rFonts w:ascii="Arial" w:hAnsi="Arial" w:cs="Arial"/>
          <w:b/>
          <w:sz w:val="20"/>
          <w:szCs w:val="20"/>
        </w:rPr>
      </w:pPr>
      <w:r w:rsidRPr="00680A5C">
        <w:rPr>
          <w:rFonts w:ascii="Arial" w:hAnsi="Arial" w:cs="Arial"/>
          <w:b/>
          <w:sz w:val="20"/>
          <w:szCs w:val="20"/>
        </w:rPr>
        <w:t>Les mineurs non accompagnés</w:t>
      </w:r>
    </w:p>
    <w:p w14:paraId="73EF8CF4" w14:textId="77777777" w:rsidR="00680A5C" w:rsidRPr="0045744D" w:rsidRDefault="00680A5C" w:rsidP="00680A5C">
      <w:pPr>
        <w:spacing w:after="0" w:line="240" w:lineRule="auto"/>
        <w:contextualSpacing/>
        <w:jc w:val="both"/>
        <w:rPr>
          <w:rFonts w:ascii="Arial" w:hAnsi="Arial" w:cs="Arial"/>
          <w:b/>
          <w:sz w:val="20"/>
          <w:szCs w:val="20"/>
        </w:rPr>
      </w:pPr>
    </w:p>
    <w:p w14:paraId="47FF6E1E" w14:textId="77777777" w:rsidR="00680A5C" w:rsidRDefault="0045744D" w:rsidP="008F5418">
      <w:pPr>
        <w:pStyle w:val="Paragraphedeliste"/>
        <w:numPr>
          <w:ilvl w:val="0"/>
          <w:numId w:val="9"/>
        </w:numPr>
        <w:spacing w:after="0" w:line="240" w:lineRule="auto"/>
        <w:jc w:val="both"/>
        <w:rPr>
          <w:rFonts w:ascii="Arial" w:hAnsi="Arial" w:cs="Arial"/>
          <w:sz w:val="20"/>
          <w:szCs w:val="20"/>
        </w:rPr>
      </w:pPr>
      <w:r w:rsidRPr="00672727">
        <w:rPr>
          <w:rFonts w:ascii="Arial" w:hAnsi="Arial" w:cs="Arial"/>
          <w:sz w:val="20"/>
          <w:szCs w:val="20"/>
        </w:rPr>
        <w:t>La situation des mineurs non accompagnés (MNA) en France est des plus préoccupantes depuis maintenant de longues années. Elle a déjà fait l’objet de rapports alternatifs circonstanciés de la part de la société civile et de recommandations de votre Comité. Néanmoins, la situation des MNA a continué de se détériorer depuis vos dernières observations finales, comme en atteste notamment le rapport de la Défenseure des Droits paru en 2022</w:t>
      </w:r>
      <w:r w:rsidRPr="0045744D">
        <w:rPr>
          <w:vertAlign w:val="superscript"/>
        </w:rPr>
        <w:footnoteReference w:id="94"/>
      </w:r>
      <w:r w:rsidR="00672727">
        <w:rPr>
          <w:rFonts w:ascii="Arial" w:hAnsi="Arial" w:cs="Arial"/>
          <w:sz w:val="20"/>
          <w:szCs w:val="20"/>
        </w:rPr>
        <w:t>dont la LDH partage le constat.</w:t>
      </w:r>
    </w:p>
    <w:p w14:paraId="2D3049F2" w14:textId="77777777" w:rsidR="00672727" w:rsidRPr="00672727" w:rsidRDefault="00672727" w:rsidP="00672727">
      <w:pPr>
        <w:pStyle w:val="Paragraphedeliste"/>
        <w:spacing w:after="0" w:line="240" w:lineRule="auto"/>
        <w:ind w:left="360"/>
        <w:jc w:val="both"/>
        <w:rPr>
          <w:rFonts w:ascii="Arial" w:hAnsi="Arial" w:cs="Arial"/>
          <w:sz w:val="20"/>
          <w:szCs w:val="20"/>
        </w:rPr>
      </w:pPr>
    </w:p>
    <w:p w14:paraId="3091829C" w14:textId="77777777" w:rsidR="0045744D"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 xml:space="preserve">La LDH ne peut que déplorer qu’à plusieurs étapes de la procédure, les MNA se voient exclus du droit commun de la protection de l’enfance telle que prévue par la législation française. </w:t>
      </w:r>
    </w:p>
    <w:p w14:paraId="594C6F44" w14:textId="77777777" w:rsidR="00680A5C" w:rsidRPr="00680A5C" w:rsidRDefault="00680A5C" w:rsidP="00680A5C">
      <w:pPr>
        <w:spacing w:after="0" w:line="240" w:lineRule="auto"/>
        <w:jc w:val="both"/>
        <w:rPr>
          <w:rFonts w:ascii="Arial" w:hAnsi="Arial" w:cs="Arial"/>
          <w:sz w:val="20"/>
          <w:szCs w:val="20"/>
        </w:rPr>
      </w:pPr>
    </w:p>
    <w:p w14:paraId="64556050" w14:textId="77777777" w:rsidR="0045744D" w:rsidRDefault="00672727" w:rsidP="00A37B18">
      <w:pPr>
        <w:pStyle w:val="Paragraphedeliste"/>
        <w:numPr>
          <w:ilvl w:val="0"/>
          <w:numId w:val="9"/>
        </w:numPr>
        <w:spacing w:after="0" w:line="240" w:lineRule="auto"/>
        <w:jc w:val="both"/>
        <w:rPr>
          <w:rFonts w:ascii="Arial" w:hAnsi="Arial" w:cs="Arial"/>
          <w:sz w:val="20"/>
          <w:szCs w:val="20"/>
        </w:rPr>
      </w:pPr>
      <w:r>
        <w:rPr>
          <w:rFonts w:ascii="Arial" w:hAnsi="Arial" w:cs="Arial"/>
          <w:sz w:val="20"/>
          <w:szCs w:val="20"/>
        </w:rPr>
        <w:lastRenderedPageBreak/>
        <w:t>La LDH n’abordera ici que l</w:t>
      </w:r>
      <w:r w:rsidR="0045744D" w:rsidRPr="004F6CD1">
        <w:rPr>
          <w:rFonts w:ascii="Arial" w:hAnsi="Arial" w:cs="Arial"/>
          <w:sz w:val="20"/>
          <w:szCs w:val="20"/>
        </w:rPr>
        <w:t>a procédure de mise à l’abri et celle d’évaluation de la minorité et de l’isolement qu</w:t>
      </w:r>
      <w:r>
        <w:rPr>
          <w:rFonts w:ascii="Arial" w:hAnsi="Arial" w:cs="Arial"/>
          <w:sz w:val="20"/>
          <w:szCs w:val="20"/>
        </w:rPr>
        <w:t xml:space="preserve">i ne s’appliquent qu’à leur égard. Si le rapport de la France les mentionne comme constituant prétendument « une garantie », elles </w:t>
      </w:r>
      <w:r w:rsidR="0045744D" w:rsidRPr="004F6CD1">
        <w:rPr>
          <w:rFonts w:ascii="Arial" w:hAnsi="Arial" w:cs="Arial"/>
          <w:sz w:val="20"/>
          <w:szCs w:val="20"/>
        </w:rPr>
        <w:t xml:space="preserve"> illustrent </w:t>
      </w:r>
      <w:r>
        <w:rPr>
          <w:rFonts w:ascii="Arial" w:hAnsi="Arial" w:cs="Arial"/>
          <w:sz w:val="20"/>
          <w:szCs w:val="20"/>
        </w:rPr>
        <w:t xml:space="preserve"> en réalité </w:t>
      </w:r>
      <w:r w:rsidR="0045744D" w:rsidRPr="004F6CD1">
        <w:rPr>
          <w:rFonts w:ascii="Arial" w:hAnsi="Arial" w:cs="Arial"/>
          <w:sz w:val="20"/>
          <w:szCs w:val="20"/>
        </w:rPr>
        <w:t>un glissement des principes régissant la protection de l’enfance en danger vers ceux qui régissent la gestion des flux migratoires, faisant fi notamment de la jurisprudence de la CEDH</w:t>
      </w:r>
      <w:r w:rsidR="0045744D" w:rsidRPr="0045744D">
        <w:rPr>
          <w:vertAlign w:val="superscript"/>
        </w:rPr>
        <w:footnoteReference w:id="95"/>
      </w:r>
      <w:r w:rsidR="0045744D" w:rsidRPr="004F6CD1">
        <w:rPr>
          <w:rFonts w:ascii="Arial" w:hAnsi="Arial" w:cs="Arial"/>
          <w:sz w:val="20"/>
          <w:szCs w:val="20"/>
        </w:rPr>
        <w:t>, et sont sources de discrimination à leur égard.</w:t>
      </w:r>
    </w:p>
    <w:p w14:paraId="3A5CCA62" w14:textId="77777777" w:rsidR="00680A5C" w:rsidRPr="00680A5C" w:rsidRDefault="00680A5C" w:rsidP="00680A5C">
      <w:pPr>
        <w:spacing w:after="0" w:line="240" w:lineRule="auto"/>
        <w:jc w:val="both"/>
        <w:rPr>
          <w:rFonts w:ascii="Arial" w:hAnsi="Arial" w:cs="Arial"/>
          <w:sz w:val="20"/>
          <w:szCs w:val="20"/>
        </w:rPr>
      </w:pPr>
    </w:p>
    <w:p w14:paraId="14CCEBF8" w14:textId="77777777" w:rsidR="0045744D" w:rsidRDefault="0045744D" w:rsidP="00680A5C">
      <w:pPr>
        <w:pStyle w:val="Paragraphedeliste"/>
        <w:numPr>
          <w:ilvl w:val="1"/>
          <w:numId w:val="13"/>
        </w:numPr>
        <w:spacing w:after="0" w:line="240" w:lineRule="auto"/>
        <w:jc w:val="both"/>
        <w:rPr>
          <w:rFonts w:ascii="Arial" w:hAnsi="Arial" w:cs="Arial"/>
          <w:sz w:val="20"/>
          <w:szCs w:val="20"/>
          <w:u w:val="single"/>
        </w:rPr>
      </w:pPr>
      <w:r w:rsidRPr="00680A5C">
        <w:rPr>
          <w:rFonts w:ascii="Arial" w:hAnsi="Arial" w:cs="Arial"/>
          <w:sz w:val="20"/>
          <w:szCs w:val="20"/>
          <w:u w:val="single"/>
        </w:rPr>
        <w:t xml:space="preserve">Le recueil provisoire d’urgence très aléatoire </w:t>
      </w:r>
    </w:p>
    <w:p w14:paraId="14853ED2" w14:textId="77777777" w:rsidR="00680A5C" w:rsidRPr="00680A5C" w:rsidRDefault="00680A5C" w:rsidP="00680A5C">
      <w:pPr>
        <w:pStyle w:val="Paragraphedeliste"/>
        <w:spacing w:after="0" w:line="240" w:lineRule="auto"/>
        <w:jc w:val="both"/>
        <w:rPr>
          <w:rFonts w:ascii="Arial" w:hAnsi="Arial" w:cs="Arial"/>
          <w:sz w:val="20"/>
          <w:szCs w:val="20"/>
          <w:u w:val="single"/>
        </w:rPr>
      </w:pPr>
    </w:p>
    <w:p w14:paraId="56C7BAD4" w14:textId="77777777" w:rsidR="0045744D"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Alors qu’un accueil d’urgence est prévu par la loi dans l’attente d’une évaluation de minorité</w:t>
      </w:r>
      <w:r w:rsidRPr="0045744D">
        <w:rPr>
          <w:vertAlign w:val="superscript"/>
        </w:rPr>
        <w:footnoteReference w:id="96"/>
      </w:r>
      <w:r w:rsidRPr="004F6CD1">
        <w:rPr>
          <w:rFonts w:ascii="Arial" w:hAnsi="Arial" w:cs="Arial"/>
          <w:sz w:val="20"/>
          <w:szCs w:val="20"/>
        </w:rPr>
        <w:t>, de nombreux MN</w:t>
      </w:r>
      <w:r w:rsidR="00C42559">
        <w:rPr>
          <w:rFonts w:ascii="Arial" w:hAnsi="Arial" w:cs="Arial"/>
          <w:sz w:val="20"/>
          <w:szCs w:val="20"/>
        </w:rPr>
        <w:t>A en sont injustement exclus. La</w:t>
      </w:r>
      <w:r w:rsidRPr="004F6CD1">
        <w:rPr>
          <w:rFonts w:ascii="Arial" w:hAnsi="Arial" w:cs="Arial"/>
          <w:sz w:val="20"/>
          <w:szCs w:val="20"/>
        </w:rPr>
        <w:t xml:space="preserve"> Défenseur</w:t>
      </w:r>
      <w:r w:rsidR="00C42559">
        <w:rPr>
          <w:rFonts w:ascii="Arial" w:hAnsi="Arial" w:cs="Arial"/>
          <w:sz w:val="20"/>
          <w:szCs w:val="20"/>
        </w:rPr>
        <w:t>e</w:t>
      </w:r>
      <w:r w:rsidRPr="004F6CD1">
        <w:rPr>
          <w:rFonts w:ascii="Arial" w:hAnsi="Arial" w:cs="Arial"/>
          <w:sz w:val="20"/>
          <w:szCs w:val="20"/>
        </w:rPr>
        <w:t xml:space="preserve"> des Droits  dénonce spécifiquement l’existence de MNA ne bénéficiant pas de mise à l’abri dans l’attente de leur rendez-vous d’évaluation</w:t>
      </w:r>
      <w:r w:rsidRPr="0045744D">
        <w:rPr>
          <w:vertAlign w:val="superscript"/>
        </w:rPr>
        <w:footnoteReference w:id="97"/>
      </w:r>
      <w:r w:rsidRPr="004F6CD1">
        <w:rPr>
          <w:rFonts w:ascii="Arial" w:hAnsi="Arial" w:cs="Arial"/>
          <w:sz w:val="20"/>
          <w:szCs w:val="20"/>
        </w:rPr>
        <w:t xml:space="preserve">. </w:t>
      </w:r>
    </w:p>
    <w:p w14:paraId="47574E3A" w14:textId="77777777" w:rsidR="00680A5C" w:rsidRPr="004F6CD1" w:rsidRDefault="00680A5C" w:rsidP="00680A5C">
      <w:pPr>
        <w:pStyle w:val="Paragraphedeliste"/>
        <w:spacing w:after="0" w:line="240" w:lineRule="auto"/>
        <w:ind w:left="360"/>
        <w:jc w:val="both"/>
        <w:rPr>
          <w:rFonts w:ascii="Arial" w:hAnsi="Arial" w:cs="Arial"/>
          <w:sz w:val="20"/>
          <w:szCs w:val="20"/>
        </w:rPr>
      </w:pPr>
    </w:p>
    <w:p w14:paraId="7B60E088" w14:textId="77777777" w:rsidR="0045744D"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Alors que l’évaluation initiale des MNA relève en principe de la compétence départementale, l’ingérence des services de police et de la préfecture se généralise. En effet, avec la création du fichier AEM</w:t>
      </w:r>
      <w:r w:rsidRPr="0045744D">
        <w:rPr>
          <w:vertAlign w:val="superscript"/>
        </w:rPr>
        <w:footnoteReference w:id="98"/>
      </w:r>
      <w:r w:rsidRPr="004F6CD1">
        <w:rPr>
          <w:rFonts w:ascii="Arial" w:hAnsi="Arial" w:cs="Arial"/>
          <w:sz w:val="20"/>
          <w:szCs w:val="20"/>
        </w:rPr>
        <w:t>, la phase d’accueil des MNA débute non plus au sein des services de protection de l’enfance, mais dans les préfectures ou directement dans les commissariats  et ce, même lorsque cela n’est pas expressément prévu par les protocoles. Ainsi désormais, la première étape de l’accueil du MNA consiste à une prise d’empreintes et la collecte d’autres données personnelles par des agents de l’État en charge de la lutte contre l’immigration illégale afin de vérifier si celui-ci a fraudé sur son identité.</w:t>
      </w:r>
    </w:p>
    <w:p w14:paraId="4E92BCF6" w14:textId="77777777" w:rsidR="00680A5C" w:rsidRPr="00680A5C" w:rsidRDefault="00680A5C" w:rsidP="00680A5C">
      <w:pPr>
        <w:spacing w:after="0" w:line="240" w:lineRule="auto"/>
        <w:jc w:val="both"/>
        <w:rPr>
          <w:rFonts w:ascii="Arial" w:hAnsi="Arial" w:cs="Arial"/>
          <w:sz w:val="20"/>
          <w:szCs w:val="20"/>
        </w:rPr>
      </w:pPr>
    </w:p>
    <w:p w14:paraId="6E68176F" w14:textId="49718257" w:rsidR="0045744D"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 xml:space="preserve">Tout refus du mineur de se plier aux vérifications de la police met fin à sa prise en charge avant-même que l’évaluation de sa minorité et de son isolement, </w:t>
      </w:r>
      <w:r w:rsidRPr="004508A4">
        <w:rPr>
          <w:rFonts w:ascii="Arial" w:hAnsi="Arial" w:cs="Arial"/>
          <w:sz w:val="20"/>
          <w:szCs w:val="20"/>
        </w:rPr>
        <w:t>prévu</w:t>
      </w:r>
      <w:r w:rsidR="00597182" w:rsidRPr="004508A4">
        <w:rPr>
          <w:rFonts w:ascii="Arial" w:hAnsi="Arial" w:cs="Arial"/>
          <w:sz w:val="20"/>
          <w:szCs w:val="20"/>
        </w:rPr>
        <w:t>e</w:t>
      </w:r>
      <w:r w:rsidRPr="00597182">
        <w:rPr>
          <w:rFonts w:ascii="Arial" w:hAnsi="Arial" w:cs="Arial"/>
          <w:color w:val="FF0000"/>
          <w:sz w:val="20"/>
          <w:szCs w:val="20"/>
        </w:rPr>
        <w:t xml:space="preserve"> </w:t>
      </w:r>
      <w:r w:rsidRPr="004F6CD1">
        <w:rPr>
          <w:rFonts w:ascii="Arial" w:hAnsi="Arial" w:cs="Arial"/>
          <w:sz w:val="20"/>
          <w:szCs w:val="20"/>
        </w:rPr>
        <w:t xml:space="preserve">par la loi, ne </w:t>
      </w:r>
      <w:r w:rsidRPr="004508A4">
        <w:rPr>
          <w:rFonts w:ascii="Arial" w:hAnsi="Arial" w:cs="Arial"/>
          <w:sz w:val="20"/>
          <w:szCs w:val="20"/>
        </w:rPr>
        <w:t xml:space="preserve">soit </w:t>
      </w:r>
      <w:r w:rsidRPr="004F6CD1">
        <w:rPr>
          <w:rFonts w:ascii="Arial" w:hAnsi="Arial" w:cs="Arial"/>
          <w:sz w:val="20"/>
          <w:szCs w:val="20"/>
        </w:rPr>
        <w:t>mise en œuvre.</w:t>
      </w:r>
    </w:p>
    <w:p w14:paraId="2A57F702" w14:textId="77777777" w:rsidR="004425B2" w:rsidRPr="004425B2" w:rsidRDefault="004425B2" w:rsidP="004425B2">
      <w:pPr>
        <w:spacing w:after="0" w:line="240" w:lineRule="auto"/>
        <w:jc w:val="both"/>
        <w:rPr>
          <w:rFonts w:ascii="Arial" w:hAnsi="Arial" w:cs="Arial"/>
          <w:sz w:val="20"/>
          <w:szCs w:val="20"/>
        </w:rPr>
      </w:pPr>
    </w:p>
    <w:p w14:paraId="0BABE0F8" w14:textId="77777777" w:rsidR="0045744D"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Le Défenseur des droits a ainsi été alerté de pratiques visant à opérer un premier « tri » entre les mineurs qui bénéficient d’une mise à l’abri immédiate avant évaluation, et ceux qui doivent rester dans la rue en attendant leur entretien d’évaluation, sans bénéficier d’un recueil provisoire d’urgence préalable. Cette sélection fondée uniquement sur une appréciation subjective de la minorité, est contraire aux textes et à l’intérêt supérieur des enfants. Si le Conseil d’État a rappelé qu’ « </w:t>
      </w:r>
      <w:r w:rsidRPr="004F6CD1">
        <w:rPr>
          <w:rFonts w:ascii="Arial" w:hAnsi="Arial" w:cs="Arial"/>
          <w:i/>
          <w:sz w:val="20"/>
          <w:szCs w:val="20"/>
        </w:rPr>
        <w:t>il appartient aux autorités sous réserve des cas où la condition de minorité ne serait à l’évidence pas remplie, il incombe aux autorités du département de mettre en place un accueil d’urgence pour toute personne se déclarant mineure et privée temporairement ou définitivement de la protection de sa famille</w:t>
      </w:r>
      <w:r w:rsidRPr="004F6CD1">
        <w:rPr>
          <w:rFonts w:ascii="Arial" w:hAnsi="Arial" w:cs="Arial"/>
          <w:sz w:val="20"/>
          <w:szCs w:val="20"/>
        </w:rPr>
        <w:t> », il n’a pas défini la notion de « condition de minorité » qui ne serait « à l’évidence pas remplie » laissant place à des pratiques arbitraires et infondées de nombreux départements</w:t>
      </w:r>
      <w:r w:rsidRPr="0045744D">
        <w:rPr>
          <w:vertAlign w:val="superscript"/>
        </w:rPr>
        <w:footnoteReference w:id="99"/>
      </w:r>
      <w:r w:rsidRPr="004F6CD1">
        <w:rPr>
          <w:rFonts w:ascii="Arial" w:hAnsi="Arial" w:cs="Arial"/>
          <w:sz w:val="20"/>
          <w:szCs w:val="20"/>
        </w:rPr>
        <w:t xml:space="preserve">. </w:t>
      </w:r>
    </w:p>
    <w:p w14:paraId="5BE24A61" w14:textId="77777777" w:rsidR="004425B2" w:rsidRPr="004425B2" w:rsidRDefault="004425B2" w:rsidP="004425B2">
      <w:pPr>
        <w:spacing w:after="0" w:line="240" w:lineRule="auto"/>
        <w:jc w:val="both"/>
        <w:rPr>
          <w:rFonts w:ascii="Arial" w:hAnsi="Arial" w:cs="Arial"/>
          <w:sz w:val="20"/>
          <w:szCs w:val="20"/>
        </w:rPr>
      </w:pPr>
    </w:p>
    <w:p w14:paraId="134C6599" w14:textId="77777777" w:rsidR="0045744D"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D’autres pratiques constituant un refus de mise à l’abri ont pu être constatées, notamment par des sections locales de la LDH consistant à n’octroyer une mise à l’abri, pourtant de droit, qu’à un nombre limité de mineurs isolés</w:t>
      </w:r>
      <w:r w:rsidRPr="0045744D">
        <w:rPr>
          <w:vertAlign w:val="superscript"/>
        </w:rPr>
        <w:footnoteReference w:id="100"/>
      </w:r>
      <w:r w:rsidRPr="004F6CD1">
        <w:rPr>
          <w:rFonts w:ascii="Arial" w:hAnsi="Arial" w:cs="Arial"/>
          <w:sz w:val="20"/>
          <w:szCs w:val="20"/>
        </w:rPr>
        <w:t>.  Ou encore la pratique récurrente dans le Nord où de nombreux enfants se présentant au commissariat de Dunkerque se voient refuser la mise à l’abri d’urgence qu’ils réclament et remettre à la rue. Cette violation du droit à la protection inconditionnelle est quotidienne et donne lieu à des informations préoccupantes communiquées au Conseil départemental compétent</w:t>
      </w:r>
      <w:r w:rsidRPr="0045744D">
        <w:rPr>
          <w:vertAlign w:val="superscript"/>
        </w:rPr>
        <w:footnoteReference w:id="101"/>
      </w:r>
      <w:r w:rsidRPr="004F6CD1">
        <w:rPr>
          <w:rFonts w:ascii="Arial" w:hAnsi="Arial" w:cs="Arial"/>
          <w:sz w:val="20"/>
          <w:szCs w:val="20"/>
        </w:rPr>
        <w:t xml:space="preserve">. </w:t>
      </w:r>
    </w:p>
    <w:p w14:paraId="74E269CF" w14:textId="77777777" w:rsidR="004425B2" w:rsidRPr="004425B2" w:rsidRDefault="004425B2" w:rsidP="004425B2">
      <w:pPr>
        <w:spacing w:after="0" w:line="240" w:lineRule="auto"/>
        <w:jc w:val="both"/>
        <w:rPr>
          <w:rFonts w:ascii="Arial" w:hAnsi="Arial" w:cs="Arial"/>
          <w:sz w:val="20"/>
          <w:szCs w:val="20"/>
        </w:rPr>
      </w:pPr>
    </w:p>
    <w:p w14:paraId="2D021220" w14:textId="77777777" w:rsidR="0045744D" w:rsidRDefault="004425B2" w:rsidP="004425B2">
      <w:pPr>
        <w:spacing w:after="0" w:line="240" w:lineRule="auto"/>
        <w:jc w:val="both"/>
        <w:rPr>
          <w:rFonts w:ascii="Arial" w:hAnsi="Arial" w:cs="Arial"/>
          <w:sz w:val="20"/>
          <w:szCs w:val="20"/>
          <w:u w:val="single"/>
        </w:rPr>
      </w:pPr>
      <w:r w:rsidRPr="004425B2">
        <w:rPr>
          <w:rFonts w:ascii="Arial" w:hAnsi="Arial" w:cs="Arial"/>
          <w:sz w:val="20"/>
          <w:szCs w:val="20"/>
        </w:rPr>
        <w:t>1.2</w:t>
      </w:r>
      <w:r>
        <w:rPr>
          <w:rFonts w:ascii="Arial" w:hAnsi="Arial" w:cs="Arial"/>
          <w:sz w:val="20"/>
          <w:szCs w:val="20"/>
          <w:u w:val="single"/>
        </w:rPr>
        <w:t xml:space="preserve"> </w:t>
      </w:r>
      <w:r w:rsidR="0045744D" w:rsidRPr="004425B2">
        <w:rPr>
          <w:rFonts w:ascii="Arial" w:hAnsi="Arial" w:cs="Arial"/>
          <w:sz w:val="20"/>
          <w:szCs w:val="20"/>
          <w:u w:val="single"/>
        </w:rPr>
        <w:t xml:space="preserve">L’évaluation du mineur isolé encadrée par l’arbitraire et la discrimination </w:t>
      </w:r>
    </w:p>
    <w:p w14:paraId="437E2D11" w14:textId="77777777" w:rsidR="004425B2" w:rsidRPr="004425B2" w:rsidRDefault="004425B2" w:rsidP="004425B2">
      <w:pPr>
        <w:spacing w:after="0" w:line="240" w:lineRule="auto"/>
        <w:jc w:val="both"/>
        <w:rPr>
          <w:rFonts w:ascii="Arial" w:hAnsi="Arial" w:cs="Arial"/>
          <w:sz w:val="20"/>
          <w:szCs w:val="20"/>
          <w:u w:val="single"/>
        </w:rPr>
      </w:pPr>
    </w:p>
    <w:p w14:paraId="5A93BE0A" w14:textId="77777777" w:rsidR="0045744D"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 xml:space="preserve">Tout d’abord, en application du décret 30 janvier 2019, tout étranger se disant mineur peut être orienté dans le cadre de son évaluation vers la préfecture pour le relevé de ses empreintes dans AEM en vue de sa comparaison avec les fichiers « Etrangers », de vérification qu’aucune autre demande de mise à l’abri n’ait été enregistrée dans un autre département et enfin, de l’enregistrement de ses données personnelles et biométriques dans le fichier AEM. </w:t>
      </w:r>
    </w:p>
    <w:p w14:paraId="70EE6FCE" w14:textId="77777777" w:rsidR="00E149FB" w:rsidRPr="004F6CD1" w:rsidRDefault="00E149FB" w:rsidP="00E149FB">
      <w:pPr>
        <w:pStyle w:val="Paragraphedeliste"/>
        <w:spacing w:after="0" w:line="240" w:lineRule="auto"/>
        <w:ind w:left="360"/>
        <w:jc w:val="both"/>
        <w:rPr>
          <w:rFonts w:ascii="Arial" w:hAnsi="Arial" w:cs="Arial"/>
          <w:sz w:val="20"/>
          <w:szCs w:val="20"/>
        </w:rPr>
      </w:pPr>
    </w:p>
    <w:p w14:paraId="06441A71" w14:textId="77777777" w:rsidR="0045744D"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Un arrêté du 23 octobre 2020 prévoit en outre que le montant de la participation forfaitaire de l’Etat à l’évaluation de la minorité, de l’isolement et de la réalisation d’une première évaluation</w:t>
      </w:r>
      <w:r w:rsidR="00AD184E">
        <w:rPr>
          <w:rFonts w:ascii="Arial" w:hAnsi="Arial" w:cs="Arial"/>
          <w:sz w:val="20"/>
          <w:szCs w:val="20"/>
        </w:rPr>
        <w:t xml:space="preserve"> des besoins en santé est prévu</w:t>
      </w:r>
      <w:r w:rsidRPr="004F6CD1">
        <w:rPr>
          <w:rFonts w:ascii="Arial" w:hAnsi="Arial" w:cs="Arial"/>
          <w:sz w:val="20"/>
          <w:szCs w:val="20"/>
        </w:rPr>
        <w:t xml:space="preserve"> à la</w:t>
      </w:r>
      <w:r w:rsidR="00AD184E">
        <w:rPr>
          <w:rFonts w:ascii="Arial" w:hAnsi="Arial" w:cs="Arial"/>
          <w:sz w:val="20"/>
          <w:szCs w:val="20"/>
        </w:rPr>
        <w:t xml:space="preserve"> hausse pour les C</w:t>
      </w:r>
      <w:r w:rsidRPr="004F6CD1">
        <w:rPr>
          <w:rFonts w:ascii="Arial" w:hAnsi="Arial" w:cs="Arial"/>
          <w:sz w:val="20"/>
          <w:szCs w:val="20"/>
        </w:rPr>
        <w:t>onseils départementaux appliquant le décret susvisé</w:t>
      </w:r>
      <w:r w:rsidRPr="0045744D">
        <w:rPr>
          <w:vertAlign w:val="superscript"/>
        </w:rPr>
        <w:footnoteReference w:id="102"/>
      </w:r>
      <w:r w:rsidRPr="004F6CD1">
        <w:rPr>
          <w:rFonts w:ascii="Arial" w:hAnsi="Arial" w:cs="Arial"/>
          <w:sz w:val="20"/>
          <w:szCs w:val="20"/>
        </w:rPr>
        <w:t>. Une telle incitation des services de l’Etat porte atteinte au caractère subsidiaire de la consultation du fichier AEM dans le processus d’évaluation de la minorité et de l’isolement, déjà bien mis à mal dans la pratique. </w:t>
      </w:r>
    </w:p>
    <w:p w14:paraId="7DB7040A" w14:textId="77777777" w:rsidR="00D32F0B" w:rsidRPr="00D32F0B" w:rsidRDefault="00D32F0B" w:rsidP="00D32F0B">
      <w:pPr>
        <w:spacing w:after="0" w:line="240" w:lineRule="auto"/>
        <w:jc w:val="both"/>
        <w:rPr>
          <w:rFonts w:ascii="Arial" w:hAnsi="Arial" w:cs="Arial"/>
          <w:sz w:val="20"/>
          <w:szCs w:val="20"/>
        </w:rPr>
      </w:pPr>
    </w:p>
    <w:p w14:paraId="7122ED2A" w14:textId="3F0F9EA1" w:rsidR="0045744D"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 xml:space="preserve">La mise en œuvre et l’utilisation du fichier AEM par les départements lors de l’évaluation des jeunes exilés </w:t>
      </w:r>
      <w:r w:rsidR="00597182" w:rsidRPr="004508A4">
        <w:rPr>
          <w:rFonts w:ascii="Arial" w:hAnsi="Arial" w:cs="Arial"/>
          <w:sz w:val="20"/>
          <w:szCs w:val="20"/>
        </w:rPr>
        <w:t>sont</w:t>
      </w:r>
      <w:r w:rsidRPr="004508A4">
        <w:rPr>
          <w:rFonts w:ascii="Arial" w:hAnsi="Arial" w:cs="Arial"/>
          <w:sz w:val="20"/>
          <w:szCs w:val="20"/>
        </w:rPr>
        <w:t xml:space="preserve"> symptomatique</w:t>
      </w:r>
      <w:r w:rsidR="00597182" w:rsidRPr="004508A4">
        <w:rPr>
          <w:rFonts w:ascii="Arial" w:hAnsi="Arial" w:cs="Arial"/>
          <w:sz w:val="20"/>
          <w:szCs w:val="20"/>
        </w:rPr>
        <w:t>s</w:t>
      </w:r>
      <w:r w:rsidRPr="004508A4">
        <w:rPr>
          <w:rFonts w:ascii="Arial" w:hAnsi="Arial" w:cs="Arial"/>
          <w:sz w:val="20"/>
          <w:szCs w:val="20"/>
        </w:rPr>
        <w:t xml:space="preserve"> </w:t>
      </w:r>
      <w:r w:rsidRPr="004F6CD1">
        <w:rPr>
          <w:rFonts w:ascii="Arial" w:hAnsi="Arial" w:cs="Arial"/>
          <w:sz w:val="20"/>
          <w:szCs w:val="20"/>
        </w:rPr>
        <w:t>d’un glissement du droit commun de la protection de l’enfance vers un droit spécial des mineurs non accompagnés, animé par des logiques de gestion des flux migratoires.</w:t>
      </w:r>
    </w:p>
    <w:p w14:paraId="63F15612" w14:textId="77777777" w:rsidR="00E149FB" w:rsidRPr="00E149FB" w:rsidRDefault="00E149FB" w:rsidP="00E149FB">
      <w:pPr>
        <w:spacing w:after="0" w:line="240" w:lineRule="auto"/>
        <w:jc w:val="both"/>
        <w:rPr>
          <w:rFonts w:ascii="Arial" w:hAnsi="Arial" w:cs="Arial"/>
          <w:sz w:val="20"/>
          <w:szCs w:val="20"/>
        </w:rPr>
      </w:pPr>
    </w:p>
    <w:p w14:paraId="3C7FED72" w14:textId="77777777" w:rsidR="0045744D"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 xml:space="preserve">Ensuite, s’agissant de l’évaluation sociale, l’entretien est souvent délégué par les départements à des associations qui missionnent un seul travailleur social sans formation pluridisciplinaire. Les </w:t>
      </w:r>
      <w:r w:rsidR="00D32F0B">
        <w:rPr>
          <w:rFonts w:ascii="Arial" w:hAnsi="Arial" w:cs="Arial"/>
          <w:sz w:val="20"/>
          <w:szCs w:val="20"/>
        </w:rPr>
        <w:t>entretiens sont pour la plupart expéditifs et marqué</w:t>
      </w:r>
      <w:r w:rsidRPr="004F6CD1">
        <w:rPr>
          <w:rFonts w:ascii="Arial" w:hAnsi="Arial" w:cs="Arial"/>
          <w:sz w:val="20"/>
          <w:szCs w:val="20"/>
        </w:rPr>
        <w:t>s par un défaut d’information, d’interprète ou encore d’un représentant légal aux côtés du mineur, en violation des prescriptions de Comité des droits de l’enfant</w:t>
      </w:r>
      <w:r w:rsidRPr="0045744D">
        <w:rPr>
          <w:vertAlign w:val="superscript"/>
        </w:rPr>
        <w:footnoteReference w:id="103"/>
      </w:r>
      <w:r w:rsidRPr="004F6CD1">
        <w:rPr>
          <w:rFonts w:ascii="Arial" w:hAnsi="Arial" w:cs="Arial"/>
          <w:sz w:val="20"/>
          <w:szCs w:val="20"/>
        </w:rPr>
        <w:t xml:space="preserve"> et de ses recommandations</w:t>
      </w:r>
      <w:r w:rsidRPr="0045744D">
        <w:rPr>
          <w:vertAlign w:val="superscript"/>
        </w:rPr>
        <w:footnoteReference w:id="104"/>
      </w:r>
      <w:r w:rsidRPr="004F6CD1">
        <w:rPr>
          <w:rFonts w:ascii="Arial" w:hAnsi="Arial" w:cs="Arial"/>
          <w:sz w:val="20"/>
          <w:szCs w:val="20"/>
        </w:rPr>
        <w:t>. Bien plus, ces entretiens sont aussi largement empreints de suspicion et menés à charge. Pour ne citer que les constats dressés par le Défenseur des droits</w:t>
      </w:r>
      <w:r w:rsidRPr="0045744D">
        <w:rPr>
          <w:vertAlign w:val="superscript"/>
        </w:rPr>
        <w:footnoteReference w:id="105"/>
      </w:r>
      <w:r w:rsidRPr="004F6CD1">
        <w:rPr>
          <w:rFonts w:ascii="Arial" w:hAnsi="Arial" w:cs="Arial"/>
          <w:sz w:val="20"/>
          <w:szCs w:val="20"/>
        </w:rPr>
        <w:t>, de très nombreux rapports d’évaluation laissent place à des considérations toutes subjectives</w:t>
      </w:r>
      <w:r w:rsidRPr="0045744D">
        <w:rPr>
          <w:vertAlign w:val="superscript"/>
        </w:rPr>
        <w:footnoteReference w:id="106"/>
      </w:r>
      <w:r w:rsidRPr="004F6CD1">
        <w:rPr>
          <w:rFonts w:ascii="Arial" w:hAnsi="Arial" w:cs="Arial"/>
          <w:sz w:val="20"/>
          <w:szCs w:val="20"/>
        </w:rPr>
        <w:t>, ou encore d’affirmations ni étayées ni justifiées par des motivations ou des constatations objectives</w:t>
      </w:r>
      <w:r w:rsidRPr="0045744D">
        <w:rPr>
          <w:vertAlign w:val="superscript"/>
        </w:rPr>
        <w:footnoteReference w:id="107"/>
      </w:r>
      <w:r w:rsidRPr="004F6CD1">
        <w:rPr>
          <w:rFonts w:ascii="Arial" w:hAnsi="Arial" w:cs="Arial"/>
          <w:sz w:val="20"/>
          <w:szCs w:val="20"/>
        </w:rPr>
        <w:t>, faisant de l’évaluation  sociale une pratique bien éloignée des observations générales du Comité des droits de l’enfant</w:t>
      </w:r>
      <w:r w:rsidRPr="0045744D">
        <w:rPr>
          <w:vertAlign w:val="superscript"/>
        </w:rPr>
        <w:footnoteReference w:id="108"/>
      </w:r>
      <w:r w:rsidRPr="004F6CD1">
        <w:rPr>
          <w:rFonts w:ascii="Arial" w:hAnsi="Arial" w:cs="Arial"/>
          <w:sz w:val="20"/>
          <w:szCs w:val="20"/>
        </w:rPr>
        <w:t xml:space="preserve">. </w:t>
      </w:r>
    </w:p>
    <w:p w14:paraId="12C50064" w14:textId="77777777" w:rsidR="00D770E5" w:rsidRPr="00D770E5" w:rsidRDefault="00D770E5" w:rsidP="00D770E5">
      <w:pPr>
        <w:spacing w:after="0" w:line="240" w:lineRule="auto"/>
        <w:jc w:val="both"/>
        <w:rPr>
          <w:rFonts w:ascii="Arial" w:hAnsi="Arial" w:cs="Arial"/>
          <w:sz w:val="20"/>
          <w:szCs w:val="20"/>
        </w:rPr>
      </w:pPr>
    </w:p>
    <w:p w14:paraId="2AACA4DE" w14:textId="77A0EB15" w:rsidR="0045744D" w:rsidRDefault="00DB5EA2" w:rsidP="00A37B18">
      <w:pPr>
        <w:pStyle w:val="Paragraphedeliste"/>
        <w:numPr>
          <w:ilvl w:val="0"/>
          <w:numId w:val="9"/>
        </w:numPr>
        <w:spacing w:after="0" w:line="240" w:lineRule="auto"/>
        <w:jc w:val="both"/>
        <w:rPr>
          <w:rFonts w:ascii="Arial" w:hAnsi="Arial" w:cs="Arial"/>
          <w:sz w:val="20"/>
          <w:szCs w:val="20"/>
        </w:rPr>
      </w:pPr>
      <w:r>
        <w:rPr>
          <w:rFonts w:ascii="Arial" w:hAnsi="Arial" w:cs="Arial"/>
          <w:sz w:val="20"/>
          <w:szCs w:val="20"/>
        </w:rPr>
        <w:t>Et encore, si l’article 47 du c</w:t>
      </w:r>
      <w:r w:rsidR="0045744D" w:rsidRPr="004F6CD1">
        <w:rPr>
          <w:rFonts w:ascii="Arial" w:hAnsi="Arial" w:cs="Arial"/>
          <w:sz w:val="20"/>
          <w:szCs w:val="20"/>
        </w:rPr>
        <w:t>ode civil établit une présomption de validité des actes d’état civil étrangers</w:t>
      </w:r>
      <w:r w:rsidR="00F74895">
        <w:rPr>
          <w:rFonts w:ascii="Arial" w:hAnsi="Arial" w:cs="Arial"/>
          <w:sz w:val="20"/>
          <w:szCs w:val="20"/>
        </w:rPr>
        <w:t>,</w:t>
      </w:r>
      <w:r w:rsidR="0045744D" w:rsidRPr="004F6CD1">
        <w:rPr>
          <w:rFonts w:ascii="Arial" w:hAnsi="Arial" w:cs="Arial"/>
          <w:sz w:val="20"/>
          <w:szCs w:val="20"/>
        </w:rPr>
        <w:t xml:space="preserve"> ce principe est trop souvent, voire systématiquement remis en cause à l’encontre des MNA. Dans certains départements, des protocoles officiels prévoient expressément que certains documents d’identité comme les extraits d’acte de naissance sont a priori considérés comme non valables. En pratique, le MNA fait donc face à une suspicion de fraude qui ne donne pourtant pas lieu à une enquête précise et approfondie. Bien plus, il  peut se voir poursuivi en justice et accusé lui-même de fraude.</w:t>
      </w:r>
      <w:r w:rsidR="0045744D" w:rsidRPr="0045744D">
        <w:rPr>
          <w:vertAlign w:val="superscript"/>
        </w:rPr>
        <w:footnoteReference w:id="109"/>
      </w:r>
      <w:r w:rsidR="0045744D" w:rsidRPr="004F6CD1">
        <w:rPr>
          <w:rFonts w:ascii="Arial" w:hAnsi="Arial" w:cs="Arial"/>
          <w:sz w:val="20"/>
          <w:szCs w:val="20"/>
        </w:rPr>
        <w:t xml:space="preserve"> </w:t>
      </w:r>
    </w:p>
    <w:p w14:paraId="3C3D9664" w14:textId="77777777" w:rsidR="00D770E5" w:rsidRPr="00D770E5" w:rsidRDefault="00D770E5" w:rsidP="00D770E5">
      <w:pPr>
        <w:spacing w:after="0" w:line="240" w:lineRule="auto"/>
        <w:jc w:val="both"/>
        <w:rPr>
          <w:rFonts w:ascii="Arial" w:hAnsi="Arial" w:cs="Arial"/>
          <w:sz w:val="20"/>
          <w:szCs w:val="20"/>
        </w:rPr>
      </w:pPr>
    </w:p>
    <w:p w14:paraId="21BF4795" w14:textId="77777777" w:rsidR="0045744D"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 xml:space="preserve">Le Comité des droits de l’enfant a déjà conclu qu’un État partie agissait en violation de l’article 8 de la CIDE en niant la valeur probante d’une copie et d’un extrait d’acte de naissance sans avoir demandé l’évaluation formelle préalable par une autorité compétente des informations contenues dans le certificat ni vérifié les informations de celui-ci auprès des autorités du pays d’origine de l’auteur. </w:t>
      </w:r>
    </w:p>
    <w:p w14:paraId="4229DD05" w14:textId="77777777" w:rsidR="0067626D" w:rsidRPr="0067626D" w:rsidRDefault="0067626D" w:rsidP="0067626D">
      <w:pPr>
        <w:spacing w:after="0" w:line="240" w:lineRule="auto"/>
        <w:jc w:val="both"/>
        <w:rPr>
          <w:rFonts w:ascii="Arial" w:hAnsi="Arial" w:cs="Arial"/>
          <w:sz w:val="20"/>
          <w:szCs w:val="20"/>
        </w:rPr>
      </w:pPr>
    </w:p>
    <w:p w14:paraId="5B10E401" w14:textId="77777777" w:rsidR="0045744D"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Enfin, le recours aux tests osseux aux fins de détermination de l’âge persiste et continu d’être utilisé en dehors du cadre légal pour l’évaluation de la minorité des enfants migrants non accompagnés en France</w:t>
      </w:r>
      <w:r w:rsidRPr="0045744D">
        <w:rPr>
          <w:vertAlign w:val="superscript"/>
        </w:rPr>
        <w:footnoteReference w:id="110"/>
      </w:r>
      <w:r w:rsidRPr="004F6CD1">
        <w:rPr>
          <w:rFonts w:ascii="Arial" w:hAnsi="Arial" w:cs="Arial"/>
          <w:sz w:val="20"/>
          <w:szCs w:val="20"/>
        </w:rPr>
        <w:t xml:space="preserve"> et ce malgré les recommandations du Comité des droits de l’enfant en </w:t>
      </w:r>
      <w:r w:rsidRPr="004F6CD1">
        <w:rPr>
          <w:rFonts w:ascii="Arial" w:hAnsi="Arial" w:cs="Arial"/>
          <w:sz w:val="20"/>
          <w:szCs w:val="20"/>
        </w:rPr>
        <w:lastRenderedPageBreak/>
        <w:t>2009</w:t>
      </w:r>
      <w:r w:rsidRPr="0045744D">
        <w:rPr>
          <w:vertAlign w:val="superscript"/>
        </w:rPr>
        <w:footnoteReference w:id="111"/>
      </w:r>
      <w:r w:rsidRPr="004F6CD1">
        <w:rPr>
          <w:rFonts w:ascii="Arial" w:hAnsi="Arial" w:cs="Arial"/>
          <w:sz w:val="20"/>
          <w:szCs w:val="20"/>
        </w:rPr>
        <w:t>, la condamnation unanime des médecins</w:t>
      </w:r>
      <w:r w:rsidRPr="0045744D">
        <w:rPr>
          <w:vertAlign w:val="superscript"/>
        </w:rPr>
        <w:footnoteReference w:id="112"/>
      </w:r>
      <w:r w:rsidRPr="004F6CD1">
        <w:rPr>
          <w:rFonts w:ascii="Arial" w:hAnsi="Arial" w:cs="Arial"/>
          <w:sz w:val="20"/>
          <w:szCs w:val="20"/>
        </w:rPr>
        <w:t xml:space="preserve"> et la désapprobation de nombreuses institutions françaises</w:t>
      </w:r>
      <w:r w:rsidRPr="0045744D">
        <w:rPr>
          <w:vertAlign w:val="superscript"/>
        </w:rPr>
        <w:footnoteReference w:id="113"/>
      </w:r>
      <w:r w:rsidRPr="004F6CD1">
        <w:rPr>
          <w:rFonts w:ascii="Arial" w:hAnsi="Arial" w:cs="Arial"/>
          <w:sz w:val="20"/>
          <w:szCs w:val="20"/>
        </w:rPr>
        <w:t>. En vertu des dispositions nationales et position internationale</w:t>
      </w:r>
      <w:r w:rsidRPr="0045744D">
        <w:rPr>
          <w:vertAlign w:val="superscript"/>
        </w:rPr>
        <w:footnoteReference w:id="114"/>
      </w:r>
      <w:r w:rsidRPr="004F6CD1">
        <w:rPr>
          <w:rFonts w:ascii="Arial" w:hAnsi="Arial" w:cs="Arial"/>
          <w:sz w:val="20"/>
          <w:szCs w:val="20"/>
        </w:rPr>
        <w:t>, cet examen doit s’exercer après que le consentement du MNA ait été librement et clairement exprimé dans une langue que celui-ci maîtrise et de manière adaptée à son degré de maturité. S’il le refuse, le MNA ne devrait avoir à subir aucune conséquence fâcheuse ou préjudiciable. Or, dans la réalité, l’objection de l’enfant de s’y soumettre sera quasi-systématiquement considéré</w:t>
      </w:r>
      <w:r w:rsidR="00722CA4">
        <w:rPr>
          <w:rFonts w:ascii="Arial" w:hAnsi="Arial" w:cs="Arial"/>
          <w:sz w:val="20"/>
          <w:szCs w:val="20"/>
        </w:rPr>
        <w:t>e</w:t>
      </w:r>
      <w:r w:rsidRPr="004F6CD1">
        <w:rPr>
          <w:rFonts w:ascii="Arial" w:hAnsi="Arial" w:cs="Arial"/>
          <w:sz w:val="20"/>
          <w:szCs w:val="20"/>
        </w:rPr>
        <w:t xml:space="preserve"> en sa défaveur.</w:t>
      </w:r>
    </w:p>
    <w:p w14:paraId="3207D660" w14:textId="77777777" w:rsidR="00D770E5" w:rsidRPr="004F6CD1" w:rsidRDefault="00D770E5" w:rsidP="00D770E5">
      <w:pPr>
        <w:pStyle w:val="Paragraphedeliste"/>
        <w:spacing w:after="0" w:line="240" w:lineRule="auto"/>
        <w:ind w:left="360"/>
        <w:jc w:val="both"/>
        <w:rPr>
          <w:rFonts w:ascii="Arial" w:hAnsi="Arial" w:cs="Arial"/>
          <w:sz w:val="20"/>
          <w:szCs w:val="20"/>
        </w:rPr>
      </w:pPr>
    </w:p>
    <w:p w14:paraId="71B7FCCF" w14:textId="77777777" w:rsidR="0045744D" w:rsidRPr="00D770E5" w:rsidRDefault="0045744D" w:rsidP="00D770E5">
      <w:pPr>
        <w:pStyle w:val="Paragraphedeliste"/>
        <w:numPr>
          <w:ilvl w:val="0"/>
          <w:numId w:val="13"/>
        </w:numPr>
        <w:spacing w:after="0" w:line="240" w:lineRule="auto"/>
        <w:jc w:val="both"/>
        <w:rPr>
          <w:rFonts w:ascii="Arial" w:hAnsi="Arial" w:cs="Arial"/>
          <w:b/>
          <w:sz w:val="20"/>
          <w:szCs w:val="20"/>
        </w:rPr>
      </w:pPr>
      <w:r w:rsidRPr="00D770E5">
        <w:rPr>
          <w:rFonts w:ascii="Arial" w:hAnsi="Arial" w:cs="Arial"/>
          <w:b/>
          <w:sz w:val="20"/>
          <w:szCs w:val="20"/>
        </w:rPr>
        <w:t>L’accès aux services publics des étrangers</w:t>
      </w:r>
    </w:p>
    <w:p w14:paraId="3A6A8C88" w14:textId="77777777" w:rsidR="00CB7AD3" w:rsidRPr="004F6CD1" w:rsidRDefault="00CB7AD3" w:rsidP="00D770E5">
      <w:pPr>
        <w:pStyle w:val="Paragraphedeliste"/>
        <w:spacing w:after="0" w:line="240" w:lineRule="auto"/>
        <w:ind w:left="1224"/>
        <w:jc w:val="both"/>
        <w:rPr>
          <w:rFonts w:ascii="Arial" w:hAnsi="Arial" w:cs="Arial"/>
          <w:b/>
          <w:sz w:val="20"/>
          <w:szCs w:val="20"/>
        </w:rPr>
      </w:pPr>
    </w:p>
    <w:p w14:paraId="249E16A6" w14:textId="3A46D0A7" w:rsidR="0045744D"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 xml:space="preserve">Depuis maintenant plusieurs années, nombreuses sont les démarches administratives qui ne sont désormais </w:t>
      </w:r>
      <w:r w:rsidRPr="004508A4">
        <w:rPr>
          <w:rFonts w:ascii="Arial" w:hAnsi="Arial" w:cs="Arial"/>
          <w:sz w:val="20"/>
          <w:szCs w:val="20"/>
        </w:rPr>
        <w:t>possible</w:t>
      </w:r>
      <w:r w:rsidR="006C2D6C" w:rsidRPr="004508A4">
        <w:rPr>
          <w:rFonts w:ascii="Arial" w:hAnsi="Arial" w:cs="Arial"/>
          <w:sz w:val="20"/>
          <w:szCs w:val="20"/>
        </w:rPr>
        <w:t>s</w:t>
      </w:r>
      <w:r w:rsidRPr="006C2D6C">
        <w:rPr>
          <w:rFonts w:ascii="Arial" w:hAnsi="Arial" w:cs="Arial"/>
          <w:color w:val="FF0000"/>
          <w:sz w:val="20"/>
          <w:szCs w:val="20"/>
        </w:rPr>
        <w:t xml:space="preserve"> </w:t>
      </w:r>
      <w:r w:rsidRPr="004F6CD1">
        <w:rPr>
          <w:rFonts w:ascii="Arial" w:hAnsi="Arial" w:cs="Arial"/>
          <w:sz w:val="20"/>
          <w:szCs w:val="20"/>
        </w:rPr>
        <w:t xml:space="preserve">que par la voie de la « dématérialisation », démarches totalement numérisées et sans alternative possible. </w:t>
      </w:r>
    </w:p>
    <w:p w14:paraId="5FD79E97" w14:textId="77777777" w:rsidR="00D770E5" w:rsidRPr="004F6CD1" w:rsidRDefault="00D770E5" w:rsidP="00D770E5">
      <w:pPr>
        <w:pStyle w:val="Paragraphedeliste"/>
        <w:spacing w:after="0" w:line="240" w:lineRule="auto"/>
        <w:ind w:left="360"/>
        <w:jc w:val="both"/>
        <w:rPr>
          <w:rFonts w:ascii="Arial" w:hAnsi="Arial" w:cs="Arial"/>
          <w:sz w:val="20"/>
          <w:szCs w:val="20"/>
        </w:rPr>
      </w:pPr>
    </w:p>
    <w:p w14:paraId="6DEC0136" w14:textId="4CD0E4FD" w:rsidR="0045744D"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 xml:space="preserve">Si cette modalité d’accès aux services publics peut a priori faciliter pour certains usagers les démarches qu’ils doivent entreprendre, pour d’autres elle représente un obstacle majeur dans l’exercice de </w:t>
      </w:r>
      <w:r w:rsidRPr="004508A4">
        <w:rPr>
          <w:rFonts w:ascii="Arial" w:hAnsi="Arial" w:cs="Arial"/>
          <w:sz w:val="20"/>
          <w:szCs w:val="20"/>
        </w:rPr>
        <w:t>leur</w:t>
      </w:r>
      <w:r w:rsidR="006C2D6C" w:rsidRPr="004508A4">
        <w:rPr>
          <w:rFonts w:ascii="Arial" w:hAnsi="Arial" w:cs="Arial"/>
          <w:sz w:val="20"/>
          <w:szCs w:val="20"/>
        </w:rPr>
        <w:t>s</w:t>
      </w:r>
      <w:r w:rsidRPr="004508A4">
        <w:rPr>
          <w:rFonts w:ascii="Arial" w:hAnsi="Arial" w:cs="Arial"/>
          <w:sz w:val="20"/>
          <w:szCs w:val="20"/>
        </w:rPr>
        <w:t xml:space="preserve"> droit</w:t>
      </w:r>
      <w:r w:rsidR="006C2D6C" w:rsidRPr="004508A4">
        <w:rPr>
          <w:rFonts w:ascii="Arial" w:hAnsi="Arial" w:cs="Arial"/>
          <w:sz w:val="20"/>
          <w:szCs w:val="20"/>
        </w:rPr>
        <w:t>s</w:t>
      </w:r>
      <w:r w:rsidRPr="004508A4">
        <w:rPr>
          <w:rFonts w:ascii="Arial" w:hAnsi="Arial" w:cs="Arial"/>
          <w:sz w:val="20"/>
          <w:szCs w:val="20"/>
        </w:rPr>
        <w:t xml:space="preserve"> </w:t>
      </w:r>
      <w:r w:rsidRPr="004F6CD1">
        <w:rPr>
          <w:rFonts w:ascii="Arial" w:hAnsi="Arial" w:cs="Arial"/>
          <w:sz w:val="20"/>
          <w:szCs w:val="20"/>
        </w:rPr>
        <w:t>les plus élémentaires. La connaissance de l’outil informatique, l’accès à une connexion internet, la maîtrise de la langue française, les dysfonctionnements internes au système mis en place sont autant d’obstacles pour de nombreux usagers des services publics.</w:t>
      </w:r>
    </w:p>
    <w:p w14:paraId="11F76636" w14:textId="77777777" w:rsidR="00D770E5" w:rsidRPr="00D770E5" w:rsidRDefault="00D770E5" w:rsidP="00D770E5">
      <w:pPr>
        <w:spacing w:after="0" w:line="240" w:lineRule="auto"/>
        <w:jc w:val="both"/>
        <w:rPr>
          <w:rFonts w:ascii="Arial" w:hAnsi="Arial" w:cs="Arial"/>
          <w:sz w:val="20"/>
          <w:szCs w:val="20"/>
        </w:rPr>
      </w:pPr>
    </w:p>
    <w:p w14:paraId="5B18E72E" w14:textId="77777777" w:rsidR="0045744D" w:rsidRPr="004F6CD1"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C’est le décret n°2016-685 du 27 mai 2016 qui pose la première pierre de la dématérialisation obl</w:t>
      </w:r>
      <w:r w:rsidR="00EA392D">
        <w:rPr>
          <w:rFonts w:ascii="Arial" w:hAnsi="Arial" w:cs="Arial"/>
          <w:sz w:val="20"/>
          <w:szCs w:val="20"/>
        </w:rPr>
        <w:t xml:space="preserve">igatoire, en ne prévoyant ni le </w:t>
      </w:r>
      <w:r w:rsidRPr="004F6CD1">
        <w:rPr>
          <w:rFonts w:ascii="Arial" w:hAnsi="Arial" w:cs="Arial"/>
          <w:sz w:val="20"/>
          <w:szCs w:val="20"/>
        </w:rPr>
        <w:t xml:space="preserve">caractère facultatif des saisines par voie électronique, ni le maintien de modalités pratiques alternatives pour effectuer une démarche analogue. </w:t>
      </w:r>
    </w:p>
    <w:p w14:paraId="6569A713" w14:textId="77777777" w:rsidR="0045744D" w:rsidRPr="004F6CD1" w:rsidRDefault="0045744D" w:rsidP="00D770E5">
      <w:pPr>
        <w:pStyle w:val="Paragraphedeliste"/>
        <w:spacing w:after="0" w:line="240" w:lineRule="auto"/>
        <w:ind w:left="360"/>
        <w:jc w:val="both"/>
        <w:rPr>
          <w:rFonts w:ascii="Arial" w:hAnsi="Arial" w:cs="Arial"/>
          <w:sz w:val="20"/>
          <w:szCs w:val="20"/>
        </w:rPr>
      </w:pPr>
    </w:p>
    <w:p w14:paraId="213B7C2A" w14:textId="77777777" w:rsidR="0045744D" w:rsidRPr="004F6CD1"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Les personnes étrangères sont tout particulièrement exposées à ces procédures dématérialisées par une généralisation de l’obligation d’utiliser la voie numérique pour l’accomplissement de leurs démarches administratives relative</w:t>
      </w:r>
      <w:r w:rsidR="00400DA4">
        <w:rPr>
          <w:rFonts w:ascii="Arial" w:hAnsi="Arial" w:cs="Arial"/>
          <w:sz w:val="20"/>
          <w:szCs w:val="20"/>
        </w:rPr>
        <w:t>s</w:t>
      </w:r>
      <w:r w:rsidRPr="004F6CD1">
        <w:rPr>
          <w:rFonts w:ascii="Arial" w:hAnsi="Arial" w:cs="Arial"/>
          <w:sz w:val="20"/>
          <w:szCs w:val="20"/>
        </w:rPr>
        <w:t xml:space="preserve"> à la délivrance et au renouvellement du titre de séjour, entre autres.</w:t>
      </w:r>
    </w:p>
    <w:p w14:paraId="02171F31" w14:textId="77777777" w:rsidR="0045744D" w:rsidRPr="004F6CD1" w:rsidRDefault="0045744D" w:rsidP="00D770E5">
      <w:pPr>
        <w:pStyle w:val="Paragraphedeliste"/>
        <w:spacing w:after="0" w:line="240" w:lineRule="auto"/>
        <w:ind w:left="360"/>
        <w:jc w:val="both"/>
        <w:rPr>
          <w:rFonts w:ascii="Arial" w:hAnsi="Arial" w:cs="Arial"/>
          <w:sz w:val="20"/>
          <w:szCs w:val="20"/>
        </w:rPr>
      </w:pPr>
    </w:p>
    <w:p w14:paraId="4C145CAA" w14:textId="2F2D1DC9" w:rsidR="0045744D" w:rsidRPr="004F6CD1"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Les organisations œuvrant dans le domaine du droit des étrangers ont ainsi observé que, dans de nombreux départements, très peu voire aucun rendez-vous n’était effectivement proposé sur le site Internet, en raison le plus souvent de l’insuffisance des créneaux horaires disponibles. Les personnes bloquées qui tentent d’accéder au service public par un autre moyen (téléphone, courrier, présentation physique au guichet) sont systématiquement renvoyées vers la prise de rendez-vous par Internet et se trouvent ainsi dans l’impossibilité</w:t>
      </w:r>
      <w:r w:rsidR="00581C13">
        <w:rPr>
          <w:rFonts w:ascii="Arial" w:hAnsi="Arial" w:cs="Arial"/>
          <w:sz w:val="20"/>
          <w:szCs w:val="20"/>
        </w:rPr>
        <w:t xml:space="preserve"> d’accomplir les démarches qu’elle</w:t>
      </w:r>
      <w:r w:rsidRPr="004F6CD1">
        <w:rPr>
          <w:rFonts w:ascii="Arial" w:hAnsi="Arial" w:cs="Arial"/>
          <w:sz w:val="20"/>
          <w:szCs w:val="20"/>
        </w:rPr>
        <w:t>s sont pourtant tenu</w:t>
      </w:r>
      <w:r w:rsidR="00581C13">
        <w:rPr>
          <w:rFonts w:ascii="Arial" w:hAnsi="Arial" w:cs="Arial"/>
          <w:sz w:val="20"/>
          <w:szCs w:val="20"/>
        </w:rPr>
        <w:t>e</w:t>
      </w:r>
      <w:bookmarkStart w:id="14" w:name="_GoBack"/>
      <w:bookmarkEnd w:id="14"/>
      <w:r w:rsidRPr="004F6CD1">
        <w:rPr>
          <w:rFonts w:ascii="Arial" w:hAnsi="Arial" w:cs="Arial"/>
          <w:sz w:val="20"/>
          <w:szCs w:val="20"/>
        </w:rPr>
        <w:t>s d’accomplir. Les conséquences en ont souvent été très graves, puisque les personnes sont ainsi maintenues dans l’irrégularité et peuvent perdre, avec leur droit au séjour, le droit au travail et aux prestations sociales.</w:t>
      </w:r>
    </w:p>
    <w:p w14:paraId="4433B2A3" w14:textId="77777777" w:rsidR="0045744D" w:rsidRPr="004F6CD1" w:rsidRDefault="0045744D" w:rsidP="00D770E5">
      <w:pPr>
        <w:pStyle w:val="Paragraphedeliste"/>
        <w:spacing w:after="0" w:line="240" w:lineRule="auto"/>
        <w:ind w:left="360"/>
        <w:jc w:val="both"/>
        <w:rPr>
          <w:rFonts w:ascii="Arial" w:hAnsi="Arial" w:cs="Arial"/>
          <w:sz w:val="20"/>
          <w:szCs w:val="20"/>
        </w:rPr>
      </w:pPr>
    </w:p>
    <w:p w14:paraId="0E58EFA2" w14:textId="77777777" w:rsidR="0045744D" w:rsidRPr="004F6CD1"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Constatant ces obstacles, la LDH, la Cimade, le Gisti, et SAF ont, par un courrier du 20 mars 2018, demandé au Premier ministre de modifier le décret afin d’y introduire des modalités alternatives</w:t>
      </w:r>
      <w:r w:rsidR="000C389E">
        <w:rPr>
          <w:rStyle w:val="Appelnotedebasdep"/>
          <w:rFonts w:ascii="Arial" w:hAnsi="Arial" w:cs="Arial"/>
          <w:sz w:val="20"/>
          <w:szCs w:val="20"/>
        </w:rPr>
        <w:footnoteReference w:id="115"/>
      </w:r>
      <w:r w:rsidRPr="004F6CD1">
        <w:rPr>
          <w:rFonts w:ascii="Arial" w:hAnsi="Arial" w:cs="Arial"/>
          <w:sz w:val="20"/>
          <w:szCs w:val="20"/>
        </w:rPr>
        <w:t>. Elles entendaient démontrer que cette situation viole les principes d’égalité d’accès aux services publics et de continuité du service public et qu’elle est génératrice d’un certain nombre de discriminations prohibées, notamment celles fondées sur le handicap, sur l’origine sociale, sur l’âge ou sur la langue.</w:t>
      </w:r>
    </w:p>
    <w:p w14:paraId="04EDDA38" w14:textId="77777777" w:rsidR="0045744D" w:rsidRPr="004F6CD1" w:rsidRDefault="0045744D" w:rsidP="00D770E5">
      <w:pPr>
        <w:pStyle w:val="Paragraphedeliste"/>
        <w:spacing w:after="0" w:line="240" w:lineRule="auto"/>
        <w:ind w:left="360"/>
        <w:jc w:val="both"/>
        <w:rPr>
          <w:rFonts w:ascii="Arial" w:hAnsi="Arial" w:cs="Arial"/>
          <w:sz w:val="20"/>
          <w:szCs w:val="20"/>
        </w:rPr>
      </w:pPr>
    </w:p>
    <w:p w14:paraId="33D94AF2" w14:textId="77777777" w:rsidR="0045744D" w:rsidRPr="004F6CD1"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En outre, vingt-trois préfectures ont ainsi été visées par des requêtes interassociatives devant les tribunaux administratifs en métropole et dans les outre-mer pour avoir décidé d’imposer, sans alternative, l’usage du numérique aux ressortissants étrangers amenés à solliciter une demande de délivrance ou de renouvellement</w:t>
      </w:r>
      <w:r w:rsidR="00EA392D">
        <w:rPr>
          <w:rFonts w:ascii="Arial" w:hAnsi="Arial" w:cs="Arial"/>
          <w:sz w:val="20"/>
          <w:szCs w:val="20"/>
        </w:rPr>
        <w:t xml:space="preserve"> de</w:t>
      </w:r>
      <w:r w:rsidRPr="004F6CD1">
        <w:rPr>
          <w:rFonts w:ascii="Arial" w:hAnsi="Arial" w:cs="Arial"/>
          <w:sz w:val="20"/>
          <w:szCs w:val="20"/>
        </w:rPr>
        <w:t xml:space="preserve"> titre de séjour. A ce jour, seules deux juridictions ont statué sur ces requêtes en jugeant que la réglementation n’autorise aucune dématérialisation obligatoire des démarches menées en vue de l’obtention d’un titre de séjour et en ordonnant ainsi à l’administration de permettre aux personnes qui demandent un titre de séjour de le faire de façon non dématérialisée</w:t>
      </w:r>
      <w:r w:rsidRPr="0045744D">
        <w:rPr>
          <w:vertAlign w:val="superscript"/>
        </w:rPr>
        <w:footnoteReference w:id="116"/>
      </w:r>
      <w:r w:rsidRPr="004F6CD1">
        <w:rPr>
          <w:rFonts w:ascii="Arial" w:hAnsi="Arial" w:cs="Arial"/>
          <w:sz w:val="20"/>
          <w:szCs w:val="20"/>
        </w:rPr>
        <w:t>.</w:t>
      </w:r>
    </w:p>
    <w:p w14:paraId="321CED06" w14:textId="77777777" w:rsidR="0045744D" w:rsidRPr="004F6CD1" w:rsidRDefault="0045744D" w:rsidP="00D770E5">
      <w:pPr>
        <w:pStyle w:val="Paragraphedeliste"/>
        <w:spacing w:after="0" w:line="240" w:lineRule="auto"/>
        <w:ind w:left="360"/>
        <w:jc w:val="both"/>
        <w:rPr>
          <w:rFonts w:ascii="Arial" w:hAnsi="Arial" w:cs="Arial"/>
          <w:sz w:val="20"/>
          <w:szCs w:val="20"/>
        </w:rPr>
      </w:pPr>
    </w:p>
    <w:p w14:paraId="1ABDC11F" w14:textId="77777777" w:rsidR="0045744D" w:rsidRPr="004F6CD1"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lastRenderedPageBreak/>
        <w:t>En parallèle, les personnes étrangères ont saisi de manière massive les juridictions administratives, afin d’obtenir un rendez-vous en préfecture pour déposer leurs demandes, en Ile-de-France soutenues par le collectif « Bouge ta préfecture » et dans d’autres départements (Finistère, Guadeloupe...). Sur six tribunaux administratifs, contre 139 requêtes individuelles déposées en 2018, 1149 étaient déposées sur les seuls quatre premiers mois de l’année 2021, témoignant de l’ampleur des difficultés. Le Défenseur des droits est intervenu dans de nombreux contentieux au soutien de référés « mesures-utiles » visant à ordonner à la préfecture de délivrer un rendez-vous. La haute juridiction administrative française a également eu à se prononcer sur le bien-fondé de ce type de recours en y faisant droit</w:t>
      </w:r>
      <w:r w:rsidRPr="0045744D">
        <w:rPr>
          <w:vertAlign w:val="superscript"/>
        </w:rPr>
        <w:footnoteReference w:id="117"/>
      </w:r>
      <w:r w:rsidRPr="004F6CD1">
        <w:rPr>
          <w:rFonts w:ascii="Arial" w:hAnsi="Arial" w:cs="Arial"/>
          <w:sz w:val="20"/>
          <w:szCs w:val="20"/>
        </w:rPr>
        <w:t xml:space="preserve">. </w:t>
      </w:r>
    </w:p>
    <w:p w14:paraId="7CA66FBD" w14:textId="77777777" w:rsidR="0045744D" w:rsidRPr="004F6CD1" w:rsidRDefault="0045744D" w:rsidP="00D770E5">
      <w:pPr>
        <w:pStyle w:val="Paragraphedeliste"/>
        <w:spacing w:after="0" w:line="240" w:lineRule="auto"/>
        <w:ind w:left="360"/>
        <w:jc w:val="both"/>
        <w:rPr>
          <w:rFonts w:ascii="Arial" w:hAnsi="Arial" w:cs="Arial"/>
          <w:sz w:val="20"/>
          <w:szCs w:val="20"/>
        </w:rPr>
      </w:pPr>
    </w:p>
    <w:p w14:paraId="1819AFAE" w14:textId="77777777" w:rsidR="0045744D" w:rsidRPr="004F6CD1"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Dans le prolongement de leur action, les mêmes organisations</w:t>
      </w:r>
      <w:r w:rsidRPr="0045744D">
        <w:rPr>
          <w:vertAlign w:val="superscript"/>
        </w:rPr>
        <w:footnoteReference w:id="118"/>
      </w:r>
      <w:r w:rsidRPr="004F6CD1">
        <w:rPr>
          <w:rFonts w:ascii="Arial" w:hAnsi="Arial" w:cs="Arial"/>
          <w:sz w:val="20"/>
          <w:szCs w:val="20"/>
        </w:rPr>
        <w:t xml:space="preserve"> ont déposé un recours devant le Conseil d’Etat contre le décret du 24 mars 2021 et l’arrêté du 27 avril 2021 qui prévoient les modalités du dépôt des demandes de titre de séjour par téléservice, en se fondant notamment sur la discrimination qu’elles engendraient et la violation des droits fondamentaux qui en résultait</w:t>
      </w:r>
      <w:r w:rsidRPr="0045744D">
        <w:rPr>
          <w:vertAlign w:val="superscript"/>
        </w:rPr>
        <w:footnoteReference w:id="119"/>
      </w:r>
      <w:r w:rsidRPr="004F6CD1">
        <w:rPr>
          <w:rFonts w:ascii="Arial" w:hAnsi="Arial" w:cs="Arial"/>
          <w:sz w:val="20"/>
          <w:szCs w:val="20"/>
        </w:rPr>
        <w:t>.</w:t>
      </w:r>
    </w:p>
    <w:p w14:paraId="2C75702B" w14:textId="77777777" w:rsidR="0045744D" w:rsidRPr="004F6CD1" w:rsidRDefault="0045744D" w:rsidP="00D770E5">
      <w:pPr>
        <w:pStyle w:val="Paragraphedeliste"/>
        <w:spacing w:after="0" w:line="240" w:lineRule="auto"/>
        <w:ind w:left="360"/>
        <w:jc w:val="both"/>
        <w:rPr>
          <w:rFonts w:ascii="Arial" w:hAnsi="Arial" w:cs="Arial"/>
          <w:sz w:val="20"/>
          <w:szCs w:val="20"/>
        </w:rPr>
      </w:pPr>
    </w:p>
    <w:p w14:paraId="305CDFD0" w14:textId="77777777" w:rsidR="0045744D" w:rsidRPr="004F6CD1" w:rsidRDefault="0045744D"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 xml:space="preserve">Le Conseil d’État a annulé la réglementation susvisée en jugeant que </w:t>
      </w:r>
      <w:r w:rsidRPr="004F6CD1">
        <w:rPr>
          <w:rFonts w:ascii="Arial" w:hAnsi="Arial" w:cs="Arial"/>
          <w:i/>
          <w:sz w:val="20"/>
          <w:szCs w:val="20"/>
        </w:rPr>
        <w:t>« le pouvoir réglementaire ne peut édicter une telle obligation qu’à la condition de permettre l’accès normal des usagers au service public et de garantir aux personnes concernées l’exercice effectif de leurs droits</w:t>
      </w:r>
      <w:r w:rsidRPr="004F6CD1">
        <w:rPr>
          <w:rFonts w:ascii="Arial" w:hAnsi="Arial" w:cs="Arial"/>
          <w:sz w:val="20"/>
          <w:szCs w:val="20"/>
        </w:rPr>
        <w:t xml:space="preserve"> ». S’agissant précisément du cas des personnes étrangères, « </w:t>
      </w:r>
      <w:r w:rsidRPr="004F6CD1">
        <w:rPr>
          <w:rFonts w:ascii="Arial" w:hAnsi="Arial" w:cs="Arial"/>
          <w:i/>
          <w:sz w:val="20"/>
          <w:szCs w:val="20"/>
        </w:rPr>
        <w:t>eu égard aux caractéristiques du public concerné, à la diversité et à la complexité des situations des demandeurs et aux conséquences qu’a sur la situation d’un étranger</w:t>
      </w:r>
      <w:r w:rsidR="006A1F4A" w:rsidRPr="004F6CD1">
        <w:rPr>
          <w:rFonts w:ascii="Arial" w:hAnsi="Arial" w:cs="Arial"/>
          <w:i/>
          <w:sz w:val="20"/>
          <w:szCs w:val="20"/>
        </w:rPr>
        <w:t xml:space="preserve"> […] </w:t>
      </w:r>
      <w:r w:rsidRPr="004F6CD1">
        <w:rPr>
          <w:rFonts w:ascii="Arial" w:hAnsi="Arial" w:cs="Arial"/>
          <w:i/>
          <w:sz w:val="20"/>
          <w:szCs w:val="20"/>
        </w:rPr>
        <w:t>l’enregistrement de sa demande, il incombe au pouvoir règlementaire, lorsqu’il impose le recours à un téléservice pour l’obtention de certains titres de séjour, de prévoir les dispositions nécessaires pour que bénéficient d’un accompagnement les personnes qui ne disposent pas d’un accès aux outils numériques ou qui rencontrent des difficultés soit dans leur utilisation, soit dans l’accomplissement des démarches administratives. Il lui incombe, en outre, pour les mêmes motifs, de garantir la possibilité de recourir à une solution de substitution, pour le cas où certains demandeurs se heurteraient, malgré cet accompagnement, à l’impossibilité de recourir au téléservice pour des raisons tenant à la conception de cet outil ou à son mode de fonctionnement</w:t>
      </w:r>
      <w:r w:rsidRPr="004F6CD1">
        <w:rPr>
          <w:rFonts w:ascii="Arial" w:hAnsi="Arial" w:cs="Arial"/>
          <w:sz w:val="20"/>
          <w:szCs w:val="20"/>
        </w:rPr>
        <w:t xml:space="preserve"> »</w:t>
      </w:r>
      <w:r w:rsidRPr="0045744D">
        <w:rPr>
          <w:vertAlign w:val="superscript"/>
        </w:rPr>
        <w:footnoteReference w:id="120"/>
      </w:r>
      <w:r w:rsidRPr="004F6CD1">
        <w:rPr>
          <w:rFonts w:ascii="Arial" w:hAnsi="Arial" w:cs="Arial"/>
          <w:sz w:val="20"/>
          <w:szCs w:val="20"/>
        </w:rPr>
        <w:t xml:space="preserve">. </w:t>
      </w:r>
      <w:r w:rsidR="00A9341F" w:rsidRPr="004F6CD1">
        <w:rPr>
          <w:rFonts w:ascii="Arial" w:hAnsi="Arial" w:cs="Arial"/>
          <w:sz w:val="20"/>
          <w:szCs w:val="20"/>
        </w:rPr>
        <w:t xml:space="preserve">Le Conseil d’Etat ajoute que, dans l’attente de la réglementation complémentaire impliquée par ces annulations, « </w:t>
      </w:r>
      <w:r w:rsidR="00A9341F" w:rsidRPr="004F6CD1">
        <w:rPr>
          <w:rFonts w:ascii="Arial" w:hAnsi="Arial" w:cs="Arial"/>
          <w:i/>
          <w:sz w:val="20"/>
          <w:szCs w:val="20"/>
        </w:rPr>
        <w:t>si un étranger venait à se trouver confronté à l’impossibilité de déposer sa demande par la voie du téléservice, l’autorité administrative serait tenue, par exception, de permettre le dépôt de celle-ci selon une autre modalité</w:t>
      </w:r>
      <w:r w:rsidR="00A9341F" w:rsidRPr="004F6CD1">
        <w:rPr>
          <w:rFonts w:ascii="Arial" w:hAnsi="Arial" w:cs="Arial"/>
          <w:sz w:val="20"/>
          <w:szCs w:val="20"/>
        </w:rPr>
        <w:t xml:space="preserve"> » </w:t>
      </w:r>
      <w:r w:rsidRPr="004F6CD1">
        <w:rPr>
          <w:rFonts w:ascii="Arial" w:hAnsi="Arial" w:cs="Arial"/>
          <w:sz w:val="20"/>
          <w:szCs w:val="20"/>
        </w:rPr>
        <w:t xml:space="preserve">Depuis cette décision du Conseil d’Etat, aucune véritable solution alternative n’a été mise en place. </w:t>
      </w:r>
    </w:p>
    <w:p w14:paraId="7602FF42" w14:textId="77777777" w:rsidR="0045744D" w:rsidRPr="004F6CD1" w:rsidRDefault="0045744D" w:rsidP="00D770E5">
      <w:pPr>
        <w:pStyle w:val="Paragraphedeliste"/>
        <w:spacing w:after="0" w:line="240" w:lineRule="auto"/>
        <w:ind w:left="360"/>
        <w:jc w:val="both"/>
        <w:rPr>
          <w:rFonts w:ascii="Arial" w:hAnsi="Arial" w:cs="Arial"/>
          <w:sz w:val="20"/>
          <w:szCs w:val="20"/>
        </w:rPr>
      </w:pPr>
    </w:p>
    <w:p w14:paraId="6C0778DD" w14:textId="77777777" w:rsidR="0045744D" w:rsidRPr="004F6CD1" w:rsidRDefault="006953E4" w:rsidP="00A37B18">
      <w:pPr>
        <w:pStyle w:val="Paragraphedeliste"/>
        <w:numPr>
          <w:ilvl w:val="0"/>
          <w:numId w:val="9"/>
        </w:numPr>
        <w:spacing w:after="0" w:line="240" w:lineRule="auto"/>
        <w:jc w:val="both"/>
        <w:rPr>
          <w:rFonts w:ascii="Arial" w:hAnsi="Arial" w:cs="Arial"/>
          <w:sz w:val="20"/>
          <w:szCs w:val="20"/>
        </w:rPr>
      </w:pPr>
      <w:r w:rsidRPr="004F6CD1">
        <w:rPr>
          <w:rFonts w:ascii="Arial" w:hAnsi="Arial" w:cs="Arial"/>
          <w:sz w:val="20"/>
          <w:szCs w:val="20"/>
        </w:rPr>
        <w:t>A ce jour, i</w:t>
      </w:r>
      <w:r w:rsidR="0045744D" w:rsidRPr="004F6CD1">
        <w:rPr>
          <w:rFonts w:ascii="Arial" w:hAnsi="Arial" w:cs="Arial"/>
          <w:sz w:val="20"/>
          <w:szCs w:val="20"/>
        </w:rPr>
        <w:t>l est toujours impossible de se rendre en préfecture sans rendez-vous, les agents renvoyant systématiquement vers le site internet. Les modules de rendez-vous en ligne perdurent ainsi en dépit de leur dénonciation par les acteurs associatifs et le Défenseur des droits</w:t>
      </w:r>
      <w:r w:rsidR="0045744D" w:rsidRPr="0045744D">
        <w:rPr>
          <w:vertAlign w:val="superscript"/>
        </w:rPr>
        <w:footnoteReference w:id="121"/>
      </w:r>
      <w:r w:rsidR="0045744D" w:rsidRPr="004F6CD1">
        <w:rPr>
          <w:rFonts w:ascii="Arial" w:hAnsi="Arial" w:cs="Arial"/>
          <w:sz w:val="20"/>
          <w:szCs w:val="20"/>
        </w:rPr>
        <w:t>en raison de la saturation du dispositif, de</w:t>
      </w:r>
      <w:r w:rsidR="0045744D" w:rsidRPr="0045744D">
        <w:t xml:space="preserve"> </w:t>
      </w:r>
      <w:r w:rsidR="0045744D" w:rsidRPr="004F6CD1">
        <w:rPr>
          <w:rFonts w:ascii="Arial" w:hAnsi="Arial" w:cs="Arial"/>
          <w:sz w:val="20"/>
          <w:szCs w:val="20"/>
        </w:rPr>
        <w:t>l’indéniable discrimination qu’ils révèlent et des conséquences dramatiques qu’ils engendrent pour de très nombreux ressortissants étrangers privés de leurs droits.</w:t>
      </w:r>
    </w:p>
    <w:p w14:paraId="75B4BA15" w14:textId="77777777" w:rsidR="0045744D" w:rsidRPr="0045744D" w:rsidRDefault="0045744D" w:rsidP="00A37B18">
      <w:pPr>
        <w:spacing w:after="0" w:line="240" w:lineRule="auto"/>
        <w:jc w:val="both"/>
        <w:rPr>
          <w:rFonts w:ascii="Arial" w:hAnsi="Arial" w:cs="Arial"/>
          <w:sz w:val="20"/>
          <w:szCs w:val="20"/>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9072"/>
      </w:tblGrid>
      <w:tr w:rsidR="0045744D" w:rsidRPr="0045744D" w14:paraId="70EBD8B7" w14:textId="77777777" w:rsidTr="0045744D">
        <w:tc>
          <w:tcPr>
            <w:tcW w:w="9072" w:type="dxa"/>
            <w:shd w:val="clear" w:color="auto" w:fill="D9D9D9" w:themeFill="background1" w:themeFillShade="D9"/>
          </w:tcPr>
          <w:p w14:paraId="3153A4F3" w14:textId="77777777" w:rsidR="0045744D" w:rsidRPr="0045744D" w:rsidRDefault="0045744D" w:rsidP="00A37B18">
            <w:pPr>
              <w:keepNext/>
              <w:keepLines/>
              <w:outlineLvl w:val="0"/>
              <w:rPr>
                <w:rFonts w:ascii="Arial" w:eastAsiaTheme="majorEastAsia" w:hAnsi="Arial" w:cs="Arial"/>
                <w:b/>
                <w:bCs/>
                <w:smallCaps/>
                <w:sz w:val="20"/>
                <w:szCs w:val="20"/>
              </w:rPr>
            </w:pPr>
            <w:r w:rsidRPr="0045744D">
              <w:rPr>
                <w:rFonts w:ascii="Arial" w:eastAsiaTheme="majorEastAsia" w:hAnsi="Arial" w:cs="Arial"/>
                <w:b/>
                <w:bCs/>
                <w:smallCaps/>
                <w:sz w:val="20"/>
                <w:szCs w:val="20"/>
              </w:rPr>
              <w:t>recommandations</w:t>
            </w:r>
          </w:p>
        </w:tc>
      </w:tr>
    </w:tbl>
    <w:p w14:paraId="22E5C78A" w14:textId="77777777" w:rsidR="0045744D" w:rsidRPr="0045744D" w:rsidRDefault="0045744D" w:rsidP="00A37B18">
      <w:pPr>
        <w:spacing w:after="0" w:line="240" w:lineRule="auto"/>
        <w:rPr>
          <w:lang w:eastAsia="fr-FR"/>
        </w:rPr>
      </w:pPr>
    </w:p>
    <w:p w14:paraId="6424B1B4" w14:textId="77777777" w:rsidR="0045744D" w:rsidRDefault="0045744D" w:rsidP="00A37B18">
      <w:pPr>
        <w:spacing w:after="0" w:line="240" w:lineRule="auto"/>
        <w:rPr>
          <w:rFonts w:ascii="Arial" w:hAnsi="Arial" w:cs="Arial"/>
          <w:sz w:val="20"/>
          <w:szCs w:val="20"/>
          <w:lang w:eastAsia="fr-FR"/>
        </w:rPr>
      </w:pPr>
      <w:r w:rsidRPr="0045744D">
        <w:rPr>
          <w:rFonts w:ascii="Arial" w:hAnsi="Arial" w:cs="Arial"/>
          <w:sz w:val="20"/>
          <w:szCs w:val="20"/>
          <w:lang w:eastAsia="fr-FR"/>
        </w:rPr>
        <w:t>La LDH demande aux autorités françaises :</w:t>
      </w:r>
    </w:p>
    <w:p w14:paraId="6EC2258C" w14:textId="77777777" w:rsidR="00E620B3" w:rsidRDefault="00E620B3" w:rsidP="00E620B3">
      <w:pPr>
        <w:spacing w:after="0" w:line="240" w:lineRule="auto"/>
        <w:contextualSpacing/>
        <w:jc w:val="both"/>
        <w:rPr>
          <w:rFonts w:ascii="Arial" w:hAnsi="Arial" w:cs="Arial"/>
          <w:sz w:val="20"/>
          <w:szCs w:val="20"/>
        </w:rPr>
      </w:pPr>
    </w:p>
    <w:p w14:paraId="29275FED" w14:textId="4302075B" w:rsidR="0045744D" w:rsidRDefault="0045744D" w:rsidP="00A37B18">
      <w:pPr>
        <w:numPr>
          <w:ilvl w:val="0"/>
          <w:numId w:val="8"/>
        </w:numPr>
        <w:spacing w:after="0" w:line="240" w:lineRule="auto"/>
        <w:contextualSpacing/>
        <w:jc w:val="both"/>
        <w:rPr>
          <w:rFonts w:ascii="Arial" w:hAnsi="Arial" w:cs="Arial"/>
          <w:sz w:val="20"/>
          <w:szCs w:val="20"/>
        </w:rPr>
      </w:pPr>
      <w:r w:rsidRPr="0045744D">
        <w:rPr>
          <w:rFonts w:ascii="Arial" w:hAnsi="Arial" w:cs="Arial"/>
          <w:sz w:val="20"/>
          <w:szCs w:val="20"/>
          <w:lang w:eastAsia="fr-FR"/>
        </w:rPr>
        <w:t xml:space="preserve">de rendre obligatoire un réel accueil provisoire d’urgence des MNA ; </w:t>
      </w:r>
    </w:p>
    <w:p w14:paraId="3FE1019B" w14:textId="1A0D836E" w:rsidR="009866EC" w:rsidRDefault="009866EC" w:rsidP="00A37B18">
      <w:pPr>
        <w:numPr>
          <w:ilvl w:val="0"/>
          <w:numId w:val="8"/>
        </w:numPr>
        <w:spacing w:after="0" w:line="240" w:lineRule="auto"/>
        <w:contextualSpacing/>
        <w:jc w:val="both"/>
        <w:rPr>
          <w:rFonts w:ascii="Arial" w:hAnsi="Arial" w:cs="Arial"/>
          <w:sz w:val="20"/>
          <w:szCs w:val="20"/>
        </w:rPr>
      </w:pPr>
      <w:r>
        <w:rPr>
          <w:rFonts w:ascii="Arial" w:hAnsi="Arial" w:cs="Arial"/>
          <w:sz w:val="20"/>
          <w:szCs w:val="20"/>
          <w:lang w:eastAsia="fr-FR"/>
        </w:rPr>
        <w:t>d’appliquer le principe de présomption de minorité à tout mineur sollicitant une protection ;</w:t>
      </w:r>
    </w:p>
    <w:p w14:paraId="6697C882" w14:textId="0C6EF39A" w:rsidR="00E620B3" w:rsidRDefault="00E620B3" w:rsidP="00A37B18">
      <w:pPr>
        <w:numPr>
          <w:ilvl w:val="0"/>
          <w:numId w:val="8"/>
        </w:numPr>
        <w:spacing w:after="0" w:line="240" w:lineRule="auto"/>
        <w:contextualSpacing/>
        <w:jc w:val="both"/>
        <w:rPr>
          <w:rFonts w:ascii="Arial" w:hAnsi="Arial" w:cs="Arial"/>
          <w:sz w:val="20"/>
          <w:szCs w:val="20"/>
        </w:rPr>
      </w:pPr>
      <w:r>
        <w:rPr>
          <w:rFonts w:ascii="Arial" w:hAnsi="Arial" w:cs="Arial"/>
          <w:sz w:val="20"/>
          <w:szCs w:val="20"/>
          <w:lang w:eastAsia="fr-FR"/>
        </w:rPr>
        <w:t>d</w:t>
      </w:r>
      <w:r w:rsidRPr="00E620B3">
        <w:rPr>
          <w:rFonts w:ascii="Arial" w:hAnsi="Arial" w:cs="Arial"/>
          <w:sz w:val="20"/>
          <w:szCs w:val="20"/>
          <w:lang w:eastAsia="fr-FR"/>
        </w:rPr>
        <w:t>e rendre effectives les garanties textuelles nationales et internationales liées à l’évaluation ;</w:t>
      </w:r>
    </w:p>
    <w:p w14:paraId="67F41304" w14:textId="20B0D0C4" w:rsidR="0045744D" w:rsidRPr="0045744D" w:rsidRDefault="0045744D" w:rsidP="00A37B18">
      <w:pPr>
        <w:numPr>
          <w:ilvl w:val="0"/>
          <w:numId w:val="8"/>
        </w:numPr>
        <w:spacing w:after="0" w:line="240" w:lineRule="auto"/>
        <w:contextualSpacing/>
        <w:jc w:val="both"/>
        <w:rPr>
          <w:rFonts w:ascii="Arial" w:hAnsi="Arial" w:cs="Arial"/>
          <w:sz w:val="20"/>
          <w:szCs w:val="20"/>
        </w:rPr>
      </w:pPr>
      <w:r w:rsidRPr="0045744D">
        <w:rPr>
          <w:rFonts w:ascii="Arial" w:hAnsi="Arial" w:cs="Arial"/>
          <w:sz w:val="20"/>
          <w:szCs w:val="20"/>
        </w:rPr>
        <w:t>de mettre en place une véritable procédure alternative pérenne à la voie dématérialisée</w:t>
      </w:r>
      <w:r w:rsidR="00E21E3F">
        <w:rPr>
          <w:rFonts w:ascii="Arial" w:hAnsi="Arial" w:cs="Arial"/>
          <w:sz w:val="20"/>
          <w:szCs w:val="20"/>
        </w:rPr>
        <w:t>.</w:t>
      </w:r>
    </w:p>
    <w:p w14:paraId="198A80F5" w14:textId="77777777" w:rsidR="00613D9A" w:rsidRDefault="00613D9A" w:rsidP="00A37B18">
      <w:pPr>
        <w:spacing w:after="0" w:line="240" w:lineRule="auto"/>
      </w:pPr>
    </w:p>
    <w:sectPr w:rsidR="00613D9A" w:rsidSect="000C0044">
      <w:footerReference w:type="first" r:id="rId15"/>
      <w:pgSz w:w="11906" w:h="16838"/>
      <w:pgMar w:top="1134" w:right="1418" w:bottom="709" w:left="1418" w:header="709" w:footer="709" w:gutter="0"/>
      <w:pgNumType w:start="2"/>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FA7331" w14:textId="77777777" w:rsidR="008F5418" w:rsidRDefault="008F5418" w:rsidP="0045744D">
      <w:pPr>
        <w:spacing w:after="0" w:line="240" w:lineRule="auto"/>
      </w:pPr>
      <w:r>
        <w:separator/>
      </w:r>
    </w:p>
  </w:endnote>
  <w:endnote w:type="continuationSeparator" w:id="0">
    <w:p w14:paraId="4C42AD24" w14:textId="77777777" w:rsidR="008F5418" w:rsidRDefault="008F5418" w:rsidP="004574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3652307"/>
      <w:docPartObj>
        <w:docPartGallery w:val="Page Numbers (Bottom of Page)"/>
        <w:docPartUnique/>
      </w:docPartObj>
    </w:sdtPr>
    <w:sdtEndPr/>
    <w:sdtContent>
      <w:p w14:paraId="53D7358C" w14:textId="56A73D33" w:rsidR="008F5418" w:rsidRDefault="008F5418">
        <w:pPr>
          <w:pStyle w:val="Pieddepage"/>
          <w:jc w:val="right"/>
        </w:pPr>
        <w:r>
          <w:fldChar w:fldCharType="begin"/>
        </w:r>
        <w:r>
          <w:instrText>PAGE   \* MERGEFORMAT</w:instrText>
        </w:r>
        <w:r>
          <w:fldChar w:fldCharType="separate"/>
        </w:r>
        <w:r w:rsidR="00581C13">
          <w:rPr>
            <w:noProof/>
          </w:rPr>
          <w:t>20</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35793286"/>
      <w:docPartObj>
        <w:docPartGallery w:val="Page Numbers (Bottom of Page)"/>
        <w:docPartUnique/>
      </w:docPartObj>
    </w:sdtPr>
    <w:sdtEndPr/>
    <w:sdtContent>
      <w:p w14:paraId="3BB5D4B4" w14:textId="3C19A3AE" w:rsidR="008F5418" w:rsidRDefault="008F5418">
        <w:pPr>
          <w:pStyle w:val="Pieddepage"/>
          <w:jc w:val="right"/>
        </w:pPr>
        <w:r>
          <w:fldChar w:fldCharType="begin"/>
        </w:r>
        <w:r>
          <w:instrText>PAGE   \* MERGEFORMAT</w:instrText>
        </w:r>
        <w:r>
          <w:fldChar w:fldCharType="separate"/>
        </w:r>
        <w:r w:rsidR="00581C13">
          <w:rPr>
            <w:noProof/>
          </w:rPr>
          <w:t>1</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217998"/>
      <w:docPartObj>
        <w:docPartGallery w:val="Page Numbers (Bottom of Page)"/>
        <w:docPartUnique/>
      </w:docPartObj>
    </w:sdtPr>
    <w:sdtEndPr/>
    <w:sdtContent>
      <w:p w14:paraId="29FC3F94" w14:textId="54AF177C" w:rsidR="008F5418" w:rsidRDefault="008F5418">
        <w:pPr>
          <w:pStyle w:val="Pieddepage"/>
          <w:jc w:val="right"/>
        </w:pPr>
        <w:r>
          <w:fldChar w:fldCharType="begin"/>
        </w:r>
        <w:r>
          <w:instrText>PAGE   \* MERGEFORMAT</w:instrText>
        </w:r>
        <w:r>
          <w:fldChar w:fldCharType="separate"/>
        </w:r>
        <w:r w:rsidR="00581C13">
          <w:rPr>
            <w:noProof/>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598CE" w14:textId="77777777" w:rsidR="008F5418" w:rsidRDefault="008F5418" w:rsidP="0045744D">
      <w:pPr>
        <w:spacing w:after="0" w:line="240" w:lineRule="auto"/>
      </w:pPr>
      <w:r>
        <w:separator/>
      </w:r>
    </w:p>
  </w:footnote>
  <w:footnote w:type="continuationSeparator" w:id="0">
    <w:p w14:paraId="21D7C93A" w14:textId="77777777" w:rsidR="008F5418" w:rsidRDefault="008F5418" w:rsidP="0045744D">
      <w:pPr>
        <w:spacing w:after="0" w:line="240" w:lineRule="auto"/>
      </w:pPr>
      <w:r>
        <w:continuationSeparator/>
      </w:r>
    </w:p>
  </w:footnote>
  <w:footnote w:id="1">
    <w:p w14:paraId="6D10B30E" w14:textId="77777777" w:rsidR="008F5418" w:rsidRDefault="008F5418" w:rsidP="008E2CB9">
      <w:pPr>
        <w:pStyle w:val="Notedebasdepage"/>
        <w:jc w:val="both"/>
      </w:pPr>
      <w:r>
        <w:rPr>
          <w:rStyle w:val="Appelnotedebasdep"/>
        </w:rPr>
        <w:footnoteRef/>
      </w:r>
      <w:r>
        <w:t xml:space="preserve"> </w:t>
      </w:r>
      <w:r w:rsidRPr="009B4EA4">
        <w:rPr>
          <w:rFonts w:ascii="Arial" w:hAnsi="Arial" w:cs="Arial"/>
          <w:sz w:val="14"/>
          <w:szCs w:val="14"/>
        </w:rPr>
        <w:t>CERD, Observations finales concernant le 20</w:t>
      </w:r>
      <w:r w:rsidRPr="009B4EA4">
        <w:rPr>
          <w:rFonts w:ascii="Arial" w:hAnsi="Arial" w:cs="Arial"/>
          <w:sz w:val="14"/>
          <w:szCs w:val="14"/>
          <w:vertAlign w:val="superscript"/>
        </w:rPr>
        <w:t>e</w:t>
      </w:r>
      <w:r w:rsidRPr="009B4EA4">
        <w:rPr>
          <w:rFonts w:ascii="Arial" w:hAnsi="Arial" w:cs="Arial"/>
          <w:sz w:val="14"/>
          <w:szCs w:val="14"/>
        </w:rPr>
        <w:t xml:space="preserve"> et 21</w:t>
      </w:r>
      <w:r w:rsidRPr="009B4EA4">
        <w:rPr>
          <w:rFonts w:ascii="Arial" w:hAnsi="Arial" w:cs="Arial"/>
          <w:sz w:val="14"/>
          <w:szCs w:val="14"/>
          <w:vertAlign w:val="superscript"/>
        </w:rPr>
        <w:t>e</w:t>
      </w:r>
      <w:r w:rsidRPr="009B4EA4">
        <w:rPr>
          <w:rFonts w:ascii="Arial" w:hAnsi="Arial" w:cs="Arial"/>
          <w:sz w:val="14"/>
          <w:szCs w:val="14"/>
        </w:rPr>
        <w:t xml:space="preserve"> rapports périodiques de la France, 15 mai 2015, §8</w:t>
      </w:r>
    </w:p>
  </w:footnote>
  <w:footnote w:id="2">
    <w:p w14:paraId="34B21D4B" w14:textId="77777777" w:rsidR="008F5418" w:rsidRPr="00C865D3" w:rsidRDefault="008F5418" w:rsidP="008E2CB9">
      <w:pPr>
        <w:pStyle w:val="Notedebasdepage1"/>
        <w:jc w:val="both"/>
        <w:rPr>
          <w:rFonts w:ascii="Arial" w:hAnsi="Arial" w:cs="Arial"/>
          <w:sz w:val="14"/>
          <w:szCs w:val="14"/>
        </w:rPr>
      </w:pPr>
      <w:r>
        <w:rPr>
          <w:rStyle w:val="Appelnotedebasdep"/>
        </w:rPr>
        <w:footnoteRef/>
      </w:r>
      <w:r>
        <w:t xml:space="preserve"> </w:t>
      </w:r>
      <w:hyperlink r:id="rId1" w:history="1">
        <w:r w:rsidRPr="003704B9">
          <w:rPr>
            <w:rStyle w:val="Lienhypertexte"/>
            <w:rFonts w:cs="Arial"/>
            <w:sz w:val="14"/>
            <w:szCs w:val="14"/>
          </w:rPr>
          <w:t>https://www.legifrance.gouv.fr/download/pdf/circ?id=44602</w:t>
        </w:r>
      </w:hyperlink>
      <w:r>
        <w:rPr>
          <w:rFonts w:ascii="Arial" w:hAnsi="Arial" w:cs="Arial"/>
          <w:sz w:val="14"/>
          <w:szCs w:val="14"/>
        </w:rPr>
        <w:t xml:space="preserve"> </w:t>
      </w:r>
    </w:p>
  </w:footnote>
  <w:footnote w:id="3">
    <w:p w14:paraId="301A8DCE" w14:textId="77777777" w:rsidR="008F5418" w:rsidRDefault="008F5418" w:rsidP="008E2CB9">
      <w:pPr>
        <w:pStyle w:val="Notedebasdepage"/>
        <w:jc w:val="both"/>
      </w:pPr>
      <w:r>
        <w:rPr>
          <w:rStyle w:val="Appelnotedebasdep"/>
        </w:rPr>
        <w:footnoteRef/>
      </w:r>
      <w:r>
        <w:t xml:space="preserve"> </w:t>
      </w:r>
      <w:r w:rsidRPr="008E2CB9">
        <w:rPr>
          <w:rFonts w:ascii="Arial" w:hAnsi="Arial" w:cs="Arial"/>
          <w:sz w:val="14"/>
          <w:szCs w:val="14"/>
        </w:rPr>
        <w:t>Fondateur du parti politique Reconquête</w:t>
      </w:r>
    </w:p>
  </w:footnote>
  <w:footnote w:id="4">
    <w:p w14:paraId="05BEDD39" w14:textId="77777777" w:rsidR="008F5418" w:rsidRPr="00C865D3" w:rsidRDefault="008F5418" w:rsidP="0045744D">
      <w:pPr>
        <w:pStyle w:val="Notedebasdepage"/>
        <w:rPr>
          <w:rFonts w:ascii="Arial" w:hAnsi="Arial" w:cs="Arial"/>
          <w:sz w:val="14"/>
          <w:szCs w:val="14"/>
        </w:rPr>
      </w:pPr>
      <w:r w:rsidRPr="00C865D3">
        <w:rPr>
          <w:rStyle w:val="Appelnotedebasdep"/>
          <w:rFonts w:ascii="Arial" w:hAnsi="Arial" w:cs="Arial"/>
          <w:sz w:val="14"/>
          <w:szCs w:val="14"/>
        </w:rPr>
        <w:footnoteRef/>
      </w:r>
      <w:r w:rsidRPr="00C865D3">
        <w:rPr>
          <w:rFonts w:ascii="Arial" w:hAnsi="Arial" w:cs="Arial"/>
          <w:sz w:val="14"/>
          <w:szCs w:val="14"/>
        </w:rPr>
        <w:t xml:space="preserve"> </w:t>
      </w:r>
      <w:hyperlink r:id="rId2" w:history="1">
        <w:r w:rsidRPr="003704B9">
          <w:rPr>
            <w:rStyle w:val="Lienhypertexte"/>
            <w:rFonts w:cs="Arial"/>
            <w:sz w:val="14"/>
            <w:szCs w:val="14"/>
          </w:rPr>
          <w:t>https://www.lemonde.fr/religions/article/2016/08/17/valls-s-empare-de-la-polemique-du-burkini_4983860_1653130.html</w:t>
        </w:r>
      </w:hyperlink>
      <w:r>
        <w:rPr>
          <w:rFonts w:ascii="Arial" w:hAnsi="Arial" w:cs="Arial"/>
          <w:sz w:val="14"/>
          <w:szCs w:val="14"/>
        </w:rPr>
        <w:t xml:space="preserve"> </w:t>
      </w:r>
    </w:p>
  </w:footnote>
  <w:footnote w:id="5">
    <w:p w14:paraId="06398ED4" w14:textId="77777777" w:rsidR="008F5418" w:rsidRPr="00C865D3" w:rsidRDefault="008F5418" w:rsidP="000C0044">
      <w:pPr>
        <w:pStyle w:val="Notedebasdepage"/>
        <w:tabs>
          <w:tab w:val="right" w:pos="9070"/>
        </w:tabs>
        <w:rPr>
          <w:rFonts w:ascii="Arial" w:hAnsi="Arial" w:cs="Arial"/>
          <w:sz w:val="14"/>
          <w:szCs w:val="14"/>
        </w:rPr>
      </w:pPr>
      <w:r w:rsidRPr="00C865D3">
        <w:rPr>
          <w:rStyle w:val="Appelnotedebasdep"/>
          <w:rFonts w:ascii="Arial" w:hAnsi="Arial" w:cs="Arial"/>
          <w:sz w:val="14"/>
          <w:szCs w:val="14"/>
        </w:rPr>
        <w:footnoteRef/>
      </w:r>
      <w:r w:rsidRPr="00C865D3">
        <w:rPr>
          <w:rFonts w:ascii="Arial" w:hAnsi="Arial" w:cs="Arial"/>
          <w:sz w:val="14"/>
          <w:szCs w:val="14"/>
        </w:rPr>
        <w:t xml:space="preserve"> </w:t>
      </w:r>
      <w:hyperlink r:id="rId3" w:history="1">
        <w:r w:rsidRPr="003704B9">
          <w:rPr>
            <w:rStyle w:val="Lienhypertexte"/>
            <w:rFonts w:cs="Arial"/>
            <w:sz w:val="14"/>
            <w:szCs w:val="14"/>
          </w:rPr>
          <w:t>https://www.ldh-france.org/les-maires-ignorent-letat-droit-complicite-du-ministre-linterieur/</w:t>
        </w:r>
      </w:hyperlink>
      <w:r>
        <w:rPr>
          <w:rFonts w:ascii="Arial" w:hAnsi="Arial" w:cs="Arial"/>
          <w:sz w:val="14"/>
          <w:szCs w:val="14"/>
        </w:rPr>
        <w:t xml:space="preserve"> </w:t>
      </w:r>
      <w:r>
        <w:rPr>
          <w:rFonts w:ascii="Arial" w:hAnsi="Arial" w:cs="Arial"/>
          <w:sz w:val="14"/>
          <w:szCs w:val="14"/>
        </w:rPr>
        <w:tab/>
      </w:r>
    </w:p>
  </w:footnote>
  <w:footnote w:id="6">
    <w:p w14:paraId="69291A8D" w14:textId="77777777" w:rsidR="008F5418" w:rsidRDefault="008F5418" w:rsidP="0045744D">
      <w:pPr>
        <w:pStyle w:val="Notedebasdepage"/>
      </w:pPr>
      <w:r w:rsidRPr="008E2CB9">
        <w:rPr>
          <w:rStyle w:val="Appelnotedebasdep"/>
          <w:rFonts w:ascii="Arial" w:hAnsi="Arial" w:cs="Arial"/>
          <w:sz w:val="14"/>
          <w:szCs w:val="14"/>
        </w:rPr>
        <w:footnoteRef/>
      </w:r>
      <w:r w:rsidRPr="008E2CB9">
        <w:rPr>
          <w:rFonts w:ascii="Arial" w:hAnsi="Arial" w:cs="Arial"/>
          <w:sz w:val="14"/>
          <w:szCs w:val="14"/>
        </w:rPr>
        <w:t xml:space="preserve"> </w:t>
      </w:r>
      <w:r w:rsidRPr="00BF6607">
        <w:rPr>
          <w:rFonts w:ascii="Arial" w:hAnsi="Arial" w:cs="Arial"/>
          <w:sz w:val="14"/>
          <w:szCs w:val="14"/>
        </w:rPr>
        <w:t xml:space="preserve">v. not. CE, Ord. Réf., 25 août 2005, </w:t>
      </w:r>
      <w:r w:rsidRPr="00BF6607">
        <w:rPr>
          <w:rFonts w:ascii="Arial" w:hAnsi="Arial" w:cs="Arial"/>
          <w:i/>
          <w:sz w:val="14"/>
          <w:szCs w:val="14"/>
        </w:rPr>
        <w:t>Commune de Massat</w:t>
      </w:r>
      <w:r w:rsidRPr="00BF6607">
        <w:rPr>
          <w:rFonts w:ascii="Arial" w:hAnsi="Arial" w:cs="Arial"/>
          <w:sz w:val="14"/>
          <w:szCs w:val="14"/>
        </w:rPr>
        <w:t>, n° 284.307</w:t>
      </w:r>
    </w:p>
  </w:footnote>
  <w:footnote w:id="7">
    <w:p w14:paraId="68EC949F" w14:textId="77777777" w:rsidR="008F5418" w:rsidRDefault="008F5418" w:rsidP="0045744D">
      <w:pPr>
        <w:pStyle w:val="Notedebasdepage"/>
      </w:pPr>
      <w:r w:rsidRPr="008E2CB9">
        <w:rPr>
          <w:rStyle w:val="Appelnotedebasdep"/>
          <w:rFonts w:ascii="Arial" w:hAnsi="Arial" w:cs="Arial"/>
          <w:sz w:val="14"/>
          <w:szCs w:val="14"/>
        </w:rPr>
        <w:footnoteRef/>
      </w:r>
      <w:r>
        <w:t xml:space="preserve"> </w:t>
      </w:r>
      <w:r w:rsidRPr="00BF6607">
        <w:rPr>
          <w:rFonts w:ascii="Arial" w:hAnsi="Arial" w:cs="Arial"/>
          <w:sz w:val="14"/>
          <w:szCs w:val="14"/>
        </w:rPr>
        <w:t xml:space="preserve">CE, Ord. Ref. 9 décembre 2003, </w:t>
      </w:r>
      <w:r w:rsidRPr="00BF6607">
        <w:rPr>
          <w:rFonts w:ascii="Arial" w:hAnsi="Arial" w:cs="Arial"/>
          <w:i/>
          <w:sz w:val="14"/>
          <w:szCs w:val="14"/>
        </w:rPr>
        <w:t>Mme Aguillon</w:t>
      </w:r>
      <w:r w:rsidRPr="00BF6607">
        <w:rPr>
          <w:rFonts w:ascii="Arial" w:hAnsi="Arial" w:cs="Arial"/>
          <w:sz w:val="14"/>
          <w:szCs w:val="14"/>
        </w:rPr>
        <w:t>, n° 262.186</w:t>
      </w:r>
    </w:p>
  </w:footnote>
  <w:footnote w:id="8">
    <w:p w14:paraId="570E8C33" w14:textId="77777777" w:rsidR="008F5418" w:rsidRPr="007F758F" w:rsidRDefault="008F5418">
      <w:pPr>
        <w:pStyle w:val="Notedebasdepage"/>
        <w:rPr>
          <w:rFonts w:ascii="Arial" w:hAnsi="Arial" w:cs="Arial"/>
          <w:sz w:val="14"/>
          <w:szCs w:val="14"/>
        </w:rPr>
      </w:pPr>
      <w:r w:rsidRPr="007F758F">
        <w:rPr>
          <w:rStyle w:val="Appelnotedebasdep"/>
          <w:rFonts w:ascii="Arial" w:hAnsi="Arial" w:cs="Arial"/>
          <w:sz w:val="14"/>
          <w:szCs w:val="14"/>
        </w:rPr>
        <w:footnoteRef/>
      </w:r>
      <w:r w:rsidRPr="007F758F">
        <w:rPr>
          <w:rFonts w:ascii="Arial" w:hAnsi="Arial" w:cs="Arial"/>
          <w:sz w:val="14"/>
          <w:szCs w:val="14"/>
        </w:rPr>
        <w:t xml:space="preserve"> Voir Article de presse – « Après Cannes, Villeneuve-Loubet interdit le burkini », AFP repris par lemonde.fr, 13 août 2016</w:t>
      </w:r>
    </w:p>
  </w:footnote>
  <w:footnote w:id="9">
    <w:p w14:paraId="642564B4" w14:textId="77777777" w:rsidR="008F5418" w:rsidRPr="00C865D3" w:rsidRDefault="008F5418" w:rsidP="0045744D">
      <w:pPr>
        <w:pStyle w:val="Notedebasdepage"/>
        <w:rPr>
          <w:rFonts w:ascii="Arial" w:hAnsi="Arial" w:cs="Arial"/>
          <w:sz w:val="14"/>
          <w:szCs w:val="14"/>
        </w:rPr>
      </w:pPr>
      <w:r w:rsidRPr="00C865D3">
        <w:rPr>
          <w:rStyle w:val="Appelnotedebasdep"/>
          <w:rFonts w:ascii="Arial" w:hAnsi="Arial" w:cs="Arial"/>
          <w:sz w:val="14"/>
          <w:szCs w:val="14"/>
        </w:rPr>
        <w:footnoteRef/>
      </w:r>
      <w:r w:rsidRPr="00C865D3">
        <w:rPr>
          <w:rFonts w:ascii="Arial" w:hAnsi="Arial" w:cs="Arial"/>
          <w:sz w:val="14"/>
          <w:szCs w:val="14"/>
        </w:rPr>
        <w:t xml:space="preserve"> </w:t>
      </w:r>
      <w:hyperlink r:id="rId4" w:history="1">
        <w:r w:rsidRPr="003704B9">
          <w:rPr>
            <w:rStyle w:val="Lienhypertexte"/>
            <w:rFonts w:cs="Arial"/>
            <w:sz w:val="14"/>
            <w:szCs w:val="14"/>
          </w:rPr>
          <w:t>https://www.conseil-etat.fr/decisions-de-justice/dernieres-decisions/ce-ordonnance-du-26-aout-2016-ligue-des-droits-de-l-homme-et-autres-association-de-defense-des-droits-de-l-homme-collectif-contre-l-islamophobi</w:t>
        </w:r>
      </w:hyperlink>
      <w:r>
        <w:rPr>
          <w:rFonts w:ascii="Arial" w:hAnsi="Arial" w:cs="Arial"/>
          <w:sz w:val="14"/>
          <w:szCs w:val="14"/>
        </w:rPr>
        <w:t xml:space="preserve"> </w:t>
      </w:r>
    </w:p>
  </w:footnote>
  <w:footnote w:id="10">
    <w:p w14:paraId="099547FA" w14:textId="77777777" w:rsidR="008F5418" w:rsidRPr="00C865D3" w:rsidRDefault="008F5418" w:rsidP="0045744D">
      <w:pPr>
        <w:pStyle w:val="Notedebasdepage"/>
        <w:rPr>
          <w:rFonts w:ascii="Arial" w:hAnsi="Arial" w:cs="Arial"/>
          <w:sz w:val="14"/>
          <w:szCs w:val="14"/>
        </w:rPr>
      </w:pPr>
      <w:r w:rsidRPr="00C865D3">
        <w:rPr>
          <w:rStyle w:val="Appelnotedebasdep"/>
          <w:rFonts w:ascii="Arial" w:hAnsi="Arial" w:cs="Arial"/>
          <w:sz w:val="14"/>
          <w:szCs w:val="14"/>
        </w:rPr>
        <w:footnoteRef/>
      </w:r>
      <w:r w:rsidRPr="00C865D3">
        <w:rPr>
          <w:rFonts w:ascii="Arial" w:hAnsi="Arial" w:cs="Arial"/>
          <w:sz w:val="14"/>
          <w:szCs w:val="14"/>
        </w:rPr>
        <w:t xml:space="preserve"> </w:t>
      </w:r>
      <w:hyperlink r:id="rId5" w:history="1">
        <w:r w:rsidRPr="003704B9">
          <w:rPr>
            <w:rStyle w:val="Lienhypertexte"/>
            <w:rFonts w:cs="Arial"/>
            <w:sz w:val="14"/>
            <w:szCs w:val="14"/>
          </w:rPr>
          <w:t>https://www.varmatin.com/politique/linterdiction-du-burkini-sur-les-plages-et-dans-les-piscines-municipales-de-frejus-fait-des-vagues-768506</w:t>
        </w:r>
      </w:hyperlink>
      <w:r>
        <w:rPr>
          <w:rFonts w:ascii="Arial" w:hAnsi="Arial" w:cs="Arial"/>
          <w:sz w:val="14"/>
          <w:szCs w:val="14"/>
        </w:rPr>
        <w:t xml:space="preserve"> </w:t>
      </w:r>
    </w:p>
  </w:footnote>
  <w:footnote w:id="11">
    <w:p w14:paraId="3EF6FB97" w14:textId="77777777" w:rsidR="008F5418" w:rsidRPr="00C865D3" w:rsidRDefault="008F5418" w:rsidP="0045744D">
      <w:pPr>
        <w:pStyle w:val="Notedebasdepage"/>
        <w:rPr>
          <w:rFonts w:ascii="Arial" w:hAnsi="Arial" w:cs="Arial"/>
          <w:sz w:val="14"/>
          <w:szCs w:val="14"/>
        </w:rPr>
      </w:pPr>
      <w:r w:rsidRPr="00C865D3">
        <w:rPr>
          <w:rStyle w:val="Appelnotedebasdep"/>
          <w:rFonts w:ascii="Arial" w:hAnsi="Arial" w:cs="Arial"/>
          <w:sz w:val="14"/>
          <w:szCs w:val="14"/>
        </w:rPr>
        <w:footnoteRef/>
      </w:r>
      <w:r w:rsidRPr="00C865D3">
        <w:rPr>
          <w:rFonts w:ascii="Arial" w:hAnsi="Arial" w:cs="Arial"/>
          <w:sz w:val="14"/>
          <w:szCs w:val="14"/>
        </w:rPr>
        <w:t xml:space="preserve"> </w:t>
      </w:r>
      <w:hyperlink r:id="rId6" w:history="1">
        <w:r w:rsidRPr="003704B9">
          <w:rPr>
            <w:rStyle w:val="Lienhypertexte"/>
            <w:rFonts w:cs="Arial"/>
            <w:sz w:val="14"/>
            <w:szCs w:val="14"/>
          </w:rPr>
          <w:t>https://www.mediapart.fr/journal/france/090222/la-prefecture-de-paris-prive-les-hijabeuses-d-un-match-devant-l-assemblee</w:t>
        </w:r>
      </w:hyperlink>
      <w:r>
        <w:rPr>
          <w:rFonts w:ascii="Arial" w:hAnsi="Arial" w:cs="Arial"/>
          <w:sz w:val="14"/>
          <w:szCs w:val="14"/>
        </w:rPr>
        <w:t xml:space="preserve"> </w:t>
      </w:r>
    </w:p>
  </w:footnote>
  <w:footnote w:id="12">
    <w:p w14:paraId="241EAB6B" w14:textId="77777777" w:rsidR="008F5418" w:rsidRDefault="008F5418" w:rsidP="0045744D">
      <w:pPr>
        <w:pStyle w:val="Notedebasdepage"/>
      </w:pPr>
      <w:r w:rsidRPr="008E2CB9">
        <w:rPr>
          <w:rStyle w:val="Appelnotedebasdep"/>
          <w:rFonts w:ascii="Arial" w:hAnsi="Arial" w:cs="Arial"/>
          <w:sz w:val="14"/>
          <w:szCs w:val="14"/>
        </w:rPr>
        <w:footnoteRef/>
      </w:r>
      <w:r>
        <w:t xml:space="preserve"> </w:t>
      </w:r>
      <w:r w:rsidRPr="00C762D3">
        <w:rPr>
          <w:rFonts w:ascii="Arial" w:hAnsi="Arial" w:cs="Arial"/>
          <w:sz w:val="14"/>
          <w:szCs w:val="14"/>
        </w:rPr>
        <w:t>Ord. TA Paris, 9 févrie</w:t>
      </w:r>
      <w:r>
        <w:rPr>
          <w:rFonts w:ascii="Arial" w:hAnsi="Arial" w:cs="Arial"/>
          <w:sz w:val="14"/>
          <w:szCs w:val="14"/>
        </w:rPr>
        <w:t>r</w:t>
      </w:r>
      <w:r w:rsidRPr="00C762D3">
        <w:rPr>
          <w:rFonts w:ascii="Arial" w:hAnsi="Arial" w:cs="Arial"/>
          <w:sz w:val="14"/>
          <w:szCs w:val="14"/>
        </w:rPr>
        <w:t xml:space="preserve"> 2022</w:t>
      </w:r>
    </w:p>
  </w:footnote>
  <w:footnote w:id="13">
    <w:p w14:paraId="47A3005C" w14:textId="77777777" w:rsidR="008F5418" w:rsidRPr="00FD5127" w:rsidRDefault="008F5418" w:rsidP="0045744D">
      <w:pPr>
        <w:pStyle w:val="Notedebasdepage"/>
        <w:rPr>
          <w:rFonts w:ascii="Arial" w:hAnsi="Arial" w:cs="Arial"/>
          <w:sz w:val="14"/>
          <w:szCs w:val="14"/>
        </w:rPr>
      </w:pPr>
      <w:r w:rsidRPr="00FD5127">
        <w:rPr>
          <w:rStyle w:val="Appelnotedebasdep"/>
          <w:rFonts w:ascii="Arial" w:hAnsi="Arial" w:cs="Arial"/>
          <w:sz w:val="14"/>
          <w:szCs w:val="14"/>
        </w:rPr>
        <w:footnoteRef/>
      </w:r>
      <w:r w:rsidRPr="00FD5127">
        <w:rPr>
          <w:rFonts w:ascii="Arial" w:hAnsi="Arial" w:cs="Arial"/>
          <w:sz w:val="14"/>
          <w:szCs w:val="14"/>
        </w:rPr>
        <w:t xml:space="preserve"> Article 78-2 Code de procédure pénale (CPP)</w:t>
      </w:r>
    </w:p>
  </w:footnote>
  <w:footnote w:id="14">
    <w:p w14:paraId="5351B71E" w14:textId="77777777" w:rsidR="008F5418" w:rsidRPr="007F79F2" w:rsidRDefault="008F5418" w:rsidP="0045744D">
      <w:pPr>
        <w:pStyle w:val="Notedebasdepage"/>
        <w:rPr>
          <w:rFonts w:ascii="Arial" w:hAnsi="Arial" w:cs="Arial"/>
          <w:sz w:val="14"/>
          <w:szCs w:val="14"/>
        </w:rPr>
      </w:pPr>
      <w:r w:rsidRPr="007F79F2">
        <w:rPr>
          <w:rStyle w:val="Appelnotedebasdep"/>
          <w:rFonts w:ascii="Arial" w:hAnsi="Arial" w:cs="Arial"/>
          <w:sz w:val="14"/>
          <w:szCs w:val="14"/>
        </w:rPr>
        <w:footnoteRef/>
      </w:r>
      <w:r w:rsidRPr="007F79F2">
        <w:rPr>
          <w:rFonts w:ascii="Arial" w:hAnsi="Arial" w:cs="Arial"/>
          <w:sz w:val="14"/>
          <w:szCs w:val="14"/>
        </w:rPr>
        <w:t xml:space="preserve"> </w:t>
      </w:r>
      <w:r w:rsidRPr="007F79F2">
        <w:rPr>
          <w:rFonts w:ascii="Arial" w:hAnsi="Arial" w:cs="Arial"/>
          <w:iCs/>
          <w:sz w:val="14"/>
          <w:szCs w:val="14"/>
        </w:rPr>
        <w:t>Article 78-2 alinéas 1 à 6 du CPP</w:t>
      </w:r>
    </w:p>
  </w:footnote>
  <w:footnote w:id="15">
    <w:p w14:paraId="00EAD0BF" w14:textId="77777777" w:rsidR="008F5418" w:rsidRPr="00765236" w:rsidRDefault="008F5418" w:rsidP="0045744D">
      <w:pPr>
        <w:pStyle w:val="Notedebasdepage"/>
        <w:rPr>
          <w:rFonts w:ascii="Arial" w:hAnsi="Arial" w:cs="Arial"/>
          <w:sz w:val="14"/>
          <w:szCs w:val="14"/>
        </w:rPr>
      </w:pPr>
      <w:r w:rsidRPr="00765236">
        <w:rPr>
          <w:rStyle w:val="Appelnotedebasdep"/>
          <w:rFonts w:ascii="Arial" w:hAnsi="Arial" w:cs="Arial"/>
          <w:sz w:val="14"/>
          <w:szCs w:val="14"/>
        </w:rPr>
        <w:footnoteRef/>
      </w:r>
      <w:r w:rsidRPr="00765236">
        <w:rPr>
          <w:rFonts w:ascii="Arial" w:hAnsi="Arial" w:cs="Arial"/>
          <w:sz w:val="14"/>
          <w:szCs w:val="14"/>
        </w:rPr>
        <w:t xml:space="preserve"> Crim. 14 septembre 2004, n°04-83.793 ; Crim. 5 octobre 2005, n°05-81.417</w:t>
      </w:r>
    </w:p>
  </w:footnote>
  <w:footnote w:id="16">
    <w:p w14:paraId="4B56D081" w14:textId="77777777" w:rsidR="008F5418" w:rsidRPr="00765236" w:rsidRDefault="008F5418" w:rsidP="0045744D">
      <w:pPr>
        <w:pStyle w:val="Notedebasdepage"/>
        <w:rPr>
          <w:rFonts w:ascii="Arial" w:hAnsi="Arial" w:cs="Arial"/>
          <w:sz w:val="14"/>
          <w:szCs w:val="14"/>
        </w:rPr>
      </w:pPr>
      <w:r w:rsidRPr="00765236">
        <w:rPr>
          <w:rStyle w:val="Appelnotedebasdep"/>
          <w:rFonts w:ascii="Arial" w:hAnsi="Arial" w:cs="Arial"/>
          <w:sz w:val="14"/>
          <w:szCs w:val="14"/>
        </w:rPr>
        <w:footnoteRef/>
      </w:r>
      <w:r w:rsidRPr="00765236">
        <w:rPr>
          <w:rFonts w:ascii="Arial" w:hAnsi="Arial" w:cs="Arial"/>
          <w:sz w:val="14"/>
          <w:szCs w:val="14"/>
        </w:rPr>
        <w:t xml:space="preserve"> Article 78-2 alinéa 8 du CPP</w:t>
      </w:r>
    </w:p>
  </w:footnote>
  <w:footnote w:id="17">
    <w:p w14:paraId="5C89C9A4" w14:textId="77777777" w:rsidR="008F5418" w:rsidRPr="00765236" w:rsidRDefault="008F5418" w:rsidP="0045744D">
      <w:pPr>
        <w:pStyle w:val="Notedebasdepage"/>
        <w:rPr>
          <w:rFonts w:ascii="Arial" w:hAnsi="Arial" w:cs="Arial"/>
          <w:sz w:val="14"/>
          <w:szCs w:val="14"/>
        </w:rPr>
      </w:pPr>
      <w:r w:rsidRPr="00765236">
        <w:rPr>
          <w:rStyle w:val="Appelnotedebasdep"/>
          <w:rFonts w:ascii="Arial" w:hAnsi="Arial" w:cs="Arial"/>
          <w:sz w:val="14"/>
          <w:szCs w:val="14"/>
        </w:rPr>
        <w:footnoteRef/>
      </w:r>
      <w:r w:rsidRPr="00765236">
        <w:rPr>
          <w:rFonts w:ascii="Arial" w:hAnsi="Arial" w:cs="Arial"/>
          <w:sz w:val="14"/>
          <w:szCs w:val="14"/>
        </w:rPr>
        <w:t xml:space="preserve"> </w:t>
      </w:r>
      <w:r w:rsidRPr="00765236">
        <w:rPr>
          <w:rFonts w:ascii="Arial" w:hAnsi="Arial" w:cs="Arial"/>
          <w:iCs/>
          <w:sz w:val="14"/>
          <w:szCs w:val="14"/>
        </w:rPr>
        <w:t>CC 93-323 DC 5 août 1993, Rec. 213</w:t>
      </w:r>
    </w:p>
  </w:footnote>
  <w:footnote w:id="18">
    <w:p w14:paraId="2D0989A5" w14:textId="77777777" w:rsidR="008F5418" w:rsidRPr="00765236" w:rsidRDefault="008F5418" w:rsidP="0045744D">
      <w:pPr>
        <w:pStyle w:val="Notedebasdepage"/>
        <w:rPr>
          <w:rFonts w:ascii="Arial" w:hAnsi="Arial" w:cs="Arial"/>
          <w:sz w:val="14"/>
          <w:szCs w:val="14"/>
        </w:rPr>
      </w:pPr>
      <w:r w:rsidRPr="00765236">
        <w:rPr>
          <w:rStyle w:val="Appelnotedebasdep"/>
          <w:rFonts w:ascii="Arial" w:hAnsi="Arial" w:cs="Arial"/>
          <w:sz w:val="14"/>
          <w:szCs w:val="14"/>
        </w:rPr>
        <w:footnoteRef/>
      </w:r>
      <w:r w:rsidRPr="00765236">
        <w:rPr>
          <w:rFonts w:ascii="Arial" w:hAnsi="Arial" w:cs="Arial"/>
          <w:sz w:val="14"/>
          <w:szCs w:val="14"/>
        </w:rPr>
        <w:t xml:space="preserve"> Rapport du Défenseur des droits</w:t>
      </w:r>
      <w:r>
        <w:rPr>
          <w:rFonts w:ascii="Arial" w:hAnsi="Arial" w:cs="Arial"/>
          <w:sz w:val="14"/>
          <w:szCs w:val="14"/>
        </w:rPr>
        <w:t>,</w:t>
      </w:r>
      <w:r w:rsidRPr="00765236">
        <w:rPr>
          <w:rFonts w:ascii="Arial" w:hAnsi="Arial" w:cs="Arial"/>
          <w:sz w:val="14"/>
          <w:szCs w:val="14"/>
        </w:rPr>
        <w:t xml:space="preserve"> paru en 2017 p.16 à 18</w:t>
      </w:r>
    </w:p>
  </w:footnote>
  <w:footnote w:id="19">
    <w:p w14:paraId="61F25C73" w14:textId="77777777" w:rsidR="008F5418" w:rsidRDefault="008F5418" w:rsidP="0045744D">
      <w:pPr>
        <w:pStyle w:val="Notedebasdepage"/>
      </w:pPr>
      <w:r w:rsidRPr="00B55B8F">
        <w:rPr>
          <w:rStyle w:val="Appelnotedebasdep"/>
          <w:rFonts w:ascii="Arial" w:hAnsi="Arial" w:cs="Arial"/>
          <w:sz w:val="14"/>
          <w:szCs w:val="14"/>
        </w:rPr>
        <w:footnoteRef/>
      </w:r>
      <w:r w:rsidRPr="00B55B8F">
        <w:rPr>
          <w:rFonts w:ascii="Arial" w:hAnsi="Arial" w:cs="Arial"/>
          <w:sz w:val="14"/>
          <w:szCs w:val="14"/>
        </w:rPr>
        <w:t xml:space="preserve"> </w:t>
      </w:r>
      <w:hyperlink r:id="rId7" w:history="1">
        <w:r w:rsidRPr="00B55B8F">
          <w:rPr>
            <w:rStyle w:val="Lienhypertexte"/>
            <w:rFonts w:cs="Arial"/>
            <w:sz w:val="14"/>
            <w:szCs w:val="14"/>
          </w:rPr>
          <w:t>https://maruemesdroits.org/communique-saisine-conseil-detat/</w:t>
        </w:r>
      </w:hyperlink>
    </w:p>
  </w:footnote>
  <w:footnote w:id="20">
    <w:p w14:paraId="29D19BFE" w14:textId="77777777" w:rsidR="008F5418" w:rsidRPr="00765236" w:rsidRDefault="008F5418" w:rsidP="0045744D">
      <w:pPr>
        <w:pStyle w:val="Notedebasdepage"/>
        <w:rPr>
          <w:rFonts w:ascii="Arial" w:hAnsi="Arial" w:cs="Arial"/>
          <w:sz w:val="14"/>
          <w:szCs w:val="14"/>
        </w:rPr>
      </w:pPr>
      <w:r w:rsidRPr="00765236">
        <w:rPr>
          <w:rStyle w:val="Appelnotedebasdep"/>
          <w:rFonts w:ascii="Arial" w:hAnsi="Arial" w:cs="Arial"/>
          <w:sz w:val="14"/>
          <w:szCs w:val="14"/>
        </w:rPr>
        <w:footnoteRef/>
      </w:r>
      <w:r w:rsidRPr="00765236">
        <w:rPr>
          <w:rFonts w:ascii="Arial" w:hAnsi="Arial" w:cs="Arial"/>
          <w:sz w:val="14"/>
          <w:szCs w:val="14"/>
        </w:rPr>
        <w:t xml:space="preserve"> </w:t>
      </w:r>
      <w:hyperlink r:id="rId8" w:history="1">
        <w:r w:rsidRPr="00765236">
          <w:rPr>
            <w:rStyle w:val="Lienhypertexte"/>
            <w:rFonts w:cs="Arial"/>
            <w:sz w:val="14"/>
            <w:szCs w:val="14"/>
          </w:rPr>
          <w:t>https://www.ldh-france.org/controles-didentite-au-facies-amendements-changent-donne-artifices-escamoter-debat/https://</w:t>
        </w:r>
      </w:hyperlink>
      <w:r w:rsidRPr="00765236">
        <w:rPr>
          <w:rFonts w:ascii="Arial" w:hAnsi="Arial" w:cs="Arial"/>
          <w:sz w:val="14"/>
          <w:szCs w:val="14"/>
        </w:rPr>
        <w:t xml:space="preserve"> </w:t>
      </w:r>
      <w:hyperlink r:id="rId9" w:history="1">
        <w:r w:rsidRPr="00765236">
          <w:rPr>
            <w:rStyle w:val="Lienhypertexte"/>
            <w:rFonts w:cs="Arial"/>
            <w:sz w:val="14"/>
            <w:szCs w:val="14"/>
          </w:rPr>
          <w:t>www.ldh-france.org/fin-controles-didentite-abusifs-discriminatoires-les-mains-juges-cour-cassation-puis-senateurs/</w:t>
        </w:r>
      </w:hyperlink>
      <w:r w:rsidRPr="00765236">
        <w:rPr>
          <w:rFonts w:ascii="Arial" w:hAnsi="Arial" w:cs="Arial"/>
          <w:sz w:val="14"/>
          <w:szCs w:val="14"/>
        </w:rPr>
        <w:t xml:space="preserve"> </w:t>
      </w:r>
      <w:hyperlink r:id="rId10" w:history="1">
        <w:r w:rsidRPr="00765236">
          <w:rPr>
            <w:rStyle w:val="Lienhypertexte"/>
            <w:rFonts w:cs="Arial"/>
            <w:sz w:val="14"/>
            <w:szCs w:val="14"/>
          </w:rPr>
          <w:t>https://www.ldh-france.org/six-jeunes-hommes-saisissent-cour-europeenne-droits-lhomme-controles-didentite-discriminatoires/</w:t>
        </w:r>
      </w:hyperlink>
      <w:r w:rsidRPr="00765236">
        <w:rPr>
          <w:rFonts w:ascii="Arial" w:hAnsi="Arial" w:cs="Arial"/>
          <w:sz w:val="14"/>
          <w:szCs w:val="14"/>
        </w:rPr>
        <w:t xml:space="preserve"> </w:t>
      </w:r>
      <w:hyperlink r:id="rId11" w:history="1">
        <w:r w:rsidRPr="00765236">
          <w:rPr>
            <w:rStyle w:val="Lienhypertexte"/>
            <w:rFonts w:cs="Arial"/>
            <w:sz w:val="14"/>
            <w:szCs w:val="14"/>
          </w:rPr>
          <w:t>https://www.ldh-france.org/letau-se-resserre-les-controles-didentite-au-facies/</w:t>
        </w:r>
      </w:hyperlink>
      <w:r w:rsidRPr="00765236">
        <w:rPr>
          <w:rFonts w:ascii="Arial" w:hAnsi="Arial" w:cs="Arial"/>
          <w:sz w:val="14"/>
          <w:szCs w:val="14"/>
        </w:rPr>
        <w:t xml:space="preserve"> </w:t>
      </w:r>
      <w:hyperlink r:id="rId12" w:history="1">
        <w:r w:rsidRPr="00765236">
          <w:rPr>
            <w:rStyle w:val="Lienhypertexte"/>
            <w:rFonts w:cs="Arial"/>
            <w:sz w:val="14"/>
            <w:szCs w:val="14"/>
          </w:rPr>
          <w:t>https://maruemesdroits.org/tribune-dans-le-monde/</w:t>
        </w:r>
      </w:hyperlink>
      <w:r w:rsidRPr="00765236">
        <w:rPr>
          <w:rFonts w:ascii="Arial" w:hAnsi="Arial" w:cs="Arial"/>
          <w:sz w:val="14"/>
          <w:szCs w:val="14"/>
        </w:rPr>
        <w:t xml:space="preserve"> </w:t>
      </w:r>
    </w:p>
  </w:footnote>
  <w:footnote w:id="21">
    <w:p w14:paraId="695A2E8C" w14:textId="77777777" w:rsidR="008F5418" w:rsidRDefault="008F5418">
      <w:pPr>
        <w:pStyle w:val="Notedebasdepage"/>
      </w:pPr>
      <w:r>
        <w:rPr>
          <w:rStyle w:val="Appelnotedebasdep"/>
        </w:rPr>
        <w:footnoteRef/>
      </w:r>
      <w:r>
        <w:t xml:space="preserve"> </w:t>
      </w:r>
      <w:hyperlink r:id="rId13" w:history="1">
        <w:r w:rsidRPr="00BD7A9D">
          <w:rPr>
            <w:rStyle w:val="Lienhypertexte"/>
            <w:rFonts w:ascii="Arial" w:hAnsi="Arial" w:cs="Arial"/>
            <w:sz w:val="14"/>
            <w:szCs w:val="14"/>
          </w:rPr>
          <w:t>https://maruemesdroits.org/communique-saisine-conseil-detat/</w:t>
        </w:r>
      </w:hyperlink>
      <w:r>
        <w:rPr>
          <w:rFonts w:ascii="Arial" w:hAnsi="Arial" w:cs="Arial"/>
          <w:sz w:val="14"/>
          <w:szCs w:val="14"/>
        </w:rPr>
        <w:t xml:space="preserve"> </w:t>
      </w:r>
    </w:p>
  </w:footnote>
  <w:footnote w:id="22">
    <w:p w14:paraId="43B89171" w14:textId="77777777" w:rsidR="008F5418" w:rsidRPr="009B313E" w:rsidRDefault="008F5418" w:rsidP="008E2CB9">
      <w:pPr>
        <w:pStyle w:val="Notedebasdepage"/>
        <w:jc w:val="both"/>
        <w:rPr>
          <w:sz w:val="14"/>
          <w:szCs w:val="14"/>
        </w:rPr>
      </w:pPr>
      <w:r w:rsidRPr="00765236">
        <w:rPr>
          <w:rStyle w:val="Appelnotedebasdep"/>
          <w:rFonts w:ascii="Arial" w:hAnsi="Arial" w:cs="Arial"/>
          <w:sz w:val="14"/>
          <w:szCs w:val="14"/>
        </w:rPr>
        <w:footnoteRef/>
      </w:r>
      <w:r w:rsidRPr="00765236">
        <w:rPr>
          <w:rFonts w:ascii="Arial" w:hAnsi="Arial" w:cs="Arial"/>
          <w:sz w:val="14"/>
          <w:szCs w:val="14"/>
        </w:rPr>
        <w:t xml:space="preserve"> </w:t>
      </w:r>
      <w:r w:rsidRPr="00765236">
        <w:rPr>
          <w:rFonts w:ascii="Arial" w:hAnsi="Arial" w:cs="Arial"/>
          <w:iCs/>
          <w:sz w:val="14"/>
          <w:szCs w:val="14"/>
        </w:rPr>
        <w:t xml:space="preserve">voir avis de la Commission nationale consultative des droits de l’Homme,» du 8 novembre 2016, p.42s et le rapport du Défenseur des droits </w:t>
      </w:r>
      <w:r w:rsidRPr="00765236">
        <w:rPr>
          <w:rFonts w:ascii="Arial" w:hAnsi="Arial" w:cs="Arial"/>
          <w:sz w:val="14"/>
          <w:szCs w:val="14"/>
        </w:rPr>
        <w:t xml:space="preserve">du 8 octobre 2021 relatif aux relations police/citoyens et aux contrôles d’identité </w:t>
      </w:r>
    </w:p>
  </w:footnote>
  <w:footnote w:id="23">
    <w:p w14:paraId="1AB07B10" w14:textId="77777777" w:rsidR="008F5418" w:rsidRPr="009B313E" w:rsidRDefault="008F5418" w:rsidP="008E2CB9">
      <w:pPr>
        <w:pStyle w:val="Retraitcorpsdetexte"/>
        <w:ind w:left="0"/>
        <w:rPr>
          <w:b w:val="0"/>
          <w:bCs w:val="0"/>
          <w:iCs/>
          <w:sz w:val="14"/>
          <w:szCs w:val="14"/>
        </w:rPr>
      </w:pPr>
      <w:r w:rsidRPr="009B313E">
        <w:rPr>
          <w:rStyle w:val="Appelnotedebasdep"/>
          <w:sz w:val="14"/>
          <w:szCs w:val="14"/>
        </w:rPr>
        <w:footnoteRef/>
      </w:r>
      <w:r w:rsidRPr="009B313E">
        <w:rPr>
          <w:sz w:val="14"/>
          <w:szCs w:val="14"/>
        </w:rPr>
        <w:t xml:space="preserve"> </w:t>
      </w:r>
      <w:r w:rsidRPr="009B313E">
        <w:rPr>
          <w:b w:val="0"/>
          <w:bCs w:val="0"/>
          <w:iCs/>
          <w:sz w:val="14"/>
          <w:szCs w:val="14"/>
        </w:rPr>
        <w:t>Crim. 1</w:t>
      </w:r>
      <w:r w:rsidRPr="009B313E">
        <w:rPr>
          <w:b w:val="0"/>
          <w:bCs w:val="0"/>
          <w:iCs/>
          <w:sz w:val="14"/>
          <w:szCs w:val="14"/>
          <w:vertAlign w:val="superscript"/>
        </w:rPr>
        <w:t>er</w:t>
      </w:r>
      <w:r w:rsidRPr="009B313E">
        <w:rPr>
          <w:b w:val="0"/>
          <w:bCs w:val="0"/>
          <w:iCs/>
          <w:sz w:val="14"/>
          <w:szCs w:val="14"/>
        </w:rPr>
        <w:t xml:space="preserve"> septembre 2004, Bull. crim. n°190 ; Crim. 15 décembre 2009, n°09-85.190).</w:t>
      </w:r>
      <w:r w:rsidRPr="009B313E">
        <w:rPr>
          <w:b w:val="0"/>
          <w:bCs w:val="0"/>
          <w:sz w:val="14"/>
          <w:szCs w:val="14"/>
        </w:rPr>
        <w:t xml:space="preserve">, en vertu de la </w:t>
      </w:r>
      <w:r w:rsidRPr="009B313E">
        <w:rPr>
          <w:b w:val="0"/>
          <w:bCs w:val="0"/>
          <w:sz w:val="14"/>
          <w:szCs w:val="14"/>
          <w:u w:val="single"/>
        </w:rPr>
        <w:t>théorie de l’obéissance passive</w:t>
      </w:r>
      <w:r w:rsidRPr="009B313E">
        <w:rPr>
          <w:sz w:val="14"/>
          <w:szCs w:val="14"/>
        </w:rPr>
        <w:t xml:space="preserve"> </w:t>
      </w:r>
      <w:r w:rsidRPr="009B313E">
        <w:rPr>
          <w:b w:val="0"/>
          <w:bCs w:val="0"/>
          <w:iCs/>
          <w:sz w:val="14"/>
          <w:szCs w:val="14"/>
        </w:rPr>
        <w:t>(</w:t>
      </w:r>
      <w:r w:rsidRPr="009B313E">
        <w:rPr>
          <w:b w:val="0"/>
          <w:bCs w:val="0"/>
          <w:sz w:val="14"/>
          <w:szCs w:val="14"/>
        </w:rPr>
        <w:t xml:space="preserve">jurisprudence constante : </w:t>
      </w:r>
      <w:r w:rsidRPr="009B313E">
        <w:rPr>
          <w:b w:val="0"/>
          <w:bCs w:val="0"/>
          <w:iCs/>
          <w:sz w:val="14"/>
          <w:szCs w:val="14"/>
        </w:rPr>
        <w:t>Crim. 5 janvier 1821, Bernard, J. PRADEL et A. VARINARD : « Les grands arrêts du droit pénal », D 2007 6</w:t>
      </w:r>
      <w:r w:rsidRPr="009B313E">
        <w:rPr>
          <w:b w:val="0"/>
          <w:bCs w:val="0"/>
          <w:iCs/>
          <w:sz w:val="14"/>
          <w:szCs w:val="14"/>
          <w:vertAlign w:val="superscript"/>
        </w:rPr>
        <w:t>ème</w:t>
      </w:r>
      <w:r w:rsidRPr="009B313E">
        <w:rPr>
          <w:b w:val="0"/>
          <w:bCs w:val="0"/>
          <w:iCs/>
          <w:sz w:val="14"/>
          <w:szCs w:val="14"/>
        </w:rPr>
        <w:t xml:space="preserve"> éd. n°21 p.278 ; Crim. 1</w:t>
      </w:r>
      <w:r w:rsidRPr="009B313E">
        <w:rPr>
          <w:b w:val="0"/>
          <w:bCs w:val="0"/>
          <w:iCs/>
          <w:sz w:val="14"/>
          <w:szCs w:val="14"/>
          <w:vertAlign w:val="superscript"/>
        </w:rPr>
        <w:t>er</w:t>
      </w:r>
      <w:r w:rsidRPr="009B313E">
        <w:rPr>
          <w:b w:val="0"/>
          <w:bCs w:val="0"/>
          <w:iCs/>
          <w:sz w:val="14"/>
          <w:szCs w:val="14"/>
        </w:rPr>
        <w:t xml:space="preserve"> septembre 2004, Dr pénal 2004 comm.164 ; Crim. 11 mai 2005, n°04-86.134, RSC 2006.401</w:t>
      </w:r>
    </w:p>
    <w:p w14:paraId="7F6DD493" w14:textId="77777777" w:rsidR="008F5418" w:rsidRPr="00B55B8F" w:rsidRDefault="008F5418" w:rsidP="008E2CB9">
      <w:pPr>
        <w:pStyle w:val="Notedebasdepage"/>
        <w:jc w:val="both"/>
        <w:rPr>
          <w:rFonts w:ascii="Arial" w:hAnsi="Arial" w:cs="Arial"/>
          <w:sz w:val="14"/>
          <w:szCs w:val="14"/>
        </w:rPr>
      </w:pPr>
    </w:p>
  </w:footnote>
  <w:footnote w:id="24">
    <w:p w14:paraId="76374731" w14:textId="77777777" w:rsidR="008F5418" w:rsidRPr="00C865D3" w:rsidRDefault="008F5418" w:rsidP="0045744D">
      <w:pPr>
        <w:pStyle w:val="Notedebasdepage"/>
        <w:jc w:val="both"/>
        <w:rPr>
          <w:rFonts w:ascii="Arial" w:hAnsi="Arial" w:cs="Arial"/>
          <w:sz w:val="14"/>
          <w:szCs w:val="14"/>
        </w:rPr>
      </w:pPr>
      <w:r w:rsidRPr="00C865D3">
        <w:rPr>
          <w:rStyle w:val="Appelnotedebasdep"/>
          <w:rFonts w:ascii="Arial" w:hAnsi="Arial" w:cs="Arial"/>
          <w:sz w:val="14"/>
          <w:szCs w:val="14"/>
        </w:rPr>
        <w:footnoteRef/>
      </w:r>
      <w:r w:rsidRPr="00C865D3">
        <w:rPr>
          <w:rFonts w:ascii="Arial" w:hAnsi="Arial" w:cs="Arial"/>
          <w:sz w:val="14"/>
          <w:szCs w:val="14"/>
        </w:rPr>
        <w:t xml:space="preserve"> CERD, Observations finales concernant le 20</w:t>
      </w:r>
      <w:r w:rsidRPr="00C865D3">
        <w:rPr>
          <w:rFonts w:ascii="Arial" w:hAnsi="Arial" w:cs="Arial"/>
          <w:sz w:val="14"/>
          <w:szCs w:val="14"/>
          <w:vertAlign w:val="superscript"/>
        </w:rPr>
        <w:t>e</w:t>
      </w:r>
      <w:r w:rsidRPr="00C865D3">
        <w:rPr>
          <w:rFonts w:ascii="Arial" w:hAnsi="Arial" w:cs="Arial"/>
          <w:sz w:val="14"/>
          <w:szCs w:val="14"/>
        </w:rPr>
        <w:t xml:space="preserve"> et 21</w:t>
      </w:r>
      <w:r w:rsidRPr="00C865D3">
        <w:rPr>
          <w:rFonts w:ascii="Arial" w:hAnsi="Arial" w:cs="Arial"/>
          <w:sz w:val="14"/>
          <w:szCs w:val="14"/>
          <w:vertAlign w:val="superscript"/>
        </w:rPr>
        <w:t>e</w:t>
      </w:r>
      <w:r w:rsidRPr="00C865D3">
        <w:rPr>
          <w:rFonts w:ascii="Arial" w:hAnsi="Arial" w:cs="Arial"/>
          <w:sz w:val="14"/>
          <w:szCs w:val="14"/>
        </w:rPr>
        <w:t xml:space="preserve"> rapports périodiques de la </w:t>
      </w:r>
      <w:r>
        <w:rPr>
          <w:rFonts w:ascii="Arial" w:hAnsi="Arial" w:cs="Arial"/>
          <w:sz w:val="14"/>
          <w:szCs w:val="14"/>
        </w:rPr>
        <w:t>France,</w:t>
      </w:r>
      <w:r w:rsidRPr="00C865D3">
        <w:rPr>
          <w:rFonts w:ascii="Arial" w:hAnsi="Arial" w:cs="Arial"/>
          <w:sz w:val="14"/>
          <w:szCs w:val="14"/>
        </w:rPr>
        <w:t>10§</w:t>
      </w:r>
    </w:p>
  </w:footnote>
  <w:footnote w:id="25">
    <w:p w14:paraId="41B3160A" w14:textId="77777777" w:rsidR="008F5418" w:rsidRPr="00C865D3" w:rsidRDefault="008F5418" w:rsidP="0045744D">
      <w:pPr>
        <w:pStyle w:val="Notedebasdepage"/>
        <w:rPr>
          <w:rFonts w:ascii="Arial" w:hAnsi="Arial" w:cs="Arial"/>
          <w:sz w:val="14"/>
          <w:szCs w:val="14"/>
        </w:rPr>
      </w:pPr>
      <w:r w:rsidRPr="00C865D3">
        <w:rPr>
          <w:rStyle w:val="Appelnotedebasdep"/>
          <w:rFonts w:ascii="Arial" w:hAnsi="Arial" w:cs="Arial"/>
          <w:sz w:val="14"/>
          <w:szCs w:val="14"/>
        </w:rPr>
        <w:footnoteRef/>
      </w:r>
      <w:r w:rsidRPr="00C865D3">
        <w:rPr>
          <w:rFonts w:ascii="Arial" w:hAnsi="Arial" w:cs="Arial"/>
          <w:sz w:val="14"/>
          <w:szCs w:val="14"/>
        </w:rPr>
        <w:t xml:space="preserve"> Loi n° 2017-86 du 27 janvier 2017 relative à l'égalité et à la citoyenneté </w:t>
      </w:r>
    </w:p>
  </w:footnote>
  <w:footnote w:id="26">
    <w:p w14:paraId="0E616590" w14:textId="77777777" w:rsidR="008F5418" w:rsidRPr="008601A1" w:rsidRDefault="008F5418" w:rsidP="0045744D">
      <w:pPr>
        <w:pStyle w:val="Notedebasdepage"/>
        <w:jc w:val="both"/>
        <w:rPr>
          <w:rFonts w:ascii="Arial" w:hAnsi="Arial" w:cs="Arial"/>
          <w:sz w:val="14"/>
          <w:szCs w:val="14"/>
        </w:rPr>
      </w:pPr>
      <w:r w:rsidRPr="008601A1">
        <w:rPr>
          <w:rStyle w:val="Appelnotedebasdep"/>
          <w:rFonts w:ascii="Arial" w:hAnsi="Arial" w:cs="Arial"/>
          <w:sz w:val="14"/>
          <w:szCs w:val="14"/>
        </w:rPr>
        <w:footnoteRef/>
      </w:r>
      <w:r>
        <w:rPr>
          <w:rFonts w:ascii="Arial" w:hAnsi="Arial" w:cs="Arial"/>
          <w:sz w:val="14"/>
          <w:szCs w:val="14"/>
        </w:rPr>
        <w:t xml:space="preserve"> CE, 2 décembre 1983 </w:t>
      </w:r>
    </w:p>
  </w:footnote>
  <w:footnote w:id="27">
    <w:p w14:paraId="4981F651" w14:textId="77777777" w:rsidR="008F5418" w:rsidRPr="008601A1" w:rsidRDefault="008F5418" w:rsidP="0045744D">
      <w:pPr>
        <w:pStyle w:val="Notedebasdepage"/>
        <w:jc w:val="both"/>
        <w:rPr>
          <w:rFonts w:ascii="Arial" w:hAnsi="Arial" w:cs="Arial"/>
          <w:sz w:val="14"/>
          <w:szCs w:val="14"/>
        </w:rPr>
      </w:pPr>
      <w:r w:rsidRPr="008601A1">
        <w:rPr>
          <w:rStyle w:val="Appelnotedebasdep"/>
          <w:rFonts w:ascii="Arial" w:hAnsi="Arial" w:cs="Arial"/>
          <w:sz w:val="14"/>
          <w:szCs w:val="14"/>
        </w:rPr>
        <w:footnoteRef/>
      </w:r>
      <w:r w:rsidRPr="008601A1">
        <w:rPr>
          <w:rFonts w:ascii="Arial" w:hAnsi="Arial" w:cs="Arial"/>
          <w:sz w:val="14"/>
          <w:szCs w:val="14"/>
        </w:rPr>
        <w:t xml:space="preserve"> Circulaire n° 86-370 du 16 décembre 1986 relative au stationnement des gens du voyage</w:t>
      </w:r>
    </w:p>
  </w:footnote>
  <w:footnote w:id="28">
    <w:p w14:paraId="19D35353" w14:textId="77777777" w:rsidR="008F5418" w:rsidRPr="008601A1" w:rsidRDefault="008F5418" w:rsidP="0045744D">
      <w:pPr>
        <w:pStyle w:val="Notedebasdepage"/>
        <w:jc w:val="both"/>
        <w:rPr>
          <w:rFonts w:ascii="Arial" w:hAnsi="Arial" w:cs="Arial"/>
          <w:sz w:val="14"/>
          <w:szCs w:val="14"/>
        </w:rPr>
      </w:pPr>
      <w:r w:rsidRPr="008601A1">
        <w:rPr>
          <w:rStyle w:val="Appelnotedebasdep"/>
          <w:rFonts w:ascii="Arial" w:hAnsi="Arial" w:cs="Arial"/>
          <w:sz w:val="14"/>
          <w:szCs w:val="14"/>
        </w:rPr>
        <w:footnoteRef/>
      </w:r>
      <w:r w:rsidRPr="008601A1">
        <w:rPr>
          <w:rFonts w:ascii="Arial" w:hAnsi="Arial" w:cs="Arial"/>
          <w:sz w:val="14"/>
          <w:szCs w:val="14"/>
        </w:rPr>
        <w:t xml:space="preserve"> Rapport public thématique : l’accueil et l’accompagnement des « Gens du voyage », Cour des comptes, octobre 2012 ; L’accueil et l’accompagnement des « Gens du voyage » : des progrès lents et inégaux, des objectifs à redéfinir, Rapport public annuel de la Cour des comptes, octobre 2017</w:t>
      </w:r>
    </w:p>
  </w:footnote>
  <w:footnote w:id="29">
    <w:p w14:paraId="5B305F15" w14:textId="77777777" w:rsidR="008F5418" w:rsidRPr="008601A1" w:rsidRDefault="008F5418" w:rsidP="0045744D">
      <w:pPr>
        <w:pStyle w:val="Notedebasdepage"/>
        <w:jc w:val="both"/>
        <w:rPr>
          <w:rFonts w:ascii="Arial" w:hAnsi="Arial" w:cs="Arial"/>
          <w:sz w:val="14"/>
          <w:szCs w:val="14"/>
        </w:rPr>
      </w:pPr>
      <w:r w:rsidRPr="008601A1">
        <w:rPr>
          <w:rStyle w:val="Appelnotedebasdep"/>
          <w:rFonts w:ascii="Arial" w:hAnsi="Arial" w:cs="Arial"/>
          <w:sz w:val="14"/>
          <w:szCs w:val="14"/>
        </w:rPr>
        <w:footnoteRef/>
      </w:r>
      <w:r w:rsidRPr="008601A1">
        <w:rPr>
          <w:rFonts w:ascii="Arial" w:hAnsi="Arial" w:cs="Arial"/>
          <w:sz w:val="14"/>
          <w:szCs w:val="14"/>
        </w:rPr>
        <w:t xml:space="preserve"> Fondation Abbé Pierre, 27</w:t>
      </w:r>
      <w:r w:rsidRPr="008601A1">
        <w:rPr>
          <w:rFonts w:ascii="Arial" w:hAnsi="Arial" w:cs="Arial"/>
          <w:sz w:val="14"/>
          <w:szCs w:val="14"/>
          <w:vertAlign w:val="superscript"/>
        </w:rPr>
        <w:t>e</w:t>
      </w:r>
      <w:r w:rsidRPr="008601A1">
        <w:rPr>
          <w:rFonts w:ascii="Arial" w:hAnsi="Arial" w:cs="Arial"/>
          <w:sz w:val="14"/>
          <w:szCs w:val="14"/>
        </w:rPr>
        <w:t xml:space="preserve"> rapport sur l’état du</w:t>
      </w:r>
      <w:r>
        <w:rPr>
          <w:rFonts w:ascii="Arial" w:hAnsi="Arial" w:cs="Arial"/>
          <w:sz w:val="14"/>
          <w:szCs w:val="14"/>
        </w:rPr>
        <w:t xml:space="preserve"> mal logement en France 2022 </w:t>
      </w:r>
    </w:p>
  </w:footnote>
  <w:footnote w:id="30">
    <w:p w14:paraId="69BC90DA" w14:textId="77777777" w:rsidR="008F5418" w:rsidRPr="000068D6" w:rsidRDefault="008F5418" w:rsidP="005772B1">
      <w:pPr>
        <w:pStyle w:val="Notedebasdepage"/>
        <w:jc w:val="both"/>
        <w:rPr>
          <w:rFonts w:ascii="Arial" w:hAnsi="Arial" w:cs="Arial"/>
          <w:sz w:val="14"/>
          <w:szCs w:val="14"/>
        </w:rPr>
      </w:pPr>
      <w:r w:rsidRPr="000068D6">
        <w:rPr>
          <w:rStyle w:val="Appelnotedebasdep"/>
          <w:rFonts w:ascii="Arial" w:hAnsi="Arial" w:cs="Arial"/>
          <w:sz w:val="14"/>
          <w:szCs w:val="14"/>
        </w:rPr>
        <w:footnoteRef/>
      </w:r>
      <w:r w:rsidRPr="000068D6">
        <w:rPr>
          <w:rFonts w:ascii="Arial" w:hAnsi="Arial" w:cs="Arial"/>
          <w:sz w:val="14"/>
          <w:szCs w:val="14"/>
        </w:rPr>
        <w:t xml:space="preserve"> Rapport du Défenseur des droits « Gens du voyage : lever les entraves aux droits », du 6 octobre 2021</w:t>
      </w:r>
    </w:p>
  </w:footnote>
  <w:footnote w:id="31">
    <w:p w14:paraId="020DEE70" w14:textId="77777777" w:rsidR="008F5418" w:rsidRDefault="008F5418" w:rsidP="005772B1">
      <w:pPr>
        <w:pStyle w:val="Notedebasdepage"/>
        <w:jc w:val="both"/>
      </w:pPr>
      <w:r w:rsidRPr="008601A1">
        <w:rPr>
          <w:rStyle w:val="Appelnotedebasdep"/>
          <w:rFonts w:ascii="Arial" w:hAnsi="Arial" w:cs="Arial"/>
          <w:sz w:val="14"/>
          <w:szCs w:val="14"/>
        </w:rPr>
        <w:footnoteRef/>
      </w:r>
      <w:r w:rsidRPr="008601A1">
        <w:rPr>
          <w:rFonts w:ascii="Arial" w:hAnsi="Arial" w:cs="Arial"/>
          <w:sz w:val="14"/>
          <w:szCs w:val="14"/>
        </w:rPr>
        <w:t xml:space="preserve"> </w:t>
      </w:r>
      <w:hyperlink r:id="rId14" w:history="1">
        <w:r w:rsidRPr="008601A1">
          <w:rPr>
            <w:rStyle w:val="Lienhypertexte"/>
            <w:rFonts w:cs="Arial"/>
            <w:sz w:val="14"/>
            <w:szCs w:val="14"/>
          </w:rPr>
          <w:t>http://www.fnasat.asso.fr/Lalocalisationdeloffrepubliquedaccueiletdhabitatdesgensduvoyage2022.pdf</w:t>
        </w:r>
      </w:hyperlink>
      <w:r>
        <w:t xml:space="preserve"> </w:t>
      </w:r>
    </w:p>
  </w:footnote>
  <w:footnote w:id="32">
    <w:p w14:paraId="6B810019" w14:textId="77777777" w:rsidR="008F5418" w:rsidRPr="00D74F38" w:rsidRDefault="008F5418" w:rsidP="005772B1">
      <w:pPr>
        <w:pStyle w:val="Notedebasdepage"/>
        <w:jc w:val="both"/>
        <w:rPr>
          <w:rFonts w:ascii="Arial" w:hAnsi="Arial" w:cs="Arial"/>
          <w:sz w:val="14"/>
          <w:szCs w:val="14"/>
        </w:rPr>
      </w:pPr>
      <w:r w:rsidRPr="00D74F38">
        <w:rPr>
          <w:rStyle w:val="Appelnotedebasdep"/>
          <w:rFonts w:ascii="Arial" w:hAnsi="Arial" w:cs="Arial"/>
          <w:sz w:val="14"/>
          <w:szCs w:val="14"/>
        </w:rPr>
        <w:footnoteRef/>
      </w:r>
      <w:r w:rsidRPr="00D74F38">
        <w:rPr>
          <w:rFonts w:ascii="Arial" w:hAnsi="Arial" w:cs="Arial"/>
          <w:sz w:val="14"/>
          <w:szCs w:val="14"/>
        </w:rPr>
        <w:t xml:space="preserve"> Avis n°2019-04 du 14 novembre 2019 </w:t>
      </w:r>
    </w:p>
  </w:footnote>
  <w:footnote w:id="33">
    <w:p w14:paraId="4EEDAEE0" w14:textId="77777777" w:rsidR="008F5418" w:rsidRPr="000068D6" w:rsidRDefault="008F5418" w:rsidP="005772B1">
      <w:pPr>
        <w:pStyle w:val="Notedebasdepage"/>
        <w:jc w:val="both"/>
        <w:rPr>
          <w:rFonts w:ascii="Arial" w:hAnsi="Arial" w:cs="Arial"/>
          <w:sz w:val="14"/>
          <w:szCs w:val="14"/>
        </w:rPr>
      </w:pPr>
      <w:r w:rsidRPr="000068D6">
        <w:rPr>
          <w:rStyle w:val="Appelnotedebasdep"/>
          <w:rFonts w:ascii="Arial" w:hAnsi="Arial" w:cs="Arial"/>
          <w:sz w:val="14"/>
          <w:szCs w:val="14"/>
        </w:rPr>
        <w:footnoteRef/>
      </w:r>
      <w:r w:rsidRPr="000068D6">
        <w:rPr>
          <w:rFonts w:ascii="Arial" w:hAnsi="Arial" w:cs="Arial"/>
          <w:sz w:val="14"/>
          <w:szCs w:val="14"/>
        </w:rPr>
        <w:t xml:space="preserve"> Avis 15-11 du 20 mai 2015 relatif au statut, à l'accueil et à l'habitat des gens du voyage : Proposition de loi n°1610 relative au statut des gens du voyage ; Avis 18-10 du 27 mars 2018 portant sur la proposition de loi n°346 relative à l'accueil des gens du voyage et à la lutte contre les installations illicites ; Avis 17-11 du 16 octobre 2017 relatif aux propositions de lois n°557 tendant à soutenir les collectivités territoriales et leurs groupements dans leur mission d’accueil des gens du voyage et n°680 visant à renforcer et rendre plus effectives les sanctions en cas d'installations illégales en réunion sur un terrain public ou privé.</w:t>
      </w:r>
    </w:p>
  </w:footnote>
  <w:footnote w:id="34">
    <w:p w14:paraId="0F5AB898" w14:textId="77777777" w:rsidR="008F5418" w:rsidRDefault="008F5418" w:rsidP="005772B1">
      <w:pPr>
        <w:pStyle w:val="Notedebasdepage"/>
        <w:jc w:val="both"/>
      </w:pPr>
      <w:r>
        <w:rPr>
          <w:rStyle w:val="Appelnotedebasdep"/>
        </w:rPr>
        <w:footnoteRef/>
      </w:r>
      <w:r>
        <w:t xml:space="preserve"> </w:t>
      </w:r>
      <w:r w:rsidRPr="000068D6">
        <w:rPr>
          <w:rFonts w:ascii="Arial" w:hAnsi="Arial" w:cs="Arial"/>
          <w:sz w:val="14"/>
          <w:szCs w:val="14"/>
        </w:rPr>
        <w:t>Selon une enquête menée par l’Agence des droits fondamentaux de l’Union européenne, en France, 31 % des Gens du voyage ont fait état de problèmes environnementaux près de leur résidence, contre 15 % de la population générale (FRA, « Enquête sur la situation des Roms et des Gens du voyage de 2019 » ; Eurostat, EU-SILC 2018, population générale)</w:t>
      </w:r>
    </w:p>
  </w:footnote>
  <w:footnote w:id="35">
    <w:p w14:paraId="2668644E" w14:textId="77777777" w:rsidR="008F5418" w:rsidRPr="00D74F38" w:rsidRDefault="008F5418" w:rsidP="005772B1">
      <w:pPr>
        <w:pStyle w:val="Notedebasdepage"/>
        <w:jc w:val="both"/>
        <w:rPr>
          <w:rFonts w:ascii="Arial" w:hAnsi="Arial" w:cs="Arial"/>
          <w:sz w:val="14"/>
          <w:szCs w:val="14"/>
        </w:rPr>
      </w:pPr>
      <w:r w:rsidRPr="00D74F38">
        <w:rPr>
          <w:rStyle w:val="Appelnotedebasdep"/>
          <w:rFonts w:ascii="Arial" w:hAnsi="Arial" w:cs="Arial"/>
          <w:sz w:val="14"/>
          <w:szCs w:val="14"/>
        </w:rPr>
        <w:footnoteRef/>
      </w:r>
      <w:r w:rsidRPr="00D74F38">
        <w:rPr>
          <w:rFonts w:ascii="Arial" w:hAnsi="Arial" w:cs="Arial"/>
          <w:sz w:val="14"/>
          <w:szCs w:val="14"/>
        </w:rPr>
        <w:t xml:space="preserve"> Recommandation 8 Défenseure des droits « Gens du voyage : lever les entraves aux droits », du 6 octobre 2021</w:t>
      </w:r>
    </w:p>
  </w:footnote>
  <w:footnote w:id="36">
    <w:p w14:paraId="0DDCC9F3" w14:textId="77777777" w:rsidR="008F5418" w:rsidRPr="00D74F38" w:rsidRDefault="008F5418" w:rsidP="005772B1">
      <w:pPr>
        <w:pStyle w:val="Notedebasdepage"/>
        <w:jc w:val="both"/>
        <w:rPr>
          <w:rFonts w:ascii="Arial" w:hAnsi="Arial" w:cs="Arial"/>
          <w:sz w:val="14"/>
          <w:szCs w:val="14"/>
        </w:rPr>
      </w:pPr>
      <w:r w:rsidRPr="00D74F38">
        <w:rPr>
          <w:rStyle w:val="Appelnotedebasdep"/>
          <w:rFonts w:ascii="Arial" w:hAnsi="Arial" w:cs="Arial"/>
          <w:sz w:val="14"/>
          <w:szCs w:val="14"/>
        </w:rPr>
        <w:footnoteRef/>
      </w:r>
      <w:r w:rsidRPr="00D74F38">
        <w:rPr>
          <w:rFonts w:ascii="Arial" w:hAnsi="Arial" w:cs="Arial"/>
          <w:sz w:val="14"/>
          <w:szCs w:val="14"/>
        </w:rPr>
        <w:t xml:space="preserve"> Enquête de la Fnasat, juillet 2022 « La localisation de l’offre publique d’accueil d’habitat des gens du voyage »</w:t>
      </w:r>
    </w:p>
  </w:footnote>
  <w:footnote w:id="37">
    <w:p w14:paraId="6A3C18EF" w14:textId="77777777" w:rsidR="008F5418" w:rsidRPr="00D74F38" w:rsidRDefault="008F5418" w:rsidP="0045744D">
      <w:pPr>
        <w:pStyle w:val="Notedebasdepage"/>
        <w:rPr>
          <w:rFonts w:ascii="Arial" w:hAnsi="Arial" w:cs="Arial"/>
          <w:sz w:val="14"/>
          <w:szCs w:val="14"/>
        </w:rPr>
      </w:pPr>
      <w:r w:rsidRPr="00D74F38">
        <w:rPr>
          <w:rStyle w:val="Appelnotedebasdep"/>
          <w:rFonts w:ascii="Arial" w:hAnsi="Arial" w:cs="Arial"/>
          <w:sz w:val="14"/>
          <w:szCs w:val="14"/>
        </w:rPr>
        <w:footnoteRef/>
      </w:r>
      <w:hyperlink r:id="rId15" w:history="1">
        <w:r w:rsidRPr="00D74F38">
          <w:rPr>
            <w:rStyle w:val="Lienhypertexte"/>
            <w:rFonts w:cs="Arial"/>
            <w:sz w:val="14"/>
            <w:szCs w:val="14"/>
          </w:rPr>
          <w:t>https://99f7c212-c756-4150-829b-45219e358e2c.filesusr.com/ugd/3724ed_d5162ba52d134b79a4affac9e1831923.pdf</w:t>
        </w:r>
      </w:hyperlink>
      <w:r w:rsidRPr="00D74F38">
        <w:rPr>
          <w:rFonts w:ascii="Arial" w:hAnsi="Arial" w:cs="Arial"/>
          <w:sz w:val="14"/>
          <w:szCs w:val="14"/>
        </w:rPr>
        <w:t xml:space="preserve"> </w:t>
      </w:r>
    </w:p>
  </w:footnote>
  <w:footnote w:id="38">
    <w:p w14:paraId="1E9588BB" w14:textId="77777777" w:rsidR="008F5418" w:rsidRDefault="008F5418" w:rsidP="0045744D">
      <w:pPr>
        <w:pStyle w:val="Notedebasdepage"/>
      </w:pPr>
      <w:r w:rsidRPr="00E90331">
        <w:rPr>
          <w:rStyle w:val="Appelnotedebasdep"/>
          <w:rFonts w:ascii="Arial" w:hAnsi="Arial" w:cs="Arial"/>
          <w:sz w:val="14"/>
          <w:szCs w:val="14"/>
        </w:rPr>
        <w:footnoteRef/>
      </w:r>
      <w:r w:rsidRPr="00E90331">
        <w:rPr>
          <w:rFonts w:ascii="Arial" w:hAnsi="Arial" w:cs="Arial"/>
          <w:sz w:val="14"/>
          <w:szCs w:val="14"/>
        </w:rPr>
        <w:t xml:space="preserve"> </w:t>
      </w:r>
      <w:r w:rsidRPr="001031D5">
        <w:rPr>
          <w:rFonts w:ascii="Arial" w:hAnsi="Arial" w:cs="Arial"/>
          <w:sz w:val="14"/>
          <w:szCs w:val="14"/>
        </w:rPr>
        <w:t>Avi</w:t>
      </w:r>
      <w:r>
        <w:rPr>
          <w:rFonts w:ascii="Arial" w:hAnsi="Arial" w:cs="Arial"/>
          <w:sz w:val="14"/>
          <w:szCs w:val="14"/>
        </w:rPr>
        <w:t>s n°2019-04 du 14 novembre 2019</w:t>
      </w:r>
    </w:p>
  </w:footnote>
  <w:footnote w:id="39">
    <w:p w14:paraId="69AB23BB" w14:textId="77777777" w:rsidR="008F5418" w:rsidRPr="00D74F38" w:rsidRDefault="008F5418" w:rsidP="0045744D">
      <w:pPr>
        <w:pStyle w:val="Notedebasdepage"/>
        <w:jc w:val="both"/>
        <w:rPr>
          <w:rFonts w:ascii="Arial" w:hAnsi="Arial" w:cs="Arial"/>
          <w:sz w:val="14"/>
          <w:szCs w:val="14"/>
        </w:rPr>
      </w:pPr>
      <w:r w:rsidRPr="00D74F38">
        <w:rPr>
          <w:rStyle w:val="Appelnotedebasdep"/>
          <w:rFonts w:ascii="Arial" w:hAnsi="Arial" w:cs="Arial"/>
          <w:sz w:val="14"/>
          <w:szCs w:val="14"/>
        </w:rPr>
        <w:footnoteRef/>
      </w:r>
      <w:hyperlink r:id="rId16" w:history="1">
        <w:r w:rsidRPr="00D74F38">
          <w:rPr>
            <w:rStyle w:val="Lienhypertexte"/>
            <w:rFonts w:cs="Arial"/>
            <w:sz w:val="14"/>
            <w:szCs w:val="14"/>
          </w:rPr>
          <w:t>http://www.fnasat.asso.fr/Synth%C3%A8seLalocalisationdel%E2%80%99offrepubliquedaccueiletdhabitatdesGensduvoyage.pdf</w:t>
        </w:r>
      </w:hyperlink>
      <w:r w:rsidRPr="00D74F38">
        <w:rPr>
          <w:rFonts w:ascii="Arial" w:hAnsi="Arial" w:cs="Arial"/>
          <w:sz w:val="14"/>
          <w:szCs w:val="14"/>
        </w:rPr>
        <w:t xml:space="preserve"> </w:t>
      </w:r>
    </w:p>
  </w:footnote>
  <w:footnote w:id="40">
    <w:p w14:paraId="6586A6CE" w14:textId="77777777" w:rsidR="008F5418" w:rsidRDefault="008F5418" w:rsidP="0045744D">
      <w:pPr>
        <w:pStyle w:val="Notedebasdepage"/>
      </w:pPr>
      <w:r w:rsidRPr="00D74F38">
        <w:rPr>
          <w:rStyle w:val="Appelnotedebasdep"/>
          <w:rFonts w:ascii="Arial" w:hAnsi="Arial" w:cs="Arial"/>
          <w:sz w:val="14"/>
          <w:szCs w:val="14"/>
        </w:rPr>
        <w:footnoteRef/>
      </w:r>
      <w:r w:rsidRPr="00D74F38">
        <w:rPr>
          <w:rFonts w:ascii="Arial" w:hAnsi="Arial" w:cs="Arial"/>
          <w:sz w:val="14"/>
          <w:szCs w:val="14"/>
        </w:rPr>
        <w:t xml:space="preserve"> Recommandation 34, 31</w:t>
      </w:r>
      <w:r w:rsidRPr="00D74F38">
        <w:rPr>
          <w:rFonts w:ascii="Arial" w:hAnsi="Arial" w:cs="Arial"/>
          <w:sz w:val="14"/>
          <w:szCs w:val="14"/>
          <w:vertAlign w:val="superscript"/>
        </w:rPr>
        <w:t>e</w:t>
      </w:r>
      <w:r w:rsidRPr="00D74F38">
        <w:rPr>
          <w:rFonts w:ascii="Arial" w:hAnsi="Arial" w:cs="Arial"/>
          <w:sz w:val="14"/>
          <w:szCs w:val="14"/>
        </w:rPr>
        <w:t xml:space="preserve"> Rapport CNCDH « La lutte contre le racisme, l’antisémitisme et la xénophobie », 2021 </w:t>
      </w:r>
    </w:p>
  </w:footnote>
  <w:footnote w:id="41">
    <w:p w14:paraId="79BA1FEC" w14:textId="77777777" w:rsidR="008F5418" w:rsidRPr="00D075BE" w:rsidRDefault="008F5418" w:rsidP="0045744D">
      <w:pPr>
        <w:pStyle w:val="Notedebasdepage"/>
        <w:jc w:val="both"/>
        <w:rPr>
          <w:rFonts w:ascii="Arial" w:hAnsi="Arial" w:cs="Arial"/>
          <w:sz w:val="14"/>
          <w:szCs w:val="14"/>
        </w:rPr>
      </w:pPr>
      <w:r w:rsidRPr="00D075BE">
        <w:rPr>
          <w:rStyle w:val="Appelnotedebasdep"/>
          <w:rFonts w:ascii="Arial" w:hAnsi="Arial" w:cs="Arial"/>
          <w:sz w:val="14"/>
          <w:szCs w:val="14"/>
        </w:rPr>
        <w:footnoteRef/>
      </w:r>
      <w:r w:rsidRPr="00D075BE">
        <w:rPr>
          <w:rFonts w:ascii="Arial" w:hAnsi="Arial" w:cs="Arial"/>
          <w:sz w:val="14"/>
          <w:szCs w:val="14"/>
        </w:rPr>
        <w:t xml:space="preserve"> Préambule de la Constitution du 27 octobre 1946, dixième et onzième alinéas </w:t>
      </w:r>
    </w:p>
  </w:footnote>
  <w:footnote w:id="42">
    <w:p w14:paraId="7467A0EF" w14:textId="77777777" w:rsidR="008F5418" w:rsidRPr="00D075BE" w:rsidRDefault="008F5418" w:rsidP="0045744D">
      <w:pPr>
        <w:pStyle w:val="Notedebasdepage"/>
        <w:jc w:val="both"/>
        <w:rPr>
          <w:rFonts w:ascii="Arial" w:hAnsi="Arial" w:cs="Arial"/>
          <w:sz w:val="14"/>
          <w:szCs w:val="14"/>
        </w:rPr>
      </w:pPr>
      <w:r w:rsidRPr="00D075BE">
        <w:rPr>
          <w:rStyle w:val="Appelnotedebasdep"/>
          <w:rFonts w:ascii="Arial" w:hAnsi="Arial" w:cs="Arial"/>
          <w:sz w:val="14"/>
          <w:szCs w:val="14"/>
        </w:rPr>
        <w:footnoteRef/>
      </w:r>
      <w:r w:rsidRPr="00D075BE">
        <w:rPr>
          <w:rFonts w:ascii="Arial" w:hAnsi="Arial" w:cs="Arial"/>
          <w:sz w:val="14"/>
          <w:szCs w:val="14"/>
        </w:rPr>
        <w:t xml:space="preserve"> « Pacte pour la départementalisation de Mayotte », cité par la HALDE dans sa délibération n° 2010-87 du 1</w:t>
      </w:r>
      <w:r w:rsidRPr="00D075BE">
        <w:rPr>
          <w:rFonts w:ascii="Arial" w:hAnsi="Arial" w:cs="Arial"/>
          <w:sz w:val="14"/>
          <w:szCs w:val="14"/>
          <w:vertAlign w:val="superscript"/>
        </w:rPr>
        <w:t>er</w:t>
      </w:r>
      <w:r w:rsidRPr="00D075BE">
        <w:rPr>
          <w:rFonts w:ascii="Arial" w:hAnsi="Arial" w:cs="Arial"/>
          <w:sz w:val="14"/>
          <w:szCs w:val="14"/>
        </w:rPr>
        <w:t xml:space="preserve"> mars 2010.</w:t>
      </w:r>
    </w:p>
  </w:footnote>
  <w:footnote w:id="43">
    <w:p w14:paraId="4695E8EF" w14:textId="77777777" w:rsidR="008F5418" w:rsidRPr="00D075BE" w:rsidRDefault="008F5418" w:rsidP="0045744D">
      <w:pPr>
        <w:pStyle w:val="Notedebasdepage"/>
        <w:jc w:val="both"/>
        <w:rPr>
          <w:rFonts w:ascii="Arial" w:hAnsi="Arial" w:cs="Arial"/>
          <w:sz w:val="14"/>
          <w:szCs w:val="14"/>
        </w:rPr>
      </w:pPr>
      <w:r w:rsidRPr="00D075BE">
        <w:rPr>
          <w:rStyle w:val="Appelnotedebasdep"/>
          <w:rFonts w:ascii="Arial" w:hAnsi="Arial" w:cs="Arial"/>
          <w:sz w:val="14"/>
          <w:szCs w:val="14"/>
        </w:rPr>
        <w:footnoteRef/>
      </w:r>
      <w:r w:rsidRPr="00D075BE">
        <w:rPr>
          <w:rFonts w:ascii="Arial" w:hAnsi="Arial" w:cs="Arial"/>
          <w:sz w:val="14"/>
          <w:szCs w:val="14"/>
        </w:rPr>
        <w:t xml:space="preserve"> Article 111-2 du Code de la sécurité sociale</w:t>
      </w:r>
    </w:p>
  </w:footnote>
  <w:footnote w:id="44">
    <w:p w14:paraId="0015F943" w14:textId="77777777" w:rsidR="008F5418" w:rsidRPr="00D075BE" w:rsidRDefault="008F5418" w:rsidP="00E90331">
      <w:pPr>
        <w:pStyle w:val="Notedebasdepage"/>
        <w:jc w:val="both"/>
        <w:rPr>
          <w:rFonts w:ascii="Arial" w:hAnsi="Arial" w:cs="Arial"/>
          <w:sz w:val="14"/>
          <w:szCs w:val="14"/>
        </w:rPr>
      </w:pPr>
      <w:r w:rsidRPr="00D075BE">
        <w:rPr>
          <w:rStyle w:val="Appelnotedebasdep"/>
          <w:rFonts w:ascii="Arial" w:hAnsi="Arial" w:cs="Arial"/>
          <w:sz w:val="14"/>
          <w:szCs w:val="14"/>
        </w:rPr>
        <w:footnoteRef/>
      </w:r>
      <w:r w:rsidRPr="00D075BE">
        <w:rPr>
          <w:rFonts w:ascii="Arial" w:hAnsi="Arial" w:cs="Arial"/>
          <w:sz w:val="14"/>
          <w:szCs w:val="14"/>
        </w:rPr>
        <w:t xml:space="preserve"> Le 1</w:t>
      </w:r>
      <w:r w:rsidRPr="00D075BE">
        <w:rPr>
          <w:rFonts w:ascii="Arial" w:hAnsi="Arial" w:cs="Arial"/>
          <w:sz w:val="14"/>
          <w:szCs w:val="14"/>
          <w:vertAlign w:val="superscript"/>
        </w:rPr>
        <w:t>er</w:t>
      </w:r>
      <w:r w:rsidRPr="00D075BE">
        <w:rPr>
          <w:rFonts w:ascii="Arial" w:hAnsi="Arial" w:cs="Arial"/>
          <w:sz w:val="14"/>
          <w:szCs w:val="14"/>
        </w:rPr>
        <w:t xml:space="preserve"> novembre 2019, la CMU-C (couverture maladie universelle complémentaire) et l’ACS (aide au paiement d’une complémentaire santé) ont été remplacées par la Complémentaire santé solidaire. En vertu des dispositions de l’article L.861-1 du code la sécurité sociale, le dispositif reste subordonné à une condition de ressources insuffisantes et de régularité du séjour.</w:t>
      </w:r>
    </w:p>
  </w:footnote>
  <w:footnote w:id="45">
    <w:p w14:paraId="66082A0C" w14:textId="77777777" w:rsidR="008F5418" w:rsidRPr="00D075BE" w:rsidRDefault="008F5418" w:rsidP="00E90331">
      <w:pPr>
        <w:pStyle w:val="Notedebasdepage"/>
        <w:jc w:val="both"/>
        <w:rPr>
          <w:rFonts w:ascii="Arial" w:hAnsi="Arial" w:cs="Arial"/>
          <w:sz w:val="14"/>
          <w:szCs w:val="14"/>
        </w:rPr>
      </w:pPr>
      <w:r w:rsidRPr="00D075BE">
        <w:rPr>
          <w:rStyle w:val="Appelnotedebasdep"/>
          <w:rFonts w:ascii="Arial" w:hAnsi="Arial" w:cs="Arial"/>
          <w:sz w:val="14"/>
          <w:szCs w:val="14"/>
        </w:rPr>
        <w:footnoteRef/>
      </w:r>
      <w:r w:rsidRPr="00D075BE">
        <w:rPr>
          <w:rFonts w:ascii="Arial" w:hAnsi="Arial" w:cs="Arial"/>
          <w:sz w:val="14"/>
          <w:szCs w:val="14"/>
        </w:rPr>
        <w:t xml:space="preserve"> Article L.251-1 du Code de l’action sociale et des familles</w:t>
      </w:r>
    </w:p>
  </w:footnote>
  <w:footnote w:id="46">
    <w:p w14:paraId="6241FCBA" w14:textId="77777777" w:rsidR="008F5418" w:rsidRPr="00D075BE" w:rsidRDefault="008F5418" w:rsidP="00E90331">
      <w:pPr>
        <w:pStyle w:val="Notedebasdepage"/>
        <w:jc w:val="both"/>
        <w:rPr>
          <w:rFonts w:ascii="Arial" w:hAnsi="Arial" w:cs="Arial"/>
          <w:sz w:val="14"/>
          <w:szCs w:val="14"/>
        </w:rPr>
      </w:pPr>
      <w:r w:rsidRPr="00D075BE">
        <w:rPr>
          <w:rStyle w:val="Appelnotedebasdep"/>
          <w:rFonts w:ascii="Arial" w:hAnsi="Arial" w:cs="Arial"/>
          <w:sz w:val="14"/>
          <w:szCs w:val="14"/>
        </w:rPr>
        <w:footnoteRef/>
      </w:r>
      <w:r w:rsidRPr="00D075BE">
        <w:rPr>
          <w:rFonts w:ascii="Arial" w:hAnsi="Arial" w:cs="Arial"/>
          <w:sz w:val="14"/>
          <w:szCs w:val="14"/>
        </w:rPr>
        <w:t xml:space="preserve"> Rapport d'information n° 833 (2021-2022) de Mme Catherine DEROCHE, MM. Jean-Luc FICHET, Dominique THÉOPHILE et Mme Laurence COHEN, fait au nom de la commission des affaires sociales, déposé le 27 juillet 2022</w:t>
      </w:r>
    </w:p>
  </w:footnote>
  <w:footnote w:id="47">
    <w:p w14:paraId="18896867" w14:textId="77777777" w:rsidR="008F5418" w:rsidRPr="00D075BE" w:rsidRDefault="008F5418" w:rsidP="00E90331">
      <w:pPr>
        <w:pStyle w:val="Notedebasdepage"/>
        <w:jc w:val="both"/>
        <w:rPr>
          <w:rFonts w:ascii="Arial" w:hAnsi="Arial" w:cs="Arial"/>
          <w:sz w:val="14"/>
          <w:szCs w:val="14"/>
        </w:rPr>
      </w:pPr>
      <w:r w:rsidRPr="00D075BE">
        <w:rPr>
          <w:rStyle w:val="Appelnotedebasdep"/>
          <w:rFonts w:ascii="Arial" w:hAnsi="Arial" w:cs="Arial"/>
          <w:sz w:val="14"/>
          <w:szCs w:val="14"/>
        </w:rPr>
        <w:footnoteRef/>
      </w:r>
      <w:r w:rsidRPr="00D075BE">
        <w:rPr>
          <w:rFonts w:ascii="Arial" w:hAnsi="Arial" w:cs="Arial"/>
          <w:sz w:val="14"/>
          <w:szCs w:val="14"/>
        </w:rPr>
        <w:t xml:space="preserve"> La recommandation d’étendre l’AME à Mayotte, portée par le Défenseur des droits dans sa décision n° MDE-2013-87, avait également été soutenue par la Haute autorité de lutte contre les discriminations et pour l’égalité (HALDE) en 2010 (Délibération n° 2010-87 du 1er mars 2010).</w:t>
      </w:r>
    </w:p>
  </w:footnote>
  <w:footnote w:id="48">
    <w:p w14:paraId="6A77026B" w14:textId="77777777" w:rsidR="008F5418" w:rsidRPr="00D075BE" w:rsidRDefault="008F5418" w:rsidP="00A856CA">
      <w:pPr>
        <w:pStyle w:val="Notedebasdepage"/>
        <w:jc w:val="both"/>
        <w:rPr>
          <w:rFonts w:ascii="Arial" w:hAnsi="Arial" w:cs="Arial"/>
          <w:sz w:val="14"/>
          <w:szCs w:val="14"/>
        </w:rPr>
      </w:pPr>
      <w:r w:rsidRPr="00D075BE">
        <w:rPr>
          <w:rStyle w:val="Appelnotedebasdep"/>
          <w:rFonts w:ascii="Arial" w:hAnsi="Arial" w:cs="Arial"/>
          <w:sz w:val="14"/>
          <w:szCs w:val="14"/>
        </w:rPr>
        <w:footnoteRef/>
      </w:r>
      <w:r w:rsidRPr="00D075BE">
        <w:rPr>
          <w:rFonts w:ascii="Arial" w:hAnsi="Arial" w:cs="Arial"/>
          <w:sz w:val="14"/>
          <w:szCs w:val="14"/>
        </w:rPr>
        <w:t xml:space="preserve"> Recommandation n°11, Avis sur le droit à la protection de la santé dans les territoires ultramarins du 17 octobre 2017 </w:t>
      </w:r>
    </w:p>
  </w:footnote>
  <w:footnote w:id="49">
    <w:p w14:paraId="72A4BC41" w14:textId="77777777" w:rsidR="008F5418" w:rsidRPr="00126550" w:rsidRDefault="008F5418" w:rsidP="00A856CA">
      <w:pPr>
        <w:pStyle w:val="Notedebasdepage"/>
        <w:jc w:val="both"/>
        <w:rPr>
          <w:rFonts w:ascii="Arial" w:hAnsi="Arial" w:cs="Arial"/>
          <w:sz w:val="14"/>
          <w:szCs w:val="14"/>
        </w:rPr>
      </w:pPr>
      <w:r w:rsidRPr="00126550">
        <w:rPr>
          <w:rStyle w:val="Appelnotedebasdep"/>
          <w:rFonts w:ascii="Arial" w:hAnsi="Arial" w:cs="Arial"/>
          <w:sz w:val="14"/>
          <w:szCs w:val="14"/>
        </w:rPr>
        <w:footnoteRef/>
      </w:r>
      <w:r w:rsidRPr="00126550">
        <w:rPr>
          <w:rFonts w:ascii="Arial" w:hAnsi="Arial" w:cs="Arial"/>
          <w:sz w:val="14"/>
          <w:szCs w:val="14"/>
        </w:rPr>
        <w:t xml:space="preserve"> Article L.160-1 du Code de la sécurité sociale</w:t>
      </w:r>
    </w:p>
  </w:footnote>
  <w:footnote w:id="50">
    <w:p w14:paraId="34D6ED58" w14:textId="77777777" w:rsidR="008F5418" w:rsidRPr="00D075BE" w:rsidRDefault="008F5418" w:rsidP="00A856CA">
      <w:pPr>
        <w:pStyle w:val="Notedebasdepage"/>
        <w:jc w:val="both"/>
        <w:rPr>
          <w:rFonts w:ascii="Arial" w:hAnsi="Arial" w:cs="Arial"/>
          <w:sz w:val="14"/>
          <w:szCs w:val="14"/>
        </w:rPr>
      </w:pPr>
      <w:r w:rsidRPr="00D075BE">
        <w:rPr>
          <w:rStyle w:val="Appelnotedebasdep"/>
          <w:rFonts w:ascii="Arial" w:hAnsi="Arial" w:cs="Arial"/>
          <w:sz w:val="14"/>
          <w:szCs w:val="14"/>
        </w:rPr>
        <w:footnoteRef/>
      </w:r>
      <w:r w:rsidRPr="00D075BE">
        <w:rPr>
          <w:rFonts w:ascii="Arial" w:hAnsi="Arial" w:cs="Arial"/>
          <w:sz w:val="14"/>
          <w:szCs w:val="14"/>
        </w:rPr>
        <w:t xml:space="preserve"> Concernant le bénéficiaire qui a fait l'objet d'une mesure d'éloignement administrative devenue définitive, dans ce cas, le droit ne peut être fermé qu'après la fin du deuxième mois suivant la date d'expiration des titres ou documents susvisés.</w:t>
      </w:r>
    </w:p>
  </w:footnote>
  <w:footnote w:id="51">
    <w:p w14:paraId="345C19D1" w14:textId="77777777" w:rsidR="008F5418" w:rsidRPr="00D075BE" w:rsidRDefault="008F5418" w:rsidP="00A856CA">
      <w:pPr>
        <w:pStyle w:val="Notedebasdepage"/>
        <w:jc w:val="both"/>
        <w:rPr>
          <w:rFonts w:ascii="Arial" w:hAnsi="Arial" w:cs="Arial"/>
          <w:sz w:val="14"/>
          <w:szCs w:val="14"/>
        </w:rPr>
      </w:pPr>
      <w:r w:rsidRPr="00D075BE">
        <w:rPr>
          <w:rStyle w:val="Appelnotedebasdep"/>
          <w:rFonts w:ascii="Arial" w:hAnsi="Arial" w:cs="Arial"/>
          <w:sz w:val="14"/>
          <w:szCs w:val="14"/>
        </w:rPr>
        <w:footnoteRef/>
      </w:r>
      <w:r w:rsidRPr="00D075BE">
        <w:rPr>
          <w:rFonts w:ascii="Arial" w:hAnsi="Arial" w:cs="Arial"/>
          <w:sz w:val="14"/>
          <w:szCs w:val="14"/>
        </w:rPr>
        <w:t xml:space="preserve"> Défenseur des droits « Etablir Mayotte dans ses droits », février 2020, faisant suite au déplacement d’une délégation de ses services à Mayotte les 2 et 3 octobre 2019</w:t>
      </w:r>
    </w:p>
  </w:footnote>
  <w:footnote w:id="52">
    <w:p w14:paraId="4C574064" w14:textId="77777777" w:rsidR="008F5418" w:rsidRPr="00F0408B" w:rsidRDefault="008F5418" w:rsidP="00A856CA">
      <w:pPr>
        <w:pStyle w:val="Notedebasdepage"/>
        <w:jc w:val="both"/>
        <w:rPr>
          <w:rFonts w:ascii="Arial" w:hAnsi="Arial" w:cs="Arial"/>
          <w:sz w:val="14"/>
          <w:szCs w:val="14"/>
        </w:rPr>
      </w:pPr>
      <w:r w:rsidRPr="00F0408B">
        <w:rPr>
          <w:rStyle w:val="Appelnotedebasdep"/>
          <w:rFonts w:ascii="Arial" w:hAnsi="Arial" w:cs="Arial"/>
          <w:sz w:val="14"/>
          <w:szCs w:val="14"/>
        </w:rPr>
        <w:footnoteRef/>
      </w:r>
      <w:r w:rsidRPr="00F0408B">
        <w:rPr>
          <w:rFonts w:ascii="Arial" w:hAnsi="Arial" w:cs="Arial"/>
          <w:sz w:val="14"/>
          <w:szCs w:val="14"/>
        </w:rPr>
        <w:t xml:space="preserve"> Article 13 du préambule de la Constitution du 27 octobre 1946</w:t>
      </w:r>
      <w:r>
        <w:rPr>
          <w:rFonts w:ascii="Arial" w:hAnsi="Arial" w:cs="Arial"/>
          <w:sz w:val="14"/>
          <w:szCs w:val="14"/>
        </w:rPr>
        <w:t xml:space="preserve"> ; </w:t>
      </w:r>
      <w:r w:rsidRPr="00F0408B">
        <w:rPr>
          <w:rFonts w:ascii="Arial" w:hAnsi="Arial" w:cs="Arial"/>
          <w:sz w:val="14"/>
          <w:szCs w:val="14"/>
        </w:rPr>
        <w:t xml:space="preserve">article 2 du Protocole additionnel °1 de la </w:t>
      </w:r>
      <w:r>
        <w:rPr>
          <w:rFonts w:ascii="Arial" w:hAnsi="Arial" w:cs="Arial"/>
          <w:sz w:val="14"/>
          <w:szCs w:val="14"/>
        </w:rPr>
        <w:t>CESDH</w:t>
      </w:r>
    </w:p>
  </w:footnote>
  <w:footnote w:id="53">
    <w:p w14:paraId="4A4E1185" w14:textId="77777777" w:rsidR="008F5418" w:rsidRPr="00F0408B" w:rsidRDefault="008F5418" w:rsidP="00A856CA">
      <w:pPr>
        <w:pStyle w:val="Notedebasdepage"/>
        <w:jc w:val="both"/>
        <w:rPr>
          <w:rFonts w:ascii="Arial" w:hAnsi="Arial" w:cs="Arial"/>
          <w:sz w:val="14"/>
          <w:szCs w:val="14"/>
        </w:rPr>
      </w:pPr>
      <w:r w:rsidRPr="00F0408B">
        <w:rPr>
          <w:rStyle w:val="Appelnotedebasdep"/>
          <w:rFonts w:ascii="Arial" w:hAnsi="Arial" w:cs="Arial"/>
          <w:sz w:val="14"/>
          <w:szCs w:val="14"/>
        </w:rPr>
        <w:footnoteRef/>
      </w:r>
      <w:r w:rsidRPr="00F0408B">
        <w:rPr>
          <w:rFonts w:ascii="Arial" w:hAnsi="Arial" w:cs="Arial"/>
          <w:sz w:val="14"/>
          <w:szCs w:val="14"/>
        </w:rPr>
        <w:t xml:space="preserve"> Article 3-1 </w:t>
      </w:r>
      <w:r>
        <w:rPr>
          <w:rFonts w:ascii="Arial" w:hAnsi="Arial" w:cs="Arial"/>
          <w:sz w:val="14"/>
          <w:szCs w:val="14"/>
        </w:rPr>
        <w:t xml:space="preserve">et 28 </w:t>
      </w:r>
      <w:r w:rsidRPr="00F0408B">
        <w:rPr>
          <w:rFonts w:ascii="Arial" w:hAnsi="Arial" w:cs="Arial"/>
          <w:sz w:val="14"/>
          <w:szCs w:val="14"/>
        </w:rPr>
        <w:t>de la Convention internati</w:t>
      </w:r>
      <w:r>
        <w:rPr>
          <w:rFonts w:ascii="Arial" w:hAnsi="Arial" w:cs="Arial"/>
          <w:sz w:val="14"/>
          <w:szCs w:val="14"/>
        </w:rPr>
        <w:t>onale des droits de l’enfant</w:t>
      </w:r>
    </w:p>
  </w:footnote>
  <w:footnote w:id="54">
    <w:p w14:paraId="30030950" w14:textId="77777777" w:rsidR="008F5418" w:rsidRPr="00F0408B" w:rsidRDefault="008F5418" w:rsidP="00A856CA">
      <w:pPr>
        <w:pStyle w:val="Notedebasdepage"/>
        <w:jc w:val="both"/>
        <w:rPr>
          <w:rFonts w:ascii="Arial" w:hAnsi="Arial" w:cs="Arial"/>
          <w:sz w:val="14"/>
          <w:szCs w:val="14"/>
        </w:rPr>
      </w:pPr>
      <w:r w:rsidRPr="00F0408B">
        <w:rPr>
          <w:rStyle w:val="Appelnotedebasdep"/>
          <w:rFonts w:ascii="Arial" w:hAnsi="Arial" w:cs="Arial"/>
          <w:sz w:val="14"/>
          <w:szCs w:val="14"/>
        </w:rPr>
        <w:footnoteRef/>
      </w:r>
      <w:r w:rsidRPr="00F0408B">
        <w:rPr>
          <w:rFonts w:ascii="Arial" w:hAnsi="Arial" w:cs="Arial"/>
          <w:sz w:val="14"/>
          <w:szCs w:val="14"/>
        </w:rPr>
        <w:t xml:space="preserve"> Article L 131-1 du Code de l’éducation, « </w:t>
      </w:r>
      <w:r w:rsidRPr="00F0408B">
        <w:rPr>
          <w:rFonts w:ascii="Arial" w:hAnsi="Arial" w:cs="Arial"/>
          <w:i/>
          <w:sz w:val="14"/>
          <w:szCs w:val="14"/>
        </w:rPr>
        <w:t>L'instruction est obligatoire pour chaque enfant dès l'âge de trois ans et jusqu'à l'âge de seize ans</w:t>
      </w:r>
      <w:r w:rsidRPr="00F0408B">
        <w:rPr>
          <w:rFonts w:ascii="Arial" w:hAnsi="Arial" w:cs="Arial"/>
          <w:sz w:val="14"/>
          <w:szCs w:val="14"/>
        </w:rPr>
        <w:t> »</w:t>
      </w:r>
    </w:p>
  </w:footnote>
  <w:footnote w:id="55">
    <w:p w14:paraId="7F890E69" w14:textId="77777777" w:rsidR="008F5418" w:rsidRPr="00F0408B" w:rsidRDefault="008F5418" w:rsidP="0045744D">
      <w:pPr>
        <w:pStyle w:val="Notedebasdepage"/>
        <w:rPr>
          <w:rFonts w:ascii="Arial" w:hAnsi="Arial" w:cs="Arial"/>
          <w:sz w:val="14"/>
          <w:szCs w:val="14"/>
        </w:rPr>
      </w:pPr>
      <w:r w:rsidRPr="00F0408B">
        <w:rPr>
          <w:rStyle w:val="Appelnotedebasdep"/>
          <w:rFonts w:ascii="Arial" w:hAnsi="Arial" w:cs="Arial"/>
          <w:sz w:val="14"/>
          <w:szCs w:val="14"/>
        </w:rPr>
        <w:footnoteRef/>
      </w:r>
      <w:r w:rsidRPr="00F0408B">
        <w:rPr>
          <w:rFonts w:ascii="Arial" w:hAnsi="Arial" w:cs="Arial"/>
          <w:sz w:val="14"/>
          <w:szCs w:val="14"/>
        </w:rPr>
        <w:t xml:space="preserve"> A titre d’illustration : </w:t>
      </w:r>
      <w:hyperlink r:id="rId17" w:history="1">
        <w:r w:rsidRPr="00F0408B">
          <w:rPr>
            <w:rStyle w:val="Lienhypertexte"/>
            <w:rFonts w:cs="Arial"/>
            <w:sz w:val="14"/>
            <w:szCs w:val="14"/>
          </w:rPr>
          <w:t>https://www.migrantsoutremer.org/IMG/pdf/halde_delib-education-guyane_2009-09-14.pdf</w:t>
        </w:r>
      </w:hyperlink>
      <w:r>
        <w:rPr>
          <w:rFonts w:ascii="Arial" w:hAnsi="Arial" w:cs="Arial"/>
          <w:sz w:val="14"/>
          <w:szCs w:val="14"/>
        </w:rPr>
        <w:t xml:space="preserve"> </w:t>
      </w:r>
      <w:hyperlink r:id="rId18" w:history="1">
        <w:r w:rsidRPr="00F0408B">
          <w:rPr>
            <w:rStyle w:val="Lienhypertexte"/>
            <w:rFonts w:cs="Arial"/>
            <w:sz w:val="14"/>
            <w:szCs w:val="14"/>
          </w:rPr>
          <w:t>https://defenseurdesdroits.fr/sites/default/files/atoms/files/cr_deplacement_ddd_guyane_2016.pdf</w:t>
        </w:r>
      </w:hyperlink>
      <w:r w:rsidRPr="00F0408B">
        <w:rPr>
          <w:rFonts w:ascii="Arial" w:hAnsi="Arial" w:cs="Arial"/>
          <w:sz w:val="14"/>
          <w:szCs w:val="14"/>
        </w:rPr>
        <w:t xml:space="preserve"> ; </w:t>
      </w:r>
      <w:hyperlink r:id="rId19" w:history="1">
        <w:r w:rsidRPr="00F0408B">
          <w:rPr>
            <w:rStyle w:val="Lienhypertexte"/>
            <w:rFonts w:cs="Arial"/>
            <w:sz w:val="14"/>
            <w:szCs w:val="14"/>
          </w:rPr>
          <w:t>https://www.defenseurdesdroits.fr/sites/default/files/atoms/files/decision_guyane_2017_078.pdf</w:t>
        </w:r>
      </w:hyperlink>
      <w:r>
        <w:rPr>
          <w:rFonts w:ascii="Arial" w:hAnsi="Arial" w:cs="Arial"/>
          <w:sz w:val="14"/>
          <w:szCs w:val="14"/>
        </w:rPr>
        <w:t xml:space="preserve">; </w:t>
      </w:r>
      <w:hyperlink r:id="rId20" w:history="1">
        <w:r w:rsidRPr="00F0408B">
          <w:rPr>
            <w:rStyle w:val="Lienhypertexte"/>
            <w:rFonts w:cs="Arial"/>
            <w:sz w:val="14"/>
            <w:szCs w:val="14"/>
          </w:rPr>
          <w:t>https://juridique.defenseurdesdroits.fr/doc_num.php?explnum_id=7625</w:t>
        </w:r>
      </w:hyperlink>
      <w:r w:rsidRPr="00F0408B">
        <w:rPr>
          <w:rFonts w:ascii="Arial" w:hAnsi="Arial" w:cs="Arial"/>
          <w:sz w:val="14"/>
          <w:szCs w:val="14"/>
        </w:rPr>
        <w:t xml:space="preserve"> </w:t>
      </w:r>
      <w:hyperlink r:id="rId21" w:history="1">
        <w:r w:rsidRPr="00F0408B">
          <w:rPr>
            <w:rStyle w:val="Lienhypertexte"/>
            <w:rFonts w:cs="Arial"/>
            <w:sz w:val="14"/>
            <w:szCs w:val="14"/>
          </w:rPr>
          <w:t>https://www.defenseurdesdroits.fr/sites/default/files/atoms/files/dde_mayotte_2015_definitif.pdf</w:t>
        </w:r>
      </w:hyperlink>
      <w:r w:rsidRPr="00F0408B">
        <w:rPr>
          <w:rFonts w:ascii="Arial" w:hAnsi="Arial" w:cs="Arial"/>
          <w:sz w:val="14"/>
          <w:szCs w:val="14"/>
        </w:rPr>
        <w:t>;</w:t>
      </w:r>
    </w:p>
  </w:footnote>
  <w:footnote w:id="56">
    <w:p w14:paraId="47FAD5DE" w14:textId="77777777" w:rsidR="008F5418" w:rsidRPr="00F0408B" w:rsidRDefault="008F5418" w:rsidP="0045744D">
      <w:pPr>
        <w:pStyle w:val="Notedebasdepage"/>
        <w:jc w:val="both"/>
        <w:rPr>
          <w:rFonts w:ascii="Arial" w:hAnsi="Arial" w:cs="Arial"/>
          <w:sz w:val="14"/>
          <w:szCs w:val="14"/>
        </w:rPr>
      </w:pPr>
      <w:r w:rsidRPr="00F0408B">
        <w:rPr>
          <w:rStyle w:val="Appelnotedebasdep"/>
          <w:rFonts w:ascii="Arial" w:hAnsi="Arial" w:cs="Arial"/>
          <w:sz w:val="14"/>
          <w:szCs w:val="14"/>
        </w:rPr>
        <w:footnoteRef/>
      </w:r>
      <w:r w:rsidRPr="00F0408B">
        <w:rPr>
          <w:rFonts w:ascii="Arial" w:hAnsi="Arial" w:cs="Arial"/>
          <w:sz w:val="14"/>
          <w:szCs w:val="14"/>
        </w:rPr>
        <w:t xml:space="preserve"> Réclamation sur des mesures d’exclusion de l’accès à l’éducation des mineurs ou jeunes majeurs étrangers à Mayotte, 11 juin 2008 réclamation sur des mesures discriminatoires relatives à l’accès à l’éducation en Guyane, 25 septembre 2008,; réclamation relative aux mesures discriminatoires en matière de droit à l’éducation en Guyane, plus particulièrement à</w:t>
      </w:r>
      <w:r>
        <w:t xml:space="preserve"> </w:t>
      </w:r>
      <w:r w:rsidRPr="00F0408B">
        <w:rPr>
          <w:rFonts w:ascii="Arial" w:hAnsi="Arial" w:cs="Arial"/>
          <w:sz w:val="14"/>
          <w:szCs w:val="14"/>
        </w:rPr>
        <w:t xml:space="preserve">l’encontre d’enfants étrangers et ceux issus de groupes minoritaires, 17 juin 2011 </w:t>
      </w:r>
    </w:p>
  </w:footnote>
  <w:footnote w:id="57">
    <w:p w14:paraId="7CEB8C12" w14:textId="77777777" w:rsidR="008F5418" w:rsidRPr="00B642DB" w:rsidRDefault="008F5418" w:rsidP="0045744D">
      <w:pPr>
        <w:pStyle w:val="Notedebasdepage"/>
        <w:jc w:val="both"/>
        <w:rPr>
          <w:rFonts w:ascii="Arial" w:hAnsi="Arial" w:cs="Arial"/>
          <w:sz w:val="14"/>
          <w:szCs w:val="14"/>
        </w:rPr>
      </w:pPr>
      <w:r w:rsidRPr="00F0408B">
        <w:rPr>
          <w:rStyle w:val="Appelnotedebasdep"/>
          <w:rFonts w:ascii="Arial" w:hAnsi="Arial" w:cs="Arial"/>
          <w:sz w:val="14"/>
          <w:szCs w:val="14"/>
        </w:rPr>
        <w:footnoteRef/>
      </w:r>
      <w:r>
        <w:rPr>
          <w:rFonts w:ascii="Arial" w:hAnsi="Arial" w:cs="Arial"/>
          <w:sz w:val="14"/>
          <w:szCs w:val="14"/>
        </w:rPr>
        <w:t xml:space="preserve"> </w:t>
      </w:r>
      <w:r w:rsidRPr="00B642DB">
        <w:rPr>
          <w:rFonts w:ascii="Arial" w:hAnsi="Arial" w:cs="Arial"/>
          <w:sz w:val="14"/>
          <w:szCs w:val="14"/>
        </w:rPr>
        <w:t>Cette saisine faisait suite à une demande adressée à l’ensemble des mairies de Mayotte de révision de leur dossier d’inscription scolaire aux fins d’effectivité du droit à l’éducation garanti à tous les enfants sans considération de sexe, de nationalité et du statut ou du mode d’habitat,</w:t>
      </w:r>
      <w:r>
        <w:rPr>
          <w:rFonts w:ascii="Arial" w:hAnsi="Arial" w:cs="Arial"/>
          <w:sz w:val="14"/>
          <w:szCs w:val="14"/>
        </w:rPr>
        <w:t xml:space="preserve"> demande demeurée sans réponse.</w:t>
      </w:r>
      <w:r w:rsidRPr="00F0408B">
        <w:rPr>
          <w:rFonts w:ascii="Arial" w:hAnsi="Arial" w:cs="Arial"/>
          <w:sz w:val="14"/>
          <w:szCs w:val="14"/>
        </w:rPr>
        <w:t xml:space="preserve"> </w:t>
      </w:r>
      <w:hyperlink r:id="rId22" w:history="1">
        <w:r w:rsidRPr="00F0408B">
          <w:rPr>
            <w:rStyle w:val="Lienhypertexte"/>
            <w:rFonts w:cs="Arial"/>
            <w:sz w:val="14"/>
            <w:szCs w:val="14"/>
          </w:rPr>
          <w:t>https://www.migrantsoutremer.org/IMG/pdf/saisine_ddd_2019-12-10_scolarisation-a-mayotte.pdf</w:t>
        </w:r>
      </w:hyperlink>
      <w:r>
        <w:t xml:space="preserve"> </w:t>
      </w:r>
    </w:p>
  </w:footnote>
  <w:footnote w:id="58">
    <w:p w14:paraId="73699A5A" w14:textId="77777777" w:rsidR="008F5418" w:rsidRPr="00F0408B" w:rsidRDefault="008F5418" w:rsidP="0045744D">
      <w:pPr>
        <w:pStyle w:val="Notedebasdepage"/>
        <w:jc w:val="both"/>
        <w:rPr>
          <w:rFonts w:ascii="Arial" w:hAnsi="Arial" w:cs="Arial"/>
          <w:sz w:val="14"/>
          <w:szCs w:val="14"/>
        </w:rPr>
      </w:pPr>
      <w:r w:rsidRPr="00F0408B">
        <w:rPr>
          <w:rStyle w:val="Appelnotedebasdep"/>
          <w:rFonts w:ascii="Arial" w:hAnsi="Arial" w:cs="Arial"/>
          <w:sz w:val="14"/>
          <w:szCs w:val="14"/>
        </w:rPr>
        <w:footnoteRef/>
      </w:r>
      <w:r w:rsidRPr="00F0408B">
        <w:rPr>
          <w:rFonts w:ascii="Arial" w:hAnsi="Arial" w:cs="Arial"/>
          <w:sz w:val="14"/>
          <w:szCs w:val="14"/>
        </w:rPr>
        <w:t xml:space="preserve"> Articles 225-1, 225-2 et 432-7 du Code pénal</w:t>
      </w:r>
    </w:p>
  </w:footnote>
  <w:footnote w:id="59">
    <w:p w14:paraId="35536CCD" w14:textId="77777777" w:rsidR="008F5418" w:rsidRPr="00F0408B" w:rsidRDefault="008F5418" w:rsidP="0045744D">
      <w:pPr>
        <w:pStyle w:val="Notedebasdepage"/>
        <w:jc w:val="both"/>
        <w:rPr>
          <w:rFonts w:ascii="Arial" w:hAnsi="Arial" w:cs="Arial"/>
          <w:sz w:val="14"/>
          <w:szCs w:val="14"/>
        </w:rPr>
      </w:pPr>
      <w:r w:rsidRPr="00F0408B">
        <w:rPr>
          <w:rStyle w:val="Appelnotedebasdep"/>
          <w:rFonts w:ascii="Arial" w:hAnsi="Arial" w:cs="Arial"/>
          <w:sz w:val="14"/>
          <w:szCs w:val="14"/>
        </w:rPr>
        <w:footnoteRef/>
      </w:r>
      <w:r w:rsidRPr="00F0408B">
        <w:rPr>
          <w:rFonts w:ascii="Arial" w:hAnsi="Arial" w:cs="Arial"/>
          <w:sz w:val="14"/>
          <w:szCs w:val="14"/>
        </w:rPr>
        <w:t xml:space="preserve"> Rapport Défenseur des droits « Etablir Mayotte dans ses droits », février 2020, faisant suite au déplacement d’une délégation de ses services à Mayotte les 2 et 3 octobre 2019 </w:t>
      </w:r>
    </w:p>
  </w:footnote>
  <w:footnote w:id="60">
    <w:p w14:paraId="5C81C2EC" w14:textId="77777777" w:rsidR="008F5418" w:rsidRPr="00F0408B" w:rsidRDefault="008F5418" w:rsidP="00F76C5A">
      <w:pPr>
        <w:pStyle w:val="Notedebasdepage"/>
        <w:jc w:val="both"/>
        <w:rPr>
          <w:rFonts w:ascii="Arial" w:hAnsi="Arial" w:cs="Arial"/>
          <w:sz w:val="14"/>
          <w:szCs w:val="14"/>
        </w:rPr>
      </w:pPr>
      <w:r w:rsidRPr="00F0408B">
        <w:rPr>
          <w:rStyle w:val="Appelnotedebasdep"/>
          <w:rFonts w:ascii="Arial" w:hAnsi="Arial" w:cs="Arial"/>
          <w:sz w:val="14"/>
          <w:szCs w:val="14"/>
        </w:rPr>
        <w:footnoteRef/>
      </w:r>
      <w:r w:rsidRPr="00F0408B">
        <w:rPr>
          <w:rFonts w:ascii="Arial" w:hAnsi="Arial" w:cs="Arial"/>
          <w:sz w:val="14"/>
          <w:szCs w:val="14"/>
        </w:rPr>
        <w:t xml:space="preserve"> Recommandation 14, avis du 6 juillet 2017 sur l’effectivité du droit à l’éducation en Outre-mer, Regard particuliers sur la Guyane et Mayotte </w:t>
      </w:r>
    </w:p>
  </w:footnote>
  <w:footnote w:id="61">
    <w:p w14:paraId="791FB864" w14:textId="77777777" w:rsidR="008F5418" w:rsidRPr="00F0408B" w:rsidRDefault="008F5418" w:rsidP="00941BC0">
      <w:pPr>
        <w:pStyle w:val="Notedebasdepage"/>
        <w:jc w:val="both"/>
        <w:rPr>
          <w:rFonts w:ascii="Arial" w:hAnsi="Arial" w:cs="Arial"/>
          <w:sz w:val="14"/>
          <w:szCs w:val="14"/>
        </w:rPr>
      </w:pPr>
      <w:r w:rsidRPr="00F0408B">
        <w:rPr>
          <w:rStyle w:val="Appelnotedebasdep"/>
          <w:rFonts w:ascii="Arial" w:hAnsi="Arial" w:cs="Arial"/>
          <w:sz w:val="14"/>
          <w:szCs w:val="14"/>
        </w:rPr>
        <w:footnoteRef/>
      </w:r>
      <w:r w:rsidRPr="00F0408B">
        <w:rPr>
          <w:rFonts w:ascii="Arial" w:hAnsi="Arial" w:cs="Arial"/>
          <w:sz w:val="14"/>
          <w:szCs w:val="14"/>
        </w:rPr>
        <w:t xml:space="preserve"> </w:t>
      </w:r>
      <w:r>
        <w:rPr>
          <w:rFonts w:ascii="Arial" w:hAnsi="Arial" w:cs="Arial"/>
          <w:sz w:val="14"/>
          <w:szCs w:val="14"/>
        </w:rPr>
        <w:t xml:space="preserve">Création de l’article D.131-3-1 du Code de l’éducation </w:t>
      </w:r>
      <w:hyperlink r:id="rId23" w:history="1">
        <w:r w:rsidRPr="00F0408B">
          <w:rPr>
            <w:rStyle w:val="Lienhypertexte"/>
            <w:rFonts w:cs="Arial"/>
            <w:sz w:val="14"/>
            <w:szCs w:val="14"/>
          </w:rPr>
          <w:t>https://www.legifrance.gouv.fr/jorf/id/JORFTEXT000042056558/</w:t>
        </w:r>
      </w:hyperlink>
      <w:r w:rsidRPr="00F0408B">
        <w:rPr>
          <w:rFonts w:ascii="Arial" w:hAnsi="Arial" w:cs="Arial"/>
          <w:sz w:val="14"/>
          <w:szCs w:val="14"/>
        </w:rPr>
        <w:t xml:space="preserve"> </w:t>
      </w:r>
    </w:p>
  </w:footnote>
  <w:footnote w:id="62">
    <w:p w14:paraId="50F1BA4E" w14:textId="77777777" w:rsidR="008F5418" w:rsidRPr="00F0408B" w:rsidRDefault="008F5418" w:rsidP="0057076C">
      <w:pPr>
        <w:pStyle w:val="Notedebasdepage"/>
        <w:jc w:val="both"/>
        <w:rPr>
          <w:rFonts w:ascii="Arial" w:hAnsi="Arial" w:cs="Arial"/>
          <w:sz w:val="14"/>
          <w:szCs w:val="14"/>
        </w:rPr>
      </w:pPr>
      <w:r w:rsidRPr="00F0408B">
        <w:rPr>
          <w:rStyle w:val="Appelnotedebasdep"/>
          <w:rFonts w:ascii="Arial" w:hAnsi="Arial" w:cs="Arial"/>
          <w:sz w:val="14"/>
          <w:szCs w:val="14"/>
        </w:rPr>
        <w:footnoteRef/>
      </w:r>
      <w:r w:rsidRPr="00F0408B">
        <w:rPr>
          <w:rFonts w:ascii="Arial" w:hAnsi="Arial" w:cs="Arial"/>
          <w:sz w:val="14"/>
          <w:szCs w:val="14"/>
        </w:rPr>
        <w:t xml:space="preserve"> L’étude « Guyane : les défis du droit à l'éducation » menée entre septembre 2019 et avril 2021, avec le soutien d’UNICEF France et du Défenseur des droits, avril 2021 </w:t>
      </w:r>
    </w:p>
  </w:footnote>
  <w:footnote w:id="63">
    <w:p w14:paraId="6485246A" w14:textId="77777777" w:rsidR="008F5418" w:rsidRPr="00F0408B" w:rsidRDefault="008F5418" w:rsidP="0057076C">
      <w:pPr>
        <w:pStyle w:val="Notedebasdepage"/>
        <w:jc w:val="both"/>
        <w:rPr>
          <w:rFonts w:ascii="Arial" w:hAnsi="Arial" w:cs="Arial"/>
          <w:sz w:val="14"/>
          <w:szCs w:val="14"/>
        </w:rPr>
      </w:pPr>
      <w:r w:rsidRPr="00F0408B">
        <w:rPr>
          <w:rStyle w:val="Appelnotedebasdep"/>
          <w:rFonts w:ascii="Arial" w:hAnsi="Arial" w:cs="Arial"/>
          <w:sz w:val="14"/>
          <w:szCs w:val="14"/>
        </w:rPr>
        <w:footnoteRef/>
      </w:r>
      <w:r w:rsidRPr="00F0408B">
        <w:rPr>
          <w:rFonts w:ascii="Arial" w:hAnsi="Arial" w:cs="Arial"/>
          <w:sz w:val="14"/>
          <w:szCs w:val="14"/>
        </w:rPr>
        <w:t xml:space="preserve"> </w:t>
      </w:r>
      <w:hyperlink r:id="rId24" w:history="1">
        <w:r w:rsidRPr="00F0408B">
          <w:rPr>
            <w:rStyle w:val="Lienhypertexte"/>
            <w:rFonts w:cs="Arial"/>
            <w:sz w:val="14"/>
            <w:szCs w:val="14"/>
          </w:rPr>
          <w:t>https://www.unicef.fr/wp-content/uploads/2022/09/RapportGuyane_final_WEB_5093117.pdf</w:t>
        </w:r>
      </w:hyperlink>
      <w:r w:rsidRPr="00F0408B">
        <w:rPr>
          <w:rFonts w:ascii="Arial" w:hAnsi="Arial" w:cs="Arial"/>
          <w:sz w:val="14"/>
          <w:szCs w:val="14"/>
        </w:rPr>
        <w:t xml:space="preserve"> </w:t>
      </w:r>
    </w:p>
  </w:footnote>
  <w:footnote w:id="64">
    <w:p w14:paraId="62D2EDCB" w14:textId="77777777" w:rsidR="008F5418" w:rsidRPr="00F0408B" w:rsidRDefault="008F5418" w:rsidP="0057076C">
      <w:pPr>
        <w:pStyle w:val="Notedebasdepage"/>
        <w:jc w:val="both"/>
        <w:rPr>
          <w:rFonts w:ascii="Arial" w:hAnsi="Arial" w:cs="Arial"/>
          <w:sz w:val="14"/>
          <w:szCs w:val="14"/>
        </w:rPr>
      </w:pPr>
      <w:r w:rsidRPr="00F0408B">
        <w:rPr>
          <w:rStyle w:val="Appelnotedebasdep"/>
          <w:rFonts w:ascii="Arial" w:hAnsi="Arial" w:cs="Arial"/>
          <w:sz w:val="14"/>
          <w:szCs w:val="14"/>
        </w:rPr>
        <w:footnoteRef/>
      </w:r>
      <w:r w:rsidRPr="00F0408B">
        <w:rPr>
          <w:rFonts w:ascii="Arial" w:hAnsi="Arial" w:cs="Arial"/>
          <w:sz w:val="14"/>
          <w:szCs w:val="14"/>
        </w:rPr>
        <w:t xml:space="preserve"> </w:t>
      </w:r>
      <w:hyperlink r:id="rId25" w:history="1">
        <w:r w:rsidRPr="00F0408B">
          <w:rPr>
            <w:rStyle w:val="Lienhypertexte"/>
            <w:rFonts w:cs="Arial"/>
            <w:sz w:val="14"/>
            <w:szCs w:val="14"/>
          </w:rPr>
          <w:t>https://www.gisti.org/IMG/pdf/req_rl_scolarisation_mayotte.pdf</w:t>
        </w:r>
      </w:hyperlink>
      <w:r w:rsidRPr="00F0408B">
        <w:rPr>
          <w:rFonts w:ascii="Arial" w:hAnsi="Arial" w:cs="Arial"/>
          <w:sz w:val="14"/>
          <w:szCs w:val="14"/>
        </w:rPr>
        <w:t xml:space="preserve"> </w:t>
      </w:r>
    </w:p>
  </w:footnote>
  <w:footnote w:id="65">
    <w:p w14:paraId="50F9652E" w14:textId="77777777" w:rsidR="008F5418" w:rsidRPr="00F0408B" w:rsidRDefault="008F5418" w:rsidP="0057076C">
      <w:pPr>
        <w:pStyle w:val="Notedebasdepage"/>
        <w:jc w:val="both"/>
        <w:rPr>
          <w:rFonts w:ascii="Arial" w:hAnsi="Arial" w:cs="Arial"/>
          <w:sz w:val="14"/>
          <w:szCs w:val="14"/>
        </w:rPr>
      </w:pPr>
      <w:r w:rsidRPr="00F0408B">
        <w:rPr>
          <w:rStyle w:val="Appelnotedebasdep"/>
          <w:rFonts w:ascii="Arial" w:hAnsi="Arial" w:cs="Arial"/>
          <w:sz w:val="14"/>
          <w:szCs w:val="14"/>
        </w:rPr>
        <w:footnoteRef/>
      </w:r>
      <w:r w:rsidRPr="00F0408B">
        <w:rPr>
          <w:rFonts w:ascii="Arial" w:hAnsi="Arial" w:cs="Arial"/>
          <w:sz w:val="14"/>
          <w:szCs w:val="14"/>
        </w:rPr>
        <w:t xml:space="preserve"> </w:t>
      </w:r>
      <w:hyperlink r:id="rId26" w:history="1">
        <w:r w:rsidRPr="00F0408B">
          <w:rPr>
            <w:rStyle w:val="Lienhypertexte"/>
            <w:rFonts w:cs="Arial"/>
            <w:sz w:val="14"/>
            <w:szCs w:val="14"/>
          </w:rPr>
          <w:t>https://www.gisti.org/IMG/pdf/jur_ta_mayotte_ord_rl_2021-10-28-2.pdf</w:t>
        </w:r>
      </w:hyperlink>
      <w:r w:rsidRPr="00F0408B">
        <w:rPr>
          <w:rFonts w:ascii="Arial" w:hAnsi="Arial" w:cs="Arial"/>
          <w:sz w:val="14"/>
          <w:szCs w:val="14"/>
        </w:rPr>
        <w:t xml:space="preserve"> </w:t>
      </w:r>
    </w:p>
  </w:footnote>
  <w:footnote w:id="66">
    <w:p w14:paraId="0AAB66C9" w14:textId="77777777" w:rsidR="008F5418" w:rsidRPr="00F0408B" w:rsidRDefault="008F5418" w:rsidP="0057076C">
      <w:pPr>
        <w:pStyle w:val="Notedebasdepage"/>
        <w:jc w:val="both"/>
        <w:rPr>
          <w:rFonts w:ascii="Arial" w:hAnsi="Arial" w:cs="Arial"/>
          <w:sz w:val="14"/>
          <w:szCs w:val="14"/>
        </w:rPr>
      </w:pPr>
      <w:r w:rsidRPr="00F0408B">
        <w:rPr>
          <w:rStyle w:val="Appelnotedebasdep"/>
          <w:rFonts w:ascii="Arial" w:hAnsi="Arial" w:cs="Arial"/>
          <w:sz w:val="14"/>
          <w:szCs w:val="14"/>
        </w:rPr>
        <w:footnoteRef/>
      </w:r>
      <w:r w:rsidRPr="00F0408B">
        <w:rPr>
          <w:rFonts w:ascii="Arial" w:hAnsi="Arial" w:cs="Arial"/>
          <w:sz w:val="14"/>
          <w:szCs w:val="14"/>
        </w:rPr>
        <w:t xml:space="preserve"> Défenseur des droits « Etablir Mayotte dans ses droits », février 2020, faisant suite au déplacement d’une délégation de ses services à Mayotte les 2 et 3 octobre 2019</w:t>
      </w:r>
    </w:p>
  </w:footnote>
  <w:footnote w:id="67">
    <w:p w14:paraId="6C92F506" w14:textId="77777777" w:rsidR="008F5418" w:rsidRPr="00F0408B" w:rsidRDefault="008F5418" w:rsidP="0045744D">
      <w:pPr>
        <w:pStyle w:val="Notedebasdepage"/>
        <w:rPr>
          <w:rFonts w:ascii="Arial" w:hAnsi="Arial" w:cs="Arial"/>
          <w:sz w:val="14"/>
          <w:szCs w:val="14"/>
        </w:rPr>
      </w:pPr>
      <w:r w:rsidRPr="00F0408B">
        <w:rPr>
          <w:rStyle w:val="Appelnotedebasdep"/>
          <w:rFonts w:ascii="Arial" w:hAnsi="Arial" w:cs="Arial"/>
          <w:sz w:val="14"/>
          <w:szCs w:val="14"/>
        </w:rPr>
        <w:footnoteRef/>
      </w:r>
      <w:r w:rsidRPr="00F0408B">
        <w:rPr>
          <w:rFonts w:ascii="Arial" w:hAnsi="Arial" w:cs="Arial"/>
          <w:sz w:val="14"/>
          <w:szCs w:val="14"/>
        </w:rPr>
        <w:t xml:space="preserve"> Décision du Défenseur des droits n°2021-101 du 21 octobre 2021 </w:t>
      </w:r>
    </w:p>
  </w:footnote>
  <w:footnote w:id="68">
    <w:p w14:paraId="5CCED65F" w14:textId="77777777" w:rsidR="008F5418" w:rsidRPr="00F0408B" w:rsidRDefault="008F5418" w:rsidP="0045744D">
      <w:pPr>
        <w:pStyle w:val="Notedebasdepage"/>
        <w:rPr>
          <w:rFonts w:ascii="Arial" w:hAnsi="Arial" w:cs="Arial"/>
          <w:sz w:val="14"/>
          <w:szCs w:val="14"/>
        </w:rPr>
      </w:pPr>
      <w:r w:rsidRPr="00F0408B">
        <w:rPr>
          <w:rStyle w:val="Appelnotedebasdep"/>
          <w:rFonts w:ascii="Arial" w:hAnsi="Arial" w:cs="Arial"/>
          <w:sz w:val="14"/>
          <w:szCs w:val="14"/>
        </w:rPr>
        <w:footnoteRef/>
      </w:r>
      <w:r w:rsidRPr="00F0408B">
        <w:rPr>
          <w:rFonts w:ascii="Arial" w:hAnsi="Arial" w:cs="Arial"/>
          <w:sz w:val="14"/>
          <w:szCs w:val="14"/>
        </w:rPr>
        <w:t xml:space="preserve"> Conseil d’Etat, 8 avril 2009, n°311434</w:t>
      </w:r>
      <w:r>
        <w:rPr>
          <w:rFonts w:ascii="Arial" w:hAnsi="Arial" w:cs="Arial"/>
          <w:sz w:val="14"/>
          <w:szCs w:val="14"/>
        </w:rPr>
        <w:t xml:space="preserve"> ; </w:t>
      </w:r>
      <w:r w:rsidRPr="00D0010C">
        <w:rPr>
          <w:rFonts w:ascii="Arial" w:hAnsi="Arial" w:cs="Arial"/>
          <w:sz w:val="14"/>
          <w:szCs w:val="14"/>
        </w:rPr>
        <w:t>Conseil d’Etat, 29 décembre 2014, n°371707</w:t>
      </w:r>
    </w:p>
  </w:footnote>
  <w:footnote w:id="69">
    <w:p w14:paraId="0602E9A2" w14:textId="77777777" w:rsidR="008F5418" w:rsidRPr="00F0408B" w:rsidRDefault="008F5418" w:rsidP="0045744D">
      <w:pPr>
        <w:pStyle w:val="Notedebasdepage"/>
        <w:rPr>
          <w:rFonts w:ascii="Arial" w:hAnsi="Arial" w:cs="Arial"/>
          <w:sz w:val="14"/>
          <w:szCs w:val="14"/>
        </w:rPr>
      </w:pPr>
      <w:r w:rsidRPr="00F0408B">
        <w:rPr>
          <w:rStyle w:val="Appelnotedebasdep"/>
          <w:rFonts w:ascii="Arial" w:hAnsi="Arial" w:cs="Arial"/>
          <w:sz w:val="14"/>
          <w:szCs w:val="14"/>
        </w:rPr>
        <w:footnoteRef/>
      </w:r>
      <w:r w:rsidRPr="00F0408B">
        <w:rPr>
          <w:rFonts w:ascii="Arial" w:hAnsi="Arial" w:cs="Arial"/>
          <w:sz w:val="14"/>
          <w:szCs w:val="14"/>
        </w:rPr>
        <w:t xml:space="preserve">Décision du Défenseur des droits </w:t>
      </w:r>
      <w:r>
        <w:rPr>
          <w:rFonts w:ascii="Arial" w:hAnsi="Arial" w:cs="Arial"/>
          <w:sz w:val="14"/>
          <w:szCs w:val="14"/>
        </w:rPr>
        <w:t>n°2021-101 du 21 octobre 2021 </w:t>
      </w:r>
    </w:p>
  </w:footnote>
  <w:footnote w:id="70">
    <w:p w14:paraId="38C9ADA4" w14:textId="77777777" w:rsidR="008F5418" w:rsidRPr="00FD2A3D" w:rsidRDefault="008F5418" w:rsidP="0045744D">
      <w:pPr>
        <w:pStyle w:val="Notedebasdepage"/>
        <w:rPr>
          <w:rFonts w:ascii="Arial" w:hAnsi="Arial" w:cs="Arial"/>
          <w:sz w:val="14"/>
          <w:szCs w:val="14"/>
        </w:rPr>
      </w:pPr>
      <w:r w:rsidRPr="00FD2A3D">
        <w:rPr>
          <w:rStyle w:val="Appelnotedebasdep"/>
          <w:rFonts w:ascii="Arial" w:hAnsi="Arial" w:cs="Arial"/>
          <w:sz w:val="14"/>
          <w:szCs w:val="14"/>
        </w:rPr>
        <w:footnoteRef/>
      </w:r>
      <w:r w:rsidRPr="00FD2A3D">
        <w:rPr>
          <w:rFonts w:ascii="Arial" w:hAnsi="Arial" w:cs="Arial"/>
          <w:sz w:val="14"/>
          <w:szCs w:val="14"/>
        </w:rPr>
        <w:t xml:space="preserve"> Ibid.</w:t>
      </w:r>
    </w:p>
  </w:footnote>
  <w:footnote w:id="71">
    <w:p w14:paraId="2C17327D" w14:textId="77777777" w:rsidR="008F5418" w:rsidRDefault="008F5418" w:rsidP="0045744D">
      <w:pPr>
        <w:pStyle w:val="Notedebasdepage"/>
      </w:pPr>
      <w:r>
        <w:rPr>
          <w:rStyle w:val="Appelnotedebasdep"/>
        </w:rPr>
        <w:footnoteRef/>
      </w:r>
      <w:r>
        <w:t xml:space="preserve"> </w:t>
      </w:r>
      <w:r w:rsidRPr="00FD2A3D">
        <w:rPr>
          <w:rFonts w:ascii="Arial" w:hAnsi="Arial" w:cs="Arial"/>
          <w:sz w:val="14"/>
          <w:szCs w:val="14"/>
        </w:rPr>
        <w:t>Les cahiers juridiques GISTI, Les spécificités du droit des étrangers en outre-mer, décembre 2007.</w:t>
      </w:r>
    </w:p>
  </w:footnote>
  <w:footnote w:id="72">
    <w:p w14:paraId="10F8AAF2" w14:textId="77777777" w:rsidR="008F5418" w:rsidRPr="00F0408B" w:rsidRDefault="008F5418" w:rsidP="0045744D">
      <w:pPr>
        <w:pStyle w:val="Notedebasdepage"/>
        <w:rPr>
          <w:rFonts w:ascii="Arial" w:hAnsi="Arial" w:cs="Arial"/>
          <w:sz w:val="14"/>
          <w:szCs w:val="14"/>
        </w:rPr>
      </w:pPr>
      <w:r w:rsidRPr="00F0408B">
        <w:rPr>
          <w:rStyle w:val="Appelnotedebasdep"/>
          <w:rFonts w:ascii="Arial" w:hAnsi="Arial" w:cs="Arial"/>
          <w:sz w:val="14"/>
          <w:szCs w:val="14"/>
        </w:rPr>
        <w:footnoteRef/>
      </w:r>
      <w:r w:rsidRPr="00F0408B">
        <w:rPr>
          <w:rFonts w:ascii="Arial" w:hAnsi="Arial" w:cs="Arial"/>
          <w:sz w:val="14"/>
          <w:szCs w:val="14"/>
        </w:rPr>
        <w:t xml:space="preserve"> En Guadeloupe, en Guyane, en Martinique, à Mayotte, à Saint-Barthélemy et Saint-Martin</w:t>
      </w:r>
    </w:p>
  </w:footnote>
  <w:footnote w:id="73">
    <w:p w14:paraId="2EC2CEF8" w14:textId="77777777" w:rsidR="008F5418" w:rsidRPr="00F0408B" w:rsidRDefault="008F5418" w:rsidP="0045744D">
      <w:pPr>
        <w:pStyle w:val="Notedebasdepage"/>
        <w:rPr>
          <w:rFonts w:ascii="Arial" w:hAnsi="Arial" w:cs="Arial"/>
          <w:sz w:val="14"/>
          <w:szCs w:val="14"/>
        </w:rPr>
      </w:pPr>
      <w:r w:rsidRPr="00F0408B">
        <w:rPr>
          <w:rStyle w:val="Appelnotedebasdep"/>
          <w:rFonts w:ascii="Arial" w:hAnsi="Arial" w:cs="Arial"/>
          <w:sz w:val="14"/>
          <w:szCs w:val="14"/>
        </w:rPr>
        <w:footnoteRef/>
      </w:r>
      <w:r w:rsidRPr="00F0408B">
        <w:rPr>
          <w:rFonts w:ascii="Arial" w:hAnsi="Arial" w:cs="Arial"/>
          <w:sz w:val="14"/>
          <w:szCs w:val="14"/>
        </w:rPr>
        <w:t xml:space="preserve"> Article 78-2 du Code de procédure pénale</w:t>
      </w:r>
    </w:p>
  </w:footnote>
  <w:footnote w:id="74">
    <w:p w14:paraId="028ADDC2" w14:textId="77777777" w:rsidR="008F5418" w:rsidRPr="00F0408B" w:rsidRDefault="008F5418" w:rsidP="0045744D">
      <w:pPr>
        <w:pStyle w:val="Notedebasdepage"/>
        <w:rPr>
          <w:rFonts w:ascii="Arial" w:hAnsi="Arial" w:cs="Arial"/>
          <w:sz w:val="14"/>
          <w:szCs w:val="14"/>
        </w:rPr>
      </w:pPr>
      <w:r w:rsidRPr="00F0408B">
        <w:rPr>
          <w:rStyle w:val="Appelnotedebasdep"/>
          <w:rFonts w:ascii="Arial" w:hAnsi="Arial" w:cs="Arial"/>
          <w:sz w:val="14"/>
          <w:szCs w:val="14"/>
        </w:rPr>
        <w:footnoteRef/>
      </w:r>
      <w:r w:rsidRPr="00F0408B">
        <w:rPr>
          <w:rFonts w:ascii="Arial" w:hAnsi="Arial" w:cs="Arial"/>
          <w:sz w:val="14"/>
          <w:szCs w:val="14"/>
        </w:rPr>
        <w:t xml:space="preserve"> ANAFE, Au-delà des frontières de la légalité – Rapport de mission à Mayotte/ La Réunion, mars 2017</w:t>
      </w:r>
    </w:p>
  </w:footnote>
  <w:footnote w:id="75">
    <w:p w14:paraId="246A10E7" w14:textId="77777777" w:rsidR="008F5418" w:rsidRPr="00F0408B" w:rsidRDefault="008F5418" w:rsidP="0045744D">
      <w:pPr>
        <w:pStyle w:val="Notedebasdepage"/>
        <w:rPr>
          <w:rFonts w:ascii="Arial" w:hAnsi="Arial" w:cs="Arial"/>
          <w:sz w:val="14"/>
          <w:szCs w:val="14"/>
        </w:rPr>
      </w:pPr>
      <w:r w:rsidRPr="00F0408B">
        <w:rPr>
          <w:rStyle w:val="Appelnotedebasdep"/>
          <w:rFonts w:ascii="Arial" w:hAnsi="Arial" w:cs="Arial"/>
          <w:sz w:val="14"/>
          <w:szCs w:val="14"/>
        </w:rPr>
        <w:footnoteRef/>
      </w:r>
      <w:r w:rsidRPr="00F0408B">
        <w:rPr>
          <w:rFonts w:ascii="Arial" w:hAnsi="Arial" w:cs="Arial"/>
          <w:sz w:val="14"/>
          <w:szCs w:val="14"/>
        </w:rPr>
        <w:t xml:space="preserve"> Article 78-2 alinéa 14 du Code de procédure pénale</w:t>
      </w:r>
      <w:r>
        <w:rPr>
          <w:rFonts w:ascii="Arial" w:hAnsi="Arial" w:cs="Arial"/>
          <w:sz w:val="14"/>
          <w:szCs w:val="14"/>
        </w:rPr>
        <w:t xml:space="preserve"> : </w:t>
      </w:r>
      <w:r w:rsidRPr="00816318">
        <w:rPr>
          <w:rFonts w:ascii="Arial" w:hAnsi="Arial" w:cs="Arial"/>
          <w:sz w:val="14"/>
          <w:szCs w:val="14"/>
        </w:rPr>
        <w:t xml:space="preserve">« </w:t>
      </w:r>
      <w:r w:rsidRPr="00816318">
        <w:rPr>
          <w:rFonts w:ascii="Arial" w:hAnsi="Arial" w:cs="Arial"/>
          <w:i/>
          <w:sz w:val="14"/>
          <w:szCs w:val="14"/>
        </w:rPr>
        <w:t xml:space="preserve">l'identité de toute personne peut également être contrôlée, selon les modalités prévues au premier alinéa du présent article, en vue de vérifier le respect des obligations de détention, de port et de présentation des documents prévus par la loi (...) 2° </w:t>
      </w:r>
      <w:r w:rsidRPr="00A02178">
        <w:rPr>
          <w:rFonts w:ascii="Arial" w:hAnsi="Arial" w:cs="Arial"/>
          <w:i/>
          <w:sz w:val="14"/>
          <w:szCs w:val="14"/>
          <w:u w:val="single"/>
        </w:rPr>
        <w:t>A Mayotte sur l'ensemble du territoire</w:t>
      </w:r>
      <w:r w:rsidRPr="00816318">
        <w:rPr>
          <w:rFonts w:ascii="Arial" w:hAnsi="Arial" w:cs="Arial"/>
          <w:sz w:val="14"/>
          <w:szCs w:val="14"/>
        </w:rPr>
        <w:t xml:space="preserve"> »</w:t>
      </w:r>
    </w:p>
  </w:footnote>
  <w:footnote w:id="76">
    <w:p w14:paraId="141734F5" w14:textId="77777777" w:rsidR="008F5418" w:rsidRPr="00F0408B" w:rsidRDefault="008F5418" w:rsidP="0045744D">
      <w:pPr>
        <w:pStyle w:val="Notedebasdepage"/>
        <w:rPr>
          <w:rFonts w:ascii="Arial" w:hAnsi="Arial" w:cs="Arial"/>
          <w:sz w:val="14"/>
          <w:szCs w:val="14"/>
        </w:rPr>
      </w:pPr>
      <w:r w:rsidRPr="00F0408B">
        <w:rPr>
          <w:rStyle w:val="Appelnotedebasdep"/>
          <w:rFonts w:ascii="Arial" w:hAnsi="Arial" w:cs="Arial"/>
          <w:sz w:val="14"/>
          <w:szCs w:val="14"/>
        </w:rPr>
        <w:footnoteRef/>
      </w:r>
      <w:r w:rsidRPr="00F0408B">
        <w:rPr>
          <w:rFonts w:ascii="Arial" w:hAnsi="Arial" w:cs="Arial"/>
          <w:sz w:val="14"/>
          <w:szCs w:val="14"/>
        </w:rPr>
        <w:t xml:space="preserve"> </w:t>
      </w:r>
      <w:hyperlink r:id="rId27" w:history="1">
        <w:r w:rsidRPr="00F0408B">
          <w:rPr>
            <w:rStyle w:val="Lienhypertexte"/>
            <w:rFonts w:cs="Arial"/>
            <w:sz w:val="14"/>
            <w:szCs w:val="14"/>
          </w:rPr>
          <w:t>https://la1ere.francetvinfo.fr/immigration-clandestine-a-mayotte-plus-de-23-000-reconduites-a-la-frontiere-en-2021-1223268.html</w:t>
        </w:r>
      </w:hyperlink>
      <w:r w:rsidRPr="00F0408B">
        <w:rPr>
          <w:rFonts w:ascii="Arial" w:hAnsi="Arial" w:cs="Arial"/>
          <w:sz w:val="14"/>
          <w:szCs w:val="14"/>
        </w:rPr>
        <w:t xml:space="preserve"> </w:t>
      </w:r>
    </w:p>
  </w:footnote>
  <w:footnote w:id="77">
    <w:p w14:paraId="5957469C" w14:textId="77777777" w:rsidR="008F5418" w:rsidRPr="00F0408B" w:rsidRDefault="008F5418" w:rsidP="0045744D">
      <w:pPr>
        <w:pStyle w:val="Notedebasdepage"/>
        <w:rPr>
          <w:rFonts w:ascii="Arial" w:hAnsi="Arial" w:cs="Arial"/>
          <w:sz w:val="14"/>
          <w:szCs w:val="14"/>
        </w:rPr>
      </w:pPr>
      <w:r w:rsidRPr="00F0408B">
        <w:rPr>
          <w:rStyle w:val="Appelnotedebasdep"/>
          <w:rFonts w:ascii="Arial" w:hAnsi="Arial" w:cs="Arial"/>
          <w:sz w:val="14"/>
          <w:szCs w:val="14"/>
        </w:rPr>
        <w:footnoteRef/>
      </w:r>
      <w:r w:rsidRPr="00F0408B">
        <w:rPr>
          <w:rFonts w:ascii="Arial" w:hAnsi="Arial" w:cs="Arial"/>
          <w:sz w:val="14"/>
          <w:szCs w:val="14"/>
        </w:rPr>
        <w:t xml:space="preserve"> </w:t>
      </w:r>
      <w:hyperlink r:id="rId28" w:history="1">
        <w:r w:rsidRPr="00F0408B">
          <w:rPr>
            <w:rStyle w:val="Lienhypertexte"/>
            <w:rFonts w:cs="Arial"/>
            <w:sz w:val="14"/>
            <w:szCs w:val="14"/>
          </w:rPr>
          <w:t>https://la1ere.francetvinfo.fr/immigration-clandestine-a-mayotte-plus-de-23-000-reconduites-a-la-frontiere-en-2021-1223268.html</w:t>
        </w:r>
      </w:hyperlink>
      <w:r w:rsidRPr="00F0408B">
        <w:rPr>
          <w:rFonts w:ascii="Arial" w:hAnsi="Arial" w:cs="Arial"/>
          <w:sz w:val="14"/>
          <w:szCs w:val="14"/>
        </w:rPr>
        <w:t xml:space="preserve"> </w:t>
      </w:r>
    </w:p>
  </w:footnote>
  <w:footnote w:id="78">
    <w:p w14:paraId="043CC3F0" w14:textId="77777777" w:rsidR="008F5418" w:rsidRDefault="008F5418" w:rsidP="0045744D">
      <w:pPr>
        <w:pStyle w:val="Notedebasdepage"/>
      </w:pPr>
      <w:r w:rsidRPr="00F0408B">
        <w:rPr>
          <w:rStyle w:val="Appelnotedebasdep"/>
          <w:rFonts w:ascii="Arial" w:hAnsi="Arial" w:cs="Arial"/>
          <w:sz w:val="14"/>
          <w:szCs w:val="14"/>
        </w:rPr>
        <w:footnoteRef/>
      </w:r>
      <w:r w:rsidRPr="00F0408B">
        <w:rPr>
          <w:rFonts w:ascii="Arial" w:hAnsi="Arial" w:cs="Arial"/>
          <w:sz w:val="14"/>
          <w:szCs w:val="14"/>
        </w:rPr>
        <w:t xml:space="preserve"> Recommandation n°1, Avis droits des étrangers et droit d’asile dans les Outre-mer, cas particuliers de la Guyane </w:t>
      </w:r>
      <w:r>
        <w:rPr>
          <w:rFonts w:ascii="Arial" w:hAnsi="Arial" w:cs="Arial"/>
          <w:sz w:val="14"/>
          <w:szCs w:val="14"/>
        </w:rPr>
        <w:t xml:space="preserve">et Mayotte, 26 sept.2017 </w:t>
      </w:r>
    </w:p>
  </w:footnote>
  <w:footnote w:id="79">
    <w:p w14:paraId="2A358BEE" w14:textId="77777777" w:rsidR="008F5418" w:rsidRPr="00F0408B" w:rsidRDefault="008F5418" w:rsidP="0045744D">
      <w:pPr>
        <w:pStyle w:val="Notedebasdepage"/>
        <w:rPr>
          <w:rFonts w:ascii="Arial" w:hAnsi="Arial" w:cs="Arial"/>
          <w:sz w:val="14"/>
          <w:szCs w:val="14"/>
        </w:rPr>
      </w:pPr>
      <w:r w:rsidRPr="00F0408B">
        <w:rPr>
          <w:rStyle w:val="Appelnotedebasdep"/>
          <w:rFonts w:ascii="Arial" w:hAnsi="Arial" w:cs="Arial"/>
          <w:sz w:val="14"/>
          <w:szCs w:val="14"/>
        </w:rPr>
        <w:footnoteRef/>
      </w:r>
      <w:r w:rsidRPr="00F0408B">
        <w:rPr>
          <w:rFonts w:ascii="Arial" w:hAnsi="Arial" w:cs="Arial"/>
          <w:sz w:val="14"/>
          <w:szCs w:val="14"/>
        </w:rPr>
        <w:t xml:space="preserve"> </w:t>
      </w:r>
      <w:hyperlink r:id="rId29" w:anchor="dispositif" w:history="1">
        <w:r w:rsidRPr="00F0408B">
          <w:rPr>
            <w:rStyle w:val="Lienhypertexte"/>
            <w:rFonts w:cs="Arial"/>
            <w:sz w:val="14"/>
            <w:szCs w:val="14"/>
          </w:rPr>
          <w:t>https://www.dalloz.fr/documentation/Document?id=CASS_LIEUVIDE_2022-09-21_2240012#dispositif</w:t>
        </w:r>
      </w:hyperlink>
      <w:r w:rsidRPr="00F0408B">
        <w:rPr>
          <w:rFonts w:ascii="Arial" w:hAnsi="Arial" w:cs="Arial"/>
          <w:sz w:val="14"/>
          <w:szCs w:val="14"/>
        </w:rPr>
        <w:t xml:space="preserve"> </w:t>
      </w:r>
    </w:p>
  </w:footnote>
  <w:footnote w:id="80">
    <w:p w14:paraId="6345F6B6" w14:textId="77777777" w:rsidR="008F5418" w:rsidRPr="00F0408B" w:rsidRDefault="008F5418" w:rsidP="0045744D">
      <w:pPr>
        <w:pStyle w:val="Notedebasdepage"/>
        <w:rPr>
          <w:rFonts w:ascii="Arial" w:hAnsi="Arial" w:cs="Arial"/>
          <w:sz w:val="14"/>
          <w:szCs w:val="14"/>
        </w:rPr>
      </w:pPr>
      <w:r w:rsidRPr="00F0408B">
        <w:rPr>
          <w:rStyle w:val="Appelnotedebasdep"/>
          <w:rFonts w:ascii="Arial" w:hAnsi="Arial" w:cs="Arial"/>
          <w:sz w:val="14"/>
          <w:szCs w:val="14"/>
        </w:rPr>
        <w:footnoteRef/>
      </w:r>
      <w:r w:rsidRPr="00F0408B">
        <w:rPr>
          <w:rFonts w:ascii="Arial" w:hAnsi="Arial" w:cs="Arial"/>
          <w:sz w:val="14"/>
          <w:szCs w:val="14"/>
        </w:rPr>
        <w:t xml:space="preserve"> Civ. 1ère, 21 sept. 2022, n° 22-40.012, § 4</w:t>
      </w:r>
    </w:p>
  </w:footnote>
  <w:footnote w:id="81">
    <w:p w14:paraId="0E168860" w14:textId="77777777" w:rsidR="008F5418" w:rsidRPr="00F0408B" w:rsidRDefault="008F5418" w:rsidP="0045744D">
      <w:pPr>
        <w:pStyle w:val="Notedebasdepage"/>
        <w:rPr>
          <w:rFonts w:ascii="Arial" w:hAnsi="Arial" w:cs="Arial"/>
          <w:sz w:val="14"/>
          <w:szCs w:val="14"/>
        </w:rPr>
      </w:pPr>
      <w:r w:rsidRPr="00F0408B">
        <w:rPr>
          <w:rStyle w:val="Appelnotedebasdep"/>
          <w:rFonts w:ascii="Arial" w:hAnsi="Arial" w:cs="Arial"/>
          <w:sz w:val="14"/>
          <w:szCs w:val="14"/>
        </w:rPr>
        <w:footnoteRef/>
      </w:r>
      <w:r w:rsidRPr="00F0408B">
        <w:rPr>
          <w:rFonts w:ascii="Arial" w:hAnsi="Arial" w:cs="Arial"/>
          <w:sz w:val="14"/>
          <w:szCs w:val="14"/>
        </w:rPr>
        <w:t xml:space="preserve"> La Guyane, Saint-Martin, la Guadeloupe, Saint-Barthélemy Mayotte, la Polynésie française, les îles Wallis-et-Futuna </w:t>
      </w:r>
      <w:r>
        <w:rPr>
          <w:rFonts w:ascii="Arial" w:hAnsi="Arial" w:cs="Arial"/>
          <w:sz w:val="14"/>
          <w:szCs w:val="14"/>
        </w:rPr>
        <w:t xml:space="preserve">et </w:t>
      </w:r>
      <w:r w:rsidRPr="00F0408B">
        <w:rPr>
          <w:rFonts w:ascii="Arial" w:hAnsi="Arial" w:cs="Arial"/>
          <w:sz w:val="14"/>
          <w:szCs w:val="14"/>
        </w:rPr>
        <w:t>la Nouvelle-Calédonie</w:t>
      </w:r>
    </w:p>
  </w:footnote>
  <w:footnote w:id="82">
    <w:p w14:paraId="117A7FB4" w14:textId="77777777" w:rsidR="008F5418" w:rsidRPr="0051108B" w:rsidRDefault="008F5418" w:rsidP="0046624C">
      <w:pPr>
        <w:pStyle w:val="Notedebasdepage"/>
        <w:jc w:val="both"/>
        <w:rPr>
          <w:rFonts w:ascii="Arial" w:hAnsi="Arial" w:cs="Arial"/>
          <w:sz w:val="14"/>
          <w:szCs w:val="14"/>
        </w:rPr>
      </w:pPr>
      <w:r w:rsidRPr="0057076C">
        <w:rPr>
          <w:rStyle w:val="Appelnotedebasdep"/>
          <w:rFonts w:ascii="Arial" w:hAnsi="Arial" w:cs="Arial"/>
          <w:sz w:val="14"/>
          <w:szCs w:val="14"/>
        </w:rPr>
        <w:footnoteRef/>
      </w:r>
      <w:r>
        <w:t xml:space="preserve"> </w:t>
      </w:r>
      <w:r w:rsidRPr="0051108B">
        <w:rPr>
          <w:rFonts w:ascii="Arial" w:hAnsi="Arial" w:cs="Arial"/>
          <w:sz w:val="14"/>
          <w:szCs w:val="14"/>
        </w:rPr>
        <w:t>CEDH, grande chambre, 13 décembre 2012, de Souza Ribeiro c./ France, req. N° 22689/07</w:t>
      </w:r>
    </w:p>
  </w:footnote>
  <w:footnote w:id="83">
    <w:p w14:paraId="2381D20B" w14:textId="77777777" w:rsidR="008F5418" w:rsidRPr="00F0408B" w:rsidRDefault="008F5418" w:rsidP="0046624C">
      <w:pPr>
        <w:pStyle w:val="Notedebasdepage"/>
        <w:jc w:val="both"/>
        <w:rPr>
          <w:rFonts w:ascii="Arial" w:hAnsi="Arial" w:cs="Arial"/>
          <w:sz w:val="14"/>
          <w:szCs w:val="14"/>
        </w:rPr>
      </w:pPr>
      <w:r w:rsidRPr="00F0408B">
        <w:rPr>
          <w:rStyle w:val="Appelnotedebasdep"/>
          <w:rFonts w:ascii="Arial" w:hAnsi="Arial" w:cs="Arial"/>
          <w:sz w:val="14"/>
          <w:szCs w:val="14"/>
        </w:rPr>
        <w:footnoteRef/>
      </w:r>
      <w:r w:rsidRPr="00F0408B">
        <w:rPr>
          <w:rFonts w:ascii="Arial" w:hAnsi="Arial" w:cs="Arial"/>
          <w:sz w:val="14"/>
          <w:szCs w:val="14"/>
        </w:rPr>
        <w:t xml:space="preserve"> Suite à la publication de l’ordonnance n°2014-464 du 7 mai 2014 portant extension et adaptation à Mayotte du Code de l’entrée et du séjour des étrangers et du droit d’asile (Ceseda), plusieurs associations dont la Ligue des droits de l’Homme ont introduit un recours devant le Conseil d’Etat contre le décret portant modification</w:t>
      </w:r>
      <w:r w:rsidRPr="00A560C5">
        <w:t xml:space="preserve"> </w:t>
      </w:r>
      <w:r w:rsidRPr="00F0408B">
        <w:rPr>
          <w:rFonts w:ascii="Arial" w:hAnsi="Arial" w:cs="Arial"/>
          <w:sz w:val="14"/>
          <w:szCs w:val="14"/>
        </w:rPr>
        <w:t>du Ceseda et ont saisi le Défenseur des droits en ce que ce texte n’instaure toujours pas de recours suspensif contre les mesures d’éloignement prises à l’encontre des étrangers dépourvus de droit au séjour à Mayotte.</w:t>
      </w:r>
    </w:p>
  </w:footnote>
  <w:footnote w:id="84">
    <w:p w14:paraId="4663A592" w14:textId="77777777" w:rsidR="008F5418" w:rsidRPr="00F0408B" w:rsidRDefault="008F5418" w:rsidP="0046624C">
      <w:pPr>
        <w:pStyle w:val="Notedebasdepage"/>
        <w:jc w:val="both"/>
        <w:rPr>
          <w:rFonts w:ascii="Arial" w:hAnsi="Arial" w:cs="Arial"/>
          <w:sz w:val="14"/>
          <w:szCs w:val="14"/>
        </w:rPr>
      </w:pPr>
      <w:r w:rsidRPr="00F0408B">
        <w:rPr>
          <w:rStyle w:val="Appelnotedebasdep"/>
          <w:rFonts w:ascii="Arial" w:hAnsi="Arial" w:cs="Arial"/>
          <w:sz w:val="14"/>
          <w:szCs w:val="14"/>
        </w:rPr>
        <w:footnoteRef/>
      </w:r>
      <w:r w:rsidRPr="00F0408B">
        <w:rPr>
          <w:rFonts w:ascii="Arial" w:hAnsi="Arial" w:cs="Arial"/>
          <w:sz w:val="14"/>
          <w:szCs w:val="14"/>
        </w:rPr>
        <w:t xml:space="preserve"> Décision MSP-2014-108 du 17 juillet 2014 relative à l’absence de recours suspensif contre les mesures d’éloignement prises à l’encontre des étrangers dépourvus de titre de séjour à Mayotte </w:t>
      </w:r>
    </w:p>
  </w:footnote>
  <w:footnote w:id="85">
    <w:p w14:paraId="77D3A701" w14:textId="77777777" w:rsidR="008F5418" w:rsidRPr="00F0408B" w:rsidRDefault="008F5418" w:rsidP="0046624C">
      <w:pPr>
        <w:pStyle w:val="Notedebasdepage"/>
        <w:jc w:val="both"/>
        <w:rPr>
          <w:rFonts w:ascii="Arial" w:hAnsi="Arial" w:cs="Arial"/>
          <w:sz w:val="14"/>
          <w:szCs w:val="14"/>
        </w:rPr>
      </w:pPr>
      <w:r w:rsidRPr="00F0408B">
        <w:rPr>
          <w:rStyle w:val="Appelnotedebasdep"/>
          <w:rFonts w:ascii="Arial" w:hAnsi="Arial" w:cs="Arial"/>
          <w:sz w:val="14"/>
          <w:szCs w:val="14"/>
        </w:rPr>
        <w:footnoteRef/>
      </w:r>
      <w:r w:rsidRPr="00F0408B">
        <w:rPr>
          <w:rFonts w:ascii="Arial" w:hAnsi="Arial" w:cs="Arial"/>
          <w:sz w:val="14"/>
          <w:szCs w:val="14"/>
        </w:rPr>
        <w:t xml:space="preserve"> Article L.651-1 et suivants du Code de l’entrée et du séjour des étrangers et du droit d’asile</w:t>
      </w:r>
    </w:p>
  </w:footnote>
  <w:footnote w:id="86">
    <w:p w14:paraId="0DBAD0D2" w14:textId="77777777" w:rsidR="008F5418" w:rsidRPr="00F0408B" w:rsidRDefault="008F5418" w:rsidP="0046624C">
      <w:pPr>
        <w:pStyle w:val="Notedebasdepage"/>
        <w:jc w:val="both"/>
        <w:rPr>
          <w:rFonts w:ascii="Arial" w:hAnsi="Arial" w:cs="Arial"/>
          <w:sz w:val="14"/>
          <w:szCs w:val="14"/>
        </w:rPr>
      </w:pPr>
      <w:r w:rsidRPr="00F0408B">
        <w:rPr>
          <w:rStyle w:val="Appelnotedebasdep"/>
          <w:rFonts w:ascii="Arial" w:hAnsi="Arial" w:cs="Arial"/>
          <w:sz w:val="14"/>
          <w:szCs w:val="14"/>
        </w:rPr>
        <w:footnoteRef/>
      </w:r>
      <w:r w:rsidRPr="00F0408B">
        <w:rPr>
          <w:rFonts w:ascii="Arial" w:hAnsi="Arial" w:cs="Arial"/>
          <w:sz w:val="14"/>
          <w:szCs w:val="14"/>
        </w:rPr>
        <w:t xml:space="preserve"> CEDH,13 décembre 2012, De Souza Ribeiro c/France, n°68780/10 § 83</w:t>
      </w:r>
    </w:p>
  </w:footnote>
  <w:footnote w:id="87">
    <w:p w14:paraId="52E9BAB7" w14:textId="77777777" w:rsidR="008F5418" w:rsidRPr="0051108B" w:rsidRDefault="008F5418" w:rsidP="0046624C">
      <w:pPr>
        <w:pStyle w:val="Notedebasdepage"/>
        <w:jc w:val="both"/>
        <w:rPr>
          <w:rFonts w:ascii="Arial" w:hAnsi="Arial" w:cs="Arial"/>
          <w:sz w:val="14"/>
          <w:szCs w:val="14"/>
        </w:rPr>
      </w:pPr>
      <w:r w:rsidRPr="00650B93">
        <w:rPr>
          <w:rStyle w:val="Appelnotedebasdep"/>
          <w:rFonts w:ascii="Arial" w:hAnsi="Arial" w:cs="Arial"/>
          <w:sz w:val="14"/>
          <w:szCs w:val="14"/>
        </w:rPr>
        <w:footnoteRef/>
      </w:r>
      <w:r w:rsidRPr="00650B93">
        <w:rPr>
          <w:rFonts w:ascii="Arial" w:hAnsi="Arial" w:cs="Arial"/>
          <w:sz w:val="14"/>
          <w:szCs w:val="14"/>
        </w:rPr>
        <w:t xml:space="preserve"> Avis droits des étrangers et droit d’asile dans les Outre-mer, cas partic</w:t>
      </w:r>
      <w:r>
        <w:rPr>
          <w:rFonts w:ascii="Arial" w:hAnsi="Arial" w:cs="Arial"/>
          <w:sz w:val="14"/>
          <w:szCs w:val="14"/>
        </w:rPr>
        <w:t xml:space="preserve">uliers de la Guyane et Mayotte, </w:t>
      </w:r>
      <w:r w:rsidRPr="00650B93">
        <w:rPr>
          <w:rFonts w:ascii="Arial" w:hAnsi="Arial" w:cs="Arial"/>
          <w:sz w:val="14"/>
          <w:szCs w:val="14"/>
        </w:rPr>
        <w:t>26 septembre 2</w:t>
      </w:r>
      <w:r>
        <w:rPr>
          <w:rFonts w:ascii="Arial" w:hAnsi="Arial" w:cs="Arial"/>
          <w:sz w:val="14"/>
          <w:szCs w:val="14"/>
        </w:rPr>
        <w:t>017 </w:t>
      </w:r>
    </w:p>
  </w:footnote>
  <w:footnote w:id="88">
    <w:p w14:paraId="6BACE1AF" w14:textId="77777777" w:rsidR="008F5418" w:rsidRPr="00F0408B" w:rsidRDefault="008F5418" w:rsidP="0046624C">
      <w:pPr>
        <w:pStyle w:val="Notedebasdepage"/>
        <w:jc w:val="both"/>
        <w:rPr>
          <w:rFonts w:ascii="Arial" w:hAnsi="Arial" w:cs="Arial"/>
          <w:sz w:val="14"/>
          <w:szCs w:val="14"/>
        </w:rPr>
      </w:pPr>
      <w:r w:rsidRPr="00F0408B">
        <w:rPr>
          <w:rStyle w:val="Appelnotedebasdep"/>
          <w:rFonts w:ascii="Arial" w:hAnsi="Arial" w:cs="Arial"/>
          <w:sz w:val="14"/>
          <w:szCs w:val="14"/>
        </w:rPr>
        <w:footnoteRef/>
      </w:r>
      <w:r w:rsidRPr="00F0408B">
        <w:rPr>
          <w:rFonts w:ascii="Arial" w:hAnsi="Arial" w:cs="Arial"/>
          <w:sz w:val="14"/>
          <w:szCs w:val="14"/>
        </w:rPr>
        <w:t xml:space="preserve"> CEDH,13 décembre 2012, De Souza Ribeiro c/France, n°68780/10 §§ 93, 96</w:t>
      </w:r>
    </w:p>
  </w:footnote>
  <w:footnote w:id="89">
    <w:p w14:paraId="625AE34B" w14:textId="77777777" w:rsidR="008F5418" w:rsidRPr="00F0408B" w:rsidRDefault="008F5418" w:rsidP="0046624C">
      <w:pPr>
        <w:pStyle w:val="Notedebasdepage"/>
        <w:jc w:val="both"/>
        <w:rPr>
          <w:rFonts w:ascii="Arial" w:hAnsi="Arial" w:cs="Arial"/>
          <w:sz w:val="14"/>
          <w:szCs w:val="14"/>
        </w:rPr>
      </w:pPr>
      <w:r w:rsidRPr="00F0408B">
        <w:rPr>
          <w:rStyle w:val="Appelnotedebasdep"/>
          <w:rFonts w:ascii="Arial" w:hAnsi="Arial" w:cs="Arial"/>
          <w:sz w:val="14"/>
          <w:szCs w:val="14"/>
        </w:rPr>
        <w:footnoteRef/>
      </w:r>
      <w:r w:rsidRPr="00F0408B">
        <w:rPr>
          <w:rFonts w:ascii="Arial" w:hAnsi="Arial" w:cs="Arial"/>
          <w:sz w:val="14"/>
          <w:szCs w:val="14"/>
        </w:rPr>
        <w:t>Selon le rapport de la Cimade</w:t>
      </w:r>
      <w:r>
        <w:rPr>
          <w:rFonts w:ascii="Arial" w:hAnsi="Arial" w:cs="Arial"/>
          <w:sz w:val="14"/>
          <w:szCs w:val="14"/>
        </w:rPr>
        <w:t xml:space="preserve"> 2021</w:t>
      </w:r>
      <w:r w:rsidRPr="00F0408B">
        <w:rPr>
          <w:rFonts w:ascii="Arial" w:hAnsi="Arial" w:cs="Arial"/>
          <w:sz w:val="14"/>
          <w:szCs w:val="14"/>
        </w:rPr>
        <w:t>, les personnes sont expulsées en moins de 24h en moyenne, à peine 10% rencontrent Solidarité Mayotte, l’association en charge de l’accès aux droits au sein du centre de rétention administratif, et la plupart ne dispose pas des informations nécessaires po</w:t>
      </w:r>
      <w:r>
        <w:rPr>
          <w:rFonts w:ascii="Arial" w:hAnsi="Arial" w:cs="Arial"/>
          <w:sz w:val="14"/>
          <w:szCs w:val="14"/>
        </w:rPr>
        <w:t>ur l’exercice de leurs droits </w:t>
      </w:r>
    </w:p>
  </w:footnote>
  <w:footnote w:id="90">
    <w:p w14:paraId="53CEA3AA" w14:textId="77777777" w:rsidR="008F5418" w:rsidRPr="00F0408B" w:rsidRDefault="008F5418" w:rsidP="0046624C">
      <w:pPr>
        <w:pStyle w:val="Notedebasdepage"/>
        <w:jc w:val="both"/>
        <w:rPr>
          <w:rFonts w:ascii="Arial" w:hAnsi="Arial" w:cs="Arial"/>
          <w:sz w:val="14"/>
          <w:szCs w:val="14"/>
        </w:rPr>
      </w:pPr>
      <w:r w:rsidRPr="00F0408B">
        <w:rPr>
          <w:rStyle w:val="Appelnotedebasdep"/>
          <w:rFonts w:ascii="Arial" w:hAnsi="Arial" w:cs="Arial"/>
          <w:sz w:val="14"/>
          <w:szCs w:val="14"/>
        </w:rPr>
        <w:footnoteRef/>
      </w:r>
      <w:r w:rsidRPr="00F0408B">
        <w:rPr>
          <w:rFonts w:ascii="Arial" w:hAnsi="Arial" w:cs="Arial"/>
          <w:sz w:val="14"/>
          <w:szCs w:val="14"/>
        </w:rPr>
        <w:t xml:space="preserve"> Rapport du Commissaire aux droits de l’Homme du Conseil de l’Europe, du 17 février 2015, suite à sa visite en France du 22 au 26 sep</w:t>
      </w:r>
      <w:r>
        <w:rPr>
          <w:rFonts w:ascii="Arial" w:hAnsi="Arial" w:cs="Arial"/>
          <w:sz w:val="14"/>
          <w:szCs w:val="14"/>
        </w:rPr>
        <w:t>t.2014 </w:t>
      </w:r>
      <w:r w:rsidRPr="00F0408B">
        <w:rPr>
          <w:rFonts w:ascii="Arial" w:hAnsi="Arial" w:cs="Arial"/>
          <w:sz w:val="14"/>
          <w:szCs w:val="14"/>
        </w:rPr>
        <w:t xml:space="preserve"> </w:t>
      </w:r>
    </w:p>
  </w:footnote>
  <w:footnote w:id="91">
    <w:p w14:paraId="39698E6B" w14:textId="77777777" w:rsidR="008F5418" w:rsidRPr="00F0408B" w:rsidRDefault="008F5418" w:rsidP="0046624C">
      <w:pPr>
        <w:pStyle w:val="Notedebasdepage"/>
        <w:jc w:val="both"/>
        <w:rPr>
          <w:rFonts w:ascii="Arial" w:hAnsi="Arial" w:cs="Arial"/>
          <w:sz w:val="14"/>
          <w:szCs w:val="14"/>
        </w:rPr>
      </w:pPr>
      <w:r w:rsidRPr="00F0408B">
        <w:rPr>
          <w:rStyle w:val="Appelnotedebasdep"/>
          <w:rFonts w:ascii="Arial" w:hAnsi="Arial" w:cs="Arial"/>
          <w:sz w:val="14"/>
          <w:szCs w:val="14"/>
        </w:rPr>
        <w:footnoteRef/>
      </w:r>
      <w:r w:rsidRPr="00F0408B">
        <w:rPr>
          <w:rFonts w:ascii="Arial" w:hAnsi="Arial" w:cs="Arial"/>
          <w:sz w:val="14"/>
          <w:szCs w:val="14"/>
        </w:rPr>
        <w:t xml:space="preserve"> Rapport du Défenseur des droi</w:t>
      </w:r>
      <w:r>
        <w:rPr>
          <w:rFonts w:ascii="Arial" w:hAnsi="Arial" w:cs="Arial"/>
          <w:sz w:val="14"/>
          <w:szCs w:val="14"/>
        </w:rPr>
        <w:t>ts n°16-02 du 15 janvier 2016 </w:t>
      </w:r>
    </w:p>
  </w:footnote>
  <w:footnote w:id="92">
    <w:p w14:paraId="21897AA9" w14:textId="77777777" w:rsidR="008F5418" w:rsidRPr="00F0408B" w:rsidRDefault="008F5418" w:rsidP="0046624C">
      <w:pPr>
        <w:pStyle w:val="Notedebasdepage"/>
        <w:jc w:val="both"/>
        <w:rPr>
          <w:rFonts w:ascii="Arial" w:hAnsi="Arial" w:cs="Arial"/>
          <w:sz w:val="14"/>
          <w:szCs w:val="14"/>
        </w:rPr>
      </w:pPr>
      <w:r w:rsidRPr="00F0408B">
        <w:rPr>
          <w:rStyle w:val="Appelnotedebasdep"/>
          <w:rFonts w:ascii="Arial" w:hAnsi="Arial" w:cs="Arial"/>
          <w:sz w:val="14"/>
          <w:szCs w:val="14"/>
        </w:rPr>
        <w:footnoteRef/>
      </w:r>
      <w:r w:rsidRPr="00F0408B">
        <w:rPr>
          <w:rFonts w:ascii="Arial" w:hAnsi="Arial" w:cs="Arial"/>
          <w:sz w:val="14"/>
          <w:szCs w:val="14"/>
        </w:rPr>
        <w:t xml:space="preserve"> </w:t>
      </w:r>
      <w:r>
        <w:rPr>
          <w:rFonts w:ascii="Arial" w:hAnsi="Arial" w:cs="Arial"/>
          <w:sz w:val="14"/>
          <w:szCs w:val="14"/>
        </w:rPr>
        <w:t>Ibid</w:t>
      </w:r>
      <w:r w:rsidRPr="00F0408B">
        <w:rPr>
          <w:rFonts w:ascii="Arial" w:hAnsi="Arial" w:cs="Arial"/>
          <w:sz w:val="14"/>
          <w:szCs w:val="14"/>
        </w:rPr>
        <w:t xml:space="preserve"> </w:t>
      </w:r>
    </w:p>
  </w:footnote>
  <w:footnote w:id="93">
    <w:p w14:paraId="32336C6D" w14:textId="77777777" w:rsidR="008F5418" w:rsidRPr="00F0408B" w:rsidRDefault="008F5418" w:rsidP="0046624C">
      <w:pPr>
        <w:pStyle w:val="Notedebasdepage"/>
        <w:jc w:val="both"/>
        <w:rPr>
          <w:rFonts w:ascii="Arial" w:hAnsi="Arial" w:cs="Arial"/>
          <w:sz w:val="14"/>
          <w:szCs w:val="14"/>
        </w:rPr>
      </w:pPr>
      <w:r w:rsidRPr="00F0408B">
        <w:rPr>
          <w:rStyle w:val="Appelnotedebasdep"/>
          <w:rFonts w:ascii="Arial" w:hAnsi="Arial" w:cs="Arial"/>
          <w:sz w:val="14"/>
          <w:szCs w:val="14"/>
        </w:rPr>
        <w:footnoteRef/>
      </w:r>
      <w:r w:rsidRPr="00F0408B">
        <w:rPr>
          <w:rFonts w:ascii="Arial" w:hAnsi="Arial" w:cs="Arial"/>
          <w:sz w:val="14"/>
          <w:szCs w:val="14"/>
        </w:rPr>
        <w:t xml:space="preserve"> Recommandation n°5, Avis droits des étrangers et droit d’asile dans les Outre-mer, cas particuliers de la Guyane et Mayotte, 26 sep</w:t>
      </w:r>
      <w:r>
        <w:rPr>
          <w:rFonts w:ascii="Arial" w:hAnsi="Arial" w:cs="Arial"/>
          <w:sz w:val="14"/>
          <w:szCs w:val="14"/>
        </w:rPr>
        <w:t>t.</w:t>
      </w:r>
      <w:r w:rsidRPr="00F0408B">
        <w:rPr>
          <w:rFonts w:ascii="Arial" w:hAnsi="Arial" w:cs="Arial"/>
          <w:sz w:val="14"/>
          <w:szCs w:val="14"/>
        </w:rPr>
        <w:t>2017</w:t>
      </w:r>
    </w:p>
  </w:footnote>
  <w:footnote w:id="94">
    <w:p w14:paraId="79D372ED" w14:textId="77777777" w:rsidR="008F5418" w:rsidRPr="00FA0AF7" w:rsidRDefault="008F5418" w:rsidP="0046624C">
      <w:pPr>
        <w:pStyle w:val="Notedebasdepage"/>
        <w:jc w:val="both"/>
        <w:rPr>
          <w:rFonts w:ascii="Arial" w:hAnsi="Arial" w:cs="Arial"/>
          <w:sz w:val="14"/>
          <w:szCs w:val="14"/>
        </w:rPr>
      </w:pPr>
      <w:r w:rsidRPr="00FA0AF7">
        <w:rPr>
          <w:rStyle w:val="Appelnotedebasdep"/>
          <w:rFonts w:ascii="Arial" w:hAnsi="Arial" w:cs="Arial"/>
          <w:sz w:val="14"/>
          <w:szCs w:val="14"/>
        </w:rPr>
        <w:footnoteRef/>
      </w:r>
      <w:r w:rsidRPr="00FA0AF7">
        <w:rPr>
          <w:rFonts w:ascii="Arial" w:hAnsi="Arial" w:cs="Arial"/>
          <w:sz w:val="14"/>
          <w:szCs w:val="14"/>
        </w:rPr>
        <w:t xml:space="preserve"> Rapport du Défenseur des droits : Les mineurs non accompagnés au regard du droit · 2022</w:t>
      </w:r>
    </w:p>
  </w:footnote>
  <w:footnote w:id="95">
    <w:p w14:paraId="3FECEC6D" w14:textId="77777777" w:rsidR="008F5418" w:rsidRPr="00FA0AF7" w:rsidRDefault="008F5418" w:rsidP="0046624C">
      <w:pPr>
        <w:pStyle w:val="Notedebasdepage"/>
        <w:jc w:val="both"/>
        <w:rPr>
          <w:rFonts w:ascii="Arial" w:hAnsi="Arial" w:cs="Arial"/>
          <w:sz w:val="14"/>
          <w:szCs w:val="14"/>
        </w:rPr>
      </w:pPr>
      <w:r w:rsidRPr="00FA0AF7">
        <w:rPr>
          <w:rStyle w:val="Appelnotedebasdep"/>
          <w:rFonts w:ascii="Arial" w:hAnsi="Arial" w:cs="Arial"/>
          <w:sz w:val="14"/>
          <w:szCs w:val="14"/>
        </w:rPr>
        <w:footnoteRef/>
      </w:r>
      <w:r w:rsidRPr="00FA0AF7">
        <w:rPr>
          <w:rFonts w:ascii="Arial" w:hAnsi="Arial" w:cs="Arial"/>
          <w:sz w:val="14"/>
          <w:szCs w:val="14"/>
        </w:rPr>
        <w:t xml:space="preserve"> Voir CEDH, Rahimi c. Grèce, n°8687/08, 5 avril 2011 (</w:t>
      </w:r>
      <w:r>
        <w:rPr>
          <w:rFonts w:ascii="Arial" w:hAnsi="Arial" w:cs="Arial"/>
          <w:sz w:val="14"/>
          <w:szCs w:val="14"/>
        </w:rPr>
        <w:t xml:space="preserve">§ 87-91) </w:t>
      </w:r>
    </w:p>
  </w:footnote>
  <w:footnote w:id="96">
    <w:p w14:paraId="7F36F506" w14:textId="77777777" w:rsidR="008F5418" w:rsidRPr="00FA0AF7" w:rsidRDefault="008F5418" w:rsidP="0045744D">
      <w:pPr>
        <w:pStyle w:val="Notedebasdepage"/>
        <w:rPr>
          <w:rFonts w:ascii="Arial" w:hAnsi="Arial" w:cs="Arial"/>
          <w:sz w:val="14"/>
          <w:szCs w:val="14"/>
        </w:rPr>
      </w:pPr>
      <w:r w:rsidRPr="00FA0AF7">
        <w:rPr>
          <w:rStyle w:val="Appelnotedebasdep"/>
          <w:rFonts w:ascii="Arial" w:hAnsi="Arial" w:cs="Arial"/>
          <w:sz w:val="14"/>
          <w:szCs w:val="14"/>
        </w:rPr>
        <w:footnoteRef/>
      </w:r>
      <w:r w:rsidRPr="00FA0AF7">
        <w:rPr>
          <w:rFonts w:ascii="Arial" w:hAnsi="Arial" w:cs="Arial"/>
          <w:sz w:val="14"/>
          <w:szCs w:val="14"/>
        </w:rPr>
        <w:t xml:space="preserve"> Article R221-11 du Code de l’action sociale et des familles</w:t>
      </w:r>
    </w:p>
  </w:footnote>
  <w:footnote w:id="97">
    <w:p w14:paraId="7A62E8CD" w14:textId="77777777" w:rsidR="008F5418" w:rsidRPr="00FA0AF7" w:rsidRDefault="008F5418" w:rsidP="0045744D">
      <w:pPr>
        <w:pStyle w:val="Notedebasdepage"/>
        <w:rPr>
          <w:rFonts w:ascii="Arial" w:hAnsi="Arial" w:cs="Arial"/>
          <w:sz w:val="14"/>
          <w:szCs w:val="14"/>
        </w:rPr>
      </w:pPr>
      <w:r w:rsidRPr="00FA0AF7">
        <w:rPr>
          <w:rStyle w:val="Appelnotedebasdep"/>
          <w:rFonts w:ascii="Arial" w:hAnsi="Arial" w:cs="Arial"/>
          <w:sz w:val="14"/>
          <w:szCs w:val="14"/>
        </w:rPr>
        <w:footnoteRef/>
      </w:r>
      <w:r w:rsidRPr="00FA0AF7">
        <w:rPr>
          <w:rFonts w:ascii="Arial" w:hAnsi="Arial" w:cs="Arial"/>
          <w:sz w:val="14"/>
          <w:szCs w:val="14"/>
        </w:rPr>
        <w:t xml:space="preserve"> Rapport au Comité des droits de l’enfant des Nations Unies, juillet 2020 [A156] (para. 92)</w:t>
      </w:r>
    </w:p>
  </w:footnote>
  <w:footnote w:id="98">
    <w:p w14:paraId="3F8A09F7" w14:textId="77777777" w:rsidR="008F5418" w:rsidRDefault="008F5418" w:rsidP="0045744D">
      <w:pPr>
        <w:pStyle w:val="Notedebasdepage"/>
      </w:pPr>
      <w:r w:rsidRPr="0057076C">
        <w:rPr>
          <w:rStyle w:val="Appelnotedebasdep"/>
          <w:rFonts w:ascii="Arial" w:hAnsi="Arial" w:cs="Arial"/>
          <w:sz w:val="14"/>
          <w:szCs w:val="14"/>
        </w:rPr>
        <w:footnoteRef/>
      </w:r>
      <w:r w:rsidRPr="0057076C">
        <w:rPr>
          <w:rFonts w:ascii="Arial" w:hAnsi="Arial" w:cs="Arial"/>
          <w:sz w:val="14"/>
          <w:szCs w:val="14"/>
        </w:rPr>
        <w:t xml:space="preserve"> </w:t>
      </w:r>
      <w:r w:rsidRPr="007D03C6">
        <w:rPr>
          <w:rFonts w:ascii="Arial" w:hAnsi="Arial" w:cs="Arial"/>
          <w:sz w:val="14"/>
          <w:szCs w:val="14"/>
        </w:rPr>
        <w:t>Fichier « d’aide à l’évaluation de la minorité des personnes se déclarant mineures et privées temporairement ou définitivement de la protection de leur famille »</w:t>
      </w:r>
      <w:r>
        <w:rPr>
          <w:rFonts w:ascii="Arial" w:hAnsi="Arial" w:cs="Arial"/>
          <w:sz w:val="14"/>
          <w:szCs w:val="14"/>
        </w:rPr>
        <w:t xml:space="preserve"> créé par le décret du 30 janvier 2019</w:t>
      </w:r>
    </w:p>
  </w:footnote>
  <w:footnote w:id="99">
    <w:p w14:paraId="2DAD2E8F" w14:textId="77777777" w:rsidR="008F5418" w:rsidRPr="00287654" w:rsidRDefault="008F5418" w:rsidP="0045744D">
      <w:pPr>
        <w:pStyle w:val="Notedebasdepage"/>
        <w:rPr>
          <w:rFonts w:ascii="Arial" w:hAnsi="Arial" w:cs="Arial"/>
          <w:sz w:val="14"/>
          <w:szCs w:val="14"/>
        </w:rPr>
      </w:pPr>
      <w:r w:rsidRPr="0057076C">
        <w:rPr>
          <w:rStyle w:val="Appelnotedebasdep"/>
          <w:rFonts w:ascii="Arial" w:hAnsi="Arial" w:cs="Arial"/>
          <w:sz w:val="14"/>
          <w:szCs w:val="14"/>
        </w:rPr>
        <w:footnoteRef/>
      </w:r>
      <w:r>
        <w:t xml:space="preserve"> </w:t>
      </w:r>
      <w:r>
        <w:rPr>
          <w:rFonts w:ascii="Arial" w:hAnsi="Arial" w:cs="Arial"/>
          <w:sz w:val="14"/>
          <w:szCs w:val="14"/>
        </w:rPr>
        <w:t>O</w:t>
      </w:r>
      <w:r w:rsidRPr="00803144">
        <w:rPr>
          <w:rFonts w:ascii="Arial" w:hAnsi="Arial" w:cs="Arial"/>
          <w:sz w:val="14"/>
          <w:szCs w:val="14"/>
        </w:rPr>
        <w:t xml:space="preserve">rdonnances </w:t>
      </w:r>
      <w:r>
        <w:rPr>
          <w:rFonts w:ascii="Arial" w:hAnsi="Arial" w:cs="Arial"/>
          <w:sz w:val="14"/>
          <w:szCs w:val="14"/>
        </w:rPr>
        <w:t xml:space="preserve">CE </w:t>
      </w:r>
      <w:r w:rsidRPr="00803144">
        <w:rPr>
          <w:rFonts w:ascii="Arial" w:hAnsi="Arial" w:cs="Arial"/>
          <w:sz w:val="14"/>
          <w:szCs w:val="14"/>
        </w:rPr>
        <w:t>du 25 janvier 2019</w:t>
      </w:r>
      <w:r>
        <w:rPr>
          <w:rFonts w:ascii="Arial" w:hAnsi="Arial" w:cs="Arial"/>
          <w:sz w:val="14"/>
          <w:szCs w:val="14"/>
        </w:rPr>
        <w:t>,</w:t>
      </w:r>
      <w:r w:rsidRPr="00287654">
        <w:rPr>
          <w:sz w:val="22"/>
          <w:szCs w:val="22"/>
        </w:rPr>
        <w:t xml:space="preserve"> </w:t>
      </w:r>
      <w:r w:rsidRPr="00287654">
        <w:rPr>
          <w:rFonts w:ascii="Arial" w:hAnsi="Arial" w:cs="Arial"/>
          <w:sz w:val="14"/>
          <w:szCs w:val="14"/>
        </w:rPr>
        <w:t>n° 427169/ n° 427170 / n° 427167</w:t>
      </w:r>
    </w:p>
  </w:footnote>
  <w:footnote w:id="100">
    <w:p w14:paraId="67DFF804" w14:textId="77777777" w:rsidR="008F5418" w:rsidRPr="00C138FE" w:rsidRDefault="008F5418" w:rsidP="0045744D">
      <w:pPr>
        <w:pStyle w:val="Notedebasdepage"/>
        <w:jc w:val="both"/>
        <w:rPr>
          <w:rFonts w:ascii="Arial" w:hAnsi="Arial" w:cs="Arial"/>
          <w:sz w:val="14"/>
          <w:szCs w:val="14"/>
        </w:rPr>
      </w:pPr>
      <w:r w:rsidRPr="00C138FE">
        <w:rPr>
          <w:rStyle w:val="Appelnotedebasdep"/>
          <w:rFonts w:ascii="Arial" w:hAnsi="Arial" w:cs="Arial"/>
          <w:sz w:val="14"/>
          <w:szCs w:val="14"/>
        </w:rPr>
        <w:footnoteRef/>
      </w:r>
      <w:r w:rsidRPr="00C138FE">
        <w:rPr>
          <w:rFonts w:ascii="Arial" w:hAnsi="Arial" w:cs="Arial"/>
          <w:sz w:val="14"/>
          <w:szCs w:val="14"/>
        </w:rPr>
        <w:t xml:space="preserve"> La section de la LDH du Gard avec d’autres partenaires associatifs ont a été amenés à saisir le 8 juin 2022 la présidente du CD du Gard de cette pratique laissant à la rue quotidiennement plus d’une dizaine de mineurs. La seule réponse du conseil départemental l</w:t>
      </w:r>
      <w:r>
        <w:rPr>
          <w:rFonts w:ascii="Arial" w:hAnsi="Arial" w:cs="Arial"/>
          <w:sz w:val="14"/>
          <w:szCs w:val="14"/>
        </w:rPr>
        <w:t xml:space="preserve">e fut </w:t>
      </w:r>
      <w:r w:rsidRPr="00C138FE">
        <w:rPr>
          <w:rFonts w:ascii="Arial" w:hAnsi="Arial" w:cs="Arial"/>
          <w:sz w:val="14"/>
          <w:szCs w:val="14"/>
        </w:rPr>
        <w:t>sous forme d’accusé de réception énonçant sur cette question une prise de contact avec les services compétents.</w:t>
      </w:r>
    </w:p>
  </w:footnote>
  <w:footnote w:id="101">
    <w:p w14:paraId="163AAA04" w14:textId="77777777" w:rsidR="008F5418" w:rsidRPr="007647C7" w:rsidRDefault="008F5418" w:rsidP="0045744D">
      <w:pPr>
        <w:pStyle w:val="Notedebasdepage"/>
        <w:jc w:val="both"/>
        <w:rPr>
          <w:rFonts w:ascii="Arial" w:hAnsi="Arial" w:cs="Arial"/>
          <w:sz w:val="14"/>
          <w:szCs w:val="14"/>
        </w:rPr>
      </w:pPr>
      <w:r w:rsidRPr="007647C7">
        <w:rPr>
          <w:rStyle w:val="Appelnotedebasdep"/>
          <w:rFonts w:ascii="Arial" w:hAnsi="Arial" w:cs="Arial"/>
          <w:sz w:val="14"/>
          <w:szCs w:val="14"/>
        </w:rPr>
        <w:footnoteRef/>
      </w:r>
      <w:r w:rsidRPr="007647C7">
        <w:rPr>
          <w:rFonts w:ascii="Arial" w:hAnsi="Arial" w:cs="Arial"/>
          <w:sz w:val="14"/>
          <w:szCs w:val="14"/>
        </w:rPr>
        <w:t xml:space="preserve"> Voir par ex., Utopia56, Informations préoccupantes envoyées au Conseil</w:t>
      </w:r>
      <w:r>
        <w:rPr>
          <w:rFonts w:ascii="Arial" w:hAnsi="Arial" w:cs="Arial"/>
          <w:sz w:val="14"/>
          <w:szCs w:val="14"/>
        </w:rPr>
        <w:t xml:space="preserve"> Général du Département du Nord </w:t>
      </w:r>
      <w:r w:rsidRPr="007647C7">
        <w:rPr>
          <w:rFonts w:ascii="Arial" w:hAnsi="Arial" w:cs="Arial"/>
          <w:sz w:val="14"/>
          <w:szCs w:val="14"/>
        </w:rPr>
        <w:t xml:space="preserve">29 septembre 2020 </w:t>
      </w:r>
    </w:p>
  </w:footnote>
  <w:footnote w:id="102">
    <w:p w14:paraId="639918E4" w14:textId="77777777" w:rsidR="008F5418" w:rsidRPr="00A04E88" w:rsidRDefault="008F5418" w:rsidP="0045744D">
      <w:pPr>
        <w:pStyle w:val="Notedebasdepage"/>
        <w:rPr>
          <w:rFonts w:ascii="Arial" w:hAnsi="Arial" w:cs="Arial"/>
          <w:sz w:val="14"/>
          <w:szCs w:val="14"/>
        </w:rPr>
      </w:pPr>
      <w:r w:rsidRPr="00A04E88">
        <w:rPr>
          <w:rStyle w:val="Appelnotedebasdep"/>
          <w:rFonts w:ascii="Arial" w:hAnsi="Arial" w:cs="Arial"/>
          <w:sz w:val="14"/>
          <w:szCs w:val="14"/>
        </w:rPr>
        <w:footnoteRef/>
      </w:r>
      <w:r w:rsidRPr="00A04E88">
        <w:rPr>
          <w:rFonts w:ascii="Arial" w:hAnsi="Arial" w:cs="Arial"/>
          <w:sz w:val="14"/>
          <w:szCs w:val="14"/>
        </w:rPr>
        <w:t xml:space="preserve"> 500 euros par personne évaluée pour les conseils départementaux appliquant les dispositions du décret du 30 janvier 2019 et à 100 euros par personne pour les conseils départementaux ne l’</w:t>
      </w:r>
      <w:r>
        <w:rPr>
          <w:rFonts w:ascii="Arial" w:hAnsi="Arial" w:cs="Arial"/>
          <w:sz w:val="14"/>
          <w:szCs w:val="14"/>
        </w:rPr>
        <w:t>appliquant pas</w:t>
      </w:r>
    </w:p>
  </w:footnote>
  <w:footnote w:id="103">
    <w:p w14:paraId="035CE0F0" w14:textId="77777777" w:rsidR="008F5418" w:rsidRPr="007647C7" w:rsidRDefault="008F5418" w:rsidP="0045744D">
      <w:pPr>
        <w:pStyle w:val="Notedebasdepage"/>
        <w:rPr>
          <w:rFonts w:ascii="Arial" w:hAnsi="Arial" w:cs="Arial"/>
          <w:sz w:val="14"/>
          <w:szCs w:val="14"/>
        </w:rPr>
      </w:pPr>
      <w:r w:rsidRPr="007647C7">
        <w:rPr>
          <w:rStyle w:val="Appelnotedebasdep"/>
          <w:rFonts w:ascii="Arial" w:hAnsi="Arial" w:cs="Arial"/>
          <w:sz w:val="14"/>
          <w:szCs w:val="14"/>
        </w:rPr>
        <w:footnoteRef/>
      </w:r>
      <w:r w:rsidRPr="007647C7">
        <w:rPr>
          <w:rFonts w:ascii="Arial" w:hAnsi="Arial" w:cs="Arial"/>
          <w:sz w:val="14"/>
          <w:szCs w:val="14"/>
        </w:rPr>
        <w:t xml:space="preserve"> Comité des droits de l’enfant, Observation Générale nº 22 sur les principes généraux relatifs aux droits de l’homme des enfants dans le contexte des migrations internationales (§ 36)</w:t>
      </w:r>
    </w:p>
  </w:footnote>
  <w:footnote w:id="104">
    <w:p w14:paraId="1D2DFF34" w14:textId="77777777" w:rsidR="008F5418" w:rsidRPr="007647C7" w:rsidRDefault="008F5418" w:rsidP="0045744D">
      <w:pPr>
        <w:pStyle w:val="Notedebasdepage"/>
        <w:rPr>
          <w:rFonts w:ascii="Arial" w:hAnsi="Arial" w:cs="Arial"/>
          <w:sz w:val="14"/>
          <w:szCs w:val="14"/>
        </w:rPr>
      </w:pPr>
      <w:r w:rsidRPr="007647C7">
        <w:rPr>
          <w:rStyle w:val="Appelnotedebasdep"/>
          <w:rFonts w:ascii="Arial" w:hAnsi="Arial" w:cs="Arial"/>
          <w:sz w:val="14"/>
          <w:szCs w:val="14"/>
        </w:rPr>
        <w:footnoteRef/>
      </w:r>
      <w:r w:rsidRPr="007647C7">
        <w:rPr>
          <w:rFonts w:ascii="Arial" w:hAnsi="Arial" w:cs="Arial"/>
          <w:sz w:val="14"/>
          <w:szCs w:val="14"/>
        </w:rPr>
        <w:t xml:space="preserve"> Comité des droits de l’enfant M.A.B. c/ Espagne, CRC/C/83/D/24/2017, 7 février 2020 [A132] (para.</w:t>
      </w:r>
      <w:r>
        <w:rPr>
          <w:rFonts w:ascii="Arial" w:hAnsi="Arial" w:cs="Arial"/>
          <w:sz w:val="14"/>
          <w:szCs w:val="14"/>
        </w:rPr>
        <w:t xml:space="preserve"> 11(a))</w:t>
      </w:r>
    </w:p>
  </w:footnote>
  <w:footnote w:id="105">
    <w:p w14:paraId="08A42138" w14:textId="77777777" w:rsidR="008F5418" w:rsidRPr="00F126F5" w:rsidRDefault="008F5418" w:rsidP="0045744D">
      <w:pPr>
        <w:pStyle w:val="Notedebasdepage"/>
        <w:jc w:val="both"/>
        <w:rPr>
          <w:rFonts w:ascii="Arial" w:hAnsi="Arial" w:cs="Arial"/>
          <w:sz w:val="14"/>
          <w:szCs w:val="14"/>
        </w:rPr>
      </w:pPr>
      <w:r w:rsidRPr="00F126F5">
        <w:rPr>
          <w:rStyle w:val="Appelnotedebasdep"/>
          <w:rFonts w:ascii="Arial" w:hAnsi="Arial" w:cs="Arial"/>
          <w:sz w:val="14"/>
          <w:szCs w:val="14"/>
        </w:rPr>
        <w:footnoteRef/>
      </w:r>
      <w:r w:rsidRPr="00F126F5">
        <w:rPr>
          <w:rFonts w:ascii="Arial" w:hAnsi="Arial" w:cs="Arial"/>
          <w:sz w:val="14"/>
          <w:szCs w:val="14"/>
        </w:rPr>
        <w:t xml:space="preserve"> Rapport du Défenseur des droits : Les mineurs non accompagnés au regard du droit · 2022</w:t>
      </w:r>
    </w:p>
  </w:footnote>
  <w:footnote w:id="106">
    <w:p w14:paraId="1B9B2515" w14:textId="77777777" w:rsidR="008F5418" w:rsidRDefault="008F5418" w:rsidP="0045744D">
      <w:pPr>
        <w:pStyle w:val="Notedebasdepage"/>
        <w:jc w:val="both"/>
      </w:pPr>
      <w:r w:rsidRPr="00F126F5">
        <w:rPr>
          <w:rStyle w:val="Appelnotedebasdep"/>
          <w:rFonts w:ascii="Arial" w:hAnsi="Arial" w:cs="Arial"/>
          <w:sz w:val="14"/>
          <w:szCs w:val="14"/>
        </w:rPr>
        <w:footnoteRef/>
      </w:r>
      <w:r w:rsidRPr="00F126F5">
        <w:rPr>
          <w:rFonts w:ascii="Arial" w:hAnsi="Arial" w:cs="Arial"/>
          <w:sz w:val="14"/>
          <w:szCs w:val="14"/>
        </w:rPr>
        <w:t xml:space="preserve"> Telles que « </w:t>
      </w:r>
      <w:r w:rsidRPr="005A10DD">
        <w:rPr>
          <w:rFonts w:ascii="Arial" w:hAnsi="Arial" w:cs="Arial"/>
          <w:i/>
          <w:sz w:val="14"/>
          <w:szCs w:val="14"/>
        </w:rPr>
        <w:t xml:space="preserve">l’apparence physique laisse planer le doute sur la minorité (rides sur le visage) », « au regard de son allure d’ensemble, nous ne pensons pas que (ce jeune) possède l’âge qu’il déclare, à savoir 16 ans », </w:t>
      </w:r>
      <w:r w:rsidRPr="005A10DD">
        <w:rPr>
          <w:rFonts w:ascii="Arial" w:hAnsi="Arial" w:cs="Arial"/>
          <w:sz w:val="14"/>
          <w:szCs w:val="14"/>
        </w:rPr>
        <w:t>ou bien encore</w:t>
      </w:r>
      <w:r w:rsidRPr="005A10DD">
        <w:rPr>
          <w:rFonts w:ascii="Arial" w:hAnsi="Arial" w:cs="Arial"/>
          <w:i/>
          <w:sz w:val="14"/>
          <w:szCs w:val="14"/>
        </w:rPr>
        <w:t xml:space="preserve"> « le jeune semble rasé de près », il « présente une calvitie naissante », « les récentes mesures d’hygiène ne nous permettent pas de voir l’intégralité de son visage, X. devant porter un masque dans l’enceinte de nos locaux. Nous ne pouvons apprécier ses caractéristiques physiques dans son ensemble. Néanmoins, elles ne semblent pas correspondre à celle d’un mineur de 15 ans », « le jeune présente une apparence et un discours incompatible avec sa minorité</w:t>
      </w:r>
      <w:r w:rsidRPr="00F126F5">
        <w:rPr>
          <w:rFonts w:ascii="Arial" w:hAnsi="Arial" w:cs="Arial"/>
          <w:sz w:val="14"/>
          <w:szCs w:val="14"/>
        </w:rPr>
        <w:t xml:space="preserve"> »</w:t>
      </w:r>
    </w:p>
  </w:footnote>
  <w:footnote w:id="107">
    <w:p w14:paraId="29EA51E6" w14:textId="77777777" w:rsidR="008F5418" w:rsidRDefault="008F5418" w:rsidP="0045744D">
      <w:pPr>
        <w:pStyle w:val="Notedebasdepage"/>
        <w:jc w:val="both"/>
      </w:pPr>
      <w:r w:rsidRPr="005A10DD">
        <w:rPr>
          <w:rStyle w:val="Appelnotedebasdep"/>
          <w:rFonts w:ascii="Arial" w:hAnsi="Arial" w:cs="Arial"/>
          <w:sz w:val="14"/>
          <w:szCs w:val="14"/>
        </w:rPr>
        <w:footnoteRef/>
      </w:r>
      <w:r w:rsidRPr="005A10DD">
        <w:rPr>
          <w:rFonts w:ascii="Arial" w:hAnsi="Arial" w:cs="Arial"/>
          <w:sz w:val="14"/>
          <w:szCs w:val="14"/>
        </w:rPr>
        <w:t xml:space="preserve"> «</w:t>
      </w:r>
      <w:r>
        <w:t> </w:t>
      </w:r>
      <w:r w:rsidRPr="005A10DD">
        <w:rPr>
          <w:rFonts w:ascii="Arial" w:hAnsi="Arial" w:cs="Arial"/>
          <w:i/>
          <w:sz w:val="14"/>
          <w:szCs w:val="14"/>
        </w:rPr>
        <w:t>Les déclarations du jeune concernant l’organisation de son départ semblent incohérentes au regard de l’âge allégué</w:t>
      </w:r>
      <w:r w:rsidRPr="009144B5">
        <w:rPr>
          <w:rFonts w:ascii="Arial" w:hAnsi="Arial" w:cs="Arial"/>
          <w:sz w:val="14"/>
          <w:szCs w:val="14"/>
        </w:rPr>
        <w:t xml:space="preserve"> », « </w:t>
      </w:r>
      <w:r w:rsidRPr="005A10DD">
        <w:rPr>
          <w:rFonts w:ascii="Arial" w:hAnsi="Arial" w:cs="Arial"/>
          <w:i/>
          <w:sz w:val="14"/>
          <w:szCs w:val="14"/>
        </w:rPr>
        <w:t>l’itinéraire décrit par le jeune montre un fort degré d’autonomie et de maturité », « ces éléments ne peuvent pas être rattachés à un adolescent de l’âge déclaré</w:t>
      </w:r>
      <w:r w:rsidRPr="009144B5">
        <w:rPr>
          <w:rFonts w:ascii="Arial" w:hAnsi="Arial" w:cs="Arial"/>
          <w:sz w:val="14"/>
          <w:szCs w:val="14"/>
        </w:rPr>
        <w:t xml:space="preserve"> », « </w:t>
      </w:r>
      <w:r w:rsidRPr="005A10DD">
        <w:rPr>
          <w:rFonts w:ascii="Arial" w:hAnsi="Arial" w:cs="Arial"/>
          <w:i/>
          <w:sz w:val="14"/>
          <w:szCs w:val="14"/>
        </w:rPr>
        <w:t>les capacités de raisonnement, d’élaboration et la posture d’ensemble du jeune ne semblent pas compatibles avec l’âge déclaré et ressemblent plus à ceux d’un jeune majeur</w:t>
      </w:r>
      <w:r w:rsidRPr="009144B5">
        <w:rPr>
          <w:rFonts w:ascii="Arial" w:hAnsi="Arial" w:cs="Arial"/>
          <w:sz w:val="14"/>
          <w:szCs w:val="14"/>
        </w:rPr>
        <w:t xml:space="preserve"> »</w:t>
      </w:r>
    </w:p>
  </w:footnote>
  <w:footnote w:id="108">
    <w:p w14:paraId="1D54B208" w14:textId="77777777" w:rsidR="008F5418" w:rsidRPr="0017338E" w:rsidRDefault="008F5418" w:rsidP="0045744D">
      <w:pPr>
        <w:pStyle w:val="Notedebasdepage"/>
        <w:jc w:val="both"/>
        <w:rPr>
          <w:rFonts w:ascii="Arial" w:hAnsi="Arial" w:cs="Arial"/>
          <w:sz w:val="14"/>
          <w:szCs w:val="14"/>
        </w:rPr>
      </w:pPr>
      <w:r w:rsidRPr="0017338E">
        <w:rPr>
          <w:rStyle w:val="Appelnotedebasdep"/>
          <w:rFonts w:ascii="Arial" w:hAnsi="Arial" w:cs="Arial"/>
          <w:sz w:val="14"/>
          <w:szCs w:val="14"/>
        </w:rPr>
        <w:footnoteRef/>
      </w:r>
      <w:r w:rsidRPr="0017338E">
        <w:rPr>
          <w:rFonts w:ascii="Arial" w:hAnsi="Arial" w:cs="Arial"/>
          <w:sz w:val="14"/>
          <w:szCs w:val="14"/>
        </w:rPr>
        <w:t xml:space="preserve"> Observations générales n°6 : « </w:t>
      </w:r>
      <w:r w:rsidRPr="00733716">
        <w:rPr>
          <w:rFonts w:ascii="Arial" w:hAnsi="Arial" w:cs="Arial"/>
          <w:i/>
          <w:sz w:val="14"/>
          <w:szCs w:val="14"/>
        </w:rPr>
        <w:t>ce processus d’évaluation devrait être mené dans une atmosphère amicale et sûre par des professionnels qualifiés, maîtrisant des techniques d’entretien adaptées à l’âge et au sexe de l’enfant</w:t>
      </w:r>
      <w:r>
        <w:rPr>
          <w:rFonts w:ascii="Arial" w:hAnsi="Arial" w:cs="Arial"/>
          <w:i/>
          <w:sz w:val="14"/>
          <w:szCs w:val="14"/>
        </w:rPr>
        <w:t xml:space="preserve"> </w:t>
      </w:r>
      <w:r w:rsidRPr="0017338E">
        <w:rPr>
          <w:rFonts w:ascii="Arial" w:hAnsi="Arial" w:cs="Arial"/>
          <w:sz w:val="14"/>
          <w:szCs w:val="14"/>
        </w:rPr>
        <w:t>» et « </w:t>
      </w:r>
      <w:r w:rsidRPr="00733716">
        <w:rPr>
          <w:rFonts w:ascii="Arial" w:hAnsi="Arial" w:cs="Arial"/>
          <w:i/>
          <w:sz w:val="14"/>
          <w:szCs w:val="14"/>
        </w:rPr>
        <w:t xml:space="preserve">en cas d’incertitude persistante, </w:t>
      </w:r>
      <w:r w:rsidRPr="00733716">
        <w:rPr>
          <w:rFonts w:ascii="Arial" w:hAnsi="Arial" w:cs="Arial"/>
          <w:i/>
          <w:sz w:val="14"/>
          <w:szCs w:val="14"/>
          <w:u w:val="single"/>
        </w:rPr>
        <w:t>le bénéfice du doute doit être accordé à l’intéressé</w:t>
      </w:r>
      <w:r w:rsidRPr="00733716">
        <w:rPr>
          <w:rFonts w:ascii="Arial" w:hAnsi="Arial" w:cs="Arial"/>
          <w:i/>
          <w:sz w:val="14"/>
          <w:szCs w:val="14"/>
        </w:rPr>
        <w:t xml:space="preserve"> − qu’il convient de traiter comme un enfant si la possibilité existe qu’il s’agisse effectivement d’un mineur</w:t>
      </w:r>
      <w:r w:rsidRPr="0017338E">
        <w:rPr>
          <w:rFonts w:ascii="Arial" w:hAnsi="Arial" w:cs="Arial"/>
          <w:sz w:val="14"/>
          <w:szCs w:val="14"/>
        </w:rPr>
        <w:t xml:space="preserve"> »</w:t>
      </w:r>
    </w:p>
  </w:footnote>
  <w:footnote w:id="109">
    <w:p w14:paraId="553EAFB3" w14:textId="77777777" w:rsidR="008F5418" w:rsidRPr="007647C7" w:rsidRDefault="008F5418" w:rsidP="0045744D">
      <w:pPr>
        <w:pStyle w:val="Notedebasdepage"/>
        <w:jc w:val="both"/>
        <w:rPr>
          <w:rFonts w:ascii="Arial" w:hAnsi="Arial" w:cs="Arial"/>
          <w:sz w:val="14"/>
          <w:szCs w:val="14"/>
        </w:rPr>
      </w:pPr>
      <w:r w:rsidRPr="007647C7">
        <w:rPr>
          <w:rStyle w:val="Appelnotedebasdep"/>
          <w:rFonts w:ascii="Arial" w:hAnsi="Arial" w:cs="Arial"/>
          <w:sz w:val="14"/>
          <w:szCs w:val="14"/>
        </w:rPr>
        <w:footnoteRef/>
      </w:r>
      <w:r w:rsidRPr="007647C7">
        <w:rPr>
          <w:rFonts w:ascii="Arial" w:hAnsi="Arial" w:cs="Arial"/>
          <w:sz w:val="14"/>
          <w:szCs w:val="14"/>
        </w:rPr>
        <w:t xml:space="preserve"> Par ex. : CAA Marseille, 3ème chambre, 19MA00398, 12 décembre 2019 (para. 6) ; voir également Département de Charente Maritime, Protocole relatif à l’accueil et à la prise en charge des mineurs non accompagnés de nationalité étrangère (MNA) en Charente Maritime, 22 octobre 2018 [A74] (p. 3) ; EGM, Groupe chantier « Mineur.es », Synthèse de l’analyse des questionnair</w:t>
      </w:r>
      <w:r>
        <w:rPr>
          <w:rFonts w:ascii="Arial" w:hAnsi="Arial" w:cs="Arial"/>
          <w:sz w:val="14"/>
          <w:szCs w:val="14"/>
        </w:rPr>
        <w:t xml:space="preserve">es, été 2020 [B22] (p.4) </w:t>
      </w:r>
    </w:p>
  </w:footnote>
  <w:footnote w:id="110">
    <w:p w14:paraId="60E75B37" w14:textId="77777777" w:rsidR="008F5418" w:rsidRPr="00713A76" w:rsidRDefault="008F5418" w:rsidP="0045744D">
      <w:pPr>
        <w:pStyle w:val="Notedebasdepage"/>
        <w:jc w:val="both"/>
        <w:rPr>
          <w:rFonts w:ascii="Arial" w:hAnsi="Arial" w:cs="Arial"/>
          <w:i/>
          <w:sz w:val="14"/>
          <w:szCs w:val="14"/>
        </w:rPr>
      </w:pPr>
      <w:r w:rsidRPr="00713A76">
        <w:rPr>
          <w:rStyle w:val="Appelnotedebasdep"/>
          <w:rFonts w:ascii="Arial" w:hAnsi="Arial" w:cs="Arial"/>
          <w:sz w:val="14"/>
          <w:szCs w:val="14"/>
        </w:rPr>
        <w:footnoteRef/>
      </w:r>
      <w:r w:rsidRPr="00713A76">
        <w:rPr>
          <w:rFonts w:ascii="Arial" w:hAnsi="Arial" w:cs="Arial"/>
          <w:sz w:val="14"/>
          <w:szCs w:val="14"/>
        </w:rPr>
        <w:t xml:space="preserve"> Article 388 du Code civil</w:t>
      </w:r>
      <w:r w:rsidRPr="00713A76">
        <w:rPr>
          <w:rFonts w:ascii="Arial" w:hAnsi="Arial" w:cs="Arial"/>
          <w:i/>
          <w:sz w:val="14"/>
          <w:szCs w:val="14"/>
        </w:rPr>
        <w:t xml:space="preserve"> « Le mineur est l’individu de l’un ou l’autre sexe qui n’a point encore l’âge de dix-huit ans accomplis. Les examens radiologiques osseux aux fins de détermination de l’âge, en l’absence de documents d’identité valables et lorsque l’âge allégué n’est pas vraisemblable, ne peuvent être réalisés que sur décision de l’autorité judiciaire et après recueil de l’accord de l’intéressé. Les conclusions de ces examens, qui doivent préciser la marge d’erreur, ne peuvent à elles seules permettre de déterminer si l’intéressé est mineur. Le doute profite à l’intéressé. En cas de doute sur la minorité de l’intéressé, il ne peut être procédé à une évaluation de son âge à partir d’un examen du développement pubertaire des caractères s</w:t>
      </w:r>
      <w:r>
        <w:rPr>
          <w:rFonts w:ascii="Arial" w:hAnsi="Arial" w:cs="Arial"/>
          <w:i/>
          <w:sz w:val="14"/>
          <w:szCs w:val="14"/>
        </w:rPr>
        <w:t>exuels primaires et secondaires »</w:t>
      </w:r>
    </w:p>
  </w:footnote>
  <w:footnote w:id="111">
    <w:p w14:paraId="26A32A1E" w14:textId="77777777" w:rsidR="008F5418" w:rsidRPr="007647C7" w:rsidRDefault="008F5418" w:rsidP="0045744D">
      <w:pPr>
        <w:pStyle w:val="Notedebasdepage"/>
        <w:rPr>
          <w:rFonts w:ascii="Arial" w:hAnsi="Arial" w:cs="Arial"/>
          <w:sz w:val="14"/>
          <w:szCs w:val="14"/>
        </w:rPr>
      </w:pPr>
      <w:r w:rsidRPr="007647C7">
        <w:rPr>
          <w:rStyle w:val="Appelnotedebasdep"/>
          <w:rFonts w:ascii="Arial" w:hAnsi="Arial" w:cs="Arial"/>
          <w:sz w:val="14"/>
          <w:szCs w:val="14"/>
        </w:rPr>
        <w:footnoteRef/>
      </w:r>
      <w:r w:rsidRPr="007647C7">
        <w:rPr>
          <w:rFonts w:ascii="Arial" w:hAnsi="Arial" w:cs="Arial"/>
          <w:sz w:val="14"/>
          <w:szCs w:val="14"/>
        </w:rPr>
        <w:t xml:space="preserve"> Comité des Droits de l’enfant, Observations finales concernant le quatrième rapport périodique de la France, CRC/C/FRA/CO/4, 22 juin 2009.</w:t>
      </w:r>
    </w:p>
  </w:footnote>
  <w:footnote w:id="112">
    <w:p w14:paraId="5C939245" w14:textId="77777777" w:rsidR="008F5418" w:rsidRPr="007647C7" w:rsidRDefault="008F5418" w:rsidP="0045744D">
      <w:pPr>
        <w:pStyle w:val="Notedebasdepage"/>
        <w:rPr>
          <w:rFonts w:ascii="Arial" w:hAnsi="Arial" w:cs="Arial"/>
          <w:sz w:val="14"/>
          <w:szCs w:val="14"/>
        </w:rPr>
      </w:pPr>
      <w:r w:rsidRPr="007647C7">
        <w:rPr>
          <w:rStyle w:val="Appelnotedebasdep"/>
          <w:rFonts w:ascii="Arial" w:hAnsi="Arial" w:cs="Arial"/>
          <w:sz w:val="14"/>
          <w:szCs w:val="14"/>
        </w:rPr>
        <w:footnoteRef/>
      </w:r>
      <w:r w:rsidRPr="007647C7">
        <w:rPr>
          <w:rFonts w:ascii="Arial" w:hAnsi="Arial" w:cs="Arial"/>
          <w:sz w:val="14"/>
          <w:szCs w:val="14"/>
        </w:rPr>
        <w:t xml:space="preserve"> Déclaration européenne des professionnels de santé « pour un accès aux soins sans discrimination », 24 avril 2011</w:t>
      </w:r>
    </w:p>
  </w:footnote>
  <w:footnote w:id="113">
    <w:p w14:paraId="245F44F3" w14:textId="77777777" w:rsidR="008F5418" w:rsidRPr="007647C7" w:rsidRDefault="008F5418" w:rsidP="000C389E">
      <w:pPr>
        <w:pStyle w:val="Notedebasdepage"/>
        <w:jc w:val="both"/>
        <w:rPr>
          <w:rFonts w:ascii="Arial" w:hAnsi="Arial" w:cs="Arial"/>
          <w:sz w:val="14"/>
          <w:szCs w:val="14"/>
        </w:rPr>
      </w:pPr>
      <w:r w:rsidRPr="007647C7">
        <w:rPr>
          <w:rStyle w:val="Appelnotedebasdep"/>
          <w:rFonts w:ascii="Arial" w:hAnsi="Arial" w:cs="Arial"/>
          <w:sz w:val="14"/>
          <w:szCs w:val="14"/>
        </w:rPr>
        <w:footnoteRef/>
      </w:r>
      <w:r w:rsidRPr="007647C7">
        <w:rPr>
          <w:rFonts w:ascii="Arial" w:hAnsi="Arial" w:cs="Arial"/>
          <w:sz w:val="14"/>
          <w:szCs w:val="14"/>
        </w:rPr>
        <w:t xml:space="preserve"> Notamment : Comité national d’éthique pour les sciences de la vie et de la santé sur les méthodes de détermination de l’âge à des fins juridiques, Avis n°88, 23 juin 2005 ; CNCDH, Assemblée plénière, Avis sur la</w:t>
      </w:r>
      <w:r>
        <w:t xml:space="preserve"> </w:t>
      </w:r>
      <w:r w:rsidRPr="007647C7">
        <w:rPr>
          <w:rFonts w:ascii="Arial" w:hAnsi="Arial" w:cs="Arial"/>
          <w:sz w:val="14"/>
          <w:szCs w:val="14"/>
        </w:rPr>
        <w:t>situation des mineurs isolés étrangers, 26 juin 2014 (p. 23, Recommandations n° 2) ; DDD, Rapport au Comité des droits de l’enfant, juillet 2020] (para. 90).</w:t>
      </w:r>
    </w:p>
  </w:footnote>
  <w:footnote w:id="114">
    <w:p w14:paraId="75E4D69F" w14:textId="77777777" w:rsidR="008F5418" w:rsidRPr="007647C7" w:rsidRDefault="008F5418" w:rsidP="000C389E">
      <w:pPr>
        <w:pStyle w:val="Notedebasdepage"/>
        <w:jc w:val="both"/>
        <w:rPr>
          <w:rFonts w:ascii="Arial" w:hAnsi="Arial" w:cs="Arial"/>
          <w:sz w:val="14"/>
          <w:szCs w:val="14"/>
        </w:rPr>
      </w:pPr>
      <w:r w:rsidRPr="007647C7">
        <w:rPr>
          <w:rStyle w:val="Appelnotedebasdep"/>
          <w:rFonts w:ascii="Arial" w:hAnsi="Arial" w:cs="Arial"/>
          <w:sz w:val="14"/>
          <w:szCs w:val="14"/>
        </w:rPr>
        <w:footnoteRef/>
      </w:r>
      <w:r w:rsidRPr="007647C7">
        <w:rPr>
          <w:rFonts w:ascii="Arial" w:hAnsi="Arial" w:cs="Arial"/>
          <w:sz w:val="14"/>
          <w:szCs w:val="14"/>
        </w:rPr>
        <w:t xml:space="preserve"> Conseil des droits de l’Homme des Nations Unies, Étude sur les difficultés et les meilleures pratiques rencontrées dans l’application du cadre international pour la protection des droits de l’enfant dans le contexte des migrations, A/HRC/15/29, 5 juillet 2010 [A18] (para. 44) ; Assemblée parlementaire du Conseil de l’Europe, Résolution 1810, 2011 [A20] (section 5.10).</w:t>
      </w:r>
    </w:p>
  </w:footnote>
  <w:footnote w:id="115">
    <w:p w14:paraId="670A8260" w14:textId="77777777" w:rsidR="008F5418" w:rsidRPr="000C389E" w:rsidRDefault="008F5418" w:rsidP="000C389E">
      <w:pPr>
        <w:pStyle w:val="Notedebasdepage"/>
        <w:jc w:val="both"/>
        <w:rPr>
          <w:rFonts w:ascii="Arial" w:hAnsi="Arial" w:cs="Arial"/>
          <w:sz w:val="14"/>
          <w:szCs w:val="14"/>
        </w:rPr>
      </w:pPr>
      <w:r w:rsidRPr="000C389E">
        <w:rPr>
          <w:rStyle w:val="Appelnotedebasdep"/>
          <w:rFonts w:ascii="Arial" w:hAnsi="Arial" w:cs="Arial"/>
          <w:sz w:val="14"/>
          <w:szCs w:val="14"/>
        </w:rPr>
        <w:footnoteRef/>
      </w:r>
      <w:r w:rsidRPr="000C389E">
        <w:rPr>
          <w:rFonts w:ascii="Arial" w:hAnsi="Arial" w:cs="Arial"/>
          <w:sz w:val="14"/>
          <w:szCs w:val="14"/>
        </w:rPr>
        <w:t xml:space="preserve"> </w:t>
      </w:r>
      <w:hyperlink r:id="rId30" w:history="1">
        <w:r w:rsidRPr="000C389E">
          <w:rPr>
            <w:rStyle w:val="Lienhypertexte"/>
            <w:rFonts w:ascii="Arial" w:hAnsi="Arial" w:cs="Arial"/>
            <w:sz w:val="14"/>
            <w:szCs w:val="14"/>
          </w:rPr>
          <w:t>https://www.gisti.org/IMG/pdf/cimade_ldh_gist_saf_demande_modification_decret.pdf</w:t>
        </w:r>
      </w:hyperlink>
    </w:p>
  </w:footnote>
  <w:footnote w:id="116">
    <w:p w14:paraId="19389D61" w14:textId="77777777" w:rsidR="008F5418" w:rsidRPr="0025044E" w:rsidRDefault="008F5418" w:rsidP="000C389E">
      <w:pPr>
        <w:pStyle w:val="Notedebasdepage"/>
        <w:jc w:val="both"/>
        <w:rPr>
          <w:rFonts w:ascii="Arial" w:hAnsi="Arial" w:cs="Arial"/>
          <w:sz w:val="14"/>
          <w:szCs w:val="14"/>
        </w:rPr>
      </w:pPr>
      <w:r w:rsidRPr="0025044E">
        <w:rPr>
          <w:rStyle w:val="Appelnotedebasdep"/>
          <w:rFonts w:ascii="Arial" w:hAnsi="Arial" w:cs="Arial"/>
          <w:sz w:val="14"/>
          <w:szCs w:val="14"/>
        </w:rPr>
        <w:footnoteRef/>
      </w:r>
      <w:r w:rsidRPr="0025044E">
        <w:rPr>
          <w:rFonts w:ascii="Arial" w:hAnsi="Arial" w:cs="Arial"/>
          <w:sz w:val="14"/>
          <w:szCs w:val="14"/>
        </w:rPr>
        <w:t xml:space="preserve"> TA Rouen, 18 février 2021 ; TA Guyane, 28 octobre 2021</w:t>
      </w:r>
      <w:r>
        <w:rPr>
          <w:rFonts w:ascii="Arial" w:hAnsi="Arial" w:cs="Arial"/>
          <w:sz w:val="14"/>
          <w:szCs w:val="14"/>
        </w:rPr>
        <w:t> ; TA Guadeloupe, 11 octobre 2022</w:t>
      </w:r>
    </w:p>
  </w:footnote>
  <w:footnote w:id="117">
    <w:p w14:paraId="2BFA596C" w14:textId="77777777" w:rsidR="008F5418" w:rsidRPr="0025044E" w:rsidRDefault="008F5418" w:rsidP="0045744D">
      <w:pPr>
        <w:pStyle w:val="Notedebasdepage"/>
        <w:rPr>
          <w:rFonts w:ascii="Arial" w:hAnsi="Arial" w:cs="Arial"/>
          <w:sz w:val="14"/>
          <w:szCs w:val="14"/>
        </w:rPr>
      </w:pPr>
      <w:r w:rsidRPr="0025044E">
        <w:rPr>
          <w:rStyle w:val="Appelnotedebasdep"/>
          <w:rFonts w:ascii="Arial" w:hAnsi="Arial" w:cs="Arial"/>
          <w:sz w:val="14"/>
          <w:szCs w:val="14"/>
        </w:rPr>
        <w:footnoteRef/>
      </w:r>
      <w:r w:rsidRPr="0025044E">
        <w:rPr>
          <w:rFonts w:ascii="Arial" w:hAnsi="Arial" w:cs="Arial"/>
          <w:sz w:val="14"/>
          <w:szCs w:val="14"/>
        </w:rPr>
        <w:t xml:space="preserve"> CE, réf, 10 juin 2020, n° 435594</w:t>
      </w:r>
    </w:p>
  </w:footnote>
  <w:footnote w:id="118">
    <w:p w14:paraId="3E454D24" w14:textId="77777777" w:rsidR="008F5418" w:rsidRPr="0025044E" w:rsidRDefault="008F5418" w:rsidP="0045744D">
      <w:pPr>
        <w:pStyle w:val="Notedebasdepage"/>
        <w:rPr>
          <w:rFonts w:ascii="Arial" w:hAnsi="Arial" w:cs="Arial"/>
          <w:sz w:val="14"/>
          <w:szCs w:val="14"/>
        </w:rPr>
      </w:pPr>
      <w:r w:rsidRPr="0025044E">
        <w:rPr>
          <w:rStyle w:val="Appelnotedebasdep"/>
          <w:rFonts w:ascii="Arial" w:hAnsi="Arial" w:cs="Arial"/>
          <w:sz w:val="14"/>
          <w:szCs w:val="14"/>
        </w:rPr>
        <w:footnoteRef/>
      </w:r>
      <w:r w:rsidRPr="0025044E">
        <w:rPr>
          <w:rFonts w:ascii="Arial" w:hAnsi="Arial" w:cs="Arial"/>
          <w:sz w:val="14"/>
          <w:szCs w:val="14"/>
        </w:rPr>
        <w:t xml:space="preserve"> La LDH, La Cimade, le Gisti, le Secours catholique, le SAF et l’UNEF</w:t>
      </w:r>
    </w:p>
  </w:footnote>
  <w:footnote w:id="119">
    <w:p w14:paraId="03AD2DCE" w14:textId="77777777" w:rsidR="008F5418" w:rsidRPr="0025044E" w:rsidRDefault="008F5418" w:rsidP="0045744D">
      <w:pPr>
        <w:pStyle w:val="Notedebasdepage"/>
        <w:rPr>
          <w:rFonts w:ascii="Arial" w:hAnsi="Arial" w:cs="Arial"/>
          <w:sz w:val="14"/>
          <w:szCs w:val="14"/>
        </w:rPr>
      </w:pPr>
      <w:r w:rsidRPr="0025044E">
        <w:rPr>
          <w:rStyle w:val="Appelnotedebasdep"/>
          <w:rFonts w:ascii="Arial" w:hAnsi="Arial" w:cs="Arial"/>
          <w:sz w:val="14"/>
          <w:szCs w:val="14"/>
        </w:rPr>
        <w:footnoteRef/>
      </w:r>
      <w:r w:rsidRPr="0025044E">
        <w:rPr>
          <w:rFonts w:ascii="Arial" w:hAnsi="Arial" w:cs="Arial"/>
          <w:sz w:val="14"/>
          <w:szCs w:val="14"/>
        </w:rPr>
        <w:t xml:space="preserve"> Articles 8 et 14 de la CESDH</w:t>
      </w:r>
    </w:p>
  </w:footnote>
  <w:footnote w:id="120">
    <w:p w14:paraId="25C2F581" w14:textId="77777777" w:rsidR="008F5418" w:rsidRPr="00D91FD4" w:rsidRDefault="008F5418" w:rsidP="0045744D">
      <w:pPr>
        <w:pStyle w:val="Notedebasdepage"/>
        <w:rPr>
          <w:rFonts w:ascii="Arial" w:hAnsi="Arial" w:cs="Arial"/>
          <w:sz w:val="14"/>
          <w:szCs w:val="14"/>
        </w:rPr>
      </w:pPr>
      <w:r w:rsidRPr="00D91FD4">
        <w:rPr>
          <w:rStyle w:val="Appelnotedebasdep"/>
          <w:rFonts w:ascii="Arial" w:hAnsi="Arial" w:cs="Arial"/>
          <w:sz w:val="14"/>
          <w:szCs w:val="14"/>
        </w:rPr>
        <w:footnoteRef/>
      </w:r>
      <w:r w:rsidRPr="00D91FD4">
        <w:rPr>
          <w:rFonts w:ascii="Arial" w:hAnsi="Arial" w:cs="Arial"/>
          <w:sz w:val="14"/>
          <w:szCs w:val="14"/>
        </w:rPr>
        <w:t xml:space="preserve"> ibid</w:t>
      </w:r>
    </w:p>
  </w:footnote>
  <w:footnote w:id="121">
    <w:p w14:paraId="43511C25" w14:textId="77777777" w:rsidR="008F5418" w:rsidRPr="00D91FD4" w:rsidRDefault="008F5418" w:rsidP="0045744D">
      <w:pPr>
        <w:pStyle w:val="Notedebasdepage"/>
        <w:rPr>
          <w:rFonts w:ascii="Arial" w:hAnsi="Arial" w:cs="Arial"/>
          <w:sz w:val="14"/>
          <w:szCs w:val="14"/>
        </w:rPr>
      </w:pPr>
      <w:r w:rsidRPr="00D91FD4">
        <w:rPr>
          <w:rStyle w:val="Appelnotedebasdep"/>
          <w:rFonts w:ascii="Arial" w:hAnsi="Arial" w:cs="Arial"/>
          <w:sz w:val="14"/>
          <w:szCs w:val="14"/>
        </w:rPr>
        <w:footnoteRef/>
      </w:r>
      <w:r w:rsidRPr="00D91FD4">
        <w:rPr>
          <w:rFonts w:ascii="Arial" w:hAnsi="Arial" w:cs="Arial"/>
          <w:sz w:val="14"/>
          <w:szCs w:val="14"/>
        </w:rPr>
        <w:t xml:space="preserve"> Rapport de 2019 précité, Décision n°2020-142 du 10 juillet 2020 et avis 20-03 du 28 avril 2021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91668"/>
    <w:multiLevelType w:val="multilevel"/>
    <w:tmpl w:val="9170D87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A072307"/>
    <w:multiLevelType w:val="hybridMultilevel"/>
    <w:tmpl w:val="E4C28A6E"/>
    <w:lvl w:ilvl="0" w:tplc="E054A2F4">
      <w:start w:val="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A793BB8"/>
    <w:multiLevelType w:val="hybridMultilevel"/>
    <w:tmpl w:val="97EE0D18"/>
    <w:lvl w:ilvl="0" w:tplc="82020D46">
      <w:start w:val="3"/>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35320F5D"/>
    <w:multiLevelType w:val="hybridMultilevel"/>
    <w:tmpl w:val="547A4F56"/>
    <w:lvl w:ilvl="0" w:tplc="DFCE85AA">
      <w:start w:val="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44CC1ADF"/>
    <w:multiLevelType w:val="hybridMultilevel"/>
    <w:tmpl w:val="41D606D2"/>
    <w:lvl w:ilvl="0" w:tplc="3C1E9D68">
      <w:start w:val="1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47914CE7"/>
    <w:multiLevelType w:val="multilevel"/>
    <w:tmpl w:val="B058B7F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47B64222"/>
    <w:multiLevelType w:val="multilevel"/>
    <w:tmpl w:val="1A00D5FA"/>
    <w:lvl w:ilvl="0">
      <w:start w:val="1"/>
      <w:numFmt w:val="decimal"/>
      <w:lvlText w:val="%1."/>
      <w:lvlJc w:val="right"/>
      <w:pPr>
        <w:ind w:left="360" w:hanging="72"/>
      </w:pPr>
      <w:rPr>
        <w:rFonts w:hint="default"/>
        <w:sz w:val="20"/>
        <w:szCs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4C994780"/>
    <w:multiLevelType w:val="multilevel"/>
    <w:tmpl w:val="624467CE"/>
    <w:lvl w:ilvl="0">
      <w:start w:val="1"/>
      <w:numFmt w:val="decimal"/>
      <w:lvlText w:val="%1"/>
      <w:lvlJc w:val="left"/>
      <w:pPr>
        <w:ind w:left="30" w:hanging="30"/>
      </w:pPr>
      <w:rPr>
        <w:rFonts w:hint="default"/>
        <w:u w:val="none"/>
      </w:rPr>
    </w:lvl>
    <w:lvl w:ilvl="1">
      <w:start w:val="1"/>
      <w:numFmt w:val="decimal"/>
      <w:lvlText w:val="%1.%2"/>
      <w:lvlJc w:val="left"/>
      <w:pPr>
        <w:ind w:left="30" w:hanging="30"/>
      </w:pPr>
      <w:rPr>
        <w:rFonts w:hint="default"/>
        <w:u w:val="none"/>
      </w:rPr>
    </w:lvl>
    <w:lvl w:ilvl="2">
      <w:start w:val="1"/>
      <w:numFmt w:val="decimal"/>
      <w:lvlText w:val="%1.%2.%3"/>
      <w:lvlJc w:val="left"/>
      <w:pPr>
        <w:ind w:left="390" w:hanging="390"/>
      </w:pPr>
      <w:rPr>
        <w:rFonts w:hint="default"/>
        <w:u w:val="none"/>
      </w:rPr>
    </w:lvl>
    <w:lvl w:ilvl="3">
      <w:start w:val="1"/>
      <w:numFmt w:val="decimal"/>
      <w:lvlText w:val="%1.%2.%3.%4"/>
      <w:lvlJc w:val="left"/>
      <w:pPr>
        <w:ind w:left="390" w:hanging="390"/>
      </w:pPr>
      <w:rPr>
        <w:rFonts w:hint="default"/>
        <w:u w:val="none"/>
      </w:rPr>
    </w:lvl>
    <w:lvl w:ilvl="4">
      <w:start w:val="1"/>
      <w:numFmt w:val="decimal"/>
      <w:lvlText w:val="%1.%2.%3.%4.%5"/>
      <w:lvlJc w:val="left"/>
      <w:pPr>
        <w:ind w:left="750" w:hanging="750"/>
      </w:pPr>
      <w:rPr>
        <w:rFonts w:hint="default"/>
        <w:u w:val="none"/>
      </w:rPr>
    </w:lvl>
    <w:lvl w:ilvl="5">
      <w:start w:val="1"/>
      <w:numFmt w:val="decimal"/>
      <w:lvlText w:val="%1.%2.%3.%4.%5.%6"/>
      <w:lvlJc w:val="left"/>
      <w:pPr>
        <w:ind w:left="750" w:hanging="750"/>
      </w:pPr>
      <w:rPr>
        <w:rFonts w:hint="default"/>
        <w:u w:val="none"/>
      </w:rPr>
    </w:lvl>
    <w:lvl w:ilvl="6">
      <w:start w:val="1"/>
      <w:numFmt w:val="decimal"/>
      <w:lvlText w:val="%1.%2.%3.%4.%5.%6.%7"/>
      <w:lvlJc w:val="left"/>
      <w:pPr>
        <w:ind w:left="1110" w:hanging="1110"/>
      </w:pPr>
      <w:rPr>
        <w:rFonts w:hint="default"/>
        <w:u w:val="none"/>
      </w:rPr>
    </w:lvl>
    <w:lvl w:ilvl="7">
      <w:start w:val="1"/>
      <w:numFmt w:val="decimal"/>
      <w:lvlText w:val="%1.%2.%3.%4.%5.%6.%7.%8"/>
      <w:lvlJc w:val="left"/>
      <w:pPr>
        <w:ind w:left="1110" w:hanging="1110"/>
      </w:pPr>
      <w:rPr>
        <w:rFonts w:hint="default"/>
        <w:u w:val="none"/>
      </w:rPr>
    </w:lvl>
    <w:lvl w:ilvl="8">
      <w:start w:val="1"/>
      <w:numFmt w:val="decimal"/>
      <w:lvlText w:val="%1.%2.%3.%4.%5.%6.%7.%8.%9"/>
      <w:lvlJc w:val="left"/>
      <w:pPr>
        <w:ind w:left="1470" w:hanging="1470"/>
      </w:pPr>
      <w:rPr>
        <w:rFonts w:hint="default"/>
        <w:u w:val="none"/>
      </w:rPr>
    </w:lvl>
  </w:abstractNum>
  <w:abstractNum w:abstractNumId="8" w15:restartNumberingAfterBreak="0">
    <w:nsid w:val="54E217D1"/>
    <w:multiLevelType w:val="hybridMultilevel"/>
    <w:tmpl w:val="BA9CA280"/>
    <w:lvl w:ilvl="0" w:tplc="12A45B02">
      <w:start w:val="43"/>
      <w:numFmt w:val="bullet"/>
      <w:lvlText w:val="-"/>
      <w:lvlJc w:val="left"/>
      <w:pPr>
        <w:ind w:left="1065" w:hanging="360"/>
      </w:pPr>
      <w:rPr>
        <w:rFonts w:ascii="Arial" w:eastAsiaTheme="minorEastAsia" w:hAnsi="Arial" w:cs="Arial" w:hint="default"/>
      </w:rPr>
    </w:lvl>
    <w:lvl w:ilvl="1" w:tplc="040C0003" w:tentative="1">
      <w:start w:val="1"/>
      <w:numFmt w:val="bullet"/>
      <w:lvlText w:val="o"/>
      <w:lvlJc w:val="left"/>
      <w:pPr>
        <w:ind w:left="1785" w:hanging="360"/>
      </w:pPr>
      <w:rPr>
        <w:rFonts w:ascii="Courier New" w:hAnsi="Courier New" w:cs="Courier New" w:hint="default"/>
      </w:rPr>
    </w:lvl>
    <w:lvl w:ilvl="2" w:tplc="040C0005" w:tentative="1">
      <w:start w:val="1"/>
      <w:numFmt w:val="bullet"/>
      <w:lvlText w:val=""/>
      <w:lvlJc w:val="left"/>
      <w:pPr>
        <w:ind w:left="2505" w:hanging="360"/>
      </w:pPr>
      <w:rPr>
        <w:rFonts w:ascii="Wingdings" w:hAnsi="Wingdings" w:hint="default"/>
      </w:rPr>
    </w:lvl>
    <w:lvl w:ilvl="3" w:tplc="040C0001" w:tentative="1">
      <w:start w:val="1"/>
      <w:numFmt w:val="bullet"/>
      <w:lvlText w:val=""/>
      <w:lvlJc w:val="left"/>
      <w:pPr>
        <w:ind w:left="3225" w:hanging="360"/>
      </w:pPr>
      <w:rPr>
        <w:rFonts w:ascii="Symbol" w:hAnsi="Symbol" w:hint="default"/>
      </w:rPr>
    </w:lvl>
    <w:lvl w:ilvl="4" w:tplc="040C0003" w:tentative="1">
      <w:start w:val="1"/>
      <w:numFmt w:val="bullet"/>
      <w:lvlText w:val="o"/>
      <w:lvlJc w:val="left"/>
      <w:pPr>
        <w:ind w:left="3945" w:hanging="360"/>
      </w:pPr>
      <w:rPr>
        <w:rFonts w:ascii="Courier New" w:hAnsi="Courier New" w:cs="Courier New" w:hint="default"/>
      </w:rPr>
    </w:lvl>
    <w:lvl w:ilvl="5" w:tplc="040C0005" w:tentative="1">
      <w:start w:val="1"/>
      <w:numFmt w:val="bullet"/>
      <w:lvlText w:val=""/>
      <w:lvlJc w:val="left"/>
      <w:pPr>
        <w:ind w:left="4665" w:hanging="360"/>
      </w:pPr>
      <w:rPr>
        <w:rFonts w:ascii="Wingdings" w:hAnsi="Wingdings" w:hint="default"/>
      </w:rPr>
    </w:lvl>
    <w:lvl w:ilvl="6" w:tplc="040C0001" w:tentative="1">
      <w:start w:val="1"/>
      <w:numFmt w:val="bullet"/>
      <w:lvlText w:val=""/>
      <w:lvlJc w:val="left"/>
      <w:pPr>
        <w:ind w:left="5385" w:hanging="360"/>
      </w:pPr>
      <w:rPr>
        <w:rFonts w:ascii="Symbol" w:hAnsi="Symbol" w:hint="default"/>
      </w:rPr>
    </w:lvl>
    <w:lvl w:ilvl="7" w:tplc="040C0003" w:tentative="1">
      <w:start w:val="1"/>
      <w:numFmt w:val="bullet"/>
      <w:lvlText w:val="o"/>
      <w:lvlJc w:val="left"/>
      <w:pPr>
        <w:ind w:left="6105" w:hanging="360"/>
      </w:pPr>
      <w:rPr>
        <w:rFonts w:ascii="Courier New" w:hAnsi="Courier New" w:cs="Courier New" w:hint="default"/>
      </w:rPr>
    </w:lvl>
    <w:lvl w:ilvl="8" w:tplc="040C0005" w:tentative="1">
      <w:start w:val="1"/>
      <w:numFmt w:val="bullet"/>
      <w:lvlText w:val=""/>
      <w:lvlJc w:val="left"/>
      <w:pPr>
        <w:ind w:left="6825" w:hanging="360"/>
      </w:pPr>
      <w:rPr>
        <w:rFonts w:ascii="Wingdings" w:hAnsi="Wingdings" w:hint="default"/>
      </w:rPr>
    </w:lvl>
  </w:abstractNum>
  <w:abstractNum w:abstractNumId="9" w15:restartNumberingAfterBreak="0">
    <w:nsid w:val="5ACF0DE9"/>
    <w:multiLevelType w:val="multilevel"/>
    <w:tmpl w:val="70F6EB7E"/>
    <w:lvl w:ilvl="0">
      <w:start w:val="1"/>
      <w:numFmt w:val="decimal"/>
      <w:lvlText w:val="%1."/>
      <w:lvlJc w:val="left"/>
      <w:pPr>
        <w:ind w:left="720" w:hanging="360"/>
      </w:pPr>
      <w:rPr>
        <w:rFonts w:hint="default"/>
      </w:rPr>
    </w:lvl>
    <w:lvl w:ilvl="1">
      <w:start w:val="1"/>
      <w:numFmt w:val="decimal"/>
      <w:isLgl/>
      <w:lvlText w:val="%1.%2"/>
      <w:lvlJc w:val="left"/>
      <w:pPr>
        <w:ind w:left="390" w:hanging="30"/>
      </w:pPr>
      <w:rPr>
        <w:rFonts w:hint="default"/>
        <w:u w:val="none"/>
      </w:rPr>
    </w:lvl>
    <w:lvl w:ilvl="2">
      <w:start w:val="1"/>
      <w:numFmt w:val="decimal"/>
      <w:isLgl/>
      <w:lvlText w:val="%1.%2.%3"/>
      <w:lvlJc w:val="left"/>
      <w:pPr>
        <w:ind w:left="750" w:hanging="390"/>
      </w:pPr>
      <w:rPr>
        <w:rFonts w:hint="default"/>
        <w:u w:val="none"/>
      </w:rPr>
    </w:lvl>
    <w:lvl w:ilvl="3">
      <w:start w:val="1"/>
      <w:numFmt w:val="decimal"/>
      <w:isLgl/>
      <w:lvlText w:val="%1.%2.%3.%4"/>
      <w:lvlJc w:val="left"/>
      <w:pPr>
        <w:ind w:left="750" w:hanging="390"/>
      </w:pPr>
      <w:rPr>
        <w:rFonts w:hint="default"/>
        <w:u w:val="none"/>
      </w:rPr>
    </w:lvl>
    <w:lvl w:ilvl="4">
      <w:start w:val="1"/>
      <w:numFmt w:val="decimal"/>
      <w:isLgl/>
      <w:lvlText w:val="%1.%2.%3.%4.%5"/>
      <w:lvlJc w:val="left"/>
      <w:pPr>
        <w:ind w:left="1110" w:hanging="750"/>
      </w:pPr>
      <w:rPr>
        <w:rFonts w:hint="default"/>
        <w:u w:val="none"/>
      </w:rPr>
    </w:lvl>
    <w:lvl w:ilvl="5">
      <w:start w:val="1"/>
      <w:numFmt w:val="decimal"/>
      <w:isLgl/>
      <w:lvlText w:val="%1.%2.%3.%4.%5.%6"/>
      <w:lvlJc w:val="left"/>
      <w:pPr>
        <w:ind w:left="1110" w:hanging="750"/>
      </w:pPr>
      <w:rPr>
        <w:rFonts w:hint="default"/>
        <w:u w:val="none"/>
      </w:rPr>
    </w:lvl>
    <w:lvl w:ilvl="6">
      <w:start w:val="1"/>
      <w:numFmt w:val="decimal"/>
      <w:isLgl/>
      <w:lvlText w:val="%1.%2.%3.%4.%5.%6.%7"/>
      <w:lvlJc w:val="left"/>
      <w:pPr>
        <w:ind w:left="1470" w:hanging="1110"/>
      </w:pPr>
      <w:rPr>
        <w:rFonts w:hint="default"/>
        <w:u w:val="none"/>
      </w:rPr>
    </w:lvl>
    <w:lvl w:ilvl="7">
      <w:start w:val="1"/>
      <w:numFmt w:val="decimal"/>
      <w:isLgl/>
      <w:lvlText w:val="%1.%2.%3.%4.%5.%6.%7.%8"/>
      <w:lvlJc w:val="left"/>
      <w:pPr>
        <w:ind w:left="1470" w:hanging="1110"/>
      </w:pPr>
      <w:rPr>
        <w:rFonts w:hint="default"/>
        <w:u w:val="none"/>
      </w:rPr>
    </w:lvl>
    <w:lvl w:ilvl="8">
      <w:start w:val="1"/>
      <w:numFmt w:val="decimal"/>
      <w:isLgl/>
      <w:lvlText w:val="%1.%2.%3.%4.%5.%6.%7.%8.%9"/>
      <w:lvlJc w:val="left"/>
      <w:pPr>
        <w:ind w:left="1830" w:hanging="1470"/>
      </w:pPr>
      <w:rPr>
        <w:rFonts w:hint="default"/>
        <w:u w:val="none"/>
      </w:rPr>
    </w:lvl>
  </w:abstractNum>
  <w:abstractNum w:abstractNumId="10" w15:restartNumberingAfterBreak="0">
    <w:nsid w:val="5D315800"/>
    <w:multiLevelType w:val="hybridMultilevel"/>
    <w:tmpl w:val="F1504EE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76561661"/>
    <w:multiLevelType w:val="hybridMultilevel"/>
    <w:tmpl w:val="40D8FEAA"/>
    <w:lvl w:ilvl="0" w:tplc="B9F20EDA">
      <w:start w:val="3"/>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76810E66"/>
    <w:multiLevelType w:val="multilevel"/>
    <w:tmpl w:val="F8687192"/>
    <w:lvl w:ilvl="0">
      <w:start w:val="1"/>
      <w:numFmt w:val="decimal"/>
      <w:lvlText w:val="%1."/>
      <w:lvlJc w:val="left"/>
      <w:pPr>
        <w:ind w:left="720" w:hanging="360"/>
      </w:pPr>
      <w:rPr>
        <w:rFonts w:asciiTheme="minorHAnsi" w:hAnsiTheme="minorHAnsi" w:cstheme="minorBidi" w:hint="default"/>
        <w:b w:val="0"/>
        <w:sz w:val="22"/>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9"/>
  </w:num>
  <w:num w:numId="2">
    <w:abstractNumId w:val="8"/>
  </w:num>
  <w:num w:numId="3">
    <w:abstractNumId w:val="5"/>
  </w:num>
  <w:num w:numId="4">
    <w:abstractNumId w:val="4"/>
  </w:num>
  <w:num w:numId="5">
    <w:abstractNumId w:val="2"/>
  </w:num>
  <w:num w:numId="6">
    <w:abstractNumId w:val="10"/>
  </w:num>
  <w:num w:numId="7">
    <w:abstractNumId w:val="3"/>
  </w:num>
  <w:num w:numId="8">
    <w:abstractNumId w:val="1"/>
  </w:num>
  <w:num w:numId="9">
    <w:abstractNumId w:val="6"/>
  </w:num>
  <w:num w:numId="10">
    <w:abstractNumId w:val="7"/>
  </w:num>
  <w:num w:numId="11">
    <w:abstractNumId w:val="11"/>
  </w:num>
  <w:num w:numId="12">
    <w:abstractNumId w:val="1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744D"/>
    <w:rsid w:val="000068D6"/>
    <w:rsid w:val="00037036"/>
    <w:rsid w:val="000A79D6"/>
    <w:rsid w:val="000C0044"/>
    <w:rsid w:val="000C389E"/>
    <w:rsid w:val="00101DBE"/>
    <w:rsid w:val="00143B5B"/>
    <w:rsid w:val="00182FB9"/>
    <w:rsid w:val="00187422"/>
    <w:rsid w:val="001A6B96"/>
    <w:rsid w:val="001B3494"/>
    <w:rsid w:val="001C1168"/>
    <w:rsid w:val="001F7203"/>
    <w:rsid w:val="00205019"/>
    <w:rsid w:val="00227041"/>
    <w:rsid w:val="00274A4F"/>
    <w:rsid w:val="00287654"/>
    <w:rsid w:val="00287F9A"/>
    <w:rsid w:val="002A7712"/>
    <w:rsid w:val="002D617C"/>
    <w:rsid w:val="003358D3"/>
    <w:rsid w:val="00337FB3"/>
    <w:rsid w:val="00356867"/>
    <w:rsid w:val="00360448"/>
    <w:rsid w:val="0038095E"/>
    <w:rsid w:val="003C3849"/>
    <w:rsid w:val="003D7982"/>
    <w:rsid w:val="00400DA4"/>
    <w:rsid w:val="004322CF"/>
    <w:rsid w:val="004425B2"/>
    <w:rsid w:val="004508A4"/>
    <w:rsid w:val="0045744D"/>
    <w:rsid w:val="0046624C"/>
    <w:rsid w:val="004750DE"/>
    <w:rsid w:val="0047782E"/>
    <w:rsid w:val="00491F36"/>
    <w:rsid w:val="00496EEF"/>
    <w:rsid w:val="004C4F8F"/>
    <w:rsid w:val="004F0B9B"/>
    <w:rsid w:val="004F472F"/>
    <w:rsid w:val="004F6CD1"/>
    <w:rsid w:val="004F7ABE"/>
    <w:rsid w:val="0051108B"/>
    <w:rsid w:val="00526E57"/>
    <w:rsid w:val="0057076C"/>
    <w:rsid w:val="005772B1"/>
    <w:rsid w:val="00581C13"/>
    <w:rsid w:val="00584685"/>
    <w:rsid w:val="0059241F"/>
    <w:rsid w:val="00597182"/>
    <w:rsid w:val="005A36B1"/>
    <w:rsid w:val="005B0E68"/>
    <w:rsid w:val="00613D9A"/>
    <w:rsid w:val="00640D9E"/>
    <w:rsid w:val="00672727"/>
    <w:rsid w:val="0067626D"/>
    <w:rsid w:val="00680A5C"/>
    <w:rsid w:val="006953E4"/>
    <w:rsid w:val="006A15B1"/>
    <w:rsid w:val="006A1F4A"/>
    <w:rsid w:val="006C2D6C"/>
    <w:rsid w:val="006E0779"/>
    <w:rsid w:val="006F07C9"/>
    <w:rsid w:val="00722A3F"/>
    <w:rsid w:val="00722CA4"/>
    <w:rsid w:val="007532D0"/>
    <w:rsid w:val="00771D78"/>
    <w:rsid w:val="00773253"/>
    <w:rsid w:val="007843DD"/>
    <w:rsid w:val="00794D6C"/>
    <w:rsid w:val="007E0786"/>
    <w:rsid w:val="007F23E0"/>
    <w:rsid w:val="007F758F"/>
    <w:rsid w:val="00834945"/>
    <w:rsid w:val="00853F91"/>
    <w:rsid w:val="0089504E"/>
    <w:rsid w:val="008E2CB9"/>
    <w:rsid w:val="008F5418"/>
    <w:rsid w:val="008F548F"/>
    <w:rsid w:val="008F762E"/>
    <w:rsid w:val="0091202C"/>
    <w:rsid w:val="00913572"/>
    <w:rsid w:val="00921ACB"/>
    <w:rsid w:val="009302FD"/>
    <w:rsid w:val="00941BC0"/>
    <w:rsid w:val="00957759"/>
    <w:rsid w:val="00976043"/>
    <w:rsid w:val="009866EC"/>
    <w:rsid w:val="00A10BC3"/>
    <w:rsid w:val="00A15216"/>
    <w:rsid w:val="00A227CE"/>
    <w:rsid w:val="00A37B18"/>
    <w:rsid w:val="00A549EE"/>
    <w:rsid w:val="00A73209"/>
    <w:rsid w:val="00A7534A"/>
    <w:rsid w:val="00A856CA"/>
    <w:rsid w:val="00A85F8D"/>
    <w:rsid w:val="00A9341F"/>
    <w:rsid w:val="00AD184E"/>
    <w:rsid w:val="00AE12A1"/>
    <w:rsid w:val="00B1292F"/>
    <w:rsid w:val="00B34DB6"/>
    <w:rsid w:val="00B53346"/>
    <w:rsid w:val="00B71394"/>
    <w:rsid w:val="00B77BA4"/>
    <w:rsid w:val="00BA5DA0"/>
    <w:rsid w:val="00BC69DC"/>
    <w:rsid w:val="00BD5213"/>
    <w:rsid w:val="00BD5447"/>
    <w:rsid w:val="00C03648"/>
    <w:rsid w:val="00C12041"/>
    <w:rsid w:val="00C42559"/>
    <w:rsid w:val="00C50EB0"/>
    <w:rsid w:val="00C606B5"/>
    <w:rsid w:val="00C66120"/>
    <w:rsid w:val="00CB3515"/>
    <w:rsid w:val="00CB7AD3"/>
    <w:rsid w:val="00CF23CD"/>
    <w:rsid w:val="00CF27BD"/>
    <w:rsid w:val="00CF2B55"/>
    <w:rsid w:val="00D21531"/>
    <w:rsid w:val="00D27E42"/>
    <w:rsid w:val="00D32E79"/>
    <w:rsid w:val="00D32F0B"/>
    <w:rsid w:val="00D770E5"/>
    <w:rsid w:val="00DA1B43"/>
    <w:rsid w:val="00DB197C"/>
    <w:rsid w:val="00DB4934"/>
    <w:rsid w:val="00DB5EA2"/>
    <w:rsid w:val="00DD2127"/>
    <w:rsid w:val="00DE1E5B"/>
    <w:rsid w:val="00DF4FE9"/>
    <w:rsid w:val="00E02A0A"/>
    <w:rsid w:val="00E149FB"/>
    <w:rsid w:val="00E21E3F"/>
    <w:rsid w:val="00E51620"/>
    <w:rsid w:val="00E522E1"/>
    <w:rsid w:val="00E52C59"/>
    <w:rsid w:val="00E620B3"/>
    <w:rsid w:val="00E90331"/>
    <w:rsid w:val="00E94C82"/>
    <w:rsid w:val="00EA392D"/>
    <w:rsid w:val="00EE3812"/>
    <w:rsid w:val="00EE47A0"/>
    <w:rsid w:val="00F26721"/>
    <w:rsid w:val="00F53F66"/>
    <w:rsid w:val="00F73691"/>
    <w:rsid w:val="00F74895"/>
    <w:rsid w:val="00F76C5A"/>
    <w:rsid w:val="00FA1608"/>
    <w:rsid w:val="00FA732D"/>
    <w:rsid w:val="00FF2DC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960531"/>
  <w15:docId w15:val="{C35BA804-A599-4E9B-8538-EA32EE957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1">
    <w:name w:val="heading 1"/>
    <w:basedOn w:val="Normal"/>
    <w:next w:val="Normal"/>
    <w:link w:val="Titre1Car"/>
    <w:uiPriority w:val="9"/>
    <w:qFormat/>
    <w:rsid w:val="0045744D"/>
    <w:pPr>
      <w:keepNext/>
      <w:keepLines/>
      <w:spacing w:before="480" w:after="0" w:line="240" w:lineRule="auto"/>
      <w:outlineLvl w:val="0"/>
    </w:pPr>
    <w:rPr>
      <w:rFonts w:ascii="Arial" w:eastAsiaTheme="majorEastAsia" w:hAnsi="Arial" w:cstheme="majorBidi"/>
      <w:b/>
      <w:bCs/>
      <w:sz w:val="20"/>
      <w:szCs w:val="32"/>
      <w:lang w:val="en-US"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45744D"/>
    <w:rPr>
      <w:rFonts w:ascii="Arial" w:eastAsiaTheme="majorEastAsia" w:hAnsi="Arial" w:cstheme="majorBidi"/>
      <w:b/>
      <w:bCs/>
      <w:sz w:val="20"/>
      <w:szCs w:val="32"/>
      <w:lang w:val="en-US" w:eastAsia="fr-FR"/>
    </w:rPr>
  </w:style>
  <w:style w:type="character" w:styleId="Lienhypertexte">
    <w:name w:val="Hyperlink"/>
    <w:basedOn w:val="Policepardfaut"/>
    <w:uiPriority w:val="99"/>
    <w:unhideWhenUsed/>
    <w:rsid w:val="0045744D"/>
    <w:rPr>
      <w:color w:val="0563C1" w:themeColor="hyperlink"/>
      <w:u w:val="single"/>
    </w:rPr>
  </w:style>
  <w:style w:type="paragraph" w:styleId="TM1">
    <w:name w:val="toc 1"/>
    <w:basedOn w:val="Normal"/>
    <w:next w:val="Normal"/>
    <w:autoRedefine/>
    <w:uiPriority w:val="39"/>
    <w:unhideWhenUsed/>
    <w:rsid w:val="0045744D"/>
    <w:pPr>
      <w:spacing w:before="120" w:after="120" w:line="240" w:lineRule="auto"/>
    </w:pPr>
    <w:rPr>
      <w:rFonts w:eastAsiaTheme="minorEastAsia"/>
      <w:b/>
      <w:bCs/>
      <w:caps/>
      <w:sz w:val="20"/>
      <w:szCs w:val="20"/>
      <w:lang w:val="en-US" w:eastAsia="fr-FR"/>
    </w:rPr>
  </w:style>
  <w:style w:type="paragraph" w:styleId="TM2">
    <w:name w:val="toc 2"/>
    <w:basedOn w:val="Normal"/>
    <w:next w:val="Normal"/>
    <w:autoRedefine/>
    <w:uiPriority w:val="39"/>
    <w:unhideWhenUsed/>
    <w:rsid w:val="0045744D"/>
    <w:pPr>
      <w:spacing w:after="0" w:line="240" w:lineRule="auto"/>
      <w:ind w:left="240"/>
    </w:pPr>
    <w:rPr>
      <w:rFonts w:eastAsiaTheme="minorEastAsia"/>
      <w:smallCaps/>
      <w:sz w:val="20"/>
      <w:szCs w:val="20"/>
      <w:lang w:val="en-US" w:eastAsia="fr-FR"/>
    </w:rPr>
  </w:style>
  <w:style w:type="paragraph" w:styleId="TM3">
    <w:name w:val="toc 3"/>
    <w:basedOn w:val="Normal"/>
    <w:next w:val="Normal"/>
    <w:autoRedefine/>
    <w:uiPriority w:val="39"/>
    <w:unhideWhenUsed/>
    <w:rsid w:val="0045744D"/>
    <w:pPr>
      <w:spacing w:after="0" w:line="240" w:lineRule="auto"/>
      <w:ind w:left="480"/>
    </w:pPr>
    <w:rPr>
      <w:rFonts w:eastAsiaTheme="minorEastAsia"/>
      <w:i/>
      <w:iCs/>
      <w:sz w:val="20"/>
      <w:szCs w:val="20"/>
      <w:lang w:val="en-US" w:eastAsia="fr-FR"/>
    </w:rPr>
  </w:style>
  <w:style w:type="paragraph" w:customStyle="1" w:styleId="Notedebasdepage1">
    <w:name w:val="Note de bas de page1"/>
    <w:basedOn w:val="Normal"/>
    <w:next w:val="Notedebasdepage"/>
    <w:link w:val="NotedebasdepageCar"/>
    <w:uiPriority w:val="99"/>
    <w:semiHidden/>
    <w:unhideWhenUsed/>
    <w:rsid w:val="0045744D"/>
    <w:pPr>
      <w:spacing w:after="0" w:line="240" w:lineRule="auto"/>
    </w:pPr>
    <w:rPr>
      <w:sz w:val="20"/>
      <w:szCs w:val="20"/>
    </w:rPr>
  </w:style>
  <w:style w:type="paragraph" w:styleId="Notedebasdepage">
    <w:name w:val="footnote text"/>
    <w:aliases w:val="5_G"/>
    <w:basedOn w:val="Normal"/>
    <w:link w:val="NotedebasdepageCar1"/>
    <w:uiPriority w:val="99"/>
    <w:unhideWhenUsed/>
    <w:qFormat/>
    <w:rsid w:val="0045744D"/>
    <w:pPr>
      <w:spacing w:after="0" w:line="240" w:lineRule="auto"/>
    </w:pPr>
    <w:rPr>
      <w:sz w:val="20"/>
      <w:szCs w:val="20"/>
    </w:rPr>
  </w:style>
  <w:style w:type="character" w:customStyle="1" w:styleId="NotedebasdepageCar1">
    <w:name w:val="Note de bas de page Car1"/>
    <w:aliases w:val="5_G Car1"/>
    <w:basedOn w:val="Policepardfaut"/>
    <w:link w:val="Notedebasdepage"/>
    <w:uiPriority w:val="99"/>
    <w:rsid w:val="0045744D"/>
    <w:rPr>
      <w:sz w:val="20"/>
      <w:szCs w:val="20"/>
    </w:rPr>
  </w:style>
  <w:style w:type="character" w:customStyle="1" w:styleId="NotedebasdepageCar">
    <w:name w:val="Note de bas de page Car"/>
    <w:aliases w:val="5_G Car"/>
    <w:basedOn w:val="Policepardfaut"/>
    <w:link w:val="Notedebasdepage1"/>
    <w:uiPriority w:val="99"/>
    <w:semiHidden/>
    <w:rsid w:val="0045744D"/>
    <w:rPr>
      <w:sz w:val="20"/>
      <w:szCs w:val="20"/>
    </w:rPr>
  </w:style>
  <w:style w:type="character" w:styleId="Appelnotedebasdep">
    <w:name w:val="footnote reference"/>
    <w:aliases w:val="4_G"/>
    <w:basedOn w:val="Policepardfaut"/>
    <w:uiPriority w:val="99"/>
    <w:unhideWhenUsed/>
    <w:qFormat/>
    <w:rsid w:val="0045744D"/>
    <w:rPr>
      <w:vertAlign w:val="superscript"/>
    </w:rPr>
  </w:style>
  <w:style w:type="table" w:styleId="Grilledutableau">
    <w:name w:val="Table Grid"/>
    <w:basedOn w:val="TableauNormal"/>
    <w:uiPriority w:val="59"/>
    <w:rsid w:val="0045744D"/>
    <w:pPr>
      <w:spacing w:after="0" w:line="240" w:lineRule="auto"/>
    </w:pPr>
    <w:rPr>
      <w:rFonts w:eastAsiaTheme="minorEastAsia"/>
      <w:sz w:val="24"/>
      <w:szCs w:val="24"/>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45744D"/>
    <w:pPr>
      <w:ind w:left="720"/>
      <w:contextualSpacing/>
    </w:pPr>
  </w:style>
  <w:style w:type="paragraph" w:styleId="En-tte">
    <w:name w:val="header"/>
    <w:basedOn w:val="Normal"/>
    <w:link w:val="En-tteCar"/>
    <w:uiPriority w:val="99"/>
    <w:unhideWhenUsed/>
    <w:rsid w:val="0045744D"/>
    <w:pPr>
      <w:tabs>
        <w:tab w:val="center" w:pos="4536"/>
        <w:tab w:val="right" w:pos="9072"/>
      </w:tabs>
      <w:spacing w:after="0" w:line="240" w:lineRule="auto"/>
    </w:pPr>
  </w:style>
  <w:style w:type="character" w:customStyle="1" w:styleId="En-tteCar">
    <w:name w:val="En-tête Car"/>
    <w:basedOn w:val="Policepardfaut"/>
    <w:link w:val="En-tte"/>
    <w:uiPriority w:val="99"/>
    <w:rsid w:val="0045744D"/>
  </w:style>
  <w:style w:type="paragraph" w:styleId="Pieddepage">
    <w:name w:val="footer"/>
    <w:basedOn w:val="Normal"/>
    <w:link w:val="PieddepageCar"/>
    <w:uiPriority w:val="99"/>
    <w:unhideWhenUsed/>
    <w:rsid w:val="0045744D"/>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45744D"/>
  </w:style>
  <w:style w:type="character" w:customStyle="1" w:styleId="TextedebullesCar">
    <w:name w:val="Texte de bulles Car"/>
    <w:basedOn w:val="Policepardfaut"/>
    <w:link w:val="Textedebulles"/>
    <w:uiPriority w:val="99"/>
    <w:semiHidden/>
    <w:rsid w:val="0045744D"/>
    <w:rPr>
      <w:rFonts w:ascii="Segoe UI" w:hAnsi="Segoe UI" w:cs="Segoe UI"/>
      <w:sz w:val="18"/>
      <w:szCs w:val="18"/>
    </w:rPr>
  </w:style>
  <w:style w:type="paragraph" w:styleId="Textedebulles">
    <w:name w:val="Balloon Text"/>
    <w:basedOn w:val="Normal"/>
    <w:link w:val="TextedebullesCar"/>
    <w:uiPriority w:val="99"/>
    <w:semiHidden/>
    <w:unhideWhenUsed/>
    <w:rsid w:val="0045744D"/>
    <w:pPr>
      <w:spacing w:after="0" w:line="240" w:lineRule="auto"/>
    </w:pPr>
    <w:rPr>
      <w:rFonts w:ascii="Segoe UI" w:hAnsi="Segoe UI" w:cs="Segoe UI"/>
      <w:sz w:val="18"/>
      <w:szCs w:val="18"/>
    </w:rPr>
  </w:style>
  <w:style w:type="character" w:styleId="Lienhypertextesuivivisit">
    <w:name w:val="FollowedHyperlink"/>
    <w:basedOn w:val="Policepardfaut"/>
    <w:uiPriority w:val="99"/>
    <w:semiHidden/>
    <w:unhideWhenUsed/>
    <w:rsid w:val="0045744D"/>
    <w:rPr>
      <w:color w:val="954F72" w:themeColor="followedHyperlink"/>
      <w:u w:val="single"/>
    </w:rPr>
  </w:style>
  <w:style w:type="paragraph" w:styleId="Retraitcorpsdetexte">
    <w:name w:val="Body Text Indent"/>
    <w:basedOn w:val="Normal"/>
    <w:link w:val="RetraitcorpsdetexteCar"/>
    <w:semiHidden/>
    <w:rsid w:val="0045744D"/>
    <w:pPr>
      <w:spacing w:after="0" w:line="240" w:lineRule="auto"/>
      <w:ind w:left="1065"/>
      <w:jc w:val="both"/>
    </w:pPr>
    <w:rPr>
      <w:rFonts w:ascii="Arial" w:eastAsia="Times New Roman" w:hAnsi="Arial" w:cs="Arial"/>
      <w:b/>
      <w:bCs/>
      <w:sz w:val="24"/>
      <w:szCs w:val="24"/>
      <w:lang w:eastAsia="fr-FR"/>
    </w:rPr>
  </w:style>
  <w:style w:type="character" w:customStyle="1" w:styleId="RetraitcorpsdetexteCar">
    <w:name w:val="Retrait corps de texte Car"/>
    <w:basedOn w:val="Policepardfaut"/>
    <w:link w:val="Retraitcorpsdetexte"/>
    <w:semiHidden/>
    <w:rsid w:val="0045744D"/>
    <w:rPr>
      <w:rFonts w:ascii="Arial" w:eastAsia="Times New Roman" w:hAnsi="Arial" w:cs="Arial"/>
      <w:b/>
      <w:bCs/>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ldh-france.or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dh@ldh-france.org"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cid:image001.gif@01D01ED4.94ADC2E0"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www.ldh-france.org/controles-didentite-au-facies-amendements-changent-donne-artifices-escamoter-debat/https://" TargetMode="External"/><Relationship Id="rId13" Type="http://schemas.openxmlformats.org/officeDocument/2006/relationships/hyperlink" Target="https://maruemesdroits.org/communique-saisine-conseil-detat/" TargetMode="External"/><Relationship Id="rId18" Type="http://schemas.openxmlformats.org/officeDocument/2006/relationships/hyperlink" Target="https://defenseurdesdroits.fr/sites/default/files/atoms/files/cr_deplacement_ddd_guyane_2016.pdf" TargetMode="External"/><Relationship Id="rId26" Type="http://schemas.openxmlformats.org/officeDocument/2006/relationships/hyperlink" Target="https://www.gisti.org/IMG/pdf/jur_ta_mayotte_ord_rl_2021-10-28-2.pdf" TargetMode="External"/><Relationship Id="rId3" Type="http://schemas.openxmlformats.org/officeDocument/2006/relationships/hyperlink" Target="https://www.ldh-france.org/les-maires-ignorent-letat-droit-complicite-du-ministre-linterieur/" TargetMode="External"/><Relationship Id="rId21" Type="http://schemas.openxmlformats.org/officeDocument/2006/relationships/hyperlink" Target="https://www.defenseurdesdroits.fr/sites/default/files/atoms/files/dde_mayotte_2015_definitif.pdf" TargetMode="External"/><Relationship Id="rId7" Type="http://schemas.openxmlformats.org/officeDocument/2006/relationships/hyperlink" Target="https://maruemesdroits.org/communique-saisine-conseil-detat/" TargetMode="External"/><Relationship Id="rId12" Type="http://schemas.openxmlformats.org/officeDocument/2006/relationships/hyperlink" Target="https://maruemesdroits.org/tribune-dans-le-monde/" TargetMode="External"/><Relationship Id="rId17" Type="http://schemas.openxmlformats.org/officeDocument/2006/relationships/hyperlink" Target="https://www.migrantsoutremer.org/IMG/pdf/halde_delib-education-guyane_2009-09-14.pdf" TargetMode="External"/><Relationship Id="rId25" Type="http://schemas.openxmlformats.org/officeDocument/2006/relationships/hyperlink" Target="https://www.gisti.org/IMG/pdf/req_rl_scolarisation_mayotte.pdf" TargetMode="External"/><Relationship Id="rId2" Type="http://schemas.openxmlformats.org/officeDocument/2006/relationships/hyperlink" Target="https://www.lemonde.fr/religions/article/2016/08/17/valls-s-empare-de-la-polemique-du-burkini_4983860_1653130.html" TargetMode="External"/><Relationship Id="rId16" Type="http://schemas.openxmlformats.org/officeDocument/2006/relationships/hyperlink" Target="http://www.fnasat.asso.fr/Synth%C3%A8seLalocalisationdel%E2%80%99offrepubliquedaccueiletdhabitatdesGensduvoyage.pdf" TargetMode="External"/><Relationship Id="rId20" Type="http://schemas.openxmlformats.org/officeDocument/2006/relationships/hyperlink" Target="https://juridique.defenseurdesdroits.fr/doc_num.php?explnum_id=7625" TargetMode="External"/><Relationship Id="rId29" Type="http://schemas.openxmlformats.org/officeDocument/2006/relationships/hyperlink" Target="https://www.dalloz.fr/documentation/Document?id=CASS_LIEUVIDE_2022-09-21_2240012" TargetMode="External"/><Relationship Id="rId1" Type="http://schemas.openxmlformats.org/officeDocument/2006/relationships/hyperlink" Target="https://www.legifrance.gouv.fr/download/pdf/circ?id=44602" TargetMode="External"/><Relationship Id="rId6" Type="http://schemas.openxmlformats.org/officeDocument/2006/relationships/hyperlink" Target="https://www.mediapart.fr/journal/france/090222/la-prefecture-de-paris-prive-les-hijabeuses-d-un-match-devant-l-assemblee" TargetMode="External"/><Relationship Id="rId11" Type="http://schemas.openxmlformats.org/officeDocument/2006/relationships/hyperlink" Target="https://www.ldh-france.org/letau-se-resserre-les-controles-didentite-au-facies/" TargetMode="External"/><Relationship Id="rId24" Type="http://schemas.openxmlformats.org/officeDocument/2006/relationships/hyperlink" Target="https://www.unicef.fr/wp-content/uploads/2022/09/RapportGuyane_final_WEB_5093117.pdf" TargetMode="External"/><Relationship Id="rId5" Type="http://schemas.openxmlformats.org/officeDocument/2006/relationships/hyperlink" Target="https://www.varmatin.com/politique/linterdiction-du-burkini-sur-les-plages-et-dans-les-piscines-municipales-de-frejus-fait-des-vagues-768506" TargetMode="External"/><Relationship Id="rId15" Type="http://schemas.openxmlformats.org/officeDocument/2006/relationships/hyperlink" Target="https://99f7c212-c756-4150-829b-45219e358e2c.filesusr.com/ugd/3724ed_d5162ba52d134b79a4affac9e1831923.pdf" TargetMode="External"/><Relationship Id="rId23" Type="http://schemas.openxmlformats.org/officeDocument/2006/relationships/hyperlink" Target="https://www.legifrance.gouv.fr/jorf/id/JORFTEXT000042056558/" TargetMode="External"/><Relationship Id="rId28" Type="http://schemas.openxmlformats.org/officeDocument/2006/relationships/hyperlink" Target="https://la1ere.francetvinfo.fr/immigration-clandestine-a-mayotte-plus-de-23-000-reconduites-a-la-frontiere-en-2021-1223268.html" TargetMode="External"/><Relationship Id="rId10" Type="http://schemas.openxmlformats.org/officeDocument/2006/relationships/hyperlink" Target="https://www.ldh-france.org/six-jeunes-hommes-saisissent-cour-europeenne-droits-lhomme-controles-didentite-discriminatoires/" TargetMode="External"/><Relationship Id="rId19" Type="http://schemas.openxmlformats.org/officeDocument/2006/relationships/hyperlink" Target="https://www.defenseurdesdroits.fr/sites/default/files/atoms/files/decision_guyane_2017_078.pdf" TargetMode="External"/><Relationship Id="rId4" Type="http://schemas.openxmlformats.org/officeDocument/2006/relationships/hyperlink" Target="https://www.conseil-etat.fr/decisions-de-justice/dernieres-decisions/ce-ordonnance-du-26-aout-2016-ligue-des-droits-de-l-homme-et-autres-association-de-defense-des-droits-de-l-homme-collectif-contre-l-islamophobi" TargetMode="External"/><Relationship Id="rId9" Type="http://schemas.openxmlformats.org/officeDocument/2006/relationships/hyperlink" Target="http://www.ldh-france.org/fin-controles-didentite-abusifs-discriminatoires-les-mains-juges-cour-cassation-puis-senateurs/" TargetMode="External"/><Relationship Id="rId14" Type="http://schemas.openxmlformats.org/officeDocument/2006/relationships/hyperlink" Target="http://www.fnasat.asso.fr/Lalocalisationdeloffrepubliquedaccueiletdhabitatdesgensduvoyage2022.pdf" TargetMode="External"/><Relationship Id="rId22" Type="http://schemas.openxmlformats.org/officeDocument/2006/relationships/hyperlink" Target="https://www.migrantsoutremer.org/IMG/pdf/saisine_ddd_2019-12-10_scolarisation-a-mayotte.pdf" TargetMode="External"/><Relationship Id="rId27" Type="http://schemas.openxmlformats.org/officeDocument/2006/relationships/hyperlink" Target="https://la1ere.francetvinfo.fr/immigration-clandestine-a-mayotte-plus-de-23-000-reconduites-a-la-frontiere-en-2021-1223268.html" TargetMode="External"/><Relationship Id="rId30" Type="http://schemas.openxmlformats.org/officeDocument/2006/relationships/hyperlink" Target="https://www.gisti.org/IMG/pdf/cimade_ldh_gist_saf_demande_modification_decret.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A03E98F-EF89-44F6-8422-E636DB1FF32C}">
  <ds:schemaRefs>
    <ds:schemaRef ds:uri="http://schemas.openxmlformats.org/officeDocument/2006/bibliography"/>
  </ds:schemaRefs>
</ds:datastoreItem>
</file>

<file path=customXml/itemProps2.xml><?xml version="1.0" encoding="utf-8"?>
<ds:datastoreItem xmlns:ds="http://schemas.openxmlformats.org/officeDocument/2006/customXml" ds:itemID="{44317D43-42EE-4225-8E2A-C90AEB044B95}"/>
</file>

<file path=customXml/itemProps3.xml><?xml version="1.0" encoding="utf-8"?>
<ds:datastoreItem xmlns:ds="http://schemas.openxmlformats.org/officeDocument/2006/customXml" ds:itemID="{736ACBFB-8BF9-4146-AAD8-A98E643BF95C}"/>
</file>

<file path=customXml/itemProps4.xml><?xml version="1.0" encoding="utf-8"?>
<ds:datastoreItem xmlns:ds="http://schemas.openxmlformats.org/officeDocument/2006/customXml" ds:itemID="{67406267-35E6-40A8-A239-A30AC2F229E2}"/>
</file>

<file path=docProps/app.xml><?xml version="1.0" encoding="utf-8"?>
<Properties xmlns="http://schemas.openxmlformats.org/officeDocument/2006/extended-properties" xmlns:vt="http://schemas.openxmlformats.org/officeDocument/2006/docPropsVTypes">
  <Template>Normal</Template>
  <TotalTime>80</TotalTime>
  <Pages>22</Pages>
  <Words>11679</Words>
  <Characters>64235</Characters>
  <Application>Microsoft Office Word</Application>
  <DocSecurity>0</DocSecurity>
  <Lines>535</Lines>
  <Paragraphs>151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75763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p:lastModifiedBy>
  <cp:revision>19</cp:revision>
  <cp:lastPrinted>2022-10-20T15:26:00Z</cp:lastPrinted>
  <dcterms:created xsi:type="dcterms:W3CDTF">2022-10-21T08:37:00Z</dcterms:created>
  <dcterms:modified xsi:type="dcterms:W3CDTF">2022-10-21T13:16:00Z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