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21FD426F" w:rsidR="00FB4BB0" w:rsidRPr="005C22D4" w:rsidRDefault="00C132A8"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s-ES"/>
        </w:rPr>
      </w:pPr>
      <w:bookmarkStart w:id="0" w:name="_GoBack"/>
      <w:bookmarkEnd w:id="0"/>
      <w:r w:rsidRPr="005C22D4">
        <w:rPr>
          <w:rFonts w:ascii="Arial Narrow" w:eastAsia="Arial Narrow" w:hAnsi="Arial Narrow" w:cs="Arial Narrow"/>
          <w:b/>
          <w:color w:val="000000"/>
          <w:sz w:val="24"/>
          <w:szCs w:val="24"/>
          <w:lang w:val="es-ES"/>
        </w:rPr>
        <w:t>Informe Alternativo para el CEDAW</w:t>
      </w:r>
      <w:r w:rsidRPr="005C22D4">
        <w:rPr>
          <w:rFonts w:ascii="Arial Narrow" w:eastAsia="Arial Narrow" w:hAnsi="Arial Narrow" w:cs="Arial Narrow"/>
          <w:b/>
          <w:color w:val="000000"/>
          <w:sz w:val="24"/>
          <w:szCs w:val="24"/>
          <w:vertAlign w:val="superscript"/>
          <w:lang w:val="es-ES"/>
        </w:rPr>
        <w:footnoteReference w:id="1"/>
      </w:r>
      <w:r w:rsidRPr="005C22D4">
        <w:rPr>
          <w:rFonts w:ascii="Arial Narrow" w:eastAsia="Arial Narrow" w:hAnsi="Arial Narrow" w:cs="Arial Narrow"/>
          <w:b/>
          <w:color w:val="000000"/>
          <w:sz w:val="24"/>
          <w:szCs w:val="24"/>
          <w:lang w:val="es-ES"/>
        </w:rPr>
        <w:t>, en el marco d</w:t>
      </w:r>
      <w:r w:rsidRPr="005C22D4">
        <w:rPr>
          <w:rFonts w:ascii="Arial Narrow" w:eastAsia="Arial Narrow" w:hAnsi="Arial Narrow" w:cs="Arial Narrow"/>
          <w:b/>
          <w:sz w:val="24"/>
          <w:szCs w:val="24"/>
          <w:lang w:val="es-ES"/>
        </w:rPr>
        <w:t xml:space="preserve">e la presentación del </w:t>
      </w:r>
      <w:r>
        <w:rPr>
          <w:rFonts w:ascii="Arial Narrow" w:eastAsia="Arial Narrow" w:hAnsi="Arial Narrow" w:cs="Arial Narrow"/>
          <w:b/>
          <w:color w:val="000000"/>
          <w:sz w:val="24"/>
          <w:szCs w:val="24"/>
          <w:lang w:val="es-ES"/>
        </w:rPr>
        <w:t>10mo. I</w:t>
      </w:r>
      <w:r w:rsidRPr="005C22D4">
        <w:rPr>
          <w:rFonts w:ascii="Arial Narrow" w:eastAsia="Arial Narrow" w:hAnsi="Arial Narrow" w:cs="Arial Narrow"/>
          <w:b/>
          <w:color w:val="000000"/>
          <w:sz w:val="24"/>
          <w:szCs w:val="24"/>
          <w:lang w:val="es-ES"/>
        </w:rPr>
        <w:t>nforme del Estado uruguayo al CEDAW, 86 período de sesiones (</w:t>
      </w:r>
      <w:r w:rsidRPr="005C22D4">
        <w:rPr>
          <w:rFonts w:ascii="Arial Narrow" w:eastAsia="Arial Narrow" w:hAnsi="Arial Narrow" w:cs="Arial Narrow"/>
          <w:b/>
          <w:sz w:val="24"/>
          <w:szCs w:val="24"/>
          <w:lang w:val="es-ES"/>
        </w:rPr>
        <w:t>9-27 de octubre, 2023)</w:t>
      </w:r>
    </w:p>
    <w:p w14:paraId="00000002" w14:textId="77777777" w:rsidR="00FB4BB0" w:rsidRPr="005C22D4" w:rsidRDefault="00FB4BB0"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s-ES"/>
        </w:rPr>
      </w:pPr>
    </w:p>
    <w:p w14:paraId="00000003" w14:textId="77777777"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El período que se informa (2016-2023) incluye la gestión de dos gobiernos, Frente Amplio hasta el 28/2/2020 y la Coalición Multicolor (P.Nacional, P.Colorado, P.Independiente y Cabildo Abierto), desde el 1/3/2020.</w:t>
      </w:r>
    </w:p>
    <w:p w14:paraId="00000004" w14:textId="1FF4873F"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color w:val="030303"/>
          <w:sz w:val="24"/>
          <w:szCs w:val="24"/>
          <w:lang w:val="es-ES"/>
        </w:rPr>
        <w:t xml:space="preserve">Este Informe Alternativo (IA) representa el trabajo y el esfuerzo conjunto de las siguientes organizaciones: (i) </w:t>
      </w:r>
      <w:r w:rsidRPr="005C22D4">
        <w:rPr>
          <w:rFonts w:ascii="Arial Narrow" w:eastAsia="Arial Narrow" w:hAnsi="Arial Narrow" w:cs="Arial Narrow"/>
          <w:sz w:val="24"/>
          <w:szCs w:val="24"/>
          <w:lang w:val="es-ES"/>
        </w:rPr>
        <w:t xml:space="preserve">Cotidiano Mujer; (ii) Red Pro-Cuidados, (iii) El Paso (iv) </w:t>
      </w:r>
      <w:r w:rsidR="0036581D" w:rsidRPr="0036581D">
        <w:rPr>
          <w:rFonts w:ascii="Arial Narrow" w:eastAsia="Arial Narrow" w:hAnsi="Arial Narrow" w:cs="Arial Narrow"/>
          <w:i/>
          <w:iCs/>
          <w:color w:val="030303"/>
          <w:sz w:val="24"/>
          <w:szCs w:val="24"/>
          <w:lang w:val="es-UY"/>
        </w:rPr>
        <w:t>Colectivo de Mujeres Afro</w:t>
      </w:r>
      <w:r w:rsidR="0036581D" w:rsidRPr="0036581D">
        <w:rPr>
          <w:rFonts w:ascii="Arial Narrow" w:eastAsia="Arial Narrow" w:hAnsi="Arial Narrow" w:cs="Arial Narrow"/>
          <w:color w:val="030303"/>
          <w:sz w:val="24"/>
          <w:szCs w:val="24"/>
          <w:lang w:val="es-UY"/>
        </w:rPr>
        <w:t xml:space="preserve"> (</w:t>
      </w:r>
      <w:r w:rsidR="0036581D" w:rsidRPr="0036581D">
        <w:rPr>
          <w:rFonts w:ascii="Arial Narrow" w:eastAsia="Arial Narrow" w:hAnsi="Arial Narrow" w:cs="Arial Narrow"/>
          <w:i/>
          <w:iCs/>
          <w:color w:val="030303"/>
          <w:sz w:val="24"/>
          <w:szCs w:val="24"/>
          <w:lang w:val="es-UY"/>
        </w:rPr>
        <w:t>Mizangas)</w:t>
      </w:r>
      <w:r w:rsidRPr="005C22D4">
        <w:rPr>
          <w:rFonts w:ascii="Arial Narrow" w:eastAsia="Arial Narrow" w:hAnsi="Arial Narrow" w:cs="Arial Narrow"/>
          <w:sz w:val="24"/>
          <w:szCs w:val="24"/>
          <w:lang w:val="es-ES"/>
        </w:rPr>
        <w:t>; (v) Servicio Paz y Justicia; y (vi) Oficina de Atención a Víctimas del Consultorio Jurídico, Fder-Universidad de la República.</w:t>
      </w:r>
    </w:p>
    <w:p w14:paraId="00000005" w14:textId="7A2C9BE7" w:rsidR="00FB4BB0" w:rsidRPr="005C22D4" w:rsidRDefault="00C132A8" w:rsidP="005C22D4">
      <w:pPr>
        <w:spacing w:line="360" w:lineRule="auto"/>
        <w:contextualSpacing/>
        <w:jc w:val="both"/>
        <w:rPr>
          <w:rFonts w:ascii="Arial Narrow" w:eastAsia="Arial Narrow" w:hAnsi="Arial Narrow" w:cs="Arial Narrow"/>
          <w:color w:val="0000FF"/>
          <w:sz w:val="24"/>
          <w:szCs w:val="24"/>
          <w:lang w:val="es-ES"/>
        </w:rPr>
      </w:pPr>
      <w:r w:rsidRPr="005C22D4">
        <w:rPr>
          <w:rFonts w:ascii="Arial Narrow" w:eastAsia="Arial Narrow" w:hAnsi="Arial Narrow" w:cs="Arial Narrow"/>
          <w:color w:val="030303"/>
          <w:sz w:val="24"/>
          <w:szCs w:val="24"/>
          <w:lang w:val="es-ES"/>
        </w:rPr>
        <w:t xml:space="preserve">Este IA se centra en los siguientes temas: ​​(i)Contexto para el informe alternativo (Nov.2016-julio 2023); </w:t>
      </w:r>
      <w:r w:rsidR="0036581D" w:rsidRPr="005C22D4">
        <w:rPr>
          <w:rFonts w:ascii="Arial Narrow" w:eastAsia="Arial Narrow" w:hAnsi="Arial Narrow" w:cs="Arial Narrow"/>
          <w:color w:val="030303"/>
          <w:sz w:val="24"/>
          <w:szCs w:val="24"/>
          <w:lang w:val="es-ES"/>
        </w:rPr>
        <w:t>que</w:t>
      </w:r>
      <w:r w:rsidRPr="005C22D4">
        <w:rPr>
          <w:rFonts w:ascii="Arial Narrow" w:eastAsia="Arial Narrow" w:hAnsi="Arial Narrow" w:cs="Arial Narrow"/>
          <w:color w:val="030303"/>
          <w:sz w:val="24"/>
          <w:szCs w:val="24"/>
          <w:lang w:val="es-ES"/>
        </w:rPr>
        <w:t xml:space="preserve"> incluye el Impacto en los derechos de la mujer respecto de las medidas adoptadas por Uruguay en el abordaje del COVID-19 y el Acceso a la justicia durante la pandemia; (ii)Mecanismo nacional encargado del adelanto de las mujeres; (iii)Estereotipos y prácticas discriminatorias; (iv)Discriminación en el Código Penal; (v)Prohibición de contraer matrimonio; (vi)Abordaje de la Violencia contra las mujeres basada en su género, incluye: Tobillera y custodia policial ante denuncias de VBG; Una ley-VBG sin presupuesto; Sistemas de respuesta (vii)Femicidios; (viii)Violencia Sexual y Revictimización; (ix)Violencia contra las mujeres basada en su género durante el Terrorismo de Estado; (x)Trata de mujeres con fines de explotación sexual; (xi)Participación en la vida política y pública; (xii)Grupo de mujeres con discriminaciones múltiples. Incluye: Matrimonio infantil, Niñas madres, </w:t>
      </w:r>
      <w:r w:rsidRPr="005C22D4">
        <w:rPr>
          <w:rFonts w:ascii="Arial Narrow" w:eastAsia="Arial Narrow" w:hAnsi="Arial Narrow" w:cs="Arial Narrow"/>
          <w:color w:val="353744"/>
          <w:sz w:val="24"/>
          <w:szCs w:val="24"/>
          <w:lang w:val="es-ES"/>
        </w:rPr>
        <w:t xml:space="preserve">Mujeres Privadas de Libertad. </w:t>
      </w:r>
    </w:p>
    <w:p w14:paraId="00000006" w14:textId="77777777" w:rsidR="00FB4BB0" w:rsidRPr="005C22D4" w:rsidRDefault="00FB4BB0" w:rsidP="005C22D4">
      <w:pPr>
        <w:spacing w:line="360" w:lineRule="auto"/>
        <w:contextualSpacing/>
        <w:jc w:val="both"/>
        <w:rPr>
          <w:rFonts w:ascii="Arial Narrow" w:eastAsia="Arial Narrow" w:hAnsi="Arial Narrow" w:cs="Arial Narrow"/>
          <w:b/>
          <w:sz w:val="24"/>
          <w:szCs w:val="24"/>
          <w:lang w:val="es-ES"/>
        </w:rPr>
      </w:pPr>
    </w:p>
    <w:p w14:paraId="00000007" w14:textId="77777777" w:rsidR="00FB4BB0" w:rsidRPr="005C22D4" w:rsidRDefault="00C132A8" w:rsidP="005C22D4">
      <w:pPr>
        <w:spacing w:line="360" w:lineRule="auto"/>
        <w:contextualSpacing/>
        <w:jc w:val="both"/>
        <w:rPr>
          <w:rFonts w:ascii="Arial Narrow" w:eastAsia="Arial Narrow" w:hAnsi="Arial Narrow" w:cs="Arial Narrow"/>
          <w:sz w:val="24"/>
          <w:szCs w:val="24"/>
          <w:highlight w:val="yellow"/>
          <w:u w:val="single"/>
          <w:lang w:val="es-ES"/>
        </w:rPr>
      </w:pPr>
      <w:r w:rsidRPr="005C22D4">
        <w:rPr>
          <w:rFonts w:ascii="Arial Narrow" w:eastAsia="Arial Narrow" w:hAnsi="Arial Narrow" w:cs="Arial Narrow"/>
          <w:b/>
          <w:sz w:val="24"/>
          <w:szCs w:val="24"/>
          <w:lang w:val="es-ES"/>
        </w:rPr>
        <w:t>(i) Contexto para el informe alternativo (Nov.2016-julio.2023)</w:t>
      </w:r>
      <w:r w:rsidRPr="005C22D4">
        <w:rPr>
          <w:rFonts w:ascii="Arial Narrow" w:eastAsia="Arial Narrow" w:hAnsi="Arial Narrow" w:cs="Arial Narrow"/>
          <w:sz w:val="24"/>
          <w:szCs w:val="24"/>
          <w:u w:val="single"/>
          <w:lang w:val="es-ES"/>
        </w:rPr>
        <w:t xml:space="preserve"> </w:t>
      </w:r>
    </w:p>
    <w:p w14:paraId="00000008" w14:textId="0ED61E1C" w:rsidR="00FB4BB0" w:rsidRPr="005C22D4" w:rsidRDefault="00C132A8" w:rsidP="005C22D4">
      <w:pPr>
        <w:spacing w:after="0" w:line="360" w:lineRule="auto"/>
        <w:contextualSpacing/>
        <w:jc w:val="both"/>
        <w:rPr>
          <w:rFonts w:ascii="Arial Narrow" w:eastAsia="Arial Narrow" w:hAnsi="Arial Narrow" w:cs="Arial Narrow"/>
          <w:color w:val="030303"/>
          <w:sz w:val="24"/>
          <w:szCs w:val="24"/>
          <w:lang w:val="es-ES"/>
        </w:rPr>
      </w:pPr>
      <w:r w:rsidRPr="005C22D4">
        <w:rPr>
          <w:rFonts w:ascii="Arial Narrow" w:eastAsia="Arial Narrow" w:hAnsi="Arial Narrow" w:cs="Arial Narrow"/>
          <w:sz w:val="24"/>
          <w:szCs w:val="24"/>
          <w:lang w:val="es-ES"/>
        </w:rPr>
        <w:t xml:space="preserve">Desde la asunción del nuevo gobierno la agenda de Derechos Humanos (DDHH) ha venido retrocediendo pues </w:t>
      </w:r>
      <w:r w:rsidRPr="005C22D4">
        <w:rPr>
          <w:rFonts w:ascii="Arial Narrow" w:eastAsia="Arial Narrow" w:hAnsi="Arial Narrow" w:cs="Arial Narrow"/>
          <w:color w:val="030303"/>
          <w:sz w:val="24"/>
          <w:szCs w:val="24"/>
          <w:lang w:val="es-ES"/>
        </w:rPr>
        <w:t>se han observado algunos embates desde actores de la coalición de gobierno a los avances en la materia. Entre otros hechos mencionamos: i) intentos por “reinstalar la Ley de Caducidad” y garantizar la prisión domiciliaria para quienes cometieron crímenes de lesa humanidad, por parte del partido Cabildo Abierto</w:t>
      </w:r>
      <w:r w:rsidRPr="005C22D4">
        <w:rPr>
          <w:rFonts w:ascii="Arial Narrow" w:eastAsia="Arial Narrow" w:hAnsi="Arial Narrow" w:cs="Arial Narrow"/>
          <w:color w:val="030303"/>
          <w:sz w:val="24"/>
          <w:szCs w:val="24"/>
          <w:vertAlign w:val="superscript"/>
          <w:lang w:val="es-ES"/>
        </w:rPr>
        <w:t>11</w:t>
      </w:r>
      <w:r w:rsidRPr="005C22D4">
        <w:rPr>
          <w:rFonts w:ascii="Arial Narrow" w:eastAsia="Arial Narrow" w:hAnsi="Arial Narrow" w:cs="Arial Narrow"/>
          <w:color w:val="030303"/>
          <w:sz w:val="24"/>
          <w:szCs w:val="24"/>
          <w:lang w:val="es-ES"/>
        </w:rPr>
        <w:t>; ii) la conformación de grupos de familiares de ex procesados y condenados por los crímenes cometidos durante el terrorismo de Estado con el fin de reivindicar su condición de prisioneros políticos</w:t>
      </w:r>
      <w:r w:rsidRPr="005C22D4">
        <w:rPr>
          <w:rFonts w:ascii="Arial Narrow" w:eastAsia="Arial Narrow" w:hAnsi="Arial Narrow" w:cs="Arial Narrow"/>
          <w:color w:val="030303"/>
          <w:sz w:val="24"/>
          <w:szCs w:val="24"/>
          <w:vertAlign w:val="superscript"/>
          <w:lang w:val="es-ES"/>
        </w:rPr>
        <w:t>13</w:t>
      </w:r>
      <w:r w:rsidRPr="005C22D4">
        <w:rPr>
          <w:rFonts w:ascii="Arial Narrow" w:eastAsia="Arial Narrow" w:hAnsi="Arial Narrow" w:cs="Arial Narrow"/>
          <w:color w:val="030303"/>
          <w:sz w:val="24"/>
          <w:szCs w:val="24"/>
          <w:lang w:val="es-ES"/>
        </w:rPr>
        <w:t xml:space="preserve">; iii) </w:t>
      </w:r>
      <w:r w:rsidRPr="005C22D4">
        <w:rPr>
          <w:rFonts w:ascii="Arial Narrow" w:eastAsia="Arial Narrow" w:hAnsi="Arial Narrow" w:cs="Arial Narrow"/>
          <w:sz w:val="24"/>
          <w:szCs w:val="24"/>
          <w:lang w:val="es-ES"/>
        </w:rPr>
        <w:t xml:space="preserve">el debilitamiento de las garantías de imparcialidad en el mecanismo de elección de la directiva de la Institución Nacional de Derechos </w:t>
      </w:r>
      <w:r w:rsidRPr="005C22D4">
        <w:rPr>
          <w:rFonts w:ascii="Arial Narrow" w:eastAsia="Arial Narrow" w:hAnsi="Arial Narrow" w:cs="Arial Narrow"/>
          <w:sz w:val="24"/>
          <w:szCs w:val="24"/>
          <w:lang w:val="es-ES"/>
        </w:rPr>
        <w:lastRenderedPageBreak/>
        <w:t xml:space="preserve">Humanos y </w:t>
      </w:r>
      <w:r w:rsidR="0036581D" w:rsidRPr="005C22D4">
        <w:rPr>
          <w:rFonts w:ascii="Arial Narrow" w:eastAsia="Arial Narrow" w:hAnsi="Arial Narrow" w:cs="Arial Narrow"/>
          <w:sz w:val="24"/>
          <w:szCs w:val="24"/>
          <w:lang w:val="es-ES"/>
        </w:rPr>
        <w:t>Defensoría</w:t>
      </w:r>
      <w:r w:rsidRPr="005C22D4">
        <w:rPr>
          <w:rFonts w:ascii="Arial Narrow" w:eastAsia="Arial Narrow" w:hAnsi="Arial Narrow" w:cs="Arial Narrow"/>
          <w:sz w:val="24"/>
          <w:szCs w:val="24"/>
          <w:lang w:val="es-ES"/>
        </w:rPr>
        <w:t xml:space="preserve"> del Pueblo, contrariamente a lo recomendado por el CERD/C/URY/CO/24-26, párrafos 15 y 16;</w:t>
      </w:r>
      <w:r w:rsidRPr="005C22D4">
        <w:rPr>
          <w:rFonts w:ascii="Arial Narrow" w:eastAsia="Arial Narrow" w:hAnsi="Arial Narrow" w:cs="Arial Narrow"/>
          <w:color w:val="030303"/>
          <w:sz w:val="24"/>
          <w:szCs w:val="24"/>
          <w:lang w:val="es-ES"/>
        </w:rPr>
        <w:t xml:space="preserve"> (iv) se suprimió el Departamento de las Mujeres Afro en el </w:t>
      </w:r>
      <w:r w:rsidRPr="005C22D4">
        <w:rPr>
          <w:rFonts w:ascii="Arial Narrow" w:eastAsia="Arial Narrow" w:hAnsi="Arial Narrow" w:cs="Arial Narrow"/>
          <w:sz w:val="24"/>
          <w:szCs w:val="24"/>
          <w:lang w:val="es-ES"/>
        </w:rPr>
        <w:t>Instituto Nacional de las Mujeres</w:t>
      </w:r>
      <w:r w:rsidRPr="005C22D4">
        <w:rPr>
          <w:rFonts w:ascii="Arial Narrow" w:eastAsia="Arial Narrow" w:hAnsi="Arial Narrow" w:cs="Arial Narrow"/>
          <w:color w:val="030303"/>
          <w:sz w:val="24"/>
          <w:szCs w:val="24"/>
          <w:lang w:val="es-ES"/>
        </w:rPr>
        <w:t xml:space="preserve"> (INMUJERES), retrocediendo institucionalmente e impactando en las políticas focalizadas dirigidas a las mujeres con múltiples discriminaciones como las mujeres afrodescendientes.</w:t>
      </w:r>
    </w:p>
    <w:p w14:paraId="00000009" w14:textId="77777777" w:rsidR="00FB4BB0" w:rsidRPr="005C22D4" w:rsidRDefault="00FB4BB0" w:rsidP="005C22D4">
      <w:pPr>
        <w:spacing w:after="0" w:line="360" w:lineRule="auto"/>
        <w:contextualSpacing/>
        <w:jc w:val="both"/>
        <w:rPr>
          <w:rFonts w:ascii="Arial Narrow" w:eastAsia="Arial Narrow" w:hAnsi="Arial Narrow" w:cs="Arial Narrow"/>
          <w:color w:val="030303"/>
          <w:sz w:val="24"/>
          <w:szCs w:val="24"/>
          <w:lang w:val="es-ES"/>
        </w:rPr>
      </w:pPr>
    </w:p>
    <w:p w14:paraId="0000000A" w14:textId="77777777" w:rsidR="00FB4BB0" w:rsidRPr="005C22D4" w:rsidRDefault="00C132A8" w:rsidP="005C22D4">
      <w:pPr>
        <w:spacing w:line="360" w:lineRule="auto"/>
        <w:ind w:left="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Impacto en los derechos de la mujer respecto de las medidas adoptadas por Uruguay en el abordaje del COVID-19</w:t>
      </w:r>
      <w:r w:rsidRPr="005C22D4">
        <w:rPr>
          <w:rFonts w:ascii="Arial Narrow" w:eastAsia="Arial Narrow" w:hAnsi="Arial Narrow" w:cs="Arial Narrow"/>
          <w:b/>
          <w:sz w:val="24"/>
          <w:szCs w:val="24"/>
          <w:vertAlign w:val="superscript"/>
          <w:lang w:val="es-ES"/>
        </w:rPr>
        <w:footnoteReference w:id="2"/>
      </w:r>
    </w:p>
    <w:p w14:paraId="0000000B" w14:textId="77777777"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El 13 de marzo de 2020, Uruguay adoptó un período de "autoaislamiento" tras la confirmación del primer caso de COVID-19. La consigna que se adoptó fue "quédate en casa", eficaz para quienes cuentan con vivienda, ingresos estables y ausencia de violencias, que lamentablemente no es la situación que viven cientos de uruguayas, mujeres y niñas. El confinamiento obligó a las víctimas a permanecer en encierro con su agresor. El 2020 cerró con</w:t>
      </w:r>
      <w:hyperlink r:id="rId8">
        <w:r w:rsidRPr="005C22D4">
          <w:rPr>
            <w:rFonts w:ascii="Arial Narrow" w:eastAsia="Arial Narrow" w:hAnsi="Arial Narrow" w:cs="Arial Narrow"/>
            <w:sz w:val="24"/>
            <w:szCs w:val="24"/>
            <w:lang w:val="es-ES"/>
          </w:rPr>
          <w:t xml:space="preserve"> </w:t>
        </w:r>
      </w:hyperlink>
      <w:hyperlink r:id="rId9">
        <w:r w:rsidRPr="005C22D4">
          <w:rPr>
            <w:rFonts w:ascii="Arial Narrow" w:eastAsia="Arial Narrow" w:hAnsi="Arial Narrow" w:cs="Arial Narrow"/>
            <w:color w:val="0563C1"/>
            <w:sz w:val="24"/>
            <w:szCs w:val="24"/>
            <w:u w:val="single"/>
            <w:lang w:val="es-ES"/>
          </w:rPr>
          <w:t>19 femicidios</w:t>
        </w:r>
      </w:hyperlink>
      <w:r w:rsidRPr="005C22D4">
        <w:rPr>
          <w:rFonts w:ascii="Arial Narrow" w:eastAsia="Arial Narrow" w:hAnsi="Arial Narrow" w:cs="Arial Narrow"/>
          <w:sz w:val="24"/>
          <w:szCs w:val="24"/>
          <w:lang w:val="es-ES"/>
        </w:rPr>
        <w:t xml:space="preserve">, cifra a la que debe sumarse cinco casos de intento de este delito. </w:t>
      </w:r>
    </w:p>
    <w:p w14:paraId="0000000C"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INMUJERES advirtió que las</w:t>
      </w:r>
      <w:hyperlink r:id="rId10">
        <w:r w:rsidRPr="005C22D4">
          <w:rPr>
            <w:rFonts w:ascii="Arial Narrow" w:eastAsia="Arial Narrow" w:hAnsi="Arial Narrow" w:cs="Arial Narrow"/>
            <w:sz w:val="24"/>
            <w:szCs w:val="24"/>
            <w:lang w:val="es-ES"/>
          </w:rPr>
          <w:t xml:space="preserve"> </w:t>
        </w:r>
      </w:hyperlink>
      <w:hyperlink r:id="rId11">
        <w:r w:rsidRPr="005C22D4">
          <w:rPr>
            <w:rFonts w:ascii="Arial Narrow" w:eastAsia="Arial Narrow" w:hAnsi="Arial Narrow" w:cs="Arial Narrow"/>
            <w:color w:val="0563C1"/>
            <w:sz w:val="24"/>
            <w:szCs w:val="24"/>
            <w:u w:val="single"/>
            <w:lang w:val="es-ES"/>
          </w:rPr>
          <w:t>llamadas a la línea de atención y asesoramiento por violencia doméstica</w:t>
        </w:r>
      </w:hyperlink>
      <w:r w:rsidRPr="005C22D4">
        <w:rPr>
          <w:rFonts w:ascii="Arial Narrow" w:eastAsia="Arial Narrow" w:hAnsi="Arial Narrow" w:cs="Arial Narrow"/>
          <w:sz w:val="24"/>
          <w:szCs w:val="24"/>
          <w:lang w:val="es-ES"/>
        </w:rPr>
        <w:t xml:space="preserve"> aumentó 80% durante  los dos primeros meses del aislamiento voluntario, al tiempo que las denuncias policiales bajaron, lo cual demuestra los obstáculos a los que se enfrentan las mujeres en este contexto a  la hora de denunciar y que los servicios de atención a las mujeres que sufren violencia no fueron  adaptados para atenderlas dificultando no sólo el acceso a la justicia sino el derecho sustantivo a vivir libres de violencia. </w:t>
      </w:r>
    </w:p>
    <w:p w14:paraId="0000000E" w14:textId="4D68BBA3" w:rsidR="00FB4BB0" w:rsidRPr="005C22D4" w:rsidRDefault="00D363B3" w:rsidP="0036581D">
      <w:pPr>
        <w:spacing w:before="240" w:after="0" w:line="360" w:lineRule="auto"/>
        <w:ind w:left="40"/>
        <w:contextualSpacing/>
        <w:jc w:val="both"/>
        <w:rPr>
          <w:rFonts w:ascii="Arial Narrow" w:eastAsia="Arial Narrow" w:hAnsi="Arial Narrow" w:cs="Arial Narrow"/>
          <w:sz w:val="24"/>
          <w:szCs w:val="24"/>
          <w:lang w:val="es-ES"/>
        </w:rPr>
      </w:pPr>
      <w:hyperlink r:id="rId12">
        <w:r w:rsidR="00C132A8" w:rsidRPr="005C22D4">
          <w:rPr>
            <w:rFonts w:ascii="Arial Narrow" w:eastAsia="Arial Narrow" w:hAnsi="Arial Narrow" w:cs="Arial Narrow"/>
            <w:color w:val="0563C1"/>
            <w:sz w:val="24"/>
            <w:szCs w:val="24"/>
            <w:u w:val="single"/>
            <w:lang w:val="es-ES"/>
          </w:rPr>
          <w:t>Según El País,</w:t>
        </w:r>
      </w:hyperlink>
      <w:r w:rsidR="00C132A8" w:rsidRPr="005C22D4">
        <w:rPr>
          <w:rFonts w:ascii="Arial Narrow" w:eastAsia="Arial Narrow" w:hAnsi="Arial Narrow" w:cs="Arial Narrow"/>
          <w:sz w:val="24"/>
          <w:szCs w:val="24"/>
          <w:lang w:val="es-ES"/>
        </w:rPr>
        <w:t xml:space="preserve"> en 2020 fueron detectadas en Uruguay un total de 4.911 situaciones de violencia contra niños y adolescentes, mientras que en 2021 esta cifra ascendió a 7.035, y en 2022 a 7.473. Un tercio de las situaciones registradas en 2022 refieren a casos de maltrato emocional, seguidos por casos de negligencia (24%); abuso sexual (20%); maltrato físico (17%) y explotación sexual (3%).</w:t>
      </w:r>
    </w:p>
    <w:p w14:paraId="00000010" w14:textId="45F34A5C" w:rsidR="00FB4BB0" w:rsidRPr="005C22D4" w:rsidRDefault="00C132A8" w:rsidP="0036581D">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En 2021 la cantidad de casos de</w:t>
      </w:r>
      <w:hyperlink r:id="rId13">
        <w:r w:rsidRPr="005C22D4">
          <w:rPr>
            <w:rFonts w:ascii="Arial Narrow" w:eastAsia="Arial Narrow" w:hAnsi="Arial Narrow" w:cs="Arial Narrow"/>
            <w:sz w:val="24"/>
            <w:szCs w:val="24"/>
            <w:lang w:val="es-ES"/>
          </w:rPr>
          <w:t xml:space="preserve"> </w:t>
        </w:r>
      </w:hyperlink>
      <w:hyperlink r:id="rId14">
        <w:r w:rsidRPr="005C22D4">
          <w:rPr>
            <w:rFonts w:ascii="Arial Narrow" w:eastAsia="Arial Narrow" w:hAnsi="Arial Narrow" w:cs="Arial Narrow"/>
            <w:color w:val="0563C1"/>
            <w:sz w:val="24"/>
            <w:szCs w:val="24"/>
            <w:u w:val="single"/>
            <w:lang w:val="es-ES"/>
          </w:rPr>
          <w:t>COVID-19</w:t>
        </w:r>
      </w:hyperlink>
      <w:r w:rsidRPr="005C22D4">
        <w:rPr>
          <w:rFonts w:ascii="Arial Narrow" w:eastAsia="Arial Narrow" w:hAnsi="Arial Narrow" w:cs="Arial Narrow"/>
          <w:sz w:val="24"/>
          <w:szCs w:val="24"/>
          <w:lang w:val="es-ES"/>
        </w:rPr>
        <w:t xml:space="preserve"> se disparó, alcanzando los picos máximos entre enero y mayo, y diciembre de 2021 y febrero de 2022, lo que provocó el aumento del temor social y como consecuencia, el confinamiento fue más estricto. </w:t>
      </w:r>
      <w:hyperlink r:id="rId15">
        <w:r w:rsidRPr="005C22D4">
          <w:rPr>
            <w:rFonts w:ascii="Arial Narrow" w:eastAsia="Arial Narrow" w:hAnsi="Arial Narrow" w:cs="Arial Narrow"/>
            <w:color w:val="0563C1"/>
            <w:sz w:val="24"/>
            <w:szCs w:val="24"/>
            <w:u w:val="single"/>
            <w:lang w:val="es-ES"/>
          </w:rPr>
          <w:t xml:space="preserve">2021 cerró con 27 casos de femicidio, y en los primeros 15 días de 2022 se registraron tres femicidios, dos de ellos perpetrados por los maridos </w:t>
        </w:r>
        <w:r w:rsidRPr="005C22D4">
          <w:rPr>
            <w:rFonts w:ascii="Arial Narrow" w:eastAsia="Arial Narrow" w:hAnsi="Arial Narrow" w:cs="Arial Narrow"/>
            <w:color w:val="0563C1"/>
            <w:sz w:val="24"/>
            <w:szCs w:val="24"/>
            <w:u w:val="single"/>
            <w:lang w:val="es-ES"/>
          </w:rPr>
          <w:lastRenderedPageBreak/>
          <w:t>de las víctimas.</w:t>
        </w:r>
      </w:hyperlink>
      <w:r w:rsidRPr="005C22D4">
        <w:rPr>
          <w:rFonts w:ascii="Arial Narrow" w:eastAsia="Arial Narrow" w:hAnsi="Arial Narrow" w:cs="Arial Narrow"/>
          <w:sz w:val="24"/>
          <w:szCs w:val="24"/>
          <w:lang w:val="es-ES"/>
        </w:rPr>
        <w:t xml:space="preserve"> El Presidente de la República afirmó entonces que los femicidios son </w:t>
      </w:r>
      <w:hyperlink r:id="rId16">
        <w:r w:rsidRPr="005C22D4">
          <w:rPr>
            <w:rFonts w:ascii="Arial Narrow" w:eastAsia="Arial Narrow" w:hAnsi="Arial Narrow" w:cs="Arial Narrow"/>
            <w:color w:val="1155CC"/>
            <w:sz w:val="24"/>
            <w:szCs w:val="24"/>
            <w:u w:val="single"/>
            <w:lang w:val="es-ES"/>
          </w:rPr>
          <w:t>“daño colateral” del confinamiento.</w:t>
        </w:r>
      </w:hyperlink>
    </w:p>
    <w:p w14:paraId="00000011" w14:textId="77777777" w:rsidR="00FB4BB0" w:rsidRPr="005C22D4" w:rsidRDefault="00C132A8" w:rsidP="005C22D4">
      <w:pPr>
        <w:spacing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A la prevalencia de los hogares monoparentales encabezados por madres, a la falta de distribución equitativa en las tareas de cuidado y a la precariedad laboral la pandemia agregó el desempleo provocado por el cierre de empresas y cese del trabajo doméstico. La informalidad que caracteriza a los trabajos generalmente desempeñados por mujeres, impacta desproporcionadamente en su autonomía económica, y en el efectivo goce de los demás derechos.</w:t>
      </w:r>
    </w:p>
    <w:p w14:paraId="00000013" w14:textId="697B20D2" w:rsidR="00FB4BB0" w:rsidRPr="0036581D" w:rsidRDefault="00C132A8" w:rsidP="005C22D4">
      <w:pPr>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La dependencia económica de la víctima respecto de los agresores y la falta de alternativas dificultó seriamente las denuncias y la posibilidad de salir de estas situaciones de violencia. Esto afectó principalmente a mujeres y niñas afrodescendientes,</w:t>
      </w:r>
      <w:hyperlink r:id="rId17">
        <w:r w:rsidRPr="005C22D4">
          <w:rPr>
            <w:rFonts w:ascii="Arial Narrow" w:eastAsia="Arial Narrow" w:hAnsi="Arial Narrow" w:cs="Arial Narrow"/>
            <w:color w:val="1155CC"/>
            <w:sz w:val="24"/>
            <w:szCs w:val="24"/>
            <w:u w:val="single"/>
            <w:lang w:val="es-ES"/>
          </w:rPr>
          <w:t xml:space="preserve"> en tanto un 20,5% de la población afrodescendiente se encuentra en situación de pobreza</w:t>
        </w:r>
      </w:hyperlink>
      <w:r w:rsidRPr="005C22D4">
        <w:rPr>
          <w:rFonts w:ascii="Arial Narrow" w:eastAsia="Arial Narrow" w:hAnsi="Arial Narrow" w:cs="Arial Narrow"/>
          <w:sz w:val="24"/>
          <w:szCs w:val="24"/>
          <w:lang w:val="es-ES"/>
        </w:rPr>
        <w:t>.</w:t>
      </w:r>
    </w:p>
    <w:p w14:paraId="5F29FCB7" w14:textId="77777777" w:rsidR="0036581D" w:rsidRDefault="00C132A8" w:rsidP="005C22D4">
      <w:pPr>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Fuera de los hogares, fueron también las trabajadoras quienes estuvieron en la primera línea de los cuidados: en la sanidad, en el trabajo doméstico remunerado, en casas de salud, entre otros. Todo esto generó impactos diferenciados sobre su salud exponiéndolas a un mayor riesgo de contagio. Esta afectación también alcanzo a las mujeres trans quienes estuvieron más expuestas al contagio pues</w:t>
      </w:r>
      <w:hyperlink r:id="rId18">
        <w:r w:rsidRPr="005C22D4">
          <w:rPr>
            <w:rFonts w:ascii="Arial Narrow" w:eastAsia="Arial Narrow" w:hAnsi="Arial Narrow" w:cs="Arial Narrow"/>
            <w:color w:val="1155CC"/>
            <w:sz w:val="24"/>
            <w:szCs w:val="24"/>
            <w:u w:val="single"/>
            <w:lang w:val="es-ES"/>
          </w:rPr>
          <w:t xml:space="preserve"> el trabajo sexual es el medio de vida al que la mayoría de ellas accede</w:t>
        </w:r>
      </w:hyperlink>
      <w:r w:rsidRPr="005C22D4">
        <w:rPr>
          <w:rFonts w:ascii="Arial Narrow" w:eastAsia="Arial Narrow" w:hAnsi="Arial Narrow" w:cs="Arial Narrow"/>
          <w:sz w:val="24"/>
          <w:szCs w:val="24"/>
          <w:lang w:val="es-ES"/>
        </w:rPr>
        <w:t xml:space="preserve">.         </w:t>
      </w:r>
    </w:p>
    <w:p w14:paraId="00000014" w14:textId="24BC1979" w:rsidR="00FB4BB0" w:rsidRPr="005C22D4" w:rsidRDefault="00C132A8" w:rsidP="005C22D4">
      <w:pPr>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     </w:t>
      </w:r>
    </w:p>
    <w:p w14:paraId="00000015" w14:textId="77777777" w:rsidR="00FB4BB0" w:rsidRPr="005C22D4" w:rsidRDefault="00C132A8" w:rsidP="005C22D4">
      <w:pPr>
        <w:spacing w:before="240" w:after="24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sz w:val="24"/>
          <w:szCs w:val="24"/>
          <w:lang w:val="es-ES"/>
        </w:rPr>
        <w:t xml:space="preserve"> </w:t>
      </w:r>
      <w:r w:rsidRPr="005C22D4">
        <w:rPr>
          <w:rFonts w:ascii="Arial Narrow" w:eastAsia="Arial Narrow" w:hAnsi="Arial Narrow" w:cs="Arial Narrow"/>
          <w:b/>
          <w:sz w:val="24"/>
          <w:szCs w:val="24"/>
          <w:lang w:val="es-ES"/>
        </w:rPr>
        <w:t>Acceso a la justicia durante la pandemia</w:t>
      </w:r>
    </w:p>
    <w:p w14:paraId="00000016" w14:textId="212F3A7E" w:rsidR="00FB4BB0" w:rsidRPr="005C22D4" w:rsidRDefault="00C132A8" w:rsidP="005C22D4">
      <w:pPr>
        <w:spacing w:after="0" w:line="360" w:lineRule="auto"/>
        <w:ind w:left="4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 En tiempo de confinamiento, los juzgados con competencia en familia especializada disminuyeron su atención drásticamente. Por Resolución Nro.12/2020 (16/3), se decretó la feria judicial sanitaria, disponiendo que la actividad de los Juzgados  Letrados o de Paz se limitaría a los actos indispensables para los justiciables, entendiendo por  tales aquellos “sin cuyo cumplimiento corra grave riesgo el ejercicio de algún derecho”  incluyendo la “adopción de medidas cautelares, provisionales y autosatisfactivas, en todas las  materias” así como los “procesos de protección, investigación y penalización de la violencia  doméstica y basada en género” conforme a las leyes 17.514 y 19.580 </w:t>
      </w:r>
    </w:p>
    <w:p w14:paraId="00000018" w14:textId="77777777" w:rsidR="00FB4BB0" w:rsidRPr="005C22D4" w:rsidRDefault="00C132A8" w:rsidP="0036581D">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No obstante, la atención fue interrumpida y no fueron recibidos en todos los casos los  escritos judiciales, algunos de los cuales solicitaban que las medidas de protección contra las  víctimas no finalizaran. Esto generó preocupación e incertidumbre tanto para las víctimas como para quienes las acompañan en estos procesos. </w:t>
      </w:r>
    </w:p>
    <w:p w14:paraId="00000019" w14:textId="77777777" w:rsidR="00FB4BB0" w:rsidRPr="005C22D4" w:rsidRDefault="00C132A8" w:rsidP="0036581D">
      <w:pPr>
        <w:spacing w:before="240" w:after="0" w:line="360" w:lineRule="auto"/>
        <w:ind w:left="4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El numeral 4to. de la Resolución Nro.13/2020 de la Suprema Corte de Justicia dispuso que las denuncias vinculadas a familia  especializada deben ser realizadas en las Seccionales Policiales, significando que las  víctimas que concurrieron a denunciar al juzgado fueran rechazadas y </w:t>
      </w:r>
      <w:r w:rsidRPr="005C22D4">
        <w:rPr>
          <w:rFonts w:ascii="Arial Narrow" w:eastAsia="Arial Narrow" w:hAnsi="Arial Narrow" w:cs="Arial Narrow"/>
          <w:sz w:val="24"/>
          <w:szCs w:val="24"/>
          <w:lang w:val="es-ES"/>
        </w:rPr>
        <w:lastRenderedPageBreak/>
        <w:t>derivadas a las comisarías  correspondientes. Esto implicó la revictimización de tener que narrar nuevamente su vivencia y  transitar por distintas oficinas y comisarías.</w:t>
      </w:r>
    </w:p>
    <w:p w14:paraId="0000001A" w14:textId="77777777" w:rsidR="00FB4BB0" w:rsidRPr="005C22D4" w:rsidRDefault="00C132A8" w:rsidP="005C22D4">
      <w:pPr>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El gobierno no adoptó medidas extraordinarias ante la situación excepcional que  atravesó el país en lo que respecta a violencia de género durante la pandemia. Los servicios de  atención </w:t>
      </w:r>
      <w:hyperlink r:id="rId19">
        <w:r w:rsidRPr="005C22D4">
          <w:rPr>
            <w:rFonts w:ascii="Arial Narrow" w:eastAsia="Arial Narrow" w:hAnsi="Arial Narrow" w:cs="Arial Narrow"/>
            <w:color w:val="1155CC"/>
            <w:sz w:val="24"/>
            <w:szCs w:val="24"/>
            <w:u w:val="single"/>
            <w:lang w:val="es-ES"/>
          </w:rPr>
          <w:t>no sufrieron grandes cambios</w:t>
        </w:r>
      </w:hyperlink>
      <w:r w:rsidRPr="005C22D4">
        <w:rPr>
          <w:rFonts w:ascii="Arial Narrow" w:eastAsia="Arial Narrow" w:hAnsi="Arial Narrow" w:cs="Arial Narrow"/>
          <w:sz w:val="24"/>
          <w:szCs w:val="24"/>
          <w:lang w:val="es-ES"/>
        </w:rPr>
        <w:t>, se dispuso que debían funcionar con una guardia rotativa. El Estado uruguayo no actuó conforme a los deberes que impone la debida diligencia. A esto debe adicionarse que el estado no previó redes de asistencia psicológica para la población en general durante el período de pandemia, por lo que las víctimas de violencia basada en género no solamente debían confinarse con su agresor, sino que además no tenían asistencia de ningún tipo.</w:t>
      </w:r>
    </w:p>
    <w:p w14:paraId="0000001B" w14:textId="6AE7E7F5" w:rsidR="00FB4BB0"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Respecto a la atención específica en relación con la violencia contra las  mujeres afrouruguayas durante la pandemia tampoco se implementaron medidas específicas para atender a este colectivo siendo que presenta mayores probabilidades de victimización. Los datos de la Encuesta de Prevalencia sobre Violencia Basada en Género y Generaciones para 2013 y 2019 muestran que las mujeres afro de 15 o más años presentan una mayor prevalencia de la Violencia Basada en Género (VBG) a lo largo de la vida y en todos los ámbitos, en relación a las mujeres no afro.</w:t>
      </w:r>
    </w:p>
    <w:p w14:paraId="5BE4FD50" w14:textId="77777777" w:rsidR="0036581D" w:rsidRPr="005C22D4" w:rsidRDefault="0036581D" w:rsidP="005C22D4">
      <w:pPr>
        <w:spacing w:line="360" w:lineRule="auto"/>
        <w:contextualSpacing/>
        <w:jc w:val="both"/>
        <w:rPr>
          <w:rFonts w:ascii="Arial Narrow" w:eastAsia="Arial Narrow" w:hAnsi="Arial Narrow" w:cs="Arial Narrow"/>
          <w:sz w:val="24"/>
          <w:szCs w:val="24"/>
          <w:lang w:val="es-ES"/>
        </w:rPr>
      </w:pPr>
    </w:p>
    <w:p w14:paraId="0000001C" w14:textId="77777777" w:rsidR="00FB4BB0" w:rsidRPr="005C22D4" w:rsidRDefault="00C132A8"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(ii) Mecanismo nacional encargado del adelanto de las mujeres</w:t>
      </w:r>
    </w:p>
    <w:p w14:paraId="0000001D" w14:textId="77777777" w:rsidR="00FB4BB0" w:rsidRPr="005C22D4" w:rsidRDefault="00C132A8" w:rsidP="005C22D4">
      <w:pP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Aunque significa un avance que el INMUJERES tenga rango de Unidad Ejecutora porque aumenta la celeridad para aplicar presupuesto a sus acciones, el hecho de seguir dependiendo de un Ministerio que no acompaña la línea general del Plan de Acción diseñado para cumplir con La Estrategia nacional para la Igualdad en Género 2030, obliga a una dependencia constante de consultas y autorizaciones para la ejecución de los gastos y proyectos.</w:t>
      </w:r>
    </w:p>
    <w:p w14:paraId="0000001E" w14:textId="77777777" w:rsidR="00FB4BB0" w:rsidRPr="005C22D4" w:rsidRDefault="00C132A8" w:rsidP="005C22D4">
      <w:pPr>
        <w:spacing w:before="240" w:after="24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sz w:val="24"/>
          <w:szCs w:val="24"/>
          <w:lang w:val="es-ES"/>
        </w:rPr>
        <w:t>La participación de las Organizaciones de la Sociedad Civil (OSC) se ha reducido en el Consejo Nacional de Género y para el tema Cuidados tiene una Comisión de Trabajo sobre Autonomía Económica donde sí participan las OSC en Cuidados y en formación de empresarias. Este grupo realizó un informe con recomendaciones sobre modificación de normativas y estrategias de empleo pero no  se logra avanzar en la misma  por falta de interés de los directivos ejecutivos de las instituciones implicadas</w:t>
      </w:r>
      <w:r w:rsidRPr="005C22D4">
        <w:rPr>
          <w:rFonts w:ascii="Arial Narrow" w:eastAsia="Arial Narrow" w:hAnsi="Arial Narrow" w:cs="Arial Narrow"/>
          <w:b/>
          <w:sz w:val="24"/>
          <w:szCs w:val="24"/>
          <w:lang w:val="es-ES"/>
        </w:rPr>
        <w:t>.</w:t>
      </w:r>
    </w:p>
    <w:p w14:paraId="0000001F"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40" w:after="240" w:line="360" w:lineRule="auto"/>
        <w:ind w:firstLine="72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p>
    <w:p w14:paraId="00000020" w14:textId="77777777" w:rsidR="00FB4BB0" w:rsidRDefault="00C132A8" w:rsidP="0036581D">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Tal como ya recomendó esté comité en 2016 (párrafo16, a), se eleve el rango del INMUJERES para facilitar su mandato. </w:t>
      </w:r>
    </w:p>
    <w:p w14:paraId="1D55DE08" w14:textId="77777777" w:rsidR="0036581D" w:rsidRPr="005C22D4" w:rsidRDefault="0036581D" w:rsidP="005C22D4">
      <w:pPr>
        <w:spacing w:before="240" w:after="240" w:line="360" w:lineRule="auto"/>
        <w:contextualSpacing/>
        <w:jc w:val="both"/>
        <w:rPr>
          <w:rFonts w:ascii="Arial Narrow" w:eastAsia="Arial Narrow" w:hAnsi="Arial Narrow" w:cs="Arial Narrow"/>
          <w:sz w:val="24"/>
          <w:szCs w:val="24"/>
          <w:lang w:val="es-ES"/>
        </w:rPr>
      </w:pPr>
    </w:p>
    <w:p w14:paraId="00000021" w14:textId="77777777" w:rsidR="00FB4BB0" w:rsidRPr="005C22D4" w:rsidRDefault="00C132A8" w:rsidP="005C22D4">
      <w:pP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(iii) Estereotipos y prácticas discriminatorias.</w:t>
      </w:r>
    </w:p>
    <w:p w14:paraId="00000022"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lastRenderedPageBreak/>
        <w:t xml:space="preserve">Respecto a la implementación del Protocolo sobre buenas prácticas en procesos de protección previstas por la Ley de violencia hacia las mujeres basada en género, Ley N°19.580, señalado por el informe país (párrafo 36) es importante señalar que el mismo es usado solo por algunos operadores pues su uso queda librado a la voluntad de cada uno, e inclusive algunos se refieren a ella con el claro ánimo de ridiculizarla y desjerarquizarla. Por ejemplo el 5/4/2019 un Juez afirmó que </w:t>
      </w:r>
      <w:r w:rsidRPr="005C22D4">
        <w:rPr>
          <w:rFonts w:ascii="Arial Narrow" w:eastAsia="Arial Narrow" w:hAnsi="Arial Narrow" w:cs="Arial Narrow"/>
          <w:i/>
          <w:sz w:val="24"/>
          <w:szCs w:val="24"/>
          <w:lang w:val="es-ES"/>
        </w:rPr>
        <w:t xml:space="preserve">“de acuerdo al art.3 de la Ley 19.580 </w:t>
      </w:r>
      <w:hyperlink r:id="rId20">
        <w:r w:rsidRPr="005C22D4">
          <w:rPr>
            <w:rFonts w:ascii="Arial Narrow" w:eastAsia="Arial Narrow" w:hAnsi="Arial Narrow" w:cs="Arial Narrow"/>
            <w:i/>
            <w:color w:val="1155CC"/>
            <w:sz w:val="24"/>
            <w:szCs w:val="24"/>
            <w:u w:val="single"/>
            <w:lang w:val="es-ES"/>
          </w:rPr>
          <w:t>en tanto la persona posee un pene se debe interpretar cualquier duda en favor de la mujer</w:t>
        </w:r>
      </w:hyperlink>
      <w:r w:rsidRPr="005C22D4">
        <w:rPr>
          <w:rFonts w:ascii="Arial Narrow" w:eastAsia="Arial Narrow" w:hAnsi="Arial Narrow" w:cs="Arial Narrow"/>
          <w:i/>
          <w:sz w:val="24"/>
          <w:szCs w:val="24"/>
          <w:lang w:val="es-ES"/>
        </w:rPr>
        <w:t xml:space="preserve"> (...)”,</w:t>
      </w:r>
      <w:r w:rsidRPr="005C22D4">
        <w:rPr>
          <w:rFonts w:ascii="Arial Narrow" w:eastAsia="Arial Narrow" w:hAnsi="Arial Narrow" w:cs="Arial Narrow"/>
          <w:sz w:val="24"/>
          <w:szCs w:val="24"/>
          <w:lang w:val="es-ES"/>
        </w:rPr>
        <w:t xml:space="preserve"> en realidad el art.3 refiere a la integración del corpus iuris de los DDHH de las mujeres. Este juez no fue sancionado como se esperaba, contrariamente sus jerarcas lo trasladaron a otro departamento cercano a la capital lo que en términos prácticos significa un ascenso en su carrera. </w:t>
      </w:r>
    </w:p>
    <w:p w14:paraId="00000023"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 xml:space="preserve"> </w:t>
      </w:r>
    </w:p>
    <w:p w14:paraId="00000024"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Capacite permanentemente a sus funcionarios judiciales y genere mecanismos de monitoreo para una correcta aplicación del Derecho Internacional de los DDHH de las mujeres, especialmente de la CEDAW, para garantizar la correcta aplicación de las normas.</w:t>
      </w:r>
    </w:p>
    <w:p w14:paraId="00000025"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26" w14:textId="77777777" w:rsidR="00FB4BB0" w:rsidRPr="005C22D4" w:rsidRDefault="00C132A8" w:rsidP="005C22D4">
      <w:pP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 xml:space="preserve">(iv) Discriminación en el Código Penal. </w:t>
      </w:r>
    </w:p>
    <w:p w14:paraId="00000027"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Pese a que este Comité recomendó al Estado en 2008, y reiteró en 2016 (párrafo 19,b), erradicar términos discriminatorios del Código Penal (CP), hasta la fecha tales recomendaciones no se implementaron en su totalidad. Así, el CP sigue incluyendo tres delitos de rapto en los que se recoge el concepto de mujer “honesta” como parte del tipo penal, y además señala la “deshonestidad" de la víctima como una atenuante (</w:t>
      </w:r>
      <w:hyperlink r:id="rId21">
        <w:r w:rsidRPr="005C22D4">
          <w:rPr>
            <w:rFonts w:ascii="Arial Narrow" w:eastAsia="Arial Narrow" w:hAnsi="Arial Narrow" w:cs="Arial Narrow"/>
            <w:color w:val="1155CC"/>
            <w:sz w:val="24"/>
            <w:szCs w:val="24"/>
            <w:u w:val="single"/>
            <w:lang w:val="es-ES"/>
          </w:rPr>
          <w:t>Art.269</w:t>
        </w:r>
      </w:hyperlink>
      <w:r w:rsidRPr="005C22D4">
        <w:rPr>
          <w:rFonts w:ascii="Arial Narrow" w:eastAsia="Arial Narrow" w:hAnsi="Arial Narrow" w:cs="Arial Narrow"/>
          <w:sz w:val="24"/>
          <w:szCs w:val="24"/>
          <w:lang w:val="es-ES"/>
        </w:rPr>
        <w:t xml:space="preserve">).  </w:t>
      </w:r>
    </w:p>
    <w:p w14:paraId="00000028"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Esta normativa consagra dos diferencias entre estos tres delitos, por un lado la edad de la mujer soltera menor de edad (</w:t>
      </w:r>
      <w:hyperlink r:id="rId22" w:anchor=":~:text=(Mujer%20casada%20o%20menor%20de,de%20dos%20a%20ocho%20a%C3%B1os.">
        <w:r w:rsidRPr="005C22D4">
          <w:rPr>
            <w:rFonts w:ascii="Arial Narrow" w:eastAsia="Arial Narrow" w:hAnsi="Arial Narrow" w:cs="Arial Narrow"/>
            <w:color w:val="1155CC"/>
            <w:sz w:val="24"/>
            <w:szCs w:val="24"/>
            <w:u w:val="single"/>
            <w:lang w:val="es-ES"/>
          </w:rPr>
          <w:t>artículo 267</w:t>
        </w:r>
      </w:hyperlink>
      <w:r w:rsidRPr="005C22D4">
        <w:rPr>
          <w:rFonts w:ascii="Arial Narrow" w:eastAsia="Arial Narrow" w:hAnsi="Arial Narrow" w:cs="Arial Narrow"/>
          <w:sz w:val="24"/>
          <w:szCs w:val="24"/>
          <w:lang w:val="es-ES"/>
        </w:rPr>
        <w:t xml:space="preserve"> y</w:t>
      </w:r>
      <w:hyperlink r:id="rId23">
        <w:r w:rsidRPr="005C22D4">
          <w:rPr>
            <w:rFonts w:ascii="Arial Narrow" w:eastAsia="Arial Narrow" w:hAnsi="Arial Narrow" w:cs="Arial Narrow"/>
            <w:color w:val="1155CC"/>
            <w:sz w:val="24"/>
            <w:szCs w:val="24"/>
            <w:u w:val="single"/>
            <w:lang w:val="es-ES"/>
          </w:rPr>
          <w:t xml:space="preserve"> 268</w:t>
        </w:r>
      </w:hyperlink>
      <w:r w:rsidRPr="005C22D4">
        <w:rPr>
          <w:rFonts w:ascii="Arial Narrow" w:eastAsia="Arial Narrow" w:hAnsi="Arial Narrow" w:cs="Arial Narrow"/>
          <w:sz w:val="24"/>
          <w:szCs w:val="24"/>
          <w:lang w:val="es-ES"/>
        </w:rPr>
        <w:t xml:space="preserve">), y por otro, el estado civil de la víctima: si es casada el guarismo punitivo es más elevado, dejando en evidencia que el bien jurídico a proteger no es la integridad de la mujer, sino su “pertenencia” a un hombre. </w:t>
      </w:r>
    </w:p>
    <w:p w14:paraId="00000029" w14:textId="77777777" w:rsidR="00FB4BB0"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recoge el concepto de honestidad, que no es definido por el CP y denota una idea estereotipada de la mujer, quitándole valor a la víctima como persona, y dificultando la tipificación del delito. El mismo no solo es empleado como elemento del tipo en el</w:t>
      </w:r>
      <w:hyperlink r:id="rId24">
        <w:r w:rsidRPr="005C22D4">
          <w:rPr>
            <w:rFonts w:ascii="Arial Narrow" w:eastAsia="Arial Narrow" w:hAnsi="Arial Narrow" w:cs="Arial Narrow"/>
            <w:color w:val="1155CC"/>
            <w:sz w:val="24"/>
            <w:szCs w:val="24"/>
            <w:u w:val="single"/>
            <w:lang w:val="es-ES"/>
          </w:rPr>
          <w:t xml:space="preserve"> artículo 266</w:t>
        </w:r>
      </w:hyperlink>
      <w:r w:rsidRPr="005C22D4">
        <w:rPr>
          <w:rFonts w:ascii="Arial Narrow" w:eastAsia="Arial Narrow" w:hAnsi="Arial Narrow" w:cs="Arial Narrow"/>
          <w:sz w:val="24"/>
          <w:szCs w:val="24"/>
          <w:lang w:val="es-ES"/>
        </w:rPr>
        <w:t>, sino que además es atenuante en los restantes delitos , lo que no solo es inconstitucional, sino que es contrario al Derecho Internacional de los DDHH, especialmente la CEDAW.</w:t>
      </w:r>
    </w:p>
    <w:p w14:paraId="24142AAE" w14:textId="77777777" w:rsidR="0036581D" w:rsidRDefault="0036581D" w:rsidP="005C22D4">
      <w:pPr>
        <w:spacing w:after="0" w:line="360" w:lineRule="auto"/>
        <w:contextualSpacing/>
        <w:jc w:val="both"/>
        <w:rPr>
          <w:rFonts w:ascii="Arial Narrow" w:eastAsia="Arial Narrow" w:hAnsi="Arial Narrow" w:cs="Arial Narrow"/>
          <w:sz w:val="24"/>
          <w:szCs w:val="24"/>
          <w:lang w:val="es-ES"/>
        </w:rPr>
      </w:pPr>
    </w:p>
    <w:p w14:paraId="4B23E3CF" w14:textId="77777777" w:rsidR="0036581D" w:rsidRDefault="0036581D" w:rsidP="005C22D4">
      <w:pPr>
        <w:spacing w:after="0" w:line="360" w:lineRule="auto"/>
        <w:contextualSpacing/>
        <w:jc w:val="both"/>
        <w:rPr>
          <w:rFonts w:ascii="Arial Narrow" w:eastAsia="Arial Narrow" w:hAnsi="Arial Narrow" w:cs="Arial Narrow"/>
          <w:sz w:val="24"/>
          <w:szCs w:val="24"/>
          <w:lang w:val="es-ES"/>
        </w:rPr>
      </w:pPr>
    </w:p>
    <w:p w14:paraId="59973B63" w14:textId="77777777" w:rsidR="0036581D" w:rsidRDefault="0036581D" w:rsidP="005C22D4">
      <w:pPr>
        <w:spacing w:after="0" w:line="360" w:lineRule="auto"/>
        <w:contextualSpacing/>
        <w:jc w:val="both"/>
        <w:rPr>
          <w:rFonts w:ascii="Arial Narrow" w:eastAsia="Arial Narrow" w:hAnsi="Arial Narrow" w:cs="Arial Narrow"/>
          <w:sz w:val="24"/>
          <w:szCs w:val="24"/>
          <w:lang w:val="es-ES"/>
        </w:rPr>
      </w:pPr>
    </w:p>
    <w:p w14:paraId="160FF906" w14:textId="77777777" w:rsidR="0036581D" w:rsidRPr="005C22D4" w:rsidRDefault="0036581D" w:rsidP="005C22D4">
      <w:pPr>
        <w:spacing w:after="0" w:line="360" w:lineRule="auto"/>
        <w:contextualSpacing/>
        <w:jc w:val="both"/>
        <w:rPr>
          <w:rFonts w:ascii="Arial Narrow" w:eastAsia="Arial Narrow" w:hAnsi="Arial Narrow" w:cs="Arial Narrow"/>
          <w:sz w:val="24"/>
          <w:szCs w:val="24"/>
          <w:lang w:val="es-ES"/>
        </w:rPr>
      </w:pPr>
    </w:p>
    <w:p w14:paraId="0000002A"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 xml:space="preserve">: </w:t>
      </w:r>
    </w:p>
    <w:p w14:paraId="0000002B" w14:textId="77777777" w:rsidR="00FB4BB0"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Se reiteren las recomendaciones de este Comité para eliminar disposiciones discriminatorias del CP y los conceptos patriarcales que impiden el enjuiciamiento de algunas formas de violencia sexual contra la mujer.  </w:t>
      </w:r>
    </w:p>
    <w:p w14:paraId="0000002C"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2D"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 xml:space="preserve">(v) Prohibición de contraer matrimonio </w:t>
      </w:r>
    </w:p>
    <w:p w14:paraId="0000002E"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Se mantiene incambiada la situación de las </w:t>
      </w:r>
      <w:hyperlink r:id="rId25">
        <w:r w:rsidRPr="005C22D4">
          <w:rPr>
            <w:rFonts w:ascii="Arial Narrow" w:eastAsia="Arial Narrow" w:hAnsi="Arial Narrow" w:cs="Arial Narrow"/>
            <w:color w:val="1155CC"/>
            <w:sz w:val="24"/>
            <w:szCs w:val="24"/>
            <w:u w:val="single"/>
            <w:lang w:val="es-ES"/>
          </w:rPr>
          <w:t>mujeres viudas o divorciadas que no pueden contraer matrimonio dentro de los 300 días</w:t>
        </w:r>
      </w:hyperlink>
      <w:r w:rsidRPr="005C22D4">
        <w:rPr>
          <w:rFonts w:ascii="Arial Narrow" w:eastAsia="Arial Narrow" w:hAnsi="Arial Narrow" w:cs="Arial Narrow"/>
          <w:sz w:val="24"/>
          <w:szCs w:val="24"/>
          <w:lang w:val="es-ES"/>
        </w:rPr>
        <w:t xml:space="preserve"> a contar desde la fecha del fallecimiento de su esposo o de su divorcio. Esta discriminación legal fue observada por este Comité en 2008 con la consiguiente recomendación de su modificación (párrafos 46-47), y reiterada en el año 2016 (párrafo 45). </w:t>
      </w:r>
    </w:p>
    <w:p w14:paraId="0000002F"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Recomendamos:</w:t>
      </w:r>
    </w:p>
    <w:p w14:paraId="00000030"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elimine la prohibición para la mujer de contraer matrimonio por 300 días luego de finalizado un vínculo matrimonial anterior.</w:t>
      </w:r>
    </w:p>
    <w:p w14:paraId="00000031" w14:textId="77777777" w:rsidR="00FB4BB0" w:rsidRPr="005C22D4" w:rsidRDefault="00FB4BB0" w:rsidP="005C22D4">
      <w:pPr>
        <w:spacing w:after="0" w:line="360" w:lineRule="auto"/>
        <w:ind w:firstLine="720"/>
        <w:contextualSpacing/>
        <w:jc w:val="both"/>
        <w:rPr>
          <w:rFonts w:ascii="Arial Narrow" w:eastAsia="Arial Narrow" w:hAnsi="Arial Narrow" w:cs="Arial Narrow"/>
          <w:sz w:val="24"/>
          <w:szCs w:val="24"/>
          <w:lang w:val="es-ES"/>
        </w:rPr>
      </w:pPr>
    </w:p>
    <w:p w14:paraId="00000032" w14:textId="77777777" w:rsidR="00FB4BB0" w:rsidRPr="005C22D4" w:rsidRDefault="00C132A8" w:rsidP="005C22D4">
      <w:pP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(vi) Abordaje de la Violencia contra las mujeres basada en su género (VBG)</w:t>
      </w:r>
    </w:p>
    <w:p w14:paraId="00000033" w14:textId="10F4752D"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 violencia </w:t>
      </w:r>
      <w:r w:rsidR="0036581D" w:rsidRPr="005C22D4">
        <w:rPr>
          <w:rFonts w:ascii="Arial Narrow" w:eastAsia="Arial Narrow" w:hAnsi="Arial Narrow" w:cs="Arial Narrow"/>
          <w:sz w:val="24"/>
          <w:szCs w:val="24"/>
          <w:lang w:val="es-ES"/>
        </w:rPr>
        <w:t>hacia</w:t>
      </w:r>
      <w:r w:rsidRPr="005C22D4">
        <w:rPr>
          <w:rFonts w:ascii="Arial Narrow" w:eastAsia="Arial Narrow" w:hAnsi="Arial Narrow" w:cs="Arial Narrow"/>
          <w:sz w:val="24"/>
          <w:szCs w:val="24"/>
          <w:lang w:val="es-ES"/>
        </w:rPr>
        <w:t xml:space="preserve"> las mujeres crece cotidianamente, así lo confirman datos oficiales de la </w:t>
      </w:r>
      <w:hyperlink r:id="rId26">
        <w:r w:rsidRPr="005C22D4">
          <w:rPr>
            <w:rFonts w:ascii="Arial Narrow" w:eastAsia="Arial Narrow" w:hAnsi="Arial Narrow" w:cs="Arial Narrow"/>
            <w:color w:val="1155CC"/>
            <w:sz w:val="24"/>
            <w:szCs w:val="24"/>
            <w:u w:val="single"/>
            <w:lang w:val="es-ES"/>
          </w:rPr>
          <w:t>Encuesta Nacional sobre Violencia de Género y generaciones (2019)</w:t>
        </w:r>
      </w:hyperlink>
      <w:r w:rsidRPr="005C22D4">
        <w:rPr>
          <w:rFonts w:ascii="Arial Narrow" w:eastAsia="Arial Narrow" w:hAnsi="Arial Narrow" w:cs="Arial Narrow"/>
          <w:sz w:val="24"/>
          <w:szCs w:val="24"/>
          <w:lang w:val="es-ES"/>
        </w:rPr>
        <w:t xml:space="preserve"> que muestran que el 76,7% de las mujeres de 15 años y más manifestaron ser víctimas de VBG en algún momento de su vida, representando 1,1 millón de mujeres, siendo más alta la cifra que en años anteriores. El 47,0% declararon ser víctimas de VBG de su pareja o ex pareja.</w:t>
      </w:r>
    </w:p>
    <w:p w14:paraId="00000034"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visibiliza que la violencia psicológica prevalece con un 44%; la mayoría de las mujeres violentadas son afrodescendientes 60,5%.</w:t>
      </w:r>
    </w:p>
    <w:p w14:paraId="00000036" w14:textId="756918D9"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Estas cifras dan cuenta de la alta tolerancia del Estado a la VBG y del aumento de los femicidios por parte de parejas o ex parejas. </w:t>
      </w:r>
      <w:hyperlink r:id="rId27">
        <w:r w:rsidRPr="005C22D4">
          <w:rPr>
            <w:rFonts w:ascii="Arial Narrow" w:eastAsia="Arial Narrow" w:hAnsi="Arial Narrow" w:cs="Arial Narrow"/>
            <w:color w:val="1155CC"/>
            <w:sz w:val="24"/>
            <w:szCs w:val="24"/>
            <w:u w:val="single"/>
            <w:lang w:val="es-ES"/>
          </w:rPr>
          <w:t>En lo que va del año se cometieron 14 femicidios</w:t>
        </w:r>
      </w:hyperlink>
      <w:r w:rsidRPr="005C22D4">
        <w:rPr>
          <w:rFonts w:ascii="Arial Narrow" w:eastAsia="Arial Narrow" w:hAnsi="Arial Narrow" w:cs="Arial Narrow"/>
          <w:sz w:val="24"/>
          <w:szCs w:val="24"/>
          <w:lang w:val="es-ES"/>
        </w:rPr>
        <w:t xml:space="preserve">. A partir del doloroso femicidio de Valentina </w:t>
      </w:r>
      <w:hyperlink r:id="rId28">
        <w:r w:rsidRPr="005C22D4">
          <w:rPr>
            <w:rFonts w:ascii="Arial Narrow" w:eastAsia="Arial Narrow" w:hAnsi="Arial Narrow" w:cs="Arial Narrow"/>
            <w:color w:val="1155CC"/>
            <w:sz w:val="24"/>
            <w:szCs w:val="24"/>
            <w:u w:val="single"/>
            <w:lang w:val="es-ES"/>
          </w:rPr>
          <w:t>de tan solo 17 años quien fue muerta por su ex pareja también de 17 años</w:t>
        </w:r>
      </w:hyperlink>
      <w:r w:rsidRPr="005C22D4">
        <w:rPr>
          <w:rFonts w:ascii="Arial Narrow" w:eastAsia="Arial Narrow" w:hAnsi="Arial Narrow" w:cs="Arial Narrow"/>
          <w:sz w:val="24"/>
          <w:szCs w:val="24"/>
          <w:lang w:val="es-ES"/>
        </w:rPr>
        <w:t xml:space="preserve">, la sociedad civil viene exigiendo que el Estado cumpla con su deber de la debida diligencia para prevenir femicidios. </w:t>
      </w:r>
      <w:hyperlink r:id="rId29" w:anchor=":~:text=El%20crimen%20de%20Valentina%20Cancela,exnovio%20de%20la%20misma%20edad.">
        <w:r w:rsidRPr="005C22D4">
          <w:rPr>
            <w:rFonts w:ascii="Arial Narrow" w:eastAsia="Arial Narrow" w:hAnsi="Arial Narrow" w:cs="Arial Narrow"/>
            <w:color w:val="1155CC"/>
            <w:sz w:val="24"/>
            <w:szCs w:val="24"/>
            <w:u w:val="single"/>
            <w:lang w:val="es-ES"/>
          </w:rPr>
          <w:t xml:space="preserve">Lamentablemente para ello una niña tuvo que perder su vida. </w:t>
        </w:r>
      </w:hyperlink>
    </w:p>
    <w:p w14:paraId="00000037"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El Estado conoce estas cifras alarmantes pero no actúa en consecuencia. Como sabemos una de las grandes afectaciones son los daños psicológicos, lo cual se ve reflejado en la gran demanda de las mujeres a los centros públicos de salud mental en los que no encuentran respuesta. Tampoco contamos con políticas públicas específicas con perspectiva interseccional (de género, raza y clase) que den respuesta integral a este flagelo de la violencia.</w:t>
      </w:r>
    </w:p>
    <w:p w14:paraId="00000038"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Las dependencias policiales especializadas en VBG siguen revictimizando a las mujeres cuando van a denunciar pues se cuestionan las razones de las denuncias reforzando prácticas discriminatorias y machistas. </w:t>
      </w:r>
    </w:p>
    <w:p w14:paraId="00000039"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3A" w14:textId="77777777" w:rsidR="00FB4BB0" w:rsidRPr="005C22D4" w:rsidRDefault="00C132A8" w:rsidP="005C22D4">
      <w:pP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Tobillera y custodia policial ante denuncias-VBG</w:t>
      </w:r>
    </w:p>
    <w:p w14:paraId="0000003B" w14:textId="65613B1D"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Los juzgados de familia especializados tienen diversas limitaciones para dar respuestas integrales a la VBG. Un paliativo para resguardar la vida de las víctimas son los dispositivos electrónicos de monitoreo para los casos de riesgo alto, pero </w:t>
      </w:r>
      <w:hyperlink r:id="rId30" w:history="1">
        <w:r w:rsidRPr="0036581D">
          <w:rPr>
            <w:rStyle w:val="Hipervnculo"/>
            <w:rFonts w:ascii="Arial Narrow" w:eastAsia="Arial Narrow" w:hAnsi="Arial Narrow" w:cs="Arial Narrow"/>
            <w:sz w:val="24"/>
            <w:szCs w:val="24"/>
            <w:lang w:val="es-ES"/>
          </w:rPr>
          <w:t>en los casos que los agresores sean menores de 18 años, no se podrá colocar el dispositivo.</w:t>
        </w:r>
      </w:hyperlink>
      <w:r w:rsidRPr="005C22D4">
        <w:rPr>
          <w:rFonts w:ascii="Arial Narrow" w:eastAsia="Arial Narrow" w:hAnsi="Arial Narrow" w:cs="Arial Narrow"/>
          <w:color w:val="1155CC"/>
          <w:sz w:val="24"/>
          <w:szCs w:val="24"/>
          <w:u w:val="single"/>
          <w:lang w:val="es-ES"/>
        </w:rPr>
        <w:t xml:space="preserve"> </w:t>
      </w:r>
    </w:p>
    <w:p w14:paraId="0000003C"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Cuando hay riesgo de vida de la denunciante el juez ordena que se coloque la tobillera al denunciado. La cantidad de tobilleras existentes en Uruguay es altamente inferior a la cantidad de denuncias por VBG, esto amerita que en la mayoría de los casos a la víctima se le adjudique custodia policial.</w:t>
      </w:r>
    </w:p>
    <w:p w14:paraId="0000003D"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El procedimiento del Ministerio del Interior respecto a la custodia policial presenta dificultades que perjudican a la víctima, pues cuando ésta necesita trasladarse debe esperar el relevo de la custodia en la comisaría, en tanto esa custodia no pueda operar en otra zona. </w:t>
      </w:r>
    </w:p>
    <w:p w14:paraId="0000003E"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Esta custodia policial no puede acompañar a la víctima a todos los lugares a los que debe acudir, limitándose al trabajo, a su casa, centro educativo o de salud. Si bien es cierto que se busca salvaguardar la vida e integridad de la víctima, en los hechos se le limitan otros derechos que hacen a su dignidad. Tal es el caso de una mujer pobre, jefa de hogar quien tras denunciar a su ex-pareja se le asignó custodia policial luego de que él rompiera su tobillera 2 veces, y como consecuencia disminuyeron las ventas en su quiosco. Ella tenía 5 hijos y una madre en situación de discapacidad a quien alimentar, la víctima</w:t>
      </w:r>
      <w:hyperlink r:id="rId31">
        <w:r w:rsidRPr="005C22D4">
          <w:rPr>
            <w:rFonts w:ascii="Arial Narrow" w:eastAsia="Arial Narrow" w:hAnsi="Arial Narrow" w:cs="Arial Narrow"/>
            <w:color w:val="1155CC"/>
            <w:sz w:val="24"/>
            <w:szCs w:val="24"/>
            <w:u w:val="single"/>
            <w:lang w:val="es-ES"/>
          </w:rPr>
          <w:t xml:space="preserve"> solicito se le retirara la custodia policial para vender. Al día siguiente su agresor la mató. </w:t>
        </w:r>
      </w:hyperlink>
      <w:r w:rsidRPr="005C22D4">
        <w:rPr>
          <w:rFonts w:ascii="Arial Narrow" w:eastAsia="Arial Narrow" w:hAnsi="Arial Narrow" w:cs="Arial Narrow"/>
          <w:sz w:val="24"/>
          <w:szCs w:val="24"/>
          <w:lang w:val="es-ES"/>
        </w:rPr>
        <w:t xml:space="preserve">El Estado no le ofreció ninguna otra alternativa, evidenciando la falta de entendimiento ante situaciones de discriminación múltiple. </w:t>
      </w:r>
    </w:p>
    <w:p w14:paraId="0000003F"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Las autoridades saben que la custodia policial revictimiza, </w:t>
      </w:r>
      <w:hyperlink r:id="rId32">
        <w:r w:rsidRPr="005C22D4">
          <w:rPr>
            <w:rFonts w:ascii="Arial Narrow" w:eastAsia="Arial Narrow" w:hAnsi="Arial Narrow" w:cs="Arial Narrow"/>
            <w:color w:val="1155CC"/>
            <w:sz w:val="24"/>
            <w:szCs w:val="24"/>
            <w:u w:val="single"/>
            <w:lang w:val="es-ES"/>
          </w:rPr>
          <w:t xml:space="preserve">y sin embargo hasta ahora solo un magistrado ha asignado custodia policial al agresor y no a la víctima. </w:t>
        </w:r>
      </w:hyperlink>
    </w:p>
    <w:p w14:paraId="00000041" w14:textId="5BEB3730"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 gran mayoría de las víctimas son madres, jefas de hogar, que viven en zonas muy pobres. La custodia policial les genera dificultades en sus espacios cotidianos, trabajos, salud, espacios públicos, con sus vecinos, familiares, entre otros. Sin embargo, el agresor no tiene problemas de movilidad o dificultades cotidianas. </w:t>
      </w:r>
    </w:p>
    <w:p w14:paraId="00000042"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El acceso a la justicia sigue siendo una ruta crítica para las mujeres pobres que transitan por el sistema de justicia. Las tobilleras no pueden ser la única respuesta a la VBG. La omisión más grave está en la ausencia de políticas públicas que prevengan todas las violencias contra las niñas y mujeres.</w:t>
      </w:r>
    </w:p>
    <w:p w14:paraId="00000043"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44"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w:t>
      </w:r>
    </w:p>
    <w:p w14:paraId="00000045"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a. Se diseñe y ejecute el Plan Nacional de Violencia Basada en Género acorde con la Ley 19.580, señalando acciones específicas para prevenir la VBG, que atienda y repare los daños a las mujeres sobrevivientes y sus familiares. </w:t>
      </w:r>
    </w:p>
    <w:p w14:paraId="00000046" w14:textId="77777777" w:rsidR="00FB4BB0" w:rsidRPr="005C22D4" w:rsidRDefault="00FB4BB0"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p>
    <w:p w14:paraId="00000047"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b. Se modifique el protocolo de custodia policial para mitigar el daño que se causa a la víctima y su monitoreo esté más centrado en el agresor. </w:t>
      </w:r>
    </w:p>
    <w:p w14:paraId="00000048"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49" w14:textId="77777777" w:rsidR="00FB4BB0" w:rsidRPr="005C22D4" w:rsidRDefault="00C132A8" w:rsidP="005C22D4">
      <w:pP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Una ley-VBG sin presupuesto</w:t>
      </w:r>
    </w:p>
    <w:p w14:paraId="0000004A"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 Ley de Violencia hacia las mujeres basada en género, </w:t>
      </w:r>
      <w:hyperlink r:id="rId33">
        <w:r w:rsidRPr="005C22D4">
          <w:rPr>
            <w:rFonts w:ascii="Arial Narrow" w:eastAsia="Arial Narrow" w:hAnsi="Arial Narrow" w:cs="Arial Narrow"/>
            <w:color w:val="1155CC"/>
            <w:sz w:val="24"/>
            <w:szCs w:val="24"/>
            <w:u w:val="single"/>
            <w:lang w:val="es-ES"/>
          </w:rPr>
          <w:t>Ley N°19580</w:t>
        </w:r>
      </w:hyperlink>
      <w:r w:rsidRPr="005C22D4">
        <w:rPr>
          <w:rFonts w:ascii="Arial Narrow" w:eastAsia="Arial Narrow" w:hAnsi="Arial Narrow" w:cs="Arial Narrow"/>
          <w:sz w:val="24"/>
          <w:szCs w:val="24"/>
          <w:lang w:val="es-ES"/>
        </w:rPr>
        <w:t>, entró en vigencia hace casi 6 años y aún no ha sido implementada en su totalidad. Se alega falta de recursos materiales y humanos. El Estado no ha asignado presupuesto para la misma por lo que su ejecución sigue siendo parcial e incompleta.</w:t>
      </w:r>
    </w:p>
    <w:p w14:paraId="0000004B" w14:textId="4B8E2CAA"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Uruguay tiene 19 departamentos. La ley 19580 en su art.51 establece que deben instalarse los Juzgados de Género a nivel nacional. Solo el departamento de Maldonado (ciudad </w:t>
      </w:r>
      <w:hyperlink r:id="rId34">
        <w:r w:rsidRPr="005C22D4">
          <w:rPr>
            <w:rFonts w:ascii="Arial Narrow" w:eastAsia="Arial Narrow" w:hAnsi="Arial Narrow" w:cs="Arial Narrow"/>
            <w:color w:val="1155CC"/>
            <w:sz w:val="24"/>
            <w:szCs w:val="24"/>
            <w:u w:val="single"/>
            <w:lang w:val="es-ES"/>
          </w:rPr>
          <w:t>San Carlos</w:t>
        </w:r>
      </w:hyperlink>
      <w:r w:rsidRPr="005C22D4">
        <w:rPr>
          <w:rFonts w:ascii="Arial Narrow" w:eastAsia="Arial Narrow" w:hAnsi="Arial Narrow" w:cs="Arial Narrow"/>
          <w:sz w:val="24"/>
          <w:szCs w:val="24"/>
          <w:lang w:val="es-ES"/>
        </w:rPr>
        <w:t xml:space="preserve">) cuenta con un Juzgado de Género. Montevideo cuenta con doce Juzgados de familia especializada que atiende violencia doméstica, situación de los niños y adolescentes en abandono (Ley N°17.823) y procesos de salud mental (Ley N°19.529). En el resto del país la violencia doméstica es atendida por juzgados letrados que ven todas las materias (penal, laboral, civil, </w:t>
      </w:r>
      <w:r w:rsidR="0036581D" w:rsidRPr="005C22D4">
        <w:rPr>
          <w:rFonts w:ascii="Arial Narrow" w:eastAsia="Arial Narrow" w:hAnsi="Arial Narrow" w:cs="Arial Narrow"/>
          <w:sz w:val="24"/>
          <w:szCs w:val="24"/>
          <w:lang w:val="es-ES"/>
        </w:rPr>
        <w:t>etc.</w:t>
      </w:r>
      <w:r w:rsidRPr="005C22D4">
        <w:rPr>
          <w:rFonts w:ascii="Arial Narrow" w:eastAsia="Arial Narrow" w:hAnsi="Arial Narrow" w:cs="Arial Narrow"/>
          <w:sz w:val="24"/>
          <w:szCs w:val="24"/>
          <w:lang w:val="es-ES"/>
        </w:rPr>
        <w:t xml:space="preserve">). </w:t>
      </w:r>
    </w:p>
    <w:p w14:paraId="0000004C"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Esta Ley ha encontrado mucha resistencia explícita de parte del nuevo gobierno de la Coalición Multicolor. Inclusive hay parlamentarios que</w:t>
      </w:r>
      <w:hyperlink r:id="rId35">
        <w:r w:rsidRPr="005C22D4">
          <w:rPr>
            <w:rFonts w:ascii="Arial Narrow" w:eastAsia="Arial Narrow" w:hAnsi="Arial Narrow" w:cs="Arial Narrow"/>
            <w:color w:val="1155CC"/>
            <w:sz w:val="24"/>
            <w:szCs w:val="24"/>
            <w:u w:val="single"/>
            <w:lang w:val="es-ES"/>
          </w:rPr>
          <w:t xml:space="preserve"> buscan la derogación de la misma </w:t>
        </w:r>
      </w:hyperlink>
      <w:r w:rsidRPr="005C22D4">
        <w:rPr>
          <w:rFonts w:ascii="Arial Narrow" w:eastAsia="Arial Narrow" w:hAnsi="Arial Narrow" w:cs="Arial Narrow"/>
          <w:sz w:val="24"/>
          <w:szCs w:val="24"/>
          <w:lang w:val="es-ES"/>
        </w:rPr>
        <w:t>considerándola “injusta” porque “favorece a las mujeres”.</w:t>
      </w:r>
      <w:hyperlink r:id="rId36">
        <w:r w:rsidRPr="005C22D4">
          <w:rPr>
            <w:rFonts w:ascii="Arial Narrow" w:eastAsia="Arial Narrow" w:hAnsi="Arial Narrow" w:cs="Arial Narrow"/>
            <w:sz w:val="24"/>
            <w:szCs w:val="24"/>
            <w:lang w:val="es-ES"/>
          </w:rPr>
          <w:t xml:space="preserve"> </w:t>
        </w:r>
      </w:hyperlink>
    </w:p>
    <w:p w14:paraId="0000004E" w14:textId="69B11E1A" w:rsidR="00FB4BB0" w:rsidRPr="0036581D"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Es preocupante el desconocimiento de las obligaciones del Estado respecto de los DDHH de las mujeres de algunos legisladores relativizando los compromisos asumidos frente a la comunidad internacional.</w:t>
      </w:r>
    </w:p>
    <w:p w14:paraId="0000004F"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En el 2020 se modificó el art.18 de la ley N°19580 mediante la ley</w:t>
      </w:r>
      <w:hyperlink r:id="rId37">
        <w:r w:rsidRPr="005C22D4">
          <w:rPr>
            <w:rFonts w:ascii="Arial Narrow" w:eastAsia="Arial Narrow" w:hAnsi="Arial Narrow" w:cs="Arial Narrow"/>
            <w:color w:val="1155CC"/>
            <w:sz w:val="24"/>
            <w:szCs w:val="24"/>
            <w:u w:val="single"/>
            <w:lang w:val="es-ES"/>
          </w:rPr>
          <w:t xml:space="preserve"> N°19924, art 508 </w:t>
        </w:r>
      </w:hyperlink>
      <w:r w:rsidRPr="005C22D4">
        <w:rPr>
          <w:rFonts w:ascii="Arial Narrow" w:eastAsia="Arial Narrow" w:hAnsi="Arial Narrow" w:cs="Arial Narrow"/>
          <w:sz w:val="24"/>
          <w:szCs w:val="24"/>
          <w:lang w:val="es-ES"/>
        </w:rPr>
        <w:t xml:space="preserve">la que modifica la integración del observatorio de VBG excluyéndose a las organizaciones de la sociedad civil como integrantes del  mismo. </w:t>
      </w:r>
    </w:p>
    <w:p w14:paraId="00000050"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p>
    <w:p w14:paraId="00000051" w14:textId="77777777" w:rsidR="00FB4BB0" w:rsidRPr="005C22D4" w:rsidRDefault="00C132A8" w:rsidP="005C22D4">
      <w:pP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Sistemas de respuesta-VBG colapsados</w:t>
      </w:r>
    </w:p>
    <w:p w14:paraId="00000052"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Los servicios públicos de atención nacional del INMUJERES cuentan con 33 servicios en todo el país pero solamente atienden a mujeres mayores de 18 años víctimas de violencia doméstica de pareja o ex pareja. Se excluye a miles de niñas,  adolescentes y mujeres que también son víctimas de </w:t>
      </w:r>
      <w:hyperlink r:id="rId38">
        <w:r w:rsidRPr="005C22D4">
          <w:rPr>
            <w:rFonts w:ascii="Arial Narrow" w:eastAsia="Arial Narrow" w:hAnsi="Arial Narrow" w:cs="Arial Narrow"/>
            <w:color w:val="1155CC"/>
            <w:sz w:val="24"/>
            <w:szCs w:val="24"/>
            <w:u w:val="single"/>
            <w:lang w:val="es-ES"/>
          </w:rPr>
          <w:t>otras manifestaciones de violencia de género</w:t>
        </w:r>
      </w:hyperlink>
      <w:r w:rsidRPr="005C22D4">
        <w:rPr>
          <w:rFonts w:ascii="Arial Narrow" w:eastAsia="Arial Narrow" w:hAnsi="Arial Narrow" w:cs="Arial Narrow"/>
          <w:sz w:val="24"/>
          <w:szCs w:val="24"/>
          <w:lang w:val="es-ES"/>
        </w:rPr>
        <w:t>. A esto se suma la falta de capacitación, especialización y políticas de cuidado para los técnicos que sostienen los servicios públicos.</w:t>
      </w:r>
    </w:p>
    <w:p w14:paraId="00000053" w14:textId="159C0D1F"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Los servicios de atención de INMUJERES se encuentran desbordados, atienden solamente  veinte horas semanales. Hay servicios que al momento de este informe dan fecha de atención para dentro de dos y hasta seis meses. Además, las abogadas solo brindan 10 horas de patrocinio semanal, por lo que es excepcional que éstas acompañen a las víctimas a comisarías policiales y a las audiencias judiciales no pudiendo representarlas en otros procesos de familia vinculados (</w:t>
      </w:r>
      <w:r w:rsidR="0036581D" w:rsidRPr="005C22D4">
        <w:rPr>
          <w:rFonts w:ascii="Arial Narrow" w:eastAsia="Arial Narrow" w:hAnsi="Arial Narrow" w:cs="Arial Narrow"/>
          <w:sz w:val="24"/>
          <w:szCs w:val="24"/>
          <w:lang w:val="es-ES"/>
        </w:rPr>
        <w:t>ej.</w:t>
      </w:r>
      <w:r w:rsidRPr="005C22D4">
        <w:rPr>
          <w:rFonts w:ascii="Arial Narrow" w:eastAsia="Arial Narrow" w:hAnsi="Arial Narrow" w:cs="Arial Narrow"/>
          <w:sz w:val="24"/>
          <w:szCs w:val="24"/>
          <w:lang w:val="es-ES"/>
        </w:rPr>
        <w:t xml:space="preserve">: divorcios, tenencia o pensión alimenticia de sus hijos, </w:t>
      </w:r>
      <w:r w:rsidR="0036581D" w:rsidRPr="005C22D4">
        <w:rPr>
          <w:rFonts w:ascii="Arial Narrow" w:eastAsia="Arial Narrow" w:hAnsi="Arial Narrow" w:cs="Arial Narrow"/>
          <w:sz w:val="24"/>
          <w:szCs w:val="24"/>
          <w:lang w:val="es-ES"/>
        </w:rPr>
        <w:t>etc.</w:t>
      </w:r>
      <w:r w:rsidRPr="005C22D4">
        <w:rPr>
          <w:rFonts w:ascii="Arial Narrow" w:eastAsia="Arial Narrow" w:hAnsi="Arial Narrow" w:cs="Arial Narrow"/>
          <w:sz w:val="24"/>
          <w:szCs w:val="24"/>
          <w:lang w:val="es-ES"/>
        </w:rPr>
        <w:t xml:space="preserve">). Estas barreras en el acceso de las mujeres pobres a la asistencia letrada y a la información acerca de las vías de recursos judiciales que disponen, son doblemente discriminatorias pues se les discrimina no solo por el género sino por su pobreza. </w:t>
      </w:r>
    </w:p>
    <w:p w14:paraId="00000054" w14:textId="77777777" w:rsidR="00FB4BB0" w:rsidRPr="005C22D4" w:rsidRDefault="00C132A8" w:rsidP="005C22D4">
      <w:pP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En los procesos judiciales la mayoría de las mujeres son representadas por la Defensoría Pública (servicio público que atiende a personas de bajos recursos). Ésta Defensoría es la que también representa a niños, y a denunciados en los procesos judiciales sobre violencia doméstica. Desde hace muchos años la Asociación de Defensores Públicos viene denunciando la sobrecarga laboral y la necesidad de contar con recursos adecuados para cumplir con los estándares mínimos de atención y garantizar el acceso a la justicia para los más vulnerables.</w:t>
      </w:r>
      <w:hyperlink r:id="rId39">
        <w:r w:rsidRPr="005C22D4">
          <w:rPr>
            <w:rFonts w:ascii="Arial Narrow" w:eastAsia="Arial Narrow" w:hAnsi="Arial Narrow" w:cs="Arial Narrow"/>
            <w:sz w:val="24"/>
            <w:szCs w:val="24"/>
            <w:lang w:val="es-ES"/>
          </w:rPr>
          <w:t xml:space="preserve"> </w:t>
        </w:r>
      </w:hyperlink>
    </w:p>
    <w:p w14:paraId="00000055" w14:textId="77777777" w:rsidR="00FB4BB0" w:rsidRPr="005C22D4" w:rsidRDefault="00C132A8" w:rsidP="005C22D4">
      <w:pPr>
        <w:spacing w:before="240" w:after="240" w:line="360" w:lineRule="auto"/>
        <w:contextualSpacing/>
        <w:jc w:val="both"/>
        <w:rPr>
          <w:rFonts w:ascii="Arial Narrow" w:eastAsia="Arial Narrow" w:hAnsi="Arial Narrow" w:cs="Arial Narrow"/>
          <w:color w:val="1155CC"/>
          <w:sz w:val="24"/>
          <w:szCs w:val="24"/>
          <w:u w:val="single"/>
          <w:lang w:val="es-ES"/>
        </w:rPr>
      </w:pPr>
      <w:r w:rsidRPr="005C22D4">
        <w:rPr>
          <w:rFonts w:ascii="Arial Narrow" w:eastAsia="Arial Narrow" w:hAnsi="Arial Narrow" w:cs="Arial Narrow"/>
          <w:sz w:val="24"/>
          <w:szCs w:val="24"/>
          <w:lang w:val="es-ES"/>
        </w:rPr>
        <w:t xml:space="preserve">La Defensoría Pública está colapsada. Existen 295 abogados defensores en el Poder Judicial, que deben atender un </w:t>
      </w:r>
      <w:hyperlink r:id="rId40">
        <w:r w:rsidRPr="005C22D4">
          <w:rPr>
            <w:rFonts w:ascii="Arial Narrow" w:eastAsia="Arial Narrow" w:hAnsi="Arial Narrow" w:cs="Arial Narrow"/>
            <w:color w:val="1155CC"/>
            <w:sz w:val="24"/>
            <w:szCs w:val="24"/>
            <w:u w:val="single"/>
            <w:lang w:val="es-ES"/>
          </w:rPr>
          <w:t xml:space="preserve">total de 200.000 nuevos casos por año. </w:t>
        </w:r>
      </w:hyperlink>
      <w:r w:rsidRPr="005C22D4">
        <w:rPr>
          <w:rFonts w:ascii="Arial Narrow" w:eastAsia="Arial Narrow" w:hAnsi="Arial Narrow" w:cs="Arial Narrow"/>
          <w:sz w:val="24"/>
          <w:szCs w:val="24"/>
          <w:lang w:val="es-ES"/>
        </w:rPr>
        <w:t xml:space="preserve">Esto afecta el acceso a la justicia de forma directa, en tanto no se aborda cada caso contemplando las garantías del debido proceso. Actualmente hay 99 puestos vacantes en la Defensoría en todo el país, mientras que los concursos para cubrirlos se encuentran pendientes desde el 2021. </w:t>
      </w:r>
    </w:p>
    <w:p w14:paraId="00000056"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Las deficiencias que se constatan del sistema estatal de respuesta (policía, defensa pública, fiscalías y juzgados) nos plantea la urgencia de que se </w:t>
      </w:r>
      <w:r w:rsidRPr="005C22D4">
        <w:rPr>
          <w:rFonts w:ascii="Arial Narrow" w:eastAsia="Arial Narrow" w:hAnsi="Arial Narrow" w:cs="Arial Narrow"/>
          <w:b/>
          <w:sz w:val="24"/>
          <w:szCs w:val="24"/>
          <w:lang w:val="es-ES"/>
        </w:rPr>
        <w:t xml:space="preserve">recomiende </w:t>
      </w:r>
      <w:r w:rsidRPr="005C22D4">
        <w:rPr>
          <w:rFonts w:ascii="Arial Narrow" w:eastAsia="Arial Narrow" w:hAnsi="Arial Narrow" w:cs="Arial Narrow"/>
          <w:sz w:val="24"/>
          <w:szCs w:val="24"/>
          <w:lang w:val="es-ES"/>
        </w:rPr>
        <w:t>al Estado que:</w:t>
      </w:r>
      <w:r w:rsidRPr="005C22D4">
        <w:rPr>
          <w:rFonts w:ascii="Arial Narrow" w:eastAsia="Arial Narrow" w:hAnsi="Arial Narrow" w:cs="Arial Narrow"/>
          <w:sz w:val="24"/>
          <w:szCs w:val="24"/>
          <w:lang w:val="es-ES"/>
        </w:rPr>
        <w:br/>
        <w:t xml:space="preserve">a. Destine presupuesto necesario para la implementación de la Ley 19.580 y la protección sea integral para las víctimas sobrevivientes. </w:t>
      </w:r>
    </w:p>
    <w:p w14:paraId="00000057"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b. No discrimine la atención a niñas y adolescentes víctimas de múltiples violencias por su edad.</w:t>
      </w:r>
    </w:p>
    <w:p w14:paraId="00000058"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c. Que los servicios públicos del INMUJERES atiendan todas las manifestaciones de las violencias de género.</w:t>
      </w:r>
    </w:p>
    <w:p w14:paraId="00000059" w14:textId="77777777" w:rsidR="00FB4BB0" w:rsidRDefault="00C132A8" w:rsidP="0036581D">
      <w:pPr>
        <w:pBdr>
          <w:top w:val="single" w:sz="4" w:space="1" w:color="auto"/>
          <w:left w:val="single" w:sz="4" w:space="4" w:color="auto"/>
          <w:bottom w:val="single" w:sz="4" w:space="1" w:color="auto"/>
          <w:right w:val="single" w:sz="4" w:space="4" w:color="auto"/>
        </w:pBd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d. Designe más defensores públicos y procuradores para una adecuada atención de las víctimas y se garantice un efectivo acceso a la justicia, sin discriminaciones múltiples. </w:t>
      </w:r>
    </w:p>
    <w:p w14:paraId="10E56EDB" w14:textId="77777777" w:rsidR="0036581D" w:rsidRPr="005C22D4" w:rsidRDefault="0036581D" w:rsidP="005C22D4">
      <w:pPr>
        <w:spacing w:before="240" w:after="240" w:line="360" w:lineRule="auto"/>
        <w:contextualSpacing/>
        <w:jc w:val="both"/>
        <w:rPr>
          <w:rFonts w:ascii="Arial Narrow" w:eastAsia="Arial Narrow" w:hAnsi="Arial Narrow" w:cs="Arial Narrow"/>
          <w:sz w:val="24"/>
          <w:szCs w:val="24"/>
          <w:lang w:val="es-ES"/>
        </w:rPr>
      </w:pPr>
    </w:p>
    <w:p w14:paraId="0000005A" w14:textId="77777777" w:rsidR="00FB4BB0" w:rsidRPr="005C22D4" w:rsidRDefault="00C132A8" w:rsidP="005C22D4">
      <w:pPr>
        <w:spacing w:before="240" w:after="240" w:line="360" w:lineRule="auto"/>
        <w:contextualSpacing/>
        <w:jc w:val="both"/>
        <w:rPr>
          <w:rFonts w:ascii="Arial Narrow" w:eastAsia="Arial Narrow" w:hAnsi="Arial Narrow" w:cs="Arial Narrow"/>
          <w:b/>
          <w:sz w:val="24"/>
          <w:szCs w:val="24"/>
          <w:highlight w:val="yellow"/>
          <w:lang w:val="es-ES"/>
        </w:rPr>
      </w:pPr>
      <w:r w:rsidRPr="005C22D4">
        <w:rPr>
          <w:rFonts w:ascii="Arial Narrow" w:eastAsia="Arial Narrow" w:hAnsi="Arial Narrow" w:cs="Arial Narrow"/>
          <w:b/>
          <w:sz w:val="24"/>
          <w:szCs w:val="24"/>
          <w:lang w:val="es-ES"/>
        </w:rPr>
        <w:t>(vii) Femicidios</w:t>
      </w:r>
      <w:r w:rsidRPr="005C22D4">
        <w:rPr>
          <w:rFonts w:ascii="Arial Narrow" w:eastAsia="Arial Narrow" w:hAnsi="Arial Narrow" w:cs="Arial Narrow"/>
          <w:b/>
          <w:sz w:val="24"/>
          <w:szCs w:val="24"/>
          <w:highlight w:val="yellow"/>
          <w:lang w:val="es-ES"/>
        </w:rPr>
        <w:t xml:space="preserve"> </w:t>
      </w:r>
    </w:p>
    <w:p w14:paraId="0000005B" w14:textId="77777777" w:rsidR="00FB4BB0" w:rsidRPr="005C22D4" w:rsidRDefault="00C132A8" w:rsidP="005C22D4">
      <w:pPr>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La cantidad de femicidios en Uruguay es fluctuante año a año, no existiendo una tendencia a la baja. Para el 2021</w:t>
      </w:r>
      <w:hyperlink r:id="rId41">
        <w:r w:rsidRPr="005C22D4">
          <w:rPr>
            <w:rFonts w:ascii="Arial Narrow" w:eastAsia="Arial Narrow" w:hAnsi="Arial Narrow" w:cs="Arial Narrow"/>
            <w:sz w:val="24"/>
            <w:szCs w:val="24"/>
            <w:lang w:val="es-ES"/>
          </w:rPr>
          <w:t xml:space="preserve"> </w:t>
        </w:r>
      </w:hyperlink>
      <w:hyperlink r:id="rId42">
        <w:r w:rsidRPr="005C22D4">
          <w:rPr>
            <w:rFonts w:ascii="Arial Narrow" w:eastAsia="Arial Narrow" w:hAnsi="Arial Narrow" w:cs="Arial Narrow"/>
            <w:color w:val="0563C1"/>
            <w:sz w:val="24"/>
            <w:szCs w:val="24"/>
            <w:u w:val="single"/>
            <w:lang w:val="es-ES"/>
          </w:rPr>
          <w:t>Uruguay se ubicaba en el onceavo lugar a nivel latinoamericano</w:t>
        </w:r>
      </w:hyperlink>
      <w:r w:rsidRPr="005C22D4">
        <w:rPr>
          <w:rFonts w:ascii="Arial Narrow" w:eastAsia="Arial Narrow" w:hAnsi="Arial Narrow" w:cs="Arial Narrow"/>
          <w:sz w:val="24"/>
          <w:szCs w:val="24"/>
          <w:lang w:val="es-ES"/>
        </w:rPr>
        <w:t xml:space="preserve"> de las tasas más altas de femicidio, sin embargo, al considerar únicamente los países de América del Sur, Uruguay se ubicaba en la tercera posición.</w:t>
      </w:r>
    </w:p>
    <w:p w14:paraId="0000005C" w14:textId="77777777"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color w:val="030303"/>
          <w:sz w:val="24"/>
          <w:szCs w:val="24"/>
          <w:lang w:val="es-ES"/>
        </w:rPr>
        <w:t>Si bien se</w:t>
      </w:r>
      <w:r w:rsidRPr="005C22D4">
        <w:rPr>
          <w:rFonts w:ascii="Arial Narrow" w:eastAsia="Arial Narrow" w:hAnsi="Arial Narrow" w:cs="Arial Narrow"/>
          <w:sz w:val="24"/>
          <w:szCs w:val="24"/>
          <w:lang w:val="es-ES"/>
        </w:rPr>
        <w:t xml:space="preserve"> realizaron cambios normativos como el agravamiento de la pena para el delito de femicidio </w:t>
      </w:r>
      <w:hyperlink r:id="rId43">
        <w:r w:rsidRPr="005C22D4">
          <w:rPr>
            <w:rFonts w:ascii="Arial Narrow" w:eastAsia="Arial Narrow" w:hAnsi="Arial Narrow" w:cs="Arial Narrow"/>
            <w:color w:val="1155CC"/>
            <w:sz w:val="24"/>
            <w:szCs w:val="24"/>
            <w:u w:val="single"/>
            <w:lang w:val="es-ES"/>
          </w:rPr>
          <w:t xml:space="preserve">(homicidio </w:t>
        </w:r>
      </w:hyperlink>
      <w:hyperlink r:id="rId44">
        <w:r w:rsidRPr="005C22D4">
          <w:rPr>
            <w:rFonts w:ascii="Arial Narrow" w:eastAsia="Arial Narrow" w:hAnsi="Arial Narrow" w:cs="Arial Narrow"/>
            <w:color w:val="1155CC"/>
            <w:sz w:val="24"/>
            <w:szCs w:val="24"/>
            <w:u w:val="single"/>
            <w:lang w:val="es-ES"/>
          </w:rPr>
          <w:t>agravado</w:t>
        </w:r>
      </w:hyperlink>
      <w:hyperlink r:id="rId45">
        <w:r w:rsidRPr="005C22D4">
          <w:rPr>
            <w:rFonts w:ascii="Arial Narrow" w:eastAsia="Arial Narrow" w:hAnsi="Arial Narrow" w:cs="Arial Narrow"/>
            <w:color w:val="1155CC"/>
            <w:sz w:val="24"/>
            <w:szCs w:val="24"/>
            <w:u w:val="single"/>
            <w:lang w:val="es-ES"/>
          </w:rPr>
          <w:t>)</w:t>
        </w:r>
      </w:hyperlink>
      <w:r w:rsidRPr="005C22D4">
        <w:rPr>
          <w:rFonts w:ascii="Arial Narrow" w:eastAsia="Arial Narrow" w:hAnsi="Arial Narrow" w:cs="Arial Narrow"/>
          <w:sz w:val="24"/>
          <w:szCs w:val="24"/>
          <w:lang w:val="es-ES"/>
        </w:rPr>
        <w:t xml:space="preserve"> los casos no bajaron pues como sabemos la mera criminalización del delito no disuade ni resuelve el flagelo del femicidio</w:t>
      </w:r>
    </w:p>
    <w:p w14:paraId="0000005D" w14:textId="77777777" w:rsidR="00FB4BB0" w:rsidRPr="005C22D4" w:rsidRDefault="00D363B3" w:rsidP="005C22D4">
      <w:pPr>
        <w:spacing w:after="0" w:line="360" w:lineRule="auto"/>
        <w:contextualSpacing/>
        <w:jc w:val="both"/>
        <w:rPr>
          <w:rFonts w:ascii="Arial Narrow" w:eastAsia="Arial Narrow" w:hAnsi="Arial Narrow" w:cs="Arial Narrow"/>
          <w:sz w:val="24"/>
          <w:szCs w:val="24"/>
          <w:shd w:val="clear" w:color="auto" w:fill="D5A6BD"/>
          <w:lang w:val="es-ES"/>
        </w:rPr>
      </w:pPr>
      <w:hyperlink r:id="rId46">
        <w:r w:rsidR="00C132A8" w:rsidRPr="005C22D4">
          <w:rPr>
            <w:rFonts w:ascii="Arial Narrow" w:eastAsia="Arial Narrow" w:hAnsi="Arial Narrow" w:cs="Arial Narrow"/>
            <w:color w:val="1155CC"/>
            <w:sz w:val="24"/>
            <w:szCs w:val="24"/>
            <w:u w:val="single"/>
            <w:lang w:val="es-ES"/>
          </w:rPr>
          <w:t>Respecto a las cifras</w:t>
        </w:r>
      </w:hyperlink>
      <w:r w:rsidR="00C132A8" w:rsidRPr="005C22D4">
        <w:rPr>
          <w:rFonts w:ascii="Arial Narrow" w:eastAsia="Arial Narrow" w:hAnsi="Arial Narrow" w:cs="Arial Narrow"/>
          <w:sz w:val="24"/>
          <w:szCs w:val="24"/>
          <w:lang w:val="es-ES"/>
        </w:rPr>
        <w:t xml:space="preserve">, en 2016 hubo 23 femicidios y 8 intentos de femicidio, en 2017 estas cifras ascendieron a 37 y 10 respectivamente, mientras que en 2018 lo hicieron a 38 y 16. No obstante, en 2019 la cantidad de femicidios disminuyó a 30, mientras que la cantidad de intentos de femicidio ascendió a 18. Lo mismo sucedió en 2020, en pandemia: la cantidad de femicidios disminuyó a 19 mientras que los intentos ascendieron a 21. En 2021 se reportaron 27 femicidios y 23 intentos, mientras que en 2022 fueron 37 y 21 respectivamente. </w:t>
      </w:r>
      <w:hyperlink r:id="rId47">
        <w:r w:rsidR="00C132A8" w:rsidRPr="005C22D4">
          <w:rPr>
            <w:rFonts w:ascii="Arial Narrow" w:eastAsia="Arial Narrow" w:hAnsi="Arial Narrow" w:cs="Arial Narrow"/>
            <w:color w:val="1155CC"/>
            <w:sz w:val="24"/>
            <w:szCs w:val="24"/>
            <w:u w:val="single"/>
            <w:lang w:val="es-ES"/>
          </w:rPr>
          <w:t>En estos 8 meses de 202</w:t>
        </w:r>
      </w:hyperlink>
      <w:r w:rsidR="00C132A8" w:rsidRPr="005C22D4">
        <w:rPr>
          <w:rFonts w:ascii="Arial Narrow" w:eastAsia="Arial Narrow" w:hAnsi="Arial Narrow" w:cs="Arial Narrow"/>
          <w:sz w:val="24"/>
          <w:szCs w:val="24"/>
          <w:lang w:val="es-ES"/>
        </w:rPr>
        <w:t>3 ya tenemos 12 femicidios y 10 tentativas de femicidios.</w:t>
      </w:r>
    </w:p>
    <w:p w14:paraId="0000005E" w14:textId="77777777"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Lejos de reconocer y enmendar las fallas del sistema o de proponer soluciones desde su cargo, algunas legisladoras han sostenido que los femicidios muchas veces se dan por </w:t>
      </w:r>
      <w:hyperlink r:id="rId48">
        <w:r w:rsidRPr="005C22D4">
          <w:rPr>
            <w:rFonts w:ascii="Arial Narrow" w:eastAsia="Arial Narrow" w:hAnsi="Arial Narrow" w:cs="Arial Narrow"/>
            <w:color w:val="1155CC"/>
            <w:sz w:val="24"/>
            <w:szCs w:val="24"/>
            <w:u w:val="single"/>
            <w:lang w:val="es-ES"/>
          </w:rPr>
          <w:t>“exceso de amor”</w:t>
        </w:r>
      </w:hyperlink>
      <w:r w:rsidRPr="005C22D4">
        <w:rPr>
          <w:rFonts w:ascii="Arial Narrow" w:eastAsia="Arial Narrow" w:hAnsi="Arial Narrow" w:cs="Arial Narrow"/>
          <w:sz w:val="24"/>
          <w:szCs w:val="24"/>
          <w:lang w:val="es-ES"/>
        </w:rPr>
        <w:t xml:space="preserve"> y “problemas psicológicos”, desconociendo sus obligaciones como representantes del Estado. </w:t>
      </w:r>
    </w:p>
    <w:p w14:paraId="0000005F"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 xml:space="preserve">: </w:t>
      </w:r>
    </w:p>
    <w:p w14:paraId="00000060"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a) Que el Observatorio de Violencia Basada en Género brinde información respecto a las violencias diversas y los femicidios, que incluya datos certeros sobre víctimas, agresores,  el vínculo que tenían, contexto, cantidad de denuncias, si existían medidas cautelares, entre otras, acorde con el Art. 18 de la Ley 19.580; y que esta información sea pública, accesible y actualizada.</w:t>
      </w:r>
    </w:p>
    <w:p w14:paraId="00000061" w14:textId="62D65AA4"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b) Diseñe, ejecute y </w:t>
      </w:r>
      <w:r w:rsidR="0036581D" w:rsidRPr="005C22D4">
        <w:rPr>
          <w:rFonts w:ascii="Arial Narrow" w:eastAsia="Arial Narrow" w:hAnsi="Arial Narrow" w:cs="Arial Narrow"/>
          <w:sz w:val="24"/>
          <w:szCs w:val="24"/>
          <w:lang w:val="es-ES"/>
        </w:rPr>
        <w:t>evalúe</w:t>
      </w:r>
      <w:r w:rsidRPr="005C22D4">
        <w:rPr>
          <w:rFonts w:ascii="Arial Narrow" w:eastAsia="Arial Narrow" w:hAnsi="Arial Narrow" w:cs="Arial Narrow"/>
          <w:sz w:val="24"/>
          <w:szCs w:val="24"/>
          <w:lang w:val="es-ES"/>
        </w:rPr>
        <w:t xml:space="preserve"> </w:t>
      </w:r>
      <w:r w:rsidR="0036581D" w:rsidRPr="005C22D4">
        <w:rPr>
          <w:rFonts w:ascii="Arial Narrow" w:eastAsia="Arial Narrow" w:hAnsi="Arial Narrow" w:cs="Arial Narrow"/>
          <w:sz w:val="24"/>
          <w:szCs w:val="24"/>
          <w:lang w:val="es-ES"/>
        </w:rPr>
        <w:t>políticas</w:t>
      </w:r>
      <w:r w:rsidRPr="005C22D4">
        <w:rPr>
          <w:rFonts w:ascii="Arial Narrow" w:eastAsia="Arial Narrow" w:hAnsi="Arial Narrow" w:cs="Arial Narrow"/>
          <w:sz w:val="24"/>
          <w:szCs w:val="24"/>
          <w:lang w:val="es-ES"/>
        </w:rPr>
        <w:t xml:space="preserve"> públicas que prevengan las múltiples violencias contra las mujeres basada en su género, enfatizando </w:t>
      </w:r>
      <w:r w:rsidR="0036581D" w:rsidRPr="005C22D4">
        <w:rPr>
          <w:rFonts w:ascii="Arial Narrow" w:eastAsia="Arial Narrow" w:hAnsi="Arial Narrow" w:cs="Arial Narrow"/>
          <w:sz w:val="24"/>
          <w:szCs w:val="24"/>
          <w:lang w:val="es-ES"/>
        </w:rPr>
        <w:t>aquellas</w:t>
      </w:r>
      <w:r w:rsidRPr="005C22D4">
        <w:rPr>
          <w:rFonts w:ascii="Arial Narrow" w:eastAsia="Arial Narrow" w:hAnsi="Arial Narrow" w:cs="Arial Narrow"/>
          <w:sz w:val="24"/>
          <w:szCs w:val="24"/>
          <w:lang w:val="es-ES"/>
        </w:rPr>
        <w:t xml:space="preserve"> en las que la discriminación es múltiple (es decir </w:t>
      </w:r>
      <w:r w:rsidR="0036581D" w:rsidRPr="005C22D4">
        <w:rPr>
          <w:rFonts w:ascii="Arial Narrow" w:eastAsia="Arial Narrow" w:hAnsi="Arial Narrow" w:cs="Arial Narrow"/>
          <w:sz w:val="24"/>
          <w:szCs w:val="24"/>
          <w:lang w:val="es-ES"/>
        </w:rPr>
        <w:t>interseccionales</w:t>
      </w:r>
      <w:r w:rsidRPr="005C22D4">
        <w:rPr>
          <w:rFonts w:ascii="Arial Narrow" w:eastAsia="Arial Narrow" w:hAnsi="Arial Narrow" w:cs="Arial Narrow"/>
          <w:sz w:val="24"/>
          <w:szCs w:val="24"/>
          <w:lang w:val="es-ES"/>
        </w:rPr>
        <w:t>).</w:t>
      </w:r>
    </w:p>
    <w:p w14:paraId="00000062"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c) Invierta en más tobilleras electrónicas, y sea de precepto su colocación cuando hay riesgo de vida de la denunciante.</w:t>
      </w:r>
    </w:p>
    <w:p w14:paraId="00000063" w14:textId="77777777" w:rsidR="00FB4BB0" w:rsidRPr="005C22D4" w:rsidRDefault="00FB4BB0" w:rsidP="005C22D4">
      <w:pPr>
        <w:spacing w:after="0" w:line="360" w:lineRule="auto"/>
        <w:contextualSpacing/>
        <w:jc w:val="both"/>
        <w:rPr>
          <w:rFonts w:ascii="Arial Narrow" w:eastAsia="Arial Narrow" w:hAnsi="Arial Narrow" w:cs="Arial Narrow"/>
          <w:color w:val="222222"/>
          <w:sz w:val="24"/>
          <w:szCs w:val="24"/>
          <w:lang w:val="es-ES"/>
        </w:rPr>
      </w:pPr>
    </w:p>
    <w:p w14:paraId="00000064"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(viii) Violencia Sexual y Revictimización</w:t>
      </w:r>
    </w:p>
    <w:p w14:paraId="00000065" w14:textId="0AC9ADB2"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La violencia sexual sigue siendo un flagelo para las mujeres y niñas uruguayas. Las sobrevivientes que logran denunciar deben transitar por la institucionalidad burocrática y un sistema judicial deficiente que las expone a formalidades y reglas que desconocen, intimida y las excluye. Asimismo, es inevitable la exposición mediática y las filtraciones de información del sistema a la prensa que lesionan la intimidad y la integridad de las víctimas, ejemplo de ello es el denominado caso “Cordón”, donde se </w:t>
      </w:r>
      <w:r w:rsidR="0036581D" w:rsidRPr="005C22D4">
        <w:rPr>
          <w:rFonts w:ascii="Arial Narrow" w:eastAsia="Arial Narrow" w:hAnsi="Arial Narrow" w:cs="Arial Narrow"/>
          <w:sz w:val="24"/>
          <w:szCs w:val="24"/>
          <w:lang w:val="es-ES"/>
        </w:rPr>
        <w:t>filtró</w:t>
      </w:r>
      <w:r w:rsidRPr="005C22D4">
        <w:rPr>
          <w:rFonts w:ascii="Arial Narrow" w:eastAsia="Arial Narrow" w:hAnsi="Arial Narrow" w:cs="Arial Narrow"/>
          <w:sz w:val="24"/>
          <w:szCs w:val="24"/>
          <w:lang w:val="es-ES"/>
        </w:rPr>
        <w:t xml:space="preserve"> información que se manejaba a nivel de Fiscalía, y periodistas la tomaron para exponer datos de la misma, e incluso </w:t>
      </w:r>
      <w:hyperlink r:id="rId49">
        <w:r w:rsidRPr="005C22D4">
          <w:rPr>
            <w:rFonts w:ascii="Arial Narrow" w:eastAsia="Arial Narrow" w:hAnsi="Arial Narrow" w:cs="Arial Narrow"/>
            <w:color w:val="1155CC"/>
            <w:sz w:val="24"/>
            <w:szCs w:val="24"/>
            <w:u w:val="single"/>
            <w:lang w:val="es-ES"/>
          </w:rPr>
          <w:t>audios de la violación</w:t>
        </w:r>
      </w:hyperlink>
      <w:r w:rsidRPr="005C22D4">
        <w:rPr>
          <w:rFonts w:ascii="Arial Narrow" w:eastAsia="Arial Narrow" w:hAnsi="Arial Narrow" w:cs="Arial Narrow"/>
          <w:sz w:val="24"/>
          <w:szCs w:val="24"/>
          <w:lang w:val="es-ES"/>
        </w:rPr>
        <w:t xml:space="preserve">, reclamando la </w:t>
      </w:r>
      <w:hyperlink r:id="rId50">
        <w:r w:rsidRPr="005C22D4">
          <w:rPr>
            <w:rFonts w:ascii="Arial Narrow" w:eastAsia="Arial Narrow" w:hAnsi="Arial Narrow" w:cs="Arial Narrow"/>
            <w:color w:val="1155CC"/>
            <w:sz w:val="24"/>
            <w:szCs w:val="24"/>
            <w:u w:val="single"/>
            <w:lang w:val="es-ES"/>
          </w:rPr>
          <w:t>libertad de los abusadores</w:t>
        </w:r>
      </w:hyperlink>
      <w:r w:rsidRPr="005C22D4">
        <w:rPr>
          <w:rFonts w:ascii="Arial Narrow" w:eastAsia="Arial Narrow" w:hAnsi="Arial Narrow" w:cs="Arial Narrow"/>
          <w:sz w:val="24"/>
          <w:szCs w:val="24"/>
          <w:lang w:val="es-ES"/>
        </w:rPr>
        <w:t xml:space="preserve">.  Esto trajo fuertes consecuencias para la víctima, no solo a nivel de salud mental, sino que también </w:t>
      </w:r>
      <w:hyperlink r:id="rId51">
        <w:r w:rsidRPr="005C22D4">
          <w:rPr>
            <w:rFonts w:ascii="Arial Narrow" w:eastAsia="Arial Narrow" w:hAnsi="Arial Narrow" w:cs="Arial Narrow"/>
            <w:color w:val="1155CC"/>
            <w:sz w:val="24"/>
            <w:szCs w:val="24"/>
            <w:u w:val="single"/>
            <w:lang w:val="es-ES"/>
          </w:rPr>
          <w:t>perdió su trabajo</w:t>
        </w:r>
      </w:hyperlink>
      <w:r w:rsidRPr="005C22D4">
        <w:rPr>
          <w:rFonts w:ascii="Arial Narrow" w:eastAsia="Arial Narrow" w:hAnsi="Arial Narrow" w:cs="Arial Narrow"/>
          <w:sz w:val="24"/>
          <w:szCs w:val="24"/>
          <w:lang w:val="es-ES"/>
        </w:rPr>
        <w:t xml:space="preserve">. </w:t>
      </w:r>
    </w:p>
    <w:p w14:paraId="00000066"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bookmarkStart w:id="1" w:name="_heading=h.hxluveuellz2" w:colFirst="0" w:colLast="0"/>
      <w:bookmarkEnd w:id="1"/>
      <w:r w:rsidRPr="005C22D4">
        <w:rPr>
          <w:rFonts w:ascii="Arial Narrow" w:eastAsia="Arial Narrow" w:hAnsi="Arial Narrow" w:cs="Arial Narrow"/>
          <w:sz w:val="24"/>
          <w:szCs w:val="24"/>
          <w:lang w:val="es-ES"/>
        </w:rPr>
        <w:t xml:space="preserve">El daño ocasionado para muchas mujeres es insoportable, en muchos casos </w:t>
      </w:r>
      <w:hyperlink r:id="rId52">
        <w:r w:rsidRPr="005C22D4">
          <w:rPr>
            <w:rFonts w:ascii="Arial Narrow" w:eastAsia="Arial Narrow" w:hAnsi="Arial Narrow" w:cs="Arial Narrow"/>
            <w:color w:val="1155CC"/>
            <w:sz w:val="24"/>
            <w:szCs w:val="24"/>
            <w:u w:val="single"/>
            <w:lang w:val="es-ES"/>
          </w:rPr>
          <w:t>deciden terminar con su vida porque no encuentran salida</w:t>
        </w:r>
      </w:hyperlink>
      <w:r w:rsidRPr="005C22D4">
        <w:rPr>
          <w:rFonts w:ascii="Arial Narrow" w:eastAsia="Arial Narrow" w:hAnsi="Arial Narrow" w:cs="Arial Narrow"/>
          <w:sz w:val="24"/>
          <w:szCs w:val="24"/>
          <w:lang w:val="es-ES"/>
        </w:rPr>
        <w:t>.</w:t>
      </w:r>
    </w:p>
    <w:p w14:paraId="00000067" w14:textId="77777777" w:rsidR="00FB4BB0" w:rsidRPr="005C22D4" w:rsidRDefault="00FB4BB0" w:rsidP="005C22D4">
      <w:pPr>
        <w:spacing w:after="0" w:line="360" w:lineRule="auto"/>
        <w:contextualSpacing/>
        <w:jc w:val="both"/>
        <w:rPr>
          <w:rFonts w:ascii="Arial Narrow" w:eastAsia="Arial Narrow" w:hAnsi="Arial Narrow" w:cs="Arial Narrow"/>
          <w:sz w:val="24"/>
          <w:szCs w:val="24"/>
          <w:lang w:val="es-ES"/>
        </w:rPr>
      </w:pPr>
      <w:bookmarkStart w:id="2" w:name="_heading=h.m0t9z2sqor8j" w:colFirst="0" w:colLast="0"/>
      <w:bookmarkEnd w:id="2"/>
    </w:p>
    <w:p w14:paraId="00000068"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sz w:val="24"/>
          <w:szCs w:val="24"/>
          <w:lang w:val="es-ES"/>
        </w:rPr>
      </w:pPr>
      <w:bookmarkStart w:id="3" w:name="_heading=h.nk1b1onmks0n" w:colFirst="0" w:colLast="0"/>
      <w:bookmarkEnd w:id="3"/>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w:t>
      </w:r>
    </w:p>
    <w:p w14:paraId="00000069"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bookmarkStart w:id="4" w:name="_heading=h.7r6x3mbk236n" w:colFirst="0" w:colLast="0"/>
      <w:bookmarkEnd w:id="4"/>
      <w:r w:rsidRPr="005C22D4">
        <w:rPr>
          <w:rFonts w:ascii="Arial Narrow" w:eastAsia="Arial Narrow" w:hAnsi="Arial Narrow" w:cs="Arial Narrow"/>
          <w:sz w:val="24"/>
          <w:szCs w:val="24"/>
          <w:lang w:val="es-ES"/>
        </w:rPr>
        <w:t xml:space="preserve">a) Que el Estado garantice el patrocinio especializado a las víctimas, así como la confidencialidad de los datos de las causas vinculadas a formas de VBG, estableciendo sanciones. </w:t>
      </w:r>
    </w:p>
    <w:p w14:paraId="0000006A"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bookmarkStart w:id="5" w:name="_heading=h.1d84naniiwez" w:colFirst="0" w:colLast="0"/>
      <w:bookmarkEnd w:id="5"/>
      <w:r w:rsidRPr="005C22D4">
        <w:rPr>
          <w:rFonts w:ascii="Arial Narrow" w:eastAsia="Arial Narrow" w:hAnsi="Arial Narrow" w:cs="Arial Narrow"/>
          <w:sz w:val="24"/>
          <w:szCs w:val="24"/>
          <w:lang w:val="es-ES"/>
        </w:rPr>
        <w:t>b) Cumpla con su deber de la debida diligencia conforme a la CEDAW y su RG-33</w:t>
      </w:r>
    </w:p>
    <w:p w14:paraId="0000006B"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bookmarkStart w:id="6" w:name="_heading=h.1juc51x0gg8g" w:colFirst="0" w:colLast="0"/>
      <w:bookmarkEnd w:id="6"/>
      <w:r w:rsidRPr="005C22D4">
        <w:rPr>
          <w:rFonts w:ascii="Arial Narrow" w:eastAsia="Arial Narrow" w:hAnsi="Arial Narrow" w:cs="Arial Narrow"/>
          <w:sz w:val="24"/>
          <w:szCs w:val="24"/>
          <w:lang w:val="es-ES"/>
        </w:rPr>
        <w:t>c) Capacite a policías, jueces, fiscales y funcionarios que intervienen en estas causas para evitar la revictimización y las afectaciones</w:t>
      </w:r>
    </w:p>
    <w:p w14:paraId="0000006C" w14:textId="77777777" w:rsidR="00FB4BB0" w:rsidRPr="005C22D4" w:rsidRDefault="00FB4BB0" w:rsidP="005C22D4">
      <w:pPr>
        <w:spacing w:after="0" w:line="360" w:lineRule="auto"/>
        <w:contextualSpacing/>
        <w:jc w:val="both"/>
        <w:rPr>
          <w:rFonts w:ascii="Arial Narrow" w:eastAsia="Arial Narrow" w:hAnsi="Arial Narrow" w:cs="Arial Narrow"/>
          <w:b/>
          <w:sz w:val="24"/>
          <w:szCs w:val="24"/>
          <w:lang w:val="es-ES"/>
        </w:rPr>
      </w:pPr>
      <w:bookmarkStart w:id="7" w:name="_heading=h.7su4n49udf3b" w:colFirst="0" w:colLast="0"/>
      <w:bookmarkEnd w:id="7"/>
    </w:p>
    <w:p w14:paraId="0000006D"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bookmarkStart w:id="8" w:name="_heading=h.rsno4hbo3j22" w:colFirst="0" w:colLast="0"/>
      <w:bookmarkEnd w:id="8"/>
      <w:r w:rsidRPr="005C22D4">
        <w:rPr>
          <w:rFonts w:ascii="Arial Narrow" w:eastAsia="Arial Narrow" w:hAnsi="Arial Narrow" w:cs="Arial Narrow"/>
          <w:b/>
          <w:sz w:val="24"/>
          <w:szCs w:val="24"/>
          <w:lang w:val="es-ES"/>
        </w:rPr>
        <w:t>(ix) Violencia contra las mujeres basada en su género durante el Terrorismo de Estado</w:t>
      </w:r>
      <w:r w:rsidRPr="005C22D4">
        <w:rPr>
          <w:rFonts w:ascii="Arial Narrow" w:eastAsia="Arial Narrow" w:hAnsi="Arial Narrow" w:cs="Arial Narrow"/>
          <w:sz w:val="24"/>
          <w:szCs w:val="24"/>
          <w:lang w:val="es-ES"/>
        </w:rPr>
        <w:t xml:space="preserve">. </w:t>
      </w:r>
    </w:p>
    <w:p w14:paraId="0000006E"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A 50 años del golpe de Estado en Uruguay y a 38 años de haber retornado a la democracia el Estado uruguayo tiene deudas pendientes con las víctimas del terrorismo de Estado, y especialmente con las mujeres que fueron detenidas, torturadas, violentadas sexualmente durante la privación de su libertad en lugares de detención y cárceles de todo el país. En estos años los avances han sido insuficientes, lentos, y casi siempre acompañados de retrocesos.</w:t>
      </w:r>
    </w:p>
    <w:p w14:paraId="0000006F" w14:textId="77777777" w:rsidR="00FB4BB0" w:rsidRPr="005C22D4" w:rsidRDefault="00C132A8" w:rsidP="005C22D4">
      <w:pPr>
        <w:shd w:val="clear" w:color="auto" w:fill="FFFFFF"/>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En 2021 la Comisión Interamericana de Derechos Humanos (CIDH) escuchó a las co peticionarias (mujeres denunciantes, CEJIL y Cátedra Unesco de Derechos Humanos de la Universidad de la República) presentar información detallada sobre la falta de acceso a la verdad, justicia y reparación con perspectiva de género para mujeres víctimas de tortura y violencia sexual en el marco de la dictadura, así como los obstáculos enfrentados por este colectivo en la búsqueda de verdad, justicia y reparación. En 2022 la audiencia con la CIDH fue sobre Reparación con perspectiva de género y diversidad en la justicia transicional.</w:t>
      </w:r>
    </w:p>
    <w:p w14:paraId="00000070" w14:textId="77777777" w:rsidR="00FB4BB0" w:rsidRPr="005C22D4" w:rsidRDefault="00C132A8" w:rsidP="005C22D4">
      <w:pPr>
        <w:shd w:val="clear" w:color="auto" w:fill="FFFFFF"/>
        <w:spacing w:before="240" w:after="24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A doce años de la denuncia penal de 28 mujeres ex presas políticas por violencia sexual y tortura a más de cien militares y civiles colaboracionistas solo se ha condenado a dos personas, por delitos de privación de libertad, violencia privada, lesiones graves y atentado violento al pudor. No hay imputación de los delitos de tortura ni de violencia sexual como delitos de lesa humanidad. Tampoco hay referencia alguna a la reparación. Las víctimas siguen esperando justicia y una reparación integral. La violencia sexual fue usada como una estrategia del Estado para castigar, humillar y violentar a las mujeres presas políticas, en un doble castigo por su militancia y su condición de mujeres, por haberse atrevido a desafiar mandatos de género, los mismos que aún hoy siguen vigentes.</w:t>
      </w:r>
    </w:p>
    <w:p w14:paraId="00000071" w14:textId="77777777" w:rsidR="00FB4BB0" w:rsidRPr="005C22D4" w:rsidRDefault="00C132A8" w:rsidP="005C22D4">
      <w:pPr>
        <w:shd w:val="clear" w:color="auto" w:fill="FFFFFF"/>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Sobre la obligación del Estado para las mujeres que sufrieron violencia basada en su género durante la dictadura, en julio de 2016 este Comité recomendó al Estado uruguayo que adopte medidas para facilitar una pronta reparación, en particular las compensaciones y las reparaciones simbólicas (párrafo-22), recomendaciones que no han sido implementadas.</w:t>
      </w:r>
    </w:p>
    <w:p w14:paraId="00000072"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0" w:line="360" w:lineRule="auto"/>
        <w:ind w:firstLine="72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 xml:space="preserve"> </w:t>
      </w:r>
    </w:p>
    <w:p w14:paraId="00000073" w14:textId="1FF48400"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Que el Estado cumpla con su obligación de la debida diligencia y repare a las mujeres sobrevivientes de violencia sexual y tortura durante el terrorismo de Estado y en un acto público se disculpe por las violencias a las que las sometió durante la privación </w:t>
      </w:r>
      <w:r w:rsidR="0036581D" w:rsidRPr="005C22D4">
        <w:rPr>
          <w:rFonts w:ascii="Arial Narrow" w:eastAsia="Arial Narrow" w:hAnsi="Arial Narrow" w:cs="Arial Narrow"/>
          <w:sz w:val="24"/>
          <w:szCs w:val="24"/>
          <w:lang w:val="es-ES"/>
        </w:rPr>
        <w:t>ilegítima</w:t>
      </w:r>
      <w:r w:rsidRPr="005C22D4">
        <w:rPr>
          <w:rFonts w:ascii="Arial Narrow" w:eastAsia="Arial Narrow" w:hAnsi="Arial Narrow" w:cs="Arial Narrow"/>
          <w:sz w:val="24"/>
          <w:szCs w:val="24"/>
          <w:lang w:val="es-ES"/>
        </w:rPr>
        <w:t xml:space="preserve"> de su libertad.</w:t>
      </w:r>
    </w:p>
    <w:p w14:paraId="00000074" w14:textId="77777777" w:rsidR="00FB4BB0" w:rsidRPr="005C22D4" w:rsidRDefault="00FB4BB0" w:rsidP="005C22D4">
      <w:pPr>
        <w:spacing w:after="0" w:line="360" w:lineRule="auto"/>
        <w:contextualSpacing/>
        <w:jc w:val="both"/>
        <w:rPr>
          <w:rFonts w:ascii="Arial Narrow" w:eastAsia="Arial Narrow" w:hAnsi="Arial Narrow" w:cs="Arial Narrow"/>
          <w:b/>
          <w:sz w:val="24"/>
          <w:szCs w:val="24"/>
          <w:lang w:val="es-ES"/>
        </w:rPr>
      </w:pPr>
      <w:bookmarkStart w:id="9" w:name="_heading=h.q3e7rkp4beoo" w:colFirst="0" w:colLast="0"/>
      <w:bookmarkEnd w:id="9"/>
    </w:p>
    <w:p w14:paraId="00000075" w14:textId="77777777" w:rsidR="00FB4BB0" w:rsidRPr="005C22D4" w:rsidRDefault="00C132A8" w:rsidP="005C22D4">
      <w:pPr>
        <w:spacing w:after="0" w:line="360" w:lineRule="auto"/>
        <w:contextualSpacing/>
        <w:jc w:val="both"/>
        <w:rPr>
          <w:rFonts w:ascii="Arial Narrow" w:eastAsia="Arial Narrow" w:hAnsi="Arial Narrow" w:cs="Arial Narrow"/>
          <w:b/>
          <w:sz w:val="24"/>
          <w:szCs w:val="24"/>
          <w:lang w:val="es-ES"/>
        </w:rPr>
      </w:pPr>
      <w:bookmarkStart w:id="10" w:name="_heading=h.qn33y7vrq5oa" w:colFirst="0" w:colLast="0"/>
      <w:bookmarkEnd w:id="10"/>
      <w:r w:rsidRPr="005C22D4">
        <w:rPr>
          <w:rFonts w:ascii="Arial Narrow" w:eastAsia="Arial Narrow" w:hAnsi="Arial Narrow" w:cs="Arial Narrow"/>
          <w:b/>
          <w:sz w:val="24"/>
          <w:szCs w:val="24"/>
          <w:lang w:val="es-ES"/>
        </w:rPr>
        <w:t>(x) Trata de mujeres con fines de explotación sexual</w:t>
      </w:r>
    </w:p>
    <w:p w14:paraId="00000076" w14:textId="77777777" w:rsidR="00FB4BB0" w:rsidRPr="005C22D4" w:rsidRDefault="00C132A8" w:rsidP="005C22D4">
      <w:pP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sz w:val="24"/>
          <w:szCs w:val="24"/>
          <w:lang w:val="es-ES"/>
        </w:rPr>
        <w:t xml:space="preserve"> La trata de mujeres con fines de explotación sexual es una de las expresiones de violencia de género y sexual más agudas, vinculada a la mercantilización y al sometimiento de las mujeres, enraizada en la discriminación, la pobreza, marginalidad entre otras formas de desigualdad.</w:t>
      </w:r>
    </w:p>
    <w:p w14:paraId="00000077"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Los últimos relevamientos sobre la situación de trata de personas evidencian que Uruguay sigue siendo país de origen, tránsito y destino. En la última década se profundiza la condición de país de destino, especialmente de mujeres con fines de explotación sexual.</w:t>
      </w:r>
      <w:r w:rsidRPr="005C22D4">
        <w:rPr>
          <w:rFonts w:ascii="Arial Narrow" w:eastAsia="Arial Narrow" w:hAnsi="Arial Narrow" w:cs="Arial Narrow"/>
          <w:color w:val="1155CC"/>
          <w:sz w:val="24"/>
          <w:szCs w:val="24"/>
          <w:u w:val="single"/>
          <w:lang w:val="es-ES"/>
        </w:rPr>
        <w:t xml:space="preserve"> </w:t>
      </w:r>
      <w:hyperlink r:id="rId53">
        <w:r w:rsidRPr="005C22D4">
          <w:rPr>
            <w:rFonts w:ascii="Arial Narrow" w:eastAsia="Arial Narrow" w:hAnsi="Arial Narrow" w:cs="Arial Narrow"/>
            <w:color w:val="1155CC"/>
            <w:sz w:val="24"/>
            <w:szCs w:val="24"/>
            <w:u w:val="single"/>
            <w:lang w:val="es-ES"/>
          </w:rPr>
          <w:t>INMUJERES</w:t>
        </w:r>
      </w:hyperlink>
      <w:r w:rsidRPr="005C22D4">
        <w:rPr>
          <w:rFonts w:ascii="Arial Narrow" w:eastAsia="Arial Narrow" w:hAnsi="Arial Narrow" w:cs="Arial Narrow"/>
          <w:sz w:val="24"/>
          <w:szCs w:val="24"/>
          <w:lang w:val="es-ES"/>
        </w:rPr>
        <w:t xml:space="preserve"> atendió a 300 mujeres en situación de trata, las que son mayoritariamente afrodescendientes (56,9%) y en segundo lugar de ascendencia blanca (40,9%).</w:t>
      </w:r>
    </w:p>
    <w:p w14:paraId="00000078" w14:textId="77777777" w:rsidR="00FB4BB0" w:rsidRPr="005C22D4" w:rsidRDefault="00C132A8" w:rsidP="005C22D4">
      <w:pPr>
        <w:shd w:val="clear" w:color="auto" w:fill="FFFFFF"/>
        <w:spacing w:before="240" w:after="240" w:line="360" w:lineRule="auto"/>
        <w:contextualSpacing/>
        <w:jc w:val="both"/>
        <w:rPr>
          <w:rFonts w:ascii="Arial Narrow" w:eastAsia="Arial Narrow" w:hAnsi="Arial Narrow" w:cs="Arial Narrow"/>
          <w:strike/>
          <w:sz w:val="24"/>
          <w:szCs w:val="24"/>
          <w:lang w:val="es-ES"/>
        </w:rPr>
      </w:pPr>
      <w:bookmarkStart w:id="11" w:name="_heading=h.unnu3oiwzlpu" w:colFirst="0" w:colLast="0"/>
      <w:bookmarkEnd w:id="11"/>
      <w:r w:rsidRPr="005C22D4">
        <w:rPr>
          <w:rFonts w:ascii="Arial Narrow" w:eastAsia="Arial Narrow" w:hAnsi="Arial Narrow" w:cs="Arial Narrow"/>
          <w:sz w:val="24"/>
          <w:szCs w:val="24"/>
          <w:lang w:val="es-ES"/>
        </w:rPr>
        <w:t xml:space="preserve">Desde 2018 contamos con la Ley de Prevención y Combate a la Trata de Personas, Ley 19.643, pero no existen políticas públicas integrales y especializadas con presupuesto y recursos  propios que facilite articulación interinstitucional para una respuesta ágil y protocolizada a situaciones de emergencias, evitando de este modo demoras excesivas o soluciones parciales que reproducen la situación de vulnerabilidad de las víctimas y limitan las posibilidades de salida. </w:t>
      </w:r>
    </w:p>
    <w:p w14:paraId="00000079"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ind w:firstLine="720"/>
        <w:contextualSpacing/>
        <w:jc w:val="both"/>
        <w:rPr>
          <w:rFonts w:ascii="Arial Narrow" w:eastAsia="Arial Narrow" w:hAnsi="Arial Narrow" w:cs="Arial Narrow"/>
          <w:sz w:val="24"/>
          <w:szCs w:val="24"/>
          <w:lang w:val="es-ES"/>
        </w:rPr>
      </w:pPr>
      <w:bookmarkStart w:id="12" w:name="_heading=h.5xhdnz4rkzie" w:colFirst="0" w:colLast="0"/>
      <w:bookmarkEnd w:id="12"/>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w:t>
      </w:r>
    </w:p>
    <w:p w14:paraId="0000007A"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s-ES"/>
        </w:rPr>
      </w:pPr>
      <w:bookmarkStart w:id="13" w:name="_heading=h.e5253bv9cb9v" w:colFirst="0" w:colLast="0"/>
      <w:bookmarkEnd w:id="13"/>
      <w:r w:rsidRPr="005C22D4">
        <w:rPr>
          <w:rFonts w:ascii="Arial Narrow" w:eastAsia="Arial Narrow" w:hAnsi="Arial Narrow" w:cs="Arial Narrow"/>
          <w:sz w:val="24"/>
          <w:szCs w:val="24"/>
          <w:lang w:val="es-ES"/>
        </w:rPr>
        <w:t>a) Se otorguen recursos propios para una adecuada implementación de la Ley 19.643, enfatizando la prevención, la reparación y la inserción laboral efectiva de las víctimas</w:t>
      </w:r>
    </w:p>
    <w:p w14:paraId="0000007B"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s-ES"/>
        </w:rPr>
      </w:pPr>
      <w:bookmarkStart w:id="14" w:name="_heading=h.9a0znjfkg199" w:colFirst="0" w:colLast="0"/>
      <w:bookmarkEnd w:id="14"/>
      <w:r w:rsidRPr="005C22D4">
        <w:rPr>
          <w:rFonts w:ascii="Arial Narrow" w:eastAsia="Arial Narrow" w:hAnsi="Arial Narrow" w:cs="Arial Narrow"/>
          <w:sz w:val="24"/>
          <w:szCs w:val="24"/>
          <w:lang w:val="es-ES"/>
        </w:rPr>
        <w:t xml:space="preserve">b)  Se  facilite la detección temprana de procesos de captación de la trata; </w:t>
      </w:r>
    </w:p>
    <w:p w14:paraId="0000007C" w14:textId="77777777" w:rsidR="00FB4BB0"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sz w:val="24"/>
          <w:szCs w:val="24"/>
          <w:lang w:val="es-ES"/>
        </w:rPr>
      </w:pPr>
      <w:bookmarkStart w:id="15" w:name="_heading=h.aq2vx7qouj37" w:colFirst="0" w:colLast="0"/>
      <w:bookmarkEnd w:id="15"/>
      <w:r w:rsidRPr="005C22D4">
        <w:rPr>
          <w:rFonts w:ascii="Arial Narrow" w:eastAsia="Arial Narrow" w:hAnsi="Arial Narrow" w:cs="Arial Narrow"/>
          <w:sz w:val="24"/>
          <w:szCs w:val="24"/>
          <w:lang w:val="es-ES"/>
        </w:rPr>
        <w:t>c) Se capacite a funcionarios públicos con perspectiva de género y de derechos humanos.</w:t>
      </w:r>
    </w:p>
    <w:p w14:paraId="6D3BBCC5" w14:textId="77777777" w:rsidR="0036581D" w:rsidRPr="005C22D4" w:rsidRDefault="0036581D" w:rsidP="005C22D4">
      <w:pPr>
        <w:shd w:val="clear" w:color="auto" w:fill="FFFFFF"/>
        <w:spacing w:before="240" w:after="240" w:line="360" w:lineRule="auto"/>
        <w:contextualSpacing/>
        <w:jc w:val="both"/>
        <w:rPr>
          <w:rFonts w:ascii="Arial Narrow" w:eastAsia="Arial Narrow" w:hAnsi="Arial Narrow" w:cs="Arial Narrow"/>
          <w:sz w:val="24"/>
          <w:szCs w:val="24"/>
          <w:lang w:val="es-ES"/>
        </w:rPr>
      </w:pPr>
    </w:p>
    <w:p w14:paraId="0000007D" w14:textId="77777777" w:rsidR="00FB4BB0" w:rsidRPr="005C22D4" w:rsidRDefault="00C132A8" w:rsidP="005C22D4">
      <w:pPr>
        <w:pBdr>
          <w:top w:val="nil"/>
          <w:left w:val="nil"/>
          <w:bottom w:val="nil"/>
          <w:right w:val="nil"/>
          <w:between w:val="nil"/>
        </w:pBdr>
        <w:spacing w:after="0" w:line="360" w:lineRule="auto"/>
        <w:contextualSpacing/>
        <w:jc w:val="both"/>
        <w:rPr>
          <w:rFonts w:ascii="Arial Narrow" w:eastAsia="Arial Narrow" w:hAnsi="Arial Narrow" w:cs="Arial Narrow"/>
          <w:b/>
          <w:color w:val="000000"/>
          <w:sz w:val="24"/>
          <w:szCs w:val="24"/>
          <w:lang w:val="es-ES"/>
        </w:rPr>
      </w:pPr>
      <w:r w:rsidRPr="005C22D4">
        <w:rPr>
          <w:rFonts w:ascii="Arial Narrow" w:eastAsia="Arial Narrow" w:hAnsi="Arial Narrow" w:cs="Arial Narrow"/>
          <w:sz w:val="24"/>
          <w:szCs w:val="24"/>
          <w:lang w:val="es-ES"/>
        </w:rPr>
        <w:t xml:space="preserve">(xi) </w:t>
      </w:r>
      <w:r w:rsidRPr="005C22D4">
        <w:rPr>
          <w:rFonts w:ascii="Arial Narrow" w:eastAsia="Arial Narrow" w:hAnsi="Arial Narrow" w:cs="Arial Narrow"/>
          <w:b/>
          <w:color w:val="000000"/>
          <w:sz w:val="24"/>
          <w:szCs w:val="24"/>
          <w:lang w:val="es-ES"/>
        </w:rPr>
        <w:t>Participación en la vida política y pública</w:t>
      </w:r>
    </w:p>
    <w:p w14:paraId="0000007E" w14:textId="42165BB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Siendo el sistema paritario el objetivo a alcanzar, el sistema de cuotas vigente promulgado en la Ley 18.476 del 2009 tiene carencias que lo alejan de lo que sucede en la práctica, </w:t>
      </w:r>
      <w:r w:rsidR="0036581D" w:rsidRPr="005C22D4">
        <w:rPr>
          <w:rFonts w:ascii="Arial Narrow" w:eastAsia="Arial Narrow" w:hAnsi="Arial Narrow" w:cs="Arial Narrow"/>
          <w:sz w:val="24"/>
          <w:szCs w:val="24"/>
          <w:lang w:val="es-ES"/>
        </w:rPr>
        <w:t>incumpliendo</w:t>
      </w:r>
      <w:r w:rsidRPr="005C22D4">
        <w:rPr>
          <w:rFonts w:ascii="Arial Narrow" w:eastAsia="Arial Narrow" w:hAnsi="Arial Narrow" w:cs="Arial Narrow"/>
          <w:sz w:val="24"/>
          <w:szCs w:val="24"/>
          <w:lang w:val="es-ES"/>
        </w:rPr>
        <w:t xml:space="preserve"> el Estado con la recomendación de este Comité (2016, párrafo-28b), y con la </w:t>
      </w:r>
      <w:hyperlink r:id="rId54">
        <w:r w:rsidRPr="005C22D4">
          <w:rPr>
            <w:rFonts w:ascii="Arial Narrow" w:eastAsia="Arial Narrow" w:hAnsi="Arial Narrow" w:cs="Arial Narrow"/>
            <w:color w:val="1155CC"/>
            <w:sz w:val="24"/>
            <w:szCs w:val="24"/>
            <w:u w:val="single"/>
            <w:lang w:val="es-ES"/>
          </w:rPr>
          <w:t>Recomendación General N°28</w:t>
        </w:r>
      </w:hyperlink>
      <w:r w:rsidRPr="005C22D4">
        <w:rPr>
          <w:rFonts w:ascii="Arial Narrow" w:eastAsia="Arial Narrow" w:hAnsi="Arial Narrow" w:cs="Arial Narrow"/>
          <w:sz w:val="24"/>
          <w:szCs w:val="24"/>
          <w:lang w:val="es-ES"/>
        </w:rPr>
        <w:t>.</w:t>
      </w:r>
    </w:p>
    <w:p w14:paraId="0000007F"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En las elecciones de 2014 se aplicó por primera vez la ley 18.476, y </w:t>
      </w:r>
      <w:hyperlink r:id="rId55">
        <w:r w:rsidRPr="005C22D4">
          <w:rPr>
            <w:rFonts w:ascii="Arial Narrow" w:eastAsia="Arial Narrow" w:hAnsi="Arial Narrow" w:cs="Arial Narrow"/>
            <w:color w:val="1155CC"/>
            <w:sz w:val="24"/>
            <w:szCs w:val="24"/>
            <w:u w:val="single"/>
            <w:lang w:val="es-ES"/>
          </w:rPr>
          <w:t>la participación de la mujer se mantuvo al mínimo</w:t>
        </w:r>
      </w:hyperlink>
      <w:r w:rsidRPr="005C22D4">
        <w:rPr>
          <w:rFonts w:ascii="Arial Narrow" w:eastAsia="Arial Narrow" w:hAnsi="Arial Narrow" w:cs="Arial Narrow"/>
          <w:sz w:val="24"/>
          <w:szCs w:val="24"/>
          <w:lang w:val="es-ES"/>
        </w:rPr>
        <w:t xml:space="preserve"> de lo previsto, y se detectaron maniobras para que las mismas fueran suplantadas por hombres. </w:t>
      </w:r>
    </w:p>
    <w:p w14:paraId="00000080"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En las elecciones de 2019 esta situación no cambió, no existiendo un aumento sustancial en la participación femenina en los cargos parlamentarios, apegándose a los mínimos que establece la ley. En la cámara de senadores, resultaron electas como titulares </w:t>
      </w:r>
      <w:hyperlink r:id="rId56">
        <w:r w:rsidRPr="005C22D4">
          <w:rPr>
            <w:rFonts w:ascii="Arial Narrow" w:eastAsia="Arial Narrow" w:hAnsi="Arial Narrow" w:cs="Arial Narrow"/>
            <w:color w:val="1155CC"/>
            <w:sz w:val="24"/>
            <w:szCs w:val="24"/>
            <w:u w:val="single"/>
            <w:lang w:val="es-ES"/>
          </w:rPr>
          <w:t>10 mujeres</w:t>
        </w:r>
      </w:hyperlink>
      <w:r w:rsidRPr="005C22D4">
        <w:rPr>
          <w:rFonts w:ascii="Arial Narrow" w:eastAsia="Arial Narrow" w:hAnsi="Arial Narrow" w:cs="Arial Narrow"/>
          <w:sz w:val="24"/>
          <w:szCs w:val="24"/>
          <w:lang w:val="es-ES"/>
        </w:rPr>
        <w:t xml:space="preserve"> de 30 cargos, pero solamente 9 son actuantes actualmente. En la Cámara de Diputados resultaron </w:t>
      </w:r>
      <w:hyperlink r:id="rId57">
        <w:r w:rsidRPr="005C22D4">
          <w:rPr>
            <w:rFonts w:ascii="Arial Narrow" w:eastAsia="Arial Narrow" w:hAnsi="Arial Narrow" w:cs="Arial Narrow"/>
            <w:color w:val="1155CC"/>
            <w:sz w:val="24"/>
            <w:szCs w:val="24"/>
            <w:u w:val="single"/>
            <w:lang w:val="es-ES"/>
          </w:rPr>
          <w:t xml:space="preserve">electas como titulares 24 mujeres </w:t>
        </w:r>
      </w:hyperlink>
      <w:r w:rsidRPr="005C22D4">
        <w:rPr>
          <w:rFonts w:ascii="Arial Narrow" w:eastAsia="Arial Narrow" w:hAnsi="Arial Narrow" w:cs="Arial Narrow"/>
          <w:sz w:val="24"/>
          <w:szCs w:val="24"/>
          <w:lang w:val="es-ES"/>
        </w:rPr>
        <w:t xml:space="preserve">de 99 cargos. </w:t>
      </w:r>
    </w:p>
    <w:p w14:paraId="00000081"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La participación de las mujeres en el Poder Legislativo creció levemente pasando de un 19,4% a un 21%, creciendo solamente un 1,6% entre una elección y otra, lo que da la pauta de que la participación política de las mujeres ocurre por obligación de la norma.</w:t>
      </w:r>
    </w:p>
    <w:p w14:paraId="00000082"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A pesar de que este Comité recomendó en 2016 (párrafo 28.B), encaminarse a un sistema paritario de representación política, el Estado </w:t>
      </w:r>
      <w:hyperlink r:id="rId58">
        <w:r w:rsidRPr="005C22D4">
          <w:rPr>
            <w:rFonts w:ascii="Arial Narrow" w:eastAsia="Arial Narrow" w:hAnsi="Arial Narrow" w:cs="Arial Narrow"/>
            <w:color w:val="1155CC"/>
            <w:sz w:val="24"/>
            <w:szCs w:val="24"/>
            <w:u w:val="single"/>
            <w:lang w:val="es-ES"/>
          </w:rPr>
          <w:t>ha llevado una aplicación minimalista de la ley</w:t>
        </w:r>
      </w:hyperlink>
      <w:r w:rsidRPr="005C22D4">
        <w:rPr>
          <w:rFonts w:ascii="Arial Narrow" w:eastAsia="Arial Narrow" w:hAnsi="Arial Narrow" w:cs="Arial Narrow"/>
          <w:sz w:val="24"/>
          <w:szCs w:val="24"/>
          <w:lang w:val="es-ES"/>
        </w:rPr>
        <w:t xml:space="preserve">. A la fecha existen tres proyectos de ley que plantean un sistema paritario, uno de ellos fue presentado en marzo de 2021 cuyo estudio comenzó en julio de 2023, el mismo ha sido rechazado por legisladores del oficialismo, quienes lo han tachado de propuesta </w:t>
      </w:r>
      <w:hyperlink r:id="rId59">
        <w:r w:rsidRPr="005C22D4">
          <w:rPr>
            <w:rFonts w:ascii="Arial Narrow" w:eastAsia="Arial Narrow" w:hAnsi="Arial Narrow" w:cs="Arial Narrow"/>
            <w:color w:val="1155CC"/>
            <w:sz w:val="24"/>
            <w:szCs w:val="24"/>
            <w:u w:val="single"/>
            <w:lang w:val="es-ES"/>
          </w:rPr>
          <w:t>fascista</w:t>
        </w:r>
      </w:hyperlink>
      <w:r w:rsidRPr="005C22D4">
        <w:rPr>
          <w:rFonts w:ascii="Arial Narrow" w:eastAsia="Arial Narrow" w:hAnsi="Arial Narrow" w:cs="Arial Narrow"/>
          <w:sz w:val="24"/>
          <w:szCs w:val="24"/>
          <w:lang w:val="es-ES"/>
        </w:rPr>
        <w:t xml:space="preserve"> y de tinte ideológico. </w:t>
      </w:r>
    </w:p>
    <w:p w14:paraId="00000083" w14:textId="77777777" w:rsidR="00FB4BB0" w:rsidRPr="005C22D4" w:rsidRDefault="00C132A8" w:rsidP="0036581D">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Si bien en 2020 asumió por primera vez una mujer como vicepresidenta, la cantidad de mujeres ocupando cargos ministeriales ha disminuido. En el período 2015-2020 fueron 5 las ministras, </w:t>
      </w:r>
      <w:hyperlink r:id="rId60">
        <w:r w:rsidRPr="005C22D4">
          <w:rPr>
            <w:rFonts w:ascii="Arial Narrow" w:eastAsia="Arial Narrow" w:hAnsi="Arial Narrow" w:cs="Arial Narrow"/>
            <w:color w:val="1155CC"/>
            <w:sz w:val="24"/>
            <w:szCs w:val="24"/>
            <w:u w:val="single"/>
            <w:lang w:val="es-ES"/>
          </w:rPr>
          <w:t>actualmente</w:t>
        </w:r>
      </w:hyperlink>
      <w:r w:rsidRPr="005C22D4">
        <w:rPr>
          <w:rFonts w:ascii="Arial Narrow" w:eastAsia="Arial Narrow" w:hAnsi="Arial Narrow" w:cs="Arial Narrow"/>
          <w:sz w:val="24"/>
          <w:szCs w:val="24"/>
          <w:lang w:val="es-ES"/>
        </w:rPr>
        <w:t xml:space="preserve">, solo 2 ministerios de 14 están a cargo de mujeres. </w:t>
      </w:r>
    </w:p>
    <w:p w14:paraId="00000084" w14:textId="77777777" w:rsidR="00FB4BB0" w:rsidRPr="005C22D4" w:rsidRDefault="00C132A8" w:rsidP="0036581D">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resalta que en la integración actual del Parlamento solamente hay una mujer afrodescendiente evidenciando la baja representación de las mujeres afrouruguayas en este tema.</w:t>
      </w:r>
    </w:p>
    <w:p w14:paraId="00000085"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0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b/>
          <w:sz w:val="24"/>
          <w:szCs w:val="24"/>
          <w:lang w:val="es-ES"/>
        </w:rPr>
        <w:t>Recomendamos:</w:t>
      </w:r>
      <w:r w:rsidRPr="005C22D4">
        <w:rPr>
          <w:rFonts w:ascii="Arial Narrow" w:eastAsia="Arial Narrow" w:hAnsi="Arial Narrow" w:cs="Arial Narrow"/>
          <w:sz w:val="24"/>
          <w:szCs w:val="24"/>
          <w:lang w:val="es-ES"/>
        </w:rPr>
        <w:t xml:space="preserve"> </w:t>
      </w:r>
    </w:p>
    <w:p w14:paraId="00000086"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apruebe una ley que establezca un sistema paritario de representación parlamentaria.</w:t>
      </w:r>
    </w:p>
    <w:p w14:paraId="00000087" w14:textId="77777777" w:rsidR="00FB4BB0" w:rsidRPr="005C22D4" w:rsidRDefault="00C132A8" w:rsidP="005C22D4">
      <w:pPr>
        <w:spacing w:after="0" w:line="360" w:lineRule="auto"/>
        <w:ind w:firstLine="700"/>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 </w:t>
      </w:r>
    </w:p>
    <w:p w14:paraId="00000088" w14:textId="77777777" w:rsidR="00FB4BB0" w:rsidRPr="005C22D4" w:rsidRDefault="00C132A8"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 xml:space="preserve">(xii) </w:t>
      </w:r>
      <w:r w:rsidRPr="005C22D4">
        <w:rPr>
          <w:rFonts w:ascii="Arial Narrow" w:eastAsia="Arial Narrow" w:hAnsi="Arial Narrow" w:cs="Arial Narrow"/>
          <w:b/>
          <w:color w:val="000000"/>
          <w:sz w:val="24"/>
          <w:szCs w:val="24"/>
          <w:lang w:val="es-ES"/>
        </w:rPr>
        <w:t xml:space="preserve">Grupo de mujeres </w:t>
      </w:r>
      <w:r w:rsidRPr="005C22D4">
        <w:rPr>
          <w:rFonts w:ascii="Arial Narrow" w:eastAsia="Arial Narrow" w:hAnsi="Arial Narrow" w:cs="Arial Narrow"/>
          <w:b/>
          <w:sz w:val="24"/>
          <w:szCs w:val="24"/>
          <w:lang w:val="es-ES"/>
        </w:rPr>
        <w:t>con discriminaciones múltiples</w:t>
      </w:r>
    </w:p>
    <w:p w14:paraId="00000089" w14:textId="77777777" w:rsidR="00FB4BB0" w:rsidRPr="005C22D4" w:rsidRDefault="00FB4BB0" w:rsidP="005C22D4">
      <w:pPr>
        <w:pBdr>
          <w:top w:val="nil"/>
          <w:left w:val="nil"/>
          <w:bottom w:val="nil"/>
          <w:right w:val="nil"/>
          <w:between w:val="nil"/>
        </w:pBdr>
        <w:spacing w:after="0" w:line="360" w:lineRule="auto"/>
        <w:contextualSpacing/>
        <w:jc w:val="both"/>
        <w:rPr>
          <w:rFonts w:ascii="Arial Narrow" w:eastAsia="Arial Narrow" w:hAnsi="Arial Narrow" w:cs="Arial Narrow"/>
          <w:b/>
          <w:sz w:val="24"/>
          <w:szCs w:val="24"/>
          <w:lang w:val="es-ES"/>
        </w:rPr>
      </w:pPr>
    </w:p>
    <w:p w14:paraId="0000008A" w14:textId="77777777" w:rsidR="00FB4BB0" w:rsidRPr="005C22D4" w:rsidRDefault="00C132A8" w:rsidP="005C22D4">
      <w:pP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Matrimonio infantil</w:t>
      </w:r>
    </w:p>
    <w:p w14:paraId="0000008B" w14:textId="3A12C126"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Pese a las reiteradas recomendaciones que Uruguay ha recibido de parte de diferentes Comités Monitores respecto a elevar a 18 años la edad mínima para contraer matrimonio, éstas no se han cumplido. En 2016 ingresó para el estudio en la Comisión parlamentaria respectiva, un proyecto de ley para elevar la edad mínima para contraer matrimonio a los 18 años sin distinción de género. La comisión solicitó más tiempo para su estudio, pero el tema no fue tratado nuevamente, </w:t>
      </w:r>
      <w:r w:rsidR="0036581D" w:rsidRPr="005C22D4">
        <w:rPr>
          <w:rFonts w:ascii="Arial Narrow" w:eastAsia="Arial Narrow" w:hAnsi="Arial Narrow" w:cs="Arial Narrow"/>
          <w:sz w:val="24"/>
          <w:szCs w:val="24"/>
          <w:lang w:val="es-ES"/>
        </w:rPr>
        <w:t>archivándose</w:t>
      </w:r>
      <w:r w:rsidRPr="005C22D4">
        <w:rPr>
          <w:rFonts w:ascii="Arial Narrow" w:eastAsia="Arial Narrow" w:hAnsi="Arial Narrow" w:cs="Arial Narrow"/>
          <w:sz w:val="24"/>
          <w:szCs w:val="24"/>
          <w:lang w:val="es-ES"/>
        </w:rPr>
        <w:t xml:space="preserve">. Han pasado 16 años de que este Comité recomendó elevar la edad mínima para contraer matrimonio, sin embargo el Estado sigue sin erradicar de su sistema jurídico esta práctica nociva, catalogada como tal en la Recomendación conjunta </w:t>
      </w:r>
      <w:hyperlink r:id="rId61">
        <w:r w:rsidRPr="005C22D4">
          <w:rPr>
            <w:rFonts w:ascii="Arial Narrow" w:eastAsia="Arial Narrow" w:hAnsi="Arial Narrow" w:cs="Arial Narrow"/>
            <w:color w:val="1155CC"/>
            <w:sz w:val="24"/>
            <w:szCs w:val="24"/>
            <w:u w:val="single"/>
            <w:lang w:val="es-ES"/>
          </w:rPr>
          <w:t xml:space="preserve">N°31 y N°18 de este Comité y el CDN </w:t>
        </w:r>
      </w:hyperlink>
      <w:r w:rsidRPr="005C22D4">
        <w:rPr>
          <w:rFonts w:ascii="Arial Narrow" w:eastAsia="Arial Narrow" w:hAnsi="Arial Narrow" w:cs="Arial Narrow"/>
          <w:sz w:val="24"/>
          <w:szCs w:val="24"/>
          <w:lang w:val="es-ES"/>
        </w:rPr>
        <w:t>(párrafo 9).</w:t>
      </w:r>
    </w:p>
    <w:p w14:paraId="0000008C"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after="0" w:line="360" w:lineRule="auto"/>
        <w:ind w:firstLine="720"/>
        <w:contextualSpacing/>
        <w:jc w:val="both"/>
        <w:rPr>
          <w:rFonts w:ascii="Arial Narrow" w:eastAsia="Arial Narrow" w:hAnsi="Arial Narrow" w:cs="Arial Narrow"/>
          <w:b/>
          <w:sz w:val="24"/>
          <w:szCs w:val="24"/>
          <w:lang w:val="es-ES"/>
        </w:rPr>
      </w:pPr>
      <w:r w:rsidRPr="005C22D4">
        <w:rPr>
          <w:rFonts w:ascii="Arial Narrow" w:eastAsia="Arial Narrow" w:hAnsi="Arial Narrow" w:cs="Arial Narrow"/>
          <w:b/>
          <w:sz w:val="24"/>
          <w:szCs w:val="24"/>
          <w:lang w:val="es-ES"/>
        </w:rPr>
        <w:t xml:space="preserve">Recomendamos: </w:t>
      </w:r>
    </w:p>
    <w:p w14:paraId="0000008D" w14:textId="77777777" w:rsidR="00FB4BB0" w:rsidRDefault="00C132A8" w:rsidP="0036581D">
      <w:pPr>
        <w:pBdr>
          <w:top w:val="single" w:sz="4" w:space="1" w:color="auto"/>
          <w:left w:val="single" w:sz="4" w:space="4" w:color="auto"/>
          <w:bottom w:val="single" w:sz="4" w:space="1" w:color="auto"/>
          <w:right w:val="single" w:sz="4" w:space="4" w:color="auto"/>
        </w:pBd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Se prohíban los matrimonios precoces y se enmiende la legislación, aumentando la edad mínima para contraer matrimonio a los 18 años conforme a los estándares internacionales del Derecho Internacional de los DDHH.</w:t>
      </w:r>
    </w:p>
    <w:p w14:paraId="738C8700" w14:textId="77777777" w:rsidR="0036581D" w:rsidRPr="005C22D4" w:rsidRDefault="0036581D" w:rsidP="005C22D4">
      <w:pPr>
        <w:spacing w:after="0" w:line="360" w:lineRule="auto"/>
        <w:contextualSpacing/>
        <w:jc w:val="both"/>
        <w:rPr>
          <w:rFonts w:ascii="Arial Narrow" w:eastAsia="Arial Narrow" w:hAnsi="Arial Narrow" w:cs="Arial Narrow"/>
          <w:sz w:val="24"/>
          <w:szCs w:val="24"/>
          <w:lang w:val="es-ES"/>
        </w:rPr>
      </w:pPr>
    </w:p>
    <w:p w14:paraId="0000008E" w14:textId="77777777" w:rsidR="00FB4BB0" w:rsidRPr="005C22D4" w:rsidRDefault="00C132A8" w:rsidP="005C22D4">
      <w:pPr>
        <w:spacing w:after="0" w:line="360" w:lineRule="auto"/>
        <w:ind w:firstLine="720"/>
        <w:contextualSpacing/>
        <w:jc w:val="both"/>
        <w:rPr>
          <w:rFonts w:ascii="Arial Narrow" w:eastAsia="Arial Narrow" w:hAnsi="Arial Narrow" w:cs="Arial Narrow"/>
          <w:b/>
          <w:sz w:val="24"/>
          <w:szCs w:val="24"/>
          <w:lang w:val="es-ES"/>
        </w:rPr>
      </w:pPr>
      <w:bookmarkStart w:id="16" w:name="_heading=h.f7cgwo9y70so" w:colFirst="0" w:colLast="0"/>
      <w:bookmarkEnd w:id="16"/>
      <w:r w:rsidRPr="005C22D4">
        <w:rPr>
          <w:rFonts w:ascii="Arial Narrow" w:eastAsia="Arial Narrow" w:hAnsi="Arial Narrow" w:cs="Arial Narrow"/>
          <w:b/>
          <w:sz w:val="24"/>
          <w:szCs w:val="24"/>
          <w:lang w:val="es-ES"/>
        </w:rPr>
        <w:t>Niñas madres</w:t>
      </w:r>
    </w:p>
    <w:p w14:paraId="0000008F" w14:textId="77777777" w:rsidR="00FB4BB0" w:rsidRPr="005C22D4" w:rsidRDefault="00C132A8" w:rsidP="005C22D4">
      <w:pPr>
        <w:spacing w:line="360" w:lineRule="auto"/>
        <w:contextualSpacing/>
        <w:jc w:val="both"/>
        <w:rPr>
          <w:rFonts w:ascii="Arial Narrow" w:eastAsia="Arial Narrow" w:hAnsi="Arial Narrow" w:cs="Arial Narrow"/>
          <w:sz w:val="24"/>
          <w:szCs w:val="24"/>
          <w:shd w:val="clear" w:color="auto" w:fill="D5A6BD"/>
          <w:lang w:val="es-ES"/>
        </w:rPr>
      </w:pPr>
      <w:r w:rsidRPr="005C22D4">
        <w:rPr>
          <w:rFonts w:ascii="Arial Narrow" w:eastAsia="Arial Narrow" w:hAnsi="Arial Narrow" w:cs="Arial Narrow"/>
          <w:sz w:val="24"/>
          <w:szCs w:val="24"/>
          <w:lang w:val="es-ES"/>
        </w:rPr>
        <w:t xml:space="preserve">La cifra de </w:t>
      </w:r>
      <w:hyperlink r:id="rId62">
        <w:r w:rsidRPr="005C22D4">
          <w:rPr>
            <w:rFonts w:ascii="Arial Narrow" w:eastAsia="Arial Narrow" w:hAnsi="Arial Narrow" w:cs="Arial Narrow"/>
            <w:color w:val="1155CC"/>
            <w:sz w:val="24"/>
            <w:szCs w:val="24"/>
            <w:u w:val="single"/>
            <w:lang w:val="es-ES"/>
          </w:rPr>
          <w:t>abusos sexuales</w:t>
        </w:r>
      </w:hyperlink>
      <w:r w:rsidRPr="005C22D4">
        <w:rPr>
          <w:rFonts w:ascii="Arial Narrow" w:eastAsia="Arial Narrow" w:hAnsi="Arial Narrow" w:cs="Arial Narrow"/>
          <w:sz w:val="24"/>
          <w:szCs w:val="24"/>
          <w:lang w:val="es-ES"/>
        </w:rPr>
        <w:t xml:space="preserve"> aumenta cotidianamente, así,</w:t>
      </w:r>
      <w:hyperlink r:id="rId63">
        <w:r w:rsidRPr="005C22D4">
          <w:rPr>
            <w:rFonts w:ascii="Arial Narrow" w:eastAsia="Arial Narrow" w:hAnsi="Arial Narrow" w:cs="Arial Narrow"/>
            <w:color w:val="1155CC"/>
            <w:sz w:val="24"/>
            <w:szCs w:val="24"/>
            <w:u w:val="single"/>
            <w:lang w:val="es-ES"/>
          </w:rPr>
          <w:t xml:space="preserve"> en 2022 cerró en 2766</w:t>
        </w:r>
      </w:hyperlink>
      <w:r w:rsidRPr="005C22D4">
        <w:rPr>
          <w:rFonts w:ascii="Arial Narrow" w:eastAsia="Arial Narrow" w:hAnsi="Arial Narrow" w:cs="Arial Narrow"/>
          <w:sz w:val="24"/>
          <w:szCs w:val="24"/>
          <w:lang w:val="es-ES"/>
        </w:rPr>
        <w:t xml:space="preserve">, 9,8% más que en 2021, y </w:t>
      </w:r>
      <w:hyperlink r:id="rId64">
        <w:r w:rsidRPr="005C22D4">
          <w:rPr>
            <w:rFonts w:ascii="Arial Narrow" w:eastAsia="Arial Narrow" w:hAnsi="Arial Narrow" w:cs="Arial Narrow"/>
            <w:color w:val="1155CC"/>
            <w:sz w:val="24"/>
            <w:szCs w:val="24"/>
            <w:u w:val="single"/>
            <w:lang w:val="es-ES"/>
          </w:rPr>
          <w:t>de los cuales 1.494 eran victimas niños y niñas</w:t>
        </w:r>
      </w:hyperlink>
      <w:r w:rsidRPr="005C22D4">
        <w:rPr>
          <w:rFonts w:ascii="Arial Narrow" w:eastAsia="Arial Narrow" w:hAnsi="Arial Narrow" w:cs="Arial Narrow"/>
          <w:sz w:val="24"/>
          <w:szCs w:val="24"/>
          <w:lang w:val="es-ES"/>
        </w:rPr>
        <w:t xml:space="preserve">. </w:t>
      </w:r>
    </w:p>
    <w:p w14:paraId="00000090" w14:textId="77777777" w:rsidR="00FB4BB0" w:rsidRPr="005C22D4" w:rsidRDefault="00C132A8" w:rsidP="005C22D4">
      <w:pPr>
        <w:spacing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Debido al aumento de denuncias se creó una fiscalía especializada en delitos sexuales. El fiscal titular de un turno </w:t>
      </w:r>
      <w:hyperlink r:id="rId65">
        <w:r w:rsidRPr="005C22D4">
          <w:rPr>
            <w:rFonts w:ascii="Arial Narrow" w:eastAsia="Arial Narrow" w:hAnsi="Arial Narrow" w:cs="Arial Narrow"/>
            <w:color w:val="1155CC"/>
            <w:sz w:val="24"/>
            <w:szCs w:val="24"/>
            <w:u w:val="single"/>
            <w:lang w:val="es-ES"/>
          </w:rPr>
          <w:t>archivó masivamente 440 denuncias por abuso sexua</w:t>
        </w:r>
      </w:hyperlink>
      <w:r w:rsidRPr="005C22D4">
        <w:rPr>
          <w:rFonts w:ascii="Arial Narrow" w:eastAsia="Arial Narrow" w:hAnsi="Arial Narrow" w:cs="Arial Narrow"/>
          <w:sz w:val="24"/>
          <w:szCs w:val="24"/>
          <w:lang w:val="es-ES"/>
        </w:rPr>
        <w:t>l. Ante la presión efectuada por organizaciones feministas los casos fueron reexaminados por otros fiscales y</w:t>
      </w:r>
      <w:hyperlink r:id="rId66">
        <w:r w:rsidRPr="005C22D4">
          <w:rPr>
            <w:rFonts w:ascii="Arial Narrow" w:eastAsia="Arial Narrow" w:hAnsi="Arial Narrow" w:cs="Arial Narrow"/>
            <w:color w:val="1155CC"/>
            <w:sz w:val="24"/>
            <w:szCs w:val="24"/>
            <w:u w:val="single"/>
            <w:lang w:val="es-ES"/>
          </w:rPr>
          <w:t xml:space="preserve"> varios resultaron con condena</w:t>
        </w:r>
      </w:hyperlink>
      <w:r w:rsidRPr="005C22D4">
        <w:rPr>
          <w:rFonts w:ascii="Arial Narrow" w:eastAsia="Arial Narrow" w:hAnsi="Arial Narrow" w:cs="Arial Narrow"/>
          <w:sz w:val="24"/>
          <w:szCs w:val="24"/>
          <w:lang w:val="es-ES"/>
        </w:rPr>
        <w:t xml:space="preserve">. </w:t>
      </w:r>
    </w:p>
    <w:p w14:paraId="00000091" w14:textId="59DE96C6" w:rsidR="00FB4BB0" w:rsidRPr="005C22D4" w:rsidRDefault="0036581D" w:rsidP="005C22D4">
      <w:pPr>
        <w:spacing w:before="240" w:after="240" w:line="360" w:lineRule="auto"/>
        <w:contextualSpacing/>
        <w:jc w:val="both"/>
        <w:rPr>
          <w:rFonts w:ascii="Arial Narrow" w:eastAsia="Arial Narrow" w:hAnsi="Arial Narrow" w:cs="Arial Narrow"/>
          <w:sz w:val="24"/>
          <w:szCs w:val="24"/>
          <w:lang w:val="es-ES"/>
        </w:rPr>
      </w:pPr>
      <w:r>
        <w:t>registró</w:t>
      </w:r>
      <w:r w:rsidR="00C132A8" w:rsidRPr="005C22D4">
        <w:rPr>
          <w:rFonts w:ascii="Arial Narrow" w:eastAsia="Arial Narrow" w:hAnsi="Arial Narrow" w:cs="Arial Narrow"/>
          <w:color w:val="222222"/>
          <w:sz w:val="24"/>
          <w:szCs w:val="24"/>
          <w:lang w:val="es-ES"/>
        </w:rPr>
        <w:t xml:space="preserve"> que 108 niñas menores de 15 años habían quedado embarazadas en 2021, de las cuales 50 dieron a luz y 58 interrumpieron el embarazo.</w:t>
      </w:r>
    </w:p>
    <w:bookmarkStart w:id="17" w:name="_heading=h.6m71c6vbo0c9" w:colFirst="0" w:colLast="0"/>
    <w:bookmarkEnd w:id="17"/>
    <w:p w14:paraId="00000092" w14:textId="77777777" w:rsidR="00FB4BB0" w:rsidRPr="005C22D4" w:rsidRDefault="00C132A8" w:rsidP="005C22D4">
      <w:pPr>
        <w:spacing w:after="0" w:line="360" w:lineRule="auto"/>
        <w:contextualSpacing/>
        <w:jc w:val="both"/>
        <w:rPr>
          <w:rFonts w:ascii="Arial Narrow" w:eastAsia="Arial Narrow" w:hAnsi="Arial Narrow" w:cs="Arial Narrow"/>
          <w:color w:val="222222"/>
          <w:sz w:val="24"/>
          <w:szCs w:val="24"/>
          <w:lang w:val="es-ES"/>
        </w:rPr>
      </w:pPr>
      <w:r w:rsidRPr="005C22D4">
        <w:rPr>
          <w:sz w:val="24"/>
          <w:szCs w:val="24"/>
          <w:lang w:val="es-ES"/>
        </w:rPr>
        <w:fldChar w:fldCharType="begin"/>
      </w:r>
      <w:r w:rsidRPr="005C22D4">
        <w:rPr>
          <w:sz w:val="24"/>
          <w:szCs w:val="24"/>
          <w:lang w:val="es-ES"/>
        </w:rPr>
        <w:instrText>HYPERLINK "https://amnistia.org.uy/cada-embarazo-infantil-es-el-sintoma-de-un-sistema-que-falla-y-no-protege-a-las-ninas/" \l ":~:text=Seg%C3%BAn%20datos%20de%20la%20Administraci%C3%B3n,el%20interior%20de%20nuestro%20pa%C3%ADs." \h</w:instrText>
      </w:r>
      <w:r w:rsidRPr="005C22D4">
        <w:rPr>
          <w:sz w:val="24"/>
          <w:szCs w:val="24"/>
          <w:lang w:val="es-ES"/>
        </w:rPr>
        <w:fldChar w:fldCharType="separate"/>
      </w:r>
      <w:r w:rsidRPr="005C22D4">
        <w:rPr>
          <w:rFonts w:ascii="Arial Narrow" w:eastAsia="Arial Narrow" w:hAnsi="Arial Narrow" w:cs="Arial Narrow"/>
          <w:color w:val="1155CC"/>
          <w:sz w:val="24"/>
          <w:szCs w:val="24"/>
          <w:u w:val="single"/>
          <w:lang w:val="es-ES"/>
        </w:rPr>
        <w:t xml:space="preserve">De enero a mayo de 2023 </w:t>
      </w:r>
      <w:r w:rsidRPr="005C22D4">
        <w:rPr>
          <w:rFonts w:ascii="Arial Narrow" w:eastAsia="Arial Narrow" w:hAnsi="Arial Narrow" w:cs="Arial Narrow"/>
          <w:color w:val="1155CC"/>
          <w:sz w:val="24"/>
          <w:szCs w:val="24"/>
          <w:u w:val="single"/>
          <w:lang w:val="es-ES"/>
        </w:rPr>
        <w:fldChar w:fldCharType="end"/>
      </w:r>
      <w:r w:rsidRPr="005C22D4">
        <w:rPr>
          <w:rFonts w:ascii="Arial Narrow" w:eastAsia="Arial Narrow" w:hAnsi="Arial Narrow" w:cs="Arial Narrow"/>
          <w:color w:val="222222"/>
          <w:sz w:val="24"/>
          <w:szCs w:val="24"/>
          <w:lang w:val="es-ES"/>
        </w:rPr>
        <w:t xml:space="preserve">se registraron 31 embarazos en niñas menores de 15 años.  La mayoría de esas niñas vive en el interior de nuestro país, donde hay menos acceso a los servicios que atienden situaciones de violencia. El embarazo de niñas está vinculado a situaciones de </w:t>
      </w:r>
      <w:hyperlink r:id="rId67">
        <w:r w:rsidRPr="005C22D4">
          <w:rPr>
            <w:rFonts w:ascii="Arial Narrow" w:eastAsia="Arial Narrow" w:hAnsi="Arial Narrow" w:cs="Arial Narrow"/>
            <w:color w:val="1155CC"/>
            <w:sz w:val="24"/>
            <w:szCs w:val="24"/>
            <w:u w:val="single"/>
            <w:lang w:val="es-ES"/>
          </w:rPr>
          <w:t xml:space="preserve">abuso sexual </w:t>
        </w:r>
      </w:hyperlink>
      <w:hyperlink r:id="rId68">
        <w:r w:rsidRPr="005C22D4">
          <w:rPr>
            <w:rFonts w:ascii="Arial Narrow" w:eastAsia="Arial Narrow" w:hAnsi="Arial Narrow" w:cs="Arial Narrow"/>
            <w:color w:val="1155CC"/>
            <w:sz w:val="24"/>
            <w:szCs w:val="24"/>
            <w:u w:val="single"/>
            <w:lang w:val="es-ES"/>
          </w:rPr>
          <w:t>intrafamiliar</w:t>
        </w:r>
      </w:hyperlink>
      <w:r w:rsidRPr="005C22D4">
        <w:rPr>
          <w:rFonts w:ascii="Arial Narrow" w:eastAsia="Arial Narrow" w:hAnsi="Arial Narrow" w:cs="Arial Narrow"/>
          <w:color w:val="222222"/>
          <w:sz w:val="24"/>
          <w:szCs w:val="24"/>
          <w:lang w:val="es-ES"/>
        </w:rPr>
        <w:t>.</w:t>
      </w:r>
      <w:hyperlink r:id="rId69">
        <w:r w:rsidRPr="005C22D4">
          <w:rPr>
            <w:rFonts w:ascii="Arial Narrow" w:eastAsia="Arial Narrow" w:hAnsi="Arial Narrow" w:cs="Arial Narrow"/>
            <w:color w:val="222222"/>
            <w:sz w:val="24"/>
            <w:szCs w:val="24"/>
            <w:lang w:val="es-ES"/>
          </w:rPr>
          <w:t xml:space="preserve"> </w:t>
        </w:r>
      </w:hyperlink>
    </w:p>
    <w:p w14:paraId="00000093" w14:textId="77777777" w:rsidR="00FB4BB0" w:rsidRPr="005C22D4" w:rsidRDefault="00C132A8" w:rsidP="005C22D4">
      <w:pPr>
        <w:spacing w:before="240" w:after="240" w:line="360" w:lineRule="auto"/>
        <w:contextualSpacing/>
        <w:jc w:val="both"/>
        <w:rPr>
          <w:rFonts w:ascii="Arial Narrow" w:eastAsia="Arial Narrow" w:hAnsi="Arial Narrow" w:cs="Arial Narrow"/>
          <w:color w:val="222222"/>
          <w:sz w:val="24"/>
          <w:szCs w:val="24"/>
          <w:lang w:val="es-ES"/>
        </w:rPr>
      </w:pPr>
      <w:r w:rsidRPr="005C22D4">
        <w:rPr>
          <w:rFonts w:ascii="Arial Narrow" w:eastAsia="Arial Narrow" w:hAnsi="Arial Narrow" w:cs="Arial Narrow"/>
          <w:color w:val="222222"/>
          <w:sz w:val="24"/>
          <w:szCs w:val="24"/>
          <w:lang w:val="es-ES"/>
        </w:rPr>
        <w:t>Este Comité ya recomendó en 2016 (párrafo 36c) que el Estado imparta educación sobre salud sexual y reproductiva conforme a la edad de los niños y niñas.</w:t>
      </w:r>
    </w:p>
    <w:p w14:paraId="00000094" w14:textId="77777777" w:rsidR="00FB4BB0" w:rsidRPr="005C22D4" w:rsidRDefault="00C132A8" w:rsidP="005C22D4">
      <w:pPr>
        <w:spacing w:before="240" w:after="240" w:line="360" w:lineRule="auto"/>
        <w:contextualSpacing/>
        <w:jc w:val="both"/>
        <w:rPr>
          <w:rFonts w:ascii="Arial Narrow" w:eastAsia="Arial Narrow" w:hAnsi="Arial Narrow" w:cs="Arial Narrow"/>
          <w:color w:val="222222"/>
          <w:sz w:val="24"/>
          <w:szCs w:val="24"/>
          <w:lang w:val="es-ES"/>
        </w:rPr>
      </w:pPr>
      <w:r w:rsidRPr="005C22D4">
        <w:rPr>
          <w:rFonts w:ascii="Arial Narrow" w:eastAsia="Arial Narrow" w:hAnsi="Arial Narrow" w:cs="Arial Narrow"/>
          <w:color w:val="222222"/>
          <w:sz w:val="24"/>
          <w:szCs w:val="24"/>
          <w:lang w:val="es-ES"/>
        </w:rPr>
        <w:t xml:space="preserve">La actual Administración ha suspendido los programas que se venían realizando para prevenir el embarazo adolescente no deseado. Existe una línea de trabajo que afirma la responsabilidad de la mujer de procrear y asumir los roles de cuidado que se manifiesta en las profesionales designadas en estas áreas de la salud y en las líneas adoptadas por el Instituto Nacional del Niño y Adolescente del Uruguay (INAU). De hecho el Ministerio de Salud Pública y ASSE han adoptado </w:t>
      </w:r>
      <w:hyperlink r:id="rId70">
        <w:r w:rsidRPr="005C22D4">
          <w:rPr>
            <w:rFonts w:ascii="Arial Narrow" w:eastAsia="Arial Narrow" w:hAnsi="Arial Narrow" w:cs="Arial Narrow"/>
            <w:color w:val="1155CC"/>
            <w:sz w:val="24"/>
            <w:szCs w:val="24"/>
            <w:u w:val="single"/>
            <w:lang w:val="es-ES"/>
          </w:rPr>
          <w:t>un programa</w:t>
        </w:r>
      </w:hyperlink>
      <w:r w:rsidRPr="005C22D4">
        <w:rPr>
          <w:rFonts w:ascii="Arial Narrow" w:eastAsia="Arial Narrow" w:hAnsi="Arial Narrow" w:cs="Arial Narrow"/>
          <w:color w:val="222222"/>
          <w:sz w:val="24"/>
          <w:szCs w:val="24"/>
          <w:lang w:val="es-ES"/>
        </w:rPr>
        <w:t xml:space="preserve"> llamado Familias Fuertes creado desde una iniciativa militar que vulnera la garantía de protección de derechos de las niñas y adolescentes.</w:t>
      </w:r>
    </w:p>
    <w:p w14:paraId="00000095"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40" w:after="240" w:line="360" w:lineRule="auto"/>
        <w:ind w:firstLine="720"/>
        <w:contextualSpacing/>
        <w:jc w:val="both"/>
        <w:rPr>
          <w:rFonts w:ascii="Arial Narrow" w:eastAsia="Arial Narrow" w:hAnsi="Arial Narrow" w:cs="Arial Narrow"/>
          <w:b/>
          <w:color w:val="222222"/>
          <w:sz w:val="24"/>
          <w:szCs w:val="24"/>
          <w:lang w:val="es-ES"/>
        </w:rPr>
      </w:pPr>
      <w:r w:rsidRPr="005C22D4">
        <w:rPr>
          <w:rFonts w:ascii="Arial Narrow" w:eastAsia="Arial Narrow" w:hAnsi="Arial Narrow" w:cs="Arial Narrow"/>
          <w:b/>
          <w:color w:val="222222"/>
          <w:sz w:val="24"/>
          <w:szCs w:val="24"/>
          <w:lang w:val="es-ES"/>
        </w:rPr>
        <w:t>Recomendamos:</w:t>
      </w:r>
    </w:p>
    <w:p w14:paraId="00000096"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color w:val="222222"/>
          <w:sz w:val="24"/>
          <w:szCs w:val="24"/>
          <w:lang w:val="es-ES"/>
        </w:rPr>
      </w:pPr>
      <w:r w:rsidRPr="005C22D4">
        <w:rPr>
          <w:rFonts w:ascii="Arial Narrow" w:eastAsia="Arial Narrow" w:hAnsi="Arial Narrow" w:cs="Arial Narrow"/>
          <w:color w:val="222222"/>
          <w:sz w:val="24"/>
          <w:szCs w:val="24"/>
          <w:lang w:val="es-ES"/>
        </w:rPr>
        <w:t xml:space="preserve">a) Diseñe e implemente campañas de sensibilización respecto a la violencia sexual contra niñas y niños, y las afectaciones que conlleva distorsionando el desarrollo de su vida. </w:t>
      </w:r>
    </w:p>
    <w:p w14:paraId="00000097" w14:textId="77777777" w:rsidR="00FB4BB0" w:rsidRPr="005C22D4" w:rsidRDefault="00C132A8" w:rsidP="0036581D">
      <w:pPr>
        <w:pBdr>
          <w:top w:val="single" w:sz="4" w:space="1" w:color="auto"/>
          <w:left w:val="single" w:sz="4" w:space="4" w:color="auto"/>
          <w:bottom w:val="single" w:sz="4" w:space="1" w:color="auto"/>
          <w:right w:val="single" w:sz="4" w:space="4" w:color="auto"/>
        </w:pBdr>
        <w:shd w:val="clear" w:color="auto" w:fill="FFFFFF"/>
        <w:spacing w:before="240" w:after="240" w:line="360" w:lineRule="auto"/>
        <w:contextualSpacing/>
        <w:jc w:val="both"/>
        <w:rPr>
          <w:rFonts w:ascii="Arial Narrow" w:eastAsia="Arial Narrow" w:hAnsi="Arial Narrow" w:cs="Arial Narrow"/>
          <w:color w:val="222222"/>
          <w:sz w:val="24"/>
          <w:szCs w:val="24"/>
          <w:lang w:val="es-ES"/>
        </w:rPr>
      </w:pPr>
      <w:r w:rsidRPr="005C22D4">
        <w:rPr>
          <w:rFonts w:ascii="Arial Narrow" w:eastAsia="Arial Narrow" w:hAnsi="Arial Narrow" w:cs="Arial Narrow"/>
          <w:color w:val="222222"/>
          <w:sz w:val="24"/>
          <w:szCs w:val="24"/>
          <w:lang w:val="es-ES"/>
        </w:rPr>
        <w:t>b) Elabore programas y acciones concretas para prevenir y erradicar el embarazo infantil, ya que el Estado tiene una obligación reforzada respecto a la protección de las niñas y adolescentes.</w:t>
      </w:r>
    </w:p>
    <w:p w14:paraId="00000098" w14:textId="77777777" w:rsidR="00FB4BB0" w:rsidRPr="005C22D4" w:rsidRDefault="00FB4BB0" w:rsidP="005C22D4">
      <w:pPr>
        <w:spacing w:after="0" w:line="360" w:lineRule="auto"/>
        <w:ind w:firstLine="720"/>
        <w:contextualSpacing/>
        <w:jc w:val="both"/>
        <w:rPr>
          <w:rFonts w:ascii="Arial Narrow" w:eastAsia="Arial Narrow" w:hAnsi="Arial Narrow" w:cs="Arial Narrow"/>
          <w:sz w:val="24"/>
          <w:szCs w:val="24"/>
          <w:lang w:val="es-ES"/>
        </w:rPr>
      </w:pPr>
    </w:p>
    <w:p w14:paraId="00000099" w14:textId="77777777" w:rsidR="00FB4BB0" w:rsidRPr="005C22D4" w:rsidRDefault="00C132A8" w:rsidP="005C22D4">
      <w:pPr>
        <w:pBdr>
          <w:top w:val="nil"/>
          <w:left w:val="nil"/>
          <w:bottom w:val="nil"/>
          <w:right w:val="nil"/>
          <w:between w:val="nil"/>
        </w:pBdr>
        <w:spacing w:after="0" w:line="360" w:lineRule="auto"/>
        <w:ind w:firstLine="720"/>
        <w:contextualSpacing/>
        <w:jc w:val="both"/>
        <w:rPr>
          <w:rFonts w:ascii="Arial Narrow" w:eastAsia="Arial Narrow" w:hAnsi="Arial Narrow" w:cs="Arial Narrow"/>
          <w:b/>
          <w:color w:val="353744"/>
          <w:sz w:val="24"/>
          <w:szCs w:val="24"/>
          <w:lang w:val="es-ES"/>
        </w:rPr>
      </w:pPr>
      <w:r w:rsidRPr="005C22D4">
        <w:rPr>
          <w:rFonts w:ascii="Arial Narrow" w:eastAsia="Arial Narrow" w:hAnsi="Arial Narrow" w:cs="Arial Narrow"/>
          <w:b/>
          <w:color w:val="353744"/>
          <w:sz w:val="24"/>
          <w:szCs w:val="24"/>
          <w:lang w:val="es-ES"/>
        </w:rPr>
        <w:t xml:space="preserve">Mujeres Privadas de Libertad (MPL) </w:t>
      </w:r>
    </w:p>
    <w:p w14:paraId="0000009A" w14:textId="77777777" w:rsidR="00FB4BB0" w:rsidRPr="005C22D4" w:rsidRDefault="00FB4BB0" w:rsidP="005C22D4">
      <w:pPr>
        <w:pBdr>
          <w:top w:val="nil"/>
          <w:left w:val="nil"/>
          <w:bottom w:val="nil"/>
          <w:right w:val="nil"/>
          <w:between w:val="nil"/>
        </w:pBdr>
        <w:spacing w:after="0" w:line="360" w:lineRule="auto"/>
        <w:contextualSpacing/>
        <w:jc w:val="both"/>
        <w:rPr>
          <w:rFonts w:ascii="Arial Narrow" w:eastAsia="Arial Narrow" w:hAnsi="Arial Narrow" w:cs="Arial Narrow"/>
          <w:color w:val="353744"/>
          <w:sz w:val="24"/>
          <w:szCs w:val="24"/>
          <w:lang w:val="es-ES"/>
        </w:rPr>
      </w:pPr>
    </w:p>
    <w:p w14:paraId="0000009B"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color w:val="1B1B1B"/>
          <w:sz w:val="24"/>
          <w:szCs w:val="24"/>
          <w:lang w:val="es-ES"/>
        </w:rPr>
        <w:t>En 2010 se decretó el estado de “</w:t>
      </w:r>
      <w:hyperlink r:id="rId71">
        <w:r w:rsidRPr="005C22D4">
          <w:rPr>
            <w:rFonts w:ascii="Arial Narrow" w:eastAsia="Arial Narrow" w:hAnsi="Arial Narrow" w:cs="Arial Narrow"/>
            <w:color w:val="1155CC"/>
            <w:sz w:val="24"/>
            <w:szCs w:val="24"/>
            <w:u w:val="single"/>
            <w:lang w:val="es-ES"/>
          </w:rPr>
          <w:t>Emergencia Carcelaria</w:t>
        </w:r>
      </w:hyperlink>
      <w:r w:rsidRPr="005C22D4">
        <w:rPr>
          <w:rFonts w:ascii="Arial Narrow" w:eastAsia="Arial Narrow" w:hAnsi="Arial Narrow" w:cs="Arial Narrow"/>
          <w:color w:val="1B1B1B"/>
          <w:sz w:val="24"/>
          <w:szCs w:val="24"/>
          <w:lang w:val="es-ES"/>
        </w:rPr>
        <w:t xml:space="preserve">” debido a las condiciones de los centros de reclusión y el hacinamiento de los establecimientos. </w:t>
      </w:r>
      <w:hyperlink r:id="rId72">
        <w:r w:rsidRPr="005C22D4">
          <w:rPr>
            <w:rFonts w:ascii="Arial Narrow" w:eastAsia="Arial Narrow" w:hAnsi="Arial Narrow" w:cs="Arial Narrow"/>
            <w:color w:val="1155CC"/>
            <w:sz w:val="24"/>
            <w:szCs w:val="24"/>
            <w:u w:val="single"/>
            <w:lang w:val="es-ES"/>
          </w:rPr>
          <w:t>En 2023 el Comisionado Parlamentario solicitó se declare nuevamente</w:t>
        </w:r>
      </w:hyperlink>
      <w:r w:rsidRPr="005C22D4">
        <w:rPr>
          <w:rFonts w:ascii="Arial Narrow" w:eastAsia="Arial Narrow" w:hAnsi="Arial Narrow" w:cs="Arial Narrow"/>
          <w:sz w:val="24"/>
          <w:szCs w:val="24"/>
          <w:lang w:val="es-ES"/>
        </w:rPr>
        <w:t xml:space="preserve"> la emergencia carcelaria.</w:t>
      </w:r>
    </w:p>
    <w:p w14:paraId="0000009D" w14:textId="0DE0064D" w:rsidR="00FB4BB0" w:rsidRPr="0036581D"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En marzo de 2020 habían 623 MPL. En junio de 2023 esta cifra aumentó a 1074, por lo que casi se ha duplicado en tres años. Entre quienes cumplen su condena en Montevideo, el 94,2% lo hace en la Unidad Penitenciaria N°5, </w:t>
      </w:r>
      <w:hyperlink r:id="rId73">
        <w:r w:rsidRPr="005C22D4">
          <w:rPr>
            <w:rFonts w:ascii="Arial Narrow" w:eastAsia="Arial Narrow" w:hAnsi="Arial Narrow" w:cs="Arial Narrow"/>
            <w:color w:val="1155CC"/>
            <w:sz w:val="24"/>
            <w:szCs w:val="24"/>
            <w:u w:val="single"/>
            <w:lang w:val="es-ES"/>
          </w:rPr>
          <w:t xml:space="preserve">cuya situación de hacinamiento se destaca por tener el 184% de ocupación de la unidad. </w:t>
        </w:r>
      </w:hyperlink>
    </w:p>
    <w:p w14:paraId="0000009E"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El 90,6% de las mujeres tienen hijos/as y el 89,7% de éstos son menores de edad. El 90% está bajo el cuidado de familiares (destacando abuelas, tías y hermanas), el 5% lo está en instituciones de protección del INAU y el restante 5% se encuentra al cuidado de sus madres dentro de los establecimientos carcelarios. El 38,2% de las mujeres tienen hijos mayores de edad, de los cuales el 23% se encuentra transitando medidas de privación de libertad.</w:t>
      </w:r>
    </w:p>
    <w:p w14:paraId="000000A0" w14:textId="4EC2F2A8"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Respecto a los niños que viven con sus madres en la prisión, en 2019 había 42</w:t>
      </w:r>
      <w:hyperlink r:id="rId74">
        <w:r w:rsidRPr="005C22D4">
          <w:rPr>
            <w:rFonts w:ascii="Arial Narrow" w:eastAsia="Arial Narrow" w:hAnsi="Arial Narrow" w:cs="Arial Narrow"/>
            <w:color w:val="1155CC"/>
            <w:sz w:val="24"/>
            <w:szCs w:val="24"/>
            <w:u w:val="single"/>
            <w:lang w:val="es-ES"/>
          </w:rPr>
          <w:t xml:space="preserve"> niños viviendo en las cárceles</w:t>
        </w:r>
      </w:hyperlink>
      <w:r w:rsidRPr="005C22D4">
        <w:rPr>
          <w:rFonts w:ascii="Arial Narrow" w:eastAsia="Arial Narrow" w:hAnsi="Arial Narrow" w:cs="Arial Narrow"/>
          <w:sz w:val="24"/>
          <w:szCs w:val="24"/>
          <w:lang w:val="es-ES"/>
        </w:rPr>
        <w:t xml:space="preserve">, en 2021 ese número aumentó a 51. En julio de 2023 se completaron los 38 cupos para madres con hijos en la Unidad N°9, por lo que </w:t>
      </w:r>
      <w:hyperlink r:id="rId75">
        <w:r w:rsidRPr="005C22D4">
          <w:rPr>
            <w:rFonts w:ascii="Arial Narrow" w:eastAsia="Arial Narrow" w:hAnsi="Arial Narrow" w:cs="Arial Narrow"/>
            <w:color w:val="1155CC"/>
            <w:sz w:val="24"/>
            <w:szCs w:val="24"/>
            <w:u w:val="single"/>
            <w:lang w:val="es-ES"/>
          </w:rPr>
          <w:t xml:space="preserve">no hay más lugar para madres con hijos en Montevideo. </w:t>
        </w:r>
      </w:hyperlink>
    </w:p>
    <w:p w14:paraId="000000A2" w14:textId="27E3F66B"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Más de la mitad de las MPL en Montevideo y el área metropolitana lo están por infracciones vinculadas a estupefacientes. De acuerdo al informe </w:t>
      </w:r>
      <w:hyperlink r:id="rId76">
        <w:r w:rsidRPr="005C22D4">
          <w:rPr>
            <w:rFonts w:ascii="Arial Narrow" w:eastAsia="Arial Narrow" w:hAnsi="Arial Narrow" w:cs="Arial Narrow"/>
            <w:color w:val="1155CC"/>
            <w:sz w:val="24"/>
            <w:szCs w:val="24"/>
            <w:u w:val="single"/>
            <w:lang w:val="es-ES"/>
          </w:rPr>
          <w:t>“Mujeres, políticas de drogas y encarcelamiento”</w:t>
        </w:r>
      </w:hyperlink>
      <w:r w:rsidRPr="005C22D4">
        <w:rPr>
          <w:rFonts w:ascii="Arial Narrow" w:eastAsia="Arial Narrow" w:hAnsi="Arial Narrow" w:cs="Arial Narrow"/>
          <w:sz w:val="24"/>
          <w:szCs w:val="24"/>
          <w:lang w:val="es-ES"/>
        </w:rPr>
        <w:t>, del año 2019, más del 50% de las MPL son primarias, jefas de hogar monoparental, y una de cada 5 tiene menos de 23 años de edad. El 32% de las MPL lo están por razones vinculadas a delitos no violentos de drogas, a diferencia del 8% de los varones.</w:t>
      </w:r>
    </w:p>
    <w:p w14:paraId="000000A3" w14:textId="77777777" w:rsidR="00FB4BB0" w:rsidRPr="005C22D4"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En la mayoría de los casos contemplados en el </w:t>
      </w:r>
      <w:hyperlink r:id="rId77">
        <w:r w:rsidRPr="005C22D4">
          <w:rPr>
            <w:rFonts w:ascii="Arial Narrow" w:eastAsia="Arial Narrow" w:hAnsi="Arial Narrow" w:cs="Arial Narrow"/>
            <w:color w:val="1155CC"/>
            <w:sz w:val="24"/>
            <w:szCs w:val="24"/>
            <w:u w:val="single"/>
            <w:lang w:val="es-ES"/>
          </w:rPr>
          <w:t xml:space="preserve">estudio </w:t>
        </w:r>
      </w:hyperlink>
      <w:hyperlink r:id="rId78">
        <w:r w:rsidRPr="005C22D4">
          <w:rPr>
            <w:rFonts w:ascii="Arial Narrow" w:eastAsia="Arial Narrow" w:hAnsi="Arial Narrow" w:cs="Arial Narrow"/>
            <w:color w:val="1155CC"/>
            <w:sz w:val="24"/>
            <w:szCs w:val="24"/>
            <w:u w:val="single"/>
            <w:lang w:val="es-ES"/>
          </w:rPr>
          <w:t>de</w:t>
        </w:r>
      </w:hyperlink>
      <w:hyperlink r:id="rId79">
        <w:r w:rsidRPr="005C22D4">
          <w:rPr>
            <w:rFonts w:ascii="Arial Narrow" w:eastAsia="Arial Narrow" w:hAnsi="Arial Narrow" w:cs="Arial Narrow"/>
            <w:color w:val="1155CC"/>
            <w:sz w:val="24"/>
            <w:szCs w:val="24"/>
            <w:u w:val="single"/>
            <w:lang w:val="es-ES"/>
          </w:rPr>
          <w:t xml:space="preserve"> Crisálidas</w:t>
        </w:r>
      </w:hyperlink>
      <w:r w:rsidRPr="005C22D4">
        <w:rPr>
          <w:rFonts w:ascii="Arial Narrow" w:eastAsia="Arial Narrow" w:hAnsi="Arial Narrow" w:cs="Arial Narrow"/>
          <w:sz w:val="24"/>
          <w:szCs w:val="24"/>
          <w:lang w:val="es-ES"/>
        </w:rPr>
        <w:t>, el delito prevalente es el tráfico de estupefacientes (51,2%), mientras que el hurto o rapiña ocupan el segundo lugar con un 22,4%, seguido por el homicidio (7,6%), lesiones (3,4%) y la receptación (3,2%). Estos cinco tipos acumulan el 87,8% de los delitos prevalentes de las MPL en 2022; 13% de ellas tienen simultaneidad de delitos en su condena. Muchas veces participan de los delitos en calidad de cómplices o por coacción, constituyéndose como un componente más de la violencia de género.</w:t>
      </w:r>
    </w:p>
    <w:p w14:paraId="000000A5" w14:textId="7BC5F72C" w:rsidR="00FB4BB0" w:rsidRPr="0036581D" w:rsidRDefault="00C132A8" w:rsidP="005C22D4">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Los delitos de estas mujeres se relacionan principalmente con el micro narcotráfico, que les habilita un ingreso para mantener al núcleo familiar y cumplir con tareas de cuidados. </w:t>
      </w:r>
    </w:p>
    <w:p w14:paraId="000000A7" w14:textId="6F71231C" w:rsidR="00FB4BB0" w:rsidRPr="005C22D4" w:rsidRDefault="00C132A8" w:rsidP="0036581D">
      <w:pPr>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En 2020 se aprueba la Ley N°19.889, </w:t>
      </w:r>
      <w:hyperlink r:id="rId80">
        <w:r w:rsidRPr="005C22D4">
          <w:rPr>
            <w:rFonts w:ascii="Arial Narrow" w:eastAsia="Arial Narrow" w:hAnsi="Arial Narrow" w:cs="Arial Narrow"/>
            <w:color w:val="1155CC"/>
            <w:sz w:val="24"/>
            <w:szCs w:val="24"/>
            <w:u w:val="single"/>
            <w:lang w:val="es-ES"/>
          </w:rPr>
          <w:t>Ley de Urgente Consideración</w:t>
        </w:r>
      </w:hyperlink>
      <w:r w:rsidRPr="005C22D4">
        <w:rPr>
          <w:rFonts w:ascii="Arial Narrow" w:eastAsia="Arial Narrow" w:hAnsi="Arial Narrow" w:cs="Arial Narrow"/>
          <w:sz w:val="24"/>
          <w:szCs w:val="24"/>
          <w:lang w:val="es-ES"/>
        </w:rPr>
        <w:t xml:space="preserve"> (LUC</w:t>
      </w:r>
      <w:hyperlink r:id="rId81" w:history="1">
        <w:r w:rsidRPr="005C22D4">
          <w:rPr>
            <w:rStyle w:val="Hipervnculo"/>
            <w:rFonts w:ascii="Arial Narrow" w:eastAsia="Arial Narrow" w:hAnsi="Arial Narrow" w:cs="Arial Narrow"/>
            <w:sz w:val="24"/>
            <w:szCs w:val="24"/>
            <w:lang w:val="es-ES"/>
          </w:rPr>
          <w:t>), provocando un aumento</w:t>
        </w:r>
      </w:hyperlink>
      <w:r w:rsidRPr="005C22D4">
        <w:rPr>
          <w:rFonts w:ascii="Arial Narrow" w:eastAsia="Arial Narrow" w:hAnsi="Arial Narrow" w:cs="Arial Narrow"/>
          <w:sz w:val="24"/>
          <w:szCs w:val="24"/>
          <w:lang w:val="es-ES"/>
        </w:rPr>
        <w:t xml:space="preserve"> de 26% de MPL en su primer año de aplicación, lo que contribuyó a </w:t>
      </w:r>
      <w:hyperlink r:id="rId82">
        <w:r w:rsidRPr="005C22D4">
          <w:rPr>
            <w:rFonts w:ascii="Arial Narrow" w:eastAsia="Arial Narrow" w:hAnsi="Arial Narrow" w:cs="Arial Narrow"/>
            <w:color w:val="1155CC"/>
            <w:sz w:val="24"/>
            <w:szCs w:val="24"/>
            <w:u w:val="single"/>
            <w:lang w:val="es-ES"/>
          </w:rPr>
          <w:t>un incremento del 65%</w:t>
        </w:r>
      </w:hyperlink>
      <w:r w:rsidRPr="005C22D4">
        <w:rPr>
          <w:rFonts w:ascii="Arial Narrow" w:eastAsia="Arial Narrow" w:hAnsi="Arial Narrow" w:cs="Arial Narrow"/>
          <w:sz w:val="24"/>
          <w:szCs w:val="24"/>
          <w:lang w:val="es-ES"/>
        </w:rPr>
        <w:t xml:space="preserve"> de las MPL respecto a las 649 que estaban en esa situación antes de la entrada en vigencia de la ley.</w:t>
      </w:r>
    </w:p>
    <w:p w14:paraId="000000A9" w14:textId="625CEADF" w:rsidR="00FB4BB0" w:rsidRPr="005C22D4" w:rsidRDefault="00C132A8" w:rsidP="005C22D4">
      <w:pPr>
        <w:shd w:val="clear" w:color="auto" w:fill="FFFFFF"/>
        <w:spacing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La LUC aumentó las penas mínimas y máximas de los delitos previstos en los artículos 31 a 35 del decreto-ley 14.294 sobre “estupefacientes”, y suprime la posibilidad de que el juez pueda aplicar medidas sustitutivas a la cárcel. Los delitos de drogas son delitos inexcarcelables. Establece una agravante especial que consiste en aumentar la pena a un mínimo de 4 años de penitenciaría cuando los delitos de drogas se realicen desde el hogar. Esta pena mínima es el doble de la pena mínima que tiene en nuestro ordenamiento jurídico en delitos como el homicidio intencional, reflejando una desproporcionalidad alarmante en las penas referidas a delitos de drogas.</w:t>
      </w:r>
    </w:p>
    <w:p w14:paraId="000000AA" w14:textId="77777777" w:rsidR="00FB4BB0" w:rsidRPr="005C22D4" w:rsidRDefault="00C132A8" w:rsidP="005C22D4">
      <w:pPr>
        <w:spacing w:before="200" w:after="0" w:line="360" w:lineRule="auto"/>
        <w:contextualSpacing/>
        <w:jc w:val="both"/>
        <w:rPr>
          <w:rFonts w:ascii="Arial Narrow" w:eastAsia="Arial Narrow" w:hAnsi="Arial Narrow" w:cs="Arial Narrow"/>
          <w:sz w:val="24"/>
          <w:szCs w:val="24"/>
          <w:lang w:val="es-ES"/>
        </w:rPr>
      </w:pPr>
      <w:r w:rsidRPr="005C22D4">
        <w:rPr>
          <w:rFonts w:ascii="Arial Narrow" w:eastAsia="Arial Narrow" w:hAnsi="Arial Narrow" w:cs="Arial Narrow"/>
          <w:sz w:val="24"/>
          <w:szCs w:val="24"/>
          <w:lang w:val="es-ES"/>
        </w:rPr>
        <w:t xml:space="preserve">Los estándares internacionales para revertir los impactos del encarcelamiento en la población privada de libertad, y en especial de las mujeres referidas en las </w:t>
      </w:r>
      <w:hyperlink r:id="rId83">
        <w:r w:rsidRPr="005C22D4">
          <w:rPr>
            <w:rFonts w:ascii="Arial Narrow" w:eastAsia="Arial Narrow" w:hAnsi="Arial Narrow" w:cs="Arial Narrow"/>
            <w:sz w:val="24"/>
            <w:szCs w:val="24"/>
            <w:lang w:val="es-ES"/>
          </w:rPr>
          <w:t>Reglas de Tokio</w:t>
        </w:r>
      </w:hyperlink>
      <w:r w:rsidRPr="005C22D4">
        <w:rPr>
          <w:rFonts w:ascii="Arial Narrow" w:eastAsia="Arial Narrow" w:hAnsi="Arial Narrow" w:cs="Arial Narrow"/>
          <w:sz w:val="24"/>
          <w:szCs w:val="24"/>
          <w:lang w:val="es-ES"/>
        </w:rPr>
        <w:t xml:space="preserve">, de </w:t>
      </w:r>
      <w:hyperlink r:id="rId84">
        <w:r w:rsidRPr="005C22D4">
          <w:rPr>
            <w:rFonts w:ascii="Arial Narrow" w:eastAsia="Arial Narrow" w:hAnsi="Arial Narrow" w:cs="Arial Narrow"/>
            <w:sz w:val="24"/>
            <w:szCs w:val="24"/>
            <w:lang w:val="es-ES"/>
          </w:rPr>
          <w:t>Bangkok</w:t>
        </w:r>
      </w:hyperlink>
      <w:r w:rsidRPr="005C22D4">
        <w:rPr>
          <w:rFonts w:ascii="Arial Narrow" w:eastAsia="Arial Narrow" w:hAnsi="Arial Narrow" w:cs="Arial Narrow"/>
          <w:sz w:val="24"/>
          <w:szCs w:val="24"/>
          <w:lang w:val="es-ES"/>
        </w:rPr>
        <w:t xml:space="preserve"> y  Reglas Mandela se incumplen, y su vulneración se encuentra ampliamente documentada en los informes del Comisionado Parlamentario para el Sistema Penitenciario. </w:t>
      </w:r>
    </w:p>
    <w:p w14:paraId="000000AB"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00" w:after="0" w:line="360" w:lineRule="auto"/>
        <w:ind w:firstLine="720"/>
        <w:contextualSpacing/>
        <w:jc w:val="both"/>
        <w:rPr>
          <w:rFonts w:ascii="Arial Narrow" w:eastAsia="Arial Narrow" w:hAnsi="Arial Narrow" w:cs="Arial Narrow"/>
          <w:b/>
          <w:color w:val="1B1B1B"/>
          <w:sz w:val="24"/>
          <w:szCs w:val="24"/>
          <w:lang w:val="es-ES"/>
        </w:rPr>
      </w:pPr>
      <w:r w:rsidRPr="005C22D4">
        <w:rPr>
          <w:rFonts w:ascii="Arial Narrow" w:eastAsia="Arial Narrow" w:hAnsi="Arial Narrow" w:cs="Arial Narrow"/>
          <w:b/>
          <w:color w:val="1B1B1B"/>
          <w:sz w:val="24"/>
          <w:szCs w:val="24"/>
          <w:lang w:val="es-ES"/>
        </w:rPr>
        <w:t>Recomendamos:</w:t>
      </w:r>
    </w:p>
    <w:p w14:paraId="000000AC"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s-ES"/>
        </w:rPr>
      </w:pPr>
      <w:r w:rsidRPr="005C22D4">
        <w:rPr>
          <w:rFonts w:ascii="Arial Narrow" w:eastAsia="Arial Narrow" w:hAnsi="Arial Narrow" w:cs="Arial Narrow"/>
          <w:color w:val="1B1B1B"/>
          <w:sz w:val="24"/>
          <w:szCs w:val="24"/>
          <w:lang w:val="es-ES"/>
        </w:rPr>
        <w:t>a) Que se reitere las recomendaciones del Comité de Derechos Humanos (2022, párrafo-23) respecto a que se reduzca el hacinamiento y el elevado porcentaje de personas en prisión preventiva, priorizando la imposición de medidas alternativas a la privación de libertad y  medidas sociales y educativas no privativas de libertad para las mujeres que hayan cometido delitos no violentos.</w:t>
      </w:r>
    </w:p>
    <w:p w14:paraId="000000AD"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s-ES"/>
        </w:rPr>
      </w:pPr>
      <w:r w:rsidRPr="005C22D4">
        <w:rPr>
          <w:rFonts w:ascii="Arial Narrow" w:eastAsia="Arial Narrow" w:hAnsi="Arial Narrow" w:cs="Arial Narrow"/>
          <w:color w:val="1B1B1B"/>
          <w:sz w:val="24"/>
          <w:szCs w:val="24"/>
          <w:lang w:val="es-ES"/>
        </w:rPr>
        <w:t>b) Que se modifique la normativa de la LUC que afectan desproporcionadamente a las MPL;</w:t>
      </w:r>
    </w:p>
    <w:p w14:paraId="000000AE" w14:textId="77777777" w:rsidR="00FB4BB0" w:rsidRPr="005C22D4" w:rsidRDefault="00C132A8" w:rsidP="0036581D">
      <w:pPr>
        <w:pBdr>
          <w:top w:val="single" w:sz="4" w:space="1" w:color="auto"/>
          <w:left w:val="single" w:sz="4" w:space="4" w:color="auto"/>
          <w:bottom w:val="single" w:sz="4" w:space="1" w:color="auto"/>
          <w:right w:val="single" w:sz="4" w:space="4" w:color="auto"/>
        </w:pBdr>
        <w:spacing w:before="200" w:after="0" w:line="360" w:lineRule="auto"/>
        <w:contextualSpacing/>
        <w:jc w:val="both"/>
        <w:rPr>
          <w:rFonts w:ascii="Arial Narrow" w:eastAsia="Arial Narrow" w:hAnsi="Arial Narrow" w:cs="Arial Narrow"/>
          <w:color w:val="1B1B1B"/>
          <w:sz w:val="24"/>
          <w:szCs w:val="24"/>
          <w:lang w:val="es-ES"/>
        </w:rPr>
      </w:pPr>
      <w:r w:rsidRPr="005C22D4">
        <w:rPr>
          <w:rFonts w:ascii="Arial Narrow" w:eastAsia="Arial Narrow" w:hAnsi="Arial Narrow" w:cs="Arial Narrow"/>
          <w:color w:val="1B1B1B"/>
          <w:sz w:val="24"/>
          <w:szCs w:val="24"/>
          <w:lang w:val="es-ES"/>
        </w:rPr>
        <w:t>c) Que se adopten medidas especiales como la prisión domiciliaria para las mujeres con hijos menores que hayan cometido delitos violentos.</w:t>
      </w:r>
    </w:p>
    <w:sectPr w:rsidR="00FB4BB0" w:rsidRPr="005C22D4">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C0FB3" w14:textId="77777777" w:rsidR="00B60E90" w:rsidRDefault="00B60E90">
      <w:pPr>
        <w:spacing w:after="0" w:line="240" w:lineRule="auto"/>
      </w:pPr>
      <w:r>
        <w:separator/>
      </w:r>
    </w:p>
  </w:endnote>
  <w:endnote w:type="continuationSeparator" w:id="0">
    <w:p w14:paraId="27FF0386" w14:textId="77777777" w:rsidR="00B60E90" w:rsidRDefault="00B6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49EDD0" w14:textId="77777777" w:rsidR="00B60E90" w:rsidRDefault="00B60E90">
      <w:pPr>
        <w:spacing w:after="0" w:line="240" w:lineRule="auto"/>
      </w:pPr>
      <w:r>
        <w:separator/>
      </w:r>
    </w:p>
  </w:footnote>
  <w:footnote w:type="continuationSeparator" w:id="0">
    <w:p w14:paraId="51DBD012" w14:textId="77777777" w:rsidR="00B60E90" w:rsidRDefault="00B60E90">
      <w:pPr>
        <w:spacing w:after="0" w:line="240" w:lineRule="auto"/>
      </w:pPr>
      <w:r>
        <w:continuationSeparator/>
      </w:r>
    </w:p>
  </w:footnote>
  <w:footnote w:id="1">
    <w:p w14:paraId="000000AF" w14:textId="77777777" w:rsidR="00FB4BB0" w:rsidRDefault="00C132A8">
      <w:pPr>
        <w:widowControl w:val="0"/>
        <w:pBdr>
          <w:top w:val="nil"/>
          <w:left w:val="nil"/>
          <w:bottom w:val="nil"/>
          <w:right w:val="nil"/>
          <w:between w:val="nil"/>
        </w:pBdr>
        <w:spacing w:after="0" w:line="240" w:lineRule="auto"/>
        <w:ind w:left="283" w:hanging="283"/>
        <w:jc w:val="both"/>
        <w:rPr>
          <w:rFonts w:ascii="Arial Narrow" w:eastAsia="Arial Narrow" w:hAnsi="Arial Narrow" w:cs="Arial Narrow"/>
          <w:sz w:val="20"/>
          <w:szCs w:val="20"/>
        </w:rPr>
      </w:pPr>
      <w:r>
        <w:rPr>
          <w:vertAlign w:val="superscript"/>
        </w:rPr>
        <w:footnoteRef/>
      </w:r>
      <w:r>
        <w:rPr>
          <w:rFonts w:ascii="Arial Narrow" w:eastAsia="Arial Narrow" w:hAnsi="Arial Narrow" w:cs="Arial Narrow"/>
          <w:color w:val="000000"/>
          <w:sz w:val="20"/>
          <w:szCs w:val="20"/>
        </w:rPr>
        <w:t>Elaborado por la coalición integrada por.Comité redactor: Flor de Ma. Meza; Rosemary Ruting;  Lucía Saravia</w:t>
      </w:r>
    </w:p>
    <w:p w14:paraId="000000B0" w14:textId="77777777" w:rsidR="00FB4BB0" w:rsidRDefault="00C132A8">
      <w:pPr>
        <w:widowControl w:val="0"/>
        <w:pBdr>
          <w:top w:val="nil"/>
          <w:left w:val="nil"/>
          <w:bottom w:val="nil"/>
          <w:right w:val="nil"/>
          <w:between w:val="nil"/>
        </w:pBdr>
        <w:spacing w:after="0" w:line="240" w:lineRule="auto"/>
        <w:ind w:left="283" w:hanging="283"/>
        <w:jc w:val="both"/>
        <w:rPr>
          <w:rFonts w:ascii="Arial Narrow" w:eastAsia="Arial Narrow" w:hAnsi="Arial Narrow" w:cs="Arial Narrow"/>
          <w:sz w:val="20"/>
          <w:szCs w:val="20"/>
        </w:rPr>
      </w:pPr>
      <w:r>
        <w:rPr>
          <w:rFonts w:ascii="Arial Narrow" w:eastAsia="Arial Narrow" w:hAnsi="Arial Narrow" w:cs="Arial Narrow"/>
          <w:sz w:val="20"/>
          <w:szCs w:val="20"/>
        </w:rPr>
        <w:t>(</w:t>
      </w:r>
      <w:r>
        <w:rPr>
          <w:rFonts w:ascii="Arial Narrow" w:eastAsia="Arial Narrow" w:hAnsi="Arial Narrow" w:cs="Arial Narrow"/>
          <w:color w:val="000000"/>
          <w:sz w:val="20"/>
          <w:szCs w:val="20"/>
        </w:rPr>
        <w:t>Cotidiano Mujer).</w:t>
      </w:r>
    </w:p>
    <w:p w14:paraId="000000B1" w14:textId="77777777" w:rsidR="00FB4BB0" w:rsidRDefault="00FB4BB0">
      <w:pPr>
        <w:widowControl w:val="0"/>
        <w:pBdr>
          <w:top w:val="nil"/>
          <w:left w:val="nil"/>
          <w:bottom w:val="nil"/>
          <w:right w:val="nil"/>
          <w:between w:val="nil"/>
        </w:pBdr>
        <w:spacing w:after="0" w:line="240" w:lineRule="auto"/>
        <w:jc w:val="both"/>
        <w:rPr>
          <w:rFonts w:ascii="Arial Narrow" w:eastAsia="Arial Narrow" w:hAnsi="Arial Narrow" w:cs="Arial Narrow"/>
          <w:sz w:val="20"/>
          <w:szCs w:val="20"/>
        </w:rPr>
      </w:pPr>
    </w:p>
  </w:footnote>
  <w:footnote w:id="2">
    <w:p w14:paraId="000000B2" w14:textId="77777777" w:rsidR="00FB4BB0" w:rsidRDefault="00C132A8">
      <w:pPr>
        <w:spacing w:after="0" w:line="240" w:lineRule="auto"/>
        <w:rPr>
          <w:sz w:val="20"/>
          <w:szCs w:val="20"/>
        </w:rPr>
      </w:pPr>
      <w:r>
        <w:rPr>
          <w:vertAlign w:val="superscript"/>
        </w:rPr>
        <w:footnoteRef/>
      </w:r>
      <w:r>
        <w:rPr>
          <w:sz w:val="20"/>
          <w:szCs w:val="20"/>
        </w:rPr>
        <w:t xml:space="preserve"> Extractos del Artículo “La pandemia silenciosa: el efecto diferencial del COVID-19 para niñas y mujeres en torno a las violencias”, de Meza, Flor; Fernández Mariana y Ruting Rosemarie, en Revista No.2-DD.HH-Fder, FCU,  UDELAR. </w:t>
      </w:r>
    </w:p>
    <w:p w14:paraId="000000B3" w14:textId="77777777" w:rsidR="00FB4BB0" w:rsidRDefault="00FB4BB0">
      <w:pPr>
        <w:spacing w:after="0" w:line="240" w:lineRule="auto"/>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BB0"/>
    <w:rsid w:val="0036581D"/>
    <w:rsid w:val="005C22D4"/>
    <w:rsid w:val="00B60E90"/>
    <w:rsid w:val="00C132A8"/>
    <w:rsid w:val="00CB67E3"/>
    <w:rsid w:val="00DE0257"/>
    <w:rsid w:val="00EA44F1"/>
    <w:rsid w:val="00FB4BB0"/>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9D6F8"/>
  <w15:docId w15:val="{DE126DDC-5361-7947-B6C7-510DC41C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3F1"/>
    <w:rPr>
      <w:rFonts w:eastAsiaTheme="minorEastAsia"/>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5F53F1"/>
    <w:pPr>
      <w:spacing w:before="100" w:beforeAutospacing="1" w:after="100" w:afterAutospacing="1" w:line="240" w:lineRule="auto"/>
    </w:pPr>
    <w:rPr>
      <w:rFonts w:ascii="Times New Roman" w:eastAsia="Times New Roman" w:hAnsi="Times New Roman" w:cs="Times New Roman"/>
      <w:sz w:val="24"/>
      <w:szCs w:val="24"/>
    </w:rPr>
  </w:style>
  <w:style w:type="character" w:styleId="Refdenotaalpie">
    <w:name w:val="footnote reference"/>
    <w:aliases w:val="Ref. de nota al pie."/>
    <w:uiPriority w:val="99"/>
    <w:rsid w:val="005F53F1"/>
    <w:rPr>
      <w:vertAlign w:val="superscript"/>
    </w:rPr>
  </w:style>
  <w:style w:type="paragraph" w:styleId="Textonotapie">
    <w:name w:val="footnote text"/>
    <w:basedOn w:val="Normal"/>
    <w:link w:val="TextonotapieCar"/>
    <w:uiPriority w:val="99"/>
    <w:rsid w:val="005F53F1"/>
    <w:pPr>
      <w:widowControl w:val="0"/>
      <w:suppressLineNumbers/>
      <w:suppressAutoHyphens/>
      <w:spacing w:after="0" w:line="240" w:lineRule="auto"/>
      <w:ind w:left="283" w:hanging="283"/>
    </w:pPr>
    <w:rPr>
      <w:rFonts w:ascii="Times New Roman" w:eastAsia="SimSun" w:hAnsi="Times New Roman" w:cs="Mangal"/>
      <w:kern w:val="1"/>
      <w:sz w:val="20"/>
      <w:szCs w:val="20"/>
      <w:lang w:val="es-ES" w:eastAsia="hi-IN" w:bidi="hi-IN"/>
    </w:rPr>
  </w:style>
  <w:style w:type="character" w:customStyle="1" w:styleId="TextonotapieCar">
    <w:name w:val="Texto nota pie Car"/>
    <w:basedOn w:val="Fuentedeprrafopredeter"/>
    <w:link w:val="Textonotapie"/>
    <w:uiPriority w:val="99"/>
    <w:rsid w:val="005F53F1"/>
    <w:rPr>
      <w:rFonts w:ascii="Times New Roman" w:eastAsia="SimSun" w:hAnsi="Times New Roman" w:cs="Mangal"/>
      <w:kern w:val="1"/>
      <w:sz w:val="20"/>
      <w:szCs w:val="20"/>
      <w:lang w:eastAsia="hi-IN" w:bidi="hi-IN"/>
    </w:rPr>
  </w:style>
  <w:style w:type="paragraph" w:styleId="Prrafodelista">
    <w:name w:val="List Paragraph"/>
    <w:basedOn w:val="Normal"/>
    <w:uiPriority w:val="34"/>
    <w:qFormat/>
    <w:rsid w:val="005F53F1"/>
    <w:pPr>
      <w:ind w:left="720"/>
      <w:contextualSpacing/>
    </w:pPr>
  </w:style>
  <w:style w:type="character" w:customStyle="1" w:styleId="il">
    <w:name w:val="il"/>
    <w:basedOn w:val="Fuentedeprrafopredeter"/>
    <w:rsid w:val="00182920"/>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DE0257"/>
    <w:rPr>
      <w:color w:val="0563C1" w:themeColor="hyperlink"/>
      <w:u w:val="single"/>
    </w:rPr>
  </w:style>
  <w:style w:type="character" w:customStyle="1" w:styleId="Mencinsinresolver1">
    <w:name w:val="Mención sin resolver1"/>
    <w:basedOn w:val="Fuentedeprrafopredeter"/>
    <w:uiPriority w:val="99"/>
    <w:semiHidden/>
    <w:unhideWhenUsed/>
    <w:rsid w:val="00DE0257"/>
    <w:rPr>
      <w:color w:val="605E5C"/>
      <w:shd w:val="clear" w:color="auto" w:fill="E1DFDD"/>
    </w:rPr>
  </w:style>
  <w:style w:type="character" w:customStyle="1" w:styleId="UnresolvedMention">
    <w:name w:val="Unresolved Mention"/>
    <w:basedOn w:val="Fuentedeprrafopredeter"/>
    <w:uiPriority w:val="99"/>
    <w:semiHidden/>
    <w:unhideWhenUsed/>
    <w:rsid w:val="0036581D"/>
    <w:rPr>
      <w:color w:val="605E5C"/>
      <w:shd w:val="clear" w:color="auto" w:fill="E1DFDD"/>
    </w:rPr>
  </w:style>
  <w:style w:type="character" w:styleId="Hipervnculovisitado">
    <w:name w:val="FollowedHyperlink"/>
    <w:basedOn w:val="Fuentedeprrafopredeter"/>
    <w:uiPriority w:val="99"/>
    <w:semiHidden/>
    <w:unhideWhenUsed/>
    <w:rsid w:val="003658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reuters.com/graphics/world-coronavirus-tracker-and-maps/es/countries-and-territories/uruguay/" TargetMode="External"/><Relationship Id="rId18" Type="http://schemas.openxmlformats.org/officeDocument/2006/relationships/hyperlink" Target="https://ladiaria.com.uy/feminismos/articulo/2021/4/un-acercamiento-al-impacto-de-la-pandemia-en-la-vida-de-las-personas-trans-que-viven-en-uruguay/" TargetMode="External"/><Relationship Id="rId26" Type="http://schemas.openxmlformats.org/officeDocument/2006/relationships/hyperlink" Target="https://www.gub.uy/ministerio-desarrollo-social/sites/ministerio-desarrollo-social/files/documentos/publicaciones/Segunda%20encuesta%C2%A0naciona.pdf" TargetMode="External"/><Relationship Id="rId39" Type="http://schemas.openxmlformats.org/officeDocument/2006/relationships/hyperlink" Target="http://adepu.uy/la-suprema-corte-de-justicia-no-garantiza-el-acceso-a-la-justicia-de-los-mas-vulnerables/" TargetMode="External"/><Relationship Id="rId21" Type="http://schemas.openxmlformats.org/officeDocument/2006/relationships/hyperlink" Target="https://www.impo.com.uy/bases/codigo-penal/9155-1933/269" TargetMode="External"/><Relationship Id="rId34" Type="http://schemas.openxmlformats.org/officeDocument/2006/relationships/hyperlink" Target="https://www.poderjudicial.gub.uy/documentos/151-2021/7774-146-2021-acordada-n-8129-supresion-del-juzgado-letrado-de-primera-instancia-de-maldonado-de-10-turno-y-creacion-de-los-juzgados-letrados-de-primera-instancia-especializados-en-violencia-basada-en-genero-domestica-y-sexual-de-san-carlos-de-1-y-2.html" TargetMode="External"/><Relationship Id="rId42" Type="http://schemas.openxmlformats.org/officeDocument/2006/relationships/hyperlink" Target="https://oig.cepal.org/es/indicadores/feminicidio" TargetMode="External"/><Relationship Id="rId47" Type="http://schemas.openxmlformats.org/officeDocument/2006/relationships/hyperlink" Target="https://sites.google.com/view/feminicidiouruguay/base-de-datos" TargetMode="External"/><Relationship Id="rId50" Type="http://schemas.openxmlformats.org/officeDocument/2006/relationships/hyperlink" Target="https://twitter.com/igalvar71/status/1488446425016913921?lang=es" TargetMode="External"/><Relationship Id="rId55" Type="http://schemas.openxmlformats.org/officeDocument/2006/relationships/hyperlink" Target="https://sdr.fic.edu.uy/ley-de-cuotas-se-aplica-en-forma-minimalista/" TargetMode="External"/><Relationship Id="rId63" Type="http://schemas.openxmlformats.org/officeDocument/2006/relationships/hyperlink" Target="https://www.minterior.gub.uy/images/pdf/PRESENTACIN_COMPLETA_GNERO_2022.pdf" TargetMode="External"/><Relationship Id="rId68" Type="http://schemas.openxmlformats.org/officeDocument/2006/relationships/hyperlink" Target="https://amnistia.org.uy/cada-embarazo-infantil-es-el-sintoma-de-un-sistema-que-falla-y-no-protege-a-las-ninas/" TargetMode="External"/><Relationship Id="rId76" Type="http://schemas.openxmlformats.org/officeDocument/2006/relationships/hyperlink" Target="https://www.gub.uy/junta-nacional-drogas/sites/junta-nacional-drogas/files/documentos/publicaciones/Mujeres%2C%20pol%C3%ADticas%20de%20drogas%20y%20encarcelamiento-WEB.pdf" TargetMode="External"/><Relationship Id="rId84" Type="http://schemas.openxmlformats.org/officeDocument/2006/relationships/hyperlink" Target="https://parlamento.gub.uy/sites/default/files/DocumentosCPP/bangkok_rules_esp_24032015.pdf" TargetMode="External"/><Relationship Id="rId7" Type="http://schemas.openxmlformats.org/officeDocument/2006/relationships/endnotes" Target="endnotes.xml"/><Relationship Id="rId71" Type="http://schemas.openxmlformats.org/officeDocument/2006/relationships/hyperlink" Target="https://www.biobiochile.cl/noticias/2010/07/13/uruguay-aprueba-ley-de-emergencia-carcelaria-tras-incendio-con-12-muertos.shtml" TargetMode="External"/><Relationship Id="rId2" Type="http://schemas.openxmlformats.org/officeDocument/2006/relationships/customXml" Target="../customXml/item2.xml"/><Relationship Id="rId16" Type="http://schemas.openxmlformats.org/officeDocument/2006/relationships/hyperlink" Target="https://www.lr21.com.uy/comunidad/1424739-para-lacalle-pou-los-femicidios-son-efectos-colaterales-del-confinamiento" TargetMode="External"/><Relationship Id="rId29" Type="http://schemas.openxmlformats.org/officeDocument/2006/relationships/hyperlink" Target="https://www.pagina12.com.ar/580145-femicidio-de-valentina-cancela-en-punta-del-este-que-paso-y-" TargetMode="External"/><Relationship Id="rId11" Type="http://schemas.openxmlformats.org/officeDocument/2006/relationships/hyperlink" Target="https://violentadasencuarentena.distintaslatitudes.net/portfolio/uruguay/" TargetMode="External"/><Relationship Id="rId24" Type="http://schemas.openxmlformats.org/officeDocument/2006/relationships/hyperlink" Target="https://www.impo.com.uy/bases/codigo-penal/9155-1933/266" TargetMode="External"/><Relationship Id="rId32" Type="http://schemas.openxmlformats.org/officeDocument/2006/relationships/hyperlink" Target="https://www.poderjudicial.gub.uy/institucional/item/6176-juez-de-grossi-ordeno-custodia-para-agresor-evitando-revictimizar-a-mujer-violentada-por-razon-de-genero.html" TargetMode="External"/><Relationship Id="rId37" Type="http://schemas.openxmlformats.org/officeDocument/2006/relationships/hyperlink" Target="https://www.impo.com.uy/bases/leyes/19924-2020/508" TargetMode="External"/><Relationship Id="rId40" Type="http://schemas.openxmlformats.org/officeDocument/2006/relationships/hyperlink" Target="http://adepu.uy/la-suprema-corte-de-justicia-no-garantiza-el-acceso-a-la-justicia-de-los-mas-vulnerables/" TargetMode="External"/><Relationship Id="rId45" Type="http://schemas.openxmlformats.org/officeDocument/2006/relationships/hyperlink" Target="http://www.impo.com.uy/bases/codigo-penal/9155-1933/312" TargetMode="External"/><Relationship Id="rId53" Type="http://schemas.openxmlformats.org/officeDocument/2006/relationships/hyperlink" Target="https://ladiaria.com.uy/feminismos/articulo/2023/8/300-mujeres-en-situacion-de-trata-fueron-asistidas-por-los-servicios-de-inmujeres-entre-2018-y-2022/" TargetMode="External"/><Relationship Id="rId58" Type="http://schemas.openxmlformats.org/officeDocument/2006/relationships/hyperlink" Target="https://www.colibri.udelar.edu.uy/jspui/bitstream/20.500.12008/9616/1/Renovacion%20paridad.pdf" TargetMode="External"/><Relationship Id="rId66" Type="http://schemas.openxmlformats.org/officeDocument/2006/relationships/hyperlink" Target="https://administrador.m24.com.uy/cuatro-anos-de-prision-para-imputado-cuyo-caso-fue-archivado-por-el-fiscal-de-delitos-sexuales-raul-iglesias/" TargetMode="External"/><Relationship Id="rId74" Type="http://schemas.openxmlformats.org/officeDocument/2006/relationships/hyperlink" Target="https://parlamento.gub.uy/sites/default/files/DocumentosCPP/informe_especial_sobre_la_pertinencia_de_la_prision_domiciliaria_asistida_para_madres_con_hijos.pdf" TargetMode="External"/><Relationship Id="rId79" Type="http://schemas.openxmlformats.org/officeDocument/2006/relationships/hyperlink" Target="https://universidad.claeh.edu.uy/wp-content/uploads/2023/04/Diagn%C3%B3stico-_Sobre-la-situaci%C3%B3n-actual-las-principales-problem%C3%A1ticas-y-necesidades-de-las-mujeres-privadas-de-libertad-en-Uruguay.pdf" TargetMode="External"/><Relationship Id="rId5" Type="http://schemas.openxmlformats.org/officeDocument/2006/relationships/webSettings" Target="webSettings.xml"/><Relationship Id="rId61" Type="http://schemas.openxmlformats.org/officeDocument/2006/relationships/hyperlink" Target="https://www.acnur.org/fileadmin/Documentos/BDL/2014/9925.pdf" TargetMode="External"/><Relationship Id="rId82" Type="http://schemas.openxmlformats.org/officeDocument/2006/relationships/hyperlink" Target="https://parlamento.gub.uy/sites/default/files/DocumentosCPP/Inf_2021_final_para_web.pdf" TargetMode="External"/><Relationship Id="rId19" Type="http://schemas.openxmlformats.org/officeDocument/2006/relationships/hyperlink" Target="https://www.gub.uy/ministerio-desarrollo-social/sites/ministerio-desarrollo-social/files/2022-10/PlanNacionalViolenciaUY_WEB_18OCT2022_0.pdf" TargetMode="External"/><Relationship Id="rId4" Type="http://schemas.openxmlformats.org/officeDocument/2006/relationships/settings" Target="settings.xml"/><Relationship Id="rId9" Type="http://schemas.openxmlformats.org/officeDocument/2006/relationships/hyperlink" Target="https://www.gub.uy/ministerio-desarrollo-social/indicador/cantidad-femicidios-u-homicidios-mujeres-violencia-genero" TargetMode="External"/><Relationship Id="rId14" Type="http://schemas.openxmlformats.org/officeDocument/2006/relationships/hyperlink" Target="https://www.reuters.com/graphics/world-coronavirus-tracker-and-maps/es/countries-and-territories/uruguay/" TargetMode="External"/><Relationship Id="rId22" Type="http://schemas.openxmlformats.org/officeDocument/2006/relationships/hyperlink" Target="https://www.impo.com.uy/bases/codigo-penal/9155-1933/267" TargetMode="External"/><Relationship Id="rId27" Type="http://schemas.openxmlformats.org/officeDocument/2006/relationships/hyperlink" Target="https://www.elpais.com.uy/informacion/policiales/hubo-15-femicidios-en-lo-que-va-de-2023-las-mujeres-asesinadas-tenian-desde-17-a-77-anos" TargetMode="External"/><Relationship Id="rId30" Type="http://schemas.openxmlformats.org/officeDocument/2006/relationships/hyperlink" Target="https://www.poderjudicial.gub.uy/documentos/131-2019/6025-080-2019-acordada8028monitoreo-electronico-y-visita-periodica-de-causas-correspondientes.html" TargetMode="External"/><Relationship Id="rId35" Type="http://schemas.openxmlformats.org/officeDocument/2006/relationships/hyperlink" Target="https://www.montevideo.com.uy/Noticias/Ines-Monzillo-buscara-derogar-y-modificar-parte-de-la-ley-de-violencia-basada-en-genero-uc819064" TargetMode="External"/><Relationship Id="rId43" Type="http://schemas.openxmlformats.org/officeDocument/2006/relationships/hyperlink" Target="http://www.impo.com.uy/bases/codigo-penal/9155-1933/312" TargetMode="External"/><Relationship Id="rId48" Type="http://schemas.openxmlformats.org/officeDocument/2006/relationships/hyperlink" Target="https://www.montevideo.com.uy/Noticias/Diputada-de-CA-atribuyo-femicidios-a-problemas-psicologicos-como-el-exceso-de-amor--uc755985" TargetMode="External"/><Relationship Id="rId56" Type="http://schemas.openxmlformats.org/officeDocument/2006/relationships/hyperlink" Target="https://parlamento.gub.uy/camarasycomisiones/senadores/plenario/integracion" TargetMode="External"/><Relationship Id="rId64" Type="http://schemas.openxmlformats.org/officeDocument/2006/relationships/hyperlink" Target="https://www.inau.gub.uy/novedades/noticias/item/3629-sipiav-en-cifras-se-presento-el-informe-de-gestion-2022" TargetMode="External"/><Relationship Id="rId69" Type="http://schemas.openxmlformats.org/officeDocument/2006/relationships/hyperlink" Target="https://amnistia.org.uy/cada-embarazo-infantil-es-el-sintoma-de-un-sistema-que-falla-y-no-protege-a-las-ninas/" TargetMode="External"/><Relationship Id="rId77" Type="http://schemas.openxmlformats.org/officeDocument/2006/relationships/hyperlink" Target="https://universidad.claeh.edu.uy/wp-content/uploads/2023/04/Diagn%C3%B3stico-_Sobre-la-situaci%C3%B3n-actual-las-principales-problem%C3%A1ticas-y-necesidades-de-las-mujeres-privadas-de-libertad-en-Uruguay.pdf" TargetMode="External"/><Relationship Id="rId8" Type="http://schemas.openxmlformats.org/officeDocument/2006/relationships/hyperlink" Target="https://www.gub.uy/ministerio-desarrollo-social/indicador/cantidad-femicidios-u-homicidios-mujeres-violencia-genero" TargetMode="External"/><Relationship Id="rId51" Type="http://schemas.openxmlformats.org/officeDocument/2006/relationships/hyperlink" Target="https://administrador.m24.com.uy/fiscal-de-corte-ordeno-investigar-divulgacion-de-audios-vinculados-al-caso-de-violacion-grupal/" TargetMode="External"/><Relationship Id="rId72" Type="http://schemas.openxmlformats.org/officeDocument/2006/relationships/hyperlink" Target="https://parlamento.gub.uy/cpp/actividadesynoticias/el-estado-no-esta-haciendo-todo-lo-que-puede-no-tengo-ni-tenemos-la" TargetMode="External"/><Relationship Id="rId80" Type="http://schemas.openxmlformats.org/officeDocument/2006/relationships/hyperlink" Target="https://www.impo.com.uy/bases/leyes/19889-2020"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elpais.com.uy/informacion/sociedad/en-2022-hubo-20-casos-por-dia-de-violencia-contra-ninos-y-el-90-fue-a-manos-de-un-familiar-o-conviviente" TargetMode="External"/><Relationship Id="rId17" Type="http://schemas.openxmlformats.org/officeDocument/2006/relationships/hyperlink" Target="https://uruguay.unfpa.org/sites/default/files/pub-pdf/informe_afrodescendientes_y_pandemia_de_covid-19_en_uruguay.pdf" TargetMode="External"/><Relationship Id="rId25" Type="http://schemas.openxmlformats.org/officeDocument/2006/relationships/hyperlink" Target="https://www.impo.com.uy/bases/codigo-civil/16603-1994/112" TargetMode="External"/><Relationship Id="rId33" Type="http://schemas.openxmlformats.org/officeDocument/2006/relationships/hyperlink" Target="https://www.impo.com.uy/bases/leyes/19580-2017" TargetMode="External"/><Relationship Id="rId38" Type="http://schemas.openxmlformats.org/officeDocument/2006/relationships/hyperlink" Target="https://www.impo.com.uy/bases/leyes/19580-2017/6" TargetMode="External"/><Relationship Id="rId46" Type="http://schemas.openxmlformats.org/officeDocument/2006/relationships/hyperlink" Target="https://www.autonomiascolectivascontralaviolenciadegenero.org.uy/wp-content/uploads/2023/07/Feminicidio-en-Uruguay-Informe-2023-digital.pdf.pdf" TargetMode="External"/><Relationship Id="rId59" Type="http://schemas.openxmlformats.org/officeDocument/2006/relationships/hyperlink" Target="https://www.elobservador.com.uy/nota/propuesta-fascista-domenech-critico-proyecto-de-ley-de-paridad-golpeo-la-mesa-y-se-fue-de-la-comision-de-derechos-humanos-202372516750" TargetMode="External"/><Relationship Id="rId67" Type="http://schemas.openxmlformats.org/officeDocument/2006/relationships/hyperlink" Target="https://amnistia.org.uy/cada-embarazo-infantil-es-el-sintoma-de-un-sistema-que-falla-y-no-protege-a-las-ninas/" TargetMode="External"/><Relationship Id="rId20" Type="http://schemas.openxmlformats.org/officeDocument/2006/relationships/hyperlink" Target="https://www.elobservador.com.uy/nota/el-beneficio-de-no-tener-pene-segun-interpretacion-de-un-juez-de-la-ley-de-violencia-de-genero-2019412165355" TargetMode="External"/><Relationship Id="rId41" Type="http://schemas.openxmlformats.org/officeDocument/2006/relationships/hyperlink" Target="https://oig.cepal.org/es/indicadores/feminicidio" TargetMode="External"/><Relationship Id="rId54" Type="http://schemas.openxmlformats.org/officeDocument/2006/relationships/hyperlink" Target="https://www.right-to-education.org/sites/right-to-education.org/files/resource-attachments/CEDAW_Recomendaci%C3%B3n_General_28_ES.pdf" TargetMode="External"/><Relationship Id="rId62" Type="http://schemas.openxmlformats.org/officeDocument/2006/relationships/hyperlink" Target="https://www.elpais.com.uy/que-pasa/hay-un-aluvion-de-denuncias-de-delitos-sexuales-y-los-fiscales-no-dan-abasto-el-fin-del-silencio" TargetMode="External"/><Relationship Id="rId70" Type="http://schemas.openxmlformats.org/officeDocument/2006/relationships/hyperlink" Target="https://www.gub.uy/ministerio-salud-publica/comunicacion/noticias/programa-familias-fuertes-se-implementara-entre-2022-2025" TargetMode="External"/><Relationship Id="rId75" Type="http://schemas.openxmlformats.org/officeDocument/2006/relationships/hyperlink" Target="https://mediospublicos.uy/carcel-para-mujeres-con-ninos-esta-saturada-a-partir-de-mayores-penas-por-microtrafico/" TargetMode="External"/><Relationship Id="rId83" Type="http://schemas.openxmlformats.org/officeDocument/2006/relationships/hyperlink" Target="https://parlamento.gub.uy/sites/default/files/DocumentosCPP/reglas_de_tokio_-_medidas_no_privativas_de_libertad.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dministrador.m24.com.uy/2021-cerro-con-27-femicidios-69-mas-que-en-2020-en-enero-ya-se-registran-2-y-se-investiga-otra-muerte/" TargetMode="External"/><Relationship Id="rId23" Type="http://schemas.openxmlformats.org/officeDocument/2006/relationships/hyperlink" Target="https://www.impo.com.uy/bases/codigo-penal/9155-1933/268" TargetMode="External"/><Relationship Id="rId28" Type="http://schemas.openxmlformats.org/officeDocument/2006/relationships/hyperlink" Target="https://ladiaria.com.uy/feminismos/articulo/2023/8/ni-una-muerta-mas-alerta-feminista-en-montevideo-por-el-femicidio-de-valentina-cancela/" TargetMode="External"/><Relationship Id="rId36" Type="http://schemas.openxmlformats.org/officeDocument/2006/relationships/hyperlink" Target="https://www.montevideo.com.uy/Noticias/Ines-Monzillo-buscara-derogar-y-modificar-parte-de-la-ley-de-violencia-basada-en-genero-uc819064" TargetMode="External"/><Relationship Id="rId49" Type="http://schemas.openxmlformats.org/officeDocument/2006/relationships/hyperlink" Target="https://administrador.m24.com.uy/2021-cerro-con-27-femicidios-69-mas-que-en-2020-en-enero-ya-se-registran-2-y-se-investiga-otra-muerte/" TargetMode="External"/><Relationship Id="rId57" Type="http://schemas.openxmlformats.org/officeDocument/2006/relationships/hyperlink" Target="https://parlamento.gub.uy/camarasycomisiones/representantes/plenario/integracion/titulares" TargetMode="External"/><Relationship Id="rId10" Type="http://schemas.openxmlformats.org/officeDocument/2006/relationships/hyperlink" Target="https://violentadasencuarentena.distintaslatitudes.net/portfolio/uruguay/" TargetMode="External"/><Relationship Id="rId31" Type="http://schemas.openxmlformats.org/officeDocument/2006/relationships/hyperlink" Target="https://www.subrayado.com.uy/un-hombre-mato-su-ex-pareja-un-disparo-cuando-caminaba-la-calle-y-se-suicido-n558636" TargetMode="External"/><Relationship Id="rId44" Type="http://schemas.openxmlformats.org/officeDocument/2006/relationships/hyperlink" Target="http://www.impo.com.uy/bases/codigo-penal/9155-1933/312" TargetMode="External"/><Relationship Id="rId52" Type="http://schemas.openxmlformats.org/officeDocument/2006/relationships/hyperlink" Target="https://ladiaria.com.uy/justicia/articulo/2023/8/tres-policias-de-la-guardia-republicana-que-violaron-a-dos-mujeres-en-un-patrullero-fueron-condenados-a-nueve-anos-y-nueve-meses-de-prision/" TargetMode="External"/><Relationship Id="rId60" Type="http://schemas.openxmlformats.org/officeDocument/2006/relationships/hyperlink" Target="https://www.gub.uy/ministerio-desarrollo-social/sites/ministerio-desarrollo-social/files/documentos/publicaciones/cuaderno.5.pdf" TargetMode="External"/><Relationship Id="rId65" Type="http://schemas.openxmlformats.org/officeDocument/2006/relationships/hyperlink" Target="https://www.elobservador.com.uy/nota/raul-iglesias-fiscal-de-delitos-sexuales-ya-archivo-440-casos-y-va-por-mas-2022614112238" TargetMode="External"/><Relationship Id="rId73" Type="http://schemas.openxmlformats.org/officeDocument/2006/relationships/hyperlink" Target="https://ladiaria.com.uy/justicia/articulo/2023/9/operadores-y-policias-de-la-unidad-5-presentaron-un-habeas-corpus-para-que-dejen-de-ingresar-mujeres-a-esta-carcel-que-tiene-184-de-hacinamiento/" TargetMode="External"/><Relationship Id="rId78" Type="http://schemas.openxmlformats.org/officeDocument/2006/relationships/hyperlink" Target="https://universidad.claeh.edu.uy/wp-content/uploads/2023/04/Diagn%C3%B3stico-_Sobre-la-situaci%C3%B3n-actual-las-principales-problem%C3%A1ticas-y-necesidades-de-las-mujeres-privadas-de-libertad-en-Uruguay.pdf" TargetMode="External"/><Relationship Id="rId81" Type="http://schemas.openxmlformats.org/officeDocument/2006/relationships/hyperlink" Target="https://www.elpais.com.uy/que-pasa/hay-un-boom-de-presas-en-uruguay-estas-son-las-historias-de-mujeres-que-cayeron-tras-las-rejas" TargetMode="External"/><Relationship Id="rId86"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v31m90fYSiiWxfE+9KX2tjKZuA==">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989DEA-DBBE-4CDF-8FD5-E54C543E5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7858</Words>
  <Characters>43219</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Cuenta Microsoft</cp:lastModifiedBy>
  <cp:revision>3</cp:revision>
  <dcterms:created xsi:type="dcterms:W3CDTF">2023-09-09T23:38:00Z</dcterms:created>
  <dcterms:modified xsi:type="dcterms:W3CDTF">2023-09-09T23:38:00Z</dcterms:modified>
</cp:coreProperties>
</file>