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755BB" w14:textId="77777777" w:rsidR="00F74944" w:rsidRDefault="00F74944">
      <w:pPr>
        <w:pBdr>
          <w:top w:val="nil"/>
          <w:left w:val="nil"/>
          <w:bottom w:val="nil"/>
          <w:right w:val="nil"/>
          <w:between w:val="nil"/>
        </w:pBdr>
        <w:rPr>
          <w:rFonts w:ascii="Arial" w:eastAsia="Arial" w:hAnsi="Arial" w:cs="Arial"/>
          <w:color w:val="000000"/>
        </w:rPr>
      </w:pPr>
    </w:p>
    <w:p w14:paraId="46A0C831" w14:textId="77777777" w:rsidR="00F74944" w:rsidRDefault="00F74944">
      <w:pPr>
        <w:pBdr>
          <w:top w:val="nil"/>
          <w:left w:val="nil"/>
          <w:bottom w:val="nil"/>
          <w:right w:val="nil"/>
          <w:between w:val="nil"/>
        </w:pBdr>
        <w:rPr>
          <w:rFonts w:ascii="Arial" w:eastAsia="Arial" w:hAnsi="Arial" w:cs="Arial"/>
          <w:color w:val="000000"/>
        </w:rPr>
      </w:pPr>
    </w:p>
    <w:p w14:paraId="212CD0CD" w14:textId="77777777" w:rsidR="00F74944" w:rsidRDefault="00F74944">
      <w:pPr>
        <w:pBdr>
          <w:top w:val="nil"/>
          <w:left w:val="nil"/>
          <w:bottom w:val="nil"/>
          <w:right w:val="nil"/>
          <w:between w:val="nil"/>
        </w:pBdr>
        <w:rPr>
          <w:rFonts w:ascii="Arial" w:eastAsia="Arial" w:hAnsi="Arial" w:cs="Arial"/>
          <w:color w:val="000000"/>
        </w:rPr>
      </w:pPr>
    </w:p>
    <w:p w14:paraId="4F530983" w14:textId="77777777" w:rsidR="00F74944" w:rsidRDefault="00F74944">
      <w:pPr>
        <w:pBdr>
          <w:top w:val="nil"/>
          <w:left w:val="nil"/>
          <w:bottom w:val="nil"/>
          <w:right w:val="nil"/>
          <w:between w:val="nil"/>
        </w:pBdr>
        <w:rPr>
          <w:rFonts w:ascii="Arial" w:eastAsia="Arial" w:hAnsi="Arial" w:cs="Arial"/>
          <w:color w:val="000000"/>
        </w:rPr>
      </w:pPr>
    </w:p>
    <w:p w14:paraId="3FA0B38B" w14:textId="77777777" w:rsidR="00F74944" w:rsidRDefault="00F74944">
      <w:pPr>
        <w:pBdr>
          <w:top w:val="nil"/>
          <w:left w:val="nil"/>
          <w:bottom w:val="nil"/>
          <w:right w:val="nil"/>
          <w:between w:val="nil"/>
        </w:pBdr>
        <w:rPr>
          <w:rFonts w:ascii="Arial" w:eastAsia="Arial" w:hAnsi="Arial" w:cs="Arial"/>
          <w:color w:val="000000"/>
        </w:rPr>
      </w:pPr>
    </w:p>
    <w:p w14:paraId="1314A3E1" w14:textId="77777777" w:rsidR="00F74944" w:rsidRDefault="00F74944">
      <w:pPr>
        <w:pBdr>
          <w:top w:val="nil"/>
          <w:left w:val="nil"/>
          <w:bottom w:val="nil"/>
          <w:right w:val="nil"/>
          <w:between w:val="nil"/>
        </w:pBdr>
        <w:rPr>
          <w:rFonts w:ascii="Arial" w:eastAsia="Arial" w:hAnsi="Arial" w:cs="Arial"/>
          <w:color w:val="000000"/>
        </w:rPr>
      </w:pPr>
    </w:p>
    <w:p w14:paraId="19DFB40D" w14:textId="77777777" w:rsidR="00F74944" w:rsidRDefault="00F74944">
      <w:pPr>
        <w:pBdr>
          <w:top w:val="nil"/>
          <w:left w:val="nil"/>
          <w:bottom w:val="nil"/>
          <w:right w:val="nil"/>
          <w:between w:val="nil"/>
        </w:pBdr>
        <w:rPr>
          <w:rFonts w:ascii="Arial" w:eastAsia="Arial" w:hAnsi="Arial" w:cs="Arial"/>
          <w:color w:val="000000"/>
        </w:rPr>
      </w:pPr>
    </w:p>
    <w:p w14:paraId="360B0AE0" w14:textId="77777777" w:rsidR="00F74944" w:rsidRDefault="00F74944">
      <w:pPr>
        <w:pBdr>
          <w:top w:val="nil"/>
          <w:left w:val="nil"/>
          <w:bottom w:val="nil"/>
          <w:right w:val="nil"/>
          <w:between w:val="nil"/>
        </w:pBdr>
        <w:rPr>
          <w:rFonts w:ascii="Arial" w:eastAsia="Arial" w:hAnsi="Arial" w:cs="Arial"/>
          <w:color w:val="000000"/>
        </w:rPr>
      </w:pPr>
    </w:p>
    <w:p w14:paraId="60ACF709" w14:textId="77777777" w:rsidR="00F74944" w:rsidRDefault="00F74944">
      <w:pPr>
        <w:pBdr>
          <w:top w:val="nil"/>
          <w:left w:val="nil"/>
          <w:bottom w:val="nil"/>
          <w:right w:val="nil"/>
          <w:between w:val="nil"/>
        </w:pBdr>
        <w:rPr>
          <w:rFonts w:ascii="Arial" w:eastAsia="Arial" w:hAnsi="Arial" w:cs="Arial"/>
          <w:color w:val="000000"/>
        </w:rPr>
      </w:pPr>
    </w:p>
    <w:p w14:paraId="668DEEEE" w14:textId="77777777" w:rsidR="00F74944" w:rsidRDefault="00F74944">
      <w:pPr>
        <w:pBdr>
          <w:top w:val="nil"/>
          <w:left w:val="nil"/>
          <w:bottom w:val="nil"/>
          <w:right w:val="nil"/>
          <w:between w:val="nil"/>
        </w:pBdr>
        <w:rPr>
          <w:rFonts w:ascii="Arial" w:eastAsia="Arial" w:hAnsi="Arial" w:cs="Arial"/>
          <w:color w:val="000000"/>
        </w:rPr>
      </w:pPr>
    </w:p>
    <w:p w14:paraId="6E14186B" w14:textId="77777777" w:rsidR="00F74944" w:rsidRDefault="00F74944">
      <w:pPr>
        <w:pBdr>
          <w:top w:val="nil"/>
          <w:left w:val="nil"/>
          <w:bottom w:val="nil"/>
          <w:right w:val="nil"/>
          <w:between w:val="nil"/>
        </w:pBdr>
        <w:rPr>
          <w:rFonts w:ascii="Arial" w:eastAsia="Arial" w:hAnsi="Arial" w:cs="Arial"/>
          <w:color w:val="000000"/>
        </w:rPr>
      </w:pPr>
    </w:p>
    <w:p w14:paraId="13F9B9A9" w14:textId="77777777" w:rsidR="00F74944" w:rsidRDefault="00F74944">
      <w:pPr>
        <w:pBdr>
          <w:top w:val="nil"/>
          <w:left w:val="nil"/>
          <w:bottom w:val="nil"/>
          <w:right w:val="nil"/>
          <w:between w:val="nil"/>
        </w:pBdr>
        <w:rPr>
          <w:rFonts w:ascii="Arial" w:eastAsia="Arial" w:hAnsi="Arial" w:cs="Arial"/>
          <w:color w:val="000000"/>
        </w:rPr>
      </w:pPr>
    </w:p>
    <w:p w14:paraId="6E543460" w14:textId="77777777" w:rsidR="00F74944" w:rsidRDefault="006777C7">
      <w:pPr>
        <w:pStyle w:val="Heading1"/>
        <w:ind w:left="3557"/>
        <w:rPr>
          <w:rFonts w:ascii="Arial" w:eastAsia="Arial" w:hAnsi="Arial" w:cs="Arial"/>
          <w:sz w:val="22"/>
          <w:szCs w:val="22"/>
        </w:rPr>
      </w:pPr>
      <w:r>
        <w:rPr>
          <w:rFonts w:ascii="Arial" w:eastAsia="Arial" w:hAnsi="Arial" w:cs="Arial"/>
          <w:sz w:val="22"/>
          <w:szCs w:val="22"/>
        </w:rPr>
        <w:t>REPORTE</w:t>
      </w:r>
    </w:p>
    <w:p w14:paraId="2F6A389E" w14:textId="77777777" w:rsidR="00F74944" w:rsidRDefault="006777C7">
      <w:pPr>
        <w:pStyle w:val="Heading1"/>
        <w:tabs>
          <w:tab w:val="left" w:pos="6096"/>
        </w:tabs>
        <w:ind w:left="-993" w:right="2944" w:hanging="140"/>
        <w:rPr>
          <w:rFonts w:ascii="Arial" w:eastAsia="Arial" w:hAnsi="Arial" w:cs="Arial"/>
          <w:sz w:val="22"/>
          <w:szCs w:val="22"/>
        </w:rPr>
      </w:pPr>
      <w:r>
        <w:rPr>
          <w:rFonts w:ascii="Arial" w:eastAsia="Arial" w:hAnsi="Arial" w:cs="Arial"/>
          <w:sz w:val="22"/>
          <w:szCs w:val="22"/>
        </w:rPr>
        <w:tab/>
        <w:t xml:space="preserve">                                                             ESTADO DE PALESTINA</w:t>
      </w:r>
    </w:p>
    <w:p w14:paraId="190AD50D" w14:textId="77777777" w:rsidR="00F74944" w:rsidRDefault="00F74944">
      <w:pPr>
        <w:pStyle w:val="Heading1"/>
        <w:tabs>
          <w:tab w:val="left" w:pos="6096"/>
        </w:tabs>
        <w:ind w:left="-993" w:right="2944" w:hanging="140"/>
        <w:rPr>
          <w:rFonts w:ascii="Arial" w:eastAsia="Arial" w:hAnsi="Arial" w:cs="Arial"/>
          <w:sz w:val="22"/>
          <w:szCs w:val="22"/>
        </w:rPr>
      </w:pPr>
    </w:p>
    <w:p w14:paraId="4F9C0A6B" w14:textId="77777777" w:rsidR="00F74944" w:rsidRDefault="006777C7">
      <w:pPr>
        <w:spacing w:before="1"/>
        <w:ind w:left="138" w:right="136"/>
        <w:jc w:val="center"/>
        <w:rPr>
          <w:rFonts w:ascii="Arial" w:eastAsia="Arial" w:hAnsi="Arial" w:cs="Arial"/>
          <w:i/>
        </w:rPr>
      </w:pPr>
      <w:r>
        <w:rPr>
          <w:rFonts w:ascii="Arial" w:eastAsia="Arial" w:hAnsi="Arial" w:cs="Arial"/>
          <w:i/>
        </w:rPr>
        <w:t>CESCR – Pacto Internacional de Derechos</w:t>
      </w:r>
    </w:p>
    <w:p w14:paraId="30489BA4" w14:textId="77777777" w:rsidR="00F74944" w:rsidRDefault="006777C7">
      <w:pPr>
        <w:spacing w:before="1"/>
        <w:ind w:left="138" w:right="136"/>
        <w:jc w:val="center"/>
        <w:rPr>
          <w:rFonts w:ascii="Arial" w:eastAsia="Arial" w:hAnsi="Arial" w:cs="Arial"/>
          <w:i/>
        </w:rPr>
      </w:pPr>
      <w:r>
        <w:rPr>
          <w:rFonts w:ascii="Arial" w:eastAsia="Arial" w:hAnsi="Arial" w:cs="Arial"/>
          <w:i/>
        </w:rPr>
        <w:t>Económicos, Sociales y Culturales</w:t>
      </w:r>
    </w:p>
    <w:p w14:paraId="6C87A437" w14:textId="77777777" w:rsidR="00F74944" w:rsidRDefault="006777C7">
      <w:pPr>
        <w:pStyle w:val="Heading1"/>
        <w:ind w:left="3555"/>
        <w:rPr>
          <w:rFonts w:ascii="Arial" w:eastAsia="Arial" w:hAnsi="Arial" w:cs="Arial"/>
          <w:sz w:val="22"/>
          <w:szCs w:val="22"/>
        </w:rPr>
      </w:pPr>
      <w:r>
        <w:rPr>
          <w:rFonts w:ascii="Arial" w:eastAsia="Arial" w:hAnsi="Arial" w:cs="Arial"/>
          <w:sz w:val="22"/>
          <w:szCs w:val="22"/>
        </w:rPr>
        <w:t>74 sesión</w:t>
      </w:r>
    </w:p>
    <w:p w14:paraId="2AB3B051" w14:textId="77777777" w:rsidR="00F74944" w:rsidRDefault="00F74944">
      <w:pPr>
        <w:pBdr>
          <w:top w:val="nil"/>
          <w:left w:val="nil"/>
          <w:bottom w:val="nil"/>
          <w:right w:val="nil"/>
          <w:between w:val="nil"/>
        </w:pBdr>
        <w:rPr>
          <w:rFonts w:ascii="Arial" w:eastAsia="Arial" w:hAnsi="Arial" w:cs="Arial"/>
          <w:i/>
          <w:color w:val="000000"/>
        </w:rPr>
      </w:pPr>
    </w:p>
    <w:p w14:paraId="4A7FE147" w14:textId="77777777" w:rsidR="00F74944" w:rsidRDefault="00F74944">
      <w:pPr>
        <w:pBdr>
          <w:top w:val="nil"/>
          <w:left w:val="nil"/>
          <w:bottom w:val="nil"/>
          <w:right w:val="nil"/>
          <w:between w:val="nil"/>
        </w:pBdr>
        <w:rPr>
          <w:rFonts w:ascii="Arial" w:eastAsia="Arial" w:hAnsi="Arial" w:cs="Arial"/>
          <w:i/>
          <w:color w:val="000000"/>
        </w:rPr>
      </w:pPr>
    </w:p>
    <w:p w14:paraId="26F23012" w14:textId="77777777" w:rsidR="00F74944" w:rsidRDefault="00F74944">
      <w:pPr>
        <w:pBdr>
          <w:top w:val="nil"/>
          <w:left w:val="nil"/>
          <w:bottom w:val="nil"/>
          <w:right w:val="nil"/>
          <w:between w:val="nil"/>
        </w:pBdr>
        <w:rPr>
          <w:rFonts w:ascii="Arial" w:eastAsia="Arial" w:hAnsi="Arial" w:cs="Arial"/>
          <w:i/>
        </w:rPr>
      </w:pPr>
    </w:p>
    <w:p w14:paraId="342ADCC2" w14:textId="77777777" w:rsidR="00F74944" w:rsidRDefault="00F74944">
      <w:pPr>
        <w:pBdr>
          <w:top w:val="nil"/>
          <w:left w:val="nil"/>
          <w:bottom w:val="nil"/>
          <w:right w:val="nil"/>
          <w:between w:val="nil"/>
        </w:pBdr>
        <w:rPr>
          <w:rFonts w:ascii="Arial" w:eastAsia="Arial" w:hAnsi="Arial" w:cs="Arial"/>
          <w:i/>
        </w:rPr>
      </w:pPr>
    </w:p>
    <w:p w14:paraId="6B63DD7C" w14:textId="77777777" w:rsidR="00F74944" w:rsidRDefault="00F74944">
      <w:pPr>
        <w:pBdr>
          <w:top w:val="nil"/>
          <w:left w:val="nil"/>
          <w:bottom w:val="nil"/>
          <w:right w:val="nil"/>
          <w:between w:val="nil"/>
        </w:pBdr>
        <w:rPr>
          <w:rFonts w:ascii="Arial" w:eastAsia="Arial" w:hAnsi="Arial" w:cs="Arial"/>
          <w:i/>
        </w:rPr>
      </w:pPr>
    </w:p>
    <w:p w14:paraId="7134C42C" w14:textId="77777777" w:rsidR="00F74944" w:rsidRDefault="00F74944">
      <w:pPr>
        <w:pBdr>
          <w:top w:val="nil"/>
          <w:left w:val="nil"/>
          <w:bottom w:val="nil"/>
          <w:right w:val="nil"/>
          <w:between w:val="nil"/>
        </w:pBdr>
        <w:rPr>
          <w:rFonts w:ascii="Arial" w:eastAsia="Arial" w:hAnsi="Arial" w:cs="Arial"/>
          <w:i/>
        </w:rPr>
      </w:pPr>
    </w:p>
    <w:p w14:paraId="1056BC01" w14:textId="77777777" w:rsidR="00F74944" w:rsidRDefault="00F74944">
      <w:pPr>
        <w:pBdr>
          <w:top w:val="nil"/>
          <w:left w:val="nil"/>
          <w:bottom w:val="nil"/>
          <w:right w:val="nil"/>
          <w:between w:val="nil"/>
        </w:pBdr>
        <w:rPr>
          <w:rFonts w:ascii="Arial" w:eastAsia="Arial" w:hAnsi="Arial" w:cs="Arial"/>
          <w:i/>
        </w:rPr>
      </w:pPr>
    </w:p>
    <w:p w14:paraId="6A773B1E" w14:textId="77777777" w:rsidR="00F74944" w:rsidRDefault="00F74944">
      <w:pPr>
        <w:pBdr>
          <w:top w:val="nil"/>
          <w:left w:val="nil"/>
          <w:bottom w:val="nil"/>
          <w:right w:val="nil"/>
          <w:between w:val="nil"/>
        </w:pBdr>
        <w:jc w:val="both"/>
        <w:rPr>
          <w:rFonts w:ascii="Arial" w:eastAsia="Arial" w:hAnsi="Arial" w:cs="Arial"/>
          <w:color w:val="000000"/>
        </w:rPr>
      </w:pPr>
    </w:p>
    <w:p w14:paraId="7B23D60C" w14:textId="77777777" w:rsidR="00F74944" w:rsidRDefault="006777C7">
      <w:pPr>
        <w:pStyle w:val="Heading3"/>
        <w:spacing w:before="252" w:line="259" w:lineRule="auto"/>
        <w:ind w:left="138" w:right="136"/>
        <w:jc w:val="center"/>
        <w:rPr>
          <w:rFonts w:ascii="Arial" w:eastAsia="Arial" w:hAnsi="Arial" w:cs="Arial"/>
        </w:rPr>
      </w:pPr>
      <w:r>
        <w:rPr>
          <w:rFonts w:ascii="Arial" w:eastAsia="Arial" w:hAnsi="Arial" w:cs="Arial"/>
        </w:rPr>
        <w:t>Este reporte es presentado por: National Human Right Network. sede En Madrid. Red Nacional de Derechos Humanos y el Consejo Nacional para la Defensa del Derecho Humano a la Salud con sede en Venezuela</w:t>
      </w:r>
    </w:p>
    <w:p w14:paraId="28D776A2" w14:textId="77777777" w:rsidR="00F74944" w:rsidRDefault="00F74944">
      <w:pPr>
        <w:pBdr>
          <w:top w:val="nil"/>
          <w:left w:val="nil"/>
          <w:bottom w:val="nil"/>
          <w:right w:val="nil"/>
          <w:between w:val="nil"/>
        </w:pBdr>
        <w:rPr>
          <w:rFonts w:ascii="Arial" w:eastAsia="Arial" w:hAnsi="Arial" w:cs="Arial"/>
          <w:b/>
          <w:color w:val="000000"/>
        </w:rPr>
      </w:pPr>
    </w:p>
    <w:p w14:paraId="6CEEEA75" w14:textId="77777777" w:rsidR="00F74944" w:rsidRDefault="00F74944">
      <w:pPr>
        <w:pBdr>
          <w:top w:val="nil"/>
          <w:left w:val="nil"/>
          <w:bottom w:val="nil"/>
          <w:right w:val="nil"/>
          <w:between w:val="nil"/>
        </w:pBdr>
        <w:rPr>
          <w:rFonts w:ascii="Arial" w:eastAsia="Arial" w:hAnsi="Arial" w:cs="Arial"/>
          <w:b/>
          <w:color w:val="000000"/>
        </w:rPr>
      </w:pPr>
    </w:p>
    <w:p w14:paraId="24A580E5" w14:textId="77777777" w:rsidR="00F74944" w:rsidRDefault="006777C7">
      <w:pPr>
        <w:spacing w:before="182"/>
        <w:ind w:left="228" w:right="226" w:hanging="1"/>
        <w:jc w:val="center"/>
        <w:rPr>
          <w:rFonts w:ascii="Arial" w:eastAsia="Arial" w:hAnsi="Arial" w:cs="Arial"/>
        </w:rPr>
      </w:pPr>
      <w:r>
        <w:rPr>
          <w:rFonts w:ascii="Arial" w:eastAsia="Arial" w:hAnsi="Arial" w:cs="Arial"/>
          <w:color w:val="212121"/>
        </w:rPr>
        <w:t>La Fundación Red Nacional de Derechos Humanos (RENADD</w:t>
      </w:r>
      <w:r>
        <w:rPr>
          <w:rFonts w:ascii="Arial" w:eastAsia="Arial" w:hAnsi="Arial" w:cs="Arial"/>
          <w:color w:val="212121"/>
        </w:rPr>
        <w:t>HH) tiene como misión: Desarrollar estrategias de investigación educación y divulgación desde enfoques críticos de los derechos humanos dirigidos a toda persona, comunidad, organizaciones, movimientos sociales, para contribuir desde la construcción de expe</w:t>
      </w:r>
      <w:r>
        <w:rPr>
          <w:rFonts w:ascii="Arial" w:eastAsia="Arial" w:hAnsi="Arial" w:cs="Arial"/>
          <w:color w:val="212121"/>
        </w:rPr>
        <w:t>riencias significativas con la transformación social fundada en los valores de justicia, equidad, igualdad, libertad, cooperación, solidaridad, honestidad y corresponsabilidad de acuerdo al Estado Social de Derecho y de Justicia.</w:t>
      </w:r>
    </w:p>
    <w:p w14:paraId="7C4E845D" w14:textId="77777777" w:rsidR="00F74944" w:rsidRDefault="00F74944">
      <w:pPr>
        <w:pBdr>
          <w:top w:val="nil"/>
          <w:left w:val="nil"/>
          <w:bottom w:val="nil"/>
          <w:right w:val="nil"/>
          <w:between w:val="nil"/>
        </w:pBdr>
        <w:rPr>
          <w:rFonts w:ascii="Arial" w:eastAsia="Arial" w:hAnsi="Arial" w:cs="Arial"/>
          <w:color w:val="000000"/>
        </w:rPr>
      </w:pPr>
    </w:p>
    <w:p w14:paraId="6B38E64F" w14:textId="77777777" w:rsidR="00F74944" w:rsidRDefault="00F74944">
      <w:pPr>
        <w:pBdr>
          <w:top w:val="nil"/>
          <w:left w:val="nil"/>
          <w:bottom w:val="nil"/>
          <w:right w:val="nil"/>
          <w:between w:val="nil"/>
        </w:pBdr>
        <w:spacing w:before="9"/>
        <w:rPr>
          <w:rFonts w:ascii="Arial" w:eastAsia="Arial" w:hAnsi="Arial" w:cs="Arial"/>
          <w:color w:val="000000"/>
        </w:rPr>
      </w:pPr>
    </w:p>
    <w:p w14:paraId="00E84EBA" w14:textId="77777777" w:rsidR="00F74944" w:rsidRDefault="006777C7">
      <w:pPr>
        <w:ind w:left="3555" w:right="3555"/>
        <w:jc w:val="center"/>
        <w:rPr>
          <w:rFonts w:ascii="Arial" w:eastAsia="Arial" w:hAnsi="Arial" w:cs="Arial"/>
        </w:rPr>
        <w:sectPr w:rsidR="00F74944">
          <w:headerReference w:type="default" r:id="rId8"/>
          <w:footerReference w:type="default" r:id="rId9"/>
          <w:pgSz w:w="12240" w:h="15840"/>
          <w:pgMar w:top="1380" w:right="1600" w:bottom="1640" w:left="1600" w:header="198" w:footer="1440" w:gutter="0"/>
          <w:pgNumType w:start="1"/>
          <w:cols w:space="720"/>
        </w:sectPr>
      </w:pPr>
      <w:r>
        <w:rPr>
          <w:rFonts w:ascii="Arial" w:eastAsia="Arial" w:hAnsi="Arial" w:cs="Arial"/>
          <w:color w:val="212121"/>
        </w:rPr>
        <w:t>Agosto 2023</w:t>
      </w:r>
    </w:p>
    <w:p w14:paraId="6B20E9F1" w14:textId="77777777" w:rsidR="00F74944" w:rsidRDefault="00F74944">
      <w:pPr>
        <w:pBdr>
          <w:top w:val="nil"/>
          <w:left w:val="nil"/>
          <w:bottom w:val="nil"/>
          <w:right w:val="nil"/>
          <w:between w:val="nil"/>
        </w:pBdr>
        <w:rPr>
          <w:rFonts w:ascii="Arial" w:eastAsia="Arial" w:hAnsi="Arial" w:cs="Arial"/>
          <w:color w:val="000000"/>
        </w:rPr>
      </w:pPr>
    </w:p>
    <w:p w14:paraId="68BBC17A" w14:textId="77777777" w:rsidR="00F74944" w:rsidRDefault="00F74944">
      <w:pPr>
        <w:pBdr>
          <w:top w:val="nil"/>
          <w:left w:val="nil"/>
          <w:bottom w:val="nil"/>
          <w:right w:val="nil"/>
          <w:between w:val="nil"/>
        </w:pBdr>
        <w:rPr>
          <w:rFonts w:ascii="Arial" w:eastAsia="Arial" w:hAnsi="Arial" w:cs="Arial"/>
          <w:color w:val="000000"/>
        </w:rPr>
      </w:pPr>
    </w:p>
    <w:p w14:paraId="05FA6587" w14:textId="77777777" w:rsidR="00F74944" w:rsidRDefault="00F74944">
      <w:pPr>
        <w:pBdr>
          <w:top w:val="nil"/>
          <w:left w:val="nil"/>
          <w:bottom w:val="nil"/>
          <w:right w:val="nil"/>
          <w:between w:val="nil"/>
        </w:pBdr>
        <w:rPr>
          <w:rFonts w:ascii="Arial" w:eastAsia="Arial" w:hAnsi="Arial" w:cs="Arial"/>
          <w:color w:val="000000"/>
        </w:rPr>
      </w:pPr>
    </w:p>
    <w:p w14:paraId="72159759" w14:textId="77777777" w:rsidR="00F74944" w:rsidRDefault="00F74944">
      <w:pPr>
        <w:pBdr>
          <w:top w:val="nil"/>
          <w:left w:val="nil"/>
          <w:bottom w:val="nil"/>
          <w:right w:val="nil"/>
          <w:between w:val="nil"/>
        </w:pBdr>
        <w:rPr>
          <w:rFonts w:ascii="Arial" w:eastAsia="Arial" w:hAnsi="Arial" w:cs="Arial"/>
          <w:color w:val="000000"/>
        </w:rPr>
      </w:pPr>
    </w:p>
    <w:p w14:paraId="415C3116" w14:textId="77777777" w:rsidR="00F74944" w:rsidRDefault="00F74944">
      <w:pPr>
        <w:pBdr>
          <w:top w:val="nil"/>
          <w:left w:val="nil"/>
          <w:bottom w:val="nil"/>
          <w:right w:val="nil"/>
          <w:between w:val="nil"/>
        </w:pBdr>
        <w:spacing w:before="5"/>
        <w:rPr>
          <w:rFonts w:ascii="Arial" w:eastAsia="Arial" w:hAnsi="Arial" w:cs="Arial"/>
          <w:color w:val="000000"/>
        </w:rPr>
      </w:pPr>
    </w:p>
    <w:p w14:paraId="08D3E74C" w14:textId="77777777" w:rsidR="00F74944" w:rsidRDefault="006777C7">
      <w:pPr>
        <w:pStyle w:val="Heading3"/>
        <w:tabs>
          <w:tab w:val="left" w:pos="7938"/>
          <w:tab w:val="left" w:pos="8080"/>
        </w:tabs>
        <w:spacing w:line="410" w:lineRule="auto"/>
        <w:ind w:left="461" w:right="960"/>
        <w:rPr>
          <w:rFonts w:ascii="Arial" w:eastAsia="Arial" w:hAnsi="Arial" w:cs="Arial"/>
        </w:rPr>
      </w:pPr>
      <w:r>
        <w:rPr>
          <w:rFonts w:ascii="Arial" w:eastAsia="Arial" w:hAnsi="Arial" w:cs="Arial"/>
        </w:rPr>
        <w:t>Consideraciones previas sobre el cumplimiento del Pacto por parte del Estado de Palestina</w:t>
      </w:r>
    </w:p>
    <w:p w14:paraId="445CFAF8" w14:textId="77777777" w:rsidR="00F74944" w:rsidRDefault="00F74944">
      <w:pPr>
        <w:pStyle w:val="Heading3"/>
        <w:tabs>
          <w:tab w:val="left" w:pos="7938"/>
          <w:tab w:val="left" w:pos="8080"/>
        </w:tabs>
        <w:spacing w:line="410" w:lineRule="auto"/>
        <w:ind w:right="960" w:firstLine="101"/>
        <w:rPr>
          <w:rFonts w:ascii="Arial" w:eastAsia="Arial" w:hAnsi="Arial" w:cs="Arial"/>
        </w:rPr>
      </w:pPr>
    </w:p>
    <w:p w14:paraId="3E14C3F3"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 xml:space="preserve">Considerando que los territorios palestinos, experimentan una ocupación militar por parte del gobierno de Israel, que ha superado los 50 años, haría mal este Comité en no identificar dicha situación como un obstáculo para que el Estado de Palestina adopte </w:t>
      </w:r>
      <w:r>
        <w:rPr>
          <w:rFonts w:ascii="Arial" w:eastAsia="Arial" w:hAnsi="Arial" w:cs="Arial"/>
          <w:b w:val="0"/>
        </w:rPr>
        <w:t>decisiones soberanas en materia de derechos humanos, toda vez que, en los hechos siempre estará condicionada a lo que decida la potencia ocupante.</w:t>
      </w:r>
    </w:p>
    <w:p w14:paraId="3DAE2289"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Si bien es cierto, en el marco del artículo 16 del PIDESC, corresponde a los Estados presentar informes sobre las disposiciones que haya adoptado para su aplicación; en el presente caso, deberá valorarse en concordancia con los deberes fiduciarios que el g</w:t>
      </w:r>
      <w:r>
        <w:rPr>
          <w:rFonts w:ascii="Arial" w:eastAsia="Arial" w:hAnsi="Arial" w:cs="Arial"/>
          <w:b w:val="0"/>
        </w:rPr>
        <w:t>obierno de Israel tiene en su condición ocupante militar.</w:t>
      </w:r>
    </w:p>
    <w:p w14:paraId="5C6FB2C4"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color w:val="000000"/>
        </w:rPr>
        <w:t>La Relatora Especial sobre la situación de los derechos humanos en los territorios palestinos ocupados desde 1967, Francesca Albanese, ha advertido que,</w:t>
      </w:r>
      <w:r>
        <w:rPr>
          <w:rFonts w:ascii="Arial" w:eastAsia="Arial" w:hAnsi="Arial" w:cs="Arial"/>
          <w:b w:val="0"/>
        </w:rPr>
        <w:t xml:space="preserve"> “</w:t>
      </w:r>
      <w:r>
        <w:rPr>
          <w:rFonts w:ascii="Arial" w:eastAsia="Arial" w:hAnsi="Arial" w:cs="Arial"/>
          <w:b w:val="0"/>
          <w:i/>
        </w:rPr>
        <w:t>Israel sigue encarcelando a ministros, alcal</w:t>
      </w:r>
      <w:r>
        <w:rPr>
          <w:rFonts w:ascii="Arial" w:eastAsia="Arial" w:hAnsi="Arial" w:cs="Arial"/>
          <w:b w:val="0"/>
          <w:i/>
        </w:rPr>
        <w:t>des, docentes, defensores de los derechos humanos y representantes de la sociedad civil de la Autoridad Palestina. Según se informa, solo en 2020 se encarceló a diez miembros del Consejo Legislativo Palestino</w:t>
      </w:r>
      <w:r>
        <w:rPr>
          <w:rFonts w:ascii="Arial" w:eastAsia="Arial" w:hAnsi="Arial" w:cs="Arial"/>
          <w:b w:val="0"/>
          <w:i/>
          <w:vertAlign w:val="superscript"/>
        </w:rPr>
        <w:footnoteReference w:id="1"/>
      </w:r>
      <w:r>
        <w:rPr>
          <w:rFonts w:ascii="Arial" w:eastAsia="Arial" w:hAnsi="Arial" w:cs="Arial"/>
          <w:b w:val="0"/>
          <w:i/>
        </w:rPr>
        <w:t xml:space="preserve">”. </w:t>
      </w:r>
      <w:r>
        <w:rPr>
          <w:rFonts w:ascii="Arial" w:eastAsia="Arial" w:hAnsi="Arial" w:cs="Arial"/>
          <w:b w:val="0"/>
        </w:rPr>
        <w:t>Lo expuesto, evidencia la situación de amen</w:t>
      </w:r>
      <w:r>
        <w:rPr>
          <w:rFonts w:ascii="Arial" w:eastAsia="Arial" w:hAnsi="Arial" w:cs="Arial"/>
          <w:b w:val="0"/>
        </w:rPr>
        <w:t xml:space="preserve">aza bajo la que se encuentra, no solo la población Palestina, sino también los altos funcionarios y representantes políticos del Estado; y con ello, una violación su soberanía autonomía que le impide elaborar una política soberana </w:t>
      </w:r>
      <w:r>
        <w:rPr>
          <w:rFonts w:ascii="Arial" w:eastAsia="Arial" w:hAnsi="Arial" w:cs="Arial"/>
          <w:b w:val="0"/>
        </w:rPr>
        <w:lastRenderedPageBreak/>
        <w:t>en derechos humanos.</w:t>
      </w:r>
    </w:p>
    <w:p w14:paraId="4429F09B" w14:textId="77777777" w:rsidR="00F74944" w:rsidRDefault="00F74944">
      <w:pPr>
        <w:pStyle w:val="Heading3"/>
        <w:tabs>
          <w:tab w:val="left" w:pos="7938"/>
          <w:tab w:val="left" w:pos="8080"/>
        </w:tabs>
        <w:spacing w:line="410" w:lineRule="auto"/>
        <w:ind w:left="461" w:right="960"/>
        <w:rPr>
          <w:rFonts w:ascii="Arial" w:eastAsia="Arial" w:hAnsi="Arial" w:cs="Arial"/>
          <w:b w:val="0"/>
        </w:rPr>
      </w:pPr>
    </w:p>
    <w:p w14:paraId="18003743" w14:textId="77777777" w:rsidR="00F74944" w:rsidRDefault="00F74944">
      <w:pPr>
        <w:pStyle w:val="Heading3"/>
        <w:tabs>
          <w:tab w:val="left" w:pos="7938"/>
          <w:tab w:val="left" w:pos="8080"/>
        </w:tabs>
        <w:spacing w:line="410" w:lineRule="auto"/>
        <w:ind w:left="461" w:right="960"/>
        <w:rPr>
          <w:rFonts w:ascii="Arial" w:eastAsia="Arial" w:hAnsi="Arial" w:cs="Arial"/>
          <w:b w:val="0"/>
        </w:rPr>
      </w:pPr>
    </w:p>
    <w:p w14:paraId="5B54CDB8" w14:textId="77777777" w:rsidR="00F74944" w:rsidRDefault="00F74944">
      <w:pPr>
        <w:pStyle w:val="Heading3"/>
        <w:tabs>
          <w:tab w:val="left" w:pos="7938"/>
          <w:tab w:val="left" w:pos="8080"/>
        </w:tabs>
        <w:spacing w:line="410" w:lineRule="auto"/>
        <w:ind w:left="0" w:right="960"/>
        <w:rPr>
          <w:rFonts w:ascii="Arial" w:eastAsia="Arial" w:hAnsi="Arial" w:cs="Arial"/>
          <w:b w:val="0"/>
        </w:rPr>
      </w:pPr>
    </w:p>
    <w:p w14:paraId="5F64F784"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D</w:t>
      </w:r>
      <w:r>
        <w:rPr>
          <w:rFonts w:ascii="Arial" w:eastAsia="Arial" w:hAnsi="Arial" w:cs="Arial"/>
          <w:b w:val="0"/>
        </w:rPr>
        <w:t>esde nuestra organización recomendamos que el Comité lidere los ajustes normativos necesarios para incluir a las potencias ocupantes, en las evaluaciones a los Estados cuyo territorio ocupa; toda vez que, el objeto de trasfondo al evaluar a un Estado parte</w:t>
      </w:r>
      <w:r>
        <w:rPr>
          <w:rFonts w:ascii="Arial" w:eastAsia="Arial" w:hAnsi="Arial" w:cs="Arial"/>
          <w:b w:val="0"/>
        </w:rPr>
        <w:t xml:space="preserve"> en el cumplimiento de un tratado es determinar si las personas que viven en su territorio gozan de forma efectiva, de los derechos que reconoce el Pacto.</w:t>
      </w:r>
    </w:p>
    <w:p w14:paraId="3F785D78" w14:textId="77777777" w:rsidR="00F74944" w:rsidRDefault="00F74944">
      <w:pPr>
        <w:pBdr>
          <w:top w:val="nil"/>
          <w:left w:val="nil"/>
          <w:bottom w:val="nil"/>
          <w:right w:val="nil"/>
          <w:between w:val="nil"/>
        </w:pBdr>
        <w:jc w:val="both"/>
        <w:rPr>
          <w:rFonts w:ascii="Arial" w:eastAsia="Arial" w:hAnsi="Arial" w:cs="Arial"/>
          <w:b/>
          <w:color w:val="000000"/>
          <w:u w:val="single"/>
        </w:rPr>
      </w:pPr>
    </w:p>
    <w:p w14:paraId="07A68842" w14:textId="77777777" w:rsidR="00F74944" w:rsidRDefault="00F74944">
      <w:pPr>
        <w:pBdr>
          <w:top w:val="nil"/>
          <w:left w:val="nil"/>
          <w:bottom w:val="nil"/>
          <w:right w:val="nil"/>
          <w:between w:val="nil"/>
        </w:pBdr>
        <w:jc w:val="both"/>
        <w:rPr>
          <w:rFonts w:ascii="Arial" w:eastAsia="Arial" w:hAnsi="Arial" w:cs="Arial"/>
          <w:b/>
          <w:color w:val="000000"/>
          <w:u w:val="single"/>
        </w:rPr>
      </w:pPr>
    </w:p>
    <w:p w14:paraId="1AC60047" w14:textId="77777777" w:rsidR="00F74944" w:rsidRDefault="00F74944">
      <w:pPr>
        <w:pBdr>
          <w:top w:val="nil"/>
          <w:left w:val="nil"/>
          <w:bottom w:val="nil"/>
          <w:right w:val="nil"/>
          <w:between w:val="nil"/>
        </w:pBdr>
        <w:jc w:val="both"/>
        <w:rPr>
          <w:rFonts w:ascii="Arial" w:eastAsia="Arial" w:hAnsi="Arial" w:cs="Arial"/>
          <w:b/>
          <w:color w:val="000000"/>
          <w:u w:val="single"/>
        </w:rPr>
      </w:pPr>
    </w:p>
    <w:p w14:paraId="39057564" w14:textId="77777777" w:rsidR="00F74944" w:rsidRDefault="006777C7">
      <w:pPr>
        <w:pBdr>
          <w:top w:val="nil"/>
          <w:left w:val="nil"/>
          <w:bottom w:val="nil"/>
          <w:right w:val="nil"/>
          <w:between w:val="nil"/>
        </w:pBdr>
        <w:jc w:val="both"/>
        <w:rPr>
          <w:rFonts w:ascii="Arial" w:eastAsia="Arial" w:hAnsi="Arial" w:cs="Arial"/>
          <w:b/>
          <w:i/>
          <w:color w:val="000000"/>
          <w:u w:val="single"/>
        </w:rPr>
      </w:pPr>
      <w:r>
        <w:rPr>
          <w:rFonts w:ascii="Arial" w:eastAsia="Arial" w:hAnsi="Arial" w:cs="Arial"/>
          <w:b/>
          <w:i/>
          <w:color w:val="000000"/>
          <w:u w:val="single"/>
        </w:rPr>
        <w:t>Derecho a un nivel de vida adecuado (art. 11) – Relacionado al párrafo 23 de la Lista de cuestione</w:t>
      </w:r>
      <w:r>
        <w:rPr>
          <w:rFonts w:ascii="Arial" w:eastAsia="Arial" w:hAnsi="Arial" w:cs="Arial"/>
          <w:b/>
          <w:i/>
          <w:color w:val="000000"/>
          <w:u w:val="single"/>
        </w:rPr>
        <w:t>s relativa al informe inicial del Estado de Palestina (E/C.12/PSE/Q/1)</w:t>
      </w:r>
    </w:p>
    <w:p w14:paraId="21754FC0" w14:textId="77777777" w:rsidR="00F74944" w:rsidRDefault="00F74944">
      <w:pPr>
        <w:pBdr>
          <w:top w:val="nil"/>
          <w:left w:val="nil"/>
          <w:bottom w:val="nil"/>
          <w:right w:val="nil"/>
          <w:between w:val="nil"/>
        </w:pBdr>
        <w:jc w:val="both"/>
        <w:rPr>
          <w:rFonts w:ascii="Arial" w:eastAsia="Arial" w:hAnsi="Arial" w:cs="Arial"/>
          <w:color w:val="000000"/>
        </w:rPr>
      </w:pPr>
    </w:p>
    <w:p w14:paraId="2C814B19" w14:textId="77777777" w:rsidR="00F74944" w:rsidRDefault="00F74944">
      <w:pPr>
        <w:pStyle w:val="Heading3"/>
        <w:tabs>
          <w:tab w:val="left" w:pos="7938"/>
          <w:tab w:val="left" w:pos="8080"/>
        </w:tabs>
        <w:spacing w:line="410" w:lineRule="auto"/>
        <w:ind w:left="0" w:right="960"/>
        <w:rPr>
          <w:rFonts w:ascii="Arial" w:eastAsia="Arial" w:hAnsi="Arial" w:cs="Arial"/>
        </w:rPr>
      </w:pPr>
    </w:p>
    <w:p w14:paraId="772AC975"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 xml:space="preserve">La colonización de territorios palestinos por parte de la potencia </w:t>
      </w:r>
      <w:proofErr w:type="gramStart"/>
      <w:r>
        <w:rPr>
          <w:rFonts w:ascii="Arial" w:eastAsia="Arial" w:hAnsi="Arial" w:cs="Arial"/>
          <w:b w:val="0"/>
        </w:rPr>
        <w:t>ocupante,</w:t>
      </w:r>
      <w:proofErr w:type="gramEnd"/>
      <w:r>
        <w:rPr>
          <w:rFonts w:ascii="Arial" w:eastAsia="Arial" w:hAnsi="Arial" w:cs="Arial"/>
          <w:b w:val="0"/>
        </w:rPr>
        <w:t xml:space="preserve"> es uno de los obstáculos más difíciles de remover, al momento de procurar el goce de palestinos y palestin</w:t>
      </w:r>
      <w:r>
        <w:rPr>
          <w:rFonts w:ascii="Arial" w:eastAsia="Arial" w:hAnsi="Arial" w:cs="Arial"/>
          <w:b w:val="0"/>
        </w:rPr>
        <w:t xml:space="preserve">as al derecho a la vivienda. </w:t>
      </w:r>
    </w:p>
    <w:p w14:paraId="3F7F835E"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El gobierno de Israel no solo construye asentamientos judíos, sino que además provoca el traslado forzoso de palestinos</w:t>
      </w:r>
      <w:r>
        <w:rPr>
          <w:rFonts w:ascii="Arial" w:eastAsia="Arial" w:hAnsi="Arial" w:cs="Arial"/>
          <w:b w:val="0"/>
          <w:vertAlign w:val="superscript"/>
        </w:rPr>
        <w:footnoteReference w:id="2"/>
      </w:r>
      <w:r>
        <w:rPr>
          <w:rFonts w:ascii="Arial" w:eastAsia="Arial" w:hAnsi="Arial" w:cs="Arial"/>
          <w:b w:val="0"/>
        </w:rPr>
        <w:t xml:space="preserve"> para confiscar tierras destinadas a asentamientos y zonas de adiestramiento en el uso de armas militares</w:t>
      </w:r>
      <w:r>
        <w:rPr>
          <w:rFonts w:ascii="Arial" w:eastAsia="Arial" w:hAnsi="Arial" w:cs="Arial"/>
          <w:b w:val="0"/>
        </w:rPr>
        <w:t>. Entre las medidas que utiliza está la confiscación de tierras, la demolición de viviendas y la denegación de permisos, porque el sistema jurídico que opera es el de la potencia ocupante.</w:t>
      </w:r>
    </w:p>
    <w:p w14:paraId="19DF7C5A"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La Zona C</w:t>
      </w:r>
      <w:r>
        <w:rPr>
          <w:rFonts w:ascii="Arial" w:eastAsia="Arial" w:hAnsi="Arial" w:cs="Arial"/>
          <w:b w:val="0"/>
          <w:vertAlign w:val="superscript"/>
        </w:rPr>
        <w:footnoteReference w:id="3"/>
      </w:r>
      <w:r>
        <w:rPr>
          <w:rFonts w:ascii="Arial" w:eastAsia="Arial" w:hAnsi="Arial" w:cs="Arial"/>
          <w:b w:val="0"/>
        </w:rPr>
        <w:t xml:space="preserve"> representa el 60 % de la Ribera occidental, hacia octubre de 2017 </w:t>
      </w:r>
      <w:r>
        <w:rPr>
          <w:rFonts w:ascii="Arial" w:eastAsia="Arial" w:hAnsi="Arial" w:cs="Arial"/>
          <w:b w:val="0"/>
        </w:rPr>
        <w:lastRenderedPageBreak/>
        <w:t xml:space="preserve">allí vivían 400,000 colonos en 225 asentamientos. Para esta zona, solo 1 % de los territorios estaba destinada para 300 000 palestinos. Mientras los colonos de Jerusalén </w:t>
      </w:r>
      <w:proofErr w:type="gramStart"/>
      <w:r>
        <w:rPr>
          <w:rFonts w:ascii="Arial" w:eastAsia="Arial" w:hAnsi="Arial" w:cs="Arial"/>
          <w:b w:val="0"/>
        </w:rPr>
        <w:t>oriental,</w:t>
      </w:r>
      <w:proofErr w:type="gramEnd"/>
      <w:r>
        <w:rPr>
          <w:rFonts w:ascii="Arial" w:eastAsia="Arial" w:hAnsi="Arial" w:cs="Arial"/>
          <w:b w:val="0"/>
        </w:rPr>
        <w:t xml:space="preserve"> alcanzaba</w:t>
      </w:r>
      <w:r>
        <w:rPr>
          <w:rFonts w:ascii="Arial" w:eastAsia="Arial" w:hAnsi="Arial" w:cs="Arial"/>
          <w:b w:val="0"/>
        </w:rPr>
        <w:t>n los 210 000</w:t>
      </w:r>
      <w:r>
        <w:rPr>
          <w:rFonts w:ascii="Arial" w:eastAsia="Arial" w:hAnsi="Arial" w:cs="Arial"/>
          <w:b w:val="0"/>
          <w:vertAlign w:val="superscript"/>
        </w:rPr>
        <w:footnoteReference w:id="4"/>
      </w:r>
      <w:r>
        <w:rPr>
          <w:rFonts w:ascii="Arial" w:eastAsia="Arial" w:hAnsi="Arial" w:cs="Arial"/>
          <w:b w:val="0"/>
        </w:rPr>
        <w:t>. Para ello se el gobierno de Israel se valió de 116 demoliciones</w:t>
      </w:r>
      <w:r>
        <w:rPr>
          <w:rFonts w:ascii="Arial" w:eastAsia="Arial" w:hAnsi="Arial" w:cs="Arial"/>
          <w:b w:val="0"/>
          <w:vertAlign w:val="superscript"/>
        </w:rPr>
        <w:footnoteReference w:id="5"/>
      </w:r>
      <w:r>
        <w:rPr>
          <w:rFonts w:ascii="Arial" w:eastAsia="Arial" w:hAnsi="Arial" w:cs="Arial"/>
          <w:b w:val="0"/>
        </w:rPr>
        <w:t xml:space="preserve"> desalojos que afectan a un promedio de 202 personas. La justificación de la potencia ocupante es que los edificios se construyen sin permisos, sin embargo, los requisitos so</w:t>
      </w:r>
      <w:r>
        <w:rPr>
          <w:rFonts w:ascii="Arial" w:eastAsia="Arial" w:hAnsi="Arial" w:cs="Arial"/>
          <w:b w:val="0"/>
        </w:rPr>
        <w:t xml:space="preserve">n imposibles para los palestinos, </w:t>
      </w:r>
      <w:proofErr w:type="gramStart"/>
      <w:r>
        <w:rPr>
          <w:rFonts w:ascii="Arial" w:eastAsia="Arial" w:hAnsi="Arial" w:cs="Arial"/>
          <w:b w:val="0"/>
        </w:rPr>
        <w:t>y</w:t>
      </w:r>
      <w:proofErr w:type="gramEnd"/>
      <w:r>
        <w:rPr>
          <w:rFonts w:ascii="Arial" w:eastAsia="Arial" w:hAnsi="Arial" w:cs="Arial"/>
          <w:b w:val="0"/>
        </w:rPr>
        <w:t xml:space="preserve"> por lo tanto, son discriminatorios.</w:t>
      </w:r>
    </w:p>
    <w:p w14:paraId="2DB23BF3"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 xml:space="preserve">El gobierno de </w:t>
      </w:r>
      <w:proofErr w:type="gramStart"/>
      <w:r>
        <w:rPr>
          <w:rFonts w:ascii="Arial" w:eastAsia="Arial" w:hAnsi="Arial" w:cs="Arial"/>
          <w:b w:val="0"/>
        </w:rPr>
        <w:t>Israel,</w:t>
      </w:r>
      <w:proofErr w:type="gramEnd"/>
      <w:r>
        <w:rPr>
          <w:rFonts w:ascii="Arial" w:eastAsia="Arial" w:hAnsi="Arial" w:cs="Arial"/>
          <w:b w:val="0"/>
        </w:rPr>
        <w:t xml:space="preserve"> no tiene voluntad de acatar las resoluciones del Consejo de Seguridad y poner fin a la colonización de los territorios palestinos. En 2019 el entonces primer min</w:t>
      </w:r>
      <w:r>
        <w:rPr>
          <w:rFonts w:ascii="Arial" w:eastAsia="Arial" w:hAnsi="Arial" w:cs="Arial"/>
          <w:b w:val="0"/>
        </w:rPr>
        <w:t>istro de Israel, Benjamín Netanyahu</w:t>
      </w:r>
      <w:r>
        <w:rPr>
          <w:rFonts w:ascii="Arial" w:eastAsia="Arial" w:hAnsi="Arial" w:cs="Arial"/>
          <w:b w:val="0"/>
          <w:vertAlign w:val="superscript"/>
        </w:rPr>
        <w:footnoteReference w:id="6"/>
      </w:r>
      <w:r>
        <w:rPr>
          <w:rFonts w:ascii="Arial" w:eastAsia="Arial" w:hAnsi="Arial" w:cs="Arial"/>
          <w:b w:val="0"/>
        </w:rPr>
        <w:t xml:space="preserve">, dijo: “un Estado palestino pondrá en peligro nuestra existencia. No dividiré Jerusalén ni evacuar a ninguna comunidad, y me aseguraré de que controlemos el territorio al oeste de Jordania” </w:t>
      </w:r>
    </w:p>
    <w:p w14:paraId="29B2960C" w14:textId="77777777" w:rsidR="00F74944" w:rsidRDefault="00F74944">
      <w:pPr>
        <w:pBdr>
          <w:top w:val="nil"/>
          <w:left w:val="nil"/>
          <w:bottom w:val="nil"/>
          <w:right w:val="nil"/>
          <w:between w:val="nil"/>
        </w:pBdr>
        <w:rPr>
          <w:rFonts w:ascii="Arial" w:eastAsia="Arial" w:hAnsi="Arial" w:cs="Arial"/>
          <w:b/>
          <w:color w:val="000000"/>
          <w:u w:val="single"/>
        </w:rPr>
      </w:pPr>
    </w:p>
    <w:p w14:paraId="433309C0" w14:textId="77777777" w:rsidR="00F74944" w:rsidRDefault="006777C7">
      <w:pPr>
        <w:pBdr>
          <w:top w:val="nil"/>
          <w:left w:val="nil"/>
          <w:bottom w:val="nil"/>
          <w:right w:val="nil"/>
          <w:between w:val="nil"/>
        </w:pBdr>
        <w:jc w:val="both"/>
        <w:rPr>
          <w:rFonts w:ascii="Arial" w:eastAsia="Arial" w:hAnsi="Arial" w:cs="Arial"/>
          <w:b/>
          <w:color w:val="000000"/>
          <w:u w:val="single"/>
        </w:rPr>
      </w:pPr>
      <w:r>
        <w:rPr>
          <w:rFonts w:ascii="Arial" w:eastAsia="Arial" w:hAnsi="Arial" w:cs="Arial"/>
          <w:b/>
          <w:color w:val="000000"/>
          <w:u w:val="single"/>
        </w:rPr>
        <w:t>Derecho a la libre disposi</w:t>
      </w:r>
      <w:r>
        <w:rPr>
          <w:rFonts w:ascii="Arial" w:eastAsia="Arial" w:hAnsi="Arial" w:cs="Arial"/>
          <w:b/>
          <w:color w:val="000000"/>
          <w:u w:val="single"/>
        </w:rPr>
        <w:t>ción de las riquezas y los recursos naturales (art. 1, párr. 2)</w:t>
      </w:r>
      <w:r>
        <w:rPr>
          <w:rFonts w:ascii="Arial" w:eastAsia="Arial" w:hAnsi="Arial" w:cs="Arial"/>
          <w:b/>
          <w:i/>
          <w:color w:val="000000"/>
          <w:u w:val="single"/>
        </w:rPr>
        <w:t xml:space="preserve"> - Relacionado al párrafo 7 de la Lista de cuestiones relativa al informe inicial del Estado de Palestina (E/C.12/PSE/Q/1)</w:t>
      </w:r>
    </w:p>
    <w:p w14:paraId="1809D7DB" w14:textId="77777777" w:rsidR="00F74944" w:rsidRDefault="00F74944">
      <w:pPr>
        <w:pStyle w:val="Heading3"/>
        <w:tabs>
          <w:tab w:val="left" w:pos="7938"/>
          <w:tab w:val="left" w:pos="8080"/>
        </w:tabs>
        <w:spacing w:line="410" w:lineRule="auto"/>
        <w:ind w:left="0" w:right="960"/>
        <w:rPr>
          <w:rFonts w:ascii="Arial" w:eastAsia="Arial" w:hAnsi="Arial" w:cs="Arial"/>
        </w:rPr>
      </w:pPr>
    </w:p>
    <w:p w14:paraId="4CAA9C83"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 xml:space="preserve">El derecho a la libre </w:t>
      </w:r>
      <w:proofErr w:type="gramStart"/>
      <w:r>
        <w:rPr>
          <w:rFonts w:ascii="Arial" w:eastAsia="Arial" w:hAnsi="Arial" w:cs="Arial"/>
          <w:b w:val="0"/>
        </w:rPr>
        <w:t>determinación,</w:t>
      </w:r>
      <w:proofErr w:type="gramEnd"/>
      <w:r>
        <w:rPr>
          <w:rFonts w:ascii="Arial" w:eastAsia="Arial" w:hAnsi="Arial" w:cs="Arial"/>
          <w:b w:val="0"/>
        </w:rPr>
        <w:t xml:space="preserve"> incluye también el derecho de lo</w:t>
      </w:r>
      <w:r>
        <w:rPr>
          <w:rFonts w:ascii="Arial" w:eastAsia="Arial" w:hAnsi="Arial" w:cs="Arial"/>
          <w:b w:val="0"/>
        </w:rPr>
        <w:t>s pueblos a disponer libremente de sus recursos y sus riquezas; así como el derecho a no ser privado de sus propios medios. En las medidas que recursos como el agua y la electricidad, inciden en la salud de la población palestina, tales recursos tienen inc</w:t>
      </w:r>
      <w:r>
        <w:rPr>
          <w:rFonts w:ascii="Arial" w:eastAsia="Arial" w:hAnsi="Arial" w:cs="Arial"/>
          <w:b w:val="0"/>
        </w:rPr>
        <w:t xml:space="preserve">idencia también en la vida de las personas, pues su escasez puede facilitar condiciones mortíferas para las personas.  </w:t>
      </w:r>
    </w:p>
    <w:p w14:paraId="48433105"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lastRenderedPageBreak/>
        <w:t>Para Tamir Pardo, exjefe del Mossad israelí: “Israel es responsable de la situación humanitaria [en Gaza], y ese es el lugar del mundo q</w:t>
      </w:r>
      <w:r>
        <w:rPr>
          <w:rFonts w:ascii="Arial" w:eastAsia="Arial" w:hAnsi="Arial" w:cs="Arial"/>
          <w:b w:val="0"/>
        </w:rPr>
        <w:t>ue presenta mayores problemas hoy en día”</w:t>
      </w:r>
      <w:r>
        <w:rPr>
          <w:rFonts w:ascii="Arial" w:eastAsia="Arial" w:hAnsi="Arial" w:cs="Arial"/>
          <w:b w:val="0"/>
          <w:vertAlign w:val="superscript"/>
        </w:rPr>
        <w:footnoteReference w:id="7"/>
      </w:r>
      <w:r>
        <w:rPr>
          <w:rFonts w:ascii="Arial" w:eastAsia="Arial" w:hAnsi="Arial" w:cs="Arial"/>
          <w:b w:val="0"/>
        </w:rPr>
        <w:t xml:space="preserve">. Israel ha sometido a Gaza aun bloqueo económico, que ha empujado a mas del 60% de su población a depender de la ayuda humanitaria. </w:t>
      </w:r>
    </w:p>
    <w:p w14:paraId="54BC6814"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El agua es otro asunto de vital preocupación, en la Ribera Occidental, donde se</w:t>
      </w:r>
      <w:r>
        <w:rPr>
          <w:rFonts w:ascii="Arial" w:eastAsia="Arial" w:hAnsi="Arial" w:cs="Arial"/>
          <w:b w:val="0"/>
        </w:rPr>
        <w:t xml:space="preserve"> ubica la mayor cantidad de recursos del territorio palestino, Israel tiene el monopolio total de los manantiales de agua y ha colocado en riesgo actividades de supervivencia, como la ganadería</w:t>
      </w:r>
      <w:r>
        <w:rPr>
          <w:rFonts w:ascii="Arial" w:eastAsia="Arial" w:hAnsi="Arial" w:cs="Arial"/>
          <w:b w:val="0"/>
          <w:vertAlign w:val="superscript"/>
        </w:rPr>
        <w:footnoteReference w:id="8"/>
      </w:r>
      <w:r>
        <w:rPr>
          <w:rFonts w:ascii="Arial" w:eastAsia="Arial" w:hAnsi="Arial" w:cs="Arial"/>
          <w:b w:val="0"/>
        </w:rPr>
        <w:t>. En Gaza, las redes de agua funcionan entre 3 a 5 horas al d</w:t>
      </w:r>
      <w:r>
        <w:rPr>
          <w:rFonts w:ascii="Arial" w:eastAsia="Arial" w:hAnsi="Arial" w:cs="Arial"/>
          <w:b w:val="0"/>
        </w:rPr>
        <w:t>ía, las plantas desalinizadoras funcionan solo al 15% de su capacidad y más de 108 millones de litros de aguas residuales no tratadas se vierten supuestamente en el mar Mediterráneo todos los días</w:t>
      </w:r>
      <w:r>
        <w:rPr>
          <w:rFonts w:ascii="Arial" w:eastAsia="Arial" w:hAnsi="Arial" w:cs="Arial"/>
          <w:b w:val="0"/>
          <w:vertAlign w:val="superscript"/>
        </w:rPr>
        <w:footnoteReference w:id="9"/>
      </w:r>
      <w:r>
        <w:rPr>
          <w:rFonts w:ascii="Arial" w:eastAsia="Arial" w:hAnsi="Arial" w:cs="Arial"/>
          <w:b w:val="0"/>
        </w:rPr>
        <w:t>.</w:t>
      </w:r>
    </w:p>
    <w:p w14:paraId="5AF1AA3F" w14:textId="77777777" w:rsidR="00F74944" w:rsidRDefault="00F74944">
      <w:pPr>
        <w:pBdr>
          <w:top w:val="nil"/>
          <w:left w:val="nil"/>
          <w:bottom w:val="nil"/>
          <w:right w:val="nil"/>
          <w:between w:val="nil"/>
        </w:pBdr>
        <w:jc w:val="both"/>
        <w:rPr>
          <w:rFonts w:ascii="Arial" w:eastAsia="Arial" w:hAnsi="Arial" w:cs="Arial"/>
          <w:b/>
          <w:color w:val="000000"/>
          <w:u w:val="single"/>
        </w:rPr>
      </w:pPr>
    </w:p>
    <w:p w14:paraId="041D0AB5" w14:textId="77777777" w:rsidR="00F74944" w:rsidRDefault="006777C7">
      <w:pPr>
        <w:pBdr>
          <w:top w:val="nil"/>
          <w:left w:val="nil"/>
          <w:bottom w:val="nil"/>
          <w:right w:val="nil"/>
          <w:between w:val="nil"/>
        </w:pBdr>
        <w:jc w:val="both"/>
        <w:rPr>
          <w:rFonts w:ascii="Arial" w:eastAsia="Arial" w:hAnsi="Arial" w:cs="Arial"/>
          <w:b/>
          <w:color w:val="000000"/>
          <w:u w:val="single"/>
        </w:rPr>
      </w:pPr>
      <w:r>
        <w:rPr>
          <w:rFonts w:ascii="Arial" w:eastAsia="Arial" w:hAnsi="Arial" w:cs="Arial"/>
          <w:b/>
          <w:color w:val="000000"/>
          <w:u w:val="single"/>
        </w:rPr>
        <w:t xml:space="preserve">Derechos culturales (art. 15) – </w:t>
      </w:r>
      <w:r>
        <w:rPr>
          <w:rFonts w:ascii="Arial" w:eastAsia="Arial" w:hAnsi="Arial" w:cs="Arial"/>
          <w:b/>
          <w:i/>
          <w:color w:val="000000"/>
          <w:u w:val="single"/>
        </w:rPr>
        <w:t>Relacionado al párrafo 30 de la Lista de cuestiones relativa al informe inicial del Estado de Palestina (E/C.12/PSE/Q/1)</w:t>
      </w:r>
    </w:p>
    <w:p w14:paraId="693070BB" w14:textId="77777777" w:rsidR="00F74944" w:rsidRDefault="00F74944">
      <w:pPr>
        <w:pStyle w:val="Heading3"/>
        <w:tabs>
          <w:tab w:val="left" w:pos="7938"/>
          <w:tab w:val="left" w:pos="8080"/>
        </w:tabs>
        <w:spacing w:line="410" w:lineRule="auto"/>
        <w:ind w:left="0" w:right="960"/>
        <w:rPr>
          <w:rFonts w:ascii="Arial" w:eastAsia="Arial" w:hAnsi="Arial" w:cs="Arial"/>
        </w:rPr>
      </w:pPr>
    </w:p>
    <w:p w14:paraId="0261B1DE"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La identidad cultural, forma parte de las libertades que los pueblos tienen para configurar las condic</w:t>
      </w:r>
      <w:r>
        <w:rPr>
          <w:rFonts w:ascii="Arial" w:eastAsia="Arial" w:hAnsi="Arial" w:cs="Arial"/>
          <w:b w:val="0"/>
        </w:rPr>
        <w:t>iones de su vida cultural. Este derecho es permanentemente anulado por la potencia colonizadora de Israel, como intento por desaparecer registro de su existencia en el imaginario colectivo.</w:t>
      </w:r>
    </w:p>
    <w:p w14:paraId="78F155C1"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 xml:space="preserve">Un ejemplo de esta </w:t>
      </w:r>
      <w:proofErr w:type="gramStart"/>
      <w:r>
        <w:rPr>
          <w:rFonts w:ascii="Arial" w:eastAsia="Arial" w:hAnsi="Arial" w:cs="Arial"/>
          <w:b w:val="0"/>
        </w:rPr>
        <w:t>política,</w:t>
      </w:r>
      <w:proofErr w:type="gramEnd"/>
      <w:r>
        <w:rPr>
          <w:rFonts w:ascii="Arial" w:eastAsia="Arial" w:hAnsi="Arial" w:cs="Arial"/>
          <w:b w:val="0"/>
        </w:rPr>
        <w:t xml:space="preserve"> es la supresión de las clases de hist</w:t>
      </w:r>
      <w:r>
        <w:rPr>
          <w:rFonts w:ascii="Arial" w:eastAsia="Arial" w:hAnsi="Arial" w:cs="Arial"/>
          <w:b w:val="0"/>
        </w:rPr>
        <w:t xml:space="preserve">oria Palestina en las escuelas de Jerusalén Oriental y la revocación de licencias a escuelas </w:t>
      </w:r>
      <w:r>
        <w:rPr>
          <w:rFonts w:ascii="Arial" w:eastAsia="Arial" w:hAnsi="Arial" w:cs="Arial"/>
          <w:b w:val="0"/>
        </w:rPr>
        <w:lastRenderedPageBreak/>
        <w:t>que no se sometan al plan de estudios de Isarel</w:t>
      </w:r>
      <w:r>
        <w:rPr>
          <w:rFonts w:ascii="Arial" w:eastAsia="Arial" w:hAnsi="Arial" w:cs="Arial"/>
          <w:b w:val="0"/>
          <w:vertAlign w:val="superscript"/>
        </w:rPr>
        <w:footnoteReference w:id="10"/>
      </w:r>
      <w:r>
        <w:rPr>
          <w:rFonts w:ascii="Arial" w:eastAsia="Arial" w:hAnsi="Arial" w:cs="Arial"/>
          <w:b w:val="0"/>
        </w:rPr>
        <w:t xml:space="preserve">. </w:t>
      </w:r>
    </w:p>
    <w:p w14:paraId="5D73D196"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 xml:space="preserve">Una imagen que dio la vuelta al </w:t>
      </w:r>
      <w:proofErr w:type="gramStart"/>
      <w:r>
        <w:rPr>
          <w:rFonts w:ascii="Arial" w:eastAsia="Arial" w:hAnsi="Arial" w:cs="Arial"/>
          <w:b w:val="0"/>
        </w:rPr>
        <w:t>mundo,</w:t>
      </w:r>
      <w:proofErr w:type="gramEnd"/>
      <w:r>
        <w:rPr>
          <w:rFonts w:ascii="Arial" w:eastAsia="Arial" w:hAnsi="Arial" w:cs="Arial"/>
          <w:b w:val="0"/>
        </w:rPr>
        <w:t xml:space="preserve"> fue el reciente ataque a los asistentes al funeral de la periodista pale</w:t>
      </w:r>
      <w:r>
        <w:rPr>
          <w:rFonts w:ascii="Arial" w:eastAsia="Arial" w:hAnsi="Arial" w:cs="Arial"/>
          <w:b w:val="0"/>
        </w:rPr>
        <w:t>stina Shireen Abu Akleh</w:t>
      </w:r>
      <w:r>
        <w:rPr>
          <w:rFonts w:ascii="Arial" w:eastAsia="Arial" w:hAnsi="Arial" w:cs="Arial"/>
          <w:b w:val="0"/>
          <w:vertAlign w:val="superscript"/>
        </w:rPr>
        <w:footnoteReference w:id="11"/>
      </w:r>
      <w:r>
        <w:rPr>
          <w:rFonts w:ascii="Arial" w:eastAsia="Arial" w:hAnsi="Arial" w:cs="Arial"/>
          <w:b w:val="0"/>
        </w:rPr>
        <w:t xml:space="preserve">. Al féretro de la periodista se le había colocado la bandera de su nación. Este ataque refleja que las manifestaciones palestinas de identidad están prohibidas en los territorios ocupados por Israel. La muerte de la periodista </w:t>
      </w:r>
      <w:proofErr w:type="gramStart"/>
      <w:r>
        <w:rPr>
          <w:rFonts w:ascii="Arial" w:eastAsia="Arial" w:hAnsi="Arial" w:cs="Arial"/>
          <w:b w:val="0"/>
        </w:rPr>
        <w:t>palestina,</w:t>
      </w:r>
      <w:proofErr w:type="gramEnd"/>
      <w:r>
        <w:rPr>
          <w:rFonts w:ascii="Arial" w:eastAsia="Arial" w:hAnsi="Arial" w:cs="Arial"/>
          <w:b w:val="0"/>
        </w:rPr>
        <w:t xml:space="preserve"> sucedió en un con</w:t>
      </w:r>
      <w:r>
        <w:rPr>
          <w:rFonts w:ascii="Arial" w:eastAsia="Arial" w:hAnsi="Arial" w:cs="Arial"/>
          <w:b w:val="0"/>
        </w:rPr>
        <w:t xml:space="preserve">texto donde investigaba el campamento de refugiados en Yenin. </w:t>
      </w:r>
      <w:proofErr w:type="gramStart"/>
      <w:r>
        <w:rPr>
          <w:rFonts w:ascii="Arial" w:eastAsia="Arial" w:hAnsi="Arial" w:cs="Arial"/>
          <w:b w:val="0"/>
        </w:rPr>
        <w:t>De acuerdo a</w:t>
      </w:r>
      <w:proofErr w:type="gramEnd"/>
      <w:r>
        <w:rPr>
          <w:rFonts w:ascii="Arial" w:eastAsia="Arial" w:hAnsi="Arial" w:cs="Arial"/>
          <w:b w:val="0"/>
        </w:rPr>
        <w:t xml:space="preserve"> las investigaciones se ha determinado que recibió dos disparos por parte de soldados israelíes, lo que constituye una violación al pacto en el articulo 6, referido al derecho a la v</w:t>
      </w:r>
      <w:r>
        <w:rPr>
          <w:rFonts w:ascii="Arial" w:eastAsia="Arial" w:hAnsi="Arial" w:cs="Arial"/>
          <w:b w:val="0"/>
        </w:rPr>
        <w:t>ida.</w:t>
      </w:r>
    </w:p>
    <w:p w14:paraId="3F3C5DCE" w14:textId="77777777" w:rsidR="00F74944" w:rsidRDefault="006777C7">
      <w:pPr>
        <w:pStyle w:val="Heading3"/>
        <w:numPr>
          <w:ilvl w:val="0"/>
          <w:numId w:val="1"/>
        </w:numPr>
        <w:tabs>
          <w:tab w:val="left" w:pos="7938"/>
          <w:tab w:val="left" w:pos="8080"/>
        </w:tabs>
        <w:spacing w:line="410" w:lineRule="auto"/>
        <w:ind w:right="960"/>
        <w:rPr>
          <w:rFonts w:ascii="Arial" w:eastAsia="Arial" w:hAnsi="Arial" w:cs="Arial"/>
          <w:b w:val="0"/>
        </w:rPr>
      </w:pPr>
      <w:r>
        <w:rPr>
          <w:rFonts w:ascii="Arial" w:eastAsia="Arial" w:hAnsi="Arial" w:cs="Arial"/>
          <w:b w:val="0"/>
        </w:rPr>
        <w:t>Otra forma de anulación política es la que enfrentan los representantes democráticamente elegidos por el pueblo palestino, y sus funcionarios quienes han experimentado encarcelamiento. Como cuando en 2020, a 10 miembros del Consejo Legislativo Palesti</w:t>
      </w:r>
      <w:r>
        <w:rPr>
          <w:rFonts w:ascii="Arial" w:eastAsia="Arial" w:hAnsi="Arial" w:cs="Arial"/>
          <w:b w:val="0"/>
        </w:rPr>
        <w:t>no. También se ha implementado la práctica de detenciones en masa, al punto que hacía septiembre de 2022 se registraron casi 4.500 palestinos detenidos, 730 sin cargos y en su mayoría sobre la base de pruebas secretas</w:t>
      </w:r>
      <w:r>
        <w:rPr>
          <w:rFonts w:ascii="Arial" w:eastAsia="Arial" w:hAnsi="Arial" w:cs="Arial"/>
          <w:b w:val="0"/>
          <w:vertAlign w:val="superscript"/>
        </w:rPr>
        <w:footnoteReference w:id="12"/>
      </w:r>
      <w:r>
        <w:rPr>
          <w:rFonts w:ascii="Arial" w:eastAsia="Arial" w:hAnsi="Arial" w:cs="Arial"/>
          <w:b w:val="0"/>
        </w:rPr>
        <w:t xml:space="preserve">. </w:t>
      </w:r>
    </w:p>
    <w:p w14:paraId="09E77A69" w14:textId="77777777" w:rsidR="00F74944" w:rsidRDefault="006777C7">
      <w:pPr>
        <w:numPr>
          <w:ilvl w:val="0"/>
          <w:numId w:val="1"/>
        </w:numPr>
        <w:shd w:val="clear" w:color="auto" w:fill="FFFFFF"/>
        <w:tabs>
          <w:tab w:val="left" w:pos="7938"/>
          <w:tab w:val="left" w:pos="8080"/>
        </w:tabs>
        <w:spacing w:after="460" w:line="408" w:lineRule="auto"/>
        <w:jc w:val="both"/>
      </w:pPr>
      <w:r>
        <w:t>La diversidad sexual y de género e</w:t>
      </w:r>
      <w:r>
        <w:t xml:space="preserve">n Palestina, al igual que en el resto de </w:t>
      </w:r>
      <w:proofErr w:type="gramStart"/>
      <w:r>
        <w:t>sociedades</w:t>
      </w:r>
      <w:proofErr w:type="gramEnd"/>
      <w:r>
        <w:t>, sigue conformando uno de los mayores tabúes en la actualidad. En el caso de la homosexualidad, en la Franja de Gaza, sigue siendo ilegal como herencia al Código Penal aprobado por el Mandato Británico de</w:t>
      </w:r>
      <w:r>
        <w:t xml:space="preserve"> Palestina en 1936, cuyo artículo 152 castigaba la sodomía llegando a alcanzar una </w:t>
      </w:r>
      <w:r>
        <w:lastRenderedPageBreak/>
        <w:t>pena de 10 años</w:t>
      </w:r>
      <w:r>
        <w:rPr>
          <w:vertAlign w:val="superscript"/>
        </w:rPr>
        <w:t>12-A</w:t>
      </w:r>
      <w:r>
        <w:t>.</w:t>
      </w:r>
    </w:p>
    <w:p w14:paraId="104FC811" w14:textId="77777777" w:rsidR="00F74944" w:rsidRDefault="006777C7">
      <w:pPr>
        <w:numPr>
          <w:ilvl w:val="0"/>
          <w:numId w:val="1"/>
        </w:numPr>
        <w:shd w:val="clear" w:color="auto" w:fill="FFFFFF"/>
        <w:tabs>
          <w:tab w:val="left" w:pos="7938"/>
          <w:tab w:val="left" w:pos="8080"/>
        </w:tabs>
        <w:spacing w:after="460" w:line="408" w:lineRule="auto"/>
        <w:jc w:val="both"/>
      </w:pPr>
      <w:r>
        <w:t xml:space="preserve">Sin embargo, aunque en Cisjordania la </w:t>
      </w:r>
      <w:proofErr w:type="gramStart"/>
      <w:r>
        <w:t>homosexualidad</w:t>
      </w:r>
      <w:proofErr w:type="gramEnd"/>
      <w:r>
        <w:t xml:space="preserve"> aunque no es penalizada, la Autoridad Nacional Palestina, sigue sin pronunciarse para proteger y ve</w:t>
      </w:r>
      <w:r>
        <w:t>lar los derechos de esta comunidad. Unas cuestiones que siguen siendo imposibles de tratar debido a la ocupación territorial y de identidad histórica en este territorio.</w:t>
      </w:r>
    </w:p>
    <w:p w14:paraId="5FBAF74F" w14:textId="77777777" w:rsidR="00F74944" w:rsidRDefault="00F74944">
      <w:pPr>
        <w:tabs>
          <w:tab w:val="left" w:pos="7938"/>
          <w:tab w:val="left" w:pos="8080"/>
        </w:tabs>
        <w:ind w:left="461"/>
        <w:jc w:val="both"/>
        <w:rPr>
          <w:rFonts w:ascii="Arial" w:eastAsia="Arial" w:hAnsi="Arial" w:cs="Arial"/>
          <w:color w:val="222222"/>
          <w:sz w:val="24"/>
          <w:szCs w:val="24"/>
          <w:highlight w:val="white"/>
        </w:rPr>
      </w:pPr>
    </w:p>
    <w:p w14:paraId="22AE8850" w14:textId="77777777" w:rsidR="00F74944" w:rsidRDefault="00F74944">
      <w:pPr>
        <w:tabs>
          <w:tab w:val="left" w:pos="7938"/>
          <w:tab w:val="left" w:pos="8080"/>
        </w:tabs>
        <w:ind w:left="461"/>
        <w:jc w:val="both"/>
        <w:rPr>
          <w:rFonts w:ascii="Arial" w:eastAsia="Arial" w:hAnsi="Arial" w:cs="Arial"/>
          <w:color w:val="222222"/>
          <w:sz w:val="24"/>
          <w:szCs w:val="24"/>
          <w:highlight w:val="white"/>
        </w:rPr>
      </w:pPr>
    </w:p>
    <w:p w14:paraId="1CB02D25" w14:textId="77777777" w:rsidR="00F74944" w:rsidRDefault="006777C7">
      <w:pPr>
        <w:numPr>
          <w:ilvl w:val="0"/>
          <w:numId w:val="1"/>
        </w:numPr>
        <w:tabs>
          <w:tab w:val="left" w:pos="7938"/>
          <w:tab w:val="left" w:pos="8080"/>
        </w:tabs>
        <w:jc w:val="both"/>
        <w:rPr>
          <w:rFonts w:ascii="Arial" w:eastAsia="Arial" w:hAnsi="Arial" w:cs="Arial"/>
          <w:sz w:val="20"/>
          <w:szCs w:val="20"/>
        </w:rPr>
      </w:pPr>
      <w:r>
        <w:rPr>
          <w:rFonts w:ascii="Arial" w:eastAsia="Arial" w:hAnsi="Arial" w:cs="Arial"/>
          <w:color w:val="222222"/>
          <w:sz w:val="24"/>
          <w:szCs w:val="24"/>
          <w:highlight w:val="white"/>
        </w:rPr>
        <w:t>Ahmad Abu Marhia, de 25 años, fue amenazado de muerte por su orientación sexual y se le concedió un permiso humanitario para permanecer en Israel mientras solicitaba asilo en un tercer país… su brutal asesinato en Hebrón, difundido en las redes sociales. S</w:t>
      </w:r>
      <w:r>
        <w:rPr>
          <w:rFonts w:ascii="Arial" w:eastAsia="Arial" w:hAnsi="Arial" w:cs="Arial"/>
          <w:color w:val="222222"/>
          <w:sz w:val="24"/>
          <w:szCs w:val="24"/>
          <w:highlight w:val="white"/>
        </w:rPr>
        <w:t xml:space="preserve">e trata de un doloroso y sangriento recordatorio de la dura situación que enfrentan los solicitantes de asilo LGBTQ que son perseguidos en la Autoridad Palestina </w:t>
      </w:r>
      <w:r>
        <w:rPr>
          <w:rFonts w:ascii="Arial" w:eastAsia="Arial" w:hAnsi="Arial" w:cs="Arial"/>
          <w:color w:val="222222"/>
          <w:sz w:val="24"/>
          <w:szCs w:val="24"/>
          <w:highlight w:val="white"/>
          <w:vertAlign w:val="superscript"/>
        </w:rPr>
        <w:t>12-B</w:t>
      </w:r>
      <w:r>
        <w:rPr>
          <w:rFonts w:ascii="Arial" w:eastAsia="Arial" w:hAnsi="Arial" w:cs="Arial"/>
          <w:color w:val="222222"/>
          <w:sz w:val="24"/>
          <w:szCs w:val="24"/>
          <w:highlight w:val="white"/>
        </w:rPr>
        <w:t xml:space="preserve">. </w:t>
      </w:r>
    </w:p>
    <w:p w14:paraId="2DC0B43E" w14:textId="77777777" w:rsidR="00F74944" w:rsidRDefault="00F74944">
      <w:pPr>
        <w:tabs>
          <w:tab w:val="left" w:pos="7938"/>
          <w:tab w:val="left" w:pos="8080"/>
        </w:tabs>
        <w:spacing w:line="410" w:lineRule="auto"/>
        <w:ind w:left="461" w:right="960"/>
        <w:jc w:val="both"/>
        <w:rPr>
          <w:rFonts w:ascii="Arial" w:eastAsia="Arial" w:hAnsi="Arial" w:cs="Arial"/>
        </w:rPr>
      </w:pPr>
    </w:p>
    <w:p w14:paraId="54CF7328" w14:textId="77777777" w:rsidR="00F74944" w:rsidRDefault="00F74944">
      <w:pPr>
        <w:pStyle w:val="Heading3"/>
        <w:spacing w:line="410" w:lineRule="auto"/>
        <w:ind w:left="0" w:right="1930"/>
        <w:rPr>
          <w:rFonts w:ascii="Arial" w:eastAsia="Arial" w:hAnsi="Arial" w:cs="Arial"/>
        </w:rPr>
        <w:sectPr w:rsidR="00F74944">
          <w:pgSz w:w="12240" w:h="15840"/>
          <w:pgMar w:top="1380" w:right="1600" w:bottom="1640" w:left="1600" w:header="198" w:footer="1440" w:gutter="0"/>
          <w:cols w:space="720"/>
        </w:sectPr>
      </w:pPr>
    </w:p>
    <w:p w14:paraId="3581AE0F" w14:textId="77777777" w:rsidR="00F74944" w:rsidRDefault="00F74944">
      <w:pPr>
        <w:pBdr>
          <w:top w:val="nil"/>
          <w:left w:val="nil"/>
          <w:bottom w:val="nil"/>
          <w:right w:val="nil"/>
          <w:between w:val="nil"/>
        </w:pBdr>
        <w:rPr>
          <w:rFonts w:ascii="Arial" w:eastAsia="Arial" w:hAnsi="Arial" w:cs="Arial"/>
          <w:color w:val="000000"/>
        </w:rPr>
      </w:pPr>
    </w:p>
    <w:p w14:paraId="4AFF37D6" w14:textId="77777777" w:rsidR="00F74944" w:rsidRDefault="00F74944">
      <w:pPr>
        <w:pBdr>
          <w:top w:val="nil"/>
          <w:left w:val="nil"/>
          <w:bottom w:val="nil"/>
          <w:right w:val="nil"/>
          <w:between w:val="nil"/>
        </w:pBdr>
        <w:spacing w:before="8"/>
        <w:rPr>
          <w:rFonts w:ascii="Arial" w:eastAsia="Arial" w:hAnsi="Arial" w:cs="Arial"/>
          <w:color w:val="000000"/>
        </w:rPr>
      </w:pPr>
    </w:p>
    <w:p w14:paraId="3C0DE409" w14:textId="77777777" w:rsidR="00F74944" w:rsidRDefault="006777C7">
      <w:pPr>
        <w:spacing w:before="90"/>
        <w:ind w:left="821"/>
        <w:rPr>
          <w:rFonts w:ascii="Arial" w:eastAsia="Arial" w:hAnsi="Arial" w:cs="Arial"/>
          <w:b/>
        </w:rPr>
      </w:pPr>
      <w:r>
        <w:rPr>
          <w:rFonts w:ascii="Arial" w:eastAsia="Arial" w:hAnsi="Arial" w:cs="Arial"/>
          <w:b/>
          <w:color w:val="202021"/>
        </w:rPr>
        <w:t>Solicitamos a los Expertos Independientes del Comité.</w:t>
      </w:r>
    </w:p>
    <w:p w14:paraId="7BF1F832" w14:textId="77777777" w:rsidR="00F74944" w:rsidRDefault="00F74944">
      <w:pPr>
        <w:pBdr>
          <w:top w:val="nil"/>
          <w:left w:val="nil"/>
          <w:bottom w:val="nil"/>
          <w:right w:val="nil"/>
          <w:between w:val="nil"/>
        </w:pBdr>
        <w:rPr>
          <w:rFonts w:ascii="Arial" w:eastAsia="Arial" w:hAnsi="Arial" w:cs="Arial"/>
          <w:b/>
          <w:color w:val="000000"/>
        </w:rPr>
      </w:pPr>
    </w:p>
    <w:p w14:paraId="0CCB8895" w14:textId="77777777" w:rsidR="00F74944" w:rsidRDefault="006777C7">
      <w:pPr>
        <w:pBdr>
          <w:top w:val="nil"/>
          <w:left w:val="nil"/>
          <w:bottom w:val="nil"/>
          <w:right w:val="nil"/>
          <w:between w:val="nil"/>
        </w:pBdr>
        <w:spacing w:line="276" w:lineRule="auto"/>
        <w:ind w:left="709"/>
        <w:jc w:val="both"/>
        <w:rPr>
          <w:rFonts w:ascii="Arial" w:eastAsia="Arial" w:hAnsi="Arial" w:cs="Arial"/>
          <w:color w:val="000000"/>
        </w:rPr>
      </w:pPr>
      <w:r>
        <w:rPr>
          <w:rFonts w:ascii="Arial" w:eastAsia="Arial" w:hAnsi="Arial" w:cs="Arial"/>
          <w:color w:val="000000"/>
        </w:rPr>
        <w:t>Que, considerando la ocupación militar de Israel sobre territorio palestino, solicitamos al Estado de Palestina informe de manera precisa y detallada:</w:t>
      </w:r>
    </w:p>
    <w:p w14:paraId="77437DB0"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color w:val="000000"/>
        </w:rPr>
      </w:pPr>
      <w:r>
        <w:rPr>
          <w:rFonts w:ascii="Arial" w:eastAsia="Arial" w:hAnsi="Arial" w:cs="Arial"/>
          <w:color w:val="000000"/>
        </w:rPr>
        <w:t>Sobre la política de vivienda que ha logrado ejecutar y los obstáculos que afronta su ejecución tras el incremento de asentamientos y viviendas exclusivos para judíos por el Estado de Israel.</w:t>
      </w:r>
    </w:p>
    <w:p w14:paraId="7339C6AA"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color w:val="000000"/>
        </w:rPr>
      </w:pPr>
      <w:r>
        <w:rPr>
          <w:rFonts w:ascii="Arial" w:eastAsia="Arial" w:hAnsi="Arial" w:cs="Arial"/>
          <w:color w:val="000000"/>
        </w:rPr>
        <w:t>Sobre la política de protección para la población palestina, tra</w:t>
      </w:r>
      <w:r>
        <w:rPr>
          <w:rFonts w:ascii="Arial" w:eastAsia="Arial" w:hAnsi="Arial" w:cs="Arial"/>
          <w:color w:val="000000"/>
        </w:rPr>
        <w:t>s las denuncias de demoliciones, confiscación de tierras por el Estado de Israel</w:t>
      </w:r>
    </w:p>
    <w:p w14:paraId="0A87602C"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color w:val="000000"/>
        </w:rPr>
      </w:pPr>
      <w:r>
        <w:rPr>
          <w:rFonts w:ascii="Arial" w:eastAsia="Arial" w:hAnsi="Arial" w:cs="Arial"/>
          <w:color w:val="000000"/>
        </w:rPr>
        <w:t>Sobre el impacto del bloqueo económico del Estado de Israel, en el ejercicio del derecho a la vida del pueblo palestino.</w:t>
      </w:r>
    </w:p>
    <w:p w14:paraId="06812791"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color w:val="000000"/>
        </w:rPr>
      </w:pPr>
      <w:r>
        <w:rPr>
          <w:rFonts w:ascii="Arial" w:eastAsia="Arial" w:hAnsi="Arial" w:cs="Arial"/>
          <w:color w:val="000000"/>
        </w:rPr>
        <w:t>La política del Estado palestino, respecto a las ayuda</w:t>
      </w:r>
      <w:r>
        <w:rPr>
          <w:rFonts w:ascii="Arial" w:eastAsia="Arial" w:hAnsi="Arial" w:cs="Arial"/>
          <w:color w:val="000000"/>
        </w:rPr>
        <w:t xml:space="preserve">s humanitarias para la población de Franja de Gaza. Detalle el nivel de dependencia de esta, y qué otros derechos relacionados al </w:t>
      </w:r>
      <w:proofErr w:type="gramStart"/>
      <w:r>
        <w:rPr>
          <w:rFonts w:ascii="Arial" w:eastAsia="Arial" w:hAnsi="Arial" w:cs="Arial"/>
          <w:color w:val="000000"/>
        </w:rPr>
        <w:t>Pacto,</w:t>
      </w:r>
      <w:proofErr w:type="gramEnd"/>
      <w:r>
        <w:rPr>
          <w:rFonts w:ascii="Arial" w:eastAsia="Arial" w:hAnsi="Arial" w:cs="Arial"/>
          <w:color w:val="000000"/>
        </w:rPr>
        <w:t xml:space="preserve"> requieren de ayuda inmediata. Que, adicionalmente informe, si tiene una política de largo o mediano plazo para dejar de</w:t>
      </w:r>
      <w:r>
        <w:rPr>
          <w:rFonts w:ascii="Arial" w:eastAsia="Arial" w:hAnsi="Arial" w:cs="Arial"/>
          <w:color w:val="000000"/>
        </w:rPr>
        <w:t xml:space="preserve"> depender de tales ayudas.</w:t>
      </w:r>
    </w:p>
    <w:p w14:paraId="23D7A644"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color w:val="000000"/>
        </w:rPr>
      </w:pPr>
      <w:r>
        <w:rPr>
          <w:rFonts w:ascii="Arial" w:eastAsia="Arial" w:hAnsi="Arial" w:cs="Arial"/>
          <w:color w:val="000000"/>
        </w:rPr>
        <w:t xml:space="preserve"> Sobre los </w:t>
      </w:r>
      <w:r>
        <w:rPr>
          <w:rFonts w:ascii="Arial" w:eastAsia="Arial" w:hAnsi="Arial" w:cs="Arial"/>
        </w:rPr>
        <w:t>problemas de escasez</w:t>
      </w:r>
      <w:r>
        <w:rPr>
          <w:rFonts w:ascii="Arial" w:eastAsia="Arial" w:hAnsi="Arial" w:cs="Arial"/>
          <w:color w:val="000000"/>
        </w:rPr>
        <w:t xml:space="preserve"> de agua y electricidad que afronta la población de Franja de Gaza. Que haga énfasis especial en la situación de los hospitales.</w:t>
      </w:r>
    </w:p>
    <w:p w14:paraId="23124836"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color w:val="000000"/>
        </w:rPr>
      </w:pPr>
      <w:r>
        <w:rPr>
          <w:rFonts w:ascii="Arial" w:eastAsia="Arial" w:hAnsi="Arial" w:cs="Arial"/>
          <w:color w:val="000000"/>
        </w:rPr>
        <w:t>Sobre su política para conservar los signos de identidad cultural y n</w:t>
      </w:r>
      <w:r>
        <w:rPr>
          <w:rFonts w:ascii="Arial" w:eastAsia="Arial" w:hAnsi="Arial" w:cs="Arial"/>
          <w:color w:val="000000"/>
        </w:rPr>
        <w:t xml:space="preserve">acional de la población palestina en el contexto de ocupación militar. Detalle sobre las formas en las que el gobierno de Israel </w:t>
      </w:r>
      <w:r>
        <w:rPr>
          <w:rFonts w:ascii="Arial" w:eastAsia="Arial" w:hAnsi="Arial" w:cs="Arial"/>
        </w:rPr>
        <w:t>ha perseguido</w:t>
      </w:r>
      <w:r>
        <w:rPr>
          <w:rFonts w:ascii="Arial" w:eastAsia="Arial" w:hAnsi="Arial" w:cs="Arial"/>
          <w:color w:val="000000"/>
        </w:rPr>
        <w:t xml:space="preserve"> tales actos de manifestación.</w:t>
      </w:r>
    </w:p>
    <w:p w14:paraId="0F68FA5D" w14:textId="77777777" w:rsidR="00F74944" w:rsidRDefault="006777C7">
      <w:pPr>
        <w:numPr>
          <w:ilvl w:val="0"/>
          <w:numId w:val="2"/>
        </w:numPr>
        <w:pBdr>
          <w:top w:val="nil"/>
          <w:left w:val="nil"/>
          <w:bottom w:val="nil"/>
          <w:right w:val="nil"/>
          <w:between w:val="nil"/>
        </w:pBdr>
        <w:tabs>
          <w:tab w:val="left" w:pos="820"/>
          <w:tab w:val="left" w:pos="821"/>
        </w:tabs>
        <w:spacing w:before="178"/>
        <w:jc w:val="both"/>
        <w:rPr>
          <w:rFonts w:ascii="Arial" w:eastAsia="Arial" w:hAnsi="Arial" w:cs="Arial"/>
        </w:rPr>
      </w:pPr>
      <w:r>
        <w:rPr>
          <w:rFonts w:ascii="Arial" w:eastAsia="Arial" w:hAnsi="Arial" w:cs="Arial"/>
        </w:rPr>
        <w:t>Que el Estado Palestino informe sobre las medidas legislativa y judiciar para prote</w:t>
      </w:r>
      <w:r>
        <w:rPr>
          <w:rFonts w:ascii="Arial" w:eastAsia="Arial" w:hAnsi="Arial" w:cs="Arial"/>
        </w:rPr>
        <w:t>ger las personas LGBTI y la reforma del articulo 152m del Código Penal.</w:t>
      </w:r>
    </w:p>
    <w:p w14:paraId="495984D9" w14:textId="77777777" w:rsidR="00F74944" w:rsidRDefault="006777C7">
      <w:pPr>
        <w:pBdr>
          <w:top w:val="nil"/>
          <w:left w:val="nil"/>
          <w:bottom w:val="nil"/>
          <w:right w:val="nil"/>
          <w:between w:val="nil"/>
        </w:pBdr>
        <w:tabs>
          <w:tab w:val="left" w:pos="820"/>
          <w:tab w:val="left" w:pos="821"/>
        </w:tabs>
        <w:spacing w:before="178"/>
        <w:ind w:left="821"/>
        <w:jc w:val="both"/>
        <w:rPr>
          <w:rFonts w:ascii="Arial" w:eastAsia="Arial" w:hAnsi="Arial" w:cs="Arial"/>
          <w:b/>
          <w:color w:val="000000"/>
        </w:rPr>
      </w:pPr>
      <w:r>
        <w:rPr>
          <w:rFonts w:ascii="Arial" w:eastAsia="Arial" w:hAnsi="Arial" w:cs="Arial"/>
          <w:b/>
          <w:color w:val="000000"/>
        </w:rPr>
        <w:t>Solicitud especial para el Comité respecto a los Estados evaluados cuyos territorios son ocupados por una potencia</w:t>
      </w:r>
    </w:p>
    <w:p w14:paraId="0A4A421E" w14:textId="77777777" w:rsidR="00F74944" w:rsidRDefault="006777C7">
      <w:pPr>
        <w:numPr>
          <w:ilvl w:val="0"/>
          <w:numId w:val="2"/>
        </w:numPr>
        <w:pBdr>
          <w:top w:val="nil"/>
          <w:left w:val="nil"/>
          <w:bottom w:val="nil"/>
          <w:right w:val="nil"/>
          <w:between w:val="nil"/>
        </w:pBdr>
        <w:tabs>
          <w:tab w:val="left" w:pos="820"/>
          <w:tab w:val="left" w:pos="821"/>
        </w:tabs>
        <w:spacing w:before="178"/>
        <w:ind w:firstLine="0"/>
        <w:jc w:val="both"/>
        <w:rPr>
          <w:rFonts w:ascii="Arial" w:eastAsia="Arial" w:hAnsi="Arial" w:cs="Arial"/>
          <w:color w:val="000000"/>
        </w:rPr>
      </w:pPr>
      <w:r>
        <w:rPr>
          <w:rFonts w:ascii="Arial" w:eastAsia="Arial" w:hAnsi="Arial" w:cs="Arial"/>
          <w:color w:val="000000"/>
        </w:rPr>
        <w:t>Considerando que es principio del derecho de ocupación, que la potencia ocupante vele por el Interés Superior del pueblo</w:t>
      </w:r>
      <w:r>
        <w:rPr>
          <w:rFonts w:ascii="Arial" w:eastAsia="Arial" w:hAnsi="Arial" w:cs="Arial"/>
          <w:color w:val="000000"/>
          <w:vertAlign w:val="superscript"/>
        </w:rPr>
        <w:footnoteReference w:id="13"/>
      </w:r>
      <w:r>
        <w:rPr>
          <w:rFonts w:ascii="Arial" w:eastAsia="Arial" w:hAnsi="Arial" w:cs="Arial"/>
          <w:color w:val="000000"/>
        </w:rPr>
        <w:t xml:space="preserve"> sometido a ocupación, y sea coherente con el requisito de respetar en la mayor medida de los posible sus derechos humanos; solicitamo</w:t>
      </w:r>
      <w:r>
        <w:rPr>
          <w:rFonts w:ascii="Arial" w:eastAsia="Arial" w:hAnsi="Arial" w:cs="Arial"/>
          <w:color w:val="000000"/>
        </w:rPr>
        <w:t xml:space="preserve">s al Comité adopte las medidas necesarias para que en lo sucesivo, el Estado ocupante se apersone a la evaluación del Estado evaluado y rinda cuentas sobre el gobierno que viene ejecutando respecto a la población sometida y en qué medida está garantizando </w:t>
      </w:r>
      <w:r>
        <w:rPr>
          <w:rFonts w:ascii="Arial" w:eastAsia="Arial" w:hAnsi="Arial" w:cs="Arial"/>
          <w:color w:val="000000"/>
        </w:rPr>
        <w:t>la reanudación, o creación, de instituciones de gobierno y sus planes para devolver el territorio al pueblo soberano y su colaboración con el Estado evaluado en el cumplimiento del Pacto</w:t>
      </w:r>
      <w:r>
        <w:rPr>
          <w:rFonts w:ascii="Arial" w:eastAsia="Arial" w:hAnsi="Arial" w:cs="Arial"/>
          <w:color w:val="000000"/>
          <w:vertAlign w:val="superscript"/>
        </w:rPr>
        <w:footnoteReference w:id="14"/>
      </w:r>
      <w:r>
        <w:rPr>
          <w:rFonts w:ascii="Arial" w:eastAsia="Arial" w:hAnsi="Arial" w:cs="Arial"/>
          <w:color w:val="000000"/>
        </w:rPr>
        <w:t>.</w:t>
      </w:r>
    </w:p>
    <w:sectPr w:rsidR="00F74944">
      <w:pgSz w:w="12240" w:h="15840"/>
      <w:pgMar w:top="1380" w:right="1600" w:bottom="1640" w:left="1600" w:header="198"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810C11" w14:textId="77777777" w:rsidR="00000000" w:rsidRDefault="006777C7">
      <w:r>
        <w:separator/>
      </w:r>
    </w:p>
  </w:endnote>
  <w:endnote w:type="continuationSeparator" w:id="0">
    <w:p w14:paraId="1390A0C2" w14:textId="77777777" w:rsidR="00000000" w:rsidRDefault="00677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C8EDC" w14:textId="77777777" w:rsidR="00F74944" w:rsidRDefault="006777C7">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0288" behindDoc="1" locked="0" layoutInCell="1" hidden="0" allowOverlap="1" wp14:anchorId="1D961292" wp14:editId="21532E40">
              <wp:simplePos x="0" y="0"/>
              <wp:positionH relativeFrom="column">
                <wp:posOffset>63500</wp:posOffset>
              </wp:positionH>
              <wp:positionV relativeFrom="paragraph">
                <wp:posOffset>8966200</wp:posOffset>
              </wp:positionV>
              <wp:extent cx="0" cy="12700"/>
              <wp:effectExtent l="0" t="0" r="0" b="0"/>
              <wp:wrapNone/>
              <wp:docPr id="2012688212" name=""/>
              <wp:cNvGraphicFramePr/>
              <a:graphic xmlns:a="http://schemas.openxmlformats.org/drawingml/2006/main">
                <a:graphicData uri="http://schemas.microsoft.com/office/word/2010/wordprocessingShape">
                  <wps:wsp>
                    <wps:cNvCnPr/>
                    <wps:spPr>
                      <a:xfrm>
                        <a:off x="2539300" y="3780000"/>
                        <a:ext cx="5613400" cy="0"/>
                      </a:xfrm>
                      <a:prstGeom prst="straightConnector1">
                        <a:avLst/>
                      </a:prstGeom>
                      <a:noFill/>
                      <a:ln w="12700" cap="flat" cmpd="sng">
                        <a:solidFill>
                          <a:srgbClr val="000000"/>
                        </a:solidFill>
                        <a:prstDash val="solid"/>
                        <a:round/>
                        <a:headEnd type="none" w="med" len="med"/>
                        <a:tailEnd type="non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63500</wp:posOffset>
              </wp:positionH>
              <wp:positionV relativeFrom="paragraph">
                <wp:posOffset>8966200</wp:posOffset>
              </wp:positionV>
              <wp:extent cx="0" cy="12700"/>
              <wp:effectExtent b="0" l="0" r="0" t="0"/>
              <wp:wrapNone/>
              <wp:docPr id="201268821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rPr>
      <mc:AlternateContent>
        <mc:Choice Requires="wpg">
          <w:drawing>
            <wp:anchor distT="0" distB="0" distL="0" distR="0" simplePos="0" relativeHeight="251661312" behindDoc="1" locked="0" layoutInCell="1" hidden="0" allowOverlap="1" wp14:anchorId="0F222478" wp14:editId="2BDDD38E">
              <wp:simplePos x="0" y="0"/>
              <wp:positionH relativeFrom="column">
                <wp:posOffset>317500</wp:posOffset>
              </wp:positionH>
              <wp:positionV relativeFrom="paragraph">
                <wp:posOffset>8966200</wp:posOffset>
              </wp:positionV>
              <wp:extent cx="5140325" cy="365125"/>
              <wp:effectExtent l="0" t="0" r="0" b="0"/>
              <wp:wrapNone/>
              <wp:docPr id="2012688213" name=""/>
              <wp:cNvGraphicFramePr/>
              <a:graphic xmlns:a="http://schemas.openxmlformats.org/drawingml/2006/main">
                <a:graphicData uri="http://schemas.microsoft.com/office/word/2010/wordprocessingShape">
                  <wps:wsp>
                    <wps:cNvSpPr/>
                    <wps:spPr>
                      <a:xfrm>
                        <a:off x="2780600" y="3602200"/>
                        <a:ext cx="5130800" cy="355600"/>
                      </a:xfrm>
                      <a:prstGeom prst="rect">
                        <a:avLst/>
                      </a:prstGeom>
                      <a:noFill/>
                      <a:ln>
                        <a:noFill/>
                      </a:ln>
                    </wps:spPr>
                    <wps:txbx>
                      <w:txbxContent>
                        <w:p w14:paraId="259E5721" w14:textId="77777777" w:rsidR="00F74944" w:rsidRDefault="006777C7">
                          <w:pPr>
                            <w:spacing w:before="6"/>
                            <w:ind w:left="1518" w:firstLine="18"/>
                            <w:textDirection w:val="btLr"/>
                          </w:pPr>
                          <w:r>
                            <w:rPr>
                              <w:b/>
                              <w:color w:val="000000"/>
                            </w:rPr>
                            <w:t xml:space="preserve">National Human Right Network, Red Nacional de Derechos Humanos </w:t>
                          </w:r>
                          <w:r>
                            <w:rPr>
                              <w:rFonts w:ascii="Calibri" w:eastAsia="Calibri" w:hAnsi="Calibri" w:cs="Calibri"/>
                              <w:b/>
                              <w:i/>
                              <w:color w:val="1154CC"/>
                              <w:u w:val="single"/>
                            </w:rPr>
                            <w:t>www.nhrn.org</w:t>
                          </w:r>
                          <w:r>
                            <w:rPr>
                              <w:rFonts w:ascii="Calibri" w:eastAsia="Calibri" w:hAnsi="Calibri" w:cs="Calibri"/>
                              <w:b/>
                              <w:i/>
                              <w:color w:val="1154CC"/>
                            </w:rPr>
                            <w:t xml:space="preserve"> </w:t>
                          </w:r>
                          <w:r>
                            <w:rPr>
                              <w:rFonts w:ascii="Calibri" w:eastAsia="Calibri" w:hAnsi="Calibri" w:cs="Calibri"/>
                              <w:b/>
                              <w:i/>
                              <w:color w:val="000000"/>
                            </w:rPr>
                            <w:t>Rednaddhh@gmail.com, @Renaddhh, Madrid-España.</w:t>
                          </w:r>
                        </w:p>
                      </w:txbxContent>
                    </wps:txbx>
                    <wps:bodyPr spcFirstLastPara="1" wrap="square" lIns="0" tIns="0" rIns="0" bIns="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317500</wp:posOffset>
              </wp:positionH>
              <wp:positionV relativeFrom="paragraph">
                <wp:posOffset>8966200</wp:posOffset>
              </wp:positionV>
              <wp:extent cx="5140325" cy="365125"/>
              <wp:effectExtent b="0" l="0" r="0" t="0"/>
              <wp:wrapNone/>
              <wp:docPr id="2012688213"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5140325" cy="36512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D71EBC" w14:textId="77777777" w:rsidR="00000000" w:rsidRDefault="006777C7">
      <w:r>
        <w:separator/>
      </w:r>
    </w:p>
  </w:footnote>
  <w:footnote w:type="continuationSeparator" w:id="0">
    <w:p w14:paraId="7519FC25" w14:textId="77777777" w:rsidR="00000000" w:rsidRDefault="006777C7">
      <w:r>
        <w:continuationSeparator/>
      </w:r>
    </w:p>
  </w:footnote>
  <w:footnote w:id="1">
    <w:p w14:paraId="7809BEC2" w14:textId="77777777" w:rsidR="00F74944" w:rsidRDefault="006777C7">
      <w:pPr>
        <w:pBdr>
          <w:top w:val="nil"/>
          <w:left w:val="nil"/>
          <w:bottom w:val="nil"/>
          <w:right w:val="nil"/>
          <w:between w:val="nil"/>
        </w:pBdr>
        <w:rPr>
          <w:color w:val="000000"/>
          <w:sz w:val="18"/>
          <w:szCs w:val="18"/>
        </w:rPr>
      </w:pPr>
      <w:r>
        <w:rPr>
          <w:vertAlign w:val="superscript"/>
        </w:rPr>
        <w:footnoteRef/>
      </w:r>
      <w:r>
        <w:rPr>
          <w:color w:val="000000"/>
          <w:sz w:val="20"/>
          <w:szCs w:val="20"/>
        </w:rPr>
        <w:t xml:space="preserve"> Vease parrafo 59. </w:t>
      </w:r>
      <w:r>
        <w:rPr>
          <w:color w:val="000000"/>
          <w:sz w:val="18"/>
          <w:szCs w:val="18"/>
        </w:rPr>
        <w:t xml:space="preserve">ALBANESE, Francesca. Consejo de Derechos Humanos, informe de la Relatora Especial sobre la situación de los derechos humanos en los territorios palestinos ocupados desde 1967, 21 de setiembre de 2022: Disponible en: </w:t>
      </w:r>
      <w:hyperlink r:id="rId1">
        <w:r>
          <w:rPr>
            <w:color w:val="0000FF"/>
            <w:sz w:val="18"/>
            <w:szCs w:val="18"/>
            <w:u w:val="single"/>
          </w:rPr>
          <w:t>https://www.ohchr.org/es/documents/country-reports/a77356-situation-human-rights-palestinian-territories-occupied-1967</w:t>
        </w:r>
      </w:hyperlink>
    </w:p>
    <w:p w14:paraId="28E7FFF4" w14:textId="77777777" w:rsidR="00F74944" w:rsidRDefault="00F74944">
      <w:pPr>
        <w:pBdr>
          <w:top w:val="nil"/>
          <w:left w:val="nil"/>
          <w:bottom w:val="nil"/>
          <w:right w:val="nil"/>
          <w:between w:val="nil"/>
        </w:pBdr>
        <w:rPr>
          <w:color w:val="000000"/>
          <w:sz w:val="20"/>
          <w:szCs w:val="20"/>
        </w:rPr>
      </w:pPr>
    </w:p>
  </w:footnote>
  <w:footnote w:id="2">
    <w:p w14:paraId="675307A2"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Si</w:t>
      </w:r>
      <w:r>
        <w:rPr>
          <w:color w:val="000000"/>
          <w:sz w:val="20"/>
          <w:szCs w:val="20"/>
        </w:rPr>
        <w:t>mon Reynolds, Coercive Environments: Israel’s Forcible Transfer of Palestinians in the Occupied Territory (BADIL Resource Center for Palestinian Residency and Refugee Rights, 2017).</w:t>
      </w:r>
    </w:p>
    <w:p w14:paraId="7758C371" w14:textId="77777777" w:rsidR="00F74944" w:rsidRDefault="00F74944">
      <w:pPr>
        <w:pBdr>
          <w:top w:val="nil"/>
          <w:left w:val="nil"/>
          <w:bottom w:val="nil"/>
          <w:right w:val="nil"/>
          <w:between w:val="nil"/>
        </w:pBdr>
        <w:rPr>
          <w:color w:val="000000"/>
          <w:sz w:val="20"/>
          <w:szCs w:val="20"/>
        </w:rPr>
      </w:pPr>
    </w:p>
  </w:footnote>
  <w:footnote w:id="3">
    <w:p w14:paraId="234EADFA" w14:textId="77777777" w:rsidR="00F74944" w:rsidRDefault="006777C7">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Vease párrafo 47. </w:t>
      </w:r>
      <w:r>
        <w:rPr>
          <w:color w:val="000000"/>
          <w:sz w:val="18"/>
          <w:szCs w:val="18"/>
        </w:rPr>
        <w:t>LYNK, Michael. Consejo de Derechos Humanos, informe d</w:t>
      </w:r>
      <w:r>
        <w:rPr>
          <w:color w:val="000000"/>
          <w:sz w:val="18"/>
          <w:szCs w:val="18"/>
        </w:rPr>
        <w:t>el Relator Especial sobre la situación de los derechos humanos en los territorios palestinos ocupados desde 1967, 23 de octubre de 2017: Disponible en: https://documents-dds-ny.un.org/doc/UNDOC/GEN/N17/340/05/PDF/N1734005.pdf?OpenElement</w:t>
      </w:r>
    </w:p>
    <w:p w14:paraId="1C752744" w14:textId="77777777" w:rsidR="00F74944" w:rsidRDefault="00F74944">
      <w:pPr>
        <w:pBdr>
          <w:top w:val="nil"/>
          <w:left w:val="nil"/>
          <w:bottom w:val="nil"/>
          <w:right w:val="nil"/>
          <w:between w:val="nil"/>
        </w:pBdr>
        <w:rPr>
          <w:color w:val="000000"/>
          <w:sz w:val="20"/>
          <w:szCs w:val="20"/>
        </w:rPr>
      </w:pPr>
    </w:p>
  </w:footnote>
  <w:footnote w:id="4">
    <w:p w14:paraId="55700E34" w14:textId="77777777" w:rsidR="00F74944" w:rsidRDefault="006777C7">
      <w:pPr>
        <w:pBdr>
          <w:top w:val="nil"/>
          <w:left w:val="nil"/>
          <w:bottom w:val="nil"/>
          <w:right w:val="nil"/>
          <w:between w:val="nil"/>
        </w:pBdr>
        <w:rPr>
          <w:color w:val="000000"/>
          <w:sz w:val="18"/>
          <w:szCs w:val="18"/>
        </w:rPr>
      </w:pPr>
      <w:r>
        <w:rPr>
          <w:vertAlign w:val="superscript"/>
        </w:rPr>
        <w:footnoteRef/>
      </w:r>
      <w:r>
        <w:rPr>
          <w:color w:val="000000"/>
          <w:sz w:val="20"/>
          <w:szCs w:val="20"/>
        </w:rPr>
        <w:t xml:space="preserve"> Vease parrafo 4</w:t>
      </w:r>
      <w:r>
        <w:rPr>
          <w:color w:val="000000"/>
          <w:sz w:val="20"/>
          <w:szCs w:val="20"/>
        </w:rPr>
        <w:t xml:space="preserve">6. </w:t>
      </w:r>
      <w:r>
        <w:rPr>
          <w:color w:val="000000"/>
          <w:sz w:val="18"/>
          <w:szCs w:val="18"/>
        </w:rPr>
        <w:t xml:space="preserve">LYNK, Michael. Consejo de Derechos Humanos, informe del Relator Especial sobre la situación de los derechos humanos en los territorios palestinos ocupados desde 1967, 23 de octubre de 2017: Disponible en: </w:t>
      </w:r>
      <w:hyperlink r:id="rId2">
        <w:r>
          <w:rPr>
            <w:color w:val="0000FF"/>
            <w:sz w:val="18"/>
            <w:szCs w:val="18"/>
            <w:u w:val="single"/>
          </w:rPr>
          <w:t>https://documents-dds-ny.un.org/doc/UNDOC/GEN/N17/340/05/PDF/N1734005.pdf?OpenElement</w:t>
        </w:r>
      </w:hyperlink>
    </w:p>
    <w:p w14:paraId="46DDCB10" w14:textId="77777777" w:rsidR="00F74944" w:rsidRDefault="00F74944">
      <w:pPr>
        <w:pBdr>
          <w:top w:val="nil"/>
          <w:left w:val="nil"/>
          <w:bottom w:val="nil"/>
          <w:right w:val="nil"/>
          <w:between w:val="nil"/>
        </w:pBdr>
        <w:rPr>
          <w:color w:val="000000"/>
          <w:sz w:val="18"/>
          <w:szCs w:val="18"/>
        </w:rPr>
      </w:pPr>
    </w:p>
    <w:p w14:paraId="45C40D6A" w14:textId="77777777" w:rsidR="00F74944" w:rsidRDefault="00F74944">
      <w:pPr>
        <w:pBdr>
          <w:top w:val="nil"/>
          <w:left w:val="nil"/>
          <w:bottom w:val="nil"/>
          <w:right w:val="nil"/>
          <w:between w:val="nil"/>
        </w:pBdr>
        <w:rPr>
          <w:color w:val="000000"/>
          <w:sz w:val="20"/>
          <w:szCs w:val="20"/>
        </w:rPr>
      </w:pPr>
    </w:p>
  </w:footnote>
  <w:footnote w:id="5">
    <w:p w14:paraId="0D4364DE" w14:textId="77777777" w:rsidR="00F74944" w:rsidRDefault="006777C7">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Véase párrafo 14. </w:t>
      </w:r>
      <w:r>
        <w:rPr>
          <w:color w:val="000000"/>
          <w:sz w:val="18"/>
          <w:szCs w:val="18"/>
        </w:rPr>
        <w:t>LYNK, Michael. Consejo de Derechos Humanos, informe del Relator Especial sobre la situación de los derechos humanos en los territorios palestinos ocupados desde 1967, 23 de octubre de 2017: Disponible en: https://documents-dds-ny.un.org/doc/UNDOC/GEN/N17/3</w:t>
      </w:r>
      <w:r>
        <w:rPr>
          <w:color w:val="000000"/>
          <w:sz w:val="18"/>
          <w:szCs w:val="18"/>
        </w:rPr>
        <w:t>40/05/PDF/N1734005.pdf?OpenElement</w:t>
      </w:r>
    </w:p>
    <w:p w14:paraId="6D814574" w14:textId="77777777" w:rsidR="00F74944" w:rsidRDefault="00F74944">
      <w:pPr>
        <w:pBdr>
          <w:top w:val="nil"/>
          <w:left w:val="nil"/>
          <w:bottom w:val="nil"/>
          <w:right w:val="nil"/>
          <w:between w:val="nil"/>
        </w:pBdr>
        <w:rPr>
          <w:color w:val="000000"/>
          <w:sz w:val="20"/>
          <w:szCs w:val="20"/>
        </w:rPr>
      </w:pPr>
    </w:p>
  </w:footnote>
  <w:footnote w:id="6">
    <w:p w14:paraId="135264CF"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“Netanyahu says will begin annexing West Bank if he wins Israel election”, Haaretz, 7 de abril de 2019</w:t>
      </w:r>
    </w:p>
    <w:p w14:paraId="5AF221CE" w14:textId="77777777" w:rsidR="00F74944" w:rsidRDefault="006777C7">
      <w:pPr>
        <w:pBdr>
          <w:top w:val="nil"/>
          <w:left w:val="nil"/>
          <w:bottom w:val="nil"/>
          <w:right w:val="nil"/>
          <w:between w:val="nil"/>
        </w:pBdr>
        <w:rPr>
          <w:color w:val="000000"/>
          <w:sz w:val="20"/>
          <w:szCs w:val="20"/>
        </w:rPr>
      </w:pPr>
      <w:r>
        <w:rPr>
          <w:color w:val="000000"/>
          <w:sz w:val="20"/>
          <w:szCs w:val="20"/>
        </w:rPr>
        <w:t xml:space="preserve"> </w:t>
      </w:r>
    </w:p>
  </w:footnote>
  <w:footnote w:id="7">
    <w:p w14:paraId="1607B60D"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Gili Cohen, “Ex-Mossad chief says occupation is Israel’s only existential threat”, Haaretz, 22 de marzo de 2017.</w:t>
      </w:r>
      <w:r>
        <w:rPr>
          <w:color w:val="000000"/>
          <w:sz w:val="20"/>
          <w:szCs w:val="20"/>
        </w:rPr>
        <w:t xml:space="preserve"> Se puede consultar en www.haaretz.com/israel-news/1.778650.</w:t>
      </w:r>
    </w:p>
    <w:p w14:paraId="40DFDEE0" w14:textId="77777777" w:rsidR="00F74944" w:rsidRDefault="00F74944">
      <w:pPr>
        <w:pBdr>
          <w:top w:val="nil"/>
          <w:left w:val="nil"/>
          <w:bottom w:val="nil"/>
          <w:right w:val="nil"/>
          <w:between w:val="nil"/>
        </w:pBdr>
        <w:rPr>
          <w:color w:val="000000"/>
          <w:sz w:val="20"/>
          <w:szCs w:val="20"/>
        </w:rPr>
      </w:pPr>
    </w:p>
  </w:footnote>
  <w:footnote w:id="8">
    <w:p w14:paraId="6775FC28"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Vease parrafo 49. </w:t>
      </w:r>
      <w:r>
        <w:rPr>
          <w:color w:val="000000"/>
          <w:sz w:val="18"/>
          <w:szCs w:val="18"/>
        </w:rPr>
        <w:t>ALBANESE, Francesca. Consejo de Derechos Humanos, informe de la Relatora Especial sobre la situación de los derechos humanos en los territorios palestinos ocupados desde 1967</w:t>
      </w:r>
      <w:r>
        <w:rPr>
          <w:color w:val="000000"/>
          <w:sz w:val="18"/>
          <w:szCs w:val="18"/>
        </w:rPr>
        <w:t>, 21 de setiembre de 2022: Disponible en: https://www.ohchr.org/es/documents/country-reports/a77356-situation-human-rights-palestinian-territories-occupied-1967</w:t>
      </w:r>
    </w:p>
    <w:p w14:paraId="345780FE" w14:textId="77777777" w:rsidR="00F74944" w:rsidRDefault="00F74944">
      <w:pPr>
        <w:pBdr>
          <w:top w:val="nil"/>
          <w:left w:val="nil"/>
          <w:bottom w:val="nil"/>
          <w:right w:val="nil"/>
          <w:between w:val="nil"/>
        </w:pBdr>
        <w:rPr>
          <w:color w:val="000000"/>
          <w:sz w:val="20"/>
          <w:szCs w:val="20"/>
        </w:rPr>
      </w:pPr>
    </w:p>
  </w:footnote>
  <w:footnote w:id="9">
    <w:p w14:paraId="1BFC70C9"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Vease parrafo 8. </w:t>
      </w:r>
      <w:r>
        <w:rPr>
          <w:color w:val="000000"/>
          <w:sz w:val="18"/>
          <w:szCs w:val="18"/>
        </w:rPr>
        <w:t>ALBANESE, Francesca. Consejo de Derechos Humanos, informe de la Relatora Especial sobre la situación de los derechos humanos en los territorios palestinos ocupados desde 1967, 21 de setiembre de 2022: Disponible en: https://www.ohchr.org/es/documents/count</w:t>
      </w:r>
      <w:r>
        <w:rPr>
          <w:color w:val="000000"/>
          <w:sz w:val="18"/>
          <w:szCs w:val="18"/>
        </w:rPr>
        <w:t>ry-reports/a77356-situation-human-rights-palestinian-territories-occupied-1967</w:t>
      </w:r>
    </w:p>
    <w:p w14:paraId="3E7F80B3" w14:textId="77777777" w:rsidR="00F74944" w:rsidRDefault="00F74944">
      <w:pPr>
        <w:pBdr>
          <w:top w:val="nil"/>
          <w:left w:val="nil"/>
          <w:bottom w:val="nil"/>
          <w:right w:val="nil"/>
          <w:between w:val="nil"/>
        </w:pBdr>
        <w:rPr>
          <w:color w:val="000000"/>
          <w:sz w:val="20"/>
          <w:szCs w:val="20"/>
        </w:rPr>
      </w:pPr>
    </w:p>
  </w:footnote>
  <w:footnote w:id="10">
    <w:p w14:paraId="3C7916EA"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Vease parrafo 54. </w:t>
      </w:r>
      <w:r>
        <w:rPr>
          <w:color w:val="000000"/>
          <w:sz w:val="18"/>
          <w:szCs w:val="18"/>
        </w:rPr>
        <w:t>ALBANESE, Francesca. Consejo de Derechos Humanos, informe de la Relatora Especial sobre la situación de los derechos humanos en los territorios palestinos o</w:t>
      </w:r>
      <w:r>
        <w:rPr>
          <w:color w:val="000000"/>
          <w:sz w:val="18"/>
          <w:szCs w:val="18"/>
        </w:rPr>
        <w:t>cupados desde 1967, 21 de setiembre de 2022: Disponible en: https://www.ohchr.org/es/documents/country-reports/a77356-situation-human-rights-palestinian-territories-occupied-1967</w:t>
      </w:r>
    </w:p>
    <w:p w14:paraId="0C70D837" w14:textId="77777777" w:rsidR="00F74944" w:rsidRDefault="00F74944">
      <w:pPr>
        <w:pBdr>
          <w:top w:val="nil"/>
          <w:left w:val="nil"/>
          <w:bottom w:val="nil"/>
          <w:right w:val="nil"/>
          <w:between w:val="nil"/>
        </w:pBdr>
        <w:rPr>
          <w:color w:val="000000"/>
          <w:sz w:val="20"/>
          <w:szCs w:val="20"/>
        </w:rPr>
      </w:pPr>
    </w:p>
  </w:footnote>
  <w:footnote w:id="11">
    <w:p w14:paraId="60237B36" w14:textId="77777777" w:rsidR="00F74944" w:rsidRDefault="006777C7">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ACNUDH, “Killing of journalist in the occupied Palestinian territory”, 24 </w:t>
      </w:r>
      <w:r>
        <w:rPr>
          <w:color w:val="000000"/>
          <w:sz w:val="20"/>
          <w:szCs w:val="20"/>
        </w:rPr>
        <w:t>de junio de 2022</w:t>
      </w:r>
    </w:p>
    <w:p w14:paraId="4C3AC086" w14:textId="77777777" w:rsidR="00F74944" w:rsidRDefault="00F74944">
      <w:pPr>
        <w:pBdr>
          <w:top w:val="nil"/>
          <w:left w:val="nil"/>
          <w:bottom w:val="nil"/>
          <w:right w:val="nil"/>
          <w:between w:val="nil"/>
        </w:pBdr>
        <w:rPr>
          <w:color w:val="000000"/>
          <w:sz w:val="20"/>
          <w:szCs w:val="20"/>
        </w:rPr>
      </w:pPr>
    </w:p>
  </w:footnote>
  <w:footnote w:id="12">
    <w:p w14:paraId="04F8C2D4" w14:textId="77777777" w:rsidR="00F74944" w:rsidRDefault="006777C7">
      <w:pPr>
        <w:pBdr>
          <w:top w:val="nil"/>
          <w:left w:val="nil"/>
          <w:bottom w:val="nil"/>
          <w:right w:val="nil"/>
          <w:between w:val="nil"/>
        </w:pBdr>
        <w:rPr>
          <w:color w:val="000000"/>
          <w:sz w:val="18"/>
          <w:szCs w:val="18"/>
        </w:rPr>
      </w:pPr>
      <w:r>
        <w:rPr>
          <w:vertAlign w:val="superscript"/>
        </w:rPr>
        <w:footnoteRef/>
      </w:r>
      <w:r>
        <w:rPr>
          <w:color w:val="000000"/>
          <w:sz w:val="20"/>
          <w:szCs w:val="20"/>
        </w:rPr>
        <w:t xml:space="preserve"> Vease parrafo 59. </w:t>
      </w:r>
      <w:r>
        <w:rPr>
          <w:color w:val="000000"/>
          <w:sz w:val="18"/>
          <w:szCs w:val="18"/>
        </w:rPr>
        <w:t xml:space="preserve">ALBANESE, Francesca. Consejo de Derechos Humanos, informe de la Relatora Especial sobre la situación de los derechos humanos en los territorios palestinos ocupados desde 1967, 21 de setiembre de 2022: Disponible en: </w:t>
      </w:r>
      <w:hyperlink r:id="rId3">
        <w:r>
          <w:rPr>
            <w:color w:val="1155CC"/>
            <w:sz w:val="18"/>
            <w:szCs w:val="18"/>
            <w:u w:val="single"/>
          </w:rPr>
          <w:t>https://www.ohchr.org/es/documents/country-reports/a77356-situation-human-rights-palestinian-territories-occupied-1967</w:t>
        </w:r>
      </w:hyperlink>
    </w:p>
    <w:p w14:paraId="5656F2F1" w14:textId="77777777" w:rsidR="00F74944" w:rsidRDefault="006777C7">
      <w:pPr>
        <w:pBdr>
          <w:top w:val="nil"/>
          <w:left w:val="nil"/>
          <w:bottom w:val="nil"/>
          <w:right w:val="nil"/>
          <w:between w:val="nil"/>
        </w:pBdr>
        <w:rPr>
          <w:sz w:val="18"/>
          <w:szCs w:val="18"/>
        </w:rPr>
      </w:pPr>
      <w:r>
        <w:rPr>
          <w:sz w:val="18"/>
          <w:szCs w:val="18"/>
        </w:rPr>
        <w:t xml:space="preserve">12-A </w:t>
      </w:r>
      <w:hyperlink r:id="rId4">
        <w:r>
          <w:rPr>
            <w:color w:val="1155CC"/>
            <w:sz w:val="18"/>
            <w:szCs w:val="18"/>
            <w:u w:val="single"/>
          </w:rPr>
          <w:t>Palestina LGBTI: La realidad del colectivo LGBTI palestino frente al 'apartheid' isr</w:t>
        </w:r>
        <w:r>
          <w:rPr>
            <w:color w:val="1155CC"/>
            <w:sz w:val="18"/>
            <w:szCs w:val="18"/>
            <w:u w:val="single"/>
          </w:rPr>
          <w:t>aelí | Público (publico.es)</w:t>
        </w:r>
      </w:hyperlink>
      <w:r>
        <w:rPr>
          <w:sz w:val="18"/>
          <w:szCs w:val="18"/>
        </w:rPr>
        <w:t xml:space="preserve"> </w:t>
      </w:r>
    </w:p>
    <w:p w14:paraId="60B2DCAB" w14:textId="77777777" w:rsidR="00F74944" w:rsidRDefault="006777C7">
      <w:pPr>
        <w:pBdr>
          <w:top w:val="nil"/>
          <w:left w:val="nil"/>
          <w:bottom w:val="nil"/>
          <w:right w:val="nil"/>
          <w:between w:val="nil"/>
        </w:pBdr>
        <w:rPr>
          <w:sz w:val="18"/>
          <w:szCs w:val="18"/>
        </w:rPr>
      </w:pPr>
      <w:r>
        <w:rPr>
          <w:sz w:val="18"/>
          <w:szCs w:val="18"/>
        </w:rPr>
        <w:t xml:space="preserve">12-B </w:t>
      </w:r>
      <w:hyperlink r:id="rId5">
        <w:r>
          <w:rPr>
            <w:color w:val="1155CC"/>
            <w:sz w:val="18"/>
            <w:szCs w:val="18"/>
            <w:u w:val="single"/>
          </w:rPr>
          <w:t>Palestino homosexual refugiado en Israel es decapitado en Hebrón (enlacejudio.com)</w:t>
        </w:r>
      </w:hyperlink>
      <w:r>
        <w:rPr>
          <w:sz w:val="18"/>
          <w:szCs w:val="18"/>
        </w:rPr>
        <w:t xml:space="preserve"> </w:t>
      </w:r>
    </w:p>
    <w:p w14:paraId="48C87326" w14:textId="77777777" w:rsidR="00F74944" w:rsidRDefault="00F74944">
      <w:pPr>
        <w:pBdr>
          <w:top w:val="nil"/>
          <w:left w:val="nil"/>
          <w:bottom w:val="nil"/>
          <w:right w:val="nil"/>
          <w:between w:val="nil"/>
        </w:pBdr>
        <w:rPr>
          <w:sz w:val="18"/>
          <w:szCs w:val="18"/>
        </w:rPr>
      </w:pPr>
    </w:p>
  </w:footnote>
  <w:footnote w:id="13">
    <w:p w14:paraId="4CF64947" w14:textId="77777777" w:rsidR="00F74944" w:rsidRDefault="006777C7">
      <w:pPr>
        <w:pBdr>
          <w:top w:val="nil"/>
          <w:left w:val="nil"/>
          <w:bottom w:val="nil"/>
          <w:right w:val="nil"/>
          <w:between w:val="nil"/>
        </w:pBdr>
        <w:jc w:val="both"/>
        <w:rPr>
          <w:color w:val="000000"/>
          <w:sz w:val="18"/>
          <w:szCs w:val="18"/>
        </w:rPr>
      </w:pPr>
      <w:r>
        <w:rPr>
          <w:vertAlign w:val="superscript"/>
        </w:rPr>
        <w:footnoteRef/>
      </w:r>
      <w:r>
        <w:rPr>
          <w:color w:val="000000"/>
          <w:sz w:val="20"/>
          <w:szCs w:val="20"/>
        </w:rPr>
        <w:t xml:space="preserve"> Vease parrafo 34. </w:t>
      </w:r>
      <w:r>
        <w:rPr>
          <w:color w:val="000000"/>
          <w:sz w:val="18"/>
          <w:szCs w:val="18"/>
        </w:rPr>
        <w:t xml:space="preserve">LYNK, Michael. Consejo de Derechos Humanos, informe del Relator Especial sobre la situación de los derechos humanos en los territorios palestinos ocupados desde 1967, 23 de octubre de 2017: Disponible en: </w:t>
      </w:r>
      <w:hyperlink r:id="rId6">
        <w:r>
          <w:rPr>
            <w:color w:val="0000FF"/>
            <w:sz w:val="18"/>
            <w:szCs w:val="18"/>
            <w:u w:val="single"/>
          </w:rPr>
          <w:t>https://documents-dds-ny.un.org/doc/UNDOC/GEN/N17/340/05/PDF/N1734005.pdf?OpenElement</w:t>
        </w:r>
      </w:hyperlink>
    </w:p>
    <w:p w14:paraId="1F6605C8" w14:textId="77777777" w:rsidR="00F74944" w:rsidRDefault="00F74944">
      <w:pPr>
        <w:pBdr>
          <w:top w:val="nil"/>
          <w:left w:val="nil"/>
          <w:bottom w:val="nil"/>
          <w:right w:val="nil"/>
          <w:between w:val="nil"/>
        </w:pBdr>
        <w:jc w:val="both"/>
        <w:rPr>
          <w:color w:val="000000"/>
          <w:sz w:val="20"/>
          <w:szCs w:val="20"/>
        </w:rPr>
      </w:pPr>
    </w:p>
    <w:p w14:paraId="27F88D18" w14:textId="77777777" w:rsidR="00F74944" w:rsidRDefault="00F74944">
      <w:pPr>
        <w:pBdr>
          <w:top w:val="nil"/>
          <w:left w:val="nil"/>
          <w:bottom w:val="nil"/>
          <w:right w:val="nil"/>
          <w:between w:val="nil"/>
        </w:pBdr>
        <w:jc w:val="both"/>
        <w:rPr>
          <w:color w:val="000000"/>
          <w:sz w:val="20"/>
          <w:szCs w:val="20"/>
        </w:rPr>
      </w:pPr>
    </w:p>
  </w:footnote>
  <w:footnote w:id="14">
    <w:p w14:paraId="0549977B" w14:textId="77777777" w:rsidR="00F74944" w:rsidRDefault="006777C7">
      <w:pPr>
        <w:pBdr>
          <w:top w:val="nil"/>
          <w:left w:val="nil"/>
          <w:bottom w:val="nil"/>
          <w:right w:val="nil"/>
          <w:between w:val="nil"/>
        </w:pBdr>
        <w:jc w:val="both"/>
        <w:rPr>
          <w:color w:val="000000"/>
          <w:sz w:val="18"/>
          <w:szCs w:val="18"/>
        </w:rPr>
      </w:pPr>
      <w:r>
        <w:rPr>
          <w:vertAlign w:val="superscript"/>
        </w:rPr>
        <w:footnoteRef/>
      </w:r>
      <w:r>
        <w:rPr>
          <w:color w:val="000000"/>
          <w:sz w:val="20"/>
          <w:szCs w:val="20"/>
        </w:rPr>
        <w:t xml:space="preserve"> Vease parrafo 33. </w:t>
      </w:r>
      <w:r>
        <w:rPr>
          <w:color w:val="000000"/>
          <w:sz w:val="18"/>
          <w:szCs w:val="18"/>
        </w:rPr>
        <w:t>LYNK, Michael. Consejo de Derechos Humanos</w:t>
      </w:r>
      <w:r>
        <w:rPr>
          <w:color w:val="000000"/>
          <w:sz w:val="18"/>
          <w:szCs w:val="18"/>
        </w:rPr>
        <w:t xml:space="preserve">, informe del Relator Especial sobre la situación de los derechos humanos en los territorios palestinos ocupados desde 1967, 23 de octubre de 2017: Disponible en: </w:t>
      </w:r>
      <w:hyperlink r:id="rId7">
        <w:r>
          <w:rPr>
            <w:color w:val="0000FF"/>
            <w:sz w:val="18"/>
            <w:szCs w:val="18"/>
            <w:u w:val="single"/>
          </w:rPr>
          <w:t>https://documents-dds-ny.un.org/doc/UNDOC/GEN/N17/340/05/PDF/N1734005.pdf?OpenElement</w:t>
        </w:r>
      </w:hyperlink>
    </w:p>
    <w:p w14:paraId="73450147" w14:textId="77777777" w:rsidR="00F74944" w:rsidRDefault="00F74944">
      <w:pPr>
        <w:pBdr>
          <w:top w:val="nil"/>
          <w:left w:val="nil"/>
          <w:bottom w:val="nil"/>
          <w:right w:val="nil"/>
          <w:between w:val="nil"/>
        </w:pBdr>
        <w:rPr>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A459B" w14:textId="77777777" w:rsidR="00F74944" w:rsidRDefault="006777C7">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58240" behindDoc="1" locked="0" layoutInCell="1" hidden="0" allowOverlap="1" wp14:anchorId="3E564D72" wp14:editId="0FE5F046">
          <wp:simplePos x="0" y="0"/>
          <wp:positionH relativeFrom="page">
            <wp:posOffset>994410</wp:posOffset>
          </wp:positionH>
          <wp:positionV relativeFrom="page">
            <wp:posOffset>125729</wp:posOffset>
          </wp:positionV>
          <wp:extent cx="1177154" cy="671475"/>
          <wp:effectExtent l="0" t="0" r="0" b="0"/>
          <wp:wrapNone/>
          <wp:docPr id="20126882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77154" cy="671475"/>
                  </a:xfrm>
                  <a:prstGeom prst="rect">
                    <a:avLst/>
                  </a:prstGeom>
                  <a:ln/>
                </pic:spPr>
              </pic:pic>
            </a:graphicData>
          </a:graphic>
        </wp:anchor>
      </w:drawing>
    </w:r>
    <w:r>
      <w:rPr>
        <w:noProof/>
        <w:color w:val="000000"/>
      </w:rPr>
      <w:drawing>
        <wp:anchor distT="0" distB="0" distL="0" distR="0" simplePos="0" relativeHeight="251659264" behindDoc="1" locked="0" layoutInCell="1" hidden="0" allowOverlap="1" wp14:anchorId="033F6974" wp14:editId="32BD2736">
          <wp:simplePos x="0" y="0"/>
          <wp:positionH relativeFrom="page">
            <wp:posOffset>5699760</wp:posOffset>
          </wp:positionH>
          <wp:positionV relativeFrom="page">
            <wp:posOffset>192405</wp:posOffset>
          </wp:positionV>
          <wp:extent cx="1533525" cy="695324"/>
          <wp:effectExtent l="0" t="0" r="0" b="0"/>
          <wp:wrapNone/>
          <wp:docPr id="20126882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533525" cy="69532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AC3B85"/>
    <w:multiLevelType w:val="multilevel"/>
    <w:tmpl w:val="5482879E"/>
    <w:lvl w:ilvl="0">
      <w:start w:val="1"/>
      <w:numFmt w:val="decimal"/>
      <w:lvlText w:val="%1."/>
      <w:lvlJc w:val="left"/>
      <w:pPr>
        <w:ind w:left="461" w:hanging="360"/>
      </w:pPr>
    </w:lvl>
    <w:lvl w:ilvl="1">
      <w:start w:val="1"/>
      <w:numFmt w:val="lowerLetter"/>
      <w:lvlText w:val="%2."/>
      <w:lvlJc w:val="left"/>
      <w:pPr>
        <w:ind w:left="1181" w:hanging="360"/>
      </w:pPr>
    </w:lvl>
    <w:lvl w:ilvl="2">
      <w:start w:val="1"/>
      <w:numFmt w:val="lowerRoman"/>
      <w:lvlText w:val="%3."/>
      <w:lvlJc w:val="right"/>
      <w:pPr>
        <w:ind w:left="1901" w:hanging="180"/>
      </w:pPr>
    </w:lvl>
    <w:lvl w:ilvl="3">
      <w:start w:val="1"/>
      <w:numFmt w:val="decimal"/>
      <w:lvlText w:val="%4."/>
      <w:lvlJc w:val="left"/>
      <w:pPr>
        <w:ind w:left="2621" w:hanging="360"/>
      </w:pPr>
    </w:lvl>
    <w:lvl w:ilvl="4">
      <w:start w:val="1"/>
      <w:numFmt w:val="lowerLetter"/>
      <w:lvlText w:val="%5."/>
      <w:lvlJc w:val="left"/>
      <w:pPr>
        <w:ind w:left="3341" w:hanging="360"/>
      </w:pPr>
    </w:lvl>
    <w:lvl w:ilvl="5">
      <w:start w:val="1"/>
      <w:numFmt w:val="lowerRoman"/>
      <w:lvlText w:val="%6."/>
      <w:lvlJc w:val="right"/>
      <w:pPr>
        <w:ind w:left="4061" w:hanging="180"/>
      </w:pPr>
    </w:lvl>
    <w:lvl w:ilvl="6">
      <w:start w:val="1"/>
      <w:numFmt w:val="decimal"/>
      <w:lvlText w:val="%7."/>
      <w:lvlJc w:val="left"/>
      <w:pPr>
        <w:ind w:left="4781" w:hanging="360"/>
      </w:pPr>
    </w:lvl>
    <w:lvl w:ilvl="7">
      <w:start w:val="1"/>
      <w:numFmt w:val="lowerLetter"/>
      <w:lvlText w:val="%8."/>
      <w:lvlJc w:val="left"/>
      <w:pPr>
        <w:ind w:left="5501" w:hanging="360"/>
      </w:pPr>
    </w:lvl>
    <w:lvl w:ilvl="8">
      <w:start w:val="1"/>
      <w:numFmt w:val="lowerRoman"/>
      <w:lvlText w:val="%9."/>
      <w:lvlJc w:val="right"/>
      <w:pPr>
        <w:ind w:left="6221" w:hanging="180"/>
      </w:pPr>
    </w:lvl>
  </w:abstractNum>
  <w:abstractNum w:abstractNumId="1" w15:restartNumberingAfterBreak="0">
    <w:nsid w:val="66744C87"/>
    <w:multiLevelType w:val="multilevel"/>
    <w:tmpl w:val="5D64193E"/>
    <w:lvl w:ilvl="0">
      <w:start w:val="1"/>
      <w:numFmt w:val="decimal"/>
      <w:lvlText w:val="%1."/>
      <w:lvlJc w:val="left"/>
      <w:pPr>
        <w:ind w:left="821" w:hanging="360"/>
      </w:pPr>
      <w:rPr>
        <w:rFonts w:ascii="Times New Roman" w:eastAsia="Times New Roman" w:hAnsi="Times New Roman" w:cs="Times New Roman"/>
        <w:color w:val="202021"/>
        <w:sz w:val="20"/>
        <w:szCs w:val="20"/>
      </w:rPr>
    </w:lvl>
    <w:lvl w:ilvl="1">
      <w:numFmt w:val="bullet"/>
      <w:lvlText w:val="•"/>
      <w:lvlJc w:val="left"/>
      <w:pPr>
        <w:ind w:left="1642" w:hanging="360"/>
      </w:pPr>
    </w:lvl>
    <w:lvl w:ilvl="2">
      <w:numFmt w:val="bullet"/>
      <w:lvlText w:val="•"/>
      <w:lvlJc w:val="left"/>
      <w:pPr>
        <w:ind w:left="2464" w:hanging="360"/>
      </w:pPr>
    </w:lvl>
    <w:lvl w:ilvl="3">
      <w:numFmt w:val="bullet"/>
      <w:lvlText w:val="•"/>
      <w:lvlJc w:val="left"/>
      <w:pPr>
        <w:ind w:left="3286" w:hanging="360"/>
      </w:pPr>
    </w:lvl>
    <w:lvl w:ilvl="4">
      <w:numFmt w:val="bullet"/>
      <w:lvlText w:val="•"/>
      <w:lvlJc w:val="left"/>
      <w:pPr>
        <w:ind w:left="4108" w:hanging="360"/>
      </w:pPr>
    </w:lvl>
    <w:lvl w:ilvl="5">
      <w:numFmt w:val="bullet"/>
      <w:lvlText w:val="•"/>
      <w:lvlJc w:val="left"/>
      <w:pPr>
        <w:ind w:left="4930" w:hanging="360"/>
      </w:pPr>
    </w:lvl>
    <w:lvl w:ilvl="6">
      <w:numFmt w:val="bullet"/>
      <w:lvlText w:val="•"/>
      <w:lvlJc w:val="left"/>
      <w:pPr>
        <w:ind w:left="5752" w:hanging="360"/>
      </w:pPr>
    </w:lvl>
    <w:lvl w:ilvl="7">
      <w:numFmt w:val="bullet"/>
      <w:lvlText w:val="•"/>
      <w:lvlJc w:val="left"/>
      <w:pPr>
        <w:ind w:left="6574" w:hanging="360"/>
      </w:pPr>
    </w:lvl>
    <w:lvl w:ilvl="8">
      <w:numFmt w:val="bullet"/>
      <w:lvlText w:val="•"/>
      <w:lvlJc w:val="left"/>
      <w:pPr>
        <w:ind w:left="7396" w:hanging="360"/>
      </w:pPr>
    </w:lvl>
  </w:abstractNum>
  <w:num w:numId="1" w16cid:durableId="695083668">
    <w:abstractNumId w:val="0"/>
  </w:num>
  <w:num w:numId="2" w16cid:durableId="829712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4944"/>
    <w:rsid w:val="006777C7"/>
    <w:rsid w:val="00F749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4311E"/>
  <w15:docId w15:val="{3F2AB346-C7C1-4930-99C8-44ABE145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fr-F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38" w:right="3555"/>
      <w:jc w:val="center"/>
      <w:outlineLvl w:val="0"/>
    </w:pPr>
    <w:rPr>
      <w:rFonts w:ascii="Georgia" w:eastAsia="Georgia" w:hAnsi="Georgia" w:cs="Georgia"/>
      <w:i/>
      <w:iCs/>
      <w:sz w:val="36"/>
      <w:szCs w:val="36"/>
    </w:rPr>
  </w:style>
  <w:style w:type="paragraph" w:styleId="Heading2">
    <w:name w:val="heading 2"/>
    <w:basedOn w:val="Normal"/>
    <w:uiPriority w:val="9"/>
    <w:unhideWhenUsed/>
    <w:qFormat/>
    <w:pPr>
      <w:spacing w:before="158"/>
      <w:ind w:left="821" w:right="99" w:hanging="360"/>
      <w:jc w:val="both"/>
      <w:outlineLvl w:val="1"/>
    </w:pPr>
    <w:rPr>
      <w:sz w:val="24"/>
      <w:szCs w:val="24"/>
    </w:rPr>
  </w:style>
  <w:style w:type="paragraph" w:styleId="Heading3">
    <w:name w:val="heading 3"/>
    <w:basedOn w:val="Normal"/>
    <w:uiPriority w:val="9"/>
    <w:unhideWhenUsed/>
    <w:qFormat/>
    <w:pPr>
      <w:ind w:left="101"/>
      <w:jc w:val="both"/>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ListParagraph">
    <w:name w:val="List Paragraph"/>
    <w:basedOn w:val="Normal"/>
    <w:uiPriority w:val="1"/>
    <w:qFormat/>
    <w:pPr>
      <w:ind w:left="821" w:hanging="360"/>
    </w:pPr>
  </w:style>
  <w:style w:type="paragraph" w:customStyle="1" w:styleId="TableParagraph">
    <w:name w:val="Table Paragraph"/>
    <w:basedOn w:val="Normal"/>
    <w:uiPriority w:val="1"/>
    <w:qFormat/>
  </w:style>
  <w:style w:type="paragraph" w:styleId="FootnoteText">
    <w:name w:val="footnote text"/>
    <w:basedOn w:val="Normal"/>
    <w:link w:val="FootnoteTextChar"/>
    <w:uiPriority w:val="99"/>
    <w:semiHidden/>
    <w:unhideWhenUsed/>
    <w:rsid w:val="003F3B70"/>
    <w:rPr>
      <w:sz w:val="20"/>
      <w:szCs w:val="20"/>
    </w:rPr>
  </w:style>
  <w:style w:type="character" w:customStyle="1" w:styleId="FootnoteTextChar">
    <w:name w:val="Footnote Text Char"/>
    <w:basedOn w:val="DefaultParagraphFont"/>
    <w:link w:val="FootnoteText"/>
    <w:uiPriority w:val="99"/>
    <w:semiHidden/>
    <w:rsid w:val="003F3B70"/>
    <w:rPr>
      <w:rFonts w:ascii="Times New Roman" w:eastAsia="Times New Roman" w:hAnsi="Times New Roman" w:cs="Times New Roman"/>
      <w:sz w:val="20"/>
      <w:szCs w:val="20"/>
      <w:lang w:val="es-ES"/>
    </w:rPr>
  </w:style>
  <w:style w:type="character" w:styleId="FootnoteReference">
    <w:name w:val="footnote reference"/>
    <w:basedOn w:val="DefaultParagraphFont"/>
    <w:uiPriority w:val="99"/>
    <w:semiHidden/>
    <w:unhideWhenUsed/>
    <w:rsid w:val="003F3B70"/>
    <w:rPr>
      <w:vertAlign w:val="superscript"/>
    </w:rPr>
  </w:style>
  <w:style w:type="character" w:styleId="CommentReference">
    <w:name w:val="annotation reference"/>
    <w:basedOn w:val="DefaultParagraphFont"/>
    <w:uiPriority w:val="99"/>
    <w:semiHidden/>
    <w:unhideWhenUsed/>
    <w:rsid w:val="00A96888"/>
    <w:rPr>
      <w:sz w:val="16"/>
      <w:szCs w:val="16"/>
    </w:rPr>
  </w:style>
  <w:style w:type="paragraph" w:styleId="CommentText">
    <w:name w:val="annotation text"/>
    <w:basedOn w:val="Normal"/>
    <w:link w:val="CommentTextChar"/>
    <w:uiPriority w:val="99"/>
    <w:semiHidden/>
    <w:unhideWhenUsed/>
    <w:rsid w:val="00A96888"/>
    <w:rPr>
      <w:sz w:val="20"/>
      <w:szCs w:val="20"/>
    </w:rPr>
  </w:style>
  <w:style w:type="character" w:customStyle="1" w:styleId="CommentTextChar">
    <w:name w:val="Comment Text Char"/>
    <w:basedOn w:val="DefaultParagraphFont"/>
    <w:link w:val="CommentText"/>
    <w:uiPriority w:val="99"/>
    <w:semiHidden/>
    <w:rsid w:val="00A96888"/>
    <w:rPr>
      <w:rFonts w:ascii="Times New Roman" w:eastAsia="Times New Roman" w:hAnsi="Times New Roman" w:cs="Times New Roman"/>
      <w:sz w:val="20"/>
      <w:szCs w:val="20"/>
      <w:lang w:val="es-ES"/>
    </w:rPr>
  </w:style>
  <w:style w:type="paragraph" w:styleId="CommentSubject">
    <w:name w:val="annotation subject"/>
    <w:basedOn w:val="CommentText"/>
    <w:next w:val="CommentText"/>
    <w:link w:val="CommentSubjectChar"/>
    <w:uiPriority w:val="99"/>
    <w:semiHidden/>
    <w:unhideWhenUsed/>
    <w:rsid w:val="00A96888"/>
    <w:rPr>
      <w:b/>
      <w:bCs/>
    </w:rPr>
  </w:style>
  <w:style w:type="character" w:customStyle="1" w:styleId="CommentSubjectChar">
    <w:name w:val="Comment Subject Char"/>
    <w:basedOn w:val="CommentTextChar"/>
    <w:link w:val="CommentSubject"/>
    <w:uiPriority w:val="99"/>
    <w:semiHidden/>
    <w:rsid w:val="00A96888"/>
    <w:rPr>
      <w:rFonts w:ascii="Times New Roman" w:eastAsia="Times New Roman" w:hAnsi="Times New Roman" w:cs="Times New Roman"/>
      <w:b/>
      <w:bCs/>
      <w:sz w:val="20"/>
      <w:szCs w:val="20"/>
      <w:lang w:val="es-ES"/>
    </w:rPr>
  </w:style>
  <w:style w:type="character" w:styleId="Hyperlink">
    <w:name w:val="Hyperlink"/>
    <w:basedOn w:val="DefaultParagraphFont"/>
    <w:uiPriority w:val="99"/>
    <w:unhideWhenUsed/>
    <w:rsid w:val="009859A0"/>
    <w:rPr>
      <w:color w:val="0000FF" w:themeColor="hyperlink"/>
      <w:u w:val="single"/>
    </w:rPr>
  </w:style>
  <w:style w:type="character" w:styleId="UnresolvedMention">
    <w:name w:val="Unresolved Mention"/>
    <w:basedOn w:val="DefaultParagraphFont"/>
    <w:uiPriority w:val="99"/>
    <w:semiHidden/>
    <w:unhideWhenUsed/>
    <w:rsid w:val="009859A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s/documents/country-reports/a77356-situation-human-rights-palestinian-territories-occupied-1967" TargetMode="External"/><Relationship Id="rId7" Type="http://schemas.openxmlformats.org/officeDocument/2006/relationships/hyperlink" Target="https://documents-dds-ny.un.org/doc/UNDOC/GEN/N17/340/05/PDF/N1734005.pdf?OpenElement" TargetMode="External"/><Relationship Id="rId2" Type="http://schemas.openxmlformats.org/officeDocument/2006/relationships/hyperlink" Target="https://documents-dds-ny.un.org/doc/UNDOC/GEN/N17/340/05/PDF/N1734005.pdf?OpenElement" TargetMode="External"/><Relationship Id="rId1" Type="http://schemas.openxmlformats.org/officeDocument/2006/relationships/hyperlink" Target="https://www.ohchr.org/es/documents/country-reports/a77356-situation-human-rights-palestinian-territories-occupied-1967" TargetMode="External"/><Relationship Id="rId6" Type="http://schemas.openxmlformats.org/officeDocument/2006/relationships/hyperlink" Target="https://documents-dds-ny.un.org/doc/UNDOC/GEN/N17/340/05/PDF/N1734005.pdf?OpenElement" TargetMode="External"/><Relationship Id="rId5" Type="http://schemas.openxmlformats.org/officeDocument/2006/relationships/hyperlink" Target="https://www.enlacejudio.com/2022/10/07/palestino-homosexual-refugiado-en-israel-es-decapitado-en-hebron/" TargetMode="External"/><Relationship Id="rId4" Type="http://schemas.openxmlformats.org/officeDocument/2006/relationships/hyperlink" Target="https://www.publico.es/internacional/palestina-lgbti-realidad-colectivo-lgbti-palestino-frente-apartheid-israeli.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FmpeuSAFQMLetvXvUvt5VQYO+Q==">CgMxLjA4AHIhMUVkRzI2TUsza00zMnBtZ2o4dTYtZXlKZV9Cd2xRLVFo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1768</Words>
  <Characters>9726</Characters>
  <Application>Microsoft Office Word</Application>
  <DocSecurity>0</DocSecurity>
  <Lines>81</Lines>
  <Paragraphs>22</Paragraphs>
  <ScaleCrop>false</ScaleCrop>
  <Company>OHCHR</Company>
  <LinksUpToDate>false</LinksUpToDate>
  <CharactersWithSpaces>11472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Celine Reynaud</cp:lastModifiedBy>
  <cp:revision>2</cp:revision>
  <dcterms:created xsi:type="dcterms:W3CDTF">2023-08-29T14:09:00Z</dcterms:created>
  <dcterms:modified xsi:type="dcterms:W3CDTF">2023-08-29T14:09:00Z</dcterms:modified>
</cp:coreProperties>
</file>