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307B79" w14:textId="1179BEE0" w:rsidR="00997BE3" w:rsidRDefault="0021633D" w:rsidP="00903615">
      <w:pPr>
        <w:tabs>
          <w:tab w:val="center" w:pos="4680"/>
        </w:tabs>
        <w:bidi/>
        <w:jc w:val="both"/>
        <w:rPr>
          <w:rFonts w:cs="B Lotus"/>
          <w:sz w:val="28"/>
          <w:szCs w:val="28"/>
          <w:rtl/>
          <w:lang w:bidi="fa-IR"/>
        </w:rPr>
      </w:pPr>
      <w:r>
        <w:rPr>
          <w:rFonts w:cs="B Lotus" w:hint="cs"/>
          <w:noProof/>
          <w:sz w:val="28"/>
          <w:szCs w:val="28"/>
          <w:rtl/>
          <w:lang w:val="fa-IR" w:bidi="fa-IR"/>
        </w:rPr>
        <w:drawing>
          <wp:anchor distT="0" distB="0" distL="114300" distR="114300" simplePos="0" relativeHeight="251658240" behindDoc="1" locked="0" layoutInCell="1" allowOverlap="1" wp14:anchorId="4A715B0A" wp14:editId="79BE6C24">
            <wp:simplePos x="0" y="0"/>
            <wp:positionH relativeFrom="margin">
              <wp:posOffset>-819150</wp:posOffset>
            </wp:positionH>
            <wp:positionV relativeFrom="paragraph">
              <wp:posOffset>-857250</wp:posOffset>
            </wp:positionV>
            <wp:extent cx="7591425" cy="9944100"/>
            <wp:effectExtent l="0" t="0" r="952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انگلیسی.jpg"/>
                    <pic:cNvPicPr/>
                  </pic:nvPicPr>
                  <pic:blipFill>
                    <a:blip r:embed="rId8">
                      <a:extLst>
                        <a:ext uri="{28A0092B-C50C-407E-A947-70E740481C1C}">
                          <a14:useLocalDpi xmlns:a14="http://schemas.microsoft.com/office/drawing/2010/main" val="0"/>
                        </a:ext>
                      </a:extLst>
                    </a:blip>
                    <a:stretch>
                      <a:fillRect/>
                    </a:stretch>
                  </pic:blipFill>
                  <pic:spPr>
                    <a:xfrm>
                      <a:off x="0" y="0"/>
                      <a:ext cx="7591425" cy="9944100"/>
                    </a:xfrm>
                    <a:prstGeom prst="rect">
                      <a:avLst/>
                    </a:prstGeom>
                  </pic:spPr>
                </pic:pic>
              </a:graphicData>
            </a:graphic>
            <wp14:sizeRelH relativeFrom="margin">
              <wp14:pctWidth>0</wp14:pctWidth>
            </wp14:sizeRelH>
            <wp14:sizeRelV relativeFrom="margin">
              <wp14:pctHeight>0</wp14:pctHeight>
            </wp14:sizeRelV>
          </wp:anchor>
        </w:drawing>
      </w:r>
      <w:r w:rsidR="00903615">
        <w:rPr>
          <w:rFonts w:cs="B Lotus"/>
          <w:sz w:val="28"/>
          <w:szCs w:val="28"/>
          <w:rtl/>
          <w:lang w:bidi="fa-IR"/>
        </w:rPr>
        <w:tab/>
      </w:r>
    </w:p>
    <w:p w14:paraId="68FD7CA3" w14:textId="77777777" w:rsidR="00997BE3" w:rsidRDefault="00997BE3" w:rsidP="00997BE3">
      <w:pPr>
        <w:bidi/>
        <w:jc w:val="both"/>
        <w:rPr>
          <w:rFonts w:cs="B Lotus"/>
          <w:sz w:val="28"/>
          <w:szCs w:val="28"/>
          <w:rtl/>
          <w:lang w:bidi="fa-IR"/>
        </w:rPr>
      </w:pPr>
    </w:p>
    <w:p w14:paraId="5FA37572" w14:textId="77777777" w:rsidR="0021633D" w:rsidRDefault="0021633D" w:rsidP="00997BE3">
      <w:pPr>
        <w:jc w:val="both"/>
        <w:rPr>
          <w:rFonts w:cs="B Lotus"/>
          <w:b/>
          <w:bCs/>
          <w:sz w:val="28"/>
          <w:szCs w:val="28"/>
        </w:rPr>
      </w:pPr>
    </w:p>
    <w:p w14:paraId="1CDD7666" w14:textId="77777777" w:rsidR="003F1635" w:rsidRPr="0096083A" w:rsidRDefault="003F1635" w:rsidP="003F1635">
      <w:pPr>
        <w:jc w:val="center"/>
        <w:rPr>
          <w:rFonts w:asciiTheme="majorBidi" w:hAnsiTheme="majorBidi" w:cstheme="majorBidi"/>
          <w:b/>
          <w:bCs/>
          <w:lang w:bidi="fa-IR"/>
        </w:rPr>
      </w:pPr>
      <w:r w:rsidRPr="0096083A">
        <w:rPr>
          <w:rFonts w:asciiTheme="majorBidi" w:hAnsiTheme="majorBidi" w:cstheme="majorBidi"/>
          <w:b/>
          <w:bCs/>
          <w:lang w:bidi="fa-IR"/>
        </w:rPr>
        <w:t>Intersectional Discrimination Against South Asian Migrant Women in Kuwait</w:t>
      </w:r>
    </w:p>
    <w:p w14:paraId="7713F4AD" w14:textId="77777777" w:rsidR="003F1635" w:rsidRPr="0096083A" w:rsidRDefault="003F1635" w:rsidP="003F1635">
      <w:pPr>
        <w:jc w:val="both"/>
        <w:rPr>
          <w:rFonts w:asciiTheme="majorBidi" w:hAnsiTheme="majorBidi" w:cstheme="majorBidi"/>
          <w:lang w:bidi="fa-IR"/>
        </w:rPr>
      </w:pPr>
      <w:r w:rsidRPr="0096083A">
        <w:rPr>
          <w:rFonts w:asciiTheme="majorBidi" w:hAnsiTheme="majorBidi" w:cstheme="majorBidi"/>
          <w:rtl/>
          <w:lang w:bidi="fa-IR"/>
        </w:rPr>
        <w:t xml:space="preserve"> </w:t>
      </w:r>
    </w:p>
    <w:p w14:paraId="539E97F1" w14:textId="77777777" w:rsidR="003F1635" w:rsidRPr="0096083A" w:rsidRDefault="003F1635" w:rsidP="003F1635">
      <w:pPr>
        <w:jc w:val="both"/>
        <w:rPr>
          <w:rFonts w:asciiTheme="majorBidi" w:hAnsiTheme="majorBidi" w:cstheme="majorBidi"/>
          <w:b/>
          <w:bCs/>
          <w:lang w:bidi="fa-IR"/>
        </w:rPr>
      </w:pPr>
      <w:r w:rsidRPr="0096083A">
        <w:rPr>
          <w:rFonts w:asciiTheme="majorBidi" w:hAnsiTheme="majorBidi" w:cstheme="majorBidi"/>
          <w:b/>
          <w:bCs/>
          <w:lang w:bidi="fa-IR"/>
        </w:rPr>
        <w:t>Introduction</w:t>
      </w:r>
    </w:p>
    <w:p w14:paraId="0637E593" w14:textId="77777777" w:rsidR="003F1635" w:rsidRDefault="003F1635" w:rsidP="003F1635">
      <w:pPr>
        <w:jc w:val="both"/>
        <w:rPr>
          <w:rFonts w:asciiTheme="majorBidi" w:hAnsiTheme="majorBidi" w:cstheme="majorBidi"/>
          <w:lang w:bidi="fa-IR"/>
        </w:rPr>
      </w:pPr>
      <w:r w:rsidRPr="0096083A">
        <w:rPr>
          <w:rFonts w:asciiTheme="majorBidi" w:hAnsiTheme="majorBidi" w:cstheme="majorBidi"/>
          <w:lang w:bidi="fa-IR"/>
        </w:rPr>
        <w:t> Kuwait’s large South Asian migrant workforce – overwhelmingly in low-wage construction, service, and domestic sectors – faces structural discrimination. 2025–2026 reforms (a new Foreigners’ Residence Law, mandatory exit permits, and new health insurance regulations) have tightened employer control and imposed new costs on expatriates. Employers retain passports, and labor inspections do not cover domestic workers (mostly South Asian women) housed in private homes</w:t>
      </w:r>
      <w:r>
        <w:rPr>
          <w:rStyle w:val="FootnoteReference"/>
          <w:rFonts w:asciiTheme="majorBidi" w:hAnsiTheme="majorBidi" w:cstheme="majorBidi"/>
          <w:lang w:bidi="fa-IR"/>
        </w:rPr>
        <w:footnoteReference w:id="1"/>
      </w:r>
      <w:r w:rsidRPr="0096083A">
        <w:rPr>
          <w:rFonts w:asciiTheme="majorBidi" w:hAnsiTheme="majorBidi" w:cstheme="majorBidi"/>
          <w:lang w:bidi="fa-IR"/>
        </w:rPr>
        <w:t>. As a result, many migrant women face barriers to seeking medical care (e.g. no agency to seek help if withheld by employer, lack of documentation, high fees) even as hazardous work (extreme heat, long hours) exacerbates health needs</w:t>
      </w:r>
      <w:r>
        <w:rPr>
          <w:rStyle w:val="FootnoteReference"/>
          <w:rFonts w:asciiTheme="majorBidi" w:hAnsiTheme="majorBidi" w:cstheme="majorBidi"/>
          <w:lang w:bidi="fa-IR"/>
        </w:rPr>
        <w:footnoteReference w:id="2"/>
      </w:r>
      <w:r w:rsidRPr="0096083A">
        <w:rPr>
          <w:rFonts w:asciiTheme="majorBidi" w:hAnsiTheme="majorBidi" w:cstheme="majorBidi"/>
          <w:lang w:bidi="fa-IR"/>
        </w:rPr>
        <w:t xml:space="preserve">. This report documents these intersecting vulnerabilities – nationality/ethnic (South Asian) plus gender – and shows how they violate CERD’s mandate. </w:t>
      </w:r>
    </w:p>
    <w:p w14:paraId="296EF6E5" w14:textId="77777777" w:rsidR="003F1635" w:rsidRPr="0096083A" w:rsidRDefault="003F1635" w:rsidP="003F1635">
      <w:pPr>
        <w:jc w:val="both"/>
        <w:rPr>
          <w:rFonts w:asciiTheme="majorBidi" w:hAnsiTheme="majorBidi" w:cstheme="majorBidi"/>
          <w:b/>
          <w:bCs/>
          <w:lang w:bidi="fa-IR"/>
        </w:rPr>
      </w:pPr>
      <w:r w:rsidRPr="0096083A">
        <w:rPr>
          <w:rFonts w:asciiTheme="majorBidi" w:hAnsiTheme="majorBidi" w:cstheme="majorBidi"/>
          <w:b/>
          <w:bCs/>
          <w:lang w:bidi="fa-IR"/>
        </w:rPr>
        <w:t>Background and Legal Context</w:t>
      </w:r>
    </w:p>
    <w:p w14:paraId="21027567" w14:textId="77777777" w:rsidR="003F1635" w:rsidRPr="0096083A" w:rsidRDefault="003F1635" w:rsidP="003F1635">
      <w:pPr>
        <w:jc w:val="both"/>
        <w:rPr>
          <w:rFonts w:asciiTheme="majorBidi" w:hAnsiTheme="majorBidi" w:cstheme="majorBidi"/>
          <w:lang w:bidi="fa-IR"/>
        </w:rPr>
      </w:pPr>
      <w:r w:rsidRPr="0096083A">
        <w:rPr>
          <w:rFonts w:asciiTheme="majorBidi" w:hAnsiTheme="majorBidi" w:cstheme="majorBidi"/>
          <w:lang w:bidi="fa-IR"/>
        </w:rPr>
        <w:t>Kuwait’s economy relies on &gt;70% foreign labor, largely from South/Southeast Asia. In early 2025 Kuwait enacted a new Foreigners’ Residence Law giving sponsors wide powers over workers</w:t>
      </w:r>
      <w:r>
        <w:rPr>
          <w:rStyle w:val="FootnoteReference"/>
          <w:rFonts w:asciiTheme="majorBidi" w:hAnsiTheme="majorBidi" w:cstheme="majorBidi"/>
          <w:lang w:bidi="fa-IR"/>
        </w:rPr>
        <w:footnoteReference w:id="3"/>
      </w:r>
      <w:r w:rsidRPr="0096083A">
        <w:rPr>
          <w:rFonts w:asciiTheme="majorBidi" w:hAnsiTheme="majorBidi" w:cstheme="majorBidi"/>
          <w:lang w:bidi="fa-IR"/>
        </w:rPr>
        <w:t>. For example, Article 19 prohibits any migrant from changing jobs or sector without original employer approval. In mid-2025, Kuwait reintroduced the exit permit: as of 1 July 2025, all private-sector expatriates must get employer-approved permission before leaving the country</w:t>
      </w:r>
      <w:r>
        <w:rPr>
          <w:rStyle w:val="FootnoteReference"/>
          <w:rFonts w:asciiTheme="majorBidi" w:hAnsiTheme="majorBidi" w:cstheme="majorBidi"/>
          <w:lang w:bidi="fa-IR"/>
        </w:rPr>
        <w:footnoteReference w:id="4"/>
      </w:r>
      <w:r w:rsidRPr="0096083A">
        <w:rPr>
          <w:rFonts w:asciiTheme="majorBidi" w:hAnsiTheme="majorBidi" w:cstheme="majorBidi"/>
          <w:lang w:bidi="fa-IR"/>
        </w:rPr>
        <w:t>. According to Human Rights Watch, this reinforces the restrictive kafala system, shifting greater control to employers and increasing the risk of exploitation</w:t>
      </w:r>
      <w:r>
        <w:rPr>
          <w:rStyle w:val="FootnoteReference"/>
          <w:rFonts w:asciiTheme="majorBidi" w:hAnsiTheme="majorBidi" w:cstheme="majorBidi"/>
          <w:lang w:bidi="fa-IR"/>
        </w:rPr>
        <w:footnoteReference w:id="5"/>
      </w:r>
      <w:r w:rsidRPr="0096083A">
        <w:rPr>
          <w:rFonts w:asciiTheme="majorBidi" w:hAnsiTheme="majorBidi" w:cstheme="majorBidi"/>
          <w:lang w:bidi="fa-IR"/>
        </w:rPr>
        <w:t>. The Public Authority for Manpower (PAM) and press releases confirm the July 1 start date and online procedure</w:t>
      </w:r>
      <w:r>
        <w:rPr>
          <w:rStyle w:val="FootnoteReference"/>
          <w:rFonts w:asciiTheme="majorBidi" w:hAnsiTheme="majorBidi" w:cstheme="majorBidi"/>
          <w:lang w:bidi="fa-IR"/>
        </w:rPr>
        <w:footnoteReference w:id="6"/>
      </w:r>
      <w:r w:rsidRPr="0096083A">
        <w:rPr>
          <w:rFonts w:asciiTheme="majorBidi" w:hAnsiTheme="majorBidi" w:cstheme="majorBidi"/>
          <w:lang w:bidi="fa-IR"/>
        </w:rPr>
        <w:t>.</w:t>
      </w:r>
    </w:p>
    <w:p w14:paraId="536D10D6" w14:textId="77777777" w:rsidR="00903615" w:rsidRDefault="003F1635" w:rsidP="003F1635">
      <w:pPr>
        <w:jc w:val="both"/>
        <w:rPr>
          <w:rFonts w:asciiTheme="majorBidi" w:hAnsiTheme="majorBidi" w:cstheme="majorBidi"/>
          <w:lang w:bidi="fa-IR"/>
        </w:rPr>
      </w:pPr>
      <w:r w:rsidRPr="0096083A">
        <w:rPr>
          <w:rFonts w:asciiTheme="majorBidi" w:hAnsiTheme="majorBidi" w:cstheme="majorBidi"/>
          <w:lang w:bidi="fa-IR"/>
        </w:rPr>
        <w:t xml:space="preserve">Meanwhile, Kuwait’s health policy for non-citizens has tightened. In late 2025 the Ministry of Health issued implementing regulations (Decision 306/2025, Official Gazette 21 Dec 2025) for the 1999 “Law </w:t>
      </w:r>
    </w:p>
    <w:p w14:paraId="1DF59034" w14:textId="5FD02324" w:rsidR="00903615" w:rsidRDefault="00903615" w:rsidP="003F1635">
      <w:pPr>
        <w:jc w:val="both"/>
        <w:rPr>
          <w:rFonts w:asciiTheme="majorBidi" w:hAnsiTheme="majorBidi" w:cstheme="majorBidi"/>
          <w:lang w:bidi="fa-IR"/>
        </w:rPr>
      </w:pPr>
      <w:r>
        <w:rPr>
          <w:rFonts w:cs="B Lotus" w:hint="cs"/>
          <w:noProof/>
          <w:sz w:val="28"/>
          <w:szCs w:val="28"/>
          <w:rtl/>
          <w:lang w:val="fa-IR" w:bidi="fa-IR"/>
        </w:rPr>
        <w:lastRenderedPageBreak/>
        <w:drawing>
          <wp:anchor distT="0" distB="0" distL="114300" distR="114300" simplePos="0" relativeHeight="251660288" behindDoc="1" locked="0" layoutInCell="1" allowOverlap="1" wp14:anchorId="24405244" wp14:editId="69D7D014">
            <wp:simplePos x="0" y="0"/>
            <wp:positionH relativeFrom="margin">
              <wp:align>center</wp:align>
            </wp:positionH>
            <wp:positionV relativeFrom="paragraph">
              <wp:posOffset>-808355</wp:posOffset>
            </wp:positionV>
            <wp:extent cx="7591425" cy="9944100"/>
            <wp:effectExtent l="0" t="0" r="9525" b="0"/>
            <wp:wrapNone/>
            <wp:docPr id="347623788" name="Picture 347623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انگلیسی.jpg"/>
                    <pic:cNvPicPr/>
                  </pic:nvPicPr>
                  <pic:blipFill>
                    <a:blip r:embed="rId8">
                      <a:extLst>
                        <a:ext uri="{28A0092B-C50C-407E-A947-70E740481C1C}">
                          <a14:useLocalDpi xmlns:a14="http://schemas.microsoft.com/office/drawing/2010/main" val="0"/>
                        </a:ext>
                      </a:extLst>
                    </a:blip>
                    <a:stretch>
                      <a:fillRect/>
                    </a:stretch>
                  </pic:blipFill>
                  <pic:spPr>
                    <a:xfrm>
                      <a:off x="0" y="0"/>
                      <a:ext cx="7591425" cy="9944100"/>
                    </a:xfrm>
                    <a:prstGeom prst="rect">
                      <a:avLst/>
                    </a:prstGeom>
                  </pic:spPr>
                </pic:pic>
              </a:graphicData>
            </a:graphic>
            <wp14:sizeRelH relativeFrom="margin">
              <wp14:pctWidth>0</wp14:pctWidth>
            </wp14:sizeRelH>
            <wp14:sizeRelV relativeFrom="margin">
              <wp14:pctHeight>0</wp14:pctHeight>
            </wp14:sizeRelV>
          </wp:anchor>
        </w:drawing>
      </w:r>
    </w:p>
    <w:p w14:paraId="40BFF6E5" w14:textId="384FAF77" w:rsidR="00903615" w:rsidRDefault="00903615" w:rsidP="003F1635">
      <w:pPr>
        <w:jc w:val="both"/>
        <w:rPr>
          <w:rFonts w:asciiTheme="majorBidi" w:hAnsiTheme="majorBidi" w:cstheme="majorBidi"/>
          <w:lang w:bidi="fa-IR"/>
        </w:rPr>
      </w:pPr>
    </w:p>
    <w:p w14:paraId="12EEE058" w14:textId="67FC3828" w:rsidR="00903615" w:rsidRDefault="00903615" w:rsidP="003F1635">
      <w:pPr>
        <w:jc w:val="both"/>
        <w:rPr>
          <w:rFonts w:asciiTheme="majorBidi" w:hAnsiTheme="majorBidi" w:cstheme="majorBidi"/>
          <w:lang w:bidi="fa-IR"/>
        </w:rPr>
      </w:pPr>
    </w:p>
    <w:p w14:paraId="238A0512" w14:textId="63F5C8E5" w:rsidR="00903615" w:rsidRDefault="00903615" w:rsidP="003F1635">
      <w:pPr>
        <w:jc w:val="both"/>
        <w:rPr>
          <w:rFonts w:asciiTheme="majorBidi" w:hAnsiTheme="majorBidi" w:cstheme="majorBidi"/>
          <w:lang w:bidi="fa-IR"/>
        </w:rPr>
      </w:pPr>
    </w:p>
    <w:p w14:paraId="4561B1E1" w14:textId="011AB089" w:rsidR="00903615" w:rsidRDefault="00903615" w:rsidP="003F1635">
      <w:pPr>
        <w:jc w:val="both"/>
        <w:rPr>
          <w:rFonts w:asciiTheme="majorBidi" w:hAnsiTheme="majorBidi" w:cstheme="majorBidi"/>
          <w:lang w:bidi="fa-IR"/>
        </w:rPr>
      </w:pPr>
    </w:p>
    <w:p w14:paraId="326E2C8E" w14:textId="1EE8EB42" w:rsidR="00903615" w:rsidRDefault="003F1635" w:rsidP="003F1635">
      <w:pPr>
        <w:jc w:val="both"/>
        <w:rPr>
          <w:rFonts w:asciiTheme="majorBidi" w:hAnsiTheme="majorBidi" w:cstheme="majorBidi"/>
          <w:lang w:bidi="fa-IR"/>
        </w:rPr>
      </w:pPr>
      <w:r w:rsidRPr="0096083A">
        <w:rPr>
          <w:rFonts w:asciiTheme="majorBidi" w:hAnsiTheme="majorBidi" w:cstheme="majorBidi"/>
          <w:lang w:bidi="fa-IR"/>
        </w:rPr>
        <w:t xml:space="preserve">on Health Insurance for Foreigners.” As of December 23, 2025, all expatriates must pay health insurance fees (linked to visa duration) as a condition for visa issuance/renewal. Fees were raised (e.g. annual fee </w:t>
      </w:r>
    </w:p>
    <w:p w14:paraId="48774683" w14:textId="304DEB99" w:rsidR="00903615" w:rsidRDefault="00903615" w:rsidP="003F1635">
      <w:pPr>
        <w:jc w:val="both"/>
        <w:rPr>
          <w:rFonts w:asciiTheme="majorBidi" w:hAnsiTheme="majorBidi" w:cstheme="majorBidi"/>
          <w:lang w:bidi="fa-IR"/>
        </w:rPr>
      </w:pPr>
    </w:p>
    <w:p w14:paraId="792C13DA" w14:textId="1E167D43" w:rsidR="00903615" w:rsidRDefault="00903615" w:rsidP="003F1635">
      <w:pPr>
        <w:jc w:val="both"/>
        <w:rPr>
          <w:rFonts w:asciiTheme="majorBidi" w:hAnsiTheme="majorBidi" w:cstheme="majorBidi"/>
          <w:lang w:bidi="fa-IR"/>
        </w:rPr>
      </w:pPr>
    </w:p>
    <w:p w14:paraId="765EAB75" w14:textId="35BFF540" w:rsidR="003F1635" w:rsidRPr="0096083A" w:rsidRDefault="003F1635" w:rsidP="003F1635">
      <w:pPr>
        <w:jc w:val="both"/>
        <w:rPr>
          <w:rFonts w:asciiTheme="majorBidi" w:hAnsiTheme="majorBidi" w:cstheme="majorBidi"/>
          <w:lang w:bidi="fa-IR"/>
        </w:rPr>
      </w:pPr>
      <w:r w:rsidRPr="0096083A">
        <w:rPr>
          <w:rFonts w:asciiTheme="majorBidi" w:hAnsiTheme="majorBidi" w:cstheme="majorBidi"/>
          <w:lang w:bidi="fa-IR"/>
        </w:rPr>
        <w:t>~KD100, and KD10 for certain low-wage categories). Only narrow exemptions exist (e.g. foreign women married to Kuwaitis, and up to three domestic workers per family)</w:t>
      </w:r>
      <w:r>
        <w:rPr>
          <w:rStyle w:val="FootnoteReference"/>
          <w:rFonts w:asciiTheme="majorBidi" w:hAnsiTheme="majorBidi" w:cstheme="majorBidi"/>
          <w:lang w:bidi="fa-IR"/>
        </w:rPr>
        <w:footnoteReference w:id="7"/>
      </w:r>
      <w:r w:rsidRPr="0096083A">
        <w:rPr>
          <w:rFonts w:asciiTheme="majorBidi" w:hAnsiTheme="majorBidi" w:cstheme="majorBidi"/>
          <w:lang w:bidi="fa-IR"/>
        </w:rPr>
        <w:t>. Thus, most migrant women must buy insurance and pay out-of-pocket healthcare fees</w:t>
      </w:r>
      <w:r>
        <w:rPr>
          <w:rFonts w:asciiTheme="majorBidi" w:hAnsiTheme="majorBidi" w:cstheme="majorBidi"/>
          <w:lang w:bidi="fa-IR"/>
        </w:rPr>
        <w:t>.</w:t>
      </w:r>
    </w:p>
    <w:p w14:paraId="28E4ACCE" w14:textId="77777777" w:rsidR="003F1635" w:rsidRDefault="003F1635" w:rsidP="003F1635">
      <w:pPr>
        <w:jc w:val="both"/>
        <w:rPr>
          <w:rFonts w:asciiTheme="majorBidi" w:hAnsiTheme="majorBidi" w:cstheme="majorBidi"/>
          <w:lang w:bidi="fa-IR"/>
        </w:rPr>
      </w:pPr>
      <w:r w:rsidRPr="0096083A">
        <w:rPr>
          <w:rFonts w:asciiTheme="majorBidi" w:hAnsiTheme="majorBidi" w:cstheme="majorBidi"/>
          <w:lang w:bidi="fa-IR"/>
        </w:rPr>
        <w:t>Labor inspections remain minimal. Notably, Kuwait does not inspect </w:t>
      </w:r>
      <w:r w:rsidRPr="00234604">
        <w:rPr>
          <w:rFonts w:asciiTheme="majorBidi" w:hAnsiTheme="majorBidi" w:cstheme="majorBidi"/>
          <w:lang w:bidi="fa-IR"/>
        </w:rPr>
        <w:t>private homes</w:t>
      </w:r>
      <w:r w:rsidRPr="0096083A">
        <w:rPr>
          <w:rFonts w:asciiTheme="majorBidi" w:hAnsiTheme="majorBidi" w:cstheme="majorBidi"/>
          <w:lang w:bidi="fa-IR"/>
        </w:rPr>
        <w:t> where female domestic workers live. A 2025 NGO briefing notes that inspection mandates exclude the homes of employers, meaning “migrant domestic workers…remain without effective protection”</w:t>
      </w:r>
      <w:r>
        <w:rPr>
          <w:rStyle w:val="FootnoteReference"/>
          <w:rFonts w:asciiTheme="majorBidi" w:hAnsiTheme="majorBidi" w:cstheme="majorBidi"/>
          <w:lang w:bidi="fa-IR"/>
        </w:rPr>
        <w:footnoteReference w:id="8"/>
      </w:r>
      <w:r w:rsidRPr="0096083A">
        <w:rPr>
          <w:rFonts w:asciiTheme="majorBidi" w:hAnsiTheme="majorBidi" w:cstheme="majorBidi"/>
          <w:lang w:bidi="fa-IR"/>
        </w:rPr>
        <w:t>. In practice, domestic servants (mostly South Asian women) are “trapped in employer homes” and cannot independently seek medical care</w:t>
      </w:r>
      <w:r>
        <w:rPr>
          <w:rStyle w:val="FootnoteReference"/>
          <w:rFonts w:asciiTheme="majorBidi" w:hAnsiTheme="majorBidi" w:cstheme="majorBidi"/>
          <w:lang w:bidi="fa-IR"/>
        </w:rPr>
        <w:footnoteReference w:id="9"/>
      </w:r>
      <w:r w:rsidRPr="0096083A">
        <w:rPr>
          <w:rFonts w:asciiTheme="majorBidi" w:hAnsiTheme="majorBidi" w:cstheme="majorBidi"/>
          <w:lang w:bidi="fa-IR"/>
        </w:rPr>
        <w:t>. Large-scale </w:t>
      </w:r>
      <w:r w:rsidRPr="00234604">
        <w:rPr>
          <w:rFonts w:asciiTheme="majorBidi" w:hAnsiTheme="majorBidi" w:cstheme="majorBidi"/>
          <w:lang w:bidi="fa-IR"/>
        </w:rPr>
        <w:t>passport confiscation</w:t>
      </w:r>
      <w:r w:rsidRPr="0096083A">
        <w:rPr>
          <w:rFonts w:asciiTheme="majorBidi" w:hAnsiTheme="majorBidi" w:cstheme="majorBidi"/>
          <w:lang w:bidi="fa-IR"/>
        </w:rPr>
        <w:t> (not yet criminalized) further prevents workers from leaving to seek care abroad</w:t>
      </w:r>
      <w:r>
        <w:rPr>
          <w:rStyle w:val="FootnoteReference"/>
          <w:rFonts w:asciiTheme="majorBidi" w:hAnsiTheme="majorBidi" w:cstheme="majorBidi"/>
          <w:lang w:bidi="fa-IR"/>
        </w:rPr>
        <w:footnoteReference w:id="10"/>
      </w:r>
      <w:r w:rsidRPr="0096083A">
        <w:rPr>
          <w:rFonts w:asciiTheme="majorBidi" w:hAnsiTheme="majorBidi" w:cstheme="majorBidi"/>
          <w:lang w:bidi="fa-IR"/>
        </w:rPr>
        <w:t xml:space="preserve">. In sum, Kuwait’s legal-institutional framework deeply restricts migrants’ freedom and reinforces </w:t>
      </w:r>
      <w:proofErr w:type="spellStart"/>
      <w:r w:rsidRPr="0096083A">
        <w:rPr>
          <w:rFonts w:asciiTheme="majorBidi" w:hAnsiTheme="majorBidi" w:cstheme="majorBidi"/>
          <w:lang w:bidi="fa-IR"/>
        </w:rPr>
        <w:t>ethnicized</w:t>
      </w:r>
      <w:proofErr w:type="spellEnd"/>
      <w:r w:rsidRPr="0096083A">
        <w:rPr>
          <w:rFonts w:asciiTheme="majorBidi" w:hAnsiTheme="majorBidi" w:cstheme="majorBidi"/>
          <w:lang w:bidi="fa-IR"/>
        </w:rPr>
        <w:t xml:space="preserve"> control by employers.</w:t>
      </w:r>
    </w:p>
    <w:p w14:paraId="67C613B4" w14:textId="77777777" w:rsidR="003F1635" w:rsidRPr="00A75AFA" w:rsidRDefault="003F1635" w:rsidP="003F1635">
      <w:pPr>
        <w:jc w:val="both"/>
        <w:rPr>
          <w:rFonts w:asciiTheme="majorBidi" w:hAnsiTheme="majorBidi" w:cstheme="majorBidi"/>
          <w:b/>
          <w:bCs/>
          <w:lang w:bidi="fa-IR"/>
        </w:rPr>
      </w:pPr>
      <w:r w:rsidRPr="00A75AFA">
        <w:rPr>
          <w:rFonts w:asciiTheme="majorBidi" w:hAnsiTheme="majorBidi" w:cstheme="majorBidi"/>
          <w:b/>
          <w:bCs/>
          <w:lang w:bidi="fa-IR"/>
        </w:rPr>
        <w:t>Barriers to Healthcare Access</w:t>
      </w:r>
    </w:p>
    <w:p w14:paraId="34EEDB6D" w14:textId="77777777" w:rsidR="003F1635" w:rsidRPr="00A75AFA" w:rsidRDefault="003F1635" w:rsidP="003F1635">
      <w:pPr>
        <w:jc w:val="both"/>
        <w:rPr>
          <w:rFonts w:asciiTheme="majorBidi" w:hAnsiTheme="majorBidi" w:cstheme="majorBidi"/>
          <w:lang w:bidi="fa-IR"/>
        </w:rPr>
      </w:pPr>
      <w:r w:rsidRPr="00A75AFA">
        <w:rPr>
          <w:rFonts w:asciiTheme="majorBidi" w:hAnsiTheme="majorBidi" w:cstheme="majorBidi"/>
          <w:lang w:bidi="fa-IR"/>
        </w:rPr>
        <w:t>Multiple</w:t>
      </w:r>
      <w:r>
        <w:rPr>
          <w:rFonts w:asciiTheme="majorBidi" w:hAnsiTheme="majorBidi" w:cstheme="majorBidi"/>
          <w:lang w:bidi="fa-IR"/>
        </w:rPr>
        <w:t xml:space="preserve"> </w:t>
      </w:r>
      <w:r w:rsidRPr="00A75AFA">
        <w:rPr>
          <w:rFonts w:asciiTheme="majorBidi" w:hAnsiTheme="majorBidi" w:cstheme="majorBidi"/>
          <w:lang w:bidi="fa-IR"/>
        </w:rPr>
        <w:t>sources document how these controls translate into healthcare discrimination for migrant women:</w:t>
      </w:r>
    </w:p>
    <w:p w14:paraId="4A64A1D0" w14:textId="77777777" w:rsidR="003F1635" w:rsidRDefault="003F1635" w:rsidP="003F1635">
      <w:pPr>
        <w:numPr>
          <w:ilvl w:val="0"/>
          <w:numId w:val="2"/>
        </w:numPr>
        <w:spacing w:line="278" w:lineRule="auto"/>
        <w:jc w:val="both"/>
        <w:rPr>
          <w:rFonts w:asciiTheme="majorBidi" w:hAnsiTheme="majorBidi" w:cstheme="majorBidi"/>
          <w:lang w:bidi="fa-IR"/>
        </w:rPr>
      </w:pPr>
      <w:r w:rsidRPr="00A75AFA">
        <w:rPr>
          <w:rFonts w:asciiTheme="majorBidi" w:hAnsiTheme="majorBidi" w:cstheme="majorBidi"/>
          <w:b/>
          <w:bCs/>
          <w:lang w:bidi="fa-IR"/>
        </w:rPr>
        <w:t>Employer Control and Documentation:</w:t>
      </w:r>
      <w:r w:rsidRPr="00A75AFA">
        <w:rPr>
          <w:rFonts w:asciiTheme="majorBidi" w:hAnsiTheme="majorBidi" w:cstheme="majorBidi"/>
          <w:lang w:bidi="fa-IR"/>
        </w:rPr>
        <w:t> With employers controlling mobility and often holding passports, many workers (especially domestic women) cannot independently access clinics or hospitals. The Coalition on Labor Justice reports that “passport retention by employers was not criminalized… and the majority of workers had identity documents retained,” hindering any interactions with hospitals or legal aid</w:t>
      </w:r>
      <w:r>
        <w:rPr>
          <w:rStyle w:val="FootnoteReference"/>
          <w:rFonts w:asciiTheme="majorBidi" w:hAnsiTheme="majorBidi" w:cstheme="majorBidi"/>
          <w:lang w:bidi="fa-IR"/>
        </w:rPr>
        <w:footnoteReference w:id="11"/>
      </w:r>
      <w:r w:rsidRPr="00A75AFA">
        <w:rPr>
          <w:rFonts w:asciiTheme="majorBidi" w:hAnsiTheme="majorBidi" w:cstheme="majorBidi"/>
          <w:lang w:bidi="fa-IR"/>
        </w:rPr>
        <w:t>. Over half of surveyed low-wage migrants in Kuwait reported being </w:t>
      </w:r>
      <w:r w:rsidRPr="00BE0F6C">
        <w:rPr>
          <w:rFonts w:asciiTheme="majorBidi" w:hAnsiTheme="majorBidi" w:cstheme="majorBidi"/>
          <w:lang w:bidi="fa-IR"/>
        </w:rPr>
        <w:t>denied or discouraged</w:t>
      </w:r>
      <w:r w:rsidRPr="00A75AFA">
        <w:rPr>
          <w:rFonts w:asciiTheme="majorBidi" w:hAnsiTheme="majorBidi" w:cstheme="majorBidi"/>
          <w:lang w:bidi="fa-IR"/>
        </w:rPr>
        <w:t> from seeking care due to lack of employer-sanctioned ID</w:t>
      </w:r>
      <w:r>
        <w:rPr>
          <w:rStyle w:val="FootnoteReference"/>
          <w:rFonts w:asciiTheme="majorBidi" w:hAnsiTheme="majorBidi" w:cstheme="majorBidi"/>
          <w:lang w:bidi="fa-IR"/>
        </w:rPr>
        <w:footnoteReference w:id="12"/>
      </w:r>
      <w:r w:rsidRPr="00A75AFA">
        <w:rPr>
          <w:rFonts w:asciiTheme="majorBidi" w:hAnsiTheme="majorBidi" w:cstheme="majorBidi"/>
          <w:lang w:bidi="fa-IR"/>
        </w:rPr>
        <w:t xml:space="preserve">. </w:t>
      </w:r>
    </w:p>
    <w:p w14:paraId="3CF3536E" w14:textId="528D0814" w:rsidR="00566B77" w:rsidRDefault="00566B77" w:rsidP="00566B77">
      <w:pPr>
        <w:spacing w:line="278" w:lineRule="auto"/>
        <w:jc w:val="both"/>
        <w:rPr>
          <w:rFonts w:asciiTheme="majorBidi" w:hAnsiTheme="majorBidi" w:cstheme="majorBidi"/>
          <w:lang w:bidi="fa-IR"/>
        </w:rPr>
      </w:pPr>
      <w:r>
        <w:rPr>
          <w:rFonts w:cs="B Lotus" w:hint="cs"/>
          <w:noProof/>
          <w:sz w:val="28"/>
          <w:szCs w:val="28"/>
          <w:rtl/>
          <w:lang w:val="fa-IR" w:bidi="fa-IR"/>
        </w:rPr>
        <w:lastRenderedPageBreak/>
        <w:drawing>
          <wp:anchor distT="0" distB="0" distL="114300" distR="114300" simplePos="0" relativeHeight="251662336" behindDoc="1" locked="0" layoutInCell="1" allowOverlap="1" wp14:anchorId="077BC9E0" wp14:editId="130A53B9">
            <wp:simplePos x="0" y="0"/>
            <wp:positionH relativeFrom="page">
              <wp:align>left</wp:align>
            </wp:positionH>
            <wp:positionV relativeFrom="paragraph">
              <wp:posOffset>-1095375</wp:posOffset>
            </wp:positionV>
            <wp:extent cx="7591425" cy="9944100"/>
            <wp:effectExtent l="0" t="0" r="9525" b="0"/>
            <wp:wrapNone/>
            <wp:docPr id="2037534101" name="Picture 2037534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انگلیسی.jpg"/>
                    <pic:cNvPicPr/>
                  </pic:nvPicPr>
                  <pic:blipFill>
                    <a:blip r:embed="rId8">
                      <a:extLst>
                        <a:ext uri="{28A0092B-C50C-407E-A947-70E740481C1C}">
                          <a14:useLocalDpi xmlns:a14="http://schemas.microsoft.com/office/drawing/2010/main" val="0"/>
                        </a:ext>
                      </a:extLst>
                    </a:blip>
                    <a:stretch>
                      <a:fillRect/>
                    </a:stretch>
                  </pic:blipFill>
                  <pic:spPr>
                    <a:xfrm>
                      <a:off x="0" y="0"/>
                      <a:ext cx="7591425" cy="9944100"/>
                    </a:xfrm>
                    <a:prstGeom prst="rect">
                      <a:avLst/>
                    </a:prstGeom>
                  </pic:spPr>
                </pic:pic>
              </a:graphicData>
            </a:graphic>
            <wp14:sizeRelH relativeFrom="margin">
              <wp14:pctWidth>0</wp14:pctWidth>
            </wp14:sizeRelH>
            <wp14:sizeRelV relativeFrom="margin">
              <wp14:pctHeight>0</wp14:pctHeight>
            </wp14:sizeRelV>
          </wp:anchor>
        </w:drawing>
      </w:r>
    </w:p>
    <w:p w14:paraId="3B3A9C5A" w14:textId="77777777" w:rsidR="00566B77" w:rsidRPr="00A75AFA" w:rsidRDefault="00566B77" w:rsidP="00566B77">
      <w:pPr>
        <w:spacing w:line="278" w:lineRule="auto"/>
        <w:jc w:val="both"/>
        <w:rPr>
          <w:rFonts w:asciiTheme="majorBidi" w:hAnsiTheme="majorBidi" w:cstheme="majorBidi"/>
          <w:lang w:bidi="fa-IR"/>
        </w:rPr>
      </w:pPr>
    </w:p>
    <w:p w14:paraId="11A091C4" w14:textId="71D45A74" w:rsidR="003F1635" w:rsidRPr="00566B77" w:rsidRDefault="003F1635" w:rsidP="00566B77">
      <w:pPr>
        <w:numPr>
          <w:ilvl w:val="0"/>
          <w:numId w:val="2"/>
        </w:numPr>
        <w:spacing w:line="278" w:lineRule="auto"/>
        <w:jc w:val="both"/>
        <w:rPr>
          <w:rFonts w:asciiTheme="majorBidi" w:hAnsiTheme="majorBidi" w:cstheme="majorBidi"/>
          <w:lang w:bidi="fa-IR"/>
        </w:rPr>
      </w:pPr>
      <w:r w:rsidRPr="00566B77">
        <w:rPr>
          <w:rFonts w:asciiTheme="majorBidi" w:hAnsiTheme="majorBidi" w:cstheme="majorBidi"/>
          <w:b/>
          <w:bCs/>
          <w:lang w:bidi="fa-IR"/>
        </w:rPr>
        <w:t>Costs and Fees:</w:t>
      </w:r>
      <w:r w:rsidRPr="00566B77">
        <w:rPr>
          <w:rFonts w:asciiTheme="majorBidi" w:hAnsiTheme="majorBidi" w:cstheme="majorBidi"/>
          <w:lang w:bidi="fa-IR"/>
        </w:rPr>
        <w:t> Expatriates must pay multiple fees at public health facilities. According to civil society research, non-citizens pay consultation fees (e.g. KD2–10) and must buy medications and tests, unlike citizens who often get free services. (In earlier reforms migrants faced new “dispensation” fees per prescription, though this exact measure dates to 2023</w:t>
      </w:r>
      <w:r>
        <w:rPr>
          <w:rStyle w:val="FootnoteReference"/>
          <w:rFonts w:asciiTheme="majorBidi" w:hAnsiTheme="majorBidi" w:cstheme="majorBidi"/>
          <w:lang w:bidi="fa-IR"/>
        </w:rPr>
        <w:footnoteReference w:id="13"/>
      </w:r>
      <w:r w:rsidRPr="00566B77">
        <w:rPr>
          <w:rFonts w:asciiTheme="majorBidi" w:hAnsiTheme="majorBidi" w:cstheme="majorBidi"/>
          <w:lang w:bidi="fa-IR"/>
        </w:rPr>
        <w:t>.) Mandatory private insurance adds costs: as of late 2025, a migrant worker pays ~KD100/year (minimum) which employers are </w:t>
      </w:r>
      <w:r w:rsidRPr="00566B77">
        <w:rPr>
          <w:rFonts w:asciiTheme="majorBidi" w:hAnsiTheme="majorBidi" w:cstheme="majorBidi"/>
          <w:i/>
          <w:iCs/>
          <w:lang w:bidi="fa-IR"/>
        </w:rPr>
        <w:t>supposed</w:t>
      </w:r>
      <w:r w:rsidRPr="00566B77">
        <w:rPr>
          <w:rFonts w:asciiTheme="majorBidi" w:hAnsiTheme="majorBidi" w:cstheme="majorBidi"/>
          <w:lang w:bidi="fa-IR"/>
        </w:rPr>
        <w:t> to cover but often do not</w:t>
      </w:r>
      <w:r>
        <w:rPr>
          <w:rStyle w:val="FootnoteReference"/>
          <w:rFonts w:asciiTheme="majorBidi" w:hAnsiTheme="majorBidi" w:cstheme="majorBidi"/>
          <w:lang w:bidi="fa-IR"/>
        </w:rPr>
        <w:footnoteReference w:id="14"/>
      </w:r>
      <w:r w:rsidRPr="00566B77">
        <w:rPr>
          <w:rFonts w:asciiTheme="majorBidi" w:hAnsiTheme="majorBidi" w:cstheme="majorBidi"/>
          <w:lang w:bidi="fa-IR"/>
        </w:rPr>
        <w:t>. Combined with low wages, these costs force many women to delay care or forgo treatment.</w:t>
      </w:r>
    </w:p>
    <w:p w14:paraId="5804C094" w14:textId="77777777" w:rsidR="003F1635" w:rsidRPr="00A75AFA" w:rsidRDefault="003F1635" w:rsidP="003F1635">
      <w:pPr>
        <w:numPr>
          <w:ilvl w:val="0"/>
          <w:numId w:val="2"/>
        </w:numPr>
        <w:spacing w:line="278" w:lineRule="auto"/>
        <w:jc w:val="both"/>
        <w:rPr>
          <w:rFonts w:asciiTheme="majorBidi" w:hAnsiTheme="majorBidi" w:cstheme="majorBidi"/>
          <w:lang w:bidi="fa-IR"/>
        </w:rPr>
      </w:pPr>
      <w:r w:rsidRPr="00A75AFA">
        <w:rPr>
          <w:rFonts w:asciiTheme="majorBidi" w:hAnsiTheme="majorBidi" w:cstheme="majorBidi"/>
          <w:b/>
          <w:bCs/>
          <w:lang w:bidi="fa-IR"/>
        </w:rPr>
        <w:t>Discrimination in Practice:</w:t>
      </w:r>
      <w:r w:rsidRPr="00A75AFA">
        <w:rPr>
          <w:rFonts w:asciiTheme="majorBidi" w:hAnsiTheme="majorBidi" w:cstheme="majorBidi"/>
          <w:lang w:bidi="fa-IR"/>
        </w:rPr>
        <w:t> Field studies reveal overt bias. A major research partnership (Vital Signs) found that many Gulf health workers consider migrant patients “not important,” and 25% of surveyed migrants in Kuwait reported experiencing </w:t>
      </w:r>
      <w:r w:rsidRPr="00BE0F6C">
        <w:rPr>
          <w:rFonts w:asciiTheme="majorBidi" w:hAnsiTheme="majorBidi" w:cstheme="majorBidi"/>
          <w:lang w:bidi="fa-IR"/>
        </w:rPr>
        <w:t>racial discrimination</w:t>
      </w:r>
      <w:r w:rsidRPr="00A75AFA">
        <w:rPr>
          <w:rFonts w:asciiTheme="majorBidi" w:hAnsiTheme="majorBidi" w:cstheme="majorBidi"/>
          <w:lang w:bidi="fa-IR"/>
        </w:rPr>
        <w:t> (e.g. being denied treatment). Discrimination is particularly acute for South Asians. One Filipino respondent noted she felt “we are not important when we go to the hospital,” with 25% of those facing racial bias saying they were outright refused care.</w:t>
      </w:r>
      <w:r>
        <w:rPr>
          <w:rStyle w:val="FootnoteReference"/>
          <w:rFonts w:asciiTheme="majorBidi" w:hAnsiTheme="majorBidi" w:cstheme="majorBidi"/>
          <w:lang w:bidi="fa-IR"/>
        </w:rPr>
        <w:footnoteReference w:id="15"/>
      </w:r>
      <w:r w:rsidRPr="00A75AFA">
        <w:rPr>
          <w:rFonts w:asciiTheme="majorBidi" w:hAnsiTheme="majorBidi" w:cstheme="majorBidi"/>
          <w:lang w:bidi="fa-IR"/>
        </w:rPr>
        <w:t xml:space="preserve"> Similarly, a coalition of NGOs highlights that discriminatory policies (e.g. exclusive access to certain medicines or vaccines for citizens) and a lack of language support further impair migrant women’s ability to navigate the health system</w:t>
      </w:r>
      <w:r>
        <w:rPr>
          <w:rStyle w:val="FootnoteReference"/>
          <w:rFonts w:asciiTheme="majorBidi" w:hAnsiTheme="majorBidi" w:cstheme="majorBidi"/>
          <w:lang w:bidi="fa-IR"/>
        </w:rPr>
        <w:footnoteReference w:id="16"/>
      </w:r>
      <w:r w:rsidRPr="00A75AFA">
        <w:rPr>
          <w:rFonts w:asciiTheme="majorBidi" w:hAnsiTheme="majorBidi" w:cstheme="majorBidi"/>
          <w:lang w:bidi="fa-IR"/>
        </w:rPr>
        <w:t>.</w:t>
      </w:r>
    </w:p>
    <w:p w14:paraId="495CC655" w14:textId="77777777" w:rsidR="003F1635" w:rsidRDefault="003F1635" w:rsidP="003F1635">
      <w:pPr>
        <w:numPr>
          <w:ilvl w:val="0"/>
          <w:numId w:val="2"/>
        </w:numPr>
        <w:spacing w:line="278" w:lineRule="auto"/>
        <w:jc w:val="both"/>
        <w:rPr>
          <w:rFonts w:asciiTheme="majorBidi" w:hAnsiTheme="majorBidi" w:cstheme="majorBidi"/>
          <w:lang w:bidi="fa-IR"/>
        </w:rPr>
      </w:pPr>
      <w:r w:rsidRPr="00A75AFA">
        <w:rPr>
          <w:rFonts w:asciiTheme="majorBidi" w:hAnsiTheme="majorBidi" w:cstheme="majorBidi"/>
          <w:b/>
          <w:bCs/>
          <w:lang w:bidi="fa-IR"/>
        </w:rPr>
        <w:t>Gendered Aspects:</w:t>
      </w:r>
      <w:r w:rsidRPr="00A75AFA">
        <w:rPr>
          <w:rFonts w:asciiTheme="majorBidi" w:hAnsiTheme="majorBidi" w:cstheme="majorBidi"/>
          <w:lang w:bidi="fa-IR"/>
        </w:rPr>
        <w:t> Female migrants – especially domestic workers – face unique hurdles. NGO testimony (2022) described a Bangladeshi maid in Kuwait physically abused and then denied medical attention until she collapsed; by then her condition was severe</w:t>
      </w:r>
      <w:r>
        <w:rPr>
          <w:rStyle w:val="FootnoteReference"/>
          <w:rFonts w:asciiTheme="majorBidi" w:hAnsiTheme="majorBidi" w:cstheme="majorBidi"/>
          <w:lang w:bidi="fa-IR"/>
        </w:rPr>
        <w:footnoteReference w:id="17"/>
      </w:r>
      <w:r w:rsidRPr="00A75AFA">
        <w:rPr>
          <w:rFonts w:asciiTheme="majorBidi" w:hAnsiTheme="majorBidi" w:cstheme="majorBidi"/>
          <w:lang w:bidi="fa-IR"/>
        </w:rPr>
        <w:t>. While we lack a 2025 study duplicating that case, the same patterns persist. Domestic workers cannot travel to clinics without employers’ written permission, and their long hours mean they often only reach emergency care. Moreover, cultural or linguistic barriers (e.g. being less likely to be English literate) heighten isolation.</w:t>
      </w:r>
      <w:r>
        <w:rPr>
          <w:rStyle w:val="FootnoteReference"/>
          <w:rFonts w:asciiTheme="majorBidi" w:hAnsiTheme="majorBidi" w:cstheme="majorBidi"/>
          <w:lang w:bidi="fa-IR"/>
        </w:rPr>
        <w:footnoteReference w:id="18"/>
      </w:r>
      <w:r w:rsidRPr="00A75AFA">
        <w:rPr>
          <w:rFonts w:asciiTheme="majorBidi" w:hAnsiTheme="majorBidi" w:cstheme="majorBidi"/>
          <w:lang w:bidi="fa-IR"/>
        </w:rPr>
        <w:t xml:space="preserve"> The overall labor market exclusion of domestic help (excluded from </w:t>
      </w:r>
      <w:proofErr w:type="spellStart"/>
      <w:r w:rsidRPr="00A75AFA">
        <w:rPr>
          <w:rFonts w:asciiTheme="majorBidi" w:hAnsiTheme="majorBidi" w:cstheme="majorBidi"/>
          <w:lang w:bidi="fa-IR"/>
        </w:rPr>
        <w:t>labour</w:t>
      </w:r>
      <w:proofErr w:type="spellEnd"/>
      <w:r w:rsidRPr="00A75AFA">
        <w:rPr>
          <w:rFonts w:asciiTheme="majorBidi" w:hAnsiTheme="majorBidi" w:cstheme="majorBidi"/>
          <w:lang w:bidi="fa-IR"/>
        </w:rPr>
        <w:t xml:space="preserve"> law) means there is often </w:t>
      </w:r>
      <w:r w:rsidRPr="00BE0F6C">
        <w:rPr>
          <w:rFonts w:asciiTheme="majorBidi" w:hAnsiTheme="majorBidi" w:cstheme="majorBidi"/>
          <w:lang w:bidi="fa-IR"/>
        </w:rPr>
        <w:t>no mechanism</w:t>
      </w:r>
      <w:r w:rsidRPr="00A75AFA">
        <w:rPr>
          <w:rFonts w:asciiTheme="majorBidi" w:hAnsiTheme="majorBidi" w:cstheme="majorBidi"/>
          <w:lang w:bidi="fa-IR"/>
        </w:rPr>
        <w:t> to report a sponsor’s denial of medical treatment.</w:t>
      </w:r>
    </w:p>
    <w:p w14:paraId="7BE6A836" w14:textId="1D6AF6C2" w:rsidR="00566B77" w:rsidRDefault="00566B77" w:rsidP="00566B77">
      <w:pPr>
        <w:spacing w:line="278" w:lineRule="auto"/>
        <w:jc w:val="both"/>
        <w:rPr>
          <w:rFonts w:asciiTheme="majorBidi" w:hAnsiTheme="majorBidi" w:cstheme="majorBidi"/>
          <w:lang w:bidi="fa-IR"/>
        </w:rPr>
      </w:pPr>
      <w:r>
        <w:rPr>
          <w:rFonts w:cs="B Lotus" w:hint="cs"/>
          <w:noProof/>
          <w:sz w:val="28"/>
          <w:szCs w:val="28"/>
          <w:rtl/>
          <w:lang w:val="fa-IR" w:bidi="fa-IR"/>
        </w:rPr>
        <w:lastRenderedPageBreak/>
        <w:drawing>
          <wp:anchor distT="0" distB="0" distL="114300" distR="114300" simplePos="0" relativeHeight="251664384" behindDoc="1" locked="0" layoutInCell="1" allowOverlap="1" wp14:anchorId="2B893629" wp14:editId="6AC0C19B">
            <wp:simplePos x="0" y="0"/>
            <wp:positionH relativeFrom="margin">
              <wp:align>center</wp:align>
            </wp:positionH>
            <wp:positionV relativeFrom="paragraph">
              <wp:posOffset>-809625</wp:posOffset>
            </wp:positionV>
            <wp:extent cx="7591425" cy="9944100"/>
            <wp:effectExtent l="0" t="0" r="9525" b="0"/>
            <wp:wrapNone/>
            <wp:docPr id="1188320098" name="Picture 1188320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انگلیسی.jpg"/>
                    <pic:cNvPicPr/>
                  </pic:nvPicPr>
                  <pic:blipFill>
                    <a:blip r:embed="rId8">
                      <a:extLst>
                        <a:ext uri="{28A0092B-C50C-407E-A947-70E740481C1C}">
                          <a14:useLocalDpi xmlns:a14="http://schemas.microsoft.com/office/drawing/2010/main" val="0"/>
                        </a:ext>
                      </a:extLst>
                    </a:blip>
                    <a:stretch>
                      <a:fillRect/>
                    </a:stretch>
                  </pic:blipFill>
                  <pic:spPr>
                    <a:xfrm>
                      <a:off x="0" y="0"/>
                      <a:ext cx="7591425" cy="9944100"/>
                    </a:xfrm>
                    <a:prstGeom prst="rect">
                      <a:avLst/>
                    </a:prstGeom>
                  </pic:spPr>
                </pic:pic>
              </a:graphicData>
            </a:graphic>
            <wp14:sizeRelH relativeFrom="margin">
              <wp14:pctWidth>0</wp14:pctWidth>
            </wp14:sizeRelH>
            <wp14:sizeRelV relativeFrom="margin">
              <wp14:pctHeight>0</wp14:pctHeight>
            </wp14:sizeRelV>
          </wp:anchor>
        </w:drawing>
      </w:r>
    </w:p>
    <w:p w14:paraId="7DD1A810" w14:textId="77777777" w:rsidR="00566B77" w:rsidRDefault="00566B77" w:rsidP="00566B77">
      <w:pPr>
        <w:spacing w:line="278" w:lineRule="auto"/>
        <w:jc w:val="both"/>
        <w:rPr>
          <w:rFonts w:asciiTheme="majorBidi" w:hAnsiTheme="majorBidi" w:cstheme="majorBidi"/>
          <w:lang w:bidi="fa-IR"/>
        </w:rPr>
      </w:pPr>
    </w:p>
    <w:p w14:paraId="245CF68B" w14:textId="77777777" w:rsidR="00566B77" w:rsidRPr="00A75AFA" w:rsidRDefault="00566B77" w:rsidP="00566B77">
      <w:pPr>
        <w:spacing w:line="278" w:lineRule="auto"/>
        <w:jc w:val="both"/>
        <w:rPr>
          <w:rFonts w:asciiTheme="majorBidi" w:hAnsiTheme="majorBidi" w:cstheme="majorBidi"/>
          <w:lang w:bidi="fa-IR"/>
        </w:rPr>
      </w:pPr>
    </w:p>
    <w:p w14:paraId="0731792F" w14:textId="77777777" w:rsidR="003F1635" w:rsidRPr="00A75AFA" w:rsidRDefault="003F1635" w:rsidP="003F1635">
      <w:pPr>
        <w:numPr>
          <w:ilvl w:val="0"/>
          <w:numId w:val="2"/>
        </w:numPr>
        <w:spacing w:line="278" w:lineRule="auto"/>
        <w:jc w:val="both"/>
        <w:rPr>
          <w:rFonts w:asciiTheme="majorBidi" w:hAnsiTheme="majorBidi" w:cstheme="majorBidi"/>
          <w:lang w:bidi="fa-IR"/>
        </w:rPr>
      </w:pPr>
      <w:r w:rsidRPr="00A75AFA">
        <w:rPr>
          <w:rFonts w:asciiTheme="majorBidi" w:hAnsiTheme="majorBidi" w:cstheme="majorBidi"/>
          <w:b/>
          <w:bCs/>
          <w:lang w:bidi="fa-IR"/>
        </w:rPr>
        <w:t>Occupational Health Risks:</w:t>
      </w:r>
      <w:r w:rsidRPr="00A75AFA">
        <w:rPr>
          <w:rFonts w:asciiTheme="majorBidi" w:hAnsiTheme="majorBidi" w:cstheme="majorBidi"/>
          <w:lang w:bidi="fa-IR"/>
        </w:rPr>
        <w:t> Extreme working conditions worsen health needs. HRW (June 2025) warns that Gulf migrants face a “health and safety catastrophe” from extreme heat and poor protections. Chronic dehydration and injuries are common, meaning migrants (often South Asian) have higher baseline health risks even before discrimination. Yet their limited access to preventive or follow-up care (given the barriers above) means treatable conditions can turn deadly</w:t>
      </w:r>
      <w:r>
        <w:rPr>
          <w:rStyle w:val="FootnoteReference"/>
          <w:rFonts w:asciiTheme="majorBidi" w:hAnsiTheme="majorBidi" w:cstheme="majorBidi"/>
          <w:lang w:bidi="fa-IR"/>
        </w:rPr>
        <w:footnoteReference w:id="19"/>
      </w:r>
      <w:r w:rsidRPr="00A75AFA">
        <w:rPr>
          <w:rFonts w:asciiTheme="majorBidi" w:hAnsiTheme="majorBidi" w:cstheme="majorBidi"/>
          <w:lang w:bidi="fa-IR"/>
        </w:rPr>
        <w:t>. (HRW’s heat report cites kidney failure and chronic illness as now routine for overexposed migrants.)</w:t>
      </w:r>
    </w:p>
    <w:p w14:paraId="1002AC6F" w14:textId="77777777" w:rsidR="003F1635" w:rsidRDefault="003F1635" w:rsidP="003F1635">
      <w:pPr>
        <w:jc w:val="both"/>
        <w:rPr>
          <w:rFonts w:asciiTheme="majorBidi" w:hAnsiTheme="majorBidi" w:cstheme="majorBidi"/>
          <w:lang w:bidi="fa-IR"/>
        </w:rPr>
      </w:pPr>
      <w:r w:rsidRPr="00A75AFA">
        <w:rPr>
          <w:rFonts w:asciiTheme="majorBidi" w:hAnsiTheme="majorBidi" w:cstheme="majorBidi"/>
          <w:lang w:bidi="fa-IR"/>
        </w:rPr>
        <w:t>In sum, South Asian migrant women in Kuwait confront a </w:t>
      </w:r>
      <w:r w:rsidRPr="00DB451C">
        <w:rPr>
          <w:rFonts w:asciiTheme="majorBidi" w:hAnsiTheme="majorBidi" w:cstheme="majorBidi"/>
          <w:lang w:bidi="fa-IR"/>
        </w:rPr>
        <w:t>double bind</w:t>
      </w:r>
      <w:r w:rsidRPr="00A75AFA">
        <w:rPr>
          <w:rFonts w:asciiTheme="majorBidi" w:hAnsiTheme="majorBidi" w:cstheme="majorBidi"/>
          <w:lang w:bidi="fa-IR"/>
        </w:rPr>
        <w:t>: employers’ ex ante controls and ex post discrimination impede healthcare access, while high-cost, insurance-based healthcare leaves them financially strained. The Amesty International report on Kuwait notes that such exploitative dynamics </w:t>
      </w:r>
      <w:r w:rsidRPr="00DB451C">
        <w:rPr>
          <w:rFonts w:asciiTheme="majorBidi" w:hAnsiTheme="majorBidi" w:cstheme="majorBidi"/>
          <w:lang w:bidi="fa-IR"/>
        </w:rPr>
        <w:t>reintroduced the worst elements of kafala,</w:t>
      </w:r>
      <w:r w:rsidRPr="00A75AFA">
        <w:rPr>
          <w:rFonts w:asciiTheme="majorBidi" w:hAnsiTheme="majorBidi" w:cstheme="majorBidi"/>
          <w:lang w:bidi="fa-IR"/>
        </w:rPr>
        <w:t xml:space="preserve"> trapping workers “at risk”. This intersectional disadvantage – based on foreign origin </w:t>
      </w:r>
      <w:r w:rsidRPr="00DB451C">
        <w:rPr>
          <w:rFonts w:asciiTheme="majorBidi" w:hAnsiTheme="majorBidi" w:cstheme="majorBidi"/>
          <w:lang w:bidi="fa-IR"/>
        </w:rPr>
        <w:t>and </w:t>
      </w:r>
      <w:r w:rsidRPr="00A75AFA">
        <w:rPr>
          <w:rFonts w:asciiTheme="majorBidi" w:hAnsiTheme="majorBidi" w:cstheme="majorBidi"/>
          <w:lang w:bidi="fa-IR"/>
        </w:rPr>
        <w:t>gender (many sectors barred to them) – meets the definition of prohibited discrimination under CERD’s Article 1 (race, nationality, descent).</w:t>
      </w:r>
    </w:p>
    <w:p w14:paraId="519DE62E" w14:textId="77777777" w:rsidR="003F1635" w:rsidRPr="00625121" w:rsidRDefault="003F1635" w:rsidP="003F1635">
      <w:pPr>
        <w:jc w:val="both"/>
        <w:rPr>
          <w:rFonts w:asciiTheme="majorBidi" w:hAnsiTheme="majorBidi" w:cstheme="majorBidi"/>
          <w:b/>
          <w:bCs/>
          <w:lang w:bidi="fa-IR"/>
        </w:rPr>
      </w:pPr>
      <w:r w:rsidRPr="00625121">
        <w:rPr>
          <w:rFonts w:asciiTheme="majorBidi" w:hAnsiTheme="majorBidi" w:cstheme="majorBidi"/>
          <w:b/>
          <w:bCs/>
          <w:lang w:bidi="fa-IR"/>
        </w:rPr>
        <w:t>Findings and CERD Relevance</w:t>
      </w:r>
    </w:p>
    <w:p w14:paraId="319453F8" w14:textId="77777777" w:rsidR="003F1635" w:rsidRPr="00625121" w:rsidRDefault="003F1635" w:rsidP="003F1635">
      <w:pPr>
        <w:numPr>
          <w:ilvl w:val="0"/>
          <w:numId w:val="3"/>
        </w:numPr>
        <w:spacing w:line="278" w:lineRule="auto"/>
        <w:jc w:val="both"/>
        <w:rPr>
          <w:rFonts w:asciiTheme="majorBidi" w:hAnsiTheme="majorBidi" w:cstheme="majorBidi"/>
          <w:lang w:bidi="fa-IR"/>
        </w:rPr>
      </w:pPr>
      <w:r w:rsidRPr="00625121">
        <w:rPr>
          <w:rFonts w:asciiTheme="majorBidi" w:hAnsiTheme="majorBidi" w:cstheme="majorBidi"/>
          <w:b/>
          <w:bCs/>
          <w:lang w:bidi="fa-IR"/>
        </w:rPr>
        <w:t>Race/National Origin Discrimination:</w:t>
      </w:r>
      <w:r w:rsidRPr="00625121">
        <w:rPr>
          <w:rFonts w:asciiTheme="majorBidi" w:hAnsiTheme="majorBidi" w:cstheme="majorBidi"/>
          <w:lang w:bidi="fa-IR"/>
        </w:rPr>
        <w:t> Kuwait’s policies explicitly differentiate citizens versus foreigners. Migrant women (most from India, Bangladesh, Nepal, Philippines, Sri Lanka) are treated as a class. For instance, excluding non-nationals from subsidized care or imposing extra fees constitutes de facto nationality discrimination. Reports confirm “priority for citizens” in vaccines and medicines</w:t>
      </w:r>
      <w:r>
        <w:rPr>
          <w:rStyle w:val="FootnoteReference"/>
          <w:rFonts w:asciiTheme="majorBidi" w:hAnsiTheme="majorBidi" w:cstheme="majorBidi"/>
          <w:lang w:bidi="fa-IR"/>
        </w:rPr>
        <w:footnoteReference w:id="20"/>
      </w:r>
      <w:r w:rsidRPr="00625121">
        <w:rPr>
          <w:rFonts w:asciiTheme="majorBidi" w:hAnsiTheme="majorBidi" w:cstheme="majorBidi"/>
          <w:lang w:bidi="fa-IR"/>
        </w:rPr>
        <w:t xml:space="preserve">. </w:t>
      </w:r>
      <w:proofErr w:type="gramStart"/>
      <w:r w:rsidRPr="00625121">
        <w:rPr>
          <w:rFonts w:asciiTheme="majorBidi" w:hAnsiTheme="majorBidi" w:cstheme="majorBidi"/>
          <w:lang w:bidi="fa-IR"/>
        </w:rPr>
        <w:t>Thus</w:t>
      </w:r>
      <w:proofErr w:type="gramEnd"/>
      <w:r w:rsidRPr="00625121">
        <w:rPr>
          <w:rFonts w:asciiTheme="majorBidi" w:hAnsiTheme="majorBidi" w:cstheme="majorBidi"/>
          <w:lang w:bidi="fa-IR"/>
        </w:rPr>
        <w:t xml:space="preserve"> foreign workers form a </w:t>
      </w:r>
      <w:r w:rsidRPr="00625121">
        <w:rPr>
          <w:rFonts w:asciiTheme="majorBidi" w:hAnsiTheme="majorBidi" w:cstheme="majorBidi"/>
          <w:i/>
          <w:iCs/>
          <w:lang w:bidi="fa-IR"/>
        </w:rPr>
        <w:t>protected class</w:t>
      </w:r>
      <w:r w:rsidRPr="00625121">
        <w:rPr>
          <w:rFonts w:asciiTheme="majorBidi" w:hAnsiTheme="majorBidi" w:cstheme="majorBidi"/>
          <w:lang w:bidi="fa-IR"/>
        </w:rPr>
        <w:t> by national origin under CERD, suffering systemic exclusion from services.</w:t>
      </w:r>
    </w:p>
    <w:p w14:paraId="22662218" w14:textId="77777777" w:rsidR="003F1635" w:rsidRPr="00625121" w:rsidRDefault="003F1635" w:rsidP="003F1635">
      <w:pPr>
        <w:numPr>
          <w:ilvl w:val="0"/>
          <w:numId w:val="3"/>
        </w:numPr>
        <w:spacing w:line="278" w:lineRule="auto"/>
        <w:jc w:val="both"/>
        <w:rPr>
          <w:rFonts w:asciiTheme="majorBidi" w:hAnsiTheme="majorBidi" w:cstheme="majorBidi"/>
          <w:lang w:bidi="fa-IR"/>
        </w:rPr>
      </w:pPr>
      <w:r w:rsidRPr="00625121">
        <w:rPr>
          <w:rFonts w:asciiTheme="majorBidi" w:hAnsiTheme="majorBidi" w:cstheme="majorBidi"/>
          <w:b/>
          <w:bCs/>
          <w:lang w:bidi="fa-IR"/>
        </w:rPr>
        <w:t>Gender Intersection:</w:t>
      </w:r>
      <w:r w:rsidRPr="00625121">
        <w:rPr>
          <w:rFonts w:asciiTheme="majorBidi" w:hAnsiTheme="majorBidi" w:cstheme="majorBidi"/>
          <w:lang w:bidi="fa-IR"/>
        </w:rPr>
        <w:t> Female migrants carry additional burdens. Patriarchal family law in Kuwait denies them independent residency (they are visa-tied). Discriminatory nationality laws (treating foreign wives differently than foreign husbands) also intersect. Because most domestic workers are women, lack of workplace protections effectively singles out women for medical neglect. Although CERD does not explicitly cover sex, the principle of intersectionality (per CERD practice) means double discrimination (gender and race/nationality) can be raised.</w:t>
      </w:r>
    </w:p>
    <w:p w14:paraId="4336B3C2" w14:textId="1EB9987A" w:rsidR="003F1635" w:rsidRDefault="003F1635" w:rsidP="003F1635">
      <w:pPr>
        <w:numPr>
          <w:ilvl w:val="0"/>
          <w:numId w:val="3"/>
        </w:numPr>
        <w:spacing w:line="278" w:lineRule="auto"/>
        <w:jc w:val="both"/>
        <w:rPr>
          <w:rFonts w:asciiTheme="majorBidi" w:hAnsiTheme="majorBidi" w:cstheme="majorBidi"/>
          <w:lang w:bidi="fa-IR"/>
        </w:rPr>
      </w:pPr>
      <w:r w:rsidRPr="00625121">
        <w:rPr>
          <w:rFonts w:asciiTheme="majorBidi" w:hAnsiTheme="majorBidi" w:cstheme="majorBidi"/>
          <w:b/>
          <w:bCs/>
          <w:lang w:bidi="fa-IR"/>
        </w:rPr>
        <w:t>Violations of Right to Health:</w:t>
      </w:r>
      <w:r w:rsidRPr="00625121">
        <w:rPr>
          <w:rFonts w:asciiTheme="majorBidi" w:hAnsiTheme="majorBidi" w:cstheme="majorBidi"/>
          <w:lang w:bidi="fa-IR"/>
        </w:rPr>
        <w:t> Under CERD Article 5(e)(iv), states must guarantee equal rights to public health. In practice, Kuwait’s health system is not “equal”: non-Kuwaitis pay higher fees and face barriers while citizens are exempt or subsidized. The World Health Organization notes that the right to health includes equitable access for all residents. By these standards, Kuwait’s policies (e.g. post-2025 health insurance scheme) effectively deny equal treatment. Combined with anecdotal evidence of refusals and delay, this is actionable discrimination.</w:t>
      </w:r>
    </w:p>
    <w:p w14:paraId="75D14FBD" w14:textId="0D7ED6E0" w:rsidR="00566B77" w:rsidRDefault="00566B77" w:rsidP="00566B77">
      <w:pPr>
        <w:spacing w:line="278" w:lineRule="auto"/>
        <w:ind w:left="720"/>
        <w:jc w:val="both"/>
        <w:rPr>
          <w:rFonts w:asciiTheme="majorBidi" w:hAnsiTheme="majorBidi" w:cstheme="majorBidi"/>
          <w:b/>
          <w:bCs/>
          <w:lang w:bidi="fa-IR"/>
        </w:rPr>
      </w:pPr>
      <w:r>
        <w:rPr>
          <w:rFonts w:cs="B Lotus" w:hint="cs"/>
          <w:noProof/>
          <w:sz w:val="28"/>
          <w:szCs w:val="28"/>
          <w:rtl/>
          <w:lang w:val="fa-IR" w:bidi="fa-IR"/>
        </w:rPr>
        <w:lastRenderedPageBreak/>
        <w:drawing>
          <wp:anchor distT="0" distB="0" distL="114300" distR="114300" simplePos="0" relativeHeight="251666432" behindDoc="1" locked="0" layoutInCell="1" allowOverlap="1" wp14:anchorId="4162A85F" wp14:editId="76CC475E">
            <wp:simplePos x="0" y="0"/>
            <wp:positionH relativeFrom="margin">
              <wp:posOffset>-819150</wp:posOffset>
            </wp:positionH>
            <wp:positionV relativeFrom="paragraph">
              <wp:posOffset>-910590</wp:posOffset>
            </wp:positionV>
            <wp:extent cx="7591425" cy="9944100"/>
            <wp:effectExtent l="0" t="0" r="9525" b="0"/>
            <wp:wrapNone/>
            <wp:docPr id="1144425417" name="Picture 1144425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انگلیسی.jpg"/>
                    <pic:cNvPicPr/>
                  </pic:nvPicPr>
                  <pic:blipFill>
                    <a:blip r:embed="rId8">
                      <a:extLst>
                        <a:ext uri="{28A0092B-C50C-407E-A947-70E740481C1C}">
                          <a14:useLocalDpi xmlns:a14="http://schemas.microsoft.com/office/drawing/2010/main" val="0"/>
                        </a:ext>
                      </a:extLst>
                    </a:blip>
                    <a:stretch>
                      <a:fillRect/>
                    </a:stretch>
                  </pic:blipFill>
                  <pic:spPr>
                    <a:xfrm>
                      <a:off x="0" y="0"/>
                      <a:ext cx="7591425" cy="9944100"/>
                    </a:xfrm>
                    <a:prstGeom prst="rect">
                      <a:avLst/>
                    </a:prstGeom>
                  </pic:spPr>
                </pic:pic>
              </a:graphicData>
            </a:graphic>
            <wp14:sizeRelH relativeFrom="margin">
              <wp14:pctWidth>0</wp14:pctWidth>
            </wp14:sizeRelH>
            <wp14:sizeRelV relativeFrom="margin">
              <wp14:pctHeight>0</wp14:pctHeight>
            </wp14:sizeRelV>
          </wp:anchor>
        </w:drawing>
      </w:r>
    </w:p>
    <w:p w14:paraId="11E1E53F" w14:textId="77777777" w:rsidR="00566B77" w:rsidRDefault="00566B77" w:rsidP="00566B77">
      <w:pPr>
        <w:spacing w:line="278" w:lineRule="auto"/>
        <w:ind w:left="720"/>
        <w:jc w:val="both"/>
        <w:rPr>
          <w:rFonts w:asciiTheme="majorBidi" w:hAnsiTheme="majorBidi" w:cstheme="majorBidi"/>
          <w:b/>
          <w:bCs/>
          <w:lang w:bidi="fa-IR"/>
        </w:rPr>
      </w:pPr>
    </w:p>
    <w:p w14:paraId="685B91E7" w14:textId="5F59A795" w:rsidR="00566B77" w:rsidRPr="00625121" w:rsidRDefault="00566B77" w:rsidP="00566B77">
      <w:pPr>
        <w:spacing w:line="278" w:lineRule="auto"/>
        <w:ind w:left="720"/>
        <w:jc w:val="both"/>
        <w:rPr>
          <w:rFonts w:asciiTheme="majorBidi" w:hAnsiTheme="majorBidi" w:cstheme="majorBidi"/>
          <w:lang w:bidi="fa-IR"/>
        </w:rPr>
      </w:pPr>
    </w:p>
    <w:p w14:paraId="249AE66E" w14:textId="77777777" w:rsidR="003F1635" w:rsidRPr="00625121" w:rsidRDefault="003F1635" w:rsidP="003F1635">
      <w:pPr>
        <w:numPr>
          <w:ilvl w:val="0"/>
          <w:numId w:val="3"/>
        </w:numPr>
        <w:spacing w:line="278" w:lineRule="auto"/>
        <w:jc w:val="both"/>
        <w:rPr>
          <w:rFonts w:asciiTheme="majorBidi" w:hAnsiTheme="majorBidi" w:cstheme="majorBidi"/>
          <w:lang w:bidi="fa-IR"/>
        </w:rPr>
      </w:pPr>
      <w:r w:rsidRPr="00625121">
        <w:rPr>
          <w:rFonts w:asciiTheme="majorBidi" w:hAnsiTheme="majorBidi" w:cstheme="majorBidi"/>
          <w:b/>
          <w:bCs/>
          <w:lang w:bidi="fa-IR"/>
        </w:rPr>
        <w:t>Legal/Policy Context:</w:t>
      </w:r>
      <w:r w:rsidRPr="00625121">
        <w:rPr>
          <w:rFonts w:asciiTheme="majorBidi" w:hAnsiTheme="majorBidi" w:cstheme="majorBidi"/>
          <w:lang w:bidi="fa-IR"/>
        </w:rPr>
        <w:t> New laws and decrees in 2025 deepen discrimination. The restoration of the exit permit and new residency controls (Foreigners’ Law) have been criticized as violating international norms (e.g. freedom of movement in the CMW</w:t>
      </w:r>
      <w:r>
        <w:rPr>
          <w:rStyle w:val="FootnoteReference"/>
          <w:rFonts w:asciiTheme="majorBidi" w:hAnsiTheme="majorBidi" w:cstheme="majorBidi"/>
          <w:lang w:bidi="fa-IR"/>
        </w:rPr>
        <w:footnoteReference w:id="21"/>
      </w:r>
      <w:r w:rsidRPr="00625121">
        <w:rPr>
          <w:rFonts w:asciiTheme="majorBidi" w:hAnsiTheme="majorBidi" w:cstheme="majorBidi"/>
          <w:lang w:bidi="fa-IR"/>
        </w:rPr>
        <w:t>). These measures are motivated, in part, by rhetoric of protecting “Kuwaiti interests,” implicitly framing migrant workers (often South Asian) as outsiders. In short, the legal context codifies an employer-centric system that undermines migrants’ rights, aligning with CERD themes of controlling minority populations.</w:t>
      </w:r>
    </w:p>
    <w:p w14:paraId="6586D257" w14:textId="77777777" w:rsidR="003F1635" w:rsidRPr="00625121" w:rsidRDefault="003F1635" w:rsidP="003F1635">
      <w:pPr>
        <w:jc w:val="both"/>
        <w:rPr>
          <w:rFonts w:asciiTheme="majorBidi" w:hAnsiTheme="majorBidi" w:cstheme="majorBidi"/>
          <w:b/>
          <w:bCs/>
          <w:lang w:bidi="fa-IR"/>
        </w:rPr>
      </w:pPr>
      <w:r w:rsidRPr="00625121">
        <w:rPr>
          <w:rFonts w:asciiTheme="majorBidi" w:hAnsiTheme="majorBidi" w:cstheme="majorBidi"/>
          <w:b/>
          <w:bCs/>
          <w:lang w:bidi="fa-IR"/>
        </w:rPr>
        <w:t xml:space="preserve">Recommendations </w:t>
      </w:r>
    </w:p>
    <w:p w14:paraId="00403F48" w14:textId="77777777" w:rsidR="003F1635" w:rsidRPr="00625121" w:rsidRDefault="003F1635" w:rsidP="003F1635">
      <w:pPr>
        <w:jc w:val="both"/>
        <w:rPr>
          <w:rFonts w:asciiTheme="majorBidi" w:hAnsiTheme="majorBidi" w:cstheme="majorBidi"/>
          <w:lang w:bidi="fa-IR"/>
        </w:rPr>
      </w:pPr>
      <w:r w:rsidRPr="00625121">
        <w:rPr>
          <w:rFonts w:asciiTheme="majorBidi" w:hAnsiTheme="majorBidi" w:cstheme="majorBidi"/>
          <w:lang w:bidi="fa-IR"/>
        </w:rPr>
        <w:t>Based on the above, we urge the Committee to call on Kuwait to:</w:t>
      </w:r>
    </w:p>
    <w:p w14:paraId="3BC8614F" w14:textId="77777777" w:rsidR="003F1635" w:rsidRPr="00625121" w:rsidRDefault="003F1635" w:rsidP="003F1635">
      <w:pPr>
        <w:numPr>
          <w:ilvl w:val="0"/>
          <w:numId w:val="4"/>
        </w:numPr>
        <w:spacing w:line="278" w:lineRule="auto"/>
        <w:jc w:val="both"/>
        <w:rPr>
          <w:rFonts w:asciiTheme="majorBidi" w:hAnsiTheme="majorBidi" w:cstheme="majorBidi"/>
          <w:lang w:bidi="fa-IR"/>
        </w:rPr>
      </w:pPr>
      <w:r w:rsidRPr="00625121">
        <w:rPr>
          <w:rFonts w:asciiTheme="majorBidi" w:hAnsiTheme="majorBidi" w:cstheme="majorBidi"/>
          <w:b/>
          <w:bCs/>
          <w:lang w:bidi="fa-IR"/>
        </w:rPr>
        <w:t>Abolish restrictive mobility controls.</w:t>
      </w:r>
      <w:r w:rsidRPr="00625121">
        <w:rPr>
          <w:rFonts w:asciiTheme="majorBidi" w:hAnsiTheme="majorBidi" w:cstheme="majorBidi"/>
          <w:lang w:bidi="fa-IR"/>
        </w:rPr>
        <w:t> Revoke the exit-permit requirement and related kafala elements. Migrant workers, especially women, should have freedom to change jobs and travel without arbitrary sponsor consent (CERD Art. 5).</w:t>
      </w:r>
    </w:p>
    <w:p w14:paraId="1149D75D" w14:textId="77777777" w:rsidR="003F1635" w:rsidRPr="00625121" w:rsidRDefault="003F1635" w:rsidP="003F1635">
      <w:pPr>
        <w:numPr>
          <w:ilvl w:val="0"/>
          <w:numId w:val="4"/>
        </w:numPr>
        <w:spacing w:line="278" w:lineRule="auto"/>
        <w:jc w:val="both"/>
        <w:rPr>
          <w:rFonts w:asciiTheme="majorBidi" w:hAnsiTheme="majorBidi" w:cstheme="majorBidi"/>
          <w:lang w:bidi="fa-IR"/>
        </w:rPr>
      </w:pPr>
      <w:r w:rsidRPr="00625121">
        <w:rPr>
          <w:rFonts w:asciiTheme="majorBidi" w:hAnsiTheme="majorBidi" w:cstheme="majorBidi"/>
          <w:b/>
          <w:bCs/>
          <w:lang w:bidi="fa-IR"/>
        </w:rPr>
        <w:t>Ensure equal healthcare access.</w:t>
      </w:r>
      <w:r w:rsidRPr="00625121">
        <w:rPr>
          <w:rFonts w:asciiTheme="majorBidi" w:hAnsiTheme="majorBidi" w:cstheme="majorBidi"/>
          <w:lang w:bidi="fa-IR"/>
        </w:rPr>
        <w:t> Amend health insurance regulations to guarantee free or affordable emergency care for all, eliminate any nationality-based fees, and provide interpretation/language support. In line with CERD guidance, Kuwait should subsidize essential health services for low-income migrants and monitor discrimination in healthcare delivery.</w:t>
      </w:r>
    </w:p>
    <w:p w14:paraId="58D7CD78" w14:textId="77777777" w:rsidR="003F1635" w:rsidRPr="00625121" w:rsidRDefault="003F1635" w:rsidP="003F1635">
      <w:pPr>
        <w:numPr>
          <w:ilvl w:val="0"/>
          <w:numId w:val="4"/>
        </w:numPr>
        <w:spacing w:line="278" w:lineRule="auto"/>
        <w:jc w:val="both"/>
        <w:rPr>
          <w:rFonts w:asciiTheme="majorBidi" w:hAnsiTheme="majorBidi" w:cstheme="majorBidi"/>
          <w:lang w:bidi="fa-IR"/>
        </w:rPr>
      </w:pPr>
      <w:r w:rsidRPr="00625121">
        <w:rPr>
          <w:rFonts w:asciiTheme="majorBidi" w:hAnsiTheme="majorBidi" w:cstheme="majorBidi"/>
          <w:b/>
          <w:bCs/>
          <w:lang w:bidi="fa-IR"/>
        </w:rPr>
        <w:t>Extend labor protections.</w:t>
      </w:r>
      <w:r w:rsidRPr="00625121">
        <w:rPr>
          <w:rFonts w:asciiTheme="majorBidi" w:hAnsiTheme="majorBidi" w:cstheme="majorBidi"/>
          <w:lang w:bidi="fa-IR"/>
        </w:rPr>
        <w:t xml:space="preserve"> Include all migrant domestic workers under the labor code (as per ILO C189) and permit </w:t>
      </w:r>
      <w:proofErr w:type="spellStart"/>
      <w:r w:rsidRPr="00625121">
        <w:rPr>
          <w:rFonts w:asciiTheme="majorBidi" w:hAnsiTheme="majorBidi" w:cstheme="majorBidi"/>
          <w:lang w:bidi="fa-IR"/>
        </w:rPr>
        <w:t>labour</w:t>
      </w:r>
      <w:proofErr w:type="spellEnd"/>
      <w:r w:rsidRPr="00625121">
        <w:rPr>
          <w:rFonts w:asciiTheme="majorBidi" w:hAnsiTheme="majorBidi" w:cstheme="majorBidi"/>
          <w:lang w:bidi="fa-IR"/>
        </w:rPr>
        <w:t xml:space="preserve"> inspections in private homes. Treat passport confiscation as a punishable offense. These steps would empower female workers to seek medical help without fear.</w:t>
      </w:r>
    </w:p>
    <w:p w14:paraId="69F267C2" w14:textId="77777777" w:rsidR="003F1635" w:rsidRPr="00625121" w:rsidRDefault="003F1635" w:rsidP="003F1635">
      <w:pPr>
        <w:numPr>
          <w:ilvl w:val="0"/>
          <w:numId w:val="4"/>
        </w:numPr>
        <w:spacing w:line="278" w:lineRule="auto"/>
        <w:jc w:val="both"/>
        <w:rPr>
          <w:rFonts w:asciiTheme="majorBidi" w:hAnsiTheme="majorBidi" w:cstheme="majorBidi"/>
          <w:lang w:bidi="fa-IR"/>
        </w:rPr>
      </w:pPr>
      <w:r w:rsidRPr="00625121">
        <w:rPr>
          <w:rFonts w:asciiTheme="majorBidi" w:hAnsiTheme="majorBidi" w:cstheme="majorBidi"/>
          <w:b/>
          <w:bCs/>
          <w:lang w:bidi="fa-IR"/>
        </w:rPr>
        <w:t>Enforce non-discrimination.</w:t>
      </w:r>
      <w:r w:rsidRPr="00625121">
        <w:rPr>
          <w:rFonts w:asciiTheme="majorBidi" w:hAnsiTheme="majorBidi" w:cstheme="majorBidi"/>
          <w:lang w:bidi="fa-IR"/>
        </w:rPr>
        <w:t> Launch training for healthcare providers on migrants’ rights, and establish a complaint mechanism for healthcare discrimination cases. Public authorities should collect data on service access by nationality and sex, to ensure compliance with CERD.</w:t>
      </w:r>
    </w:p>
    <w:p w14:paraId="13835E49" w14:textId="77777777" w:rsidR="003F1635" w:rsidRPr="00625121" w:rsidRDefault="003F1635" w:rsidP="003F1635">
      <w:pPr>
        <w:numPr>
          <w:ilvl w:val="0"/>
          <w:numId w:val="4"/>
        </w:numPr>
        <w:spacing w:line="278" w:lineRule="auto"/>
        <w:jc w:val="both"/>
        <w:rPr>
          <w:rFonts w:asciiTheme="majorBidi" w:hAnsiTheme="majorBidi" w:cstheme="majorBidi"/>
          <w:lang w:bidi="fa-IR"/>
        </w:rPr>
      </w:pPr>
      <w:r w:rsidRPr="00625121">
        <w:rPr>
          <w:rFonts w:asciiTheme="majorBidi" w:hAnsiTheme="majorBidi" w:cstheme="majorBidi"/>
          <w:b/>
          <w:bCs/>
          <w:lang w:bidi="fa-IR"/>
        </w:rPr>
        <w:t>Facilitate remedies.</w:t>
      </w:r>
      <w:r w:rsidRPr="00625121">
        <w:rPr>
          <w:rFonts w:asciiTheme="majorBidi" w:hAnsiTheme="majorBidi" w:cstheme="majorBidi"/>
          <w:lang w:bidi="fa-IR"/>
        </w:rPr>
        <w:t> Kuwait should ratify the UN Migrant Workers’ Convention and streamline complaint processes for abuse. The Committee can recommend that Kuwait accept cases brought by NGOs on behalf of migrant women (e.g. facilitate confidential reporting).</w:t>
      </w:r>
    </w:p>
    <w:p w14:paraId="31C4E412" w14:textId="77777777" w:rsidR="003F1635" w:rsidRPr="00625121" w:rsidRDefault="003F1635" w:rsidP="003F1635">
      <w:pPr>
        <w:jc w:val="both"/>
        <w:rPr>
          <w:rFonts w:asciiTheme="majorBidi" w:hAnsiTheme="majorBidi" w:cstheme="majorBidi"/>
          <w:lang w:bidi="fa-IR"/>
        </w:rPr>
      </w:pPr>
      <w:r>
        <w:rPr>
          <w:rFonts w:asciiTheme="majorBidi" w:hAnsiTheme="majorBidi" w:cstheme="majorBidi"/>
          <w:lang w:bidi="fa-IR"/>
        </w:rPr>
        <w:t>R</w:t>
      </w:r>
      <w:r w:rsidRPr="00625121">
        <w:rPr>
          <w:rFonts w:asciiTheme="majorBidi" w:hAnsiTheme="majorBidi" w:cstheme="majorBidi"/>
          <w:lang w:bidi="fa-IR"/>
        </w:rPr>
        <w:t>ecent sources confirm that Kuwait’s intersectional discrimination against South Asian migrant women in healthcare is severe and systemic. A CERD shadow report can use this evidence to press for reforms ensuring “treatment of all foreigners is equal” (as Kuwait itself pledged in UPR) and that migrants’ race/national origin not bar them from essential health services.</w:t>
      </w:r>
    </w:p>
    <w:p w14:paraId="696E604D" w14:textId="77777777" w:rsidR="00997BE3" w:rsidRPr="00997BE3" w:rsidRDefault="00997BE3" w:rsidP="003F1635">
      <w:pPr>
        <w:jc w:val="both"/>
        <w:rPr>
          <w:rFonts w:cs="B Lotus"/>
          <w:sz w:val="28"/>
          <w:szCs w:val="28"/>
        </w:rPr>
      </w:pPr>
    </w:p>
    <w:sectPr w:rsidR="00997BE3" w:rsidRPr="00997BE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D42398" w14:textId="77777777" w:rsidR="00973C72" w:rsidRDefault="00973C72" w:rsidP="00B4076A">
      <w:pPr>
        <w:spacing w:after="0" w:line="240" w:lineRule="auto"/>
      </w:pPr>
      <w:r>
        <w:separator/>
      </w:r>
    </w:p>
  </w:endnote>
  <w:endnote w:type="continuationSeparator" w:id="0">
    <w:p w14:paraId="1B1770A4" w14:textId="77777777" w:rsidR="00973C72" w:rsidRDefault="00973C72" w:rsidP="00B407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 Lotus">
    <w:panose1 w:val="00000400000000000000"/>
    <w:charset w:val="B2"/>
    <w:family w:val="auto"/>
    <w:pitch w:val="variable"/>
    <w:sig w:usb0="00002001" w:usb1="80000000" w:usb2="00000008" w:usb3="00000000" w:csb0="0000004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C8D27A" w14:textId="77777777" w:rsidR="00973C72" w:rsidRDefault="00973C72" w:rsidP="00B4076A">
      <w:pPr>
        <w:spacing w:after="0" w:line="240" w:lineRule="auto"/>
      </w:pPr>
      <w:r>
        <w:separator/>
      </w:r>
    </w:p>
  </w:footnote>
  <w:footnote w:type="continuationSeparator" w:id="0">
    <w:p w14:paraId="2CA9EF26" w14:textId="77777777" w:rsidR="00973C72" w:rsidRDefault="00973C72" w:rsidP="00B4076A">
      <w:pPr>
        <w:spacing w:after="0" w:line="240" w:lineRule="auto"/>
      </w:pPr>
      <w:r>
        <w:continuationSeparator/>
      </w:r>
    </w:p>
  </w:footnote>
  <w:footnote w:id="1">
    <w:p w14:paraId="1A8987CA" w14:textId="77777777" w:rsidR="003F1635" w:rsidRPr="00A75AFA" w:rsidRDefault="003F1635" w:rsidP="003F1635">
      <w:pPr>
        <w:pStyle w:val="FootnoteText"/>
        <w:rPr>
          <w:rFonts w:asciiTheme="majorBidi" w:hAnsiTheme="majorBidi" w:cstheme="majorBidi"/>
          <w:color w:val="000000" w:themeColor="text1"/>
        </w:rPr>
      </w:pPr>
      <w:r w:rsidRPr="00A75AFA">
        <w:rPr>
          <w:rStyle w:val="FootnoteReference"/>
          <w:rFonts w:asciiTheme="majorBidi" w:hAnsiTheme="majorBidi" w:cstheme="majorBidi"/>
          <w:color w:val="000000" w:themeColor="text1"/>
        </w:rPr>
        <w:footnoteRef/>
      </w:r>
      <w:r w:rsidRPr="00A75AFA">
        <w:rPr>
          <w:rFonts w:asciiTheme="majorBidi" w:hAnsiTheme="majorBidi" w:cstheme="majorBidi"/>
          <w:color w:val="000000" w:themeColor="text1"/>
        </w:rPr>
        <w:t xml:space="preserve"> Coalition on Labor Justice for Migrants in the Gulf. (2025, February). Kuwait UPR pre-session briefing. https://laborjusticegulfmigrants.org/wp-content/uploads/2025/03/Kuwait-UPR-Pre-Session_Briefing_Feb-2025.pdf</w:t>
      </w:r>
    </w:p>
  </w:footnote>
  <w:footnote w:id="2">
    <w:p w14:paraId="292B0296" w14:textId="77777777" w:rsidR="003F1635" w:rsidRPr="00A75AFA" w:rsidRDefault="003F1635" w:rsidP="003F1635">
      <w:pPr>
        <w:pStyle w:val="FootnoteText"/>
        <w:rPr>
          <w:rFonts w:asciiTheme="majorBidi" w:hAnsiTheme="majorBidi" w:cstheme="majorBidi"/>
          <w:color w:val="000000" w:themeColor="text1"/>
        </w:rPr>
      </w:pPr>
      <w:r w:rsidRPr="00A75AFA">
        <w:rPr>
          <w:rStyle w:val="FootnoteReference"/>
          <w:rFonts w:asciiTheme="majorBidi" w:hAnsiTheme="majorBidi" w:cstheme="majorBidi"/>
          <w:color w:val="000000" w:themeColor="text1"/>
        </w:rPr>
        <w:footnoteRef/>
      </w:r>
      <w:r w:rsidRPr="00A75AFA">
        <w:rPr>
          <w:rFonts w:asciiTheme="majorBidi" w:hAnsiTheme="majorBidi" w:cstheme="majorBidi"/>
          <w:color w:val="000000" w:themeColor="text1"/>
        </w:rPr>
        <w:t xml:space="preserve"> Human Rights Watch. (2025, June 1). </w:t>
      </w:r>
      <w:r w:rsidRPr="00A75AFA">
        <w:rPr>
          <w:rFonts w:asciiTheme="majorBidi" w:hAnsiTheme="majorBidi" w:cstheme="majorBidi"/>
          <w:i/>
          <w:iCs/>
          <w:color w:val="000000" w:themeColor="text1"/>
        </w:rPr>
        <w:t>Gulf states: Protect workers from extreme heat</w:t>
      </w:r>
      <w:r w:rsidRPr="00A75AFA">
        <w:rPr>
          <w:rFonts w:asciiTheme="majorBidi" w:hAnsiTheme="majorBidi" w:cstheme="majorBidi"/>
          <w:color w:val="000000" w:themeColor="text1"/>
        </w:rPr>
        <w:t xml:space="preserve">. </w:t>
      </w:r>
      <w:hyperlink r:id="rId1" w:tgtFrame="_new" w:history="1">
        <w:r w:rsidRPr="00A75AFA">
          <w:rPr>
            <w:rStyle w:val="Hyperlink"/>
            <w:rFonts w:asciiTheme="majorBidi" w:hAnsiTheme="majorBidi" w:cstheme="majorBidi"/>
            <w:color w:val="000000" w:themeColor="text1"/>
            <w:u w:val="none"/>
          </w:rPr>
          <w:t>https://www.hrw.org/news/2025/06/01/gulf-states-protect-workers-extreme-heat</w:t>
        </w:r>
      </w:hyperlink>
    </w:p>
  </w:footnote>
  <w:footnote w:id="3">
    <w:p w14:paraId="720F02CA" w14:textId="77777777" w:rsidR="003F1635" w:rsidRPr="00A75AFA" w:rsidRDefault="003F1635" w:rsidP="003F1635">
      <w:pPr>
        <w:pStyle w:val="FootnoteText"/>
        <w:rPr>
          <w:rFonts w:asciiTheme="majorBidi" w:hAnsiTheme="majorBidi" w:cstheme="majorBidi"/>
          <w:color w:val="000000" w:themeColor="text1"/>
        </w:rPr>
      </w:pPr>
      <w:r w:rsidRPr="00A75AFA">
        <w:rPr>
          <w:rStyle w:val="FootnoteReference"/>
          <w:rFonts w:asciiTheme="majorBidi" w:hAnsiTheme="majorBidi" w:cstheme="majorBidi"/>
          <w:color w:val="000000" w:themeColor="text1"/>
        </w:rPr>
        <w:footnoteRef/>
      </w:r>
      <w:r w:rsidRPr="00A75AFA">
        <w:rPr>
          <w:rFonts w:asciiTheme="majorBidi" w:hAnsiTheme="majorBidi" w:cstheme="majorBidi"/>
          <w:color w:val="000000" w:themeColor="text1"/>
        </w:rPr>
        <w:t xml:space="preserve"> Amnesty International. (2025). </w:t>
      </w:r>
      <w:r w:rsidRPr="00A75AFA">
        <w:rPr>
          <w:rFonts w:asciiTheme="majorBidi" w:hAnsiTheme="majorBidi" w:cstheme="majorBidi"/>
          <w:i/>
          <w:iCs/>
          <w:color w:val="000000" w:themeColor="text1"/>
        </w:rPr>
        <w:t>Kuwait report</w:t>
      </w:r>
      <w:r w:rsidRPr="00A75AFA">
        <w:rPr>
          <w:rFonts w:asciiTheme="majorBidi" w:hAnsiTheme="majorBidi" w:cstheme="majorBidi"/>
          <w:color w:val="000000" w:themeColor="text1"/>
        </w:rPr>
        <w:t xml:space="preserve">. </w:t>
      </w:r>
      <w:hyperlink r:id="rId2" w:tgtFrame="_new" w:history="1">
        <w:r w:rsidRPr="00A75AFA">
          <w:rPr>
            <w:rStyle w:val="Hyperlink"/>
            <w:rFonts w:asciiTheme="majorBidi" w:hAnsiTheme="majorBidi" w:cstheme="majorBidi"/>
            <w:color w:val="000000" w:themeColor="text1"/>
            <w:u w:val="none"/>
          </w:rPr>
          <w:t>https://www.amnesty.org/en/location/middle-east-and-north-africa/middle-east/kuwait/report-kuwait/</w:t>
        </w:r>
      </w:hyperlink>
    </w:p>
  </w:footnote>
  <w:footnote w:id="4">
    <w:p w14:paraId="44EAF878" w14:textId="77777777" w:rsidR="003F1635" w:rsidRPr="00A75AFA" w:rsidRDefault="003F1635" w:rsidP="003F1635">
      <w:pPr>
        <w:pStyle w:val="FootnoteText"/>
        <w:rPr>
          <w:rFonts w:asciiTheme="majorBidi" w:hAnsiTheme="majorBidi" w:cstheme="majorBidi"/>
          <w:color w:val="000000" w:themeColor="text1"/>
        </w:rPr>
      </w:pPr>
      <w:r w:rsidRPr="00A75AFA">
        <w:rPr>
          <w:rStyle w:val="FootnoteReference"/>
          <w:rFonts w:asciiTheme="majorBidi" w:hAnsiTheme="majorBidi" w:cstheme="majorBidi"/>
          <w:color w:val="000000" w:themeColor="text1"/>
        </w:rPr>
        <w:footnoteRef/>
      </w:r>
      <w:r w:rsidRPr="00A75AFA">
        <w:rPr>
          <w:rFonts w:asciiTheme="majorBidi" w:hAnsiTheme="majorBidi" w:cstheme="majorBidi"/>
          <w:color w:val="000000" w:themeColor="text1"/>
        </w:rPr>
        <w:t xml:space="preserve"> Khaleej Times. (2025, June 11). Kuwait require employer okay for foreign staff leave. https://www.khaleejtimes.com/world/gulf/kuwait-require-employer-okay-foreign-staff-leave</w:t>
      </w:r>
    </w:p>
  </w:footnote>
  <w:footnote w:id="5">
    <w:p w14:paraId="054ADB74" w14:textId="77777777" w:rsidR="003F1635" w:rsidRPr="00A75AFA" w:rsidRDefault="003F1635" w:rsidP="003F1635">
      <w:pPr>
        <w:pStyle w:val="FootnoteText"/>
        <w:rPr>
          <w:rFonts w:asciiTheme="majorBidi" w:hAnsiTheme="majorBidi" w:cstheme="majorBidi"/>
          <w:color w:val="000000" w:themeColor="text1"/>
        </w:rPr>
      </w:pPr>
      <w:r w:rsidRPr="00A75AFA">
        <w:rPr>
          <w:rStyle w:val="FootnoteReference"/>
          <w:rFonts w:asciiTheme="majorBidi" w:hAnsiTheme="majorBidi" w:cstheme="majorBidi"/>
          <w:color w:val="000000" w:themeColor="text1"/>
        </w:rPr>
        <w:footnoteRef/>
      </w:r>
      <w:r w:rsidRPr="00A75AFA">
        <w:rPr>
          <w:rFonts w:asciiTheme="majorBidi" w:hAnsiTheme="majorBidi" w:cstheme="majorBidi"/>
          <w:color w:val="000000" w:themeColor="text1"/>
        </w:rPr>
        <w:t xml:space="preserve"> Human Rights Watch. (2025, June 15). </w:t>
      </w:r>
      <w:r w:rsidRPr="00A75AFA">
        <w:rPr>
          <w:rFonts w:asciiTheme="majorBidi" w:hAnsiTheme="majorBidi" w:cstheme="majorBidi"/>
          <w:i/>
          <w:iCs/>
          <w:color w:val="000000" w:themeColor="text1"/>
        </w:rPr>
        <w:t>Kuwait’s exit permit requirement puts migrant workers at risk</w:t>
      </w:r>
      <w:r w:rsidRPr="00A75AFA">
        <w:rPr>
          <w:rFonts w:asciiTheme="majorBidi" w:hAnsiTheme="majorBidi" w:cstheme="majorBidi"/>
          <w:color w:val="000000" w:themeColor="text1"/>
        </w:rPr>
        <w:t xml:space="preserve">. </w:t>
      </w:r>
      <w:hyperlink r:id="rId3" w:tgtFrame="_new" w:history="1">
        <w:r w:rsidRPr="00A75AFA">
          <w:rPr>
            <w:rStyle w:val="Hyperlink"/>
            <w:rFonts w:asciiTheme="majorBidi" w:hAnsiTheme="majorBidi" w:cstheme="majorBidi"/>
            <w:color w:val="000000" w:themeColor="text1"/>
            <w:u w:val="none"/>
          </w:rPr>
          <w:t>https://www.hrw.org/news/2025/06/15/kuwaits-exit-permit-requirement-puts-migrant-workers-at-risk</w:t>
        </w:r>
      </w:hyperlink>
    </w:p>
  </w:footnote>
  <w:footnote w:id="6">
    <w:p w14:paraId="23D1AC09" w14:textId="77777777" w:rsidR="003F1635" w:rsidRPr="00A75AFA" w:rsidRDefault="003F1635" w:rsidP="003F1635">
      <w:pPr>
        <w:pStyle w:val="FootnoteText"/>
        <w:rPr>
          <w:rFonts w:asciiTheme="majorBidi" w:hAnsiTheme="majorBidi" w:cstheme="majorBidi"/>
          <w:color w:val="000000" w:themeColor="text1"/>
        </w:rPr>
      </w:pPr>
      <w:r w:rsidRPr="00A75AFA">
        <w:rPr>
          <w:rStyle w:val="FootnoteReference"/>
          <w:rFonts w:asciiTheme="majorBidi" w:hAnsiTheme="majorBidi" w:cstheme="majorBidi"/>
          <w:color w:val="000000" w:themeColor="text1"/>
        </w:rPr>
        <w:footnoteRef/>
      </w:r>
      <w:r w:rsidRPr="00A75AFA">
        <w:rPr>
          <w:rFonts w:asciiTheme="majorBidi" w:hAnsiTheme="majorBidi" w:cstheme="majorBidi"/>
          <w:color w:val="000000" w:themeColor="text1"/>
        </w:rPr>
        <w:t xml:space="preserve"> International Institute for Democracy and Electoral Assistance. (2025, June). </w:t>
      </w:r>
      <w:r w:rsidRPr="00A75AFA">
        <w:rPr>
          <w:rFonts w:asciiTheme="majorBidi" w:hAnsiTheme="majorBidi" w:cstheme="majorBidi"/>
          <w:i/>
          <w:iCs/>
          <w:color w:val="000000" w:themeColor="text1"/>
        </w:rPr>
        <w:t>Kuwait</w:t>
      </w:r>
      <w:r w:rsidRPr="00A75AFA">
        <w:rPr>
          <w:rFonts w:asciiTheme="majorBidi" w:hAnsiTheme="majorBidi" w:cstheme="majorBidi"/>
          <w:color w:val="000000" w:themeColor="text1"/>
        </w:rPr>
        <w:t xml:space="preserve">. </w:t>
      </w:r>
      <w:hyperlink r:id="rId4" w:tgtFrame="_new" w:history="1">
        <w:r w:rsidRPr="00A75AFA">
          <w:rPr>
            <w:rStyle w:val="Hyperlink"/>
            <w:rFonts w:asciiTheme="majorBidi" w:hAnsiTheme="majorBidi" w:cstheme="majorBidi"/>
            <w:color w:val="000000" w:themeColor="text1"/>
            <w:u w:val="none"/>
          </w:rPr>
          <w:t>https://www.idea.int/democracytracker/report/kuwait/june-2025</w:t>
        </w:r>
      </w:hyperlink>
    </w:p>
    <w:p w14:paraId="3DC1A644" w14:textId="77777777" w:rsidR="003F1635" w:rsidRDefault="003F1635" w:rsidP="003F1635">
      <w:pPr>
        <w:pStyle w:val="FootnoteText"/>
      </w:pPr>
    </w:p>
  </w:footnote>
  <w:footnote w:id="7">
    <w:p w14:paraId="4914661B" w14:textId="77777777" w:rsidR="003F1635" w:rsidRPr="00B66786" w:rsidRDefault="003F1635" w:rsidP="003F1635">
      <w:pPr>
        <w:pStyle w:val="FootnoteText"/>
        <w:rPr>
          <w:rFonts w:asciiTheme="majorBidi" w:hAnsiTheme="majorBidi" w:cstheme="majorBidi"/>
          <w:color w:val="000000" w:themeColor="text1"/>
        </w:rPr>
      </w:pPr>
      <w:r w:rsidRPr="00B66786">
        <w:rPr>
          <w:rStyle w:val="FootnoteReference"/>
          <w:rFonts w:asciiTheme="majorBidi" w:hAnsiTheme="majorBidi" w:cstheme="majorBidi"/>
          <w:color w:val="000000" w:themeColor="text1"/>
        </w:rPr>
        <w:footnoteRef/>
      </w:r>
      <w:r w:rsidRPr="00B66786">
        <w:rPr>
          <w:rFonts w:asciiTheme="majorBidi" w:hAnsiTheme="majorBidi" w:cstheme="majorBidi"/>
          <w:color w:val="000000" w:themeColor="text1"/>
        </w:rPr>
        <w:t xml:space="preserve"> HFW. (2026, January 8). </w:t>
      </w:r>
      <w:r w:rsidRPr="00B66786">
        <w:rPr>
          <w:rFonts w:asciiTheme="majorBidi" w:hAnsiTheme="majorBidi" w:cstheme="majorBidi"/>
          <w:i/>
          <w:iCs/>
          <w:color w:val="000000" w:themeColor="text1"/>
        </w:rPr>
        <w:t>New decisions issued in Kuwait under the Ministry of Health</w:t>
      </w:r>
      <w:r w:rsidRPr="00B66786">
        <w:rPr>
          <w:rFonts w:asciiTheme="majorBidi" w:hAnsiTheme="majorBidi" w:cstheme="majorBidi"/>
          <w:color w:val="000000" w:themeColor="text1"/>
        </w:rPr>
        <w:t xml:space="preserve">. </w:t>
      </w:r>
      <w:proofErr w:type="spellStart"/>
      <w:r w:rsidRPr="00B66786">
        <w:rPr>
          <w:rFonts w:asciiTheme="majorBidi" w:hAnsiTheme="majorBidi" w:cstheme="majorBidi"/>
          <w:color w:val="000000" w:themeColor="text1"/>
        </w:rPr>
        <w:t>Lexology</w:t>
      </w:r>
      <w:proofErr w:type="spellEnd"/>
      <w:r w:rsidRPr="00B66786">
        <w:rPr>
          <w:rFonts w:asciiTheme="majorBidi" w:hAnsiTheme="majorBidi" w:cstheme="majorBidi"/>
          <w:color w:val="000000" w:themeColor="text1"/>
        </w:rPr>
        <w:t xml:space="preserve">. </w:t>
      </w:r>
      <w:hyperlink r:id="rId5" w:tgtFrame="_new" w:history="1">
        <w:r w:rsidRPr="00B66786">
          <w:rPr>
            <w:rStyle w:val="Hyperlink"/>
            <w:rFonts w:asciiTheme="majorBidi" w:hAnsiTheme="majorBidi" w:cstheme="majorBidi"/>
            <w:color w:val="000000" w:themeColor="text1"/>
            <w:u w:val="none"/>
          </w:rPr>
          <w:t>https://www.lexology.com/library/detail.aspx?g=83fdb03a-42e7-4a03-87a3-d2f93dc45f9d</w:t>
        </w:r>
      </w:hyperlink>
    </w:p>
  </w:footnote>
  <w:footnote w:id="8">
    <w:p w14:paraId="2E9DE6C3" w14:textId="77777777" w:rsidR="003F1635" w:rsidRPr="00B66786" w:rsidRDefault="003F1635" w:rsidP="003F1635">
      <w:pPr>
        <w:pStyle w:val="FootnoteText"/>
        <w:rPr>
          <w:rFonts w:asciiTheme="majorBidi" w:hAnsiTheme="majorBidi" w:cstheme="majorBidi"/>
          <w:color w:val="000000" w:themeColor="text1"/>
        </w:rPr>
      </w:pPr>
      <w:r w:rsidRPr="00B66786">
        <w:rPr>
          <w:rStyle w:val="FootnoteReference"/>
          <w:rFonts w:asciiTheme="majorBidi" w:hAnsiTheme="majorBidi" w:cstheme="majorBidi"/>
          <w:color w:val="000000" w:themeColor="text1"/>
        </w:rPr>
        <w:footnoteRef/>
      </w:r>
      <w:r w:rsidRPr="00B66786">
        <w:rPr>
          <w:rFonts w:asciiTheme="majorBidi" w:hAnsiTheme="majorBidi" w:cstheme="majorBidi"/>
          <w:color w:val="000000" w:themeColor="text1"/>
        </w:rPr>
        <w:t xml:space="preserve"> Coalition on Labor Justice for Migrants in the Gulf. (2025, February). </w:t>
      </w:r>
      <w:r w:rsidRPr="00B66786">
        <w:rPr>
          <w:rFonts w:asciiTheme="majorBidi" w:hAnsiTheme="majorBidi" w:cstheme="majorBidi"/>
          <w:i/>
          <w:iCs/>
          <w:color w:val="000000" w:themeColor="text1"/>
        </w:rPr>
        <w:t>Kuwait UPR pre-session briefing</w:t>
      </w:r>
      <w:r w:rsidRPr="00B66786">
        <w:rPr>
          <w:rFonts w:asciiTheme="majorBidi" w:hAnsiTheme="majorBidi" w:cstheme="majorBidi"/>
          <w:color w:val="000000" w:themeColor="text1"/>
        </w:rPr>
        <w:t xml:space="preserve">. </w:t>
      </w:r>
      <w:hyperlink r:id="rId6" w:tgtFrame="_new" w:history="1">
        <w:r w:rsidRPr="00B66786">
          <w:rPr>
            <w:rStyle w:val="Hyperlink"/>
            <w:rFonts w:asciiTheme="majorBidi" w:hAnsiTheme="majorBidi" w:cstheme="majorBidi"/>
            <w:color w:val="000000" w:themeColor="text1"/>
            <w:u w:val="none"/>
          </w:rPr>
          <w:t>https://laborjusticegulfmigrants.org/wp-content/uploads/2025/03/Kuwait-UPR-Pre-Session-Briefing_Feb-2025.pdf</w:t>
        </w:r>
      </w:hyperlink>
    </w:p>
  </w:footnote>
  <w:footnote w:id="9">
    <w:p w14:paraId="7AAA8F38" w14:textId="77777777" w:rsidR="003F1635" w:rsidRPr="00B66786" w:rsidRDefault="003F1635" w:rsidP="003F1635">
      <w:pPr>
        <w:pStyle w:val="FootnoteText"/>
        <w:rPr>
          <w:rFonts w:asciiTheme="majorBidi" w:hAnsiTheme="majorBidi" w:cstheme="majorBidi"/>
          <w:color w:val="000000" w:themeColor="text1"/>
        </w:rPr>
      </w:pPr>
      <w:r w:rsidRPr="00B66786">
        <w:rPr>
          <w:rStyle w:val="FootnoteReference"/>
          <w:rFonts w:asciiTheme="majorBidi" w:hAnsiTheme="majorBidi" w:cstheme="majorBidi"/>
          <w:color w:val="000000" w:themeColor="text1"/>
        </w:rPr>
        <w:footnoteRef/>
      </w:r>
      <w:r w:rsidRPr="00B66786">
        <w:rPr>
          <w:rFonts w:asciiTheme="majorBidi" w:hAnsiTheme="majorBidi" w:cstheme="majorBidi"/>
          <w:color w:val="000000" w:themeColor="text1"/>
        </w:rPr>
        <w:t xml:space="preserve"> </w:t>
      </w:r>
      <w:proofErr w:type="spellStart"/>
      <w:r w:rsidRPr="00B66786">
        <w:rPr>
          <w:rFonts w:asciiTheme="majorBidi" w:hAnsiTheme="majorBidi" w:cstheme="majorBidi"/>
          <w:color w:val="000000" w:themeColor="text1"/>
        </w:rPr>
        <w:t>FairSquare</w:t>
      </w:r>
      <w:proofErr w:type="spellEnd"/>
      <w:r w:rsidRPr="00B66786">
        <w:rPr>
          <w:rFonts w:asciiTheme="majorBidi" w:hAnsiTheme="majorBidi" w:cstheme="majorBidi"/>
          <w:color w:val="000000" w:themeColor="text1"/>
        </w:rPr>
        <w:t xml:space="preserve">. (2022). </w:t>
      </w:r>
      <w:r w:rsidRPr="00B66786">
        <w:rPr>
          <w:rFonts w:asciiTheme="majorBidi" w:hAnsiTheme="majorBidi" w:cstheme="majorBidi"/>
          <w:i/>
          <w:iCs/>
          <w:color w:val="000000" w:themeColor="text1"/>
        </w:rPr>
        <w:t>New report links lack of healthcare access to migrant worker deaths in the Gulf</w:t>
      </w:r>
      <w:r w:rsidRPr="00B66786">
        <w:rPr>
          <w:rFonts w:asciiTheme="majorBidi" w:hAnsiTheme="majorBidi" w:cstheme="majorBidi"/>
          <w:color w:val="000000" w:themeColor="text1"/>
        </w:rPr>
        <w:t xml:space="preserve">. </w:t>
      </w:r>
      <w:hyperlink r:id="rId7" w:tgtFrame="_new" w:history="1">
        <w:r w:rsidRPr="00B66786">
          <w:rPr>
            <w:rStyle w:val="Hyperlink"/>
            <w:rFonts w:asciiTheme="majorBidi" w:hAnsiTheme="majorBidi" w:cstheme="majorBidi"/>
            <w:color w:val="000000" w:themeColor="text1"/>
            <w:u w:val="none"/>
          </w:rPr>
          <w:t>https://fairsq.org/new-report-links-lack-of-healthcare-access-to-migrant-worker-deaths-in-the-gulf/</w:t>
        </w:r>
      </w:hyperlink>
    </w:p>
  </w:footnote>
  <w:footnote w:id="10">
    <w:p w14:paraId="7C454303" w14:textId="77777777" w:rsidR="003F1635" w:rsidRPr="00B66786" w:rsidRDefault="003F1635" w:rsidP="003F1635">
      <w:pPr>
        <w:pStyle w:val="FootnoteText"/>
        <w:rPr>
          <w:rFonts w:asciiTheme="majorBidi" w:hAnsiTheme="majorBidi" w:cstheme="majorBidi"/>
          <w:color w:val="000000" w:themeColor="text1"/>
        </w:rPr>
      </w:pPr>
      <w:r w:rsidRPr="00B66786">
        <w:rPr>
          <w:rStyle w:val="FootnoteReference"/>
          <w:rFonts w:asciiTheme="majorBidi" w:hAnsiTheme="majorBidi" w:cstheme="majorBidi"/>
          <w:color w:val="000000" w:themeColor="text1"/>
        </w:rPr>
        <w:footnoteRef/>
      </w:r>
      <w:r w:rsidRPr="00B66786">
        <w:rPr>
          <w:rFonts w:asciiTheme="majorBidi" w:hAnsiTheme="majorBidi" w:cstheme="majorBidi"/>
          <w:color w:val="000000" w:themeColor="text1"/>
        </w:rPr>
        <w:t xml:space="preserve"> Amnesty International. (2025). </w:t>
      </w:r>
      <w:r w:rsidRPr="00B66786">
        <w:rPr>
          <w:rFonts w:asciiTheme="majorBidi" w:hAnsiTheme="majorBidi" w:cstheme="majorBidi"/>
          <w:i/>
          <w:iCs/>
          <w:color w:val="000000" w:themeColor="text1"/>
        </w:rPr>
        <w:t>Kuwait report</w:t>
      </w:r>
      <w:r w:rsidRPr="00B66786">
        <w:rPr>
          <w:rFonts w:asciiTheme="majorBidi" w:hAnsiTheme="majorBidi" w:cstheme="majorBidi"/>
          <w:color w:val="000000" w:themeColor="text1"/>
        </w:rPr>
        <w:t xml:space="preserve">. </w:t>
      </w:r>
      <w:hyperlink r:id="rId8" w:tgtFrame="_new" w:history="1">
        <w:r w:rsidRPr="00B66786">
          <w:rPr>
            <w:rStyle w:val="Hyperlink"/>
            <w:rFonts w:asciiTheme="majorBidi" w:hAnsiTheme="majorBidi" w:cstheme="majorBidi"/>
            <w:color w:val="000000" w:themeColor="text1"/>
            <w:u w:val="none"/>
          </w:rPr>
          <w:t>https://www.amnesty.org/en/location/middle-east-and-north-africa/middle-east/kuwait/report-kuwait/</w:t>
        </w:r>
      </w:hyperlink>
    </w:p>
  </w:footnote>
  <w:footnote w:id="11">
    <w:p w14:paraId="0828CB0C" w14:textId="77777777" w:rsidR="003F1635" w:rsidRPr="00B66786" w:rsidRDefault="003F1635" w:rsidP="003F1635">
      <w:pPr>
        <w:pStyle w:val="FootnoteText"/>
        <w:rPr>
          <w:rFonts w:asciiTheme="majorBidi" w:hAnsiTheme="majorBidi" w:cstheme="majorBidi"/>
          <w:color w:val="000000" w:themeColor="text1"/>
        </w:rPr>
      </w:pPr>
      <w:r w:rsidRPr="00B66786">
        <w:rPr>
          <w:rStyle w:val="FootnoteReference"/>
          <w:rFonts w:asciiTheme="majorBidi" w:hAnsiTheme="majorBidi" w:cstheme="majorBidi"/>
          <w:color w:val="000000" w:themeColor="text1"/>
        </w:rPr>
        <w:footnoteRef/>
      </w:r>
      <w:r w:rsidRPr="00B66786">
        <w:rPr>
          <w:rFonts w:asciiTheme="majorBidi" w:hAnsiTheme="majorBidi" w:cstheme="majorBidi"/>
          <w:color w:val="000000" w:themeColor="text1"/>
        </w:rPr>
        <w:t xml:space="preserve"> Coalition on Labor Justice for Migrants in the Gulf. (2025, February). </w:t>
      </w:r>
      <w:r w:rsidRPr="00B66786">
        <w:rPr>
          <w:rFonts w:asciiTheme="majorBidi" w:hAnsiTheme="majorBidi" w:cstheme="majorBidi"/>
          <w:i/>
          <w:iCs/>
          <w:color w:val="000000" w:themeColor="text1"/>
        </w:rPr>
        <w:t>Kuwait UPR pre-session briefing</w:t>
      </w:r>
      <w:r w:rsidRPr="00B66786">
        <w:rPr>
          <w:rFonts w:asciiTheme="majorBidi" w:hAnsiTheme="majorBidi" w:cstheme="majorBidi"/>
          <w:color w:val="000000" w:themeColor="text1"/>
        </w:rPr>
        <w:t xml:space="preserve">. </w:t>
      </w:r>
      <w:hyperlink r:id="rId9" w:tgtFrame="_new" w:history="1">
        <w:r w:rsidRPr="00B66786">
          <w:rPr>
            <w:rStyle w:val="Hyperlink"/>
            <w:rFonts w:asciiTheme="majorBidi" w:hAnsiTheme="majorBidi" w:cstheme="majorBidi"/>
            <w:color w:val="000000" w:themeColor="text1"/>
            <w:u w:val="none"/>
          </w:rPr>
          <w:t>https://laborjusticegulfmigrants.org/wp-content/uploads/2025/03/Kuwait-UPR-Pre-Session-Briefing_Feb-2025.pdf</w:t>
        </w:r>
      </w:hyperlink>
    </w:p>
  </w:footnote>
  <w:footnote w:id="12">
    <w:p w14:paraId="20022FB4" w14:textId="77777777" w:rsidR="003F1635" w:rsidRPr="00B66786" w:rsidRDefault="003F1635" w:rsidP="003F1635">
      <w:pPr>
        <w:pStyle w:val="FootnoteText"/>
        <w:rPr>
          <w:rFonts w:asciiTheme="majorBidi" w:hAnsiTheme="majorBidi" w:cstheme="majorBidi"/>
          <w:color w:val="000000" w:themeColor="text1"/>
        </w:rPr>
      </w:pPr>
      <w:r w:rsidRPr="00B66786">
        <w:rPr>
          <w:rStyle w:val="FootnoteReference"/>
          <w:rFonts w:asciiTheme="majorBidi" w:hAnsiTheme="majorBidi" w:cstheme="majorBidi"/>
          <w:color w:val="000000" w:themeColor="text1"/>
        </w:rPr>
        <w:footnoteRef/>
      </w:r>
      <w:r w:rsidRPr="00B66786">
        <w:rPr>
          <w:rFonts w:asciiTheme="majorBidi" w:hAnsiTheme="majorBidi" w:cstheme="majorBidi"/>
          <w:color w:val="000000" w:themeColor="text1"/>
        </w:rPr>
        <w:t xml:space="preserve"> </w:t>
      </w:r>
      <w:proofErr w:type="spellStart"/>
      <w:r w:rsidRPr="00B66786">
        <w:rPr>
          <w:rFonts w:asciiTheme="majorBidi" w:hAnsiTheme="majorBidi" w:cstheme="majorBidi"/>
          <w:color w:val="000000" w:themeColor="text1"/>
        </w:rPr>
        <w:t>FairSquare</w:t>
      </w:r>
      <w:proofErr w:type="spellEnd"/>
      <w:r w:rsidRPr="00B66786">
        <w:rPr>
          <w:rFonts w:asciiTheme="majorBidi" w:hAnsiTheme="majorBidi" w:cstheme="majorBidi"/>
          <w:color w:val="000000" w:themeColor="text1"/>
        </w:rPr>
        <w:t xml:space="preserve">. (2022). </w:t>
      </w:r>
      <w:r w:rsidRPr="00B66786">
        <w:rPr>
          <w:rFonts w:asciiTheme="majorBidi" w:hAnsiTheme="majorBidi" w:cstheme="majorBidi"/>
          <w:i/>
          <w:iCs/>
          <w:color w:val="000000" w:themeColor="text1"/>
        </w:rPr>
        <w:t>New report links lack of healthcare access to migrant worker deaths in the Gulf</w:t>
      </w:r>
      <w:r w:rsidRPr="00B66786">
        <w:rPr>
          <w:rFonts w:asciiTheme="majorBidi" w:hAnsiTheme="majorBidi" w:cstheme="majorBidi"/>
          <w:color w:val="000000" w:themeColor="text1"/>
        </w:rPr>
        <w:t xml:space="preserve">. </w:t>
      </w:r>
      <w:hyperlink r:id="rId10" w:tgtFrame="_new" w:history="1">
        <w:r w:rsidRPr="00B66786">
          <w:rPr>
            <w:rStyle w:val="Hyperlink"/>
            <w:rFonts w:asciiTheme="majorBidi" w:hAnsiTheme="majorBidi" w:cstheme="majorBidi"/>
            <w:color w:val="000000" w:themeColor="text1"/>
            <w:u w:val="none"/>
          </w:rPr>
          <w:t>https://fairsq.org/new-report-links-lack-of-healthcare-access-to-migrant-worker-deaths-in-the-gulf/</w:t>
        </w:r>
      </w:hyperlink>
    </w:p>
  </w:footnote>
  <w:footnote w:id="13">
    <w:p w14:paraId="0EECC38B" w14:textId="77777777" w:rsidR="003F1635" w:rsidRPr="00B66786" w:rsidRDefault="003F1635" w:rsidP="003F1635">
      <w:pPr>
        <w:pStyle w:val="FootnoteText"/>
        <w:rPr>
          <w:rFonts w:asciiTheme="majorBidi" w:hAnsiTheme="majorBidi" w:cstheme="majorBidi"/>
          <w:color w:val="000000" w:themeColor="text1"/>
        </w:rPr>
      </w:pPr>
      <w:r w:rsidRPr="00B66786">
        <w:rPr>
          <w:rStyle w:val="FootnoteReference"/>
          <w:rFonts w:asciiTheme="majorBidi" w:hAnsiTheme="majorBidi" w:cstheme="majorBidi"/>
          <w:color w:val="000000" w:themeColor="text1"/>
        </w:rPr>
        <w:footnoteRef/>
      </w:r>
      <w:r w:rsidRPr="00B66786">
        <w:rPr>
          <w:rFonts w:asciiTheme="majorBidi" w:hAnsiTheme="majorBidi" w:cstheme="majorBidi"/>
          <w:color w:val="000000" w:themeColor="text1"/>
        </w:rPr>
        <w:t xml:space="preserve"> Business &amp; Human Rights Resource Centre. (2023, February 13). </w:t>
      </w:r>
      <w:r w:rsidRPr="00B66786">
        <w:rPr>
          <w:rFonts w:asciiTheme="majorBidi" w:hAnsiTheme="majorBidi" w:cstheme="majorBidi"/>
          <w:i/>
          <w:iCs/>
          <w:color w:val="000000" w:themeColor="text1"/>
        </w:rPr>
        <w:t>Kuwait: New govt. measure to charge non-citizens medication dispensation fee—latest “discriminatory obstacle” for migrant workers to access health care</w:t>
      </w:r>
      <w:r w:rsidRPr="00B66786">
        <w:rPr>
          <w:rFonts w:asciiTheme="majorBidi" w:hAnsiTheme="majorBidi" w:cstheme="majorBidi"/>
          <w:color w:val="000000" w:themeColor="text1"/>
        </w:rPr>
        <w:t xml:space="preserve">. </w:t>
      </w:r>
      <w:hyperlink r:id="rId11" w:tgtFrame="_new" w:history="1">
        <w:r w:rsidRPr="00B66786">
          <w:rPr>
            <w:rStyle w:val="Hyperlink"/>
            <w:rFonts w:asciiTheme="majorBidi" w:hAnsiTheme="majorBidi" w:cstheme="majorBidi"/>
            <w:color w:val="000000" w:themeColor="text1"/>
            <w:u w:val="none"/>
          </w:rPr>
          <w:t>https://www.business-humanrights.org/en/latest-news/kuwait-new-govt-measure-to-charge-non-citizens-medication-dispensation-fee-latest-discriminatory-obstacle-for-migrant-workers-to-access-health-care/</w:t>
        </w:r>
      </w:hyperlink>
    </w:p>
    <w:p w14:paraId="2C1652FC" w14:textId="77777777" w:rsidR="003F1635" w:rsidRPr="00B66786" w:rsidRDefault="003F1635" w:rsidP="003F1635">
      <w:pPr>
        <w:pStyle w:val="FootnoteText"/>
        <w:rPr>
          <w:rFonts w:asciiTheme="majorBidi" w:hAnsiTheme="majorBidi" w:cstheme="majorBidi"/>
          <w:color w:val="000000" w:themeColor="text1"/>
        </w:rPr>
      </w:pPr>
    </w:p>
  </w:footnote>
  <w:footnote w:id="14">
    <w:p w14:paraId="6F7A5CD2" w14:textId="77777777" w:rsidR="003F1635" w:rsidRPr="00B66786" w:rsidRDefault="003F1635" w:rsidP="003F1635">
      <w:pPr>
        <w:pStyle w:val="FootnoteText"/>
        <w:rPr>
          <w:rFonts w:asciiTheme="majorBidi" w:hAnsiTheme="majorBidi" w:cstheme="majorBidi"/>
          <w:color w:val="000000" w:themeColor="text1"/>
        </w:rPr>
      </w:pPr>
      <w:r w:rsidRPr="00B66786">
        <w:rPr>
          <w:rStyle w:val="FootnoteReference"/>
          <w:rFonts w:asciiTheme="majorBidi" w:hAnsiTheme="majorBidi" w:cstheme="majorBidi"/>
          <w:color w:val="000000" w:themeColor="text1"/>
        </w:rPr>
        <w:footnoteRef/>
      </w:r>
      <w:r w:rsidRPr="00B66786">
        <w:rPr>
          <w:rFonts w:asciiTheme="majorBidi" w:hAnsiTheme="majorBidi" w:cstheme="majorBidi"/>
          <w:color w:val="000000" w:themeColor="text1"/>
        </w:rPr>
        <w:t xml:space="preserve"> HFW. (2026, January 8). </w:t>
      </w:r>
      <w:r w:rsidRPr="00B66786">
        <w:rPr>
          <w:rFonts w:asciiTheme="majorBidi" w:hAnsiTheme="majorBidi" w:cstheme="majorBidi"/>
          <w:i/>
          <w:iCs/>
          <w:color w:val="000000" w:themeColor="text1"/>
        </w:rPr>
        <w:t>New decisions issued in Kuwait under the Ministry of Health</w:t>
      </w:r>
      <w:r w:rsidRPr="00B66786">
        <w:rPr>
          <w:rFonts w:asciiTheme="majorBidi" w:hAnsiTheme="majorBidi" w:cstheme="majorBidi"/>
          <w:color w:val="000000" w:themeColor="text1"/>
        </w:rPr>
        <w:t xml:space="preserve">. </w:t>
      </w:r>
      <w:proofErr w:type="spellStart"/>
      <w:r w:rsidRPr="00B66786">
        <w:rPr>
          <w:rFonts w:asciiTheme="majorBidi" w:hAnsiTheme="majorBidi" w:cstheme="majorBidi"/>
          <w:color w:val="000000" w:themeColor="text1"/>
        </w:rPr>
        <w:t>Lexology</w:t>
      </w:r>
      <w:proofErr w:type="spellEnd"/>
      <w:r w:rsidRPr="00B66786">
        <w:rPr>
          <w:rFonts w:asciiTheme="majorBidi" w:hAnsiTheme="majorBidi" w:cstheme="majorBidi"/>
          <w:color w:val="000000" w:themeColor="text1"/>
        </w:rPr>
        <w:t xml:space="preserve">. </w:t>
      </w:r>
      <w:hyperlink r:id="rId12" w:tgtFrame="_new" w:history="1">
        <w:r w:rsidRPr="00B66786">
          <w:rPr>
            <w:rStyle w:val="Hyperlink"/>
            <w:rFonts w:asciiTheme="majorBidi" w:hAnsiTheme="majorBidi" w:cstheme="majorBidi"/>
            <w:color w:val="000000" w:themeColor="text1"/>
            <w:u w:val="none"/>
          </w:rPr>
          <w:t>https://www.lexology.com/library/detail.aspx?g=83fdb03a-42e7-4a03-87a3-d2f93dc45f9d</w:t>
        </w:r>
      </w:hyperlink>
    </w:p>
  </w:footnote>
  <w:footnote w:id="15">
    <w:p w14:paraId="4447C4DF" w14:textId="77777777" w:rsidR="003F1635" w:rsidRPr="00B66786" w:rsidRDefault="003F1635" w:rsidP="003F1635">
      <w:pPr>
        <w:pStyle w:val="FootnoteText"/>
        <w:rPr>
          <w:rFonts w:asciiTheme="majorBidi" w:hAnsiTheme="majorBidi" w:cstheme="majorBidi"/>
          <w:color w:val="000000" w:themeColor="text1"/>
        </w:rPr>
      </w:pPr>
      <w:r w:rsidRPr="00B66786">
        <w:rPr>
          <w:rStyle w:val="FootnoteReference"/>
          <w:rFonts w:asciiTheme="majorBidi" w:hAnsiTheme="majorBidi" w:cstheme="majorBidi"/>
          <w:color w:val="000000" w:themeColor="text1"/>
        </w:rPr>
        <w:footnoteRef/>
      </w:r>
      <w:r w:rsidRPr="00B66786">
        <w:rPr>
          <w:rFonts w:asciiTheme="majorBidi" w:hAnsiTheme="majorBidi" w:cstheme="majorBidi"/>
          <w:color w:val="000000" w:themeColor="text1"/>
        </w:rPr>
        <w:t xml:space="preserve"> </w:t>
      </w:r>
      <w:proofErr w:type="spellStart"/>
      <w:r w:rsidRPr="00B66786">
        <w:rPr>
          <w:rFonts w:asciiTheme="majorBidi" w:hAnsiTheme="majorBidi" w:cstheme="majorBidi"/>
          <w:color w:val="000000" w:themeColor="text1"/>
        </w:rPr>
        <w:t>FairSquare</w:t>
      </w:r>
      <w:proofErr w:type="spellEnd"/>
      <w:r w:rsidRPr="00B66786">
        <w:rPr>
          <w:rFonts w:asciiTheme="majorBidi" w:hAnsiTheme="majorBidi" w:cstheme="majorBidi"/>
          <w:color w:val="000000" w:themeColor="text1"/>
        </w:rPr>
        <w:t xml:space="preserve">. (2022). </w:t>
      </w:r>
      <w:r w:rsidRPr="00B66786">
        <w:rPr>
          <w:rFonts w:asciiTheme="majorBidi" w:hAnsiTheme="majorBidi" w:cstheme="majorBidi"/>
          <w:i/>
          <w:iCs/>
          <w:color w:val="000000" w:themeColor="text1"/>
        </w:rPr>
        <w:t>New report links lack of healthcare access to migrant worker deaths in the Gulf</w:t>
      </w:r>
      <w:r w:rsidRPr="00B66786">
        <w:rPr>
          <w:rFonts w:asciiTheme="majorBidi" w:hAnsiTheme="majorBidi" w:cstheme="majorBidi"/>
          <w:color w:val="000000" w:themeColor="text1"/>
        </w:rPr>
        <w:t xml:space="preserve">. </w:t>
      </w:r>
      <w:hyperlink r:id="rId13" w:tgtFrame="_new" w:history="1">
        <w:r w:rsidRPr="00B66786">
          <w:rPr>
            <w:rStyle w:val="Hyperlink"/>
            <w:rFonts w:asciiTheme="majorBidi" w:hAnsiTheme="majorBidi" w:cstheme="majorBidi"/>
            <w:color w:val="000000" w:themeColor="text1"/>
            <w:u w:val="none"/>
          </w:rPr>
          <w:t>https://fairsq.org/new-report-links-lack-of-healthcare-access-to-migrant-worker-deaths-in-the-gulf/</w:t>
        </w:r>
      </w:hyperlink>
    </w:p>
  </w:footnote>
  <w:footnote w:id="16">
    <w:p w14:paraId="10587E19" w14:textId="77777777" w:rsidR="003F1635" w:rsidRPr="00B66786" w:rsidRDefault="003F1635" w:rsidP="003F1635">
      <w:pPr>
        <w:pStyle w:val="FootnoteText"/>
        <w:rPr>
          <w:rFonts w:asciiTheme="majorBidi" w:hAnsiTheme="majorBidi" w:cstheme="majorBidi"/>
          <w:color w:val="000000" w:themeColor="text1"/>
        </w:rPr>
      </w:pPr>
      <w:r w:rsidRPr="00B66786">
        <w:rPr>
          <w:rStyle w:val="FootnoteReference"/>
          <w:rFonts w:asciiTheme="majorBidi" w:hAnsiTheme="majorBidi" w:cstheme="majorBidi"/>
          <w:color w:val="000000" w:themeColor="text1"/>
        </w:rPr>
        <w:footnoteRef/>
      </w:r>
      <w:r w:rsidRPr="00B66786">
        <w:rPr>
          <w:rFonts w:asciiTheme="majorBidi" w:hAnsiTheme="majorBidi" w:cstheme="majorBidi"/>
          <w:color w:val="000000" w:themeColor="text1"/>
        </w:rPr>
        <w:t xml:space="preserve"> Business &amp; Human Rights Resource Centre. (2023, February 13). </w:t>
      </w:r>
      <w:r w:rsidRPr="00B66786">
        <w:rPr>
          <w:rFonts w:asciiTheme="majorBidi" w:hAnsiTheme="majorBidi" w:cstheme="majorBidi"/>
          <w:i/>
          <w:iCs/>
          <w:color w:val="000000" w:themeColor="text1"/>
        </w:rPr>
        <w:t>Kuwait: New govt. measure to charge non-citizens medication dispensation fee—latest “discriminatory obstacle” for migrant workers to access health care</w:t>
      </w:r>
      <w:r w:rsidRPr="00B66786">
        <w:rPr>
          <w:rFonts w:asciiTheme="majorBidi" w:hAnsiTheme="majorBidi" w:cstheme="majorBidi"/>
          <w:color w:val="000000" w:themeColor="text1"/>
        </w:rPr>
        <w:t xml:space="preserve">. </w:t>
      </w:r>
      <w:hyperlink r:id="rId14" w:tgtFrame="_new" w:history="1">
        <w:r w:rsidRPr="00B66786">
          <w:rPr>
            <w:rStyle w:val="Hyperlink"/>
            <w:rFonts w:asciiTheme="majorBidi" w:hAnsiTheme="majorBidi" w:cstheme="majorBidi"/>
            <w:color w:val="000000" w:themeColor="text1"/>
            <w:u w:val="none"/>
          </w:rPr>
          <w:t>https://www.business-humanrights.org/en/latest-news/kuwait-new-govt-measure-to-charge-non-citizens-medication-dispensation-fee-latest-discriminatory-obstacle-for-migrant-workers-to-access-health-care/</w:t>
        </w:r>
      </w:hyperlink>
    </w:p>
  </w:footnote>
  <w:footnote w:id="17">
    <w:p w14:paraId="2DEA4BD1" w14:textId="77777777" w:rsidR="003F1635" w:rsidRPr="00B66786" w:rsidRDefault="003F1635" w:rsidP="003F1635">
      <w:pPr>
        <w:pStyle w:val="FootnoteText"/>
        <w:rPr>
          <w:rFonts w:asciiTheme="majorBidi" w:hAnsiTheme="majorBidi" w:cstheme="majorBidi"/>
          <w:color w:val="000000" w:themeColor="text1"/>
        </w:rPr>
      </w:pPr>
      <w:r w:rsidRPr="00B66786">
        <w:rPr>
          <w:rStyle w:val="FootnoteReference"/>
          <w:rFonts w:asciiTheme="majorBidi" w:hAnsiTheme="majorBidi" w:cstheme="majorBidi"/>
          <w:color w:val="000000" w:themeColor="text1"/>
        </w:rPr>
        <w:footnoteRef/>
      </w:r>
      <w:r w:rsidRPr="00B66786">
        <w:rPr>
          <w:rFonts w:asciiTheme="majorBidi" w:hAnsiTheme="majorBidi" w:cstheme="majorBidi"/>
          <w:color w:val="000000" w:themeColor="text1"/>
        </w:rPr>
        <w:t xml:space="preserve"> </w:t>
      </w:r>
      <w:proofErr w:type="spellStart"/>
      <w:r w:rsidRPr="00B66786">
        <w:rPr>
          <w:rFonts w:asciiTheme="majorBidi" w:hAnsiTheme="majorBidi" w:cstheme="majorBidi"/>
          <w:color w:val="000000" w:themeColor="text1"/>
        </w:rPr>
        <w:t>FairSquare</w:t>
      </w:r>
      <w:proofErr w:type="spellEnd"/>
      <w:r w:rsidRPr="00B66786">
        <w:rPr>
          <w:rFonts w:asciiTheme="majorBidi" w:hAnsiTheme="majorBidi" w:cstheme="majorBidi"/>
          <w:color w:val="000000" w:themeColor="text1"/>
        </w:rPr>
        <w:t xml:space="preserve">. (2022). </w:t>
      </w:r>
      <w:r w:rsidRPr="00B66786">
        <w:rPr>
          <w:rFonts w:asciiTheme="majorBidi" w:hAnsiTheme="majorBidi" w:cstheme="majorBidi"/>
          <w:i/>
          <w:iCs/>
          <w:color w:val="000000" w:themeColor="text1"/>
        </w:rPr>
        <w:t>New report links lack of healthcare access to migrant worker deaths in the Gulf</w:t>
      </w:r>
      <w:r w:rsidRPr="00B66786">
        <w:rPr>
          <w:rFonts w:asciiTheme="majorBidi" w:hAnsiTheme="majorBidi" w:cstheme="majorBidi"/>
          <w:color w:val="000000" w:themeColor="text1"/>
        </w:rPr>
        <w:t xml:space="preserve">. </w:t>
      </w:r>
      <w:hyperlink r:id="rId15" w:tgtFrame="_new" w:history="1">
        <w:r w:rsidRPr="00B66786">
          <w:rPr>
            <w:rStyle w:val="Hyperlink"/>
            <w:rFonts w:asciiTheme="majorBidi" w:hAnsiTheme="majorBidi" w:cstheme="majorBidi"/>
            <w:color w:val="000000" w:themeColor="text1"/>
            <w:u w:val="none"/>
          </w:rPr>
          <w:t>https://fairsq.org/new-report-links-lack-of-healthcare-access-to-migrant-worker-deaths-in-the-gulf/</w:t>
        </w:r>
      </w:hyperlink>
    </w:p>
  </w:footnote>
  <w:footnote w:id="18">
    <w:p w14:paraId="106B5663" w14:textId="77777777" w:rsidR="003F1635" w:rsidRPr="00B66786" w:rsidRDefault="003F1635" w:rsidP="003F1635">
      <w:pPr>
        <w:pStyle w:val="FootnoteText"/>
        <w:rPr>
          <w:rFonts w:asciiTheme="majorBidi" w:hAnsiTheme="majorBidi" w:cstheme="majorBidi"/>
          <w:color w:val="000000" w:themeColor="text1"/>
        </w:rPr>
      </w:pPr>
      <w:r w:rsidRPr="00B66786">
        <w:rPr>
          <w:rStyle w:val="FootnoteReference"/>
          <w:rFonts w:asciiTheme="majorBidi" w:hAnsiTheme="majorBidi" w:cstheme="majorBidi"/>
          <w:color w:val="000000" w:themeColor="text1"/>
        </w:rPr>
        <w:footnoteRef/>
      </w:r>
      <w:r w:rsidRPr="00B66786">
        <w:rPr>
          <w:rFonts w:asciiTheme="majorBidi" w:hAnsiTheme="majorBidi" w:cstheme="majorBidi"/>
          <w:color w:val="000000" w:themeColor="text1"/>
        </w:rPr>
        <w:t xml:space="preserve"> Coalition on Labor Justice for Migrants in the Gulf. (2025, February). </w:t>
      </w:r>
      <w:r w:rsidRPr="00B66786">
        <w:rPr>
          <w:rFonts w:asciiTheme="majorBidi" w:hAnsiTheme="majorBidi" w:cstheme="majorBidi"/>
          <w:i/>
          <w:iCs/>
          <w:color w:val="000000" w:themeColor="text1"/>
        </w:rPr>
        <w:t>Kuwait UPR pre-session briefing</w:t>
      </w:r>
      <w:r w:rsidRPr="00B66786">
        <w:rPr>
          <w:rFonts w:asciiTheme="majorBidi" w:hAnsiTheme="majorBidi" w:cstheme="majorBidi"/>
          <w:color w:val="000000" w:themeColor="text1"/>
        </w:rPr>
        <w:t xml:space="preserve">. </w:t>
      </w:r>
      <w:hyperlink r:id="rId16" w:tgtFrame="_new" w:history="1">
        <w:r w:rsidRPr="00B66786">
          <w:rPr>
            <w:rStyle w:val="Hyperlink"/>
            <w:rFonts w:asciiTheme="majorBidi" w:hAnsiTheme="majorBidi" w:cstheme="majorBidi"/>
            <w:color w:val="000000" w:themeColor="text1"/>
            <w:u w:val="none"/>
          </w:rPr>
          <w:t>https://laborjusticegulfmigrants.org/wp-content/uploads/2025/03/Kuwait-UPR-Pre-Session-Briefing_Feb-2025.pdf</w:t>
        </w:r>
      </w:hyperlink>
    </w:p>
    <w:p w14:paraId="00DDD60E" w14:textId="77777777" w:rsidR="003F1635" w:rsidRPr="00B66786" w:rsidRDefault="003F1635" w:rsidP="003F1635">
      <w:pPr>
        <w:pStyle w:val="FootnoteText"/>
        <w:rPr>
          <w:rFonts w:asciiTheme="majorBidi" w:hAnsiTheme="majorBidi" w:cstheme="majorBidi"/>
          <w:color w:val="000000" w:themeColor="text1"/>
        </w:rPr>
      </w:pPr>
    </w:p>
  </w:footnote>
  <w:footnote w:id="19">
    <w:p w14:paraId="59699281" w14:textId="77777777" w:rsidR="003F1635" w:rsidRPr="00B66786" w:rsidRDefault="003F1635" w:rsidP="003F1635">
      <w:pPr>
        <w:pStyle w:val="FootnoteText"/>
        <w:rPr>
          <w:rFonts w:asciiTheme="majorBidi" w:hAnsiTheme="majorBidi" w:cstheme="majorBidi"/>
          <w:color w:val="000000" w:themeColor="text1"/>
        </w:rPr>
      </w:pPr>
      <w:r w:rsidRPr="00B66786">
        <w:rPr>
          <w:rStyle w:val="FootnoteReference"/>
          <w:rFonts w:asciiTheme="majorBidi" w:hAnsiTheme="majorBidi" w:cstheme="majorBidi"/>
          <w:color w:val="000000" w:themeColor="text1"/>
        </w:rPr>
        <w:footnoteRef/>
      </w:r>
      <w:r w:rsidRPr="00B66786">
        <w:rPr>
          <w:rFonts w:asciiTheme="majorBidi" w:hAnsiTheme="majorBidi" w:cstheme="majorBidi"/>
          <w:color w:val="000000" w:themeColor="text1"/>
        </w:rPr>
        <w:t xml:space="preserve"> Human Rights Watch. (2025, June 1). </w:t>
      </w:r>
      <w:r w:rsidRPr="00B66786">
        <w:rPr>
          <w:rFonts w:asciiTheme="majorBidi" w:hAnsiTheme="majorBidi" w:cstheme="majorBidi"/>
          <w:i/>
          <w:iCs/>
          <w:color w:val="000000" w:themeColor="text1"/>
        </w:rPr>
        <w:t>Gulf states: Protect workers from extreme heat</w:t>
      </w:r>
      <w:r w:rsidRPr="00B66786">
        <w:rPr>
          <w:rFonts w:asciiTheme="majorBidi" w:hAnsiTheme="majorBidi" w:cstheme="majorBidi"/>
          <w:color w:val="000000" w:themeColor="text1"/>
        </w:rPr>
        <w:t xml:space="preserve">. </w:t>
      </w:r>
      <w:hyperlink r:id="rId17" w:tgtFrame="_new" w:history="1">
        <w:r w:rsidRPr="00B66786">
          <w:rPr>
            <w:rStyle w:val="Hyperlink"/>
            <w:rFonts w:asciiTheme="majorBidi" w:hAnsiTheme="majorBidi" w:cstheme="majorBidi"/>
            <w:color w:val="000000" w:themeColor="text1"/>
            <w:u w:val="none"/>
          </w:rPr>
          <w:t>https://www.hrw.org/news/2025/06/01/gulf-states-protect-workers-extreme-heat</w:t>
        </w:r>
      </w:hyperlink>
    </w:p>
  </w:footnote>
  <w:footnote w:id="20">
    <w:p w14:paraId="42263A47" w14:textId="77777777" w:rsidR="003F1635" w:rsidRDefault="003F1635" w:rsidP="003F1635">
      <w:pPr>
        <w:pStyle w:val="FootnoteText"/>
      </w:pPr>
      <w:r w:rsidRPr="00B66786">
        <w:rPr>
          <w:rStyle w:val="FootnoteReference"/>
          <w:rFonts w:asciiTheme="majorBidi" w:hAnsiTheme="majorBidi" w:cstheme="majorBidi"/>
          <w:color w:val="000000" w:themeColor="text1"/>
        </w:rPr>
        <w:footnoteRef/>
      </w:r>
      <w:r w:rsidRPr="00B66786">
        <w:rPr>
          <w:rFonts w:asciiTheme="majorBidi" w:hAnsiTheme="majorBidi" w:cstheme="majorBidi"/>
          <w:color w:val="000000" w:themeColor="text1"/>
        </w:rPr>
        <w:t xml:space="preserve"> Business &amp; Human Rights Resource Centre. (2023, February 13). </w:t>
      </w:r>
      <w:r w:rsidRPr="00B66786">
        <w:rPr>
          <w:rFonts w:asciiTheme="majorBidi" w:hAnsiTheme="majorBidi" w:cstheme="majorBidi"/>
          <w:i/>
          <w:iCs/>
          <w:color w:val="000000" w:themeColor="text1"/>
        </w:rPr>
        <w:t>Kuwait: New govt. measure to charge non-citizens medication dispensation fee—latest “discriminatory obstacle” for migrant workers to access health care</w:t>
      </w:r>
      <w:r w:rsidRPr="00B66786">
        <w:rPr>
          <w:rFonts w:asciiTheme="majorBidi" w:hAnsiTheme="majorBidi" w:cstheme="majorBidi"/>
          <w:color w:val="000000" w:themeColor="text1"/>
        </w:rPr>
        <w:t xml:space="preserve">. </w:t>
      </w:r>
      <w:hyperlink r:id="rId18" w:tgtFrame="_new" w:history="1">
        <w:r w:rsidRPr="00B66786">
          <w:rPr>
            <w:rStyle w:val="Hyperlink"/>
            <w:rFonts w:asciiTheme="majorBidi" w:hAnsiTheme="majorBidi" w:cstheme="majorBidi"/>
            <w:color w:val="000000" w:themeColor="text1"/>
            <w:u w:val="none"/>
          </w:rPr>
          <w:t>https://www.business-humanrights.org/en/latest-news/kuwait-new-govt-measure-to-charge-non-citizens-medication-dispensation-fee-latest-discriminatory-obstacle-for-migrant-workers-to-access-health-care/</w:t>
        </w:r>
      </w:hyperlink>
    </w:p>
  </w:footnote>
  <w:footnote w:id="21">
    <w:p w14:paraId="4F968BCF" w14:textId="77777777" w:rsidR="003F1635" w:rsidRPr="00B66786" w:rsidRDefault="003F1635" w:rsidP="003F1635">
      <w:pPr>
        <w:pStyle w:val="FootnoteText"/>
        <w:rPr>
          <w:rFonts w:asciiTheme="majorBidi" w:hAnsiTheme="majorBidi" w:cstheme="majorBidi"/>
          <w:color w:val="000000" w:themeColor="text1"/>
        </w:rPr>
      </w:pPr>
      <w:r w:rsidRPr="00B66786">
        <w:rPr>
          <w:rStyle w:val="FootnoteReference"/>
          <w:rFonts w:asciiTheme="majorBidi" w:hAnsiTheme="majorBidi" w:cstheme="majorBidi"/>
          <w:color w:val="000000" w:themeColor="text1"/>
        </w:rPr>
        <w:footnoteRef/>
      </w:r>
      <w:r w:rsidRPr="00B66786">
        <w:rPr>
          <w:rFonts w:asciiTheme="majorBidi" w:hAnsiTheme="majorBidi" w:cstheme="majorBidi"/>
          <w:color w:val="000000" w:themeColor="text1"/>
        </w:rPr>
        <w:t xml:space="preserve"> Americans for Democracy &amp; Human Rights in Bahrain. (2025, July 29). </w:t>
      </w:r>
      <w:r w:rsidRPr="00B66786">
        <w:rPr>
          <w:rFonts w:asciiTheme="majorBidi" w:hAnsiTheme="majorBidi" w:cstheme="majorBidi"/>
          <w:i/>
          <w:iCs/>
          <w:color w:val="000000" w:themeColor="text1"/>
        </w:rPr>
        <w:t>Kuwaiti seeks to bolster human rights</w:t>
      </w:r>
      <w:r w:rsidRPr="00B66786">
        <w:rPr>
          <w:rFonts w:asciiTheme="majorBidi" w:hAnsiTheme="majorBidi" w:cstheme="majorBidi"/>
          <w:color w:val="000000" w:themeColor="text1"/>
        </w:rPr>
        <w:t xml:space="preserve">. </w:t>
      </w:r>
      <w:hyperlink r:id="rId19" w:tgtFrame="_new" w:history="1">
        <w:r w:rsidRPr="00B66786">
          <w:rPr>
            <w:rStyle w:val="Hyperlink"/>
            <w:rFonts w:asciiTheme="majorBidi" w:hAnsiTheme="majorBidi" w:cstheme="majorBidi"/>
            <w:color w:val="000000" w:themeColor="text1"/>
            <w:u w:val="none"/>
          </w:rPr>
          <w:t>https://www.adhrb.org/2025/07/kuwaiti-seeks-to-bolster-human-rights/</w:t>
        </w:r>
      </w:hyperlink>
    </w:p>
    <w:p w14:paraId="5D7E721E" w14:textId="77777777" w:rsidR="003F1635" w:rsidRPr="00B66786" w:rsidRDefault="003F1635" w:rsidP="003F1635">
      <w:pPr>
        <w:pStyle w:val="FootnoteText"/>
      </w:pPr>
    </w:p>
    <w:p w14:paraId="56ECD4A5" w14:textId="77777777" w:rsidR="003F1635" w:rsidRDefault="003F1635" w:rsidP="003F1635">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C00C01"/>
    <w:multiLevelType w:val="multilevel"/>
    <w:tmpl w:val="4CFCC5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3776F53"/>
    <w:multiLevelType w:val="multilevel"/>
    <w:tmpl w:val="2A28C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A8C3F20"/>
    <w:multiLevelType w:val="multilevel"/>
    <w:tmpl w:val="CE88E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0D1246C"/>
    <w:multiLevelType w:val="hybridMultilevel"/>
    <w:tmpl w:val="17EE5E9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61877738">
    <w:abstractNumId w:val="3"/>
  </w:num>
  <w:num w:numId="2" w16cid:durableId="701054886">
    <w:abstractNumId w:val="2"/>
  </w:num>
  <w:num w:numId="3" w16cid:durableId="1549104115">
    <w:abstractNumId w:val="0"/>
  </w:num>
  <w:num w:numId="4" w16cid:durableId="15703865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2BE3"/>
    <w:rsid w:val="001254DE"/>
    <w:rsid w:val="0021633D"/>
    <w:rsid w:val="002F64D2"/>
    <w:rsid w:val="003F1635"/>
    <w:rsid w:val="00406C14"/>
    <w:rsid w:val="00566B77"/>
    <w:rsid w:val="005C3233"/>
    <w:rsid w:val="00650D74"/>
    <w:rsid w:val="00903615"/>
    <w:rsid w:val="00973C72"/>
    <w:rsid w:val="00997BE3"/>
    <w:rsid w:val="00B169B0"/>
    <w:rsid w:val="00B4076A"/>
    <w:rsid w:val="00BB33D9"/>
    <w:rsid w:val="00E02BE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41561A"/>
  <w15:chartTrackingRefBased/>
  <w15:docId w15:val="{E9218C92-D790-43D5-8979-E2D8430297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B4076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4076A"/>
    <w:rPr>
      <w:sz w:val="20"/>
      <w:szCs w:val="20"/>
    </w:rPr>
  </w:style>
  <w:style w:type="character" w:styleId="FootnoteReference">
    <w:name w:val="footnote reference"/>
    <w:basedOn w:val="DefaultParagraphFont"/>
    <w:uiPriority w:val="99"/>
    <w:semiHidden/>
    <w:unhideWhenUsed/>
    <w:rsid w:val="00B4076A"/>
    <w:rPr>
      <w:vertAlign w:val="superscript"/>
    </w:rPr>
  </w:style>
  <w:style w:type="character" w:styleId="Hyperlink">
    <w:name w:val="Hyperlink"/>
    <w:basedOn w:val="DefaultParagraphFont"/>
    <w:uiPriority w:val="99"/>
    <w:unhideWhenUsed/>
    <w:rsid w:val="003F163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181672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www.amnesty.org/en/location/middle-east-and-north-africa/middle-east/kuwait/report-kuwait/?utm_source=chatgpt.com" TargetMode="External"/><Relationship Id="rId13" Type="http://schemas.openxmlformats.org/officeDocument/2006/relationships/hyperlink" Target="https://fairsq.org/new-report-links-lack-of-healthcare-access-to-migrant-worker-deaths-in-the-gulf/?utm_source=chatgpt.com" TargetMode="External"/><Relationship Id="rId18" Type="http://schemas.openxmlformats.org/officeDocument/2006/relationships/hyperlink" Target="https://www.business-humanrights.org/en/latest-news/kuwait-new-govt-measure-to-charge-non-citizens-medication-dispensation-fee-latest-discriminatory-obstacle-for-migrant-workers-to-access-health-care/?utm_source=chatgpt.com" TargetMode="External"/><Relationship Id="rId3" Type="http://schemas.openxmlformats.org/officeDocument/2006/relationships/hyperlink" Target="https://www.hrw.org/news/2025/06/15/kuwaits-exit-permit-requirement-puts-migrant-workers-at-risk?utm_source=chatgpt.com" TargetMode="External"/><Relationship Id="rId7" Type="http://schemas.openxmlformats.org/officeDocument/2006/relationships/hyperlink" Target="https://fairsq.org/new-report-links-lack-of-healthcare-access-to-migrant-worker-deaths-in-the-gulf/?utm_source=chatgpt.com" TargetMode="External"/><Relationship Id="rId12" Type="http://schemas.openxmlformats.org/officeDocument/2006/relationships/hyperlink" Target="https://www.lexology.com/library/detail.aspx?g=83fdb03a-42e7-4a03-87a3-d2f93dc45f9d" TargetMode="External"/><Relationship Id="rId17" Type="http://schemas.openxmlformats.org/officeDocument/2006/relationships/hyperlink" Target="https://www.hrw.org/news/2025/06/01/gulf-states-protect-workers-extreme-heat?utm_source=chatgpt.com" TargetMode="External"/><Relationship Id="rId2" Type="http://schemas.openxmlformats.org/officeDocument/2006/relationships/hyperlink" Target="https://www.amnesty.org/en/location/middle-east-and-north-africa/middle-east/kuwait/report-kuwait/?utm_source=chatgpt.com" TargetMode="External"/><Relationship Id="rId16" Type="http://schemas.openxmlformats.org/officeDocument/2006/relationships/hyperlink" Target="https://laborjusticegulfmigrants.org/wp-content/uploads/2025/03/Kuwait-UPR-Pre-Session-Briefing_Feb-2025.pdf" TargetMode="External"/><Relationship Id="rId1" Type="http://schemas.openxmlformats.org/officeDocument/2006/relationships/hyperlink" Target="https://www.hrw.org/news/2025/06/01/gulf-states-protect-workers-extreme-heat?utm_source=chatgpt.com" TargetMode="External"/><Relationship Id="rId6" Type="http://schemas.openxmlformats.org/officeDocument/2006/relationships/hyperlink" Target="https://laborjusticegulfmigrants.org/wp-content/uploads/2025/03/Kuwait-UPR-Pre-Session-Briefing_Feb-2025.pdf" TargetMode="External"/><Relationship Id="rId11" Type="http://schemas.openxmlformats.org/officeDocument/2006/relationships/hyperlink" Target="https://www.business-humanrights.org/en/latest-news/kuwait-new-govt-measure-to-charge-non-citizens-medication-dispensation-fee-latest-discriminatory-obstacle-for-migrant-workers-to-access-health-care/?utm_source=chatgpt.com" TargetMode="External"/><Relationship Id="rId5" Type="http://schemas.openxmlformats.org/officeDocument/2006/relationships/hyperlink" Target="https://www.lexology.com/library/detail.aspx?g=83fdb03a-42e7-4a03-87a3-d2f93dc45f9d" TargetMode="External"/><Relationship Id="rId15" Type="http://schemas.openxmlformats.org/officeDocument/2006/relationships/hyperlink" Target="https://fairsq.org/new-report-links-lack-of-healthcare-access-to-migrant-worker-deaths-in-the-gulf/?utm_source=chatgpt.com" TargetMode="External"/><Relationship Id="rId10" Type="http://schemas.openxmlformats.org/officeDocument/2006/relationships/hyperlink" Target="https://fairsq.org/new-report-links-lack-of-healthcare-access-to-migrant-worker-deaths-in-the-gulf/?utm_source=chatgpt.com" TargetMode="External"/><Relationship Id="rId19" Type="http://schemas.openxmlformats.org/officeDocument/2006/relationships/hyperlink" Target="https://www.adhrb.org/2025/07/kuwaiti-seeks-to-bolster-human-rights/?utm_source=chatgpt.com" TargetMode="External"/><Relationship Id="rId4" Type="http://schemas.openxmlformats.org/officeDocument/2006/relationships/hyperlink" Target="https://www.idea.int/democracytracker/report/kuwait/june-2025?utm_source=chatgpt.com" TargetMode="External"/><Relationship Id="rId9" Type="http://schemas.openxmlformats.org/officeDocument/2006/relationships/hyperlink" Target="https://laborjusticegulfmigrants.org/wp-content/uploads/2025/03/Kuwait-UPR-Pre-Session-Briefing_Feb-2025.pdf" TargetMode="External"/><Relationship Id="rId14" Type="http://schemas.openxmlformats.org/officeDocument/2006/relationships/hyperlink" Target="https://www.business-humanrights.org/en/latest-news/kuwait-new-govt-measure-to-charge-non-citizens-medication-dispensation-fee-latest-discriminatory-obstacle-for-migrant-workers-to-access-health-care/?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9BF905-7CF8-4F4D-B840-AFB580D92C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1659</Words>
  <Characters>9462</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Sweet</dc:creator>
  <cp:keywords/>
  <dc:description/>
  <cp:lastModifiedBy>medrik_sales</cp:lastModifiedBy>
  <cp:revision>5</cp:revision>
  <dcterms:created xsi:type="dcterms:W3CDTF">2026-04-29T08:54:00Z</dcterms:created>
  <dcterms:modified xsi:type="dcterms:W3CDTF">2026-05-24T08:46:00Z</dcterms:modified>
</cp:coreProperties>
</file>