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B55D7D" w14:textId="77777777" w:rsidR="00E85A01" w:rsidRDefault="00E85A01">
      <w:pPr>
        <w:pBdr>
          <w:top w:val="nil"/>
          <w:left w:val="nil"/>
          <w:bottom w:val="nil"/>
          <w:right w:val="nil"/>
          <w:between w:val="nil"/>
        </w:pBdr>
        <w:rPr>
          <w:color w:val="000000"/>
          <w:sz w:val="23"/>
          <w:szCs w:val="23"/>
        </w:rPr>
      </w:pPr>
      <w:bookmarkStart w:id="0" w:name="_GoBack"/>
      <w:bookmarkEnd w:id="0"/>
    </w:p>
    <w:p w14:paraId="2ED03CD5" w14:textId="77777777" w:rsidR="00E85A01" w:rsidRDefault="00E85A01">
      <w:pPr>
        <w:rPr>
          <w:sz w:val="23"/>
          <w:szCs w:val="23"/>
        </w:rPr>
      </w:pPr>
    </w:p>
    <w:p w14:paraId="05BA889B" w14:textId="77777777" w:rsidR="00E85A01" w:rsidRDefault="00E85A01">
      <w:pPr>
        <w:rPr>
          <w:rFonts w:ascii="Arial" w:eastAsia="Arial" w:hAnsi="Arial" w:cs="Arial"/>
          <w:b/>
          <w:color w:val="222222"/>
          <w:sz w:val="23"/>
          <w:szCs w:val="23"/>
          <w:highlight w:val="white"/>
        </w:rPr>
      </w:pPr>
    </w:p>
    <w:p w14:paraId="601751E3" w14:textId="77777777" w:rsidR="00E85A01" w:rsidRDefault="00382A84">
      <w:pPr>
        <w:widowControl/>
        <w:jc w:val="both"/>
        <w:rPr>
          <w:i/>
          <w:sz w:val="23"/>
          <w:szCs w:val="23"/>
        </w:rPr>
      </w:pPr>
      <w:r>
        <w:rPr>
          <w:i/>
          <w:sz w:val="23"/>
          <w:szCs w:val="23"/>
        </w:rPr>
        <w:t>Submitted via online portal</w:t>
      </w:r>
    </w:p>
    <w:p w14:paraId="79AD586A" w14:textId="77777777" w:rsidR="00E85A01" w:rsidRDefault="00382A84">
      <w:pPr>
        <w:widowControl/>
        <w:pBdr>
          <w:top w:val="nil"/>
          <w:left w:val="nil"/>
          <w:bottom w:val="nil"/>
          <w:right w:val="nil"/>
          <w:between w:val="nil"/>
        </w:pBdr>
        <w:jc w:val="both"/>
        <w:rPr>
          <w:sz w:val="23"/>
          <w:szCs w:val="23"/>
        </w:rPr>
      </w:pPr>
      <w:r>
        <w:rPr>
          <w:sz w:val="23"/>
          <w:szCs w:val="23"/>
        </w:rPr>
        <w:t xml:space="preserve">Pre-Sessional Working </w:t>
      </w:r>
      <w:proofErr w:type="spellStart"/>
      <w:r>
        <w:rPr>
          <w:sz w:val="23"/>
          <w:szCs w:val="23"/>
        </w:rPr>
        <w:t>GroupUN</w:t>
      </w:r>
      <w:proofErr w:type="spellEnd"/>
      <w:r>
        <w:rPr>
          <w:sz w:val="23"/>
          <w:szCs w:val="23"/>
        </w:rPr>
        <w:t xml:space="preserve"> Committee on Economic, Social and Cultural Rights</w:t>
      </w:r>
    </w:p>
    <w:p w14:paraId="0A25CA61" w14:textId="77777777" w:rsidR="00E85A01" w:rsidRDefault="00382A84">
      <w:pPr>
        <w:widowControl/>
        <w:pBdr>
          <w:top w:val="nil"/>
          <w:left w:val="nil"/>
          <w:bottom w:val="nil"/>
          <w:right w:val="nil"/>
          <w:between w:val="nil"/>
        </w:pBdr>
        <w:jc w:val="both"/>
        <w:rPr>
          <w:sz w:val="23"/>
          <w:szCs w:val="23"/>
        </w:rPr>
      </w:pPr>
      <w:r>
        <w:rPr>
          <w:sz w:val="23"/>
          <w:szCs w:val="23"/>
        </w:rPr>
        <w:t>Office of the United Nations High Commissioner for Human Rights (OHCHR)</w:t>
      </w:r>
    </w:p>
    <w:p w14:paraId="66D1A60E" w14:textId="77777777" w:rsidR="00E85A01" w:rsidRDefault="00382A84">
      <w:pPr>
        <w:widowControl/>
        <w:pBdr>
          <w:top w:val="nil"/>
          <w:left w:val="nil"/>
          <w:bottom w:val="nil"/>
          <w:right w:val="nil"/>
          <w:between w:val="nil"/>
        </w:pBdr>
        <w:jc w:val="both"/>
        <w:rPr>
          <w:sz w:val="23"/>
          <w:szCs w:val="23"/>
        </w:rPr>
      </w:pPr>
      <w:r>
        <w:rPr>
          <w:sz w:val="23"/>
          <w:szCs w:val="23"/>
        </w:rPr>
        <w:t>Palais Wilson</w:t>
      </w:r>
    </w:p>
    <w:p w14:paraId="13DC577B" w14:textId="77777777" w:rsidR="00E85A01" w:rsidRDefault="00382A84">
      <w:pPr>
        <w:widowControl/>
        <w:pBdr>
          <w:top w:val="nil"/>
          <w:left w:val="nil"/>
          <w:bottom w:val="nil"/>
          <w:right w:val="nil"/>
          <w:between w:val="nil"/>
        </w:pBdr>
        <w:jc w:val="both"/>
        <w:rPr>
          <w:sz w:val="23"/>
          <w:szCs w:val="23"/>
        </w:rPr>
      </w:pPr>
      <w:r>
        <w:rPr>
          <w:sz w:val="23"/>
          <w:szCs w:val="23"/>
        </w:rPr>
        <w:t xml:space="preserve">52 rue des </w:t>
      </w:r>
      <w:proofErr w:type="spellStart"/>
      <w:r>
        <w:rPr>
          <w:sz w:val="23"/>
          <w:szCs w:val="23"/>
        </w:rPr>
        <w:t>Pâquis</w:t>
      </w:r>
      <w:proofErr w:type="spellEnd"/>
    </w:p>
    <w:p w14:paraId="0714CED9" w14:textId="77777777" w:rsidR="00E85A01" w:rsidRDefault="00382A84">
      <w:pPr>
        <w:widowControl/>
        <w:pBdr>
          <w:top w:val="nil"/>
          <w:left w:val="nil"/>
          <w:bottom w:val="nil"/>
          <w:right w:val="nil"/>
          <w:between w:val="nil"/>
        </w:pBdr>
        <w:jc w:val="both"/>
        <w:rPr>
          <w:sz w:val="23"/>
          <w:szCs w:val="23"/>
        </w:rPr>
      </w:pPr>
      <w:r>
        <w:rPr>
          <w:sz w:val="23"/>
          <w:szCs w:val="23"/>
        </w:rPr>
        <w:t>CH-1201 Geneva</w:t>
      </w:r>
    </w:p>
    <w:p w14:paraId="4450010C" w14:textId="77777777" w:rsidR="00E85A01" w:rsidRDefault="00382A84">
      <w:pPr>
        <w:widowControl/>
        <w:pBdr>
          <w:top w:val="nil"/>
          <w:left w:val="nil"/>
          <w:bottom w:val="nil"/>
          <w:right w:val="nil"/>
          <w:between w:val="nil"/>
        </w:pBdr>
        <w:jc w:val="both"/>
        <w:rPr>
          <w:sz w:val="23"/>
          <w:szCs w:val="23"/>
        </w:rPr>
      </w:pPr>
      <w:r>
        <w:rPr>
          <w:sz w:val="23"/>
          <w:szCs w:val="23"/>
        </w:rPr>
        <w:t>Switzerland</w:t>
      </w:r>
    </w:p>
    <w:p w14:paraId="4C44F543" w14:textId="77777777" w:rsidR="00E85A01" w:rsidRDefault="00382A84">
      <w:pPr>
        <w:widowControl/>
        <w:pBdr>
          <w:top w:val="nil"/>
          <w:left w:val="nil"/>
          <w:bottom w:val="nil"/>
          <w:right w:val="nil"/>
          <w:between w:val="nil"/>
        </w:pBdr>
        <w:jc w:val="both"/>
        <w:rPr>
          <w:sz w:val="23"/>
          <w:szCs w:val="23"/>
        </w:rPr>
      </w:pPr>
      <w:r>
        <w:rPr>
          <w:sz w:val="23"/>
          <w:szCs w:val="23"/>
        </w:rPr>
        <w:t xml:space="preserve"> </w:t>
      </w:r>
    </w:p>
    <w:p w14:paraId="0C81E542" w14:textId="77777777" w:rsidR="00E85A01" w:rsidRDefault="00382A84">
      <w:pPr>
        <w:widowControl/>
        <w:pBdr>
          <w:top w:val="nil"/>
          <w:left w:val="nil"/>
          <w:bottom w:val="nil"/>
          <w:right w:val="nil"/>
          <w:between w:val="nil"/>
        </w:pBdr>
        <w:jc w:val="both"/>
        <w:rPr>
          <w:sz w:val="23"/>
          <w:szCs w:val="23"/>
        </w:rPr>
      </w:pPr>
      <w:r>
        <w:rPr>
          <w:sz w:val="23"/>
          <w:szCs w:val="23"/>
        </w:rPr>
        <w:t>February 1, 2021</w:t>
      </w:r>
    </w:p>
    <w:p w14:paraId="6E44C740" w14:textId="77777777" w:rsidR="00E85A01" w:rsidRDefault="00382A84">
      <w:pPr>
        <w:widowControl/>
        <w:pBdr>
          <w:top w:val="nil"/>
          <w:left w:val="nil"/>
          <w:bottom w:val="nil"/>
          <w:right w:val="nil"/>
          <w:between w:val="nil"/>
        </w:pBdr>
        <w:jc w:val="both"/>
        <w:rPr>
          <w:sz w:val="23"/>
          <w:szCs w:val="23"/>
        </w:rPr>
      </w:pPr>
      <w:r>
        <w:rPr>
          <w:sz w:val="23"/>
          <w:szCs w:val="23"/>
        </w:rPr>
        <w:t xml:space="preserve"> </w:t>
      </w:r>
    </w:p>
    <w:p w14:paraId="5F9CDDE1" w14:textId="77777777" w:rsidR="00E85A01" w:rsidRDefault="00382A84">
      <w:pPr>
        <w:widowControl/>
        <w:jc w:val="both"/>
        <w:rPr>
          <w:sz w:val="23"/>
          <w:szCs w:val="23"/>
        </w:rPr>
      </w:pPr>
      <w:r>
        <w:rPr>
          <w:sz w:val="23"/>
          <w:szCs w:val="23"/>
        </w:rPr>
        <w:t>Dear PSWG members:</w:t>
      </w:r>
    </w:p>
    <w:p w14:paraId="1FF8F5DA" w14:textId="77777777" w:rsidR="00E85A01" w:rsidRDefault="00E85A01">
      <w:pPr>
        <w:widowControl/>
        <w:jc w:val="both"/>
        <w:rPr>
          <w:sz w:val="23"/>
          <w:szCs w:val="23"/>
        </w:rPr>
      </w:pPr>
    </w:p>
    <w:p w14:paraId="2CFC825D" w14:textId="77777777" w:rsidR="00E85A01" w:rsidRDefault="00382A84">
      <w:pPr>
        <w:widowControl/>
        <w:jc w:val="both"/>
        <w:rPr>
          <w:color w:val="000000"/>
          <w:sz w:val="23"/>
          <w:szCs w:val="23"/>
        </w:rPr>
      </w:pPr>
      <w:r>
        <w:rPr>
          <w:color w:val="000000"/>
          <w:sz w:val="23"/>
          <w:szCs w:val="23"/>
        </w:rPr>
        <w:t>The following is Scholars at Risk’s submission to the United Nations Committee on Economic, Social and Cultural Rights (the “Committee”)</w:t>
      </w:r>
      <w:r>
        <w:rPr>
          <w:sz w:val="23"/>
          <w:szCs w:val="23"/>
        </w:rPr>
        <w:t xml:space="preserve">, 69th session, </w:t>
      </w:r>
      <w:r>
        <w:rPr>
          <w:color w:val="000000"/>
          <w:sz w:val="23"/>
          <w:szCs w:val="23"/>
        </w:rPr>
        <w:t xml:space="preserve">on conditions in </w:t>
      </w:r>
      <w:r>
        <w:rPr>
          <w:sz w:val="23"/>
          <w:szCs w:val="23"/>
        </w:rPr>
        <w:t xml:space="preserve">China/Hong Kong </w:t>
      </w:r>
      <w:r>
        <w:rPr>
          <w:color w:val="000000"/>
          <w:sz w:val="23"/>
          <w:szCs w:val="23"/>
        </w:rPr>
        <w:t xml:space="preserve">relating to academic freedom, which is protected under, </w:t>
      </w:r>
      <w:r>
        <w:rPr>
          <w:i/>
          <w:color w:val="000000"/>
          <w:sz w:val="23"/>
          <w:szCs w:val="23"/>
        </w:rPr>
        <w:t>inter alia</w:t>
      </w:r>
      <w:r>
        <w:rPr>
          <w:color w:val="000000"/>
          <w:sz w:val="23"/>
          <w:szCs w:val="23"/>
        </w:rPr>
        <w:t>, ICESCR Articles 13 and 15.</w:t>
      </w:r>
    </w:p>
    <w:p w14:paraId="6E21FF47" w14:textId="77777777" w:rsidR="00E85A01" w:rsidRDefault="00382A84">
      <w:pPr>
        <w:widowControl/>
        <w:jc w:val="both"/>
        <w:rPr>
          <w:color w:val="000000"/>
          <w:sz w:val="23"/>
          <w:szCs w:val="23"/>
        </w:rPr>
      </w:pPr>
      <w:r>
        <w:rPr>
          <w:color w:val="000000"/>
          <w:sz w:val="23"/>
          <w:szCs w:val="23"/>
        </w:rPr>
        <w:br/>
        <w:t xml:space="preserve">Scholars at Risk is an independent, nonprofit civil society organization and network of over 500 higher education institutions in over 40 countries dedicated to protecting threatened scholars and promoting academic freedom. Scholars at Risk holds Special Consultative Status with ECOSOC (2013), and welcomes the opportunity to comment on the situation in </w:t>
      </w:r>
      <w:r>
        <w:rPr>
          <w:sz w:val="23"/>
          <w:szCs w:val="23"/>
        </w:rPr>
        <w:t>China/Hong Kong</w:t>
      </w:r>
      <w:r>
        <w:rPr>
          <w:color w:val="000000"/>
          <w:sz w:val="23"/>
          <w:szCs w:val="23"/>
        </w:rPr>
        <w:t xml:space="preserve"> with the Committee.</w:t>
      </w:r>
    </w:p>
    <w:p w14:paraId="294B2A4D" w14:textId="77777777" w:rsidR="00E85A01" w:rsidRDefault="00E85A01">
      <w:pPr>
        <w:widowControl/>
        <w:jc w:val="both"/>
        <w:rPr>
          <w:sz w:val="23"/>
          <w:szCs w:val="23"/>
        </w:rPr>
      </w:pPr>
    </w:p>
    <w:p w14:paraId="43A287D7" w14:textId="77777777" w:rsidR="00E85A01" w:rsidRDefault="00382A84">
      <w:pPr>
        <w:widowControl/>
        <w:jc w:val="both"/>
        <w:rPr>
          <w:sz w:val="23"/>
          <w:szCs w:val="23"/>
        </w:rPr>
      </w:pPr>
      <w:r>
        <w:rPr>
          <w:color w:val="000000"/>
          <w:sz w:val="23"/>
          <w:szCs w:val="23"/>
        </w:rPr>
        <w:t>Academic freedom is fully cognizable under existing human rights standards within the mandate of the Committee, including the rights to education, and the benefits of science. Academic freedom is likewise cognizable under freedom of opinion and expression, and has elements of freedom of association, freedom of movement, and other rights.</w:t>
      </w:r>
    </w:p>
    <w:p w14:paraId="4D4221F7" w14:textId="77777777" w:rsidR="00E85A01" w:rsidRDefault="00E85A01">
      <w:pPr>
        <w:widowControl/>
        <w:rPr>
          <w:sz w:val="23"/>
          <w:szCs w:val="23"/>
        </w:rPr>
      </w:pPr>
    </w:p>
    <w:p w14:paraId="7D1DD8EB" w14:textId="77777777" w:rsidR="00E85A01" w:rsidRDefault="00382A84">
      <w:pPr>
        <w:widowControl/>
        <w:rPr>
          <w:sz w:val="23"/>
          <w:szCs w:val="23"/>
        </w:rPr>
      </w:pPr>
      <w:r>
        <w:rPr>
          <w:b/>
          <w:color w:val="000000"/>
          <w:sz w:val="23"/>
          <w:szCs w:val="23"/>
        </w:rPr>
        <w:t>The Right to Education (ICESCR Art. 13)</w:t>
      </w:r>
    </w:p>
    <w:p w14:paraId="7D17A78D" w14:textId="77777777" w:rsidR="00E85A01" w:rsidRDefault="00E85A01">
      <w:pPr>
        <w:widowControl/>
        <w:rPr>
          <w:sz w:val="23"/>
          <w:szCs w:val="23"/>
        </w:rPr>
      </w:pPr>
    </w:p>
    <w:p w14:paraId="0F83D9EA" w14:textId="77777777" w:rsidR="00E85A01" w:rsidRDefault="00382A84">
      <w:pPr>
        <w:widowControl/>
        <w:jc w:val="both"/>
        <w:rPr>
          <w:sz w:val="23"/>
          <w:szCs w:val="23"/>
        </w:rPr>
      </w:pPr>
      <w:r>
        <w:rPr>
          <w:color w:val="000000"/>
          <w:sz w:val="23"/>
          <w:szCs w:val="23"/>
        </w:rPr>
        <w:t>Academic</w:t>
      </w:r>
      <w:r>
        <w:rPr>
          <w:color w:val="000000"/>
          <w:sz w:val="23"/>
          <w:szCs w:val="23"/>
          <w:highlight w:val="white"/>
        </w:rPr>
        <w:t xml:space="preserve"> freedom is fully grounded in ICESCR Article 13’s protection of the right to education. Indeed, the Committee has specifically found that the right to education “can only be enjoyed if accompanied by the academic freedom of staff and students.”</w:t>
      </w:r>
      <w:r>
        <w:rPr>
          <w:color w:val="000000"/>
          <w:sz w:val="23"/>
          <w:szCs w:val="23"/>
          <w:highlight w:val="white"/>
          <w:vertAlign w:val="superscript"/>
        </w:rPr>
        <w:footnoteReference w:id="1"/>
      </w:r>
    </w:p>
    <w:p w14:paraId="504BAC11" w14:textId="77777777" w:rsidR="00E85A01" w:rsidRDefault="00E85A01">
      <w:pPr>
        <w:widowControl/>
        <w:jc w:val="both"/>
        <w:rPr>
          <w:sz w:val="23"/>
          <w:szCs w:val="23"/>
        </w:rPr>
      </w:pPr>
    </w:p>
    <w:p w14:paraId="0214DBA6" w14:textId="77777777" w:rsidR="00E85A01" w:rsidRDefault="00382A84">
      <w:pPr>
        <w:widowControl/>
        <w:jc w:val="both"/>
        <w:rPr>
          <w:color w:val="000000"/>
          <w:sz w:val="23"/>
          <w:szCs w:val="23"/>
          <w:highlight w:val="white"/>
        </w:rPr>
      </w:pPr>
      <w:r>
        <w:rPr>
          <w:color w:val="000000"/>
          <w:sz w:val="23"/>
          <w:szCs w:val="23"/>
          <w:highlight w:val="white"/>
        </w:rPr>
        <w:t>As the Committee explained:</w:t>
      </w:r>
    </w:p>
    <w:p w14:paraId="753B301D" w14:textId="77777777" w:rsidR="00E85A01" w:rsidRDefault="00E85A01">
      <w:pPr>
        <w:widowControl/>
        <w:jc w:val="both"/>
        <w:rPr>
          <w:sz w:val="23"/>
          <w:szCs w:val="23"/>
        </w:rPr>
      </w:pPr>
    </w:p>
    <w:p w14:paraId="7AB1CD4F" w14:textId="77777777" w:rsidR="00E85A01" w:rsidRDefault="00382A84">
      <w:pPr>
        <w:widowControl/>
        <w:ind w:left="720" w:right="720"/>
        <w:jc w:val="both"/>
        <w:rPr>
          <w:sz w:val="23"/>
          <w:szCs w:val="23"/>
        </w:rPr>
      </w:pPr>
      <w:r>
        <w:rPr>
          <w:color w:val="000000"/>
          <w:sz w:val="23"/>
          <w:szCs w:val="23"/>
          <w:highlight w:val="white"/>
        </w:rPr>
        <w:t>Members of the academic community, individually or collectively, are free to pursue, develop and transmit knowledge and ideas, through research, teaching, study, discussion, documentation, production, creation or writing. Academic freedom includes the liberty of individuals to express freely opinions about the institution or system in which they work, to fulfill their functions without discrimination or fear of repression by the State or any other actor, to participate in professional or representative academic bodies, and to enjoy all the internationally recognized human rights applicable to other individuals in the same jurisdiction.</w:t>
      </w:r>
      <w:r>
        <w:rPr>
          <w:color w:val="000000"/>
          <w:sz w:val="23"/>
          <w:szCs w:val="23"/>
          <w:highlight w:val="white"/>
          <w:vertAlign w:val="superscript"/>
        </w:rPr>
        <w:footnoteReference w:id="2"/>
      </w:r>
    </w:p>
    <w:p w14:paraId="121E3B86" w14:textId="77777777" w:rsidR="00E85A01" w:rsidRDefault="00E85A01">
      <w:pPr>
        <w:widowControl/>
        <w:rPr>
          <w:sz w:val="23"/>
          <w:szCs w:val="23"/>
        </w:rPr>
      </w:pPr>
    </w:p>
    <w:p w14:paraId="2CDE45D8" w14:textId="77777777" w:rsidR="00E85A01" w:rsidRDefault="00382A84">
      <w:pPr>
        <w:widowControl/>
        <w:rPr>
          <w:sz w:val="23"/>
          <w:szCs w:val="23"/>
        </w:rPr>
      </w:pPr>
      <w:r>
        <w:rPr>
          <w:b/>
          <w:color w:val="000000"/>
          <w:sz w:val="23"/>
          <w:szCs w:val="23"/>
        </w:rPr>
        <w:t>Benefits of Scientific Progress (ICESCR Art. 15)</w:t>
      </w:r>
    </w:p>
    <w:p w14:paraId="662A31DA" w14:textId="77777777" w:rsidR="00E85A01" w:rsidRDefault="00E85A01">
      <w:pPr>
        <w:widowControl/>
        <w:rPr>
          <w:sz w:val="23"/>
          <w:szCs w:val="23"/>
        </w:rPr>
      </w:pPr>
    </w:p>
    <w:p w14:paraId="7BC775D9" w14:textId="77777777" w:rsidR="00E85A01" w:rsidRDefault="00382A84">
      <w:pPr>
        <w:widowControl/>
        <w:jc w:val="both"/>
        <w:rPr>
          <w:sz w:val="23"/>
          <w:szCs w:val="23"/>
        </w:rPr>
      </w:pPr>
      <w:r>
        <w:rPr>
          <w:color w:val="000000"/>
          <w:sz w:val="23"/>
          <w:szCs w:val="23"/>
          <w:highlight w:val="white"/>
        </w:rPr>
        <w:t xml:space="preserve">ICESCR Article 15(3) likewise requires State parties to “respect the freedom indispensable for scientific research and creative activity.” As the Committee has stated, States have an obligation not only to refrain from preventing participation in scientific progress, but also “a positive duty to actively promote the advancement of science through, </w:t>
      </w:r>
      <w:r>
        <w:rPr>
          <w:i/>
          <w:color w:val="000000"/>
          <w:sz w:val="23"/>
          <w:szCs w:val="23"/>
          <w:highlight w:val="white"/>
        </w:rPr>
        <w:t>inter alia</w:t>
      </w:r>
      <w:r>
        <w:rPr>
          <w:color w:val="000000"/>
          <w:sz w:val="23"/>
          <w:szCs w:val="23"/>
          <w:highlight w:val="white"/>
        </w:rPr>
        <w:t>, education and investment in science and technology.”</w:t>
      </w:r>
      <w:r>
        <w:rPr>
          <w:color w:val="000000"/>
          <w:sz w:val="23"/>
          <w:szCs w:val="23"/>
          <w:highlight w:val="white"/>
          <w:vertAlign w:val="superscript"/>
        </w:rPr>
        <w:footnoteReference w:id="3"/>
      </w:r>
      <w:r>
        <w:rPr>
          <w:color w:val="000000"/>
          <w:sz w:val="23"/>
          <w:szCs w:val="23"/>
          <w:highlight w:val="white"/>
        </w:rPr>
        <w:t xml:space="preserve"> The Committee continued:</w:t>
      </w:r>
    </w:p>
    <w:p w14:paraId="2E00F720" w14:textId="77777777" w:rsidR="00E85A01" w:rsidRDefault="00E85A01">
      <w:pPr>
        <w:widowControl/>
        <w:jc w:val="both"/>
        <w:rPr>
          <w:sz w:val="23"/>
          <w:szCs w:val="23"/>
        </w:rPr>
      </w:pPr>
    </w:p>
    <w:p w14:paraId="761552AD" w14:textId="77777777" w:rsidR="00E85A01" w:rsidRDefault="00382A84">
      <w:pPr>
        <w:widowControl/>
        <w:ind w:left="720" w:right="720"/>
        <w:jc w:val="both"/>
        <w:rPr>
          <w:sz w:val="23"/>
          <w:szCs w:val="23"/>
        </w:rPr>
      </w:pPr>
      <w:r>
        <w:rPr>
          <w:color w:val="000000"/>
          <w:sz w:val="23"/>
          <w:szCs w:val="23"/>
          <w:highlight w:val="white"/>
        </w:rPr>
        <w:t>This includes approving policies and regulations which foster scientific research, allocating appropriate resources in the budgets and, in general, creating an enabling and participatory environment for the conservation, development and diffusion of science and technology. This implies inter alia protection and promotion of academic and scientific freedom, including freedoms of expression and to seek, receive and impart scientific information, freedom of association and movement; guarantees for equal access and participation of all public and private actors; and capacity-building and education.</w:t>
      </w:r>
      <w:r>
        <w:rPr>
          <w:color w:val="000000"/>
          <w:sz w:val="23"/>
          <w:szCs w:val="23"/>
          <w:highlight w:val="white"/>
          <w:vertAlign w:val="superscript"/>
        </w:rPr>
        <w:footnoteReference w:id="4"/>
      </w:r>
      <w:r>
        <w:rPr>
          <w:color w:val="000000"/>
          <w:sz w:val="23"/>
          <w:szCs w:val="23"/>
          <w:highlight w:val="white"/>
        </w:rPr>
        <w:t> </w:t>
      </w:r>
    </w:p>
    <w:p w14:paraId="2B119EB3" w14:textId="77777777" w:rsidR="00E85A01" w:rsidRDefault="00E85A01">
      <w:pPr>
        <w:widowControl/>
        <w:rPr>
          <w:sz w:val="23"/>
          <w:szCs w:val="23"/>
        </w:rPr>
      </w:pPr>
    </w:p>
    <w:p w14:paraId="5E020993" w14:textId="77777777" w:rsidR="00E85A01" w:rsidRDefault="00382A84">
      <w:pPr>
        <w:widowControl/>
        <w:rPr>
          <w:sz w:val="23"/>
          <w:szCs w:val="23"/>
        </w:rPr>
      </w:pPr>
      <w:r>
        <w:rPr>
          <w:b/>
          <w:color w:val="000000"/>
          <w:sz w:val="23"/>
          <w:szCs w:val="23"/>
          <w:highlight w:val="white"/>
        </w:rPr>
        <w:t>Non-Retrogression</w:t>
      </w:r>
    </w:p>
    <w:p w14:paraId="0F36305C" w14:textId="77777777" w:rsidR="00E85A01" w:rsidRDefault="00E85A01">
      <w:pPr>
        <w:widowControl/>
        <w:rPr>
          <w:sz w:val="23"/>
          <w:szCs w:val="23"/>
        </w:rPr>
      </w:pPr>
    </w:p>
    <w:p w14:paraId="2CE9F8BD" w14:textId="77777777" w:rsidR="00E85A01" w:rsidRDefault="00382A84">
      <w:pPr>
        <w:widowControl/>
        <w:jc w:val="both"/>
        <w:rPr>
          <w:sz w:val="23"/>
          <w:szCs w:val="23"/>
        </w:rPr>
      </w:pPr>
      <w:r>
        <w:rPr>
          <w:color w:val="000000"/>
          <w:sz w:val="23"/>
          <w:szCs w:val="23"/>
          <w:highlight w:val="white"/>
        </w:rPr>
        <w:t>Beyond States’ obligations toward progressive realization of the above rights, there is a strong presumption against retrogression. As the Committee stated, within the context of the right to education: </w:t>
      </w:r>
    </w:p>
    <w:p w14:paraId="26F830CB" w14:textId="77777777" w:rsidR="00E85A01" w:rsidRDefault="00E85A01">
      <w:pPr>
        <w:widowControl/>
        <w:jc w:val="both"/>
        <w:rPr>
          <w:sz w:val="23"/>
          <w:szCs w:val="23"/>
        </w:rPr>
      </w:pPr>
    </w:p>
    <w:p w14:paraId="1A74B630" w14:textId="77777777" w:rsidR="00E85A01" w:rsidRDefault="00382A84">
      <w:pPr>
        <w:widowControl/>
        <w:ind w:left="720" w:right="720"/>
        <w:jc w:val="both"/>
        <w:rPr>
          <w:sz w:val="23"/>
          <w:szCs w:val="23"/>
        </w:rPr>
      </w:pPr>
      <w:r>
        <w:rPr>
          <w:color w:val="000000"/>
          <w:sz w:val="23"/>
          <w:szCs w:val="23"/>
          <w:highlight w:val="white"/>
        </w:rPr>
        <w:t>There is a strong presumption of impermissibility of any retrogressive measures taken in relation to the right to education, as well as other rights enunciated in the Covenant. If any deliberately retrogressive measures are taken, the State party has the burden of proving that they have been introduced after the most careful consideration of all alternatives and that they are fully justified by reference to the totality of the rights provided for in the Covenant and in the context of the full use of the State party’s maximum available resources.</w:t>
      </w:r>
      <w:r>
        <w:rPr>
          <w:color w:val="000000"/>
          <w:sz w:val="23"/>
          <w:szCs w:val="23"/>
          <w:highlight w:val="white"/>
          <w:vertAlign w:val="superscript"/>
        </w:rPr>
        <w:footnoteReference w:id="5"/>
      </w:r>
    </w:p>
    <w:p w14:paraId="0A7E0C22" w14:textId="77777777" w:rsidR="00E85A01" w:rsidRDefault="00E85A01">
      <w:pPr>
        <w:widowControl/>
        <w:jc w:val="both"/>
        <w:rPr>
          <w:sz w:val="23"/>
          <w:szCs w:val="23"/>
        </w:rPr>
      </w:pPr>
    </w:p>
    <w:p w14:paraId="20A42CC6" w14:textId="77777777" w:rsidR="00E85A01" w:rsidRDefault="00382A84">
      <w:pPr>
        <w:widowControl/>
        <w:jc w:val="both"/>
        <w:rPr>
          <w:sz w:val="23"/>
          <w:szCs w:val="23"/>
        </w:rPr>
      </w:pPr>
      <w:r>
        <w:rPr>
          <w:color w:val="000000"/>
          <w:sz w:val="23"/>
          <w:szCs w:val="23"/>
          <w:highlight w:val="white"/>
        </w:rPr>
        <w:t>In its recent general comment No. 25 on the right to the benefits of scientific progress, the Committee further elucidated the applicable standards: </w:t>
      </w:r>
    </w:p>
    <w:p w14:paraId="55567927" w14:textId="77777777" w:rsidR="00E85A01" w:rsidRDefault="00E85A01">
      <w:pPr>
        <w:widowControl/>
        <w:jc w:val="both"/>
        <w:rPr>
          <w:sz w:val="23"/>
          <w:szCs w:val="23"/>
        </w:rPr>
      </w:pPr>
    </w:p>
    <w:p w14:paraId="7172A31C" w14:textId="77777777" w:rsidR="00E85A01" w:rsidRDefault="00382A84">
      <w:pPr>
        <w:widowControl/>
        <w:ind w:left="720" w:right="720"/>
        <w:jc w:val="both"/>
        <w:rPr>
          <w:sz w:val="23"/>
          <w:szCs w:val="23"/>
        </w:rPr>
      </w:pPr>
      <w:r>
        <w:rPr>
          <w:color w:val="000000"/>
          <w:sz w:val="23"/>
          <w:szCs w:val="23"/>
          <w:highlight w:val="white"/>
        </w:rPr>
        <w:t xml:space="preserve">Examples of retrogressive measures include the removal of </w:t>
      </w:r>
      <w:proofErr w:type="spellStart"/>
      <w:r>
        <w:rPr>
          <w:color w:val="000000"/>
          <w:sz w:val="23"/>
          <w:szCs w:val="23"/>
          <w:highlight w:val="white"/>
        </w:rPr>
        <w:t>programmes</w:t>
      </w:r>
      <w:proofErr w:type="spellEnd"/>
      <w:r>
        <w:rPr>
          <w:color w:val="000000"/>
          <w:sz w:val="23"/>
          <w:szCs w:val="23"/>
          <w:highlight w:val="white"/>
        </w:rPr>
        <w:t xml:space="preserve"> or policies necessary for the conservation, the development and the diffusion of science; the imposition of barriers to education and information on science; the imposition of barriers to citizen participation in scientific activities, including misinformation intended to erode citizen understanding and respect for science and scientific research; and the adoption of legal and policy changes that reduce the extent of international collaboration on science. In the exceptional circumstances under which retrogressive measures may be inevitable, States must ensure that such measures are necessary and </w:t>
      </w:r>
      <w:r>
        <w:rPr>
          <w:color w:val="000000"/>
          <w:sz w:val="23"/>
          <w:szCs w:val="23"/>
          <w:highlight w:val="white"/>
        </w:rPr>
        <w:lastRenderedPageBreak/>
        <w:t>proportionate. The measures should remain in place only insofar as they are necessary; mitigate inequalities that can grow in times of crisis and ensure that the rights of disadvantaged and marginalized individuals and groups are not disproportionately affected; and guarantee the minimum core obligations.</w:t>
      </w:r>
      <w:r>
        <w:rPr>
          <w:color w:val="000000"/>
          <w:sz w:val="23"/>
          <w:szCs w:val="23"/>
          <w:highlight w:val="white"/>
          <w:vertAlign w:val="superscript"/>
        </w:rPr>
        <w:footnoteReference w:id="6"/>
      </w:r>
    </w:p>
    <w:p w14:paraId="55E8501F" w14:textId="77777777" w:rsidR="00E85A01" w:rsidRDefault="00382A84">
      <w:pPr>
        <w:widowControl/>
        <w:spacing w:after="240"/>
        <w:rPr>
          <w:b/>
          <w:sz w:val="23"/>
          <w:szCs w:val="23"/>
        </w:rPr>
      </w:pPr>
      <w:r>
        <w:rPr>
          <w:sz w:val="23"/>
          <w:szCs w:val="23"/>
        </w:rPr>
        <w:br/>
      </w:r>
      <w:r>
        <w:rPr>
          <w:b/>
          <w:color w:val="000000"/>
          <w:sz w:val="23"/>
          <w:szCs w:val="23"/>
        </w:rPr>
        <w:t xml:space="preserve">Academic Freedom in </w:t>
      </w:r>
      <w:r>
        <w:rPr>
          <w:b/>
          <w:sz w:val="23"/>
          <w:szCs w:val="23"/>
        </w:rPr>
        <w:t>China/Hong Kong</w:t>
      </w:r>
    </w:p>
    <w:p w14:paraId="4C56A547" w14:textId="77777777" w:rsidR="00E85A01" w:rsidRDefault="00382A84">
      <w:pPr>
        <w:widowControl/>
        <w:spacing w:after="240"/>
        <w:jc w:val="both"/>
        <w:rPr>
          <w:sz w:val="23"/>
          <w:szCs w:val="23"/>
        </w:rPr>
      </w:pPr>
      <w:r>
        <w:rPr>
          <w:sz w:val="23"/>
          <w:szCs w:val="23"/>
        </w:rPr>
        <w:t>In recent years, China has faced a top-down increase in ideological pressures that has profoundly impacted numerous aspects of academic life. Particularly since President Xi Jinping took power in 2013, these pressures have included broad restrictions on access to information, including through the internet, libraries, and publication imports; surveillance and monitoring of academic activity, sometimes leading to terminations and self-censorship; and detentions, prosecutions, and other coercive measures against higher education personnel, which both limit the scope of ideas and diminish the population of scholars on campus. A directive known as “Document Number Nine,” allegedly issued by the General Office of the CCP’s Central Committee and confidentially circulated to CCP cadres throughout the country, warned of seven topics that the CCP had banned within universities and other sectors. These reportedly included the promotion of Western constitutional democracy, universal values, civil society, neoliberalism, a free press, “historical nihilism,” and questioning China’s reforms and approach to socialism. CCP officials on university campuses as well as state security bureaus have frequently utilized student informants to monitor and report scholars and students who engage in disfavored expression. State efforts to make Mandarin the predominant language in education settings in China’s semi-autonomous minority regions, by limiting or restricting classroom instruction in local minority languages, has frustrated/limited access to quality higher education for members of those communities. Starting in 2017, so-called “reeducation” efforts targeting ethnic and religious minorities in China’s Xinjiang Uyghur Autonomous Region have reportedly resulted in more than one million individuals wrongfully detained or disappeared, including a growing number of prominent scholars, writers, public intellectuals, and university students, profoundly impacting higher education in the region overall.</w:t>
      </w:r>
    </w:p>
    <w:p w14:paraId="330F83D6" w14:textId="77777777" w:rsidR="00E85A01" w:rsidRDefault="00382A84">
      <w:pPr>
        <w:widowControl/>
        <w:spacing w:after="240"/>
        <w:jc w:val="both"/>
        <w:rPr>
          <w:sz w:val="23"/>
          <w:szCs w:val="23"/>
        </w:rPr>
      </w:pPr>
      <w:r>
        <w:rPr>
          <w:sz w:val="23"/>
          <w:szCs w:val="23"/>
        </w:rPr>
        <w:t xml:space="preserve">In the Hong Kong Special Administrative Region, concerns about Beijing’s increasing influence over government and civil society have extended to the region’s world-renowned universities. Since 2014, the chief executive within Hong Kong has taken an increasingly active role in appointing pro-CCP members of university councils, potentially ceding a significant portion of university governance to outside political interests. In numerous instances, university officials in Hong Kong have also used disciplinary measures, including investigations, refusals to confer degrees, demotions, suspensions, and dismissals, as a means of silencing expression critical of Beijing. </w:t>
      </w:r>
    </w:p>
    <w:p w14:paraId="754189EC" w14:textId="77777777" w:rsidR="00E85A01" w:rsidRDefault="00382A84">
      <w:pPr>
        <w:widowControl/>
        <w:jc w:val="both"/>
        <w:rPr>
          <w:color w:val="000000"/>
          <w:sz w:val="23"/>
          <w:szCs w:val="23"/>
          <w:highlight w:val="white"/>
        </w:rPr>
      </w:pPr>
      <w:r>
        <w:rPr>
          <w:color w:val="000000"/>
          <w:sz w:val="23"/>
          <w:szCs w:val="23"/>
        </w:rPr>
        <w:t>Collectively, the above pressures erode a number of rights and duties recognized by the Committee to be at the heart of Articles 13 and 15. These include the right of members of the higher education community “</w:t>
      </w:r>
      <w:r>
        <w:rPr>
          <w:color w:val="000000"/>
          <w:sz w:val="23"/>
          <w:szCs w:val="23"/>
          <w:highlight w:val="white"/>
        </w:rPr>
        <w:t>to fulfill their functions without discrimination or fear of repression by the State or any other actor”;</w:t>
      </w:r>
      <w:r>
        <w:rPr>
          <w:color w:val="000000"/>
          <w:sz w:val="23"/>
          <w:szCs w:val="23"/>
          <w:highlight w:val="white"/>
          <w:vertAlign w:val="superscript"/>
        </w:rPr>
        <w:footnoteReference w:id="7"/>
      </w:r>
      <w:r>
        <w:rPr>
          <w:color w:val="000000"/>
          <w:sz w:val="23"/>
          <w:szCs w:val="23"/>
          <w:highlight w:val="white"/>
        </w:rPr>
        <w:t xml:space="preserve"> a State’s duty to allocate appropriate budget resources to foster scientific research;</w:t>
      </w:r>
      <w:r>
        <w:rPr>
          <w:color w:val="000000"/>
          <w:sz w:val="23"/>
          <w:szCs w:val="23"/>
          <w:highlight w:val="white"/>
          <w:vertAlign w:val="superscript"/>
        </w:rPr>
        <w:footnoteReference w:id="8"/>
      </w:r>
      <w:r>
        <w:rPr>
          <w:color w:val="000000"/>
          <w:sz w:val="23"/>
          <w:szCs w:val="23"/>
          <w:highlight w:val="white"/>
        </w:rPr>
        <w:t xml:space="preserve"> freedom of association;</w:t>
      </w:r>
      <w:r>
        <w:rPr>
          <w:color w:val="000000"/>
          <w:sz w:val="23"/>
          <w:szCs w:val="23"/>
          <w:highlight w:val="white"/>
          <w:vertAlign w:val="superscript"/>
        </w:rPr>
        <w:footnoteReference w:id="9"/>
      </w:r>
      <w:r>
        <w:rPr>
          <w:color w:val="000000"/>
          <w:sz w:val="23"/>
          <w:szCs w:val="23"/>
          <w:highlight w:val="white"/>
        </w:rPr>
        <w:t xml:space="preserve"> and equitable access.</w:t>
      </w:r>
      <w:r>
        <w:rPr>
          <w:color w:val="000000"/>
          <w:sz w:val="23"/>
          <w:szCs w:val="23"/>
          <w:highlight w:val="white"/>
          <w:vertAlign w:val="superscript"/>
        </w:rPr>
        <w:footnoteReference w:id="10"/>
      </w:r>
      <w:r>
        <w:rPr>
          <w:color w:val="000000"/>
          <w:sz w:val="23"/>
          <w:szCs w:val="23"/>
          <w:highlight w:val="white"/>
        </w:rPr>
        <w:t xml:space="preserve"> Likewise,</w:t>
      </w:r>
      <w:r>
        <w:rPr>
          <w:sz w:val="23"/>
          <w:szCs w:val="23"/>
          <w:highlight w:val="white"/>
        </w:rPr>
        <w:t xml:space="preserve"> changes in policy or practices which erode </w:t>
      </w:r>
      <w:r>
        <w:rPr>
          <w:sz w:val="23"/>
          <w:szCs w:val="23"/>
          <w:highlight w:val="white"/>
        </w:rPr>
        <w:lastRenderedPageBreak/>
        <w:t xml:space="preserve">university autonomy and provide non-university, government actors (in Hong Kong or Beijing) with increased control over university governance </w:t>
      </w:r>
      <w:r>
        <w:rPr>
          <w:color w:val="000000"/>
          <w:sz w:val="23"/>
          <w:szCs w:val="23"/>
          <w:highlight w:val="white"/>
        </w:rPr>
        <w:t xml:space="preserve">likely constitutes a retrogression of the State’s obligations under Articles 13 and 15. </w:t>
      </w:r>
    </w:p>
    <w:p w14:paraId="6E551320" w14:textId="77777777" w:rsidR="00E85A01" w:rsidRDefault="00382A84">
      <w:pPr>
        <w:widowControl/>
        <w:jc w:val="both"/>
        <w:rPr>
          <w:sz w:val="23"/>
          <w:szCs w:val="23"/>
        </w:rPr>
      </w:pPr>
      <w:r>
        <w:rPr>
          <w:color w:val="000000"/>
          <w:sz w:val="23"/>
          <w:szCs w:val="23"/>
          <w:highlight w:val="white"/>
        </w:rPr>
        <w:t> </w:t>
      </w:r>
    </w:p>
    <w:p w14:paraId="50CB9E25" w14:textId="77777777" w:rsidR="00E85A01" w:rsidRDefault="00382A84">
      <w:pPr>
        <w:widowControl/>
        <w:jc w:val="both"/>
        <w:rPr>
          <w:sz w:val="23"/>
          <w:szCs w:val="23"/>
        </w:rPr>
      </w:pPr>
      <w:r>
        <w:rPr>
          <w:color w:val="000000"/>
          <w:sz w:val="23"/>
          <w:szCs w:val="23"/>
        </w:rPr>
        <w:t>The combination of these pressu</w:t>
      </w:r>
      <w:r>
        <w:rPr>
          <w:sz w:val="23"/>
          <w:szCs w:val="23"/>
        </w:rPr>
        <w:t>res raises grave concerns about anti-democratic policies and trends impacting scholars, students, and higher education spaces throughout China and Hong Kong,</w:t>
      </w:r>
      <w:r>
        <w:rPr>
          <w:color w:val="000000"/>
          <w:sz w:val="23"/>
          <w:szCs w:val="23"/>
        </w:rPr>
        <w:t>  </w:t>
      </w:r>
    </w:p>
    <w:p w14:paraId="2E7EE475" w14:textId="77777777" w:rsidR="00E85A01" w:rsidRDefault="00E85A01">
      <w:pPr>
        <w:widowControl/>
        <w:rPr>
          <w:sz w:val="23"/>
          <w:szCs w:val="23"/>
        </w:rPr>
      </w:pPr>
    </w:p>
    <w:p w14:paraId="550F2F60" w14:textId="77777777" w:rsidR="00E85A01" w:rsidRDefault="00382A84">
      <w:pPr>
        <w:widowControl/>
        <w:jc w:val="both"/>
        <w:rPr>
          <w:color w:val="000000"/>
          <w:sz w:val="23"/>
          <w:szCs w:val="23"/>
        </w:rPr>
      </w:pPr>
      <w:r>
        <w:rPr>
          <w:color w:val="000000"/>
          <w:sz w:val="23"/>
          <w:szCs w:val="23"/>
        </w:rPr>
        <w:t>Additional information on these concerns is included in the following appendices:</w:t>
      </w:r>
    </w:p>
    <w:p w14:paraId="42994BAB" w14:textId="77777777" w:rsidR="00E85A01" w:rsidRDefault="00E85A01">
      <w:pPr>
        <w:widowControl/>
        <w:jc w:val="both"/>
        <w:rPr>
          <w:color w:val="000000"/>
          <w:sz w:val="23"/>
          <w:szCs w:val="23"/>
        </w:rPr>
      </w:pPr>
    </w:p>
    <w:p w14:paraId="7839C20B" w14:textId="77777777" w:rsidR="005A27BC" w:rsidRDefault="00382A84" w:rsidP="005A27BC">
      <w:pPr>
        <w:widowControl/>
        <w:numPr>
          <w:ilvl w:val="0"/>
          <w:numId w:val="1"/>
        </w:numPr>
        <w:ind w:right="720"/>
        <w:jc w:val="both"/>
        <w:rPr>
          <w:color w:val="000000"/>
        </w:rPr>
      </w:pPr>
      <w:r>
        <w:rPr>
          <w:b/>
          <w:color w:val="000000"/>
          <w:sz w:val="23"/>
          <w:szCs w:val="23"/>
        </w:rPr>
        <w:t>Appendix 1: </w:t>
      </w:r>
      <w:r>
        <w:rPr>
          <w:b/>
          <w:i/>
          <w:color w:val="000000"/>
          <w:sz w:val="23"/>
          <w:szCs w:val="23"/>
        </w:rPr>
        <w:t xml:space="preserve">Obstacles to Excellence: Academic Freedom </w:t>
      </w:r>
      <w:r>
        <w:rPr>
          <w:b/>
          <w:i/>
          <w:sz w:val="23"/>
          <w:szCs w:val="23"/>
        </w:rPr>
        <w:t xml:space="preserve">&amp; China’s Quest for World-Class Universities </w:t>
      </w:r>
      <w:r>
        <w:rPr>
          <w:sz w:val="23"/>
          <w:szCs w:val="23"/>
        </w:rPr>
        <w:t>(discussing in detail China’s higher education system and threats to academic freedom within China overall, in China’s minority regions in particular, and in Hong Kong and Macau).</w:t>
      </w:r>
    </w:p>
    <w:p w14:paraId="0DF8B824" w14:textId="5AD621FF" w:rsidR="00E85A01" w:rsidRPr="005A27BC" w:rsidRDefault="00E85A01" w:rsidP="005A27BC">
      <w:pPr>
        <w:widowControl/>
        <w:ind w:left="720" w:right="720"/>
        <w:jc w:val="both"/>
        <w:rPr>
          <w:color w:val="000000"/>
        </w:rPr>
      </w:pPr>
    </w:p>
    <w:p w14:paraId="19BCE877" w14:textId="77777777" w:rsidR="00E85A01" w:rsidRDefault="00382A84">
      <w:pPr>
        <w:widowControl/>
        <w:numPr>
          <w:ilvl w:val="0"/>
          <w:numId w:val="1"/>
        </w:numPr>
        <w:ind w:right="720"/>
        <w:jc w:val="both"/>
        <w:rPr>
          <w:color w:val="000000"/>
        </w:rPr>
      </w:pPr>
      <w:r>
        <w:rPr>
          <w:b/>
          <w:color w:val="000000"/>
          <w:sz w:val="23"/>
          <w:szCs w:val="23"/>
        </w:rPr>
        <w:t xml:space="preserve">Appendix 2: SAR </w:t>
      </w:r>
      <w:r>
        <w:rPr>
          <w:b/>
          <w:i/>
          <w:color w:val="000000"/>
          <w:sz w:val="23"/>
          <w:szCs w:val="23"/>
        </w:rPr>
        <w:t>Free to Think 2020</w:t>
      </w:r>
      <w:r>
        <w:rPr>
          <w:b/>
          <w:color w:val="000000"/>
          <w:sz w:val="23"/>
          <w:szCs w:val="23"/>
        </w:rPr>
        <w:t xml:space="preserve"> report (excerpt):</w:t>
      </w:r>
      <w:r>
        <w:rPr>
          <w:color w:val="000000"/>
          <w:sz w:val="23"/>
          <w:szCs w:val="23"/>
        </w:rPr>
        <w:t xml:space="preserve"> </w:t>
      </w:r>
      <w:r>
        <w:rPr>
          <w:sz w:val="23"/>
          <w:szCs w:val="23"/>
        </w:rPr>
        <w:t>Academic Freedom Repression Under China’s Central Government</w:t>
      </w:r>
      <w:r>
        <w:rPr>
          <w:color w:val="000000"/>
          <w:sz w:val="23"/>
          <w:szCs w:val="23"/>
        </w:rPr>
        <w:t xml:space="preserve"> (discussing </w:t>
      </w:r>
      <w:r>
        <w:rPr>
          <w:sz w:val="23"/>
          <w:szCs w:val="23"/>
        </w:rPr>
        <w:t>attacks on academic freedom in China and Hong Kong and Macau from September 1, 2019-August 1, 2020)</w:t>
      </w:r>
      <w:r>
        <w:rPr>
          <w:color w:val="000000"/>
          <w:sz w:val="23"/>
          <w:szCs w:val="23"/>
        </w:rPr>
        <w:t>.</w:t>
      </w:r>
      <w:r>
        <w:rPr>
          <w:color w:val="000000"/>
          <w:sz w:val="23"/>
          <w:szCs w:val="23"/>
        </w:rPr>
        <w:br/>
      </w:r>
    </w:p>
    <w:p w14:paraId="7F2ED739" w14:textId="77777777" w:rsidR="00E85A01" w:rsidRDefault="00382A84">
      <w:pPr>
        <w:widowControl/>
        <w:numPr>
          <w:ilvl w:val="0"/>
          <w:numId w:val="1"/>
        </w:numPr>
        <w:ind w:right="720"/>
        <w:jc w:val="both"/>
        <w:rPr>
          <w:b/>
          <w:sz w:val="23"/>
          <w:szCs w:val="23"/>
        </w:rPr>
      </w:pPr>
      <w:r>
        <w:rPr>
          <w:b/>
          <w:sz w:val="23"/>
          <w:szCs w:val="23"/>
        </w:rPr>
        <w:t xml:space="preserve">Appendix 3: SAR </w:t>
      </w:r>
      <w:r>
        <w:rPr>
          <w:b/>
          <w:i/>
          <w:sz w:val="23"/>
          <w:szCs w:val="23"/>
        </w:rPr>
        <w:t xml:space="preserve">Free to Think 2019 </w:t>
      </w:r>
      <w:r>
        <w:rPr>
          <w:b/>
          <w:sz w:val="23"/>
          <w:szCs w:val="23"/>
        </w:rPr>
        <w:t>report (excerpt):</w:t>
      </w:r>
      <w:r>
        <w:rPr>
          <w:sz w:val="23"/>
          <w:szCs w:val="23"/>
        </w:rPr>
        <w:t xml:space="preserve"> Threats to Academic Freedom in China (discussing attacks on academic freedom in China and Hong Kong, September 1, 2018-August 31, 2019). </w:t>
      </w:r>
    </w:p>
    <w:p w14:paraId="4303962D" w14:textId="77777777" w:rsidR="00E85A01" w:rsidRDefault="00E85A01">
      <w:pPr>
        <w:widowControl/>
        <w:ind w:left="720" w:right="720"/>
        <w:jc w:val="both"/>
        <w:rPr>
          <w:b/>
          <w:sz w:val="23"/>
          <w:szCs w:val="23"/>
        </w:rPr>
      </w:pPr>
    </w:p>
    <w:p w14:paraId="7BA5088C" w14:textId="77777777" w:rsidR="00E85A01" w:rsidRDefault="00382A84">
      <w:pPr>
        <w:widowControl/>
        <w:numPr>
          <w:ilvl w:val="0"/>
          <w:numId w:val="1"/>
        </w:numPr>
        <w:ind w:right="720"/>
        <w:jc w:val="both"/>
        <w:rPr>
          <w:b/>
          <w:sz w:val="23"/>
          <w:szCs w:val="23"/>
        </w:rPr>
      </w:pPr>
      <w:r>
        <w:rPr>
          <w:b/>
          <w:sz w:val="23"/>
          <w:szCs w:val="23"/>
        </w:rPr>
        <w:t xml:space="preserve">Appendix 4: SAR </w:t>
      </w:r>
      <w:r>
        <w:rPr>
          <w:b/>
          <w:i/>
          <w:sz w:val="23"/>
          <w:szCs w:val="23"/>
        </w:rPr>
        <w:t xml:space="preserve">Free to Think 2018 </w:t>
      </w:r>
      <w:r>
        <w:rPr>
          <w:b/>
          <w:sz w:val="23"/>
          <w:szCs w:val="23"/>
        </w:rPr>
        <w:t xml:space="preserve">report (excerpt): </w:t>
      </w:r>
      <w:r>
        <w:rPr>
          <w:sz w:val="23"/>
          <w:szCs w:val="23"/>
        </w:rPr>
        <w:t>Detention of Uyghur Scholars &amp; Students in China (discussing issue of detentions of students and scholars in Xinjiang, September 1, 2017-August 31, 2018).</w:t>
      </w:r>
    </w:p>
    <w:p w14:paraId="0545D8A7" w14:textId="77777777" w:rsidR="00E85A01" w:rsidRDefault="00E85A01">
      <w:pPr>
        <w:widowControl/>
        <w:jc w:val="both"/>
        <w:rPr>
          <w:sz w:val="23"/>
          <w:szCs w:val="23"/>
        </w:rPr>
      </w:pPr>
    </w:p>
    <w:p w14:paraId="63952075" w14:textId="77777777" w:rsidR="00E85A01" w:rsidRDefault="00382A84">
      <w:pPr>
        <w:widowControl/>
        <w:numPr>
          <w:ilvl w:val="0"/>
          <w:numId w:val="1"/>
        </w:numPr>
        <w:ind w:right="720"/>
        <w:jc w:val="both"/>
        <w:rPr>
          <w:color w:val="000000"/>
        </w:rPr>
      </w:pPr>
      <w:r>
        <w:rPr>
          <w:b/>
          <w:color w:val="000000"/>
          <w:sz w:val="23"/>
          <w:szCs w:val="23"/>
        </w:rPr>
        <w:t xml:space="preserve">Appendix </w:t>
      </w:r>
      <w:r>
        <w:rPr>
          <w:b/>
          <w:sz w:val="23"/>
          <w:szCs w:val="23"/>
        </w:rPr>
        <w:t>5</w:t>
      </w:r>
      <w:r>
        <w:rPr>
          <w:b/>
          <w:color w:val="000000"/>
          <w:sz w:val="23"/>
          <w:szCs w:val="23"/>
        </w:rPr>
        <w:t>: Global Public Policy Institute (</w:t>
      </w:r>
      <w:proofErr w:type="spellStart"/>
      <w:r>
        <w:rPr>
          <w:b/>
          <w:color w:val="000000"/>
          <w:sz w:val="23"/>
          <w:szCs w:val="23"/>
        </w:rPr>
        <w:t>GPPi</w:t>
      </w:r>
      <w:proofErr w:type="spellEnd"/>
      <w:r>
        <w:rPr>
          <w:b/>
          <w:color w:val="000000"/>
          <w:sz w:val="23"/>
          <w:szCs w:val="23"/>
        </w:rPr>
        <w:t xml:space="preserve">) Academic Freedom Index data on </w:t>
      </w:r>
      <w:r>
        <w:rPr>
          <w:b/>
          <w:sz w:val="23"/>
          <w:szCs w:val="23"/>
        </w:rPr>
        <w:t>China</w:t>
      </w:r>
      <w:r>
        <w:rPr>
          <w:b/>
          <w:color w:val="000000"/>
          <w:sz w:val="23"/>
          <w:szCs w:val="23"/>
        </w:rPr>
        <w:t xml:space="preserve"> </w:t>
      </w:r>
      <w:r>
        <w:rPr>
          <w:color w:val="000000"/>
          <w:sz w:val="23"/>
          <w:szCs w:val="23"/>
        </w:rPr>
        <w:t>(showing declines in academic freedom</w:t>
      </w:r>
      <w:r>
        <w:rPr>
          <w:sz w:val="23"/>
          <w:szCs w:val="23"/>
        </w:rPr>
        <w:t xml:space="preserve"> across several </w:t>
      </w:r>
      <w:r>
        <w:rPr>
          <w:color w:val="000000"/>
          <w:sz w:val="23"/>
          <w:szCs w:val="23"/>
        </w:rPr>
        <w:t xml:space="preserve">metrics beginning in </w:t>
      </w:r>
      <w:r>
        <w:rPr>
          <w:sz w:val="23"/>
          <w:szCs w:val="23"/>
        </w:rPr>
        <w:t>since 2000, with particular declines since 2010</w:t>
      </w:r>
      <w:r>
        <w:rPr>
          <w:color w:val="000000"/>
          <w:sz w:val="23"/>
          <w:szCs w:val="23"/>
        </w:rPr>
        <w:t>). </w:t>
      </w:r>
    </w:p>
    <w:p w14:paraId="6B0B25A2" w14:textId="77777777" w:rsidR="00E85A01" w:rsidRDefault="00E85A01">
      <w:pPr>
        <w:widowControl/>
        <w:jc w:val="both"/>
        <w:rPr>
          <w:sz w:val="23"/>
          <w:szCs w:val="23"/>
        </w:rPr>
      </w:pPr>
    </w:p>
    <w:p w14:paraId="25AF9EBB" w14:textId="77777777" w:rsidR="00E85A01" w:rsidRDefault="00382A84">
      <w:pPr>
        <w:widowControl/>
        <w:numPr>
          <w:ilvl w:val="0"/>
          <w:numId w:val="1"/>
        </w:numPr>
        <w:ind w:right="720"/>
        <w:jc w:val="both"/>
        <w:rPr>
          <w:color w:val="000000"/>
        </w:rPr>
      </w:pPr>
      <w:r>
        <w:rPr>
          <w:b/>
          <w:color w:val="000000"/>
          <w:sz w:val="23"/>
          <w:szCs w:val="23"/>
        </w:rPr>
        <w:t xml:space="preserve">Appendix </w:t>
      </w:r>
      <w:r>
        <w:rPr>
          <w:b/>
          <w:sz w:val="23"/>
          <w:szCs w:val="23"/>
        </w:rPr>
        <w:t>6</w:t>
      </w:r>
      <w:r>
        <w:rPr>
          <w:b/>
          <w:color w:val="000000"/>
          <w:sz w:val="23"/>
          <w:szCs w:val="23"/>
        </w:rPr>
        <w:t>: </w:t>
      </w:r>
      <w:proofErr w:type="spellStart"/>
      <w:r>
        <w:rPr>
          <w:b/>
          <w:color w:val="000000"/>
          <w:sz w:val="23"/>
          <w:szCs w:val="23"/>
        </w:rPr>
        <w:t>GPPi</w:t>
      </w:r>
      <w:proofErr w:type="spellEnd"/>
      <w:r>
        <w:rPr>
          <w:b/>
          <w:color w:val="000000"/>
          <w:sz w:val="23"/>
          <w:szCs w:val="23"/>
        </w:rPr>
        <w:t xml:space="preserve"> </w:t>
      </w:r>
      <w:r>
        <w:rPr>
          <w:b/>
          <w:sz w:val="23"/>
          <w:szCs w:val="23"/>
        </w:rPr>
        <w:t xml:space="preserve">Academic Freedom Index data on Hong Kong </w:t>
      </w:r>
      <w:r>
        <w:rPr>
          <w:sz w:val="23"/>
          <w:szCs w:val="23"/>
        </w:rPr>
        <w:t>(showing declines in academic freedom across several metrics since 2000)</w:t>
      </w:r>
      <w:r>
        <w:rPr>
          <w:color w:val="000000"/>
          <w:sz w:val="23"/>
          <w:szCs w:val="23"/>
        </w:rPr>
        <w:t>.</w:t>
      </w:r>
    </w:p>
    <w:p w14:paraId="5D692E8B" w14:textId="77777777" w:rsidR="00E85A01" w:rsidRDefault="00E85A01">
      <w:pPr>
        <w:widowControl/>
        <w:ind w:right="720"/>
        <w:jc w:val="both"/>
        <w:rPr>
          <w:sz w:val="23"/>
          <w:szCs w:val="23"/>
        </w:rPr>
      </w:pPr>
    </w:p>
    <w:p w14:paraId="272B76B2" w14:textId="77777777" w:rsidR="00E85A01" w:rsidRDefault="00382A84">
      <w:pPr>
        <w:widowControl/>
        <w:ind w:right="720"/>
        <w:jc w:val="both"/>
        <w:rPr>
          <w:b/>
          <w:sz w:val="23"/>
          <w:szCs w:val="23"/>
        </w:rPr>
      </w:pPr>
      <w:r>
        <w:rPr>
          <w:b/>
          <w:sz w:val="23"/>
          <w:szCs w:val="23"/>
        </w:rPr>
        <w:t>Conclusion</w:t>
      </w:r>
    </w:p>
    <w:p w14:paraId="4975493B" w14:textId="77777777" w:rsidR="00E85A01" w:rsidRDefault="00E85A01">
      <w:pPr>
        <w:widowControl/>
        <w:jc w:val="both"/>
        <w:rPr>
          <w:sz w:val="23"/>
          <w:szCs w:val="23"/>
        </w:rPr>
      </w:pPr>
    </w:p>
    <w:p w14:paraId="3387299C" w14:textId="77777777" w:rsidR="00E85A01" w:rsidRDefault="00382A84">
      <w:pPr>
        <w:widowControl/>
        <w:jc w:val="both"/>
        <w:rPr>
          <w:sz w:val="23"/>
          <w:szCs w:val="23"/>
        </w:rPr>
      </w:pPr>
      <w:r>
        <w:rPr>
          <w:color w:val="000000"/>
          <w:sz w:val="23"/>
          <w:szCs w:val="23"/>
        </w:rPr>
        <w:t>Based on the information above and in the appendices, SAR respectfully asks the Committee to:</w:t>
      </w:r>
      <w:r>
        <w:rPr>
          <w:color w:val="000000"/>
          <w:sz w:val="23"/>
          <w:szCs w:val="23"/>
        </w:rPr>
        <w:br/>
      </w:r>
    </w:p>
    <w:p w14:paraId="1963492B" w14:textId="77777777" w:rsidR="005A27BC" w:rsidRPr="005A27BC" w:rsidRDefault="00382A84">
      <w:pPr>
        <w:widowControl/>
        <w:numPr>
          <w:ilvl w:val="0"/>
          <w:numId w:val="2"/>
        </w:numPr>
        <w:jc w:val="both"/>
        <w:rPr>
          <w:color w:val="000000"/>
        </w:rPr>
      </w:pPr>
      <w:r>
        <w:rPr>
          <w:color w:val="000000"/>
          <w:sz w:val="23"/>
          <w:szCs w:val="23"/>
        </w:rPr>
        <w:t xml:space="preserve">Raise concerns about academic freedom issues in </w:t>
      </w:r>
      <w:r>
        <w:rPr>
          <w:sz w:val="23"/>
          <w:szCs w:val="23"/>
        </w:rPr>
        <w:t>China</w:t>
      </w:r>
      <w:r>
        <w:rPr>
          <w:color w:val="000000"/>
          <w:sz w:val="23"/>
          <w:szCs w:val="23"/>
        </w:rPr>
        <w:t xml:space="preserve"> with State party representatives, including in particular concerns about:</w:t>
      </w:r>
    </w:p>
    <w:p w14:paraId="635422F5" w14:textId="10FAA35B" w:rsidR="00E85A01" w:rsidRDefault="00E85A01" w:rsidP="005A27BC">
      <w:pPr>
        <w:widowControl/>
        <w:ind w:left="720"/>
        <w:jc w:val="both"/>
        <w:rPr>
          <w:color w:val="000000"/>
        </w:rPr>
      </w:pPr>
    </w:p>
    <w:p w14:paraId="2DCDF050" w14:textId="77777777" w:rsidR="00E85A01" w:rsidRDefault="00382A84">
      <w:pPr>
        <w:widowControl/>
        <w:numPr>
          <w:ilvl w:val="1"/>
          <w:numId w:val="2"/>
        </w:numPr>
        <w:ind w:right="720"/>
        <w:jc w:val="both"/>
        <w:rPr>
          <w:color w:val="000000"/>
        </w:rPr>
      </w:pPr>
      <w:r>
        <w:rPr>
          <w:sz w:val="23"/>
          <w:szCs w:val="23"/>
        </w:rPr>
        <w:t>So-called “re-education” efforts targeting ethnic and religious minorities in China’s Xinjiang Uyghur Autonomous Region, including detentions and disappearances, and their profound impact on higher education;</w:t>
      </w:r>
    </w:p>
    <w:p w14:paraId="508908B3" w14:textId="77777777" w:rsidR="00E85A01" w:rsidRDefault="00E85A01">
      <w:pPr>
        <w:widowControl/>
        <w:ind w:left="1440" w:right="720"/>
        <w:jc w:val="both"/>
        <w:rPr>
          <w:sz w:val="23"/>
          <w:szCs w:val="23"/>
        </w:rPr>
      </w:pPr>
    </w:p>
    <w:p w14:paraId="341F9A7D" w14:textId="77777777" w:rsidR="00E85A01" w:rsidRDefault="00382A84">
      <w:pPr>
        <w:widowControl/>
        <w:numPr>
          <w:ilvl w:val="1"/>
          <w:numId w:val="2"/>
        </w:numPr>
        <w:ind w:right="720"/>
        <w:jc w:val="both"/>
        <w:rPr>
          <w:color w:val="000000"/>
        </w:rPr>
      </w:pPr>
      <w:r>
        <w:rPr>
          <w:sz w:val="23"/>
          <w:szCs w:val="23"/>
        </w:rPr>
        <w:t>Restrictions on access to information and government censorship of particular ideas or subject areas;</w:t>
      </w:r>
    </w:p>
    <w:p w14:paraId="3B76709F" w14:textId="77777777" w:rsidR="00E85A01" w:rsidRDefault="00E85A01">
      <w:pPr>
        <w:widowControl/>
        <w:ind w:left="1440" w:right="720"/>
        <w:jc w:val="both"/>
        <w:rPr>
          <w:color w:val="000000"/>
          <w:sz w:val="23"/>
          <w:szCs w:val="23"/>
        </w:rPr>
      </w:pPr>
    </w:p>
    <w:p w14:paraId="5B1E5557" w14:textId="77777777" w:rsidR="005A27BC" w:rsidRPr="005A27BC" w:rsidRDefault="00382A84">
      <w:pPr>
        <w:widowControl/>
        <w:numPr>
          <w:ilvl w:val="1"/>
          <w:numId w:val="2"/>
        </w:numPr>
        <w:ind w:right="720"/>
        <w:jc w:val="both"/>
        <w:rPr>
          <w:color w:val="000000"/>
        </w:rPr>
      </w:pPr>
      <w:r>
        <w:rPr>
          <w:sz w:val="23"/>
          <w:szCs w:val="23"/>
        </w:rPr>
        <w:t>Monitoring and surveillance by state authorities or others of academic activity, including classroom discussions and research;</w:t>
      </w:r>
    </w:p>
    <w:p w14:paraId="35BCE3EA" w14:textId="77777777" w:rsidR="005A27BC" w:rsidRDefault="005A27BC" w:rsidP="005A27BC">
      <w:pPr>
        <w:pStyle w:val="ListParagraph"/>
        <w:rPr>
          <w:sz w:val="23"/>
          <w:szCs w:val="23"/>
        </w:rPr>
      </w:pPr>
    </w:p>
    <w:p w14:paraId="196E1325" w14:textId="77777777" w:rsidR="00E85A01" w:rsidRDefault="00382A84">
      <w:pPr>
        <w:widowControl/>
        <w:numPr>
          <w:ilvl w:val="1"/>
          <w:numId w:val="2"/>
        </w:numPr>
        <w:ind w:right="720"/>
        <w:jc w:val="both"/>
        <w:rPr>
          <w:color w:val="000000"/>
        </w:rPr>
      </w:pPr>
      <w:r>
        <w:rPr>
          <w:sz w:val="23"/>
          <w:szCs w:val="23"/>
        </w:rPr>
        <w:t xml:space="preserve">Policies limiting classroom instruction to Mandarin in China’s semi-autonomous minority regions, thus undermining access to quality higher education for members of minority language-speaking communities; </w:t>
      </w:r>
      <w:r>
        <w:rPr>
          <w:sz w:val="23"/>
          <w:szCs w:val="23"/>
        </w:rPr>
        <w:br/>
      </w:r>
    </w:p>
    <w:p w14:paraId="077FB6FE" w14:textId="77777777" w:rsidR="005A27BC" w:rsidRPr="005A27BC" w:rsidRDefault="00382A84">
      <w:pPr>
        <w:widowControl/>
        <w:numPr>
          <w:ilvl w:val="1"/>
          <w:numId w:val="2"/>
        </w:numPr>
        <w:ind w:right="720"/>
        <w:jc w:val="both"/>
        <w:rPr>
          <w:color w:val="000000"/>
        </w:rPr>
      </w:pPr>
      <w:r>
        <w:rPr>
          <w:sz w:val="23"/>
          <w:szCs w:val="23"/>
        </w:rPr>
        <w:t>In Hong Kong, the erosion of university autonomy, together with an apparent spike in increase in punishments for academic and related expression critical of Beijing.</w:t>
      </w:r>
    </w:p>
    <w:p w14:paraId="2EE1429E" w14:textId="7CA34F3F" w:rsidR="00E85A01" w:rsidRDefault="00E85A01" w:rsidP="005A27BC">
      <w:pPr>
        <w:widowControl/>
        <w:ind w:left="1440" w:right="720"/>
        <w:jc w:val="both"/>
        <w:rPr>
          <w:color w:val="000000"/>
        </w:rPr>
      </w:pPr>
    </w:p>
    <w:p w14:paraId="12C56884" w14:textId="77777777" w:rsidR="00E85A01" w:rsidRDefault="00382A84">
      <w:pPr>
        <w:widowControl/>
        <w:numPr>
          <w:ilvl w:val="0"/>
          <w:numId w:val="3"/>
        </w:numPr>
        <w:ind w:right="720"/>
        <w:jc w:val="both"/>
        <w:rPr>
          <w:color w:val="000000"/>
        </w:rPr>
      </w:pPr>
      <w:r>
        <w:rPr>
          <w:color w:val="000000"/>
          <w:sz w:val="23"/>
          <w:szCs w:val="23"/>
        </w:rPr>
        <w:t>Make appropriate recommendations to the State party representative to increase protection and respect for academic freedom, including in particular by:</w:t>
      </w:r>
    </w:p>
    <w:p w14:paraId="3A473D83" w14:textId="77777777" w:rsidR="00E85A01" w:rsidRDefault="00E85A01">
      <w:pPr>
        <w:widowControl/>
        <w:ind w:left="720"/>
        <w:jc w:val="both"/>
        <w:rPr>
          <w:rFonts w:ascii="Noto Sans Symbols" w:eastAsia="Noto Sans Symbols" w:hAnsi="Noto Sans Symbols" w:cs="Noto Sans Symbols"/>
          <w:color w:val="000000"/>
          <w:sz w:val="23"/>
          <w:szCs w:val="23"/>
        </w:rPr>
      </w:pPr>
    </w:p>
    <w:p w14:paraId="23C32C8A" w14:textId="77777777" w:rsidR="005A27BC" w:rsidRPr="005A27BC" w:rsidRDefault="00382A84">
      <w:pPr>
        <w:widowControl/>
        <w:numPr>
          <w:ilvl w:val="1"/>
          <w:numId w:val="2"/>
        </w:numPr>
        <w:ind w:right="720"/>
        <w:jc w:val="both"/>
        <w:rPr>
          <w:color w:val="000000"/>
        </w:rPr>
      </w:pPr>
      <w:r>
        <w:rPr>
          <w:sz w:val="23"/>
          <w:szCs w:val="23"/>
        </w:rPr>
        <w:t>Securing the immediate release of scholars and students wrongfully imprisoned in connection to their academic activity, opinions, associations, or ethnic or religious identity, and, pending this, disclosing the location of all detainees and uphold national and international legal obligations related to due process and the humane treatment of prisoners;</w:t>
      </w:r>
    </w:p>
    <w:p w14:paraId="5A0F8ED9" w14:textId="11906315" w:rsidR="00E85A01" w:rsidRDefault="00E85A01" w:rsidP="005A27BC">
      <w:pPr>
        <w:widowControl/>
        <w:ind w:left="1440" w:right="720"/>
        <w:jc w:val="both"/>
        <w:rPr>
          <w:color w:val="000000"/>
        </w:rPr>
      </w:pPr>
    </w:p>
    <w:p w14:paraId="21E806E1" w14:textId="77777777" w:rsidR="00E85A01" w:rsidRDefault="00382A84">
      <w:pPr>
        <w:widowControl/>
        <w:numPr>
          <w:ilvl w:val="1"/>
          <w:numId w:val="2"/>
        </w:numPr>
        <w:ind w:right="720"/>
        <w:jc w:val="both"/>
        <w:rPr>
          <w:color w:val="000000"/>
        </w:rPr>
      </w:pPr>
      <w:r>
        <w:rPr>
          <w:sz w:val="23"/>
          <w:szCs w:val="23"/>
        </w:rPr>
        <w:t xml:space="preserve">Refraining from so-called “reeducation” efforts, pressures on universities to carry out disciplinary measures, and other actions that restrict academic freedom, and the related rights to education and the benefits of science; </w:t>
      </w:r>
      <w:r>
        <w:rPr>
          <w:sz w:val="23"/>
          <w:szCs w:val="23"/>
        </w:rPr>
        <w:br/>
      </w:r>
    </w:p>
    <w:p w14:paraId="0AC26A61" w14:textId="77777777" w:rsidR="005A27BC" w:rsidRPr="005A27BC" w:rsidRDefault="00382A84">
      <w:pPr>
        <w:widowControl/>
        <w:numPr>
          <w:ilvl w:val="1"/>
          <w:numId w:val="2"/>
        </w:numPr>
        <w:ind w:right="720"/>
        <w:jc w:val="both"/>
        <w:rPr>
          <w:color w:val="000000"/>
        </w:rPr>
      </w:pPr>
      <w:r>
        <w:rPr>
          <w:sz w:val="23"/>
          <w:szCs w:val="23"/>
        </w:rPr>
        <w:t>Ending policies which restrict access to information, or result in censorship of specific ideas or subject areas;</w:t>
      </w:r>
    </w:p>
    <w:p w14:paraId="5D5CBCBB" w14:textId="123DA8BD" w:rsidR="00E85A01" w:rsidRDefault="00E85A01" w:rsidP="005A27BC">
      <w:pPr>
        <w:widowControl/>
        <w:ind w:left="1440" w:right="720"/>
        <w:jc w:val="both"/>
        <w:rPr>
          <w:color w:val="000000"/>
        </w:rPr>
      </w:pPr>
    </w:p>
    <w:p w14:paraId="1664FD55" w14:textId="42E69526" w:rsidR="005A27BC" w:rsidRPr="005A27BC" w:rsidRDefault="00382A84" w:rsidP="005A27BC">
      <w:pPr>
        <w:widowControl/>
        <w:numPr>
          <w:ilvl w:val="1"/>
          <w:numId w:val="2"/>
        </w:numPr>
        <w:ind w:right="720"/>
        <w:jc w:val="both"/>
        <w:rPr>
          <w:sz w:val="23"/>
          <w:szCs w:val="23"/>
        </w:rPr>
      </w:pPr>
      <w:r>
        <w:rPr>
          <w:sz w:val="23"/>
          <w:szCs w:val="23"/>
        </w:rPr>
        <w:t>Ending the practice of monitoring and surveillance of academic activity, including classroom discussions and research;</w:t>
      </w:r>
    </w:p>
    <w:p w14:paraId="49C1275A" w14:textId="1FBB78DD" w:rsidR="00E85A01" w:rsidRDefault="00E85A01" w:rsidP="005A27BC">
      <w:pPr>
        <w:widowControl/>
        <w:ind w:left="1440" w:right="720"/>
        <w:jc w:val="both"/>
        <w:rPr>
          <w:sz w:val="23"/>
          <w:szCs w:val="23"/>
        </w:rPr>
      </w:pPr>
    </w:p>
    <w:p w14:paraId="120F843C" w14:textId="77777777" w:rsidR="00E85A01" w:rsidRDefault="00382A84">
      <w:pPr>
        <w:widowControl/>
        <w:numPr>
          <w:ilvl w:val="1"/>
          <w:numId w:val="2"/>
        </w:numPr>
        <w:ind w:right="720"/>
        <w:jc w:val="both"/>
        <w:rPr>
          <w:sz w:val="23"/>
          <w:szCs w:val="23"/>
        </w:rPr>
      </w:pPr>
      <w:r>
        <w:rPr>
          <w:sz w:val="23"/>
          <w:szCs w:val="23"/>
        </w:rPr>
        <w:t>Reverse policies which restrict or outlaw non-Mandarin classroom instruction within minority regions;</w:t>
      </w:r>
    </w:p>
    <w:p w14:paraId="7850B1C8" w14:textId="77777777" w:rsidR="00E85A01" w:rsidRDefault="00E85A01">
      <w:pPr>
        <w:widowControl/>
        <w:ind w:left="1440" w:right="720"/>
        <w:jc w:val="both"/>
        <w:rPr>
          <w:sz w:val="23"/>
          <w:szCs w:val="23"/>
        </w:rPr>
      </w:pPr>
    </w:p>
    <w:p w14:paraId="745412A6" w14:textId="298B5C3E" w:rsidR="00E85A01" w:rsidRPr="005A27BC" w:rsidRDefault="00382A84" w:rsidP="005A27BC">
      <w:pPr>
        <w:widowControl/>
        <w:numPr>
          <w:ilvl w:val="1"/>
          <w:numId w:val="2"/>
        </w:numPr>
        <w:ind w:right="720"/>
        <w:jc w:val="both"/>
        <w:rPr>
          <w:color w:val="000000"/>
        </w:rPr>
      </w:pPr>
      <w:r>
        <w:rPr>
          <w:sz w:val="23"/>
          <w:szCs w:val="23"/>
        </w:rPr>
        <w:t>Protecting university autonomy in mainland China and Hong Kong, and refraining from exercising undue government interference by Hong Kong or mainland authorities.</w:t>
      </w:r>
    </w:p>
    <w:p w14:paraId="585C57B3" w14:textId="77777777" w:rsidR="00E85A01" w:rsidRDefault="00E85A01">
      <w:pPr>
        <w:widowControl/>
        <w:jc w:val="both"/>
        <w:rPr>
          <w:sz w:val="23"/>
          <w:szCs w:val="23"/>
        </w:rPr>
      </w:pPr>
    </w:p>
    <w:p w14:paraId="699D4F5B" w14:textId="77777777" w:rsidR="00E85A01" w:rsidRDefault="00382A84">
      <w:pPr>
        <w:widowControl/>
        <w:jc w:val="both"/>
        <w:rPr>
          <w:sz w:val="23"/>
          <w:szCs w:val="23"/>
        </w:rPr>
      </w:pPr>
      <w:r>
        <w:rPr>
          <w:color w:val="000000"/>
          <w:sz w:val="23"/>
          <w:szCs w:val="23"/>
        </w:rPr>
        <w:t>We appreciate your consideration of our submission. Please let us know if you have any questions or would like additional information on any of the items outlined above. You may reach us at scholarsatrisk@nyu.edu.</w:t>
      </w:r>
    </w:p>
    <w:p w14:paraId="52FA5463" w14:textId="77777777" w:rsidR="00E85A01" w:rsidRDefault="00E85A01">
      <w:pPr>
        <w:widowControl/>
        <w:rPr>
          <w:sz w:val="23"/>
          <w:szCs w:val="23"/>
        </w:rPr>
      </w:pPr>
    </w:p>
    <w:p w14:paraId="68843D3E" w14:textId="77777777" w:rsidR="00E85A01" w:rsidRDefault="00382A84">
      <w:pPr>
        <w:widowControl/>
        <w:spacing w:after="160"/>
        <w:rPr>
          <w:sz w:val="23"/>
          <w:szCs w:val="23"/>
        </w:rPr>
      </w:pPr>
      <w:r>
        <w:rPr>
          <w:color w:val="000000"/>
          <w:sz w:val="23"/>
          <w:szCs w:val="23"/>
        </w:rPr>
        <w:t>Sincerely,</w:t>
      </w:r>
    </w:p>
    <w:p w14:paraId="342E6737" w14:textId="58CE4767" w:rsidR="00E85A01" w:rsidRDefault="00C04A8C">
      <w:pPr>
        <w:widowControl/>
        <w:spacing w:after="160"/>
        <w:rPr>
          <w:sz w:val="23"/>
          <w:szCs w:val="23"/>
        </w:rPr>
      </w:pPr>
      <w:r>
        <w:rPr>
          <w:noProof/>
          <w:sz w:val="23"/>
          <w:szCs w:val="23"/>
          <w:lang w:val="en-GB" w:eastAsia="en-GB"/>
        </w:rPr>
        <mc:AlternateContent>
          <mc:Choice Requires="wpi">
            <w:drawing>
              <wp:anchor distT="0" distB="0" distL="114300" distR="114300" simplePos="0" relativeHeight="251659264" behindDoc="0" locked="0" layoutInCell="1" allowOverlap="1" wp14:anchorId="094A856C" wp14:editId="3B963B03">
                <wp:simplePos x="0" y="0"/>
                <wp:positionH relativeFrom="column">
                  <wp:posOffset>-205740</wp:posOffset>
                </wp:positionH>
                <wp:positionV relativeFrom="paragraph">
                  <wp:posOffset>-220980</wp:posOffset>
                </wp:positionV>
                <wp:extent cx="1557845" cy="708025"/>
                <wp:effectExtent l="38100" t="38100" r="4445" b="53975"/>
                <wp:wrapNone/>
                <wp:docPr id="20" name="Ink 20"/>
                <wp:cNvGraphicFramePr/>
                <a:graphic xmlns:a="http://schemas.openxmlformats.org/drawingml/2006/main">
                  <a:graphicData uri="http://schemas.microsoft.com/office/word/2010/wordprocessingInk">
                    <w14:contentPart bwMode="auto" r:id="rId7">
                      <w14:nvContentPartPr>
                        <w14:cNvContentPartPr/>
                      </w14:nvContentPartPr>
                      <w14:xfrm>
                        <a:off x="0" y="0"/>
                        <a:ext cx="1557845" cy="708025"/>
                      </w14:xfrm>
                    </w14:contentPart>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6B11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 o:spid="_x0000_s1026" type="#_x0000_t75" style="position:absolute;margin-left:-16.9pt;margin-top:-18.1pt;width:124.05pt;height:57.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">
                <v:imagedata r:id="rId8" o:title=""/>
              </v:shape>
            </w:pict>
          </mc:Fallback>
        </mc:AlternateContent>
      </w:r>
    </w:p>
    <w:p w14:paraId="733A6DD6" w14:textId="7EA34656" w:rsidR="00E85A01" w:rsidRDefault="00382A84">
      <w:pPr>
        <w:widowControl/>
        <w:spacing w:before="240" w:after="160"/>
        <w:rPr>
          <w:sz w:val="23"/>
          <w:szCs w:val="23"/>
        </w:rPr>
      </w:pPr>
      <w:r>
        <w:rPr>
          <w:sz w:val="23"/>
          <w:szCs w:val="23"/>
        </w:rPr>
        <w:t>Jesse Levine</w:t>
      </w:r>
      <w:r>
        <w:rPr>
          <w:sz w:val="23"/>
          <w:szCs w:val="23"/>
        </w:rPr>
        <w:br/>
        <w:t>Senior Advocacy Officer</w:t>
      </w:r>
    </w:p>
    <w:p w14:paraId="1614BC06" w14:textId="77777777" w:rsidR="00E85A01" w:rsidRDefault="00382A84">
      <w:pPr>
        <w:widowControl/>
        <w:ind w:right="720"/>
        <w:rPr>
          <w:sz w:val="23"/>
          <w:szCs w:val="23"/>
        </w:rPr>
      </w:pPr>
      <w:r>
        <w:rPr>
          <w:b/>
          <w:sz w:val="23"/>
          <w:szCs w:val="23"/>
        </w:rPr>
        <w:lastRenderedPageBreak/>
        <w:t>Appendix 1: </w:t>
      </w:r>
      <w:hyperlink r:id="rId9">
        <w:r>
          <w:rPr>
            <w:b/>
            <w:i/>
            <w:color w:val="1155CC"/>
            <w:sz w:val="23"/>
            <w:szCs w:val="23"/>
            <w:u w:val="single"/>
          </w:rPr>
          <w:t>Obstacles to Excellence: Academic Freedom &amp; China’s Quest for World-Class Universities</w:t>
        </w:r>
      </w:hyperlink>
      <w:r>
        <w:rPr>
          <w:sz w:val="23"/>
          <w:szCs w:val="23"/>
        </w:rPr>
        <w:t xml:space="preserve"> </w:t>
      </w:r>
    </w:p>
    <w:p w14:paraId="347DF23F" w14:textId="77777777" w:rsidR="00E85A01" w:rsidRDefault="00E85A01">
      <w:pPr>
        <w:widowControl/>
        <w:ind w:right="720"/>
        <w:rPr>
          <w:rFonts w:ascii="Noto Sans Symbols" w:eastAsia="Noto Sans Symbols" w:hAnsi="Noto Sans Symbols" w:cs="Noto Sans Symbols"/>
          <w:sz w:val="23"/>
          <w:szCs w:val="23"/>
        </w:rPr>
      </w:pPr>
    </w:p>
    <w:p w14:paraId="5EC319FA" w14:textId="77777777" w:rsidR="00E85A01" w:rsidRDefault="00382A84">
      <w:pPr>
        <w:widowControl/>
        <w:ind w:right="720"/>
        <w:rPr>
          <w:b/>
          <w:sz w:val="23"/>
          <w:szCs w:val="23"/>
        </w:rPr>
      </w:pPr>
      <w:r>
        <w:rPr>
          <w:b/>
          <w:sz w:val="23"/>
          <w:szCs w:val="23"/>
        </w:rPr>
        <w:t>Appendix 2: </w:t>
      </w:r>
      <w:hyperlink r:id="rId10">
        <w:r>
          <w:rPr>
            <w:b/>
            <w:color w:val="1155CC"/>
            <w:sz w:val="23"/>
            <w:szCs w:val="23"/>
            <w:u w:val="single"/>
          </w:rPr>
          <w:t xml:space="preserve">SAR </w:t>
        </w:r>
      </w:hyperlink>
      <w:hyperlink r:id="rId11">
        <w:r>
          <w:rPr>
            <w:b/>
            <w:i/>
            <w:color w:val="1155CC"/>
            <w:sz w:val="23"/>
            <w:szCs w:val="23"/>
            <w:u w:val="single"/>
          </w:rPr>
          <w:t>Free to Think 2020</w:t>
        </w:r>
      </w:hyperlink>
      <w:hyperlink r:id="rId12">
        <w:r>
          <w:rPr>
            <w:b/>
            <w:color w:val="1155CC"/>
            <w:sz w:val="23"/>
            <w:szCs w:val="23"/>
            <w:u w:val="single"/>
          </w:rPr>
          <w:t xml:space="preserve"> report (excerpt): Academic Freedom Repression Under China’s Central Government</w:t>
        </w:r>
      </w:hyperlink>
    </w:p>
    <w:p w14:paraId="7DC86368" w14:textId="77777777" w:rsidR="00E85A01" w:rsidRDefault="00E85A01">
      <w:pPr>
        <w:widowControl/>
        <w:ind w:right="720"/>
        <w:rPr>
          <w:sz w:val="23"/>
          <w:szCs w:val="23"/>
        </w:rPr>
      </w:pPr>
    </w:p>
    <w:p w14:paraId="0B9A99F3" w14:textId="77777777" w:rsidR="00E85A01" w:rsidRDefault="00382A84">
      <w:pPr>
        <w:widowControl/>
        <w:ind w:right="720"/>
        <w:rPr>
          <w:b/>
          <w:sz w:val="23"/>
          <w:szCs w:val="23"/>
        </w:rPr>
      </w:pPr>
      <w:r>
        <w:rPr>
          <w:b/>
          <w:sz w:val="23"/>
          <w:szCs w:val="23"/>
        </w:rPr>
        <w:t xml:space="preserve">Appendix 3: </w:t>
      </w:r>
      <w:hyperlink r:id="rId13">
        <w:r>
          <w:rPr>
            <w:b/>
            <w:color w:val="1155CC"/>
            <w:sz w:val="23"/>
            <w:szCs w:val="23"/>
            <w:u w:val="single"/>
          </w:rPr>
          <w:t xml:space="preserve">SAR </w:t>
        </w:r>
      </w:hyperlink>
      <w:hyperlink r:id="rId14">
        <w:r>
          <w:rPr>
            <w:b/>
            <w:i/>
            <w:color w:val="1155CC"/>
            <w:sz w:val="23"/>
            <w:szCs w:val="23"/>
            <w:u w:val="single"/>
          </w:rPr>
          <w:t xml:space="preserve">Free to Think 2019 </w:t>
        </w:r>
      </w:hyperlink>
      <w:hyperlink r:id="rId15">
        <w:r>
          <w:rPr>
            <w:b/>
            <w:color w:val="1155CC"/>
            <w:sz w:val="23"/>
            <w:szCs w:val="23"/>
            <w:u w:val="single"/>
          </w:rPr>
          <w:t>report (excerpt): Threats to Academic Freedom in China</w:t>
        </w:r>
      </w:hyperlink>
    </w:p>
    <w:p w14:paraId="4510BAD8" w14:textId="77777777" w:rsidR="00E85A01" w:rsidRDefault="00E85A01">
      <w:pPr>
        <w:widowControl/>
        <w:ind w:right="720"/>
        <w:rPr>
          <w:sz w:val="23"/>
          <w:szCs w:val="23"/>
        </w:rPr>
      </w:pPr>
    </w:p>
    <w:p w14:paraId="2DDCD9D2" w14:textId="77777777" w:rsidR="00E85A01" w:rsidRDefault="00382A84">
      <w:pPr>
        <w:widowControl/>
        <w:ind w:right="720"/>
        <w:rPr>
          <w:b/>
          <w:sz w:val="23"/>
          <w:szCs w:val="23"/>
        </w:rPr>
      </w:pPr>
      <w:r>
        <w:rPr>
          <w:b/>
          <w:sz w:val="23"/>
          <w:szCs w:val="23"/>
        </w:rPr>
        <w:t xml:space="preserve">Appendix 4: </w:t>
      </w:r>
      <w:hyperlink r:id="rId16">
        <w:r>
          <w:rPr>
            <w:b/>
            <w:color w:val="1155CC"/>
            <w:sz w:val="23"/>
            <w:szCs w:val="23"/>
            <w:u w:val="single"/>
          </w:rPr>
          <w:t xml:space="preserve">SAR </w:t>
        </w:r>
      </w:hyperlink>
      <w:hyperlink r:id="rId17">
        <w:r>
          <w:rPr>
            <w:b/>
            <w:i/>
            <w:color w:val="1155CC"/>
            <w:sz w:val="23"/>
            <w:szCs w:val="23"/>
            <w:u w:val="single"/>
          </w:rPr>
          <w:t xml:space="preserve">Free to Think 2018 </w:t>
        </w:r>
      </w:hyperlink>
      <w:hyperlink r:id="rId18">
        <w:r>
          <w:rPr>
            <w:b/>
            <w:color w:val="1155CC"/>
            <w:sz w:val="23"/>
            <w:szCs w:val="23"/>
            <w:u w:val="single"/>
          </w:rPr>
          <w:t>report (excerpt): Detention of Uyghur Scholars &amp; Students in China</w:t>
        </w:r>
      </w:hyperlink>
      <w:r>
        <w:rPr>
          <w:sz w:val="23"/>
          <w:szCs w:val="23"/>
        </w:rPr>
        <w:t xml:space="preserve">  </w:t>
      </w:r>
    </w:p>
    <w:p w14:paraId="0C9D0F9B" w14:textId="77777777" w:rsidR="00E85A01" w:rsidRDefault="00E85A01">
      <w:pPr>
        <w:widowControl/>
        <w:ind w:right="720"/>
        <w:rPr>
          <w:b/>
          <w:sz w:val="23"/>
          <w:szCs w:val="23"/>
        </w:rPr>
      </w:pPr>
    </w:p>
    <w:p w14:paraId="006C5746" w14:textId="77777777" w:rsidR="00E85A01" w:rsidRDefault="00382A84">
      <w:pPr>
        <w:widowControl/>
        <w:ind w:right="720"/>
        <w:rPr>
          <w:b/>
          <w:sz w:val="23"/>
          <w:szCs w:val="23"/>
        </w:rPr>
      </w:pPr>
      <w:r>
        <w:rPr>
          <w:b/>
          <w:sz w:val="23"/>
          <w:szCs w:val="23"/>
        </w:rPr>
        <w:t>Appendix 5: </w:t>
      </w:r>
      <w:hyperlink r:id="rId19">
        <w:r>
          <w:rPr>
            <w:b/>
            <w:color w:val="1155CC"/>
            <w:sz w:val="23"/>
            <w:szCs w:val="23"/>
            <w:u w:val="single"/>
          </w:rPr>
          <w:t>Global Public Policy Institute (</w:t>
        </w:r>
        <w:proofErr w:type="spellStart"/>
        <w:r>
          <w:rPr>
            <w:b/>
            <w:color w:val="1155CC"/>
            <w:sz w:val="23"/>
            <w:szCs w:val="23"/>
            <w:u w:val="single"/>
          </w:rPr>
          <w:t>GPPi</w:t>
        </w:r>
        <w:proofErr w:type="spellEnd"/>
        <w:r>
          <w:rPr>
            <w:b/>
            <w:color w:val="1155CC"/>
            <w:sz w:val="23"/>
            <w:szCs w:val="23"/>
            <w:u w:val="single"/>
          </w:rPr>
          <w:t>) Academic Freedom Index data on China</w:t>
        </w:r>
      </w:hyperlink>
    </w:p>
    <w:p w14:paraId="575CC11D" w14:textId="77777777" w:rsidR="00E85A01" w:rsidRDefault="00E85A01">
      <w:pPr>
        <w:widowControl/>
        <w:ind w:right="720"/>
        <w:rPr>
          <w:b/>
          <w:sz w:val="23"/>
          <w:szCs w:val="23"/>
        </w:rPr>
      </w:pPr>
    </w:p>
    <w:p w14:paraId="1C696794" w14:textId="77777777" w:rsidR="00E85A01" w:rsidRDefault="00382A84">
      <w:pPr>
        <w:widowControl/>
        <w:ind w:right="720"/>
        <w:rPr>
          <w:b/>
          <w:sz w:val="23"/>
          <w:szCs w:val="23"/>
        </w:rPr>
      </w:pPr>
      <w:r>
        <w:rPr>
          <w:b/>
          <w:sz w:val="23"/>
          <w:szCs w:val="23"/>
        </w:rPr>
        <w:t xml:space="preserve">Appendix 6: </w:t>
      </w:r>
      <w:hyperlink r:id="rId20">
        <w:proofErr w:type="spellStart"/>
        <w:r>
          <w:rPr>
            <w:b/>
            <w:color w:val="1155CC"/>
            <w:sz w:val="23"/>
            <w:szCs w:val="23"/>
            <w:u w:val="single"/>
          </w:rPr>
          <w:t>GPPi</w:t>
        </w:r>
        <w:proofErr w:type="spellEnd"/>
        <w:r>
          <w:rPr>
            <w:b/>
            <w:color w:val="1155CC"/>
            <w:sz w:val="23"/>
            <w:szCs w:val="23"/>
            <w:u w:val="single"/>
          </w:rPr>
          <w:t xml:space="preserve"> Academic Freedom Index data on Hong Kong</w:t>
        </w:r>
      </w:hyperlink>
    </w:p>
    <w:p w14:paraId="12B7693E" w14:textId="77777777" w:rsidR="00E85A01" w:rsidRDefault="00E85A01">
      <w:pPr>
        <w:widowControl/>
        <w:ind w:right="720"/>
        <w:jc w:val="both"/>
        <w:rPr>
          <w:sz w:val="23"/>
          <w:szCs w:val="23"/>
        </w:rPr>
      </w:pPr>
    </w:p>
    <w:p w14:paraId="214D2626" w14:textId="77777777" w:rsidR="00E85A01" w:rsidRDefault="00382A84">
      <w:pPr>
        <w:widowControl/>
        <w:ind w:left="720" w:right="720"/>
        <w:jc w:val="both"/>
        <w:rPr>
          <w:i/>
          <w:sz w:val="23"/>
          <w:szCs w:val="23"/>
        </w:rPr>
      </w:pPr>
      <w:r>
        <w:rPr>
          <w:i/>
          <w:sz w:val="23"/>
          <w:szCs w:val="23"/>
        </w:rPr>
        <w:t xml:space="preserve">Note: Appendices only available in pdf format. Links provided above, and a pdf of </w:t>
      </w:r>
      <w:proofErr w:type="gramStart"/>
      <w:r>
        <w:rPr>
          <w:i/>
          <w:sz w:val="23"/>
          <w:szCs w:val="23"/>
        </w:rPr>
        <w:t>the  full</w:t>
      </w:r>
      <w:proofErr w:type="gramEnd"/>
      <w:r>
        <w:rPr>
          <w:i/>
          <w:sz w:val="23"/>
          <w:szCs w:val="23"/>
        </w:rPr>
        <w:t xml:space="preserve"> submission with appendices will be submitted separately via email. </w:t>
      </w:r>
    </w:p>
    <w:p w14:paraId="27BD433E" w14:textId="77777777" w:rsidR="00E85A01" w:rsidRDefault="00E85A01">
      <w:pPr>
        <w:widowControl/>
        <w:ind w:right="720"/>
        <w:jc w:val="both"/>
        <w:rPr>
          <w:sz w:val="23"/>
          <w:szCs w:val="23"/>
        </w:rPr>
      </w:pPr>
    </w:p>
    <w:p w14:paraId="22C96749" w14:textId="77777777" w:rsidR="00E85A01" w:rsidRDefault="00E85A01">
      <w:pPr>
        <w:widowControl/>
        <w:ind w:right="720"/>
        <w:jc w:val="both"/>
        <w:rPr>
          <w:sz w:val="23"/>
          <w:szCs w:val="23"/>
        </w:rPr>
      </w:pPr>
    </w:p>
    <w:p w14:paraId="238C131E" w14:textId="77777777" w:rsidR="00E85A01" w:rsidRDefault="00E85A01">
      <w:pPr>
        <w:widowControl/>
        <w:ind w:right="720"/>
        <w:jc w:val="both"/>
        <w:rPr>
          <w:sz w:val="23"/>
          <w:szCs w:val="23"/>
        </w:rPr>
      </w:pPr>
    </w:p>
    <w:p w14:paraId="4FC63732" w14:textId="77777777" w:rsidR="00E85A01" w:rsidRDefault="00E85A01">
      <w:pPr>
        <w:widowControl/>
        <w:ind w:right="720"/>
        <w:jc w:val="both"/>
        <w:rPr>
          <w:sz w:val="23"/>
          <w:szCs w:val="23"/>
        </w:rPr>
      </w:pPr>
    </w:p>
    <w:sectPr w:rsidR="00E85A01">
      <w:headerReference w:type="default" r:id="rId21"/>
      <w:footerReference w:type="default" r:id="rId22"/>
      <w:headerReference w:type="first" r:id="rId23"/>
      <w:footerReference w:type="first" r:id="rId24"/>
      <w:pgSz w:w="12240" w:h="15840"/>
      <w:pgMar w:top="1440" w:right="1440" w:bottom="1440" w:left="1440" w:header="576" w:footer="86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B3F71" w14:textId="77777777" w:rsidR="00382A84" w:rsidRDefault="00382A84">
      <w:r>
        <w:separator/>
      </w:r>
    </w:p>
  </w:endnote>
  <w:endnote w:type="continuationSeparator" w:id="0">
    <w:p w14:paraId="44DAA019" w14:textId="77777777" w:rsidR="00382A84" w:rsidRDefault="0038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C96D0" w14:textId="77777777" w:rsidR="00E85A01" w:rsidRDefault="00E85A01">
    <w:pPr>
      <w:pBdr>
        <w:top w:val="nil"/>
        <w:left w:val="nil"/>
        <w:bottom w:val="nil"/>
        <w:right w:val="nil"/>
        <w:between w:val="nil"/>
      </w:pBdr>
      <w:tabs>
        <w:tab w:val="center" w:pos="4680"/>
        <w:tab w:val="right" w:pos="9360"/>
      </w:tabs>
      <w:jc w:val="right"/>
      <w:rPr>
        <w:color w:val="000000"/>
      </w:rPr>
    </w:pPr>
  </w:p>
  <w:p w14:paraId="5FB2953C" w14:textId="77777777" w:rsidR="00E85A01" w:rsidRDefault="00E85A01">
    <w:pPr>
      <w:pBdr>
        <w:top w:val="nil"/>
        <w:left w:val="nil"/>
        <w:bottom w:val="nil"/>
        <w:right w:val="nil"/>
        <w:between w:val="nil"/>
      </w:pBdr>
      <w:tabs>
        <w:tab w:val="center" w:pos="4680"/>
        <w:tab w:val="right" w:pos="9360"/>
      </w:tabs>
    </w:pPr>
  </w:p>
  <w:p w14:paraId="6113F962" w14:textId="2B625384" w:rsidR="00E85A01" w:rsidRDefault="00382A84">
    <w:pPr>
      <w:pBdr>
        <w:top w:val="nil"/>
        <w:left w:val="nil"/>
        <w:bottom w:val="nil"/>
        <w:right w:val="nil"/>
        <w:between w:val="nil"/>
      </w:pBdr>
      <w:tabs>
        <w:tab w:val="center" w:pos="4680"/>
        <w:tab w:val="right" w:pos="9360"/>
      </w:tabs>
      <w:jc w:val="right"/>
    </w:pPr>
    <w:r>
      <w:fldChar w:fldCharType="begin"/>
    </w:r>
    <w:r>
      <w:instrText>PAGE</w:instrText>
    </w:r>
    <w:r>
      <w:fldChar w:fldCharType="separate"/>
    </w:r>
    <w:r w:rsidR="004B4B77">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44A76" w14:textId="77777777" w:rsidR="00E85A01" w:rsidRDefault="00E85A01">
    <w:pPr>
      <w:pBdr>
        <w:top w:val="nil"/>
        <w:left w:val="nil"/>
        <w:bottom w:val="nil"/>
        <w:right w:val="nil"/>
        <w:between w:val="nil"/>
      </w:pBdr>
      <w:tabs>
        <w:tab w:val="center" w:pos="4680"/>
        <w:tab w:val="right" w:pos="9360"/>
      </w:tabs>
      <w:jc w:val="center"/>
      <w:rPr>
        <w:rFonts w:ascii="Century Gothic" w:eastAsia="Century Gothic" w:hAnsi="Century Gothic" w:cs="Century Gothic"/>
        <w:smallCaps/>
        <w:color w:val="000000"/>
        <w:sz w:val="16"/>
        <w:szCs w:val="16"/>
      </w:rPr>
    </w:pPr>
  </w:p>
  <w:p w14:paraId="1D3974F9" w14:textId="77777777" w:rsidR="00E85A01" w:rsidRDefault="00382A84">
    <w:pPr>
      <w:pBdr>
        <w:top w:val="single" w:sz="12" w:space="1" w:color="FF0000"/>
        <w:left w:val="nil"/>
        <w:bottom w:val="nil"/>
        <w:right w:val="nil"/>
        <w:between w:val="nil"/>
      </w:pBdr>
      <w:tabs>
        <w:tab w:val="center" w:pos="4680"/>
        <w:tab w:val="right" w:pos="9360"/>
      </w:tabs>
      <w:jc w:val="center"/>
      <w:rPr>
        <w:rFonts w:ascii="Century Gothic" w:eastAsia="Century Gothic" w:hAnsi="Century Gothic" w:cs="Century Gothic"/>
        <w:color w:val="000000"/>
        <w:sz w:val="16"/>
        <w:szCs w:val="16"/>
      </w:rPr>
    </w:pPr>
    <w:r>
      <w:rPr>
        <w:rFonts w:ascii="Century Gothic" w:eastAsia="Century Gothic" w:hAnsi="Century Gothic" w:cs="Century Gothic"/>
        <w:smallCaps/>
        <w:color w:val="000000"/>
        <w:sz w:val="16"/>
        <w:szCs w:val="16"/>
      </w:rPr>
      <w:t>411 Lafayette St., 3</w:t>
    </w:r>
    <w:r>
      <w:rPr>
        <w:rFonts w:ascii="Century Gothic" w:eastAsia="Century Gothic" w:hAnsi="Century Gothic" w:cs="Century Gothic"/>
        <w:smallCaps/>
        <w:color w:val="000000"/>
        <w:sz w:val="16"/>
        <w:szCs w:val="16"/>
        <w:vertAlign w:val="superscript"/>
      </w:rPr>
      <w:t>rd</w:t>
    </w:r>
    <w:r>
      <w:rPr>
        <w:rFonts w:ascii="Century Gothic" w:eastAsia="Century Gothic" w:hAnsi="Century Gothic" w:cs="Century Gothic"/>
        <w:smallCaps/>
        <w:color w:val="000000"/>
        <w:sz w:val="16"/>
        <w:szCs w:val="16"/>
      </w:rPr>
      <w:t xml:space="preserve"> Fl, New York, NY 10003 USA    +1-212-998-2179 </w:t>
    </w:r>
    <w:proofErr w:type="spellStart"/>
    <w:r>
      <w:rPr>
        <w:rFonts w:ascii="Century Gothic" w:eastAsia="Century Gothic" w:hAnsi="Century Gothic" w:cs="Century Gothic"/>
        <w:smallCaps/>
        <w:color w:val="000000"/>
        <w:sz w:val="16"/>
        <w:szCs w:val="16"/>
      </w:rPr>
      <w:t>tel</w:t>
    </w:r>
    <w:proofErr w:type="spellEnd"/>
    <w:r>
      <w:rPr>
        <w:rFonts w:ascii="Century Gothic" w:eastAsia="Century Gothic" w:hAnsi="Century Gothic" w:cs="Century Gothic"/>
        <w:smallCaps/>
        <w:color w:val="000000"/>
        <w:sz w:val="16"/>
        <w:szCs w:val="16"/>
      </w:rPr>
      <w:t xml:space="preserve">    </w:t>
    </w:r>
    <w:r>
      <w:rPr>
        <w:rFonts w:ascii="Century Gothic" w:eastAsia="Century Gothic" w:hAnsi="Century Gothic" w:cs="Century Gothic"/>
        <w:color w:val="000000"/>
        <w:sz w:val="16"/>
        <w:szCs w:val="16"/>
      </w:rPr>
      <w:t>scholarsatrisk@nyu.edu    www.scholarsatrisk.org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88FD3" w14:textId="77777777" w:rsidR="00382A84" w:rsidRDefault="00382A84">
      <w:r>
        <w:separator/>
      </w:r>
    </w:p>
  </w:footnote>
  <w:footnote w:type="continuationSeparator" w:id="0">
    <w:p w14:paraId="186B576B" w14:textId="77777777" w:rsidR="00382A84" w:rsidRDefault="00382A84">
      <w:r>
        <w:continuationSeparator/>
      </w:r>
    </w:p>
  </w:footnote>
  <w:footnote w:id="1">
    <w:p w14:paraId="7A7753B7" w14:textId="77777777" w:rsidR="00E85A01" w:rsidRDefault="00382A84">
      <w:pPr>
        <w:rPr>
          <w:sz w:val="20"/>
          <w:szCs w:val="20"/>
        </w:rPr>
      </w:pPr>
      <w:r>
        <w:rPr>
          <w:vertAlign w:val="superscript"/>
        </w:rPr>
        <w:footnoteRef/>
      </w:r>
      <w:r>
        <w:rPr>
          <w:sz w:val="20"/>
          <w:szCs w:val="20"/>
        </w:rPr>
        <w:t xml:space="preserve"> Committee on Economic, Social and Cultural Rights, General Comment No. 13: The Right to Education (Article 13), 8 December 1999 (General comment No. 13), para. 38.</w:t>
      </w:r>
    </w:p>
  </w:footnote>
  <w:footnote w:id="2">
    <w:p w14:paraId="4ED3928F" w14:textId="77777777" w:rsidR="00E85A01" w:rsidRDefault="00382A84">
      <w:pPr>
        <w:rPr>
          <w:sz w:val="20"/>
          <w:szCs w:val="20"/>
        </w:rPr>
      </w:pPr>
      <w:r>
        <w:rPr>
          <w:vertAlign w:val="superscript"/>
        </w:rPr>
        <w:footnoteRef/>
      </w:r>
      <w:r>
        <w:rPr>
          <w:sz w:val="20"/>
          <w:szCs w:val="20"/>
        </w:rPr>
        <w:t xml:space="preserve"> </w:t>
      </w:r>
      <w:r>
        <w:rPr>
          <w:i/>
          <w:sz w:val="20"/>
          <w:szCs w:val="20"/>
        </w:rPr>
        <w:t>Ibid.</w:t>
      </w:r>
      <w:r>
        <w:rPr>
          <w:sz w:val="20"/>
          <w:szCs w:val="20"/>
        </w:rPr>
        <w:t>, para. 39.</w:t>
      </w:r>
    </w:p>
  </w:footnote>
  <w:footnote w:id="3">
    <w:p w14:paraId="25AA5430" w14:textId="77777777" w:rsidR="00E85A01" w:rsidRDefault="00382A84">
      <w:pPr>
        <w:rPr>
          <w:sz w:val="20"/>
          <w:szCs w:val="20"/>
        </w:rPr>
      </w:pPr>
      <w:r>
        <w:rPr>
          <w:vertAlign w:val="superscript"/>
        </w:rPr>
        <w:footnoteRef/>
      </w:r>
      <w:r>
        <w:rPr>
          <w:sz w:val="20"/>
          <w:szCs w:val="20"/>
        </w:rPr>
        <w:t xml:space="preserve"> Committee on Social, Economic and Cultural Rights, General comment No. 25 on Science and economic, social and cultural rights Art. 15.1.b, 15.2, 15.3 and 15.4. 20 April 2020 (General comment No. 25), para. 46. </w:t>
      </w:r>
    </w:p>
  </w:footnote>
  <w:footnote w:id="4">
    <w:p w14:paraId="126C7FEB" w14:textId="77777777" w:rsidR="00E85A01" w:rsidRDefault="00382A84">
      <w:pPr>
        <w:rPr>
          <w:i/>
          <w:sz w:val="20"/>
          <w:szCs w:val="20"/>
        </w:rPr>
      </w:pPr>
      <w:r>
        <w:rPr>
          <w:vertAlign w:val="superscript"/>
        </w:rPr>
        <w:footnoteRef/>
      </w:r>
      <w:r>
        <w:rPr>
          <w:sz w:val="20"/>
          <w:szCs w:val="20"/>
        </w:rPr>
        <w:t xml:space="preserve"> </w:t>
      </w:r>
      <w:r>
        <w:rPr>
          <w:i/>
          <w:sz w:val="20"/>
          <w:szCs w:val="20"/>
        </w:rPr>
        <w:t xml:space="preserve">Ibid. </w:t>
      </w:r>
    </w:p>
  </w:footnote>
  <w:footnote w:id="5">
    <w:p w14:paraId="677422F9" w14:textId="77777777" w:rsidR="00E85A01" w:rsidRDefault="00382A84">
      <w:pPr>
        <w:rPr>
          <w:sz w:val="20"/>
          <w:szCs w:val="20"/>
        </w:rPr>
      </w:pPr>
      <w:r>
        <w:rPr>
          <w:vertAlign w:val="superscript"/>
        </w:rPr>
        <w:footnoteRef/>
      </w:r>
      <w:r>
        <w:rPr>
          <w:sz w:val="20"/>
          <w:szCs w:val="20"/>
        </w:rPr>
        <w:t xml:space="preserve"> General comment No. 13, para. 45; </w:t>
      </w:r>
      <w:r>
        <w:rPr>
          <w:i/>
          <w:sz w:val="20"/>
          <w:szCs w:val="20"/>
        </w:rPr>
        <w:t xml:space="preserve">see also </w:t>
      </w:r>
      <w:r>
        <w:rPr>
          <w:sz w:val="20"/>
          <w:szCs w:val="20"/>
        </w:rPr>
        <w:t>General comment No. 25, para. 24.</w:t>
      </w:r>
    </w:p>
  </w:footnote>
  <w:footnote w:id="6">
    <w:p w14:paraId="6D6EAB08" w14:textId="77777777" w:rsidR="00E85A01" w:rsidRDefault="00382A84">
      <w:pPr>
        <w:rPr>
          <w:sz w:val="18"/>
          <w:szCs w:val="18"/>
        </w:rPr>
      </w:pPr>
      <w:r>
        <w:rPr>
          <w:vertAlign w:val="superscript"/>
        </w:rPr>
        <w:footnoteRef/>
      </w:r>
      <w:r>
        <w:rPr>
          <w:sz w:val="20"/>
          <w:szCs w:val="20"/>
        </w:rPr>
        <w:t xml:space="preserve"> General comment No. 25, para. 24.</w:t>
      </w:r>
    </w:p>
  </w:footnote>
  <w:footnote w:id="7">
    <w:p w14:paraId="49A4466B" w14:textId="77777777" w:rsidR="00E85A01" w:rsidRDefault="00382A84">
      <w:pPr>
        <w:rPr>
          <w:sz w:val="20"/>
          <w:szCs w:val="20"/>
        </w:rPr>
      </w:pPr>
      <w:r>
        <w:rPr>
          <w:vertAlign w:val="superscript"/>
        </w:rPr>
        <w:footnoteRef/>
      </w:r>
      <w:r>
        <w:rPr>
          <w:sz w:val="20"/>
          <w:szCs w:val="20"/>
        </w:rPr>
        <w:t xml:space="preserve"> General comment No. 13, para. 39.</w:t>
      </w:r>
    </w:p>
  </w:footnote>
  <w:footnote w:id="8">
    <w:p w14:paraId="3E2E6218" w14:textId="77777777" w:rsidR="00E85A01" w:rsidRDefault="00382A84">
      <w:pPr>
        <w:rPr>
          <w:sz w:val="20"/>
          <w:szCs w:val="20"/>
        </w:rPr>
      </w:pPr>
      <w:r>
        <w:rPr>
          <w:vertAlign w:val="superscript"/>
        </w:rPr>
        <w:footnoteRef/>
      </w:r>
      <w:r>
        <w:rPr>
          <w:sz w:val="20"/>
          <w:szCs w:val="20"/>
        </w:rPr>
        <w:t xml:space="preserve"> General comment No. 25, para. 46.</w:t>
      </w:r>
    </w:p>
  </w:footnote>
  <w:footnote w:id="9">
    <w:p w14:paraId="147609CA" w14:textId="77777777" w:rsidR="00E85A01" w:rsidRDefault="00382A84">
      <w:pPr>
        <w:rPr>
          <w:i/>
          <w:sz w:val="20"/>
          <w:szCs w:val="20"/>
        </w:rPr>
      </w:pPr>
      <w:r>
        <w:rPr>
          <w:vertAlign w:val="superscript"/>
        </w:rPr>
        <w:footnoteRef/>
      </w:r>
      <w:r>
        <w:rPr>
          <w:sz w:val="20"/>
          <w:szCs w:val="20"/>
        </w:rPr>
        <w:t xml:space="preserve"> </w:t>
      </w:r>
      <w:r>
        <w:rPr>
          <w:i/>
          <w:sz w:val="20"/>
          <w:szCs w:val="20"/>
        </w:rPr>
        <w:t>Ibid.</w:t>
      </w:r>
    </w:p>
  </w:footnote>
  <w:footnote w:id="10">
    <w:p w14:paraId="0F624069" w14:textId="77777777" w:rsidR="00E85A01" w:rsidRDefault="00382A84">
      <w:pPr>
        <w:rPr>
          <w:i/>
          <w:sz w:val="20"/>
          <w:szCs w:val="20"/>
        </w:rPr>
      </w:pPr>
      <w:r>
        <w:rPr>
          <w:vertAlign w:val="superscript"/>
        </w:rPr>
        <w:footnoteRef/>
      </w:r>
      <w:r>
        <w:rPr>
          <w:i/>
          <w:sz w:val="20"/>
          <w:szCs w:val="20"/>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A1CF3" w14:textId="77777777" w:rsidR="00E85A01" w:rsidRDefault="00382A84">
    <w:pPr>
      <w:pBdr>
        <w:top w:val="nil"/>
        <w:left w:val="nil"/>
        <w:bottom w:val="nil"/>
        <w:right w:val="nil"/>
        <w:between w:val="nil"/>
      </w:pBdr>
      <w:tabs>
        <w:tab w:val="center" w:pos="4680"/>
        <w:tab w:val="right" w:pos="9360"/>
      </w:tabs>
      <w:rPr>
        <w:color w:val="000000"/>
      </w:rPr>
    </w:pPr>
    <w:r>
      <w:rPr>
        <w:noProof/>
        <w:lang w:val="en-GB" w:eastAsia="en-GB"/>
      </w:rPr>
      <w:drawing>
        <wp:anchor distT="0" distB="0" distL="114300" distR="114300" simplePos="0" relativeHeight="251658240" behindDoc="0" locked="0" layoutInCell="1" hidden="0" allowOverlap="1" wp14:anchorId="76AFA4E9" wp14:editId="4B568105">
          <wp:simplePos x="0" y="0"/>
          <wp:positionH relativeFrom="column">
            <wp:posOffset>4552950</wp:posOffset>
          </wp:positionH>
          <wp:positionV relativeFrom="paragraph">
            <wp:posOffset>118110</wp:posOffset>
          </wp:positionV>
          <wp:extent cx="1752600" cy="393024"/>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52600" cy="393024"/>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03EC3" w14:textId="77777777" w:rsidR="00E85A01" w:rsidRDefault="00382A84">
    <w:pPr>
      <w:pBdr>
        <w:top w:val="nil"/>
        <w:left w:val="nil"/>
        <w:bottom w:val="nil"/>
        <w:right w:val="nil"/>
        <w:between w:val="nil"/>
      </w:pBdr>
      <w:tabs>
        <w:tab w:val="center" w:pos="4680"/>
        <w:tab w:val="right" w:pos="9360"/>
      </w:tabs>
      <w:rPr>
        <w:color w:val="000000"/>
      </w:rPr>
    </w:pPr>
    <w:r>
      <w:rPr>
        <w:noProof/>
        <w:lang w:val="en-GB" w:eastAsia="en-GB"/>
      </w:rPr>
      <w:drawing>
        <wp:anchor distT="0" distB="0" distL="114300" distR="114300" simplePos="0" relativeHeight="251659264" behindDoc="0" locked="0" layoutInCell="1" hidden="0" allowOverlap="1" wp14:anchorId="50A078C1" wp14:editId="37455915">
          <wp:simplePos x="0" y="0"/>
          <wp:positionH relativeFrom="column">
            <wp:posOffset>1426464</wp:posOffset>
          </wp:positionH>
          <wp:positionV relativeFrom="paragraph">
            <wp:posOffset>234315</wp:posOffset>
          </wp:positionV>
          <wp:extent cx="3090672" cy="694944"/>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090672" cy="69494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8474E2"/>
    <w:multiLevelType w:val="multilevel"/>
    <w:tmpl w:val="C8ACFF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2452577"/>
    <w:multiLevelType w:val="multilevel"/>
    <w:tmpl w:val="050E35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63B5C21"/>
    <w:multiLevelType w:val="multilevel"/>
    <w:tmpl w:val="619E4B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A01"/>
    <w:rsid w:val="00382A84"/>
    <w:rsid w:val="004B4B77"/>
    <w:rsid w:val="005A27BC"/>
    <w:rsid w:val="00C04A8C"/>
    <w:rsid w:val="00E85A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2F7CB"/>
  <w15:docId w15:val="{4B092409-B2CA-4CC4-8D3D-A9CC51992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outlineLvl w:val="0"/>
    </w:pPr>
    <w:rPr>
      <w:b/>
    </w:rPr>
  </w:style>
  <w:style w:type="paragraph" w:styleId="Heading2">
    <w:name w:val="heading 2"/>
    <w:basedOn w:val="Normal"/>
    <w:next w:val="Normal"/>
    <w:uiPriority w:val="9"/>
    <w:semiHidden/>
    <w:unhideWhenUsed/>
    <w:qFormat/>
    <w:pPr>
      <w:keepNext/>
      <w:keepLines/>
      <w:spacing w:before="200"/>
      <w:ind w:left="1080"/>
      <w:outlineLvl w:val="1"/>
    </w:pPr>
    <w:rPr>
      <w:b/>
      <w:color w:val="4F81BD"/>
      <w:sz w:val="26"/>
      <w:szCs w:val="26"/>
    </w:rPr>
  </w:style>
  <w:style w:type="paragraph" w:styleId="Heading3">
    <w:name w:val="heading 3"/>
    <w:basedOn w:val="Normal"/>
    <w:next w:val="Normal"/>
    <w:uiPriority w:val="9"/>
    <w:semiHidden/>
    <w:unhideWhenUsed/>
    <w:qFormat/>
    <w:pPr>
      <w:keepNext/>
      <w:keepLines/>
      <w:spacing w:before="200"/>
      <w:ind w:left="1440"/>
      <w:outlineLvl w:val="2"/>
    </w:pPr>
    <w:rPr>
      <w:b/>
      <w:color w:val="4F81BD"/>
    </w:rPr>
  </w:style>
  <w:style w:type="paragraph" w:styleId="Heading4">
    <w:name w:val="heading 4"/>
    <w:basedOn w:val="Normal"/>
    <w:next w:val="Normal"/>
    <w:uiPriority w:val="9"/>
    <w:semiHidden/>
    <w:unhideWhenUsed/>
    <w:qFormat/>
    <w:pPr>
      <w:keepNext/>
      <w:keepLines/>
      <w:spacing w:before="200"/>
      <w:ind w:left="2160"/>
      <w:outlineLvl w:val="3"/>
    </w:pPr>
    <w:rPr>
      <w:b/>
      <w:i/>
      <w:color w:val="4F81BD"/>
    </w:rPr>
  </w:style>
  <w:style w:type="paragraph" w:styleId="Heading5">
    <w:name w:val="heading 5"/>
    <w:basedOn w:val="Normal"/>
    <w:next w:val="Normal"/>
    <w:uiPriority w:val="9"/>
    <w:semiHidden/>
    <w:unhideWhenUsed/>
    <w:qFormat/>
    <w:pPr>
      <w:keepNext/>
      <w:keepLines/>
      <w:spacing w:before="200"/>
      <w:ind w:left="2880"/>
      <w:outlineLvl w:val="4"/>
    </w:pPr>
    <w:rPr>
      <w:color w:val="243F61"/>
    </w:rPr>
  </w:style>
  <w:style w:type="paragraph" w:styleId="Heading6">
    <w:name w:val="heading 6"/>
    <w:basedOn w:val="Normal"/>
    <w:next w:val="Normal"/>
    <w:uiPriority w:val="9"/>
    <w:semiHidden/>
    <w:unhideWhenUsed/>
    <w:qFormat/>
    <w:pPr>
      <w:keepNext/>
      <w:keepLines/>
      <w:spacing w:before="200"/>
      <w:ind w:left="3600"/>
      <w:outlineLvl w:val="5"/>
    </w:pPr>
    <w:rPr>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A2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holarsatrisk.org/wp-content/uploads/2020/01/Scholars-at-Risk-Free-to-Think-2019.pdf" TargetMode="External"/><Relationship Id="rId18" Type="http://schemas.openxmlformats.org/officeDocument/2006/relationships/hyperlink" Target="https://www.scholarsatrisk.org/wp-content/uploads/2018/10/Free-to-Think-2018.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customXml" Target="ink/ink1.xml"/><Relationship Id="rId12" Type="http://schemas.openxmlformats.org/officeDocument/2006/relationships/hyperlink" Target="https://www.scholarsatrisk.org/wp-content/uploads/2020/11/Scholars-at-Risk-Free-to-Think-2020.pdf" TargetMode="External"/><Relationship Id="rId17" Type="http://schemas.openxmlformats.org/officeDocument/2006/relationships/hyperlink" Target="https://www.scholarsatrisk.org/wp-content/uploads/2018/10/Free-to-Think-2018.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holarsatrisk.org/wp-content/uploads/2018/10/Free-to-Think-2018.pdf" TargetMode="External"/><Relationship Id="rId20" Type="http://schemas.openxmlformats.org/officeDocument/2006/relationships/hyperlink" Target="https://www.scholarsatrisk.org/wp-content/uploads/2021/02/CESCR_HongKong.pdf"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holarsatrisk.org/wp-content/uploads/2020/11/Scholars-at-Risk-Free-to-Think-2020.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scholarsatrisk.org/wp-content/uploads/2020/01/Scholars-at-Risk-Free-to-Think-2019.pdf" TargetMode="External"/><Relationship Id="rId23" Type="http://schemas.openxmlformats.org/officeDocument/2006/relationships/header" Target="header2.xml"/><Relationship Id="rId28" Type="http://schemas.openxmlformats.org/officeDocument/2006/relationships/customXml" Target="../customXml/item2.xml"/><Relationship Id="rId10" Type="http://schemas.openxmlformats.org/officeDocument/2006/relationships/hyperlink" Target="https://www.scholarsatrisk.org/wp-content/uploads/2020/11/Scholars-at-Risk-Free-to-Think-2020.pdf" TargetMode="External"/><Relationship Id="rId19" Type="http://schemas.openxmlformats.org/officeDocument/2006/relationships/hyperlink" Target="https://www.scholarsatrisk.org/wp-content/uploads/2021/02/CESCR_China.pdf" TargetMode="External"/><Relationship Id="rId4" Type="http://schemas.openxmlformats.org/officeDocument/2006/relationships/webSettings" Target="webSettings.xml"/><Relationship Id="rId9" Type="http://schemas.openxmlformats.org/officeDocument/2006/relationships/hyperlink" Target="https://www.scholarsatrisk.org/wp-content/uploads/2019/09/Scholars-at-Risk-Obstacles-to-Excellence_EN.pdf" TargetMode="External"/><Relationship Id="rId14" Type="http://schemas.openxmlformats.org/officeDocument/2006/relationships/hyperlink" Target="https://www.scholarsatrisk.org/wp-content/uploads/2020/01/Scholars-at-Risk-Free-to-Think-2019.pdf" TargetMode="External"/><Relationship Id="rId22" Type="http://schemas.openxmlformats.org/officeDocument/2006/relationships/footer" Target="footer1.xml"/><Relationship Id="rId27"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01-29T22:02:37.226"/>
    </inkml:context>
    <inkml:brush xml:id="br0">
      <inkml:brushProperty name="width" value="0.05" units="cm"/>
      <inkml:brushProperty name="height" value="0.05" units="cm"/>
    </inkml:brush>
  </inkml:definitions>
  <inkml:trace contextRef="#ctx0" brushRef="#br0">1287 121 1000 0 0,'0'-18'702'0'0,"0"18"-616"0"0,0-1 0 0 0,1 0 0 0 0,-1 0 1 0 0,0 0-1 0 0,0 1 0 0 0,0-1 0 0 0,0 0 0 0 0,1 0 1 0 0,-1 0-1 0 0,0 1 0 0 0,-1-1 0 0 0,1 0 0 0 0,0 0 1 0 0,0 0-1 0 0,0 1 0 0 0,0-1 0 0 0,-1 0 0 0 0,1 0 1 0 0,0 0-1 0 0,0 1 0 0 0,-1-1 0 0 0,1 0 1 0 0,-1 1-1 0 0,1-1 0 0 0,-1 0 0 0 0,1 1 0 0 0,-1-1 1 0 0,1 1-1 0 0,-1-1 0 0 0,0 0 0 0 0,1 1 0 0 0,-1 0 1 0 0,0-1-1 0 0,1 1 0 0 0,-1-1 0 0 0,0 1 0 0 0,0 0 1 0 0,1-1-1 0 0,-1 1 0 0 0,0 0 0 0 0,0 0 1 0 0,0 0-1 0 0,1 0 0 0 0,-3 0 0 0 0,2 0-83 0 0,0 0 0 0 0,0 1-1 0 0,0-1 1 0 0,0 1 0 0 0,0-1 0 0 0,0 1-1 0 0,0 0 1 0 0,0 0 0 0 0,1-1-1 0 0,-1 1 1 0 0,0 0 0 0 0,0 0 0 0 0,1 0-1 0 0,-1 0 1 0 0,0 0 0 0 0,1 0-1 0 0,-1 0 1 0 0,0 1 0 0 0,-11 23-45 0 0,10-21 44 0 0,-71 193-228 0 0,28-70-448 0 0,-156 354-3049 0 0,177-425 3449 0 0,-29 65-350 0 0</inkml:trace>
  <inkml:trace contextRef="#ctx0" brushRef="#br0" timeOffset="349.01">719 1342 760 0 0,'-52'72'278'0'0,"2"-3"40"0"0,-4-1-1 0 0,-67 67 1 0 0,71-84-329 0 0,-2-3-1 0 0,-2-1 1 0 0,-87 57 0 0 0,133-100-87 0 0,0 1 0 0 0,0-1 0 0 0,0-1-1 0 0,-1 1 1 0 0,1-2 0 0 0,-1 1 0 0 0,0-1 0 0 0,-12 2 0 0 0,19-4 72 0 0,0 0 0 0 0,-1 0-1 0 0,1 0 1 0 0,0 0 0 0 0,0-1 0 0 0,0 1-1 0 0,-1 0 1 0 0,1-1 0 0 0,0 1 0 0 0,0-1-1 0 0,0 0 1 0 0,0 0 0 0 0,0 0 0 0 0,0 0-1 0 0,0 0 1 0 0,0 0 0 0 0,1-1 0 0 0,-1 1-1 0 0,0-1 1 0 0,1 1 0 0 0,-1-1 0 0 0,1 1-1 0 0,-1-1 1 0 0,1 0 0 0 0,0 0 0 0 0,0 0-1 0 0,0 0 1 0 0,0 0 0 0 0,0 0 0 0 0,0 0 0 0 0,0 0-1 0 0,1 0 1 0 0,-1 0 0 0 0,1 0 0 0 0,0 0-1 0 0,-1 0 1 0 0,1-1 0 0 0,0 1 0 0 0,0-2-1 0 0,0-11 102 0 0,1 0-1 0 0,0 0 1 0 0,1 0-1 0 0,0 0 1 0 0,1 1-1 0 0,1-1 1 0 0,0 1-1 0 0,1 0 1 0 0,1 0-1 0 0,0 0 1 0 0,1 1-1 0 0,0 0 1 0 0,14-18-1 0 0,3-1 293 0 0,1 2-1 0 0,1 1 0 0 0,60-51 1 0 0,-3 15 654 0 0,130-80 0 0 0,103-36-445 0 0,-303 174-600 0 0,381-196-26 0 0,16 41-298 0 0,-373 150-119 0 0,1 2-1 0 0,0 2 1 0 0,1 1-1 0 0,0 2 1 0 0,0 2-1 0 0,64 2 1 0 0,-90 1 1094 0 0,1-1 1 0 0,0-1-1 0 0,-1 0 1 0 0,1-1 0 0 0,-1-1-1 0 0,0 0 1 0 0,0 0-1 0 0,0-1 1 0 0,16-10 0 0 0,31-10-11 0 0,-17 11-798 0 0,1 1 0 0 0,1 2 0 0 0,0 2 0 0 0,1 2 0 0 0,0 3 1 0 0,-1 1-1 0 0,1 2 0 0 0,58 6 0 0 0,30 11-3191 0 0,-65-5 809 0 0</inkml:trace>
  <inkml:trace contextRef="#ctx0" brushRef="#br0" timeOffset="4334.58">1663 707 760 0 0,'157'-63'5392'0'0,"-6"-16"-3806"0"0,132-106-1505 0 0,17-54-295 0 0,-163 126-1334 0 0,-136 111 1576 0 0,4-2-354 0 0,0 0 0 0 0,0 1 0 0 0,0-1 0 0 0,0 1 0 0 0,8-3 0 0 0,-13 5 279 0 0,0 1 0 0 0,1 0 0 0 0,-1 0 0 0 0,1 0 0 0 0,-1 0 1 0 0,0 0-1 0 0,1 0 0 0 0,-1 0 0 0 0,1 0 0 0 0,-1 0 0 0 0,0 0 0 0 0,1 0 0 0 0,-1 0 0 0 0,1 0 0 0 0,-1 0 0 0 0,0 0 1 0 0,1 0-1 0 0,-1 0 0 0 0,0 0 0 0 0,1 1 0 0 0,-1-1 0 0 0,1 0 0 0 0,-1 0 0 0 0,0 0 0 0 0,1 1 0 0 0,-1-1 0 0 0,0 0 0 0 0,0 0 1 0 0,1 1-1 0 0,-1-1 0 0 0,0 0 0 0 0,1 1 0 0 0,-1 1-19 0 0,1 0 1 0 0,-1 0-1 0 0,0-1 1 0 0,1 1-1 0 0,-1 0 1 0 0,0 0-1 0 0,0 0 1 0 0,0 0 0 0 0,0 0-1 0 0,-1-1 1 0 0,0 5-1 0 0,-15 60-406 0 0,-27 71 1 0 0,18-59 22 0 0,-4 10 78 0 0</inkml:trace>
  <inkml:trace contextRef="#ctx0" brushRef="#br0" timeOffset="4694.92">2440 860 456 0 0,'-130'184'2898'0'0,"119"-164"-2888"0"0,11-15-377 0 0,8-11-112 0 0,20-20 27 0 0,58-49-41 0 0,-74 66 563 0 0,1 0-1 0 0,0 2 1 0 0,1-1 0 0 0,0 2-1 0 0,24-9 1 0 0,-7 6 480 0 0,1 2 1 0 0,0 1-1 0 0,59-4 0 0 0,100 10 1474 0 0,-77 2-1432 0 0,110-10 445 0 0,255-40-1 0 0,-16-34-5247 0 0,-319 52 781 0 0</inkml:trace>
  <inkml:trace contextRef="#ctx0" brushRef="#br0" timeOffset="5459.29">4072 195 6497 0 0,'-3'-5'-1072'0'0,"6"3"-576"0"0,-2-3-441 0 0,13 8 593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8D6900-3ADD-4D91-9DCE-468F98C442F1}"/>
</file>

<file path=customXml/itemProps2.xml><?xml version="1.0" encoding="utf-8"?>
<ds:datastoreItem xmlns:ds="http://schemas.openxmlformats.org/officeDocument/2006/customXml" ds:itemID="{F00952F1-58B4-406E-8A11-29B2959B054B}"/>
</file>

<file path=customXml/itemProps3.xml><?xml version="1.0" encoding="utf-8"?>
<ds:datastoreItem xmlns:ds="http://schemas.openxmlformats.org/officeDocument/2006/customXml" ds:itemID="{0130B1BB-A2D1-4A41-BC90-A0BC17F207C2}"/>
</file>

<file path=docProps/app.xml><?xml version="1.0" encoding="utf-8"?>
<Properties xmlns="http://schemas.openxmlformats.org/officeDocument/2006/extended-properties" xmlns:vt="http://schemas.openxmlformats.org/officeDocument/2006/docPropsVTypes">
  <Template>Normal.dotm</Template>
  <TotalTime>1</TotalTime>
  <Pages>6</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2021-02-02T08:26:00Z</dcterms:created>
  <dcterms:modified xsi:type="dcterms:W3CDTF">2021-02-02T08:26:00Z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