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sz w:val="34"/>
          <w:szCs w:val="34"/>
        </w:rPr>
      </w:pPr>
      <w:r w:rsidDel="00000000" w:rsidR="00000000" w:rsidRPr="00000000">
        <w:rPr>
          <w:rtl w:val="0"/>
        </w:rPr>
      </w:r>
    </w:p>
    <w:p w:rsidR="00000000" w:rsidDel="00000000" w:rsidP="00000000" w:rsidRDefault="00000000" w:rsidRPr="00000000" w14:paraId="00000002">
      <w:pPr>
        <w:jc w:val="left"/>
        <w:rPr>
          <w:b w:val="1"/>
          <w:bCs w:val="1"/>
          <w:sz w:val="34"/>
          <w:szCs w:val="34"/>
        </w:rPr>
      </w:pPr>
      <w:r w:rsidDel="00000000" w:rsidR="00000000" w:rsidRPr="00000000">
        <w:rPr>
          <w:rtl w:val="0"/>
        </w:rPr>
      </w:r>
    </w:p>
    <w:p w:rsidR="00000000" w:rsidDel="00000000" w:rsidP="00000000" w:rsidRDefault="00000000" w:rsidRPr="00000000" w14:paraId="00000003">
      <w:pPr>
        <w:jc w:val="center"/>
        <w:rPr>
          <w:b w:val="1"/>
          <w:bCs w:val="1"/>
          <w:sz w:val="34"/>
          <w:szCs w:val="34"/>
        </w:rPr>
      </w:pPr>
      <w:r w:rsidDel="00000000" w:rsidR="00000000" w:rsidRPr="00000000">
        <w:rPr>
          <w:b w:val="1"/>
          <w:bCs w:val="1"/>
          <w:sz w:val="34"/>
          <w:szCs w:val="34"/>
          <w:rtl w:val="0"/>
        </w:rPr>
        <w:t xml:space="preserve">Stakeholder Report Submitted by MiRiDom</w:t>
      </w:r>
    </w:p>
    <w:p w:rsidR="00000000" w:rsidDel="00000000" w:rsidP="00000000" w:rsidRDefault="00000000" w:rsidRPr="00000000" w14:paraId="00000004">
      <w:pPr>
        <w:jc w:val="center"/>
        <w:rPr>
          <w:rFonts w:ascii="Roboto" w:cs="Roboto" w:eastAsia="Roboto" w:hAnsi="Roboto"/>
          <w:sz w:val="26"/>
          <w:szCs w:val="26"/>
        </w:rPr>
      </w:pPr>
      <w:r w:rsidDel="00000000" w:rsidR="00000000" w:rsidRPr="00000000">
        <w:rPr>
          <w:sz w:val="28"/>
          <w:szCs w:val="28"/>
          <w:rtl w:val="0"/>
        </w:rPr>
        <w:t xml:space="preserve">Submission to the Human Rights Committee on the LOIPR for Dominica</w:t>
      </w:r>
      <w:r w:rsidDel="00000000" w:rsidR="00000000" w:rsidRPr="00000000">
        <w:rPr>
          <w:rtl w:val="0"/>
        </w:rPr>
      </w:r>
    </w:p>
    <w:p w:rsidR="00000000" w:rsidDel="00000000" w:rsidP="00000000" w:rsidRDefault="00000000" w:rsidRPr="00000000" w14:paraId="00000005">
      <w:pPr>
        <w:jc w:val="center"/>
        <w:rPr>
          <w:rFonts w:ascii="Roboto" w:cs="Roboto" w:eastAsia="Roboto" w:hAnsi="Roboto"/>
          <w:sz w:val="26"/>
          <w:szCs w:val="26"/>
        </w:rPr>
      </w:pPr>
      <w:r w:rsidDel="00000000" w:rsidR="00000000" w:rsidRPr="00000000">
        <w:rPr>
          <w:rtl w:val="0"/>
        </w:rPr>
      </w:r>
    </w:p>
    <w:p w:rsidR="00000000" w:rsidDel="00000000" w:rsidP="00000000" w:rsidRDefault="00000000" w:rsidRPr="00000000" w14:paraId="00000006">
      <w:pPr>
        <w:jc w:val="left"/>
        <w:rPr>
          <w:rFonts w:ascii="Roboto" w:cs="Roboto" w:eastAsia="Roboto" w:hAnsi="Roboto"/>
          <w:sz w:val="26"/>
          <w:szCs w:val="26"/>
        </w:rPr>
      </w:pP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sz w:val="28"/>
          <w:szCs w:val="28"/>
        </w:rPr>
      </w:pPr>
      <w:bookmarkStart w:colFirst="0" w:colLast="0" w:name="_h1xf63e2puhq" w:id="0"/>
      <w:bookmarkEnd w:id="0"/>
      <w:r w:rsidDel="00000000" w:rsidR="00000000" w:rsidRPr="00000000">
        <w:rPr>
          <w:rtl w:val="0"/>
        </w:rPr>
      </w:r>
    </w:p>
    <w:p w:rsidR="00000000" w:rsidDel="00000000" w:rsidP="00000000" w:rsidRDefault="00000000" w:rsidRPr="00000000" w14:paraId="00000008">
      <w:pPr>
        <w:spacing w:after="240" w:before="240" w:lineRule="auto"/>
        <w:rPr>
          <w:sz w:val="26"/>
          <w:szCs w:val="26"/>
        </w:rPr>
      </w:pPr>
      <w:r w:rsidDel="00000000" w:rsidR="00000000" w:rsidRPr="00000000">
        <w:rPr>
          <w:b w:val="1"/>
          <w:bCs w:val="1"/>
          <w:sz w:val="26"/>
          <w:szCs w:val="26"/>
          <w:rtl w:val="0"/>
        </w:rPr>
        <w:t xml:space="preserve">Country:</w:t>
      </w:r>
      <w:r w:rsidDel="00000000" w:rsidR="00000000" w:rsidRPr="00000000">
        <w:rPr>
          <w:sz w:val="26"/>
          <w:szCs w:val="26"/>
          <w:rtl w:val="0"/>
        </w:rPr>
        <w:t xml:space="preserve"> Commonwealth of Dominica</w:t>
      </w:r>
    </w:p>
    <w:p w:rsidR="00000000" w:rsidDel="00000000" w:rsidP="00000000" w:rsidRDefault="00000000" w:rsidRPr="00000000" w14:paraId="00000009">
      <w:pPr>
        <w:spacing w:after="240" w:before="240" w:lineRule="auto"/>
        <w:rPr>
          <w:sz w:val="26"/>
          <w:szCs w:val="26"/>
        </w:rPr>
      </w:pPr>
      <w:r w:rsidDel="00000000" w:rsidR="00000000" w:rsidRPr="00000000">
        <w:rPr>
          <w:b w:val="1"/>
          <w:bCs w:val="1"/>
          <w:sz w:val="26"/>
          <w:szCs w:val="26"/>
          <w:rtl w:val="0"/>
        </w:rPr>
        <w:t xml:space="preserve">Reporting Organization:</w:t>
      </w:r>
      <w:r w:rsidDel="00000000" w:rsidR="00000000" w:rsidRPr="00000000">
        <w:rPr>
          <w:sz w:val="26"/>
          <w:szCs w:val="26"/>
          <w:rtl w:val="0"/>
        </w:rPr>
        <w:t xml:space="preserve"> MiRiDom</w:t>
      </w:r>
    </w:p>
    <w:p w:rsidR="00000000" w:rsidDel="00000000" w:rsidP="00000000" w:rsidRDefault="00000000" w:rsidRPr="00000000" w14:paraId="0000000A">
      <w:pPr>
        <w:spacing w:after="240" w:before="240" w:lineRule="auto"/>
        <w:rPr>
          <w:sz w:val="26"/>
          <w:szCs w:val="26"/>
        </w:rPr>
      </w:pPr>
      <w:r w:rsidDel="00000000" w:rsidR="00000000" w:rsidRPr="00000000">
        <w:rPr>
          <w:b w:val="1"/>
          <w:bCs w:val="1"/>
          <w:sz w:val="26"/>
          <w:szCs w:val="26"/>
          <w:rtl w:val="0"/>
        </w:rPr>
        <w:t xml:space="preserve">Reporting Period:</w:t>
      </w:r>
      <w:r w:rsidDel="00000000" w:rsidR="00000000" w:rsidRPr="00000000">
        <w:rPr>
          <w:sz w:val="26"/>
          <w:szCs w:val="26"/>
          <w:rtl w:val="0"/>
        </w:rPr>
        <w:t xml:space="preserve"> September 2024 - July 2026</w:t>
      </w:r>
    </w:p>
    <w:p w:rsidR="00000000" w:rsidDel="00000000" w:rsidP="00000000" w:rsidRDefault="00000000" w:rsidRPr="00000000" w14:paraId="0000000B">
      <w:pPr>
        <w:spacing w:after="240" w:before="240" w:lineRule="auto"/>
        <w:rPr>
          <w:sz w:val="26"/>
          <w:szCs w:val="26"/>
        </w:rPr>
      </w:pPr>
      <w:r w:rsidDel="00000000" w:rsidR="00000000" w:rsidRPr="00000000">
        <w:rPr>
          <w:b w:val="1"/>
          <w:bCs w:val="1"/>
          <w:sz w:val="26"/>
          <w:szCs w:val="26"/>
          <w:rtl w:val="0"/>
        </w:rPr>
        <w:t xml:space="preserve">Date of Submission:</w:t>
      </w:r>
      <w:r w:rsidDel="00000000" w:rsidR="00000000" w:rsidRPr="00000000">
        <w:rPr>
          <w:sz w:val="26"/>
          <w:szCs w:val="26"/>
          <w:rtl w:val="0"/>
        </w:rPr>
        <w:t xml:space="preserve"> 20th August 2026</w:t>
      </w:r>
    </w:p>
    <w:p w:rsidR="00000000" w:rsidDel="00000000" w:rsidP="00000000" w:rsidRDefault="00000000" w:rsidRPr="00000000" w14:paraId="0000000C">
      <w:pPr>
        <w:pStyle w:val="Heading1"/>
        <w:keepNext w:val="0"/>
        <w:keepLines w:val="0"/>
        <w:spacing w:before="480" w:lineRule="auto"/>
        <w:rPr>
          <w:rFonts w:ascii="Roboto" w:cs="Roboto" w:eastAsia="Roboto" w:hAnsi="Roboto"/>
          <w:sz w:val="28"/>
          <w:szCs w:val="28"/>
        </w:rPr>
      </w:pPr>
      <w:bookmarkStart w:colFirst="0" w:colLast="0" w:name="_dzwhwufatj0l" w:id="1"/>
      <w:bookmarkEnd w:id="1"/>
      <w:r w:rsidDel="00000000" w:rsidR="00000000" w:rsidRPr="00000000">
        <w:rPr>
          <w:rtl w:val="0"/>
        </w:rPr>
      </w:r>
    </w:p>
    <w:p w:rsidR="00000000" w:rsidDel="00000000" w:rsidP="00000000" w:rsidRDefault="00000000" w:rsidRPr="00000000" w14:paraId="0000000D">
      <w:pPr>
        <w:pStyle w:val="Heading1"/>
        <w:keepNext w:val="0"/>
        <w:keepLines w:val="0"/>
        <w:spacing w:before="480" w:lineRule="auto"/>
        <w:rPr>
          <w:rFonts w:ascii="Roboto" w:cs="Roboto" w:eastAsia="Roboto" w:hAnsi="Roboto"/>
          <w:sz w:val="28"/>
          <w:szCs w:val="28"/>
        </w:rPr>
      </w:pPr>
      <w:bookmarkStart w:colFirst="0" w:colLast="0" w:name="_bagdf3wtlwum" w:id="2"/>
      <w:bookmarkEnd w:id="2"/>
      <w:r w:rsidDel="00000000" w:rsidR="00000000" w:rsidRPr="00000000">
        <w:rPr>
          <w:rtl w:val="0"/>
        </w:rPr>
      </w:r>
    </w:p>
    <w:p w:rsidR="00000000" w:rsidDel="00000000" w:rsidP="00000000" w:rsidRDefault="00000000" w:rsidRPr="00000000" w14:paraId="0000000E">
      <w:pPr>
        <w:pStyle w:val="Heading1"/>
        <w:keepNext w:val="0"/>
        <w:keepLines w:val="0"/>
        <w:spacing w:before="480" w:lineRule="auto"/>
        <w:rPr>
          <w:rFonts w:ascii="Roboto" w:cs="Roboto" w:eastAsia="Roboto" w:hAnsi="Roboto"/>
          <w:sz w:val="28"/>
          <w:szCs w:val="28"/>
        </w:rPr>
      </w:pPr>
      <w:bookmarkStart w:colFirst="0" w:colLast="0" w:name="_i04vufg0wj8w" w:id="3"/>
      <w:bookmarkEnd w:id="3"/>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rPr>
          <w:rFonts w:ascii="Roboto" w:cs="Roboto" w:eastAsia="Roboto" w:hAnsi="Roboto"/>
          <w:sz w:val="28"/>
          <w:szCs w:val="28"/>
        </w:rPr>
      </w:pPr>
      <w:bookmarkStart w:colFirst="0" w:colLast="0" w:name="_qtb5bnud50k4" w:id="4"/>
      <w:bookmarkEnd w:id="4"/>
      <w:r w:rsidDel="00000000" w:rsidR="00000000" w:rsidRPr="00000000">
        <w:rPr>
          <w:rtl w:val="0"/>
        </w:rPr>
      </w:r>
    </w:p>
    <w:p w:rsidR="00000000" w:rsidDel="00000000" w:rsidP="00000000" w:rsidRDefault="00000000" w:rsidRPr="00000000" w14:paraId="00000010">
      <w:pPr>
        <w:pStyle w:val="Heading1"/>
        <w:keepNext w:val="0"/>
        <w:keepLines w:val="0"/>
        <w:spacing w:before="480" w:lineRule="auto"/>
        <w:rPr>
          <w:rFonts w:ascii="Roboto" w:cs="Roboto" w:eastAsia="Roboto" w:hAnsi="Roboto"/>
          <w:sz w:val="28"/>
          <w:szCs w:val="28"/>
        </w:rPr>
      </w:pPr>
      <w:bookmarkStart w:colFirst="0" w:colLast="0" w:name="_q5t6fygrh4ng" w:id="5"/>
      <w:bookmarkEnd w:id="5"/>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ind w:right="360"/>
        <w:jc w:val="center"/>
        <w:rPr>
          <w:b w:val="1"/>
          <w:bCs w:val="1"/>
        </w:rPr>
      </w:pPr>
      <w:r w:rsidDel="00000000" w:rsidR="00000000" w:rsidRPr="00000000">
        <w:rPr>
          <w:b w:val="1"/>
          <w:bCs w:val="1"/>
          <w:rtl w:val="0"/>
        </w:rPr>
        <w:t xml:space="preserve">P.O Box 1815, Roseau, DOMINICA.         </w:t>
        <w:tab/>
      </w:r>
    </w:p>
    <w:p w:rsidR="00000000" w:rsidDel="00000000" w:rsidP="00000000" w:rsidRDefault="00000000" w:rsidRPr="00000000" w14:paraId="00000013">
      <w:pPr>
        <w:jc w:val="center"/>
        <w:rPr>
          <w:b w:val="1"/>
          <w:bCs w:val="1"/>
        </w:rPr>
      </w:pPr>
      <w:r w:rsidDel="00000000" w:rsidR="00000000" w:rsidRPr="00000000">
        <w:rPr>
          <w:b w:val="1"/>
          <w:bCs w:val="1"/>
          <w:rtl w:val="0"/>
        </w:rPr>
        <w:t xml:space="preserve">Tel: 767-315-6228   e-mail: </w:t>
      </w:r>
      <w:hyperlink r:id="rId7">
        <w:r w:rsidDel="00000000" w:rsidR="00000000" w:rsidRPr="00000000">
          <w:rPr>
            <w:b w:val="1"/>
            <w:bCs w:val="1"/>
            <w:color w:val="1155cc"/>
            <w:u w:val="single"/>
            <w:rtl w:val="0"/>
          </w:rPr>
          <w:t xml:space="preserve">miridominc@gmail.com</w:t>
        </w:r>
      </w:hyperlink>
      <w:r w:rsidDel="00000000" w:rsidR="00000000" w:rsidRPr="00000000">
        <w:rPr>
          <w:rtl w:val="0"/>
        </w:rPr>
      </w:r>
    </w:p>
    <w:p w:rsidR="00000000" w:rsidDel="00000000" w:rsidP="00000000" w:rsidRDefault="00000000" w:rsidRPr="00000000" w14:paraId="00000014">
      <w:pPr>
        <w:jc w:val="center"/>
        <w:rPr>
          <w:b w:val="1"/>
          <w:bCs w:val="1"/>
        </w:rPr>
      </w:pPr>
      <w:r w:rsidDel="00000000" w:rsidR="00000000" w:rsidRPr="00000000">
        <w:rPr>
          <w:b w:val="1"/>
          <w:bCs w:val="1"/>
          <w:rtl w:val="0"/>
        </w:rPr>
        <w:t xml:space="preserve">Website: </w:t>
      </w:r>
      <w:hyperlink r:id="rId8">
        <w:r w:rsidDel="00000000" w:rsidR="00000000" w:rsidRPr="00000000">
          <w:rPr>
            <w:b w:val="1"/>
            <w:bCs w:val="1"/>
            <w:color w:val="1155cc"/>
            <w:u w:val="single"/>
            <w:rtl w:val="0"/>
          </w:rPr>
          <w:t xml:space="preserve">miridom.org</w:t>
        </w:r>
      </w:hyperlink>
      <w:r w:rsidDel="00000000" w:rsidR="00000000" w:rsidRPr="00000000">
        <w:rPr>
          <w:b w:val="1"/>
          <w:bCs w:val="1"/>
          <w:rtl w:val="0"/>
        </w:rPr>
        <w:t xml:space="preserv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1"/>
        <w:keepNext w:val="0"/>
        <w:keepLines w:val="0"/>
        <w:spacing w:before="480" w:lineRule="auto"/>
        <w:rPr>
          <w:rFonts w:ascii="Roboto" w:cs="Roboto" w:eastAsia="Roboto" w:hAnsi="Roboto"/>
          <w:sz w:val="32"/>
          <w:szCs w:val="32"/>
        </w:rPr>
      </w:pPr>
      <w:bookmarkStart w:colFirst="0" w:colLast="0" w:name="_hmk2i18hrhdw" w:id="6"/>
      <w:bookmarkEnd w:id="6"/>
      <w:r w:rsidDel="00000000" w:rsidR="00000000" w:rsidRPr="00000000">
        <w:rPr>
          <w:rtl w:val="0"/>
        </w:rPr>
      </w:r>
    </w:p>
    <w:p w:rsidR="00000000" w:rsidDel="00000000" w:rsidP="00000000" w:rsidRDefault="00000000" w:rsidRPr="00000000" w14:paraId="00000017">
      <w:pPr>
        <w:pStyle w:val="Heading1"/>
        <w:keepNext w:val="0"/>
        <w:keepLines w:val="0"/>
        <w:spacing w:before="480" w:lineRule="auto"/>
        <w:rPr>
          <w:rFonts w:ascii="Roboto" w:cs="Roboto" w:eastAsia="Roboto" w:hAnsi="Roboto"/>
          <w:sz w:val="32"/>
          <w:szCs w:val="32"/>
        </w:rPr>
      </w:pPr>
      <w:bookmarkStart w:colFirst="0" w:colLast="0" w:name="_pdkq7ksxqzew" w:id="7"/>
      <w:bookmarkEnd w:id="7"/>
      <w:r w:rsidDel="00000000" w:rsidR="00000000" w:rsidRPr="00000000">
        <w:rPr>
          <w:rFonts w:ascii="Roboto" w:cs="Roboto" w:eastAsia="Roboto" w:hAnsi="Roboto"/>
          <w:sz w:val="32"/>
          <w:szCs w:val="32"/>
          <w:rtl w:val="0"/>
        </w:rPr>
        <w:t xml:space="preserve">Executive Summary</w:t>
      </w:r>
    </w:p>
    <w:p w:rsidR="00000000" w:rsidDel="00000000" w:rsidP="00000000" w:rsidRDefault="00000000" w:rsidRPr="00000000" w14:paraId="0000001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This report is respectfully submitted by </w:t>
      </w:r>
      <w:r w:rsidDel="00000000" w:rsidR="00000000" w:rsidRPr="00000000">
        <w:rPr>
          <w:rFonts w:ascii="Roboto" w:cs="Roboto" w:eastAsia="Roboto" w:hAnsi="Roboto"/>
          <w:b w:val="1"/>
          <w:bCs w:val="1"/>
          <w:rtl w:val="0"/>
        </w:rPr>
        <w:t xml:space="preserve">MiRiDom</w:t>
      </w:r>
      <w:r w:rsidDel="00000000" w:rsidR="00000000" w:rsidRPr="00000000">
        <w:rPr>
          <w:rFonts w:ascii="Roboto" w:cs="Roboto" w:eastAsia="Roboto" w:hAnsi="Roboto"/>
          <w:rtl w:val="0"/>
        </w:rPr>
        <w:t xml:space="preserve">, a non-profit organization committed to the promotion and protection of human rights, equality, transparency, good governance, and the rule of law within the Commonwealth of Dominica.</w:t>
      </w:r>
    </w:p>
    <w:p w:rsidR="00000000" w:rsidDel="00000000" w:rsidP="00000000" w:rsidRDefault="00000000" w:rsidRPr="00000000" w14:paraId="0000001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report provides an overview of developments since the previous reporting cycle, identifies areas where recommendations remain unimplemented or only partially implemented, and outlines concerns regarding institutional accountability, environmental governance, non-discrimination, and public participation in decision-making.</w:t>
      </w:r>
    </w:p>
    <w:p w:rsidR="00000000" w:rsidDel="00000000" w:rsidP="00000000" w:rsidRDefault="00000000" w:rsidRPr="00000000" w14:paraId="0000001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findings contained herein are based upon documented observations, stakeholder consultations, publicly available information, legal analysis, and other credible sources.</w:t>
      </w:r>
    </w:p>
    <w:p w:rsidR="00000000" w:rsidDel="00000000" w:rsidP="00000000" w:rsidRDefault="00000000" w:rsidRPr="00000000" w14:paraId="0000001B">
      <w:pPr>
        <w:pStyle w:val="Heading1"/>
        <w:keepNext w:val="0"/>
        <w:keepLines w:val="0"/>
        <w:spacing w:before="480" w:lineRule="auto"/>
        <w:rPr>
          <w:rFonts w:ascii="Roboto" w:cs="Roboto" w:eastAsia="Roboto" w:hAnsi="Roboto"/>
          <w:sz w:val="36"/>
          <w:szCs w:val="36"/>
        </w:rPr>
      </w:pPr>
      <w:bookmarkStart w:colFirst="0" w:colLast="0" w:name="_5qov2qhigghh" w:id="8"/>
      <w:bookmarkEnd w:id="8"/>
      <w:r w:rsidDel="00000000" w:rsidR="00000000" w:rsidRPr="00000000">
        <w:rPr>
          <w:rFonts w:ascii="Roboto" w:cs="Roboto" w:eastAsia="Roboto" w:hAnsi="Roboto"/>
          <w:sz w:val="36"/>
          <w:szCs w:val="36"/>
          <w:rtl w:val="0"/>
        </w:rPr>
        <w:t xml:space="preserve">Methodology</w:t>
      </w:r>
    </w:p>
    <w:p w:rsidR="00000000" w:rsidDel="00000000" w:rsidP="00000000" w:rsidRDefault="00000000" w:rsidRPr="00000000" w14:paraId="0000001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This submission was prepared through:</w:t>
      </w:r>
    </w:p>
    <w:p w:rsidR="00000000" w:rsidDel="00000000" w:rsidP="00000000" w:rsidRDefault="00000000" w:rsidRPr="00000000" w14:paraId="0000001D">
      <w:pPr>
        <w:numPr>
          <w:ilvl w:val="0"/>
          <w:numId w:val="3"/>
        </w:numPr>
        <w:spacing w:after="0" w:afterAutospacing="0" w:before="240" w:lineRule="auto"/>
        <w:ind w:left="720" w:hanging="360"/>
        <w:rPr>
          <w:rFonts w:ascii="Roboto" w:cs="Roboto" w:eastAsia="Roboto" w:hAnsi="Roboto"/>
        </w:rPr>
      </w:pPr>
      <w:r w:rsidDel="00000000" w:rsidR="00000000" w:rsidRPr="00000000">
        <w:rPr>
          <w:rFonts w:ascii="Roboto" w:cs="Roboto" w:eastAsia="Roboto" w:hAnsi="Roboto"/>
          <w:rtl w:val="0"/>
        </w:rPr>
        <w:t xml:space="preserve">Review of legislation and government policies;</w:t>
      </w:r>
    </w:p>
    <w:p w:rsidR="00000000" w:rsidDel="00000000" w:rsidP="00000000" w:rsidRDefault="00000000" w:rsidRPr="00000000" w14:paraId="0000001E">
      <w:pPr>
        <w:numPr>
          <w:ilvl w:val="0"/>
          <w:numId w:val="3"/>
        </w:numPr>
        <w:spacing w:after="0" w:afterAutospacing="0" w:before="0" w:beforeAutospacing="0" w:lineRule="auto"/>
        <w:ind w:left="720" w:hanging="360"/>
        <w:rPr>
          <w:rFonts w:ascii="Roboto" w:cs="Roboto" w:eastAsia="Roboto" w:hAnsi="Roboto"/>
        </w:rPr>
      </w:pPr>
      <w:r w:rsidDel="00000000" w:rsidR="00000000" w:rsidRPr="00000000">
        <w:rPr>
          <w:rFonts w:ascii="Roboto" w:cs="Roboto" w:eastAsia="Roboto" w:hAnsi="Roboto"/>
          <w:rtl w:val="0"/>
        </w:rPr>
        <w:t xml:space="preserve">Consultation with civil society organizations and affected stakeholders;</w:t>
      </w:r>
    </w:p>
    <w:p w:rsidR="00000000" w:rsidDel="00000000" w:rsidP="00000000" w:rsidRDefault="00000000" w:rsidRPr="00000000" w14:paraId="0000001F">
      <w:pPr>
        <w:numPr>
          <w:ilvl w:val="0"/>
          <w:numId w:val="3"/>
        </w:numPr>
        <w:spacing w:after="0" w:afterAutospacing="0" w:before="0" w:beforeAutospacing="0" w:lineRule="auto"/>
        <w:ind w:left="720" w:hanging="360"/>
        <w:rPr>
          <w:rFonts w:ascii="Roboto" w:cs="Roboto" w:eastAsia="Roboto" w:hAnsi="Roboto"/>
        </w:rPr>
      </w:pPr>
      <w:r w:rsidDel="00000000" w:rsidR="00000000" w:rsidRPr="00000000">
        <w:rPr>
          <w:rFonts w:ascii="Roboto" w:cs="Roboto" w:eastAsia="Roboto" w:hAnsi="Roboto"/>
          <w:rtl w:val="0"/>
        </w:rPr>
        <w:t xml:space="preserve">Analysis of publicly available government documents;</w:t>
      </w:r>
    </w:p>
    <w:p w:rsidR="00000000" w:rsidDel="00000000" w:rsidP="00000000" w:rsidRDefault="00000000" w:rsidRPr="00000000" w14:paraId="00000020">
      <w:pPr>
        <w:numPr>
          <w:ilvl w:val="0"/>
          <w:numId w:val="3"/>
        </w:numPr>
        <w:spacing w:after="0" w:afterAutospacing="0" w:before="0" w:beforeAutospacing="0" w:lineRule="auto"/>
        <w:ind w:left="720" w:hanging="360"/>
        <w:rPr>
          <w:rFonts w:ascii="Roboto" w:cs="Roboto" w:eastAsia="Roboto" w:hAnsi="Roboto"/>
        </w:rPr>
      </w:pPr>
      <w:r w:rsidDel="00000000" w:rsidR="00000000" w:rsidRPr="00000000">
        <w:rPr>
          <w:rFonts w:ascii="Roboto" w:cs="Roboto" w:eastAsia="Roboto" w:hAnsi="Roboto"/>
          <w:rtl w:val="0"/>
        </w:rPr>
        <w:t xml:space="preserve">Review of judicial decisions and legal developments;</w:t>
      </w:r>
    </w:p>
    <w:p w:rsidR="00000000" w:rsidDel="00000000" w:rsidP="00000000" w:rsidRDefault="00000000" w:rsidRPr="00000000" w14:paraId="00000021">
      <w:pPr>
        <w:numPr>
          <w:ilvl w:val="0"/>
          <w:numId w:val="3"/>
        </w:numPr>
        <w:spacing w:after="0" w:afterAutospacing="0" w:before="0" w:beforeAutospacing="0" w:lineRule="auto"/>
        <w:ind w:left="720" w:hanging="360"/>
        <w:rPr>
          <w:rFonts w:ascii="Roboto" w:cs="Roboto" w:eastAsia="Roboto" w:hAnsi="Roboto"/>
        </w:rPr>
      </w:pPr>
      <w:r w:rsidDel="00000000" w:rsidR="00000000" w:rsidRPr="00000000">
        <w:rPr>
          <w:rFonts w:ascii="Roboto" w:cs="Roboto" w:eastAsia="Roboto" w:hAnsi="Roboto"/>
          <w:rtl w:val="0"/>
        </w:rPr>
        <w:t xml:space="preserve">Examination of media reports and independent research;</w:t>
      </w:r>
    </w:p>
    <w:p w:rsidR="00000000" w:rsidDel="00000000" w:rsidP="00000000" w:rsidRDefault="00000000" w:rsidRPr="00000000" w14:paraId="00000022">
      <w:pPr>
        <w:numPr>
          <w:ilvl w:val="0"/>
          <w:numId w:val="3"/>
        </w:numPr>
        <w:spacing w:after="240" w:before="0" w:beforeAutospacing="0" w:lineRule="auto"/>
        <w:ind w:left="720" w:hanging="360"/>
        <w:rPr>
          <w:rFonts w:ascii="Roboto" w:cs="Roboto" w:eastAsia="Roboto" w:hAnsi="Roboto"/>
        </w:rPr>
      </w:pPr>
      <w:r w:rsidDel="00000000" w:rsidR="00000000" w:rsidRPr="00000000">
        <w:rPr>
          <w:rFonts w:ascii="Roboto" w:cs="Roboto" w:eastAsia="Roboto" w:hAnsi="Roboto"/>
          <w:rtl w:val="0"/>
        </w:rPr>
        <w:t xml:space="preserve">Additional supporting documentation.</w:t>
      </w:r>
      <w:r w:rsidDel="00000000" w:rsidR="00000000" w:rsidRPr="00000000">
        <w:rPr>
          <w:rtl w:val="0"/>
        </w:rPr>
      </w:r>
    </w:p>
    <w:p w:rsidR="00000000" w:rsidDel="00000000" w:rsidP="00000000" w:rsidRDefault="00000000" w:rsidRPr="00000000" w14:paraId="00000023">
      <w:pPr>
        <w:pStyle w:val="Heading1"/>
        <w:keepNext w:val="0"/>
        <w:keepLines w:val="0"/>
        <w:spacing w:before="480" w:lineRule="auto"/>
        <w:rPr/>
      </w:pPr>
      <w:bookmarkStart w:colFirst="0" w:colLast="0" w:name="_7n6fhgmtkxx" w:id="9"/>
      <w:bookmarkEnd w:id="9"/>
      <w:r w:rsidDel="00000000" w:rsidR="00000000" w:rsidRPr="00000000">
        <w:rPr>
          <w:rFonts w:ascii="Roboto" w:cs="Roboto" w:eastAsia="Roboto" w:hAnsi="Roboto"/>
          <w:rtl w:val="0"/>
        </w:rPr>
        <w:t xml:space="preserve">Background</w:t>
      </w: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t xml:space="preserve">The Commonwealth of Dominica is a parliamentary democracy governed under the Constitution of the Commonwealth of Dominica, which provides the framework for the protection of fundamental rights and freedoms and establishes the institutional structure of the Country.</w:t>
      </w:r>
    </w:p>
    <w:p w:rsidR="00000000" w:rsidDel="00000000" w:rsidP="00000000" w:rsidRDefault="00000000" w:rsidRPr="00000000" w14:paraId="00000025">
      <w:pPr>
        <w:spacing w:after="240" w:before="240" w:lineRule="auto"/>
        <w:rPr/>
      </w:pPr>
      <w:r w:rsidDel="00000000" w:rsidR="00000000" w:rsidRPr="00000000">
        <w:rPr>
          <w:rtl w:val="0"/>
        </w:rPr>
        <w:t xml:space="preserve">The present submission focuses on areas where MiRiDom considers that further action remains necessary to ensure the effective implementation of human rights obligations and previous recommendations.</w:t>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pStyle w:val="Heading1"/>
        <w:keepNext w:val="0"/>
        <w:keepLines w:val="0"/>
        <w:spacing w:before="480" w:lineRule="auto"/>
        <w:rPr>
          <w:rFonts w:ascii="Roboto" w:cs="Roboto" w:eastAsia="Roboto" w:hAnsi="Roboto"/>
          <w:sz w:val="24"/>
          <w:szCs w:val="24"/>
        </w:rPr>
      </w:pPr>
      <w:bookmarkStart w:colFirst="0" w:colLast="0" w:name="_gr2qpnkbd5oo" w:id="10"/>
      <w:bookmarkEnd w:id="10"/>
      <w:r w:rsidDel="00000000" w:rsidR="00000000" w:rsidRPr="00000000">
        <w:rPr>
          <w:rFonts w:ascii="Roboto" w:cs="Roboto" w:eastAsia="Roboto" w:hAnsi="Roboto"/>
          <w:b w:val="1"/>
          <w:bCs w:val="1"/>
          <w:sz w:val="38"/>
          <w:szCs w:val="38"/>
          <w:rtl w:val="0"/>
        </w:rPr>
        <w:t xml:space="preserve">Follow-up on the Previous UPR Submissions on Dominica</w:t>
      </w:r>
      <w:r w:rsidDel="00000000" w:rsidR="00000000" w:rsidRPr="00000000">
        <w:rPr>
          <w:rtl w:val="0"/>
        </w:rPr>
      </w:r>
    </w:p>
    <w:p w:rsidR="00000000" w:rsidDel="00000000" w:rsidP="00000000" w:rsidRDefault="00000000" w:rsidRPr="00000000" w14:paraId="00000029">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During the fourth cycle of the Universal Periodic Review(2024), Dominica accepted a number of recommendations relating to the human rights institutions, equality and non-discrimination, gender equality, and environmental governance. The reporting organization remains concerned that progress has been limited in several key areas. Four issues are highlighted below </w:t>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2A">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B">
      <w:pPr>
        <w:pStyle w:val="Heading3"/>
        <w:keepNext w:val="0"/>
        <w:keepLines w:val="0"/>
        <w:numPr>
          <w:ilvl w:val="0"/>
          <w:numId w:val="6"/>
        </w:numPr>
        <w:spacing w:before="280" w:lineRule="auto"/>
        <w:ind w:left="720" w:hanging="360"/>
        <w:rPr>
          <w:rFonts w:ascii="Roboto" w:cs="Roboto" w:eastAsia="Roboto" w:hAnsi="Roboto"/>
          <w:b w:val="1"/>
          <w:bCs w:val="1"/>
          <w:color w:val="000000"/>
          <w:sz w:val="26"/>
          <w:szCs w:val="26"/>
        </w:rPr>
      </w:pPr>
      <w:bookmarkStart w:colFirst="0" w:colLast="0" w:name="_8p7a8hattukv" w:id="11"/>
      <w:bookmarkEnd w:id="11"/>
      <w:r w:rsidDel="00000000" w:rsidR="00000000" w:rsidRPr="00000000">
        <w:rPr>
          <w:rFonts w:ascii="Roboto" w:cs="Roboto" w:eastAsia="Roboto" w:hAnsi="Roboto"/>
          <w:b w:val="1"/>
          <w:bCs w:val="1"/>
          <w:color w:val="000000"/>
          <w:sz w:val="26"/>
          <w:szCs w:val="26"/>
          <w:rtl w:val="0"/>
        </w:rPr>
        <w:t xml:space="preserve">Establishment of an Independent National Human Rights Institution (NHRI)</w:t>
      </w:r>
    </w:p>
    <w:p w:rsidR="00000000" w:rsidDel="00000000" w:rsidP="00000000" w:rsidRDefault="00000000" w:rsidRPr="00000000" w14:paraId="0000002C">
      <w:pPr>
        <w:spacing w:after="240" w:before="240" w:lineRule="auto"/>
        <w:rPr/>
      </w:pPr>
      <w:r w:rsidDel="00000000" w:rsidR="00000000" w:rsidRPr="00000000">
        <w:rPr>
          <w:rFonts w:ascii="Roboto" w:cs="Roboto" w:eastAsia="Roboto" w:hAnsi="Roboto"/>
          <w:b w:val="1"/>
          <w:bCs w:val="1"/>
          <w:rtl w:val="0"/>
        </w:rPr>
        <w:t xml:space="preserve">Status: Not Implemented</w:t>
      </w:r>
      <w:r w:rsidDel="00000000" w:rsidR="00000000" w:rsidRPr="00000000">
        <w:rPr>
          <w:rtl w:val="0"/>
        </w:rPr>
      </w:r>
    </w:p>
    <w:p w:rsidR="00000000" w:rsidDel="00000000" w:rsidP="00000000" w:rsidRDefault="00000000" w:rsidRPr="00000000" w14:paraId="0000002D">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MiRiDom, stakeholders and members of the public </w:t>
      </w:r>
      <w:r w:rsidDel="00000000" w:rsidR="00000000" w:rsidRPr="00000000">
        <w:rPr>
          <w:rFonts w:ascii="Roboto" w:cs="Roboto" w:eastAsia="Roboto" w:hAnsi="Roboto"/>
          <w:sz w:val="24"/>
          <w:szCs w:val="24"/>
          <w:rtl w:val="0"/>
        </w:rPr>
        <w:t xml:space="preserve">remain concerned that Dominica has still not yet established an independent National Human Rights Institution (NHRI) in accordance with the Paris Principles, despite noting recommendations during the previous Universal Periodic Review cycles. </w:t>
      </w:r>
      <w:r w:rsidDel="00000000" w:rsidR="00000000" w:rsidRPr="00000000">
        <w:rPr>
          <w:rFonts w:ascii="Roboto" w:cs="Roboto" w:eastAsia="Roboto" w:hAnsi="Roboto"/>
          <w:sz w:val="24"/>
          <w:szCs w:val="24"/>
          <w:vertAlign w:val="superscript"/>
        </w:rPr>
        <w:footnoteReference w:customMarkFollows="0" w:id="0"/>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b w:val="1"/>
          <w:bCs w:val="1"/>
          <w:sz w:val="24"/>
          <w:szCs w:val="24"/>
          <w:rtl w:val="0"/>
        </w:rPr>
        <w:t xml:space="preserve">“</w:t>
      </w:r>
      <w:r w:rsidDel="00000000" w:rsidR="00000000" w:rsidRPr="00000000">
        <w:rPr>
          <w:rFonts w:ascii="Roboto" w:cs="Roboto" w:eastAsia="Roboto" w:hAnsi="Roboto"/>
          <w:sz w:val="24"/>
          <w:szCs w:val="24"/>
          <w:rtl w:val="0"/>
        </w:rPr>
        <w:t xml:space="preserve">Recognizing the importance of establishing a national human rights institution that fully complies with the Paris Principles, Dominica is urged to follow through on its commitment made during the review by conducting a study to determine the most appropriate pathway for its creation. Dominica is encouraged to develop an implementation plan in follow up to the UPR outcome, in close consultation and cooperation with all stakeholders, in particular the parliament, the judiciary, local and regional governments, and civil society organizations.”</w: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rFonts w:ascii="Roboto" w:cs="Roboto" w:eastAsia="Roboto" w:hAnsi="Roboto"/>
          <w:b w:val="1"/>
          <w:bCs w:val="1"/>
          <w:color w:val="000000"/>
          <w:sz w:val="26"/>
          <w:szCs w:val="26"/>
          <w:u w:val="single"/>
        </w:rPr>
      </w:pPr>
      <w:bookmarkStart w:colFirst="0" w:colLast="0" w:name="_gxg3ds5magn4" w:id="12"/>
      <w:bookmarkEnd w:id="12"/>
      <w:r w:rsidDel="00000000" w:rsidR="00000000" w:rsidRPr="00000000">
        <w:rPr>
          <w:rFonts w:ascii="Roboto" w:cs="Roboto" w:eastAsia="Roboto" w:hAnsi="Roboto"/>
          <w:b w:val="1"/>
          <w:bCs w:val="1"/>
          <w:color w:val="000000"/>
          <w:sz w:val="26"/>
          <w:szCs w:val="26"/>
          <w:u w:val="single"/>
          <w:rtl w:val="0"/>
        </w:rPr>
        <w:t xml:space="preserve">Relevant International Standards</w:t>
      </w:r>
    </w:p>
    <w:p w:rsidR="00000000" w:rsidDel="00000000" w:rsidP="00000000" w:rsidRDefault="00000000" w:rsidRPr="00000000" w14:paraId="0000002F">
      <w:pPr>
        <w:numPr>
          <w:ilvl w:val="0"/>
          <w:numId w:val="7"/>
        </w:numPr>
        <w:spacing w:after="200" w:before="240" w:lineRule="auto"/>
        <w:ind w:left="720" w:hanging="360"/>
        <w:rPr>
          <w:color w:val="000000"/>
          <w:sz w:val="20"/>
          <w:szCs w:val="20"/>
        </w:rPr>
      </w:pPr>
      <w:r w:rsidDel="00000000" w:rsidR="00000000" w:rsidRPr="00000000">
        <w:rPr>
          <w:rFonts w:ascii="Roboto" w:cs="Roboto" w:eastAsia="Roboto" w:hAnsi="Roboto"/>
          <w:rtl w:val="0"/>
        </w:rPr>
        <w:t xml:space="preserve">Principles relating to the Status of National Institution (Paris Principles), UN General Assembly Resolution 48/134 (1993)</w:t>
      </w:r>
      <w:r w:rsidDel="00000000" w:rsidR="00000000" w:rsidRPr="00000000">
        <w:rPr>
          <w:rFonts w:ascii="Roboto" w:cs="Roboto" w:eastAsia="Roboto" w:hAnsi="Roboto"/>
          <w:rtl w:val="0"/>
        </w:rPr>
        <w:t xml:space="preserve">.</w:t>
      </w:r>
    </w:p>
    <w:p w:rsidR="00000000" w:rsidDel="00000000" w:rsidP="00000000" w:rsidRDefault="00000000" w:rsidRPr="00000000" w14:paraId="00000030">
      <w:pPr>
        <w:numPr>
          <w:ilvl w:val="0"/>
          <w:numId w:val="7"/>
        </w:numPr>
        <w:spacing w:after="200" w:before="0" w:lineRule="auto"/>
        <w:ind w:left="720" w:hanging="360"/>
        <w:rPr>
          <w:color w:val="000000"/>
          <w:sz w:val="20"/>
          <w:szCs w:val="20"/>
        </w:rPr>
      </w:pPr>
      <w:r w:rsidDel="00000000" w:rsidR="00000000" w:rsidRPr="00000000">
        <w:rPr>
          <w:rFonts w:ascii="Roboto" w:cs="Roboto" w:eastAsia="Roboto" w:hAnsi="Roboto"/>
          <w:rtl w:val="0"/>
        </w:rPr>
        <w:t xml:space="preserve">The Vienna Declaration and Programme of Action (1993): encourages all States to establish and strengthen independent National Human Rights Institutions in accordance with the Paris Principles as a key mechanism for promoting and protecting human rights at the national level.</w:t>
      </w:r>
    </w:p>
    <w:p w:rsidR="00000000" w:rsidDel="00000000" w:rsidP="00000000" w:rsidRDefault="00000000" w:rsidRPr="00000000" w14:paraId="00000031">
      <w:pPr>
        <w:numPr>
          <w:ilvl w:val="0"/>
          <w:numId w:val="7"/>
        </w:numPr>
        <w:spacing w:after="200" w:before="240" w:lineRule="auto"/>
        <w:ind w:left="720" w:hanging="360"/>
        <w:rPr>
          <w:color w:val="000000"/>
          <w:sz w:val="20"/>
          <w:szCs w:val="20"/>
        </w:rPr>
      </w:pPr>
      <w:r w:rsidDel="00000000" w:rsidR="00000000" w:rsidRPr="00000000">
        <w:rPr>
          <w:rFonts w:ascii="Roboto" w:cs="Roboto" w:eastAsia="Roboto" w:hAnsi="Roboto"/>
          <w:rtl w:val="0"/>
        </w:rPr>
        <w:t xml:space="preserve">UN General Assembly Resolution 75/186 (2020): reaffirms the important role of independent National Human Rights Institutions in supporting the implementation of States’ international human rights obligations and the recommendations arising from the Universal Periodic Review and treaty bodies.</w:t>
      </w:r>
    </w:p>
    <w:p w:rsidR="00000000" w:rsidDel="00000000" w:rsidP="00000000" w:rsidRDefault="00000000" w:rsidRPr="00000000" w14:paraId="00000032">
      <w:pPr>
        <w:spacing w:after="240" w:before="240" w:lineRule="auto"/>
        <w:rPr>
          <w:rFonts w:ascii="Roboto" w:cs="Roboto" w:eastAsia="Roboto" w:hAnsi="Roboto"/>
          <w:b w:val="1"/>
          <w:bCs w:val="1"/>
          <w:sz w:val="24"/>
          <w:szCs w:val="24"/>
        </w:rPr>
      </w:pPr>
      <w:r w:rsidDel="00000000" w:rsidR="00000000" w:rsidRPr="00000000">
        <w:rPr>
          <w:rtl w:val="0"/>
        </w:rPr>
      </w:r>
    </w:p>
    <w:p w:rsidR="00000000" w:rsidDel="00000000" w:rsidP="00000000" w:rsidRDefault="00000000" w:rsidRPr="00000000" w14:paraId="00000033">
      <w:pPr>
        <w:pStyle w:val="Heading2"/>
        <w:keepNext w:val="0"/>
        <w:keepLines w:val="0"/>
        <w:spacing w:after="80" w:lineRule="auto"/>
        <w:rPr>
          <w:rFonts w:ascii="Roboto" w:cs="Roboto" w:eastAsia="Roboto" w:hAnsi="Roboto"/>
          <w:b w:val="1"/>
          <w:bCs w:val="1"/>
        </w:rPr>
      </w:pPr>
      <w:bookmarkStart w:colFirst="0" w:colLast="0" w:name="_pkbmhzh0d3jl" w:id="13"/>
      <w:bookmarkEnd w:id="13"/>
      <w:r w:rsidDel="00000000" w:rsidR="00000000" w:rsidRPr="00000000">
        <w:rPr>
          <w:rFonts w:ascii="Roboto" w:cs="Roboto" w:eastAsia="Roboto" w:hAnsi="Roboto"/>
          <w:b w:val="1"/>
          <w:bCs w:val="1"/>
          <w:rtl w:val="0"/>
        </w:rPr>
        <w:t xml:space="preserve">2. Anti-Discrimination Law Protecting LGBTQI+ Persons</w:t>
      </w:r>
    </w:p>
    <w:p w:rsidR="00000000" w:rsidDel="00000000" w:rsidP="00000000" w:rsidRDefault="00000000" w:rsidRPr="00000000" w14:paraId="00000034">
      <w:pPr>
        <w:spacing w:after="240" w:before="240" w:lineRule="auto"/>
        <w:rPr>
          <w:rFonts w:ascii="Roboto" w:cs="Roboto" w:eastAsia="Roboto" w:hAnsi="Roboto"/>
          <w:b w:val="1"/>
          <w:bCs w:val="1"/>
        </w:rPr>
      </w:pPr>
      <w:r w:rsidDel="00000000" w:rsidR="00000000" w:rsidRPr="00000000">
        <w:rPr>
          <w:rFonts w:ascii="Roboto" w:cs="Roboto" w:eastAsia="Roboto" w:hAnsi="Roboto"/>
          <w:b w:val="1"/>
          <w:bCs w:val="1"/>
          <w:rtl w:val="0"/>
        </w:rPr>
        <w:t xml:space="preserve">Status: Not Implemented </w:t>
      </w:r>
    </w:p>
    <w:p w:rsidR="00000000" w:rsidDel="00000000" w:rsidP="00000000" w:rsidRDefault="00000000" w:rsidRPr="00000000" w14:paraId="00000035">
      <w:pPr>
        <w:pStyle w:val="Heading3"/>
        <w:keepNext w:val="0"/>
        <w:keepLines w:val="0"/>
        <w:spacing w:after="240" w:before="240" w:lineRule="auto"/>
        <w:rPr>
          <w:rFonts w:ascii="Roboto" w:cs="Roboto" w:eastAsia="Roboto" w:hAnsi="Roboto"/>
          <w:color w:val="000000"/>
          <w:sz w:val="24"/>
          <w:szCs w:val="24"/>
        </w:rPr>
      </w:pPr>
      <w:bookmarkStart w:colFirst="0" w:colLast="0" w:name="_eexk029sqh1c" w:id="14"/>
      <w:bookmarkEnd w:id="14"/>
      <w:r w:rsidDel="00000000" w:rsidR="00000000" w:rsidRPr="00000000">
        <w:rPr>
          <w:rFonts w:ascii="Roboto" w:cs="Roboto" w:eastAsia="Roboto" w:hAnsi="Roboto"/>
          <w:b w:val="1"/>
          <w:bCs w:val="1"/>
          <w:color w:val="000000"/>
          <w:sz w:val="24"/>
          <w:szCs w:val="24"/>
          <w:rtl w:val="0"/>
        </w:rPr>
        <w:t xml:space="preserve">Dominica has an obligation to ensure effective protection against discrimination</w:t>
      </w:r>
      <w:r w:rsidDel="00000000" w:rsidR="00000000" w:rsidRPr="00000000">
        <w:rPr>
          <w:rFonts w:ascii="Roboto" w:cs="Roboto" w:eastAsia="Roboto" w:hAnsi="Roboto"/>
          <w:color w:val="000000"/>
          <w:sz w:val="24"/>
          <w:szCs w:val="24"/>
          <w:rtl w:val="0"/>
        </w:rPr>
        <w:t xml:space="preserve">, and the Human Rights Committee specifically recommended comprehensive legislation.  Dominica acceded to the International Covenant on Civil and Political Rights (ICCPR) on 17 June 1993 and has been bound by the Covenant since its entry into force for Dominica. The ICCPR's non-discrimination provisions therefore form part of Dominica's international human rights obligations. </w:t>
      </w:r>
      <w:r w:rsidDel="00000000" w:rsidR="00000000" w:rsidRPr="00000000">
        <w:rPr>
          <w:rFonts w:ascii="Roboto" w:cs="Roboto" w:eastAsia="Roboto" w:hAnsi="Roboto"/>
          <w:color w:val="000000"/>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36">
      <w:pPr>
        <w:pStyle w:val="Heading3"/>
        <w:keepNext w:val="0"/>
        <w:keepLines w:val="0"/>
        <w:spacing w:after="240" w:before="240" w:lineRule="auto"/>
        <w:rPr/>
      </w:pPr>
      <w:bookmarkStart w:colFirst="0" w:colLast="0" w:name="_eq84p61ektog" w:id="15"/>
      <w:bookmarkEnd w:id="15"/>
      <w:r w:rsidDel="00000000" w:rsidR="00000000" w:rsidRPr="00000000">
        <w:rPr>
          <w:rFonts w:ascii="Roboto" w:cs="Roboto" w:eastAsia="Roboto" w:hAnsi="Roboto"/>
          <w:color w:val="000000"/>
          <w:sz w:val="24"/>
          <w:szCs w:val="24"/>
          <w:rtl w:val="0"/>
        </w:rPr>
        <w:t xml:space="preserve">In its 2020 concluding observations, the UN Human Rights Committee found that discrimination based on sexual orientation and gender identity was not adequately prohibited in Dominica and recommended that Dominica enact </w:t>
      </w:r>
      <w:r w:rsidDel="00000000" w:rsidR="00000000" w:rsidRPr="00000000">
        <w:rPr>
          <w:rFonts w:ascii="Roboto" w:cs="Roboto" w:eastAsia="Roboto" w:hAnsi="Roboto"/>
          <w:b w:val="1"/>
          <w:bCs w:val="1"/>
          <w:color w:val="000000"/>
          <w:sz w:val="24"/>
          <w:szCs w:val="24"/>
          <w:rtl w:val="0"/>
        </w:rPr>
        <w:t xml:space="preserve">comprehensive legislation providing full and effective protection against discrimination in all spheres</w:t>
      </w:r>
      <w:r w:rsidDel="00000000" w:rsidR="00000000" w:rsidRPr="00000000">
        <w:rPr>
          <w:rFonts w:ascii="Roboto" w:cs="Roboto" w:eastAsia="Roboto" w:hAnsi="Roboto"/>
          <w:color w:val="000000"/>
          <w:sz w:val="24"/>
          <w:szCs w:val="24"/>
          <w:rtl w:val="0"/>
        </w:rPr>
        <w:t xml:space="preserve">, expressly including sexual orientation and gender identity.</w:t>
      </w:r>
      <w:r w:rsidDel="00000000" w:rsidR="00000000" w:rsidRPr="00000000">
        <w:rPr>
          <w:rFonts w:ascii="Roboto" w:cs="Roboto" w:eastAsia="Roboto" w:hAnsi="Roboto"/>
          <w:color w:val="000000"/>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37">
      <w:pPr>
        <w:pStyle w:val="Heading3"/>
        <w:keepNext w:val="0"/>
        <w:keepLines w:val="0"/>
        <w:spacing w:after="240" w:before="240" w:lineRule="auto"/>
        <w:rPr>
          <w:rFonts w:ascii="Roboto" w:cs="Roboto" w:eastAsia="Roboto" w:hAnsi="Roboto"/>
          <w:color w:val="000000"/>
          <w:sz w:val="24"/>
          <w:szCs w:val="24"/>
        </w:rPr>
      </w:pPr>
      <w:bookmarkStart w:colFirst="0" w:colLast="0" w:name="_83nmdhecorfu" w:id="16"/>
      <w:bookmarkEnd w:id="16"/>
      <w:r w:rsidDel="00000000" w:rsidR="00000000" w:rsidRPr="00000000">
        <w:rPr>
          <w:rFonts w:ascii="Roboto" w:cs="Roboto" w:eastAsia="Roboto" w:hAnsi="Roboto"/>
          <w:color w:val="000000"/>
          <w:sz w:val="24"/>
          <w:szCs w:val="24"/>
          <w:rtl w:val="0"/>
        </w:rPr>
        <w:t xml:space="preserve">MiRiDom welcomed the High Court’s ruli</w:t>
      </w:r>
      <w:r w:rsidDel="00000000" w:rsidR="00000000" w:rsidRPr="00000000">
        <w:rPr>
          <w:rFonts w:ascii="Roboto" w:cs="Roboto" w:eastAsia="Roboto" w:hAnsi="Roboto"/>
          <w:color w:val="000000"/>
          <w:sz w:val="24"/>
          <w:szCs w:val="24"/>
          <w:rtl w:val="0"/>
        </w:rPr>
        <w:t xml:space="preserve">ng in April 2024; through the advocacy and support of MiRiDom and other stakeholders, the High Court of Dominica declared the criminalization of consensual same-sex sexual activity between adults unconstitutional. The Court ruled that sections 14 and 16 of the Sexual Offences Act were unconstitutional and violated rights including liberty, freedom of expression and personal privacy.</w:t>
      </w:r>
      <w:r w:rsidDel="00000000" w:rsidR="00000000" w:rsidRPr="00000000">
        <w:rPr>
          <w:rFonts w:ascii="Roboto" w:cs="Roboto" w:eastAsia="Roboto" w:hAnsi="Roboto"/>
          <w:color w:val="000000"/>
          <w:sz w:val="24"/>
          <w:szCs w:val="24"/>
          <w:vertAlign w:val="superscript"/>
        </w:rPr>
        <w:footnoteReference w:customMarkFollows="0" w:id="3"/>
      </w:r>
      <w:r w:rsidDel="00000000" w:rsidR="00000000" w:rsidRPr="00000000">
        <w:rPr>
          <w:rFonts w:ascii="Roboto" w:cs="Roboto" w:eastAsia="Roboto" w:hAnsi="Roboto"/>
          <w:color w:val="000000"/>
          <w:sz w:val="24"/>
          <w:szCs w:val="24"/>
          <w:rtl w:val="0"/>
        </w:rPr>
        <w:t xml:space="preserve"> The United Nations subsequently recognized this development in the 2024 OHCHR compilation prepared for Dominica's Universal Periodic Review.</w:t>
      </w:r>
    </w:p>
    <w:p w:rsidR="00000000" w:rsidDel="00000000" w:rsidP="00000000" w:rsidRDefault="00000000" w:rsidRPr="00000000" w14:paraId="00000038">
      <w:pPr>
        <w:pStyle w:val="Heading3"/>
        <w:keepNext w:val="0"/>
        <w:keepLines w:val="0"/>
        <w:spacing w:after="240" w:before="240" w:lineRule="auto"/>
        <w:rPr>
          <w:rFonts w:ascii="Roboto" w:cs="Roboto" w:eastAsia="Roboto" w:hAnsi="Roboto"/>
          <w:color w:val="000000"/>
          <w:sz w:val="24"/>
          <w:szCs w:val="24"/>
        </w:rPr>
      </w:pPr>
      <w:bookmarkStart w:colFirst="0" w:colLast="0" w:name="_we87xaf8saez" w:id="17"/>
      <w:bookmarkEnd w:id="17"/>
      <w:r w:rsidDel="00000000" w:rsidR="00000000" w:rsidRPr="00000000">
        <w:rPr>
          <w:rFonts w:ascii="Roboto" w:cs="Roboto" w:eastAsia="Roboto" w:hAnsi="Roboto"/>
          <w:color w:val="000000"/>
          <w:sz w:val="24"/>
          <w:szCs w:val="24"/>
          <w:rtl w:val="0"/>
        </w:rPr>
        <w:t xml:space="preserve"> Decriminalisation, however, addresses only one dimension of LGBTQIA+ equality. Removing criminal penalties for consensual same-sex intimacy does not, by itself, protect LGBTQ+ persons from discrimination in employment, housing, education, healthcare, access to services, or other areas of public and private life.</w:t>
      </w:r>
    </w:p>
    <w:p w:rsidR="00000000" w:rsidDel="00000000" w:rsidP="00000000" w:rsidRDefault="00000000" w:rsidRPr="00000000" w14:paraId="00000039">
      <w:pPr>
        <w:pStyle w:val="Heading3"/>
        <w:keepNext w:val="0"/>
        <w:keepLines w:val="0"/>
        <w:spacing w:after="240" w:before="240" w:lineRule="auto"/>
        <w:rPr>
          <w:sz w:val="24"/>
          <w:szCs w:val="24"/>
        </w:rPr>
      </w:pPr>
      <w:bookmarkStart w:colFirst="0" w:colLast="0" w:name="_9vum68a7qa2x" w:id="18"/>
      <w:bookmarkEnd w:id="18"/>
      <w:r w:rsidDel="00000000" w:rsidR="00000000" w:rsidRPr="00000000">
        <w:rPr>
          <w:rFonts w:ascii="Roboto" w:cs="Roboto" w:eastAsia="Roboto" w:hAnsi="Roboto"/>
          <w:sz w:val="24"/>
          <w:szCs w:val="24"/>
          <w:rtl w:val="0"/>
        </w:rPr>
        <w:br w:type="textWrapping"/>
      </w:r>
      <w:r w:rsidDel="00000000" w:rsidR="00000000" w:rsidRPr="00000000">
        <w:rPr>
          <w:rFonts w:ascii="Roboto" w:cs="Roboto" w:eastAsia="Roboto" w:hAnsi="Roboto"/>
          <w:color w:val="000000"/>
          <w:sz w:val="24"/>
          <w:szCs w:val="24"/>
          <w:rtl w:val="0"/>
        </w:rPr>
        <w:t xml:space="preserve">Following Dominica's fourth-cycle review, several UN member states recommended that the government </w:t>
      </w:r>
      <w:r w:rsidDel="00000000" w:rsidR="00000000" w:rsidRPr="00000000">
        <w:rPr>
          <w:color w:val="000000"/>
          <w:sz w:val="24"/>
          <w:szCs w:val="24"/>
          <w:rtl w:val="0"/>
        </w:rPr>
        <w:t xml:space="preserve">"strengthen legal protections for LGBTQI+ persons."</w:t>
      </w:r>
      <w:r w:rsidDel="00000000" w:rsidR="00000000" w:rsidRPr="00000000">
        <w:rPr>
          <w:rFonts w:ascii="Roboto" w:cs="Roboto" w:eastAsia="Roboto" w:hAnsi="Roboto"/>
          <w:color w:val="000000"/>
          <w:sz w:val="24"/>
          <w:szCs w:val="24"/>
          <w:rtl w:val="0"/>
        </w:rPr>
        <w:t xml:space="preserve"> In particular, delegations urged Dominica to implement comprehensive measures to </w:t>
      </w:r>
      <w:r w:rsidDel="00000000" w:rsidR="00000000" w:rsidRPr="00000000">
        <w:rPr>
          <w:color w:val="000000"/>
          <w:sz w:val="24"/>
          <w:szCs w:val="24"/>
          <w:rtl w:val="0"/>
        </w:rPr>
        <w:t xml:space="preserve">"prohibit discrimination"</w:t>
      </w:r>
      <w:r w:rsidDel="00000000" w:rsidR="00000000" w:rsidRPr="00000000">
        <w:rPr>
          <w:rFonts w:ascii="Roboto" w:cs="Roboto" w:eastAsia="Roboto" w:hAnsi="Roboto"/>
          <w:color w:val="000000"/>
          <w:sz w:val="24"/>
          <w:szCs w:val="24"/>
          <w:rtl w:val="0"/>
        </w:rPr>
        <w:t xml:space="preserve"> and actively </w:t>
      </w:r>
      <w:r w:rsidDel="00000000" w:rsidR="00000000" w:rsidRPr="00000000">
        <w:rPr>
          <w:color w:val="000000"/>
          <w:sz w:val="24"/>
          <w:szCs w:val="24"/>
          <w:rtl w:val="0"/>
        </w:rPr>
        <w:t xml:space="preserve">"ensure equal protection under the law"</w:t>
      </w:r>
      <w:r w:rsidDel="00000000" w:rsidR="00000000" w:rsidRPr="00000000">
        <w:rPr>
          <w:rFonts w:ascii="Roboto" w:cs="Roboto" w:eastAsia="Roboto" w:hAnsi="Roboto"/>
          <w:color w:val="000000"/>
          <w:sz w:val="24"/>
          <w:szCs w:val="24"/>
          <w:rtl w:val="0"/>
        </w:rPr>
        <w:t xml:space="preserve"> for all citizens, regardless of sexual orientation or gender identity.</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3A">
      <w:pPr>
        <w:pStyle w:val="Heading3"/>
        <w:keepNext w:val="0"/>
        <w:keepLines w:val="0"/>
        <w:spacing w:after="240" w:before="240" w:lineRule="auto"/>
        <w:rPr>
          <w:rFonts w:ascii="Roboto" w:cs="Roboto" w:eastAsia="Roboto" w:hAnsi="Roboto"/>
          <w:color w:val="000000"/>
          <w:sz w:val="24"/>
          <w:szCs w:val="24"/>
        </w:rPr>
      </w:pPr>
      <w:bookmarkStart w:colFirst="0" w:colLast="0" w:name="_7kfywwfxysy3" w:id="19"/>
      <w:bookmarkEnd w:id="19"/>
      <w:r w:rsidDel="00000000" w:rsidR="00000000" w:rsidRPr="00000000">
        <w:rPr>
          <w:rFonts w:ascii="Roboto" w:cs="Roboto" w:eastAsia="Roboto" w:hAnsi="Roboto"/>
          <w:color w:val="000000"/>
          <w:sz w:val="24"/>
          <w:szCs w:val="24"/>
          <w:rtl w:val="0"/>
        </w:rPr>
        <w:t xml:space="preserve"> Accordingly, the enactment of comprehensive anti-discrimination legislation protecting LGBTQIA+  persons is not merely a matter of domestic policy preference; it is directly connected to Dominica's implementation of its obligations under the ICCPR and to a specific recommendation made by the UN Human Rights Committee.</w:t>
      </w:r>
    </w:p>
    <w:p w:rsidR="00000000" w:rsidDel="00000000" w:rsidP="00000000" w:rsidRDefault="00000000" w:rsidRPr="00000000" w14:paraId="0000003B">
      <w:pPr>
        <w:pStyle w:val="Heading3"/>
        <w:keepNext w:val="0"/>
        <w:keepLines w:val="0"/>
        <w:spacing w:after="240" w:before="240" w:lineRule="auto"/>
        <w:rPr>
          <w:rFonts w:ascii="Roboto" w:cs="Roboto" w:eastAsia="Roboto" w:hAnsi="Roboto"/>
          <w:b w:val="1"/>
          <w:bCs w:val="1"/>
          <w:color w:val="000000"/>
          <w:sz w:val="24"/>
          <w:szCs w:val="24"/>
          <w:u w:val="single"/>
        </w:rPr>
      </w:pPr>
      <w:bookmarkStart w:colFirst="0" w:colLast="0" w:name="_qjaqbtw7p88q" w:id="20"/>
      <w:bookmarkEnd w:id="20"/>
      <w:r w:rsidDel="00000000" w:rsidR="00000000" w:rsidRPr="00000000">
        <w:rPr>
          <w:rFonts w:ascii="Roboto" w:cs="Roboto" w:eastAsia="Roboto" w:hAnsi="Roboto"/>
          <w:color w:val="000000"/>
          <w:sz w:val="24"/>
          <w:szCs w:val="24"/>
          <w:rtl w:val="0"/>
        </w:rPr>
        <w:t xml:space="preserve">At present, these recommendations and obligations concerning comprehensive anti-discrimination legislation</w:t>
      </w:r>
      <w:r w:rsidDel="00000000" w:rsidR="00000000" w:rsidRPr="00000000">
        <w:rPr>
          <w:rFonts w:ascii="Roboto" w:cs="Roboto" w:eastAsia="Roboto" w:hAnsi="Roboto"/>
          <w:b w:val="1"/>
          <w:bCs w:val="1"/>
          <w:color w:val="000000"/>
          <w:sz w:val="24"/>
          <w:szCs w:val="24"/>
          <w:rtl w:val="0"/>
        </w:rPr>
        <w:t xml:space="preserve"> have not been addressed </w:t>
      </w:r>
      <w:r w:rsidDel="00000000" w:rsidR="00000000" w:rsidRPr="00000000">
        <w:rPr>
          <w:rFonts w:ascii="Roboto" w:cs="Roboto" w:eastAsia="Roboto" w:hAnsi="Roboto"/>
          <w:color w:val="000000"/>
          <w:sz w:val="24"/>
          <w:szCs w:val="24"/>
          <w:rtl w:val="0"/>
        </w:rPr>
        <w:t xml:space="preserve">through the enactment of a comprehensive legal framework protecting LGBTQIA+ persons. </w:t>
      </w:r>
      <w:r w:rsidDel="00000000" w:rsidR="00000000" w:rsidRPr="00000000">
        <w:rPr>
          <w:rtl w:val="0"/>
        </w:rPr>
      </w:r>
    </w:p>
    <w:p w:rsidR="00000000" w:rsidDel="00000000" w:rsidP="00000000" w:rsidRDefault="00000000" w:rsidRPr="00000000" w14:paraId="0000003C">
      <w:pPr>
        <w:pStyle w:val="Heading3"/>
        <w:keepNext w:val="0"/>
        <w:keepLines w:val="0"/>
        <w:spacing w:before="200" w:lineRule="auto"/>
        <w:rPr>
          <w:rFonts w:ascii="Roboto" w:cs="Roboto" w:eastAsia="Roboto" w:hAnsi="Roboto"/>
          <w:b w:val="1"/>
          <w:bCs w:val="1"/>
          <w:color w:val="000000"/>
          <w:sz w:val="24"/>
          <w:szCs w:val="24"/>
          <w:u w:val="single"/>
        </w:rPr>
      </w:pPr>
      <w:bookmarkStart w:colFirst="0" w:colLast="0" w:name="_ibpuu1w2eue5" w:id="21"/>
      <w:bookmarkEnd w:id="21"/>
      <w:r w:rsidDel="00000000" w:rsidR="00000000" w:rsidRPr="00000000">
        <w:rPr>
          <w:rFonts w:ascii="Roboto" w:cs="Roboto" w:eastAsia="Roboto" w:hAnsi="Roboto"/>
          <w:b w:val="1"/>
          <w:bCs w:val="1"/>
          <w:color w:val="000000"/>
          <w:sz w:val="24"/>
          <w:szCs w:val="24"/>
          <w:u w:val="single"/>
          <w:rtl w:val="0"/>
        </w:rPr>
        <w:t xml:space="preserve">Relevant International Standards</w:t>
      </w:r>
    </w:p>
    <w:p w:rsidR="00000000" w:rsidDel="00000000" w:rsidP="00000000" w:rsidRDefault="00000000" w:rsidRPr="00000000" w14:paraId="0000003D">
      <w:pPr>
        <w:numPr>
          <w:ilvl w:val="0"/>
          <w:numId w:val="2"/>
        </w:numPr>
        <w:spacing w:after="24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Articles 2 and 26 of the International Covenant on Civil and Political Rights (ICCPR) require States to guarantee equality before the law and prohibit discrimination.</w:t>
      </w:r>
    </w:p>
    <w:p w:rsidR="00000000" w:rsidDel="00000000" w:rsidP="00000000" w:rsidRDefault="00000000" w:rsidRPr="00000000" w14:paraId="0000003E">
      <w:pPr>
        <w:numPr>
          <w:ilvl w:val="0"/>
          <w:numId w:val="2"/>
        </w:numPr>
        <w:spacing w:after="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Article 2(2) of the International Covenant on Economic, Social and Cultural Rights (ICESCR) requires Covenant rights to be guaranteed without discrimination.</w:t>
      </w:r>
    </w:p>
    <w:p w:rsidR="00000000" w:rsidDel="00000000" w:rsidP="00000000" w:rsidRDefault="00000000" w:rsidRPr="00000000" w14:paraId="0000003F">
      <w:pPr>
        <w:numPr>
          <w:ilvl w:val="0"/>
          <w:numId w:val="2"/>
        </w:numPr>
        <w:spacing w:after="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Human Rights Committee General Comment No. 18 (1989) affirms that States must adopt legislative and policy measures to eliminate discrimination.</w:t>
      </w:r>
    </w:p>
    <w:p w:rsidR="00000000" w:rsidDel="00000000" w:rsidP="00000000" w:rsidRDefault="00000000" w:rsidRPr="00000000" w14:paraId="00000040">
      <w:pPr>
        <w:numPr>
          <w:ilvl w:val="0"/>
          <w:numId w:val="2"/>
        </w:numPr>
        <w:spacing w:after="24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Inter-American Commission on Human Rights (2024) welcomed the High Court’s decision and emphasized that decriminalization alone is insufficient; States should establish legal frameworks protecting LGBTQI+ persons from violence and discrimination. </w:t>
      </w:r>
      <w:r w:rsidDel="00000000" w:rsidR="00000000" w:rsidRPr="00000000">
        <w:rPr>
          <w:rtl w:val="0"/>
        </w:rPr>
      </w:r>
    </w:p>
    <w:p w:rsidR="00000000" w:rsidDel="00000000" w:rsidP="00000000" w:rsidRDefault="00000000" w:rsidRPr="00000000" w14:paraId="00000041">
      <w:pPr>
        <w:pStyle w:val="Heading2"/>
        <w:keepNext w:val="0"/>
        <w:keepLines w:val="0"/>
        <w:spacing w:after="80" w:lineRule="auto"/>
        <w:rPr>
          <w:rFonts w:ascii="Roboto" w:cs="Roboto" w:eastAsia="Roboto" w:hAnsi="Roboto"/>
          <w:b w:val="1"/>
          <w:bCs w:val="1"/>
        </w:rPr>
      </w:pPr>
      <w:bookmarkStart w:colFirst="0" w:colLast="0" w:name="_ljyka0kz6bal" w:id="22"/>
      <w:bookmarkEnd w:id="22"/>
      <w:r w:rsidDel="00000000" w:rsidR="00000000" w:rsidRPr="00000000">
        <w:rPr>
          <w:rFonts w:ascii="Roboto" w:cs="Roboto" w:eastAsia="Roboto" w:hAnsi="Roboto"/>
          <w:b w:val="1"/>
          <w:bCs w:val="1"/>
          <w:rtl w:val="0"/>
        </w:rPr>
        <w:t xml:space="preserve">3. Development and Adoption of a National Gender Policy</w:t>
      </w:r>
    </w:p>
    <w:p w:rsidR="00000000" w:rsidDel="00000000" w:rsidP="00000000" w:rsidRDefault="00000000" w:rsidRPr="00000000" w14:paraId="00000042">
      <w:pPr>
        <w:spacing w:after="240" w:before="240" w:lineRule="auto"/>
        <w:rPr>
          <w:rFonts w:ascii="Roboto" w:cs="Roboto" w:eastAsia="Roboto" w:hAnsi="Roboto"/>
          <w:b w:val="1"/>
          <w:bCs w:val="1"/>
        </w:rPr>
      </w:pPr>
      <w:r w:rsidDel="00000000" w:rsidR="00000000" w:rsidRPr="00000000">
        <w:rPr>
          <w:rFonts w:ascii="Roboto" w:cs="Roboto" w:eastAsia="Roboto" w:hAnsi="Roboto"/>
          <w:b w:val="1"/>
          <w:bCs w:val="1"/>
          <w:rtl w:val="0"/>
        </w:rPr>
        <w:t xml:space="preserve">Status: Partially Implemented/ pending formal adoption and implementation</w:t>
      </w:r>
    </w:p>
    <w:p w:rsidR="00000000" w:rsidDel="00000000" w:rsidP="00000000" w:rsidRDefault="00000000" w:rsidRPr="00000000" w14:paraId="00000043">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w:t>
      </w:r>
      <w:r w:rsidDel="00000000" w:rsidR="00000000" w:rsidRPr="00000000">
        <w:rPr>
          <w:rFonts w:ascii="Roboto" w:cs="Roboto" w:eastAsia="Roboto" w:hAnsi="Roboto"/>
          <w:b w:val="1"/>
          <w:bCs w:val="1"/>
          <w:sz w:val="24"/>
          <w:szCs w:val="24"/>
          <w:rtl w:val="0"/>
        </w:rPr>
        <w:t xml:space="preserve">OHCHR 2024</w:t>
      </w:r>
      <w:r w:rsidDel="00000000" w:rsidR="00000000" w:rsidRPr="00000000">
        <w:rPr>
          <w:rFonts w:ascii="Roboto" w:cs="Roboto" w:eastAsia="Roboto" w:hAnsi="Roboto"/>
          <w:sz w:val="24"/>
          <w:szCs w:val="24"/>
          <w:rtl w:val="0"/>
        </w:rPr>
        <w:t xml:space="preserve"> Compilation of Information on Dominica reflects recommendations from United Nations treaty bodies encouraging Dominica to strengthen institutional and legislative measures to advance gender equality. </w:t>
      </w:r>
      <w:r w:rsidDel="00000000" w:rsidR="00000000" w:rsidRPr="00000000">
        <w:rPr>
          <w:rFonts w:ascii="Roboto" w:cs="Roboto" w:eastAsia="Roboto" w:hAnsi="Roboto"/>
          <w:sz w:val="24"/>
          <w:szCs w:val="24"/>
          <w:vertAlign w:val="superscript"/>
        </w:rPr>
        <w:footnoteReference w:customMarkFollows="0" w:id="5"/>
      </w:r>
      <w:r w:rsidDel="00000000" w:rsidR="00000000" w:rsidRPr="00000000">
        <w:rPr>
          <w:rFonts w:ascii="Roboto" w:cs="Roboto" w:eastAsia="Roboto" w:hAnsi="Roboto"/>
          <w:sz w:val="24"/>
          <w:szCs w:val="24"/>
          <w:rtl w:val="0"/>
        </w:rPr>
        <w:t xml:space="preserve"> The reporting organization remains concerned that Dominica has not adopted a comprehensive National Gender Policy to guide coordinated action on gender equality, gender-based violence, women’s economic empowerment, political participation, and gender mainstreaming across government institutions. </w:t>
      </w:r>
    </w:p>
    <w:p w:rsidR="00000000" w:rsidDel="00000000" w:rsidP="00000000" w:rsidRDefault="00000000" w:rsidRPr="00000000" w14:paraId="00000044">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Dominica's existing 2006 National Policy and Action Plan is outdated, and the updated policy/action plan has not yet been formally adopted and implemented. The absence of an updated national policy limits the State’s ability to implement a coherent, rights-based approach to achieving gender equality and fulfilling its international obligations. The challenges posed by this and other underdeveloped policies have been discussed amongst 23 Dominican CSO groups in meetings coordinated by Lifeline ministries, a Dominican NGO centered on providing safety and wellness resources to vulnerable communities.  In 2025, multiple CSOs alongside MiRiDom submitted significant recommendations for the National Gender Policy Draft.</w:t>
      </w:r>
    </w:p>
    <w:p w:rsidR="00000000" w:rsidDel="00000000" w:rsidP="00000000" w:rsidRDefault="00000000" w:rsidRPr="00000000" w14:paraId="00000045">
      <w:pPr>
        <w:spacing w:after="240" w:before="240" w:lineRule="auto"/>
        <w:rPr>
          <w:sz w:val="24"/>
          <w:szCs w:val="24"/>
        </w:rPr>
      </w:pPr>
      <w:r w:rsidDel="00000000" w:rsidR="00000000" w:rsidRPr="00000000">
        <w:rPr>
          <w:rFonts w:ascii="Roboto" w:cs="Roboto" w:eastAsia="Roboto" w:hAnsi="Roboto"/>
          <w:sz w:val="24"/>
          <w:szCs w:val="24"/>
          <w:rtl w:val="0"/>
        </w:rPr>
        <w:br w:type="textWrapping"/>
        <w:t xml:space="preserve">Multiple States made official </w:t>
      </w:r>
      <w:r w:rsidDel="00000000" w:rsidR="00000000" w:rsidRPr="00000000">
        <w:rPr>
          <w:sz w:val="24"/>
          <w:szCs w:val="24"/>
          <w:rtl w:val="0"/>
        </w:rPr>
        <w:t xml:space="preserve">recommendations directed to Dominica from the Fourth Cycle of the Universal Periodic Review (2024)</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w:t>
      </w:r>
    </w:p>
    <w:p w:rsidR="00000000" w:rsidDel="00000000" w:rsidP="00000000" w:rsidRDefault="00000000" w:rsidRPr="00000000" w14:paraId="00000046">
      <w:pPr>
        <w:spacing w:after="240" w:before="240" w:lineRule="auto"/>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97.114 - Ireland:</w:t>
      </w:r>
      <w:r w:rsidDel="00000000" w:rsidR="00000000" w:rsidRPr="00000000">
        <w:rPr>
          <w:rFonts w:ascii="Roboto" w:cs="Roboto" w:eastAsia="Roboto" w:hAnsi="Roboto"/>
          <w:sz w:val="24"/>
          <w:szCs w:val="24"/>
          <w:rtl w:val="0"/>
        </w:rPr>
        <w:t xml:space="preserve"> strengthen laws protecting women and girls from violence, investigate cases, support victims and collect comprehensive data;</w:t>
      </w:r>
    </w:p>
    <w:p w:rsidR="00000000" w:rsidDel="00000000" w:rsidP="00000000" w:rsidRDefault="00000000" w:rsidRPr="00000000" w14:paraId="00000047">
      <w:pPr>
        <w:spacing w:after="240" w:before="240" w:lineRule="auto"/>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97.124 - Spain:</w:t>
      </w:r>
      <w:r w:rsidDel="00000000" w:rsidR="00000000" w:rsidRPr="00000000">
        <w:rPr>
          <w:rFonts w:ascii="Roboto" w:cs="Roboto" w:eastAsia="Roboto" w:hAnsi="Roboto"/>
          <w:sz w:val="24"/>
          <w:szCs w:val="24"/>
          <w:rtl w:val="0"/>
        </w:rPr>
        <w:t xml:space="preserve"> strengthen the judicial system and protection/support for victims of gender-based violence and ratify the CEDAW Optional Protocol;</w:t>
      </w:r>
    </w:p>
    <w:p w:rsidR="00000000" w:rsidDel="00000000" w:rsidP="00000000" w:rsidRDefault="00000000" w:rsidRPr="00000000" w14:paraId="00000048">
      <w:pPr>
        <w:spacing w:after="240" w:before="240" w:lineRule="auto"/>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97.125 - United Kingdom:</w:t>
      </w:r>
      <w:r w:rsidDel="00000000" w:rsidR="00000000" w:rsidRPr="00000000">
        <w:rPr>
          <w:rFonts w:ascii="Roboto" w:cs="Roboto" w:eastAsia="Roboto" w:hAnsi="Roboto"/>
          <w:sz w:val="24"/>
          <w:szCs w:val="24"/>
          <w:rtl w:val="0"/>
        </w:rPr>
        <w:t xml:space="preserve"> draft and pass an updated national policy and plan of action on gender equality aligned with best practices.</w:t>
      </w:r>
    </w:p>
    <w:p w:rsidR="00000000" w:rsidDel="00000000" w:rsidP="00000000" w:rsidRDefault="00000000" w:rsidRPr="00000000" w14:paraId="00000049">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As of right now there has been no updates to the gender policy of Dominica. </w:t>
      </w:r>
    </w:p>
    <w:p w:rsidR="00000000" w:rsidDel="00000000" w:rsidP="00000000" w:rsidRDefault="00000000" w:rsidRPr="00000000" w14:paraId="0000004A">
      <w:pPr>
        <w:spacing w:after="240" w:before="240" w:lineRule="auto"/>
        <w:rPr>
          <w:rFonts w:ascii="Roboto" w:cs="Roboto" w:eastAsia="Roboto" w:hAnsi="Roboto"/>
          <w:sz w:val="24"/>
          <w:szCs w:val="24"/>
        </w:rPr>
      </w:pPr>
      <w:r w:rsidDel="00000000" w:rsidR="00000000" w:rsidRPr="00000000">
        <w:rPr>
          <w:sz w:val="24"/>
          <w:szCs w:val="24"/>
          <w:rtl w:val="0"/>
        </w:rPr>
        <w:t xml:space="preserve">The United Nations subregional team indicated that a revised national policy and action plan for gender equity and equality in Dominica has been drafted, but not yet submitted for Cabinet approval</w:t>
      </w:r>
      <w:r w:rsidDel="00000000" w:rsidR="00000000" w:rsidRPr="00000000">
        <w:rPr>
          <w:rFonts w:ascii="Roboto" w:cs="Roboto" w:eastAsia="Roboto" w:hAnsi="Roboto"/>
          <w:sz w:val="24"/>
          <w:szCs w:val="24"/>
          <w:rtl w:val="0"/>
        </w:rPr>
        <w:t xml:space="preserve">. This, according to the Office of the High Commissioner for Human Rights, represents a policy that is currently in development rather than any implementation.</w:t>
      </w:r>
      <w:r w:rsidDel="00000000" w:rsidR="00000000" w:rsidRPr="00000000">
        <w:rPr>
          <w:rFonts w:ascii="Roboto" w:cs="Roboto" w:eastAsia="Roboto" w:hAnsi="Roboto"/>
          <w:sz w:val="24"/>
          <w:szCs w:val="24"/>
          <w:vertAlign w:val="superscript"/>
        </w:rPr>
        <w:footnoteReference w:customMarkFollows="0" w:id="7"/>
      </w:r>
      <w:r w:rsidDel="00000000" w:rsidR="00000000" w:rsidRPr="00000000">
        <w:rPr>
          <w:rFonts w:ascii="Roboto" w:cs="Roboto" w:eastAsia="Roboto" w:hAnsi="Roboto"/>
          <w:sz w:val="24"/>
          <w:szCs w:val="24"/>
          <w:rtl w:val="0"/>
        </w:rPr>
        <w:br w:type="textWrapping"/>
        <w:br w:type="textWrapping"/>
        <w:t xml:space="preserve">To the knowledge of other CSOs and the general public, the Government has made minimal effort towards updating these drafts as well as their own resources, for further implementation.</w:t>
      </w:r>
    </w:p>
    <w:p w:rsidR="00000000" w:rsidDel="00000000" w:rsidP="00000000" w:rsidRDefault="00000000" w:rsidRPr="00000000" w14:paraId="0000004B">
      <w:pPr>
        <w:spacing w:after="240" w:before="240" w:lineRule="auto"/>
        <w:rPr>
          <w:rFonts w:ascii="Roboto" w:cs="Roboto" w:eastAsia="Roboto" w:hAnsi="Roboto"/>
        </w:rPr>
      </w:pPr>
      <w:r w:rsidDel="00000000" w:rsidR="00000000" w:rsidRPr="00000000">
        <w:rPr>
          <w:rFonts w:ascii="Roboto" w:cs="Roboto" w:eastAsia="Roboto" w:hAnsi="Roboto"/>
          <w:sz w:val="24"/>
          <w:szCs w:val="24"/>
          <w:rtl w:val="0"/>
        </w:rPr>
        <w:t xml:space="preserve">These policies are needed to translate abstract commitments into concrete actions, transforming cultures in difficult spaces and driving measurable progress toward gender parity. </w:t>
      </w:r>
      <w:r w:rsidDel="00000000" w:rsidR="00000000" w:rsidRPr="00000000">
        <w:rPr>
          <w:rtl w:val="0"/>
        </w:rPr>
      </w:r>
    </w:p>
    <w:p w:rsidR="00000000" w:rsidDel="00000000" w:rsidP="00000000" w:rsidRDefault="00000000" w:rsidRPr="00000000" w14:paraId="0000004C">
      <w:pPr>
        <w:pStyle w:val="Heading3"/>
        <w:keepNext w:val="0"/>
        <w:keepLines w:val="0"/>
        <w:spacing w:before="200" w:lineRule="auto"/>
        <w:rPr>
          <w:rFonts w:ascii="Roboto" w:cs="Roboto" w:eastAsia="Roboto" w:hAnsi="Roboto"/>
          <w:b w:val="1"/>
          <w:bCs w:val="1"/>
          <w:color w:val="000000"/>
          <w:sz w:val="26"/>
          <w:szCs w:val="26"/>
          <w:u w:val="single"/>
        </w:rPr>
      </w:pPr>
      <w:bookmarkStart w:colFirst="0" w:colLast="0" w:name="_kdorqdss5498" w:id="23"/>
      <w:bookmarkEnd w:id="23"/>
      <w:r w:rsidDel="00000000" w:rsidR="00000000" w:rsidRPr="00000000">
        <w:rPr>
          <w:rFonts w:ascii="Roboto" w:cs="Roboto" w:eastAsia="Roboto" w:hAnsi="Roboto"/>
          <w:b w:val="1"/>
          <w:bCs w:val="1"/>
          <w:color w:val="000000"/>
          <w:sz w:val="26"/>
          <w:szCs w:val="26"/>
          <w:u w:val="single"/>
          <w:rtl w:val="0"/>
        </w:rPr>
        <w:t xml:space="preserve">Relevant International Standards</w:t>
      </w:r>
    </w:p>
    <w:p w:rsidR="00000000" w:rsidDel="00000000" w:rsidP="00000000" w:rsidRDefault="00000000" w:rsidRPr="00000000" w14:paraId="0000004D">
      <w:pPr>
        <w:numPr>
          <w:ilvl w:val="0"/>
          <w:numId w:val="5"/>
        </w:numPr>
        <w:spacing w:after="24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Convention on the Elimination of All Forms of Discrimination against Women (CEDAW), Articles 2 and 3</w:t>
      </w:r>
    </w:p>
    <w:p w:rsidR="00000000" w:rsidDel="00000000" w:rsidP="00000000" w:rsidRDefault="00000000" w:rsidRPr="00000000" w14:paraId="0000004E">
      <w:pPr>
        <w:numPr>
          <w:ilvl w:val="0"/>
          <w:numId w:val="5"/>
        </w:numPr>
        <w:spacing w:after="240" w:before="200" w:lineRule="auto"/>
        <w:ind w:left="720" w:hanging="360"/>
        <w:rPr>
          <w:rFonts w:ascii="Roboto" w:cs="Roboto" w:eastAsia="Roboto" w:hAnsi="Roboto"/>
        </w:rPr>
      </w:pPr>
      <w:r w:rsidDel="00000000" w:rsidR="00000000" w:rsidRPr="00000000">
        <w:rPr>
          <w:rFonts w:ascii="Roboto" w:cs="Roboto" w:eastAsia="Roboto" w:hAnsi="Roboto"/>
          <w:rtl w:val="0"/>
        </w:rPr>
        <w:t xml:space="preserve">Beijing Declaration and Platform for Action (1995) calls upon States to mainstream gender perspectives across all public policies and institutions.</w:t>
      </w:r>
    </w:p>
    <w:p w:rsidR="00000000" w:rsidDel="00000000" w:rsidP="00000000" w:rsidRDefault="00000000" w:rsidRPr="00000000" w14:paraId="0000004F">
      <w:pPr>
        <w:spacing w:after="240" w:before="20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50">
      <w:pPr>
        <w:spacing w:after="240" w:before="20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51">
      <w:pPr>
        <w:pStyle w:val="Heading2"/>
        <w:keepNext w:val="0"/>
        <w:keepLines w:val="0"/>
        <w:spacing w:after="80" w:lineRule="auto"/>
        <w:rPr>
          <w:rFonts w:ascii="Roboto" w:cs="Roboto" w:eastAsia="Roboto" w:hAnsi="Roboto"/>
          <w:b w:val="1"/>
          <w:bCs w:val="1"/>
          <w:sz w:val="34"/>
          <w:szCs w:val="34"/>
        </w:rPr>
      </w:pPr>
      <w:bookmarkStart w:colFirst="0" w:colLast="0" w:name="_4v7wh2umtek3" w:id="24"/>
      <w:bookmarkEnd w:id="24"/>
      <w:r w:rsidDel="00000000" w:rsidR="00000000" w:rsidRPr="00000000">
        <w:rPr>
          <w:rFonts w:ascii="Roboto" w:cs="Roboto" w:eastAsia="Roboto" w:hAnsi="Roboto"/>
          <w:b w:val="1"/>
          <w:bCs w:val="1"/>
          <w:sz w:val="34"/>
          <w:szCs w:val="34"/>
          <w:rtl w:val="0"/>
        </w:rPr>
        <w:t xml:space="preserve">4. Environmental Laws and Policies</w:t>
      </w:r>
    </w:p>
    <w:p w:rsidR="00000000" w:rsidDel="00000000" w:rsidP="00000000" w:rsidRDefault="00000000" w:rsidRPr="00000000" w14:paraId="00000052">
      <w:pPr>
        <w:spacing w:after="240" w:before="240" w:lineRule="auto"/>
        <w:rPr>
          <w:rFonts w:ascii="Roboto" w:cs="Roboto" w:eastAsia="Roboto" w:hAnsi="Roboto"/>
          <w:b w:val="1"/>
          <w:bCs w:val="1"/>
        </w:rPr>
      </w:pPr>
      <w:r w:rsidDel="00000000" w:rsidR="00000000" w:rsidRPr="00000000">
        <w:rPr>
          <w:rFonts w:ascii="Roboto" w:cs="Roboto" w:eastAsia="Roboto" w:hAnsi="Roboto"/>
          <w:b w:val="1"/>
          <w:bCs w:val="1"/>
          <w:rtl w:val="0"/>
        </w:rPr>
        <w:t xml:space="preserve">Status: Partially Implemented</w:t>
      </w:r>
    </w:p>
    <w:p w:rsidR="00000000" w:rsidDel="00000000" w:rsidP="00000000" w:rsidRDefault="00000000" w:rsidRPr="00000000" w14:paraId="00000053">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MiRiDom, other stakeholders/CSOs, local and regional environmentalists, and a significant portion of the Dominican public remain deeply concerned about serious weaknesses in environmental governance and regulatory enforcement in Dominica. The Deux Branches quarry/mining project provides a particularly serious illustration of these concerns. According to the documented evidence, large-scale excavation commenced in mid-2025 on protected State lands, without publicly demonstrated planning permission, an approved Environmental Impact Assessment (EIA/ESIA), or a mining licence.</w:t>
      </w:r>
      <w:r w:rsidDel="00000000" w:rsidR="00000000" w:rsidRPr="00000000">
        <w:rPr>
          <w:rFonts w:ascii="Roboto" w:cs="Roboto" w:eastAsia="Roboto" w:hAnsi="Roboto"/>
          <w:color w:val="000000"/>
          <w:sz w:val="26"/>
          <w:szCs w:val="26"/>
          <w:vertAlign w:val="superscript"/>
        </w:rPr>
        <w:footnoteReference w:customMarkFollows="0" w:id="8"/>
      </w:r>
      <w:r w:rsidDel="00000000" w:rsidR="00000000" w:rsidRPr="00000000">
        <w:rPr>
          <w:rFonts w:ascii="Roboto" w:cs="Roboto" w:eastAsia="Roboto" w:hAnsi="Roboto"/>
          <w:color w:val="000000"/>
          <w:sz w:val="26"/>
          <w:szCs w:val="26"/>
          <w:rtl w:val="0"/>
        </w:rPr>
        <w:t xml:space="preserve"> The government's own EIA guidance says that the Physical Planning Act requires an Environmental Impact Assessment for quarrying and other mining activities. It also specifically identifies development in conservation areas, national parks, environmental protection areas and other sensitive environmental areas as projects requiring EIA consideration. </w:t>
      </w:r>
      <w:r w:rsidDel="00000000" w:rsidR="00000000" w:rsidRPr="00000000">
        <w:rPr>
          <w:rFonts w:ascii="Roboto" w:cs="Roboto" w:eastAsia="Roboto" w:hAnsi="Roboto"/>
          <w:color w:val="000000"/>
          <w:sz w:val="26"/>
          <w:szCs w:val="26"/>
          <w:vertAlign w:val="superscript"/>
        </w:rPr>
        <w:footnoteReference w:customMarkFollows="0" w:id="9"/>
      </w:r>
      <w:r w:rsidDel="00000000" w:rsidR="00000000" w:rsidRPr="00000000">
        <w:rPr>
          <w:rtl w:val="0"/>
        </w:rPr>
      </w:r>
    </w:p>
    <w:p w:rsidR="00000000" w:rsidDel="00000000" w:rsidP="00000000" w:rsidRDefault="00000000" w:rsidRPr="00000000" w14:paraId="00000054">
      <w:pPr>
        <w:pStyle w:val="Heading3"/>
        <w:keepNext w:val="0"/>
        <w:keepLines w:val="0"/>
        <w:spacing w:after="240" w:before="240" w:lineRule="auto"/>
        <w:rPr>
          <w:rFonts w:ascii="Roboto" w:cs="Roboto" w:eastAsia="Roboto" w:hAnsi="Roboto"/>
          <w:color w:val="000000"/>
          <w:sz w:val="26"/>
          <w:szCs w:val="26"/>
        </w:rPr>
      </w:pPr>
      <w:bookmarkStart w:colFirst="0" w:colLast="0" w:name="_kjv47tv4qoq0" w:id="26"/>
      <w:bookmarkEnd w:id="26"/>
      <w:r w:rsidDel="00000000" w:rsidR="00000000" w:rsidRPr="00000000">
        <w:rPr>
          <w:rFonts w:ascii="Roboto" w:cs="Roboto" w:eastAsia="Roboto" w:hAnsi="Roboto"/>
          <w:color w:val="000000"/>
          <w:sz w:val="26"/>
          <w:szCs w:val="26"/>
          <w:rtl w:val="0"/>
        </w:rPr>
        <w:t xml:space="preserve"> If the Deux Branches operation overlaps a legally protected forest area, the environmental and other conditions applicable to the quarry/mineral right were allegedly not complied with.  </w:t>
      </w:r>
    </w:p>
    <w:p w:rsidR="00000000" w:rsidDel="00000000" w:rsidP="00000000" w:rsidRDefault="00000000" w:rsidRPr="00000000" w14:paraId="00000055">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Deux Branches is located in the upper Concord Valley and borders the Northern Forest Reserve, legally protected State land. The site is also upstream of the Kalinago Territory, while the Pagua River runs through the area and provides drinking water, fishing, and agricultural resources for downstream communities.</w:t>
      </w:r>
    </w:p>
    <w:p w:rsidR="00000000" w:rsidDel="00000000" w:rsidP="00000000" w:rsidRDefault="00000000" w:rsidRPr="00000000" w14:paraId="00000056">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evidence archive records that MMC Development Ltd began earthworks at the site during July-August 2025 under what was described as a “testing phase.” By September 2025, the Kalinago Council had raised concerns and the river was reportedly beginning to turn brown. Drone footage dated 30 November 2025 subsequently documented the scale of excavation and alleged encroachment into the surrounding forest. </w:t>
      </w:r>
      <w:r w:rsidDel="00000000" w:rsidR="00000000" w:rsidRPr="00000000">
        <w:rPr>
          <w:rFonts w:ascii="Roboto" w:cs="Roboto" w:eastAsia="Roboto" w:hAnsi="Roboto"/>
          <w:color w:val="000000"/>
          <w:sz w:val="26"/>
          <w:szCs w:val="26"/>
          <w:vertAlign w:val="superscript"/>
        </w:rPr>
        <w:footnoteReference w:customMarkFollows="0" w:id="10"/>
      </w:r>
      <w:r w:rsidDel="00000000" w:rsidR="00000000" w:rsidRPr="00000000">
        <w:rPr>
          <w:rtl w:val="0"/>
        </w:rPr>
      </w:r>
    </w:p>
    <w:p w:rsidR="00000000" w:rsidDel="00000000" w:rsidP="00000000" w:rsidRDefault="00000000" w:rsidRPr="00000000" w14:paraId="00000057">
      <w:pPr>
        <w:pStyle w:val="Heading3"/>
        <w:keepNext w:val="0"/>
        <w:keepLines w:val="0"/>
        <w:spacing w:after="240" w:before="240" w:lineRule="auto"/>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project has been presented as being connected to the supply of aggregate for the Dominica International Airport. However, the evidence compiled by Save Deux Branches states that no approved Environmental Impact Assessment, planning permission, or mining licence had been produced in relation to the excavation at the time of its reporting. The site’s legal assessment identifies the Physical Planning Act (2002)</w:t>
      </w:r>
      <w:r w:rsidDel="00000000" w:rsidR="00000000" w:rsidRPr="00000000">
        <w:rPr>
          <w:rFonts w:ascii="Roboto" w:cs="Roboto" w:eastAsia="Roboto" w:hAnsi="Roboto"/>
          <w:color w:val="000000"/>
          <w:sz w:val="26"/>
          <w:szCs w:val="26"/>
          <w:vertAlign w:val="superscript"/>
        </w:rPr>
        <w:footnoteReference w:customMarkFollows="0" w:id="11"/>
      </w:r>
      <w:r w:rsidDel="00000000" w:rsidR="00000000" w:rsidRPr="00000000">
        <w:rPr>
          <w:rFonts w:ascii="Roboto" w:cs="Roboto" w:eastAsia="Roboto" w:hAnsi="Roboto"/>
          <w:color w:val="000000"/>
          <w:sz w:val="26"/>
          <w:szCs w:val="26"/>
          <w:rtl w:val="0"/>
        </w:rPr>
        <w:t xml:space="preserve">, Mines and Minerals Act (1996)</w:t>
      </w:r>
      <w:r w:rsidDel="00000000" w:rsidR="00000000" w:rsidRPr="00000000">
        <w:rPr>
          <w:rFonts w:ascii="Roboto" w:cs="Roboto" w:eastAsia="Roboto" w:hAnsi="Roboto"/>
          <w:color w:val="000000"/>
          <w:sz w:val="26"/>
          <w:szCs w:val="26"/>
          <w:vertAlign w:val="superscript"/>
        </w:rPr>
        <w:footnoteReference w:customMarkFollows="0" w:id="12"/>
      </w:r>
      <w:r w:rsidDel="00000000" w:rsidR="00000000" w:rsidRPr="00000000">
        <w:rPr>
          <w:rFonts w:ascii="Roboto" w:cs="Roboto" w:eastAsia="Roboto" w:hAnsi="Roboto"/>
          <w:color w:val="000000"/>
          <w:sz w:val="26"/>
          <w:szCs w:val="26"/>
          <w:rtl w:val="0"/>
        </w:rPr>
        <w:t xml:space="preserve">, and legislation governing forests and protected areas as relevant legal frameworks requiring compliance.</w:t>
      </w:r>
      <w:r w:rsidDel="00000000" w:rsidR="00000000" w:rsidRPr="00000000">
        <w:rPr>
          <w:rFonts w:ascii="Roboto" w:cs="Roboto" w:eastAsia="Roboto" w:hAnsi="Roboto"/>
          <w:color w:val="000000"/>
          <w:sz w:val="26"/>
          <w:szCs w:val="26"/>
          <w:vertAlign w:val="superscript"/>
        </w:rPr>
        <w:footnoteReference w:customMarkFollows="0" w:id="13"/>
      </w:r>
      <w:r w:rsidDel="00000000" w:rsidR="00000000" w:rsidRPr="00000000">
        <w:rPr>
          <w:rFonts w:ascii="Roboto" w:cs="Roboto" w:eastAsia="Roboto" w:hAnsi="Roboto"/>
          <w:color w:val="000000"/>
          <w:sz w:val="26"/>
          <w:szCs w:val="26"/>
          <w:rtl w:val="0"/>
        </w:rPr>
        <w:t xml:space="preserve"> </w:t>
      </w:r>
      <w:r w:rsidDel="00000000" w:rsidR="00000000" w:rsidRPr="00000000">
        <w:rPr>
          <w:rtl w:val="0"/>
        </w:rPr>
      </w:r>
    </w:p>
    <w:p w:rsidR="00000000" w:rsidDel="00000000" w:rsidP="00000000" w:rsidRDefault="00000000" w:rsidRPr="00000000" w14:paraId="00000058">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Most significantly, a Stop Order was issued in December 2025, yet excavation and construction activities have continued, raising grave concerns regarding the effective enforcement of environmental and planning laws.</w:t>
      </w:r>
    </w:p>
    <w:p w:rsidR="00000000" w:rsidDel="00000000" w:rsidP="00000000" w:rsidRDefault="00000000" w:rsidRPr="00000000" w14:paraId="00000059">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evidence archive records that a Stop Order was issued in December 2025, followed by a formal legal notice against the Physical Planning Division on 23 December 2025. It further documents continued construction activity in March 2026 despite the Stop Order. The Government also publicly announced on 5 December 2025 that the Prime Minister had ordered a temporary halt to work at Deux Branches while the matter was reviewed.</w:t>
      </w:r>
      <w:r w:rsidDel="00000000" w:rsidR="00000000" w:rsidRPr="00000000">
        <w:rPr>
          <w:rFonts w:ascii="Roboto" w:cs="Roboto" w:eastAsia="Roboto" w:hAnsi="Roboto"/>
          <w:color w:val="000000"/>
          <w:sz w:val="26"/>
          <w:szCs w:val="26"/>
          <w:vertAlign w:val="superscript"/>
        </w:rPr>
        <w:footnoteReference w:customMarkFollows="0" w:id="14"/>
      </w:r>
      <w:r w:rsidDel="00000000" w:rsidR="00000000" w:rsidRPr="00000000">
        <w:rPr>
          <w:rtl w:val="0"/>
        </w:rPr>
      </w:r>
    </w:p>
    <w:p w:rsidR="00000000" w:rsidDel="00000000" w:rsidP="00000000" w:rsidRDefault="00000000" w:rsidRPr="00000000" w14:paraId="0000005A">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case also raises concerns regarding encroachment into the Northern Forest Reserve, inadequate protection of the Pagua River and downstream communities, and the failure to ensure meaningful access to environmental information. The evidence archive records that the Environmental and Social Impact Assessment (ESIA) was released on 23 March 2026 under what the campaign describes as significant procedural and practical restrictions. The Physical Planning Division reportedly made only three physical copies available for public inspection at its Roseau office and limited individual viewing time to approximately one and a half hours. The documents were not initially made available through an online public-access platform, nor were physical copies made available within the Kalinago Territory, despite the community’s proximity to the proposed development and its potential exposure to the project’s environmental and social impacts. These limitations arguably constrained meaningful and effective public access to environmental information and, consequently, the ability of affected communities to participate adequately in the environmental decision-making process.</w:t>
      </w:r>
    </w:p>
    <w:p w:rsidR="00000000" w:rsidDel="00000000" w:rsidP="00000000" w:rsidRDefault="00000000" w:rsidRPr="00000000" w14:paraId="0000005B">
      <w:pPr>
        <w:pStyle w:val="Heading3"/>
        <w:keepNext w:val="0"/>
        <w:keepLines w:val="0"/>
        <w:spacing w:after="240" w:before="240" w:lineRule="auto"/>
        <w:rPr>
          <w:rFonts w:ascii="Roboto" w:cs="Roboto" w:eastAsia="Roboto" w:hAnsi="Roboto"/>
          <w:color w:val="000000"/>
          <w:sz w:val="26"/>
          <w:szCs w:val="26"/>
        </w:rPr>
      </w:pPr>
      <w:bookmarkStart w:colFirst="0" w:colLast="0" w:name="_5vsjml8cpear" w:id="27"/>
      <w:bookmarkEnd w:id="27"/>
      <w:r w:rsidDel="00000000" w:rsidR="00000000" w:rsidRPr="00000000">
        <w:rPr>
          <w:rFonts w:ascii="Roboto" w:cs="Roboto" w:eastAsia="Roboto" w:hAnsi="Roboto"/>
          <w:color w:val="000000"/>
          <w:sz w:val="26"/>
          <w:szCs w:val="26"/>
          <w:rtl w:val="0"/>
        </w:rPr>
        <w:t xml:space="preserve">The release of the ESIA under restrictive conditions, alongside reported difficulties obtaining public records and environmental documentation, raises questions about compliance with transparency and public-participation obligations under the </w:t>
      </w:r>
      <w:r w:rsidDel="00000000" w:rsidR="00000000" w:rsidRPr="00000000">
        <w:rPr>
          <w:rFonts w:ascii="Roboto" w:cs="Roboto" w:eastAsia="Roboto" w:hAnsi="Roboto"/>
          <w:b w:val="1"/>
          <w:bCs w:val="1"/>
          <w:color w:val="000000"/>
          <w:sz w:val="26"/>
          <w:szCs w:val="26"/>
          <w:rtl w:val="0"/>
        </w:rPr>
        <w:t xml:space="preserve">Escazú Agreement</w:t>
      </w:r>
      <w:r w:rsidDel="00000000" w:rsidR="00000000" w:rsidRPr="00000000">
        <w:rPr>
          <w:rFonts w:ascii="Roboto" w:cs="Roboto" w:eastAsia="Roboto" w:hAnsi="Roboto"/>
          <w:color w:val="000000"/>
          <w:sz w:val="26"/>
          <w:szCs w:val="26"/>
          <w:rtl w:val="0"/>
        </w:rPr>
        <w:t xml:space="preserve">. Dominica ratified the Escazú Agreement on 22 April 2024, and the Agreement entered into force for Dominica on 21 July 2024.</w:t>
      </w:r>
      <w:r w:rsidDel="00000000" w:rsidR="00000000" w:rsidRPr="00000000">
        <w:rPr>
          <w:rFonts w:ascii="Roboto" w:cs="Roboto" w:eastAsia="Roboto" w:hAnsi="Roboto"/>
          <w:color w:val="000000"/>
          <w:sz w:val="26"/>
          <w:szCs w:val="26"/>
          <w:vertAlign w:val="superscript"/>
        </w:rPr>
        <w:footnoteReference w:customMarkFollows="0" w:id="15"/>
      </w:r>
      <w:r w:rsidDel="00000000" w:rsidR="00000000" w:rsidRPr="00000000">
        <w:rPr>
          <w:rFonts w:ascii="Roboto" w:cs="Roboto" w:eastAsia="Roboto" w:hAnsi="Roboto"/>
          <w:color w:val="000000"/>
          <w:sz w:val="26"/>
          <w:szCs w:val="26"/>
          <w:rtl w:val="0"/>
        </w:rPr>
        <w:t xml:space="preserve"> The OHCHR compilation for Dominica specifically notes that the Agreement provides for “the rights of access to information and public participation in environmental decision-making, justice and a healthy and sustainable environment for current and future generations.”</w:t>
      </w:r>
      <w:r w:rsidDel="00000000" w:rsidR="00000000" w:rsidRPr="00000000">
        <w:rPr>
          <w:rFonts w:ascii="Roboto" w:cs="Roboto" w:eastAsia="Roboto" w:hAnsi="Roboto"/>
          <w:color w:val="000000"/>
          <w:sz w:val="26"/>
          <w:szCs w:val="26"/>
          <w:vertAlign w:val="superscript"/>
        </w:rPr>
        <w:footnoteReference w:customMarkFollows="0" w:id="16"/>
      </w:r>
      <w:r w:rsidDel="00000000" w:rsidR="00000000" w:rsidRPr="00000000">
        <w:rPr>
          <w:rtl w:val="0"/>
        </w:rPr>
      </w:r>
    </w:p>
    <w:p w:rsidR="00000000" w:rsidDel="00000000" w:rsidP="00000000" w:rsidRDefault="00000000" w:rsidRPr="00000000" w14:paraId="0000005C">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evidence archive further records that three community bodies submitted a formal records demand on 27 January 2026, seeking access to records concerning the project. These concerns are particularly significant given that the Escazú Agreement establishes obligations concerning access to environmental information, public participation in environmental decision-making, and access to justice in environmental matters. </w:t>
      </w:r>
    </w:p>
    <w:p w:rsidR="00000000" w:rsidDel="00000000" w:rsidP="00000000" w:rsidRDefault="00000000" w:rsidRPr="00000000" w14:paraId="0000005D">
      <w:pPr>
        <w:rPr>
          <w:rFonts w:ascii="Roboto" w:cs="Roboto" w:eastAsia="Roboto" w:hAnsi="Roboto"/>
          <w:sz w:val="26"/>
          <w:szCs w:val="26"/>
        </w:rPr>
      </w:pPr>
      <w:r w:rsidDel="00000000" w:rsidR="00000000" w:rsidRPr="00000000">
        <w:rPr>
          <w:rFonts w:ascii="Roboto" w:cs="Roboto" w:eastAsia="Roboto" w:hAnsi="Roboto"/>
          <w:sz w:val="26"/>
          <w:szCs w:val="26"/>
          <w:rtl w:val="0"/>
        </w:rPr>
        <w:t xml:space="preserve">An audio recording from January 13th 2026 depicts a</w:t>
      </w:r>
      <w:r w:rsidDel="00000000" w:rsidR="00000000" w:rsidRPr="00000000">
        <w:rPr>
          <w:rFonts w:ascii="Roboto" w:cs="Roboto" w:eastAsia="Roboto" w:hAnsi="Roboto"/>
          <w:sz w:val="26"/>
          <w:szCs w:val="26"/>
          <w:rtl w:val="0"/>
        </w:rPr>
        <w:t xml:space="preserve">n apparent discrepancy which exists between the Government's public statements regarding the Deux Branches development and official mapping of the Northern Forest Reserve. The SaveDeuxBranches Organization released a publicly available video recorded at a government-organized Deux Branches media site visit. In this video the Permanent Secretary of Housing and Urban Development and known operative of the Dominica Labour Party, Mr. Reginald Severin, states that the development does not encroach on the Northern Forest Reserve. During the same discussion, an environmentalist, advocate and president of SaveDeuxBranche Ms. Jeanelle Brisbane presents a map prepared by Dominica's Land and Survey Division which appears to show the development area extending into the Northern Forest Reserve verifying the concerns of encroachment. During the discussion the permanent secretary heavily discredits the claims made by the environmental scientists and public alike, despite being presented with proof. </w:t>
      </w:r>
      <w:r w:rsidDel="00000000" w:rsidR="00000000" w:rsidRPr="00000000">
        <w:rPr>
          <w:rFonts w:ascii="Roboto" w:cs="Roboto" w:eastAsia="Roboto" w:hAnsi="Roboto"/>
          <w:sz w:val="26"/>
          <w:szCs w:val="26"/>
          <w:vertAlign w:val="superscript"/>
        </w:rPr>
        <w:footnoteReference w:customMarkFollows="0" w:id="17"/>
      </w:r>
      <w:r w:rsidDel="00000000" w:rsidR="00000000" w:rsidRPr="00000000">
        <w:rPr>
          <w:rtl w:val="0"/>
        </w:rPr>
      </w:r>
    </w:p>
    <w:p w:rsidR="00000000" w:rsidDel="00000000" w:rsidP="00000000" w:rsidRDefault="00000000" w:rsidRPr="00000000" w14:paraId="0000005E">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available evidence indicates that the project is having significant impacts on the Kalinago Territory and downstream communities. Available photographic, video and community evidence indicates significant increases in visible sedimentation in the Pagua River following the commencement of excavation. Traditionally, this river provides drinking water, agriculture, fishing, culture and livelihoods for many.</w:t>
      </w:r>
    </w:p>
    <w:p w:rsidR="00000000" w:rsidDel="00000000" w:rsidP="00000000" w:rsidRDefault="00000000" w:rsidRPr="00000000" w14:paraId="0000005F">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Save Deux Branches evidence archive documents a visual comparison of the Pagua River before and after excavation began, with the campaign reporting that the river became visibly clouded with sediment following the commencement of mining-related activity.Community testimony and on-the-ground footage documenting the impact of the operations are also included in the evidence archive.</w:t>
      </w:r>
      <w:r w:rsidDel="00000000" w:rsidR="00000000" w:rsidRPr="00000000">
        <w:rPr>
          <w:rFonts w:ascii="Roboto" w:cs="Roboto" w:eastAsia="Roboto" w:hAnsi="Roboto"/>
          <w:color w:val="000000"/>
          <w:sz w:val="26"/>
          <w:szCs w:val="26"/>
          <w:vertAlign w:val="superscript"/>
        </w:rPr>
        <w:footnoteReference w:customMarkFollows="0" w:id="18"/>
      </w:r>
      <w:r w:rsidDel="00000000" w:rsidR="00000000" w:rsidRPr="00000000">
        <w:rPr>
          <w:rtl w:val="0"/>
        </w:rPr>
      </w:r>
    </w:p>
    <w:p w:rsidR="00000000" w:rsidDel="00000000" w:rsidP="00000000" w:rsidRDefault="00000000" w:rsidRPr="00000000" w14:paraId="00000060">
      <w:pPr>
        <w:pStyle w:val="Heading3"/>
        <w:keepNext w:val="0"/>
        <w:keepLines w:val="0"/>
        <w:spacing w:after="240" w:before="240" w:lineRule="auto"/>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color w:val="000000"/>
          <w:sz w:val="26"/>
          <w:szCs w:val="26"/>
          <w:rtl w:val="0"/>
        </w:rPr>
        <w:t xml:space="preserve">The reported absence of free, prior and informed consent from affected Indigenous communities raises serious questions regarding Dominica’s compliance with its obligations under ILO Convention No. 169. Dominica has ratified ILO Convention No. 169 concerning Indigenous and Tribal Peoples, and the Government itself has acknowledged its ratification of the Convention. </w:t>
      </w:r>
      <w:r w:rsidDel="00000000" w:rsidR="00000000" w:rsidRPr="00000000">
        <w:rPr>
          <w:rFonts w:ascii="Roboto" w:cs="Roboto" w:eastAsia="Roboto" w:hAnsi="Roboto"/>
          <w:color w:val="000000"/>
          <w:sz w:val="26"/>
          <w:szCs w:val="26"/>
          <w:vertAlign w:val="superscript"/>
        </w:rPr>
        <w:footnoteReference w:customMarkFollows="0" w:id="19"/>
      </w:r>
      <w:r w:rsidDel="00000000" w:rsidR="00000000" w:rsidRPr="00000000">
        <w:rPr>
          <w:rtl w:val="0"/>
        </w:rPr>
      </w:r>
    </w:p>
    <w:p w:rsidR="00000000" w:rsidDel="00000000" w:rsidP="00000000" w:rsidRDefault="00000000" w:rsidRPr="00000000" w14:paraId="00000061">
      <w:pPr>
        <w:pStyle w:val="Heading3"/>
        <w:keepNext w:val="0"/>
        <w:keepLines w:val="0"/>
        <w:spacing w:after="240" w:before="240" w:lineRule="auto"/>
        <w:rPr>
          <w:rFonts w:ascii="Roboto" w:cs="Roboto" w:eastAsia="Roboto" w:hAnsi="Roboto"/>
          <w:b w:val="1"/>
          <w:bCs w:val="1"/>
          <w:sz w:val="26"/>
          <w:szCs w:val="26"/>
        </w:rPr>
      </w:pPr>
      <w:bookmarkStart w:colFirst="0" w:colLast="0" w:name="_4qq0vu594mzc" w:id="28"/>
      <w:bookmarkEnd w:id="28"/>
      <w:r w:rsidDel="00000000" w:rsidR="00000000" w:rsidRPr="00000000">
        <w:rPr>
          <w:rFonts w:ascii="Roboto" w:cs="Roboto" w:eastAsia="Roboto" w:hAnsi="Roboto"/>
          <w:color w:val="000000"/>
          <w:sz w:val="26"/>
          <w:szCs w:val="26"/>
          <w:rtl w:val="0"/>
        </w:rPr>
        <w:t xml:space="preserve">All these concerns warrant an independent and transparent review of the project’s planning, environmental and mining approvals, the boundaries of the Northern Forest Reserve, the enforcement of the Stop Order, and the adequacy of consultation with affected communities. It is recommended that the Government of Dominica immediately ensure full public access to all environmental, planning and mining records relating to Deux Branches; commission an independent environmental and legal assessment of the project and its impacts on the Northern Forest Reserve, Pagua River and downstream communities; suspend further works where legally required pending verification of all applicable approvals; strengthen enforcement mechanisms for environmental and planning legislation; and ensure meaningful participation of affected Kalinago and other communities in accordance with Dominica’s applicable international and domestic obligations.</w:t>
      </w:r>
      <w:r w:rsidDel="00000000" w:rsidR="00000000" w:rsidRPr="00000000">
        <w:rPr>
          <w:rtl w:val="0"/>
        </w:rPr>
      </w:r>
    </w:p>
    <w:p w:rsidR="00000000" w:rsidDel="00000000" w:rsidP="00000000" w:rsidRDefault="00000000" w:rsidRPr="00000000" w14:paraId="00000062">
      <w:pPr>
        <w:rPr>
          <w:rFonts w:ascii="Roboto" w:cs="Roboto" w:eastAsia="Roboto" w:hAnsi="Roboto"/>
          <w:b w:val="1"/>
          <w:bCs w:val="1"/>
          <w:sz w:val="26"/>
          <w:szCs w:val="26"/>
        </w:rPr>
      </w:pPr>
      <w:r w:rsidDel="00000000" w:rsidR="00000000" w:rsidRPr="00000000">
        <w:rPr>
          <w:rtl w:val="0"/>
        </w:rPr>
      </w:r>
    </w:p>
    <w:p w:rsidR="00000000" w:rsidDel="00000000" w:rsidP="00000000" w:rsidRDefault="00000000" w:rsidRPr="00000000" w14:paraId="00000063">
      <w:pPr>
        <w:rPr>
          <w:rFonts w:ascii="Roboto" w:cs="Roboto" w:eastAsia="Roboto" w:hAnsi="Roboto"/>
          <w:b w:val="1"/>
          <w:bCs w:val="1"/>
          <w:color w:val="000000"/>
          <w:sz w:val="26"/>
          <w:szCs w:val="26"/>
        </w:rPr>
      </w:pPr>
      <w:r w:rsidDel="00000000" w:rsidR="00000000" w:rsidRPr="00000000">
        <w:rPr>
          <w:rFonts w:ascii="Roboto" w:cs="Roboto" w:eastAsia="Roboto" w:hAnsi="Roboto"/>
          <w:b w:val="1"/>
          <w:bCs w:val="1"/>
          <w:color w:val="000000"/>
          <w:sz w:val="26"/>
          <w:szCs w:val="26"/>
          <w:rtl w:val="0"/>
        </w:rPr>
        <w:t xml:space="preserve">Relevant International Standards</w:t>
      </w:r>
    </w:p>
    <w:p w:rsidR="00000000" w:rsidDel="00000000" w:rsidP="00000000" w:rsidRDefault="00000000" w:rsidRPr="00000000" w14:paraId="00000064">
      <w:pPr>
        <w:pStyle w:val="Heading3"/>
        <w:keepNext w:val="0"/>
        <w:keepLines w:val="0"/>
        <w:numPr>
          <w:ilvl w:val="0"/>
          <w:numId w:val="4"/>
        </w:numPr>
        <w:spacing w:after="0" w:afterAutospacing="0" w:before="240" w:lineRule="auto"/>
        <w:ind w:left="720" w:hanging="360"/>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b w:val="1"/>
          <w:bCs w:val="1"/>
          <w:color w:val="000000"/>
          <w:sz w:val="26"/>
          <w:szCs w:val="26"/>
          <w:rtl w:val="0"/>
        </w:rPr>
        <w:t xml:space="preserve">Principle 10 of the Rio Declaration on Environment and Development (1992)</w:t>
      </w:r>
      <w:r w:rsidDel="00000000" w:rsidR="00000000" w:rsidRPr="00000000">
        <w:rPr>
          <w:rFonts w:ascii="Roboto" w:cs="Roboto" w:eastAsia="Roboto" w:hAnsi="Roboto"/>
          <w:color w:val="000000"/>
          <w:sz w:val="26"/>
          <w:szCs w:val="26"/>
          <w:rtl w:val="0"/>
        </w:rPr>
        <w:t xml:space="preserve"> recognizes the rights of the public to access environmental information, participate in environmental decision-making, and obtain access to justice in environmental matters.</w:t>
      </w:r>
    </w:p>
    <w:p w:rsidR="00000000" w:rsidDel="00000000" w:rsidP="00000000" w:rsidRDefault="00000000" w:rsidRPr="00000000" w14:paraId="00000065">
      <w:pPr>
        <w:pStyle w:val="Heading3"/>
        <w:keepNext w:val="0"/>
        <w:keepLines w:val="0"/>
        <w:numPr>
          <w:ilvl w:val="0"/>
          <w:numId w:val="4"/>
        </w:numPr>
        <w:spacing w:after="0" w:afterAutospacing="0" w:before="0" w:beforeAutospacing="0" w:lineRule="auto"/>
        <w:ind w:left="720" w:hanging="360"/>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b w:val="1"/>
          <w:bCs w:val="1"/>
          <w:color w:val="000000"/>
          <w:sz w:val="26"/>
          <w:szCs w:val="26"/>
          <w:rtl w:val="0"/>
        </w:rPr>
        <w:t xml:space="preserve">United Nations Human Rights Council Resolution 48/13 (2021)</w:t>
      </w:r>
      <w:r w:rsidDel="00000000" w:rsidR="00000000" w:rsidRPr="00000000">
        <w:rPr>
          <w:rFonts w:ascii="Roboto" w:cs="Roboto" w:eastAsia="Roboto" w:hAnsi="Roboto"/>
          <w:color w:val="000000"/>
          <w:sz w:val="26"/>
          <w:szCs w:val="26"/>
          <w:rtl w:val="0"/>
        </w:rPr>
        <w:t xml:space="preserve"> recognizes the human right to a clean, healthy, and sustainable environment.</w:t>
      </w:r>
    </w:p>
    <w:p w:rsidR="00000000" w:rsidDel="00000000" w:rsidP="00000000" w:rsidRDefault="00000000" w:rsidRPr="00000000" w14:paraId="00000066">
      <w:pPr>
        <w:pStyle w:val="Heading3"/>
        <w:keepNext w:val="0"/>
        <w:keepLines w:val="0"/>
        <w:numPr>
          <w:ilvl w:val="0"/>
          <w:numId w:val="4"/>
        </w:numPr>
        <w:spacing w:after="0" w:afterAutospacing="0" w:before="0" w:beforeAutospacing="0" w:lineRule="auto"/>
        <w:ind w:left="720" w:hanging="360"/>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b w:val="1"/>
          <w:bCs w:val="1"/>
          <w:color w:val="000000"/>
          <w:sz w:val="26"/>
          <w:szCs w:val="26"/>
          <w:rtl w:val="0"/>
        </w:rPr>
        <w:t xml:space="preserve">Article 12 of the International Covenant on Economic, Social and Cultural Rights (ICESCR)</w:t>
      </w:r>
      <w:r w:rsidDel="00000000" w:rsidR="00000000" w:rsidRPr="00000000">
        <w:rPr>
          <w:rFonts w:ascii="Roboto" w:cs="Roboto" w:eastAsia="Roboto" w:hAnsi="Roboto"/>
          <w:color w:val="000000"/>
          <w:sz w:val="26"/>
          <w:szCs w:val="26"/>
          <w:rtl w:val="0"/>
        </w:rPr>
        <w:t xml:space="preserve"> recognizes the right to the highest attainable standard of health, which includes underlying environmental determinants of health.</w:t>
      </w:r>
    </w:p>
    <w:p w:rsidR="00000000" w:rsidDel="00000000" w:rsidP="00000000" w:rsidRDefault="00000000" w:rsidRPr="00000000" w14:paraId="00000067">
      <w:pPr>
        <w:pStyle w:val="Heading3"/>
        <w:keepNext w:val="0"/>
        <w:keepLines w:val="0"/>
        <w:numPr>
          <w:ilvl w:val="0"/>
          <w:numId w:val="4"/>
        </w:numPr>
        <w:spacing w:after="0" w:afterAutospacing="0" w:before="0" w:beforeAutospacing="0" w:lineRule="auto"/>
        <w:ind w:left="720" w:hanging="360"/>
        <w:rPr>
          <w:rFonts w:ascii="Roboto" w:cs="Roboto" w:eastAsia="Roboto" w:hAnsi="Roboto"/>
          <w:color w:val="000000"/>
          <w:sz w:val="26"/>
          <w:szCs w:val="26"/>
        </w:rPr>
      </w:pPr>
      <w:bookmarkStart w:colFirst="0" w:colLast="0" w:name="_bau39h4tshrq" w:id="25"/>
      <w:bookmarkEnd w:id="25"/>
      <w:r w:rsidDel="00000000" w:rsidR="00000000" w:rsidRPr="00000000">
        <w:rPr>
          <w:rFonts w:ascii="Roboto" w:cs="Roboto" w:eastAsia="Roboto" w:hAnsi="Roboto"/>
          <w:b w:val="1"/>
          <w:bCs w:val="1"/>
          <w:color w:val="000000"/>
          <w:sz w:val="26"/>
          <w:szCs w:val="26"/>
          <w:rtl w:val="0"/>
        </w:rPr>
        <w:t xml:space="preserve">The Escazú Agreement</w:t>
      </w:r>
      <w:r w:rsidDel="00000000" w:rsidR="00000000" w:rsidRPr="00000000">
        <w:rPr>
          <w:rFonts w:ascii="Roboto" w:cs="Roboto" w:eastAsia="Roboto" w:hAnsi="Roboto"/>
          <w:color w:val="000000"/>
          <w:sz w:val="26"/>
          <w:szCs w:val="26"/>
          <w:rtl w:val="0"/>
        </w:rPr>
        <w:t xml:space="preserve"> establishes binding obligations for its Parties concerning access to environmental information, public participation in environmental decision-making, and access to justice in environmental matters. Dominica is a Party to the Agreement following its ratification on 22 April 2024.</w:t>
      </w:r>
    </w:p>
    <w:p w:rsidR="00000000" w:rsidDel="00000000" w:rsidP="00000000" w:rsidRDefault="00000000" w:rsidRPr="00000000" w14:paraId="00000068">
      <w:pPr>
        <w:pStyle w:val="Heading3"/>
        <w:keepNext w:val="0"/>
        <w:keepLines w:val="0"/>
        <w:numPr>
          <w:ilvl w:val="0"/>
          <w:numId w:val="4"/>
        </w:numPr>
        <w:spacing w:after="240" w:before="0" w:beforeAutospacing="0" w:lineRule="auto"/>
        <w:ind w:left="720" w:hanging="360"/>
        <w:rPr>
          <w:rFonts w:ascii="Roboto" w:cs="Roboto" w:eastAsia="Roboto" w:hAnsi="Roboto"/>
          <w:color w:val="000000"/>
          <w:sz w:val="26"/>
          <w:szCs w:val="26"/>
        </w:rPr>
      </w:pPr>
      <w:bookmarkStart w:colFirst="0" w:colLast="0" w:name="_37nq7vugvfsc" w:id="29"/>
      <w:bookmarkEnd w:id="29"/>
      <w:r w:rsidDel="00000000" w:rsidR="00000000" w:rsidRPr="00000000">
        <w:rPr>
          <w:rFonts w:ascii="Roboto" w:cs="Roboto" w:eastAsia="Roboto" w:hAnsi="Roboto"/>
          <w:b w:val="1"/>
          <w:bCs w:val="1"/>
          <w:color w:val="000000"/>
          <w:sz w:val="26"/>
          <w:szCs w:val="26"/>
          <w:rtl w:val="0"/>
        </w:rPr>
        <w:t xml:space="preserve">ILO Convention No. 169 concerning Indigenous and Tribal Peoples</w:t>
      </w:r>
      <w:r w:rsidDel="00000000" w:rsidR="00000000" w:rsidRPr="00000000">
        <w:rPr>
          <w:rFonts w:ascii="Roboto" w:cs="Roboto" w:eastAsia="Roboto" w:hAnsi="Roboto"/>
          <w:color w:val="000000"/>
          <w:sz w:val="26"/>
          <w:szCs w:val="26"/>
          <w:rtl w:val="0"/>
        </w:rPr>
        <w:t xml:space="preserve">, ratified by Dominica, establishes standards concerning consultation and participation of Indigenous peoples in decisions affecting them and provides protections relevant to Indigenous peoples’ lands, resources, environment, and development priorities.</w:t>
      </w:r>
      <w:r w:rsidDel="00000000" w:rsidR="00000000" w:rsidRPr="00000000">
        <w:rPr>
          <w:rtl w:val="0"/>
        </w:rPr>
      </w:r>
    </w:p>
    <w:p w:rsidR="00000000" w:rsidDel="00000000" w:rsidP="00000000" w:rsidRDefault="00000000" w:rsidRPr="00000000" w14:paraId="00000069">
      <w:pPr>
        <w:pStyle w:val="Heading3"/>
        <w:keepNext w:val="0"/>
        <w:keepLines w:val="0"/>
        <w:spacing w:after="240" w:before="240" w:lineRule="auto"/>
        <w:ind w:left="0" w:firstLine="0"/>
        <w:rPr>
          <w:rFonts w:ascii="Roboto" w:cs="Roboto" w:eastAsia="Roboto" w:hAnsi="Roboto"/>
          <w:b w:val="1"/>
          <w:bCs w:val="1"/>
          <w:sz w:val="32"/>
          <w:szCs w:val="32"/>
        </w:rPr>
      </w:pPr>
      <w:bookmarkStart w:colFirst="0" w:colLast="0" w:name="_esmtpmvkaqz4" w:id="30"/>
      <w:bookmarkEnd w:id="30"/>
      <w:r w:rsidDel="00000000" w:rsidR="00000000" w:rsidRPr="00000000">
        <w:rPr>
          <w:rFonts w:ascii="Roboto" w:cs="Roboto" w:eastAsia="Roboto" w:hAnsi="Roboto"/>
          <w:b w:val="1"/>
          <w:bCs w:val="1"/>
          <w:sz w:val="32"/>
          <w:szCs w:val="32"/>
          <w:rtl w:val="0"/>
        </w:rPr>
        <w:t xml:space="preserve">References:</w:t>
      </w:r>
    </w:p>
    <w:p w:rsidR="00000000" w:rsidDel="00000000" w:rsidP="00000000" w:rsidRDefault="00000000" w:rsidRPr="00000000" w14:paraId="0000006A">
      <w:pPr>
        <w:spacing w:after="24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References</w:t>
      </w:r>
    </w:p>
    <w:p w:rsidR="00000000" w:rsidDel="00000000" w:rsidP="00000000" w:rsidRDefault="00000000" w:rsidRPr="00000000" w14:paraId="0000006B">
      <w:pPr>
        <w:spacing w:after="240" w:before="240" w:lineRule="auto"/>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A. United Nations and International Human Rights Sources</w:t>
      </w:r>
    </w:p>
    <w:p w:rsidR="00000000" w:rsidDel="00000000" w:rsidP="00000000" w:rsidRDefault="00000000" w:rsidRPr="00000000" w14:paraId="0000006C">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D">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Office of the United Nations High Commissioner for Human Rights (OHCHR). “Letter by the United Nations High Commissioner for Human Rights to the Commonwealth of Dominica: Universal Periodic Review, 47th Session, 2024.”</w:t>
      </w:r>
    </w:p>
    <w:p w:rsidR="00000000" w:rsidDel="00000000" w:rsidP="00000000" w:rsidRDefault="00000000" w:rsidRPr="00000000" w14:paraId="0000006E">
      <w:pPr>
        <w:spacing w:after="240" w:before="240" w:lineRule="auto"/>
        <w:rPr>
          <w:rFonts w:ascii="Roboto" w:cs="Roboto" w:eastAsia="Roboto" w:hAnsi="Roboto"/>
          <w:sz w:val="24"/>
          <w:szCs w:val="24"/>
        </w:rPr>
      </w:pPr>
      <w:hyperlink r:id="rId9">
        <w:r w:rsidDel="00000000" w:rsidR="00000000" w:rsidRPr="00000000">
          <w:rPr>
            <w:rFonts w:ascii="Roboto" w:cs="Roboto" w:eastAsia="Roboto" w:hAnsi="Roboto"/>
            <w:color w:val="1155cc"/>
            <w:sz w:val="24"/>
            <w:szCs w:val="24"/>
            <w:u w:val="single"/>
            <w:rtl w:val="0"/>
          </w:rPr>
          <w:t xml:space="preserve">https://www.ohchr.org/sites/default/files/documents/hrbodies/upr/sessions/session47/hc-letters/session47-hc-letter-commonwealth-dominica-eng.pdf</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6F">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0">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Office of the United Nations High Commissioner for Human Rights (OHCHR). Compilation of Information on Dominica, A/HRC/WG.6/47/DMA/2, 14 August 2024.</w:t>
      </w:r>
    </w:p>
    <w:p w:rsidR="00000000" w:rsidDel="00000000" w:rsidP="00000000" w:rsidRDefault="00000000" w:rsidRPr="00000000" w14:paraId="00000071">
      <w:pPr>
        <w:spacing w:after="240" w:before="240" w:lineRule="auto"/>
        <w:rPr>
          <w:rFonts w:ascii="Roboto" w:cs="Roboto" w:eastAsia="Roboto" w:hAnsi="Roboto"/>
          <w:sz w:val="24"/>
          <w:szCs w:val="24"/>
        </w:rPr>
      </w:pPr>
      <w:hyperlink r:id="rId10">
        <w:r w:rsidDel="00000000" w:rsidR="00000000" w:rsidRPr="00000000">
          <w:rPr>
            <w:rFonts w:ascii="Roboto" w:cs="Roboto" w:eastAsia="Roboto" w:hAnsi="Roboto"/>
            <w:color w:val="1155cc"/>
            <w:sz w:val="24"/>
            <w:szCs w:val="24"/>
            <w:u w:val="single"/>
            <w:rtl w:val="0"/>
          </w:rPr>
          <w:t xml:space="preserve">https://documents.un.org/doc/undoc/gen/g24/138/97/pdf/g2413897.pdf</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72">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3">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Human Rights Council. Report of the Working Group on the Universal Periodic Review: Dominica, A/HRC/58/10, 2024.</w:t>
      </w:r>
    </w:p>
    <w:p w:rsidR="00000000" w:rsidDel="00000000" w:rsidP="00000000" w:rsidRDefault="00000000" w:rsidRPr="00000000" w14:paraId="00000074">
      <w:pPr>
        <w:spacing w:after="240" w:before="240" w:lineRule="auto"/>
        <w:rPr>
          <w:rFonts w:ascii="Roboto" w:cs="Roboto" w:eastAsia="Roboto" w:hAnsi="Roboto"/>
          <w:sz w:val="24"/>
          <w:szCs w:val="24"/>
        </w:rPr>
      </w:pPr>
      <w:hyperlink r:id="rId11">
        <w:r w:rsidDel="00000000" w:rsidR="00000000" w:rsidRPr="00000000">
          <w:rPr>
            <w:rFonts w:ascii="Roboto" w:cs="Roboto" w:eastAsia="Roboto" w:hAnsi="Roboto"/>
            <w:color w:val="1155cc"/>
            <w:sz w:val="24"/>
            <w:szCs w:val="24"/>
            <w:u w:val="single"/>
            <w:rtl w:val="0"/>
          </w:rPr>
          <w:t xml:space="preserve">https://digitallibrary.un.org/record/4072723/files/A_HRC_58_10-EN.pdf</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75">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6">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United Nations Human Rights Committee. Concluding Observations in the Absence of the Initial Report of Dominica, CCPR/C/DMA/COAR/1, 24 April 2020.</w:t>
      </w:r>
    </w:p>
    <w:p w:rsidR="00000000" w:rsidDel="00000000" w:rsidP="00000000" w:rsidRDefault="00000000" w:rsidRPr="00000000" w14:paraId="00000077">
      <w:pPr>
        <w:spacing w:after="240" w:before="240" w:lineRule="auto"/>
        <w:rPr>
          <w:rFonts w:ascii="Roboto" w:cs="Roboto" w:eastAsia="Roboto" w:hAnsi="Roboto"/>
          <w:sz w:val="24"/>
          <w:szCs w:val="24"/>
        </w:rPr>
      </w:pPr>
      <w:hyperlink r:id="rId12">
        <w:r w:rsidDel="00000000" w:rsidR="00000000" w:rsidRPr="00000000">
          <w:rPr>
            <w:rFonts w:ascii="Roboto" w:cs="Roboto" w:eastAsia="Roboto" w:hAnsi="Roboto"/>
            <w:color w:val="1155cc"/>
            <w:sz w:val="24"/>
            <w:szCs w:val="24"/>
            <w:u w:val="single"/>
            <w:rtl w:val="0"/>
          </w:rPr>
          <w:t xml:space="preserve">https://docstore.ohchr.org/SelfServices/FilesHandler.ashx?enc=pHHaNnkX7ji0ggPPjnBi2%2FcKV2RprC4UlOGkGWxq2lccO8njfGPdtJb7Nra2eLeJOSO4tqAyMur1zqhOMIYtyg%3D%3D</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78">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9">
      <w:pPr>
        <w:spacing w:after="240" w:before="240" w:lineRule="auto"/>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B. International Treaties and Conventions</w:t>
      </w:r>
    </w:p>
    <w:p w:rsidR="00000000" w:rsidDel="00000000" w:rsidP="00000000" w:rsidRDefault="00000000" w:rsidRPr="00000000" w14:paraId="0000007A">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B">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United Nations Treaty Collection. International Covenant on Civil and Political Rights: Dominica. Accession: 17 June 1993; entry into force for Dominica: 17 June 1993.</w:t>
      </w:r>
    </w:p>
    <w:p w:rsidR="00000000" w:rsidDel="00000000" w:rsidP="00000000" w:rsidRDefault="00000000" w:rsidRPr="00000000" w14:paraId="0000007C">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D">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United Nations Treaty Collection. Regional Agreement on Access to Information, Public Participation and Justice in Environmental Matters in Latin America and the Caribbean (Escazú Agreement). Escazú, 4 March 2018. Dominica ratified the Agreement on 22 April 2024; it entered into force for Dominica on 21 July 2024.</w:t>
      </w:r>
    </w:p>
    <w:p w:rsidR="00000000" w:rsidDel="00000000" w:rsidP="00000000" w:rsidRDefault="00000000" w:rsidRPr="00000000" w14:paraId="0000007E">
      <w:pPr>
        <w:spacing w:after="240" w:before="240" w:lineRule="auto"/>
        <w:rPr>
          <w:rFonts w:ascii="Roboto" w:cs="Roboto" w:eastAsia="Roboto" w:hAnsi="Roboto"/>
          <w:sz w:val="24"/>
          <w:szCs w:val="24"/>
        </w:rPr>
      </w:pPr>
      <w:hyperlink r:id="rId13">
        <w:r w:rsidDel="00000000" w:rsidR="00000000" w:rsidRPr="00000000">
          <w:rPr>
            <w:rFonts w:ascii="Roboto" w:cs="Roboto" w:eastAsia="Roboto" w:hAnsi="Roboto"/>
            <w:color w:val="1155cc"/>
            <w:sz w:val="24"/>
            <w:szCs w:val="24"/>
            <w:u w:val="single"/>
            <w:rtl w:val="0"/>
          </w:rPr>
          <w:t xml:space="preserve">https://treaties.un.org/Pages/showActionDetails.aspx?clang=_en&amp;objid=08000002806433f6</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7F">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0">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International Labour Organization (ILO). Indigenous and Tribal Peoples Convention, 1989 (No. 169). NORMLEX, “Ratifications for Dominica.” Dominica ratified Convention No. 169 on 25 June 2002; the Convention is in force for Dominica.</w:t>
      </w:r>
    </w:p>
    <w:p w:rsidR="00000000" w:rsidDel="00000000" w:rsidP="00000000" w:rsidRDefault="00000000" w:rsidRPr="00000000" w14:paraId="00000081">
      <w:pPr>
        <w:spacing w:after="240" w:before="240" w:lineRule="auto"/>
        <w:rPr>
          <w:rFonts w:ascii="Roboto" w:cs="Roboto" w:eastAsia="Roboto" w:hAnsi="Roboto"/>
          <w:sz w:val="24"/>
          <w:szCs w:val="24"/>
        </w:rPr>
      </w:pPr>
      <w:hyperlink r:id="rId14">
        <w:r w:rsidDel="00000000" w:rsidR="00000000" w:rsidRPr="00000000">
          <w:rPr>
            <w:rFonts w:ascii="Roboto" w:cs="Roboto" w:eastAsia="Roboto" w:hAnsi="Roboto"/>
            <w:color w:val="1155cc"/>
            <w:sz w:val="24"/>
            <w:szCs w:val="24"/>
            <w:u w:val="single"/>
            <w:rtl w:val="0"/>
          </w:rPr>
          <w:t xml:space="preserve">https://normlex.ilo.org/dyn/nrmlx_en/f?p=NORMLEXPUB%3A11200%3A0%3A%3ANO%3A11200%3AP11200_COUNTRY_ID%3A103311</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82">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3">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4">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5">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6">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7">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8">
      <w:pPr>
        <w:spacing w:after="240" w:before="240" w:lineRule="auto"/>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C. Dominican Legislation and Government Sources</w:t>
      </w:r>
      <w:r w:rsidDel="00000000" w:rsidR="00000000" w:rsidRPr="00000000">
        <w:rPr>
          <w:rtl w:val="0"/>
        </w:rPr>
      </w:r>
    </w:p>
    <w:p w:rsidR="00000000" w:rsidDel="00000000" w:rsidP="00000000" w:rsidRDefault="00000000" w:rsidRPr="00000000" w14:paraId="00000089">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Government of the Commonwealth of Dominica. Physical Planning Act, Act No. 5 of 2002.</w:t>
      </w:r>
    </w:p>
    <w:p w:rsidR="00000000" w:rsidDel="00000000" w:rsidP="00000000" w:rsidRDefault="00000000" w:rsidRPr="00000000" w14:paraId="0000008A">
      <w:pPr>
        <w:spacing w:after="240" w:before="240" w:lineRule="auto"/>
        <w:rPr>
          <w:rFonts w:ascii="Roboto" w:cs="Roboto" w:eastAsia="Roboto" w:hAnsi="Roboto"/>
          <w:sz w:val="24"/>
          <w:szCs w:val="24"/>
        </w:rPr>
      </w:pPr>
      <w:hyperlink r:id="rId15">
        <w:r w:rsidDel="00000000" w:rsidR="00000000" w:rsidRPr="00000000">
          <w:rPr>
            <w:rFonts w:ascii="Roboto" w:cs="Roboto" w:eastAsia="Roboto" w:hAnsi="Roboto"/>
            <w:color w:val="1155cc"/>
            <w:sz w:val="24"/>
            <w:szCs w:val="24"/>
            <w:u w:val="single"/>
            <w:rtl w:val="0"/>
          </w:rPr>
          <w:t xml:space="preserve">https://www.dominica.gov.dm/laws/2002/act5-2002.pdf</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8B">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C">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Government of the Commonwealth of Dominica. Mines and Minerals Act, Act No. 5 of 1996.</w:t>
      </w:r>
    </w:p>
    <w:p w:rsidR="00000000" w:rsidDel="00000000" w:rsidP="00000000" w:rsidRDefault="00000000" w:rsidRPr="00000000" w14:paraId="0000008D">
      <w:pPr>
        <w:spacing w:after="240" w:before="240" w:lineRule="auto"/>
        <w:rPr>
          <w:rFonts w:ascii="Roboto" w:cs="Roboto" w:eastAsia="Roboto" w:hAnsi="Roboto"/>
          <w:sz w:val="24"/>
          <w:szCs w:val="24"/>
        </w:rPr>
      </w:pPr>
      <w:hyperlink r:id="rId16">
        <w:r w:rsidDel="00000000" w:rsidR="00000000" w:rsidRPr="00000000">
          <w:rPr>
            <w:rFonts w:ascii="Roboto" w:cs="Roboto" w:eastAsia="Roboto" w:hAnsi="Roboto"/>
            <w:color w:val="1155cc"/>
            <w:sz w:val="24"/>
            <w:szCs w:val="24"/>
            <w:u w:val="single"/>
            <w:rtl w:val="0"/>
          </w:rPr>
          <w:t xml:space="preserve">https://www.dominica.gov.dm/laws/1996/act5-1996.pdf</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8E">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F">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Government of the Commonwealth of Dominica. Forests Act, Chap. 60:01.</w:t>
      </w:r>
    </w:p>
    <w:p w:rsidR="00000000" w:rsidDel="00000000" w:rsidP="00000000" w:rsidRDefault="00000000" w:rsidRPr="00000000" w14:paraId="00000090">
      <w:pPr>
        <w:spacing w:after="240" w:before="240" w:lineRule="auto"/>
        <w:rPr>
          <w:rFonts w:ascii="Roboto" w:cs="Roboto" w:eastAsia="Roboto" w:hAnsi="Roboto"/>
          <w:sz w:val="24"/>
          <w:szCs w:val="24"/>
        </w:rPr>
      </w:pPr>
      <w:hyperlink r:id="rId17">
        <w:r w:rsidDel="00000000" w:rsidR="00000000" w:rsidRPr="00000000">
          <w:rPr>
            <w:rFonts w:ascii="Roboto" w:cs="Roboto" w:eastAsia="Roboto" w:hAnsi="Roboto"/>
            <w:color w:val="1155cc"/>
            <w:sz w:val="24"/>
            <w:szCs w:val="24"/>
            <w:u w:val="single"/>
            <w:rtl w:val="0"/>
          </w:rPr>
          <w:t xml:space="preserve">https://mail.forestry.gov.dm/units/conservation_section/</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91">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2">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Government of the Commonwealth of Dominica, Office of the Prime Minister. “PM Skerrit Orders Temporary Halt of Work at Deux Branches; Matter under Review.” 5 December 2025.</w:t>
      </w:r>
    </w:p>
    <w:p w:rsidR="00000000" w:rsidDel="00000000" w:rsidP="00000000" w:rsidRDefault="00000000" w:rsidRPr="00000000" w14:paraId="00000093">
      <w:pPr>
        <w:spacing w:after="240" w:before="240" w:lineRule="auto"/>
        <w:rPr>
          <w:rFonts w:ascii="Roboto" w:cs="Roboto" w:eastAsia="Roboto" w:hAnsi="Roboto"/>
          <w:sz w:val="24"/>
          <w:szCs w:val="24"/>
        </w:rPr>
      </w:pPr>
      <w:hyperlink r:id="rId18">
        <w:r w:rsidDel="00000000" w:rsidR="00000000" w:rsidRPr="00000000">
          <w:rPr>
            <w:rFonts w:ascii="Roboto" w:cs="Roboto" w:eastAsia="Roboto" w:hAnsi="Roboto"/>
            <w:color w:val="1155cc"/>
            <w:sz w:val="24"/>
            <w:szCs w:val="24"/>
            <w:u w:val="single"/>
            <w:rtl w:val="0"/>
          </w:rPr>
          <w:t xml:space="preserve">https://pressroomopm.gov.dm/pm-skerrit-orders-temporary-halt-of-work-at-deux-branches-matter-under-review/</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94">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5">
      <w:pPr>
        <w:spacing w:after="240" w:before="240" w:lineRule="auto"/>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D. Civil Society and Community Evidence</w:t>
      </w:r>
      <w:r w:rsidDel="00000000" w:rsidR="00000000" w:rsidRPr="00000000">
        <w:rPr>
          <w:rtl w:val="0"/>
        </w:rPr>
      </w:r>
    </w:p>
    <w:p w:rsidR="00000000" w:rsidDel="00000000" w:rsidP="00000000" w:rsidRDefault="00000000" w:rsidRPr="00000000" w14:paraId="00000096">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Save Deux Branches Campaign. Protect Deux Branches – Dominica Environmental Campaign: Evidence Archive.</w:t>
      </w:r>
    </w:p>
    <w:p w:rsidR="00000000" w:rsidDel="00000000" w:rsidP="00000000" w:rsidRDefault="00000000" w:rsidRPr="00000000" w14:paraId="00000097">
      <w:pPr>
        <w:spacing w:after="240" w:before="240" w:lineRule="auto"/>
        <w:rPr>
          <w:rFonts w:ascii="Roboto" w:cs="Roboto" w:eastAsia="Roboto" w:hAnsi="Roboto"/>
          <w:sz w:val="24"/>
          <w:szCs w:val="24"/>
        </w:rPr>
      </w:pPr>
      <w:hyperlink r:id="rId19">
        <w:r w:rsidDel="00000000" w:rsidR="00000000" w:rsidRPr="00000000">
          <w:rPr>
            <w:rFonts w:ascii="Roboto" w:cs="Roboto" w:eastAsia="Roboto" w:hAnsi="Roboto"/>
            <w:color w:val="1155cc"/>
            <w:sz w:val="24"/>
            <w:szCs w:val="24"/>
            <w:u w:val="single"/>
            <w:rtl w:val="0"/>
          </w:rPr>
          <w:t xml:space="preserve">https://savedeuxbranches.org/#evidence</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98">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9">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Recorded exchange between environmentalist and Save Deux Branches President Jeanelle Brisbane and Permanent Secretary of Housing and Urban Development Reginald Severin during a government-organized media site visit at Deux Branches, 13 January 2026.</w:t>
      </w:r>
    </w:p>
    <w:p w:rsidR="00000000" w:rsidDel="00000000" w:rsidP="00000000" w:rsidRDefault="00000000" w:rsidRPr="00000000" w14:paraId="0000009A">
      <w:pPr>
        <w:spacing w:after="240" w:before="240" w:lineRule="auto"/>
        <w:rPr>
          <w:rFonts w:ascii="Roboto" w:cs="Roboto" w:eastAsia="Roboto" w:hAnsi="Roboto"/>
          <w:sz w:val="24"/>
          <w:szCs w:val="24"/>
        </w:rPr>
      </w:pPr>
      <w:hyperlink r:id="rId20">
        <w:r w:rsidDel="00000000" w:rsidR="00000000" w:rsidRPr="00000000">
          <w:rPr>
            <w:rFonts w:ascii="Roboto" w:cs="Roboto" w:eastAsia="Roboto" w:hAnsi="Roboto"/>
            <w:color w:val="1155cc"/>
            <w:sz w:val="24"/>
            <w:szCs w:val="24"/>
            <w:u w:val="single"/>
            <w:rtl w:val="0"/>
          </w:rPr>
          <w:t xml:space="preserve">https://www.instagram.com/reel/DW4CQdBDhyQ/</w:t>
        </w:r>
      </w:hyperlink>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9B">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C">
      <w:pPr>
        <w:spacing w:after="240" w:before="240" w:lineRule="auto"/>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E. Other Environmental and Project-Related Sources</w:t>
      </w:r>
    </w:p>
    <w:p w:rsidR="00000000" w:rsidDel="00000000" w:rsidP="00000000" w:rsidRDefault="00000000" w:rsidRPr="00000000" w14:paraId="0000009D">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E">
      <w:pPr>
        <w:numPr>
          <w:ilvl w:val="0"/>
          <w:numId w:val="1"/>
        </w:numPr>
        <w:spacing w:after="240" w:before="240" w:lineRule="auto"/>
        <w:ind w:left="720"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The Save Deux Branches Evidence Archive is used throughout this report as a source for the documented chronology of the Deux Branches project, including reported earthworks beginning in July–August 2025, concerns raised by the Kalinago Council, photographic and drone evidence, the December 2025 Stop Order, the January 2026 records request, continued construction reported in March 2026, and the release of the ESIA on 23 March 2026.</w:t>
      </w:r>
    </w:p>
    <w:p w:rsidR="00000000" w:rsidDel="00000000" w:rsidP="00000000" w:rsidRDefault="00000000" w:rsidRPr="00000000" w14:paraId="0000009F">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0">
      <w:pPr>
        <w:spacing w:after="240" w:befor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1">
      <w:pPr>
        <w:spacing w:after="240" w:before="240" w:lineRule="auto"/>
        <w:rPr>
          <w:rFonts w:ascii="Roboto" w:cs="Roboto" w:eastAsia="Roboto" w:hAnsi="Roboto"/>
          <w:sz w:val="24"/>
          <w:szCs w:val="24"/>
          <w:u w:val="single"/>
        </w:rPr>
      </w:pPr>
      <w:r w:rsidDel="00000000" w:rsidR="00000000" w:rsidRPr="00000000">
        <w:rPr>
          <w:rFonts w:ascii="Roboto" w:cs="Roboto" w:eastAsia="Roboto" w:hAnsi="Roboto"/>
          <w:b w:val="1"/>
          <w:bCs w:val="1"/>
          <w:sz w:val="24"/>
          <w:szCs w:val="24"/>
          <w:rtl w:val="0"/>
        </w:rPr>
        <w:t xml:space="preserve">Note: </w:t>
      </w:r>
      <w:r w:rsidDel="00000000" w:rsidR="00000000" w:rsidRPr="00000000">
        <w:rPr>
          <w:rFonts w:ascii="Roboto" w:cs="Roboto" w:eastAsia="Roboto" w:hAnsi="Roboto"/>
          <w:sz w:val="24"/>
          <w:szCs w:val="24"/>
          <w:u w:val="single"/>
          <w:rtl w:val="0"/>
        </w:rPr>
        <w:t xml:space="preserve">This Submission can be published on the committee’s website</w:t>
      </w:r>
    </w:p>
    <w:sectPr>
      <w:headerReference r:id="rId21" w:type="default"/>
      <w:headerReference r:id="rId22" w:type="first"/>
      <w:footerReference r:id="rId23" w:type="default"/>
      <w:footerReference r:id="rId24"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spacing w:line="240" w:lineRule="auto"/>
      <w:rPr>
        <w:sz w:val="10"/>
        <w:szCs w:val="10"/>
      </w:rPr>
    </w:pPr>
    <w:r w:rsidDel="00000000" w:rsidR="00000000" w:rsidRPr="00000000">
      <w:rPr>
        <w:rtl w:val="0"/>
      </w:rPr>
    </w:r>
  </w:p>
  <w:p w:rsidR="00000000" w:rsidDel="00000000" w:rsidP="00000000" w:rsidRDefault="00000000" w:rsidRPr="00000000" w14:paraId="000000A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7">
      <w:pPr>
        <w:spacing w:line="240" w:lineRule="auto"/>
        <w:rPr>
          <w:rFonts w:ascii="Roboto" w:cs="Roboto" w:eastAsia="Roboto" w:hAnsi="Roboto"/>
          <w:color w:val="1155cc"/>
          <w:sz w:val="12"/>
          <w:szCs w:val="12"/>
          <w:u w:val="singl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14"/>
          <w:szCs w:val="14"/>
          <w:rtl w:val="0"/>
        </w:rPr>
        <w:t xml:space="preserve">Office of the United Nations High Commissioner for Human Rights (OHCHR). </w:t>
      </w:r>
      <w:r w:rsidDel="00000000" w:rsidR="00000000" w:rsidRPr="00000000">
        <w:rPr>
          <w:rFonts w:ascii="Roboto" w:cs="Roboto" w:eastAsia="Roboto" w:hAnsi="Roboto"/>
          <w:i w:val="1"/>
          <w:iCs w:val="1"/>
          <w:sz w:val="14"/>
          <w:szCs w:val="14"/>
          <w:rtl w:val="0"/>
        </w:rPr>
        <w:t xml:space="preserve">Letter by the United Nations High Commissioner’s for Human Rights to the Commonwealth of Dominica: Universal Periodic Review, 47th session, 2024. </w:t>
      </w:r>
      <w:hyperlink r:id="rId1">
        <w:r w:rsidDel="00000000" w:rsidR="00000000" w:rsidRPr="00000000">
          <w:rPr>
            <w:rFonts w:ascii="Roboto" w:cs="Roboto" w:eastAsia="Roboto" w:hAnsi="Roboto"/>
            <w:color w:val="1155cc"/>
            <w:sz w:val="12"/>
            <w:szCs w:val="12"/>
            <w:u w:val="single"/>
            <w:rtl w:val="0"/>
          </w:rPr>
          <w:t xml:space="preserve">https://www.ohchr.org/sites/default/files/documents/hrbodies/upr/sessions/session47/hc-letters/session47-hc-letter-commonwealth-dominica-eng.pdf</w:t>
        </w:r>
      </w:hyperlink>
      <w:r w:rsidDel="00000000" w:rsidR="00000000" w:rsidRPr="00000000">
        <w:rPr>
          <w:rtl w:val="0"/>
        </w:rPr>
      </w:r>
    </w:p>
    <w:p w:rsidR="00000000" w:rsidDel="00000000" w:rsidP="00000000" w:rsidRDefault="00000000" w:rsidRPr="00000000" w14:paraId="000000A8">
      <w:pPr>
        <w:spacing w:line="240" w:lineRule="auto"/>
        <w:rPr>
          <w:rFonts w:ascii="Roboto" w:cs="Roboto" w:eastAsia="Roboto" w:hAnsi="Roboto"/>
          <w:i w:val="1"/>
          <w:iCs w:val="1"/>
          <w:sz w:val="14"/>
          <w:szCs w:val="14"/>
        </w:rPr>
      </w:pPr>
      <w:r w:rsidDel="00000000" w:rsidR="00000000" w:rsidRPr="00000000">
        <w:rPr>
          <w:rtl w:val="0"/>
        </w:rPr>
      </w:r>
    </w:p>
  </w:footnote>
  <w:footnote w:id="1">
    <w:p w:rsidR="00000000" w:rsidDel="00000000" w:rsidP="00000000" w:rsidRDefault="00000000" w:rsidRPr="00000000" w14:paraId="000000A9">
      <w:pPr>
        <w:spacing w:line="240" w:lineRule="auto"/>
        <w:rPr>
          <w:rFonts w:ascii="Roboto" w:cs="Roboto" w:eastAsia="Roboto" w:hAnsi="Roboto"/>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b w:val="1"/>
          <w:bCs w:val="1"/>
          <w:sz w:val="14"/>
          <w:szCs w:val="14"/>
          <w:rtl w:val="0"/>
        </w:rPr>
        <w:t xml:space="preserve">United Nations Treaty Collection.</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i w:val="1"/>
          <w:iCs w:val="1"/>
          <w:sz w:val="14"/>
          <w:szCs w:val="14"/>
          <w:rtl w:val="0"/>
        </w:rPr>
        <w:t xml:space="preserve">International Covenant on Civil and Political Rights: Dominica.</w:t>
      </w:r>
      <w:r w:rsidDel="00000000" w:rsidR="00000000" w:rsidRPr="00000000">
        <w:rPr>
          <w:rFonts w:ascii="Roboto" w:cs="Roboto" w:eastAsia="Roboto" w:hAnsi="Roboto"/>
          <w:sz w:val="14"/>
          <w:szCs w:val="14"/>
          <w:rtl w:val="0"/>
        </w:rPr>
        <w:t xml:space="preserve"> Accession: 17 June 1993; entry into force for Dominica: 17 June 1993.</w:t>
      </w:r>
    </w:p>
    <w:p w:rsidR="00000000" w:rsidDel="00000000" w:rsidP="00000000" w:rsidRDefault="00000000" w:rsidRPr="00000000" w14:paraId="000000AA">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AB">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United Nations Human Rights Committee. Concluding observations in the absence of the initial report of Dominica, CCPR/C/DMA/COAR/1, 24 April 2020, paras. 14–15(b).</w:t>
      </w:r>
    </w:p>
    <w:p w:rsidR="00000000" w:rsidDel="00000000" w:rsidP="00000000" w:rsidRDefault="00000000" w:rsidRPr="00000000" w14:paraId="000000AC">
      <w:pPr>
        <w:spacing w:line="240" w:lineRule="auto"/>
        <w:rPr>
          <w:sz w:val="14"/>
          <w:szCs w:val="14"/>
        </w:rPr>
      </w:pPr>
      <w:hyperlink r:id="rId2">
        <w:r w:rsidDel="00000000" w:rsidR="00000000" w:rsidRPr="00000000">
          <w:rPr>
            <w:color w:val="1155cc"/>
            <w:sz w:val="14"/>
            <w:szCs w:val="14"/>
            <w:u w:val="single"/>
            <w:rtl w:val="0"/>
          </w:rPr>
          <w:t xml:space="preserve">https://docstore.ohchr.org/SelfServices/FilesHandler.ashx?enc=pHHaNnkX7ji0ggPPjnBi2%2FcKV2RprC4UlOGkGWxq2lccO8njfGPdtJb7Nra2eLeJOSO4tqAyMur1zqhOMIYtyg%3D%3D</w:t>
        </w:r>
      </w:hyperlink>
      <w:r w:rsidDel="00000000" w:rsidR="00000000" w:rsidRPr="00000000">
        <w:rPr>
          <w:sz w:val="14"/>
          <w:szCs w:val="14"/>
          <w:rtl w:val="0"/>
        </w:rPr>
        <w:t xml:space="preserve"> </w:t>
      </w:r>
    </w:p>
    <w:p w:rsidR="00000000" w:rsidDel="00000000" w:rsidP="00000000" w:rsidRDefault="00000000" w:rsidRPr="00000000" w14:paraId="000000AD">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AE">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Office of the United Nations High Commissioner for Human Rights (OHCHR). Compilation of information on Dominica, A/HRC/WG.6/47/DMA/2, 14 August 2024, para. 68.</w:t>
      </w:r>
    </w:p>
    <w:p w:rsidR="00000000" w:rsidDel="00000000" w:rsidP="00000000" w:rsidRDefault="00000000" w:rsidRPr="00000000" w14:paraId="000000AF">
      <w:pPr>
        <w:spacing w:line="240" w:lineRule="auto"/>
        <w:rPr>
          <w:sz w:val="14"/>
          <w:szCs w:val="14"/>
        </w:rPr>
      </w:pPr>
      <w:r w:rsidDel="00000000" w:rsidR="00000000" w:rsidRPr="00000000">
        <w:rPr>
          <w:sz w:val="14"/>
          <w:szCs w:val="14"/>
          <w:rtl w:val="0"/>
        </w:rPr>
        <w:t xml:space="preserve"> </w:t>
      </w:r>
      <w:hyperlink r:id="rId3">
        <w:r w:rsidDel="00000000" w:rsidR="00000000" w:rsidRPr="00000000">
          <w:rPr>
            <w:color w:val="1155cc"/>
            <w:sz w:val="14"/>
            <w:szCs w:val="14"/>
            <w:u w:val="single"/>
            <w:rtl w:val="0"/>
          </w:rPr>
          <w:t xml:space="preserve">https://documents.un.org/doc/undoc/gen/g24/138/97/pdf/g2413897.pdf</w:t>
        </w:r>
      </w:hyperlink>
      <w:r w:rsidDel="00000000" w:rsidR="00000000" w:rsidRPr="00000000">
        <w:rPr>
          <w:sz w:val="14"/>
          <w:szCs w:val="14"/>
          <w:rtl w:val="0"/>
        </w:rPr>
        <w:t xml:space="preserve"> </w:t>
      </w:r>
    </w:p>
    <w:p w:rsidR="00000000" w:rsidDel="00000000" w:rsidP="00000000" w:rsidRDefault="00000000" w:rsidRPr="00000000" w14:paraId="000000B0">
      <w:pPr>
        <w:spacing w:line="240" w:lineRule="auto"/>
        <w:rPr>
          <w:sz w:val="14"/>
          <w:szCs w:val="14"/>
        </w:rPr>
      </w:pPr>
      <w:r w:rsidDel="00000000" w:rsidR="00000000" w:rsidRPr="00000000">
        <w:rPr>
          <w:rtl w:val="0"/>
        </w:rPr>
      </w:r>
    </w:p>
  </w:footnote>
  <w:footnote w:id="4">
    <w:p w:rsidR="00000000" w:rsidDel="00000000" w:rsidP="00000000" w:rsidRDefault="00000000" w:rsidRPr="00000000" w14:paraId="000000B1">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Human Rights Council. Report of the Working Group on the Universal Periodic Review: Dominica, A/HRC/58/10, 2024.</w:t>
      </w:r>
    </w:p>
    <w:p w:rsidR="00000000" w:rsidDel="00000000" w:rsidP="00000000" w:rsidRDefault="00000000" w:rsidRPr="00000000" w14:paraId="000000B2">
      <w:pPr>
        <w:spacing w:line="240" w:lineRule="auto"/>
        <w:rPr>
          <w:sz w:val="14"/>
          <w:szCs w:val="14"/>
        </w:rPr>
      </w:pPr>
      <w:hyperlink r:id="rId4">
        <w:r w:rsidDel="00000000" w:rsidR="00000000" w:rsidRPr="00000000">
          <w:rPr>
            <w:color w:val="1155cc"/>
            <w:sz w:val="14"/>
            <w:szCs w:val="14"/>
            <w:u w:val="single"/>
            <w:rtl w:val="0"/>
          </w:rPr>
          <w:t xml:space="preserve">https://acrobat.adobe.com/id/urn:aaid:sc:VA6C2:83d2a21c-306b-45ef-b43d-6bc1c6712ec8</w:t>
        </w:r>
      </w:hyperlink>
      <w:r w:rsidDel="00000000" w:rsidR="00000000" w:rsidRPr="00000000">
        <w:rPr>
          <w:sz w:val="14"/>
          <w:szCs w:val="14"/>
          <w:rtl w:val="0"/>
        </w:rPr>
        <w:t xml:space="preserve">  </w:t>
      </w:r>
    </w:p>
    <w:p w:rsidR="00000000" w:rsidDel="00000000" w:rsidP="00000000" w:rsidRDefault="00000000" w:rsidRPr="00000000" w14:paraId="000000B3">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B4">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Office of the United Nations High Commissioner for Human Rights (OHCHR). Compilation of information on Dominica, A/HRC/WG.6/47/DMA/2, 14 August 2024, para. 68.</w:t>
      </w:r>
    </w:p>
    <w:p w:rsidR="00000000" w:rsidDel="00000000" w:rsidP="00000000" w:rsidRDefault="00000000" w:rsidRPr="00000000" w14:paraId="000000B5">
      <w:pPr>
        <w:spacing w:line="240" w:lineRule="auto"/>
        <w:rPr>
          <w:sz w:val="14"/>
          <w:szCs w:val="14"/>
        </w:rPr>
      </w:pPr>
      <w:r w:rsidDel="00000000" w:rsidR="00000000" w:rsidRPr="00000000">
        <w:rPr>
          <w:sz w:val="14"/>
          <w:szCs w:val="14"/>
          <w:rtl w:val="0"/>
        </w:rPr>
        <w:t xml:space="preserve"> </w:t>
      </w:r>
      <w:hyperlink r:id="rId5">
        <w:r w:rsidDel="00000000" w:rsidR="00000000" w:rsidRPr="00000000">
          <w:rPr>
            <w:color w:val="1155cc"/>
            <w:sz w:val="14"/>
            <w:szCs w:val="14"/>
            <w:u w:val="single"/>
            <w:rtl w:val="0"/>
          </w:rPr>
          <w:t xml:space="preserve">https://documents.un.org/doc/undoc/gen/g24/138/97/pdf/g2413897.pdf</w:t>
        </w:r>
      </w:hyperlink>
      <w:r w:rsidDel="00000000" w:rsidR="00000000" w:rsidRPr="00000000">
        <w:rPr>
          <w:sz w:val="14"/>
          <w:szCs w:val="14"/>
          <w:rtl w:val="0"/>
        </w:rPr>
        <w:t xml:space="preserve"> </w:t>
      </w:r>
    </w:p>
    <w:p w:rsidR="00000000" w:rsidDel="00000000" w:rsidP="00000000" w:rsidRDefault="00000000" w:rsidRPr="00000000" w14:paraId="000000B6">
      <w:pPr>
        <w:spacing w:line="240" w:lineRule="auto"/>
        <w:rPr>
          <w:sz w:val="14"/>
          <w:szCs w:val="14"/>
        </w:rPr>
      </w:pPr>
      <w:r w:rsidDel="00000000" w:rsidR="00000000" w:rsidRPr="00000000">
        <w:rPr>
          <w:rtl w:val="0"/>
        </w:rPr>
      </w:r>
    </w:p>
  </w:footnote>
  <w:footnote w:id="6">
    <w:p w:rsidR="00000000" w:rsidDel="00000000" w:rsidP="00000000" w:rsidRDefault="00000000" w:rsidRPr="00000000" w14:paraId="000000B7">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Human Rights Council. Report of the Working Group on the Universal Periodic Review: Dominica, fourth cycle, 2024, A/HRC/58/10, paras. 97.95, 97.99, 97.102–97.105, 97.114, 97.124 and 97.125.</w:t>
      </w:r>
    </w:p>
    <w:p w:rsidR="00000000" w:rsidDel="00000000" w:rsidP="00000000" w:rsidRDefault="00000000" w:rsidRPr="00000000" w14:paraId="000000B8">
      <w:pPr>
        <w:spacing w:line="240" w:lineRule="auto"/>
        <w:rPr>
          <w:sz w:val="14"/>
          <w:szCs w:val="14"/>
        </w:rPr>
      </w:pPr>
      <w:hyperlink r:id="rId6">
        <w:r w:rsidDel="00000000" w:rsidR="00000000" w:rsidRPr="00000000">
          <w:rPr>
            <w:color w:val="1155cc"/>
            <w:sz w:val="14"/>
            <w:szCs w:val="14"/>
            <w:u w:val="single"/>
            <w:rtl w:val="0"/>
          </w:rPr>
          <w:t xml:space="preserve">https://acrobat.adobe.com/id/urn:aaid:sc:VA6C2:83d2a21c-306b-45ef-b43d-6bc1c6712ec8</w:t>
        </w:r>
      </w:hyperlink>
      <w:r w:rsidDel="00000000" w:rsidR="00000000" w:rsidRPr="00000000">
        <w:rPr>
          <w:sz w:val="14"/>
          <w:szCs w:val="14"/>
          <w:rtl w:val="0"/>
        </w:rPr>
        <w:t xml:space="preserve">  </w:t>
      </w:r>
    </w:p>
    <w:p w:rsidR="00000000" w:rsidDel="00000000" w:rsidP="00000000" w:rsidRDefault="00000000" w:rsidRPr="00000000" w14:paraId="000000B9">
      <w:pPr>
        <w:spacing w:line="240" w:lineRule="auto"/>
        <w:rPr>
          <w:sz w:val="14"/>
          <w:szCs w:val="14"/>
        </w:rPr>
      </w:pPr>
      <w:r w:rsidDel="00000000" w:rsidR="00000000" w:rsidRPr="00000000">
        <w:rPr>
          <w:rtl w:val="0"/>
        </w:rPr>
      </w:r>
    </w:p>
  </w:footnote>
  <w:footnote w:id="7">
    <w:p w:rsidR="00000000" w:rsidDel="00000000" w:rsidP="00000000" w:rsidRDefault="00000000" w:rsidRPr="00000000" w14:paraId="000000BA">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Office of the United Nations High Commissioner for Human Rights (OHCHR). Compilation of information on Dominica, A/HRC/WG.6/47/DMA/2, 14 August 2024, para. 68.</w:t>
      </w:r>
    </w:p>
    <w:p w:rsidR="00000000" w:rsidDel="00000000" w:rsidP="00000000" w:rsidRDefault="00000000" w:rsidRPr="00000000" w14:paraId="000000BB">
      <w:pPr>
        <w:spacing w:line="240" w:lineRule="auto"/>
        <w:rPr>
          <w:sz w:val="14"/>
          <w:szCs w:val="14"/>
        </w:rPr>
      </w:pPr>
      <w:r w:rsidDel="00000000" w:rsidR="00000000" w:rsidRPr="00000000">
        <w:rPr>
          <w:sz w:val="14"/>
          <w:szCs w:val="14"/>
          <w:rtl w:val="0"/>
        </w:rPr>
        <w:t xml:space="preserve"> </w:t>
      </w:r>
      <w:hyperlink r:id="rId7">
        <w:r w:rsidDel="00000000" w:rsidR="00000000" w:rsidRPr="00000000">
          <w:rPr>
            <w:color w:val="1155cc"/>
            <w:sz w:val="14"/>
            <w:szCs w:val="14"/>
            <w:u w:val="single"/>
            <w:rtl w:val="0"/>
          </w:rPr>
          <w:t xml:space="preserve">https://documents.un.org/doc/undoc/gen/g24/138/97/pdf/g2413897.pdf</w:t>
        </w:r>
      </w:hyperlink>
      <w:r w:rsidDel="00000000" w:rsidR="00000000" w:rsidRPr="00000000">
        <w:rPr>
          <w:sz w:val="14"/>
          <w:szCs w:val="14"/>
          <w:rtl w:val="0"/>
        </w:rPr>
        <w:t xml:space="preserve"> </w:t>
      </w:r>
    </w:p>
    <w:p w:rsidR="00000000" w:rsidDel="00000000" w:rsidP="00000000" w:rsidRDefault="00000000" w:rsidRPr="00000000" w14:paraId="000000BC">
      <w:pPr>
        <w:spacing w:line="240" w:lineRule="auto"/>
        <w:rPr>
          <w:sz w:val="14"/>
          <w:szCs w:val="14"/>
        </w:rPr>
      </w:pPr>
      <w:r w:rsidDel="00000000" w:rsidR="00000000" w:rsidRPr="00000000">
        <w:rPr>
          <w:rtl w:val="0"/>
        </w:rPr>
      </w:r>
    </w:p>
  </w:footnote>
  <w:footnote w:id="8">
    <w:p w:rsidR="00000000" w:rsidDel="00000000" w:rsidP="00000000" w:rsidRDefault="00000000" w:rsidRPr="00000000" w14:paraId="000000BD">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Protect Deux Branches - Dominica Environmental Campaign: Evidence Archive. </w:t>
      </w:r>
      <w:hyperlink r:id="rId8">
        <w:r w:rsidDel="00000000" w:rsidR="00000000" w:rsidRPr="00000000">
          <w:rPr>
            <w:color w:val="1155cc"/>
            <w:sz w:val="14"/>
            <w:szCs w:val="14"/>
            <w:u w:val="single"/>
            <w:rtl w:val="0"/>
          </w:rPr>
          <w:t xml:space="preserve">https://savedeuxbranches.org/#evidence</w:t>
        </w:r>
      </w:hyperlink>
      <w:r w:rsidDel="00000000" w:rsidR="00000000" w:rsidRPr="00000000">
        <w:rPr>
          <w:sz w:val="14"/>
          <w:szCs w:val="14"/>
          <w:rtl w:val="0"/>
        </w:rPr>
        <w:t xml:space="preserve"> </w:t>
      </w:r>
    </w:p>
    <w:p w:rsidR="00000000" w:rsidDel="00000000" w:rsidP="00000000" w:rsidRDefault="00000000" w:rsidRPr="00000000" w14:paraId="000000BE">
      <w:pPr>
        <w:spacing w:line="240" w:lineRule="auto"/>
        <w:rPr>
          <w:sz w:val="14"/>
          <w:szCs w:val="14"/>
        </w:rPr>
      </w:pPr>
      <w:r w:rsidDel="00000000" w:rsidR="00000000" w:rsidRPr="00000000">
        <w:rPr>
          <w:rtl w:val="0"/>
        </w:rPr>
      </w:r>
    </w:p>
  </w:footnote>
  <w:footnote w:id="9">
    <w:p w:rsidR="00000000" w:rsidDel="00000000" w:rsidP="00000000" w:rsidRDefault="00000000" w:rsidRPr="00000000" w14:paraId="000000BF">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Government of the Commonwealth of Dominica. Physical Planning Act, Act No. 5 of 2002.</w:t>
      </w:r>
    </w:p>
    <w:p w:rsidR="00000000" w:rsidDel="00000000" w:rsidP="00000000" w:rsidRDefault="00000000" w:rsidRPr="00000000" w14:paraId="000000C0">
      <w:pPr>
        <w:spacing w:line="240" w:lineRule="auto"/>
        <w:rPr>
          <w:sz w:val="14"/>
          <w:szCs w:val="14"/>
        </w:rPr>
      </w:pPr>
      <w:hyperlink r:id="rId9">
        <w:r w:rsidDel="00000000" w:rsidR="00000000" w:rsidRPr="00000000">
          <w:rPr>
            <w:color w:val="1155cc"/>
            <w:sz w:val="14"/>
            <w:szCs w:val="14"/>
            <w:u w:val="single"/>
            <w:rtl w:val="0"/>
          </w:rPr>
          <w:t xml:space="preserve">https://www.dominica.gov.dm/laws/2002/act5-2002.pdf</w:t>
        </w:r>
      </w:hyperlink>
      <w:r w:rsidDel="00000000" w:rsidR="00000000" w:rsidRPr="00000000">
        <w:rPr>
          <w:sz w:val="14"/>
          <w:szCs w:val="14"/>
          <w:rtl w:val="0"/>
        </w:rPr>
        <w:t xml:space="preserve">    </w:t>
      </w:r>
    </w:p>
    <w:p w:rsidR="00000000" w:rsidDel="00000000" w:rsidP="00000000" w:rsidRDefault="00000000" w:rsidRPr="00000000" w14:paraId="000000C1">
      <w:pPr>
        <w:spacing w:line="240" w:lineRule="auto"/>
        <w:rPr>
          <w:sz w:val="14"/>
          <w:szCs w:val="14"/>
        </w:rPr>
      </w:pPr>
      <w:r w:rsidDel="00000000" w:rsidR="00000000" w:rsidRPr="00000000">
        <w:rPr>
          <w:rtl w:val="0"/>
        </w:rPr>
      </w:r>
    </w:p>
  </w:footnote>
  <w:footnote w:id="10">
    <w:p w:rsidR="00000000" w:rsidDel="00000000" w:rsidP="00000000" w:rsidRDefault="00000000" w:rsidRPr="00000000" w14:paraId="000000C2">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Protect Deux Branches - Dominica Environmental Campaign: Evidence Archive. </w:t>
      </w:r>
    </w:p>
    <w:p w:rsidR="00000000" w:rsidDel="00000000" w:rsidP="00000000" w:rsidRDefault="00000000" w:rsidRPr="00000000" w14:paraId="000000C3">
      <w:pPr>
        <w:spacing w:line="240" w:lineRule="auto"/>
        <w:rPr>
          <w:sz w:val="14"/>
          <w:szCs w:val="14"/>
        </w:rPr>
      </w:pPr>
      <w:hyperlink r:id="rId10">
        <w:r w:rsidDel="00000000" w:rsidR="00000000" w:rsidRPr="00000000">
          <w:rPr>
            <w:color w:val="1155cc"/>
            <w:sz w:val="14"/>
            <w:szCs w:val="14"/>
            <w:u w:val="single"/>
            <w:rtl w:val="0"/>
          </w:rPr>
          <w:t xml:space="preserve">https://savedeuxbranches.org/#evidence</w:t>
        </w:r>
      </w:hyperlink>
      <w:r w:rsidDel="00000000" w:rsidR="00000000" w:rsidRPr="00000000">
        <w:rPr>
          <w:sz w:val="14"/>
          <w:szCs w:val="14"/>
          <w:rtl w:val="0"/>
        </w:rPr>
        <w:t xml:space="preserve"> </w:t>
      </w:r>
    </w:p>
    <w:p w:rsidR="00000000" w:rsidDel="00000000" w:rsidP="00000000" w:rsidRDefault="00000000" w:rsidRPr="00000000" w14:paraId="000000C4">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0C5">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Government of the Commonwealth of Dominica. Physical Planning Act, Act No. 5 of 2002.</w:t>
      </w:r>
    </w:p>
    <w:p w:rsidR="00000000" w:rsidDel="00000000" w:rsidP="00000000" w:rsidRDefault="00000000" w:rsidRPr="00000000" w14:paraId="000000C6">
      <w:pPr>
        <w:spacing w:line="240" w:lineRule="auto"/>
        <w:rPr>
          <w:sz w:val="14"/>
          <w:szCs w:val="14"/>
        </w:rPr>
      </w:pPr>
      <w:hyperlink r:id="rId11">
        <w:r w:rsidDel="00000000" w:rsidR="00000000" w:rsidRPr="00000000">
          <w:rPr>
            <w:color w:val="1155cc"/>
            <w:sz w:val="14"/>
            <w:szCs w:val="14"/>
            <w:u w:val="single"/>
            <w:rtl w:val="0"/>
          </w:rPr>
          <w:t xml:space="preserve">https://www.dominica.gov.dm/laws/2002/act5-2002.pdf</w:t>
        </w:r>
      </w:hyperlink>
      <w:r w:rsidDel="00000000" w:rsidR="00000000" w:rsidRPr="00000000">
        <w:rPr>
          <w:sz w:val="14"/>
          <w:szCs w:val="14"/>
          <w:rtl w:val="0"/>
        </w:rPr>
        <w:t xml:space="preserve">    </w:t>
      </w:r>
    </w:p>
    <w:p w:rsidR="00000000" w:rsidDel="00000000" w:rsidP="00000000" w:rsidRDefault="00000000" w:rsidRPr="00000000" w14:paraId="000000C7">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0C8">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Government of the Commonwealth of Dominica. Mines and Minerals Act, Act No. 5 of 1996.</w:t>
      </w:r>
    </w:p>
    <w:p w:rsidR="00000000" w:rsidDel="00000000" w:rsidP="00000000" w:rsidRDefault="00000000" w:rsidRPr="00000000" w14:paraId="000000C9">
      <w:pPr>
        <w:spacing w:line="240" w:lineRule="auto"/>
        <w:rPr>
          <w:sz w:val="14"/>
          <w:szCs w:val="14"/>
        </w:rPr>
      </w:pPr>
      <w:hyperlink r:id="rId12">
        <w:r w:rsidDel="00000000" w:rsidR="00000000" w:rsidRPr="00000000">
          <w:rPr>
            <w:color w:val="1155cc"/>
            <w:sz w:val="14"/>
            <w:szCs w:val="14"/>
            <w:u w:val="single"/>
            <w:rtl w:val="0"/>
          </w:rPr>
          <w:t xml:space="preserve">https://www.dominica.gov.dm/laws/1996/act5-1996.pdf</w:t>
        </w:r>
      </w:hyperlink>
      <w:r w:rsidDel="00000000" w:rsidR="00000000" w:rsidRPr="00000000">
        <w:rPr>
          <w:sz w:val="14"/>
          <w:szCs w:val="14"/>
          <w:rtl w:val="0"/>
        </w:rPr>
        <w:t xml:space="preserve"> </w:t>
      </w:r>
    </w:p>
    <w:p w:rsidR="00000000" w:rsidDel="00000000" w:rsidP="00000000" w:rsidRDefault="00000000" w:rsidRPr="00000000" w14:paraId="000000CA">
      <w:pPr>
        <w:spacing w:line="240" w:lineRule="auto"/>
        <w:rPr>
          <w:sz w:val="14"/>
          <w:szCs w:val="14"/>
        </w:rPr>
      </w:pPr>
      <w:r w:rsidDel="00000000" w:rsidR="00000000" w:rsidRPr="00000000">
        <w:rPr>
          <w:rtl w:val="0"/>
        </w:rPr>
      </w:r>
    </w:p>
  </w:footnote>
  <w:footnote w:id="13">
    <w:p w:rsidR="00000000" w:rsidDel="00000000" w:rsidP="00000000" w:rsidRDefault="00000000" w:rsidRPr="00000000" w14:paraId="000000CB">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Government of the Commonwealth of Dominica. Forests Act, Chap. 60:01.</w:t>
      </w:r>
    </w:p>
    <w:p w:rsidR="00000000" w:rsidDel="00000000" w:rsidP="00000000" w:rsidRDefault="00000000" w:rsidRPr="00000000" w14:paraId="000000CC">
      <w:pPr>
        <w:spacing w:line="240" w:lineRule="auto"/>
        <w:rPr>
          <w:sz w:val="14"/>
          <w:szCs w:val="14"/>
        </w:rPr>
      </w:pPr>
      <w:r w:rsidDel="00000000" w:rsidR="00000000" w:rsidRPr="00000000">
        <w:rPr>
          <w:sz w:val="14"/>
          <w:szCs w:val="14"/>
          <w:rtl w:val="0"/>
        </w:rPr>
        <w:t xml:space="preserve"> </w:t>
      </w:r>
      <w:hyperlink r:id="rId13">
        <w:r w:rsidDel="00000000" w:rsidR="00000000" w:rsidRPr="00000000">
          <w:rPr>
            <w:color w:val="1155cc"/>
            <w:sz w:val="14"/>
            <w:szCs w:val="14"/>
            <w:u w:val="single"/>
            <w:rtl w:val="0"/>
          </w:rPr>
          <w:t xml:space="preserve">https://www.dominica.gov.dm/images/docs/govt_pubs/national_forest_policy_march_2022.pdf</w:t>
        </w:r>
      </w:hyperlink>
      <w:r w:rsidDel="00000000" w:rsidR="00000000" w:rsidRPr="00000000">
        <w:rPr>
          <w:sz w:val="14"/>
          <w:szCs w:val="14"/>
          <w:rtl w:val="0"/>
        </w:rPr>
        <w:t xml:space="preserve">. </w:t>
      </w:r>
    </w:p>
    <w:p w:rsidR="00000000" w:rsidDel="00000000" w:rsidP="00000000" w:rsidRDefault="00000000" w:rsidRPr="00000000" w14:paraId="000000CD">
      <w:pPr>
        <w:spacing w:line="240" w:lineRule="auto"/>
        <w:rPr>
          <w:sz w:val="14"/>
          <w:szCs w:val="14"/>
        </w:rPr>
      </w:pPr>
      <w:r w:rsidDel="00000000" w:rsidR="00000000" w:rsidRPr="00000000">
        <w:rPr>
          <w:rtl w:val="0"/>
        </w:rPr>
      </w:r>
    </w:p>
  </w:footnote>
  <w:footnote w:id="14">
    <w:p w:rsidR="00000000" w:rsidDel="00000000" w:rsidP="00000000" w:rsidRDefault="00000000" w:rsidRPr="00000000" w14:paraId="000000CE">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Government of the Commonwealth of Dominica, Office of the Prime Minister. PM Skerrit Orders Temporary Halt of Work at Deux Branches; Matter under Review. 5 December 2025. </w:t>
      </w:r>
      <w:hyperlink r:id="rId14">
        <w:r w:rsidDel="00000000" w:rsidR="00000000" w:rsidRPr="00000000">
          <w:rPr>
            <w:color w:val="1155cc"/>
            <w:sz w:val="14"/>
            <w:szCs w:val="14"/>
            <w:u w:val="single"/>
            <w:rtl w:val="0"/>
          </w:rPr>
          <w:t xml:space="preserve">https://pressroomopm.gov.dm/pm-skerrit-orders-temporary-halt-of-work-at-deux-branches-matter-under-review/</w:t>
        </w:r>
      </w:hyperlink>
      <w:r w:rsidDel="00000000" w:rsidR="00000000" w:rsidRPr="00000000">
        <w:rPr>
          <w:sz w:val="14"/>
          <w:szCs w:val="14"/>
          <w:rtl w:val="0"/>
        </w:rPr>
        <w:t xml:space="preserve"> </w:t>
      </w:r>
    </w:p>
    <w:p w:rsidR="00000000" w:rsidDel="00000000" w:rsidP="00000000" w:rsidRDefault="00000000" w:rsidRPr="00000000" w14:paraId="000000CF">
      <w:pPr>
        <w:spacing w:line="240" w:lineRule="auto"/>
        <w:rPr>
          <w:sz w:val="14"/>
          <w:szCs w:val="14"/>
        </w:rPr>
      </w:pPr>
      <w:r w:rsidDel="00000000" w:rsidR="00000000" w:rsidRPr="00000000">
        <w:rPr>
          <w:rtl w:val="0"/>
        </w:rPr>
      </w:r>
    </w:p>
    <w:p w:rsidR="00000000" w:rsidDel="00000000" w:rsidP="00000000" w:rsidRDefault="00000000" w:rsidRPr="00000000" w14:paraId="000000D0">
      <w:pPr>
        <w:spacing w:line="240" w:lineRule="auto"/>
        <w:rPr>
          <w:sz w:val="14"/>
          <w:szCs w:val="14"/>
        </w:rPr>
      </w:pPr>
      <w:r w:rsidDel="00000000" w:rsidR="00000000" w:rsidRPr="00000000">
        <w:rPr>
          <w:rtl w:val="0"/>
        </w:rPr>
      </w:r>
    </w:p>
  </w:footnote>
  <w:footnote w:id="15">
    <w:p w:rsidR="00000000" w:rsidDel="00000000" w:rsidP="00000000" w:rsidRDefault="00000000" w:rsidRPr="00000000" w14:paraId="000000D1">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United Nations Treaty Collection. Regional Agreement on Access to Information, Public Participation and Justice in Environmental Matters in Latin America and the Caribbean (Escazú Agreement). Escazú, 4 March 2018. </w:t>
      </w:r>
      <w:hyperlink r:id="rId15">
        <w:r w:rsidDel="00000000" w:rsidR="00000000" w:rsidRPr="00000000">
          <w:rPr>
            <w:color w:val="1155cc"/>
            <w:sz w:val="14"/>
            <w:szCs w:val="14"/>
            <w:u w:val="single"/>
            <w:rtl w:val="0"/>
          </w:rPr>
          <w:t xml:space="preserve">https://treaties.un.org/doc/Publication/MTDSG/Volume%20II/Chapter%20XXVII/XXVII-18.en.pdf</w:t>
        </w:r>
      </w:hyperlink>
      <w:r w:rsidDel="00000000" w:rsidR="00000000" w:rsidRPr="00000000">
        <w:rPr>
          <w:sz w:val="14"/>
          <w:szCs w:val="14"/>
          <w:rtl w:val="0"/>
        </w:rPr>
        <w:t xml:space="preserve"> </w:t>
      </w:r>
    </w:p>
    <w:p w:rsidR="00000000" w:rsidDel="00000000" w:rsidP="00000000" w:rsidRDefault="00000000" w:rsidRPr="00000000" w14:paraId="000000D2">
      <w:pPr>
        <w:spacing w:line="240" w:lineRule="auto"/>
        <w:rPr>
          <w:sz w:val="14"/>
          <w:szCs w:val="14"/>
        </w:rPr>
      </w:pPr>
      <w:r w:rsidDel="00000000" w:rsidR="00000000" w:rsidRPr="00000000">
        <w:rPr>
          <w:rtl w:val="0"/>
        </w:rPr>
      </w:r>
    </w:p>
    <w:p w:rsidR="00000000" w:rsidDel="00000000" w:rsidP="00000000" w:rsidRDefault="00000000" w:rsidRPr="00000000" w14:paraId="000000D3">
      <w:pPr>
        <w:spacing w:line="240" w:lineRule="auto"/>
        <w:rPr>
          <w:sz w:val="14"/>
          <w:szCs w:val="14"/>
        </w:rPr>
      </w:pPr>
      <w:r w:rsidDel="00000000" w:rsidR="00000000" w:rsidRPr="00000000">
        <w:rPr>
          <w:rtl w:val="0"/>
        </w:rPr>
      </w:r>
    </w:p>
  </w:footnote>
  <w:footnote w:id="16">
    <w:p w:rsidR="00000000" w:rsidDel="00000000" w:rsidP="00000000" w:rsidRDefault="00000000" w:rsidRPr="00000000" w14:paraId="000000D4">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Office of the United Nations High Commissioner for Human Rights (OHCHR). Compilation of information on Dominica, A/HRC/WG.6/47/DMA/2, 14 August 2024, para. 45. </w:t>
      </w:r>
      <w:hyperlink r:id="rId16">
        <w:r w:rsidDel="00000000" w:rsidR="00000000" w:rsidRPr="00000000">
          <w:rPr>
            <w:color w:val="1155cc"/>
            <w:sz w:val="14"/>
            <w:szCs w:val="14"/>
            <w:u w:val="single"/>
            <w:rtl w:val="0"/>
          </w:rPr>
          <w:t xml:space="preserve">https://documents.un.org/doc/undoc/gen/g24/138/97/pdf/g2413897.pdf</w:t>
        </w:r>
      </w:hyperlink>
      <w:r w:rsidDel="00000000" w:rsidR="00000000" w:rsidRPr="00000000">
        <w:rPr>
          <w:sz w:val="14"/>
          <w:szCs w:val="14"/>
          <w:rtl w:val="0"/>
        </w:rPr>
        <w:t xml:space="preserve"> </w:t>
      </w:r>
    </w:p>
    <w:p w:rsidR="00000000" w:rsidDel="00000000" w:rsidP="00000000" w:rsidRDefault="00000000" w:rsidRPr="00000000" w14:paraId="000000D5">
      <w:pPr>
        <w:spacing w:line="240" w:lineRule="auto"/>
        <w:rPr>
          <w:sz w:val="14"/>
          <w:szCs w:val="14"/>
        </w:rPr>
      </w:pPr>
      <w:r w:rsidDel="00000000" w:rsidR="00000000" w:rsidRPr="00000000">
        <w:rPr>
          <w:rtl w:val="0"/>
        </w:rPr>
      </w:r>
    </w:p>
  </w:footnote>
  <w:footnote w:id="17">
    <w:p w:rsidR="00000000" w:rsidDel="00000000" w:rsidP="00000000" w:rsidRDefault="00000000" w:rsidRPr="00000000" w14:paraId="000000D6">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Recorded exchange between environmentalist and SaveDeuxBranche president Jeanelle Brisbane and the Permanent Secretary of Housing and Urban Development Mr Reginald Severin during a government-organized media site visit at Deux Branches, January 13th 2026 </w:t>
      </w:r>
      <w:hyperlink r:id="rId17">
        <w:r w:rsidDel="00000000" w:rsidR="00000000" w:rsidRPr="00000000">
          <w:rPr>
            <w:color w:val="1155cc"/>
            <w:sz w:val="14"/>
            <w:szCs w:val="14"/>
            <w:u w:val="single"/>
            <w:rtl w:val="0"/>
          </w:rPr>
          <w:t xml:space="preserve">https://www.instagram.com/reel/DW4CQdBDhyQ/?utm_source=ig_web_copy_link&amp;igsh=MzRlODBiNWFlZA==</w:t>
        </w:r>
      </w:hyperlink>
      <w:r w:rsidDel="00000000" w:rsidR="00000000" w:rsidRPr="00000000">
        <w:rPr>
          <w:sz w:val="14"/>
          <w:szCs w:val="14"/>
          <w:rtl w:val="0"/>
        </w:rPr>
        <w:t xml:space="preserve">  </w:t>
      </w:r>
    </w:p>
    <w:p w:rsidR="00000000" w:rsidDel="00000000" w:rsidP="00000000" w:rsidRDefault="00000000" w:rsidRPr="00000000" w14:paraId="000000D7">
      <w:pPr>
        <w:spacing w:line="240" w:lineRule="auto"/>
        <w:rPr>
          <w:sz w:val="14"/>
          <w:szCs w:val="14"/>
        </w:rPr>
      </w:pPr>
      <w:r w:rsidDel="00000000" w:rsidR="00000000" w:rsidRPr="00000000">
        <w:rPr>
          <w:rtl w:val="0"/>
        </w:rPr>
      </w:r>
    </w:p>
  </w:footnote>
  <w:footnote w:id="18">
    <w:p w:rsidR="00000000" w:rsidDel="00000000" w:rsidP="00000000" w:rsidRDefault="00000000" w:rsidRPr="00000000" w14:paraId="000000D8">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Protect Deux Branches - Dominica Environmental Campaign: Evidence Archive. </w:t>
      </w:r>
      <w:hyperlink r:id="rId18">
        <w:r w:rsidDel="00000000" w:rsidR="00000000" w:rsidRPr="00000000">
          <w:rPr>
            <w:color w:val="1155cc"/>
            <w:sz w:val="14"/>
            <w:szCs w:val="14"/>
            <w:u w:val="single"/>
            <w:rtl w:val="0"/>
          </w:rPr>
          <w:t xml:space="preserve">https://savedeuxbranches.org/#evidence</w:t>
        </w:r>
      </w:hyperlink>
      <w:r w:rsidDel="00000000" w:rsidR="00000000" w:rsidRPr="00000000">
        <w:rPr>
          <w:sz w:val="14"/>
          <w:szCs w:val="14"/>
          <w:rtl w:val="0"/>
        </w:rPr>
        <w:t xml:space="preserve">  </w:t>
      </w:r>
    </w:p>
    <w:p w:rsidR="00000000" w:rsidDel="00000000" w:rsidP="00000000" w:rsidRDefault="00000000" w:rsidRPr="00000000" w14:paraId="000000D9">
      <w:pPr>
        <w:spacing w:line="240" w:lineRule="auto"/>
        <w:rPr>
          <w:sz w:val="14"/>
          <w:szCs w:val="14"/>
        </w:rPr>
      </w:pPr>
      <w:r w:rsidDel="00000000" w:rsidR="00000000" w:rsidRPr="00000000">
        <w:rPr>
          <w:rtl w:val="0"/>
        </w:rPr>
      </w:r>
    </w:p>
  </w:footnote>
  <w:footnote w:id="19">
    <w:p w:rsidR="00000000" w:rsidDel="00000000" w:rsidP="00000000" w:rsidRDefault="00000000" w:rsidRPr="00000000" w14:paraId="000000DA">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International Labour Organization, NORMLEX, “Ratifications for Dominica,” C169 – Indigenous and Tribal Peoples Convention, 1989 (No. 169), ratified 25 June 2002, in force.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jc w:val="center"/>
      <w:rPr/>
    </w:pPr>
    <w:r w:rsidDel="00000000" w:rsidR="00000000" w:rsidRPr="00000000">
      <w:rPr>
        <w:rFonts w:ascii="Times New Roman" w:cs="Times New Roman" w:eastAsia="Times New Roman" w:hAnsi="Times New Roman"/>
        <w:b w:val="1"/>
        <w:bCs w:val="1"/>
        <w:sz w:val="36"/>
        <w:szCs w:val="36"/>
      </w:rPr>
      <w:drawing>
        <wp:inline distB="114300" distT="114300" distL="114300" distR="114300">
          <wp:extent cx="4005263" cy="647467"/>
          <wp:effectExtent b="0" l="0" r="0" t="0"/>
          <wp:docPr id="1" name="image2.png"/>
          <a:graphic>
            <a:graphicData uri="http://schemas.openxmlformats.org/drawingml/2006/picture">
              <pic:pic>
                <pic:nvPicPr>
                  <pic:cNvPr id="0" name="image2.png"/>
                  <pic:cNvPicPr preferRelativeResize="0"/>
                </pic:nvPicPr>
                <pic:blipFill>
                  <a:blip r:embed="rId1"/>
                  <a:srcRect b="36478" l="0" r="0" t="35657"/>
                  <a:stretch>
                    <a:fillRect/>
                  </a:stretch>
                </pic:blipFill>
                <pic:spPr>
                  <a:xfrm>
                    <a:off x="0" y="0"/>
                    <a:ext cx="4005263" cy="64746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pPr>
    <w:r w:rsidDel="00000000" w:rsidR="00000000" w:rsidRPr="00000000">
      <w:rPr>
        <w:rFonts w:ascii="Times New Roman" w:cs="Times New Roman" w:eastAsia="Times New Roman" w:hAnsi="Times New Roman"/>
        <w:b w:val="1"/>
        <w:bCs w:val="1"/>
        <w:sz w:val="36"/>
        <w:szCs w:val="36"/>
      </w:rPr>
      <w:drawing>
        <wp:inline distB="114300" distT="114300" distL="114300" distR="114300">
          <wp:extent cx="4076700" cy="962025"/>
          <wp:effectExtent b="0" l="0" r="0" t="0"/>
          <wp:docPr id="2" name="image2.png"/>
          <a:graphic>
            <a:graphicData uri="http://schemas.openxmlformats.org/drawingml/2006/picture">
              <pic:pic>
                <pic:nvPicPr>
                  <pic:cNvPr id="0" name="image2.png"/>
                  <pic:cNvPicPr preferRelativeResize="0"/>
                </pic:nvPicPr>
                <pic:blipFill>
                  <a:blip r:embed="rId1"/>
                  <a:srcRect b="36478" l="15224" r="16186" t="35657"/>
                  <a:stretch>
                    <a:fillRect/>
                  </a:stretch>
                </pic:blipFill>
                <pic:spPr>
                  <a:xfrm>
                    <a:off x="0" y="0"/>
                    <a:ext cx="4076700" cy="962025"/>
                  </a:xfrm>
                  <a:prstGeom prst="rect"/>
                  <a:ln/>
                </pic:spPr>
              </pic:pic>
            </a:graphicData>
          </a:graphic>
        </wp:inline>
      </w:drawing>
    </w:r>
    <w:r w:rsidDel="00000000" w:rsidR="00000000" w:rsidRPr="00000000">
      <w:rPr>
        <w:rFonts w:ascii="Times New Roman" w:cs="Times New Roman" w:eastAsia="Times New Roman" w:hAnsi="Times New Roman"/>
        <w:b w:val="1"/>
        <w:bCs w:val="1"/>
        <w:sz w:val="36"/>
        <w:szCs w:val="36"/>
        <w:rtl w:val="0"/>
      </w:rPr>
      <w:t xml:space="preserve">            </w:t>
    </w:r>
    <w:r w:rsidDel="00000000" w:rsidR="00000000" w:rsidRPr="00000000">
      <w:rPr>
        <w:rFonts w:ascii="Times New Roman" w:cs="Times New Roman" w:eastAsia="Times New Roman" w:hAnsi="Times New Roman"/>
        <w:b w:val="1"/>
        <w:bCs w:val="1"/>
        <w:sz w:val="36"/>
        <w:szCs w:val="36"/>
      </w:rPr>
      <w:drawing>
        <wp:inline distB="114300" distT="114300" distL="114300" distR="114300">
          <wp:extent cx="916009" cy="916009"/>
          <wp:effectExtent b="0" l="0" r="0" t="0"/>
          <wp:docPr id="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916009" cy="91600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color w:val="0000f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nstagram.com/reel/DW4CQdBDhyQ/" TargetMode="External"/><Relationship Id="rId11" Type="http://schemas.openxmlformats.org/officeDocument/2006/relationships/hyperlink" Target="https://digitallibrary.un.org/record/4072723/files/A_HRC_58_10-EN.pdf" TargetMode="External"/><Relationship Id="rId22" Type="http://schemas.openxmlformats.org/officeDocument/2006/relationships/header" Target="header2.xml"/><Relationship Id="rId10" Type="http://schemas.openxmlformats.org/officeDocument/2006/relationships/hyperlink" Target="https://documents.un.org/doc/undoc/gen/g24/138/97/pdf/g2413897.pdf" TargetMode="External"/><Relationship Id="rId21" Type="http://schemas.openxmlformats.org/officeDocument/2006/relationships/header" Target="header1.xml"/><Relationship Id="rId13" Type="http://schemas.openxmlformats.org/officeDocument/2006/relationships/hyperlink" Target="https://treaties.un.org/Pages/showActionDetails.aspx?clang=_en&amp;objid=08000002806433f6" TargetMode="External"/><Relationship Id="rId24" Type="http://schemas.openxmlformats.org/officeDocument/2006/relationships/footer" Target="footer2.xml"/><Relationship Id="rId12" Type="http://schemas.openxmlformats.org/officeDocument/2006/relationships/hyperlink" Target="https://docstore.ohchr.org/SelfServices/FilesHandler.ashx?enc=pHHaNnkX7ji0ggPPjnBi2%2FcKV2RprC4UlOGkGWxq2lccO8njfGPdtJb7Nra2eLeJOSO4tqAyMur1zqhOMIYtyg%3D%3D"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ohchr.org/sites/default/files/documents/hrbodies/upr/sessions/session47/hc-letters/session47-hc-letter-commonwealth-dominica-eng.pdf" TargetMode="External"/><Relationship Id="rId15" Type="http://schemas.openxmlformats.org/officeDocument/2006/relationships/hyperlink" Target="https://www.dominica.gov.dm/laws/2002/act5-2002.pdf" TargetMode="External"/><Relationship Id="rId14" Type="http://schemas.openxmlformats.org/officeDocument/2006/relationships/hyperlink" Target="https://normlex.ilo.org/dyn/nrmlx_en/f?p=NORMLEXPUB%3A11200%3A0%3A%3ANO%3A11200%3AP11200_COUNTRY_ID%3A103311" TargetMode="External"/><Relationship Id="rId17" Type="http://schemas.openxmlformats.org/officeDocument/2006/relationships/hyperlink" Target="https://mail.forestry.gov.dm/units/conservation_section/" TargetMode="External"/><Relationship Id="rId16" Type="http://schemas.openxmlformats.org/officeDocument/2006/relationships/hyperlink" Target="https://www.dominica.gov.dm/laws/1996/act5-1996.pdf" TargetMode="External"/><Relationship Id="rId5" Type="http://schemas.openxmlformats.org/officeDocument/2006/relationships/numbering" Target="numbering.xml"/><Relationship Id="rId19" Type="http://schemas.openxmlformats.org/officeDocument/2006/relationships/hyperlink" Target="https://savedeuxbranches.org/#evidence" TargetMode="External"/><Relationship Id="rId6" Type="http://schemas.openxmlformats.org/officeDocument/2006/relationships/styles" Target="styles.xml"/><Relationship Id="rId18" Type="http://schemas.openxmlformats.org/officeDocument/2006/relationships/hyperlink" Target="https://pressroomopm.gov.dm/pm-skerrit-orders-temporary-halt-of-work-at-deux-branches-matter-under-review/" TargetMode="External"/><Relationship Id="rId7" Type="http://schemas.openxmlformats.org/officeDocument/2006/relationships/hyperlink" Target="mailto:miridominc@gmail.com" TargetMode="External"/><Relationship Id="rId8" Type="http://schemas.openxmlformats.org/officeDocument/2006/relationships/hyperlink" Target="http://miridom.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www.dominica.gov.dm/laws/2002/act5-2002.pdf" TargetMode="External"/><Relationship Id="rId10" Type="http://schemas.openxmlformats.org/officeDocument/2006/relationships/hyperlink" Target="https://savedeuxbranches.org/#evidence" TargetMode="External"/><Relationship Id="rId13" Type="http://schemas.openxmlformats.org/officeDocument/2006/relationships/hyperlink" Target="https://www.dominica.gov.dm/images/docs/govt_pubs/national_forest_policy_march_2022.pdf" TargetMode="External"/><Relationship Id="rId12" Type="http://schemas.openxmlformats.org/officeDocument/2006/relationships/hyperlink" Target="https://www.dominica.gov.dm/laws/1996/act5-1996.pdf" TargetMode="External"/><Relationship Id="rId1" Type="http://schemas.openxmlformats.org/officeDocument/2006/relationships/hyperlink" Target="https://www.ohchr.org/sites/default/files/documents/hrbodies/upr/sessions/session47/hc-letters/session47-hc-letter-commonwealth-dominica-eng.pdf" TargetMode="External"/><Relationship Id="rId2" Type="http://schemas.openxmlformats.org/officeDocument/2006/relationships/hyperlink" Target="https://docstore.ohchr.org/SelfServices/FilesHandler.ashx?enc=pHHaNnkX7ji0ggPPjnBi2%2FcKV2RprC4UlOGkGWxq2lccO8njfGPdtJb7Nra2eLeJOSO4tqAyMur1zqhOMIYtyg%3D%3D" TargetMode="External"/><Relationship Id="rId3" Type="http://schemas.openxmlformats.org/officeDocument/2006/relationships/hyperlink" Target="https://documents.un.org/doc/undoc/gen/g24/138/97/pdf/g2413897.pdf" TargetMode="External"/><Relationship Id="rId4" Type="http://schemas.openxmlformats.org/officeDocument/2006/relationships/hyperlink" Target="https://acrobat.adobe.com/id/urn:aaid:sc:VA6C2:83d2a21c-306b-45ef-b43d-6bc1c6712ec8" TargetMode="External"/><Relationship Id="rId9" Type="http://schemas.openxmlformats.org/officeDocument/2006/relationships/hyperlink" Target="https://www.dominica.gov.dm/laws/2002/act5-2002.pdf" TargetMode="External"/><Relationship Id="rId15" Type="http://schemas.openxmlformats.org/officeDocument/2006/relationships/hyperlink" Target="https://treaties.un.org/doc/Publication/MTDSG/Volume%20II/Chapter%20XXVII/XXVII-18.en.pdf" TargetMode="External"/><Relationship Id="rId14" Type="http://schemas.openxmlformats.org/officeDocument/2006/relationships/hyperlink" Target="https://pressroomopm.gov.dm/pm-skerrit-orders-temporary-halt-of-work-at-deux-branches-matter-under-review/" TargetMode="External"/><Relationship Id="rId17" Type="http://schemas.openxmlformats.org/officeDocument/2006/relationships/hyperlink" Target="https://www.instagram.com/reel/DW4CQdBDhyQ/?utm_source=ig_web_copy_link&amp;igsh=MzRlODBiNWFlZA==" TargetMode="External"/><Relationship Id="rId16" Type="http://schemas.openxmlformats.org/officeDocument/2006/relationships/hyperlink" Target="https://documents.un.org/doc/undoc/gen/g24/138/97/pdf/g2413897.pdf" TargetMode="External"/><Relationship Id="rId5" Type="http://schemas.openxmlformats.org/officeDocument/2006/relationships/hyperlink" Target="https://documents.un.org/doc/undoc/gen/g24/138/97/pdf/g2413897.pdf" TargetMode="External"/><Relationship Id="rId6" Type="http://schemas.openxmlformats.org/officeDocument/2006/relationships/hyperlink" Target="https://acrobat.adobe.com/id/urn:aaid:sc:VA6C2:83d2a21c-306b-45ef-b43d-6bc1c6712ec8" TargetMode="External"/><Relationship Id="rId18" Type="http://schemas.openxmlformats.org/officeDocument/2006/relationships/hyperlink" Target="https://savedeuxbranches.org/#evidence" TargetMode="External"/><Relationship Id="rId7" Type="http://schemas.openxmlformats.org/officeDocument/2006/relationships/hyperlink" Target="https://documents.un.org/doc/undoc/gen/g24/138/97/pdf/g2413897.pdf" TargetMode="External"/><Relationship Id="rId8" Type="http://schemas.openxmlformats.org/officeDocument/2006/relationships/hyperlink" Target="https://savedeuxbranches.org/#evid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