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2CD7" w:rsidRDefault="00476449">
      <w:pPr>
        <w:spacing w:before="260" w:after="0" w:line="240" w:lineRule="auto"/>
      </w:pPr>
      <w:r>
        <w:rPr>
          <w:color w:val="000000"/>
        </w:rPr>
        <w:t> </w:t>
      </w:r>
    </w:p>
    <w:p w:rsidR="00682CD7" w:rsidRDefault="00476449">
      <w:pPr>
        <w:spacing w:before="240" w:after="240"/>
        <w:rPr>
          <w:b/>
          <w:bCs/>
        </w:rPr>
      </w:pPr>
      <w:r>
        <w:rPr>
          <w:b/>
          <w:bCs/>
          <w:noProof/>
        </w:rPr>
        <w:drawing>
          <wp:inline distT="114300" distB="114300" distL="114300" distR="114300">
            <wp:extent cx="1892520" cy="985838"/>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892520" cy="985838"/>
                    </a:xfrm>
                    <a:prstGeom prst="rect">
                      <a:avLst/>
                    </a:prstGeom>
                    <a:ln/>
                  </pic:spPr>
                </pic:pic>
              </a:graphicData>
            </a:graphic>
          </wp:inline>
        </w:drawing>
      </w:r>
      <w:r>
        <w:rPr>
          <w:b/>
          <w:bCs/>
        </w:rPr>
        <w:t xml:space="preserve">          </w:t>
      </w:r>
      <w:r>
        <w:rPr>
          <w:b/>
          <w:bCs/>
          <w:noProof/>
        </w:rPr>
        <w:drawing>
          <wp:inline distT="114300" distB="114300" distL="114300" distR="114300">
            <wp:extent cx="1502758" cy="866775"/>
            <wp:effectExtent l="0" t="0" r="0" b="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l="-21167" r="21167"/>
                    <a:stretch>
                      <a:fillRect/>
                    </a:stretch>
                  </pic:blipFill>
                  <pic:spPr>
                    <a:xfrm>
                      <a:off x="0" y="0"/>
                      <a:ext cx="1502758" cy="866775"/>
                    </a:xfrm>
                    <a:prstGeom prst="rect">
                      <a:avLst/>
                    </a:prstGeom>
                    <a:ln/>
                  </pic:spPr>
                </pic:pic>
              </a:graphicData>
            </a:graphic>
          </wp:inline>
        </w:drawing>
      </w:r>
      <w:r>
        <w:rPr>
          <w:b/>
          <w:bCs/>
        </w:rPr>
        <w:t xml:space="preserve">             </w:t>
      </w:r>
      <w:r>
        <w:rPr>
          <w:b/>
          <w:bCs/>
        </w:rPr>
        <w:tab/>
        <w:t xml:space="preserve"> </w:t>
      </w:r>
      <w:r>
        <w:rPr>
          <w:b/>
          <w:bCs/>
          <w:noProof/>
        </w:rPr>
        <w:drawing>
          <wp:inline distT="114300" distB="114300" distL="114300" distR="114300">
            <wp:extent cx="875250" cy="1094062"/>
            <wp:effectExtent l="0" t="0" r="0" b="0"/>
            <wp:docPr id="2"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9"/>
                    <a:srcRect/>
                    <a:stretch>
                      <a:fillRect/>
                    </a:stretch>
                  </pic:blipFill>
                  <pic:spPr>
                    <a:xfrm>
                      <a:off x="0" y="0"/>
                      <a:ext cx="875250" cy="1094062"/>
                    </a:xfrm>
                    <a:prstGeom prst="rect">
                      <a:avLst/>
                    </a:prstGeom>
                    <a:ln/>
                  </pic:spPr>
                </pic:pic>
              </a:graphicData>
            </a:graphic>
          </wp:inline>
        </w:drawing>
      </w:r>
      <w:r>
        <w:rPr>
          <w:b/>
          <w:bCs/>
        </w:rPr>
        <w:t xml:space="preserve">                        </w:t>
      </w:r>
      <w:r>
        <w:rPr>
          <w:b/>
          <w:bCs/>
        </w:rPr>
        <w:tab/>
      </w:r>
      <w:r>
        <w:rPr>
          <w:b/>
          <w:bCs/>
        </w:rPr>
        <w:br/>
      </w:r>
    </w:p>
    <w:p w:rsidR="00682CD7" w:rsidRDefault="00476449">
      <w:pPr>
        <w:spacing w:before="240" w:after="240"/>
        <w:jc w:val="center"/>
        <w:rPr>
          <w:b/>
          <w:bCs/>
        </w:rPr>
      </w:pPr>
      <w:r>
        <w:rPr>
          <w:b/>
          <w:bCs/>
        </w:rPr>
        <w:t>JOINT SUBMISSION TO THE COMMITTEE ON THE ELIMINATION OF ALL FORMS OF DISCRIMINATION AGAINST WOMEN (CEDAW) OF IRAQ’S PERIODIC REPORT FOR THE 92</w:t>
      </w:r>
      <w:r>
        <w:rPr>
          <w:b/>
          <w:bCs/>
          <w:vertAlign w:val="superscript"/>
        </w:rPr>
        <w:t>nd</w:t>
      </w:r>
      <w:r>
        <w:rPr>
          <w:b/>
          <w:bCs/>
        </w:rPr>
        <w:t xml:space="preserve"> CEDAW SESSION (2</w:t>
      </w:r>
      <w:r>
        <w:rPr>
          <w:b/>
          <w:bCs/>
          <w:vertAlign w:val="superscript"/>
        </w:rPr>
        <w:t>nd</w:t>
      </w:r>
      <w:r>
        <w:rPr>
          <w:b/>
          <w:bCs/>
        </w:rPr>
        <w:t xml:space="preserve"> FEBRUARY – 20</w:t>
      </w:r>
      <w:r>
        <w:rPr>
          <w:b/>
          <w:bCs/>
          <w:vertAlign w:val="superscript"/>
        </w:rPr>
        <w:t>th</w:t>
      </w:r>
      <w:r>
        <w:rPr>
          <w:b/>
          <w:bCs/>
        </w:rPr>
        <w:t xml:space="preserve"> FEBRUARY 2026) ON JUSTICE AND REPARATIONS FOR FEMALE SURVIVORS OF ISIL CONFLICT IN IRAQ</w:t>
      </w:r>
    </w:p>
    <w:p w:rsidR="00682CD7" w:rsidRDefault="00476449">
      <w:pPr>
        <w:spacing w:line="297" w:lineRule="auto"/>
        <w:ind w:right="140"/>
        <w:jc w:val="center"/>
        <w:rPr>
          <w:b/>
          <w:bCs/>
        </w:rPr>
      </w:pPr>
      <w:r>
        <w:rPr>
          <w:b/>
          <w:bCs/>
        </w:rPr>
        <w:t>SUBMITTED BY:</w:t>
      </w:r>
    </w:p>
    <w:p w:rsidR="00682CD7" w:rsidRDefault="00476449">
      <w:pPr>
        <w:pStyle w:val="berschrift4"/>
        <w:keepNext w:val="0"/>
        <w:keepLines w:val="0"/>
        <w:spacing w:before="240" w:line="294" w:lineRule="auto"/>
        <w:jc w:val="center"/>
        <w:rPr>
          <w:b/>
          <w:bCs/>
          <w:color w:val="000000"/>
          <w:sz w:val="22"/>
          <w:szCs w:val="22"/>
        </w:rPr>
      </w:pPr>
      <w:bookmarkStart w:id="0" w:name="_9z5zagc0ixrs" w:colFirst="0" w:colLast="0"/>
      <w:bookmarkEnd w:id="0"/>
      <w:r>
        <w:rPr>
          <w:b/>
          <w:bCs/>
          <w:color w:val="000000"/>
          <w:sz w:val="22"/>
          <w:szCs w:val="22"/>
        </w:rPr>
        <w:t>JIYAN FOUNDATION FOR HUMAN RIGHTS</w:t>
      </w:r>
    </w:p>
    <w:p w:rsidR="00682CD7" w:rsidRDefault="00476449">
      <w:pPr>
        <w:spacing w:before="240" w:after="240" w:line="294" w:lineRule="auto"/>
        <w:ind w:right="140"/>
        <w:jc w:val="center"/>
        <w:rPr>
          <w:b/>
          <w:bCs/>
        </w:rPr>
      </w:pPr>
      <w:r>
        <w:rPr>
          <w:b/>
          <w:bCs/>
        </w:rPr>
        <w:t>&amp;</w:t>
      </w:r>
    </w:p>
    <w:p w:rsidR="00682CD7" w:rsidRDefault="00476449">
      <w:pPr>
        <w:pStyle w:val="berschrift4"/>
        <w:keepNext w:val="0"/>
        <w:keepLines w:val="0"/>
        <w:spacing w:before="240" w:line="297" w:lineRule="auto"/>
        <w:jc w:val="center"/>
        <w:rPr>
          <w:b/>
          <w:bCs/>
          <w:color w:val="000000"/>
          <w:sz w:val="22"/>
          <w:szCs w:val="22"/>
        </w:rPr>
      </w:pPr>
      <w:bookmarkStart w:id="1" w:name="_sgqi2gr7ecxh" w:colFirst="0" w:colLast="0"/>
      <w:bookmarkEnd w:id="1"/>
      <w:r>
        <w:rPr>
          <w:b/>
          <w:bCs/>
          <w:color w:val="000000"/>
          <w:sz w:val="22"/>
          <w:szCs w:val="22"/>
        </w:rPr>
        <w:t>COALITION FOR JUST REPARATIONS</w:t>
      </w:r>
    </w:p>
    <w:p w:rsidR="00682CD7" w:rsidRDefault="00476449">
      <w:pPr>
        <w:spacing w:before="260"/>
        <w:ind w:right="140"/>
        <w:jc w:val="center"/>
      </w:pPr>
      <w:r>
        <w:t xml:space="preserve"> </w:t>
      </w:r>
      <w:r w:rsidR="000803D7">
        <w:t>5</w:t>
      </w:r>
      <w:bookmarkStart w:id="2" w:name="_GoBack"/>
      <w:bookmarkEnd w:id="2"/>
      <w:r>
        <w:rPr>
          <w:vertAlign w:val="superscript"/>
        </w:rPr>
        <w:t>th</w:t>
      </w:r>
      <w:r>
        <w:t xml:space="preserve"> January 2026</w:t>
      </w:r>
    </w:p>
    <w:p w:rsidR="00682CD7" w:rsidRDefault="00476449">
      <w:pPr>
        <w:spacing w:line="240" w:lineRule="auto"/>
        <w:ind w:right="120"/>
        <w:jc w:val="both"/>
      </w:pPr>
      <w:proofErr w:type="spellStart"/>
      <w:r>
        <w:rPr>
          <w:i/>
          <w:iCs/>
          <w:color w:val="000000"/>
        </w:rPr>
        <w:t>Jiyan</w:t>
      </w:r>
      <w:proofErr w:type="spellEnd"/>
      <w:r>
        <w:rPr>
          <w:i/>
          <w:iCs/>
          <w:color w:val="000000"/>
        </w:rPr>
        <w:t xml:space="preserve"> Foundation for Human Rights</w:t>
      </w:r>
      <w:hyperlink r:id="rId10">
        <w:r>
          <w:rPr>
            <w:i/>
            <w:iCs/>
            <w:color w:val="000000"/>
          </w:rPr>
          <w:t xml:space="preserve"> </w:t>
        </w:r>
      </w:hyperlink>
      <w:hyperlink r:id="rId11">
        <w:r>
          <w:rPr>
            <w:i/>
            <w:iCs/>
            <w:color w:val="1155CC"/>
          </w:rPr>
          <w:t>(</w:t>
        </w:r>
      </w:hyperlink>
      <w:hyperlink r:id="rId12">
        <w:r>
          <w:rPr>
            <w:i/>
            <w:iCs/>
            <w:color w:val="000080"/>
            <w:u w:val="single"/>
          </w:rPr>
          <w:t>https://jiyan.org/</w:t>
        </w:r>
      </w:hyperlink>
      <w:r>
        <w:rPr>
          <w:i/>
          <w:iCs/>
          <w:color w:val="000000"/>
        </w:rPr>
        <w:t>) is a non-profit organization established in 2005, promoting the mental well-being, physical rehabilitation, and social reintegration of survivors of violen</w:t>
      </w:r>
      <w:r>
        <w:rPr>
          <w:i/>
          <w:iCs/>
          <w:color w:val="000000"/>
        </w:rPr>
        <w:t>ce, torture, and trauma in Iraq. </w:t>
      </w:r>
    </w:p>
    <w:p w:rsidR="00682CD7" w:rsidRDefault="00682CD7">
      <w:pPr>
        <w:spacing w:after="0" w:line="240" w:lineRule="auto"/>
      </w:pPr>
    </w:p>
    <w:p w:rsidR="00682CD7" w:rsidRDefault="00476449">
      <w:pPr>
        <w:spacing w:line="240" w:lineRule="auto"/>
        <w:ind w:right="120"/>
        <w:jc w:val="both"/>
      </w:pPr>
      <w:r>
        <w:rPr>
          <w:i/>
          <w:iCs/>
          <w:color w:val="000000"/>
        </w:rPr>
        <w:t>Coalition for Just Reparations (C4JR,</w:t>
      </w:r>
      <w:hyperlink r:id="rId13">
        <w:r>
          <w:rPr>
            <w:i/>
            <w:iCs/>
            <w:color w:val="000000"/>
          </w:rPr>
          <w:t xml:space="preserve"> </w:t>
        </w:r>
      </w:hyperlink>
      <w:hyperlink r:id="rId14">
        <w:r>
          <w:rPr>
            <w:i/>
            <w:iCs/>
            <w:color w:val="000080"/>
            <w:u w:val="single"/>
          </w:rPr>
          <w:t>https://c4jr.org/</w:t>
        </w:r>
      </w:hyperlink>
      <w:r>
        <w:rPr>
          <w:i/>
          <w:iCs/>
          <w:color w:val="000000"/>
        </w:rPr>
        <w:t xml:space="preserve">) is an alliance of Iraqi NGOs, launched in 2019, calling for comprehensive reparations for </w:t>
      </w:r>
      <w:r>
        <w:rPr>
          <w:i/>
          <w:iCs/>
          <w:color w:val="000000"/>
        </w:rPr>
        <w:t>civilian victims of atrocity crimes perpetrated during the ISIL conflict in Iraq. C4JR uses Iraqi law and international human rights law to support reparation claims of survivors and encourage Iraqi authorities to meet their obligation to provide reparatio</w:t>
      </w:r>
      <w:r>
        <w:rPr>
          <w:i/>
          <w:iCs/>
          <w:color w:val="000000"/>
        </w:rPr>
        <w:t>ns. </w:t>
      </w:r>
    </w:p>
    <w:p w:rsidR="00682CD7" w:rsidRDefault="00476449">
      <w:pPr>
        <w:spacing w:before="260" w:after="0" w:line="240" w:lineRule="auto"/>
        <w:ind w:right="220"/>
      </w:pPr>
      <w:r>
        <w:rPr>
          <w:color w:val="000000"/>
        </w:rPr>
        <w:t>This report has been produced with the technical support of the International Rehabilitation Council for Torture Victims (IRCT).</w:t>
      </w:r>
    </w:p>
    <w:p w:rsidR="00B30DE5" w:rsidRDefault="00476449">
      <w:pPr>
        <w:spacing w:before="260" w:after="0" w:line="240" w:lineRule="auto"/>
        <w:ind w:right="220"/>
        <w:rPr>
          <w:color w:val="000000"/>
        </w:rPr>
      </w:pPr>
      <w:r>
        <w:rPr>
          <w:b/>
          <w:bCs/>
          <w:color w:val="000000"/>
        </w:rPr>
        <w:t>Contact:</w:t>
      </w:r>
      <w:r>
        <w:rPr>
          <w:color w:val="000000"/>
        </w:rPr>
        <w:t xml:space="preserve"> Dr. </w:t>
      </w:r>
      <w:proofErr w:type="spellStart"/>
      <w:r>
        <w:rPr>
          <w:color w:val="000000"/>
        </w:rPr>
        <w:t>Bojan</w:t>
      </w:r>
      <w:proofErr w:type="spellEnd"/>
      <w:r>
        <w:rPr>
          <w:color w:val="000000"/>
        </w:rPr>
        <w:t xml:space="preserve"> </w:t>
      </w:r>
      <w:proofErr w:type="spellStart"/>
      <w:r>
        <w:rPr>
          <w:color w:val="000000"/>
        </w:rPr>
        <w:t>Gavrilovic</w:t>
      </w:r>
      <w:proofErr w:type="spellEnd"/>
      <w:r>
        <w:rPr>
          <w:color w:val="000000"/>
        </w:rPr>
        <w:t xml:space="preserve">, Head of Program for Rights and Justice at the </w:t>
      </w:r>
      <w:proofErr w:type="spellStart"/>
      <w:r>
        <w:rPr>
          <w:color w:val="000000"/>
        </w:rPr>
        <w:t>Jiyan</w:t>
      </w:r>
      <w:proofErr w:type="spellEnd"/>
      <w:r>
        <w:rPr>
          <w:color w:val="000000"/>
        </w:rPr>
        <w:t xml:space="preserve"> Foundation for Human Rights and of the C4JR Secretariat, email: </w:t>
      </w:r>
      <w:hyperlink r:id="rId15">
        <w:r>
          <w:rPr>
            <w:color w:val="1155CC"/>
            <w:u w:val="single"/>
          </w:rPr>
          <w:t>b.gavrilovic@jiyan-foundation.org</w:t>
        </w:r>
      </w:hyperlink>
      <w:r>
        <w:rPr>
          <w:color w:val="000000"/>
        </w:rPr>
        <w:t>.</w:t>
      </w:r>
    </w:p>
    <w:p w:rsidR="00B30DE5" w:rsidRDefault="00B30DE5">
      <w:pPr>
        <w:rPr>
          <w:color w:val="000000"/>
        </w:rPr>
      </w:pPr>
      <w:r>
        <w:rPr>
          <w:color w:val="000000"/>
        </w:rPr>
        <w:br w:type="page"/>
      </w:r>
    </w:p>
    <w:p w:rsidR="00682CD7" w:rsidRDefault="00476449" w:rsidP="00700C7C">
      <w:pPr>
        <w:spacing w:before="240" w:after="240" w:line="240" w:lineRule="auto"/>
        <w:jc w:val="center"/>
      </w:pPr>
      <w:r>
        <w:rPr>
          <w:b/>
          <w:bCs/>
          <w:color w:val="000000"/>
        </w:rPr>
        <w:lastRenderedPageBreak/>
        <w:t>Summary</w:t>
      </w:r>
    </w:p>
    <w:p w:rsidR="00682CD7" w:rsidRDefault="00476449" w:rsidP="000803D7">
      <w:pPr>
        <w:spacing w:before="240" w:after="240" w:line="240" w:lineRule="auto"/>
        <w:jc w:val="both"/>
      </w:pPr>
      <w:r>
        <w:rPr>
          <w:color w:val="000000"/>
        </w:rPr>
        <w:t>This submission to the CEDAW Committee examines the Iraqi government’s compliance with its obligations to ensure women’s access to justice, with a particular focus on the Yazidi [Female] Survivors Law (YSL)</w:t>
      </w:r>
      <w:r>
        <w:rPr>
          <w:color w:val="000000"/>
          <w:vertAlign w:val="superscript"/>
        </w:rPr>
        <w:footnoteReference w:id="1"/>
      </w:r>
      <w:r>
        <w:rPr>
          <w:color w:val="000000"/>
        </w:rPr>
        <w:t>. The YSL constitutes a landmark reparations fram</w:t>
      </w:r>
      <w:r>
        <w:rPr>
          <w:color w:val="000000"/>
        </w:rPr>
        <w:t xml:space="preserve">ework addressing the gender-based violence perpetrated by ISIL, including conflict-related sexual violence and genocide committed against Yazidi, Turkmen, </w:t>
      </w:r>
      <w:proofErr w:type="spellStart"/>
      <w:r>
        <w:rPr>
          <w:color w:val="000000"/>
        </w:rPr>
        <w:t>Shabak</w:t>
      </w:r>
      <w:proofErr w:type="spellEnd"/>
      <w:r>
        <w:rPr>
          <w:color w:val="000000"/>
        </w:rPr>
        <w:t>, and Christian women and girls. Although the YSL provides for a broad range of reparative meas</w:t>
      </w:r>
      <w:r>
        <w:rPr>
          <w:color w:val="000000"/>
        </w:rPr>
        <w:t>ures, including compensation, education, housing, and rehabilitation, its implementation has created significant gender-specific barriers for women survivors. Indeed, women are more exposed to stigma because of extra-legal evidentiary requirements, onerous</w:t>
      </w:r>
      <w:r>
        <w:rPr>
          <w:color w:val="000000"/>
        </w:rPr>
        <w:t xml:space="preserve"> verification procedures, unclear eligibility criteria, absence of written decisions, and reliance on community-based validation. These procedural shortcomings further undermine confidentiality and autonomy, and delay access to reparations. In addition, Ir</w:t>
      </w:r>
      <w:r>
        <w:rPr>
          <w:color w:val="000000"/>
        </w:rPr>
        <w:t>aq still lacks domestic legislation to prosecute genocide, crimes against humanity, and war crimes, leading the judicial processes to rely heavily on problematic counterterrorism laws. This submission concludes that, without comprehensive legal reform, mea</w:t>
      </w:r>
      <w:r>
        <w:rPr>
          <w:color w:val="000000"/>
        </w:rPr>
        <w:t>ningful survivor consultation, gender-sensitive and trauma-informed YSL implementation procedures, the broadening of YSL eligibility parameters, and effective criminal accountability mechanisms, Iraq’s justice response risks reproducing discriminatory barr</w:t>
      </w:r>
      <w:r>
        <w:rPr>
          <w:color w:val="000000"/>
        </w:rPr>
        <w:t>iers rather than fully realizing women’s rights to justice, reparations, and non-recurrence, as required under CEDAW and General Recommendation No. 33.</w:t>
      </w:r>
    </w:p>
    <w:p w:rsidR="00682CD7" w:rsidRDefault="00682CD7">
      <w:pPr>
        <w:spacing w:after="240" w:line="240" w:lineRule="auto"/>
      </w:pPr>
    </w:p>
    <w:p w:rsidR="00682CD7" w:rsidRDefault="00682CD7">
      <w:pPr>
        <w:spacing w:after="240" w:line="240" w:lineRule="auto"/>
      </w:pPr>
    </w:p>
    <w:p w:rsidR="00682CD7" w:rsidRDefault="00682CD7">
      <w:pPr>
        <w:spacing w:after="240" w:line="240" w:lineRule="auto"/>
      </w:pPr>
    </w:p>
    <w:p w:rsidR="00682CD7" w:rsidRDefault="00682CD7">
      <w:pPr>
        <w:spacing w:after="240" w:line="240" w:lineRule="auto"/>
      </w:pPr>
    </w:p>
    <w:p w:rsidR="00682CD7" w:rsidRDefault="00682CD7">
      <w:pPr>
        <w:spacing w:after="240" w:line="240" w:lineRule="auto"/>
      </w:pPr>
    </w:p>
    <w:p w:rsidR="00682CD7" w:rsidRDefault="00682CD7">
      <w:pPr>
        <w:spacing w:after="240" w:line="240" w:lineRule="auto"/>
      </w:pPr>
    </w:p>
    <w:p w:rsidR="00682CD7" w:rsidRDefault="00682CD7">
      <w:pPr>
        <w:spacing w:after="240" w:line="240" w:lineRule="auto"/>
      </w:pPr>
    </w:p>
    <w:p w:rsidR="00682CD7" w:rsidRDefault="00682CD7">
      <w:pPr>
        <w:spacing w:after="240" w:line="240" w:lineRule="auto"/>
      </w:pPr>
    </w:p>
    <w:p w:rsidR="00682CD7" w:rsidRDefault="00682CD7">
      <w:pPr>
        <w:spacing w:after="240" w:line="240" w:lineRule="auto"/>
      </w:pPr>
    </w:p>
    <w:p w:rsidR="00682CD7" w:rsidRDefault="00682CD7">
      <w:pPr>
        <w:spacing w:after="240" w:line="240" w:lineRule="auto"/>
      </w:pPr>
    </w:p>
    <w:p w:rsidR="000803D7" w:rsidRDefault="000803D7">
      <w:r>
        <w:br w:type="page"/>
      </w:r>
    </w:p>
    <w:p w:rsidR="00682CD7" w:rsidRPr="00B30DE5" w:rsidRDefault="00476449">
      <w:pPr>
        <w:keepNext/>
        <w:keepLines/>
        <w:pBdr>
          <w:top w:val="nil"/>
          <w:left w:val="nil"/>
          <w:bottom w:val="nil"/>
          <w:right w:val="nil"/>
          <w:between w:val="nil"/>
        </w:pBdr>
        <w:spacing w:before="240" w:after="0" w:line="259" w:lineRule="auto"/>
        <w:rPr>
          <w:b/>
          <w:bCs/>
          <w:color w:val="000000"/>
          <w:sz w:val="32"/>
          <w:szCs w:val="32"/>
          <w:lang w:val="de-DE"/>
        </w:rPr>
      </w:pPr>
      <w:r w:rsidRPr="00B30DE5">
        <w:rPr>
          <w:b/>
          <w:bCs/>
          <w:color w:val="000000"/>
          <w:sz w:val="32"/>
          <w:szCs w:val="32"/>
          <w:lang w:val="de-DE"/>
        </w:rPr>
        <w:lastRenderedPageBreak/>
        <w:t>Contents</w:t>
      </w:r>
    </w:p>
    <w:sdt>
      <w:sdtPr>
        <w:id w:val="-281473660"/>
        <w:docPartObj>
          <w:docPartGallery w:val="Table of Contents"/>
          <w:docPartUnique/>
        </w:docPartObj>
      </w:sdtPr>
      <w:sdtEndPr/>
      <w:sdtContent>
        <w:p w:rsidR="00682CD7" w:rsidRDefault="00476449">
          <w:pPr>
            <w:pBdr>
              <w:top w:val="nil"/>
              <w:left w:val="nil"/>
              <w:bottom w:val="nil"/>
              <w:right w:val="nil"/>
              <w:between w:val="nil"/>
            </w:pBdr>
            <w:tabs>
              <w:tab w:val="right" w:pos="9350"/>
            </w:tabs>
            <w:spacing w:after="100"/>
            <w:rPr>
              <w:color w:val="000000"/>
            </w:rPr>
          </w:pPr>
          <w:r>
            <w:fldChar w:fldCharType="begin"/>
          </w:r>
          <w:r>
            <w:instrText xml:space="preserve"> TOC \h \u \z \t "Heading 1,1,Heading 2,2,Heading 3,3,"</w:instrText>
          </w:r>
          <w:r>
            <w:fldChar w:fldCharType="separate"/>
          </w:r>
          <w:hyperlink w:anchor="_t45xetk1udbl">
            <w:r>
              <w:rPr>
                <w:color w:val="000000"/>
              </w:rPr>
              <w:t>1.  Introd</w:t>
            </w:r>
            <w:r>
              <w:rPr>
                <w:color w:val="000000"/>
              </w:rPr>
              <w:t>u</w:t>
            </w:r>
            <w:r>
              <w:rPr>
                <w:color w:val="000000"/>
              </w:rPr>
              <w:t>c</w:t>
            </w:r>
            <w:r>
              <w:rPr>
                <w:color w:val="000000"/>
              </w:rPr>
              <w:t>t</w:t>
            </w:r>
            <w:r>
              <w:rPr>
                <w:color w:val="000000"/>
              </w:rPr>
              <w:t>i</w:t>
            </w:r>
            <w:r>
              <w:rPr>
                <w:color w:val="000000"/>
              </w:rPr>
              <w:t>o</w:t>
            </w:r>
            <w:r>
              <w:rPr>
                <w:color w:val="000000"/>
              </w:rPr>
              <w:t>n</w:t>
            </w:r>
            <w:r>
              <w:rPr>
                <w:color w:val="000000"/>
              </w:rPr>
              <w:tab/>
            </w:r>
            <w:r w:rsidR="00B30DE5">
              <w:rPr>
                <w:color w:val="000000"/>
              </w:rPr>
              <w:t>4</w:t>
            </w:r>
          </w:hyperlink>
        </w:p>
        <w:p w:rsidR="00682CD7" w:rsidRDefault="00476449">
          <w:pPr>
            <w:pBdr>
              <w:top w:val="nil"/>
              <w:left w:val="nil"/>
              <w:bottom w:val="nil"/>
              <w:right w:val="nil"/>
              <w:between w:val="nil"/>
            </w:pBdr>
            <w:tabs>
              <w:tab w:val="right" w:pos="9350"/>
            </w:tabs>
            <w:spacing w:after="100"/>
            <w:rPr>
              <w:color w:val="000000"/>
            </w:rPr>
          </w:pPr>
          <w:hyperlink w:anchor="_6av9ne1eu2dd">
            <w:r>
              <w:rPr>
                <w:color w:val="000000"/>
              </w:rPr>
              <w:t>2.  The Yazidi [Female] Survivors L</w:t>
            </w:r>
            <w:r>
              <w:rPr>
                <w:color w:val="000000"/>
              </w:rPr>
              <w:t>a</w:t>
            </w:r>
            <w:r>
              <w:rPr>
                <w:color w:val="000000"/>
              </w:rPr>
              <w:t>w</w:t>
            </w:r>
            <w:r>
              <w:rPr>
                <w:color w:val="000000"/>
              </w:rPr>
              <w:tab/>
            </w:r>
            <w:r w:rsidR="00B30DE5">
              <w:rPr>
                <w:color w:val="000000"/>
              </w:rPr>
              <w:t>5</w:t>
            </w:r>
          </w:hyperlink>
        </w:p>
        <w:p w:rsidR="00682CD7" w:rsidRDefault="00476449">
          <w:pPr>
            <w:pBdr>
              <w:top w:val="nil"/>
              <w:left w:val="nil"/>
              <w:bottom w:val="nil"/>
              <w:right w:val="nil"/>
              <w:between w:val="nil"/>
            </w:pBdr>
            <w:tabs>
              <w:tab w:val="right" w:pos="9350"/>
            </w:tabs>
            <w:spacing w:after="100"/>
            <w:rPr>
              <w:color w:val="000000"/>
            </w:rPr>
          </w:pPr>
          <w:hyperlink w:anchor="_sl6dem90e3t6">
            <w:r>
              <w:rPr>
                <w:color w:val="000000"/>
              </w:rPr>
              <w:t>3.  Accessing Reparations Under the YSL</w:t>
            </w:r>
            <w:r>
              <w:rPr>
                <w:color w:val="000000"/>
              </w:rPr>
              <w:tab/>
            </w:r>
            <w:r w:rsidR="00B30DE5">
              <w:rPr>
                <w:color w:val="000000"/>
              </w:rPr>
              <w:t>7</w:t>
            </w:r>
          </w:hyperlink>
        </w:p>
        <w:p w:rsidR="00682CD7" w:rsidRDefault="00476449">
          <w:pPr>
            <w:pBdr>
              <w:top w:val="nil"/>
              <w:left w:val="nil"/>
              <w:bottom w:val="nil"/>
              <w:right w:val="nil"/>
              <w:between w:val="nil"/>
            </w:pBdr>
            <w:tabs>
              <w:tab w:val="right" w:pos="9350"/>
            </w:tabs>
            <w:spacing w:after="100"/>
            <w:ind w:left="240"/>
            <w:rPr>
              <w:color w:val="000000"/>
            </w:rPr>
          </w:pPr>
          <w:hyperlink w:anchor="_q31f68kqp2ex">
            <w:r>
              <w:rPr>
                <w:color w:val="000000"/>
              </w:rPr>
              <w:t>A.   Survivor</w:t>
            </w:r>
            <w:r>
              <w:rPr>
                <w:color w:val="000000"/>
              </w:rPr>
              <w:t>s’ Access to the YSL Application Process</w:t>
            </w:r>
            <w:r>
              <w:rPr>
                <w:color w:val="000000"/>
              </w:rPr>
              <w:tab/>
            </w:r>
            <w:r w:rsidR="00B30DE5">
              <w:rPr>
                <w:color w:val="000000"/>
              </w:rPr>
              <w:t>7</w:t>
            </w:r>
          </w:hyperlink>
        </w:p>
        <w:p w:rsidR="00682CD7" w:rsidRDefault="00476449">
          <w:pPr>
            <w:pBdr>
              <w:top w:val="nil"/>
              <w:left w:val="nil"/>
              <w:bottom w:val="nil"/>
              <w:right w:val="nil"/>
              <w:between w:val="nil"/>
            </w:pBdr>
            <w:tabs>
              <w:tab w:val="right" w:pos="9350"/>
            </w:tabs>
            <w:spacing w:after="100"/>
            <w:ind w:left="240"/>
            <w:rPr>
              <w:color w:val="000000"/>
            </w:rPr>
          </w:pPr>
          <w:hyperlink w:anchor="_ysme5dk9vug0">
            <w:r>
              <w:rPr>
                <w:color w:val="000000"/>
              </w:rPr>
              <w:t>B. Application Verification</w:t>
            </w:r>
            <w:r>
              <w:rPr>
                <w:color w:val="000000"/>
              </w:rPr>
              <w:tab/>
            </w:r>
            <w:r w:rsidR="00B30DE5">
              <w:rPr>
                <w:color w:val="000000"/>
              </w:rPr>
              <w:t>9</w:t>
            </w:r>
          </w:hyperlink>
        </w:p>
        <w:p w:rsidR="00682CD7" w:rsidRDefault="00476449">
          <w:pPr>
            <w:pBdr>
              <w:top w:val="nil"/>
              <w:left w:val="nil"/>
              <w:bottom w:val="nil"/>
              <w:right w:val="nil"/>
              <w:between w:val="nil"/>
            </w:pBdr>
            <w:tabs>
              <w:tab w:val="right" w:pos="9350"/>
            </w:tabs>
            <w:spacing w:after="100"/>
            <w:ind w:left="240"/>
            <w:rPr>
              <w:color w:val="000000"/>
            </w:rPr>
          </w:pPr>
          <w:hyperlink w:anchor="_jccmlfnfed5i">
            <w:r>
              <w:rPr>
                <w:color w:val="000000"/>
              </w:rPr>
              <w:t>C. Eligibility Pa</w:t>
            </w:r>
            <w:r>
              <w:rPr>
                <w:color w:val="000000"/>
              </w:rPr>
              <w:t>r</w:t>
            </w:r>
            <w:r>
              <w:rPr>
                <w:color w:val="000000"/>
              </w:rPr>
              <w:t>ameters</w:t>
            </w:r>
            <w:r>
              <w:rPr>
                <w:color w:val="000000"/>
              </w:rPr>
              <w:tab/>
            </w:r>
            <w:r w:rsidR="00B30DE5">
              <w:rPr>
                <w:color w:val="000000"/>
              </w:rPr>
              <w:t>10</w:t>
            </w:r>
          </w:hyperlink>
        </w:p>
        <w:p w:rsidR="00682CD7" w:rsidRDefault="00476449">
          <w:pPr>
            <w:pBdr>
              <w:top w:val="nil"/>
              <w:left w:val="nil"/>
              <w:bottom w:val="nil"/>
              <w:right w:val="nil"/>
              <w:between w:val="nil"/>
            </w:pBdr>
            <w:tabs>
              <w:tab w:val="right" w:pos="9350"/>
            </w:tabs>
            <w:spacing w:after="100"/>
            <w:ind w:left="240"/>
            <w:rPr>
              <w:color w:val="000000"/>
            </w:rPr>
          </w:pPr>
          <w:hyperlink w:anchor="_ouvxxam8ual2">
            <w:r>
              <w:rPr>
                <w:color w:val="000000"/>
              </w:rPr>
              <w:t>D. Broadening the Eligibility Criteria under th</w:t>
            </w:r>
            <w:r>
              <w:rPr>
                <w:color w:val="000000"/>
              </w:rPr>
              <w:t>e YSL</w:t>
            </w:r>
            <w:r>
              <w:rPr>
                <w:color w:val="000000"/>
              </w:rPr>
              <w:tab/>
            </w:r>
            <w:r w:rsidR="00B30DE5">
              <w:rPr>
                <w:color w:val="000000"/>
              </w:rPr>
              <w:t>11</w:t>
            </w:r>
          </w:hyperlink>
        </w:p>
        <w:p w:rsidR="00682CD7" w:rsidRDefault="00476449">
          <w:pPr>
            <w:pBdr>
              <w:top w:val="nil"/>
              <w:left w:val="nil"/>
              <w:bottom w:val="nil"/>
              <w:right w:val="nil"/>
              <w:between w:val="nil"/>
            </w:pBdr>
            <w:tabs>
              <w:tab w:val="right" w:pos="9350"/>
            </w:tabs>
            <w:spacing w:after="100"/>
            <w:ind w:left="240"/>
            <w:rPr>
              <w:color w:val="000000"/>
            </w:rPr>
          </w:pPr>
          <w:hyperlink w:anchor="_nwb1frm3mfcl">
            <w:r>
              <w:rPr>
                <w:color w:val="000000"/>
              </w:rPr>
              <w:t>E. GDSA Cap</w:t>
            </w:r>
            <w:r>
              <w:rPr>
                <w:color w:val="000000"/>
              </w:rPr>
              <w:t>a</w:t>
            </w:r>
            <w:r>
              <w:rPr>
                <w:color w:val="000000"/>
              </w:rPr>
              <w:t>city Building Efforts</w:t>
            </w:r>
            <w:r>
              <w:rPr>
                <w:color w:val="000000"/>
              </w:rPr>
              <w:tab/>
            </w:r>
            <w:r w:rsidR="00B30DE5">
              <w:rPr>
                <w:color w:val="000000"/>
              </w:rPr>
              <w:t>12</w:t>
            </w:r>
          </w:hyperlink>
        </w:p>
        <w:p w:rsidR="00682CD7" w:rsidRDefault="00476449">
          <w:pPr>
            <w:pBdr>
              <w:top w:val="nil"/>
              <w:left w:val="nil"/>
              <w:bottom w:val="nil"/>
              <w:right w:val="nil"/>
              <w:between w:val="nil"/>
            </w:pBdr>
            <w:tabs>
              <w:tab w:val="right" w:pos="9350"/>
            </w:tabs>
            <w:spacing w:after="100"/>
            <w:rPr>
              <w:color w:val="000000"/>
            </w:rPr>
          </w:pPr>
          <w:hyperlink w:anchor="_9umfgzfo52fp">
            <w:r>
              <w:rPr>
                <w:color w:val="000000"/>
              </w:rPr>
              <w:t>4.  Implementing Reparative Measures under the YSL</w:t>
            </w:r>
            <w:r>
              <w:rPr>
                <w:color w:val="000000"/>
              </w:rPr>
              <w:tab/>
              <w:t>1</w:t>
            </w:r>
            <w:r w:rsidR="00B30DE5">
              <w:rPr>
                <w:color w:val="000000"/>
              </w:rPr>
              <w:t>2</w:t>
            </w:r>
          </w:hyperlink>
        </w:p>
        <w:p w:rsidR="00682CD7" w:rsidRDefault="00476449">
          <w:pPr>
            <w:pBdr>
              <w:top w:val="nil"/>
              <w:left w:val="nil"/>
              <w:bottom w:val="nil"/>
              <w:right w:val="nil"/>
              <w:between w:val="nil"/>
            </w:pBdr>
            <w:tabs>
              <w:tab w:val="right" w:pos="9350"/>
            </w:tabs>
            <w:spacing w:after="100"/>
            <w:ind w:left="240"/>
            <w:rPr>
              <w:color w:val="000000"/>
            </w:rPr>
          </w:pPr>
          <w:hyperlink w:anchor="_rxoaeposhkp4">
            <w:r>
              <w:rPr>
                <w:color w:val="000000"/>
              </w:rPr>
              <w:t>A.      Insufficient Implementation of Rehabilitation Measures</w:t>
            </w:r>
            <w:r>
              <w:rPr>
                <w:color w:val="000000"/>
              </w:rPr>
              <w:tab/>
              <w:t>1</w:t>
            </w:r>
            <w:r w:rsidR="00B30DE5">
              <w:rPr>
                <w:color w:val="000000"/>
              </w:rPr>
              <w:t>3</w:t>
            </w:r>
          </w:hyperlink>
        </w:p>
        <w:p w:rsidR="00682CD7" w:rsidRDefault="00476449">
          <w:pPr>
            <w:pBdr>
              <w:top w:val="nil"/>
              <w:left w:val="nil"/>
              <w:bottom w:val="nil"/>
              <w:right w:val="nil"/>
              <w:between w:val="nil"/>
            </w:pBdr>
            <w:tabs>
              <w:tab w:val="right" w:pos="9350"/>
            </w:tabs>
            <w:spacing w:after="100"/>
            <w:ind w:left="240"/>
            <w:rPr>
              <w:color w:val="000000"/>
            </w:rPr>
          </w:pPr>
          <w:hyperlink w:anchor="_jmugl3wfz2j">
            <w:r>
              <w:rPr>
                <w:color w:val="000000"/>
              </w:rPr>
              <w:t>B. Barriers to Accessing Education as Reparation</w:t>
            </w:r>
            <w:r>
              <w:rPr>
                <w:color w:val="000000"/>
              </w:rPr>
              <w:tab/>
              <w:t>1</w:t>
            </w:r>
            <w:r w:rsidR="00B30DE5">
              <w:rPr>
                <w:color w:val="000000"/>
              </w:rPr>
              <w:t>4</w:t>
            </w:r>
          </w:hyperlink>
        </w:p>
        <w:p w:rsidR="00682CD7" w:rsidRDefault="00476449">
          <w:pPr>
            <w:pBdr>
              <w:top w:val="nil"/>
              <w:left w:val="nil"/>
              <w:bottom w:val="nil"/>
              <w:right w:val="nil"/>
              <w:between w:val="nil"/>
            </w:pBdr>
            <w:tabs>
              <w:tab w:val="right" w:pos="9350"/>
            </w:tabs>
            <w:spacing w:after="100"/>
            <w:ind w:left="240"/>
            <w:rPr>
              <w:color w:val="000000"/>
            </w:rPr>
          </w:pPr>
          <w:hyperlink w:anchor="_sk2zl6s7ybp0">
            <w:r>
              <w:rPr>
                <w:color w:val="000000"/>
              </w:rPr>
              <w:t>C. Lack of Survivor Consultation in Land Allocati</w:t>
            </w:r>
            <w:r>
              <w:rPr>
                <w:color w:val="000000"/>
              </w:rPr>
              <w:t>o</w:t>
            </w:r>
            <w:r>
              <w:rPr>
                <w:color w:val="000000"/>
              </w:rPr>
              <w:t>n</w:t>
            </w:r>
            <w:r>
              <w:rPr>
                <w:color w:val="000000"/>
              </w:rPr>
              <w:tab/>
              <w:t>1</w:t>
            </w:r>
            <w:r w:rsidR="00B30DE5">
              <w:rPr>
                <w:color w:val="000000"/>
              </w:rPr>
              <w:t>5</w:t>
            </w:r>
          </w:hyperlink>
        </w:p>
        <w:p w:rsidR="00682CD7" w:rsidRDefault="00476449">
          <w:pPr>
            <w:pBdr>
              <w:top w:val="nil"/>
              <w:left w:val="nil"/>
              <w:bottom w:val="nil"/>
              <w:right w:val="nil"/>
              <w:between w:val="nil"/>
            </w:pBdr>
            <w:tabs>
              <w:tab w:val="right" w:pos="9350"/>
            </w:tabs>
            <w:spacing w:after="100"/>
            <w:rPr>
              <w:color w:val="000000"/>
            </w:rPr>
          </w:pPr>
          <w:hyperlink w:anchor="_rnug439mvouj">
            <w:r>
              <w:rPr>
                <w:color w:val="000000"/>
              </w:rPr>
              <w:t>5. Gaps in C</w:t>
            </w:r>
            <w:r>
              <w:rPr>
                <w:color w:val="000000"/>
              </w:rPr>
              <w:t>r</w:t>
            </w:r>
            <w:r>
              <w:rPr>
                <w:color w:val="000000"/>
              </w:rPr>
              <w:t>iminal Accountability for Crimes Committed by ISIL</w:t>
            </w:r>
            <w:r>
              <w:rPr>
                <w:color w:val="000000"/>
              </w:rPr>
              <w:tab/>
              <w:t>1</w:t>
            </w:r>
            <w:r w:rsidR="00B30DE5">
              <w:rPr>
                <w:color w:val="000000"/>
              </w:rPr>
              <w:t>5</w:t>
            </w:r>
          </w:hyperlink>
        </w:p>
        <w:p w:rsidR="00682CD7" w:rsidRDefault="00476449">
          <w:pPr>
            <w:pBdr>
              <w:top w:val="nil"/>
              <w:left w:val="nil"/>
              <w:bottom w:val="nil"/>
              <w:right w:val="nil"/>
              <w:between w:val="nil"/>
            </w:pBdr>
            <w:tabs>
              <w:tab w:val="right" w:pos="9350"/>
            </w:tabs>
            <w:spacing w:after="100"/>
            <w:ind w:left="240"/>
            <w:rPr>
              <w:color w:val="000000"/>
            </w:rPr>
          </w:pPr>
          <w:hyperlink w:anchor="_kerpwd278uyw">
            <w:r>
              <w:rPr>
                <w:color w:val="000000"/>
              </w:rPr>
              <w:t>A. Legislation Affecting Amnesty</w:t>
            </w:r>
            <w:r>
              <w:rPr>
                <w:color w:val="000000"/>
              </w:rPr>
              <w:tab/>
              <w:t>1</w:t>
            </w:r>
            <w:r w:rsidR="00B30DE5">
              <w:rPr>
                <w:color w:val="000000"/>
              </w:rPr>
              <w:t>6</w:t>
            </w:r>
          </w:hyperlink>
        </w:p>
        <w:p w:rsidR="00682CD7" w:rsidRDefault="00476449">
          <w:pPr>
            <w:pBdr>
              <w:top w:val="nil"/>
              <w:left w:val="nil"/>
              <w:bottom w:val="nil"/>
              <w:right w:val="nil"/>
              <w:between w:val="nil"/>
            </w:pBdr>
            <w:tabs>
              <w:tab w:val="right" w:pos="9350"/>
            </w:tabs>
            <w:spacing w:after="100"/>
            <w:rPr>
              <w:color w:val="000000"/>
            </w:rPr>
          </w:pPr>
          <w:hyperlink w:anchor="_bllsuxu8m7h2">
            <w:r>
              <w:rPr>
                <w:color w:val="000000"/>
              </w:rPr>
              <w:t>Conclusi</w:t>
            </w:r>
            <w:r>
              <w:rPr>
                <w:color w:val="000000"/>
              </w:rPr>
              <w:t>o</w:t>
            </w:r>
            <w:r>
              <w:rPr>
                <w:color w:val="000000"/>
              </w:rPr>
              <w:t>n</w:t>
            </w:r>
            <w:r>
              <w:rPr>
                <w:color w:val="000000"/>
              </w:rPr>
              <w:tab/>
            </w:r>
            <w:r>
              <w:rPr>
                <w:color w:val="000000"/>
              </w:rPr>
              <w:t>1</w:t>
            </w:r>
            <w:r w:rsidR="00B30DE5">
              <w:rPr>
                <w:color w:val="000000"/>
              </w:rPr>
              <w:t>7</w:t>
            </w:r>
          </w:hyperlink>
        </w:p>
        <w:p w:rsidR="00682CD7" w:rsidRDefault="00476449">
          <w:pPr>
            <w:pBdr>
              <w:top w:val="nil"/>
              <w:left w:val="nil"/>
              <w:bottom w:val="nil"/>
              <w:right w:val="nil"/>
              <w:between w:val="nil"/>
            </w:pBdr>
            <w:tabs>
              <w:tab w:val="right" w:pos="9350"/>
            </w:tabs>
            <w:spacing w:after="100"/>
            <w:rPr>
              <w:color w:val="000000"/>
            </w:rPr>
          </w:pPr>
          <w:hyperlink w:anchor="_wb8jilqvlpsc">
            <w:r>
              <w:rPr>
                <w:color w:val="000000"/>
              </w:rPr>
              <w:t>Reco</w:t>
            </w:r>
            <w:r>
              <w:rPr>
                <w:color w:val="000000"/>
              </w:rPr>
              <w:t>m</w:t>
            </w:r>
            <w:r>
              <w:rPr>
                <w:color w:val="000000"/>
              </w:rPr>
              <w:t>m</w:t>
            </w:r>
            <w:r>
              <w:rPr>
                <w:color w:val="000000"/>
              </w:rPr>
              <w:t>e</w:t>
            </w:r>
            <w:r>
              <w:rPr>
                <w:color w:val="000000"/>
              </w:rPr>
              <w:t>n</w:t>
            </w:r>
            <w:r>
              <w:rPr>
                <w:color w:val="000000"/>
              </w:rPr>
              <w:t>da</w:t>
            </w:r>
            <w:r>
              <w:rPr>
                <w:color w:val="000000"/>
              </w:rPr>
              <w:t>t</w:t>
            </w:r>
            <w:r>
              <w:rPr>
                <w:color w:val="000000"/>
              </w:rPr>
              <w:t>ions</w:t>
            </w:r>
            <w:r>
              <w:rPr>
                <w:color w:val="000000"/>
              </w:rPr>
              <w:tab/>
              <w:t>1</w:t>
            </w:r>
            <w:r w:rsidR="00B30DE5">
              <w:rPr>
                <w:color w:val="000000"/>
              </w:rPr>
              <w:t>8</w:t>
            </w:r>
          </w:hyperlink>
        </w:p>
        <w:p w:rsidR="00682CD7" w:rsidRDefault="00476449">
          <w:r>
            <w:fldChar w:fldCharType="end"/>
          </w:r>
        </w:p>
      </w:sdtContent>
    </w:sdt>
    <w:p w:rsidR="00682CD7" w:rsidRDefault="00476449">
      <w:pPr>
        <w:spacing w:after="240" w:line="240" w:lineRule="auto"/>
      </w:pPr>
      <w:r>
        <w:br/>
      </w:r>
      <w:r>
        <w:br/>
      </w:r>
      <w:r>
        <w:br/>
      </w:r>
      <w:r>
        <w:br/>
      </w:r>
      <w:r>
        <w:br/>
      </w:r>
      <w:r>
        <w:br/>
      </w:r>
      <w:r>
        <w:br/>
      </w:r>
      <w:r>
        <w:br/>
      </w:r>
      <w:r>
        <w:br/>
      </w:r>
    </w:p>
    <w:p w:rsidR="00700C7C" w:rsidRDefault="00700C7C">
      <w:pPr>
        <w:spacing w:after="240" w:line="240" w:lineRule="auto"/>
      </w:pPr>
    </w:p>
    <w:p w:rsidR="00B30DE5" w:rsidRDefault="00B30DE5">
      <w:r>
        <w:br w:type="page"/>
      </w:r>
    </w:p>
    <w:p w:rsidR="00682CD7" w:rsidRDefault="00476449">
      <w:pPr>
        <w:pStyle w:val="berschrift1"/>
        <w:rPr>
          <w:b/>
          <w:bCs/>
          <w:color w:val="000000"/>
          <w:sz w:val="28"/>
          <w:szCs w:val="28"/>
        </w:rPr>
      </w:pPr>
      <w:bookmarkStart w:id="3" w:name="_t45xetk1udbl" w:colFirst="0" w:colLast="0"/>
      <w:bookmarkEnd w:id="3"/>
      <w:r>
        <w:rPr>
          <w:b/>
          <w:bCs/>
          <w:color w:val="000000"/>
          <w:sz w:val="28"/>
          <w:szCs w:val="28"/>
        </w:rPr>
        <w:lastRenderedPageBreak/>
        <w:t>1</w:t>
      </w:r>
      <w:r>
        <w:rPr>
          <w:b/>
          <w:bCs/>
          <w:color w:val="000000"/>
          <w:sz w:val="28"/>
          <w:szCs w:val="28"/>
        </w:rPr>
        <w:t>.  Introduction</w:t>
      </w:r>
    </w:p>
    <w:p w:rsidR="00682CD7" w:rsidRDefault="00682CD7">
      <w:pPr>
        <w:spacing w:before="240" w:after="240" w:line="240" w:lineRule="auto"/>
      </w:pPr>
    </w:p>
    <w:p w:rsidR="00682CD7" w:rsidRDefault="00476449" w:rsidP="00700C7C">
      <w:pPr>
        <w:spacing w:before="240" w:after="240" w:line="240" w:lineRule="auto"/>
        <w:jc w:val="both"/>
      </w:pPr>
      <w:r>
        <w:rPr>
          <w:color w:val="000000"/>
        </w:rPr>
        <w:t xml:space="preserve">From 2014 to 2017, the self-declared Islamic State of Iraq and the Levant (ISIL, also known as Da’esh and ISIS) targeted individual Iraqis based on religion, sect, and gender. Under ISIL’s ideological framework, those perceived as </w:t>
      </w:r>
      <w:proofErr w:type="spellStart"/>
      <w:r>
        <w:rPr>
          <w:i/>
          <w:iCs/>
          <w:color w:val="000000"/>
        </w:rPr>
        <w:t>mushrik</w:t>
      </w:r>
      <w:proofErr w:type="spellEnd"/>
      <w:r>
        <w:rPr>
          <w:color w:val="000000"/>
        </w:rPr>
        <w:t xml:space="preserve"> (pagans) or </w:t>
      </w:r>
      <w:r>
        <w:rPr>
          <w:i/>
          <w:iCs/>
          <w:color w:val="000000"/>
        </w:rPr>
        <w:t>kuffa</w:t>
      </w:r>
      <w:r>
        <w:rPr>
          <w:i/>
          <w:iCs/>
          <w:color w:val="000000"/>
        </w:rPr>
        <w:t xml:space="preserve">r </w:t>
      </w:r>
      <w:r>
        <w:rPr>
          <w:color w:val="000000"/>
        </w:rPr>
        <w:t>(infidels), such as Yazidis, were targeted for destruction. Men and older boys were systematically killed, while women, girls, and children were enslaved, often subjected to conflict-related sexual violence (CRSV). Sexual crimes</w:t>
      </w:r>
      <w:r>
        <w:t>,</w:t>
      </w:r>
      <w:r>
        <w:rPr>
          <w:color w:val="000000"/>
        </w:rPr>
        <w:t xml:space="preserve"> including rape, sexual s</w:t>
      </w:r>
      <w:r>
        <w:rPr>
          <w:color w:val="000000"/>
        </w:rPr>
        <w:t>lavery, forced pregnancy, enforced sterilization, against women and girls were central to ISIL’s reign of terror.</w:t>
      </w:r>
      <w:r>
        <w:rPr>
          <w:color w:val="000000"/>
          <w:vertAlign w:val="superscript"/>
        </w:rPr>
        <w:footnoteReference w:id="2"/>
      </w:r>
    </w:p>
    <w:p w:rsidR="00682CD7" w:rsidRDefault="00476449" w:rsidP="00700C7C">
      <w:pPr>
        <w:spacing w:before="240" w:after="240" w:line="240" w:lineRule="auto"/>
        <w:jc w:val="both"/>
      </w:pPr>
      <w:r>
        <w:rPr>
          <w:color w:val="000000"/>
        </w:rPr>
        <w:t xml:space="preserve">Those identified as </w:t>
      </w:r>
      <w:proofErr w:type="spellStart"/>
      <w:r>
        <w:rPr>
          <w:i/>
          <w:iCs/>
          <w:color w:val="000000"/>
        </w:rPr>
        <w:t>murtaddin</w:t>
      </w:r>
      <w:proofErr w:type="spellEnd"/>
      <w:r>
        <w:rPr>
          <w:color w:val="000000"/>
        </w:rPr>
        <w:t xml:space="preserve"> or apostates, such as Shi’a Muslims, were specifically targeted by ISIL. Shi’a Turkmen faced severe violence, i</w:t>
      </w:r>
      <w:r>
        <w:rPr>
          <w:color w:val="000000"/>
        </w:rPr>
        <w:t>ncluding killings, kidnappings, the destruction of their places of worship, and their homes.</w:t>
      </w:r>
      <w:r>
        <w:rPr>
          <w:color w:val="000000"/>
          <w:vertAlign w:val="superscript"/>
        </w:rPr>
        <w:footnoteReference w:id="3"/>
      </w:r>
      <w:r>
        <w:rPr>
          <w:color w:val="000000"/>
        </w:rPr>
        <w:t xml:space="preserve"> Shi’a Turkmen girls were forcibly married to ISIL fighters, enduring rape and physical violence. Shi’a </w:t>
      </w:r>
      <w:proofErr w:type="spellStart"/>
      <w:r>
        <w:rPr>
          <w:color w:val="000000"/>
        </w:rPr>
        <w:t>Shabak</w:t>
      </w:r>
      <w:proofErr w:type="spellEnd"/>
      <w:r>
        <w:rPr>
          <w:color w:val="000000"/>
        </w:rPr>
        <w:t xml:space="preserve"> women and girls captured, arrested, or detained by I</w:t>
      </w:r>
      <w:r>
        <w:rPr>
          <w:color w:val="000000"/>
        </w:rPr>
        <w:t>SIL faced heightened risks of torture and sexual violence.</w:t>
      </w:r>
      <w:r>
        <w:rPr>
          <w:color w:val="000000"/>
          <w:vertAlign w:val="superscript"/>
        </w:rPr>
        <w:footnoteReference w:id="4"/>
      </w:r>
      <w:r>
        <w:rPr>
          <w:color w:val="000000"/>
        </w:rPr>
        <w:t xml:space="preserve"> Additionally, Sunni </w:t>
      </w:r>
      <w:proofErr w:type="spellStart"/>
      <w:r>
        <w:rPr>
          <w:color w:val="000000"/>
        </w:rPr>
        <w:t>Shabak</w:t>
      </w:r>
      <w:proofErr w:type="spellEnd"/>
      <w:r>
        <w:rPr>
          <w:color w:val="000000"/>
        </w:rPr>
        <w:t xml:space="preserve"> women experienced sexual assault and rape either during their detention or after attempting to escape ISIL-controlled territory.</w:t>
      </w:r>
      <w:r>
        <w:rPr>
          <w:color w:val="000000"/>
          <w:vertAlign w:val="superscript"/>
        </w:rPr>
        <w:footnoteReference w:id="5"/>
      </w:r>
      <w:r>
        <w:rPr>
          <w:color w:val="000000"/>
        </w:rPr>
        <w:t xml:space="preserve"> Christians were given a choice by ISIL </w:t>
      </w:r>
      <w:r>
        <w:rPr>
          <w:color w:val="000000"/>
        </w:rPr>
        <w:t>to either convert or pay a tax—</w:t>
      </w:r>
      <w:proofErr w:type="spellStart"/>
      <w:r>
        <w:rPr>
          <w:i/>
          <w:iCs/>
          <w:color w:val="000000"/>
        </w:rPr>
        <w:t>jizyah</w:t>
      </w:r>
      <w:proofErr w:type="spellEnd"/>
      <w:r>
        <w:rPr>
          <w:color w:val="000000"/>
        </w:rPr>
        <w:t>—and enter into a covenant of protection, although UNITAD has documented ISIL’s efforts to forcibly convert Christians. After capturing and detaining Christians, both males and females endured physical violence, torture</w:t>
      </w:r>
      <w:r>
        <w:rPr>
          <w:color w:val="000000"/>
        </w:rPr>
        <w:t>, and in some cases, sexual violence.</w:t>
      </w:r>
      <w:r>
        <w:rPr>
          <w:color w:val="000000"/>
          <w:vertAlign w:val="superscript"/>
        </w:rPr>
        <w:footnoteReference w:id="6"/>
      </w:r>
      <w:r>
        <w:rPr>
          <w:color w:val="000000"/>
        </w:rPr>
        <w:t xml:space="preserve"> UNITAD has also documented isolated instances where Christian women were subjected to sexual slavery.</w:t>
      </w:r>
      <w:r>
        <w:rPr>
          <w:color w:val="000000"/>
          <w:vertAlign w:val="superscript"/>
        </w:rPr>
        <w:footnoteReference w:id="7"/>
      </w:r>
    </w:p>
    <w:p w:rsidR="00682CD7" w:rsidRDefault="00476449" w:rsidP="00700C7C">
      <w:pPr>
        <w:spacing w:before="240" w:after="240" w:line="240" w:lineRule="auto"/>
        <w:jc w:val="both"/>
      </w:pPr>
      <w:r>
        <w:rPr>
          <w:color w:val="000000"/>
        </w:rPr>
        <w:t>Since the defeat of ISIL in 2017, there have been various national and international initiatives introduced to provide reparations and justice for the victims; these initiatives include the establishment of UNITAD in 2017 and the enactment of the Yazidi [F</w:t>
      </w:r>
      <w:r>
        <w:rPr>
          <w:color w:val="000000"/>
        </w:rPr>
        <w:t>emale]</w:t>
      </w:r>
      <w:r>
        <w:rPr>
          <w:b/>
          <w:bCs/>
          <w:color w:val="000000"/>
        </w:rPr>
        <w:t xml:space="preserve"> </w:t>
      </w:r>
      <w:r>
        <w:rPr>
          <w:color w:val="000000"/>
        </w:rPr>
        <w:t xml:space="preserve">Survivors Law in 2021. Iraq is bound by national and international law to ensure justice and provide reparations for ISIL crimes in Iraq. Iraq acknowledged this in a Joint </w:t>
      </w:r>
      <w:r>
        <w:rPr>
          <w:color w:val="000000"/>
          <w:highlight w:val="white"/>
        </w:rPr>
        <w:t>Communiqué</w:t>
      </w:r>
      <w:r>
        <w:rPr>
          <w:color w:val="000000"/>
        </w:rPr>
        <w:t xml:space="preserve"> between the Republic of Iraq and the United Nations on the Prevent</w:t>
      </w:r>
      <w:r>
        <w:rPr>
          <w:color w:val="000000"/>
        </w:rPr>
        <w:t xml:space="preserve">ion and Response to Conflict-Related Sexual Violence in 2016. The </w:t>
      </w:r>
      <w:r>
        <w:rPr>
          <w:color w:val="000000"/>
          <w:highlight w:val="white"/>
        </w:rPr>
        <w:t xml:space="preserve">Communiqué </w:t>
      </w:r>
      <w:r>
        <w:rPr>
          <w:color w:val="000000"/>
        </w:rPr>
        <w:t xml:space="preserve">has six priority areas, including legislative and policy reform to strengthen </w:t>
      </w:r>
      <w:r>
        <w:rPr>
          <w:color w:val="000000"/>
        </w:rPr>
        <w:lastRenderedPageBreak/>
        <w:t>protection, ensure accountability, and reparations for survivors of sexual violence, including childr</w:t>
      </w:r>
      <w:r>
        <w:rPr>
          <w:color w:val="000000"/>
        </w:rPr>
        <w:t>en born of rape, committed in the context of the ISIL conflict in Iraq.</w:t>
      </w:r>
      <w:r>
        <w:rPr>
          <w:color w:val="000000"/>
          <w:vertAlign w:val="superscript"/>
        </w:rPr>
        <w:footnoteReference w:id="8"/>
      </w:r>
    </w:p>
    <w:p w:rsidR="00682CD7" w:rsidRDefault="00476449" w:rsidP="00700C7C">
      <w:pPr>
        <w:spacing w:before="240" w:after="240" w:line="240" w:lineRule="auto"/>
        <w:jc w:val="both"/>
      </w:pPr>
      <w:r>
        <w:rPr>
          <w:color w:val="000000"/>
        </w:rPr>
        <w:t>During the 2019 UPR, the Iraqi Government accepted recommendations to investigate and prosecute ISIL crimes and to provide reparations and rehabilitation to victims and survivors. How</w:t>
      </w:r>
      <w:r>
        <w:rPr>
          <w:color w:val="000000"/>
        </w:rPr>
        <w:t>ever, domestic legislation that would enable the prosecution of war crimes, crimes against humanity, and genocide remains absent, and the prosecution of ISIL crimes continues under the broad yet vague anti-terrorism law, resulting in serious human rights v</w:t>
      </w:r>
      <w:r>
        <w:rPr>
          <w:color w:val="000000"/>
        </w:rPr>
        <w:t>iolations.</w:t>
      </w:r>
      <w:r>
        <w:rPr>
          <w:color w:val="000000"/>
          <w:vertAlign w:val="superscript"/>
        </w:rPr>
        <w:footnoteReference w:id="9"/>
      </w:r>
    </w:p>
    <w:p w:rsidR="00682CD7" w:rsidRDefault="00476449" w:rsidP="00700C7C">
      <w:pPr>
        <w:spacing w:before="240" w:after="240" w:line="240" w:lineRule="auto"/>
        <w:jc w:val="both"/>
      </w:pPr>
      <w:r>
        <w:rPr>
          <w:color w:val="000000"/>
        </w:rPr>
        <w:t>The upcoming CEDAW review of Iraq is an important opportunity to take stock of these initiatives and recommend a clear path forward for the Iraqi Government and the international community to ensure that survivors get the reparation and justice</w:t>
      </w:r>
      <w:r>
        <w:rPr>
          <w:color w:val="000000"/>
        </w:rPr>
        <w:t xml:space="preserve"> they need and are entitled to under national and international law.</w:t>
      </w:r>
    </w:p>
    <w:p w:rsidR="00682CD7" w:rsidRDefault="00476449">
      <w:pPr>
        <w:pStyle w:val="berschrift1"/>
        <w:rPr>
          <w:b/>
          <w:bCs/>
          <w:color w:val="000000"/>
          <w:sz w:val="28"/>
          <w:szCs w:val="28"/>
        </w:rPr>
      </w:pPr>
      <w:bookmarkStart w:id="4" w:name="_6av9ne1eu2dd" w:colFirst="0" w:colLast="0"/>
      <w:bookmarkEnd w:id="4"/>
      <w:r>
        <w:rPr>
          <w:b/>
          <w:bCs/>
          <w:color w:val="000000"/>
          <w:sz w:val="28"/>
          <w:szCs w:val="28"/>
        </w:rPr>
        <w:t>2</w:t>
      </w:r>
      <w:r>
        <w:rPr>
          <w:b/>
          <w:bCs/>
          <w:color w:val="000000"/>
          <w:sz w:val="28"/>
          <w:szCs w:val="28"/>
        </w:rPr>
        <w:t>.  The Yazidi [Female] Survivors Law</w:t>
      </w:r>
    </w:p>
    <w:p w:rsidR="00682CD7" w:rsidRDefault="00476449" w:rsidP="00700C7C">
      <w:pPr>
        <w:spacing w:before="240" w:after="240" w:line="240" w:lineRule="auto"/>
        <w:jc w:val="both"/>
        <w:rPr>
          <w:color w:val="000000"/>
        </w:rPr>
      </w:pPr>
      <w:r>
        <w:rPr>
          <w:color w:val="000000"/>
        </w:rPr>
        <w:t>On March 1, 2021, the Government of Iraq (</w:t>
      </w:r>
      <w:proofErr w:type="spellStart"/>
      <w:r>
        <w:rPr>
          <w:color w:val="000000"/>
        </w:rPr>
        <w:t>GoI</w:t>
      </w:r>
      <w:proofErr w:type="spellEnd"/>
      <w:r>
        <w:rPr>
          <w:color w:val="000000"/>
        </w:rPr>
        <w:t>) passed the Yazidi [Female] Survivors Law (YSL),</w:t>
      </w:r>
      <w:r>
        <w:rPr>
          <w:color w:val="000000"/>
          <w:vertAlign w:val="superscript"/>
        </w:rPr>
        <w:footnoteReference w:id="10"/>
      </w:r>
      <w:r>
        <w:rPr>
          <w:color w:val="000000"/>
        </w:rPr>
        <w:t xml:space="preserve"> marking a pivotal step in Iraq’s efforts to address t</w:t>
      </w:r>
      <w:r>
        <w:rPr>
          <w:color w:val="000000"/>
        </w:rPr>
        <w:t>he legacy of ISIL’s gender-based violence and mass atrocity crimes. Additionally, the YSL is the first law in the region to recognize conflict-related sexual violence (CRSV) and provide reparations for victims.</w:t>
      </w:r>
    </w:p>
    <w:p w:rsidR="00682CD7" w:rsidRDefault="00476449" w:rsidP="00700C7C">
      <w:pPr>
        <w:spacing w:before="240" w:after="240" w:line="240" w:lineRule="auto"/>
        <w:jc w:val="both"/>
      </w:pPr>
      <w:r>
        <w:rPr>
          <w:color w:val="000000"/>
          <w:vertAlign w:val="superscript"/>
        </w:rPr>
        <w:t xml:space="preserve"> </w:t>
      </w:r>
      <w:r>
        <w:rPr>
          <w:color w:val="000000"/>
        </w:rPr>
        <w:t>The law grants access to a range of rights a</w:t>
      </w:r>
      <w:r>
        <w:rPr>
          <w:color w:val="000000"/>
        </w:rPr>
        <w:t xml:space="preserve">nd benefits to Yazidi, Turkmen, Christian, and </w:t>
      </w:r>
      <w:proofErr w:type="spellStart"/>
      <w:r>
        <w:rPr>
          <w:color w:val="000000"/>
        </w:rPr>
        <w:t>Shabak</w:t>
      </w:r>
      <w:proofErr w:type="spellEnd"/>
      <w:r>
        <w:rPr>
          <w:color w:val="000000"/>
        </w:rPr>
        <w:t xml:space="preserve"> women and </w:t>
      </w:r>
      <w:proofErr w:type="gramStart"/>
      <w:r>
        <w:rPr>
          <w:color w:val="000000"/>
        </w:rPr>
        <w:t>girls</w:t>
      </w:r>
      <w:proofErr w:type="gramEnd"/>
      <w:r>
        <w:rPr>
          <w:color w:val="000000"/>
        </w:rPr>
        <w:t xml:space="preserve"> victims of CRSV, including victims of kidnapping, sexual enslavement, forced marriage, pregnancy, and abortion.</w:t>
      </w:r>
      <w:r>
        <w:rPr>
          <w:color w:val="000000"/>
          <w:vertAlign w:val="superscript"/>
        </w:rPr>
        <w:footnoteReference w:id="11"/>
      </w:r>
      <w:r>
        <w:rPr>
          <w:color w:val="000000"/>
        </w:rPr>
        <w:t xml:space="preserve"> In a legal context that lacks a comprehensive framework on domestic viole</w:t>
      </w:r>
      <w:r>
        <w:rPr>
          <w:color w:val="000000"/>
        </w:rPr>
        <w:t>nce, and treats rape primarily as a moral offense rather than a violent crime,</w:t>
      </w:r>
      <w:r>
        <w:rPr>
          <w:color w:val="000000"/>
          <w:vertAlign w:val="superscript"/>
        </w:rPr>
        <w:footnoteReference w:id="12"/>
      </w:r>
      <w:r>
        <w:rPr>
          <w:color w:val="000000"/>
        </w:rPr>
        <w:t xml:space="preserve"> the passage of legislation that explicitly defines and addresses CRSV is particularly significant. </w:t>
      </w:r>
    </w:p>
    <w:p w:rsidR="00682CD7" w:rsidRDefault="00476449" w:rsidP="00700C7C">
      <w:pPr>
        <w:spacing w:before="240" w:after="240" w:line="240" w:lineRule="auto"/>
        <w:jc w:val="both"/>
      </w:pPr>
      <w:r>
        <w:rPr>
          <w:color w:val="000000"/>
        </w:rPr>
        <w:lastRenderedPageBreak/>
        <w:t xml:space="preserve">The YSL mandates several critical state-sponsored reparative measures, such </w:t>
      </w:r>
      <w:r>
        <w:rPr>
          <w:color w:val="000000"/>
        </w:rPr>
        <w:t>as financial support;</w:t>
      </w:r>
      <w:r>
        <w:rPr>
          <w:color w:val="000000"/>
          <w:vertAlign w:val="superscript"/>
        </w:rPr>
        <w:footnoteReference w:id="13"/>
      </w:r>
      <w:r>
        <w:rPr>
          <w:color w:val="000000"/>
        </w:rPr>
        <w:t xml:space="preserve"> medical and psychological care;</w:t>
      </w:r>
      <w:r>
        <w:rPr>
          <w:color w:val="000000"/>
          <w:vertAlign w:val="superscript"/>
        </w:rPr>
        <w:footnoteReference w:id="14"/>
      </w:r>
      <w:r>
        <w:rPr>
          <w:color w:val="000000"/>
        </w:rPr>
        <w:t xml:space="preserve"> the provision of land, housing, education, and a quota in public sector employment. Moreover, it officially recognizes that ISIL committed genocide and crimes against humanity against Yazidi, Christia</w:t>
      </w:r>
      <w:r>
        <w:rPr>
          <w:color w:val="000000"/>
        </w:rPr>
        <w:t xml:space="preserve">n, Turkmen and </w:t>
      </w:r>
      <w:proofErr w:type="spellStart"/>
      <w:r>
        <w:rPr>
          <w:color w:val="000000"/>
        </w:rPr>
        <w:t>Shabak</w:t>
      </w:r>
      <w:proofErr w:type="spellEnd"/>
      <w:r>
        <w:rPr>
          <w:color w:val="000000"/>
        </w:rPr>
        <w:t xml:space="preserve"> minority groups;</w:t>
      </w:r>
      <w:r>
        <w:rPr>
          <w:color w:val="000000"/>
          <w:vertAlign w:val="superscript"/>
        </w:rPr>
        <w:footnoteReference w:id="15"/>
      </w:r>
      <w:r>
        <w:rPr>
          <w:color w:val="000000"/>
        </w:rPr>
        <w:t xml:space="preserve"> and mandates memorialization;</w:t>
      </w:r>
      <w:r>
        <w:rPr>
          <w:color w:val="000000"/>
          <w:vertAlign w:val="superscript"/>
        </w:rPr>
        <w:footnoteReference w:id="16"/>
      </w:r>
      <w:r>
        <w:rPr>
          <w:color w:val="000000"/>
        </w:rPr>
        <w:t xml:space="preserve"> the search for those still in captivity, opening of mass graves, identification of remains and their return to the families</w:t>
      </w:r>
      <w:r>
        <w:rPr>
          <w:color w:val="000000"/>
          <w:vertAlign w:val="superscript"/>
        </w:rPr>
        <w:footnoteReference w:id="17"/>
      </w:r>
      <w:r>
        <w:rPr>
          <w:color w:val="000000"/>
        </w:rPr>
        <w:t xml:space="preserve"> and calls Iraqi institutions to ensure that perpetrators of </w:t>
      </w:r>
      <w:r>
        <w:rPr>
          <w:color w:val="000000"/>
        </w:rPr>
        <w:t>genocide and crimes against humanity are held accountable.</w:t>
      </w:r>
      <w:r>
        <w:rPr>
          <w:color w:val="000000"/>
          <w:vertAlign w:val="superscript"/>
        </w:rPr>
        <w:footnoteReference w:id="18"/>
      </w:r>
      <w:r>
        <w:rPr>
          <w:color w:val="000000"/>
        </w:rPr>
        <w:t xml:space="preserve"> The associated bylaws further extend these obligations, including developing specialized curricula on the ISIL conflict to promote peaceful coexistence and the renunciation of violence.</w:t>
      </w:r>
      <w:r>
        <w:rPr>
          <w:color w:val="000000"/>
          <w:vertAlign w:val="superscript"/>
        </w:rPr>
        <w:footnoteReference w:id="19"/>
      </w:r>
      <w:r>
        <w:rPr>
          <w:color w:val="000000"/>
        </w:rPr>
        <w:t xml:space="preserve"> The YSL e</w:t>
      </w:r>
      <w:r>
        <w:rPr>
          <w:color w:val="000000"/>
        </w:rPr>
        <w:t xml:space="preserve">nvisages rehabilitation as a form of reparation for survivors of the ISIL conflict, marking the first time rehabilitation has been explicitly recognized as a form of reparation in Iraq. Finally, the YSL explicitly stipulates an objective to, </w:t>
      </w:r>
      <w:r>
        <w:rPr>
          <w:i/>
          <w:iCs/>
          <w:color w:val="000000"/>
        </w:rPr>
        <w:t>inter alia</w:t>
      </w:r>
      <w:r>
        <w:rPr>
          <w:color w:val="000000"/>
        </w:rPr>
        <w:t>, pr</w:t>
      </w:r>
      <w:r>
        <w:rPr>
          <w:color w:val="000000"/>
        </w:rPr>
        <w:t>event the recurrence of the violations that occurred against the indicated minorities.</w:t>
      </w:r>
      <w:r>
        <w:rPr>
          <w:color w:val="000000"/>
          <w:vertAlign w:val="superscript"/>
        </w:rPr>
        <w:footnoteReference w:id="20"/>
      </w:r>
    </w:p>
    <w:p w:rsidR="00682CD7" w:rsidRDefault="00476449" w:rsidP="00700C7C">
      <w:pPr>
        <w:spacing w:before="240" w:after="240" w:line="240" w:lineRule="auto"/>
        <w:jc w:val="both"/>
      </w:pPr>
      <w:r>
        <w:rPr>
          <w:color w:val="000000"/>
        </w:rPr>
        <w:t>The General Directorate for Survivors’ Affairs (GDSA) is the main implementing body for this legislation, established under the Federal Ministry of Labor and Social Aff</w:t>
      </w:r>
      <w:r>
        <w:rPr>
          <w:color w:val="000000"/>
        </w:rPr>
        <w:t>airs (</w:t>
      </w:r>
      <w:proofErr w:type="spellStart"/>
      <w:r>
        <w:rPr>
          <w:color w:val="000000"/>
        </w:rPr>
        <w:t>MoLSA</w:t>
      </w:r>
      <w:proofErr w:type="spellEnd"/>
      <w:r>
        <w:rPr>
          <w:color w:val="000000"/>
        </w:rPr>
        <w:t>) and located in Mosul with a branch office in Sinjar. The GDSA and the independent, eight-member Committee are authorized to review and decide on applications and appeals. While the GDSA coordinates outreach, application, and verification proce</w:t>
      </w:r>
      <w:r>
        <w:rPr>
          <w:color w:val="000000"/>
        </w:rPr>
        <w:t>sses, as well as the distribution of services,</w:t>
      </w:r>
      <w:r>
        <w:rPr>
          <w:color w:val="000000"/>
          <w:vertAlign w:val="superscript"/>
        </w:rPr>
        <w:footnoteReference w:id="21"/>
      </w:r>
      <w:r>
        <w:rPr>
          <w:color w:val="000000"/>
        </w:rPr>
        <w:t xml:space="preserve"> the Committee is tasked with verifying the submitted applications within 90 days from the moment of the submission</w:t>
      </w:r>
      <w:r>
        <w:rPr>
          <w:color w:val="000000"/>
          <w:vertAlign w:val="superscript"/>
        </w:rPr>
        <w:footnoteReference w:id="22"/>
      </w:r>
      <w:r>
        <w:rPr>
          <w:color w:val="000000"/>
        </w:rPr>
        <w:t xml:space="preserve"> and determining the amount of the monthly reparation payment according to the material or mo</w:t>
      </w:r>
      <w:r>
        <w:rPr>
          <w:color w:val="000000"/>
        </w:rPr>
        <w:t>ral damage suffered by the eligible applicant.</w:t>
      </w:r>
      <w:r>
        <w:rPr>
          <w:color w:val="000000"/>
          <w:vertAlign w:val="superscript"/>
        </w:rPr>
        <w:footnoteReference w:id="23"/>
      </w:r>
    </w:p>
    <w:p w:rsidR="00682CD7" w:rsidRDefault="00476449" w:rsidP="00700C7C">
      <w:pPr>
        <w:spacing w:before="240" w:after="240" w:line="240" w:lineRule="auto"/>
        <w:jc w:val="both"/>
      </w:pPr>
      <w:r>
        <w:rPr>
          <w:color w:val="000000"/>
        </w:rPr>
        <w:t>As of November 2025, 2,216 survivors of ISIL atrocities are receiving reparations under the YSL.</w:t>
      </w:r>
      <w:r>
        <w:rPr>
          <w:color w:val="000000"/>
          <w:vertAlign w:val="superscript"/>
        </w:rPr>
        <w:footnoteReference w:id="24"/>
      </w:r>
      <w:r>
        <w:rPr>
          <w:color w:val="000000"/>
        </w:rPr>
        <w:t xml:space="preserve"> Despite repeated requests by C4JR, the GDSA does not provide disaggregated data by age, ethnicity, disability </w:t>
      </w:r>
      <w:r>
        <w:rPr>
          <w:color w:val="000000"/>
        </w:rPr>
        <w:t xml:space="preserve">status, or religion, limiting the ability to assess the law’s implementation across different groups of survivors. A survey conducted by C4JR in late 2025 on survivors’ satisfaction with the monthly compensation amount–set at 800,000 Iraqi Dinars (IQD), </w:t>
      </w:r>
      <w:r>
        <w:rPr>
          <w:color w:val="000000"/>
        </w:rPr>
        <w:lastRenderedPageBreak/>
        <w:t>ap</w:t>
      </w:r>
      <w:r>
        <w:rPr>
          <w:color w:val="000000"/>
        </w:rPr>
        <w:t>proximately $600 USD–found that 58% of female respondents were somewhat satisfied, 26% were very satisfied, and only 9% reported dissatisfaction. </w:t>
      </w:r>
    </w:p>
    <w:p w:rsidR="00682CD7" w:rsidRDefault="00476449">
      <w:pPr>
        <w:pStyle w:val="berschrift1"/>
        <w:rPr>
          <w:b/>
          <w:bCs/>
          <w:color w:val="000000"/>
          <w:sz w:val="28"/>
          <w:szCs w:val="28"/>
        </w:rPr>
      </w:pPr>
      <w:bookmarkStart w:id="5" w:name="_sl6dem90e3t6" w:colFirst="0" w:colLast="0"/>
      <w:bookmarkEnd w:id="5"/>
      <w:r>
        <w:rPr>
          <w:b/>
          <w:bCs/>
          <w:color w:val="000000"/>
          <w:sz w:val="28"/>
          <w:szCs w:val="28"/>
        </w:rPr>
        <w:t>3</w:t>
      </w:r>
      <w:r>
        <w:rPr>
          <w:b/>
          <w:bCs/>
          <w:color w:val="000000"/>
          <w:sz w:val="28"/>
          <w:szCs w:val="28"/>
        </w:rPr>
        <w:t>.  Accessing Reparations Under the YSL</w:t>
      </w:r>
    </w:p>
    <w:p w:rsidR="00682CD7" w:rsidRDefault="00476449">
      <w:pPr>
        <w:pStyle w:val="berschrift2"/>
        <w:rPr>
          <w:b/>
          <w:bCs/>
          <w:color w:val="000000"/>
          <w:sz w:val="22"/>
          <w:szCs w:val="22"/>
        </w:rPr>
      </w:pPr>
      <w:bookmarkStart w:id="6" w:name="_q31f68kqp2ex" w:colFirst="0" w:colLast="0"/>
      <w:bookmarkEnd w:id="6"/>
      <w:r>
        <w:rPr>
          <w:b/>
          <w:bCs/>
          <w:color w:val="000000"/>
          <w:sz w:val="22"/>
          <w:szCs w:val="22"/>
        </w:rPr>
        <w:t>A</w:t>
      </w:r>
      <w:r>
        <w:rPr>
          <w:b/>
          <w:bCs/>
          <w:color w:val="000000"/>
          <w:sz w:val="22"/>
          <w:szCs w:val="22"/>
        </w:rPr>
        <w:t>.   Survivors’ Access to the YSL Application Process</w:t>
      </w:r>
    </w:p>
    <w:p w:rsidR="00682CD7" w:rsidRDefault="00476449" w:rsidP="00700C7C">
      <w:pPr>
        <w:spacing w:before="240" w:after="240" w:line="240" w:lineRule="auto"/>
        <w:jc w:val="both"/>
      </w:pPr>
      <w:r>
        <w:rPr>
          <w:color w:val="000000"/>
        </w:rPr>
        <w:t>States parties to CEDAW are required to guarantee women’s access to justice, empowering them as rights holders throughout the pursuit of justice and safeguarding them from discrimination at every stage.</w:t>
      </w:r>
      <w:r>
        <w:rPr>
          <w:color w:val="000000"/>
          <w:vertAlign w:val="superscript"/>
        </w:rPr>
        <w:footnoteReference w:id="25"/>
      </w:r>
      <w:r>
        <w:rPr>
          <w:color w:val="000000"/>
        </w:rPr>
        <w:t xml:space="preserve"> While the YSL establishes a complex set of reparativ</w:t>
      </w:r>
      <w:r>
        <w:rPr>
          <w:color w:val="000000"/>
        </w:rPr>
        <w:t>e measures, its implementation falls short of these obligations, failing to protect women from discrimination and, in some cases, potentially exacerbating stigmatization and social exclusion. </w:t>
      </w:r>
    </w:p>
    <w:p w:rsidR="00682CD7" w:rsidRDefault="00476449" w:rsidP="00700C7C">
      <w:pPr>
        <w:spacing w:before="240" w:after="240" w:line="240" w:lineRule="auto"/>
        <w:jc w:val="both"/>
      </w:pPr>
      <w:r>
        <w:rPr>
          <w:color w:val="000000"/>
        </w:rPr>
        <w:t>The YSL application portal was launched by the GDSA on Septembe</w:t>
      </w:r>
      <w:r>
        <w:rPr>
          <w:color w:val="000000"/>
        </w:rPr>
        <w:t>r 7, 2022.</w:t>
      </w:r>
      <w:r>
        <w:rPr>
          <w:color w:val="000000"/>
          <w:vertAlign w:val="superscript"/>
        </w:rPr>
        <w:footnoteReference w:id="26"/>
      </w:r>
      <w:r>
        <w:rPr>
          <w:color w:val="000000"/>
        </w:rPr>
        <w:t xml:space="preserve"> At the outset, it was indicated that the Committee responsible for adjudicating applications would apply a relaxed evidentiary standard, under which official court documents would carry evidentiary weight but would not be a prerequisite for a p</w:t>
      </w:r>
      <w:r>
        <w:rPr>
          <w:color w:val="000000"/>
        </w:rPr>
        <w:t>ositive decision.</w:t>
      </w:r>
      <w:r>
        <w:rPr>
          <w:color w:val="000000"/>
          <w:vertAlign w:val="superscript"/>
        </w:rPr>
        <w:footnoteReference w:id="27"/>
      </w:r>
      <w:r>
        <w:rPr>
          <w:color w:val="000000"/>
        </w:rPr>
        <w:t xml:space="preserve"> However, two months after the GDSA began receiving applications, the Committee Chair (an appointee of the High Judicial Council) introduced an extra-legal evidentiary requirement</w:t>
      </w:r>
      <w:r>
        <w:t xml:space="preserve">. </w:t>
      </w:r>
      <w:r>
        <w:rPr>
          <w:color w:val="000000"/>
        </w:rPr>
        <w:t xml:space="preserve"> Under this requirement, YSL applicants must file a crimi</w:t>
      </w:r>
      <w:r>
        <w:rPr>
          <w:color w:val="000000"/>
        </w:rPr>
        <w:t>nal complaint to be deemed eligible for reparations.</w:t>
      </w:r>
    </w:p>
    <w:p w:rsidR="00682CD7" w:rsidRDefault="00476449" w:rsidP="00700C7C">
      <w:pPr>
        <w:spacing w:before="240" w:after="240" w:line="240" w:lineRule="auto"/>
        <w:jc w:val="both"/>
      </w:pPr>
      <w:r>
        <w:rPr>
          <w:color w:val="000000"/>
        </w:rPr>
        <w:t>This new requirement lacks a legal basis within the YSL and its by-laws, whereby, according to the latter, the Committee shall first exhaust official evidence before resorting to other proof,</w:t>
      </w:r>
      <w:r>
        <w:rPr>
          <w:color w:val="000000"/>
          <w:vertAlign w:val="superscript"/>
        </w:rPr>
        <w:footnoteReference w:id="28"/>
      </w:r>
      <w:r>
        <w:rPr>
          <w:color w:val="000000"/>
        </w:rPr>
        <w:t xml:space="preserve"> and applic</w:t>
      </w:r>
      <w:r>
        <w:rPr>
          <w:color w:val="000000"/>
        </w:rPr>
        <w:t>ants may submit a wide range of documents to support their reparation claims, such as government records, NGO reports, and eyewitness testimony, among others.</w:t>
      </w:r>
      <w:r>
        <w:rPr>
          <w:color w:val="000000"/>
          <w:vertAlign w:val="superscript"/>
        </w:rPr>
        <w:footnoteReference w:id="29"/>
      </w:r>
      <w:r>
        <w:rPr>
          <w:color w:val="000000"/>
        </w:rPr>
        <w:t xml:space="preserve"> Despite this, the additional evidentiary requirement requires YSL applicants to first file a cri</w:t>
      </w:r>
      <w:r>
        <w:rPr>
          <w:color w:val="000000"/>
        </w:rPr>
        <w:t>minal complaint with a court to obtain investigation documents to be submitted with their YSL application. Applicants who do not submit investigation documents will be rejected, regardless of other available pre-existing evidence collected by official bodi</w:t>
      </w:r>
      <w:r>
        <w:rPr>
          <w:color w:val="000000"/>
        </w:rPr>
        <w:t>es and NGOs.</w:t>
      </w:r>
    </w:p>
    <w:p w:rsidR="00682CD7" w:rsidRDefault="00476449" w:rsidP="00700C7C">
      <w:pPr>
        <w:spacing w:before="240" w:after="240" w:line="240" w:lineRule="auto"/>
        <w:jc w:val="both"/>
      </w:pPr>
      <w:r>
        <w:rPr>
          <w:color w:val="000000"/>
        </w:rPr>
        <w:t xml:space="preserve">In addition to being contrary to the spirit and letter of the law, the extra-legal requirement for YSL applicants to file a criminal complaint also contravenes international standards and best practice for domestic reparation programs and the </w:t>
      </w:r>
      <w:r>
        <w:rPr>
          <w:color w:val="000000"/>
        </w:rPr>
        <w:t xml:space="preserve">right to an effective remedy under </w:t>
      </w:r>
      <w:r>
        <w:rPr>
          <w:color w:val="000000"/>
        </w:rPr>
        <w:lastRenderedPageBreak/>
        <w:t>international human rights law.</w:t>
      </w:r>
      <w:r>
        <w:rPr>
          <w:color w:val="000000"/>
          <w:vertAlign w:val="superscript"/>
        </w:rPr>
        <w:footnoteReference w:id="30"/>
      </w:r>
      <w:r>
        <w:rPr>
          <w:color w:val="000000"/>
        </w:rPr>
        <w:t xml:space="preserve"> This position is echoed in the UN Secretary-General’s recent report on conflict-related sexual violence, which calls for the removal of the requirement for criminal investigation documenta</w:t>
      </w:r>
      <w:r>
        <w:rPr>
          <w:color w:val="000000"/>
        </w:rPr>
        <w:t>tion.</w:t>
      </w:r>
      <w:r>
        <w:rPr>
          <w:color w:val="000000"/>
          <w:vertAlign w:val="superscript"/>
        </w:rPr>
        <w:footnoteReference w:id="31"/>
      </w:r>
      <w:r>
        <w:rPr>
          <w:color w:val="000000"/>
        </w:rPr>
        <w:t xml:space="preserve"> While we cannot speculate on exact numbers, the requirement certainly prevents eligible survivors from accessing their right to reparation under the YSL due to fear of stigma, personal safety, and risk of self-incrimination.</w:t>
      </w:r>
    </w:p>
    <w:p w:rsidR="00682CD7" w:rsidRDefault="00476449" w:rsidP="00700C7C">
      <w:pPr>
        <w:spacing w:before="240" w:after="240" w:line="240" w:lineRule="auto"/>
        <w:jc w:val="both"/>
      </w:pPr>
      <w:r>
        <w:rPr>
          <w:color w:val="000000"/>
        </w:rPr>
        <w:t>In addition to lacking a</w:t>
      </w:r>
      <w:r>
        <w:rPr>
          <w:color w:val="000000"/>
        </w:rPr>
        <w:t xml:space="preserve"> legal basis and contravening international standards, the evidentiary requirement compels many women to seek external support in order to access reparations. This dynamic is inconsistent with States’ obligations under CEDAW, which affirms that access to j</w:t>
      </w:r>
      <w:r>
        <w:rPr>
          <w:color w:val="000000"/>
        </w:rPr>
        <w:t>ustice must be effective, available, accessible, and of good quality, and that procedures should not impose disproportionate or gender-specific burdens on women.</w:t>
      </w:r>
    </w:p>
    <w:p w:rsidR="00682CD7" w:rsidRDefault="00476449" w:rsidP="00700C7C">
      <w:pPr>
        <w:spacing w:before="240" w:after="240" w:line="240" w:lineRule="auto"/>
        <w:jc w:val="both"/>
      </w:pPr>
      <w:r>
        <w:rPr>
          <w:color w:val="000000"/>
        </w:rPr>
        <w:t>A 2023 survey conducted by C4JR, of 226 r</w:t>
      </w:r>
      <w:r>
        <w:t xml:space="preserve">espondents, 174 female and 44 </w:t>
      </w:r>
      <w:proofErr w:type="gramStart"/>
      <w:r>
        <w:t>male</w:t>
      </w:r>
      <w:proofErr w:type="gramEnd"/>
      <w:r>
        <w:t xml:space="preserve"> (8 preferring not </w:t>
      </w:r>
      <w:r>
        <w:t>to disclose their gender),</w:t>
      </w:r>
      <w:r>
        <w:rPr>
          <w:color w:val="000000"/>
        </w:rPr>
        <w:t xml:space="preserve"> found that the vast majority of respondents (80%) required assistance to submit their YSL application, with only 20% able to apply independently. Among those who received support, 55% relied on a family member or friend, 31% on a</w:t>
      </w:r>
      <w:r>
        <w:rPr>
          <w:color w:val="000000"/>
        </w:rPr>
        <w:t>n NGO, and 10% on a lawyer.</w:t>
      </w:r>
      <w:r>
        <w:rPr>
          <w:color w:val="000000"/>
          <w:vertAlign w:val="superscript"/>
        </w:rPr>
        <w:footnoteReference w:id="32"/>
      </w:r>
      <w:r>
        <w:rPr>
          <w:color w:val="000000"/>
        </w:rPr>
        <w:t xml:space="preserve"> The repeated visits and follow-up meetings at multiple government agencies required to complete the application are particularly onerous for applicants with disabilities or poor health, directly undermining the principle of acc</w:t>
      </w:r>
      <w:r>
        <w:rPr>
          <w:color w:val="000000"/>
        </w:rPr>
        <w:t>essibility.</w:t>
      </w:r>
    </w:p>
    <w:p w:rsidR="00682CD7" w:rsidRDefault="00476449" w:rsidP="00700C7C">
      <w:pPr>
        <w:spacing w:before="240" w:after="240" w:line="240" w:lineRule="auto"/>
        <w:jc w:val="both"/>
      </w:pPr>
      <w:r>
        <w:rPr>
          <w:color w:val="000000"/>
        </w:rPr>
        <w:t>Notably, a significantly higher proportion of women than men cited confidentiality concerns (11% of women compared to 0% of men), lack of childcare options (6% compared to 0%), and fear of stigmatization or discrimination by government authorit</w:t>
      </w:r>
      <w:r>
        <w:rPr>
          <w:color w:val="000000"/>
        </w:rPr>
        <w:t>ies (11% compared to 0%) as reasons for seeking assistance.</w:t>
      </w:r>
      <w:r>
        <w:rPr>
          <w:color w:val="000000"/>
          <w:vertAlign w:val="superscript"/>
        </w:rPr>
        <w:footnoteReference w:id="33"/>
      </w:r>
      <w:r>
        <w:rPr>
          <w:color w:val="000000"/>
        </w:rPr>
        <w:t xml:space="preserve"> CEDAW General Recommendation No.33 (GR33) underscores that justice systems must be gender-sensitive, confidential, and responsive to women’s caregiving responsibilities, and must protect women fr</w:t>
      </w:r>
      <w:r>
        <w:rPr>
          <w:color w:val="000000"/>
        </w:rPr>
        <w:t>om secondary victimization and stigma in justice-</w:t>
      </w:r>
      <w:r>
        <w:rPr>
          <w:color w:val="000000"/>
        </w:rPr>
        <w:lastRenderedPageBreak/>
        <w:t>seeking processes</w:t>
      </w:r>
      <w:r>
        <w:rPr>
          <w:color w:val="000000"/>
          <w:vertAlign w:val="superscript"/>
        </w:rPr>
        <w:footnoteReference w:id="34"/>
      </w:r>
      <w:r>
        <w:rPr>
          <w:color w:val="000000"/>
        </w:rPr>
        <w:t>. The barriers identified by YSL applicants, therefore, reflect not only implementation failures but structural incompatibilities with international standards.</w:t>
      </w:r>
      <w:r>
        <w:rPr>
          <w:color w:val="000000"/>
          <w:vertAlign w:val="superscript"/>
        </w:rPr>
        <w:footnoteReference w:id="35"/>
      </w:r>
    </w:p>
    <w:p w:rsidR="00682CD7" w:rsidRDefault="00476449" w:rsidP="00700C7C">
      <w:pPr>
        <w:spacing w:before="240" w:after="240" w:line="240" w:lineRule="auto"/>
        <w:jc w:val="both"/>
      </w:pPr>
      <w:r>
        <w:rPr>
          <w:color w:val="000000"/>
        </w:rPr>
        <w:t>Taken together, these findin</w:t>
      </w:r>
      <w:r>
        <w:rPr>
          <w:color w:val="000000"/>
        </w:rPr>
        <w:t>gs highlight how the YSL application process operates within—and reproduces—a social order structured by patriarchal dependency. Rather than empowering women as autonomous rights holders, as required under CEDAW, the process disproportionately restricts ac</w:t>
      </w:r>
      <w:r>
        <w:rPr>
          <w:color w:val="000000"/>
        </w:rPr>
        <w:t>cess for female survivors and female-headed households, effectively conditioning reparations on women’s reliance on family members or intermediaries.</w:t>
      </w:r>
    </w:p>
    <w:p w:rsidR="00682CD7" w:rsidRDefault="00476449" w:rsidP="00700C7C">
      <w:pPr>
        <w:spacing w:before="240" w:after="240" w:line="240" w:lineRule="auto"/>
        <w:jc w:val="both"/>
      </w:pPr>
      <w:r>
        <w:rPr>
          <w:color w:val="000000"/>
        </w:rPr>
        <w:t>In November 2024, the GDSA announced a key development to facilitate applications for survivors living abroad. YSL applicants in France and Germany are now able to submit their testimony remotely via video conferencing hosted at Iraqi diplomatic missions a</w:t>
      </w:r>
      <w:r>
        <w:rPr>
          <w:color w:val="000000"/>
        </w:rPr>
        <w:t>broad. This initiative was enabled through GDSA’s collaboration with the Supreme Judicial Council, the Ministry of Foreign Affairs, and extensive engagement with relevant embassies. To guide applicants, the GDSA’s Sinjar Branch Director, Shihab Ahmed Samir</w:t>
      </w:r>
      <w:r>
        <w:rPr>
          <w:color w:val="000000"/>
        </w:rPr>
        <w:t xml:space="preserve">, released an instructional video in </w:t>
      </w:r>
      <w:proofErr w:type="spellStart"/>
      <w:r>
        <w:rPr>
          <w:color w:val="000000"/>
        </w:rPr>
        <w:t>Kurmancî</w:t>
      </w:r>
      <w:proofErr w:type="spellEnd"/>
      <w:r>
        <w:rPr>
          <w:color w:val="000000"/>
        </w:rPr>
        <w:t>, which explains the registration and appointment process. </w:t>
      </w:r>
    </w:p>
    <w:p w:rsidR="00682CD7" w:rsidRDefault="00476449">
      <w:pPr>
        <w:pStyle w:val="berschrift2"/>
        <w:rPr>
          <w:b/>
          <w:bCs/>
          <w:color w:val="000000"/>
          <w:sz w:val="22"/>
          <w:szCs w:val="22"/>
        </w:rPr>
      </w:pPr>
      <w:bookmarkStart w:id="7" w:name="_ysme5dk9vug0" w:colFirst="0" w:colLast="0"/>
      <w:bookmarkEnd w:id="7"/>
      <w:r>
        <w:rPr>
          <w:b/>
          <w:bCs/>
          <w:color w:val="000000"/>
          <w:sz w:val="22"/>
          <w:szCs w:val="22"/>
        </w:rPr>
        <w:t>B</w:t>
      </w:r>
      <w:r>
        <w:rPr>
          <w:b/>
          <w:bCs/>
          <w:color w:val="000000"/>
          <w:sz w:val="22"/>
          <w:szCs w:val="22"/>
        </w:rPr>
        <w:t>. Application Verification</w:t>
      </w:r>
    </w:p>
    <w:p w:rsidR="00682CD7" w:rsidRDefault="00476449" w:rsidP="00700C7C">
      <w:pPr>
        <w:spacing w:before="240" w:after="240" w:line="240" w:lineRule="auto"/>
        <w:jc w:val="both"/>
      </w:pPr>
      <w:r>
        <w:rPr>
          <w:color w:val="000000"/>
        </w:rPr>
        <w:t>Following the submission of a YSL application, the YSL Committee requires applicants to obtain intelligence clearance and u</w:t>
      </w:r>
      <w:r>
        <w:rPr>
          <w:color w:val="000000"/>
        </w:rPr>
        <w:t xml:space="preserve">ndergo biometric verification, which </w:t>
      </w:r>
      <w:r>
        <w:t>involves presenting at the offices of intelligence services (</w:t>
      </w:r>
      <w:proofErr w:type="spellStart"/>
      <w:r>
        <w:rPr>
          <w:i/>
          <w:iCs/>
        </w:rPr>
        <w:t>istikhbārāt</w:t>
      </w:r>
      <w:proofErr w:type="spellEnd"/>
      <w:r>
        <w:t>), providing fingerprints, and completing a field assessment on the part of intelligence officers to verify the applicants’ claims</w:t>
      </w:r>
      <w:r>
        <w:rPr>
          <w:color w:val="000000"/>
        </w:rPr>
        <w:t>. These requireme</w:t>
      </w:r>
      <w:r>
        <w:rPr>
          <w:color w:val="000000"/>
        </w:rPr>
        <w:t>nts impose significant bureaucratic and procedural hurdles that delay the completion of applications and restrict survivors’ timely access to reparations. Such delays are inconsistent with States’ obligations under CEDAW, which requires that justice mechan</w:t>
      </w:r>
      <w:r>
        <w:rPr>
          <w:color w:val="000000"/>
        </w:rPr>
        <w:t>isms be effective, timely, and accessible, and that reparations for serious human rights violations not be subject to unreasonable procedural barriers.</w:t>
      </w:r>
      <w:r>
        <w:rPr>
          <w:color w:val="000000"/>
          <w:vertAlign w:val="superscript"/>
        </w:rPr>
        <w:footnoteReference w:id="36"/>
      </w:r>
    </w:p>
    <w:p w:rsidR="00682CD7" w:rsidRDefault="00476449" w:rsidP="00700C7C">
      <w:pPr>
        <w:spacing w:before="240" w:after="240" w:line="240" w:lineRule="auto"/>
        <w:jc w:val="both"/>
      </w:pPr>
      <w:r>
        <w:rPr>
          <w:color w:val="000000"/>
        </w:rPr>
        <w:t xml:space="preserve">During the verification process </w:t>
      </w:r>
      <w:r>
        <w:t>of the YSL applicant’s claims</w:t>
      </w:r>
      <w:r>
        <w:rPr>
          <w:color w:val="000000"/>
        </w:rPr>
        <w:t xml:space="preserve">, </w:t>
      </w:r>
      <w:r>
        <w:t>i</w:t>
      </w:r>
      <w:r>
        <w:rPr>
          <w:color w:val="000000"/>
        </w:rPr>
        <w:t>ntelligence authorities conduct a field</w:t>
      </w:r>
      <w:r>
        <w:rPr>
          <w:color w:val="000000"/>
        </w:rPr>
        <w:t xml:space="preserve"> assessment (</w:t>
      </w:r>
      <w:proofErr w:type="spellStart"/>
      <w:r>
        <w:rPr>
          <w:i/>
          <w:iCs/>
          <w:color w:val="000000"/>
        </w:rPr>
        <w:t>mas</w:t>
      </w:r>
      <w:r>
        <w:rPr>
          <w:i/>
          <w:iCs/>
          <w:color w:val="000000"/>
        </w:rPr>
        <w:t>ḥ</w:t>
      </w:r>
      <w:proofErr w:type="spellEnd"/>
      <w:r>
        <w:rPr>
          <w:i/>
          <w:iCs/>
          <w:color w:val="000000"/>
        </w:rPr>
        <w:t xml:space="preserve"> </w:t>
      </w:r>
      <w:proofErr w:type="spellStart"/>
      <w:r>
        <w:rPr>
          <w:i/>
          <w:iCs/>
          <w:color w:val="000000"/>
        </w:rPr>
        <w:t>maydānī</w:t>
      </w:r>
      <w:proofErr w:type="spellEnd"/>
      <w:r>
        <w:rPr>
          <w:color w:val="000000"/>
        </w:rPr>
        <w:t xml:space="preserve">) to verify the applicant’s claims through consultations with a </w:t>
      </w:r>
      <w:proofErr w:type="spellStart"/>
      <w:r>
        <w:rPr>
          <w:i/>
          <w:iCs/>
          <w:color w:val="000000"/>
        </w:rPr>
        <w:t>mukhtar</w:t>
      </w:r>
      <w:proofErr w:type="spellEnd"/>
      <w:r>
        <w:rPr>
          <w:color w:val="000000"/>
        </w:rPr>
        <w:t xml:space="preserve"> </w:t>
      </w:r>
      <w:r>
        <w:t xml:space="preserve">and/or other members of the local community. </w:t>
      </w:r>
      <w:r>
        <w:rPr>
          <w:color w:val="000000"/>
          <w:highlight w:val="white"/>
        </w:rPr>
        <w:t xml:space="preserve">In Iraq, a </w:t>
      </w:r>
      <w:proofErr w:type="spellStart"/>
      <w:r>
        <w:rPr>
          <w:i/>
          <w:iCs/>
          <w:color w:val="000000"/>
          <w:highlight w:val="white"/>
        </w:rPr>
        <w:t>mukhtar</w:t>
      </w:r>
      <w:proofErr w:type="spellEnd"/>
      <w:r>
        <w:rPr>
          <w:color w:val="000000"/>
          <w:highlight w:val="white"/>
        </w:rPr>
        <w:t xml:space="preserve"> is a state-recognized community leader who serves as an intermediary between people and the gov</w:t>
      </w:r>
      <w:r>
        <w:rPr>
          <w:color w:val="000000"/>
          <w:highlight w:val="white"/>
        </w:rPr>
        <w:t>ernment on the local level; it provides services such as document verification, recording of life events, dispute resolution, supports local security, etc</w:t>
      </w:r>
      <w:r>
        <w:t xml:space="preserve">. </w:t>
      </w:r>
      <w:r>
        <w:rPr>
          <w:color w:val="000000"/>
        </w:rPr>
        <w:t xml:space="preserve">Following this assessment, the </w:t>
      </w:r>
      <w:proofErr w:type="spellStart"/>
      <w:r>
        <w:rPr>
          <w:i/>
          <w:iCs/>
          <w:color w:val="000000"/>
        </w:rPr>
        <w:t>mukhtar</w:t>
      </w:r>
      <w:proofErr w:type="spellEnd"/>
      <w:r>
        <w:rPr>
          <w:color w:val="000000"/>
        </w:rPr>
        <w:t xml:space="preserve"> is required to submit a letter, certified at a police station, attesting to the accuracy of the claims made by the YSL applicant.</w:t>
      </w:r>
    </w:p>
    <w:p w:rsidR="00682CD7" w:rsidRDefault="00476449" w:rsidP="00700C7C">
      <w:pPr>
        <w:spacing w:before="240" w:after="240" w:line="240" w:lineRule="auto"/>
        <w:jc w:val="both"/>
      </w:pPr>
      <w:r>
        <w:rPr>
          <w:color w:val="000000"/>
        </w:rPr>
        <w:t>Female survivors consulted by C4JR reported multiple challenges in substantiating their claims through this process, includin</w:t>
      </w:r>
      <w:r>
        <w:rPr>
          <w:color w:val="000000"/>
        </w:rPr>
        <w:t xml:space="preserve">g the significant passage of time since the events in question, </w:t>
      </w:r>
      <w:r>
        <w:rPr>
          <w:color w:val="000000"/>
        </w:rPr>
        <w:lastRenderedPageBreak/>
        <w:t xml:space="preserve">changes in </w:t>
      </w:r>
      <w:proofErr w:type="spellStart"/>
      <w:r>
        <w:rPr>
          <w:i/>
          <w:iCs/>
          <w:color w:val="000000"/>
        </w:rPr>
        <w:t>mukhtar</w:t>
      </w:r>
      <w:proofErr w:type="spellEnd"/>
      <w:r>
        <w:rPr>
          <w:color w:val="000000"/>
        </w:rPr>
        <w:t xml:space="preserve"> leadership, the absence of a </w:t>
      </w:r>
      <w:proofErr w:type="spellStart"/>
      <w:r>
        <w:rPr>
          <w:i/>
          <w:iCs/>
          <w:color w:val="000000"/>
        </w:rPr>
        <w:t>mukhtar</w:t>
      </w:r>
      <w:proofErr w:type="spellEnd"/>
      <w:r>
        <w:rPr>
          <w:color w:val="000000"/>
        </w:rPr>
        <w:t xml:space="preserve"> in the area during the relevant period, and the influence of local tribal or sectarian dynamics. These obstacles underscore the extent t</w:t>
      </w:r>
      <w:r>
        <w:rPr>
          <w:color w:val="000000"/>
        </w:rPr>
        <w:t xml:space="preserve">o which the verification process relies on informal, localized power structures that are neither neutral nor gender-sensitive, contrary to </w:t>
      </w:r>
      <w:r>
        <w:t>CEDAW's GR33</w:t>
      </w:r>
      <w:r>
        <w:rPr>
          <w:color w:val="000000"/>
        </w:rPr>
        <w:t xml:space="preserve"> requirement that justice systems be free from stereotyping, bias, and discriminatory practices.</w:t>
      </w:r>
    </w:p>
    <w:p w:rsidR="00682CD7" w:rsidRDefault="00476449" w:rsidP="00700C7C">
      <w:pPr>
        <w:spacing w:before="240" w:after="240" w:line="240" w:lineRule="auto"/>
        <w:jc w:val="both"/>
      </w:pPr>
      <w:r>
        <w:rPr>
          <w:color w:val="000000"/>
        </w:rPr>
        <w:t>The conc</w:t>
      </w:r>
      <w:r>
        <w:rPr>
          <w:color w:val="000000"/>
        </w:rPr>
        <w:t xml:space="preserve">ealment of victimhood—particularly in cases of conflict-related sexual violence—further compounds these challenges. Female survivors frequently refrain from disclosing their experiences due to stigma, shame, and fear of social repercussions, rendering </w:t>
      </w:r>
      <w:proofErr w:type="spellStart"/>
      <w:r>
        <w:rPr>
          <w:i/>
          <w:iCs/>
          <w:color w:val="000000"/>
        </w:rPr>
        <w:t>mukh</w:t>
      </w:r>
      <w:r>
        <w:rPr>
          <w:i/>
          <w:iCs/>
          <w:color w:val="000000"/>
        </w:rPr>
        <w:t>tars</w:t>
      </w:r>
      <w:proofErr w:type="spellEnd"/>
      <w:r>
        <w:rPr>
          <w:color w:val="000000"/>
        </w:rPr>
        <w:t xml:space="preserve"> unable or unwilling to provide official confirmation. GR33 explicitly recognizes that stigma, harmful gender stereotypes, and breaches of confidentiality constitute significant barriers to women’s access to justice, and obliges States to ensure that e</w:t>
      </w:r>
      <w:r>
        <w:rPr>
          <w:color w:val="000000"/>
        </w:rPr>
        <w:t>videntiary and verification procedures do not expose women to secondary victimization or social harm.</w:t>
      </w:r>
    </w:p>
    <w:p w:rsidR="00682CD7" w:rsidRDefault="00476449" w:rsidP="00700C7C">
      <w:pPr>
        <w:spacing w:before="240" w:after="240" w:line="240" w:lineRule="auto"/>
        <w:ind w:right="4"/>
        <w:jc w:val="both"/>
      </w:pPr>
      <w:r>
        <w:rPr>
          <w:color w:val="000000"/>
        </w:rPr>
        <w:t>In this context, the reliance on community-based verification mechanisms not only prolongs the YSL application process but also undermines women’s autonom</w:t>
      </w:r>
      <w:r>
        <w:rPr>
          <w:color w:val="000000"/>
        </w:rPr>
        <w:t>y and safety in seeking reparations. By conditioning access to justice on public disclosure and community validation, the verification framework risks reproducing discriminatory norms and excluding those survivors most in need of protection—particularly wo</w:t>
      </w:r>
      <w:r>
        <w:rPr>
          <w:color w:val="000000"/>
        </w:rPr>
        <w:t>men affected by CRSV. As such, the YSL verification process raises serious concerns regarding compliance with CEDAW and GR 33, particularly with respect to confidentiality, gender sensitivity, and the obligation to prevent re-traumatization and indirect di</w:t>
      </w:r>
      <w:r>
        <w:rPr>
          <w:color w:val="000000"/>
        </w:rPr>
        <w:t>scrimination in justice-seeking processes.</w:t>
      </w:r>
    </w:p>
    <w:p w:rsidR="00682CD7" w:rsidRDefault="00476449">
      <w:pPr>
        <w:pStyle w:val="berschrift2"/>
        <w:rPr>
          <w:b/>
          <w:bCs/>
          <w:color w:val="000000"/>
          <w:sz w:val="22"/>
          <w:szCs w:val="22"/>
        </w:rPr>
      </w:pPr>
      <w:bookmarkStart w:id="8" w:name="_jccmlfnfed5i" w:colFirst="0" w:colLast="0"/>
      <w:bookmarkEnd w:id="8"/>
      <w:r>
        <w:rPr>
          <w:b/>
          <w:bCs/>
          <w:color w:val="000000"/>
          <w:sz w:val="22"/>
          <w:szCs w:val="22"/>
        </w:rPr>
        <w:t>C</w:t>
      </w:r>
      <w:r>
        <w:rPr>
          <w:b/>
          <w:bCs/>
          <w:color w:val="000000"/>
          <w:sz w:val="22"/>
          <w:szCs w:val="22"/>
        </w:rPr>
        <w:t>. Eligibility Parameters </w:t>
      </w:r>
    </w:p>
    <w:p w:rsidR="00682CD7" w:rsidRDefault="00476449" w:rsidP="00700C7C">
      <w:pPr>
        <w:spacing w:before="240" w:after="240" w:line="240" w:lineRule="auto"/>
        <w:jc w:val="both"/>
      </w:pPr>
      <w:r>
        <w:rPr>
          <w:color w:val="000000"/>
        </w:rPr>
        <w:t>The YSL provides that the law applies to women and adolescent girls subjected to crimes of sexual violence,</w:t>
      </w:r>
      <w:r>
        <w:rPr>
          <w:color w:val="000000"/>
          <w:vertAlign w:val="superscript"/>
        </w:rPr>
        <w:footnoteReference w:id="37"/>
      </w:r>
      <w:r>
        <w:rPr>
          <w:color w:val="000000"/>
        </w:rPr>
        <w:t xml:space="preserve"> however, the definition of “girls” has generated confusion regarding the law’</w:t>
      </w:r>
      <w:r>
        <w:rPr>
          <w:color w:val="000000"/>
        </w:rPr>
        <w:t>s scope and applicability. The law does not define “adolescent girls” or the age parameters of this category. Additionally, uncertainty surrounding the eligibility criteria related to the crimes or violations committed by applicants has created further obs</w:t>
      </w:r>
      <w:r>
        <w:rPr>
          <w:color w:val="000000"/>
        </w:rPr>
        <w:t>tacles for YSL applicants.</w:t>
      </w:r>
      <w:r>
        <w:rPr>
          <w:color w:val="000000"/>
          <w:vertAlign w:val="superscript"/>
        </w:rPr>
        <w:footnoteReference w:id="38"/>
      </w:r>
      <w:r>
        <w:t xml:space="preserve"> </w:t>
      </w:r>
      <w:r>
        <w:rPr>
          <w:color w:val="000000"/>
        </w:rPr>
        <w:t>This has resulted in a paradox whereby some of the most vulnerable survivors—girls abducted and abused by ISIL before the age of 15—are deemed ineligible by the YSL Committee.</w:t>
      </w:r>
    </w:p>
    <w:p w:rsidR="00682CD7" w:rsidRDefault="00476449" w:rsidP="00700C7C">
      <w:pPr>
        <w:spacing w:before="240" w:after="240" w:line="240" w:lineRule="auto"/>
        <w:jc w:val="both"/>
      </w:pPr>
      <w:r>
        <w:rPr>
          <w:color w:val="000000"/>
        </w:rPr>
        <w:t xml:space="preserve">Under the YSL, survivors of kidnapping are eligible </w:t>
      </w:r>
      <w:r>
        <w:rPr>
          <w:color w:val="000000"/>
        </w:rPr>
        <w:t>for reparations only if they have also experienced another violation listed among the crimes of sexual violence. By contrast, applicants who were detained in their homes or villages—rather than forcibly removed to another location—and who experienced one o</w:t>
      </w:r>
      <w:r>
        <w:rPr>
          <w:color w:val="000000"/>
        </w:rPr>
        <w:t>f the listed forms of sexual violence while in detention may be deemed eligible. This distinction establishes an arbitrary and inequitable precedent, particularly given that the law purports to address conflict-related sexual violence irrespective of the c</w:t>
      </w:r>
      <w:r>
        <w:rPr>
          <w:color w:val="000000"/>
        </w:rPr>
        <w:t>ircumstances in which the violation occurred.</w:t>
      </w:r>
    </w:p>
    <w:p w:rsidR="00682CD7" w:rsidRDefault="00476449" w:rsidP="00700C7C">
      <w:pPr>
        <w:spacing w:before="240" w:after="240" w:line="240" w:lineRule="auto"/>
        <w:jc w:val="both"/>
      </w:pPr>
      <w:r>
        <w:rPr>
          <w:color w:val="000000"/>
        </w:rPr>
        <w:lastRenderedPageBreak/>
        <w:t>In addition to confusion over eligibility parameters, the YSL Committee does not provide clear, written communication of decisions of initial YSL applications and appeals.</w:t>
      </w:r>
      <w:r>
        <w:rPr>
          <w:color w:val="000000"/>
          <w:vertAlign w:val="superscript"/>
        </w:rPr>
        <w:footnoteReference w:id="39"/>
      </w:r>
      <w:r>
        <w:rPr>
          <w:color w:val="000000"/>
        </w:rPr>
        <w:t xml:space="preserve"> Applicants whose cases are rejected b</w:t>
      </w:r>
      <w:r>
        <w:rPr>
          <w:color w:val="000000"/>
        </w:rPr>
        <w:t xml:space="preserve">y the Committee </w:t>
      </w:r>
      <w:r>
        <w:t>are being verbally notified and offered a summary explanation. Thus, rejected applicants, more</w:t>
      </w:r>
      <w:r>
        <w:rPr>
          <w:color w:val="000000"/>
        </w:rPr>
        <w:t xml:space="preserve"> often than not, do not know or understand why their applications were denied</w:t>
      </w:r>
      <w:r>
        <w:rPr>
          <w:color w:val="137333"/>
        </w:rPr>
        <w:t>,</w:t>
      </w:r>
      <w:r>
        <w:rPr>
          <w:color w:val="000000"/>
        </w:rPr>
        <w:t xml:space="preserve"> which makes it difficult for them to appeal their cases. The absenc</w:t>
      </w:r>
      <w:r>
        <w:rPr>
          <w:color w:val="000000"/>
        </w:rPr>
        <w:t>e of a written decision that includes the date the case was denied as well as the reasons for rejection negatively impacts an individual’s due process rights, including the right to appeal. This omission risks YSL applicants missing the 30-day filing deadl</w:t>
      </w:r>
      <w:r>
        <w:rPr>
          <w:color w:val="000000"/>
        </w:rPr>
        <w:t xml:space="preserve">ine to submit their appeal to the Committee. As it stands, only an oral explanation of the decision is provided by the GDSA’s legal department, and a rejection letter is presented to the applicant to sign. Moreover, the time limit for submitting an appeal </w:t>
      </w:r>
      <w:r>
        <w:rPr>
          <w:color w:val="000000"/>
        </w:rPr>
        <w:t>in the second instance before the Court of First Instance, whose decision is final as no further legal remedies are possible, is not explicitly stipulated in the YSL. It is therefore unclear which general deadline applies in this case, opening the way to d</w:t>
      </w:r>
      <w:r>
        <w:rPr>
          <w:color w:val="000000"/>
        </w:rPr>
        <w:t xml:space="preserve">ifferent interpretations and thus legal uncertainty. A </w:t>
      </w:r>
      <w:r>
        <w:t>corollary of such developments is that many rejected applicants deliberately postpone submitting a final appeal to the court of first instance in the hope that the legislators will intervene and change</w:t>
      </w:r>
      <w:r>
        <w:t xml:space="preserve"> the onerous evidentiary rules.  </w:t>
      </w:r>
    </w:p>
    <w:p w:rsidR="00682CD7" w:rsidRDefault="00476449" w:rsidP="00700C7C">
      <w:pPr>
        <w:spacing w:before="240" w:after="240" w:line="240" w:lineRule="auto"/>
        <w:jc w:val="both"/>
      </w:pPr>
      <w:r>
        <w:rPr>
          <w:color w:val="000000"/>
        </w:rPr>
        <w:t>These ambiguities and inconsistencies in eligibility criteria undermine the principle of non-discrimination and equal access to justice enshrined in CEDAW, which requires States to guarantee that all women and girls can ac</w:t>
      </w:r>
      <w:r>
        <w:rPr>
          <w:color w:val="000000"/>
        </w:rPr>
        <w:t>cess justice and reparations without arbitrary distinctions or procedural barriers, and to ensure that laws are interpreted and applied in a manner that protects women’s rights as autonomous rights holders. The current application of the YSL risks excludin</w:t>
      </w:r>
      <w:r>
        <w:rPr>
          <w:color w:val="000000"/>
        </w:rPr>
        <w:t xml:space="preserve">g survivors of conflict-related sexual violence based on technicalities rather than the harm they suffered, in contravention of States’ obligations under Articles 2(c) and 2(f) of CEDAW and the guidance provided in General Recommendation No. 33 on women’s </w:t>
      </w:r>
      <w:r>
        <w:rPr>
          <w:color w:val="000000"/>
        </w:rPr>
        <w:t>access to justice.</w:t>
      </w:r>
    </w:p>
    <w:p w:rsidR="00682CD7" w:rsidRDefault="00476449">
      <w:pPr>
        <w:pStyle w:val="berschrift2"/>
        <w:rPr>
          <w:b/>
          <w:bCs/>
          <w:color w:val="000000"/>
          <w:sz w:val="22"/>
          <w:szCs w:val="22"/>
        </w:rPr>
      </w:pPr>
      <w:bookmarkStart w:id="9" w:name="_ouvxxam8ual2" w:colFirst="0" w:colLast="0"/>
      <w:bookmarkEnd w:id="9"/>
      <w:r>
        <w:rPr>
          <w:b/>
          <w:bCs/>
          <w:color w:val="000000"/>
          <w:sz w:val="22"/>
          <w:szCs w:val="22"/>
        </w:rPr>
        <w:t>D</w:t>
      </w:r>
      <w:r>
        <w:rPr>
          <w:b/>
          <w:bCs/>
          <w:color w:val="000000"/>
          <w:sz w:val="22"/>
          <w:szCs w:val="22"/>
        </w:rPr>
        <w:t>. Broadening the Eligibility Criteria under the YSL</w:t>
      </w:r>
    </w:p>
    <w:p w:rsidR="00682CD7" w:rsidRDefault="00476449" w:rsidP="00700C7C">
      <w:pPr>
        <w:spacing w:before="240" w:after="240" w:line="240" w:lineRule="auto"/>
        <w:jc w:val="both"/>
      </w:pPr>
      <w:r>
        <w:rPr>
          <w:color w:val="000000"/>
        </w:rPr>
        <w:t xml:space="preserve">Although children born of CRSV were included in the initial draft of the YSL, this reference was removed from the version ultimately enacted by Parliament. Due to the sensitivities of </w:t>
      </w:r>
      <w:r>
        <w:rPr>
          <w:color w:val="000000"/>
        </w:rPr>
        <w:t>the Yazidi community and the Iraqi National Card Law (2016)—which requires such children to be registered under the father’s religion (Muslim) rather than as Yazidis—there are currently no plans to amend the YSL to include them. This exclusion runs counter</w:t>
      </w:r>
      <w:r>
        <w:rPr>
          <w:color w:val="000000"/>
        </w:rPr>
        <w:t xml:space="preserve"> to evolving standards of international human rights law.</w:t>
      </w:r>
      <w:r>
        <w:rPr>
          <w:color w:val="000000"/>
          <w:vertAlign w:val="superscript"/>
        </w:rPr>
        <w:footnoteReference w:id="40"/>
      </w:r>
      <w:r>
        <w:rPr>
          <w:color w:val="000000"/>
        </w:rPr>
        <w:t xml:space="preserve"> Moreover, structural legal barriers—such as the discriminatory </w:t>
      </w:r>
      <w:r>
        <w:rPr>
          <w:color w:val="000000"/>
        </w:rPr>
        <w:lastRenderedPageBreak/>
        <w:t>provisions in Iraq’s National Card Law—continue to violate the rights of children born of wartime rape and women into impossible choic</w:t>
      </w:r>
      <w:r>
        <w:rPr>
          <w:color w:val="000000"/>
        </w:rPr>
        <w:t>es between accessing justice and preserving their family or community ties. It further hinders Yazidi female survivors of CRSV from returning to Iraq, or if having returned, remaining in the country with their child/</w:t>
      </w:r>
      <w:proofErr w:type="spellStart"/>
      <w:r>
        <w:rPr>
          <w:color w:val="000000"/>
        </w:rPr>
        <w:t>ren</w:t>
      </w:r>
      <w:proofErr w:type="spellEnd"/>
      <w:r>
        <w:rPr>
          <w:color w:val="000000"/>
        </w:rPr>
        <w:t>, while also restricting the religiou</w:t>
      </w:r>
      <w:r>
        <w:rPr>
          <w:color w:val="000000"/>
        </w:rPr>
        <w:t>s choice of children born of ISIL conflict from carrying on their Yazidi religion.</w:t>
      </w:r>
    </w:p>
    <w:p w:rsidR="00682CD7" w:rsidRDefault="00476449" w:rsidP="00700C7C">
      <w:pPr>
        <w:spacing w:before="240" w:after="240" w:line="240" w:lineRule="auto"/>
        <w:jc w:val="both"/>
      </w:pPr>
      <w:r>
        <w:rPr>
          <w:color w:val="000000"/>
        </w:rPr>
        <w:t xml:space="preserve">Discussions within the Turkmen and </w:t>
      </w:r>
      <w:proofErr w:type="spellStart"/>
      <w:r>
        <w:rPr>
          <w:color w:val="000000"/>
        </w:rPr>
        <w:t>Shabak</w:t>
      </w:r>
      <w:proofErr w:type="spellEnd"/>
      <w:r>
        <w:rPr>
          <w:color w:val="000000"/>
        </w:rPr>
        <w:t xml:space="preserve"> communities on amending the YSL to include children abducted from their communities—analogous to Yazidi boys who were abducted and </w:t>
      </w:r>
      <w:r>
        <w:rPr>
          <w:color w:val="000000"/>
        </w:rPr>
        <w:t>later released—and to relax stringent evidentiary standards that disproportionately affect these communities, blocking their access to reparations, have thus far yielded no results. Despite the evident need to extend the YSL’s reparation framework beyond t</w:t>
      </w:r>
      <w:r>
        <w:rPr>
          <w:color w:val="000000"/>
        </w:rPr>
        <w:t>he specified minority communities to include all affected groups, no progress has been observed.</w:t>
      </w:r>
    </w:p>
    <w:p w:rsidR="00682CD7" w:rsidRDefault="00476449">
      <w:pPr>
        <w:pStyle w:val="berschrift2"/>
        <w:rPr>
          <w:b/>
          <w:bCs/>
          <w:color w:val="000000"/>
          <w:sz w:val="22"/>
          <w:szCs w:val="22"/>
        </w:rPr>
      </w:pPr>
      <w:bookmarkStart w:id="10" w:name="_nwb1frm3mfcl" w:colFirst="0" w:colLast="0"/>
      <w:bookmarkEnd w:id="10"/>
      <w:r>
        <w:rPr>
          <w:b/>
          <w:bCs/>
          <w:color w:val="000000"/>
          <w:sz w:val="22"/>
          <w:szCs w:val="22"/>
        </w:rPr>
        <w:t>E</w:t>
      </w:r>
      <w:r>
        <w:rPr>
          <w:b/>
          <w:bCs/>
          <w:color w:val="000000"/>
          <w:sz w:val="22"/>
          <w:szCs w:val="22"/>
        </w:rPr>
        <w:t>. GDSA Capacity Building Efforts</w:t>
      </w:r>
    </w:p>
    <w:p w:rsidR="00682CD7" w:rsidRDefault="00476449" w:rsidP="00700C7C">
      <w:pPr>
        <w:spacing w:before="240" w:after="240" w:line="240" w:lineRule="auto"/>
        <w:jc w:val="both"/>
      </w:pPr>
      <w:r>
        <w:rPr>
          <w:color w:val="000000"/>
        </w:rPr>
        <w:t xml:space="preserve">The CEDAW State report notes that GDSA staff underwent intensive training to ensure that their skills and competencies align </w:t>
      </w:r>
      <w:r>
        <w:rPr>
          <w:color w:val="000000"/>
        </w:rPr>
        <w:t>with international standards, and that survivors have been involved in the development of GDSA programs (para 79 and 80). Over the past five years, organizations including IOM, Nadia’s Initiative, Farida Global Organization, Free Yazidi Foundation, and oth</w:t>
      </w:r>
      <w:r>
        <w:rPr>
          <w:color w:val="000000"/>
        </w:rPr>
        <w:t xml:space="preserve">ers have provided training to GDSA staff. However, judges, investigators, GDSA personnel, and other relevant officials continue to require additional training on survivor-centered engagement and communication in the context of YSL implementation, </w:t>
      </w:r>
      <w:r>
        <w:t>particula</w:t>
      </w:r>
      <w:r>
        <w:t>rly to</w:t>
      </w:r>
      <w:r>
        <w:rPr>
          <w:color w:val="000000"/>
        </w:rPr>
        <w:t xml:space="preserve"> prevent </w:t>
      </w:r>
      <w:r>
        <w:t>re-traumatizing survivors</w:t>
      </w:r>
      <w:r>
        <w:rPr>
          <w:color w:val="000000"/>
        </w:rPr>
        <w:t xml:space="preserve"> seeking assistance. </w:t>
      </w:r>
    </w:p>
    <w:p w:rsidR="00682CD7" w:rsidRDefault="00476449" w:rsidP="00700C7C">
      <w:pPr>
        <w:spacing w:before="240" w:after="240" w:line="240" w:lineRule="auto"/>
        <w:jc w:val="both"/>
      </w:pPr>
      <w:r>
        <w:rPr>
          <w:color w:val="000000"/>
        </w:rPr>
        <w:t>In November 2024, the GDSA held an intensive training workshop supported by IOM, covering legal and administrative skills, combating financial corruption, and survivor-centered approaches to ser</w:t>
      </w:r>
      <w:r>
        <w:rPr>
          <w:color w:val="000000"/>
        </w:rPr>
        <w:t>vice delivery. Farida Global Organization also provided capacity support by providing training on ethical-engagement with survivors based on C4JR’s ethical engagement toolkit. Taken together, these initiatives underscore the importance of continued capacit</w:t>
      </w:r>
      <w:r>
        <w:rPr>
          <w:color w:val="000000"/>
        </w:rPr>
        <w:t>y-building within the GDSA, particularly in strengthening ethical standards and ensuring that survivor support remains trauma-informed, respectful, and centered on survivors’ rights and dignity. GR 33 underscores that the effectiveness of access to justice</w:t>
      </w:r>
      <w:r>
        <w:rPr>
          <w:color w:val="000000"/>
        </w:rPr>
        <w:t xml:space="preserve"> depends not only on legal frameworks, but also on the capacity of institutions and personnel to engage with survivors in a respectful, ethical, and survivor-centered manner. Continued and institutionalized training across all actors involved in YSL implem</w:t>
      </w:r>
      <w:r>
        <w:rPr>
          <w:color w:val="000000"/>
        </w:rPr>
        <w:t>entation is therefore essential to ensure compliance with international standards and to safeguard the dignity, autonomy, and well-being of survivors.</w:t>
      </w:r>
    </w:p>
    <w:p w:rsidR="00682CD7" w:rsidRDefault="00476449">
      <w:pPr>
        <w:pStyle w:val="berschrift1"/>
        <w:rPr>
          <w:b/>
          <w:bCs/>
          <w:color w:val="000000"/>
          <w:sz w:val="28"/>
          <w:szCs w:val="28"/>
        </w:rPr>
      </w:pPr>
      <w:bookmarkStart w:id="11" w:name="_9umfgzfo52fp" w:colFirst="0" w:colLast="0"/>
      <w:bookmarkEnd w:id="11"/>
      <w:r>
        <w:rPr>
          <w:b/>
          <w:bCs/>
          <w:color w:val="000000"/>
          <w:sz w:val="28"/>
          <w:szCs w:val="28"/>
        </w:rPr>
        <w:t>4</w:t>
      </w:r>
      <w:r>
        <w:rPr>
          <w:b/>
          <w:bCs/>
          <w:color w:val="000000"/>
          <w:sz w:val="28"/>
          <w:szCs w:val="28"/>
        </w:rPr>
        <w:t>.  Implementing Reparative Measures under the YSL</w:t>
      </w:r>
    </w:p>
    <w:p w:rsidR="00682CD7" w:rsidRDefault="00476449" w:rsidP="00700C7C">
      <w:pPr>
        <w:spacing w:before="240" w:after="240" w:line="240" w:lineRule="auto"/>
        <w:jc w:val="both"/>
      </w:pPr>
      <w:r>
        <w:rPr>
          <w:color w:val="000000"/>
        </w:rPr>
        <w:t xml:space="preserve">As outlined above, the YSL provides a complex framework of reparative measures. Among these, monthly compensation payments remain the most effectively implemented component. The </w:t>
      </w:r>
      <w:proofErr w:type="spellStart"/>
      <w:r>
        <w:rPr>
          <w:color w:val="000000"/>
        </w:rPr>
        <w:t>GoI</w:t>
      </w:r>
      <w:proofErr w:type="spellEnd"/>
      <w:r>
        <w:rPr>
          <w:color w:val="000000"/>
        </w:rPr>
        <w:t xml:space="preserve"> has made notable progress in processing applications and distributing paym</w:t>
      </w:r>
      <w:r>
        <w:rPr>
          <w:color w:val="000000"/>
        </w:rPr>
        <w:t xml:space="preserve">ents to YSL beneficiaries promptly. According to a C4JR survey on reparation compensation, 39% of female survivors reported being “very satisfied” with the regularity and timing of payments, while 60% </w:t>
      </w:r>
      <w:r>
        <w:rPr>
          <w:color w:val="000000"/>
        </w:rPr>
        <w:lastRenderedPageBreak/>
        <w:t xml:space="preserve">were “somewhat satisfied.” The majority of respondents </w:t>
      </w:r>
      <w:r>
        <w:rPr>
          <w:color w:val="000000"/>
        </w:rPr>
        <w:t>indicated that they maintain full access to the funds (77%) and exercise individual discretion over their use (58%), with 29% reporting that decisions are made jointly with a spouse.</w:t>
      </w:r>
    </w:p>
    <w:p w:rsidR="00682CD7" w:rsidRDefault="00476449" w:rsidP="00700C7C">
      <w:pPr>
        <w:spacing w:before="240" w:after="240" w:line="240" w:lineRule="auto"/>
        <w:jc w:val="both"/>
      </w:pPr>
      <w:r>
        <w:rPr>
          <w:color w:val="000000"/>
        </w:rPr>
        <w:t xml:space="preserve">These outcomes reflect partial compliance with States’ obligations under </w:t>
      </w:r>
      <w:r>
        <w:rPr>
          <w:color w:val="000000"/>
        </w:rPr>
        <w:t>CEDAW.</w:t>
      </w:r>
      <w:r>
        <w:rPr>
          <w:color w:val="000000"/>
          <w:vertAlign w:val="superscript"/>
        </w:rPr>
        <w:footnoteReference w:id="41"/>
      </w:r>
      <w:r>
        <w:rPr>
          <w:color w:val="000000"/>
        </w:rPr>
        <w:t xml:space="preserve"> According to survey findings, 63% of female survivors reported having increased decision-making power over household finances since receiving compensation payments, although 35% sometimes encountered barriers from family members regarding how the p</w:t>
      </w:r>
      <w:r>
        <w:rPr>
          <w:color w:val="000000"/>
        </w:rPr>
        <w:t>ayments could be used. The high levels of reported satisfaction, autonomy over compensation, and access to payments indicate that the YSL has advanced women’s rights as autonomous rights holders. Nevertheless, continued attention is required to ensure that</w:t>
      </w:r>
      <w:r>
        <w:rPr>
          <w:color w:val="000000"/>
        </w:rPr>
        <w:t xml:space="preserve"> these gains are consistently realized for all beneficiaries, particularly those facing social or familial constraints.</w:t>
      </w:r>
    </w:p>
    <w:p w:rsidR="00682CD7" w:rsidRDefault="00476449" w:rsidP="00700C7C">
      <w:pPr>
        <w:spacing w:before="240" w:after="240" w:line="240" w:lineRule="auto"/>
        <w:jc w:val="both"/>
      </w:pPr>
      <w:r>
        <w:rPr>
          <w:color w:val="000000"/>
        </w:rPr>
        <w:t>While these outcomes are positive, many reparative measures outlined in the YSL remain either partially implemented or applied in a mann</w:t>
      </w:r>
      <w:r>
        <w:rPr>
          <w:color w:val="000000"/>
        </w:rPr>
        <w:t>er that is not fully survivor-centered, largely due to a lack of consultation with survivors regarding how they envision and wish to receive these benefits.</w:t>
      </w:r>
    </w:p>
    <w:p w:rsidR="00682CD7" w:rsidRDefault="00476449">
      <w:pPr>
        <w:pStyle w:val="berschrift2"/>
        <w:rPr>
          <w:b/>
          <w:bCs/>
          <w:color w:val="000000"/>
          <w:sz w:val="22"/>
          <w:szCs w:val="22"/>
        </w:rPr>
      </w:pPr>
      <w:bookmarkStart w:id="12" w:name="_rxoaeposhkp4" w:colFirst="0" w:colLast="0"/>
      <w:bookmarkEnd w:id="12"/>
      <w:r>
        <w:rPr>
          <w:b/>
          <w:bCs/>
          <w:color w:val="000000"/>
          <w:sz w:val="22"/>
          <w:szCs w:val="22"/>
        </w:rPr>
        <w:t>A</w:t>
      </w:r>
      <w:r>
        <w:rPr>
          <w:b/>
          <w:bCs/>
          <w:color w:val="000000"/>
          <w:sz w:val="22"/>
          <w:szCs w:val="22"/>
        </w:rPr>
        <w:t>.      Insufficient Implementation of Rehabilitation Measures</w:t>
      </w:r>
    </w:p>
    <w:p w:rsidR="00682CD7" w:rsidRDefault="00476449" w:rsidP="00700C7C">
      <w:pPr>
        <w:spacing w:before="240" w:after="240" w:line="240" w:lineRule="auto"/>
        <w:jc w:val="both"/>
      </w:pPr>
      <w:r>
        <w:rPr>
          <w:color w:val="000000"/>
        </w:rPr>
        <w:t>On March 26, 2023, the GDSA and eigh</w:t>
      </w:r>
      <w:r>
        <w:rPr>
          <w:color w:val="000000"/>
        </w:rPr>
        <w:t>t Iraqi NGOs signed an Agreement of Cooperation to establish and activate a formal referral system for MHPSS support services for YSL beneficiaries in their areas of residence.</w:t>
      </w:r>
      <w:r>
        <w:rPr>
          <w:color w:val="000000"/>
          <w:vertAlign w:val="superscript"/>
        </w:rPr>
        <w:footnoteReference w:id="42"/>
      </w:r>
      <w:r>
        <w:rPr>
          <w:color w:val="000000"/>
        </w:rPr>
        <w:t xml:space="preserve"> Under this Agreement, GDSA staff will refer survivors to these organizations a</w:t>
      </w:r>
      <w:r>
        <w:rPr>
          <w:color w:val="000000"/>
        </w:rPr>
        <w:t>nd follow up on the provision of services, which the organizations have committed to offering ethically and within their capacities. As of July 2024, this referral system had served as the primary mechanism through which YSL beneficiaries could access MHPS</w:t>
      </w:r>
      <w:r>
        <w:rPr>
          <w:color w:val="000000"/>
        </w:rPr>
        <w:t>S services. As of early 2025, IOM funding has been largely suspended, decreasing the effectiveness of the referral system.</w:t>
      </w:r>
    </w:p>
    <w:p w:rsidR="00682CD7" w:rsidRDefault="00476449" w:rsidP="00700C7C">
      <w:pPr>
        <w:spacing w:before="240" w:after="240" w:line="240" w:lineRule="auto"/>
        <w:jc w:val="both"/>
      </w:pPr>
      <w:r>
        <w:rPr>
          <w:color w:val="000000"/>
        </w:rPr>
        <w:t>Concerning the state-sponsored rehabilitation system, almost five years following the YSL enactment, no such system has been establis</w:t>
      </w:r>
      <w:r>
        <w:rPr>
          <w:color w:val="000000"/>
        </w:rPr>
        <w:t xml:space="preserve">hed. This being said, GDSA has confirmed plans to open specialized psychological and psychiatric rehabilitation </w:t>
      </w:r>
      <w:proofErr w:type="spellStart"/>
      <w:r>
        <w:rPr>
          <w:color w:val="000000"/>
        </w:rPr>
        <w:t>centres</w:t>
      </w:r>
      <w:proofErr w:type="spellEnd"/>
      <w:r>
        <w:rPr>
          <w:color w:val="000000"/>
        </w:rPr>
        <w:t xml:space="preserve"> for YSL beneficiaries in Mosul and Sinjar. However, the accessibility of these centers may be limited, as many survivors and their famil</w:t>
      </w:r>
      <w:r>
        <w:rPr>
          <w:color w:val="000000"/>
        </w:rPr>
        <w:t>ies remain displaced in the Kurdistan Region of Iraq (KRI). Furthermore, for many survivors, Mosul is a location closely associated with their abduction, trafficking, and further violations, meaning that situating a rehabilitation center there carries a si</w:t>
      </w:r>
      <w:r>
        <w:rPr>
          <w:color w:val="000000"/>
        </w:rPr>
        <w:t xml:space="preserve">gnificant risk of </w:t>
      </w:r>
      <w:proofErr w:type="spellStart"/>
      <w:r>
        <w:rPr>
          <w:color w:val="000000"/>
        </w:rPr>
        <w:t>retraumatization</w:t>
      </w:r>
      <w:proofErr w:type="spellEnd"/>
      <w:r>
        <w:rPr>
          <w:color w:val="000000"/>
        </w:rPr>
        <w:t xml:space="preserve">. The potential barriers posed by displacement, geographic accessibility, and the </w:t>
      </w:r>
      <w:r>
        <w:rPr>
          <w:color w:val="000000"/>
        </w:rPr>
        <w:lastRenderedPageBreak/>
        <w:t>symbolic weight of certain locations underscore the need for careful, survivor-informed planning to ensure that these services genuinely uph</w:t>
      </w:r>
      <w:r>
        <w:rPr>
          <w:color w:val="000000"/>
        </w:rPr>
        <w:t>old women’s rights as autonomous rights holders.</w:t>
      </w:r>
    </w:p>
    <w:p w:rsidR="00682CD7" w:rsidRDefault="00476449" w:rsidP="00700C7C">
      <w:pPr>
        <w:spacing w:before="240" w:after="240" w:line="240" w:lineRule="auto"/>
        <w:jc w:val="both"/>
      </w:pPr>
      <w:r>
        <w:rPr>
          <w:color w:val="000000"/>
        </w:rPr>
        <w:t>Despite progress in establishing a provisional MHPSS referral system, more effort is needed to adequately address the rehabilitation needs of ISIL survivors. Psychological and medical services are insufficie</w:t>
      </w:r>
      <w:r>
        <w:rPr>
          <w:color w:val="000000"/>
        </w:rPr>
        <w:t>nt; survivors require and are entitled to holistic support that includes specialist psychological, medical, social, educational, vocational, and legal rehabilitation components to rebuild their lives and facilitate their reintegration into society.</w:t>
      </w:r>
    </w:p>
    <w:p w:rsidR="00682CD7" w:rsidRDefault="00476449">
      <w:pPr>
        <w:pStyle w:val="berschrift2"/>
        <w:rPr>
          <w:b/>
          <w:bCs/>
          <w:color w:val="000000"/>
          <w:sz w:val="22"/>
          <w:szCs w:val="22"/>
        </w:rPr>
      </w:pPr>
      <w:bookmarkStart w:id="13" w:name="_jmugl3wfz2j" w:colFirst="0" w:colLast="0"/>
      <w:bookmarkEnd w:id="13"/>
      <w:r>
        <w:rPr>
          <w:b/>
          <w:bCs/>
          <w:color w:val="000000"/>
          <w:sz w:val="22"/>
          <w:szCs w:val="22"/>
        </w:rPr>
        <w:t>B</w:t>
      </w:r>
      <w:r>
        <w:rPr>
          <w:b/>
          <w:bCs/>
          <w:color w:val="000000"/>
          <w:sz w:val="22"/>
          <w:szCs w:val="22"/>
        </w:rPr>
        <w:t>. Barriers to Accessing Education as Reparation</w:t>
      </w:r>
    </w:p>
    <w:p w:rsidR="00682CD7" w:rsidRDefault="00476449" w:rsidP="00700C7C">
      <w:pPr>
        <w:spacing w:before="240" w:after="240" w:line="240" w:lineRule="auto"/>
        <w:jc w:val="both"/>
      </w:pPr>
      <w:r>
        <w:rPr>
          <w:color w:val="000000"/>
        </w:rPr>
        <w:t>The GDSA has taken steps to facilitate survivors´ resumption of education, a crucial component of their reparations and recovery, as mandated under the YSL. The law entitles survivors to resume their studies</w:t>
      </w:r>
      <w:r>
        <w:rPr>
          <w:color w:val="000000"/>
        </w:rPr>
        <w:t>, making an exception to the legal age limit outlined by the Iraqi Ministry of Education, which, as a result of captivity, many survivors of ISIL violence have passed.</w:t>
      </w:r>
      <w:r>
        <w:rPr>
          <w:color w:val="000000"/>
          <w:vertAlign w:val="superscript"/>
        </w:rPr>
        <w:footnoteReference w:id="43"/>
      </w:r>
      <w:r>
        <w:rPr>
          <w:color w:val="000000"/>
        </w:rPr>
        <w:t xml:space="preserve"> While the GDSA has coordinated with illiteracy eradication and accelerated learning cen</w:t>
      </w:r>
      <w:r>
        <w:rPr>
          <w:color w:val="000000"/>
        </w:rPr>
        <w:t>ters to support the return of these survivors, the measures remain general rather than tailored to the specific needs of women and girls who experienced conflict-related sexual violence and abduction. In the absence of a fully state-sponsored system, local</w:t>
      </w:r>
      <w:r>
        <w:rPr>
          <w:color w:val="000000"/>
        </w:rPr>
        <w:t xml:space="preserve"> NGOs continue to fill the service provision gap, placing the burden of implementation on non-state actors and creating an unsustainable reliance that undermines equitable access to educational reparations.</w:t>
      </w:r>
    </w:p>
    <w:p w:rsidR="00682CD7" w:rsidRDefault="00476449" w:rsidP="00700C7C">
      <w:pPr>
        <w:spacing w:before="240" w:after="240" w:line="240" w:lineRule="auto"/>
        <w:jc w:val="both"/>
      </w:pPr>
      <w:r>
        <w:rPr>
          <w:color w:val="000000"/>
        </w:rPr>
        <w:t>CEDAW and its related recommendations emphasize t</w:t>
      </w:r>
      <w:r>
        <w:rPr>
          <w:color w:val="000000"/>
        </w:rPr>
        <w:t xml:space="preserve">hat States must guarantee women and girls equal access to education, information, and legal literacy programs, with special consideration for girls–including adolescent girls–who face distinct barriers to accessing justice and making decisions about their </w:t>
      </w:r>
      <w:r>
        <w:rPr>
          <w:color w:val="000000"/>
        </w:rPr>
        <w:t>lives. The removal of restrictions based on absence from education and age is a positive step in ameliorating any barriers young women may have to returning to education after time in captivity. However, many survivors encounter repeated failures when atte</w:t>
      </w:r>
      <w:r>
        <w:rPr>
          <w:color w:val="000000"/>
        </w:rPr>
        <w:t>mpting to reintegrate into the education system, and some face isolation or academic struggles, resulting in dropping out.</w:t>
      </w:r>
      <w:r>
        <w:rPr>
          <w:color w:val="000000"/>
          <w:vertAlign w:val="superscript"/>
        </w:rPr>
        <w:footnoteReference w:id="44"/>
      </w:r>
      <w:r>
        <w:rPr>
          <w:color w:val="000000"/>
        </w:rPr>
        <w:t xml:space="preserve"> Data from the recent C4JR survey on survivor satisfaction with reparations indicates that 85% of respondents are not engaged in educ</w:t>
      </w:r>
      <w:r>
        <w:rPr>
          <w:color w:val="000000"/>
        </w:rPr>
        <w:t>ation, with only 13% noting that compensation payments helped them obtain a formal education. Despite these numbers, 65% of respondents said that the YSL compensation payments have moderately helped improve their ability to achieve their life goals. This s</w:t>
      </w:r>
      <w:r>
        <w:rPr>
          <w:color w:val="000000"/>
        </w:rPr>
        <w:t>uggests that while financial support may alleviate some immediate constraints, structural and gender-specific barriers to education persist, underscoring the need for survivor-</w:t>
      </w:r>
      <w:proofErr w:type="spellStart"/>
      <w:r>
        <w:rPr>
          <w:color w:val="000000"/>
        </w:rPr>
        <w:t>centred</w:t>
      </w:r>
      <w:proofErr w:type="spellEnd"/>
      <w:r>
        <w:rPr>
          <w:color w:val="000000"/>
        </w:rPr>
        <w:t xml:space="preserve">, gender-responsive educational reintegration </w:t>
      </w:r>
      <w:proofErr w:type="spellStart"/>
      <w:r>
        <w:rPr>
          <w:color w:val="000000"/>
        </w:rPr>
        <w:t>programmes</w:t>
      </w:r>
      <w:proofErr w:type="spellEnd"/>
      <w:r>
        <w:rPr>
          <w:color w:val="000000"/>
        </w:rPr>
        <w:t xml:space="preserve"> in line with CED</w:t>
      </w:r>
      <w:r>
        <w:rPr>
          <w:color w:val="000000"/>
        </w:rPr>
        <w:t>AW and GR33.</w:t>
      </w:r>
    </w:p>
    <w:p w:rsidR="00682CD7" w:rsidRDefault="00476449" w:rsidP="00700C7C">
      <w:pPr>
        <w:spacing w:before="240" w:after="240" w:line="240" w:lineRule="auto"/>
        <w:jc w:val="both"/>
      </w:pPr>
      <w:r>
        <w:rPr>
          <w:color w:val="000000"/>
        </w:rPr>
        <w:lastRenderedPageBreak/>
        <w:t>Additionally, the law’s financial compensation provisions create a disincentive for some survivors to pursue education, as they cannot simultaneously receive compensation and government employment benefits. In the C4JR survey, 69% of the respo</w:t>
      </w:r>
      <w:r>
        <w:rPr>
          <w:color w:val="000000"/>
        </w:rPr>
        <w:t xml:space="preserve">ndents indicated they are still unable to choose their educational path. Education as a reparative measure must be survivor-centered, responsive to the unique needs of girls and women, and designed to empower them as autonomous rights holders, rather than </w:t>
      </w:r>
      <w:r>
        <w:rPr>
          <w:color w:val="000000"/>
        </w:rPr>
        <w:t>relying solely on generalized programs or non-state actors for implementation.</w:t>
      </w:r>
      <w:r>
        <w:rPr>
          <w:color w:val="000000"/>
          <w:vertAlign w:val="superscript"/>
        </w:rPr>
        <w:footnoteReference w:id="45"/>
      </w:r>
    </w:p>
    <w:p w:rsidR="00682CD7" w:rsidRDefault="00476449">
      <w:pPr>
        <w:pStyle w:val="berschrift2"/>
        <w:rPr>
          <w:b/>
          <w:bCs/>
          <w:color w:val="000000"/>
          <w:sz w:val="22"/>
          <w:szCs w:val="22"/>
        </w:rPr>
      </w:pPr>
      <w:bookmarkStart w:id="14" w:name="_sk2zl6s7ybp0" w:colFirst="0" w:colLast="0"/>
      <w:bookmarkEnd w:id="14"/>
      <w:r>
        <w:rPr>
          <w:b/>
          <w:bCs/>
          <w:color w:val="000000"/>
          <w:sz w:val="22"/>
          <w:szCs w:val="22"/>
        </w:rPr>
        <w:t>C</w:t>
      </w:r>
      <w:r>
        <w:rPr>
          <w:b/>
          <w:bCs/>
          <w:color w:val="000000"/>
          <w:sz w:val="22"/>
          <w:szCs w:val="22"/>
        </w:rPr>
        <w:t>. Lack of Survivor Consultation in Land Allocation</w:t>
      </w:r>
    </w:p>
    <w:p w:rsidR="00682CD7" w:rsidRDefault="00476449" w:rsidP="00700C7C">
      <w:pPr>
        <w:spacing w:before="240" w:after="240" w:line="240" w:lineRule="auto"/>
        <w:jc w:val="both"/>
      </w:pPr>
      <w:r>
        <w:rPr>
          <w:color w:val="000000"/>
        </w:rPr>
        <w:t>The YSL recognizes the long-term stability and security needs of survivors—many of whom lost their homes during the ISIL con</w:t>
      </w:r>
      <w:r>
        <w:rPr>
          <w:color w:val="000000"/>
        </w:rPr>
        <w:t>flict—by establishing the right to land and housing as a form of reparations. As of December 2025, 262 residential plots have been distributed: 250 in Sinjar District and 12 in Tal Afar District, with a second phase of land distribution announced to recomm</w:t>
      </w:r>
      <w:r>
        <w:rPr>
          <w:color w:val="000000"/>
        </w:rPr>
        <w:t xml:space="preserve">ence in the near future. This progress represents a critical component of reparations, providing survivors with a tangible means to rebuild their lives and regain a sense of ownership. For many </w:t>
      </w:r>
      <w:r>
        <w:t>women who became female-headed households as a result of the c</w:t>
      </w:r>
      <w:r>
        <w:t>onflict, full implementation of land and housing as reparations provides female survivors with land tenure, economic security, and facilitates their continued survival.</w:t>
      </w:r>
    </w:p>
    <w:p w:rsidR="00682CD7" w:rsidRDefault="00476449" w:rsidP="00700C7C">
      <w:pPr>
        <w:spacing w:before="240" w:after="240" w:line="240" w:lineRule="auto"/>
        <w:jc w:val="both"/>
      </w:pPr>
      <w:r>
        <w:rPr>
          <w:color w:val="000000"/>
        </w:rPr>
        <w:t>To date, however, eligible survivors have only been able to exercise their land and hou</w:t>
      </w:r>
      <w:r>
        <w:rPr>
          <w:color w:val="000000"/>
        </w:rPr>
        <w:t>sing rights under the YSL in their areas of origin. This approach limits survivors’ ability to choose alternate locations for resettlement, even though the YSL does not explicitly restrict land and housing benefits to specific governorates. Ideally, a righ</w:t>
      </w:r>
      <w:r>
        <w:rPr>
          <w:color w:val="000000"/>
        </w:rPr>
        <w:t>ts-based approach to durable solutions for internally displaced persons (IDPs) would enable survivors to choose where land and housing benefits are located, as envisaged by the Inter-Agency Standing Committee (IASC).</w:t>
      </w:r>
      <w:r>
        <w:rPr>
          <w:color w:val="000000"/>
          <w:vertAlign w:val="superscript"/>
        </w:rPr>
        <w:footnoteReference w:id="46"/>
      </w:r>
      <w:r>
        <w:rPr>
          <w:color w:val="000000"/>
        </w:rPr>
        <w:t xml:space="preserve"> Many survivors continue to report ongo</w:t>
      </w:r>
      <w:r>
        <w:rPr>
          <w:color w:val="000000"/>
        </w:rPr>
        <w:t>ing security concerns and inadequate livelihood prospects in their areas of origin, rendering return unviable for the realization of a dignified and sustainable life.</w:t>
      </w:r>
      <w:r>
        <w:rPr>
          <w:color w:val="000000"/>
          <w:vertAlign w:val="superscript"/>
        </w:rPr>
        <w:footnoteReference w:id="47"/>
      </w:r>
      <w:r>
        <w:rPr>
          <w:color w:val="000000"/>
        </w:rPr>
        <w:t xml:space="preserve"> The C4JR survey on survivor satisfaction with reparations indicates that 59% of the resp</w:t>
      </w:r>
      <w:r>
        <w:rPr>
          <w:color w:val="000000"/>
        </w:rPr>
        <w:t>ondents are satisfied with the location of the land plots, with 38% citing less satisfaction. A survivor-centered approach that prioritizes agency, safety, and sustainable livelihoods is therefore essential to ensure that land and housing reparations fulfi</w:t>
      </w:r>
      <w:r>
        <w:rPr>
          <w:color w:val="000000"/>
        </w:rPr>
        <w:t xml:space="preserve">ll their intended purpose as instruments of justice and empowerment under CEDAW. Moreover, the GDSA’s official information leaflet states that land as a form of reparation under the YSL may be allocated only once per family in cases of multiple survivors, </w:t>
      </w:r>
      <w:r>
        <w:rPr>
          <w:color w:val="000000"/>
        </w:rPr>
        <w:t>despite the absence of such a limitation in the YSL’s text. Given that entire families—including multiple siblings—were abducted and later liberated, this restriction is incompatible with land and housing as individualized reparative measures.</w:t>
      </w:r>
    </w:p>
    <w:p w:rsidR="00682CD7" w:rsidRDefault="00476449">
      <w:pPr>
        <w:pStyle w:val="berschrift1"/>
        <w:rPr>
          <w:b/>
          <w:bCs/>
          <w:color w:val="000000"/>
          <w:sz w:val="28"/>
          <w:szCs w:val="28"/>
        </w:rPr>
      </w:pPr>
      <w:bookmarkStart w:id="15" w:name="_rnug439mvouj" w:colFirst="0" w:colLast="0"/>
      <w:bookmarkEnd w:id="15"/>
      <w:r>
        <w:rPr>
          <w:b/>
          <w:bCs/>
          <w:color w:val="000000"/>
          <w:sz w:val="28"/>
          <w:szCs w:val="28"/>
        </w:rPr>
        <w:lastRenderedPageBreak/>
        <w:t>5</w:t>
      </w:r>
      <w:r>
        <w:rPr>
          <w:b/>
          <w:bCs/>
          <w:color w:val="000000"/>
          <w:sz w:val="28"/>
          <w:szCs w:val="28"/>
        </w:rPr>
        <w:t xml:space="preserve">. Gaps in </w:t>
      </w:r>
      <w:r>
        <w:rPr>
          <w:b/>
          <w:bCs/>
          <w:color w:val="000000"/>
          <w:sz w:val="28"/>
          <w:szCs w:val="28"/>
        </w:rPr>
        <w:t>Criminal Accountability for Crimes Committed by ISIL</w:t>
      </w:r>
    </w:p>
    <w:p w:rsidR="00682CD7" w:rsidRDefault="00476449" w:rsidP="00700C7C">
      <w:pPr>
        <w:spacing w:before="240" w:after="240" w:line="240" w:lineRule="auto"/>
        <w:jc w:val="both"/>
      </w:pPr>
      <w:r>
        <w:rPr>
          <w:color w:val="000000"/>
        </w:rPr>
        <w:t>While YSL in article 9 para.2 obliges Iraqi competent authorities to arrest and prosecute perpetrators of the crimes stipulated therein, as well as to protect witnesses and survivors, the YSL does not di</w:t>
      </w:r>
      <w:r>
        <w:rPr>
          <w:color w:val="000000"/>
        </w:rPr>
        <w:t>rectly address legal reform or enable prosecution. It does, however, prevent the application of amnesties or the remission of legally prescribed sentences for certain crimes and requires the GDSA to coordinate with investigative and judicial bodies and int</w:t>
      </w:r>
      <w:r>
        <w:rPr>
          <w:color w:val="000000"/>
        </w:rPr>
        <w:t>ernational committees to facilitate documentation and prosecution.</w:t>
      </w:r>
      <w:r>
        <w:rPr>
          <w:color w:val="000000"/>
          <w:vertAlign w:val="superscript"/>
        </w:rPr>
        <w:footnoteReference w:id="48"/>
      </w:r>
      <w:r>
        <w:rPr>
          <w:color w:val="000000"/>
        </w:rPr>
        <w:t xml:space="preserve"> Despite this, Iraq has yet to enact legislation to incorporate genocide, crimes against humanity, and war crimes into its national law, to ensure that crimes committed by ISIL can be prose</w:t>
      </w:r>
      <w:r>
        <w:rPr>
          <w:color w:val="000000"/>
        </w:rPr>
        <w:t>cuted in Iraq.</w:t>
      </w:r>
      <w:r>
        <w:rPr>
          <w:color w:val="000000"/>
          <w:vertAlign w:val="superscript"/>
        </w:rPr>
        <w:footnoteReference w:id="49"/>
      </w:r>
    </w:p>
    <w:p w:rsidR="00682CD7" w:rsidRDefault="00476449" w:rsidP="00700C7C">
      <w:pPr>
        <w:spacing w:before="240" w:after="240" w:line="240" w:lineRule="auto"/>
        <w:jc w:val="both"/>
      </w:pPr>
      <w:r>
        <w:rPr>
          <w:color w:val="000000"/>
        </w:rPr>
        <w:t xml:space="preserve">The lack of an appropriate domestic legal framework to try international crimes impedes efforts to end impunity for ISIL committed atrocities in Iraq. Any accountability mechanism to bring ISIL members responsible for genocide, war crimes, </w:t>
      </w:r>
      <w:r>
        <w:rPr>
          <w:color w:val="000000"/>
        </w:rPr>
        <w:t xml:space="preserve">and crimes against humanity to justice must establish clear procedures, guarantee fair trials without resort to torture, and should not be able to impose the death penalty. Involving survivors and civil society in all stages of creating and implementing a </w:t>
      </w:r>
      <w:r>
        <w:rPr>
          <w:color w:val="000000"/>
        </w:rPr>
        <w:t>criminal accountability mechanism is an essential precondition for successful efforts to provide justice for genocide and other mass atrocity crimes.</w:t>
      </w:r>
    </w:p>
    <w:p w:rsidR="00682CD7" w:rsidRDefault="00476449" w:rsidP="00700C7C">
      <w:pPr>
        <w:spacing w:before="240" w:after="240" w:line="240" w:lineRule="auto"/>
        <w:jc w:val="both"/>
      </w:pPr>
      <w:r>
        <w:rPr>
          <w:color w:val="000000"/>
        </w:rPr>
        <w:t xml:space="preserve">These gaps in criminal accountability are particularly concerning from the perspective of CEDAW and GR33, </w:t>
      </w:r>
      <w:r>
        <w:rPr>
          <w:color w:val="000000"/>
        </w:rPr>
        <w:t>which underscore that States are obliged to ensure women’s effective access to justice, including for serious crimes such as conflict-related sexual violence. The latter highlights the need for procedural safeguards that protect survivors from intimidation</w:t>
      </w:r>
      <w:r>
        <w:rPr>
          <w:color w:val="000000"/>
        </w:rPr>
        <w:t>, retaliation, and secondary victimization, as well as the right to participate meaningfully in justice mechanisms.</w:t>
      </w:r>
      <w:r>
        <w:rPr>
          <w:color w:val="000000"/>
          <w:vertAlign w:val="superscript"/>
        </w:rPr>
        <w:footnoteReference w:id="50"/>
      </w:r>
      <w:r>
        <w:rPr>
          <w:color w:val="000000"/>
        </w:rPr>
        <w:t xml:space="preserve"> The lack of domestic prosecutions, absence of survivor consultation in decision-making, and failure to secure evidence or provide witness p</w:t>
      </w:r>
      <w:r>
        <w:rPr>
          <w:color w:val="000000"/>
        </w:rPr>
        <w:t>rotection undermine these obligations, leaving women survivors of ISIL atrocities without effective avenues to claim justice and reparations in accordance with international standards.</w:t>
      </w:r>
    </w:p>
    <w:p w:rsidR="00682CD7" w:rsidRDefault="00476449">
      <w:pPr>
        <w:pStyle w:val="berschrift2"/>
        <w:numPr>
          <w:ilvl w:val="0"/>
          <w:numId w:val="2"/>
        </w:numPr>
        <w:rPr>
          <w:b/>
          <w:bCs/>
          <w:color w:val="000000"/>
          <w:sz w:val="22"/>
          <w:szCs w:val="22"/>
        </w:rPr>
      </w:pPr>
      <w:bookmarkStart w:id="16" w:name="_kerpwd278uyw" w:colFirst="0" w:colLast="0"/>
      <w:bookmarkEnd w:id="16"/>
      <w:r>
        <w:rPr>
          <w:b/>
          <w:bCs/>
          <w:color w:val="000000"/>
          <w:sz w:val="22"/>
          <w:szCs w:val="22"/>
        </w:rPr>
        <w:t>L</w:t>
      </w:r>
      <w:r>
        <w:rPr>
          <w:b/>
          <w:bCs/>
          <w:color w:val="000000"/>
          <w:sz w:val="22"/>
          <w:szCs w:val="22"/>
        </w:rPr>
        <w:t>egislation Affecting Amnesty</w:t>
      </w:r>
    </w:p>
    <w:p w:rsidR="00682CD7" w:rsidRDefault="00476449" w:rsidP="00700C7C">
      <w:pPr>
        <w:spacing w:before="240" w:after="240" w:line="240" w:lineRule="auto"/>
        <w:jc w:val="both"/>
      </w:pPr>
      <w:r>
        <w:rPr>
          <w:color w:val="000000"/>
        </w:rPr>
        <w:t>Although the 2025 amendments to Iraq´s Ge</w:t>
      </w:r>
      <w:r>
        <w:rPr>
          <w:color w:val="000000"/>
        </w:rPr>
        <w:t>neral Amnesty Law explicitly exclude individuals convicted under the Anti-Terrorism Law (No. 13 of 2005) for crimes resulting in death or permanent disability, as well as perpetrators of other terrorist and mass atrocity crimes, credible reports indicate t</w:t>
      </w:r>
      <w:r>
        <w:rPr>
          <w:color w:val="000000"/>
        </w:rPr>
        <w:t xml:space="preserve">hat individuals believed to have committed such crimes have nevertheless been </w:t>
      </w:r>
      <w:r>
        <w:rPr>
          <w:color w:val="000000"/>
        </w:rPr>
        <w:lastRenderedPageBreak/>
        <w:t>released.</w:t>
      </w:r>
      <w:r>
        <w:rPr>
          <w:color w:val="000000"/>
          <w:vertAlign w:val="superscript"/>
        </w:rPr>
        <w:footnoteReference w:id="51"/>
      </w:r>
      <w:r>
        <w:rPr>
          <w:color w:val="000000"/>
        </w:rPr>
        <w:t xml:space="preserve"> This raises serious concerns regarding the implementation of the amended law and the safeguards intended to prevent impunity.</w:t>
      </w:r>
    </w:p>
    <w:p w:rsidR="00682CD7" w:rsidRDefault="00476449" w:rsidP="00700C7C">
      <w:pPr>
        <w:spacing w:before="240" w:after="240" w:line="240" w:lineRule="auto"/>
        <w:jc w:val="both"/>
      </w:pPr>
      <w:r>
        <w:rPr>
          <w:color w:val="000000"/>
        </w:rPr>
        <w:t>A continuing challenge lies in the lack o</w:t>
      </w:r>
      <w:r>
        <w:rPr>
          <w:color w:val="000000"/>
        </w:rPr>
        <w:t xml:space="preserve">f differentiation in the prosecution of ISIL affiliates. In practice, </w:t>
      </w:r>
      <w:r>
        <w:t>individuals</w:t>
      </w:r>
      <w:r>
        <w:rPr>
          <w:color w:val="000000"/>
        </w:rPr>
        <w:t xml:space="preserve"> have been predominantly prosecuted under counterterrorism legislation, often based on ISIL membership alone, without sufficient consideration of the nature or gravity of the </w:t>
      </w:r>
      <w:r>
        <w:rPr>
          <w:color w:val="000000"/>
        </w:rPr>
        <w:t>specific acts committed or prioritization of the most serious international crimes. This prosecutorial practice has impeded the identification and accountability of those responsible for the gravest violations, including but not limited to CRSV, and increa</w:t>
      </w:r>
      <w:r>
        <w:rPr>
          <w:color w:val="000000"/>
        </w:rPr>
        <w:t>ses the risk of impunity, particularly through the application of broad amnesty measures.</w:t>
      </w:r>
    </w:p>
    <w:p w:rsidR="00682CD7" w:rsidRDefault="00476449" w:rsidP="00700C7C">
      <w:pPr>
        <w:spacing w:before="240" w:after="240" w:line="240" w:lineRule="auto"/>
        <w:jc w:val="both"/>
        <w:rPr>
          <w:color w:val="000000"/>
        </w:rPr>
      </w:pPr>
      <w:r>
        <w:rPr>
          <w:color w:val="000000"/>
        </w:rPr>
        <w:t>In the absence of individualized charges and convictions reflecting specific criminal conduct, the application of amnesty provisions may result in the release of suspected ISIL affiliates, some of whom may have been involved–directly or indirectly–in the p</w:t>
      </w:r>
      <w:r>
        <w:rPr>
          <w:color w:val="000000"/>
        </w:rPr>
        <w:t>erpetration of grave crimes. This outcome fundamentally undermines efforts to ensure accountability for international crimes and justice for survivors. </w:t>
      </w:r>
    </w:p>
    <w:p w:rsidR="00682CD7" w:rsidRDefault="00476449">
      <w:pPr>
        <w:pStyle w:val="berschrift1"/>
        <w:rPr>
          <w:b/>
          <w:bCs/>
          <w:color w:val="000000"/>
          <w:sz w:val="28"/>
          <w:szCs w:val="28"/>
        </w:rPr>
      </w:pPr>
      <w:bookmarkStart w:id="17" w:name="_bllsuxu8m7h2" w:colFirst="0" w:colLast="0"/>
      <w:bookmarkEnd w:id="17"/>
      <w:r>
        <w:rPr>
          <w:b/>
          <w:bCs/>
          <w:color w:val="000000"/>
          <w:sz w:val="28"/>
          <w:szCs w:val="28"/>
        </w:rPr>
        <w:t>C</w:t>
      </w:r>
      <w:r>
        <w:rPr>
          <w:b/>
          <w:bCs/>
          <w:color w:val="000000"/>
          <w:sz w:val="28"/>
          <w:szCs w:val="28"/>
        </w:rPr>
        <w:t>onclusion</w:t>
      </w:r>
    </w:p>
    <w:p w:rsidR="00682CD7" w:rsidRDefault="00476449" w:rsidP="00700C7C">
      <w:pPr>
        <w:spacing w:before="240" w:after="240" w:line="240" w:lineRule="auto"/>
        <w:jc w:val="both"/>
        <w:rPr>
          <w:color w:val="000000"/>
        </w:rPr>
      </w:pPr>
      <w:r>
        <w:rPr>
          <w:color w:val="000000"/>
        </w:rPr>
        <w:t xml:space="preserve">The </w:t>
      </w:r>
      <w:r>
        <w:rPr>
          <w:color w:val="000000"/>
          <w:highlight w:val="white"/>
        </w:rPr>
        <w:t>Yazidi Female Survivors Act, No. 8 of 2021, affirms that survivors are entitled to mater</w:t>
      </w:r>
      <w:r>
        <w:rPr>
          <w:color w:val="000000"/>
          <w:highlight w:val="white"/>
        </w:rPr>
        <w:t>ial and moral compensation, a decent life, rehabilitation and care, and guarantees the establishment of measures to support their social reintegration and prevent the recurrence of the violations committed against them. As this submission has demonstrated,</w:t>
      </w:r>
      <w:r>
        <w:rPr>
          <w:color w:val="000000"/>
          <w:highlight w:val="white"/>
        </w:rPr>
        <w:t xml:space="preserve"> the YSL represents an important normative and political commitment by the </w:t>
      </w:r>
      <w:proofErr w:type="spellStart"/>
      <w:r>
        <w:rPr>
          <w:color w:val="000000"/>
          <w:highlight w:val="white"/>
        </w:rPr>
        <w:t>GoI</w:t>
      </w:r>
      <w:proofErr w:type="spellEnd"/>
      <w:r>
        <w:rPr>
          <w:color w:val="000000"/>
          <w:highlight w:val="white"/>
        </w:rPr>
        <w:t xml:space="preserve"> to acknowledge the harm suffered by survivors of ISIL atrocities and to provide a comprehensive framework for reparations.</w:t>
      </w:r>
    </w:p>
    <w:p w:rsidR="00682CD7" w:rsidRDefault="00476449" w:rsidP="00700C7C">
      <w:pPr>
        <w:spacing w:before="240" w:after="240" w:line="240" w:lineRule="auto"/>
        <w:jc w:val="both"/>
        <w:rPr>
          <w:color w:val="000000"/>
        </w:rPr>
      </w:pPr>
      <w:r>
        <w:rPr>
          <w:color w:val="000000"/>
          <w:highlight w:val="white"/>
        </w:rPr>
        <w:t>However, the realization of these guarantees remains u</w:t>
      </w:r>
      <w:r>
        <w:rPr>
          <w:color w:val="000000"/>
          <w:highlight w:val="white"/>
        </w:rPr>
        <w:t>neven in practice. While progress has been made in the provision of monthly compensation payments, other reparative measures–including access to education, MHPSS, housing and land, and survivor-centered justice mechanisms–continue to face significant struc</w:t>
      </w:r>
      <w:r>
        <w:rPr>
          <w:color w:val="000000"/>
          <w:highlight w:val="white"/>
        </w:rPr>
        <w:t>tural, procedural, and gender-specific barriers. The implementation of the YSL has, in several respects, fallen short of the standards set out under CEDAW GR33, particularly concerning accessibility, confidentiality, survivor participation, and the prevent</w:t>
      </w:r>
      <w:r>
        <w:rPr>
          <w:color w:val="000000"/>
          <w:highlight w:val="white"/>
        </w:rPr>
        <w:t>ion of re-traumatization.</w:t>
      </w:r>
    </w:p>
    <w:p w:rsidR="00682CD7" w:rsidRDefault="00476449" w:rsidP="00700C7C">
      <w:pPr>
        <w:spacing w:before="240" w:after="240" w:line="240" w:lineRule="auto"/>
        <w:jc w:val="both"/>
        <w:rPr>
          <w:color w:val="000000"/>
        </w:rPr>
      </w:pPr>
      <w:r>
        <w:rPr>
          <w:color w:val="000000"/>
          <w:highlight w:val="white"/>
        </w:rPr>
        <w:t>To fulfill both its domestic commitments under the YSL and its international obligations under CEDAW, Iraq must ensure the effective, survivor-centered realization of reparations. This requires removing discriminatory procedural b</w:t>
      </w:r>
      <w:r>
        <w:rPr>
          <w:color w:val="000000"/>
          <w:highlight w:val="white"/>
        </w:rPr>
        <w:t xml:space="preserve">arriers, clarifying and broadening eligibility parameters, ensuring meaningful consultation with survivors in the design and implementation of benefits, strengthening accountability for international crimes, and embedding gender-sensitive, trauma-informed </w:t>
      </w:r>
      <w:r>
        <w:rPr>
          <w:color w:val="000000"/>
          <w:highlight w:val="white"/>
        </w:rPr>
        <w:t xml:space="preserve">approaches across all institutions involved. Only through such </w:t>
      </w:r>
      <w:r>
        <w:rPr>
          <w:color w:val="000000"/>
          <w:highlight w:val="white"/>
        </w:rPr>
        <w:lastRenderedPageBreak/>
        <w:t>measures can the YSL serve its intended purpose as a mechanism capable of restoring dignity, enabling reintegration, and contributing to the non-recurrence of violations against women and girls</w:t>
      </w:r>
      <w:r>
        <w:rPr>
          <w:color w:val="000000"/>
          <w:highlight w:val="white"/>
        </w:rPr>
        <w:t>.</w:t>
      </w:r>
    </w:p>
    <w:p w:rsidR="00682CD7" w:rsidRDefault="00476449">
      <w:pPr>
        <w:pStyle w:val="berschrift1"/>
        <w:rPr>
          <w:b/>
          <w:bCs/>
          <w:color w:val="000000"/>
          <w:sz w:val="28"/>
          <w:szCs w:val="28"/>
        </w:rPr>
      </w:pPr>
      <w:bookmarkStart w:id="18" w:name="_wb8jilqvlpsc" w:colFirst="0" w:colLast="0"/>
      <w:bookmarkEnd w:id="18"/>
      <w:r>
        <w:rPr>
          <w:b/>
          <w:bCs/>
          <w:color w:val="000000"/>
          <w:sz w:val="28"/>
          <w:szCs w:val="28"/>
        </w:rPr>
        <w:t>R</w:t>
      </w:r>
      <w:r>
        <w:rPr>
          <w:b/>
          <w:bCs/>
          <w:color w:val="000000"/>
          <w:sz w:val="28"/>
          <w:szCs w:val="28"/>
        </w:rPr>
        <w:t>ecommendations</w:t>
      </w:r>
    </w:p>
    <w:p w:rsidR="00682CD7" w:rsidRDefault="00476449" w:rsidP="00700C7C">
      <w:pPr>
        <w:spacing w:before="240" w:after="240" w:line="240" w:lineRule="auto"/>
        <w:jc w:val="both"/>
      </w:pPr>
      <w:r>
        <w:rPr>
          <w:color w:val="000000"/>
        </w:rPr>
        <w:t>We encourage the Committee to make the following recommendations to the Iraqi government:</w:t>
      </w:r>
    </w:p>
    <w:p w:rsidR="00682CD7" w:rsidRDefault="00476449" w:rsidP="00700C7C">
      <w:pPr>
        <w:numPr>
          <w:ilvl w:val="0"/>
          <w:numId w:val="1"/>
        </w:numPr>
        <w:spacing w:before="240" w:after="0" w:line="240" w:lineRule="auto"/>
        <w:jc w:val="both"/>
        <w:rPr>
          <w:color w:val="000000"/>
        </w:rPr>
      </w:pPr>
      <w:r>
        <w:rPr>
          <w:color w:val="000000"/>
        </w:rPr>
        <w:t>Incorporate genocide, crimes against humanity, and war crimes into national law, establishing a female survivor-friendly criminal accountability mec</w:t>
      </w:r>
      <w:r>
        <w:rPr>
          <w:color w:val="000000"/>
        </w:rPr>
        <w:t>hanism consistent with international standards of human rights, with jurisdiction over international crimes committed by ISIL in Iraq or outside of Iraq against Iraqi nationals or non-Iraqi nationals residing in Iraq</w:t>
      </w:r>
      <w:r>
        <w:t>;</w:t>
      </w:r>
    </w:p>
    <w:p w:rsidR="00682CD7" w:rsidRDefault="00476449" w:rsidP="00700C7C">
      <w:pPr>
        <w:numPr>
          <w:ilvl w:val="0"/>
          <w:numId w:val="1"/>
        </w:numPr>
        <w:spacing w:before="240" w:after="0" w:line="240" w:lineRule="auto"/>
        <w:jc w:val="both"/>
      </w:pPr>
      <w:r>
        <w:t>Enact domestic legislation and/or impl</w:t>
      </w:r>
      <w:r>
        <w:t>ement measures necessary to guarantee fair and independent criminal proceedings for ISIL crimes, conducted in a survivor-centered manner and in accordance with international law, including adequate witness protection, victim participation, and public trial</w:t>
      </w:r>
      <w:r>
        <w:t>s;</w:t>
      </w:r>
    </w:p>
    <w:p w:rsidR="00682CD7" w:rsidRDefault="00476449" w:rsidP="00700C7C">
      <w:pPr>
        <w:numPr>
          <w:ilvl w:val="0"/>
          <w:numId w:val="1"/>
        </w:numPr>
        <w:spacing w:before="240" w:after="0" w:line="240" w:lineRule="auto"/>
        <w:jc w:val="both"/>
        <w:rPr>
          <w:color w:val="000000"/>
        </w:rPr>
      </w:pPr>
      <w:r>
        <w:rPr>
          <w:color w:val="000000"/>
        </w:rPr>
        <w:t>Ensure that the YSL reparations programs are accessible for all victims of ISIL crimes, without the requirement for filing criminal complaints, and that decisions on reparations are communicated to victims in writing in accessible language.  Guarantee f</w:t>
      </w:r>
      <w:r>
        <w:rPr>
          <w:color w:val="000000"/>
        </w:rPr>
        <w:t xml:space="preserve">emale </w:t>
      </w:r>
      <w:proofErr w:type="gramStart"/>
      <w:r>
        <w:rPr>
          <w:color w:val="000000"/>
        </w:rPr>
        <w:t>survivors</w:t>
      </w:r>
      <w:proofErr w:type="gramEnd"/>
      <w:r>
        <w:rPr>
          <w:color w:val="000000"/>
        </w:rPr>
        <w:t xml:space="preserve"> access to justice and empower them as rights holders</w:t>
      </w:r>
      <w:r>
        <w:t>;</w:t>
      </w:r>
    </w:p>
    <w:p w:rsidR="00682CD7" w:rsidRDefault="00476449" w:rsidP="00700C7C">
      <w:pPr>
        <w:numPr>
          <w:ilvl w:val="0"/>
          <w:numId w:val="1"/>
        </w:numPr>
        <w:spacing w:before="240" w:after="0" w:line="240" w:lineRule="auto"/>
        <w:jc w:val="both"/>
        <w:rPr>
          <w:color w:val="000000"/>
        </w:rPr>
      </w:pPr>
      <w:r>
        <w:rPr>
          <w:color w:val="000000"/>
        </w:rPr>
        <w:t>Clarify eligibility criteria around applicants’ age by defining the meaning of “girl” and resolve the eligibility challenges for survivors of CRSV who suffered the violation while in det</w:t>
      </w:r>
      <w:r>
        <w:rPr>
          <w:color w:val="000000"/>
        </w:rPr>
        <w:t>ention</w:t>
      </w:r>
      <w:r>
        <w:t>;</w:t>
      </w:r>
      <w:r>
        <w:rPr>
          <w:color w:val="000000"/>
        </w:rPr>
        <w:t> </w:t>
      </w:r>
    </w:p>
    <w:p w:rsidR="00682CD7" w:rsidRDefault="00476449" w:rsidP="00700C7C">
      <w:pPr>
        <w:numPr>
          <w:ilvl w:val="0"/>
          <w:numId w:val="1"/>
        </w:numPr>
        <w:spacing w:before="240" w:after="0" w:line="240" w:lineRule="auto"/>
        <w:jc w:val="both"/>
        <w:rPr>
          <w:color w:val="000000"/>
        </w:rPr>
      </w:pPr>
      <w:r>
        <w:rPr>
          <w:color w:val="000000"/>
        </w:rPr>
        <w:t>The decision letters to YSL applicants</w:t>
      </w:r>
      <w:r>
        <w:t>,</w:t>
      </w:r>
      <w:r>
        <w:rPr>
          <w:color w:val="000000"/>
        </w:rPr>
        <w:t xml:space="preserve"> upon request</w:t>
      </w:r>
      <w:r>
        <w:t>,</w:t>
      </w:r>
      <w:r>
        <w:rPr>
          <w:color w:val="000000"/>
        </w:rPr>
        <w:t xml:space="preserve"> should detail the grounds on which the application was rejected to better inform applicants and those supporting applicants of their eligibility </w:t>
      </w:r>
      <w:r>
        <w:t>under</w:t>
      </w:r>
      <w:r>
        <w:rPr>
          <w:color w:val="000000"/>
        </w:rPr>
        <w:t xml:space="preserve"> the law</w:t>
      </w:r>
      <w:r>
        <w:t>,</w:t>
      </w:r>
      <w:r>
        <w:rPr>
          <w:color w:val="000000"/>
        </w:rPr>
        <w:t xml:space="preserve"> ensuring applicants can prepare their appeals within the allocated time</w:t>
      </w:r>
      <w:r>
        <w:t>;</w:t>
      </w:r>
    </w:p>
    <w:p w:rsidR="00682CD7" w:rsidRDefault="00476449" w:rsidP="00700C7C">
      <w:pPr>
        <w:numPr>
          <w:ilvl w:val="0"/>
          <w:numId w:val="1"/>
        </w:numPr>
        <w:spacing w:before="240" w:after="0" w:line="240" w:lineRule="auto"/>
        <w:jc w:val="both"/>
      </w:pPr>
      <w:r>
        <w:t>Foster durable solutions for IDPs by ensuring that land allocation and housing reparative measures recognized under the YSL are made available throughout Iraq;</w:t>
      </w:r>
    </w:p>
    <w:p w:rsidR="00682CD7" w:rsidRDefault="00476449" w:rsidP="00700C7C">
      <w:pPr>
        <w:numPr>
          <w:ilvl w:val="0"/>
          <w:numId w:val="1"/>
        </w:numPr>
        <w:spacing w:before="240" w:after="0" w:line="240" w:lineRule="auto"/>
        <w:jc w:val="both"/>
      </w:pPr>
      <w:r>
        <w:t>Establish a survivor-c</w:t>
      </w:r>
      <w:r>
        <w:t>entered education model catering to survivors’ unique needs by embedding education support within a broader holistic rehabilitation model;</w:t>
      </w:r>
    </w:p>
    <w:p w:rsidR="00682CD7" w:rsidRDefault="00476449" w:rsidP="00700C7C">
      <w:pPr>
        <w:numPr>
          <w:ilvl w:val="0"/>
          <w:numId w:val="1"/>
        </w:numPr>
        <w:spacing w:before="240" w:after="0" w:line="240" w:lineRule="auto"/>
        <w:jc w:val="both"/>
        <w:rPr>
          <w:color w:val="000000"/>
        </w:rPr>
      </w:pPr>
      <w:r>
        <w:t>Intensify efforts to set up a viable system for providing quality medical and MHPSS services in line with best practi</w:t>
      </w:r>
      <w:r>
        <w:t>ces and in a location within reach of survivors and their families, and ensure that rehabilitation centers are strategically located in areas that are accessible to survivors, while also minimizing the risk of further re-traumatization for survivors.</w:t>
      </w:r>
    </w:p>
    <w:sectPr w:rsidR="00682CD7">
      <w:footerReference w:type="default" r:id="rId16"/>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6449" w:rsidRDefault="00476449">
      <w:pPr>
        <w:spacing w:after="0" w:line="240" w:lineRule="auto"/>
      </w:pPr>
      <w:r>
        <w:separator/>
      </w:r>
    </w:p>
  </w:endnote>
  <w:endnote w:type="continuationSeparator" w:id="0">
    <w:p w:rsidR="00476449" w:rsidRDefault="004764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2CD7" w:rsidRDefault="00476449">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sidR="00700C7C">
      <w:rPr>
        <w:color w:val="000000"/>
      </w:rPr>
      <w:fldChar w:fldCharType="separate"/>
    </w:r>
    <w:r w:rsidR="00700C7C">
      <w:rPr>
        <w:noProof/>
        <w:color w:val="000000"/>
      </w:rPr>
      <w:t>1</w:t>
    </w:r>
    <w:r>
      <w:rPr>
        <w:color w:val="000000"/>
      </w:rPr>
      <w:fldChar w:fldCharType="end"/>
    </w:r>
  </w:p>
  <w:p w:rsidR="00682CD7" w:rsidRDefault="00682CD7">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6449" w:rsidRDefault="00476449">
      <w:pPr>
        <w:spacing w:after="0" w:line="240" w:lineRule="auto"/>
      </w:pPr>
      <w:r>
        <w:separator/>
      </w:r>
    </w:p>
  </w:footnote>
  <w:footnote w:type="continuationSeparator" w:id="0">
    <w:p w:rsidR="00476449" w:rsidRDefault="00476449">
      <w:pPr>
        <w:spacing w:after="0" w:line="240" w:lineRule="auto"/>
      </w:pPr>
      <w:r>
        <w:continuationSeparator/>
      </w:r>
    </w:p>
  </w:footnote>
  <w:footnote w:id="1">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Reference paragraphs from the List of Issues Prior to Reporting</w:t>
      </w:r>
    </w:p>
  </w:footnote>
  <w:footnote w:id="2">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For a detailed overview of sexual violence against women and girls ISIL committed in Iraq see UNITAD, “Report on sexual violence against women and girls committed by ISIL in Iraq,” 2023, available at:</w:t>
      </w:r>
      <w:hyperlink r:id="rId1">
        <w:r>
          <w:rPr>
            <w:color w:val="0563C1"/>
            <w:sz w:val="20"/>
            <w:szCs w:val="20"/>
            <w:u w:val="single"/>
          </w:rPr>
          <w:t xml:space="preserve"> https://www.unitad.un.org/sites/www.unitad.un.org/files/scgb_report_e-report_en-.pdf</w:t>
        </w:r>
      </w:hyperlink>
      <w:r>
        <w:rPr>
          <w:color w:val="000000"/>
          <w:sz w:val="20"/>
          <w:szCs w:val="20"/>
        </w:rPr>
        <w:t>.</w:t>
      </w:r>
    </w:p>
  </w:footnote>
  <w:footnote w:id="3">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Human Rights Watch. “Iraq: ISIS Kidnaps Shia Turkmen, Destroys Shrines,” June 27, 2014. Available at:</w:t>
      </w:r>
      <w:hyperlink r:id="rId2">
        <w:r>
          <w:rPr>
            <w:color w:val="0563C1"/>
            <w:sz w:val="20"/>
            <w:szCs w:val="20"/>
            <w:u w:val="single"/>
          </w:rPr>
          <w:t xml:space="preserve"> https://www.hrw.org/news/2014/06/27/iraq-isis-kidnaps-shia-turkmen-destroys-shrines</w:t>
        </w:r>
      </w:hyperlink>
      <w:r>
        <w:rPr>
          <w:color w:val="000000"/>
          <w:sz w:val="20"/>
          <w:szCs w:val="20"/>
        </w:rPr>
        <w:t>.</w:t>
      </w:r>
    </w:p>
  </w:footnote>
  <w:footnote w:id="4">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UNITAD, “Report on sexual violence against women and girls committed by ISIL in Ir</w:t>
      </w:r>
      <w:r>
        <w:rPr>
          <w:color w:val="000000"/>
          <w:sz w:val="20"/>
          <w:szCs w:val="20"/>
        </w:rPr>
        <w:t>aq,” 03 December, 2023, pg. 26. Available at:</w:t>
      </w:r>
      <w:hyperlink r:id="rId3">
        <w:r>
          <w:rPr>
            <w:color w:val="0563C1"/>
            <w:sz w:val="20"/>
            <w:szCs w:val="20"/>
            <w:u w:val="single"/>
          </w:rPr>
          <w:t xml:space="preserve"> https://www.unitad.un.org/sites/www.unitad.un.org/files/scgb_report_e-report_en-.pdf</w:t>
        </w:r>
      </w:hyperlink>
      <w:r>
        <w:rPr>
          <w:color w:val="000000"/>
          <w:sz w:val="20"/>
          <w:szCs w:val="20"/>
        </w:rPr>
        <w:t>.</w:t>
      </w:r>
    </w:p>
  </w:footnote>
  <w:footnote w:id="5">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UNITAD, “Report on</w:t>
      </w:r>
      <w:r>
        <w:rPr>
          <w:color w:val="000000"/>
          <w:sz w:val="20"/>
          <w:szCs w:val="20"/>
        </w:rPr>
        <w:t xml:space="preserve"> sexual violence against women and girls,” pg. 28.</w:t>
      </w:r>
    </w:p>
  </w:footnote>
  <w:footnote w:id="6">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UNITAD, “Report on sexual violence against women and girls,” pg. 31.</w:t>
      </w:r>
    </w:p>
  </w:footnote>
  <w:footnote w:id="7">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UNITAD, “Report on sexual violence against women and girls,” pg. 22.</w:t>
      </w:r>
    </w:p>
  </w:footnote>
  <w:footnote w:id="8">
    <w:p w:rsidR="00682CD7" w:rsidRDefault="00476449">
      <w:pPr>
        <w:pBdr>
          <w:top w:val="nil"/>
          <w:left w:val="nil"/>
          <w:bottom w:val="nil"/>
          <w:right w:val="nil"/>
          <w:between w:val="nil"/>
        </w:pBdr>
        <w:spacing w:after="0" w:line="240" w:lineRule="auto"/>
        <w:rPr>
          <w:sz w:val="20"/>
          <w:szCs w:val="20"/>
        </w:rPr>
      </w:pPr>
      <w:r>
        <w:rPr>
          <w:vertAlign w:val="superscript"/>
        </w:rPr>
        <w:footnoteRef/>
      </w:r>
      <w:r>
        <w:rPr>
          <w:color w:val="000000"/>
          <w:sz w:val="20"/>
          <w:szCs w:val="20"/>
        </w:rPr>
        <w:t xml:space="preserve"> UNAMI, OHCHR, “Promotion and Protection of Rights of Victims </w:t>
      </w:r>
      <w:r>
        <w:rPr>
          <w:color w:val="000000"/>
          <w:sz w:val="20"/>
          <w:szCs w:val="20"/>
        </w:rPr>
        <w:t xml:space="preserve">of Sexual Violence Captured by ISIL/or in Areas Controlled by ISIL in Iraq” 01 August, 2017. Pg. 6. Available at: </w:t>
      </w:r>
      <w:hyperlink r:id="rId4">
        <w:r>
          <w:rPr>
            <w:color w:val="1155CC"/>
            <w:sz w:val="20"/>
            <w:szCs w:val="20"/>
            <w:u w:val="single"/>
          </w:rPr>
          <w:t>https://www.ohchr.org/en/documents/country-reports/report-promotion-and-protection-rights-victims-sexual-violence-captured</w:t>
        </w:r>
      </w:hyperlink>
      <w:r>
        <w:rPr>
          <w:sz w:val="20"/>
          <w:szCs w:val="20"/>
        </w:rPr>
        <w:t xml:space="preserve">. </w:t>
      </w:r>
    </w:p>
  </w:footnote>
  <w:footnote w:id="9">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Human Rights Watch’s Universal Periodic Review Submission on Iraq, for the 48th Session of the UPR Review Working Group, 4th Cycl</w:t>
      </w:r>
      <w:r>
        <w:rPr>
          <w:color w:val="000000"/>
          <w:sz w:val="20"/>
          <w:szCs w:val="20"/>
        </w:rPr>
        <w:t xml:space="preserve">e. </w:t>
      </w:r>
      <w:hyperlink r:id="rId5" w:anchor=":~:text=Despite%20recommendations%20made%20during%20the,able%20to%20communicate%20with%20them">
        <w:r>
          <w:rPr>
            <w:color w:val="0563C1"/>
            <w:sz w:val="20"/>
            <w:szCs w:val="20"/>
            <w:u w:val="single"/>
          </w:rPr>
          <w:t>https://www.hrw.org/news/2024/07/15/h</w:t>
        </w:r>
        <w:r>
          <w:rPr>
            <w:color w:val="0563C1"/>
            <w:sz w:val="20"/>
            <w:szCs w:val="20"/>
            <w:u w:val="single"/>
          </w:rPr>
          <w:t>uman-rights-watchs-universal-periodic-review-submission-iraq#:~:text=Despite%20recommendations%20made%20during%20the,able%20to%20communicate%20with%20them</w:t>
        </w:r>
      </w:hyperlink>
      <w:r>
        <w:rPr>
          <w:color w:val="000000"/>
          <w:sz w:val="20"/>
          <w:szCs w:val="20"/>
        </w:rPr>
        <w:t>.</w:t>
      </w:r>
    </w:p>
  </w:footnote>
  <w:footnote w:id="10">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Yazidi [Female] Survivors Law, No.8. March 1, 2021. Available at:</w:t>
      </w:r>
      <w:hyperlink r:id="rId6">
        <w:r>
          <w:rPr>
            <w:color w:val="0563C1"/>
            <w:sz w:val="20"/>
            <w:szCs w:val="20"/>
            <w:u w:val="single"/>
          </w:rPr>
          <w:t xml:space="preserve"> https://c4jr.org/ysl</w:t>
        </w:r>
      </w:hyperlink>
      <w:r>
        <w:rPr>
          <w:color w:val="000000"/>
          <w:sz w:val="20"/>
          <w:szCs w:val="20"/>
        </w:rPr>
        <w:t>.</w:t>
      </w:r>
    </w:p>
  </w:footnote>
  <w:footnote w:id="11">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Indicated beneficiaries are defined as women and girls who survived “sexual violence, kidnapping, sexual slavery, selling her in slavery markets, separating her from her family, forcing her to change her religion, forced marriage, pregnancy and forced abo</w:t>
      </w:r>
      <w:r>
        <w:rPr>
          <w:color w:val="000000"/>
          <w:sz w:val="20"/>
          <w:szCs w:val="20"/>
        </w:rPr>
        <w:t>rtion or inflicting physical and psychological harm to her by ISIS since the date 3.8.2014 and was freed afterwards,” YSL Art. 1, Art. 2, Para 1, Art. 2, Para 2.</w:t>
      </w:r>
    </w:p>
  </w:footnote>
  <w:footnote w:id="12">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See Iraqi Penal Code Law No. 111 of 1969, Chapter 9, Section 1. </w:t>
      </w:r>
      <w:hyperlink r:id="rId7">
        <w:r>
          <w:rPr>
            <w:color w:val="1155CC"/>
            <w:sz w:val="20"/>
            <w:szCs w:val="20"/>
            <w:u w:val="single"/>
          </w:rPr>
          <w:t>https://www.refworld.org/legal/legislation/natlegbod/1969/en/103522</w:t>
        </w:r>
      </w:hyperlink>
      <w:r>
        <w:rPr>
          <w:color w:val="000000"/>
          <w:sz w:val="20"/>
          <w:szCs w:val="20"/>
        </w:rPr>
        <w:t>. A girl or woman’s virginity at the time of the rape will be considered an aggravating circumstance.</w:t>
      </w:r>
    </w:p>
  </w:footnote>
  <w:footnote w:id="13">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YSL, Art. 4, Para. 2 and A</w:t>
      </w:r>
      <w:r>
        <w:rPr>
          <w:color w:val="000000"/>
          <w:sz w:val="20"/>
          <w:szCs w:val="20"/>
        </w:rPr>
        <w:t>rt. 5, Para. 6.</w:t>
      </w:r>
    </w:p>
  </w:footnote>
  <w:footnote w:id="14">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YSL, Art. 7.</w:t>
      </w:r>
    </w:p>
  </w:footnote>
  <w:footnote w:id="15">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YSL, Art. 7.</w:t>
      </w:r>
    </w:p>
  </w:footnote>
  <w:footnote w:id="16">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YSL, Art. 8.</w:t>
      </w:r>
    </w:p>
  </w:footnote>
  <w:footnote w:id="17">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YSL, Art. 5. Para. 8.</w:t>
      </w:r>
    </w:p>
  </w:footnote>
  <w:footnote w:id="18">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YSL, Art. 9. Para. 1.</w:t>
      </w:r>
    </w:p>
  </w:footnote>
  <w:footnote w:id="19">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YSL Bylaws, Art. 3, Para. 1.B.</w:t>
      </w:r>
    </w:p>
  </w:footnote>
  <w:footnote w:id="20">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YSL, Art. 4. Para. 2.</w:t>
      </w:r>
    </w:p>
  </w:footnote>
  <w:footnote w:id="21">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YSL, Art 5; YSL Bylaws, Art. 2-3.</w:t>
      </w:r>
    </w:p>
  </w:footnote>
  <w:footnote w:id="22">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YSL, Art. 10. Para. 2.</w:t>
      </w:r>
    </w:p>
  </w:footnote>
  <w:footnote w:id="23">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YSL Bylaws, Art 8. Para. 5.</w:t>
      </w:r>
    </w:p>
  </w:footnote>
  <w:footnote w:id="24">
    <w:p w:rsidR="00682CD7" w:rsidRDefault="00476449">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20"/>
          <w:szCs w:val="20"/>
        </w:rPr>
        <w:t xml:space="preserve"> More information can be found on the General Directorate for Survivors Affairs Facebook page available at: </w:t>
      </w:r>
      <w:hyperlink r:id="rId8">
        <w:r>
          <w:rPr>
            <w:color w:val="0563C1"/>
            <w:sz w:val="20"/>
            <w:szCs w:val="20"/>
            <w:u w:val="single"/>
          </w:rPr>
          <w:t>https://www.facebook.com/permalink.php?story_fbid=pfbid0giASt8pg4Jgkg2L9xDuBPVddWmcT2ixwmoBxR8q5wis6bYHcWmw1s6fpvb9MMzjhl&amp;id=100076062182514</w:t>
        </w:r>
      </w:hyperlink>
      <w:r>
        <w:rPr>
          <w:color w:val="000000"/>
          <w:sz w:val="20"/>
          <w:szCs w:val="20"/>
        </w:rPr>
        <w:t>.</w:t>
      </w:r>
    </w:p>
  </w:footnote>
  <w:footnote w:id="25">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CEDAW, General recommendation No.33 on women’s access to justice, para. 2.</w:t>
      </w:r>
    </w:p>
  </w:footnote>
  <w:footnote w:id="26">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See Ministry of Labor</w:t>
      </w:r>
      <w:r>
        <w:rPr>
          <w:color w:val="000000"/>
          <w:sz w:val="20"/>
          <w:szCs w:val="20"/>
        </w:rPr>
        <w:t xml:space="preserve"> and Social Affairs and General Directorate for Survivors’ Affairs and General Directorate for Survivors’ Affairs, “Launch of Application Process for the Yazidi Survivors’ Law,” September 7, 2022. Available at:</w:t>
      </w:r>
    </w:p>
    <w:p w:rsidR="00682CD7" w:rsidRDefault="00476449">
      <w:pPr>
        <w:pBdr>
          <w:top w:val="nil"/>
          <w:left w:val="nil"/>
          <w:bottom w:val="nil"/>
          <w:right w:val="nil"/>
          <w:between w:val="nil"/>
        </w:pBdr>
        <w:spacing w:after="0" w:line="240" w:lineRule="auto"/>
        <w:rPr>
          <w:color w:val="000000"/>
          <w:sz w:val="20"/>
          <w:szCs w:val="20"/>
        </w:rPr>
      </w:pPr>
      <w:hyperlink r:id="rId9">
        <w:r>
          <w:rPr>
            <w:color w:val="0563C1"/>
            <w:sz w:val="20"/>
            <w:szCs w:val="20"/>
            <w:u w:val="single"/>
          </w:rPr>
          <w:t>https://iraq.iom.int/sites/g/files/tmzbdl1316/files/202209/ENG%20Factsheet%20YSL%20Application%20Process</w:t>
        </w:r>
      </w:hyperlink>
      <w:r>
        <w:rPr>
          <w:color w:val="000000"/>
          <w:sz w:val="20"/>
          <w:szCs w:val="20"/>
        </w:rPr>
        <w:t>.</w:t>
      </w:r>
    </w:p>
  </w:footnote>
  <w:footnote w:id="27">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proofErr w:type="spellStart"/>
      <w:r>
        <w:rPr>
          <w:color w:val="000000"/>
          <w:sz w:val="20"/>
          <w:szCs w:val="20"/>
        </w:rPr>
        <w:t>Sherizaan</w:t>
      </w:r>
      <w:proofErr w:type="spellEnd"/>
      <w:r>
        <w:rPr>
          <w:color w:val="000000"/>
          <w:sz w:val="20"/>
          <w:szCs w:val="20"/>
        </w:rPr>
        <w:t xml:space="preserve"> </w:t>
      </w:r>
      <w:proofErr w:type="spellStart"/>
      <w:r>
        <w:rPr>
          <w:color w:val="000000"/>
          <w:sz w:val="20"/>
          <w:szCs w:val="20"/>
        </w:rPr>
        <w:t>Minwalla</w:t>
      </w:r>
      <w:proofErr w:type="spellEnd"/>
      <w:r>
        <w:rPr>
          <w:color w:val="000000"/>
          <w:sz w:val="20"/>
          <w:szCs w:val="20"/>
        </w:rPr>
        <w:t>, “In Iraq, Minority Survivors of ISIS Genocide Cau</w:t>
      </w:r>
      <w:r>
        <w:rPr>
          <w:color w:val="000000"/>
          <w:sz w:val="20"/>
          <w:szCs w:val="20"/>
        </w:rPr>
        <w:t>tiously Anticipate Reparations,” Women’s Media Center, August 26, 2022. Available at:</w:t>
      </w:r>
      <w:hyperlink r:id="rId10">
        <w:r>
          <w:rPr>
            <w:color w:val="0563C1"/>
            <w:sz w:val="20"/>
            <w:szCs w:val="20"/>
            <w:u w:val="single"/>
          </w:rPr>
          <w:t xml:space="preserve"> https://womensmediace</w:t>
        </w:r>
        <w:r>
          <w:rPr>
            <w:color w:val="0563C1"/>
            <w:sz w:val="20"/>
            <w:szCs w:val="20"/>
            <w:u w:val="single"/>
          </w:rPr>
          <w:t>nter.com/women-under-siege/eight-years-after-the-genocidesurvivors-in-iraq-cautiously-anticipate-reparations</w:t>
        </w:r>
      </w:hyperlink>
      <w:r>
        <w:rPr>
          <w:color w:val="000000"/>
          <w:sz w:val="20"/>
          <w:szCs w:val="20"/>
        </w:rPr>
        <w:t>.</w:t>
      </w:r>
    </w:p>
  </w:footnote>
  <w:footnote w:id="28">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YSL Bylaws, Art. 8. Para. 2.</w:t>
      </w:r>
    </w:p>
  </w:footnote>
  <w:footnote w:id="29">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YSL Bylaws, Art. 8. Para. 1.</w:t>
      </w:r>
    </w:p>
  </w:footnote>
  <w:footnote w:id="30">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See Global Survivors Fund, “Iraq: Flexibility is needed for Yazidi Survivors say NGOs,” Press Release, April 13, 2023. Available at:</w:t>
      </w:r>
      <w:hyperlink r:id="rId11">
        <w:r>
          <w:rPr>
            <w:color w:val="0563C1"/>
            <w:sz w:val="20"/>
            <w:szCs w:val="20"/>
            <w:u w:val="single"/>
          </w:rPr>
          <w:t xml:space="preserve"> https://w</w:t>
        </w:r>
        <w:r>
          <w:rPr>
            <w:color w:val="0563C1"/>
            <w:sz w:val="20"/>
            <w:szCs w:val="20"/>
            <w:u w:val="single"/>
          </w:rPr>
          <w:t>ww.globalsurvivorsfund.org/iraq-flexibility-is-needed-for-yazidi-survivors-say-ngos/</w:t>
        </w:r>
      </w:hyperlink>
      <w:r>
        <w:rPr>
          <w:color w:val="000000"/>
          <w:sz w:val="20"/>
          <w:szCs w:val="20"/>
        </w:rPr>
        <w:t>; Nadia’s Initiative, “Nadia Murad’s Statement on the Change to the Eligibility Requirements for the Yazidi Survivors Law,” April 3, 2023. Available at:</w:t>
      </w:r>
      <w:hyperlink r:id="rId12">
        <w:r>
          <w:rPr>
            <w:color w:val="0563C1"/>
            <w:sz w:val="20"/>
            <w:szCs w:val="20"/>
            <w:u w:val="single"/>
          </w:rPr>
          <w:t xml:space="preserve"> https://www.nadiasinitiative.org/news/nadia-murads-statement-on-the-change-to-theeligibilityrequirements-for-the-yazidi-su</w:t>
        </w:r>
        <w:r>
          <w:rPr>
            <w:color w:val="0563C1"/>
            <w:sz w:val="20"/>
            <w:szCs w:val="20"/>
            <w:u w:val="single"/>
          </w:rPr>
          <w:t>rvivors-law</w:t>
        </w:r>
      </w:hyperlink>
      <w:r>
        <w:rPr>
          <w:sz w:val="20"/>
          <w:szCs w:val="20"/>
        </w:rPr>
        <w:t>;</w:t>
      </w:r>
      <w:r>
        <w:rPr>
          <w:color w:val="000000"/>
          <w:sz w:val="20"/>
          <w:szCs w:val="20"/>
        </w:rPr>
        <w:t xml:space="preserve"> Coalition for Just Reparations, “C4JR Urges Committee Established Under Yazidi Survivors Law to Drop Requirement of Filing Criminal Complaint to Receive Reparations,” April 6, 2023. Available at:</w:t>
      </w:r>
      <w:hyperlink r:id="rId13">
        <w:r>
          <w:rPr>
            <w:color w:val="0563C1"/>
            <w:sz w:val="20"/>
            <w:szCs w:val="20"/>
            <w:u w:val="single"/>
          </w:rPr>
          <w:t xml:space="preserve"> https://c4jr.org/0604202327288</w:t>
        </w:r>
      </w:hyperlink>
      <w:r>
        <w:rPr>
          <w:color w:val="000000"/>
          <w:sz w:val="20"/>
          <w:szCs w:val="20"/>
        </w:rPr>
        <w:t>. Coalition for Just Reparations, “NGOs and Experts Raise Concerns over Requirement for Survivors to File Criminal Complaints to Receive Reparation for ISIL Crimes in Iraq,” April 16, 2023. Available at:</w:t>
      </w:r>
      <w:hyperlink r:id="rId14">
        <w:r>
          <w:rPr>
            <w:color w:val="0563C1"/>
            <w:sz w:val="20"/>
            <w:szCs w:val="20"/>
            <w:u w:val="single"/>
          </w:rPr>
          <w:t xml:space="preserve"> https://c4jr.org/1604202327376</w:t>
        </w:r>
      </w:hyperlink>
      <w:r>
        <w:rPr>
          <w:color w:val="000000"/>
          <w:sz w:val="20"/>
          <w:szCs w:val="20"/>
        </w:rPr>
        <w:t>.</w:t>
      </w:r>
    </w:p>
  </w:footnote>
  <w:footnote w:id="31">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YSL Art. 1. Para. 1.</w:t>
      </w:r>
    </w:p>
  </w:footnote>
  <w:footnote w:id="32">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C4JR, “More than Ink on Paper,” 14 March, 2024. Available at: </w:t>
      </w:r>
      <w:hyperlink r:id="rId15">
        <w:r>
          <w:rPr>
            <w:color w:val="0563C1"/>
            <w:sz w:val="20"/>
            <w:szCs w:val="20"/>
            <w:u w:val="single"/>
          </w:rPr>
          <w:t>https://c4jr.org/wp-content/uploads/2024/03/C4JR-Report-2024-Three-Years-After-YSL-1.pdf</w:t>
        </w:r>
      </w:hyperlink>
      <w:r>
        <w:rPr>
          <w:color w:val="000000"/>
          <w:sz w:val="20"/>
          <w:szCs w:val="20"/>
        </w:rPr>
        <w:t xml:space="preserve">. </w:t>
      </w:r>
    </w:p>
    <w:p w:rsidR="00682CD7" w:rsidRDefault="00682CD7">
      <w:pPr>
        <w:pBdr>
          <w:top w:val="nil"/>
          <w:left w:val="nil"/>
          <w:bottom w:val="nil"/>
          <w:right w:val="nil"/>
          <w:between w:val="nil"/>
        </w:pBdr>
        <w:spacing w:after="0" w:line="240" w:lineRule="auto"/>
        <w:rPr>
          <w:color w:val="000000"/>
          <w:sz w:val="20"/>
          <w:szCs w:val="20"/>
        </w:rPr>
      </w:pPr>
    </w:p>
  </w:footnote>
  <w:footnote w:id="33">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Ibid.</w:t>
      </w:r>
    </w:p>
  </w:footnote>
  <w:footnote w:id="34">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See GR 33 para 19(c).</w:t>
      </w:r>
    </w:p>
  </w:footnote>
  <w:footnote w:id="35">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Free Yazidi Foundation, “Strengthening Implementation of the Yazidi [Female] Survivors Law.” May 2024. Available at: </w:t>
      </w:r>
      <w:hyperlink r:id="rId16">
        <w:r>
          <w:rPr>
            <w:color w:val="0563C1"/>
            <w:sz w:val="20"/>
            <w:szCs w:val="20"/>
            <w:u w:val="single"/>
          </w:rPr>
          <w:t>https://freeyezidi.org/wp-content/uploads/2024/06/FYF_Leitner_YSL_Report.pdf</w:t>
        </w:r>
      </w:hyperlink>
      <w:r>
        <w:rPr>
          <w:color w:val="000000"/>
          <w:sz w:val="20"/>
          <w:szCs w:val="20"/>
        </w:rPr>
        <w:t>.</w:t>
      </w:r>
    </w:p>
  </w:footnote>
  <w:footnote w:id="36">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GR 33 para 14(d).</w:t>
      </w:r>
    </w:p>
  </w:footnote>
  <w:footnote w:id="37">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YSL Art. 1. Para. 1.</w:t>
      </w:r>
    </w:p>
  </w:footnote>
  <w:footnote w:id="38">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See C4JR YSL Newsletter, Issue 3, October 2023. </w:t>
      </w:r>
      <w:r>
        <w:rPr>
          <w:color w:val="000000"/>
          <w:sz w:val="20"/>
          <w:szCs w:val="20"/>
        </w:rPr>
        <w:t>Accessible at:</w:t>
      </w:r>
      <w:hyperlink r:id="rId17">
        <w:r>
          <w:rPr>
            <w:color w:val="0563C1"/>
            <w:sz w:val="20"/>
            <w:szCs w:val="20"/>
            <w:u w:val="single"/>
          </w:rPr>
          <w:t xml:space="preserve"> https://c4jr.org/wpcontent/uploads/2023/11/C4JR-NL_3ENG.pdf</w:t>
        </w:r>
      </w:hyperlink>
      <w:r>
        <w:rPr>
          <w:color w:val="000000"/>
          <w:sz w:val="20"/>
          <w:szCs w:val="20"/>
        </w:rPr>
        <w:t>.</w:t>
      </w:r>
    </w:p>
  </w:footnote>
  <w:footnote w:id="39">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See C4JR YSL Newsletter, Issue 4, December 2023. Accessible at:</w:t>
      </w:r>
      <w:hyperlink r:id="rId18">
        <w:r>
          <w:rPr>
            <w:color w:val="0563C1"/>
            <w:sz w:val="20"/>
            <w:szCs w:val="20"/>
            <w:u w:val="single"/>
          </w:rPr>
          <w:t xml:space="preserve"> https://c4jr.org/wpcontent/uploads/2023/12/C4JR-NL_4ENG.pdf</w:t>
        </w:r>
      </w:hyperlink>
      <w:r>
        <w:rPr>
          <w:color w:val="000000"/>
          <w:sz w:val="20"/>
          <w:szCs w:val="20"/>
        </w:rPr>
        <w:t>.</w:t>
      </w:r>
    </w:p>
    <w:p w:rsidR="00682CD7" w:rsidRDefault="00682CD7">
      <w:pPr>
        <w:pBdr>
          <w:top w:val="nil"/>
          <w:left w:val="nil"/>
          <w:bottom w:val="nil"/>
          <w:right w:val="nil"/>
          <w:between w:val="nil"/>
        </w:pBdr>
        <w:spacing w:after="0" w:line="240" w:lineRule="auto"/>
        <w:rPr>
          <w:color w:val="000000"/>
          <w:sz w:val="20"/>
          <w:szCs w:val="20"/>
        </w:rPr>
      </w:pPr>
    </w:p>
  </w:footnote>
  <w:footnote w:id="40">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Namely, in two cases, the International Criminal Court has recognized that children born as a result of crimes suc</w:t>
      </w:r>
      <w:r>
        <w:rPr>
          <w:color w:val="000000"/>
          <w:sz w:val="20"/>
          <w:szCs w:val="20"/>
        </w:rPr>
        <w:t xml:space="preserve">h as forced marriage, rape, and sexual slavery are also considered victims following arguments submitted by the victims in these cases. See, Fiona McKay, Guidelines for Victim Participation in Justice Processes, February 2025 available at: </w:t>
      </w:r>
      <w:hyperlink r:id="rId19">
        <w:r>
          <w:rPr>
            <w:color w:val="0563C1"/>
            <w:sz w:val="20"/>
            <w:szCs w:val="20"/>
            <w:u w:val="single"/>
          </w:rPr>
          <w:t>https://www.impunitywatch.org/wp-content/uploads/2025/03/INOVAS-Guidelines-English-FINAL-1.pdf</w:t>
        </w:r>
      </w:hyperlink>
      <w:r>
        <w:rPr>
          <w:color w:val="000000"/>
          <w:sz w:val="20"/>
          <w:szCs w:val="20"/>
        </w:rPr>
        <w:t xml:space="preserve">. </w:t>
      </w:r>
    </w:p>
    <w:p w:rsidR="00682CD7" w:rsidRDefault="00682CD7">
      <w:pPr>
        <w:pBdr>
          <w:top w:val="nil"/>
          <w:left w:val="nil"/>
          <w:bottom w:val="nil"/>
          <w:right w:val="nil"/>
          <w:between w:val="nil"/>
        </w:pBdr>
        <w:spacing w:after="0" w:line="240" w:lineRule="auto"/>
        <w:rPr>
          <w:color w:val="000000"/>
          <w:sz w:val="20"/>
          <w:szCs w:val="20"/>
        </w:rPr>
      </w:pPr>
    </w:p>
  </w:footnote>
  <w:footnote w:id="41">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CEDAW GR 33 para 20(a).</w:t>
      </w:r>
    </w:p>
  </w:footnote>
  <w:footnote w:id="42">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International Organization for Migration. “Toward Comprehensive Rehabilitation: Mental Health Service Referral System Launched for Genocide Survivors in Iraq.” March 28, 2023. Available at:</w:t>
      </w:r>
      <w:hyperlink r:id="rId20">
        <w:r>
          <w:rPr>
            <w:color w:val="0563C1"/>
            <w:sz w:val="20"/>
            <w:szCs w:val="20"/>
            <w:u w:val="single"/>
          </w:rPr>
          <w:t xml:space="preserve"> https://iraq.iom.int/news/towardcomprehensive-rehabilitation-mental-health-service-referral-system-launched-genocide-survivors-iraq</w:t>
        </w:r>
      </w:hyperlink>
      <w:r>
        <w:rPr>
          <w:color w:val="000000"/>
          <w:sz w:val="20"/>
          <w:szCs w:val="20"/>
        </w:rPr>
        <w:t>.</w:t>
      </w:r>
    </w:p>
    <w:p w:rsidR="00682CD7" w:rsidRDefault="00682CD7">
      <w:pPr>
        <w:pBdr>
          <w:top w:val="nil"/>
          <w:left w:val="nil"/>
          <w:bottom w:val="nil"/>
          <w:right w:val="nil"/>
          <w:between w:val="nil"/>
        </w:pBdr>
        <w:spacing w:after="0" w:line="240" w:lineRule="auto"/>
        <w:rPr>
          <w:color w:val="000000"/>
          <w:sz w:val="20"/>
          <w:szCs w:val="20"/>
        </w:rPr>
      </w:pPr>
    </w:p>
  </w:footnote>
  <w:footnote w:id="43">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YSL Bylaws Art. 3. Para. 1.A.</w:t>
      </w:r>
    </w:p>
  </w:footnote>
  <w:footnote w:id="44">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Gl</w:t>
      </w:r>
      <w:r>
        <w:rPr>
          <w:color w:val="000000"/>
          <w:sz w:val="20"/>
          <w:szCs w:val="20"/>
        </w:rPr>
        <w:t xml:space="preserve">obal Survivors Fund, </w:t>
      </w:r>
      <w:proofErr w:type="spellStart"/>
      <w:r>
        <w:rPr>
          <w:color w:val="000000"/>
          <w:sz w:val="20"/>
          <w:szCs w:val="20"/>
        </w:rPr>
        <w:t>Yazda</w:t>
      </w:r>
      <w:proofErr w:type="spellEnd"/>
      <w:r>
        <w:rPr>
          <w:color w:val="000000"/>
          <w:sz w:val="20"/>
          <w:szCs w:val="20"/>
        </w:rPr>
        <w:t xml:space="preserve">, and Farida Global Organization, “Access to education as a form of reparation for survivors of ISIS captivity in Iraq”. April 2025. Available at: </w:t>
      </w:r>
      <w:hyperlink r:id="rId21">
        <w:r>
          <w:rPr>
            <w:color w:val="0563C1"/>
            <w:sz w:val="20"/>
            <w:szCs w:val="20"/>
            <w:u w:val="single"/>
          </w:rPr>
          <w:t>https://www.globalsurvivorsfund.org/fileadmin/uploads/gsf/Documents/Resources/Reports/Task_Team_Report_Iraq_April2025_EN_web.pdf</w:t>
        </w:r>
      </w:hyperlink>
      <w:r>
        <w:rPr>
          <w:sz w:val="20"/>
          <w:szCs w:val="20"/>
        </w:rPr>
        <w:t>.</w:t>
      </w:r>
    </w:p>
  </w:footnote>
  <w:footnote w:id="45">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Ibid. </w:t>
      </w:r>
    </w:p>
  </w:footnote>
  <w:footnote w:id="46">
    <w:p w:rsidR="00682CD7" w:rsidRDefault="00476449">
      <w:pPr>
        <w:spacing w:line="240" w:lineRule="auto"/>
        <w:rPr>
          <w:color w:val="000000"/>
          <w:sz w:val="20"/>
          <w:szCs w:val="20"/>
        </w:rPr>
      </w:pPr>
      <w:r>
        <w:rPr>
          <w:vertAlign w:val="superscript"/>
        </w:rPr>
        <w:footnoteRef/>
      </w:r>
      <w:r>
        <w:t xml:space="preserve"> </w:t>
      </w:r>
      <w:r>
        <w:rPr>
          <w:sz w:val="20"/>
          <w:szCs w:val="20"/>
        </w:rPr>
        <w:t>Inter-Agency Standing Committee (IASC), “Framework</w:t>
      </w:r>
      <w:r>
        <w:rPr>
          <w:sz w:val="20"/>
          <w:szCs w:val="20"/>
        </w:rPr>
        <w:t xml:space="preserve"> on Durable Solutions for Internally Displaced Persons,” April 2010, pg. 15. Available at:</w:t>
      </w:r>
      <w:hyperlink r:id="rId22">
        <w:r>
          <w:rPr>
            <w:color w:val="1155CC"/>
            <w:sz w:val="20"/>
            <w:szCs w:val="20"/>
            <w:u w:val="single"/>
          </w:rPr>
          <w:t>https://www.unhcr.org/sites/default/files/legacy-pdf/50f94cd49.pdf</w:t>
        </w:r>
      </w:hyperlink>
      <w:r>
        <w:rPr>
          <w:sz w:val="20"/>
          <w:szCs w:val="20"/>
        </w:rPr>
        <w:t xml:space="preserve">. </w:t>
      </w:r>
    </w:p>
  </w:footnote>
  <w:footnote w:id="47">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Coalition</w:t>
      </w:r>
      <w:r>
        <w:rPr>
          <w:color w:val="000000"/>
          <w:sz w:val="20"/>
          <w:szCs w:val="20"/>
        </w:rPr>
        <w:t xml:space="preserve"> for Just Reparations, 10 Demand, 10 Years After the Genocide by ISIL (2024), pg. 18-19, </w:t>
      </w:r>
      <w:hyperlink r:id="rId23">
        <w:r>
          <w:rPr>
            <w:color w:val="1155CC"/>
            <w:sz w:val="20"/>
            <w:szCs w:val="20"/>
            <w:u w:val="single"/>
          </w:rPr>
          <w:t>https://c4jr.org/wp-content/uploads/2024/08/10</w:t>
        </w:r>
        <w:r>
          <w:rPr>
            <w:color w:val="1155CC"/>
            <w:sz w:val="20"/>
            <w:szCs w:val="20"/>
            <w:u w:val="single"/>
          </w:rPr>
          <w:t>-Demands-10-Years-After-the-Genocideby-ISIL_English.pdf</w:t>
        </w:r>
      </w:hyperlink>
      <w:r>
        <w:rPr>
          <w:color w:val="000000"/>
          <w:sz w:val="20"/>
          <w:szCs w:val="20"/>
        </w:rPr>
        <w:t xml:space="preserve">.  </w:t>
      </w:r>
    </w:p>
  </w:footnote>
  <w:footnote w:id="48">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YSL Art. 5. Para. 9.</w:t>
      </w:r>
    </w:p>
  </w:footnote>
  <w:footnote w:id="49">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For more details on C4JR members’ consensus on the legal, policy, and practical contours a criminal accountability mechanism for ISIL should be based upon, see C4JR </w:t>
      </w:r>
      <w:r>
        <w:rPr>
          <w:i/>
          <w:iCs/>
          <w:color w:val="000000"/>
          <w:sz w:val="20"/>
          <w:szCs w:val="20"/>
        </w:rPr>
        <w:t>Positio</w:t>
      </w:r>
      <w:r>
        <w:rPr>
          <w:i/>
          <w:iCs/>
          <w:color w:val="000000"/>
          <w:sz w:val="20"/>
          <w:szCs w:val="20"/>
        </w:rPr>
        <w:t>n Paper on an ISIL Accountability Mechanism in Iraq</w:t>
      </w:r>
      <w:r>
        <w:rPr>
          <w:color w:val="000000"/>
          <w:sz w:val="20"/>
          <w:szCs w:val="20"/>
        </w:rPr>
        <w:t>. August 2022. Accessible at:</w:t>
      </w:r>
      <w:hyperlink r:id="rId24">
        <w:r>
          <w:rPr>
            <w:color w:val="0563C1"/>
            <w:sz w:val="20"/>
            <w:szCs w:val="20"/>
            <w:u w:val="single"/>
          </w:rPr>
          <w:t xml:space="preserve"> https://c4jr.org/wp-content/uploads/2022/08/Final-po</w:t>
        </w:r>
        <w:r>
          <w:rPr>
            <w:color w:val="0563C1"/>
            <w:sz w:val="20"/>
            <w:szCs w:val="20"/>
            <w:u w:val="single"/>
          </w:rPr>
          <w:t>sition-paper-ISIL-mechanismENG_FINAL_Hyperlinks.pdf</w:t>
        </w:r>
      </w:hyperlink>
      <w:r>
        <w:rPr>
          <w:color w:val="000000"/>
          <w:sz w:val="20"/>
          <w:szCs w:val="20"/>
        </w:rPr>
        <w:t xml:space="preserve">. </w:t>
      </w:r>
    </w:p>
  </w:footnote>
  <w:footnote w:id="50">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GR 33 para 51(g).</w:t>
      </w:r>
    </w:p>
  </w:footnote>
  <w:footnote w:id="51">
    <w:p w:rsidR="00682CD7" w:rsidRDefault="0047644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Coalition for Just Reparations, “C4JR Statement on the Potential Inclusion of Perpetrators of Mass Atrocity Crimes under the General Amnesty Law,” November 4, 2025. Available at:</w:t>
      </w:r>
      <w:hyperlink r:id="rId25" w:anchor=":~:text=This%20prosecutorial%20gap%20has%20made,3">
        <w:r>
          <w:rPr>
            <w:color w:val="0563C1"/>
            <w:sz w:val="20"/>
            <w:szCs w:val="20"/>
            <w:u w:val="single"/>
          </w:rPr>
          <w:t xml:space="preserve"> https://c4jr.org/0411202530544#:~:text=This%20prosecutorial%20gap%20has%20made,3</w:t>
        </w:r>
      </w:hyperlink>
      <w:r>
        <w:rPr>
          <w:color w:val="000000"/>
          <w:sz w:val="20"/>
          <w:szCs w:val="20"/>
        </w:rPr>
        <w:t>.</w:t>
      </w:r>
    </w:p>
    <w:p w:rsidR="00682CD7" w:rsidRDefault="00682CD7">
      <w:pPr>
        <w:pBdr>
          <w:top w:val="nil"/>
          <w:left w:val="nil"/>
          <w:bottom w:val="nil"/>
          <w:right w:val="nil"/>
          <w:between w:val="nil"/>
        </w:pBdr>
        <w:spacing w:after="0" w:line="240" w:lineRule="auto"/>
        <w:rPr>
          <w:color w:val="000000"/>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B43263"/>
    <w:multiLevelType w:val="multilevel"/>
    <w:tmpl w:val="9F4215F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E137318"/>
    <w:multiLevelType w:val="multilevel"/>
    <w:tmpl w:val="712C466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2CD7"/>
    <w:rsid w:val="000803D7"/>
    <w:rsid w:val="00476449"/>
    <w:rsid w:val="00682CD7"/>
    <w:rsid w:val="00700C7C"/>
    <w:rsid w:val="00B30DE5"/>
    <w:rsid w:val="00BE4F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4:docId w14:val="60D842F2"/>
  <w15:docId w15:val="{88A71303-81A8-DB48-B218-46952D4D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en" w:eastAsia="de-DE" w:bidi="ar-SA"/>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paragraph" w:styleId="berschrift1">
    <w:name w:val="heading 1"/>
    <w:basedOn w:val="Standard"/>
    <w:next w:val="Standard"/>
    <w:uiPriority w:val="9"/>
    <w:qFormat/>
    <w:pPr>
      <w:keepNext/>
      <w:keepLines/>
      <w:spacing w:before="360" w:after="80"/>
      <w:outlineLvl w:val="0"/>
    </w:pPr>
    <w:rPr>
      <w:color w:val="2F5496"/>
      <w:sz w:val="40"/>
      <w:szCs w:val="40"/>
    </w:rPr>
  </w:style>
  <w:style w:type="paragraph" w:styleId="berschrift2">
    <w:name w:val="heading 2"/>
    <w:basedOn w:val="Standard"/>
    <w:next w:val="Standard"/>
    <w:uiPriority w:val="9"/>
    <w:unhideWhenUsed/>
    <w:qFormat/>
    <w:pPr>
      <w:keepNext/>
      <w:keepLines/>
      <w:spacing w:before="160" w:after="80"/>
      <w:outlineLvl w:val="1"/>
    </w:pPr>
    <w:rPr>
      <w:color w:val="2F5496"/>
      <w:sz w:val="32"/>
      <w:szCs w:val="32"/>
    </w:rPr>
  </w:style>
  <w:style w:type="paragraph" w:styleId="berschrift3">
    <w:name w:val="heading 3"/>
    <w:basedOn w:val="Standard"/>
    <w:next w:val="Standard"/>
    <w:uiPriority w:val="9"/>
    <w:unhideWhenUsed/>
    <w:qFormat/>
    <w:pPr>
      <w:keepNext/>
      <w:keepLines/>
      <w:spacing w:before="160" w:after="80"/>
      <w:outlineLvl w:val="2"/>
    </w:pPr>
    <w:rPr>
      <w:color w:val="2F5496"/>
      <w:sz w:val="28"/>
      <w:szCs w:val="28"/>
    </w:rPr>
  </w:style>
  <w:style w:type="paragraph" w:styleId="berschrift4">
    <w:name w:val="heading 4"/>
    <w:basedOn w:val="Standard"/>
    <w:next w:val="Standard"/>
    <w:uiPriority w:val="9"/>
    <w:unhideWhenUsed/>
    <w:qFormat/>
    <w:pPr>
      <w:keepNext/>
      <w:keepLines/>
      <w:spacing w:before="80" w:after="40"/>
      <w:outlineLvl w:val="3"/>
    </w:pPr>
    <w:rPr>
      <w:i/>
      <w:iCs/>
      <w:color w:val="2F5496"/>
    </w:rPr>
  </w:style>
  <w:style w:type="paragraph" w:styleId="berschrift5">
    <w:name w:val="heading 5"/>
    <w:basedOn w:val="Standard"/>
    <w:next w:val="Standard"/>
    <w:uiPriority w:val="9"/>
    <w:semiHidden/>
    <w:unhideWhenUsed/>
    <w:qFormat/>
    <w:pPr>
      <w:keepNext/>
      <w:keepLines/>
      <w:spacing w:before="80" w:after="40"/>
      <w:outlineLvl w:val="4"/>
    </w:pPr>
    <w:rPr>
      <w:color w:val="2F5496"/>
    </w:rPr>
  </w:style>
  <w:style w:type="paragraph" w:styleId="berschrift6">
    <w:name w:val="heading 6"/>
    <w:basedOn w:val="Standard"/>
    <w:next w:val="Standard"/>
    <w:uiPriority w:val="9"/>
    <w:semiHidden/>
    <w:unhideWhenUsed/>
    <w:qFormat/>
    <w:pPr>
      <w:keepNext/>
      <w:keepLines/>
      <w:spacing w:before="40" w:after="0"/>
      <w:outlineLvl w:val="5"/>
    </w:pPr>
    <w:rPr>
      <w:i/>
      <w:iCs/>
      <w:color w:val="595959"/>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el">
    <w:name w:val="Title"/>
    <w:basedOn w:val="Standard"/>
    <w:next w:val="Standard"/>
    <w:uiPriority w:val="10"/>
    <w:qFormat/>
    <w:pPr>
      <w:spacing w:after="80" w:line="240" w:lineRule="auto"/>
    </w:pPr>
    <w:rPr>
      <w:sz w:val="56"/>
      <w:szCs w:val="56"/>
    </w:rPr>
  </w:style>
  <w:style w:type="paragraph" w:styleId="Untertitel">
    <w:name w:val="Subtitle"/>
    <w:basedOn w:val="Standard"/>
    <w:next w:val="Standard"/>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c4jr.org/" TargetMode="Externa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hyperlink" Target="https://jiyan.or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iyan.org/" TargetMode="External"/><Relationship Id="rId5" Type="http://schemas.openxmlformats.org/officeDocument/2006/relationships/footnotes" Target="footnotes.xml"/><Relationship Id="rId15" Type="http://schemas.openxmlformats.org/officeDocument/2006/relationships/hyperlink" Target="mailto:b.gavrilovic@jiyan-foundation.org" TargetMode="External"/><Relationship Id="rId10" Type="http://schemas.openxmlformats.org/officeDocument/2006/relationships/hyperlink" Target="https://jiyan.org/" TargetMode="Externa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c4jr.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facebook.com/permalink.php?story_fbid=pfbid0giASt8pg4Jgkg2L9xDuBPVddWmcT2ixwmoBxR8q5wis6bYHcWmw1s6fpvb9MMzjhl&amp;id=100076062182514" TargetMode="External"/><Relationship Id="rId13" Type="http://schemas.openxmlformats.org/officeDocument/2006/relationships/hyperlink" Target="https://c4jr.org/0604202327288" TargetMode="External"/><Relationship Id="rId18" Type="http://schemas.openxmlformats.org/officeDocument/2006/relationships/hyperlink" Target="https://c4jr.org/wpcontent/uploads/2023/12/C4JR-NL_4ENG.pdf" TargetMode="External"/><Relationship Id="rId3" Type="http://schemas.openxmlformats.org/officeDocument/2006/relationships/hyperlink" Target="https://www.unitad.un.org/sites/www.unitad.un.org/files/scgb_report_e-report_en-.pdf" TargetMode="External"/><Relationship Id="rId21" Type="http://schemas.openxmlformats.org/officeDocument/2006/relationships/hyperlink" Target="https://www.globalsurvivorsfund.org/fileadmin/uploads/gsf/Documents/Resources/Reports/Task_Team_Report_Iraq_April2025_EN_web.pdf" TargetMode="External"/><Relationship Id="rId7" Type="http://schemas.openxmlformats.org/officeDocument/2006/relationships/hyperlink" Target="https://www.refworld.org/legal/legislation/natlegbod/1969/en/103522" TargetMode="External"/><Relationship Id="rId12" Type="http://schemas.openxmlformats.org/officeDocument/2006/relationships/hyperlink" Target="https://www.nadiasinitiative.org/news/nadia-murads-statement-on-the-change-to-theeligibilityrequirements-for-the-yazidi-survivors-law" TargetMode="External"/><Relationship Id="rId17" Type="http://schemas.openxmlformats.org/officeDocument/2006/relationships/hyperlink" Target="https://c4jr.org/wpcontent/uploads/2023/11/C4JR-NL_3ENG.pdf" TargetMode="External"/><Relationship Id="rId25" Type="http://schemas.openxmlformats.org/officeDocument/2006/relationships/hyperlink" Target="https://c4jr.org/0411202530544" TargetMode="External"/><Relationship Id="rId2" Type="http://schemas.openxmlformats.org/officeDocument/2006/relationships/hyperlink" Target="https://www.hrw.org/news/2014/06/27/iraq-isis-kidnaps-shia-turkmen-destroys-shrines" TargetMode="External"/><Relationship Id="rId16" Type="http://schemas.openxmlformats.org/officeDocument/2006/relationships/hyperlink" Target="https://freeyezidi.org/wp-content/uploads/2024/06/FYF_Leitner_YSL_Report.pdf" TargetMode="External"/><Relationship Id="rId20" Type="http://schemas.openxmlformats.org/officeDocument/2006/relationships/hyperlink" Target="https://iraq.iom.int/news/towardcomprehensive-rehabilitation-mental-health-service-referral-system-launched-genocide-survivors-iraq" TargetMode="External"/><Relationship Id="rId1" Type="http://schemas.openxmlformats.org/officeDocument/2006/relationships/hyperlink" Target="https://www.unitad.un.org/sites/www.unitad.un.org/files/scgb_report_e-report_en-.pdf" TargetMode="External"/><Relationship Id="rId6" Type="http://schemas.openxmlformats.org/officeDocument/2006/relationships/hyperlink" Target="https://c4jr.org/ysl" TargetMode="External"/><Relationship Id="rId11" Type="http://schemas.openxmlformats.org/officeDocument/2006/relationships/hyperlink" Target="https://www.globalsurvivorsfund.org/iraq-flexibility-is-needed-for-yazidi-survivors-say-ngos/" TargetMode="External"/><Relationship Id="rId24" Type="http://schemas.openxmlformats.org/officeDocument/2006/relationships/hyperlink" Target="https://c4jr.org/wp-content/uploads/2022/08/Final-position-paper-ISIL-mechanismENG_FINAL_Hyperlinks.pdf" TargetMode="External"/><Relationship Id="rId5" Type="http://schemas.openxmlformats.org/officeDocument/2006/relationships/hyperlink" Target="https://www.hrw.org/news/2024/07/15/human-rights-watchs-universal-periodic-review-submission-iraq" TargetMode="External"/><Relationship Id="rId15" Type="http://schemas.openxmlformats.org/officeDocument/2006/relationships/hyperlink" Target="https://c4jr.org/wp-content/uploads/2024/03/C4JR-Report-2024-Three-Years-After-YSL-1.pdf" TargetMode="External"/><Relationship Id="rId23" Type="http://schemas.openxmlformats.org/officeDocument/2006/relationships/hyperlink" Target="https://c4jr.org/wp-content/uploads/2024/08/10-Demands-10-Years-After-the-Genocideby-ISIL_English.pdf" TargetMode="External"/><Relationship Id="rId10" Type="http://schemas.openxmlformats.org/officeDocument/2006/relationships/hyperlink" Target="https://womensmediacenter.com/women-under-siege/eight-years-after-the-genocidesurvivors-in-iraq-cautiously-anticipate-reparations" TargetMode="External"/><Relationship Id="rId19" Type="http://schemas.openxmlformats.org/officeDocument/2006/relationships/hyperlink" Target="https://www.impunitywatch.org/wp-content/uploads/2025/03/INOVAS-Guidelines-English-FINAL-1.pdf" TargetMode="External"/><Relationship Id="rId4" Type="http://schemas.openxmlformats.org/officeDocument/2006/relationships/hyperlink" Target="https://www.ohchr.org/en/documents/country-reports/report-promotion-and-protection-rights-victims-sexual-violence-captured" TargetMode="External"/><Relationship Id="rId9" Type="http://schemas.openxmlformats.org/officeDocument/2006/relationships/hyperlink" Target="https://iraq.iom.int/sites/g/files/tmzbdl1316/files/202209/ENG%20Factsheet%20YSL%20Application%20Process" TargetMode="External"/><Relationship Id="rId14" Type="http://schemas.openxmlformats.org/officeDocument/2006/relationships/hyperlink" Target="https://c4jr.org/1604202327376" TargetMode="External"/><Relationship Id="rId22" Type="http://schemas.openxmlformats.org/officeDocument/2006/relationships/hyperlink" Target="https://www.unhcr.org/sites/default/files/legacy-pdf/50f94cd4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2026-01-08T13:04:48+00:00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7B934D7-ABA4-4D7C-A512-E8A09DCFBB23}"/>
</file>

<file path=customXml/itemProps2.xml><?xml version="1.0" encoding="utf-8"?>
<ds:datastoreItem xmlns:ds="http://schemas.openxmlformats.org/officeDocument/2006/customXml" ds:itemID="{4813A3D6-31D9-4B1A-96B7-59387690B306}"/>
</file>

<file path=customXml/itemProps3.xml><?xml version="1.0" encoding="utf-8"?>
<ds:datastoreItem xmlns:ds="http://schemas.openxmlformats.org/officeDocument/2006/customXml" ds:itemID="{0DE50D7C-B28A-428F-AE82-784C360E3A57}"/>
</file>

<file path=docProps/app.xml><?xml version="1.0" encoding="utf-8"?>
<Properties xmlns="http://schemas.openxmlformats.org/officeDocument/2006/extended-properties" xmlns:vt="http://schemas.openxmlformats.org/officeDocument/2006/docPropsVTypes">
  <Template>Normal.dotm</Template>
  <TotalTime>0</TotalTime>
  <Pages>18</Pages>
  <Words>6106</Words>
  <Characters>38472</Characters>
  <Application>Microsoft Office Word</Application>
  <DocSecurity>0</DocSecurity>
  <Lines>320</Lines>
  <Paragraphs>88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44490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Office-Benutzer</cp:lastModifiedBy>
  <cp:revision>3</cp:revision>
  <dcterms:created xsi:type="dcterms:W3CDTF">2026-01-05T14:44:00Z</dcterms:created>
  <dcterms:modified xsi:type="dcterms:W3CDTF">2026-01-05T14:47:00Z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