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6EF8A" w14:textId="77777777" w:rsidR="004F12D2" w:rsidRDefault="004F12D2" w:rsidP="00EC4AA3">
      <w:pPr>
        <w:pStyle w:val="Title"/>
      </w:pPr>
      <w:bookmarkStart w:id="0" w:name="_GoBack"/>
      <w:bookmarkEnd w:id="0"/>
    </w:p>
    <w:p w14:paraId="72A03967" w14:textId="2083777C" w:rsidR="00C94330" w:rsidRPr="00EC4AA3" w:rsidRDefault="0093110B" w:rsidP="00C94330">
      <w:pPr>
        <w:pStyle w:val="Title"/>
        <w:jc w:val="center"/>
        <w:rPr>
          <w:sz w:val="36"/>
          <w:szCs w:val="36"/>
        </w:rPr>
      </w:pPr>
      <w:bookmarkStart w:id="1" w:name="_Toc12626226"/>
      <w:bookmarkStart w:id="2" w:name="_Toc23330162"/>
      <w:bookmarkStart w:id="3" w:name="_Hlk55551521"/>
      <w:r>
        <w:rPr>
          <w:sz w:val="36"/>
          <w:szCs w:val="36"/>
        </w:rPr>
        <w:t>Peru</w:t>
      </w:r>
      <w:r w:rsidR="006D3E1B">
        <w:rPr>
          <w:sz w:val="36"/>
          <w:szCs w:val="36"/>
        </w:rPr>
        <w:t>:</w:t>
      </w:r>
      <w:r w:rsidR="004F12D2" w:rsidRPr="00EC4AA3">
        <w:rPr>
          <w:sz w:val="36"/>
          <w:szCs w:val="36"/>
        </w:rPr>
        <w:t xml:space="preserve"> </w:t>
      </w:r>
      <w:bookmarkEnd w:id="1"/>
      <w:bookmarkEnd w:id="2"/>
      <w:r w:rsidR="00CF6259" w:rsidRPr="00EC4AA3">
        <w:rPr>
          <w:sz w:val="36"/>
          <w:szCs w:val="36"/>
        </w:rPr>
        <w:t>A Brief on</w:t>
      </w:r>
    </w:p>
    <w:p w14:paraId="07C70E12" w14:textId="570180AC" w:rsidR="004F12D2" w:rsidRDefault="00CF6259" w:rsidP="00EC4AA3">
      <w:pPr>
        <w:pStyle w:val="Title"/>
        <w:jc w:val="center"/>
        <w:rPr>
          <w:sz w:val="36"/>
          <w:szCs w:val="36"/>
        </w:rPr>
      </w:pPr>
      <w:r w:rsidRPr="00EC4AA3">
        <w:rPr>
          <w:sz w:val="36"/>
          <w:szCs w:val="36"/>
        </w:rPr>
        <w:t xml:space="preserve">Constitutional Guarantees to </w:t>
      </w:r>
      <w:r w:rsidR="008A6EA3">
        <w:rPr>
          <w:sz w:val="36"/>
          <w:szCs w:val="36"/>
        </w:rPr>
        <w:t xml:space="preserve">Equality and </w:t>
      </w:r>
      <w:r w:rsidRPr="00EC4AA3">
        <w:rPr>
          <w:sz w:val="36"/>
          <w:szCs w:val="36"/>
        </w:rPr>
        <w:t>Non-Discrimination</w:t>
      </w:r>
      <w:r w:rsidR="00771E00">
        <w:rPr>
          <w:sz w:val="36"/>
          <w:szCs w:val="36"/>
        </w:rPr>
        <w:t xml:space="preserve"> </w:t>
      </w:r>
    </w:p>
    <w:p w14:paraId="210D47A1" w14:textId="77777777" w:rsidR="00571806" w:rsidRPr="0066528C" w:rsidRDefault="00571806" w:rsidP="00571806">
      <w:pPr>
        <w:keepNext/>
        <w:keepLines/>
        <w:spacing w:before="0" w:after="10"/>
        <w:jc w:val="center"/>
        <w:outlineLvl w:val="0"/>
        <w:rPr>
          <w:rFonts w:asciiTheme="majorHAnsi" w:eastAsiaTheme="majorEastAsia" w:hAnsiTheme="majorHAnsi" w:cstheme="majorBidi"/>
          <w:iCs/>
          <w:color w:val="4A66AC" w:themeColor="accent1"/>
          <w:sz w:val="28"/>
          <w:szCs w:val="28"/>
        </w:rPr>
      </w:pPr>
      <w:r w:rsidRPr="0066528C">
        <w:rPr>
          <w:rFonts w:asciiTheme="majorHAnsi" w:eastAsiaTheme="majorEastAsia" w:hAnsiTheme="majorHAnsi" w:cstheme="majorBidi"/>
          <w:iCs/>
          <w:color w:val="4A66AC" w:themeColor="accent1"/>
          <w:sz w:val="28"/>
          <w:szCs w:val="28"/>
        </w:rPr>
        <w:t>(Article 2, General Comment No. 5)</w:t>
      </w:r>
    </w:p>
    <w:p w14:paraId="6FB22A4A" w14:textId="77777777" w:rsidR="00571806" w:rsidRPr="00571806" w:rsidRDefault="00571806" w:rsidP="00571806"/>
    <w:bookmarkEnd w:id="3"/>
    <w:p w14:paraId="7A738082" w14:textId="77777777" w:rsidR="004F12D2" w:rsidRPr="0024558B" w:rsidRDefault="004F12D2" w:rsidP="00437B1F">
      <w:pPr>
        <w:rPr>
          <w:color w:val="253356" w:themeColor="accent1" w:themeShade="80"/>
        </w:rPr>
      </w:pPr>
    </w:p>
    <w:p w14:paraId="3C15EF5E"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84593416"/>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p>
    <w:p w14:paraId="11B73A38" w14:textId="77777777" w:rsidR="006A4BD5" w:rsidRPr="0024558B" w:rsidRDefault="006A4BD5" w:rsidP="006A4BD5">
      <w:pPr>
        <w:jc w:val="center"/>
        <w:rPr>
          <w:color w:val="4A66AC" w:themeColor="accent1"/>
        </w:rPr>
      </w:pPr>
      <w:bookmarkStart w:id="10" w:name="_Toc104489993"/>
      <w:bookmarkStart w:id="11" w:name="_Toc77768587"/>
      <w:bookmarkStart w:id="12" w:name="_Toc56080052"/>
      <w:bookmarkStart w:id="13" w:name="_Toc56080002"/>
      <w:bookmarkStart w:id="14" w:name="_Toc23330164"/>
      <w:bookmarkStart w:id="15" w:name="_Toc12626228"/>
      <w:bookmarkEnd w:id="9"/>
      <w:r>
        <w:rPr>
          <w:rFonts w:asciiTheme="majorHAnsi" w:eastAsiaTheme="majorEastAsia" w:hAnsiTheme="majorHAnsi" w:cstheme="majorBidi"/>
          <w:i/>
          <w:iCs/>
          <w:color w:val="4A66AC" w:themeColor="accent1"/>
          <w:sz w:val="24"/>
          <w:szCs w:val="24"/>
        </w:rPr>
        <w:t>71</w:t>
      </w:r>
      <w:r w:rsidRPr="005C6D44">
        <w:rPr>
          <w:rFonts w:asciiTheme="majorHAnsi" w:eastAsiaTheme="majorEastAsia" w:hAnsiTheme="majorHAnsi" w:cstheme="majorBidi"/>
          <w:i/>
          <w:iCs/>
          <w:color w:val="4A66AC" w:themeColor="accent1"/>
          <w:sz w:val="24"/>
          <w:szCs w:val="24"/>
          <w:vertAlign w:val="superscript"/>
        </w:rPr>
        <w:t>st</w:t>
      </w:r>
      <w:r>
        <w:rPr>
          <w:rFonts w:asciiTheme="majorHAnsi" w:eastAsiaTheme="majorEastAsia" w:hAnsiTheme="majorHAnsi" w:cstheme="majorBidi"/>
          <w:i/>
          <w:iCs/>
          <w:color w:val="4A66AC" w:themeColor="accent1"/>
          <w:sz w:val="24"/>
          <w:szCs w:val="24"/>
        </w:rPr>
        <w:t xml:space="preserve"> Pre-Sessional Working Group, </w:t>
      </w:r>
      <w:bookmarkEnd w:id="10"/>
      <w:bookmarkEnd w:id="11"/>
      <w:bookmarkEnd w:id="12"/>
      <w:bookmarkEnd w:id="13"/>
      <w:bookmarkEnd w:id="14"/>
      <w:bookmarkEnd w:id="15"/>
      <w:r>
        <w:rPr>
          <w:rFonts w:asciiTheme="majorHAnsi" w:eastAsiaTheme="majorEastAsia" w:hAnsiTheme="majorHAnsi" w:cstheme="majorBidi"/>
          <w:i/>
          <w:iCs/>
          <w:color w:val="4A66AC" w:themeColor="accent1"/>
          <w:sz w:val="24"/>
          <w:szCs w:val="24"/>
        </w:rPr>
        <w:t>September 2022</w:t>
      </w:r>
    </w:p>
    <w:p w14:paraId="20865396" w14:textId="77777777" w:rsidR="00EC2807" w:rsidRDefault="00EC2807" w:rsidP="003F1428">
      <w:pPr>
        <w:rPr>
          <w:color w:val="4A66AC" w:themeColor="accent1"/>
        </w:rPr>
      </w:pPr>
    </w:p>
    <w:p w14:paraId="5C4177E2" w14:textId="77777777" w:rsidR="00EC4AA3" w:rsidRDefault="00EC4AA3" w:rsidP="003F1428">
      <w:pPr>
        <w:rPr>
          <w:color w:val="4A66AC" w:themeColor="accent1"/>
        </w:rPr>
      </w:pPr>
    </w:p>
    <w:p w14:paraId="56A10380" w14:textId="77777777" w:rsidR="00EC4AA3" w:rsidRDefault="00EC4AA3" w:rsidP="003F1428">
      <w:pPr>
        <w:rPr>
          <w:color w:val="4A66AC" w:themeColor="accent1"/>
        </w:rPr>
      </w:pPr>
    </w:p>
    <w:p w14:paraId="7A101CA3" w14:textId="77777777" w:rsidR="00EC4AA3" w:rsidRDefault="00EC4AA3" w:rsidP="003F1428">
      <w:pPr>
        <w:rPr>
          <w:color w:val="4A66AC" w:themeColor="accent1"/>
        </w:rPr>
      </w:pPr>
    </w:p>
    <w:p w14:paraId="5727A2EF" w14:textId="77777777" w:rsidR="00EC4AA3" w:rsidRDefault="00EC4AA3" w:rsidP="003F1428">
      <w:pPr>
        <w:rPr>
          <w:color w:val="4A66AC" w:themeColor="accent1"/>
        </w:rPr>
      </w:pPr>
    </w:p>
    <w:p w14:paraId="26A27F45" w14:textId="77777777" w:rsidR="00EC4AA3" w:rsidRDefault="00EC4AA3" w:rsidP="003F1428">
      <w:pPr>
        <w:rPr>
          <w:color w:val="4A66AC" w:themeColor="accent1"/>
        </w:rPr>
      </w:pPr>
    </w:p>
    <w:p w14:paraId="42F948BE" w14:textId="77777777" w:rsidR="00EC4AA3" w:rsidRDefault="00EC4AA3" w:rsidP="003F1428">
      <w:pPr>
        <w:rPr>
          <w:color w:val="4A66AC" w:themeColor="accent1"/>
        </w:rPr>
      </w:pPr>
    </w:p>
    <w:p w14:paraId="70687038" w14:textId="77777777" w:rsidR="00EC4AA3" w:rsidRDefault="00EC4AA3" w:rsidP="003F1428">
      <w:pPr>
        <w:rPr>
          <w:color w:val="4A66AC" w:themeColor="accent1"/>
        </w:rPr>
      </w:pPr>
    </w:p>
    <w:p w14:paraId="71A61452" w14:textId="77777777" w:rsidR="00EC4AA3" w:rsidRDefault="00EC4AA3" w:rsidP="003F1428">
      <w:pPr>
        <w:rPr>
          <w:color w:val="4A66AC" w:themeColor="accent1"/>
        </w:rPr>
      </w:pPr>
    </w:p>
    <w:p w14:paraId="0B6670EC" w14:textId="77777777" w:rsidR="00EC4AA3" w:rsidRDefault="00EC4AA3" w:rsidP="003F1428">
      <w:pPr>
        <w:rPr>
          <w:color w:val="4A66AC" w:themeColor="accent1"/>
        </w:rPr>
      </w:pPr>
    </w:p>
    <w:p w14:paraId="7406CD32" w14:textId="77777777" w:rsidR="00EC4AA3" w:rsidRDefault="00EC4AA3" w:rsidP="003F1428">
      <w:pPr>
        <w:rPr>
          <w:color w:val="4A66AC" w:themeColor="accent1"/>
        </w:rPr>
      </w:pPr>
    </w:p>
    <w:p w14:paraId="43FAF199" w14:textId="77777777" w:rsidR="00EC4AA3" w:rsidRDefault="00EC4AA3" w:rsidP="003F1428">
      <w:pPr>
        <w:rPr>
          <w:color w:val="4A66AC" w:themeColor="accent1"/>
        </w:rPr>
      </w:pPr>
    </w:p>
    <w:p w14:paraId="0D134CEF"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56080003"/>
      <w:bookmarkStart w:id="22" w:name="_Toc56080053"/>
      <w:bookmarkStart w:id="23" w:name="_Toc84593418"/>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p>
    <w:p w14:paraId="387B11D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56080004"/>
      <w:bookmarkStart w:id="30" w:name="_Toc56080054"/>
      <w:bookmarkStart w:id="31" w:name="_Toc84593419"/>
      <w:r w:rsidRPr="0024558B">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p>
    <w:p w14:paraId="6468349A"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2" w:name="_Toc53065027"/>
      <w:bookmarkStart w:id="33" w:name="_Toc53065049"/>
      <w:bookmarkStart w:id="34" w:name="_Toc53065078"/>
      <w:bookmarkStart w:id="35" w:name="_Toc53066334"/>
      <w:bookmarkStart w:id="36" w:name="_Toc53066389"/>
      <w:bookmarkStart w:id="37" w:name="_Toc56080005"/>
      <w:bookmarkStart w:id="38" w:name="_Toc56080055"/>
      <w:bookmarkStart w:id="39" w:name="_Toc84593420"/>
      <w:r w:rsidRPr="0024558B">
        <w:rPr>
          <w:rFonts w:asciiTheme="majorHAnsi" w:eastAsiaTheme="majorEastAsia" w:hAnsiTheme="majorHAnsi" w:cstheme="majorBidi"/>
          <w:iCs/>
          <w:color w:val="4A66AC" w:themeColor="accent1"/>
          <w:sz w:val="24"/>
          <w:szCs w:val="24"/>
        </w:rPr>
        <w:t>University of California, Los Angeles</w:t>
      </w:r>
      <w:bookmarkEnd w:id="32"/>
      <w:bookmarkEnd w:id="33"/>
      <w:bookmarkEnd w:id="34"/>
      <w:bookmarkEnd w:id="35"/>
      <w:bookmarkEnd w:id="36"/>
      <w:bookmarkEnd w:id="37"/>
      <w:bookmarkEnd w:id="38"/>
      <w:bookmarkEnd w:id="39"/>
      <w:r w:rsidRPr="0024558B">
        <w:rPr>
          <w:rFonts w:asciiTheme="majorHAnsi" w:eastAsiaTheme="majorEastAsia" w:hAnsiTheme="majorHAnsi" w:cstheme="majorBidi"/>
          <w:iCs/>
          <w:color w:val="4A66AC" w:themeColor="accent1"/>
          <w:sz w:val="24"/>
          <w:szCs w:val="24"/>
        </w:rPr>
        <w:t xml:space="preserve"> </w:t>
      </w:r>
    </w:p>
    <w:p w14:paraId="0CB6ED70" w14:textId="77777777" w:rsidR="00EC4AA3" w:rsidRDefault="00EC4AA3" w:rsidP="003F1428">
      <w:pPr>
        <w:rPr>
          <w:color w:val="4A66AC" w:themeColor="accent1"/>
        </w:rPr>
      </w:pPr>
    </w:p>
    <w:p w14:paraId="60BF8DF8" w14:textId="77777777" w:rsidR="00EC4AA3" w:rsidRDefault="00EC4AA3" w:rsidP="003F1428">
      <w:pPr>
        <w:rPr>
          <w:color w:val="4A66AC" w:themeColor="accent1"/>
        </w:rPr>
      </w:pPr>
    </w:p>
    <w:p w14:paraId="7F4EF758"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1373E1F5" w14:textId="77777777" w:rsidR="00BA7235" w:rsidRDefault="00BA7235">
          <w:pPr>
            <w:pStyle w:val="TOCHeading"/>
          </w:pPr>
          <w:r>
            <w:t>Contents</w:t>
          </w:r>
        </w:p>
        <w:p w14:paraId="5FB03890" w14:textId="7C2C462A" w:rsidR="00CD1254" w:rsidRDefault="00BA7235">
          <w:pPr>
            <w:pStyle w:val="TOC1"/>
            <w:tabs>
              <w:tab w:val="right" w:leader="dot" w:pos="9350"/>
            </w:tabs>
            <w:rPr>
              <w:noProof/>
            </w:rPr>
          </w:pPr>
          <w:r>
            <w:fldChar w:fldCharType="begin"/>
          </w:r>
          <w:r>
            <w:instrText xml:space="preserve"> TOC \o "1-3" \h \z \u </w:instrText>
          </w:r>
          <w:r>
            <w:fldChar w:fldCharType="separate"/>
          </w:r>
          <w:hyperlink w:anchor="_Toc84593421" w:history="1">
            <w:r w:rsidR="00CD1254" w:rsidRPr="00676C8D">
              <w:rPr>
                <w:rStyle w:val="Hyperlink"/>
                <w:b/>
                <w:noProof/>
              </w:rPr>
              <w:t>Introduction</w:t>
            </w:r>
            <w:r w:rsidR="00CD1254">
              <w:rPr>
                <w:noProof/>
                <w:webHidden/>
              </w:rPr>
              <w:tab/>
            </w:r>
            <w:r w:rsidR="00782BBE">
              <w:rPr>
                <w:noProof/>
                <w:webHidden/>
              </w:rPr>
              <w:t>2</w:t>
            </w:r>
          </w:hyperlink>
        </w:p>
        <w:p w14:paraId="498CC659" w14:textId="77777777" w:rsidR="000E1E74" w:rsidRPr="000E1E74" w:rsidRDefault="000E1E74" w:rsidP="000E1E74"/>
        <w:p w14:paraId="0676CDDF" w14:textId="77777777" w:rsidR="00CD1254" w:rsidRDefault="00531C19">
          <w:pPr>
            <w:pStyle w:val="TOC1"/>
            <w:tabs>
              <w:tab w:val="right" w:leader="dot" w:pos="9350"/>
            </w:tabs>
            <w:rPr>
              <w:bCs w:val="0"/>
              <w:noProof/>
              <w:sz w:val="22"/>
              <w:szCs w:val="22"/>
            </w:rPr>
          </w:pPr>
          <w:hyperlink w:anchor="_Toc84593422" w:history="1">
            <w:r w:rsidR="00CD1254" w:rsidRPr="00676C8D">
              <w:rPr>
                <w:rStyle w:val="Hyperlink"/>
                <w:rFonts w:eastAsia="Times New Roman"/>
                <w:b/>
                <w:noProof/>
              </w:rPr>
              <w:t>Summary of Findings and Recommendations</w:t>
            </w:r>
            <w:r w:rsidR="00CD1254">
              <w:rPr>
                <w:noProof/>
                <w:webHidden/>
              </w:rPr>
              <w:tab/>
            </w:r>
            <w:r w:rsidR="00782BBE">
              <w:rPr>
                <w:noProof/>
                <w:webHidden/>
              </w:rPr>
              <w:t>3</w:t>
            </w:r>
          </w:hyperlink>
        </w:p>
        <w:p w14:paraId="16C4AA86" w14:textId="7C601A85" w:rsidR="00CD1254" w:rsidRDefault="00531C19">
          <w:pPr>
            <w:pStyle w:val="TOC2"/>
            <w:rPr>
              <w:noProof/>
            </w:rPr>
          </w:pPr>
          <w:hyperlink w:anchor="_Toc84593423"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782BBE">
              <w:rPr>
                <w:noProof/>
                <w:webHidden/>
              </w:rPr>
              <w:t>3</w:t>
            </w:r>
          </w:hyperlink>
        </w:p>
        <w:p w14:paraId="0DE6623F" w14:textId="77777777" w:rsidR="000E1E74" w:rsidRPr="000E1E74" w:rsidRDefault="000E1E74" w:rsidP="000E1E74"/>
        <w:p w14:paraId="3B26D73F" w14:textId="0FDAF9F4" w:rsidR="00CD1254" w:rsidRDefault="00531C19">
          <w:pPr>
            <w:pStyle w:val="TOC1"/>
            <w:tabs>
              <w:tab w:val="right" w:leader="dot" w:pos="9350"/>
            </w:tabs>
            <w:rPr>
              <w:bCs w:val="0"/>
              <w:noProof/>
              <w:sz w:val="22"/>
              <w:szCs w:val="22"/>
            </w:rPr>
          </w:pPr>
          <w:hyperlink w:anchor="_Toc84593425" w:history="1">
            <w:r w:rsidR="00CD1254" w:rsidRPr="00676C8D">
              <w:rPr>
                <w:rStyle w:val="Hyperlink"/>
                <w:rFonts w:eastAsia="Times New Roman"/>
                <w:b/>
                <w:noProof/>
              </w:rPr>
              <w:t>Detail of Constitutional Findings</w:t>
            </w:r>
            <w:r w:rsidR="00CD1254">
              <w:rPr>
                <w:noProof/>
                <w:webHidden/>
              </w:rPr>
              <w:tab/>
            </w:r>
            <w:r w:rsidR="006A4BD5">
              <w:rPr>
                <w:noProof/>
                <w:webHidden/>
              </w:rPr>
              <w:t>3</w:t>
            </w:r>
          </w:hyperlink>
        </w:p>
        <w:p w14:paraId="5C1C6C8B" w14:textId="3197B123" w:rsidR="00CD1254" w:rsidRDefault="00531C19">
          <w:pPr>
            <w:pStyle w:val="TOC2"/>
            <w:rPr>
              <w:noProof/>
              <w:sz w:val="22"/>
              <w:szCs w:val="22"/>
            </w:rPr>
          </w:pPr>
          <w:hyperlink w:anchor="_Toc84593426"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6A4BD5">
              <w:rPr>
                <w:noProof/>
                <w:webHidden/>
              </w:rPr>
              <w:t>3</w:t>
            </w:r>
          </w:hyperlink>
        </w:p>
        <w:p w14:paraId="5A0861F6" w14:textId="77777777" w:rsidR="00BA7235" w:rsidRDefault="00BA7235">
          <w:r>
            <w:rPr>
              <w:b/>
              <w:bCs/>
              <w:noProof/>
            </w:rPr>
            <w:fldChar w:fldCharType="end"/>
          </w:r>
        </w:p>
      </w:sdtContent>
    </w:sdt>
    <w:p w14:paraId="0EA30AB0" w14:textId="77777777" w:rsidR="00EC4AA3" w:rsidRDefault="00EC4AA3" w:rsidP="003F1428">
      <w:pPr>
        <w:rPr>
          <w:color w:val="4A66AC" w:themeColor="accent1"/>
        </w:rPr>
      </w:pPr>
    </w:p>
    <w:p w14:paraId="1FDDC021" w14:textId="77777777" w:rsidR="00140CAB" w:rsidRDefault="00140CAB" w:rsidP="003F1428">
      <w:pPr>
        <w:rPr>
          <w:color w:val="4A66AC" w:themeColor="accent1"/>
        </w:rPr>
      </w:pPr>
    </w:p>
    <w:p w14:paraId="192082B0" w14:textId="77777777" w:rsidR="00BA7235" w:rsidRDefault="00BA7235" w:rsidP="003F1428">
      <w:pPr>
        <w:rPr>
          <w:color w:val="4A66AC" w:themeColor="accent1"/>
        </w:rPr>
      </w:pPr>
    </w:p>
    <w:p w14:paraId="0F426578" w14:textId="77777777" w:rsidR="00BA7235" w:rsidRDefault="00BA7235" w:rsidP="003F1428">
      <w:pPr>
        <w:rPr>
          <w:color w:val="4A66AC" w:themeColor="accent1"/>
        </w:rPr>
      </w:pPr>
    </w:p>
    <w:p w14:paraId="013B63AC" w14:textId="77777777" w:rsidR="00BA7235" w:rsidRDefault="00BA7235" w:rsidP="003F1428">
      <w:pPr>
        <w:rPr>
          <w:color w:val="4A66AC" w:themeColor="accent1"/>
        </w:rPr>
      </w:pPr>
    </w:p>
    <w:p w14:paraId="5E6B5E00" w14:textId="77777777" w:rsidR="00BA7235" w:rsidRDefault="00BA7235" w:rsidP="003F1428">
      <w:pPr>
        <w:rPr>
          <w:color w:val="4A66AC" w:themeColor="accent1"/>
        </w:rPr>
      </w:pPr>
    </w:p>
    <w:p w14:paraId="58021FC2" w14:textId="77777777" w:rsidR="00BA7235" w:rsidRDefault="00BA7235" w:rsidP="003F1428">
      <w:pPr>
        <w:rPr>
          <w:color w:val="4A66AC" w:themeColor="accent1"/>
        </w:rPr>
      </w:pPr>
    </w:p>
    <w:p w14:paraId="64894126" w14:textId="77777777" w:rsidR="00BA7235" w:rsidRDefault="00BA7235" w:rsidP="003F1428">
      <w:pPr>
        <w:rPr>
          <w:color w:val="4A66AC" w:themeColor="accent1"/>
        </w:rPr>
      </w:pPr>
    </w:p>
    <w:p w14:paraId="00952952" w14:textId="77777777" w:rsidR="00BA7235" w:rsidRDefault="00BA7235" w:rsidP="003F1428">
      <w:pPr>
        <w:rPr>
          <w:color w:val="4A66AC" w:themeColor="accent1"/>
        </w:rPr>
      </w:pPr>
    </w:p>
    <w:p w14:paraId="755EF272" w14:textId="77777777" w:rsidR="00BA7235" w:rsidRDefault="00BA7235" w:rsidP="003F1428">
      <w:pPr>
        <w:rPr>
          <w:color w:val="4A66AC" w:themeColor="accent1"/>
        </w:rPr>
      </w:pPr>
    </w:p>
    <w:p w14:paraId="56880071" w14:textId="77777777" w:rsidR="00BA7235" w:rsidRDefault="00BA7235" w:rsidP="003F1428">
      <w:pPr>
        <w:rPr>
          <w:color w:val="4A66AC" w:themeColor="accent1"/>
        </w:rPr>
      </w:pPr>
    </w:p>
    <w:p w14:paraId="3A85CC30" w14:textId="77777777" w:rsidR="00BA7235" w:rsidRDefault="00BA7235" w:rsidP="003F1428">
      <w:pPr>
        <w:rPr>
          <w:color w:val="4A66AC" w:themeColor="accent1"/>
        </w:rPr>
      </w:pPr>
    </w:p>
    <w:p w14:paraId="39F71ECF" w14:textId="77777777" w:rsidR="00BA7235" w:rsidRDefault="00BA7235" w:rsidP="003F1428">
      <w:pPr>
        <w:rPr>
          <w:color w:val="4A66AC" w:themeColor="accent1"/>
        </w:rPr>
      </w:pPr>
    </w:p>
    <w:p w14:paraId="5865CF14" w14:textId="77777777" w:rsidR="00BA7235" w:rsidRDefault="00BA7235" w:rsidP="003F1428">
      <w:pPr>
        <w:rPr>
          <w:color w:val="4A66AC" w:themeColor="accent1"/>
        </w:rPr>
      </w:pPr>
    </w:p>
    <w:p w14:paraId="54C610F9" w14:textId="77777777" w:rsidR="006F6178" w:rsidRDefault="006F6178" w:rsidP="003F1428">
      <w:pPr>
        <w:rPr>
          <w:color w:val="4A66AC" w:themeColor="accent1"/>
        </w:rPr>
      </w:pPr>
    </w:p>
    <w:p w14:paraId="4D861113" w14:textId="77777777" w:rsidR="006F6178" w:rsidRDefault="006F6178" w:rsidP="003F1428">
      <w:pPr>
        <w:rPr>
          <w:color w:val="4A66AC" w:themeColor="accent1"/>
        </w:rPr>
      </w:pPr>
    </w:p>
    <w:p w14:paraId="2B49DFF8" w14:textId="77777777" w:rsidR="006F6178" w:rsidRDefault="006F6178" w:rsidP="003F1428">
      <w:pPr>
        <w:rPr>
          <w:color w:val="4A66AC" w:themeColor="accent1"/>
        </w:rPr>
      </w:pPr>
    </w:p>
    <w:p w14:paraId="4C99BCBA" w14:textId="7212B046" w:rsidR="00C94330" w:rsidRDefault="00C94330">
      <w:pPr>
        <w:rPr>
          <w:b/>
          <w:bCs/>
          <w:caps/>
          <w:color w:val="FFFFFF" w:themeColor="background1"/>
          <w:spacing w:val="15"/>
          <w:sz w:val="22"/>
          <w:szCs w:val="22"/>
        </w:rPr>
      </w:pPr>
      <w:bookmarkStart w:id="40" w:name="_Toc84593421"/>
      <w:bookmarkStart w:id="41" w:name="_Hlk52631114"/>
    </w:p>
    <w:p w14:paraId="40E9FAEB" w14:textId="77777777" w:rsidR="00EC4AA3" w:rsidRPr="00BA7235" w:rsidRDefault="00BA7235" w:rsidP="00BA7235">
      <w:pPr>
        <w:pStyle w:val="Heading1"/>
        <w:rPr>
          <w:b/>
          <w:bCs/>
        </w:rPr>
      </w:pPr>
      <w:r w:rsidRPr="00BA7235">
        <w:rPr>
          <w:b/>
          <w:bCs/>
        </w:rPr>
        <w:lastRenderedPageBreak/>
        <w:t>Introduction</w:t>
      </w:r>
      <w:bookmarkEnd w:id="40"/>
      <w:r w:rsidRPr="00BA7235">
        <w:rPr>
          <w:b/>
          <w:bCs/>
        </w:rPr>
        <w:tab/>
      </w:r>
    </w:p>
    <w:bookmarkEnd w:id="41"/>
    <w:p w14:paraId="6B4BF0EB" w14:textId="51A6B459"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the </w:t>
      </w:r>
      <w:r w:rsidR="00DF05C3">
        <w:rPr>
          <w:sz w:val="22"/>
          <w:szCs w:val="22"/>
        </w:rPr>
        <w:t>7</w:t>
      </w:r>
      <w:r w:rsidR="006A4BD5">
        <w:rPr>
          <w:sz w:val="22"/>
          <w:szCs w:val="22"/>
        </w:rPr>
        <w:t>1</w:t>
      </w:r>
      <w:r w:rsidR="006A4BD5" w:rsidRPr="006A4BD5">
        <w:rPr>
          <w:sz w:val="22"/>
          <w:szCs w:val="22"/>
          <w:vertAlign w:val="superscript"/>
        </w:rPr>
        <w:t>st</w:t>
      </w:r>
      <w:r w:rsidR="006A4BD5">
        <w:rPr>
          <w:sz w:val="22"/>
          <w:szCs w:val="22"/>
        </w:rPr>
        <w:t xml:space="preserve"> </w:t>
      </w:r>
      <w:r w:rsidR="004B412B" w:rsidRPr="00EC4AA3">
        <w:rPr>
          <w:sz w:val="22"/>
          <w:szCs w:val="22"/>
        </w:rPr>
        <w:t xml:space="preserve">Pre-Sessional Working Group of the Committee on </w:t>
      </w:r>
      <w:r w:rsidR="0008349B" w:rsidRPr="00EC4AA3">
        <w:rPr>
          <w:sz w:val="22"/>
          <w:szCs w:val="22"/>
        </w:rPr>
        <w:t>Economic, Social, and Cultural Rights</w:t>
      </w:r>
      <w:r w:rsidR="004B412B" w:rsidRPr="00EC4AA3">
        <w:rPr>
          <w:sz w:val="22"/>
          <w:szCs w:val="22"/>
        </w:rPr>
        <w:t xml:space="preserve">. </w:t>
      </w:r>
    </w:p>
    <w:p w14:paraId="5B66689F" w14:textId="0E9290FE" w:rsidR="0008349B" w:rsidRPr="00EC4AA3" w:rsidRDefault="0008349B" w:rsidP="0008349B">
      <w:pPr>
        <w:rPr>
          <w:sz w:val="22"/>
          <w:szCs w:val="22"/>
        </w:rPr>
      </w:pPr>
      <w:r w:rsidRPr="00EC4AA3">
        <w:rPr>
          <w:sz w:val="22"/>
          <w:szCs w:val="22"/>
        </w:rPr>
        <w:t xml:space="preserve">This brief will focus on the following </w:t>
      </w:r>
      <w:r w:rsidR="00112EB2">
        <w:rPr>
          <w:sz w:val="22"/>
          <w:szCs w:val="22"/>
        </w:rPr>
        <w:t>area:</w:t>
      </w:r>
    </w:p>
    <w:p w14:paraId="02C88258" w14:textId="77777777"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613D10A1"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EB3E633" w14:textId="31EA60B0"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findings, as well as suggested questions for the Committee to ask </w:t>
      </w:r>
      <w:r w:rsidR="0093110B">
        <w:rPr>
          <w:sz w:val="22"/>
          <w:szCs w:val="22"/>
        </w:rPr>
        <w:t>Peru</w:t>
      </w:r>
      <w:r w:rsidR="0071197E">
        <w:rPr>
          <w:sz w:val="22"/>
          <w:szCs w:val="22"/>
        </w:rPr>
        <w:t xml:space="preserve"> and topics we hope the Committee will address in its concluding observations. This summary is followed by detailed constitutional excerpts documenting our findings. </w:t>
      </w:r>
      <w:r w:rsidRPr="00EC4AA3">
        <w:rPr>
          <w:sz w:val="22"/>
          <w:szCs w:val="22"/>
        </w:rPr>
        <w:t xml:space="preserve">We hope the Committee will recommend that </w:t>
      </w:r>
      <w:r w:rsidR="0093110B">
        <w:rPr>
          <w:sz w:val="22"/>
          <w:szCs w:val="22"/>
        </w:rPr>
        <w:t>Peru</w:t>
      </w:r>
      <w:r w:rsidRPr="00EC4AA3">
        <w:rPr>
          <w:sz w:val="22"/>
          <w:szCs w:val="22"/>
        </w:rPr>
        <w:t xml:space="preserve"> address any gaps in consultation and collaboration with relevant stakeholders, including civil society organizations. </w:t>
      </w:r>
      <w:r w:rsidR="00667844" w:rsidRPr="00EC4AA3">
        <w:rPr>
          <w:color w:val="000000" w:themeColor="text1"/>
          <w:sz w:val="22"/>
          <w:szCs w:val="22"/>
        </w:rPr>
        <w:t>We also recognize that while having strong</w:t>
      </w:r>
      <w:r w:rsidR="00112EB2">
        <w:rPr>
          <w:color w:val="000000" w:themeColor="text1"/>
          <w:sz w:val="22"/>
          <w:szCs w:val="22"/>
        </w:rPr>
        <w:t xml:space="preserve"> constitutions,</w:t>
      </w:r>
      <w:r w:rsidR="00667844" w:rsidRPr="00EC4AA3">
        <w:rPr>
          <w:color w:val="000000" w:themeColor="text1"/>
          <w:sz w:val="22"/>
          <w:szCs w:val="22"/>
        </w:rPr>
        <w:t xml:space="preserve"> laws and policies in place are necessary first steps, implementation is also of paramount importance. In areas where we have commended </w:t>
      </w:r>
      <w:r w:rsidR="0093110B">
        <w:rPr>
          <w:color w:val="000000" w:themeColor="text1"/>
          <w:sz w:val="22"/>
          <w:szCs w:val="22"/>
        </w:rPr>
        <w:t>Peru</w:t>
      </w:r>
      <w:r w:rsidR="00667844" w:rsidRPr="00EC4AA3">
        <w:rPr>
          <w:color w:val="000000" w:themeColor="text1"/>
          <w:sz w:val="22"/>
          <w:szCs w:val="22"/>
        </w:rPr>
        <w:t xml:space="preserve"> for having provisions in place, we hope the Committee will recommend that </w:t>
      </w:r>
      <w:r w:rsidR="0093110B">
        <w:rPr>
          <w:color w:val="000000" w:themeColor="text1"/>
          <w:sz w:val="22"/>
          <w:szCs w:val="22"/>
        </w:rPr>
        <w:t>Peru</w:t>
      </w:r>
      <w:r w:rsidR="00B7146B">
        <w:rPr>
          <w:color w:val="000000" w:themeColor="text1"/>
          <w:sz w:val="22"/>
          <w:szCs w:val="22"/>
        </w:rPr>
        <w:t xml:space="preserve"> </w:t>
      </w:r>
      <w:r w:rsidR="00667844" w:rsidRPr="00EC4AA3">
        <w:rPr>
          <w:color w:val="000000" w:themeColor="text1"/>
          <w:sz w:val="22"/>
          <w:szCs w:val="22"/>
        </w:rPr>
        <w:t>work with stakeholders to overcome any obstacles in implementing these provisions.</w:t>
      </w:r>
    </w:p>
    <w:p w14:paraId="56933115" w14:textId="77777777" w:rsidR="00231FF8" w:rsidRPr="00EC4AA3" w:rsidRDefault="00231FF8" w:rsidP="00231FF8">
      <w:pPr>
        <w:rPr>
          <w:rFonts w:ascii="Calibri" w:eastAsiaTheme="majorEastAsia" w:hAnsi="Calibri" w:cs="Calibri"/>
          <w:color w:val="3405DF"/>
          <w:sz w:val="22"/>
          <w:szCs w:val="22"/>
        </w:rPr>
      </w:pPr>
    </w:p>
    <w:p w14:paraId="67CEC486" w14:textId="77777777" w:rsidR="00F71D82" w:rsidRDefault="00F71D82" w:rsidP="003F1428">
      <w:pPr>
        <w:spacing w:after="0"/>
        <w:rPr>
          <w:b/>
          <w:i/>
        </w:rPr>
      </w:pPr>
    </w:p>
    <w:p w14:paraId="025636FA" w14:textId="77777777" w:rsidR="007C5F61" w:rsidRDefault="007C5F61" w:rsidP="003F1428">
      <w:pPr>
        <w:spacing w:after="0"/>
        <w:rPr>
          <w:b/>
          <w:i/>
        </w:rPr>
      </w:pPr>
    </w:p>
    <w:p w14:paraId="4087D6AF" w14:textId="77777777" w:rsidR="004E16A9" w:rsidRDefault="004E16A9">
      <w:pPr>
        <w:spacing w:after="0"/>
        <w:rPr>
          <w:b/>
          <w:i/>
        </w:rPr>
      </w:pPr>
      <w:r>
        <w:rPr>
          <w:b/>
          <w:i/>
        </w:rPr>
        <w:br w:type="page"/>
      </w:r>
    </w:p>
    <w:p w14:paraId="3643C474" w14:textId="77777777" w:rsidR="00CF6B5F" w:rsidRDefault="00CF6B5F" w:rsidP="00CF6B5F">
      <w:pPr>
        <w:pStyle w:val="Heading1"/>
        <w:rPr>
          <w:rFonts w:eastAsia="Times New Roman"/>
          <w:b/>
          <w:bCs/>
        </w:rPr>
      </w:pPr>
      <w:bookmarkStart w:id="42" w:name="_Toc56070607"/>
      <w:bookmarkStart w:id="43" w:name="_Toc56071653"/>
      <w:bookmarkStart w:id="44" w:name="_Toc56080007"/>
      <w:bookmarkStart w:id="45" w:name="_Toc84593422"/>
      <w:r>
        <w:rPr>
          <w:rFonts w:eastAsia="Times New Roman"/>
          <w:b/>
          <w:bCs/>
        </w:rPr>
        <w:lastRenderedPageBreak/>
        <w:t>Summary of Findings and Recommendations</w:t>
      </w:r>
      <w:bookmarkEnd w:id="42"/>
      <w:bookmarkEnd w:id="43"/>
      <w:bookmarkEnd w:id="44"/>
      <w:bookmarkEnd w:id="45"/>
    </w:p>
    <w:p w14:paraId="60D46E8E" w14:textId="77777777" w:rsidR="00CF6B5F" w:rsidRPr="00CF6B5F" w:rsidRDefault="00CF6B5F" w:rsidP="00CF6B5F">
      <w:pPr>
        <w:pStyle w:val="NoSpacing"/>
      </w:pPr>
    </w:p>
    <w:p w14:paraId="50A22450" w14:textId="77777777"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6" w:name="_Toc56080008"/>
      <w:bookmarkStart w:id="47" w:name="_Toc84593423"/>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6"/>
      <w:bookmarkEnd w:id="47"/>
    </w:p>
    <w:p w14:paraId="7757EC06" w14:textId="70E9F9D2" w:rsidR="00112EB2" w:rsidRDefault="00F415C7" w:rsidP="00F415C7">
      <w:pPr>
        <w:spacing w:after="0"/>
        <w:rPr>
          <w:sz w:val="22"/>
          <w:szCs w:val="22"/>
        </w:rPr>
      </w:pPr>
      <w:r w:rsidRPr="00A47BFB">
        <w:rPr>
          <w:sz w:val="22"/>
          <w:szCs w:val="22"/>
        </w:rPr>
        <w:t>Based on our review of full-text national constitutions</w:t>
      </w:r>
      <w:r w:rsidR="00397422">
        <w:rPr>
          <w:sz w:val="22"/>
          <w:szCs w:val="22"/>
        </w:rPr>
        <w:t>,</w:t>
      </w:r>
      <w:r>
        <w:rPr>
          <w:sz w:val="22"/>
          <w:szCs w:val="22"/>
        </w:rPr>
        <w:t xml:space="preserve"> we find that </w:t>
      </w:r>
      <w:r w:rsidR="0093110B">
        <w:rPr>
          <w:sz w:val="22"/>
          <w:szCs w:val="22"/>
        </w:rPr>
        <w:t>Peru</w:t>
      </w:r>
      <w:r w:rsidR="00DA3417">
        <w:rPr>
          <w:sz w:val="22"/>
          <w:szCs w:val="22"/>
        </w:rPr>
        <w:t xml:space="preserve">’s </w:t>
      </w:r>
      <w:r>
        <w:rPr>
          <w:sz w:val="22"/>
          <w:szCs w:val="22"/>
        </w:rPr>
        <w:t xml:space="preserve">constitution </w:t>
      </w:r>
      <w:r w:rsidR="00DA3417">
        <w:rPr>
          <w:sz w:val="22"/>
          <w:szCs w:val="22"/>
        </w:rPr>
        <w:t xml:space="preserve">guarantees equality </w:t>
      </w:r>
      <w:r w:rsidR="00A30BD4">
        <w:rPr>
          <w:sz w:val="22"/>
          <w:szCs w:val="22"/>
        </w:rPr>
        <w:t xml:space="preserve">on the basis of </w:t>
      </w:r>
      <w:r w:rsidR="00583013">
        <w:rPr>
          <w:sz w:val="22"/>
          <w:szCs w:val="22"/>
        </w:rPr>
        <w:t>nearly all groups and statuses cited in the Covenant, including “</w:t>
      </w:r>
      <w:r w:rsidR="00D218F6">
        <w:rPr>
          <w:sz w:val="22"/>
          <w:szCs w:val="22"/>
        </w:rPr>
        <w:t>on any other ground</w:t>
      </w:r>
      <w:r w:rsidR="00583013">
        <w:rPr>
          <w:sz w:val="22"/>
          <w:szCs w:val="22"/>
        </w:rPr>
        <w:t xml:space="preserve">”. </w:t>
      </w:r>
      <w:r w:rsidR="00583013" w:rsidRPr="000E1E74">
        <w:rPr>
          <w:b/>
          <w:sz w:val="22"/>
          <w:szCs w:val="22"/>
        </w:rPr>
        <w:t>The constitution does not, however, explicitly protect against discrimination on the basis of disability</w:t>
      </w:r>
      <w:r w:rsidR="00942D00" w:rsidRPr="000E1E74">
        <w:rPr>
          <w:b/>
          <w:sz w:val="22"/>
          <w:szCs w:val="22"/>
        </w:rPr>
        <w:t xml:space="preserve"> or on the basis of birth status</w:t>
      </w:r>
      <w:r w:rsidR="00583013" w:rsidRPr="000E1E74">
        <w:rPr>
          <w:b/>
          <w:sz w:val="22"/>
          <w:szCs w:val="22"/>
        </w:rPr>
        <w:t>.</w:t>
      </w:r>
    </w:p>
    <w:p w14:paraId="03068FA7" w14:textId="77777777" w:rsidR="00112EB2" w:rsidRDefault="00112EB2" w:rsidP="00F415C7">
      <w:pPr>
        <w:spacing w:after="0"/>
        <w:rPr>
          <w:sz w:val="22"/>
          <w:szCs w:val="22"/>
        </w:rPr>
      </w:pPr>
    </w:p>
    <w:p w14:paraId="38B125B8" w14:textId="43986167" w:rsidR="00CF6B5F" w:rsidRPr="00DF05C3" w:rsidRDefault="00112EB2" w:rsidP="003F1428">
      <w:pPr>
        <w:spacing w:after="0"/>
        <w:rPr>
          <w:sz w:val="22"/>
          <w:szCs w:val="22"/>
        </w:rPr>
      </w:pPr>
      <w:r>
        <w:rPr>
          <w:noProof/>
          <w:color w:val="000000" w:themeColor="text1"/>
          <w:sz w:val="22"/>
          <w:szCs w:val="22"/>
          <w:lang w:val="en-GB" w:eastAsia="en-GB"/>
        </w:rPr>
        <mc:AlternateContent>
          <mc:Choice Requires="wps">
            <w:drawing>
              <wp:inline distT="0" distB="0" distL="0" distR="0" wp14:anchorId="38C67C76" wp14:editId="37A0C218">
                <wp:extent cx="5876925" cy="3413760"/>
                <wp:effectExtent l="38100" t="38100" r="123825" b="110490"/>
                <wp:docPr id="1" name="Text Box 1"/>
                <wp:cNvGraphicFramePr/>
                <a:graphic xmlns:a="http://schemas.openxmlformats.org/drawingml/2006/main">
                  <a:graphicData uri="http://schemas.microsoft.com/office/word/2010/wordprocessingShape">
                    <wps:wsp>
                      <wps:cNvSpPr txBox="1"/>
                      <wps:spPr>
                        <a:xfrm>
                          <a:off x="0" y="0"/>
                          <a:ext cx="5876925" cy="341376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9098FA9" w14:textId="77777777" w:rsidR="00112EB2" w:rsidRPr="00072ECE" w:rsidRDefault="00112EB2" w:rsidP="00112EB2">
                            <w:pPr>
                              <w:pStyle w:val="Heading2"/>
                              <w:jc w:val="center"/>
                              <w:rPr>
                                <w:b/>
                              </w:rPr>
                            </w:pPr>
                            <w:r w:rsidRPr="00072ECE">
                              <w:rPr>
                                <w:b/>
                              </w:rPr>
                              <w:t>Recommended</w:t>
                            </w:r>
                            <w:r>
                              <w:rPr>
                                <w:b/>
                              </w:rPr>
                              <w:t xml:space="preserve"> questions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2C725176"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 xml:space="preserve">In its list of issues, ask </w:t>
                            </w:r>
                            <w:r w:rsidR="0093110B">
                              <w:rPr>
                                <w:bCs/>
                                <w:iCs/>
                                <w:sz w:val="22"/>
                                <w:szCs w:val="22"/>
                              </w:rPr>
                              <w:t>Peru</w:t>
                            </w:r>
                            <w:r w:rsidRPr="00112EB2">
                              <w:rPr>
                                <w:bCs/>
                                <w:iCs/>
                                <w:sz w:val="22"/>
                                <w:szCs w:val="22"/>
                              </w:rPr>
                              <w:t xml:space="preserve">: Can </w:t>
                            </w:r>
                            <w:r w:rsidR="0093110B">
                              <w:rPr>
                                <w:bCs/>
                                <w:iCs/>
                                <w:sz w:val="22"/>
                                <w:szCs w:val="22"/>
                              </w:rPr>
                              <w:t>Peru</w:t>
                            </w:r>
                            <w:r w:rsidRPr="00112EB2">
                              <w:rPr>
                                <w:bCs/>
                                <w:iCs/>
                                <w:sz w:val="22"/>
                                <w:szCs w:val="22"/>
                              </w:rPr>
                              <w:t xml:space="preserve"> demonstrate whether the constitutional right to equality on the basis of “</w:t>
                            </w:r>
                            <w:r w:rsidR="00D218F6">
                              <w:rPr>
                                <w:bCs/>
                                <w:iCs/>
                                <w:sz w:val="22"/>
                                <w:szCs w:val="22"/>
                              </w:rPr>
                              <w:t>on any other ground</w:t>
                            </w:r>
                            <w:r w:rsidRPr="00112EB2">
                              <w:rPr>
                                <w:bCs/>
                                <w:iCs/>
                                <w:sz w:val="22"/>
                                <w:szCs w:val="22"/>
                              </w:rPr>
                              <w:t>” has been interpreted through case law or other policies to apply to persons with disabilities</w:t>
                            </w:r>
                            <w:r w:rsidR="00D37E49">
                              <w:rPr>
                                <w:bCs/>
                                <w:iCs/>
                                <w:sz w:val="22"/>
                                <w:szCs w:val="22"/>
                              </w:rPr>
                              <w:t>, consistent with commitments made through General Comment No. 5</w:t>
                            </w:r>
                            <w:r w:rsidRPr="00112EB2">
                              <w:rPr>
                                <w:bCs/>
                                <w:iCs/>
                                <w:sz w:val="22"/>
                                <w:szCs w:val="22"/>
                              </w:rPr>
                              <w:t xml:space="preserve">? </w:t>
                            </w:r>
                          </w:p>
                          <w:p w14:paraId="0EE478B9" w14:textId="0A6E16A7" w:rsidR="00112EB2" w:rsidRPr="00942D00" w:rsidRDefault="00112EB2" w:rsidP="00112EB2">
                            <w:pPr>
                              <w:pStyle w:val="ListParagraph"/>
                              <w:numPr>
                                <w:ilvl w:val="1"/>
                                <w:numId w:val="32"/>
                              </w:numPr>
                              <w:spacing w:before="0" w:after="0"/>
                              <w:rPr>
                                <w:i/>
                                <w:sz w:val="22"/>
                                <w:szCs w:val="22"/>
                              </w:rPr>
                            </w:pPr>
                            <w:r w:rsidRPr="00112EB2">
                              <w:rPr>
                                <w:bCs/>
                                <w:iCs/>
                                <w:sz w:val="22"/>
                                <w:szCs w:val="22"/>
                              </w:rPr>
                              <w:t xml:space="preserve">If </w:t>
                            </w:r>
                            <w:r w:rsidR="0093110B">
                              <w:rPr>
                                <w:bCs/>
                                <w:iCs/>
                                <w:sz w:val="22"/>
                                <w:szCs w:val="22"/>
                              </w:rPr>
                              <w:t>Peru</w:t>
                            </w:r>
                            <w:r w:rsidRPr="00112EB2">
                              <w:rPr>
                                <w:bCs/>
                                <w:iCs/>
                                <w:sz w:val="22"/>
                                <w:szCs w:val="22"/>
                              </w:rPr>
                              <w:t xml:space="preserve"> cannot demonstrate that this constitutional universal protection is inclusive of persons with disabilities, </w:t>
                            </w:r>
                            <w:r w:rsidRPr="00112EB2">
                              <w:rPr>
                                <w:rFonts w:eastAsia="Times New Roman"/>
                                <w:sz w:val="22"/>
                                <w:szCs w:val="22"/>
                              </w:rPr>
                              <w:t xml:space="preserve">recommend in its concluding observations that </w:t>
                            </w:r>
                            <w:r w:rsidR="0093110B">
                              <w:rPr>
                                <w:rFonts w:eastAsia="Times New Roman"/>
                                <w:sz w:val="22"/>
                                <w:szCs w:val="22"/>
                              </w:rPr>
                              <w:t>Peru</w:t>
                            </w:r>
                            <w:r w:rsidRPr="00112EB2">
                              <w:rPr>
                                <w:rFonts w:eastAsia="Times New Roman"/>
                                <w:sz w:val="22"/>
                                <w:szCs w:val="22"/>
                              </w:rPr>
                              <w:t xml:space="preserve">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xml:space="preserve">. These provisions could be added to Article </w:t>
                            </w:r>
                            <w:r w:rsidR="00583013">
                              <w:rPr>
                                <w:rFonts w:eastAsia="Times New Roman"/>
                                <w:sz w:val="22"/>
                                <w:szCs w:val="22"/>
                              </w:rPr>
                              <w:t>2</w:t>
                            </w:r>
                            <w:r w:rsidR="00583013" w:rsidRPr="00112EB2">
                              <w:rPr>
                                <w:rFonts w:eastAsia="Times New Roman"/>
                                <w:sz w:val="22"/>
                                <w:szCs w:val="22"/>
                              </w:rPr>
                              <w:t xml:space="preserve"> </w:t>
                            </w:r>
                            <w:r w:rsidRPr="00112EB2">
                              <w:rPr>
                                <w:rFonts w:eastAsia="Times New Roman"/>
                                <w:sz w:val="22"/>
                                <w:szCs w:val="22"/>
                              </w:rPr>
                              <w:t xml:space="preserve">of the constitution, which already lists </w:t>
                            </w:r>
                            <w:r w:rsidR="00A81429">
                              <w:rPr>
                                <w:rFonts w:eastAsia="Times New Roman"/>
                                <w:sz w:val="22"/>
                                <w:szCs w:val="22"/>
                              </w:rPr>
                              <w:t>all other Convention</w:t>
                            </w:r>
                            <w:r w:rsidR="00A81429" w:rsidRPr="00112EB2">
                              <w:rPr>
                                <w:rFonts w:eastAsia="Times New Roman"/>
                                <w:sz w:val="22"/>
                                <w:szCs w:val="22"/>
                              </w:rPr>
                              <w:t xml:space="preserve"> </w:t>
                            </w:r>
                            <w:r w:rsidRPr="00112EB2">
                              <w:rPr>
                                <w:rFonts w:eastAsia="Times New Roman"/>
                                <w:sz w:val="22"/>
                                <w:szCs w:val="22"/>
                              </w:rPr>
                              <w:t xml:space="preserve">grounds and statuses. </w:t>
                            </w:r>
                          </w:p>
                          <w:p w14:paraId="5DCC91E9" w14:textId="410E5666" w:rsidR="00942D00" w:rsidRPr="00112EB2" w:rsidRDefault="00F215D5" w:rsidP="00F215D5">
                            <w:pPr>
                              <w:pStyle w:val="ListParagraph"/>
                              <w:numPr>
                                <w:ilvl w:val="0"/>
                                <w:numId w:val="32"/>
                              </w:numPr>
                              <w:spacing w:before="0" w:after="0"/>
                              <w:rPr>
                                <w:i/>
                                <w:sz w:val="22"/>
                                <w:szCs w:val="22"/>
                              </w:rPr>
                            </w:pPr>
                            <w:r w:rsidRPr="00D90466">
                              <w:rPr>
                                <w:sz w:val="22"/>
                                <w:szCs w:val="22"/>
                              </w:rPr>
                              <w:t xml:space="preserve">Recommend in its concluding observations that </w:t>
                            </w:r>
                            <w:r>
                              <w:rPr>
                                <w:sz w:val="22"/>
                                <w:szCs w:val="22"/>
                              </w:rPr>
                              <w:t>Peru</w:t>
                            </w:r>
                            <w:r w:rsidRPr="00D90466">
                              <w:rPr>
                                <w:sz w:val="22"/>
                                <w:szCs w:val="22"/>
                              </w:rPr>
                              <w:t xml:space="preserve"> amend </w:t>
                            </w:r>
                            <w:r>
                              <w:rPr>
                                <w:sz w:val="22"/>
                                <w:szCs w:val="22"/>
                              </w:rPr>
                              <w:t>its</w:t>
                            </w:r>
                            <w:r w:rsidRPr="00D90466">
                              <w:rPr>
                                <w:sz w:val="22"/>
                                <w:szCs w:val="22"/>
                              </w:rPr>
                              <w:t xml:space="preserve"> constitution to add explicit guarantees of equality and non-discrimination regardless of </w:t>
                            </w:r>
                            <w:r>
                              <w:rPr>
                                <w:sz w:val="22"/>
                                <w:szCs w:val="22"/>
                              </w:rPr>
                              <w:t>birth status, consistent with ICESCR commitments. These protections could be added to Article 2 of the constitution, which already protects all other grounds and statuses listed in the Covenant.</w:t>
                            </w:r>
                          </w:p>
                          <w:p w14:paraId="6DF7F791" w14:textId="77777777" w:rsidR="00112EB2" w:rsidRDefault="00112EB2" w:rsidP="00112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C67C76" id="_x0000_t202" coordsize="21600,21600" o:spt="202" path="m,l,21600r21600,l21600,xe">
                <v:stroke joinstyle="miter"/>
                <v:path gradientshapeok="t" o:connecttype="rect"/>
              </v:shapetype>
              <v:shape id="Text Box 1" o:spid="_x0000_s1026" type="#_x0000_t202" style="width:462.75pt;height:26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4FoAIAAFcFAAAOAAAAZHJzL2Uyb0RvYy54bWysVE1vGyEQvVfqf0Dcm11/O1bWkZsoVaUo&#10;iepUOWOW9aKyQAF7N/31feCP2G1OVX1YM8zwmHlvhqvrrlFkK5yXRhe0d5FTIjQ3pdTrgn5/vvs0&#10;pcQHpkumjBYFfRWeXs8/frhq7Uz0TW1UKRwBiPaz1ha0DsHOsszzWjTMXxgrNJyVcQ0LMN06Kx1r&#10;gd6orJ/n46w1rrTOcOE9dm93TjpP+FUleHisKi8CUQVFbiF9Xfqu4jebX7HZ2jFbS75Pg/1DFg2T&#10;GpceoW5ZYGTj5F9QjeTOeFOFC26azFSV5CLVgGp6+R/VLGtmRaoF5Hh7pMn/P1j+sH1yRJbQjhLN&#10;Gkj0LLpAPpuO9CI7rfUzBC0twkKH7Ri53/fYjEV3lWviP8oh8IPn1yO3EYxjczSdjC/7I0o4fINh&#10;bzAZJ/azt+PW+fBFmIbERUEdxEucsu29D7gSoYeQeJs3SpZ3UqlkxIYRN8qRLYPUKqQkceIsSmnS&#10;FnQ8GOUJ+MwXoY/nV4rxH7HMcwRYSsfrRGotpJXK3gThlnXZkpXauG8MZI7yaQ4aShkLGUx7OwN9&#10;15/k8UcJU2sMTFCUOBNeZKiT2JG2CPlOMnGbKVuzXYXDBPPGClJP2ZpDMsk6yTOLSu4Ui6vQrbq9&#10;jCtTvkJd5JG085bfSZBxz3x4Yg7jgHQx4uERn0oZMGj2K0pq4369tx/j0aXwUtJivArqf26YE5So&#10;rxr9e9kbDgEbkjEcTfow3KlnderRm+bGQFb0KLJLyxgf1GFZOdO84CVYxFvhYprjbvB7WN6E3dDj&#10;JeFisUhBmEDLwr1eWh6hD7w/dy/M2X0TBvTvgzkMIhQ478VdbDypzWITTCVTo0aCd6xChWhgepMe&#10;+5cmPg+ndop6ew/nvwEAAP//AwBQSwMEFAAGAAgAAAAhAEDyEdjcAAAABQEAAA8AAABkcnMvZG93&#10;bnJldi54bWxMj8FOwzAQRO9I/IO1SFxQ6xCUAiFOhaC9cSihB7ht4m0cEa+j2GnD32O4wGWl0Yxm&#10;3hbr2fbiSKPvHCu4XiYgiBunO24V7N+2izsQPiBr7B2Tgi/ysC7PzwrMtTvxKx2r0IpYwj5HBSaE&#10;IZfSN4Ys+qUbiKN3cKPFEOXYSj3iKZbbXqZJspIWO44LBgd6MtR8VpNVYNtkqrYbZ3YvtX5O3z+m&#10;zeGKlLq8mB8fQASaw18YfvAjOpSRqXYTay96BfGR8Hujd59mGYhaQXZzuwJZFvI/ffkNAAD//wMA&#10;UEsBAi0AFAAGAAgAAAAhALaDOJL+AAAA4QEAABMAAAAAAAAAAAAAAAAAAAAAAFtDb250ZW50X1R5&#10;cGVzXS54bWxQSwECLQAUAAYACAAAACEAOP0h/9YAAACUAQAACwAAAAAAAAAAAAAAAAAvAQAAX3Jl&#10;bHMvLnJlbHNQSwECLQAUAAYACAAAACEAba1uBaACAABXBQAADgAAAAAAAAAAAAAAAAAuAgAAZHJz&#10;L2Uyb0RvYy54bWxQSwECLQAUAAYACAAAACEAQPIR2NwAAAAFAQAADwAAAAAAAAAAAAAAAAD6BAAA&#10;ZHJzL2Rvd25yZXYueG1sUEsFBgAAAAAEAAQA8wAAAAMGAAAAAA==&#10;" fillcolor="white [3201]" strokeweight=".5pt">
                <v:shadow on="t" color="black" opacity="26214f" origin="-.5,-.5" offset=".74836mm,.74836mm"/>
                <v:textbox>
                  <w:txbxContent>
                    <w:p w14:paraId="09098FA9" w14:textId="77777777" w:rsidR="00112EB2" w:rsidRPr="00072ECE" w:rsidRDefault="00112EB2" w:rsidP="00112EB2">
                      <w:pPr>
                        <w:pStyle w:val="Heading2"/>
                        <w:jc w:val="center"/>
                        <w:rPr>
                          <w:b/>
                        </w:rPr>
                      </w:pPr>
                      <w:r w:rsidRPr="00072ECE">
                        <w:rPr>
                          <w:b/>
                        </w:rPr>
                        <w:t>Recommended</w:t>
                      </w:r>
                      <w:r>
                        <w:rPr>
                          <w:b/>
                        </w:rPr>
                        <w:t xml:space="preserve"> questions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2C725176"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 xml:space="preserve">In its list of issues, ask </w:t>
                      </w:r>
                      <w:r w:rsidR="0093110B">
                        <w:rPr>
                          <w:bCs/>
                          <w:iCs/>
                          <w:sz w:val="22"/>
                          <w:szCs w:val="22"/>
                        </w:rPr>
                        <w:t>Peru</w:t>
                      </w:r>
                      <w:r w:rsidRPr="00112EB2">
                        <w:rPr>
                          <w:bCs/>
                          <w:iCs/>
                          <w:sz w:val="22"/>
                          <w:szCs w:val="22"/>
                        </w:rPr>
                        <w:t xml:space="preserve">: Can </w:t>
                      </w:r>
                      <w:r w:rsidR="0093110B">
                        <w:rPr>
                          <w:bCs/>
                          <w:iCs/>
                          <w:sz w:val="22"/>
                          <w:szCs w:val="22"/>
                        </w:rPr>
                        <w:t>Peru</w:t>
                      </w:r>
                      <w:r w:rsidRPr="00112EB2">
                        <w:rPr>
                          <w:bCs/>
                          <w:iCs/>
                          <w:sz w:val="22"/>
                          <w:szCs w:val="22"/>
                        </w:rPr>
                        <w:t xml:space="preserve"> demonstrate whether the constitutional right to equality on the basis of “</w:t>
                      </w:r>
                      <w:r w:rsidR="00D218F6">
                        <w:rPr>
                          <w:bCs/>
                          <w:iCs/>
                          <w:sz w:val="22"/>
                          <w:szCs w:val="22"/>
                        </w:rPr>
                        <w:t>on any other ground</w:t>
                      </w:r>
                      <w:r w:rsidRPr="00112EB2">
                        <w:rPr>
                          <w:bCs/>
                          <w:iCs/>
                          <w:sz w:val="22"/>
                          <w:szCs w:val="22"/>
                        </w:rPr>
                        <w:t>” has been interpreted through case law or other policies to apply to persons with disabilities</w:t>
                      </w:r>
                      <w:r w:rsidR="00D37E49">
                        <w:rPr>
                          <w:bCs/>
                          <w:iCs/>
                          <w:sz w:val="22"/>
                          <w:szCs w:val="22"/>
                        </w:rPr>
                        <w:t>, consistent with commitments made through General Comment No. 5</w:t>
                      </w:r>
                      <w:r w:rsidRPr="00112EB2">
                        <w:rPr>
                          <w:bCs/>
                          <w:iCs/>
                          <w:sz w:val="22"/>
                          <w:szCs w:val="22"/>
                        </w:rPr>
                        <w:t xml:space="preserve">? </w:t>
                      </w:r>
                    </w:p>
                    <w:p w14:paraId="0EE478B9" w14:textId="0A6E16A7" w:rsidR="00112EB2" w:rsidRPr="00942D00" w:rsidRDefault="00112EB2" w:rsidP="00112EB2">
                      <w:pPr>
                        <w:pStyle w:val="ListParagraph"/>
                        <w:numPr>
                          <w:ilvl w:val="1"/>
                          <w:numId w:val="32"/>
                        </w:numPr>
                        <w:spacing w:before="0" w:after="0"/>
                        <w:rPr>
                          <w:i/>
                          <w:sz w:val="22"/>
                          <w:szCs w:val="22"/>
                        </w:rPr>
                      </w:pPr>
                      <w:r w:rsidRPr="00112EB2">
                        <w:rPr>
                          <w:bCs/>
                          <w:iCs/>
                          <w:sz w:val="22"/>
                          <w:szCs w:val="22"/>
                        </w:rPr>
                        <w:t xml:space="preserve">If </w:t>
                      </w:r>
                      <w:r w:rsidR="0093110B">
                        <w:rPr>
                          <w:bCs/>
                          <w:iCs/>
                          <w:sz w:val="22"/>
                          <w:szCs w:val="22"/>
                        </w:rPr>
                        <w:t>Peru</w:t>
                      </w:r>
                      <w:r w:rsidRPr="00112EB2">
                        <w:rPr>
                          <w:bCs/>
                          <w:iCs/>
                          <w:sz w:val="22"/>
                          <w:szCs w:val="22"/>
                        </w:rPr>
                        <w:t xml:space="preserve"> cannot demonstrate that this constitutional universal protection is inclusive of persons with disabilities, </w:t>
                      </w:r>
                      <w:r w:rsidRPr="00112EB2">
                        <w:rPr>
                          <w:rFonts w:eastAsia="Times New Roman"/>
                          <w:sz w:val="22"/>
                          <w:szCs w:val="22"/>
                        </w:rPr>
                        <w:t xml:space="preserve">recommend in its concluding observations that </w:t>
                      </w:r>
                      <w:r w:rsidR="0093110B">
                        <w:rPr>
                          <w:rFonts w:eastAsia="Times New Roman"/>
                          <w:sz w:val="22"/>
                          <w:szCs w:val="22"/>
                        </w:rPr>
                        <w:t>Peru</w:t>
                      </w:r>
                      <w:r w:rsidRPr="00112EB2">
                        <w:rPr>
                          <w:rFonts w:eastAsia="Times New Roman"/>
                          <w:sz w:val="22"/>
                          <w:szCs w:val="22"/>
                        </w:rPr>
                        <w:t xml:space="preserve">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xml:space="preserve">. These provisions could be added to Article </w:t>
                      </w:r>
                      <w:r w:rsidR="00583013">
                        <w:rPr>
                          <w:rFonts w:eastAsia="Times New Roman"/>
                          <w:sz w:val="22"/>
                          <w:szCs w:val="22"/>
                        </w:rPr>
                        <w:t>2</w:t>
                      </w:r>
                      <w:r w:rsidR="00583013" w:rsidRPr="00112EB2">
                        <w:rPr>
                          <w:rFonts w:eastAsia="Times New Roman"/>
                          <w:sz w:val="22"/>
                          <w:szCs w:val="22"/>
                        </w:rPr>
                        <w:t xml:space="preserve"> </w:t>
                      </w:r>
                      <w:r w:rsidRPr="00112EB2">
                        <w:rPr>
                          <w:rFonts w:eastAsia="Times New Roman"/>
                          <w:sz w:val="22"/>
                          <w:szCs w:val="22"/>
                        </w:rPr>
                        <w:t xml:space="preserve">of the constitution, which already lists </w:t>
                      </w:r>
                      <w:r w:rsidR="00A81429">
                        <w:rPr>
                          <w:rFonts w:eastAsia="Times New Roman"/>
                          <w:sz w:val="22"/>
                          <w:szCs w:val="22"/>
                        </w:rPr>
                        <w:t>all other Convention</w:t>
                      </w:r>
                      <w:r w:rsidR="00A81429" w:rsidRPr="00112EB2">
                        <w:rPr>
                          <w:rFonts w:eastAsia="Times New Roman"/>
                          <w:sz w:val="22"/>
                          <w:szCs w:val="22"/>
                        </w:rPr>
                        <w:t xml:space="preserve"> </w:t>
                      </w:r>
                      <w:r w:rsidRPr="00112EB2">
                        <w:rPr>
                          <w:rFonts w:eastAsia="Times New Roman"/>
                          <w:sz w:val="22"/>
                          <w:szCs w:val="22"/>
                        </w:rPr>
                        <w:t xml:space="preserve">grounds and statuses. </w:t>
                      </w:r>
                    </w:p>
                    <w:p w14:paraId="5DCC91E9" w14:textId="410E5666" w:rsidR="00942D00" w:rsidRPr="00112EB2" w:rsidRDefault="00F215D5" w:rsidP="00F215D5">
                      <w:pPr>
                        <w:pStyle w:val="ListParagraph"/>
                        <w:numPr>
                          <w:ilvl w:val="0"/>
                          <w:numId w:val="32"/>
                        </w:numPr>
                        <w:spacing w:before="0" w:after="0"/>
                        <w:rPr>
                          <w:i/>
                          <w:sz w:val="22"/>
                          <w:szCs w:val="22"/>
                        </w:rPr>
                      </w:pPr>
                      <w:r w:rsidRPr="00D90466">
                        <w:rPr>
                          <w:sz w:val="22"/>
                          <w:szCs w:val="22"/>
                        </w:rPr>
                        <w:t xml:space="preserve">Recommend in its concluding observations that </w:t>
                      </w:r>
                      <w:r>
                        <w:rPr>
                          <w:sz w:val="22"/>
                          <w:szCs w:val="22"/>
                        </w:rPr>
                        <w:t>Peru</w:t>
                      </w:r>
                      <w:r w:rsidRPr="00D90466">
                        <w:rPr>
                          <w:sz w:val="22"/>
                          <w:szCs w:val="22"/>
                        </w:rPr>
                        <w:t xml:space="preserve"> amend </w:t>
                      </w:r>
                      <w:r>
                        <w:rPr>
                          <w:sz w:val="22"/>
                          <w:szCs w:val="22"/>
                        </w:rPr>
                        <w:t>its</w:t>
                      </w:r>
                      <w:r w:rsidRPr="00D90466">
                        <w:rPr>
                          <w:sz w:val="22"/>
                          <w:szCs w:val="22"/>
                        </w:rPr>
                        <w:t xml:space="preserve"> constitution to add explicit guarantees of equality and non-discrimination regardless of </w:t>
                      </w:r>
                      <w:r>
                        <w:rPr>
                          <w:sz w:val="22"/>
                          <w:szCs w:val="22"/>
                        </w:rPr>
                        <w:t>birth status, consistent with ICESCR commitments. These protections could be added to Article 2 of the constitution, which already protects all other grounds and statuses listed in the Covenant.</w:t>
                      </w:r>
                    </w:p>
                    <w:p w14:paraId="6DF7F791" w14:textId="77777777" w:rsidR="00112EB2" w:rsidRDefault="00112EB2" w:rsidP="00112EB2"/>
                  </w:txbxContent>
                </v:textbox>
                <w10:anchorlock/>
              </v:shape>
            </w:pict>
          </mc:Fallback>
        </mc:AlternateContent>
      </w:r>
      <w:r w:rsidR="00E83B15">
        <w:rPr>
          <w:sz w:val="22"/>
          <w:szCs w:val="22"/>
        </w:rPr>
        <w:br/>
      </w:r>
    </w:p>
    <w:p w14:paraId="7F00C51A" w14:textId="7D8A7430" w:rsidR="00EC4AA3" w:rsidRPr="00EC4AA3" w:rsidRDefault="00EC4AA3" w:rsidP="00EC4AA3">
      <w:pPr>
        <w:pStyle w:val="Heading1"/>
        <w:rPr>
          <w:rFonts w:eastAsia="Times New Roman"/>
          <w:b/>
          <w:bCs/>
        </w:rPr>
      </w:pPr>
      <w:bookmarkStart w:id="48" w:name="_Toc56080013"/>
      <w:bookmarkStart w:id="49" w:name="_Toc84593425"/>
      <w:r w:rsidRPr="00EC4AA3">
        <w:rPr>
          <w:rFonts w:eastAsia="Times New Roman"/>
          <w:b/>
          <w:bCs/>
        </w:rPr>
        <w:t>Detail</w:t>
      </w:r>
      <w:bookmarkEnd w:id="48"/>
      <w:bookmarkEnd w:id="49"/>
    </w:p>
    <w:p w14:paraId="5B967EAA" w14:textId="77777777" w:rsidR="00910870" w:rsidRDefault="00910870" w:rsidP="003F1428">
      <w:pPr>
        <w:spacing w:after="0"/>
        <w:rPr>
          <w:b/>
          <w:i/>
        </w:rPr>
      </w:pPr>
    </w:p>
    <w:p w14:paraId="3786224A" w14:textId="77777777"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0" w:name="_Toc56080014"/>
      <w:bookmarkStart w:id="51" w:name="_Toc84593426"/>
      <w:r w:rsidRPr="00140CAB">
        <w:rPr>
          <w:rFonts w:ascii="Calibri Light" w:eastAsia="Times New Roman" w:hAnsi="Calibri Light" w:cs="Times New Roman"/>
          <w:bCs/>
          <w:color w:val="2E74B5"/>
          <w:sz w:val="26"/>
          <w:szCs w:val="26"/>
        </w:rPr>
        <w:t>Equality and Non-Discrimination (Article 2, General Comment No. 5)</w:t>
      </w:r>
      <w:bookmarkEnd w:id="50"/>
      <w:bookmarkEnd w:id="51"/>
    </w:p>
    <w:p w14:paraId="2FDE4541" w14:textId="77777777"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D139651" w14:textId="77777777" w:rsidR="00231FF8" w:rsidRPr="00EC4AA3" w:rsidRDefault="004A2C19" w:rsidP="00EC4AA3">
      <w:pPr>
        <w:ind w:left="720"/>
        <w:rPr>
          <w:i/>
        </w:rPr>
      </w:pPr>
      <w:r w:rsidRPr="00EC4AA3">
        <w:rPr>
          <w:i/>
          <w:sz w:val="22"/>
          <w:szCs w:val="22"/>
        </w:rPr>
        <w:t xml:space="preserve">The States Parties to the present Covenant undertake to guarantee that the rights enunciated in the present Covenant will be exercised without discrimination of any kind as to </w:t>
      </w:r>
      <w:bookmarkStart w:id="52" w:name="_Hlk106307980"/>
      <w:r w:rsidRPr="00EC4AA3">
        <w:rPr>
          <w:i/>
          <w:sz w:val="22"/>
          <w:szCs w:val="22"/>
        </w:rPr>
        <w:t>race, colour, sex, language, religion, political or other opinion, national or social origin, property, birth or other status</w:t>
      </w:r>
      <w:r w:rsidRPr="00EC4AA3">
        <w:rPr>
          <w:i/>
        </w:rPr>
        <w:t>.</w:t>
      </w:r>
    </w:p>
    <w:bookmarkEnd w:id="52"/>
    <w:p w14:paraId="737A9B1B" w14:textId="4F46AD11" w:rsidR="00231FF8" w:rsidRPr="00EC4AA3" w:rsidRDefault="000E5FB7" w:rsidP="00EC4AA3">
      <w:pPr>
        <w:rPr>
          <w:sz w:val="22"/>
          <w:szCs w:val="22"/>
        </w:rPr>
      </w:pPr>
      <w:r w:rsidRPr="00EC4AA3">
        <w:rPr>
          <w:sz w:val="22"/>
          <w:szCs w:val="22"/>
        </w:rPr>
        <w:t xml:space="preserve">Furthermore, General Comment No. 5 explicitly addresses non-discrimination of persons with disabilities by stating: </w:t>
      </w:r>
    </w:p>
    <w:p w14:paraId="419D5A69" w14:textId="77777777" w:rsidR="00F42DA9" w:rsidRPr="00EC4AA3" w:rsidRDefault="000E5FB7" w:rsidP="00EC4AA3">
      <w:pPr>
        <w:ind w:left="720"/>
        <w:rPr>
          <w:i/>
          <w:sz w:val="22"/>
          <w:szCs w:val="22"/>
        </w:rPr>
      </w:pPr>
      <w:r w:rsidRPr="00EC4AA3">
        <w:rPr>
          <w:i/>
          <w:sz w:val="22"/>
          <w:szCs w:val="22"/>
        </w:rPr>
        <w:lastRenderedPageBreak/>
        <w:t>[…] the requirement contained in article 2 (2) of the Covenant that the rights “enunciated ... will be exercised without discrimination of any kind” based on certain specified grounds “or other status” clearly applies to discrimination on the grounds of disability.</w:t>
      </w:r>
    </w:p>
    <w:p w14:paraId="4CA254DF" w14:textId="77777777" w:rsidR="00EC4AA3" w:rsidRPr="00EC4AA3" w:rsidRDefault="00EC4AA3" w:rsidP="00EC4AA3">
      <w:pPr>
        <w:rPr>
          <w:color w:val="3405DF"/>
          <w:sz w:val="22"/>
          <w:szCs w:val="22"/>
        </w:rPr>
      </w:pPr>
      <w:bookmarkStart w:id="53"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3"/>
    <w:p w14:paraId="0A9EC9FA" w14:textId="77777777"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08B742EE" w14:textId="62E28307" w:rsidR="00EC4AA3" w:rsidRPr="00EC4AA3" w:rsidRDefault="0093110B" w:rsidP="00EC4AA3">
      <w:pPr>
        <w:keepNext/>
        <w:keepLines/>
        <w:spacing w:before="40" w:afterLines="100" w:after="240"/>
        <w:outlineLvl w:val="3"/>
        <w:rPr>
          <w:rFonts w:ascii="Calibri Light" w:eastAsia="Times New Roman" w:hAnsi="Calibri Light" w:cs="Times New Roman"/>
          <w:i/>
          <w:iCs/>
          <w:color w:val="2E74B5"/>
          <w:sz w:val="22"/>
          <w:szCs w:val="22"/>
        </w:rPr>
      </w:pPr>
      <w:bookmarkStart w:id="54" w:name="_Hlk55550922"/>
      <w:r>
        <w:rPr>
          <w:rFonts w:ascii="Calibri Light" w:eastAsia="Times New Roman" w:hAnsi="Calibri Light" w:cs="Times New Roman"/>
          <w:i/>
          <w:iCs/>
          <w:color w:val="2E74B5"/>
          <w:sz w:val="22"/>
          <w:szCs w:val="22"/>
        </w:rPr>
        <w:t>PERU</w:t>
      </w:r>
      <w:r w:rsidR="00EC4AA3" w:rsidRPr="00E630F9">
        <w:rPr>
          <w:rFonts w:ascii="Calibri Light" w:eastAsia="Times New Roman" w:hAnsi="Calibri Light" w:cs="Times New Roman"/>
          <w:i/>
          <w:iCs/>
          <w:color w:val="2E74B5"/>
          <w:sz w:val="22"/>
          <w:szCs w:val="22"/>
        </w:rPr>
        <w:t>’</w:t>
      </w:r>
      <w:r w:rsidR="00EC4AA3" w:rsidRPr="00EC4AA3">
        <w:rPr>
          <w:rFonts w:ascii="Calibri Light" w:eastAsia="Times New Roman" w:hAnsi="Calibri Light" w:cs="Times New Roman"/>
          <w:i/>
          <w:iCs/>
          <w:color w:val="2E74B5"/>
          <w:sz w:val="22"/>
          <w:szCs w:val="22"/>
        </w:rPr>
        <w:t xml:space="preserve">S CONSTITUTIONAL PROVISIONS: </w:t>
      </w:r>
      <w:r w:rsidR="00F415C7" w:rsidRPr="000539DC">
        <w:rPr>
          <w:rFonts w:ascii="Calibri Light" w:eastAsia="Times New Roman" w:hAnsi="Calibri Light" w:cs="Times New Roman"/>
          <w:i/>
          <w:iCs/>
          <w:color w:val="2E74B5"/>
          <w:sz w:val="21"/>
          <w:szCs w:val="21"/>
        </w:rPr>
        <w:t>MISSING EXPLICIT GUARANTEES OF EQUALITY AND NON-DISCRIMINATION</w:t>
      </w:r>
      <w:r w:rsidR="00C94330">
        <w:rPr>
          <w:rFonts w:ascii="Calibri Light" w:eastAsia="Times New Roman" w:hAnsi="Calibri Light" w:cs="Times New Roman"/>
          <w:i/>
          <w:iCs/>
          <w:color w:val="2E74B5"/>
          <w:sz w:val="21"/>
          <w:szCs w:val="21"/>
        </w:rPr>
        <w:t xml:space="preserve"> FOR PERSONS WITH DISABILITIES</w:t>
      </w:r>
    </w:p>
    <w:p w14:paraId="0D582AE7" w14:textId="5A53BD2A" w:rsidR="005F04D8" w:rsidRPr="00583013" w:rsidRDefault="00F160D0" w:rsidP="005F04D8">
      <w:pPr>
        <w:spacing w:after="0"/>
        <w:rPr>
          <w:sz w:val="22"/>
          <w:szCs w:val="22"/>
        </w:rPr>
      </w:pPr>
      <w:bookmarkStart w:id="55" w:name="_Hlk55551043"/>
      <w:bookmarkEnd w:id="54"/>
      <w:r w:rsidRPr="00583013">
        <w:rPr>
          <w:sz w:val="22"/>
          <w:szCs w:val="22"/>
        </w:rPr>
        <w:t xml:space="preserve">Article </w:t>
      </w:r>
      <w:r w:rsidR="00073EE1">
        <w:rPr>
          <w:sz w:val="22"/>
          <w:szCs w:val="22"/>
        </w:rPr>
        <w:t>2.2</w:t>
      </w:r>
      <w:r w:rsidR="00583013" w:rsidRPr="00583013">
        <w:rPr>
          <w:sz w:val="22"/>
          <w:szCs w:val="22"/>
        </w:rPr>
        <w:t xml:space="preserve"> </w:t>
      </w:r>
      <w:r w:rsidRPr="00583013">
        <w:rPr>
          <w:sz w:val="22"/>
          <w:szCs w:val="22"/>
        </w:rPr>
        <w:t xml:space="preserve">of </w:t>
      </w:r>
      <w:r w:rsidR="0093110B">
        <w:rPr>
          <w:sz w:val="22"/>
          <w:szCs w:val="22"/>
        </w:rPr>
        <w:t>Peru</w:t>
      </w:r>
      <w:r w:rsidRPr="00583013">
        <w:rPr>
          <w:sz w:val="22"/>
          <w:szCs w:val="22"/>
        </w:rPr>
        <w:t xml:space="preserve">’s constitution </w:t>
      </w:r>
      <w:r w:rsidR="00583013" w:rsidRPr="00583013">
        <w:rPr>
          <w:sz w:val="22"/>
          <w:szCs w:val="22"/>
        </w:rPr>
        <w:t xml:space="preserve">prohibits discrimination </w:t>
      </w:r>
      <w:r w:rsidR="00073EE1">
        <w:rPr>
          <w:sz w:val="22"/>
          <w:szCs w:val="22"/>
        </w:rPr>
        <w:t>on the basis of origin, race, sex, language, religion, opinion, and financial condition.</w:t>
      </w:r>
      <w:r w:rsidR="00D218F6" w:rsidRPr="00D218F6">
        <w:rPr>
          <w:sz w:val="22"/>
          <w:szCs w:val="22"/>
        </w:rPr>
        <w:t xml:space="preserve"> </w:t>
      </w:r>
      <w:r w:rsidR="00D218F6">
        <w:rPr>
          <w:sz w:val="22"/>
          <w:szCs w:val="22"/>
        </w:rPr>
        <w:t>Although, like the Covenant, the constitution includes protection on “any other ground”, it does not guarantee equality on the basis of birth which is a status explicitly outlined in the Covenant.</w:t>
      </w:r>
    </w:p>
    <w:p w14:paraId="0A729D4A" w14:textId="15C83F6C" w:rsidR="00F415C7" w:rsidRPr="0093110B" w:rsidRDefault="00F415C7" w:rsidP="00EC4AA3">
      <w:pPr>
        <w:rPr>
          <w:b/>
          <w:bCs/>
          <w:lang w:val="es-ES"/>
        </w:rPr>
      </w:pPr>
      <w:r w:rsidRPr="00583013">
        <w:rPr>
          <w:b/>
          <w:bCs/>
          <w:i/>
          <w:iCs/>
          <w:sz w:val="22"/>
          <w:szCs w:val="22"/>
        </w:rPr>
        <w:tab/>
      </w:r>
      <w:r w:rsidRPr="0093110B">
        <w:rPr>
          <w:b/>
          <w:bCs/>
          <w:sz w:val="22"/>
          <w:szCs w:val="22"/>
          <w:lang w:val="es-ES"/>
        </w:rPr>
        <w:t xml:space="preserve">Constitution of </w:t>
      </w:r>
      <w:r w:rsidR="0093110B" w:rsidRPr="0093110B">
        <w:rPr>
          <w:b/>
          <w:bCs/>
          <w:sz w:val="22"/>
          <w:szCs w:val="22"/>
          <w:lang w:val="es-ES"/>
        </w:rPr>
        <w:t>Peru</w:t>
      </w:r>
      <w:r w:rsidRPr="0093110B">
        <w:rPr>
          <w:b/>
          <w:bCs/>
          <w:sz w:val="22"/>
          <w:szCs w:val="22"/>
          <w:lang w:val="es-ES"/>
        </w:rPr>
        <w:t xml:space="preserve"> </w:t>
      </w:r>
    </w:p>
    <w:bookmarkEnd w:id="55"/>
    <w:p w14:paraId="414F4A6B" w14:textId="77777777" w:rsidR="0093110B" w:rsidRPr="000E1E74" w:rsidRDefault="0093110B" w:rsidP="00F0009D">
      <w:pPr>
        <w:ind w:left="720"/>
        <w:rPr>
          <w:rFonts w:ascii="Calibri" w:hAnsi="Calibri" w:cs="Calibri"/>
          <w:i/>
          <w:sz w:val="22"/>
          <w:szCs w:val="22"/>
          <w:lang w:val="es-ES"/>
        </w:rPr>
      </w:pPr>
      <w:r w:rsidRPr="000E1E74">
        <w:rPr>
          <w:rFonts w:ascii="Calibri" w:hAnsi="Calibri" w:cs="Calibri"/>
          <w:b/>
          <w:bCs/>
          <w:i/>
          <w:sz w:val="22"/>
          <w:szCs w:val="22"/>
          <w:lang w:val="es-ES"/>
        </w:rPr>
        <w:t xml:space="preserve">Articulo 2.- </w:t>
      </w:r>
      <w:r w:rsidRPr="000E1E74">
        <w:rPr>
          <w:rFonts w:ascii="Calibri" w:hAnsi="Calibri" w:cs="Calibri"/>
          <w:i/>
          <w:sz w:val="22"/>
          <w:szCs w:val="22"/>
          <w:lang w:val="es-ES"/>
        </w:rPr>
        <w:t>Toda persona tiene derecho:</w:t>
      </w:r>
    </w:p>
    <w:p w14:paraId="754264A2" w14:textId="77777777" w:rsidR="0093110B" w:rsidRPr="000E1E74" w:rsidRDefault="0093110B" w:rsidP="00F0009D">
      <w:pPr>
        <w:ind w:left="720"/>
        <w:rPr>
          <w:rFonts w:ascii="Calibri" w:hAnsi="Calibri" w:cs="Calibri"/>
          <w:i/>
          <w:iCs/>
          <w:sz w:val="22"/>
          <w:szCs w:val="22"/>
          <w:lang w:val="es-ES"/>
        </w:rPr>
      </w:pPr>
      <w:r w:rsidRPr="000E1E74">
        <w:rPr>
          <w:rFonts w:ascii="Calibri" w:hAnsi="Calibri" w:cs="Calibri"/>
          <w:i/>
          <w:iCs/>
          <w:sz w:val="22"/>
          <w:szCs w:val="22"/>
          <w:lang w:val="es-ES"/>
        </w:rPr>
        <w:t>(…)</w:t>
      </w:r>
    </w:p>
    <w:p w14:paraId="57CCDCF2" w14:textId="1EBDA907" w:rsidR="00F0009D" w:rsidRPr="000E1E74" w:rsidRDefault="0093110B" w:rsidP="00073EE1">
      <w:pPr>
        <w:autoSpaceDE w:val="0"/>
        <w:autoSpaceDN w:val="0"/>
        <w:adjustRightInd w:val="0"/>
        <w:spacing w:before="0" w:after="0" w:line="240" w:lineRule="auto"/>
        <w:ind w:left="720"/>
        <w:rPr>
          <w:rFonts w:ascii="Calibri" w:hAnsi="Calibri" w:cs="Calibri"/>
          <w:i/>
          <w:sz w:val="22"/>
          <w:szCs w:val="22"/>
          <w:lang w:val="es-ES"/>
        </w:rPr>
      </w:pPr>
      <w:r w:rsidRPr="000E1E74">
        <w:rPr>
          <w:rFonts w:ascii="Calibri" w:hAnsi="Calibri" w:cs="Calibri"/>
          <w:i/>
          <w:sz w:val="22"/>
          <w:szCs w:val="22"/>
          <w:lang w:val="es-ES"/>
        </w:rPr>
        <w:t>2. A la igualdad ante la ley. Nadie debe ser discriminado por motivo de origen, raza, sexo, idioma, religion, opinion, condicion economica o de</w:t>
      </w:r>
      <w:r w:rsidR="00073EE1" w:rsidRPr="000E1E74">
        <w:rPr>
          <w:rFonts w:ascii="Calibri" w:hAnsi="Calibri" w:cs="Calibri"/>
          <w:i/>
          <w:sz w:val="22"/>
          <w:szCs w:val="22"/>
          <w:lang w:val="es-ES"/>
        </w:rPr>
        <w:t xml:space="preserve"> </w:t>
      </w:r>
      <w:r w:rsidRPr="000E1E74">
        <w:rPr>
          <w:rFonts w:ascii="Calibri" w:hAnsi="Calibri" w:cs="Calibri"/>
          <w:i/>
          <w:sz w:val="22"/>
          <w:szCs w:val="22"/>
          <w:lang w:val="es-ES"/>
        </w:rPr>
        <w:t>cualquiera otra indole.</w:t>
      </w:r>
      <w:r w:rsidR="00F0009D" w:rsidRPr="000E1E74">
        <w:rPr>
          <w:rFonts w:ascii="Calibri" w:hAnsi="Calibri" w:cs="Calibri"/>
          <w:i/>
          <w:iCs/>
          <w:sz w:val="22"/>
          <w:szCs w:val="22"/>
          <w:lang w:val="es-ES"/>
        </w:rPr>
        <w:t xml:space="preserve">. </w:t>
      </w:r>
    </w:p>
    <w:p w14:paraId="560D153C" w14:textId="2384563B" w:rsidR="00952977" w:rsidRPr="000E1E74" w:rsidRDefault="00F0009D" w:rsidP="00F0009D">
      <w:pPr>
        <w:ind w:left="720"/>
        <w:rPr>
          <w:rFonts w:ascii="Calibri" w:hAnsi="Calibri" w:cs="Calibri"/>
          <w:i/>
          <w:iCs/>
          <w:sz w:val="22"/>
          <w:szCs w:val="22"/>
        </w:rPr>
      </w:pPr>
      <w:r w:rsidRPr="000E1E74">
        <w:rPr>
          <w:rFonts w:ascii="Calibri" w:hAnsi="Calibri" w:cs="Calibri"/>
          <w:i/>
          <w:iCs/>
          <w:sz w:val="22"/>
          <w:szCs w:val="22"/>
        </w:rPr>
        <w:t>(…)</w:t>
      </w:r>
    </w:p>
    <w:p w14:paraId="4EF4715E" w14:textId="39445DED" w:rsidR="00952977" w:rsidRPr="00EF20C5" w:rsidRDefault="000A1A34" w:rsidP="00583013">
      <w:pPr>
        <w:spacing w:after="0"/>
        <w:rPr>
          <w:sz w:val="22"/>
          <w:szCs w:val="22"/>
        </w:rPr>
      </w:pPr>
      <w:r>
        <w:rPr>
          <w:sz w:val="22"/>
          <w:szCs w:val="22"/>
        </w:rPr>
        <w:t>Additionally,</w:t>
      </w:r>
      <w:r w:rsidRPr="00542522">
        <w:rPr>
          <w:sz w:val="22"/>
          <w:szCs w:val="22"/>
        </w:rPr>
        <w:t xml:space="preserve"> given General Comment No. 5</w:t>
      </w:r>
      <w:r>
        <w:rPr>
          <w:sz w:val="22"/>
          <w:szCs w:val="22"/>
        </w:rPr>
        <w:t xml:space="preserve"> which </w:t>
      </w:r>
      <w:r w:rsidRPr="00EC4AA3">
        <w:rPr>
          <w:sz w:val="22"/>
          <w:szCs w:val="22"/>
        </w:rPr>
        <w:t>explicitly addresses non-discrimination of persons with disabilities</w:t>
      </w:r>
      <w:r>
        <w:rPr>
          <w:sz w:val="22"/>
          <w:szCs w:val="22"/>
        </w:rPr>
        <w:t xml:space="preserve">, </w:t>
      </w:r>
      <w:r w:rsidRPr="000E1E74">
        <w:rPr>
          <w:b/>
          <w:sz w:val="22"/>
          <w:szCs w:val="22"/>
        </w:rPr>
        <w:t xml:space="preserve">Peru’s </w:t>
      </w:r>
      <w:r w:rsidR="00D218F6" w:rsidRPr="000E1E74">
        <w:rPr>
          <w:b/>
          <w:sz w:val="22"/>
          <w:szCs w:val="22"/>
        </w:rPr>
        <w:t>constitution</w:t>
      </w:r>
      <w:r w:rsidR="00D218F6" w:rsidRPr="000353E5">
        <w:rPr>
          <w:b/>
          <w:bCs/>
          <w:sz w:val="22"/>
          <w:szCs w:val="22"/>
        </w:rPr>
        <w:t xml:space="preserve"> does not explicitly guarantee equality for persons with disabilities</w:t>
      </w:r>
      <w:r w:rsidR="000353E5" w:rsidRPr="000353E5">
        <w:rPr>
          <w:b/>
          <w:bCs/>
          <w:sz w:val="22"/>
          <w:szCs w:val="22"/>
        </w:rPr>
        <w:t>.</w:t>
      </w:r>
      <w:r w:rsidR="005F7B0E">
        <w:rPr>
          <w:b/>
          <w:bCs/>
          <w:sz w:val="22"/>
          <w:szCs w:val="22"/>
        </w:rPr>
        <w:t xml:space="preserve"> </w:t>
      </w:r>
      <w:r w:rsidR="00EF20C5">
        <w:rPr>
          <w:sz w:val="22"/>
          <w:szCs w:val="22"/>
        </w:rPr>
        <w:t>Our research has shown that</w:t>
      </w:r>
      <w:r w:rsidR="00CD353E">
        <w:rPr>
          <w:sz w:val="22"/>
          <w:szCs w:val="22"/>
        </w:rPr>
        <w:t xml:space="preserve"> these protections are becoming increasingly common</w:t>
      </w:r>
      <w:r w:rsidR="005C5D57">
        <w:rPr>
          <w:sz w:val="22"/>
          <w:szCs w:val="22"/>
        </w:rPr>
        <w:t>:</w:t>
      </w:r>
      <w:r w:rsidR="00EF20C5">
        <w:rPr>
          <w:sz w:val="22"/>
          <w:szCs w:val="22"/>
        </w:rPr>
        <w:t xml:space="preserve"> </w:t>
      </w:r>
      <w:r w:rsidR="005C5D57">
        <w:rPr>
          <w:sz w:val="22"/>
          <w:szCs w:val="22"/>
        </w:rPr>
        <w:t>W</w:t>
      </w:r>
      <w:r w:rsidR="00EF20C5">
        <w:rPr>
          <w:sz w:val="22"/>
          <w:szCs w:val="22"/>
        </w:rPr>
        <w:t>hile only 1</w:t>
      </w:r>
      <w:r w:rsidR="007E74BD">
        <w:rPr>
          <w:sz w:val="22"/>
          <w:szCs w:val="22"/>
        </w:rPr>
        <w:t>2</w:t>
      </w:r>
      <w:r w:rsidR="00EF20C5">
        <w:rPr>
          <w:sz w:val="22"/>
          <w:szCs w:val="22"/>
        </w:rPr>
        <w:t>% of current constitutions that were passed before 1990</w:t>
      </w:r>
      <w:r w:rsidR="00583013">
        <w:rPr>
          <w:sz w:val="22"/>
          <w:szCs w:val="22"/>
        </w:rPr>
        <w:t xml:space="preserve"> explicitly</w:t>
      </w:r>
      <w:r w:rsidR="00EF20C5">
        <w:rPr>
          <w:sz w:val="22"/>
          <w:szCs w:val="22"/>
        </w:rPr>
        <w:t xml:space="preserve"> protect equality for persons with disabilities, </w:t>
      </w:r>
      <w:r w:rsidR="00652920">
        <w:rPr>
          <w:sz w:val="22"/>
          <w:szCs w:val="22"/>
        </w:rPr>
        <w:t>69</w:t>
      </w:r>
      <w:r w:rsidR="00EF20C5">
        <w:rPr>
          <w:sz w:val="22"/>
          <w:szCs w:val="22"/>
        </w:rPr>
        <w:t>% of those passed since 2010 do</w:t>
      </w:r>
      <w:r w:rsidR="007E74BD">
        <w:rPr>
          <w:sz w:val="22"/>
          <w:szCs w:val="22"/>
        </w:rPr>
        <w:t>.</w:t>
      </w:r>
      <w:r w:rsidR="00EF20C5">
        <w:rPr>
          <w:sz w:val="22"/>
          <w:szCs w:val="22"/>
        </w:rPr>
        <w:t xml:space="preserve"> </w:t>
      </w:r>
    </w:p>
    <w:p w14:paraId="12AE036F" w14:textId="77777777"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782BBE">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62064" w16cex:dateUtc="2022-06-17T01: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BF244" w14:textId="77777777" w:rsidR="00675146" w:rsidRDefault="00675146" w:rsidP="00263795">
      <w:pPr>
        <w:spacing w:after="0" w:line="240" w:lineRule="auto"/>
      </w:pPr>
      <w:r>
        <w:separator/>
      </w:r>
    </w:p>
  </w:endnote>
  <w:endnote w:type="continuationSeparator" w:id="0">
    <w:p w14:paraId="69F55ECD" w14:textId="77777777" w:rsidR="00675146" w:rsidRDefault="00675146"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5C4BEF2E" w14:textId="5902D8AC"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31C19">
          <w:rPr>
            <w:noProof/>
          </w:rPr>
          <w:t>3</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B9EAB" w14:textId="77777777" w:rsidR="00675146" w:rsidRDefault="00675146" w:rsidP="00263795">
      <w:pPr>
        <w:spacing w:after="0" w:line="240" w:lineRule="auto"/>
      </w:pPr>
      <w:r>
        <w:separator/>
      </w:r>
    </w:p>
  </w:footnote>
  <w:footnote w:type="continuationSeparator" w:id="0">
    <w:p w14:paraId="7825EAF0" w14:textId="77777777" w:rsidR="00675146" w:rsidRDefault="00675146"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2FA09" w14:textId="38713394" w:rsidR="009F0937" w:rsidRPr="001D42D7" w:rsidRDefault="009F0937" w:rsidP="005B7FB6">
    <w:pPr>
      <w:pStyle w:val="Header"/>
      <w:jc w:val="right"/>
      <w:rPr>
        <w:i/>
        <w:color w:val="FF0000"/>
      </w:rPr>
    </w:pPr>
    <w:r w:rsidRPr="00F42DA9">
      <w:rPr>
        <w:i/>
        <w:noProof/>
        <w:color w:val="FF0000"/>
        <w:highlight w:val="yellow"/>
        <w:lang w:val="en-GB" w:eastAsia="en-GB"/>
      </w:rPr>
      <w:drawing>
        <wp:anchor distT="0" distB="0" distL="114300" distR="114300" simplePos="0" relativeHeight="251658240" behindDoc="1" locked="0" layoutInCell="1" allowOverlap="1" wp14:anchorId="30D448FC" wp14:editId="5B00A83D">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21B42" w:rsidRPr="00221B42">
      <w:t xml:space="preserve"> </w:t>
    </w:r>
    <w:r w:rsidR="00E84E19">
      <w:t>Ju</w:t>
    </w:r>
    <w:r w:rsidR="00A73A23">
      <w:t>ly 1</w:t>
    </w:r>
    <w:r w:rsidR="00E84E19">
      <w:t>, 2022</w:t>
    </w:r>
    <w:r w:rsidR="00221B42" w:rsidRPr="002D5385">
      <w:t xml:space="preserve"> </w:t>
    </w:r>
    <w:r w:rsidR="00250846" w:rsidRPr="001D42D7">
      <w:rPr>
        <w:i/>
        <w:color w:val="FF0000"/>
      </w:rPr>
      <w:t xml:space="preserve"> </w:t>
    </w:r>
  </w:p>
  <w:p w14:paraId="5DBEDF3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EEDB7" w14:textId="3FE0CB83" w:rsidR="00221B42" w:rsidRDefault="00112EB2" w:rsidP="00112EB2">
    <w:pPr>
      <w:pStyle w:val="Header"/>
      <w:jc w:val="right"/>
    </w:pPr>
    <w:r>
      <w:t>Ju</w:t>
    </w:r>
    <w:r w:rsidR="00A73A23">
      <w:t>ly 1</w:t>
    </w:r>
    <w:r>
      <w:t>, 2022</w:t>
    </w:r>
    <w:r>
      <w:rPr>
        <w:noProof/>
        <w:lang w:val="en-GB" w:eastAsia="en-GB"/>
      </w:rPr>
      <w:drawing>
        <wp:anchor distT="0" distB="0" distL="114300" distR="114300" simplePos="0" relativeHeight="251660288" behindDoc="1" locked="0" layoutInCell="1" allowOverlap="1" wp14:anchorId="43430AF2" wp14:editId="7E07B722">
          <wp:simplePos x="0" y="0"/>
          <wp:positionH relativeFrom="column">
            <wp:posOffset>-676275</wp:posOffset>
          </wp:positionH>
          <wp:positionV relativeFrom="paragraph">
            <wp:posOffset>-314325</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17F0BD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9574D"/>
    <w:multiLevelType w:val="hybridMultilevel"/>
    <w:tmpl w:val="B970AB76"/>
    <w:lvl w:ilvl="0" w:tplc="DD7672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6"/>
  </w:num>
  <w:num w:numId="4">
    <w:abstractNumId w:val="22"/>
  </w:num>
  <w:num w:numId="5">
    <w:abstractNumId w:val="1"/>
  </w:num>
  <w:num w:numId="6">
    <w:abstractNumId w:val="16"/>
  </w:num>
  <w:num w:numId="7">
    <w:abstractNumId w:val="10"/>
  </w:num>
  <w:num w:numId="8">
    <w:abstractNumId w:val="5"/>
  </w:num>
  <w:num w:numId="9">
    <w:abstractNumId w:val="26"/>
  </w:num>
  <w:num w:numId="10">
    <w:abstractNumId w:val="29"/>
  </w:num>
  <w:num w:numId="11">
    <w:abstractNumId w:val="31"/>
  </w:num>
  <w:num w:numId="12">
    <w:abstractNumId w:val="33"/>
  </w:num>
  <w:num w:numId="13">
    <w:abstractNumId w:val="30"/>
  </w:num>
  <w:num w:numId="14">
    <w:abstractNumId w:val="15"/>
  </w:num>
  <w:num w:numId="15">
    <w:abstractNumId w:val="13"/>
  </w:num>
  <w:num w:numId="16">
    <w:abstractNumId w:val="12"/>
  </w:num>
  <w:num w:numId="17">
    <w:abstractNumId w:val="21"/>
  </w:num>
  <w:num w:numId="18">
    <w:abstractNumId w:val="2"/>
  </w:num>
  <w:num w:numId="19">
    <w:abstractNumId w:val="27"/>
  </w:num>
  <w:num w:numId="20">
    <w:abstractNumId w:val="18"/>
  </w:num>
  <w:num w:numId="21">
    <w:abstractNumId w:val="0"/>
  </w:num>
  <w:num w:numId="22">
    <w:abstractNumId w:val="24"/>
  </w:num>
  <w:num w:numId="23">
    <w:abstractNumId w:val="17"/>
  </w:num>
  <w:num w:numId="24">
    <w:abstractNumId w:val="11"/>
  </w:num>
  <w:num w:numId="25">
    <w:abstractNumId w:val="8"/>
  </w:num>
  <w:num w:numId="26">
    <w:abstractNumId w:val="3"/>
  </w:num>
  <w:num w:numId="27">
    <w:abstractNumId w:val="23"/>
  </w:num>
  <w:num w:numId="28">
    <w:abstractNumId w:val="25"/>
  </w:num>
  <w:num w:numId="29">
    <w:abstractNumId w:val="19"/>
  </w:num>
  <w:num w:numId="30">
    <w:abstractNumId w:val="32"/>
  </w:num>
  <w:num w:numId="31">
    <w:abstractNumId w:val="20"/>
  </w:num>
  <w:num w:numId="32">
    <w:abstractNumId w:val="4"/>
  </w:num>
  <w:num w:numId="33">
    <w:abstractNumId w:val="28"/>
  </w:num>
  <w:num w:numId="3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hideSpellingErrors/>
  <w:hideGrammatical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16069"/>
    <w:rsid w:val="00021FBA"/>
    <w:rsid w:val="000237F2"/>
    <w:rsid w:val="000257A1"/>
    <w:rsid w:val="00027A33"/>
    <w:rsid w:val="00033457"/>
    <w:rsid w:val="000353E5"/>
    <w:rsid w:val="000365E8"/>
    <w:rsid w:val="00040181"/>
    <w:rsid w:val="00041A53"/>
    <w:rsid w:val="00043EE6"/>
    <w:rsid w:val="0004640A"/>
    <w:rsid w:val="00047F6B"/>
    <w:rsid w:val="00054A9A"/>
    <w:rsid w:val="0005538C"/>
    <w:rsid w:val="00055D03"/>
    <w:rsid w:val="0006644E"/>
    <w:rsid w:val="000676FE"/>
    <w:rsid w:val="0007134E"/>
    <w:rsid w:val="00073EE1"/>
    <w:rsid w:val="000753D3"/>
    <w:rsid w:val="00075804"/>
    <w:rsid w:val="00076542"/>
    <w:rsid w:val="00076E69"/>
    <w:rsid w:val="00081CB9"/>
    <w:rsid w:val="0008349B"/>
    <w:rsid w:val="000835E9"/>
    <w:rsid w:val="00087AC9"/>
    <w:rsid w:val="000A17BA"/>
    <w:rsid w:val="000A18FD"/>
    <w:rsid w:val="000A1A34"/>
    <w:rsid w:val="000A21B5"/>
    <w:rsid w:val="000A46FF"/>
    <w:rsid w:val="000B2CBC"/>
    <w:rsid w:val="000B5F58"/>
    <w:rsid w:val="000C1C9E"/>
    <w:rsid w:val="000C38B1"/>
    <w:rsid w:val="000D0E9B"/>
    <w:rsid w:val="000D58F3"/>
    <w:rsid w:val="000E0BE3"/>
    <w:rsid w:val="000E1E74"/>
    <w:rsid w:val="000E5FB7"/>
    <w:rsid w:val="000F1FC4"/>
    <w:rsid w:val="000F4CDB"/>
    <w:rsid w:val="000F5C02"/>
    <w:rsid w:val="000F63F9"/>
    <w:rsid w:val="000F7D43"/>
    <w:rsid w:val="0010092B"/>
    <w:rsid w:val="0010334A"/>
    <w:rsid w:val="00104146"/>
    <w:rsid w:val="00110604"/>
    <w:rsid w:val="00112EB2"/>
    <w:rsid w:val="00112EC9"/>
    <w:rsid w:val="00113913"/>
    <w:rsid w:val="00121A28"/>
    <w:rsid w:val="00131DB1"/>
    <w:rsid w:val="0014021B"/>
    <w:rsid w:val="00140CAB"/>
    <w:rsid w:val="00142CD4"/>
    <w:rsid w:val="00146C2C"/>
    <w:rsid w:val="00162979"/>
    <w:rsid w:val="0016482B"/>
    <w:rsid w:val="00167021"/>
    <w:rsid w:val="00167795"/>
    <w:rsid w:val="00170358"/>
    <w:rsid w:val="00173FE4"/>
    <w:rsid w:val="00175C10"/>
    <w:rsid w:val="00182E96"/>
    <w:rsid w:val="00186A0B"/>
    <w:rsid w:val="001910A5"/>
    <w:rsid w:val="001A0BE9"/>
    <w:rsid w:val="001A2E34"/>
    <w:rsid w:val="001B6472"/>
    <w:rsid w:val="001C4F65"/>
    <w:rsid w:val="001C6765"/>
    <w:rsid w:val="001D1C9A"/>
    <w:rsid w:val="001D42D7"/>
    <w:rsid w:val="001D6139"/>
    <w:rsid w:val="001E0AB3"/>
    <w:rsid w:val="001E205C"/>
    <w:rsid w:val="001F0EE8"/>
    <w:rsid w:val="001F129D"/>
    <w:rsid w:val="001F1A7A"/>
    <w:rsid w:val="001F37DD"/>
    <w:rsid w:val="001F6FEE"/>
    <w:rsid w:val="00215540"/>
    <w:rsid w:val="00216A01"/>
    <w:rsid w:val="00216F3A"/>
    <w:rsid w:val="00217985"/>
    <w:rsid w:val="00221B42"/>
    <w:rsid w:val="00224C9F"/>
    <w:rsid w:val="00225A6E"/>
    <w:rsid w:val="00231CFA"/>
    <w:rsid w:val="00231DD4"/>
    <w:rsid w:val="00231FF8"/>
    <w:rsid w:val="0023280B"/>
    <w:rsid w:val="00233C05"/>
    <w:rsid w:val="00235AE7"/>
    <w:rsid w:val="00235B98"/>
    <w:rsid w:val="002363A5"/>
    <w:rsid w:val="002447D6"/>
    <w:rsid w:val="0024557C"/>
    <w:rsid w:val="0024558B"/>
    <w:rsid w:val="00246DE7"/>
    <w:rsid w:val="00250846"/>
    <w:rsid w:val="00251BF0"/>
    <w:rsid w:val="002529A1"/>
    <w:rsid w:val="00262139"/>
    <w:rsid w:val="0026260D"/>
    <w:rsid w:val="00262B3E"/>
    <w:rsid w:val="00263394"/>
    <w:rsid w:val="00263795"/>
    <w:rsid w:val="00267D06"/>
    <w:rsid w:val="00270D67"/>
    <w:rsid w:val="00271160"/>
    <w:rsid w:val="00277988"/>
    <w:rsid w:val="00280964"/>
    <w:rsid w:val="002822B0"/>
    <w:rsid w:val="0028336A"/>
    <w:rsid w:val="002842F2"/>
    <w:rsid w:val="00285913"/>
    <w:rsid w:val="00293C07"/>
    <w:rsid w:val="002A27CB"/>
    <w:rsid w:val="002A409D"/>
    <w:rsid w:val="002A4E3E"/>
    <w:rsid w:val="002B3260"/>
    <w:rsid w:val="002C79FD"/>
    <w:rsid w:val="002D3475"/>
    <w:rsid w:val="002D3CE2"/>
    <w:rsid w:val="002E3152"/>
    <w:rsid w:val="002F1D49"/>
    <w:rsid w:val="002F2002"/>
    <w:rsid w:val="002F6E5A"/>
    <w:rsid w:val="003130C5"/>
    <w:rsid w:val="00313689"/>
    <w:rsid w:val="003205E2"/>
    <w:rsid w:val="0032490B"/>
    <w:rsid w:val="0032592A"/>
    <w:rsid w:val="00325AE2"/>
    <w:rsid w:val="003270AB"/>
    <w:rsid w:val="003271F0"/>
    <w:rsid w:val="00331DB8"/>
    <w:rsid w:val="00334069"/>
    <w:rsid w:val="00344630"/>
    <w:rsid w:val="00346925"/>
    <w:rsid w:val="0034764A"/>
    <w:rsid w:val="0035238B"/>
    <w:rsid w:val="00352BFF"/>
    <w:rsid w:val="00360485"/>
    <w:rsid w:val="0036092A"/>
    <w:rsid w:val="00363CED"/>
    <w:rsid w:val="003660C0"/>
    <w:rsid w:val="003723BD"/>
    <w:rsid w:val="00380186"/>
    <w:rsid w:val="00385C06"/>
    <w:rsid w:val="00386703"/>
    <w:rsid w:val="00391573"/>
    <w:rsid w:val="00392C2D"/>
    <w:rsid w:val="00395D4F"/>
    <w:rsid w:val="00397422"/>
    <w:rsid w:val="003A10F5"/>
    <w:rsid w:val="003A1FB1"/>
    <w:rsid w:val="003A4107"/>
    <w:rsid w:val="003A495A"/>
    <w:rsid w:val="003B6DD4"/>
    <w:rsid w:val="003C0D0F"/>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3CBE"/>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93010"/>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48BE"/>
    <w:rsid w:val="004F6012"/>
    <w:rsid w:val="004F6CB6"/>
    <w:rsid w:val="004F7EDB"/>
    <w:rsid w:val="00502CB9"/>
    <w:rsid w:val="005110AF"/>
    <w:rsid w:val="00514114"/>
    <w:rsid w:val="00517C84"/>
    <w:rsid w:val="00520938"/>
    <w:rsid w:val="00520F0D"/>
    <w:rsid w:val="00525DC6"/>
    <w:rsid w:val="0053116B"/>
    <w:rsid w:val="00531558"/>
    <w:rsid w:val="00531C19"/>
    <w:rsid w:val="005335E4"/>
    <w:rsid w:val="00533BCF"/>
    <w:rsid w:val="00533ED9"/>
    <w:rsid w:val="005359EF"/>
    <w:rsid w:val="00540E80"/>
    <w:rsid w:val="00542522"/>
    <w:rsid w:val="005430B4"/>
    <w:rsid w:val="00543280"/>
    <w:rsid w:val="00544913"/>
    <w:rsid w:val="0054599A"/>
    <w:rsid w:val="005506E0"/>
    <w:rsid w:val="00551962"/>
    <w:rsid w:val="00562FEE"/>
    <w:rsid w:val="0056673C"/>
    <w:rsid w:val="00571806"/>
    <w:rsid w:val="00571F4B"/>
    <w:rsid w:val="00572361"/>
    <w:rsid w:val="00572A08"/>
    <w:rsid w:val="00573459"/>
    <w:rsid w:val="00582DB4"/>
    <w:rsid w:val="00583013"/>
    <w:rsid w:val="00585DF5"/>
    <w:rsid w:val="00586201"/>
    <w:rsid w:val="00592497"/>
    <w:rsid w:val="005940D1"/>
    <w:rsid w:val="005A1053"/>
    <w:rsid w:val="005A1810"/>
    <w:rsid w:val="005A54B4"/>
    <w:rsid w:val="005A770F"/>
    <w:rsid w:val="005B7FB6"/>
    <w:rsid w:val="005C5D57"/>
    <w:rsid w:val="005D00FA"/>
    <w:rsid w:val="005D2DDE"/>
    <w:rsid w:val="005E1C2A"/>
    <w:rsid w:val="005E2D74"/>
    <w:rsid w:val="005E3766"/>
    <w:rsid w:val="005F04D8"/>
    <w:rsid w:val="005F228A"/>
    <w:rsid w:val="005F33AD"/>
    <w:rsid w:val="005F42FE"/>
    <w:rsid w:val="005F50CA"/>
    <w:rsid w:val="005F7B0E"/>
    <w:rsid w:val="00600C48"/>
    <w:rsid w:val="00600F19"/>
    <w:rsid w:val="00610BDB"/>
    <w:rsid w:val="006140D1"/>
    <w:rsid w:val="006200B3"/>
    <w:rsid w:val="00625F18"/>
    <w:rsid w:val="00636146"/>
    <w:rsid w:val="00644722"/>
    <w:rsid w:val="00645D74"/>
    <w:rsid w:val="00652920"/>
    <w:rsid w:val="006533BE"/>
    <w:rsid w:val="00655768"/>
    <w:rsid w:val="00656B5B"/>
    <w:rsid w:val="0065723F"/>
    <w:rsid w:val="00662B05"/>
    <w:rsid w:val="0066475A"/>
    <w:rsid w:val="006652D1"/>
    <w:rsid w:val="006657E9"/>
    <w:rsid w:val="00667844"/>
    <w:rsid w:val="00675146"/>
    <w:rsid w:val="00680944"/>
    <w:rsid w:val="006818DE"/>
    <w:rsid w:val="0068670B"/>
    <w:rsid w:val="006905DF"/>
    <w:rsid w:val="006A4BD5"/>
    <w:rsid w:val="006A4D85"/>
    <w:rsid w:val="006A5ACC"/>
    <w:rsid w:val="006A7993"/>
    <w:rsid w:val="006B0A03"/>
    <w:rsid w:val="006B0F03"/>
    <w:rsid w:val="006B3877"/>
    <w:rsid w:val="006B44D9"/>
    <w:rsid w:val="006C2730"/>
    <w:rsid w:val="006C616E"/>
    <w:rsid w:val="006C75D7"/>
    <w:rsid w:val="006D3E1B"/>
    <w:rsid w:val="006D4E5A"/>
    <w:rsid w:val="006D6FEB"/>
    <w:rsid w:val="006E2B6E"/>
    <w:rsid w:val="006E4F2D"/>
    <w:rsid w:val="006F6178"/>
    <w:rsid w:val="00703950"/>
    <w:rsid w:val="00710A71"/>
    <w:rsid w:val="007118BA"/>
    <w:rsid w:val="0071197E"/>
    <w:rsid w:val="0071584C"/>
    <w:rsid w:val="007237E3"/>
    <w:rsid w:val="00723CF9"/>
    <w:rsid w:val="00724A59"/>
    <w:rsid w:val="00725F4E"/>
    <w:rsid w:val="007335F6"/>
    <w:rsid w:val="0073432D"/>
    <w:rsid w:val="00734FE4"/>
    <w:rsid w:val="00735DD6"/>
    <w:rsid w:val="00740BB3"/>
    <w:rsid w:val="007418A9"/>
    <w:rsid w:val="00744566"/>
    <w:rsid w:val="00745FB9"/>
    <w:rsid w:val="007505FD"/>
    <w:rsid w:val="00752719"/>
    <w:rsid w:val="007531F9"/>
    <w:rsid w:val="00762D7F"/>
    <w:rsid w:val="00764084"/>
    <w:rsid w:val="0076474D"/>
    <w:rsid w:val="007654FC"/>
    <w:rsid w:val="007718E9"/>
    <w:rsid w:val="00771E00"/>
    <w:rsid w:val="00776BFA"/>
    <w:rsid w:val="007772D0"/>
    <w:rsid w:val="00780311"/>
    <w:rsid w:val="00782BBE"/>
    <w:rsid w:val="00787D3F"/>
    <w:rsid w:val="00791D51"/>
    <w:rsid w:val="007949D4"/>
    <w:rsid w:val="00795FF6"/>
    <w:rsid w:val="007974E4"/>
    <w:rsid w:val="007A7B6B"/>
    <w:rsid w:val="007B0784"/>
    <w:rsid w:val="007B4719"/>
    <w:rsid w:val="007C2046"/>
    <w:rsid w:val="007C25AA"/>
    <w:rsid w:val="007C5F61"/>
    <w:rsid w:val="007D7530"/>
    <w:rsid w:val="007E74BD"/>
    <w:rsid w:val="007F76B3"/>
    <w:rsid w:val="008033DD"/>
    <w:rsid w:val="0081407D"/>
    <w:rsid w:val="00820D97"/>
    <w:rsid w:val="0082449C"/>
    <w:rsid w:val="00826FE7"/>
    <w:rsid w:val="00831E58"/>
    <w:rsid w:val="00847DC2"/>
    <w:rsid w:val="00857EE2"/>
    <w:rsid w:val="008648F9"/>
    <w:rsid w:val="00866191"/>
    <w:rsid w:val="008665D9"/>
    <w:rsid w:val="008713EC"/>
    <w:rsid w:val="0087578F"/>
    <w:rsid w:val="00875DD9"/>
    <w:rsid w:val="00881471"/>
    <w:rsid w:val="0088553C"/>
    <w:rsid w:val="00886BD7"/>
    <w:rsid w:val="00893624"/>
    <w:rsid w:val="00893C39"/>
    <w:rsid w:val="008952C8"/>
    <w:rsid w:val="008A116A"/>
    <w:rsid w:val="008A5F7D"/>
    <w:rsid w:val="008A6EA3"/>
    <w:rsid w:val="008C7413"/>
    <w:rsid w:val="008C7459"/>
    <w:rsid w:val="008D4CB1"/>
    <w:rsid w:val="008D53FD"/>
    <w:rsid w:val="008E34A4"/>
    <w:rsid w:val="008E4188"/>
    <w:rsid w:val="008E6427"/>
    <w:rsid w:val="008E6BE5"/>
    <w:rsid w:val="008F3122"/>
    <w:rsid w:val="008F5EC5"/>
    <w:rsid w:val="00910870"/>
    <w:rsid w:val="00911A05"/>
    <w:rsid w:val="00912519"/>
    <w:rsid w:val="009133AE"/>
    <w:rsid w:val="009238DC"/>
    <w:rsid w:val="009274B4"/>
    <w:rsid w:val="0093110B"/>
    <w:rsid w:val="0094183C"/>
    <w:rsid w:val="00942D00"/>
    <w:rsid w:val="00945D7A"/>
    <w:rsid w:val="009518E1"/>
    <w:rsid w:val="00952977"/>
    <w:rsid w:val="00956B0A"/>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463"/>
    <w:rsid w:val="009D2F67"/>
    <w:rsid w:val="009D407C"/>
    <w:rsid w:val="009E2678"/>
    <w:rsid w:val="009E5C20"/>
    <w:rsid w:val="009E7E06"/>
    <w:rsid w:val="009F0937"/>
    <w:rsid w:val="009F0C73"/>
    <w:rsid w:val="009F0E0C"/>
    <w:rsid w:val="009F3E47"/>
    <w:rsid w:val="009F4B94"/>
    <w:rsid w:val="009F5BF7"/>
    <w:rsid w:val="009F7774"/>
    <w:rsid w:val="00A0398B"/>
    <w:rsid w:val="00A04173"/>
    <w:rsid w:val="00A2004B"/>
    <w:rsid w:val="00A202A5"/>
    <w:rsid w:val="00A20A34"/>
    <w:rsid w:val="00A24FA5"/>
    <w:rsid w:val="00A30864"/>
    <w:rsid w:val="00A30BD4"/>
    <w:rsid w:val="00A31AF7"/>
    <w:rsid w:val="00A3212F"/>
    <w:rsid w:val="00A406C0"/>
    <w:rsid w:val="00A421AF"/>
    <w:rsid w:val="00A47B0E"/>
    <w:rsid w:val="00A5371B"/>
    <w:rsid w:val="00A54613"/>
    <w:rsid w:val="00A5461F"/>
    <w:rsid w:val="00A56206"/>
    <w:rsid w:val="00A56FC4"/>
    <w:rsid w:val="00A637E1"/>
    <w:rsid w:val="00A65C64"/>
    <w:rsid w:val="00A71CD1"/>
    <w:rsid w:val="00A73A23"/>
    <w:rsid w:val="00A751C6"/>
    <w:rsid w:val="00A75F80"/>
    <w:rsid w:val="00A7664F"/>
    <w:rsid w:val="00A805BB"/>
    <w:rsid w:val="00A81429"/>
    <w:rsid w:val="00A92EFA"/>
    <w:rsid w:val="00A949AD"/>
    <w:rsid w:val="00A94BC7"/>
    <w:rsid w:val="00A95328"/>
    <w:rsid w:val="00A95A17"/>
    <w:rsid w:val="00A95AC0"/>
    <w:rsid w:val="00AA32DA"/>
    <w:rsid w:val="00AA392A"/>
    <w:rsid w:val="00AC0211"/>
    <w:rsid w:val="00AC2790"/>
    <w:rsid w:val="00AC43DF"/>
    <w:rsid w:val="00AC4C1A"/>
    <w:rsid w:val="00AC703A"/>
    <w:rsid w:val="00AD3A22"/>
    <w:rsid w:val="00AD478D"/>
    <w:rsid w:val="00AD4BAC"/>
    <w:rsid w:val="00AE6594"/>
    <w:rsid w:val="00AE78BD"/>
    <w:rsid w:val="00AF47E4"/>
    <w:rsid w:val="00B009FE"/>
    <w:rsid w:val="00B03679"/>
    <w:rsid w:val="00B05810"/>
    <w:rsid w:val="00B1300D"/>
    <w:rsid w:val="00B13DA5"/>
    <w:rsid w:val="00B200D6"/>
    <w:rsid w:val="00B20384"/>
    <w:rsid w:val="00B2114E"/>
    <w:rsid w:val="00B215BF"/>
    <w:rsid w:val="00B271F7"/>
    <w:rsid w:val="00B31D86"/>
    <w:rsid w:val="00B359E6"/>
    <w:rsid w:val="00B402B7"/>
    <w:rsid w:val="00B4416D"/>
    <w:rsid w:val="00B4650B"/>
    <w:rsid w:val="00B47EFF"/>
    <w:rsid w:val="00B5014D"/>
    <w:rsid w:val="00B535A1"/>
    <w:rsid w:val="00B55543"/>
    <w:rsid w:val="00B60393"/>
    <w:rsid w:val="00B6632A"/>
    <w:rsid w:val="00B66FE1"/>
    <w:rsid w:val="00B67FA2"/>
    <w:rsid w:val="00B70F5E"/>
    <w:rsid w:val="00B7146B"/>
    <w:rsid w:val="00B72DAF"/>
    <w:rsid w:val="00B740C9"/>
    <w:rsid w:val="00B75136"/>
    <w:rsid w:val="00B84294"/>
    <w:rsid w:val="00B94EB6"/>
    <w:rsid w:val="00BA17D9"/>
    <w:rsid w:val="00BA23F8"/>
    <w:rsid w:val="00BA3F49"/>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12618"/>
    <w:rsid w:val="00C14A5E"/>
    <w:rsid w:val="00C1572B"/>
    <w:rsid w:val="00C164C0"/>
    <w:rsid w:val="00C22851"/>
    <w:rsid w:val="00C232AC"/>
    <w:rsid w:val="00C24A35"/>
    <w:rsid w:val="00C46FCF"/>
    <w:rsid w:val="00C54C79"/>
    <w:rsid w:val="00C60115"/>
    <w:rsid w:val="00C65C72"/>
    <w:rsid w:val="00C72840"/>
    <w:rsid w:val="00C739CA"/>
    <w:rsid w:val="00C7613B"/>
    <w:rsid w:val="00C80973"/>
    <w:rsid w:val="00C80E4A"/>
    <w:rsid w:val="00C8296C"/>
    <w:rsid w:val="00C861CF"/>
    <w:rsid w:val="00C91199"/>
    <w:rsid w:val="00C93D2E"/>
    <w:rsid w:val="00C93F09"/>
    <w:rsid w:val="00C94330"/>
    <w:rsid w:val="00CA6E6C"/>
    <w:rsid w:val="00CB0973"/>
    <w:rsid w:val="00CB2298"/>
    <w:rsid w:val="00CC0DD3"/>
    <w:rsid w:val="00CC4242"/>
    <w:rsid w:val="00CC6606"/>
    <w:rsid w:val="00CC706A"/>
    <w:rsid w:val="00CD071B"/>
    <w:rsid w:val="00CD1254"/>
    <w:rsid w:val="00CD353E"/>
    <w:rsid w:val="00CF6259"/>
    <w:rsid w:val="00CF6B5F"/>
    <w:rsid w:val="00D01A42"/>
    <w:rsid w:val="00D02292"/>
    <w:rsid w:val="00D127DB"/>
    <w:rsid w:val="00D17BD9"/>
    <w:rsid w:val="00D20580"/>
    <w:rsid w:val="00D218F6"/>
    <w:rsid w:val="00D23173"/>
    <w:rsid w:val="00D23A66"/>
    <w:rsid w:val="00D262AA"/>
    <w:rsid w:val="00D27882"/>
    <w:rsid w:val="00D319AC"/>
    <w:rsid w:val="00D324BD"/>
    <w:rsid w:val="00D37E49"/>
    <w:rsid w:val="00D4291D"/>
    <w:rsid w:val="00D45CBC"/>
    <w:rsid w:val="00D50654"/>
    <w:rsid w:val="00D53CBF"/>
    <w:rsid w:val="00D56602"/>
    <w:rsid w:val="00D57D00"/>
    <w:rsid w:val="00D609FF"/>
    <w:rsid w:val="00D62E1E"/>
    <w:rsid w:val="00D66C06"/>
    <w:rsid w:val="00D71331"/>
    <w:rsid w:val="00D72C56"/>
    <w:rsid w:val="00D73014"/>
    <w:rsid w:val="00D73703"/>
    <w:rsid w:val="00D7552B"/>
    <w:rsid w:val="00D8218E"/>
    <w:rsid w:val="00D82FDA"/>
    <w:rsid w:val="00D86633"/>
    <w:rsid w:val="00D8684A"/>
    <w:rsid w:val="00D93BBC"/>
    <w:rsid w:val="00DA1D63"/>
    <w:rsid w:val="00DA3417"/>
    <w:rsid w:val="00DB0AD1"/>
    <w:rsid w:val="00DC6A87"/>
    <w:rsid w:val="00DD0C5C"/>
    <w:rsid w:val="00DD2FEA"/>
    <w:rsid w:val="00DE2A48"/>
    <w:rsid w:val="00DF05C3"/>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5079A"/>
    <w:rsid w:val="00E5516F"/>
    <w:rsid w:val="00E57329"/>
    <w:rsid w:val="00E630F9"/>
    <w:rsid w:val="00E6566B"/>
    <w:rsid w:val="00E674E0"/>
    <w:rsid w:val="00E736C7"/>
    <w:rsid w:val="00E759B4"/>
    <w:rsid w:val="00E766E1"/>
    <w:rsid w:val="00E76E94"/>
    <w:rsid w:val="00E83B15"/>
    <w:rsid w:val="00E841F9"/>
    <w:rsid w:val="00E84E19"/>
    <w:rsid w:val="00E87E28"/>
    <w:rsid w:val="00E9264E"/>
    <w:rsid w:val="00E94851"/>
    <w:rsid w:val="00E95027"/>
    <w:rsid w:val="00E966FF"/>
    <w:rsid w:val="00EA03EE"/>
    <w:rsid w:val="00EC2807"/>
    <w:rsid w:val="00EC4AA3"/>
    <w:rsid w:val="00EE2157"/>
    <w:rsid w:val="00EE3467"/>
    <w:rsid w:val="00EF20C5"/>
    <w:rsid w:val="00EF7398"/>
    <w:rsid w:val="00F0009D"/>
    <w:rsid w:val="00F03CDE"/>
    <w:rsid w:val="00F073DC"/>
    <w:rsid w:val="00F10066"/>
    <w:rsid w:val="00F115B1"/>
    <w:rsid w:val="00F1408D"/>
    <w:rsid w:val="00F15F63"/>
    <w:rsid w:val="00F160D0"/>
    <w:rsid w:val="00F215D5"/>
    <w:rsid w:val="00F22521"/>
    <w:rsid w:val="00F260A3"/>
    <w:rsid w:val="00F309D6"/>
    <w:rsid w:val="00F323AB"/>
    <w:rsid w:val="00F35C3E"/>
    <w:rsid w:val="00F40347"/>
    <w:rsid w:val="00F408E8"/>
    <w:rsid w:val="00F415C7"/>
    <w:rsid w:val="00F42DA9"/>
    <w:rsid w:val="00F44D67"/>
    <w:rsid w:val="00F4614B"/>
    <w:rsid w:val="00F51489"/>
    <w:rsid w:val="00F53098"/>
    <w:rsid w:val="00F567C8"/>
    <w:rsid w:val="00F61FDE"/>
    <w:rsid w:val="00F61FFE"/>
    <w:rsid w:val="00F63D87"/>
    <w:rsid w:val="00F71D82"/>
    <w:rsid w:val="00F72D15"/>
    <w:rsid w:val="00F93A51"/>
    <w:rsid w:val="00F9774B"/>
    <w:rsid w:val="00FB03F6"/>
    <w:rsid w:val="00FB2F21"/>
    <w:rsid w:val="00FB324F"/>
    <w:rsid w:val="00FB4D06"/>
    <w:rsid w:val="00FC2242"/>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5BAE2"/>
  <w15:chartTrackingRefBased/>
  <w15:docId w15:val="{EC0A1596-A98C-4850-9CDA-48A56AF2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583013"/>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112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780151-7EAF-480E-B137-844C47262E12}">
  <ds:schemaRefs>
    <ds:schemaRef ds:uri="http://schemas.openxmlformats.org/officeDocument/2006/bibliography"/>
  </ds:schemaRefs>
</ds:datastoreItem>
</file>

<file path=customXml/itemProps2.xml><?xml version="1.0" encoding="utf-8"?>
<ds:datastoreItem xmlns:ds="http://schemas.openxmlformats.org/officeDocument/2006/customXml" ds:itemID="{EC1E7AC8-4EA7-4021-9FB5-8123EB6D9911}"/>
</file>

<file path=customXml/itemProps3.xml><?xml version="1.0" encoding="utf-8"?>
<ds:datastoreItem xmlns:ds="http://schemas.openxmlformats.org/officeDocument/2006/customXml" ds:itemID="{49819D2A-BDE0-4783-918D-D47E17CE94AA}"/>
</file>

<file path=customXml/itemProps4.xml><?xml version="1.0" encoding="utf-8"?>
<ds:datastoreItem xmlns:ds="http://schemas.openxmlformats.org/officeDocument/2006/customXml" ds:itemID="{6880F0FB-09DA-4D2C-B50B-184CB5F36BDC}"/>
</file>

<file path=docProps/app.xml><?xml version="1.0" encoding="utf-8"?>
<Properties xmlns="http://schemas.openxmlformats.org/officeDocument/2006/extended-properties" xmlns:vt="http://schemas.openxmlformats.org/officeDocument/2006/docPropsVTypes">
  <Template>Normal.dotm</Template>
  <TotalTime>1</TotalTime>
  <Pages>7</Pages>
  <Words>1038</Words>
  <Characters>5919</Characters>
  <Application>Microsoft Office Word</Application>
  <DocSecurity>6</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2022-07-15T12:40:00Z</dcterms:created>
  <dcterms:modified xsi:type="dcterms:W3CDTF">2022-07-15T12:40:00Z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