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BEC70" w14:textId="304D3423" w:rsidR="00C41F6E" w:rsidRPr="00E30960" w:rsidRDefault="00000000" w:rsidP="00092464">
      <w:pPr>
        <w:pStyle w:val="Title"/>
        <w:jc w:val="center"/>
        <w:rPr>
          <w:rFonts w:ascii="Arial" w:eastAsia="Arial" w:hAnsi="Arial" w:cs="Arial"/>
          <w:b/>
          <w:bCs/>
          <w:color w:val="000000" w:themeColor="text1"/>
          <w:sz w:val="24"/>
          <w:szCs w:val="24"/>
        </w:rPr>
      </w:pPr>
      <w:r w:rsidRPr="00E30960">
        <w:rPr>
          <w:rFonts w:ascii="Arial" w:hAnsi="Arial" w:cs="Arial"/>
          <w:b/>
          <w:bCs/>
          <w:color w:val="000000" w:themeColor="text1"/>
          <w:sz w:val="24"/>
          <w:szCs w:val="24"/>
        </w:rPr>
        <w:t>M</w:t>
      </w:r>
      <w:r w:rsidR="00092464" w:rsidRPr="00E30960">
        <w:rPr>
          <w:rFonts w:ascii="Arial" w:hAnsi="Arial" w:cs="Arial"/>
          <w:b/>
          <w:bCs/>
          <w:color w:val="000000" w:themeColor="text1"/>
          <w:sz w:val="24"/>
          <w:szCs w:val="24"/>
        </w:rPr>
        <w:t>a</w:t>
      </w:r>
      <w:r w:rsidRPr="00E30960">
        <w:rPr>
          <w:rFonts w:ascii="Arial" w:hAnsi="Arial" w:cs="Arial"/>
          <w:b/>
          <w:bCs/>
          <w:color w:val="000000" w:themeColor="text1"/>
          <w:sz w:val="24"/>
          <w:szCs w:val="24"/>
        </w:rPr>
        <w:t xml:space="preserve">laysia </w:t>
      </w:r>
      <w:r w:rsidR="00AC0A53">
        <w:rPr>
          <w:rFonts w:ascii="Arial" w:hAnsi="Arial" w:cs="Arial"/>
          <w:b/>
          <w:bCs/>
          <w:color w:val="000000" w:themeColor="text1"/>
          <w:sz w:val="24"/>
          <w:szCs w:val="24"/>
        </w:rPr>
        <w:t>CSO</w:t>
      </w:r>
      <w:r w:rsidRPr="00E30960">
        <w:rPr>
          <w:rFonts w:ascii="Arial" w:hAnsi="Arial" w:cs="Arial"/>
          <w:b/>
          <w:bCs/>
          <w:color w:val="000000" w:themeColor="text1"/>
          <w:sz w:val="24"/>
          <w:szCs w:val="24"/>
        </w:rPr>
        <w:t xml:space="preserve"> submission to the development of critical issues and questions for the</w:t>
      </w:r>
      <w:r w:rsidR="00E30960" w:rsidRPr="00E30960">
        <w:rPr>
          <w:rFonts w:ascii="Arial" w:hAnsi="Arial" w:cs="Arial"/>
          <w:b/>
          <w:bCs/>
          <w:color w:val="000000" w:themeColor="text1"/>
          <w:sz w:val="24"/>
          <w:szCs w:val="24"/>
        </w:rPr>
        <w:t xml:space="preserve"> CEDAW</w:t>
      </w:r>
      <w:r w:rsidRPr="00E30960">
        <w:rPr>
          <w:rFonts w:ascii="Arial" w:hAnsi="Arial" w:cs="Arial"/>
          <w:b/>
          <w:bCs/>
          <w:color w:val="000000" w:themeColor="text1"/>
          <w:sz w:val="24"/>
          <w:szCs w:val="24"/>
        </w:rPr>
        <w:t xml:space="preserve"> 86th </w:t>
      </w:r>
      <w:r w:rsidR="00E30960" w:rsidRPr="00E30960">
        <w:rPr>
          <w:rFonts w:ascii="Arial" w:hAnsi="Arial" w:cs="Arial"/>
          <w:b/>
          <w:bCs/>
          <w:color w:val="000000" w:themeColor="text1"/>
          <w:sz w:val="24"/>
          <w:szCs w:val="24"/>
        </w:rPr>
        <w:t xml:space="preserve">Pre-Sessional Working Group </w:t>
      </w:r>
    </w:p>
    <w:p w14:paraId="148A5A1C" w14:textId="77777777" w:rsidR="00C41F6E" w:rsidRPr="00092464" w:rsidRDefault="00C41F6E" w:rsidP="00092464">
      <w:pPr>
        <w:pStyle w:val="Title"/>
        <w:widowControl w:val="0"/>
        <w:ind w:left="3071" w:right="3071"/>
        <w:jc w:val="center"/>
        <w:rPr>
          <w:rFonts w:ascii="Arial" w:hAnsi="Arial" w:cs="Arial"/>
          <w:b/>
          <w:bCs/>
          <w:sz w:val="22"/>
          <w:szCs w:val="22"/>
        </w:rPr>
      </w:pPr>
      <w:bookmarkStart w:id="0" w:name="_heading=h.6hy0z9px41r8" w:colFirst="0" w:colLast="0"/>
      <w:bookmarkEnd w:id="0"/>
    </w:p>
    <w:p w14:paraId="1AAF9A59" w14:textId="2C2C3AEE" w:rsidR="00C41F6E" w:rsidRPr="00092464" w:rsidRDefault="00000000" w:rsidP="00092464">
      <w:pPr>
        <w:pStyle w:val="Title"/>
        <w:widowControl w:val="0"/>
        <w:ind w:left="3071" w:right="3071"/>
        <w:jc w:val="center"/>
        <w:rPr>
          <w:rFonts w:ascii="Arial" w:eastAsia="Arial" w:hAnsi="Arial" w:cs="Arial"/>
          <w:b/>
          <w:bCs/>
          <w:color w:val="000000"/>
          <w:sz w:val="22"/>
          <w:szCs w:val="22"/>
        </w:rPr>
      </w:pPr>
      <w:bookmarkStart w:id="1" w:name="_heading=h.l3iqlyqix2c0" w:colFirst="0" w:colLast="0"/>
      <w:bookmarkEnd w:id="1"/>
      <w:r w:rsidRPr="00092464">
        <w:rPr>
          <w:rFonts w:ascii="Arial" w:eastAsia="Arial" w:hAnsi="Arial" w:cs="Arial"/>
          <w:b/>
          <w:bCs/>
          <w:color w:val="000000"/>
          <w:sz w:val="22"/>
          <w:szCs w:val="22"/>
        </w:rPr>
        <w:t xml:space="preserve">Joint </w:t>
      </w:r>
      <w:r w:rsidR="00AC0A53">
        <w:rPr>
          <w:rFonts w:ascii="Arial" w:eastAsia="Arial" w:hAnsi="Arial" w:cs="Arial"/>
          <w:b/>
          <w:bCs/>
          <w:color w:val="000000"/>
          <w:sz w:val="22"/>
          <w:szCs w:val="22"/>
        </w:rPr>
        <w:t>CSO</w:t>
      </w:r>
      <w:r w:rsidRPr="00092464">
        <w:rPr>
          <w:rFonts w:ascii="Arial" w:eastAsia="Arial" w:hAnsi="Arial" w:cs="Arial"/>
          <w:b/>
          <w:bCs/>
          <w:color w:val="000000"/>
          <w:sz w:val="22"/>
          <w:szCs w:val="22"/>
        </w:rPr>
        <w:t xml:space="preserve"> Submission</w:t>
      </w:r>
    </w:p>
    <w:p w14:paraId="5DC10852" w14:textId="77777777" w:rsidR="00C41F6E" w:rsidRPr="00092464" w:rsidRDefault="00000000" w:rsidP="00092464">
      <w:pPr>
        <w:pStyle w:val="Subtitle"/>
        <w:rPr>
          <w:rFonts w:ascii="Arial" w:hAnsi="Arial"/>
          <w:sz w:val="21"/>
          <w:szCs w:val="21"/>
        </w:rPr>
      </w:pPr>
      <w:bookmarkStart w:id="2" w:name="_heading=h.4cvx90c7p8jq" w:colFirst="0" w:colLast="0"/>
      <w:bookmarkEnd w:id="2"/>
      <w:r w:rsidRPr="00092464">
        <w:rPr>
          <w:rFonts w:ascii="Arial" w:hAnsi="Arial"/>
          <w:sz w:val="21"/>
          <w:szCs w:val="21"/>
        </w:rPr>
        <w:t>January 2023</w:t>
      </w:r>
    </w:p>
    <w:p w14:paraId="51691046" w14:textId="77777777" w:rsidR="00C41F6E" w:rsidRPr="00092464" w:rsidRDefault="00C41F6E" w:rsidP="00092464">
      <w:pPr>
        <w:rPr>
          <w:rFonts w:ascii="Arial" w:hAnsi="Arial"/>
          <w:sz w:val="22"/>
        </w:rPr>
      </w:pPr>
    </w:p>
    <w:p w14:paraId="46A22924" w14:textId="30C0642A" w:rsidR="00C41F6E" w:rsidRPr="003E6F1B" w:rsidRDefault="00000000" w:rsidP="00092464">
      <w:pPr>
        <w:pStyle w:val="Subtitle"/>
        <w:widowControl w:val="0"/>
        <w:spacing w:before="116" w:line="237" w:lineRule="auto"/>
        <w:ind w:left="356" w:right="358"/>
        <w:jc w:val="both"/>
        <w:rPr>
          <w:rFonts w:ascii="Arial" w:hAnsi="Arial"/>
          <w:sz w:val="21"/>
          <w:szCs w:val="21"/>
        </w:rPr>
      </w:pPr>
      <w:bookmarkStart w:id="3" w:name="_heading=h.davx9rl5zs2g" w:colFirst="0" w:colLast="0"/>
      <w:bookmarkEnd w:id="3"/>
      <w:r w:rsidRPr="003E6F1B">
        <w:rPr>
          <w:rFonts w:ascii="Arial" w:hAnsi="Arial"/>
          <w:sz w:val="21"/>
          <w:szCs w:val="21"/>
        </w:rPr>
        <w:t>Coordinated by Women’s Aid Organisation (WAO), the Joint Action Group for Gender Equality (JAG)</w:t>
      </w:r>
      <w:r w:rsidRPr="003E6F1B">
        <w:rPr>
          <w:rFonts w:ascii="Arial" w:hAnsi="Arial"/>
          <w:sz w:val="21"/>
          <w:szCs w:val="21"/>
          <w:vertAlign w:val="superscript"/>
        </w:rPr>
        <w:footnoteReference w:id="1"/>
      </w:r>
      <w:r w:rsidRPr="003E6F1B">
        <w:rPr>
          <w:rFonts w:ascii="Arial" w:hAnsi="Arial"/>
          <w:sz w:val="21"/>
          <w:szCs w:val="21"/>
        </w:rPr>
        <w:t>, Persons With Disability Coalition, DHRRA, Asylum Access, Anti-Death Penalty Asia Network</w:t>
      </w:r>
      <w:r w:rsidR="00E30960" w:rsidRPr="003E6F1B">
        <w:rPr>
          <w:rFonts w:ascii="Arial" w:hAnsi="Arial"/>
          <w:sz w:val="21"/>
          <w:szCs w:val="21"/>
        </w:rPr>
        <w:t xml:space="preserve"> (ADPAN)</w:t>
      </w:r>
      <w:r w:rsidRPr="003E6F1B">
        <w:rPr>
          <w:rFonts w:ascii="Arial" w:hAnsi="Arial"/>
          <w:sz w:val="21"/>
          <w:szCs w:val="21"/>
        </w:rPr>
        <w:t xml:space="preserve"> and ENGENDER</w:t>
      </w:r>
      <w:r w:rsidR="003E6F1B">
        <w:rPr>
          <w:rFonts w:ascii="Arial" w:hAnsi="Arial"/>
          <w:sz w:val="21"/>
          <w:szCs w:val="21"/>
        </w:rPr>
        <w:t>. This submission meets the word limit at 6 433 words excluding the Annexe.</w:t>
      </w:r>
    </w:p>
    <w:p w14:paraId="56113081" w14:textId="77777777" w:rsidR="00C41F6E" w:rsidRPr="00092464" w:rsidRDefault="00C41F6E" w:rsidP="00092464">
      <w:pPr>
        <w:rPr>
          <w:rFonts w:ascii="Arial" w:hAnsi="Arial"/>
          <w:sz w:val="22"/>
        </w:rPr>
      </w:pPr>
    </w:p>
    <w:p w14:paraId="6C7EAA50" w14:textId="77777777" w:rsidR="00C41F6E" w:rsidRPr="00E30960" w:rsidRDefault="00000000" w:rsidP="00092464">
      <w:pPr>
        <w:pStyle w:val="Heading1"/>
        <w:keepNext w:val="0"/>
        <w:keepLines w:val="0"/>
        <w:rPr>
          <w:rFonts w:ascii="Arial" w:eastAsia="Arial" w:hAnsi="Arial" w:cs="Arial"/>
          <w:b/>
          <w:bCs/>
          <w:sz w:val="24"/>
          <w:szCs w:val="24"/>
        </w:rPr>
      </w:pPr>
      <w:bookmarkStart w:id="4" w:name="_heading=h.s41iu6b4xsde" w:colFirst="0" w:colLast="0"/>
      <w:bookmarkEnd w:id="4"/>
      <w:r w:rsidRPr="00E30960">
        <w:rPr>
          <w:rFonts w:ascii="Arial" w:eastAsia="Arial" w:hAnsi="Arial" w:cs="Arial"/>
          <w:b/>
          <w:bCs/>
          <w:sz w:val="24"/>
          <w:szCs w:val="24"/>
        </w:rPr>
        <w:t>Introduction</w:t>
      </w:r>
    </w:p>
    <w:p w14:paraId="5258BD04" w14:textId="77777777" w:rsidR="00C41F6E" w:rsidRPr="00E30960" w:rsidRDefault="00C41F6E" w:rsidP="00092464">
      <w:pPr>
        <w:widowControl w:val="0"/>
        <w:spacing w:before="7" w:line="240" w:lineRule="auto"/>
        <w:rPr>
          <w:rFonts w:ascii="Arial" w:hAnsi="Arial"/>
          <w:b/>
          <w:bCs/>
          <w:sz w:val="24"/>
          <w:szCs w:val="24"/>
        </w:rPr>
      </w:pPr>
    </w:p>
    <w:p w14:paraId="31582955" w14:textId="77777777" w:rsidR="00C41F6E" w:rsidRPr="00092464" w:rsidRDefault="00000000" w:rsidP="00092464">
      <w:pPr>
        <w:widowControl w:val="0"/>
        <w:spacing w:before="1" w:line="240" w:lineRule="auto"/>
        <w:ind w:right="117"/>
        <w:rPr>
          <w:rFonts w:ascii="Arial" w:hAnsi="Arial"/>
          <w:sz w:val="22"/>
        </w:rPr>
      </w:pPr>
      <w:r w:rsidRPr="00092464">
        <w:rPr>
          <w:rFonts w:ascii="Arial" w:hAnsi="Arial"/>
          <w:sz w:val="22"/>
        </w:rPr>
        <w:t>This List of Critical Issues is based on the Malaysian government’s Sixth periodic report submitted by Malaysia under article 18 of the Convention (CEDAW/C/MYS/6, thereafter referred to as “Report”).</w:t>
      </w:r>
      <w:r w:rsidRPr="00092464">
        <w:rPr>
          <w:rFonts w:ascii="Arial" w:hAnsi="Arial"/>
          <w:sz w:val="22"/>
          <w:vertAlign w:val="superscript"/>
        </w:rPr>
        <w:footnoteReference w:id="2"/>
      </w:r>
    </w:p>
    <w:p w14:paraId="1E36646B" w14:textId="77777777" w:rsidR="00C41F6E" w:rsidRPr="00092464" w:rsidRDefault="00C41F6E" w:rsidP="00092464">
      <w:pPr>
        <w:widowControl w:val="0"/>
        <w:spacing w:before="1" w:line="240" w:lineRule="auto"/>
        <w:ind w:right="117"/>
        <w:rPr>
          <w:rFonts w:ascii="Arial" w:hAnsi="Arial"/>
          <w:sz w:val="22"/>
        </w:rPr>
      </w:pPr>
    </w:p>
    <w:p w14:paraId="27B71BBD" w14:textId="5A8E6197" w:rsidR="00C41F6E" w:rsidRPr="00092464" w:rsidRDefault="00000000" w:rsidP="00092464">
      <w:pPr>
        <w:widowControl w:val="0"/>
        <w:spacing w:before="1" w:line="240" w:lineRule="auto"/>
        <w:ind w:right="117"/>
        <w:rPr>
          <w:rFonts w:ascii="Arial" w:hAnsi="Arial"/>
          <w:sz w:val="22"/>
        </w:rPr>
      </w:pPr>
      <w:r w:rsidRPr="00092464">
        <w:rPr>
          <w:rFonts w:ascii="Arial" w:hAnsi="Arial"/>
          <w:sz w:val="22"/>
        </w:rPr>
        <w:t xml:space="preserve">In addition to being affected by COVID-19 and its movement control orders, Malaysia experienced unprecedented political turmoil between February 2020 to November 2022, leading to several cabinet changes, and thus greatly impacting reform within the country. The issues raised in this report constitute some of the obstacles to the full enjoyment of women’s rights in Malaysia. Upon review of the state party’s Report, </w:t>
      </w:r>
      <w:r w:rsidR="00AC0A53">
        <w:rPr>
          <w:rFonts w:ascii="Arial" w:hAnsi="Arial"/>
          <w:sz w:val="22"/>
        </w:rPr>
        <w:t>CSO</w:t>
      </w:r>
      <w:r w:rsidRPr="00092464">
        <w:rPr>
          <w:rFonts w:ascii="Arial" w:hAnsi="Arial"/>
          <w:sz w:val="22"/>
        </w:rPr>
        <w:t>s have provided further information on the lived realities of women in the country and propose corresponding critical questions for the CEDAW Committee to pose to the government.</w:t>
      </w:r>
    </w:p>
    <w:p w14:paraId="36AFE459" w14:textId="77777777" w:rsidR="00C41F6E" w:rsidRPr="00092464" w:rsidRDefault="00C41F6E" w:rsidP="00092464">
      <w:pPr>
        <w:widowControl w:val="0"/>
        <w:spacing w:before="1" w:line="240" w:lineRule="auto"/>
        <w:ind w:right="117"/>
        <w:rPr>
          <w:rFonts w:ascii="Arial" w:hAnsi="Arial"/>
          <w:sz w:val="22"/>
        </w:rPr>
      </w:pPr>
    </w:p>
    <w:p w14:paraId="14D7F723" w14:textId="77777777" w:rsidR="00C41F6E" w:rsidRPr="00092464" w:rsidRDefault="00000000" w:rsidP="00092464">
      <w:pPr>
        <w:widowControl w:val="0"/>
        <w:spacing w:before="1" w:line="240" w:lineRule="auto"/>
        <w:ind w:right="117"/>
        <w:rPr>
          <w:rFonts w:ascii="Arial" w:hAnsi="Arial"/>
          <w:sz w:val="22"/>
        </w:rPr>
      </w:pPr>
      <w:r w:rsidRPr="00092464">
        <w:rPr>
          <w:rFonts w:ascii="Arial" w:hAnsi="Arial"/>
          <w:sz w:val="22"/>
        </w:rPr>
        <w:t xml:space="preserve">References to the Concluding Observations (COs) refer to the Combined 3rd to 5th reports of Malaysia (CEDAW/C/MYS/CO/3-5). </w:t>
      </w:r>
    </w:p>
    <w:p w14:paraId="3C30B429" w14:textId="77777777" w:rsidR="00C41F6E" w:rsidRPr="00092464" w:rsidRDefault="00C41F6E" w:rsidP="00092464">
      <w:pPr>
        <w:rPr>
          <w:rFonts w:ascii="Arial" w:hAnsi="Arial"/>
          <w:sz w:val="22"/>
        </w:rPr>
      </w:pPr>
    </w:p>
    <w:p w14:paraId="337C5672" w14:textId="77777777" w:rsidR="00C41F6E" w:rsidRPr="003E6F1B" w:rsidRDefault="00000000" w:rsidP="00092464">
      <w:pPr>
        <w:pStyle w:val="Heading2"/>
        <w:rPr>
          <w:rFonts w:ascii="Arial" w:eastAsia="Arial" w:hAnsi="Arial" w:cs="Arial"/>
          <w:b/>
          <w:bCs/>
          <w:sz w:val="24"/>
          <w:szCs w:val="24"/>
        </w:rPr>
      </w:pPr>
      <w:bookmarkStart w:id="5" w:name="_heading=h.etmc7xc0zfdj" w:colFirst="0" w:colLast="0"/>
      <w:bookmarkEnd w:id="5"/>
      <w:r w:rsidRPr="003E6F1B">
        <w:rPr>
          <w:rFonts w:ascii="Arial" w:hAnsi="Arial" w:cs="Arial"/>
          <w:b/>
          <w:bCs/>
          <w:sz w:val="24"/>
          <w:szCs w:val="24"/>
        </w:rPr>
        <w:t>Article 1: Definition of discrimination</w:t>
      </w:r>
    </w:p>
    <w:p w14:paraId="440D2D2E" w14:textId="77777777" w:rsidR="00C41F6E" w:rsidRPr="00092464" w:rsidRDefault="00C41F6E" w:rsidP="00092464">
      <w:pPr>
        <w:widowControl w:val="0"/>
        <w:spacing w:before="7" w:line="240" w:lineRule="auto"/>
        <w:rPr>
          <w:rFonts w:ascii="Arial" w:hAnsi="Arial"/>
          <w:b/>
          <w:sz w:val="22"/>
        </w:rPr>
      </w:pPr>
    </w:p>
    <w:p w14:paraId="488B086A" w14:textId="77777777" w:rsidR="00C41F6E" w:rsidRPr="00092464" w:rsidRDefault="00000000" w:rsidP="00092464">
      <w:pPr>
        <w:tabs>
          <w:tab w:val="left" w:pos="683"/>
        </w:tabs>
        <w:rPr>
          <w:rFonts w:ascii="Arial" w:hAnsi="Arial"/>
          <w:sz w:val="22"/>
        </w:rPr>
      </w:pPr>
      <w:r w:rsidRPr="00092464">
        <w:rPr>
          <w:rFonts w:ascii="Arial" w:hAnsi="Arial"/>
          <w:sz w:val="22"/>
        </w:rPr>
        <w:t>1.1</w:t>
      </w:r>
      <w:r w:rsidRPr="00092464">
        <w:rPr>
          <w:rFonts w:ascii="Arial" w:hAnsi="Arial"/>
          <w:sz w:val="22"/>
        </w:rPr>
        <w:tab/>
        <w:t xml:space="preserve">The CEDAW Committee recommended in 2006 that Malaysia incorporate the definition of both direct and indirect discrimination into the Federal Constitution (FC) and/or other appropriate national legislation. However, while discrimination has been defined in common law (see </w:t>
      </w:r>
      <w:hyperlink w:anchor="_heading=h.rz92yveoy3fc">
        <w:r w:rsidRPr="00092464">
          <w:rPr>
            <w:rFonts w:ascii="Arial" w:hAnsi="Arial"/>
            <w:color w:val="1155CC"/>
            <w:sz w:val="22"/>
            <w:u w:val="single"/>
          </w:rPr>
          <w:t>item 2.1</w:t>
        </w:r>
      </w:hyperlink>
      <w:r w:rsidRPr="00092464">
        <w:rPr>
          <w:rFonts w:ascii="Arial" w:hAnsi="Arial"/>
          <w:sz w:val="22"/>
        </w:rPr>
        <w:t>), the government has not defined discrimination in the FC or in legislation.</w:t>
      </w:r>
    </w:p>
    <w:p w14:paraId="18CEA805" w14:textId="77777777" w:rsidR="00C41F6E" w:rsidRPr="00092464" w:rsidRDefault="00C41F6E" w:rsidP="00092464">
      <w:pPr>
        <w:tabs>
          <w:tab w:val="left" w:pos="683"/>
        </w:tabs>
        <w:rPr>
          <w:rFonts w:ascii="Arial" w:hAnsi="Arial"/>
          <w:sz w:val="22"/>
        </w:rPr>
      </w:pPr>
    </w:p>
    <w:p w14:paraId="4B1095AB" w14:textId="77777777" w:rsidR="00C41F6E" w:rsidRPr="00092464" w:rsidRDefault="00000000" w:rsidP="00092464">
      <w:pPr>
        <w:tabs>
          <w:tab w:val="left" w:pos="683"/>
        </w:tabs>
        <w:rPr>
          <w:rFonts w:ascii="Arial" w:hAnsi="Arial"/>
          <w:sz w:val="22"/>
        </w:rPr>
      </w:pPr>
      <w:r w:rsidRPr="00092464">
        <w:rPr>
          <w:rFonts w:ascii="Arial" w:hAnsi="Arial"/>
          <w:sz w:val="22"/>
        </w:rPr>
        <w:t>1.2  The Report stated that the government will be working on the Anti-Discrimination Against Women Bill which will include the definition of non-discrimination against women. A special project team including CSOs was formed in 2019 to facilitate the drafting of the bill; this has been delayed with no clear time frame or plan of action towards adoption of the law (CO para 12(b)). It was initially called the Gender Equality Act to ensure non-discrimination based on gender, this has however, been narrowed down to discrimination against women. Meanwhile,  Article 8(2) of the Constitution which lists gender as a prohibited ground of discrimination, remains in effect only in relation to discriminatory acts by the state, not private actors.</w:t>
      </w:r>
    </w:p>
    <w:p w14:paraId="564A9065" w14:textId="77777777" w:rsidR="00C41F6E" w:rsidRPr="00092464" w:rsidRDefault="00C41F6E" w:rsidP="00092464">
      <w:pPr>
        <w:tabs>
          <w:tab w:val="left" w:pos="683"/>
        </w:tabs>
        <w:rPr>
          <w:rFonts w:ascii="Arial" w:hAnsi="Arial"/>
          <w:sz w:val="22"/>
        </w:rPr>
      </w:pPr>
    </w:p>
    <w:p w14:paraId="05925347" w14:textId="77777777" w:rsidR="00C41F6E" w:rsidRPr="00092464" w:rsidRDefault="00000000" w:rsidP="00092464">
      <w:pPr>
        <w:tabs>
          <w:tab w:val="left" w:pos="683"/>
        </w:tabs>
        <w:rPr>
          <w:rFonts w:ascii="Arial" w:hAnsi="Arial"/>
          <w:sz w:val="22"/>
        </w:rPr>
      </w:pPr>
      <w:r w:rsidRPr="00092464">
        <w:rPr>
          <w:rFonts w:ascii="Arial" w:hAnsi="Arial"/>
          <w:sz w:val="22"/>
        </w:rPr>
        <w:t>1.3</w:t>
      </w:r>
      <w:r w:rsidRPr="00092464">
        <w:rPr>
          <w:rFonts w:ascii="Arial" w:hAnsi="Arial"/>
          <w:sz w:val="22"/>
        </w:rPr>
        <w:tab/>
        <w:t xml:space="preserve">Definition of women, sex and gender are narrow and compounded by the </w:t>
      </w:r>
      <w:proofErr w:type="spellStart"/>
      <w:r w:rsidRPr="00092464">
        <w:rPr>
          <w:rFonts w:ascii="Arial" w:hAnsi="Arial"/>
          <w:sz w:val="22"/>
        </w:rPr>
        <w:t>pathologization</w:t>
      </w:r>
      <w:proofErr w:type="spellEnd"/>
      <w:r w:rsidRPr="00092464">
        <w:rPr>
          <w:rFonts w:ascii="Arial" w:hAnsi="Arial"/>
          <w:sz w:val="22"/>
        </w:rPr>
        <w:t xml:space="preserve"> and exclusion of LBT women. </w:t>
      </w:r>
    </w:p>
    <w:p w14:paraId="19C66234" w14:textId="77777777" w:rsidR="00E30960" w:rsidRDefault="00E30960" w:rsidP="00092464">
      <w:pPr>
        <w:pStyle w:val="Heading4"/>
        <w:tabs>
          <w:tab w:val="left" w:pos="683"/>
        </w:tabs>
        <w:rPr>
          <w:rFonts w:ascii="Arial" w:eastAsia="Arial" w:hAnsi="Arial" w:cs="Arial"/>
          <w:b/>
          <w:bCs/>
          <w:sz w:val="22"/>
        </w:rPr>
      </w:pPr>
      <w:bookmarkStart w:id="6" w:name="_heading=h.yj1a4qwgydjn" w:colFirst="0" w:colLast="0"/>
      <w:bookmarkEnd w:id="6"/>
    </w:p>
    <w:p w14:paraId="59918370" w14:textId="2207A15E" w:rsidR="00C41F6E" w:rsidRPr="00E30960" w:rsidRDefault="00000000" w:rsidP="00092464">
      <w:pPr>
        <w:pStyle w:val="Heading4"/>
        <w:tabs>
          <w:tab w:val="left" w:pos="683"/>
        </w:tabs>
        <w:rPr>
          <w:rFonts w:ascii="Arial" w:eastAsia="Arial" w:hAnsi="Arial" w:cs="Arial"/>
          <w:b/>
          <w:bCs/>
          <w:sz w:val="22"/>
        </w:rPr>
      </w:pPr>
      <w:r w:rsidRPr="00E30960">
        <w:rPr>
          <w:rFonts w:ascii="Arial" w:eastAsia="Arial" w:hAnsi="Arial" w:cs="Arial"/>
          <w:b/>
          <w:bCs/>
          <w:sz w:val="22"/>
        </w:rPr>
        <w:t>Critical Questions</w:t>
      </w:r>
    </w:p>
    <w:p w14:paraId="3E6C45D1" w14:textId="77777777" w:rsidR="00C41F6E" w:rsidRPr="00092464" w:rsidRDefault="00C41F6E" w:rsidP="00092464">
      <w:pPr>
        <w:tabs>
          <w:tab w:val="left" w:pos="683"/>
        </w:tabs>
        <w:rPr>
          <w:rFonts w:ascii="Arial" w:hAnsi="Arial"/>
          <w:sz w:val="22"/>
        </w:rPr>
      </w:pPr>
    </w:p>
    <w:p w14:paraId="5ABF2C81" w14:textId="77777777" w:rsidR="00C41F6E" w:rsidRPr="00092464" w:rsidRDefault="00000000" w:rsidP="00092464">
      <w:pPr>
        <w:tabs>
          <w:tab w:val="left" w:pos="683"/>
        </w:tabs>
        <w:rPr>
          <w:rFonts w:ascii="Arial" w:hAnsi="Arial"/>
          <w:sz w:val="22"/>
        </w:rPr>
      </w:pPr>
      <w:r w:rsidRPr="00092464">
        <w:rPr>
          <w:rFonts w:ascii="Arial" w:hAnsi="Arial"/>
          <w:sz w:val="22"/>
        </w:rPr>
        <w:t>Q1.</w:t>
      </w:r>
      <w:r w:rsidRPr="00092464">
        <w:rPr>
          <w:rFonts w:ascii="Arial" w:hAnsi="Arial"/>
          <w:sz w:val="22"/>
        </w:rPr>
        <w:tab/>
        <w:t xml:space="preserve">Please provide a timeline for amendments to Article 8 of the Federal Constitution to include the definition of discrimination, and the drafting and enactment of the Anti-Discrimination Against Women Bill. </w:t>
      </w:r>
    </w:p>
    <w:p w14:paraId="731B38F0" w14:textId="77777777" w:rsidR="00C41F6E" w:rsidRPr="00092464" w:rsidRDefault="00C41F6E" w:rsidP="00092464">
      <w:pPr>
        <w:tabs>
          <w:tab w:val="left" w:pos="683"/>
        </w:tabs>
        <w:rPr>
          <w:rFonts w:ascii="Arial" w:hAnsi="Arial"/>
          <w:sz w:val="22"/>
        </w:rPr>
      </w:pPr>
    </w:p>
    <w:p w14:paraId="7664347D" w14:textId="77777777" w:rsidR="00C41F6E" w:rsidRPr="00092464" w:rsidRDefault="00000000" w:rsidP="00092464">
      <w:pPr>
        <w:tabs>
          <w:tab w:val="left" w:pos="683"/>
        </w:tabs>
        <w:rPr>
          <w:rFonts w:ascii="Arial" w:hAnsi="Arial"/>
          <w:sz w:val="22"/>
        </w:rPr>
      </w:pPr>
      <w:r w:rsidRPr="00092464">
        <w:rPr>
          <w:rFonts w:ascii="Arial" w:hAnsi="Arial"/>
          <w:sz w:val="22"/>
        </w:rPr>
        <w:t>Q2.</w:t>
      </w:r>
      <w:r w:rsidRPr="00092464">
        <w:rPr>
          <w:rFonts w:ascii="Arial" w:hAnsi="Arial"/>
          <w:sz w:val="22"/>
        </w:rPr>
        <w:tab/>
        <w:t>What is the  state’s plan in integrating an intersectional lens as recommended in General Recommendation 28 in formulating its definition of discrimination?</w:t>
      </w:r>
    </w:p>
    <w:p w14:paraId="7D3E8F6D" w14:textId="77777777" w:rsidR="00C41F6E" w:rsidRPr="00092464" w:rsidRDefault="00C41F6E" w:rsidP="00092464">
      <w:pPr>
        <w:rPr>
          <w:rFonts w:ascii="Arial" w:hAnsi="Arial"/>
          <w:sz w:val="22"/>
        </w:rPr>
      </w:pPr>
    </w:p>
    <w:p w14:paraId="641137B7" w14:textId="77777777" w:rsidR="00C41F6E" w:rsidRPr="003E6F1B" w:rsidRDefault="00000000" w:rsidP="00092464">
      <w:pPr>
        <w:pStyle w:val="Heading2"/>
        <w:rPr>
          <w:rFonts w:ascii="Arial" w:eastAsia="Arial" w:hAnsi="Arial" w:cs="Arial"/>
          <w:b/>
          <w:bCs/>
          <w:sz w:val="24"/>
          <w:szCs w:val="24"/>
        </w:rPr>
      </w:pPr>
      <w:bookmarkStart w:id="7" w:name="_heading=h.rz92yveoy3fc" w:colFirst="0" w:colLast="0"/>
      <w:bookmarkEnd w:id="7"/>
      <w:r w:rsidRPr="003E6F1B">
        <w:rPr>
          <w:rFonts w:ascii="Arial" w:eastAsia="Arial" w:hAnsi="Arial" w:cs="Arial"/>
          <w:b/>
          <w:bCs/>
          <w:sz w:val="24"/>
          <w:szCs w:val="24"/>
        </w:rPr>
        <w:t xml:space="preserve">Article 2: Eliminating Discrimination in the Law </w:t>
      </w:r>
    </w:p>
    <w:p w14:paraId="45659FA1" w14:textId="77777777" w:rsidR="00C41F6E" w:rsidRPr="00E30960" w:rsidRDefault="00000000" w:rsidP="00092464">
      <w:pPr>
        <w:pStyle w:val="Heading3"/>
        <w:rPr>
          <w:rFonts w:ascii="Arial" w:eastAsia="Arial" w:hAnsi="Arial" w:cs="Arial"/>
          <w:i/>
          <w:iCs/>
          <w:sz w:val="22"/>
          <w:szCs w:val="22"/>
        </w:rPr>
      </w:pPr>
      <w:bookmarkStart w:id="8" w:name="_heading=h.qulkr3nrtdrm" w:colFirst="0" w:colLast="0"/>
      <w:bookmarkStart w:id="9" w:name="_heading=h.ny5xfpf4arue" w:colFirst="0" w:colLast="0"/>
      <w:bookmarkEnd w:id="8"/>
      <w:bookmarkEnd w:id="9"/>
      <w:r w:rsidRPr="00E30960">
        <w:rPr>
          <w:rFonts w:ascii="Arial" w:eastAsia="Arial" w:hAnsi="Arial" w:cs="Arial"/>
          <w:i/>
          <w:iCs/>
          <w:sz w:val="22"/>
          <w:szCs w:val="22"/>
        </w:rPr>
        <w:t>Reservations</w:t>
      </w:r>
    </w:p>
    <w:p w14:paraId="66A9CB43" w14:textId="77777777" w:rsidR="00C41F6E" w:rsidRPr="00092464" w:rsidRDefault="00C41F6E" w:rsidP="00092464">
      <w:pPr>
        <w:rPr>
          <w:rFonts w:ascii="Arial" w:hAnsi="Arial"/>
          <w:sz w:val="22"/>
        </w:rPr>
      </w:pPr>
    </w:p>
    <w:p w14:paraId="1AE7B923" w14:textId="77777777" w:rsidR="00C41F6E" w:rsidRPr="00092464" w:rsidRDefault="00000000" w:rsidP="00092464">
      <w:pPr>
        <w:rPr>
          <w:rFonts w:ascii="Arial" w:hAnsi="Arial"/>
          <w:sz w:val="22"/>
        </w:rPr>
      </w:pPr>
      <w:r w:rsidRPr="00092464">
        <w:rPr>
          <w:rFonts w:ascii="Arial" w:hAnsi="Arial"/>
          <w:sz w:val="22"/>
        </w:rPr>
        <w:t>2.1</w:t>
      </w:r>
      <w:r w:rsidRPr="00092464">
        <w:rPr>
          <w:rFonts w:ascii="Arial" w:hAnsi="Arial"/>
          <w:sz w:val="22"/>
        </w:rPr>
        <w:tab/>
        <w:t xml:space="preserve">Malaysia still maintains its  reservations on Articles 9(2), 16(1)(a), 16(1)(c), 16(1)(f) and 16(1)(g). </w:t>
      </w:r>
    </w:p>
    <w:p w14:paraId="46B6277D" w14:textId="77777777" w:rsidR="00C41F6E" w:rsidRPr="00092464" w:rsidRDefault="00C41F6E" w:rsidP="00092464">
      <w:pPr>
        <w:pStyle w:val="Heading3"/>
        <w:rPr>
          <w:rFonts w:ascii="Arial" w:eastAsia="Arial" w:hAnsi="Arial" w:cs="Arial"/>
          <w:sz w:val="22"/>
          <w:szCs w:val="22"/>
        </w:rPr>
      </w:pPr>
      <w:bookmarkStart w:id="10" w:name="_heading=h.4qbnudceowbx" w:colFirst="0" w:colLast="0"/>
      <w:bookmarkEnd w:id="10"/>
    </w:p>
    <w:p w14:paraId="5515D3F4" w14:textId="77777777" w:rsidR="00C41F6E" w:rsidRPr="00E30960" w:rsidRDefault="00000000" w:rsidP="00092464">
      <w:pPr>
        <w:pStyle w:val="Heading3"/>
        <w:rPr>
          <w:rFonts w:ascii="Arial" w:eastAsia="Arial" w:hAnsi="Arial" w:cs="Arial"/>
          <w:i/>
          <w:iCs/>
          <w:sz w:val="22"/>
          <w:szCs w:val="22"/>
        </w:rPr>
      </w:pPr>
      <w:bookmarkStart w:id="11" w:name="_heading=h.tggsss17y1js" w:colFirst="0" w:colLast="0"/>
      <w:bookmarkEnd w:id="11"/>
      <w:r w:rsidRPr="00E30960">
        <w:rPr>
          <w:rFonts w:ascii="Arial" w:eastAsia="Arial" w:hAnsi="Arial" w:cs="Arial"/>
          <w:i/>
          <w:iCs/>
          <w:sz w:val="22"/>
          <w:szCs w:val="22"/>
        </w:rPr>
        <w:t>Constitutional and legislative framework</w:t>
      </w:r>
    </w:p>
    <w:p w14:paraId="417126E9" w14:textId="77777777" w:rsidR="00C41F6E" w:rsidRPr="00092464" w:rsidRDefault="00000000" w:rsidP="00092464">
      <w:pPr>
        <w:ind w:left="360"/>
        <w:rPr>
          <w:rFonts w:ascii="Arial" w:hAnsi="Arial"/>
          <w:sz w:val="22"/>
        </w:rPr>
      </w:pPr>
      <w:r w:rsidRPr="00092464">
        <w:rPr>
          <w:rFonts w:ascii="Arial" w:hAnsi="Arial"/>
          <w:sz w:val="22"/>
        </w:rPr>
        <w:t xml:space="preserve"> </w:t>
      </w:r>
    </w:p>
    <w:p w14:paraId="2CEE885F" w14:textId="77777777" w:rsidR="00C41F6E" w:rsidRPr="00092464" w:rsidRDefault="00000000" w:rsidP="00092464">
      <w:pPr>
        <w:rPr>
          <w:rFonts w:ascii="Arial" w:hAnsi="Arial"/>
          <w:sz w:val="22"/>
        </w:rPr>
      </w:pPr>
      <w:r w:rsidRPr="00092464">
        <w:rPr>
          <w:rFonts w:ascii="Arial" w:hAnsi="Arial"/>
          <w:sz w:val="22"/>
        </w:rPr>
        <w:t xml:space="preserve">2.2 </w:t>
      </w:r>
      <w:r w:rsidRPr="00092464">
        <w:rPr>
          <w:rFonts w:ascii="Arial" w:hAnsi="Arial"/>
          <w:sz w:val="22"/>
        </w:rPr>
        <w:tab/>
        <w:t>The list of new and amended laws identified in paragraph 3 of the Report, make some advancements around specific areas of women’s rights</w:t>
      </w:r>
      <w:r w:rsidRPr="00092464">
        <w:rPr>
          <w:rFonts w:ascii="Arial" w:hAnsi="Arial"/>
          <w:sz w:val="22"/>
          <w:vertAlign w:val="superscript"/>
        </w:rPr>
        <w:footnoteReference w:id="3"/>
      </w:r>
      <w:r w:rsidRPr="00092464">
        <w:rPr>
          <w:rFonts w:ascii="Arial" w:hAnsi="Arial"/>
          <w:sz w:val="22"/>
        </w:rPr>
        <w:t>, but do not fulfil the state’s obligation to ensure CEDAW is harmonised with and fully enforceable in the national legal system (CO 12(a))</w:t>
      </w:r>
      <w:r w:rsidRPr="00092464">
        <w:rPr>
          <w:rFonts w:ascii="Arial" w:hAnsi="Arial"/>
          <w:sz w:val="22"/>
          <w:vertAlign w:val="superscript"/>
        </w:rPr>
        <w:footnoteReference w:id="4"/>
      </w:r>
      <w:r w:rsidRPr="00092464">
        <w:rPr>
          <w:rFonts w:ascii="Arial" w:hAnsi="Arial"/>
          <w:sz w:val="22"/>
        </w:rPr>
        <w:t>. CEDAW continues to not have the force of law in Malaysia.</w:t>
      </w:r>
    </w:p>
    <w:p w14:paraId="55F2622D" w14:textId="77777777" w:rsidR="00C41F6E" w:rsidRPr="00092464" w:rsidRDefault="00C41F6E" w:rsidP="00092464">
      <w:pPr>
        <w:rPr>
          <w:rFonts w:ascii="Arial" w:hAnsi="Arial"/>
          <w:sz w:val="22"/>
        </w:rPr>
      </w:pPr>
    </w:p>
    <w:p w14:paraId="4EAD44FE" w14:textId="77777777" w:rsidR="00C41F6E" w:rsidRPr="00092464" w:rsidRDefault="00000000" w:rsidP="00092464">
      <w:pPr>
        <w:rPr>
          <w:rFonts w:ascii="Arial" w:hAnsi="Arial"/>
          <w:sz w:val="22"/>
        </w:rPr>
      </w:pPr>
      <w:r w:rsidRPr="00092464">
        <w:rPr>
          <w:rFonts w:ascii="Arial" w:hAnsi="Arial"/>
          <w:sz w:val="22"/>
        </w:rPr>
        <w:t>2.3</w:t>
      </w:r>
      <w:r w:rsidRPr="00092464">
        <w:rPr>
          <w:rFonts w:ascii="Arial" w:hAnsi="Arial"/>
          <w:sz w:val="22"/>
        </w:rPr>
        <w:tab/>
        <w:t xml:space="preserve">The Optional Protocol to CEDAW has not been adopted. </w:t>
      </w:r>
    </w:p>
    <w:p w14:paraId="683CACA5" w14:textId="77777777" w:rsidR="00C41F6E" w:rsidRPr="00092464" w:rsidRDefault="00000000" w:rsidP="00092464">
      <w:pPr>
        <w:rPr>
          <w:rFonts w:ascii="Arial" w:hAnsi="Arial"/>
          <w:sz w:val="22"/>
        </w:rPr>
      </w:pPr>
      <w:r w:rsidRPr="00092464">
        <w:rPr>
          <w:rFonts w:ascii="Arial" w:hAnsi="Arial"/>
          <w:sz w:val="22"/>
        </w:rPr>
        <w:t xml:space="preserve"> </w:t>
      </w:r>
    </w:p>
    <w:p w14:paraId="7AB8371D" w14:textId="77777777" w:rsidR="00C41F6E" w:rsidRPr="00E30960" w:rsidRDefault="00000000" w:rsidP="00092464">
      <w:pPr>
        <w:pStyle w:val="Heading3"/>
        <w:rPr>
          <w:rFonts w:ascii="Arial" w:eastAsia="Arial" w:hAnsi="Arial" w:cs="Arial"/>
          <w:i/>
          <w:iCs/>
          <w:sz w:val="22"/>
          <w:szCs w:val="22"/>
        </w:rPr>
      </w:pPr>
      <w:bookmarkStart w:id="12" w:name="_heading=h.u7mx136lk1u8" w:colFirst="0" w:colLast="0"/>
      <w:bookmarkEnd w:id="12"/>
      <w:r w:rsidRPr="00E30960">
        <w:rPr>
          <w:rFonts w:ascii="Arial" w:eastAsia="Arial" w:hAnsi="Arial" w:cs="Arial"/>
          <w:i/>
          <w:iCs/>
          <w:sz w:val="22"/>
          <w:szCs w:val="22"/>
        </w:rPr>
        <w:t>Parliament</w:t>
      </w:r>
    </w:p>
    <w:p w14:paraId="08275970" w14:textId="77777777" w:rsidR="00C41F6E" w:rsidRPr="00092464" w:rsidRDefault="00000000" w:rsidP="00092464">
      <w:pPr>
        <w:ind w:left="720"/>
        <w:rPr>
          <w:rFonts w:ascii="Arial" w:hAnsi="Arial"/>
          <w:sz w:val="22"/>
        </w:rPr>
      </w:pPr>
      <w:r w:rsidRPr="00092464">
        <w:rPr>
          <w:rFonts w:ascii="Arial" w:hAnsi="Arial"/>
          <w:sz w:val="22"/>
        </w:rPr>
        <w:t xml:space="preserve"> </w:t>
      </w:r>
    </w:p>
    <w:p w14:paraId="689EC193" w14:textId="77777777" w:rsidR="00C41F6E" w:rsidRPr="00092464" w:rsidRDefault="00000000" w:rsidP="00092464">
      <w:pPr>
        <w:rPr>
          <w:rFonts w:ascii="Arial" w:hAnsi="Arial"/>
          <w:sz w:val="22"/>
        </w:rPr>
      </w:pPr>
      <w:r w:rsidRPr="00092464">
        <w:rPr>
          <w:rFonts w:ascii="Arial" w:hAnsi="Arial"/>
          <w:sz w:val="22"/>
        </w:rPr>
        <w:t xml:space="preserve">2.4 </w:t>
      </w:r>
      <w:r w:rsidRPr="00092464">
        <w:rPr>
          <w:rFonts w:ascii="Arial" w:hAnsi="Arial"/>
          <w:sz w:val="22"/>
        </w:rPr>
        <w:tab/>
        <w:t>The list of Special Select Committees, caucuses and All Party Parliamentary Groups provided by the State (Annex B) fails to provide details on  - (</w:t>
      </w:r>
      <w:proofErr w:type="spellStart"/>
      <w:r w:rsidRPr="00092464">
        <w:rPr>
          <w:rFonts w:ascii="Arial" w:hAnsi="Arial"/>
          <w:sz w:val="22"/>
        </w:rPr>
        <w:t>i</w:t>
      </w:r>
      <w:proofErr w:type="spellEnd"/>
      <w:r w:rsidRPr="00092464">
        <w:rPr>
          <w:rFonts w:ascii="Arial" w:hAnsi="Arial"/>
          <w:sz w:val="22"/>
        </w:rPr>
        <w:t xml:space="preserve">) members of committees and equal representation within the committees and (ii) the committees’ commitment and plans  on the implementation of the Concluding Observations and fulfilment of CEDAW in  Malaysia. </w:t>
      </w:r>
    </w:p>
    <w:p w14:paraId="2D7524D5" w14:textId="77777777" w:rsidR="00C41F6E" w:rsidRPr="00092464" w:rsidRDefault="00C41F6E" w:rsidP="00092464">
      <w:pPr>
        <w:rPr>
          <w:rFonts w:ascii="Arial" w:hAnsi="Arial"/>
          <w:sz w:val="22"/>
        </w:rPr>
      </w:pPr>
    </w:p>
    <w:p w14:paraId="0212BF99" w14:textId="77777777" w:rsidR="00C41F6E" w:rsidRPr="00E30960" w:rsidRDefault="00000000" w:rsidP="00092464">
      <w:pPr>
        <w:pStyle w:val="Heading3"/>
        <w:rPr>
          <w:rFonts w:ascii="Arial" w:eastAsia="Arial" w:hAnsi="Arial" w:cs="Arial"/>
          <w:i/>
          <w:iCs/>
          <w:sz w:val="22"/>
          <w:szCs w:val="22"/>
        </w:rPr>
      </w:pPr>
      <w:bookmarkStart w:id="13" w:name="_heading=h.qckfwtgysv0b" w:colFirst="0" w:colLast="0"/>
      <w:bookmarkEnd w:id="13"/>
      <w:r w:rsidRPr="00E30960">
        <w:rPr>
          <w:rFonts w:ascii="Arial" w:eastAsia="Arial" w:hAnsi="Arial" w:cs="Arial"/>
          <w:i/>
          <w:iCs/>
          <w:sz w:val="22"/>
          <w:szCs w:val="22"/>
        </w:rPr>
        <w:t>Nationality and Citizenship</w:t>
      </w:r>
    </w:p>
    <w:p w14:paraId="244CF73F" w14:textId="77777777" w:rsidR="00C41F6E" w:rsidRPr="00E30960" w:rsidRDefault="00C41F6E" w:rsidP="00092464">
      <w:pPr>
        <w:rPr>
          <w:rFonts w:ascii="Arial" w:hAnsi="Arial"/>
          <w:i/>
          <w:iCs/>
          <w:sz w:val="22"/>
          <w:vertAlign w:val="subscript"/>
        </w:rPr>
      </w:pPr>
    </w:p>
    <w:p w14:paraId="37B5FB3D" w14:textId="77777777" w:rsidR="00C41F6E" w:rsidRPr="00092464" w:rsidRDefault="00000000" w:rsidP="00092464">
      <w:pPr>
        <w:rPr>
          <w:rFonts w:ascii="Arial" w:hAnsi="Arial"/>
          <w:sz w:val="22"/>
        </w:rPr>
      </w:pPr>
      <w:r w:rsidRPr="00092464">
        <w:rPr>
          <w:rFonts w:ascii="Arial" w:hAnsi="Arial"/>
          <w:sz w:val="22"/>
        </w:rPr>
        <w:t xml:space="preserve">2.5 </w:t>
      </w:r>
      <w:r w:rsidRPr="00092464">
        <w:rPr>
          <w:rFonts w:ascii="Arial" w:hAnsi="Arial"/>
          <w:sz w:val="22"/>
        </w:rPr>
        <w:tab/>
        <w:t>Malaysian women do not have equal rights as men to automatically confer citizenship on children born outside the country. Family Frontiers and six impacted mothers filed (</w:t>
      </w:r>
      <w:proofErr w:type="spellStart"/>
      <w:r w:rsidRPr="00092464">
        <w:rPr>
          <w:rFonts w:ascii="Arial" w:hAnsi="Arial"/>
          <w:i/>
          <w:sz w:val="22"/>
        </w:rPr>
        <w:t>Suriani</w:t>
      </w:r>
      <w:proofErr w:type="spellEnd"/>
      <w:r w:rsidRPr="00092464">
        <w:rPr>
          <w:rFonts w:ascii="Arial" w:hAnsi="Arial"/>
          <w:i/>
          <w:sz w:val="22"/>
        </w:rPr>
        <w:t xml:space="preserve"> Kempe &amp; </w:t>
      </w:r>
      <w:proofErr w:type="spellStart"/>
      <w:r w:rsidRPr="00092464">
        <w:rPr>
          <w:rFonts w:ascii="Arial" w:hAnsi="Arial"/>
          <w:i/>
          <w:sz w:val="22"/>
        </w:rPr>
        <w:t>Ors</w:t>
      </w:r>
      <w:proofErr w:type="spellEnd"/>
      <w:r w:rsidRPr="00092464">
        <w:rPr>
          <w:rFonts w:ascii="Arial" w:hAnsi="Arial"/>
          <w:i/>
          <w:sz w:val="22"/>
        </w:rPr>
        <w:t xml:space="preserve"> v Government of Malaysia &amp; </w:t>
      </w:r>
      <w:proofErr w:type="spellStart"/>
      <w:r w:rsidRPr="00092464">
        <w:rPr>
          <w:rFonts w:ascii="Arial" w:hAnsi="Arial"/>
          <w:i/>
          <w:sz w:val="22"/>
        </w:rPr>
        <w:t>Ors</w:t>
      </w:r>
      <w:proofErr w:type="spellEnd"/>
      <w:r w:rsidRPr="00092464">
        <w:rPr>
          <w:rFonts w:ascii="Arial" w:hAnsi="Arial"/>
          <w:sz w:val="22"/>
        </w:rPr>
        <w:t>)</w:t>
      </w:r>
      <w:r w:rsidRPr="00092464">
        <w:rPr>
          <w:rFonts w:ascii="Arial" w:hAnsi="Arial"/>
          <w:sz w:val="22"/>
          <w:vertAlign w:val="superscript"/>
        </w:rPr>
        <w:footnoteReference w:id="5"/>
      </w:r>
      <w:r w:rsidRPr="00092464">
        <w:rPr>
          <w:rFonts w:ascii="Arial" w:hAnsi="Arial"/>
          <w:sz w:val="22"/>
        </w:rPr>
        <w:t xml:space="preserve"> a petition to Kuala Lumpur High Court for their right to automatically confer citizenship to their children. The Government attempted to </w:t>
      </w:r>
      <w:r w:rsidRPr="00092464">
        <w:rPr>
          <w:rFonts w:ascii="Arial" w:hAnsi="Arial"/>
          <w:sz w:val="22"/>
        </w:rPr>
        <w:lastRenderedPageBreak/>
        <w:t>strike out the petition calling it “frivolous, vexatious and troublesome” but was dismissed by the High Court and Court of Appeal.</w:t>
      </w:r>
      <w:r w:rsidRPr="00092464">
        <w:rPr>
          <w:rFonts w:ascii="Arial" w:hAnsi="Arial"/>
          <w:sz w:val="22"/>
          <w:vertAlign w:val="superscript"/>
        </w:rPr>
        <w:footnoteReference w:id="6"/>
      </w:r>
    </w:p>
    <w:p w14:paraId="5B742B59" w14:textId="77777777" w:rsidR="00C41F6E" w:rsidRPr="00092464" w:rsidRDefault="00C41F6E" w:rsidP="00092464">
      <w:pPr>
        <w:rPr>
          <w:rFonts w:ascii="Arial" w:hAnsi="Arial"/>
          <w:sz w:val="22"/>
        </w:rPr>
      </w:pPr>
    </w:p>
    <w:p w14:paraId="12AFED85" w14:textId="77777777" w:rsidR="00C41F6E" w:rsidRPr="00092464" w:rsidRDefault="00000000" w:rsidP="00092464">
      <w:pPr>
        <w:rPr>
          <w:rFonts w:ascii="Arial" w:hAnsi="Arial"/>
          <w:sz w:val="22"/>
        </w:rPr>
      </w:pPr>
      <w:r w:rsidRPr="00092464">
        <w:rPr>
          <w:rFonts w:ascii="Arial" w:hAnsi="Arial"/>
          <w:sz w:val="22"/>
        </w:rPr>
        <w:t xml:space="preserve">2.6 </w:t>
      </w:r>
      <w:r w:rsidRPr="00092464">
        <w:rPr>
          <w:rFonts w:ascii="Arial" w:hAnsi="Arial"/>
          <w:sz w:val="22"/>
        </w:rPr>
        <w:tab/>
        <w:t>The High Court decided in favour of equal citizenship rights; however, the Government appealed the decision and won, overturning the High Court ruling. In its appeal, the Government argued that the 2001 amendment to Article 8(2) to prohibit gender discrimination is impermissible, invalidating and in contradiction to decades of efforts to promote gender equality laws and policies in Malaysia including by the government.</w:t>
      </w:r>
    </w:p>
    <w:p w14:paraId="0237C849" w14:textId="77777777" w:rsidR="00C41F6E" w:rsidRPr="00092464" w:rsidRDefault="00C41F6E" w:rsidP="00092464">
      <w:pPr>
        <w:rPr>
          <w:rFonts w:ascii="Arial" w:hAnsi="Arial"/>
          <w:sz w:val="22"/>
        </w:rPr>
      </w:pPr>
    </w:p>
    <w:p w14:paraId="310B3824" w14:textId="77777777" w:rsidR="00C41F6E" w:rsidRPr="00E30960" w:rsidRDefault="00000000" w:rsidP="00092464">
      <w:pPr>
        <w:pStyle w:val="Heading3"/>
        <w:rPr>
          <w:rFonts w:ascii="Arial" w:eastAsia="Arial" w:hAnsi="Arial" w:cs="Arial"/>
          <w:i/>
          <w:iCs/>
          <w:sz w:val="22"/>
          <w:szCs w:val="22"/>
        </w:rPr>
      </w:pPr>
      <w:bookmarkStart w:id="14" w:name="_heading=h.9vlnd8gsvdpr" w:colFirst="0" w:colLast="0"/>
      <w:bookmarkEnd w:id="14"/>
      <w:r w:rsidRPr="00E30960">
        <w:rPr>
          <w:rFonts w:ascii="Arial" w:eastAsia="Arial" w:hAnsi="Arial" w:cs="Arial"/>
          <w:i/>
          <w:iCs/>
          <w:sz w:val="22"/>
          <w:szCs w:val="22"/>
        </w:rPr>
        <w:t>Women and girls with disabilities (WGD)</w:t>
      </w:r>
    </w:p>
    <w:p w14:paraId="16758996" w14:textId="77777777" w:rsidR="00C41F6E" w:rsidRPr="00E30960" w:rsidRDefault="00C41F6E" w:rsidP="00092464">
      <w:pPr>
        <w:rPr>
          <w:rFonts w:ascii="Arial" w:hAnsi="Arial"/>
          <w:i/>
          <w:iCs/>
          <w:sz w:val="22"/>
        </w:rPr>
      </w:pPr>
    </w:p>
    <w:p w14:paraId="362BF511" w14:textId="77777777" w:rsidR="00C41F6E" w:rsidRPr="00092464" w:rsidRDefault="00000000" w:rsidP="00092464">
      <w:pPr>
        <w:rPr>
          <w:rFonts w:ascii="Arial" w:hAnsi="Arial"/>
          <w:sz w:val="22"/>
        </w:rPr>
      </w:pPr>
      <w:r w:rsidRPr="00092464">
        <w:rPr>
          <w:rFonts w:ascii="Arial" w:hAnsi="Arial"/>
          <w:sz w:val="22"/>
        </w:rPr>
        <w:t xml:space="preserve">2.7 </w:t>
      </w:r>
      <w:r w:rsidRPr="00092464">
        <w:rPr>
          <w:rFonts w:ascii="Arial" w:hAnsi="Arial"/>
          <w:sz w:val="22"/>
        </w:rPr>
        <w:tab/>
        <w:t>While persons with disabilities are 15% of the population, there is a lack of  comprehensive data/statistics, information on legal reforms and government action to protect and promote the rights of women and girls with disabilities (WGD).</w:t>
      </w:r>
      <w:r w:rsidRPr="00092464">
        <w:rPr>
          <w:rFonts w:ascii="Arial" w:hAnsi="Arial"/>
          <w:sz w:val="22"/>
          <w:vertAlign w:val="superscript"/>
        </w:rPr>
        <w:footnoteReference w:id="7"/>
      </w:r>
      <w:r w:rsidRPr="00092464">
        <w:rPr>
          <w:rFonts w:ascii="Arial" w:hAnsi="Arial"/>
          <w:sz w:val="22"/>
        </w:rPr>
        <w:t xml:space="preserve"> Women, including mothers of children with disabilities, face significant stigmatization and discrimination.</w:t>
      </w:r>
      <w:r w:rsidRPr="00092464">
        <w:rPr>
          <w:rFonts w:ascii="Arial" w:hAnsi="Arial"/>
          <w:sz w:val="22"/>
          <w:vertAlign w:val="superscript"/>
        </w:rPr>
        <w:footnoteReference w:id="8"/>
      </w:r>
      <w:r w:rsidRPr="00092464">
        <w:rPr>
          <w:rFonts w:ascii="Arial" w:hAnsi="Arial"/>
          <w:sz w:val="22"/>
          <w:vertAlign w:val="superscript"/>
        </w:rPr>
        <w:t>,</w:t>
      </w:r>
      <w:r w:rsidRPr="00092464">
        <w:rPr>
          <w:rFonts w:ascii="Arial" w:hAnsi="Arial"/>
          <w:sz w:val="22"/>
          <w:vertAlign w:val="superscript"/>
        </w:rPr>
        <w:footnoteReference w:id="9"/>
      </w:r>
      <w:r w:rsidRPr="00092464">
        <w:rPr>
          <w:rFonts w:ascii="Arial" w:hAnsi="Arial"/>
          <w:sz w:val="22"/>
        </w:rPr>
        <w:t xml:space="preserve"> </w:t>
      </w:r>
    </w:p>
    <w:p w14:paraId="4F656225" w14:textId="6AB21897" w:rsidR="00C41F6E" w:rsidRDefault="00000000" w:rsidP="00092464">
      <w:pPr>
        <w:pStyle w:val="Heading4"/>
        <w:rPr>
          <w:rFonts w:ascii="Arial" w:eastAsia="Arial" w:hAnsi="Arial" w:cs="Arial"/>
          <w:b/>
          <w:bCs/>
          <w:sz w:val="22"/>
        </w:rPr>
      </w:pPr>
      <w:bookmarkStart w:id="15" w:name="_heading=h.2r098xofuu94" w:colFirst="0" w:colLast="0"/>
      <w:bookmarkEnd w:id="15"/>
      <w:r w:rsidRPr="00E30960">
        <w:rPr>
          <w:rFonts w:ascii="Arial" w:eastAsia="Arial" w:hAnsi="Arial" w:cs="Arial"/>
          <w:b/>
          <w:bCs/>
          <w:sz w:val="22"/>
        </w:rPr>
        <w:t xml:space="preserve">Critical Questions </w:t>
      </w:r>
    </w:p>
    <w:p w14:paraId="4D663F6F" w14:textId="77777777" w:rsidR="00E30960" w:rsidRPr="00E30960" w:rsidRDefault="00E30960" w:rsidP="00E30960"/>
    <w:p w14:paraId="7F72FE87" w14:textId="77777777" w:rsidR="00C41F6E" w:rsidRPr="00092464" w:rsidRDefault="00000000" w:rsidP="00092464">
      <w:pPr>
        <w:rPr>
          <w:rFonts w:ascii="Arial" w:hAnsi="Arial"/>
          <w:sz w:val="22"/>
          <w:shd w:val="clear" w:color="auto" w:fill="D9D2E9"/>
        </w:rPr>
      </w:pPr>
      <w:r w:rsidRPr="00092464">
        <w:rPr>
          <w:rFonts w:ascii="Arial" w:hAnsi="Arial"/>
          <w:sz w:val="22"/>
        </w:rPr>
        <w:t>Q3.</w:t>
      </w:r>
      <w:r w:rsidRPr="00092464">
        <w:rPr>
          <w:rFonts w:ascii="Arial" w:hAnsi="Arial"/>
          <w:sz w:val="22"/>
        </w:rPr>
        <w:tab/>
      </w:r>
      <w:r w:rsidRPr="00092464">
        <w:rPr>
          <w:rFonts w:ascii="Arial" w:hAnsi="Arial"/>
          <w:sz w:val="22"/>
          <w:highlight w:val="white"/>
        </w:rPr>
        <w:t>Does the state intend to review and reform all laws including those pertaining to citizenship and persons with disabilities to eliminate all forms of gender-based discrimination?</w:t>
      </w:r>
    </w:p>
    <w:p w14:paraId="799B801E" w14:textId="77777777" w:rsidR="00C41F6E" w:rsidRPr="00092464" w:rsidRDefault="00C41F6E" w:rsidP="00092464">
      <w:pPr>
        <w:rPr>
          <w:rFonts w:ascii="Arial" w:hAnsi="Arial"/>
          <w:sz w:val="22"/>
          <w:shd w:val="clear" w:color="auto" w:fill="D9D2E9"/>
        </w:rPr>
      </w:pPr>
    </w:p>
    <w:p w14:paraId="5D8F017F" w14:textId="77777777" w:rsidR="00C41F6E" w:rsidRPr="00092464" w:rsidRDefault="00000000" w:rsidP="00092464">
      <w:pPr>
        <w:rPr>
          <w:rFonts w:ascii="Arial" w:hAnsi="Arial"/>
          <w:sz w:val="22"/>
        </w:rPr>
      </w:pPr>
      <w:r w:rsidRPr="00092464">
        <w:rPr>
          <w:rFonts w:ascii="Arial" w:hAnsi="Arial"/>
          <w:sz w:val="22"/>
        </w:rPr>
        <w:t>Q4.</w:t>
      </w:r>
      <w:r w:rsidRPr="00092464">
        <w:rPr>
          <w:rFonts w:ascii="Arial" w:hAnsi="Arial"/>
          <w:sz w:val="22"/>
        </w:rPr>
        <w:tab/>
        <w:t>What prohibits the government from removing reservations to Articles 9(2), 16(1)(a), 16(1)(c), 16(1)(f) and 16(1)(g) of CEDAW? What is the timeline for the State to lift its reservations and to ratify the Optional Protocol to CEDAW?</w:t>
      </w:r>
    </w:p>
    <w:p w14:paraId="5239560E" w14:textId="77777777" w:rsidR="00C41F6E" w:rsidRPr="00092464" w:rsidRDefault="00C41F6E" w:rsidP="00092464">
      <w:pPr>
        <w:spacing w:line="240" w:lineRule="auto"/>
        <w:rPr>
          <w:rFonts w:ascii="Arial" w:hAnsi="Arial"/>
          <w:sz w:val="22"/>
        </w:rPr>
      </w:pPr>
    </w:p>
    <w:p w14:paraId="7CA726A8" w14:textId="77777777" w:rsidR="00C41F6E" w:rsidRPr="00092464" w:rsidRDefault="00000000" w:rsidP="00092464">
      <w:pPr>
        <w:spacing w:line="240" w:lineRule="auto"/>
        <w:rPr>
          <w:rFonts w:ascii="Arial" w:hAnsi="Arial"/>
          <w:sz w:val="22"/>
        </w:rPr>
      </w:pPr>
      <w:r w:rsidRPr="00092464">
        <w:rPr>
          <w:rFonts w:ascii="Arial" w:hAnsi="Arial"/>
          <w:sz w:val="22"/>
        </w:rPr>
        <w:t>Q5.</w:t>
      </w:r>
      <w:r w:rsidRPr="00092464">
        <w:rPr>
          <w:rFonts w:ascii="Arial" w:hAnsi="Arial"/>
          <w:sz w:val="22"/>
        </w:rPr>
        <w:tab/>
        <w:t>What are the State’s plans to enact right-to-information legislation which will facilitate proactive and maximum disclosure of disaggregated data and information?</w:t>
      </w:r>
    </w:p>
    <w:p w14:paraId="3382F77D" w14:textId="77777777" w:rsidR="00C41F6E" w:rsidRPr="00092464" w:rsidRDefault="00C41F6E" w:rsidP="00092464">
      <w:pPr>
        <w:rPr>
          <w:rFonts w:ascii="Arial" w:hAnsi="Arial"/>
          <w:sz w:val="22"/>
        </w:rPr>
      </w:pPr>
    </w:p>
    <w:p w14:paraId="425D4503" w14:textId="77777777" w:rsidR="00C41F6E" w:rsidRPr="003E6F1B" w:rsidRDefault="00000000" w:rsidP="00092464">
      <w:pPr>
        <w:pStyle w:val="Heading2"/>
        <w:rPr>
          <w:rFonts w:ascii="Arial" w:eastAsia="Arial" w:hAnsi="Arial" w:cs="Arial"/>
          <w:b/>
          <w:bCs/>
          <w:sz w:val="24"/>
          <w:szCs w:val="24"/>
        </w:rPr>
      </w:pPr>
      <w:r w:rsidRPr="003E6F1B">
        <w:rPr>
          <w:rFonts w:ascii="Arial" w:eastAsia="Arial" w:hAnsi="Arial" w:cs="Arial"/>
          <w:b/>
          <w:bCs/>
          <w:sz w:val="24"/>
          <w:szCs w:val="24"/>
        </w:rPr>
        <w:t xml:space="preserve">Article 3: Measures to Promote Equality </w:t>
      </w:r>
    </w:p>
    <w:p w14:paraId="0F2D4C53" w14:textId="77777777" w:rsidR="00C41F6E" w:rsidRPr="00092464" w:rsidRDefault="00C41F6E" w:rsidP="00092464">
      <w:pPr>
        <w:rPr>
          <w:rFonts w:ascii="Arial" w:hAnsi="Arial"/>
          <w:sz w:val="22"/>
        </w:rPr>
      </w:pPr>
    </w:p>
    <w:p w14:paraId="57D5C386" w14:textId="77777777" w:rsidR="00C41F6E" w:rsidRPr="00092464" w:rsidRDefault="00000000" w:rsidP="00092464">
      <w:pPr>
        <w:rPr>
          <w:rFonts w:ascii="Arial" w:hAnsi="Arial"/>
          <w:sz w:val="22"/>
        </w:rPr>
      </w:pPr>
      <w:r w:rsidRPr="00092464">
        <w:rPr>
          <w:rFonts w:ascii="Arial" w:hAnsi="Arial"/>
          <w:sz w:val="22"/>
        </w:rPr>
        <w:t>3.1</w:t>
      </w:r>
      <w:r w:rsidRPr="00092464">
        <w:rPr>
          <w:rFonts w:ascii="Arial" w:hAnsi="Arial"/>
          <w:sz w:val="22"/>
        </w:rPr>
        <w:tab/>
        <w:t>“Strengthening and Enhancing the Inclusiveness of Women Towards an Equitable Society in the Eleventh Plan Project” (Report, paragraph 9) had four outputs: (</w:t>
      </w:r>
      <w:proofErr w:type="spellStart"/>
      <w:r w:rsidRPr="00092464">
        <w:rPr>
          <w:rFonts w:ascii="Arial" w:hAnsi="Arial"/>
          <w:sz w:val="22"/>
        </w:rPr>
        <w:t>i</w:t>
      </w:r>
      <w:proofErr w:type="spellEnd"/>
      <w:r w:rsidRPr="00092464">
        <w:rPr>
          <w:rFonts w:ascii="Arial" w:hAnsi="Arial"/>
          <w:sz w:val="22"/>
        </w:rPr>
        <w:t>) an assessment of the National Women’s Policy Plan of Action during the 10</w:t>
      </w:r>
      <w:r w:rsidRPr="00092464">
        <w:rPr>
          <w:rFonts w:ascii="Arial" w:hAnsi="Arial"/>
          <w:sz w:val="22"/>
          <w:vertAlign w:val="superscript"/>
        </w:rPr>
        <w:t>th</w:t>
      </w:r>
      <w:r w:rsidRPr="00092464">
        <w:rPr>
          <w:rFonts w:ascii="Arial" w:hAnsi="Arial"/>
          <w:sz w:val="22"/>
        </w:rPr>
        <w:t xml:space="preserve"> Malaysian Plan; (ii) challenges and recommendations for a gender mainstreaming framework; (iii) trends, gaps and challenges in relation to sex-disaggregated data and (iv) training modules on gender equality and a list of resource persons on gender/ gender equality. The outputs were </w:t>
      </w:r>
      <w:r w:rsidRPr="00092464">
        <w:rPr>
          <w:rFonts w:ascii="Arial" w:hAnsi="Arial"/>
          <w:sz w:val="22"/>
        </w:rPr>
        <w:lastRenderedPageBreak/>
        <w:t>completed, but the utilisation and/or implementation of the outputs and recommendations remain unclear.</w:t>
      </w:r>
    </w:p>
    <w:p w14:paraId="3EBACE70" w14:textId="77777777" w:rsidR="00C41F6E" w:rsidRPr="00092464" w:rsidRDefault="00C41F6E" w:rsidP="00092464">
      <w:pPr>
        <w:rPr>
          <w:rFonts w:ascii="Arial" w:hAnsi="Arial"/>
          <w:sz w:val="22"/>
        </w:rPr>
      </w:pPr>
    </w:p>
    <w:p w14:paraId="1F8E619A" w14:textId="77777777" w:rsidR="00C41F6E" w:rsidRPr="00092464" w:rsidRDefault="00000000" w:rsidP="00092464">
      <w:pPr>
        <w:rPr>
          <w:rFonts w:ascii="Arial" w:hAnsi="Arial"/>
          <w:sz w:val="22"/>
          <w:vertAlign w:val="superscript"/>
        </w:rPr>
      </w:pPr>
      <w:r w:rsidRPr="00092464">
        <w:rPr>
          <w:rFonts w:ascii="Arial" w:hAnsi="Arial"/>
          <w:sz w:val="22"/>
        </w:rPr>
        <w:t>3.2</w:t>
      </w:r>
      <w:r w:rsidRPr="00092464">
        <w:rPr>
          <w:rFonts w:ascii="Arial" w:hAnsi="Arial"/>
          <w:sz w:val="22"/>
        </w:rPr>
        <w:tab/>
        <w:t xml:space="preserve">Currently, the training modules from the project are being used in the Selangor state government gender mainstreaming three-year project, </w:t>
      </w:r>
      <w:hyperlink r:id="rId7">
        <w:r w:rsidRPr="00092464">
          <w:rPr>
            <w:rFonts w:ascii="Arial" w:hAnsi="Arial"/>
            <w:color w:val="1155CC"/>
            <w:sz w:val="22"/>
            <w:u w:val="single"/>
          </w:rPr>
          <w:t>initiated in 2020</w:t>
        </w:r>
      </w:hyperlink>
      <w:r w:rsidRPr="00092464">
        <w:rPr>
          <w:rFonts w:ascii="Arial" w:hAnsi="Arial"/>
          <w:sz w:val="22"/>
          <w:vertAlign w:val="superscript"/>
        </w:rPr>
        <w:t>.</w:t>
      </w:r>
    </w:p>
    <w:p w14:paraId="34430C4A" w14:textId="77777777" w:rsidR="00C41F6E" w:rsidRPr="00092464" w:rsidRDefault="00C41F6E" w:rsidP="00092464">
      <w:pPr>
        <w:rPr>
          <w:rFonts w:ascii="Arial" w:hAnsi="Arial"/>
          <w:sz w:val="22"/>
          <w:vertAlign w:val="superscript"/>
        </w:rPr>
      </w:pPr>
    </w:p>
    <w:p w14:paraId="0B3B4755" w14:textId="77777777" w:rsidR="00C41F6E" w:rsidRPr="00092464" w:rsidRDefault="00000000" w:rsidP="00092464">
      <w:pPr>
        <w:rPr>
          <w:rFonts w:ascii="Arial" w:hAnsi="Arial"/>
          <w:sz w:val="22"/>
        </w:rPr>
      </w:pPr>
      <w:r w:rsidRPr="00092464">
        <w:rPr>
          <w:rFonts w:ascii="Arial" w:hAnsi="Arial"/>
          <w:sz w:val="22"/>
        </w:rPr>
        <w:t xml:space="preserve">3.3 </w:t>
      </w:r>
      <w:r w:rsidRPr="00092464">
        <w:rPr>
          <w:rFonts w:ascii="Arial" w:hAnsi="Arial"/>
          <w:sz w:val="22"/>
        </w:rPr>
        <w:tab/>
        <w:t xml:space="preserve">In November 2022, </w:t>
      </w:r>
      <w:hyperlink r:id="rId8">
        <w:r w:rsidRPr="00092464">
          <w:rPr>
            <w:rFonts w:ascii="Arial" w:hAnsi="Arial"/>
            <w:color w:val="1155CC"/>
            <w:sz w:val="22"/>
            <w:u w:val="single"/>
          </w:rPr>
          <w:t>45 Gender Focal Points/Teams (GFP/GFTs) were reportedly appointed to support this gender mainstreaming effort</w:t>
        </w:r>
      </w:hyperlink>
      <w:r w:rsidRPr="00092464">
        <w:rPr>
          <w:rFonts w:ascii="Arial" w:hAnsi="Arial"/>
          <w:sz w:val="22"/>
        </w:rPr>
        <w:t>, as a recommendation from the project.</w:t>
      </w:r>
    </w:p>
    <w:p w14:paraId="7C2C3030" w14:textId="77777777" w:rsidR="00C41F6E" w:rsidRPr="00092464" w:rsidRDefault="00C41F6E" w:rsidP="00092464">
      <w:pPr>
        <w:rPr>
          <w:rFonts w:ascii="Arial" w:hAnsi="Arial"/>
          <w:sz w:val="22"/>
        </w:rPr>
      </w:pPr>
    </w:p>
    <w:p w14:paraId="46419700" w14:textId="77777777" w:rsidR="00C41F6E" w:rsidRPr="00092464" w:rsidRDefault="00000000" w:rsidP="00092464">
      <w:pPr>
        <w:rPr>
          <w:rFonts w:ascii="Arial" w:hAnsi="Arial"/>
          <w:sz w:val="22"/>
        </w:rPr>
      </w:pPr>
      <w:r w:rsidRPr="00092464">
        <w:rPr>
          <w:rFonts w:ascii="Arial" w:hAnsi="Arial"/>
          <w:sz w:val="22"/>
        </w:rPr>
        <w:t xml:space="preserve">3.4 </w:t>
      </w:r>
      <w:r w:rsidRPr="00092464">
        <w:rPr>
          <w:rFonts w:ascii="Arial" w:hAnsi="Arial"/>
          <w:sz w:val="22"/>
        </w:rPr>
        <w:tab/>
        <w:t xml:space="preserve">Strategy F3: Empowering the Role of Women under the 12th Malaysia Plan states that a “gender mainstreaming framework will be introduced to incorporate the gender perspective in formulating policies”. </w:t>
      </w:r>
    </w:p>
    <w:p w14:paraId="5D4AB4B0" w14:textId="669C5259" w:rsidR="00C41F6E" w:rsidRPr="00E30960" w:rsidRDefault="00000000" w:rsidP="00092464">
      <w:pPr>
        <w:pStyle w:val="Heading4"/>
        <w:rPr>
          <w:rFonts w:ascii="Arial" w:eastAsia="Arial" w:hAnsi="Arial" w:cs="Arial"/>
          <w:b/>
          <w:bCs/>
          <w:sz w:val="22"/>
        </w:rPr>
      </w:pPr>
      <w:bookmarkStart w:id="16" w:name="_heading=h.7nmupd37lwgv" w:colFirst="0" w:colLast="0"/>
      <w:bookmarkEnd w:id="16"/>
      <w:r w:rsidRPr="00E30960">
        <w:rPr>
          <w:rFonts w:ascii="Arial" w:eastAsia="Arial" w:hAnsi="Arial" w:cs="Arial"/>
          <w:b/>
          <w:bCs/>
          <w:sz w:val="22"/>
        </w:rPr>
        <w:t xml:space="preserve">Critical Questions </w:t>
      </w:r>
    </w:p>
    <w:p w14:paraId="1602AE0A" w14:textId="77777777" w:rsidR="00C41F6E" w:rsidRPr="00092464" w:rsidRDefault="00C41F6E" w:rsidP="00092464">
      <w:pPr>
        <w:rPr>
          <w:rFonts w:ascii="Arial" w:hAnsi="Arial"/>
          <w:sz w:val="22"/>
        </w:rPr>
      </w:pPr>
    </w:p>
    <w:p w14:paraId="7FDB70E6" w14:textId="77777777" w:rsidR="00C41F6E" w:rsidRPr="00092464" w:rsidRDefault="00000000" w:rsidP="00092464">
      <w:pPr>
        <w:rPr>
          <w:rFonts w:ascii="Arial" w:hAnsi="Arial"/>
          <w:sz w:val="22"/>
        </w:rPr>
      </w:pPr>
      <w:r w:rsidRPr="00092464">
        <w:rPr>
          <w:rFonts w:ascii="Arial" w:hAnsi="Arial"/>
          <w:sz w:val="22"/>
        </w:rPr>
        <w:t xml:space="preserve">Q6. </w:t>
      </w:r>
      <w:r w:rsidRPr="00092464">
        <w:rPr>
          <w:rFonts w:ascii="Arial" w:hAnsi="Arial"/>
          <w:sz w:val="22"/>
        </w:rPr>
        <w:tab/>
        <w:t>What  training programmes are in place for the GFP/GFTs to build their capacity and knowledge around gender mainstreaming, equality, and commitment to implementation? Further, what institutional support, resources, and budgetary allocations are provided to ensure the GFTs function effectively?</w:t>
      </w:r>
    </w:p>
    <w:p w14:paraId="20871B65" w14:textId="77777777" w:rsidR="00C41F6E" w:rsidRPr="00092464" w:rsidRDefault="00C41F6E" w:rsidP="00092464">
      <w:pPr>
        <w:rPr>
          <w:rFonts w:ascii="Arial" w:hAnsi="Arial"/>
          <w:sz w:val="22"/>
        </w:rPr>
      </w:pPr>
    </w:p>
    <w:p w14:paraId="7A32C4A2" w14:textId="77777777" w:rsidR="00C41F6E" w:rsidRPr="00092464" w:rsidRDefault="00000000" w:rsidP="00092464">
      <w:pPr>
        <w:rPr>
          <w:rFonts w:ascii="Arial" w:hAnsi="Arial"/>
          <w:sz w:val="22"/>
          <w:vertAlign w:val="superscript"/>
        </w:rPr>
      </w:pPr>
      <w:r w:rsidRPr="00092464">
        <w:rPr>
          <w:rFonts w:ascii="Arial" w:hAnsi="Arial"/>
          <w:sz w:val="22"/>
        </w:rPr>
        <w:t>Q7.</w:t>
      </w:r>
      <w:r w:rsidRPr="00092464">
        <w:rPr>
          <w:rFonts w:ascii="Arial" w:hAnsi="Arial"/>
          <w:sz w:val="22"/>
        </w:rPr>
        <w:tab/>
        <w:t xml:space="preserve">How will outputs from the project, including recommendations for a gender mainstreaming framework, be applied towards this Strategy and </w:t>
      </w:r>
      <w:hyperlink r:id="rId9">
        <w:r w:rsidRPr="00092464">
          <w:rPr>
            <w:rFonts w:ascii="Arial" w:hAnsi="Arial"/>
            <w:color w:val="1155CC"/>
            <w:sz w:val="22"/>
            <w:u w:val="single"/>
          </w:rPr>
          <w:t xml:space="preserve">will it include institutionalised and systematic training for all government </w:t>
        </w:r>
      </w:hyperlink>
      <w:hyperlink r:id="rId10">
        <w:r w:rsidRPr="00092464">
          <w:rPr>
            <w:rFonts w:ascii="Arial" w:hAnsi="Arial"/>
            <w:color w:val="1155CC"/>
            <w:sz w:val="22"/>
            <w:u w:val="single"/>
          </w:rPr>
          <w:t>officers</w:t>
        </w:r>
      </w:hyperlink>
      <w:r w:rsidRPr="00092464">
        <w:rPr>
          <w:rFonts w:ascii="Arial" w:hAnsi="Arial"/>
          <w:sz w:val="22"/>
        </w:rPr>
        <w:t>?</w:t>
      </w:r>
    </w:p>
    <w:p w14:paraId="08AE7DFB" w14:textId="77777777" w:rsidR="00C41F6E" w:rsidRPr="00092464" w:rsidRDefault="00C41F6E" w:rsidP="00092464">
      <w:pPr>
        <w:rPr>
          <w:rFonts w:ascii="Arial" w:hAnsi="Arial"/>
          <w:sz w:val="22"/>
          <w:shd w:val="clear" w:color="auto" w:fill="FFF2CC"/>
        </w:rPr>
      </w:pPr>
    </w:p>
    <w:p w14:paraId="59DE6258" w14:textId="545C7834" w:rsidR="00C41F6E" w:rsidRPr="003E6F1B" w:rsidRDefault="00000000" w:rsidP="003E6F1B">
      <w:pPr>
        <w:pStyle w:val="Heading2"/>
        <w:rPr>
          <w:rFonts w:ascii="Arial" w:eastAsia="Arial" w:hAnsi="Arial" w:cs="Arial"/>
          <w:b/>
          <w:bCs/>
          <w:sz w:val="24"/>
          <w:szCs w:val="24"/>
        </w:rPr>
      </w:pPr>
      <w:bookmarkStart w:id="17" w:name="_heading=h.atkr67w3k5c4" w:colFirst="0" w:colLast="0"/>
      <w:bookmarkEnd w:id="17"/>
      <w:r w:rsidRPr="003E6F1B">
        <w:rPr>
          <w:rFonts w:ascii="Arial" w:eastAsia="Arial" w:hAnsi="Arial" w:cs="Arial"/>
          <w:b/>
          <w:bCs/>
          <w:sz w:val="24"/>
          <w:szCs w:val="24"/>
        </w:rPr>
        <w:t xml:space="preserve">Article 4: Temporary Measures </w:t>
      </w:r>
    </w:p>
    <w:p w14:paraId="436F9E90" w14:textId="77777777" w:rsidR="00C41F6E" w:rsidRPr="00E30960" w:rsidRDefault="00000000" w:rsidP="00092464">
      <w:pPr>
        <w:pStyle w:val="Heading3"/>
        <w:rPr>
          <w:rFonts w:ascii="Arial" w:eastAsia="Arial" w:hAnsi="Arial" w:cs="Arial"/>
          <w:i/>
          <w:iCs/>
          <w:sz w:val="22"/>
          <w:szCs w:val="22"/>
        </w:rPr>
      </w:pPr>
      <w:bookmarkStart w:id="18" w:name="_heading=h.a8n9q21smrvq" w:colFirst="0" w:colLast="0"/>
      <w:bookmarkEnd w:id="18"/>
      <w:r w:rsidRPr="00E30960">
        <w:rPr>
          <w:rFonts w:ascii="Arial" w:eastAsia="Arial" w:hAnsi="Arial" w:cs="Arial"/>
          <w:i/>
          <w:iCs/>
          <w:sz w:val="22"/>
          <w:szCs w:val="22"/>
        </w:rPr>
        <w:t xml:space="preserve">Women’s labour force participation </w:t>
      </w:r>
    </w:p>
    <w:p w14:paraId="2C22D6ED" w14:textId="77777777" w:rsidR="00C41F6E" w:rsidRPr="00092464" w:rsidRDefault="00C41F6E" w:rsidP="00092464">
      <w:pPr>
        <w:rPr>
          <w:rFonts w:ascii="Arial" w:hAnsi="Arial"/>
          <w:sz w:val="22"/>
        </w:rPr>
      </w:pPr>
    </w:p>
    <w:p w14:paraId="4F9C090E" w14:textId="77777777" w:rsidR="00C41F6E" w:rsidRPr="00092464" w:rsidRDefault="00000000" w:rsidP="00092464">
      <w:pPr>
        <w:spacing w:after="200" w:line="276" w:lineRule="auto"/>
        <w:rPr>
          <w:rFonts w:ascii="Arial" w:hAnsi="Arial"/>
          <w:sz w:val="22"/>
        </w:rPr>
      </w:pPr>
      <w:r w:rsidRPr="00092464">
        <w:rPr>
          <w:rFonts w:ascii="Arial" w:hAnsi="Arial"/>
          <w:sz w:val="22"/>
        </w:rPr>
        <w:t>4.1</w:t>
      </w:r>
      <w:r w:rsidRPr="00092464">
        <w:rPr>
          <w:rFonts w:ascii="Arial" w:hAnsi="Arial"/>
          <w:sz w:val="22"/>
        </w:rPr>
        <w:tab/>
      </w:r>
      <w:hyperlink r:id="rId11">
        <w:r w:rsidRPr="00092464">
          <w:rPr>
            <w:rFonts w:ascii="Arial" w:hAnsi="Arial"/>
            <w:color w:val="1155CC"/>
            <w:sz w:val="22"/>
            <w:u w:val="single"/>
          </w:rPr>
          <w:t>Women’s participation in the labour force (LFPR) stands at 55.5% in 2021, despite making up 47% of the population.</w:t>
        </w:r>
      </w:hyperlink>
      <w:r w:rsidRPr="00092464">
        <w:rPr>
          <w:rFonts w:ascii="Arial" w:hAnsi="Arial"/>
          <w:sz w:val="22"/>
        </w:rPr>
        <w:t xml:space="preserve"> To address the  low figure, several initiatives have been included in the national budgetary process to encourage women graduates and those re-entering the workforce, particularly  post-pandemic. The unemployment</w:t>
      </w:r>
      <w:hyperlink r:id="rId12">
        <w:r w:rsidRPr="00092464">
          <w:rPr>
            <w:rFonts w:ascii="Arial" w:hAnsi="Arial"/>
            <w:color w:val="1155CC"/>
            <w:sz w:val="22"/>
            <w:u w:val="single"/>
          </w:rPr>
          <w:t xml:space="preserve"> rate amongst women increased to 307,000 people in the first quarter of 2021 as compared to 215,700 in the same period of 2020</w:t>
        </w:r>
      </w:hyperlink>
      <w:r w:rsidRPr="00092464">
        <w:rPr>
          <w:rFonts w:ascii="Arial" w:hAnsi="Arial"/>
          <w:sz w:val="22"/>
        </w:rPr>
        <w:t xml:space="preserve">. </w:t>
      </w:r>
    </w:p>
    <w:p w14:paraId="30143873" w14:textId="77777777" w:rsidR="00C41F6E" w:rsidRPr="00092464" w:rsidRDefault="00000000" w:rsidP="00092464">
      <w:pPr>
        <w:spacing w:after="200" w:line="276" w:lineRule="auto"/>
        <w:rPr>
          <w:rFonts w:ascii="Arial" w:hAnsi="Arial"/>
          <w:sz w:val="22"/>
        </w:rPr>
      </w:pPr>
      <w:r w:rsidRPr="00092464">
        <w:rPr>
          <w:rFonts w:ascii="Arial" w:hAnsi="Arial"/>
          <w:sz w:val="22"/>
        </w:rPr>
        <w:t>4.2</w:t>
      </w:r>
      <w:r w:rsidRPr="00092464">
        <w:rPr>
          <w:rFonts w:ascii="Arial" w:hAnsi="Arial"/>
          <w:sz w:val="22"/>
        </w:rPr>
        <w:tab/>
        <w:t xml:space="preserve"> The Report mentions recruitment, social security, and training incentive allocations amounting to MYR 1.2 billion as of December 2021. It also lists incentives to bring back single mothers, PWDs, and long-term unemployed individuals through tax breaks, higher hiring incentives, and income tax exemptions (para 16, Report). However, these initiatives do not take into consideration that the small and medium enterprise (SMEs) workforce are largely driven by women and  those who earn less than a taxable income would be unable to benefit.</w:t>
      </w:r>
      <w:r w:rsidRPr="00092464">
        <w:rPr>
          <w:rFonts w:ascii="Arial" w:hAnsi="Arial"/>
          <w:sz w:val="22"/>
          <w:vertAlign w:val="superscript"/>
        </w:rPr>
        <w:footnoteReference w:id="10"/>
      </w:r>
    </w:p>
    <w:p w14:paraId="12C66FDE" w14:textId="77777777" w:rsidR="00C41F6E" w:rsidRPr="00092464" w:rsidRDefault="00000000" w:rsidP="00092464">
      <w:pPr>
        <w:spacing w:after="200" w:line="276" w:lineRule="auto"/>
        <w:rPr>
          <w:rFonts w:ascii="Arial" w:hAnsi="Arial"/>
          <w:sz w:val="22"/>
        </w:rPr>
      </w:pPr>
      <w:r w:rsidRPr="00092464">
        <w:rPr>
          <w:rFonts w:ascii="Arial" w:hAnsi="Arial"/>
          <w:sz w:val="22"/>
        </w:rPr>
        <w:t>4.3</w:t>
      </w:r>
      <w:r w:rsidRPr="00092464">
        <w:rPr>
          <w:rFonts w:ascii="Arial" w:hAnsi="Arial"/>
          <w:sz w:val="22"/>
        </w:rPr>
        <w:tab/>
        <w:t xml:space="preserve">Despite the 30% quota, only 10.4% of firms in the country have women’s majority ownership and 26.3% of firms have women in top managerial positions. </w:t>
      </w:r>
    </w:p>
    <w:p w14:paraId="61BE5430" w14:textId="77777777" w:rsidR="00C41F6E" w:rsidRPr="00092464" w:rsidRDefault="00000000" w:rsidP="00092464">
      <w:pPr>
        <w:spacing w:after="200" w:line="276" w:lineRule="auto"/>
        <w:rPr>
          <w:rFonts w:ascii="Arial" w:hAnsi="Arial"/>
          <w:sz w:val="22"/>
        </w:rPr>
      </w:pPr>
      <w:r w:rsidRPr="00092464">
        <w:rPr>
          <w:rFonts w:ascii="Arial" w:hAnsi="Arial"/>
          <w:sz w:val="22"/>
        </w:rPr>
        <w:t>4.4</w:t>
      </w:r>
      <w:r w:rsidRPr="00092464">
        <w:rPr>
          <w:rFonts w:ascii="Arial" w:hAnsi="Arial"/>
          <w:sz w:val="22"/>
        </w:rPr>
        <w:tab/>
        <w:t xml:space="preserve">Women’s representation in Parliament and Cabinet remains below 30% (Report, paragraph 46). Even during the Pakatan Harapan administration, only 14% of parliamentary representatives were women (33/222). In the Senate, there were 12 women representatives out of 61 members (19.7%). The most recent GE15 resulted in 13.9% elected women MPs, </w:t>
      </w:r>
      <w:r w:rsidRPr="00092464">
        <w:rPr>
          <w:rFonts w:ascii="Arial" w:hAnsi="Arial"/>
          <w:sz w:val="22"/>
        </w:rPr>
        <w:lastRenderedPageBreak/>
        <w:t xml:space="preserve">and just 19.6% in the Senate. Women appointed to cabinet positions increased slightly, from 12.9% to 17.9%. </w:t>
      </w:r>
    </w:p>
    <w:p w14:paraId="5DB0ACA6" w14:textId="77777777" w:rsidR="00C41F6E" w:rsidRPr="00092464" w:rsidRDefault="00000000" w:rsidP="00092464">
      <w:pPr>
        <w:rPr>
          <w:rFonts w:ascii="Arial" w:hAnsi="Arial"/>
          <w:sz w:val="22"/>
        </w:rPr>
      </w:pPr>
      <w:r w:rsidRPr="00092464">
        <w:rPr>
          <w:rFonts w:ascii="Arial" w:hAnsi="Arial"/>
          <w:sz w:val="22"/>
        </w:rPr>
        <w:t>4.5</w:t>
      </w:r>
      <w:r w:rsidRPr="00092464">
        <w:rPr>
          <w:rFonts w:ascii="Arial" w:hAnsi="Arial"/>
          <w:sz w:val="22"/>
        </w:rPr>
        <w:tab/>
        <w:t xml:space="preserve">The state has yet to make the 30% quota for women candidates compulsory at Parliament and state assemblies. Commitment by political parties to institutionalise or implement the 30% quota has been lacklustre. Only two political parties in the coalition government have quotas in place to ensure women's political participation despite promises made by a majority of parties to field 30% women candidates. </w:t>
      </w:r>
    </w:p>
    <w:p w14:paraId="5DDC35C4" w14:textId="77777777" w:rsidR="00C41F6E" w:rsidRPr="00092464" w:rsidRDefault="00C41F6E" w:rsidP="00092464">
      <w:pPr>
        <w:rPr>
          <w:rFonts w:ascii="Arial" w:hAnsi="Arial"/>
          <w:sz w:val="22"/>
        </w:rPr>
      </w:pPr>
    </w:p>
    <w:p w14:paraId="64079BC2" w14:textId="77777777" w:rsidR="00C41F6E" w:rsidRPr="00092464" w:rsidRDefault="00000000" w:rsidP="00092464">
      <w:pPr>
        <w:rPr>
          <w:rFonts w:ascii="Arial" w:hAnsi="Arial"/>
          <w:sz w:val="22"/>
        </w:rPr>
      </w:pPr>
      <w:r w:rsidRPr="00092464">
        <w:rPr>
          <w:rFonts w:ascii="Arial" w:hAnsi="Arial"/>
          <w:sz w:val="22"/>
        </w:rPr>
        <w:t>4.6</w:t>
      </w:r>
      <w:r w:rsidRPr="00092464">
        <w:rPr>
          <w:rFonts w:ascii="Arial" w:hAnsi="Arial"/>
          <w:sz w:val="22"/>
        </w:rPr>
        <w:tab/>
        <w:t xml:space="preserve">There is limited progress in improving political participation of marginalised women. No trans women or Orang Asli women have ever been presented as candidates or elected to office. Only Indigenous women from the states of Sabah and Sarawak have been elected. </w:t>
      </w:r>
      <w:hyperlink r:id="rId13">
        <w:r w:rsidRPr="00092464">
          <w:rPr>
            <w:rFonts w:ascii="Arial" w:hAnsi="Arial"/>
            <w:color w:val="1155CC"/>
            <w:sz w:val="22"/>
            <w:u w:val="single"/>
          </w:rPr>
          <w:t xml:space="preserve">During the 15th General Elections (‘GE15’), the first woman with a disability was fielded by </w:t>
        </w:r>
      </w:hyperlink>
      <w:hyperlink r:id="rId14">
        <w:r w:rsidRPr="00092464">
          <w:rPr>
            <w:rFonts w:ascii="Arial" w:hAnsi="Arial"/>
            <w:color w:val="1155CC"/>
            <w:sz w:val="22"/>
            <w:u w:val="single"/>
          </w:rPr>
          <w:t>the People’s Justice Party</w:t>
        </w:r>
      </w:hyperlink>
      <w:r w:rsidRPr="00092464">
        <w:rPr>
          <w:rFonts w:ascii="Arial" w:hAnsi="Arial"/>
          <w:sz w:val="22"/>
        </w:rPr>
        <w:t>.</w:t>
      </w:r>
    </w:p>
    <w:p w14:paraId="12EF4F79" w14:textId="022A8B8D" w:rsidR="00C41F6E" w:rsidRDefault="00000000" w:rsidP="00092464">
      <w:pPr>
        <w:pStyle w:val="Heading4"/>
        <w:spacing w:line="240" w:lineRule="auto"/>
        <w:rPr>
          <w:rFonts w:ascii="Arial" w:eastAsia="Arial" w:hAnsi="Arial" w:cs="Arial"/>
          <w:b/>
          <w:bCs/>
          <w:sz w:val="22"/>
        </w:rPr>
      </w:pPr>
      <w:bookmarkStart w:id="19" w:name="_heading=h.13wp22ubuqjq" w:colFirst="0" w:colLast="0"/>
      <w:bookmarkEnd w:id="19"/>
      <w:r w:rsidRPr="00E30960">
        <w:rPr>
          <w:rFonts w:ascii="Arial" w:eastAsia="Arial" w:hAnsi="Arial" w:cs="Arial"/>
          <w:b/>
          <w:bCs/>
          <w:sz w:val="22"/>
        </w:rPr>
        <w:t>Critical Questions</w:t>
      </w:r>
    </w:p>
    <w:p w14:paraId="353854C0" w14:textId="77777777" w:rsidR="00E30960" w:rsidRPr="00E30960" w:rsidRDefault="00E30960" w:rsidP="00E30960"/>
    <w:p w14:paraId="01C8A150" w14:textId="77777777" w:rsidR="00C41F6E" w:rsidRPr="00092464" w:rsidRDefault="00000000" w:rsidP="00092464">
      <w:pPr>
        <w:rPr>
          <w:rFonts w:ascii="Arial" w:hAnsi="Arial"/>
          <w:sz w:val="22"/>
        </w:rPr>
      </w:pPr>
      <w:r w:rsidRPr="00092464">
        <w:rPr>
          <w:rFonts w:ascii="Arial" w:hAnsi="Arial"/>
          <w:sz w:val="22"/>
        </w:rPr>
        <w:t>Q8.</w:t>
      </w:r>
      <w:r w:rsidRPr="00092464">
        <w:rPr>
          <w:rFonts w:ascii="Arial" w:hAnsi="Arial"/>
          <w:sz w:val="22"/>
        </w:rPr>
        <w:tab/>
        <w:t xml:space="preserve">What measures will the state adopt to increase women’s LFPR particularly for those who do not earn a taxable income so that it is on par with the men’s LFPR of 80%? </w:t>
      </w:r>
    </w:p>
    <w:p w14:paraId="08E13110" w14:textId="77777777" w:rsidR="00C41F6E" w:rsidRPr="00092464" w:rsidRDefault="00C41F6E" w:rsidP="00092464">
      <w:pPr>
        <w:rPr>
          <w:rFonts w:ascii="Arial" w:hAnsi="Arial"/>
          <w:sz w:val="22"/>
        </w:rPr>
      </w:pPr>
    </w:p>
    <w:p w14:paraId="4223F2BB" w14:textId="77777777" w:rsidR="00C41F6E" w:rsidRPr="00092464" w:rsidRDefault="00000000" w:rsidP="00092464">
      <w:pPr>
        <w:rPr>
          <w:rFonts w:ascii="Arial" w:hAnsi="Arial"/>
          <w:sz w:val="22"/>
        </w:rPr>
      </w:pPr>
      <w:r w:rsidRPr="00092464">
        <w:rPr>
          <w:rFonts w:ascii="Arial" w:hAnsi="Arial"/>
          <w:sz w:val="22"/>
        </w:rPr>
        <w:t>Q9.</w:t>
      </w:r>
      <w:r w:rsidRPr="00092464">
        <w:rPr>
          <w:rFonts w:ascii="Arial" w:hAnsi="Arial"/>
          <w:sz w:val="22"/>
        </w:rPr>
        <w:tab/>
        <w:t>What awareness and enforcement measures are being taken to ensure that both public and private companies will adopt the state’s 30% policy to increase firms with women’s majority ownership, and women in top leadership positions? When will this be achieved and are there consequences for violating organisations?</w:t>
      </w:r>
    </w:p>
    <w:p w14:paraId="7823B814" w14:textId="77777777" w:rsidR="00C41F6E" w:rsidRPr="00092464" w:rsidRDefault="00C41F6E" w:rsidP="00092464">
      <w:pPr>
        <w:rPr>
          <w:rFonts w:ascii="Arial" w:hAnsi="Arial"/>
          <w:sz w:val="22"/>
        </w:rPr>
      </w:pPr>
    </w:p>
    <w:p w14:paraId="0D59C51D" w14:textId="77777777" w:rsidR="00C41F6E" w:rsidRPr="00092464" w:rsidRDefault="00000000" w:rsidP="00092464">
      <w:pPr>
        <w:rPr>
          <w:rFonts w:ascii="Arial" w:hAnsi="Arial"/>
          <w:sz w:val="22"/>
        </w:rPr>
      </w:pPr>
      <w:r w:rsidRPr="00092464">
        <w:rPr>
          <w:rFonts w:ascii="Arial" w:hAnsi="Arial"/>
          <w:sz w:val="22"/>
        </w:rPr>
        <w:t>Q10.</w:t>
      </w:r>
      <w:r w:rsidRPr="00092464">
        <w:rPr>
          <w:rFonts w:ascii="Arial" w:hAnsi="Arial"/>
          <w:sz w:val="22"/>
        </w:rPr>
        <w:tab/>
        <w:t xml:space="preserve">What measures will the state adopt to ensure inclusion and equal representation of ethnic minority, indigenous, LBT, and women with disabilities, in policy-making? Are there processes to monitor, evaluate and report the </w:t>
      </w:r>
      <w:proofErr w:type="spellStart"/>
      <w:r w:rsidRPr="00092464">
        <w:rPr>
          <w:rFonts w:ascii="Arial" w:hAnsi="Arial"/>
          <w:sz w:val="22"/>
        </w:rPr>
        <w:t>fulfillment</w:t>
      </w:r>
      <w:proofErr w:type="spellEnd"/>
      <w:r w:rsidRPr="00092464">
        <w:rPr>
          <w:rFonts w:ascii="Arial" w:hAnsi="Arial"/>
          <w:sz w:val="22"/>
        </w:rPr>
        <w:t xml:space="preserve"> of the 30% quota in the political sphere?</w:t>
      </w:r>
    </w:p>
    <w:p w14:paraId="369CBA9F" w14:textId="77777777" w:rsidR="00C41F6E" w:rsidRPr="00092464" w:rsidRDefault="00C41F6E" w:rsidP="00092464">
      <w:pPr>
        <w:rPr>
          <w:rFonts w:ascii="Arial" w:hAnsi="Arial"/>
          <w:sz w:val="22"/>
        </w:rPr>
      </w:pPr>
    </w:p>
    <w:p w14:paraId="460902AB" w14:textId="2D5C98BE" w:rsidR="00C41F6E" w:rsidRPr="003E6F1B" w:rsidRDefault="00000000" w:rsidP="003E6F1B">
      <w:pPr>
        <w:pStyle w:val="Heading2"/>
        <w:rPr>
          <w:rFonts w:ascii="Arial" w:eastAsia="Arial" w:hAnsi="Arial" w:cs="Arial"/>
          <w:b/>
          <w:bCs/>
          <w:sz w:val="24"/>
          <w:szCs w:val="24"/>
        </w:rPr>
      </w:pPr>
      <w:r w:rsidRPr="003E6F1B">
        <w:rPr>
          <w:rFonts w:ascii="Arial" w:eastAsia="Arial" w:hAnsi="Arial" w:cs="Arial"/>
          <w:b/>
          <w:bCs/>
          <w:sz w:val="24"/>
          <w:szCs w:val="24"/>
        </w:rPr>
        <w:t>Article 5: Gender stereotypes and discriminatory customs and practices</w:t>
      </w:r>
    </w:p>
    <w:p w14:paraId="62B835C2" w14:textId="77777777" w:rsidR="00C41F6E" w:rsidRPr="00E30960" w:rsidRDefault="00000000" w:rsidP="00092464">
      <w:pPr>
        <w:pStyle w:val="Heading3"/>
        <w:rPr>
          <w:rFonts w:ascii="Arial" w:eastAsia="Arial" w:hAnsi="Arial" w:cs="Arial"/>
          <w:i/>
          <w:iCs/>
          <w:sz w:val="22"/>
          <w:szCs w:val="22"/>
        </w:rPr>
      </w:pPr>
      <w:bookmarkStart w:id="20" w:name="_heading=h.s4fviv3yarny" w:colFirst="0" w:colLast="0"/>
      <w:bookmarkEnd w:id="20"/>
      <w:r w:rsidRPr="00E30960">
        <w:rPr>
          <w:rFonts w:ascii="Arial" w:eastAsia="Arial" w:hAnsi="Arial" w:cs="Arial"/>
          <w:i/>
          <w:iCs/>
          <w:sz w:val="22"/>
          <w:szCs w:val="22"/>
        </w:rPr>
        <w:t>Female Genital Mutilation</w:t>
      </w:r>
    </w:p>
    <w:p w14:paraId="4FF332EF" w14:textId="77777777" w:rsidR="00C41F6E" w:rsidRPr="00E30960" w:rsidRDefault="00C41F6E" w:rsidP="00092464">
      <w:pPr>
        <w:rPr>
          <w:rFonts w:ascii="Arial" w:hAnsi="Arial"/>
          <w:i/>
          <w:iCs/>
          <w:sz w:val="22"/>
        </w:rPr>
      </w:pPr>
    </w:p>
    <w:p w14:paraId="3FF5E466" w14:textId="77777777" w:rsidR="00C41F6E" w:rsidRPr="00092464" w:rsidRDefault="00000000" w:rsidP="00092464">
      <w:pPr>
        <w:rPr>
          <w:rFonts w:ascii="Arial" w:hAnsi="Arial"/>
          <w:sz w:val="22"/>
        </w:rPr>
      </w:pPr>
      <w:r w:rsidRPr="00092464">
        <w:rPr>
          <w:rFonts w:ascii="Arial" w:hAnsi="Arial"/>
          <w:sz w:val="22"/>
        </w:rPr>
        <w:t>5.1</w:t>
      </w:r>
      <w:r w:rsidRPr="00092464">
        <w:rPr>
          <w:rFonts w:ascii="Arial" w:hAnsi="Arial"/>
          <w:sz w:val="22"/>
        </w:rPr>
        <w:tab/>
        <w:t>The Fatwa made by the National Fatwa Council in 2009 on the requirement of FGM/C, continues to be the basis of FGM/C practices throughout the country. To date, the government has not made any known roundtable discussion to address this issue among CSOs advocating against such services. The practice of FGM/C is further exacerbated by the non-usage of anaesthesia, despite evidence that babies, regardless of age, are able to feel pain.</w:t>
      </w:r>
    </w:p>
    <w:p w14:paraId="5747F445" w14:textId="77777777" w:rsidR="00C41F6E" w:rsidRPr="00092464" w:rsidRDefault="00C41F6E" w:rsidP="00092464">
      <w:pPr>
        <w:rPr>
          <w:rFonts w:ascii="Arial" w:hAnsi="Arial"/>
          <w:sz w:val="22"/>
        </w:rPr>
      </w:pPr>
    </w:p>
    <w:p w14:paraId="7E72E563" w14:textId="77777777" w:rsidR="00C41F6E" w:rsidRPr="00E30960" w:rsidRDefault="00000000" w:rsidP="00092464">
      <w:pPr>
        <w:pStyle w:val="Heading3"/>
        <w:rPr>
          <w:rFonts w:ascii="Arial" w:eastAsia="Arial" w:hAnsi="Arial" w:cs="Arial"/>
          <w:i/>
          <w:iCs/>
          <w:sz w:val="22"/>
          <w:szCs w:val="22"/>
        </w:rPr>
      </w:pPr>
      <w:bookmarkStart w:id="21" w:name="_heading=h.qj8uf94ui3hq" w:colFirst="0" w:colLast="0"/>
      <w:bookmarkEnd w:id="21"/>
      <w:r w:rsidRPr="00E30960">
        <w:rPr>
          <w:rFonts w:ascii="Arial" w:eastAsia="Arial" w:hAnsi="Arial" w:cs="Arial"/>
          <w:i/>
          <w:iCs/>
          <w:sz w:val="22"/>
          <w:szCs w:val="22"/>
        </w:rPr>
        <w:t>Government perpetuation of gender stereotypes</w:t>
      </w:r>
    </w:p>
    <w:p w14:paraId="18D6FD81" w14:textId="77777777" w:rsidR="00C41F6E" w:rsidRPr="00E30960" w:rsidRDefault="00C41F6E" w:rsidP="00092464">
      <w:pPr>
        <w:rPr>
          <w:rFonts w:ascii="Arial" w:hAnsi="Arial"/>
          <w:i/>
          <w:iCs/>
          <w:sz w:val="22"/>
        </w:rPr>
      </w:pPr>
    </w:p>
    <w:p w14:paraId="0AC7FF21" w14:textId="77777777" w:rsidR="00C41F6E" w:rsidRPr="00092464" w:rsidRDefault="00000000" w:rsidP="00092464">
      <w:pPr>
        <w:rPr>
          <w:rFonts w:ascii="Arial" w:hAnsi="Arial"/>
          <w:sz w:val="22"/>
        </w:rPr>
      </w:pPr>
      <w:r w:rsidRPr="00092464">
        <w:rPr>
          <w:rFonts w:ascii="Arial" w:hAnsi="Arial"/>
          <w:sz w:val="22"/>
        </w:rPr>
        <w:t>5.2</w:t>
      </w:r>
      <w:r w:rsidRPr="00092464">
        <w:rPr>
          <w:rFonts w:ascii="Arial" w:hAnsi="Arial"/>
          <w:sz w:val="22"/>
        </w:rPr>
        <w:tab/>
        <w:t>The Ministry for Women made several remarks that reinforced gender stereotypes. During the pandemic, when domestic violence cases were fourfold, the ministry released a poster encouraging women to s</w:t>
      </w:r>
      <w:hyperlink r:id="rId15">
        <w:r w:rsidRPr="00092464">
          <w:rPr>
            <w:rFonts w:ascii="Arial" w:hAnsi="Arial"/>
            <w:color w:val="1155CC"/>
            <w:sz w:val="22"/>
            <w:u w:val="single"/>
          </w:rPr>
          <w:t>peak like ‘Doraemon’ to avoid domestic conflict</w:t>
        </w:r>
      </w:hyperlink>
      <w:r w:rsidRPr="00092464">
        <w:rPr>
          <w:rFonts w:ascii="Arial" w:hAnsi="Arial"/>
          <w:sz w:val="22"/>
        </w:rPr>
        <w:t xml:space="preserve">; gave ‘marital advice’ for male spouses </w:t>
      </w:r>
      <w:hyperlink r:id="rId16">
        <w:r w:rsidRPr="00092464">
          <w:rPr>
            <w:rFonts w:ascii="Arial" w:hAnsi="Arial"/>
            <w:color w:val="1155CC"/>
            <w:sz w:val="22"/>
            <w:u w:val="single"/>
          </w:rPr>
          <w:t>to apply “a gentle but firm physical touch”</w:t>
        </w:r>
      </w:hyperlink>
      <w:r w:rsidRPr="00092464">
        <w:rPr>
          <w:rFonts w:ascii="Arial" w:hAnsi="Arial"/>
          <w:sz w:val="22"/>
        </w:rPr>
        <w:t xml:space="preserve"> on their female spouses; as well as a promotional video chastising women "for always being late".</w:t>
      </w:r>
    </w:p>
    <w:p w14:paraId="3593507B" w14:textId="77777777" w:rsidR="00C41F6E" w:rsidRPr="00092464" w:rsidRDefault="00000000" w:rsidP="00092464">
      <w:pPr>
        <w:rPr>
          <w:rFonts w:ascii="Arial" w:hAnsi="Arial"/>
          <w:sz w:val="22"/>
        </w:rPr>
      </w:pPr>
      <w:r w:rsidRPr="00092464">
        <w:rPr>
          <w:rFonts w:ascii="Arial" w:hAnsi="Arial"/>
          <w:sz w:val="22"/>
        </w:rPr>
        <w:tab/>
      </w:r>
    </w:p>
    <w:p w14:paraId="6F836110" w14:textId="77777777" w:rsidR="00C41F6E" w:rsidRPr="00092464" w:rsidRDefault="00000000" w:rsidP="00092464">
      <w:pPr>
        <w:rPr>
          <w:rFonts w:ascii="Arial" w:hAnsi="Arial"/>
          <w:sz w:val="22"/>
        </w:rPr>
      </w:pPr>
      <w:r w:rsidRPr="00092464">
        <w:rPr>
          <w:rFonts w:ascii="Arial" w:hAnsi="Arial"/>
          <w:sz w:val="22"/>
        </w:rPr>
        <w:t>5.3</w:t>
      </w:r>
      <w:r w:rsidRPr="00092464">
        <w:rPr>
          <w:rFonts w:ascii="Arial" w:hAnsi="Arial"/>
          <w:sz w:val="22"/>
        </w:rPr>
        <w:tab/>
        <w:t xml:space="preserve">Attempts to regulate women’s bodies and attire remain pervasive. These </w:t>
      </w:r>
      <w:hyperlink r:id="rId17">
        <w:r w:rsidRPr="00092464">
          <w:rPr>
            <w:rFonts w:ascii="Arial" w:hAnsi="Arial"/>
            <w:color w:val="1155CC"/>
            <w:sz w:val="22"/>
            <w:u w:val="single"/>
          </w:rPr>
          <w:t xml:space="preserve">include restrictions on women’s entry into government offices, police stations  and hospitals </w:t>
        </w:r>
      </w:hyperlink>
      <w:r w:rsidRPr="00092464">
        <w:rPr>
          <w:rFonts w:ascii="Arial" w:hAnsi="Arial"/>
          <w:sz w:val="22"/>
        </w:rPr>
        <w:t xml:space="preserve"> based </w:t>
      </w:r>
      <w:r w:rsidRPr="00092464">
        <w:rPr>
          <w:rFonts w:ascii="Arial" w:hAnsi="Arial"/>
          <w:sz w:val="22"/>
        </w:rPr>
        <w:lastRenderedPageBreak/>
        <w:t xml:space="preserve">on clothing; forced withdrawal from </w:t>
      </w:r>
      <w:hyperlink r:id="rId18">
        <w:r w:rsidRPr="00092464">
          <w:rPr>
            <w:rFonts w:ascii="Arial" w:hAnsi="Arial"/>
            <w:color w:val="1155CC"/>
            <w:sz w:val="22"/>
            <w:u w:val="single"/>
          </w:rPr>
          <w:t>a chess tournament based on clothing</w:t>
        </w:r>
      </w:hyperlink>
      <w:r w:rsidRPr="00092464">
        <w:rPr>
          <w:rFonts w:ascii="Arial" w:hAnsi="Arial"/>
          <w:sz w:val="22"/>
        </w:rPr>
        <w:t xml:space="preserve">; remarks by politicians in Parliament on ‘revealing’ uniforms worn by Malaysian air stewardesses; as well as convocation ceremony dress code guidelines by a public university prohibiting traditional dress for ethnic Chinese and Indian women, which were subsequently removed.  </w:t>
      </w:r>
    </w:p>
    <w:p w14:paraId="1E2F8F9C" w14:textId="77777777" w:rsidR="00C41F6E" w:rsidRPr="00092464" w:rsidRDefault="00C41F6E" w:rsidP="00092464">
      <w:pPr>
        <w:rPr>
          <w:rFonts w:ascii="Arial" w:hAnsi="Arial"/>
          <w:sz w:val="22"/>
        </w:rPr>
      </w:pPr>
    </w:p>
    <w:p w14:paraId="21A5239F" w14:textId="7BC7D239" w:rsidR="00C41F6E" w:rsidRPr="00E30960" w:rsidRDefault="00000000" w:rsidP="00092464">
      <w:pPr>
        <w:spacing w:after="240" w:line="240" w:lineRule="auto"/>
        <w:rPr>
          <w:rFonts w:ascii="Arial" w:hAnsi="Arial"/>
          <w:i/>
          <w:sz w:val="22"/>
        </w:rPr>
      </w:pPr>
      <w:r w:rsidRPr="00E30960">
        <w:rPr>
          <w:rFonts w:ascii="Arial" w:hAnsi="Arial"/>
          <w:i/>
          <w:sz w:val="22"/>
        </w:rPr>
        <w:t xml:space="preserve">LBTI </w:t>
      </w:r>
      <w:r w:rsidR="00E30960">
        <w:rPr>
          <w:rFonts w:ascii="Arial" w:hAnsi="Arial"/>
          <w:i/>
          <w:sz w:val="22"/>
        </w:rPr>
        <w:t>WOMEN AND GIRLS</w:t>
      </w:r>
      <w:r w:rsidRPr="00E30960">
        <w:rPr>
          <w:rFonts w:ascii="Arial" w:hAnsi="Arial"/>
          <w:i/>
          <w:sz w:val="22"/>
        </w:rPr>
        <w:t xml:space="preserve"> </w:t>
      </w:r>
    </w:p>
    <w:p w14:paraId="57545D55" w14:textId="77777777" w:rsidR="00C41F6E" w:rsidRPr="00092464" w:rsidRDefault="00000000" w:rsidP="00092464">
      <w:pPr>
        <w:rPr>
          <w:rFonts w:ascii="Arial" w:hAnsi="Arial"/>
          <w:sz w:val="22"/>
        </w:rPr>
      </w:pPr>
      <w:r w:rsidRPr="00092464">
        <w:rPr>
          <w:rFonts w:ascii="Arial" w:hAnsi="Arial"/>
          <w:sz w:val="22"/>
        </w:rPr>
        <w:t>5.4</w:t>
      </w:r>
      <w:r w:rsidRPr="00092464">
        <w:rPr>
          <w:rFonts w:ascii="Arial" w:hAnsi="Arial"/>
          <w:sz w:val="22"/>
        </w:rPr>
        <w:tab/>
        <w:t xml:space="preserve">The state’s promotion of gender ideology, underscored by the exclusion, criminalization, and </w:t>
      </w:r>
      <w:proofErr w:type="spellStart"/>
      <w:r w:rsidRPr="00092464">
        <w:rPr>
          <w:rFonts w:ascii="Arial" w:hAnsi="Arial"/>
          <w:sz w:val="22"/>
        </w:rPr>
        <w:t>pathologization</w:t>
      </w:r>
      <w:proofErr w:type="spellEnd"/>
      <w:r w:rsidRPr="00092464">
        <w:rPr>
          <w:rFonts w:ascii="Arial" w:hAnsi="Arial"/>
          <w:sz w:val="22"/>
        </w:rPr>
        <w:t xml:space="preserve"> of LBTI women, has intensified. The Department of Islamic Development (JAKIM) promotes the harmful notion that LGBT people can be ‘changed’ using widely debunked harmful myths. In 2022, it published a rehabilitation manual for lesbian and gay persons. Among others, it promotes Islamic psychotherapy, including prayer and </w:t>
      </w:r>
      <w:proofErr w:type="spellStart"/>
      <w:r w:rsidRPr="00092464">
        <w:rPr>
          <w:rFonts w:ascii="Arial" w:hAnsi="Arial"/>
          <w:i/>
          <w:sz w:val="22"/>
        </w:rPr>
        <w:t>zikir</w:t>
      </w:r>
      <w:proofErr w:type="spellEnd"/>
      <w:r w:rsidRPr="00092464">
        <w:rPr>
          <w:rFonts w:ascii="Arial" w:hAnsi="Arial"/>
          <w:i/>
          <w:sz w:val="22"/>
          <w:vertAlign w:val="superscript"/>
        </w:rPr>
        <w:footnoteReference w:id="11"/>
      </w:r>
      <w:r w:rsidRPr="00092464">
        <w:rPr>
          <w:rFonts w:ascii="Arial" w:hAnsi="Arial"/>
          <w:sz w:val="22"/>
        </w:rPr>
        <w:t xml:space="preserve"> therapy. </w:t>
      </w:r>
      <w:r w:rsidRPr="00092464">
        <w:rPr>
          <w:rFonts w:ascii="Arial" w:hAnsi="Arial"/>
          <w:sz w:val="22"/>
          <w:highlight w:val="white"/>
        </w:rPr>
        <w:t>Concurrently, the state has banned LGBT books and films and investigated Malaysian LGBT-related content, reinforcing the state's binary gender ideology.</w:t>
      </w:r>
      <w:r w:rsidRPr="00092464">
        <w:rPr>
          <w:rFonts w:ascii="Arial" w:hAnsi="Arial"/>
          <w:sz w:val="22"/>
          <w:highlight w:val="white"/>
          <w:vertAlign w:val="superscript"/>
        </w:rPr>
        <w:footnoteReference w:id="12"/>
      </w:r>
    </w:p>
    <w:p w14:paraId="09B75199" w14:textId="77777777" w:rsidR="00E30960" w:rsidRDefault="00E30960" w:rsidP="00092464">
      <w:pPr>
        <w:pStyle w:val="Heading4"/>
        <w:spacing w:line="240" w:lineRule="auto"/>
        <w:rPr>
          <w:rFonts w:ascii="Arial" w:eastAsia="Arial" w:hAnsi="Arial" w:cs="Arial"/>
          <w:b/>
          <w:bCs/>
          <w:sz w:val="22"/>
        </w:rPr>
      </w:pPr>
      <w:bookmarkStart w:id="22" w:name="_heading=h.t0ewwtdoj1qp" w:colFirst="0" w:colLast="0"/>
      <w:bookmarkEnd w:id="22"/>
    </w:p>
    <w:p w14:paraId="5A8D6629" w14:textId="3BD8DD87" w:rsidR="00C41F6E" w:rsidRPr="00E30960" w:rsidRDefault="00000000" w:rsidP="00092464">
      <w:pPr>
        <w:pStyle w:val="Heading4"/>
        <w:spacing w:line="240" w:lineRule="auto"/>
        <w:rPr>
          <w:rFonts w:ascii="Arial" w:eastAsia="Arial" w:hAnsi="Arial" w:cs="Arial"/>
          <w:b/>
          <w:bCs/>
          <w:sz w:val="22"/>
        </w:rPr>
      </w:pPr>
      <w:r w:rsidRPr="00E30960">
        <w:rPr>
          <w:rFonts w:ascii="Arial" w:eastAsia="Arial" w:hAnsi="Arial" w:cs="Arial"/>
          <w:b/>
          <w:bCs/>
          <w:sz w:val="22"/>
        </w:rPr>
        <w:t>Critical Questions</w:t>
      </w:r>
    </w:p>
    <w:p w14:paraId="7D951C64" w14:textId="77777777" w:rsidR="00C41F6E" w:rsidRPr="00092464" w:rsidRDefault="00C41F6E" w:rsidP="00092464">
      <w:pPr>
        <w:rPr>
          <w:rFonts w:ascii="Arial" w:hAnsi="Arial"/>
          <w:sz w:val="22"/>
        </w:rPr>
      </w:pPr>
    </w:p>
    <w:p w14:paraId="5C6F1EF0" w14:textId="77777777" w:rsidR="00C41F6E" w:rsidRPr="00092464" w:rsidRDefault="00000000" w:rsidP="00092464">
      <w:pPr>
        <w:rPr>
          <w:rFonts w:ascii="Arial" w:hAnsi="Arial"/>
          <w:sz w:val="22"/>
        </w:rPr>
      </w:pPr>
      <w:r w:rsidRPr="00092464">
        <w:rPr>
          <w:rFonts w:ascii="Arial" w:hAnsi="Arial"/>
          <w:sz w:val="22"/>
        </w:rPr>
        <w:t>Q11.</w:t>
      </w:r>
      <w:r w:rsidRPr="00092464">
        <w:rPr>
          <w:rFonts w:ascii="Arial" w:hAnsi="Arial"/>
          <w:sz w:val="22"/>
        </w:rPr>
        <w:tab/>
        <w:t>What is the government’s plan to accelerate and strengthen understanding of substantive equality, gender stereotypes in the public and private spheres, including around the roles of men and women in the family, child-rearing, LBT women and women with disabilities among government actors at all levels? Will this plan be monitored and reviewed to effectively combat promotion of gender stereotypes?</w:t>
      </w:r>
    </w:p>
    <w:p w14:paraId="2E02CBB5" w14:textId="77777777" w:rsidR="00C41F6E" w:rsidRPr="00092464" w:rsidRDefault="00C41F6E" w:rsidP="00092464">
      <w:pPr>
        <w:pStyle w:val="Heading2"/>
        <w:rPr>
          <w:rFonts w:ascii="Arial" w:hAnsi="Arial" w:cs="Arial"/>
          <w:sz w:val="22"/>
          <w:szCs w:val="22"/>
        </w:rPr>
      </w:pPr>
    </w:p>
    <w:p w14:paraId="0C399632" w14:textId="51365B62" w:rsidR="00C41F6E" w:rsidRPr="003E6F1B" w:rsidRDefault="00000000" w:rsidP="003E6F1B">
      <w:pPr>
        <w:pStyle w:val="Heading2"/>
        <w:rPr>
          <w:rFonts w:ascii="Arial" w:eastAsia="Arial" w:hAnsi="Arial" w:cs="Arial"/>
          <w:b/>
          <w:bCs/>
          <w:sz w:val="24"/>
          <w:szCs w:val="24"/>
        </w:rPr>
      </w:pPr>
      <w:r w:rsidRPr="00E30960">
        <w:rPr>
          <w:rFonts w:ascii="Arial" w:eastAsia="Arial" w:hAnsi="Arial" w:cs="Arial"/>
          <w:b/>
          <w:bCs/>
          <w:sz w:val="24"/>
          <w:szCs w:val="24"/>
        </w:rPr>
        <w:t>Article 6: Trafficking and prostitution of women</w:t>
      </w:r>
      <w:bookmarkStart w:id="23" w:name="_heading=h.xi4hyeusqwdp" w:colFirst="0" w:colLast="0"/>
      <w:bookmarkEnd w:id="23"/>
    </w:p>
    <w:p w14:paraId="1843BEB4" w14:textId="77777777" w:rsidR="00C41F6E" w:rsidRPr="00E30960" w:rsidRDefault="00000000" w:rsidP="00092464">
      <w:pPr>
        <w:pStyle w:val="Heading3"/>
        <w:rPr>
          <w:rFonts w:ascii="Arial" w:eastAsia="Arial" w:hAnsi="Arial" w:cs="Arial"/>
          <w:i/>
          <w:iCs/>
          <w:sz w:val="22"/>
          <w:szCs w:val="22"/>
        </w:rPr>
      </w:pPr>
      <w:bookmarkStart w:id="24" w:name="_heading=h.bmuxyz5re22y" w:colFirst="0" w:colLast="0"/>
      <w:bookmarkEnd w:id="24"/>
      <w:r w:rsidRPr="00E30960">
        <w:rPr>
          <w:rFonts w:ascii="Arial" w:eastAsia="Arial" w:hAnsi="Arial" w:cs="Arial"/>
          <w:i/>
          <w:iCs/>
          <w:sz w:val="22"/>
          <w:szCs w:val="22"/>
        </w:rPr>
        <w:t>Compensation and payment of wages in arrears</w:t>
      </w:r>
    </w:p>
    <w:p w14:paraId="79F7BE41" w14:textId="77777777" w:rsidR="00C41F6E" w:rsidRPr="00092464" w:rsidRDefault="00000000" w:rsidP="00092464">
      <w:pPr>
        <w:shd w:val="clear" w:color="auto" w:fill="FFFFFF"/>
        <w:spacing w:before="240" w:line="276" w:lineRule="auto"/>
        <w:rPr>
          <w:rFonts w:ascii="Arial" w:hAnsi="Arial"/>
          <w:color w:val="222222"/>
          <w:sz w:val="22"/>
        </w:rPr>
      </w:pPr>
      <w:r w:rsidRPr="00092464">
        <w:rPr>
          <w:rFonts w:ascii="Arial" w:hAnsi="Arial"/>
          <w:color w:val="222222"/>
          <w:sz w:val="22"/>
        </w:rPr>
        <w:t>6.1</w:t>
      </w:r>
      <w:r w:rsidRPr="00092464">
        <w:rPr>
          <w:rFonts w:ascii="Arial" w:hAnsi="Arial"/>
          <w:color w:val="222222"/>
          <w:sz w:val="22"/>
        </w:rPr>
        <w:tab/>
        <w:t xml:space="preserve">Although NAPTIP 3.0 (para 40, Report) has included an action plan to explore a mechanism for compensation to TIP victims, no concrete progress has been made. </w:t>
      </w:r>
    </w:p>
    <w:p w14:paraId="304AACAA" w14:textId="77777777" w:rsidR="00C41F6E" w:rsidRPr="00E30960" w:rsidRDefault="00000000" w:rsidP="00092464">
      <w:pPr>
        <w:pStyle w:val="Heading3"/>
        <w:shd w:val="clear" w:color="auto" w:fill="FFFFFF"/>
        <w:spacing w:before="240" w:line="276" w:lineRule="auto"/>
        <w:rPr>
          <w:rFonts w:ascii="Arial" w:eastAsia="Arial" w:hAnsi="Arial" w:cs="Arial"/>
          <w:i/>
          <w:iCs/>
          <w:sz w:val="22"/>
          <w:szCs w:val="22"/>
        </w:rPr>
      </w:pPr>
      <w:bookmarkStart w:id="25" w:name="_heading=h.klm8xgm7qdkw" w:colFirst="0" w:colLast="0"/>
      <w:bookmarkEnd w:id="25"/>
      <w:r w:rsidRPr="00E30960">
        <w:rPr>
          <w:rFonts w:ascii="Arial" w:eastAsia="Arial" w:hAnsi="Arial" w:cs="Arial"/>
          <w:i/>
          <w:iCs/>
          <w:sz w:val="22"/>
          <w:szCs w:val="22"/>
        </w:rPr>
        <w:t>Victim identification</w:t>
      </w:r>
    </w:p>
    <w:p w14:paraId="3BCEC2B6" w14:textId="77777777" w:rsidR="00C41F6E" w:rsidRPr="00092464" w:rsidRDefault="00C41F6E" w:rsidP="00092464">
      <w:pPr>
        <w:spacing w:line="256" w:lineRule="auto"/>
        <w:rPr>
          <w:rFonts w:ascii="Arial" w:hAnsi="Arial"/>
          <w:sz w:val="22"/>
        </w:rPr>
      </w:pPr>
    </w:p>
    <w:p w14:paraId="06108880" w14:textId="77777777" w:rsidR="00C41F6E" w:rsidRPr="00092464" w:rsidRDefault="00000000" w:rsidP="00092464">
      <w:pPr>
        <w:spacing w:line="256" w:lineRule="auto"/>
        <w:rPr>
          <w:rFonts w:ascii="Arial" w:hAnsi="Arial"/>
          <w:sz w:val="22"/>
        </w:rPr>
      </w:pPr>
      <w:r w:rsidRPr="00092464">
        <w:rPr>
          <w:rFonts w:ascii="Arial" w:hAnsi="Arial"/>
          <w:sz w:val="22"/>
        </w:rPr>
        <w:t>6.2</w:t>
      </w:r>
      <w:r w:rsidRPr="00092464">
        <w:rPr>
          <w:rFonts w:ascii="Arial" w:hAnsi="Arial"/>
          <w:sz w:val="22"/>
        </w:rPr>
        <w:tab/>
        <w:t xml:space="preserve">The government identified fewer victims, and it did not systematically implement standard operating procedures (SOPs) countrywide to proactively identify victims during law enforcement raids or among vulnerable populations with whom authorities came in contact. </w:t>
      </w:r>
      <w:r w:rsidRPr="00092464">
        <w:rPr>
          <w:rFonts w:ascii="Arial" w:hAnsi="Arial"/>
          <w:sz w:val="22"/>
          <w:highlight w:val="white"/>
        </w:rPr>
        <w:t>Women remain the highest number of confirmed TIP victims averaging 65% from 2019-2021.</w:t>
      </w:r>
    </w:p>
    <w:p w14:paraId="43515BCF" w14:textId="77777777" w:rsidR="00C41F6E" w:rsidRPr="00092464" w:rsidRDefault="00C41F6E" w:rsidP="00092464">
      <w:pPr>
        <w:spacing w:line="256" w:lineRule="auto"/>
        <w:rPr>
          <w:rFonts w:ascii="Arial" w:hAnsi="Arial"/>
          <w:sz w:val="22"/>
        </w:rPr>
      </w:pPr>
    </w:p>
    <w:p w14:paraId="233BEEB7" w14:textId="77777777" w:rsidR="00C41F6E" w:rsidRPr="00092464" w:rsidRDefault="00000000" w:rsidP="00092464">
      <w:pPr>
        <w:spacing w:line="256" w:lineRule="auto"/>
        <w:rPr>
          <w:rFonts w:ascii="Arial" w:hAnsi="Arial"/>
          <w:sz w:val="22"/>
          <w:highlight w:val="white"/>
        </w:rPr>
      </w:pPr>
      <w:r w:rsidRPr="00092464">
        <w:rPr>
          <w:rFonts w:ascii="Arial" w:hAnsi="Arial"/>
          <w:sz w:val="22"/>
        </w:rPr>
        <w:t>6.3</w:t>
      </w:r>
      <w:r w:rsidRPr="00092464">
        <w:rPr>
          <w:rFonts w:ascii="Arial" w:hAnsi="Arial"/>
          <w:sz w:val="22"/>
        </w:rPr>
        <w:tab/>
      </w:r>
      <w:r w:rsidRPr="00092464">
        <w:rPr>
          <w:rFonts w:ascii="Arial" w:hAnsi="Arial"/>
          <w:sz w:val="22"/>
          <w:highlight w:val="white"/>
        </w:rPr>
        <w:t>The government continued to rely on victims to “self-identify” and did not implement SOPs to proactively identify victims during law enforcement raids or among vulnerable populations with whom authorities came in contact; thus, authorities continued to inappropriately penalize victims for immigration and prostitution violations.</w:t>
      </w:r>
    </w:p>
    <w:p w14:paraId="4D41A624" w14:textId="77777777" w:rsidR="00C41F6E" w:rsidRPr="00092464" w:rsidRDefault="00C41F6E" w:rsidP="00092464">
      <w:pPr>
        <w:spacing w:line="256" w:lineRule="auto"/>
        <w:rPr>
          <w:rFonts w:ascii="Arial" w:hAnsi="Arial"/>
          <w:color w:val="333333"/>
          <w:sz w:val="22"/>
          <w:highlight w:val="white"/>
        </w:rPr>
      </w:pPr>
    </w:p>
    <w:p w14:paraId="6A8F8DBD" w14:textId="77777777" w:rsidR="00C41F6E" w:rsidRPr="00092464" w:rsidRDefault="00000000" w:rsidP="00092464">
      <w:pPr>
        <w:spacing w:line="256" w:lineRule="auto"/>
        <w:rPr>
          <w:rFonts w:ascii="Arial" w:hAnsi="Arial"/>
          <w:sz w:val="22"/>
        </w:rPr>
      </w:pPr>
      <w:r w:rsidRPr="00092464">
        <w:rPr>
          <w:rFonts w:ascii="Arial" w:hAnsi="Arial"/>
          <w:color w:val="333333"/>
          <w:sz w:val="22"/>
          <w:highlight w:val="white"/>
        </w:rPr>
        <w:lastRenderedPageBreak/>
        <w:t>6.4</w:t>
      </w:r>
      <w:r w:rsidRPr="00092464">
        <w:rPr>
          <w:rFonts w:ascii="Arial" w:hAnsi="Arial"/>
          <w:color w:val="333333"/>
          <w:sz w:val="22"/>
          <w:highlight w:val="white"/>
        </w:rPr>
        <w:tab/>
      </w:r>
      <w:r w:rsidRPr="00092464">
        <w:rPr>
          <w:rFonts w:ascii="Arial" w:hAnsi="Arial"/>
          <w:sz w:val="22"/>
        </w:rPr>
        <w:t>The government had victim identification SOPs—formally adopted in April 2020—to guide law enforcement officers to identify victims during official duties. However, there is  a lack of understanding of the definition of trafficking. Prosecutors often interpreted trafficking under ATIPSOM to require the physical restraint of a victim to pursue trafficking charges, which meant prosecutors did not pursue many potential trafficking cases—especially in cases where coercion was a primary element used by traffickers.</w:t>
      </w:r>
    </w:p>
    <w:p w14:paraId="203D839F" w14:textId="77777777" w:rsidR="00C41F6E" w:rsidRPr="00092464" w:rsidRDefault="00C41F6E" w:rsidP="00092464">
      <w:pPr>
        <w:spacing w:line="256" w:lineRule="auto"/>
        <w:rPr>
          <w:rFonts w:ascii="Arial" w:hAnsi="Arial"/>
          <w:color w:val="333333"/>
          <w:sz w:val="22"/>
          <w:highlight w:val="white"/>
        </w:rPr>
      </w:pPr>
    </w:p>
    <w:p w14:paraId="72EF3D2E" w14:textId="77777777" w:rsidR="00C41F6E" w:rsidRPr="00092464" w:rsidRDefault="00000000" w:rsidP="00092464">
      <w:pPr>
        <w:spacing w:line="256" w:lineRule="auto"/>
        <w:rPr>
          <w:rFonts w:ascii="Arial" w:hAnsi="Arial"/>
          <w:sz w:val="22"/>
        </w:rPr>
      </w:pPr>
      <w:r w:rsidRPr="00092464">
        <w:rPr>
          <w:rFonts w:ascii="Arial" w:hAnsi="Arial"/>
          <w:color w:val="333333"/>
          <w:sz w:val="22"/>
          <w:highlight w:val="white"/>
        </w:rPr>
        <w:t>6.5</w:t>
      </w:r>
      <w:r w:rsidRPr="00092464">
        <w:rPr>
          <w:rFonts w:ascii="Arial" w:hAnsi="Arial"/>
          <w:color w:val="333333"/>
          <w:sz w:val="22"/>
          <w:highlight w:val="white"/>
        </w:rPr>
        <w:tab/>
      </w:r>
      <w:r w:rsidRPr="00092464">
        <w:rPr>
          <w:rFonts w:ascii="Arial" w:hAnsi="Arial"/>
          <w:sz w:val="22"/>
        </w:rPr>
        <w:t>The government has a total of 6 Victim Assistant Specialists. NGOs reported cases of VAS specialists not being allowed to join law enforcement during investigations or raids, which negatively impacted law enforcement’s ability to appropriately screen for and identify victims</w:t>
      </w:r>
    </w:p>
    <w:p w14:paraId="5F0B066B" w14:textId="77777777" w:rsidR="00C41F6E" w:rsidRPr="00092464" w:rsidRDefault="00000000" w:rsidP="00092464">
      <w:pPr>
        <w:spacing w:line="276" w:lineRule="auto"/>
        <w:ind w:left="720"/>
        <w:rPr>
          <w:rFonts w:ascii="Arial" w:hAnsi="Arial"/>
          <w:sz w:val="22"/>
        </w:rPr>
      </w:pPr>
      <w:r w:rsidRPr="00092464">
        <w:rPr>
          <w:rFonts w:ascii="Arial" w:hAnsi="Arial"/>
          <w:sz w:val="22"/>
        </w:rPr>
        <w:t xml:space="preserve"> </w:t>
      </w:r>
    </w:p>
    <w:p w14:paraId="450228B0" w14:textId="77777777" w:rsidR="00C41F6E" w:rsidRPr="00E30960" w:rsidRDefault="00000000" w:rsidP="00092464">
      <w:pPr>
        <w:pStyle w:val="Heading3"/>
        <w:spacing w:line="276" w:lineRule="auto"/>
        <w:rPr>
          <w:rFonts w:ascii="Arial" w:eastAsia="Arial" w:hAnsi="Arial" w:cs="Arial"/>
          <w:i/>
          <w:iCs/>
          <w:sz w:val="22"/>
          <w:szCs w:val="22"/>
        </w:rPr>
      </w:pPr>
      <w:bookmarkStart w:id="26" w:name="_heading=h.nwxu6598w0ko" w:colFirst="0" w:colLast="0"/>
      <w:bookmarkEnd w:id="26"/>
      <w:r w:rsidRPr="00E30960">
        <w:rPr>
          <w:rFonts w:ascii="Arial" w:eastAsia="Arial" w:hAnsi="Arial" w:cs="Arial"/>
          <w:i/>
          <w:iCs/>
          <w:sz w:val="22"/>
          <w:szCs w:val="22"/>
        </w:rPr>
        <w:t xml:space="preserve">Child Sexual Exploitation (emerging issue) </w:t>
      </w:r>
    </w:p>
    <w:p w14:paraId="7EDFBE67" w14:textId="77777777" w:rsidR="00C41F6E" w:rsidRPr="00092464" w:rsidRDefault="00C41F6E" w:rsidP="00092464">
      <w:pPr>
        <w:spacing w:line="276" w:lineRule="auto"/>
        <w:rPr>
          <w:rFonts w:ascii="Arial" w:hAnsi="Arial"/>
          <w:sz w:val="22"/>
        </w:rPr>
      </w:pPr>
    </w:p>
    <w:p w14:paraId="39AC001E" w14:textId="58C20DFB" w:rsidR="00C41F6E" w:rsidRPr="00092464" w:rsidRDefault="00000000" w:rsidP="00E30960">
      <w:pPr>
        <w:spacing w:line="276" w:lineRule="auto"/>
        <w:rPr>
          <w:rFonts w:ascii="Arial" w:hAnsi="Arial"/>
          <w:sz w:val="22"/>
        </w:rPr>
      </w:pPr>
      <w:r w:rsidRPr="00092464">
        <w:rPr>
          <w:rFonts w:ascii="Arial" w:hAnsi="Arial"/>
          <w:sz w:val="22"/>
        </w:rPr>
        <w:t>6.6</w:t>
      </w:r>
      <w:r w:rsidRPr="00092464">
        <w:rPr>
          <w:rFonts w:ascii="Arial" w:hAnsi="Arial"/>
          <w:sz w:val="22"/>
        </w:rPr>
        <w:tab/>
      </w:r>
      <w:r w:rsidRPr="00092464">
        <w:rPr>
          <w:rFonts w:ascii="Arial" w:hAnsi="Arial"/>
          <w:sz w:val="22"/>
          <w:highlight w:val="white"/>
        </w:rPr>
        <w:t xml:space="preserve">The Malaysian government reported in 2020 that children are vulnerable to online sexual exploitation, including some instances of child sex trafficking. </w:t>
      </w:r>
      <w:r w:rsidRPr="00092464">
        <w:rPr>
          <w:rFonts w:ascii="Arial" w:hAnsi="Arial"/>
          <w:sz w:val="22"/>
        </w:rPr>
        <w:t>4% or 100,000 children in Malaysia have experienced sexual exploitation. The activities involve being blackmailed to engage in sexual activities, having their sexual images shared without permission, or being coerced to engage in sexual activities through promises of money or gifts. Victims were most commonly girls aged 13-15.</w:t>
      </w:r>
      <w:r w:rsidRPr="00092464">
        <w:rPr>
          <w:rFonts w:ascii="Arial" w:hAnsi="Arial"/>
          <w:sz w:val="22"/>
          <w:vertAlign w:val="superscript"/>
        </w:rPr>
        <w:footnoteReference w:id="13"/>
      </w:r>
      <w:r w:rsidRPr="00092464">
        <w:rPr>
          <w:rFonts w:ascii="Arial" w:hAnsi="Arial"/>
          <w:sz w:val="22"/>
        </w:rPr>
        <w:t xml:space="preserve"> </w:t>
      </w:r>
      <w:bookmarkStart w:id="27" w:name="_heading=h.ie15k2i1svg7" w:colFirst="0" w:colLast="0"/>
      <w:bookmarkEnd w:id="27"/>
    </w:p>
    <w:p w14:paraId="168D433C" w14:textId="77777777" w:rsidR="00C41F6E" w:rsidRPr="00E30960" w:rsidRDefault="00000000" w:rsidP="00092464">
      <w:pPr>
        <w:pStyle w:val="Heading3"/>
        <w:spacing w:line="276" w:lineRule="auto"/>
        <w:rPr>
          <w:rFonts w:ascii="Arial" w:eastAsia="Arial" w:hAnsi="Arial" w:cs="Arial"/>
          <w:i/>
          <w:iCs/>
          <w:sz w:val="22"/>
          <w:szCs w:val="22"/>
        </w:rPr>
      </w:pPr>
      <w:bookmarkStart w:id="28" w:name="_heading=h.el9tvgstf8y7" w:colFirst="0" w:colLast="0"/>
      <w:bookmarkEnd w:id="28"/>
      <w:r w:rsidRPr="00E30960">
        <w:rPr>
          <w:rFonts w:ascii="Arial" w:eastAsia="Arial" w:hAnsi="Arial" w:cs="Arial"/>
          <w:i/>
          <w:iCs/>
          <w:sz w:val="22"/>
          <w:szCs w:val="22"/>
        </w:rPr>
        <w:t>Refugees, Stateless People, and Asylum Seekers</w:t>
      </w:r>
    </w:p>
    <w:p w14:paraId="44592173" w14:textId="77777777" w:rsidR="00C41F6E" w:rsidRPr="00E30960" w:rsidRDefault="00C41F6E" w:rsidP="00092464">
      <w:pPr>
        <w:rPr>
          <w:rFonts w:ascii="Arial" w:hAnsi="Arial"/>
          <w:i/>
          <w:iCs/>
          <w:sz w:val="22"/>
        </w:rPr>
      </w:pPr>
    </w:p>
    <w:p w14:paraId="2A650BA6" w14:textId="77777777" w:rsidR="00C41F6E" w:rsidRPr="00092464" w:rsidRDefault="00000000" w:rsidP="00092464">
      <w:pPr>
        <w:spacing w:line="276" w:lineRule="auto"/>
        <w:rPr>
          <w:rFonts w:ascii="Arial" w:hAnsi="Arial"/>
          <w:sz w:val="22"/>
        </w:rPr>
      </w:pPr>
      <w:r w:rsidRPr="00092464">
        <w:rPr>
          <w:rFonts w:ascii="Arial" w:hAnsi="Arial"/>
          <w:sz w:val="22"/>
        </w:rPr>
        <w:t>6.7</w:t>
      </w:r>
      <w:r w:rsidRPr="00092464">
        <w:rPr>
          <w:rFonts w:ascii="Arial" w:hAnsi="Arial"/>
          <w:sz w:val="22"/>
        </w:rPr>
        <w:tab/>
        <w:t>Many refugees incur large smuggling debts, which traffickers then use to exploit refugees. Traffickers exploit Malaysian orphans and children from refugee communities in forced begging. The government also did not adequately screen asylum-seekers and refugees for indicators of trafficking. The Report mentions amendments to Act 670 in 2022 to provide for extension of protection orders (PO) for foreign victims (paragraph 38), however, undocumented foreign trafficking victims had a considerably lower chance of obtaining POs compared with foreign victims who had valid immigration papers. Traffickers use fraudulent assistance to recruit Rohingya asylum-seekers out of refugee camps in Bangladesh and Indonesia to exploit them in Malaysia, including women and girls coerced to engage in commercial sex.</w:t>
      </w:r>
    </w:p>
    <w:p w14:paraId="017CB51A" w14:textId="77777777" w:rsidR="00C41F6E" w:rsidRPr="00092464" w:rsidRDefault="00C41F6E" w:rsidP="00092464">
      <w:pPr>
        <w:spacing w:line="276" w:lineRule="auto"/>
        <w:rPr>
          <w:rFonts w:ascii="Arial" w:hAnsi="Arial"/>
          <w:sz w:val="22"/>
        </w:rPr>
      </w:pPr>
    </w:p>
    <w:p w14:paraId="283C5919" w14:textId="279F4741" w:rsidR="00C41F6E" w:rsidRDefault="00000000" w:rsidP="00092464">
      <w:pPr>
        <w:pStyle w:val="Heading4"/>
        <w:spacing w:line="276" w:lineRule="auto"/>
        <w:rPr>
          <w:rFonts w:ascii="Arial" w:hAnsi="Arial" w:cs="Arial"/>
          <w:b/>
          <w:bCs/>
          <w:sz w:val="22"/>
        </w:rPr>
      </w:pPr>
      <w:bookmarkStart w:id="29" w:name="_heading=h.h6ij0h92df4f" w:colFirst="0" w:colLast="0"/>
      <w:bookmarkEnd w:id="29"/>
      <w:r w:rsidRPr="00E30960">
        <w:rPr>
          <w:rFonts w:ascii="Arial" w:hAnsi="Arial" w:cs="Arial"/>
          <w:b/>
          <w:bCs/>
          <w:sz w:val="22"/>
        </w:rPr>
        <w:t>Critical Questions</w:t>
      </w:r>
    </w:p>
    <w:p w14:paraId="247D3FC3" w14:textId="77777777" w:rsidR="00E30960" w:rsidRPr="00E30960" w:rsidRDefault="00E30960" w:rsidP="00E30960"/>
    <w:p w14:paraId="2E32E5D5" w14:textId="77777777" w:rsidR="00C41F6E" w:rsidRPr="00092464" w:rsidRDefault="00000000" w:rsidP="00092464">
      <w:pPr>
        <w:spacing w:line="276" w:lineRule="auto"/>
        <w:rPr>
          <w:rFonts w:ascii="Arial" w:hAnsi="Arial"/>
          <w:sz w:val="22"/>
        </w:rPr>
      </w:pPr>
      <w:r w:rsidRPr="00092464">
        <w:rPr>
          <w:rFonts w:ascii="Arial" w:hAnsi="Arial"/>
          <w:sz w:val="22"/>
        </w:rPr>
        <w:t>Q12.</w:t>
      </w:r>
      <w:r w:rsidRPr="00092464">
        <w:rPr>
          <w:rFonts w:ascii="Arial" w:hAnsi="Arial"/>
          <w:sz w:val="22"/>
        </w:rPr>
        <w:tab/>
      </w:r>
      <w:r w:rsidRPr="00092464">
        <w:rPr>
          <w:rFonts w:ascii="Arial" w:hAnsi="Arial"/>
          <w:sz w:val="22"/>
          <w:highlight w:val="white"/>
        </w:rPr>
        <w:t>What are the efforts towards rolling out, enforcement, training and monitoring of a standardised application of the National Guidelines on Human Trafficking Indicators (NGHTI) to ensure a uniformed approach towards prompt victim identification and referral to appropriate services and protection?</w:t>
      </w:r>
    </w:p>
    <w:p w14:paraId="71A7E1DF" w14:textId="77777777" w:rsidR="00C41F6E" w:rsidRPr="00092464" w:rsidRDefault="00C41F6E" w:rsidP="00092464">
      <w:pPr>
        <w:spacing w:line="276" w:lineRule="auto"/>
        <w:rPr>
          <w:rFonts w:ascii="Arial" w:hAnsi="Arial"/>
          <w:sz w:val="22"/>
        </w:rPr>
      </w:pPr>
    </w:p>
    <w:p w14:paraId="50912720" w14:textId="77777777" w:rsidR="00C41F6E" w:rsidRPr="00092464" w:rsidRDefault="00000000" w:rsidP="00092464">
      <w:pPr>
        <w:spacing w:line="276" w:lineRule="auto"/>
        <w:rPr>
          <w:rFonts w:ascii="Arial" w:hAnsi="Arial"/>
          <w:color w:val="222222"/>
          <w:sz w:val="22"/>
          <w:shd w:val="clear" w:color="auto" w:fill="F4CCCC"/>
        </w:rPr>
      </w:pPr>
      <w:r w:rsidRPr="00092464">
        <w:rPr>
          <w:rFonts w:ascii="Arial" w:hAnsi="Arial"/>
          <w:sz w:val="22"/>
        </w:rPr>
        <w:t>Q13.</w:t>
      </w:r>
      <w:r w:rsidRPr="00092464">
        <w:rPr>
          <w:rFonts w:ascii="Arial" w:hAnsi="Arial"/>
          <w:sz w:val="22"/>
        </w:rPr>
        <w:tab/>
        <w:t xml:space="preserve">Does the government have plans to develop a clear method on the computation of compensation and unpaid wages in arrears for TIP survivors? </w:t>
      </w:r>
    </w:p>
    <w:p w14:paraId="6B96E9A3" w14:textId="77777777" w:rsidR="00C41F6E" w:rsidRPr="00092464" w:rsidRDefault="00C41F6E" w:rsidP="00092464">
      <w:pPr>
        <w:pStyle w:val="Heading2"/>
        <w:rPr>
          <w:rFonts w:ascii="Arial" w:eastAsia="Arial" w:hAnsi="Arial" w:cs="Arial"/>
          <w:sz w:val="22"/>
          <w:szCs w:val="22"/>
        </w:rPr>
      </w:pPr>
    </w:p>
    <w:p w14:paraId="178E0B74"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t>Article 7: Participation in public life and decision-making</w:t>
      </w:r>
    </w:p>
    <w:p w14:paraId="3F5A10B8" w14:textId="77777777" w:rsidR="00C41F6E" w:rsidRPr="00E30960" w:rsidRDefault="00C41F6E" w:rsidP="00092464">
      <w:pPr>
        <w:rPr>
          <w:rFonts w:ascii="Arial" w:hAnsi="Arial"/>
          <w:b/>
          <w:bCs/>
          <w:sz w:val="24"/>
          <w:szCs w:val="24"/>
        </w:rPr>
      </w:pPr>
    </w:p>
    <w:p w14:paraId="7D4049CB" w14:textId="77777777" w:rsidR="00C41F6E" w:rsidRPr="00092464" w:rsidRDefault="00000000" w:rsidP="00092464">
      <w:pPr>
        <w:rPr>
          <w:rFonts w:ascii="Arial" w:hAnsi="Arial"/>
          <w:sz w:val="22"/>
        </w:rPr>
      </w:pPr>
      <w:r w:rsidRPr="00092464">
        <w:rPr>
          <w:rFonts w:ascii="Arial" w:hAnsi="Arial"/>
          <w:sz w:val="22"/>
        </w:rPr>
        <w:lastRenderedPageBreak/>
        <w:t>7.1</w:t>
      </w:r>
      <w:r w:rsidRPr="00092464">
        <w:rPr>
          <w:rFonts w:ascii="Arial" w:hAnsi="Arial"/>
          <w:sz w:val="22"/>
        </w:rPr>
        <w:tab/>
        <w:t xml:space="preserve">The political environment remains hostile to women. Women politicians are targets of gender-based violence, such as </w:t>
      </w:r>
      <w:hyperlink r:id="rId19">
        <w:r w:rsidRPr="00092464">
          <w:rPr>
            <w:rFonts w:ascii="Arial" w:hAnsi="Arial"/>
            <w:color w:val="1155CC"/>
            <w:sz w:val="22"/>
            <w:u w:val="single"/>
          </w:rPr>
          <w:t>online sexual harassment,</w:t>
        </w:r>
      </w:hyperlink>
      <w:r w:rsidRPr="00092464">
        <w:rPr>
          <w:rFonts w:ascii="Arial" w:hAnsi="Arial"/>
          <w:sz w:val="22"/>
        </w:rPr>
        <w:t xml:space="preserve"> </w:t>
      </w:r>
      <w:hyperlink r:id="rId20">
        <w:r w:rsidRPr="00092464">
          <w:rPr>
            <w:rFonts w:ascii="Arial" w:hAnsi="Arial"/>
            <w:color w:val="1155CC"/>
            <w:sz w:val="22"/>
            <w:u w:val="single"/>
          </w:rPr>
          <w:t>hate speech</w:t>
        </w:r>
      </w:hyperlink>
      <w:r w:rsidRPr="00092464">
        <w:rPr>
          <w:rFonts w:ascii="Arial" w:hAnsi="Arial"/>
          <w:sz w:val="22"/>
        </w:rPr>
        <w:t xml:space="preserve">, and </w:t>
      </w:r>
      <w:hyperlink r:id="rId21">
        <w:r w:rsidRPr="00092464">
          <w:rPr>
            <w:rFonts w:ascii="Arial" w:hAnsi="Arial"/>
            <w:color w:val="1155CC"/>
            <w:sz w:val="22"/>
            <w:u w:val="single"/>
          </w:rPr>
          <w:t>threats of rape and murder</w:t>
        </w:r>
      </w:hyperlink>
      <w:r w:rsidRPr="00092464">
        <w:rPr>
          <w:rFonts w:ascii="Arial" w:hAnsi="Arial"/>
          <w:sz w:val="22"/>
        </w:rPr>
        <w:t xml:space="preserve">. </w:t>
      </w:r>
      <w:hyperlink r:id="rId22">
        <w:r w:rsidRPr="00092464">
          <w:rPr>
            <w:rFonts w:ascii="Arial" w:hAnsi="Arial"/>
            <w:color w:val="1155CC"/>
            <w:sz w:val="22"/>
            <w:u w:val="single"/>
          </w:rPr>
          <w:t xml:space="preserve">During GE15, male politicians and the public made remarks reinforcing gender roles, including the perceived </w:t>
        </w:r>
        <w:proofErr w:type="spellStart"/>
        <w:r w:rsidRPr="00092464">
          <w:rPr>
            <w:rFonts w:ascii="Arial" w:hAnsi="Arial"/>
            <w:color w:val="1155CC"/>
            <w:sz w:val="22"/>
            <w:u w:val="single"/>
          </w:rPr>
          <w:t>incapabilities</w:t>
        </w:r>
        <w:proofErr w:type="spellEnd"/>
        <w:r w:rsidRPr="00092464">
          <w:rPr>
            <w:rFonts w:ascii="Arial" w:hAnsi="Arial"/>
            <w:color w:val="1155CC"/>
            <w:sz w:val="22"/>
            <w:u w:val="single"/>
          </w:rPr>
          <w:t xml:space="preserve"> of women as political leaders.</w:t>
        </w:r>
      </w:hyperlink>
      <w:r w:rsidRPr="00092464">
        <w:rPr>
          <w:rFonts w:ascii="Arial" w:hAnsi="Arial"/>
          <w:sz w:val="22"/>
        </w:rPr>
        <w:t xml:space="preserve"> Some media outlets ran coverage </w:t>
      </w:r>
      <w:hyperlink r:id="rId23">
        <w:r w:rsidRPr="00092464">
          <w:rPr>
            <w:rFonts w:ascii="Arial" w:hAnsi="Arial"/>
            <w:color w:val="1155CC"/>
            <w:sz w:val="22"/>
            <w:u w:val="single"/>
          </w:rPr>
          <w:t>focusing on women candidates’ physical appearances,  instead of their policy positions</w:t>
        </w:r>
      </w:hyperlink>
      <w:r w:rsidRPr="00092464">
        <w:rPr>
          <w:rFonts w:ascii="Arial" w:hAnsi="Arial"/>
          <w:sz w:val="22"/>
        </w:rPr>
        <w:t xml:space="preserve">. </w:t>
      </w:r>
    </w:p>
    <w:p w14:paraId="265BE09E" w14:textId="77777777" w:rsidR="00C41F6E" w:rsidRPr="00092464" w:rsidRDefault="00C41F6E" w:rsidP="00092464">
      <w:pPr>
        <w:rPr>
          <w:rFonts w:ascii="Arial" w:hAnsi="Arial"/>
          <w:sz w:val="22"/>
        </w:rPr>
      </w:pPr>
    </w:p>
    <w:p w14:paraId="2DC4C838" w14:textId="77777777" w:rsidR="00C41F6E" w:rsidRPr="00092464" w:rsidRDefault="00000000" w:rsidP="00092464">
      <w:pPr>
        <w:rPr>
          <w:rFonts w:ascii="Arial" w:hAnsi="Arial"/>
          <w:sz w:val="22"/>
        </w:rPr>
      </w:pPr>
      <w:r w:rsidRPr="00092464">
        <w:rPr>
          <w:rFonts w:ascii="Arial" w:hAnsi="Arial"/>
          <w:sz w:val="22"/>
        </w:rPr>
        <w:t>7.2</w:t>
      </w:r>
      <w:r w:rsidRPr="00092464">
        <w:rPr>
          <w:rFonts w:ascii="Arial" w:hAnsi="Arial"/>
          <w:sz w:val="22"/>
        </w:rPr>
        <w:tab/>
        <w:t xml:space="preserve">MPs continue to make sexist comments with inadequate or no consequences in parliament, despite its prohibition through an amendment to the rules of conduct. </w:t>
      </w:r>
      <w:hyperlink r:id="rId24">
        <w:r w:rsidRPr="00092464">
          <w:rPr>
            <w:rFonts w:ascii="Arial" w:hAnsi="Arial"/>
            <w:color w:val="1155CC"/>
            <w:sz w:val="22"/>
            <w:u w:val="single"/>
          </w:rPr>
          <w:t xml:space="preserve">The most recent in a July 2022 sitting relates to a remark against women politicians </w:t>
        </w:r>
      </w:hyperlink>
      <w:hyperlink r:id="rId25">
        <w:r w:rsidRPr="00092464">
          <w:rPr>
            <w:rFonts w:ascii="Arial" w:hAnsi="Arial"/>
            <w:color w:val="1155CC"/>
            <w:sz w:val="22"/>
            <w:u w:val="single"/>
          </w:rPr>
          <w:t>during</w:t>
        </w:r>
      </w:hyperlink>
      <w:hyperlink r:id="rId26">
        <w:r w:rsidRPr="00092464">
          <w:rPr>
            <w:rFonts w:ascii="Arial" w:hAnsi="Arial"/>
            <w:color w:val="1155CC"/>
            <w:sz w:val="22"/>
            <w:u w:val="single"/>
          </w:rPr>
          <w:t xml:space="preserve"> the second reading of the Anti-Sexual Harassment Act.</w:t>
        </w:r>
      </w:hyperlink>
      <w:r w:rsidRPr="00092464">
        <w:rPr>
          <w:rFonts w:ascii="Arial" w:hAnsi="Arial"/>
          <w:sz w:val="22"/>
        </w:rPr>
        <w:t xml:space="preserve"> Action was only taken by the Speaker a few days after the incident when Opposition Members of Parliament questioned the consequences.</w:t>
      </w:r>
    </w:p>
    <w:p w14:paraId="7141D65F" w14:textId="77777777" w:rsidR="00C41F6E" w:rsidRPr="00092464" w:rsidRDefault="00C41F6E" w:rsidP="00092464">
      <w:pPr>
        <w:rPr>
          <w:rFonts w:ascii="Arial" w:hAnsi="Arial"/>
          <w:sz w:val="22"/>
        </w:rPr>
      </w:pPr>
    </w:p>
    <w:p w14:paraId="05C9E60A" w14:textId="77777777" w:rsidR="00C41F6E" w:rsidRPr="00092464" w:rsidRDefault="00000000" w:rsidP="00092464">
      <w:pPr>
        <w:rPr>
          <w:rFonts w:ascii="Arial" w:hAnsi="Arial"/>
          <w:sz w:val="22"/>
        </w:rPr>
      </w:pPr>
      <w:r w:rsidRPr="00092464">
        <w:rPr>
          <w:rFonts w:ascii="Arial" w:hAnsi="Arial"/>
          <w:sz w:val="22"/>
        </w:rPr>
        <w:t>7.3</w:t>
      </w:r>
      <w:r w:rsidRPr="00092464">
        <w:rPr>
          <w:rFonts w:ascii="Arial" w:hAnsi="Arial"/>
          <w:sz w:val="22"/>
        </w:rPr>
        <w:tab/>
        <w:t xml:space="preserve">LGBT people are perceived and portrayed as ‘sinners’ </w:t>
      </w:r>
      <w:hyperlink r:id="rId27">
        <w:r w:rsidRPr="00092464">
          <w:rPr>
            <w:rFonts w:ascii="Arial" w:hAnsi="Arial"/>
            <w:color w:val="1155CC"/>
            <w:sz w:val="22"/>
            <w:u w:val="single"/>
          </w:rPr>
          <w:t xml:space="preserve">including by some media outlets that describe LGBT people as </w:t>
        </w:r>
      </w:hyperlink>
      <w:hyperlink r:id="rId28">
        <w:r w:rsidRPr="00092464">
          <w:rPr>
            <w:rFonts w:ascii="Arial" w:hAnsi="Arial"/>
            <w:i/>
            <w:color w:val="1155CC"/>
            <w:sz w:val="22"/>
            <w:u w:val="single"/>
          </w:rPr>
          <w:t>‘</w:t>
        </w:r>
        <w:proofErr w:type="spellStart"/>
        <w:r w:rsidRPr="00092464">
          <w:rPr>
            <w:rFonts w:ascii="Arial" w:hAnsi="Arial"/>
            <w:i/>
            <w:color w:val="1155CC"/>
            <w:sz w:val="22"/>
            <w:u w:val="single"/>
          </w:rPr>
          <w:t>komuniti</w:t>
        </w:r>
        <w:proofErr w:type="spellEnd"/>
        <w:r w:rsidRPr="00092464">
          <w:rPr>
            <w:rFonts w:ascii="Arial" w:hAnsi="Arial"/>
            <w:i/>
            <w:color w:val="1155CC"/>
            <w:sz w:val="22"/>
            <w:u w:val="single"/>
          </w:rPr>
          <w:t xml:space="preserve"> </w:t>
        </w:r>
        <w:proofErr w:type="spellStart"/>
        <w:r w:rsidRPr="00092464">
          <w:rPr>
            <w:rFonts w:ascii="Arial" w:hAnsi="Arial"/>
            <w:i/>
            <w:color w:val="1155CC"/>
            <w:sz w:val="22"/>
            <w:u w:val="single"/>
          </w:rPr>
          <w:t>songsang</w:t>
        </w:r>
        <w:proofErr w:type="spellEnd"/>
        <w:r w:rsidRPr="00092464">
          <w:rPr>
            <w:rFonts w:ascii="Arial" w:hAnsi="Arial"/>
            <w:i/>
            <w:color w:val="1155CC"/>
            <w:sz w:val="22"/>
            <w:u w:val="single"/>
          </w:rPr>
          <w:t xml:space="preserve">’ </w:t>
        </w:r>
      </w:hyperlink>
      <w:hyperlink r:id="rId29">
        <w:r w:rsidRPr="00092464">
          <w:rPr>
            <w:rFonts w:ascii="Arial" w:hAnsi="Arial"/>
            <w:color w:val="1155CC"/>
            <w:sz w:val="22"/>
            <w:u w:val="single"/>
          </w:rPr>
          <w:t>(deviant community)</w:t>
        </w:r>
      </w:hyperlink>
      <w:r w:rsidRPr="00092464">
        <w:rPr>
          <w:rFonts w:ascii="Arial" w:hAnsi="Arial"/>
          <w:sz w:val="22"/>
        </w:rPr>
        <w:t xml:space="preserve">. </w:t>
      </w:r>
      <w:hyperlink r:id="rId30">
        <w:r w:rsidRPr="00092464">
          <w:rPr>
            <w:rFonts w:ascii="Arial" w:hAnsi="Arial"/>
            <w:color w:val="1155CC"/>
            <w:sz w:val="22"/>
            <w:u w:val="single"/>
          </w:rPr>
          <w:t>Election hate speech monitoring found gender and sexual orientation related offensive speech was 3 times higher than religion and race related offensive speech.</w:t>
        </w:r>
      </w:hyperlink>
      <w:r w:rsidRPr="00092464">
        <w:rPr>
          <w:rFonts w:ascii="Arial" w:hAnsi="Arial"/>
          <w:sz w:val="22"/>
        </w:rPr>
        <w:t xml:space="preserve"> A </w:t>
      </w:r>
      <w:hyperlink r:id="rId31">
        <w:r w:rsidRPr="00092464">
          <w:rPr>
            <w:rFonts w:ascii="Arial" w:hAnsi="Arial"/>
            <w:color w:val="1155CC"/>
            <w:sz w:val="22"/>
            <w:u w:val="single"/>
          </w:rPr>
          <w:t>survey with 220 LGBT people</w:t>
        </w:r>
      </w:hyperlink>
      <w:r w:rsidRPr="00092464">
        <w:rPr>
          <w:rFonts w:ascii="Arial" w:hAnsi="Arial"/>
          <w:sz w:val="22"/>
        </w:rPr>
        <w:t xml:space="preserve"> found that over 50% faced increased stress due to media sensationalism and online hate speech. Meanwhile, about 39% experienced discrimination.</w:t>
      </w:r>
    </w:p>
    <w:p w14:paraId="2D8AB3EC" w14:textId="77777777" w:rsidR="00C41F6E" w:rsidRPr="00092464" w:rsidRDefault="00C41F6E" w:rsidP="00092464">
      <w:pPr>
        <w:rPr>
          <w:rFonts w:ascii="Arial" w:hAnsi="Arial"/>
          <w:sz w:val="22"/>
        </w:rPr>
      </w:pPr>
    </w:p>
    <w:p w14:paraId="3D25379B" w14:textId="77777777" w:rsidR="00C41F6E" w:rsidRPr="00092464" w:rsidRDefault="00C41F6E" w:rsidP="00092464">
      <w:pPr>
        <w:spacing w:line="240" w:lineRule="auto"/>
        <w:rPr>
          <w:rFonts w:ascii="Arial" w:hAnsi="Arial"/>
          <w:color w:val="111827"/>
          <w:sz w:val="22"/>
        </w:rPr>
      </w:pPr>
    </w:p>
    <w:p w14:paraId="57D30B1A" w14:textId="77777777" w:rsidR="00C41F6E" w:rsidRPr="00092464" w:rsidRDefault="00000000" w:rsidP="00092464">
      <w:pPr>
        <w:spacing w:line="240" w:lineRule="auto"/>
        <w:rPr>
          <w:rFonts w:ascii="Arial" w:hAnsi="Arial"/>
          <w:sz w:val="22"/>
        </w:rPr>
      </w:pPr>
      <w:r w:rsidRPr="00092464">
        <w:rPr>
          <w:rFonts w:ascii="Arial" w:hAnsi="Arial"/>
          <w:sz w:val="22"/>
        </w:rPr>
        <w:t>7.4</w:t>
      </w:r>
      <w:r w:rsidRPr="00092464">
        <w:rPr>
          <w:rFonts w:ascii="Arial" w:hAnsi="Arial"/>
          <w:sz w:val="22"/>
        </w:rPr>
        <w:tab/>
        <w:t>LBTI women’s freedom of assembly and public participation further declined. Between 2019 and 2022, at least five LGBT-related events</w:t>
      </w:r>
      <w:r w:rsidRPr="00092464">
        <w:rPr>
          <w:rFonts w:ascii="Arial" w:hAnsi="Arial"/>
          <w:sz w:val="22"/>
          <w:vertAlign w:val="superscript"/>
        </w:rPr>
        <w:footnoteReference w:id="14"/>
      </w:r>
      <w:r w:rsidRPr="00092464">
        <w:rPr>
          <w:rFonts w:ascii="Arial" w:hAnsi="Arial"/>
          <w:sz w:val="22"/>
        </w:rPr>
        <w:t xml:space="preserve"> were reportedly intimidated, raided or disrupted by the police and/or the Islamic Department. Trans women were targeted by the agencies, with Muslims being subjected to investigation under the state Syariah laws. </w:t>
      </w:r>
    </w:p>
    <w:p w14:paraId="5528FA93" w14:textId="77777777" w:rsidR="00E30960" w:rsidRDefault="00E30960" w:rsidP="00092464">
      <w:pPr>
        <w:pStyle w:val="Heading4"/>
        <w:rPr>
          <w:rFonts w:ascii="Arial" w:eastAsia="Arial" w:hAnsi="Arial" w:cs="Arial"/>
          <w:sz w:val="22"/>
        </w:rPr>
      </w:pPr>
      <w:bookmarkStart w:id="30" w:name="_heading=h.2o8x454pn0xn" w:colFirst="0" w:colLast="0"/>
      <w:bookmarkEnd w:id="30"/>
    </w:p>
    <w:p w14:paraId="565DBD76" w14:textId="2021BA23" w:rsidR="00C41F6E" w:rsidRDefault="00000000" w:rsidP="00092464">
      <w:pPr>
        <w:pStyle w:val="Heading4"/>
        <w:rPr>
          <w:rFonts w:ascii="Arial" w:eastAsia="Arial" w:hAnsi="Arial" w:cs="Arial"/>
          <w:b/>
          <w:bCs/>
          <w:sz w:val="22"/>
        </w:rPr>
      </w:pPr>
      <w:r w:rsidRPr="00E30960">
        <w:rPr>
          <w:rFonts w:ascii="Arial" w:eastAsia="Arial" w:hAnsi="Arial" w:cs="Arial"/>
          <w:b/>
          <w:bCs/>
          <w:sz w:val="22"/>
        </w:rPr>
        <w:t>Critical Questions</w:t>
      </w:r>
    </w:p>
    <w:p w14:paraId="48EE974C" w14:textId="77777777" w:rsidR="00E30960" w:rsidRPr="00E30960" w:rsidRDefault="00E30960" w:rsidP="00E30960"/>
    <w:p w14:paraId="653A299D" w14:textId="77777777" w:rsidR="00C41F6E" w:rsidRPr="00092464" w:rsidRDefault="00000000" w:rsidP="00092464">
      <w:pPr>
        <w:rPr>
          <w:rFonts w:ascii="Arial" w:hAnsi="Arial"/>
          <w:sz w:val="22"/>
        </w:rPr>
      </w:pPr>
      <w:r w:rsidRPr="00092464">
        <w:rPr>
          <w:rFonts w:ascii="Arial" w:hAnsi="Arial"/>
          <w:sz w:val="22"/>
        </w:rPr>
        <w:t>Q14.</w:t>
      </w:r>
      <w:r w:rsidRPr="00092464">
        <w:rPr>
          <w:rFonts w:ascii="Arial" w:hAnsi="Arial"/>
          <w:sz w:val="22"/>
        </w:rPr>
        <w:tab/>
        <w:t>What are the government's plans to ensure enforcement of mechanisms such as Parliamentary Select Committees to create an environment that is zero-tolerant against sexism? How does the government plan to hold members of Parliament and all government actors accountable for gender-discriminatory remarks?</w:t>
      </w:r>
    </w:p>
    <w:p w14:paraId="035B4C66" w14:textId="77777777" w:rsidR="00C41F6E" w:rsidRPr="00092464" w:rsidRDefault="00C41F6E" w:rsidP="00092464">
      <w:pPr>
        <w:pStyle w:val="Heading2"/>
        <w:rPr>
          <w:rFonts w:ascii="Arial" w:eastAsia="Arial" w:hAnsi="Arial" w:cs="Arial"/>
          <w:sz w:val="22"/>
          <w:szCs w:val="22"/>
        </w:rPr>
      </w:pPr>
    </w:p>
    <w:p w14:paraId="608E88CB"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t xml:space="preserve">Article 9: Citizenship </w:t>
      </w:r>
    </w:p>
    <w:p w14:paraId="5722C63C" w14:textId="77777777" w:rsidR="00C41F6E" w:rsidRPr="00092464" w:rsidRDefault="00C41F6E" w:rsidP="00092464">
      <w:pPr>
        <w:rPr>
          <w:rFonts w:ascii="Arial" w:hAnsi="Arial"/>
          <w:sz w:val="22"/>
        </w:rPr>
      </w:pPr>
    </w:p>
    <w:p w14:paraId="6C1BDA9D" w14:textId="77777777" w:rsidR="00C41F6E" w:rsidRPr="00092464" w:rsidRDefault="00000000" w:rsidP="00092464">
      <w:pPr>
        <w:spacing w:after="200" w:line="276" w:lineRule="auto"/>
        <w:rPr>
          <w:rFonts w:ascii="Arial" w:hAnsi="Arial"/>
          <w:sz w:val="22"/>
        </w:rPr>
      </w:pPr>
      <w:r w:rsidRPr="00092464">
        <w:rPr>
          <w:rFonts w:ascii="Arial" w:hAnsi="Arial"/>
          <w:sz w:val="22"/>
        </w:rPr>
        <w:t>9.1</w:t>
      </w:r>
      <w:r w:rsidRPr="00092464">
        <w:rPr>
          <w:rFonts w:ascii="Arial" w:hAnsi="Arial"/>
          <w:sz w:val="22"/>
        </w:rPr>
        <w:tab/>
        <w:t xml:space="preserve">The appeal to confer citizenship on children born outside the country to Malaysian mothers is chronicled under the section on </w:t>
      </w:r>
      <w:hyperlink w:anchor="_heading=h.rz92yveoy3fc">
        <w:r w:rsidRPr="00092464">
          <w:rPr>
            <w:rFonts w:ascii="Arial" w:hAnsi="Arial"/>
            <w:color w:val="1155CC"/>
            <w:sz w:val="22"/>
            <w:u w:val="single"/>
          </w:rPr>
          <w:t>Article 2</w:t>
        </w:r>
      </w:hyperlink>
      <w:r w:rsidRPr="00092464">
        <w:rPr>
          <w:rFonts w:ascii="Arial" w:hAnsi="Arial"/>
          <w:sz w:val="22"/>
        </w:rPr>
        <w:t>.</w:t>
      </w:r>
    </w:p>
    <w:p w14:paraId="039EABAE" w14:textId="77777777" w:rsidR="00C41F6E" w:rsidRPr="00E30960" w:rsidRDefault="00000000" w:rsidP="00092464">
      <w:pPr>
        <w:pStyle w:val="Heading3"/>
        <w:rPr>
          <w:rFonts w:ascii="Arial" w:eastAsia="Arial" w:hAnsi="Arial" w:cs="Arial"/>
          <w:i/>
          <w:iCs/>
          <w:sz w:val="22"/>
          <w:szCs w:val="22"/>
        </w:rPr>
      </w:pPr>
      <w:bookmarkStart w:id="31" w:name="_heading=h.j191f0ufc5dr" w:colFirst="0" w:colLast="0"/>
      <w:bookmarkEnd w:id="31"/>
      <w:r w:rsidRPr="00E30960">
        <w:rPr>
          <w:rFonts w:ascii="Arial" w:eastAsia="Arial" w:hAnsi="Arial" w:cs="Arial"/>
          <w:i/>
          <w:iCs/>
          <w:sz w:val="22"/>
          <w:szCs w:val="22"/>
        </w:rPr>
        <w:t xml:space="preserve">Statelessness </w:t>
      </w:r>
    </w:p>
    <w:p w14:paraId="792CE263" w14:textId="77777777" w:rsidR="00C41F6E" w:rsidRPr="00092464" w:rsidRDefault="00C41F6E" w:rsidP="00092464">
      <w:pPr>
        <w:rPr>
          <w:rFonts w:ascii="Arial" w:hAnsi="Arial"/>
          <w:sz w:val="22"/>
        </w:rPr>
      </w:pPr>
    </w:p>
    <w:p w14:paraId="49F5E84D" w14:textId="77777777" w:rsidR="00C41F6E" w:rsidRPr="00092464" w:rsidRDefault="00000000" w:rsidP="00092464">
      <w:pPr>
        <w:rPr>
          <w:rFonts w:ascii="Arial" w:hAnsi="Arial"/>
          <w:sz w:val="22"/>
        </w:rPr>
      </w:pPr>
      <w:r w:rsidRPr="00092464">
        <w:rPr>
          <w:rFonts w:ascii="Arial" w:hAnsi="Arial"/>
          <w:sz w:val="22"/>
        </w:rPr>
        <w:t>9.2</w:t>
      </w:r>
      <w:r w:rsidRPr="00092464">
        <w:rPr>
          <w:rFonts w:ascii="Arial" w:hAnsi="Arial"/>
          <w:sz w:val="22"/>
        </w:rPr>
        <w:tab/>
        <w:t xml:space="preserve">Malaysia is not a state party to the 1954 Convention Relating to the Status of Stateless Persons and 1961 Convention on the Reduction of Statelessness. </w:t>
      </w:r>
    </w:p>
    <w:p w14:paraId="79DDA105" w14:textId="77777777" w:rsidR="00C41F6E" w:rsidRPr="00092464" w:rsidRDefault="00C41F6E" w:rsidP="00092464">
      <w:pPr>
        <w:rPr>
          <w:rFonts w:ascii="Arial" w:hAnsi="Arial"/>
          <w:sz w:val="22"/>
        </w:rPr>
      </w:pPr>
    </w:p>
    <w:p w14:paraId="46772EDB" w14:textId="77777777" w:rsidR="00C41F6E" w:rsidRPr="00092464" w:rsidRDefault="00000000" w:rsidP="00092464">
      <w:pPr>
        <w:rPr>
          <w:rFonts w:ascii="Arial" w:hAnsi="Arial"/>
          <w:sz w:val="22"/>
        </w:rPr>
      </w:pPr>
      <w:r w:rsidRPr="00092464">
        <w:rPr>
          <w:rFonts w:ascii="Arial" w:hAnsi="Arial"/>
          <w:sz w:val="22"/>
        </w:rPr>
        <w:lastRenderedPageBreak/>
        <w:t>9.3</w:t>
      </w:r>
      <w:r w:rsidRPr="00092464">
        <w:rPr>
          <w:rFonts w:ascii="Arial" w:hAnsi="Arial"/>
          <w:sz w:val="22"/>
        </w:rPr>
        <w:tab/>
        <w:t>The Royal Malaysian Police (PDRM) statistics revealed that between 2018 and 2021, at least 10 babies were abandoned within a month. The impossibility of tracing their birth mother renders these children stateless.</w:t>
      </w:r>
      <w:r w:rsidRPr="00092464">
        <w:rPr>
          <w:rFonts w:ascii="Arial" w:hAnsi="Arial"/>
          <w:sz w:val="22"/>
          <w:vertAlign w:val="superscript"/>
        </w:rPr>
        <w:footnoteReference w:id="15"/>
      </w:r>
    </w:p>
    <w:p w14:paraId="654D7314" w14:textId="77777777" w:rsidR="00C41F6E" w:rsidRPr="00092464" w:rsidRDefault="00C41F6E" w:rsidP="00092464">
      <w:pPr>
        <w:rPr>
          <w:rFonts w:ascii="Arial" w:hAnsi="Arial"/>
          <w:sz w:val="22"/>
        </w:rPr>
      </w:pPr>
    </w:p>
    <w:p w14:paraId="6744B934" w14:textId="77777777" w:rsidR="00C41F6E" w:rsidRPr="00092464" w:rsidRDefault="00000000" w:rsidP="00092464">
      <w:pPr>
        <w:rPr>
          <w:rFonts w:ascii="Arial" w:hAnsi="Arial"/>
          <w:sz w:val="22"/>
        </w:rPr>
      </w:pPr>
      <w:r w:rsidRPr="00092464">
        <w:rPr>
          <w:rFonts w:ascii="Arial" w:hAnsi="Arial"/>
          <w:sz w:val="22"/>
        </w:rPr>
        <w:t>9.4</w:t>
      </w:r>
      <w:r w:rsidRPr="00092464">
        <w:rPr>
          <w:rFonts w:ascii="Arial" w:hAnsi="Arial"/>
          <w:sz w:val="22"/>
        </w:rPr>
        <w:tab/>
        <w:t>Children are at high risk of statelessness in cases where Malaysian mothers are unwilling to acknowledge children born out of wedlock and to be present at the National Registration Department to facilitate birth registration.</w:t>
      </w:r>
      <w:r w:rsidRPr="00092464">
        <w:rPr>
          <w:rFonts w:ascii="Arial" w:hAnsi="Arial"/>
          <w:sz w:val="22"/>
          <w:vertAlign w:val="superscript"/>
        </w:rPr>
        <w:footnoteReference w:id="16"/>
      </w:r>
    </w:p>
    <w:p w14:paraId="5281F228" w14:textId="77777777" w:rsidR="00C41F6E" w:rsidRPr="00092464" w:rsidRDefault="00C41F6E" w:rsidP="00092464">
      <w:pPr>
        <w:rPr>
          <w:rFonts w:ascii="Arial" w:hAnsi="Arial"/>
          <w:sz w:val="22"/>
        </w:rPr>
      </w:pPr>
    </w:p>
    <w:p w14:paraId="5E33C272" w14:textId="77777777" w:rsidR="00C41F6E" w:rsidRPr="00092464" w:rsidRDefault="00000000" w:rsidP="00092464">
      <w:pPr>
        <w:rPr>
          <w:rFonts w:ascii="Arial" w:hAnsi="Arial"/>
          <w:sz w:val="22"/>
        </w:rPr>
      </w:pPr>
      <w:r w:rsidRPr="00092464">
        <w:rPr>
          <w:rFonts w:ascii="Arial" w:hAnsi="Arial"/>
          <w:sz w:val="22"/>
        </w:rPr>
        <w:t>9.5</w:t>
      </w:r>
      <w:r w:rsidRPr="00092464">
        <w:rPr>
          <w:rFonts w:ascii="Arial" w:hAnsi="Arial"/>
          <w:sz w:val="22"/>
        </w:rPr>
        <w:tab/>
        <w:t xml:space="preserve">Obtaining citizenship for stateless adopted children remains a challenge, and worsened by improper adoption practices by parents desperate to have a child of their own. Between 2018 to 30 June 2020, 4,612 citizenship applications were registered under Article 15A, by adoptive parents attempting to secure citizenship.   </w:t>
      </w:r>
    </w:p>
    <w:p w14:paraId="02B7680F" w14:textId="77777777" w:rsidR="00C41F6E" w:rsidRPr="00092464" w:rsidRDefault="00C41F6E" w:rsidP="00092464">
      <w:pPr>
        <w:rPr>
          <w:rFonts w:ascii="Arial" w:hAnsi="Arial"/>
          <w:sz w:val="22"/>
        </w:rPr>
      </w:pPr>
    </w:p>
    <w:p w14:paraId="511FB65B" w14:textId="77777777" w:rsidR="00C41F6E" w:rsidRPr="00E30960" w:rsidRDefault="00000000" w:rsidP="00092464">
      <w:pPr>
        <w:pStyle w:val="Heading3"/>
        <w:shd w:val="clear" w:color="auto" w:fill="FFFFFF"/>
        <w:spacing w:after="240"/>
        <w:ind w:left="-90"/>
        <w:rPr>
          <w:rFonts w:ascii="Arial" w:eastAsia="Arial" w:hAnsi="Arial" w:cs="Arial"/>
          <w:i/>
          <w:iCs/>
          <w:sz w:val="22"/>
          <w:szCs w:val="22"/>
          <w:highlight w:val="white"/>
          <w:vertAlign w:val="superscript"/>
        </w:rPr>
      </w:pPr>
      <w:bookmarkStart w:id="32" w:name="_heading=h.5rlqfdo6zl4l" w:colFirst="0" w:colLast="0"/>
      <w:bookmarkEnd w:id="32"/>
      <w:r w:rsidRPr="00E30960">
        <w:rPr>
          <w:rFonts w:ascii="Arial" w:eastAsia="Arial" w:hAnsi="Arial" w:cs="Arial"/>
          <w:i/>
          <w:iCs/>
          <w:sz w:val="22"/>
          <w:szCs w:val="22"/>
        </w:rPr>
        <w:t xml:space="preserve">Discrimination against stateless women and girls </w:t>
      </w:r>
    </w:p>
    <w:p w14:paraId="48A38FA9" w14:textId="77777777" w:rsidR="00C41F6E" w:rsidRPr="00092464" w:rsidRDefault="00000000" w:rsidP="00092464">
      <w:pPr>
        <w:spacing w:line="256" w:lineRule="auto"/>
        <w:rPr>
          <w:rFonts w:ascii="Arial" w:hAnsi="Arial"/>
          <w:sz w:val="22"/>
          <w:highlight w:val="white"/>
          <w:vertAlign w:val="superscript"/>
        </w:rPr>
      </w:pPr>
      <w:r w:rsidRPr="00092464">
        <w:rPr>
          <w:rFonts w:ascii="Arial" w:hAnsi="Arial"/>
          <w:sz w:val="22"/>
          <w:highlight w:val="white"/>
        </w:rPr>
        <w:t>9.6</w:t>
      </w:r>
      <w:r w:rsidRPr="00092464">
        <w:rPr>
          <w:rFonts w:ascii="Arial" w:hAnsi="Arial"/>
          <w:sz w:val="22"/>
          <w:highlight w:val="white"/>
        </w:rPr>
        <w:tab/>
        <w:t xml:space="preserve">Children of stateless women are treated as children born out of wedlock. In March 2019, the Deputy Home Minister said illegitimate children born to a Malaysian father and a non-Malaysian mother could apply for citizenship via Article 15A of the Federal Constitution, but the application must be done before children turn 21. This is further compounded by the long citizenship application process that could stretch up to 5 years, during which time the stateless mother and children continue to suffer with no access to citizenship. </w:t>
      </w:r>
      <w:hyperlink r:id="rId32">
        <w:r w:rsidRPr="00092464">
          <w:rPr>
            <w:rFonts w:ascii="Arial" w:hAnsi="Arial"/>
            <w:color w:val="1155CC"/>
            <w:sz w:val="22"/>
            <w:highlight w:val="white"/>
            <w:u w:val="single"/>
          </w:rPr>
          <w:t>The wait is often futile, and results in rejections without reasons provided by the government.</w:t>
        </w:r>
      </w:hyperlink>
      <w:r w:rsidRPr="00092464">
        <w:rPr>
          <w:rFonts w:ascii="Arial" w:hAnsi="Arial"/>
          <w:sz w:val="22"/>
          <w:highlight w:val="white"/>
        </w:rPr>
        <w:t xml:space="preserve"> Based on National Registration Department (NRD) records for 2015 to 2021, 15A applications have a low approval rate of 7%. The total applications for Malaysian citizenship under Article 15A Federal Constitution is 33,094. From that total, 4,534 applications have been granted citizenship and 2,396 have been rejected.</w:t>
      </w:r>
      <w:r w:rsidRPr="00092464">
        <w:rPr>
          <w:rFonts w:ascii="Arial" w:hAnsi="Arial"/>
          <w:sz w:val="22"/>
          <w:highlight w:val="white"/>
          <w:vertAlign w:val="superscript"/>
        </w:rPr>
        <w:footnoteReference w:id="17"/>
      </w:r>
    </w:p>
    <w:p w14:paraId="45CB25A1" w14:textId="77777777" w:rsidR="00C41F6E" w:rsidRPr="00092464" w:rsidRDefault="00C41F6E" w:rsidP="00092464">
      <w:pPr>
        <w:spacing w:line="256" w:lineRule="auto"/>
        <w:rPr>
          <w:rFonts w:ascii="Arial" w:hAnsi="Arial"/>
          <w:sz w:val="22"/>
          <w:highlight w:val="white"/>
          <w:vertAlign w:val="superscript"/>
        </w:rPr>
      </w:pPr>
    </w:p>
    <w:p w14:paraId="1E64FE78" w14:textId="1C3C5284" w:rsidR="00E30960" w:rsidRPr="003E6F1B" w:rsidRDefault="00000000" w:rsidP="003E6F1B">
      <w:pPr>
        <w:spacing w:line="256" w:lineRule="auto"/>
        <w:rPr>
          <w:rFonts w:ascii="Arial" w:hAnsi="Arial"/>
          <w:sz w:val="22"/>
          <w:highlight w:val="white"/>
        </w:rPr>
      </w:pPr>
      <w:r w:rsidRPr="00092464">
        <w:rPr>
          <w:rFonts w:ascii="Arial" w:hAnsi="Arial"/>
          <w:sz w:val="22"/>
          <w:highlight w:val="white"/>
        </w:rPr>
        <w:t>9.7</w:t>
      </w:r>
      <w:r w:rsidRPr="00092464">
        <w:rPr>
          <w:rFonts w:ascii="Arial" w:hAnsi="Arial"/>
          <w:sz w:val="22"/>
          <w:highlight w:val="white"/>
        </w:rPr>
        <w:tab/>
        <w:t xml:space="preserve">The state has frequently argued that </w:t>
      </w:r>
      <w:hyperlink r:id="rId33">
        <w:r w:rsidRPr="00092464">
          <w:rPr>
            <w:rFonts w:ascii="Arial" w:hAnsi="Arial"/>
            <w:color w:val="1155CC"/>
            <w:sz w:val="22"/>
            <w:highlight w:val="white"/>
            <w:u w:val="single"/>
          </w:rPr>
          <w:t>those seeking citizenship must prove they are truly stateless by showing they have not obtained citizenship from their foreign mother’s home country</w:t>
        </w:r>
      </w:hyperlink>
      <w:r w:rsidRPr="00092464">
        <w:rPr>
          <w:rFonts w:ascii="Arial" w:hAnsi="Arial"/>
          <w:sz w:val="22"/>
          <w:highlight w:val="white"/>
        </w:rPr>
        <w:t>. The double standard has severe implications including rising numbers in situ statelessness which are caused by Malaysia’s own gender discriminatory nationality law.</w:t>
      </w:r>
      <w:bookmarkStart w:id="33" w:name="_heading=h.swgu48r96sc5" w:colFirst="0" w:colLast="0"/>
      <w:bookmarkEnd w:id="33"/>
    </w:p>
    <w:p w14:paraId="55AEF01C" w14:textId="042F1C80" w:rsidR="00C41F6E" w:rsidRPr="00E30960" w:rsidRDefault="00000000" w:rsidP="00092464">
      <w:pPr>
        <w:pStyle w:val="Heading4"/>
        <w:spacing w:line="256" w:lineRule="auto"/>
        <w:rPr>
          <w:rFonts w:ascii="Arial" w:eastAsia="Arial" w:hAnsi="Arial" w:cs="Arial"/>
          <w:b/>
          <w:bCs/>
          <w:sz w:val="22"/>
          <w:highlight w:val="white"/>
        </w:rPr>
      </w:pPr>
      <w:r w:rsidRPr="00E30960">
        <w:rPr>
          <w:rFonts w:ascii="Arial" w:eastAsia="Arial" w:hAnsi="Arial" w:cs="Arial"/>
          <w:b/>
          <w:bCs/>
          <w:sz w:val="22"/>
        </w:rPr>
        <w:t xml:space="preserve">Critical Questions </w:t>
      </w:r>
    </w:p>
    <w:p w14:paraId="333E4B5F" w14:textId="77777777" w:rsidR="00C41F6E" w:rsidRPr="00092464" w:rsidRDefault="00C41F6E" w:rsidP="00092464">
      <w:pPr>
        <w:spacing w:line="256" w:lineRule="auto"/>
        <w:rPr>
          <w:rFonts w:ascii="Arial" w:hAnsi="Arial"/>
          <w:sz w:val="22"/>
          <w:highlight w:val="white"/>
        </w:rPr>
      </w:pPr>
    </w:p>
    <w:p w14:paraId="77DE563F" w14:textId="77777777" w:rsidR="00C41F6E" w:rsidRPr="00092464" w:rsidRDefault="00000000" w:rsidP="00092464">
      <w:pPr>
        <w:spacing w:line="256" w:lineRule="auto"/>
        <w:rPr>
          <w:rFonts w:ascii="Arial" w:hAnsi="Arial"/>
          <w:sz w:val="22"/>
          <w:highlight w:val="white"/>
        </w:rPr>
      </w:pPr>
      <w:r w:rsidRPr="00092464">
        <w:rPr>
          <w:rFonts w:ascii="Arial" w:hAnsi="Arial"/>
          <w:sz w:val="22"/>
          <w:highlight w:val="white"/>
        </w:rPr>
        <w:t>Q15. Does the Government plan to implement temporary measures - such as permanent residence - to protect and provide for Malaysian women and their children as well as to ensure access to education and healthcare?</w:t>
      </w:r>
    </w:p>
    <w:p w14:paraId="279FADD1" w14:textId="77777777" w:rsidR="00C41F6E" w:rsidRPr="00092464" w:rsidRDefault="00C41F6E" w:rsidP="00092464">
      <w:pPr>
        <w:spacing w:line="256" w:lineRule="auto"/>
        <w:rPr>
          <w:rFonts w:ascii="Arial" w:hAnsi="Arial"/>
          <w:sz w:val="22"/>
          <w:highlight w:val="white"/>
        </w:rPr>
      </w:pPr>
    </w:p>
    <w:p w14:paraId="33DBF960" w14:textId="77777777" w:rsidR="00C41F6E" w:rsidRPr="00092464" w:rsidRDefault="00000000" w:rsidP="00092464">
      <w:pPr>
        <w:spacing w:line="256" w:lineRule="auto"/>
        <w:rPr>
          <w:rFonts w:ascii="Arial" w:hAnsi="Arial"/>
          <w:sz w:val="22"/>
          <w:highlight w:val="white"/>
        </w:rPr>
      </w:pPr>
      <w:r w:rsidRPr="00092464">
        <w:rPr>
          <w:rFonts w:ascii="Arial" w:hAnsi="Arial"/>
          <w:sz w:val="22"/>
          <w:highlight w:val="white"/>
        </w:rPr>
        <w:t xml:space="preserve">Q16. What is the government’s timeline and plan to identify stateless persons and reduce the rate of statelessness? </w:t>
      </w:r>
    </w:p>
    <w:p w14:paraId="18FAB889" w14:textId="77777777" w:rsidR="00C41F6E" w:rsidRPr="00092464" w:rsidRDefault="00C41F6E" w:rsidP="00092464">
      <w:pPr>
        <w:spacing w:line="256" w:lineRule="auto"/>
        <w:rPr>
          <w:rFonts w:ascii="Arial" w:hAnsi="Arial"/>
          <w:sz w:val="22"/>
          <w:highlight w:val="white"/>
        </w:rPr>
      </w:pPr>
    </w:p>
    <w:p w14:paraId="65861F62" w14:textId="77777777" w:rsidR="00C41F6E" w:rsidRPr="00092464" w:rsidRDefault="00000000" w:rsidP="00092464">
      <w:pPr>
        <w:spacing w:line="256" w:lineRule="auto"/>
        <w:rPr>
          <w:rFonts w:ascii="Arial" w:hAnsi="Arial"/>
          <w:sz w:val="22"/>
          <w:highlight w:val="white"/>
        </w:rPr>
      </w:pPr>
      <w:r w:rsidRPr="00092464">
        <w:rPr>
          <w:rFonts w:ascii="Arial" w:hAnsi="Arial"/>
          <w:sz w:val="22"/>
          <w:highlight w:val="white"/>
        </w:rPr>
        <w:t xml:space="preserve">Q17. What is the State’s objection to ratifying the 1954 Convention Relating to the Status of Stateless Persons and 1961 Convention on the Reduction of Statelessness? </w:t>
      </w:r>
    </w:p>
    <w:p w14:paraId="67DF2EA0" w14:textId="731478CB" w:rsidR="00C41F6E" w:rsidRPr="00092464" w:rsidRDefault="00C41F6E" w:rsidP="00092464">
      <w:pPr>
        <w:spacing w:line="256" w:lineRule="auto"/>
        <w:rPr>
          <w:rFonts w:ascii="Arial" w:hAnsi="Arial"/>
          <w:sz w:val="22"/>
        </w:rPr>
      </w:pPr>
    </w:p>
    <w:p w14:paraId="780C94AD"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lastRenderedPageBreak/>
        <w:t xml:space="preserve">Article 10: Education </w:t>
      </w:r>
    </w:p>
    <w:p w14:paraId="15B0A7E9" w14:textId="77777777" w:rsidR="00C41F6E" w:rsidRPr="00092464" w:rsidRDefault="00C41F6E" w:rsidP="00092464">
      <w:pPr>
        <w:rPr>
          <w:rFonts w:ascii="Arial" w:hAnsi="Arial"/>
          <w:sz w:val="22"/>
        </w:rPr>
      </w:pPr>
    </w:p>
    <w:p w14:paraId="35266140" w14:textId="77777777" w:rsidR="00C41F6E" w:rsidRPr="00092464" w:rsidRDefault="00000000" w:rsidP="00092464">
      <w:pPr>
        <w:rPr>
          <w:rFonts w:ascii="Arial" w:hAnsi="Arial"/>
          <w:sz w:val="22"/>
        </w:rPr>
      </w:pPr>
      <w:r w:rsidRPr="00092464">
        <w:rPr>
          <w:rFonts w:ascii="Arial" w:hAnsi="Arial"/>
          <w:sz w:val="22"/>
        </w:rPr>
        <w:t>10.1</w:t>
      </w:r>
      <w:r w:rsidRPr="00092464">
        <w:rPr>
          <w:rFonts w:ascii="Arial" w:hAnsi="Arial"/>
          <w:sz w:val="22"/>
        </w:rPr>
        <w:tab/>
        <w:t>Women and girls face routine sexual harassment in schools, often perpetrated by authority figures. In 2021, women and girls from multiple schools came forward about “period spot checks” where they were told to prove being on their period through means which violate bodily autonomy. The harassment was recorded from current and past students reporting such practices occurring for two decades.</w:t>
      </w:r>
    </w:p>
    <w:p w14:paraId="1C6D924B" w14:textId="77777777" w:rsidR="00C41F6E" w:rsidRPr="00092464" w:rsidRDefault="00C41F6E" w:rsidP="00092464">
      <w:pPr>
        <w:rPr>
          <w:rFonts w:ascii="Arial" w:hAnsi="Arial"/>
          <w:sz w:val="22"/>
        </w:rPr>
      </w:pPr>
    </w:p>
    <w:p w14:paraId="32920A02" w14:textId="77777777" w:rsidR="00C41F6E" w:rsidRPr="00092464" w:rsidRDefault="00000000" w:rsidP="00092464">
      <w:pPr>
        <w:rPr>
          <w:rFonts w:ascii="Arial" w:hAnsi="Arial"/>
          <w:sz w:val="22"/>
        </w:rPr>
      </w:pPr>
      <w:r w:rsidRPr="00092464">
        <w:rPr>
          <w:rFonts w:ascii="Arial" w:hAnsi="Arial"/>
          <w:sz w:val="22"/>
        </w:rPr>
        <w:t xml:space="preserve">10.2 </w:t>
      </w:r>
      <w:r w:rsidRPr="00092464">
        <w:rPr>
          <w:rFonts w:ascii="Arial" w:hAnsi="Arial"/>
          <w:sz w:val="22"/>
        </w:rPr>
        <w:tab/>
        <w:t xml:space="preserve">In its report, the government does not address the issue of sexual harassment in schools faced by girls apart from bullying. The Ministry of Education (MOE) has not acted sufficiently to protect survivors of sexual harassment who come forward. When a </w:t>
      </w:r>
      <w:hyperlink r:id="rId34">
        <w:r w:rsidRPr="00092464">
          <w:rPr>
            <w:rFonts w:ascii="Arial" w:hAnsi="Arial"/>
            <w:color w:val="1155CC"/>
            <w:sz w:val="22"/>
            <w:u w:val="single"/>
          </w:rPr>
          <w:t xml:space="preserve">17-year-old schoolgirl posted a TikTok relating an incident </w:t>
        </w:r>
      </w:hyperlink>
      <w:r w:rsidRPr="00092464">
        <w:rPr>
          <w:rFonts w:ascii="Arial" w:hAnsi="Arial"/>
          <w:sz w:val="22"/>
        </w:rPr>
        <w:t xml:space="preserve">where a male physical education teacher made rape jokes during class, the teacher was transferred to another school, and the investigation against him was dropped; in the meantime, the survivor and her siblings faced bullying causing them both to transfer schools and move houses. The teacher had then, brought a defamation suit against the survivor and her father. A special committee was set up in May 2022 to improve procedures for cases of sexual harassment and bullying, but there have been no updates on the committee's progress thus far. </w:t>
      </w:r>
    </w:p>
    <w:p w14:paraId="2796C280" w14:textId="77777777" w:rsidR="00C41F6E" w:rsidRPr="00092464" w:rsidRDefault="00C41F6E" w:rsidP="00092464">
      <w:pPr>
        <w:rPr>
          <w:rFonts w:ascii="Arial" w:hAnsi="Arial"/>
          <w:sz w:val="22"/>
        </w:rPr>
      </w:pPr>
    </w:p>
    <w:p w14:paraId="5DB05ED2" w14:textId="77777777" w:rsidR="00C41F6E" w:rsidRPr="00092464" w:rsidRDefault="00000000" w:rsidP="00092464">
      <w:pPr>
        <w:rPr>
          <w:rFonts w:ascii="Arial" w:hAnsi="Arial"/>
          <w:sz w:val="22"/>
        </w:rPr>
      </w:pPr>
      <w:r w:rsidRPr="00092464">
        <w:rPr>
          <w:rFonts w:ascii="Arial" w:hAnsi="Arial"/>
          <w:sz w:val="22"/>
        </w:rPr>
        <w:t>10.3</w:t>
      </w:r>
      <w:r w:rsidRPr="00092464">
        <w:rPr>
          <w:rFonts w:ascii="Arial" w:hAnsi="Arial"/>
          <w:sz w:val="22"/>
        </w:rPr>
        <w:tab/>
        <w:t>WGD face many barriers to education as most schools do not have accessible infrastructure, such as elevators and wheelchair-accessible bathrooms. As a result, and also due to bullying, WGD are also more likely to drop out of school.</w:t>
      </w:r>
    </w:p>
    <w:p w14:paraId="52329294" w14:textId="77777777" w:rsidR="00C41F6E" w:rsidRPr="00092464" w:rsidRDefault="00C41F6E" w:rsidP="00092464">
      <w:pPr>
        <w:rPr>
          <w:rFonts w:ascii="Arial" w:hAnsi="Arial"/>
          <w:sz w:val="22"/>
        </w:rPr>
      </w:pPr>
    </w:p>
    <w:p w14:paraId="792E0E01" w14:textId="77777777" w:rsidR="00C41F6E" w:rsidRPr="00092464" w:rsidRDefault="00000000" w:rsidP="00092464">
      <w:pPr>
        <w:rPr>
          <w:rFonts w:ascii="Arial" w:hAnsi="Arial"/>
          <w:sz w:val="22"/>
        </w:rPr>
      </w:pPr>
      <w:r w:rsidRPr="00092464">
        <w:rPr>
          <w:rFonts w:ascii="Arial" w:hAnsi="Arial"/>
          <w:sz w:val="22"/>
        </w:rPr>
        <w:t>10.4</w:t>
      </w:r>
      <w:r w:rsidRPr="00092464">
        <w:rPr>
          <w:rFonts w:ascii="Arial" w:hAnsi="Arial"/>
          <w:sz w:val="22"/>
        </w:rPr>
        <w:tab/>
        <w:t>MOE still maintains circulars and guidelines that impose corporal punishment, among others, for students because  of Sexual Orientation and Gender Identity (SOGI). The Report states that sexual reproductive (SR) education aim to equip  girls with knowledge, skills and values to make decisions about social and sexual relationships (para 68). however The Form 2 SR education (PEERS)  describes SOGI as a   ‘disorder’,  ‘confusion’, and being inconsistent with religion and culture.</w:t>
      </w:r>
      <w:r w:rsidRPr="00092464">
        <w:rPr>
          <w:rFonts w:ascii="Arial" w:hAnsi="Arial"/>
          <w:sz w:val="22"/>
          <w:vertAlign w:val="superscript"/>
        </w:rPr>
        <w:footnoteReference w:id="18"/>
      </w:r>
      <w:r w:rsidRPr="00092464">
        <w:rPr>
          <w:rFonts w:ascii="Arial" w:hAnsi="Arial"/>
          <w:sz w:val="22"/>
        </w:rPr>
        <w:t xml:space="preserve"> </w:t>
      </w:r>
    </w:p>
    <w:p w14:paraId="76DC3F2F" w14:textId="77777777" w:rsidR="00C41F6E" w:rsidRPr="00092464" w:rsidRDefault="00C41F6E" w:rsidP="00092464">
      <w:pPr>
        <w:rPr>
          <w:rFonts w:ascii="Arial" w:hAnsi="Arial"/>
          <w:sz w:val="22"/>
        </w:rPr>
      </w:pPr>
    </w:p>
    <w:p w14:paraId="69A6287D" w14:textId="4E705FED" w:rsidR="00E30960" w:rsidRPr="00E30960" w:rsidRDefault="00000000" w:rsidP="00E30960">
      <w:pPr>
        <w:rPr>
          <w:rFonts w:ascii="Arial" w:hAnsi="Arial"/>
          <w:strike/>
          <w:sz w:val="22"/>
        </w:rPr>
      </w:pPr>
      <w:r w:rsidRPr="00092464">
        <w:rPr>
          <w:rFonts w:ascii="Arial" w:hAnsi="Arial"/>
          <w:sz w:val="22"/>
        </w:rPr>
        <w:t>10.5</w:t>
      </w:r>
      <w:r w:rsidRPr="00092464">
        <w:rPr>
          <w:rFonts w:ascii="Arial" w:hAnsi="Arial"/>
          <w:sz w:val="22"/>
        </w:rPr>
        <w:tab/>
        <w:t>The SUHAKAM study with trans people found name-calling, physical violence, and sexual harassment as pervasive forms of discrimination transgender students face in schools, resulting in stress, depression, loss of interest, suicidal attempts. It concludes that the educational system lacks redress mechanisms which transgender children trust, to discuss the unique challenges they face.</w:t>
      </w:r>
      <w:r w:rsidRPr="00092464">
        <w:rPr>
          <w:rFonts w:ascii="Arial" w:hAnsi="Arial"/>
          <w:sz w:val="22"/>
          <w:vertAlign w:val="superscript"/>
        </w:rPr>
        <w:footnoteReference w:id="19"/>
      </w:r>
      <w:bookmarkStart w:id="34" w:name="_heading=h.paczjgna3r3s" w:colFirst="0" w:colLast="0"/>
      <w:bookmarkEnd w:id="34"/>
    </w:p>
    <w:p w14:paraId="5A4C61B6" w14:textId="266C43C4" w:rsidR="00C41F6E" w:rsidRDefault="00000000" w:rsidP="00092464">
      <w:pPr>
        <w:pStyle w:val="Heading4"/>
        <w:rPr>
          <w:rFonts w:ascii="Arial" w:eastAsia="Arial" w:hAnsi="Arial" w:cs="Arial"/>
          <w:b/>
          <w:bCs/>
          <w:sz w:val="22"/>
        </w:rPr>
      </w:pPr>
      <w:r w:rsidRPr="00E30960">
        <w:rPr>
          <w:rFonts w:ascii="Arial" w:eastAsia="Arial" w:hAnsi="Arial" w:cs="Arial"/>
          <w:b/>
          <w:bCs/>
          <w:sz w:val="22"/>
        </w:rPr>
        <w:t xml:space="preserve">Critical Questions </w:t>
      </w:r>
    </w:p>
    <w:p w14:paraId="22706F73" w14:textId="77777777" w:rsidR="00E30960" w:rsidRPr="00E30960" w:rsidRDefault="00E30960" w:rsidP="00E30960"/>
    <w:p w14:paraId="3F4D5D42" w14:textId="77777777" w:rsidR="00C41F6E" w:rsidRPr="00092464" w:rsidRDefault="00000000" w:rsidP="00092464">
      <w:pPr>
        <w:rPr>
          <w:rFonts w:ascii="Arial" w:hAnsi="Arial"/>
          <w:sz w:val="22"/>
        </w:rPr>
      </w:pPr>
      <w:r w:rsidRPr="00092464">
        <w:rPr>
          <w:rFonts w:ascii="Arial" w:hAnsi="Arial"/>
          <w:sz w:val="22"/>
        </w:rPr>
        <w:t>Q18.</w:t>
      </w:r>
      <w:r w:rsidRPr="00092464">
        <w:rPr>
          <w:rFonts w:ascii="Arial" w:hAnsi="Arial"/>
          <w:sz w:val="22"/>
        </w:rPr>
        <w:tab/>
        <w:t>What is the government’s plan to revoke the period spot check circular as well as to strengthen interventions to prevent and address sexual harassment in educational institutions? The “</w:t>
      </w:r>
      <w:proofErr w:type="spellStart"/>
      <w:r w:rsidRPr="00092464">
        <w:rPr>
          <w:rFonts w:ascii="Arial" w:hAnsi="Arial"/>
          <w:sz w:val="22"/>
        </w:rPr>
        <w:t>Sekolahku</w:t>
      </w:r>
      <w:proofErr w:type="spellEnd"/>
      <w:r w:rsidRPr="00092464">
        <w:rPr>
          <w:rFonts w:ascii="Arial" w:hAnsi="Arial"/>
          <w:sz w:val="22"/>
        </w:rPr>
        <w:t xml:space="preserve"> Sejahtera” initiative (Report, paragraph 73) aims to educate students about bullying. What measures are in place to protect students from bullying perpetrated by authoritative figures? </w:t>
      </w:r>
    </w:p>
    <w:p w14:paraId="15FF7429" w14:textId="77777777" w:rsidR="00C41F6E" w:rsidRPr="00092464" w:rsidRDefault="00C41F6E" w:rsidP="00092464">
      <w:pPr>
        <w:rPr>
          <w:rFonts w:ascii="Arial" w:hAnsi="Arial"/>
          <w:sz w:val="22"/>
        </w:rPr>
      </w:pPr>
    </w:p>
    <w:p w14:paraId="041811CE" w14:textId="77777777" w:rsidR="00C41F6E" w:rsidRPr="00092464" w:rsidRDefault="00000000" w:rsidP="00092464">
      <w:pPr>
        <w:rPr>
          <w:rFonts w:ascii="Arial" w:hAnsi="Arial"/>
          <w:sz w:val="22"/>
        </w:rPr>
      </w:pPr>
      <w:r w:rsidRPr="00092464">
        <w:rPr>
          <w:rFonts w:ascii="Arial" w:hAnsi="Arial"/>
          <w:sz w:val="22"/>
        </w:rPr>
        <w:t>Q19.</w:t>
      </w:r>
      <w:r w:rsidRPr="00092464">
        <w:rPr>
          <w:rFonts w:ascii="Arial" w:hAnsi="Arial"/>
          <w:sz w:val="22"/>
        </w:rPr>
        <w:tab/>
        <w:t xml:space="preserve">What are the state’s plans in implementing CO 36 (e) and the recommendations from the SUHAKAM transgender study? </w:t>
      </w:r>
    </w:p>
    <w:p w14:paraId="2A6FB533" w14:textId="77777777" w:rsidR="00C41F6E" w:rsidRPr="00092464" w:rsidRDefault="00C41F6E" w:rsidP="00092464">
      <w:pPr>
        <w:rPr>
          <w:rFonts w:ascii="Arial" w:hAnsi="Arial"/>
          <w:sz w:val="22"/>
        </w:rPr>
      </w:pPr>
    </w:p>
    <w:p w14:paraId="1A872332" w14:textId="77777777" w:rsidR="00C41F6E" w:rsidRPr="00092464" w:rsidRDefault="00000000" w:rsidP="00092464">
      <w:pPr>
        <w:rPr>
          <w:rFonts w:ascii="Arial" w:hAnsi="Arial"/>
          <w:sz w:val="22"/>
        </w:rPr>
      </w:pPr>
      <w:r w:rsidRPr="00092464">
        <w:rPr>
          <w:rFonts w:ascii="Arial" w:hAnsi="Arial"/>
          <w:sz w:val="22"/>
        </w:rPr>
        <w:lastRenderedPageBreak/>
        <w:t>Q20.</w:t>
      </w:r>
      <w:r w:rsidRPr="00092464">
        <w:rPr>
          <w:rFonts w:ascii="Arial" w:hAnsi="Arial"/>
          <w:sz w:val="22"/>
        </w:rPr>
        <w:tab/>
        <w:t xml:space="preserve">How does the government plan to increase accessibility for WGD to attend school, and decrease their dropout rates? </w:t>
      </w:r>
    </w:p>
    <w:p w14:paraId="4D5DFB72" w14:textId="77777777" w:rsidR="00C41F6E" w:rsidRPr="00092464" w:rsidRDefault="00C41F6E" w:rsidP="00092464">
      <w:pPr>
        <w:pStyle w:val="Heading2"/>
        <w:rPr>
          <w:rFonts w:ascii="Arial" w:eastAsia="Arial" w:hAnsi="Arial" w:cs="Arial"/>
          <w:sz w:val="22"/>
          <w:szCs w:val="22"/>
        </w:rPr>
      </w:pPr>
    </w:p>
    <w:p w14:paraId="29842CCA"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t xml:space="preserve">Article 11: Employment </w:t>
      </w:r>
    </w:p>
    <w:p w14:paraId="4EB71C32" w14:textId="77777777" w:rsidR="00C41F6E" w:rsidRPr="00092464" w:rsidRDefault="00C41F6E" w:rsidP="00092464">
      <w:pPr>
        <w:rPr>
          <w:rFonts w:ascii="Arial" w:hAnsi="Arial"/>
          <w:sz w:val="22"/>
        </w:rPr>
      </w:pPr>
    </w:p>
    <w:p w14:paraId="61C189B2" w14:textId="77777777" w:rsidR="00C41F6E" w:rsidRPr="00092464" w:rsidRDefault="00000000" w:rsidP="00092464">
      <w:pPr>
        <w:rPr>
          <w:rFonts w:ascii="Arial" w:hAnsi="Arial"/>
          <w:sz w:val="22"/>
        </w:rPr>
      </w:pPr>
      <w:r w:rsidRPr="00092464">
        <w:rPr>
          <w:rFonts w:ascii="Arial" w:hAnsi="Arial"/>
          <w:sz w:val="22"/>
        </w:rPr>
        <w:t>11.1</w:t>
      </w:r>
      <w:r w:rsidRPr="00092464">
        <w:rPr>
          <w:rFonts w:ascii="Arial" w:hAnsi="Arial"/>
          <w:sz w:val="22"/>
        </w:rPr>
        <w:tab/>
        <w:t>Employment Act amendments increasing maternity leave to 98 days and the introduction of paternity leave through Section 60FA support shared responsibility within family households, but there are still caveats to the application of maternity leave and paternity leave. Only women with up to 5 surviving natural children are eligible for maternity leave. Paternity leave is only applicable for male employees married to the mother, employed by the same employer for at least 12 months, and must notify the employer at least 30 days from expected confinement. Non-married male partners and adoptive parents are not recognised under the act.</w:t>
      </w:r>
    </w:p>
    <w:p w14:paraId="58CC6235" w14:textId="77777777" w:rsidR="00C41F6E" w:rsidRPr="00092464" w:rsidRDefault="00C41F6E" w:rsidP="00092464">
      <w:pPr>
        <w:rPr>
          <w:rFonts w:ascii="Arial" w:hAnsi="Arial"/>
          <w:sz w:val="22"/>
        </w:rPr>
      </w:pPr>
    </w:p>
    <w:p w14:paraId="33E05E5A" w14:textId="77777777" w:rsidR="00C41F6E" w:rsidRPr="00092464" w:rsidRDefault="00000000" w:rsidP="00092464">
      <w:pPr>
        <w:rPr>
          <w:rFonts w:ascii="Arial" w:hAnsi="Arial"/>
          <w:sz w:val="22"/>
        </w:rPr>
      </w:pPr>
      <w:r w:rsidRPr="00092464">
        <w:rPr>
          <w:rFonts w:ascii="Arial" w:hAnsi="Arial"/>
          <w:sz w:val="22"/>
        </w:rPr>
        <w:t xml:space="preserve">11.2   The government has not provided sufficient guidance or </w:t>
      </w:r>
      <w:hyperlink r:id="rId35">
        <w:r w:rsidRPr="00092464">
          <w:rPr>
            <w:rFonts w:ascii="Arial" w:hAnsi="Arial"/>
            <w:color w:val="1155CC"/>
            <w:sz w:val="22"/>
            <w:u w:val="single"/>
          </w:rPr>
          <w:t>incentives for employers and businesses to implement the 98 day maternity leave without financial consequences.</w:t>
        </w:r>
      </w:hyperlink>
      <w:r w:rsidRPr="00092464">
        <w:rPr>
          <w:rFonts w:ascii="Arial" w:hAnsi="Arial"/>
          <w:sz w:val="22"/>
        </w:rPr>
        <w:t xml:space="preserve"> There is further reluctance from employers to willingly abide by the act and this could result in pregnancy discrimination amongst job seekers, resulting in lesser women being hired for work.</w:t>
      </w:r>
    </w:p>
    <w:p w14:paraId="41906708" w14:textId="77777777" w:rsidR="00C41F6E" w:rsidRPr="00092464" w:rsidRDefault="00000000" w:rsidP="00092464">
      <w:pPr>
        <w:shd w:val="clear" w:color="auto" w:fill="FFFFFF"/>
        <w:spacing w:before="240" w:line="276" w:lineRule="auto"/>
        <w:rPr>
          <w:rFonts w:ascii="Arial" w:hAnsi="Arial"/>
          <w:color w:val="222222"/>
          <w:sz w:val="22"/>
        </w:rPr>
      </w:pPr>
      <w:r w:rsidRPr="00092464">
        <w:rPr>
          <w:rFonts w:ascii="Arial" w:hAnsi="Arial"/>
          <w:color w:val="222222"/>
          <w:sz w:val="22"/>
        </w:rPr>
        <w:t>11.3</w:t>
      </w:r>
      <w:r w:rsidRPr="00092464">
        <w:rPr>
          <w:rFonts w:ascii="Arial" w:hAnsi="Arial"/>
          <w:color w:val="222222"/>
          <w:sz w:val="22"/>
        </w:rPr>
        <w:tab/>
        <w:t>While the Employment Act covers and protects foreign domestic workers, the recently revised Minimum Wages Order 2022 does not apply to domestic workers (either foreign or local). They may be subjected to disputes on the amount of compensation owed.</w:t>
      </w:r>
    </w:p>
    <w:p w14:paraId="154D5B9D" w14:textId="77777777" w:rsidR="00E30960" w:rsidRDefault="00E30960" w:rsidP="00092464">
      <w:pPr>
        <w:pStyle w:val="Heading4"/>
        <w:spacing w:after="200" w:line="276" w:lineRule="auto"/>
        <w:rPr>
          <w:rFonts w:ascii="Arial" w:eastAsia="Arial" w:hAnsi="Arial" w:cs="Arial"/>
          <w:sz w:val="22"/>
        </w:rPr>
      </w:pPr>
      <w:bookmarkStart w:id="35" w:name="_heading=h.6f55ni9iwmmp" w:colFirst="0" w:colLast="0"/>
      <w:bookmarkEnd w:id="35"/>
    </w:p>
    <w:p w14:paraId="727DC2D1" w14:textId="53C05F2A" w:rsidR="00C41F6E" w:rsidRPr="00E30960" w:rsidRDefault="00000000" w:rsidP="00E30960">
      <w:pPr>
        <w:pStyle w:val="Heading4"/>
        <w:spacing w:after="200" w:line="276" w:lineRule="auto"/>
        <w:rPr>
          <w:rFonts w:ascii="Arial" w:eastAsia="Arial" w:hAnsi="Arial" w:cs="Arial"/>
          <w:b/>
          <w:bCs/>
          <w:sz w:val="22"/>
        </w:rPr>
      </w:pPr>
      <w:r w:rsidRPr="00E30960">
        <w:rPr>
          <w:rFonts w:ascii="Arial" w:eastAsia="Arial" w:hAnsi="Arial" w:cs="Arial"/>
          <w:b/>
          <w:bCs/>
          <w:sz w:val="22"/>
        </w:rPr>
        <w:t>Critical Questions</w:t>
      </w:r>
    </w:p>
    <w:p w14:paraId="5DA7C815" w14:textId="77777777" w:rsidR="00C41F6E" w:rsidRPr="00092464" w:rsidRDefault="00000000" w:rsidP="00092464">
      <w:pPr>
        <w:rPr>
          <w:rFonts w:ascii="Arial" w:hAnsi="Arial"/>
          <w:sz w:val="22"/>
        </w:rPr>
      </w:pPr>
      <w:r w:rsidRPr="00092464">
        <w:rPr>
          <w:rFonts w:ascii="Arial" w:hAnsi="Arial"/>
          <w:sz w:val="22"/>
        </w:rPr>
        <w:t>Q21.</w:t>
      </w:r>
      <w:r w:rsidRPr="00092464">
        <w:rPr>
          <w:rFonts w:ascii="Arial" w:hAnsi="Arial"/>
          <w:sz w:val="22"/>
        </w:rPr>
        <w:tab/>
        <w:t>Please provide a timeline to remove barriers to the applicability of maternity leave, paternity leave exceptions for men and increase paternity leave in line with international standards. What are the consequences for employers who violate 98 maternity days leave, and when will the employment act be amended to include job seeker protections?</w:t>
      </w:r>
    </w:p>
    <w:p w14:paraId="08B3A6B9" w14:textId="77777777" w:rsidR="00C41F6E" w:rsidRPr="00092464" w:rsidRDefault="00C41F6E" w:rsidP="00092464">
      <w:pPr>
        <w:rPr>
          <w:rFonts w:ascii="Arial" w:hAnsi="Arial"/>
          <w:sz w:val="22"/>
        </w:rPr>
      </w:pPr>
    </w:p>
    <w:p w14:paraId="6F0FB98E" w14:textId="77777777" w:rsidR="00C41F6E" w:rsidRPr="00092464" w:rsidRDefault="00000000" w:rsidP="00092464">
      <w:pPr>
        <w:spacing w:line="276" w:lineRule="auto"/>
        <w:rPr>
          <w:rFonts w:ascii="Arial" w:hAnsi="Arial"/>
          <w:sz w:val="22"/>
        </w:rPr>
      </w:pPr>
      <w:r w:rsidRPr="00092464">
        <w:rPr>
          <w:rFonts w:ascii="Arial" w:hAnsi="Arial"/>
          <w:sz w:val="22"/>
        </w:rPr>
        <w:t xml:space="preserve">Q22. </w:t>
      </w:r>
      <w:r w:rsidRPr="00092464">
        <w:rPr>
          <w:rFonts w:ascii="Arial" w:hAnsi="Arial"/>
          <w:sz w:val="22"/>
        </w:rPr>
        <w:tab/>
        <w:t>What are the government’s objections to including migrant domestic workers under the Minimum Wage Order 2022?</w:t>
      </w:r>
    </w:p>
    <w:p w14:paraId="494E7F30" w14:textId="77777777" w:rsidR="00C41F6E" w:rsidRPr="00092464" w:rsidRDefault="00C41F6E" w:rsidP="00092464">
      <w:pPr>
        <w:rPr>
          <w:rFonts w:ascii="Arial" w:hAnsi="Arial"/>
          <w:sz w:val="22"/>
        </w:rPr>
      </w:pPr>
    </w:p>
    <w:p w14:paraId="63721EFD" w14:textId="77777777" w:rsidR="00C41F6E" w:rsidRPr="00E30960" w:rsidRDefault="00000000" w:rsidP="00092464">
      <w:pPr>
        <w:pStyle w:val="Heading2"/>
        <w:rPr>
          <w:rFonts w:ascii="Arial" w:eastAsia="Arial" w:hAnsi="Arial" w:cs="Arial"/>
          <w:b/>
          <w:bCs/>
          <w:sz w:val="24"/>
          <w:szCs w:val="24"/>
        </w:rPr>
      </w:pPr>
      <w:bookmarkStart w:id="36" w:name="_heading=h.sgh9uunoiuv2" w:colFirst="0" w:colLast="0"/>
      <w:bookmarkEnd w:id="36"/>
      <w:r w:rsidRPr="00E30960">
        <w:rPr>
          <w:rFonts w:ascii="Arial" w:eastAsia="Arial" w:hAnsi="Arial" w:cs="Arial"/>
          <w:b/>
          <w:bCs/>
          <w:sz w:val="24"/>
          <w:szCs w:val="24"/>
        </w:rPr>
        <w:t>Article 12: Healthcare</w:t>
      </w:r>
    </w:p>
    <w:p w14:paraId="2C1BC5D9" w14:textId="77777777" w:rsidR="00C41F6E" w:rsidRPr="00092464" w:rsidRDefault="00C41F6E" w:rsidP="00092464">
      <w:pPr>
        <w:rPr>
          <w:rFonts w:ascii="Arial" w:hAnsi="Arial"/>
          <w:sz w:val="22"/>
        </w:rPr>
      </w:pPr>
    </w:p>
    <w:p w14:paraId="4081EBED" w14:textId="77777777" w:rsidR="00C41F6E" w:rsidRPr="00E30960" w:rsidRDefault="00000000" w:rsidP="00092464">
      <w:pPr>
        <w:pStyle w:val="Heading3"/>
        <w:spacing w:after="200" w:line="276" w:lineRule="auto"/>
        <w:rPr>
          <w:rFonts w:ascii="Arial" w:eastAsia="Arial" w:hAnsi="Arial" w:cs="Arial"/>
          <w:i/>
          <w:iCs/>
          <w:sz w:val="22"/>
          <w:szCs w:val="22"/>
        </w:rPr>
      </w:pPr>
      <w:bookmarkStart w:id="37" w:name="_heading=h.2rywifrvox90" w:colFirst="0" w:colLast="0"/>
      <w:bookmarkEnd w:id="37"/>
      <w:r w:rsidRPr="00E30960">
        <w:rPr>
          <w:rFonts w:ascii="Arial" w:hAnsi="Arial" w:cs="Arial"/>
          <w:i/>
          <w:iCs/>
          <w:sz w:val="22"/>
          <w:szCs w:val="22"/>
        </w:rPr>
        <w:t>Non-citizens'</w:t>
      </w:r>
      <w:r w:rsidRPr="00E30960">
        <w:rPr>
          <w:rFonts w:ascii="Arial" w:eastAsia="Arial" w:hAnsi="Arial" w:cs="Arial"/>
          <w:i/>
          <w:iCs/>
          <w:sz w:val="22"/>
          <w:szCs w:val="22"/>
        </w:rPr>
        <w:t xml:space="preserve"> access to healthcare</w:t>
      </w:r>
    </w:p>
    <w:p w14:paraId="5344B19F" w14:textId="77777777" w:rsidR="00C41F6E" w:rsidRPr="00092464" w:rsidRDefault="00000000" w:rsidP="00092464">
      <w:pPr>
        <w:rPr>
          <w:rFonts w:ascii="Arial" w:hAnsi="Arial"/>
          <w:sz w:val="22"/>
        </w:rPr>
      </w:pPr>
      <w:r w:rsidRPr="00092464">
        <w:rPr>
          <w:rFonts w:ascii="Arial" w:hAnsi="Arial"/>
          <w:sz w:val="22"/>
        </w:rPr>
        <w:t>12.1</w:t>
      </w:r>
      <w:r w:rsidRPr="00092464">
        <w:rPr>
          <w:rFonts w:ascii="Arial" w:hAnsi="Arial"/>
          <w:sz w:val="22"/>
        </w:rPr>
        <w:tab/>
        <w:t>CO 40 has yet to be implemented. Non-citizen access to healthcare, reproductive health services and contraception still remains restricted particularly for the refugee and migrant communities. Women’s Aid Organisation has, in assisting non-citizen survivors of violence, found deposits, higher fees, digital banking and the reporting of undocumented migrants an issue in accessing medical support for sexual and gender-based violence survivors.</w:t>
      </w:r>
    </w:p>
    <w:p w14:paraId="0D5F0864" w14:textId="77777777" w:rsidR="00C41F6E" w:rsidRPr="00092464" w:rsidRDefault="00C41F6E" w:rsidP="00092464">
      <w:pPr>
        <w:rPr>
          <w:rFonts w:ascii="Arial" w:hAnsi="Arial"/>
          <w:sz w:val="22"/>
        </w:rPr>
      </w:pPr>
    </w:p>
    <w:p w14:paraId="11D19FD3" w14:textId="77777777" w:rsidR="00C41F6E" w:rsidRPr="00092464" w:rsidRDefault="00000000" w:rsidP="00092464">
      <w:pPr>
        <w:rPr>
          <w:rFonts w:ascii="Arial" w:hAnsi="Arial"/>
          <w:sz w:val="22"/>
        </w:rPr>
      </w:pPr>
      <w:r w:rsidRPr="00092464">
        <w:rPr>
          <w:rFonts w:ascii="Arial" w:hAnsi="Arial"/>
          <w:sz w:val="22"/>
        </w:rPr>
        <w:t>12.2</w:t>
      </w:r>
      <w:r w:rsidRPr="00092464">
        <w:rPr>
          <w:rFonts w:ascii="Arial" w:hAnsi="Arial"/>
          <w:sz w:val="22"/>
        </w:rPr>
        <w:tab/>
        <w:t xml:space="preserve">Paragraphs 92-95 of the Report directly contradict Ministry of Health’s stated objective (paragraph 93) to provide the best health services to the public “regardless of nationalities” as the threat of being reported as undocumented deters non-citizens from seeking life-saving treatment. </w:t>
      </w:r>
    </w:p>
    <w:p w14:paraId="31ED1DAC" w14:textId="77777777" w:rsidR="00C41F6E" w:rsidRPr="00092464" w:rsidRDefault="00C41F6E" w:rsidP="00092464">
      <w:pPr>
        <w:rPr>
          <w:rFonts w:ascii="Arial" w:hAnsi="Arial"/>
          <w:sz w:val="22"/>
        </w:rPr>
      </w:pPr>
    </w:p>
    <w:p w14:paraId="709815EA" w14:textId="77777777" w:rsidR="00C41F6E" w:rsidRPr="00E30960" w:rsidRDefault="00000000" w:rsidP="00092464">
      <w:pPr>
        <w:pStyle w:val="Heading3"/>
        <w:rPr>
          <w:rFonts w:ascii="Arial" w:eastAsia="Arial" w:hAnsi="Arial" w:cs="Arial"/>
          <w:i/>
          <w:iCs/>
          <w:sz w:val="22"/>
          <w:szCs w:val="22"/>
        </w:rPr>
      </w:pPr>
      <w:bookmarkStart w:id="38" w:name="_heading=h.1job5cngs9pd" w:colFirst="0" w:colLast="0"/>
      <w:bookmarkEnd w:id="38"/>
      <w:r w:rsidRPr="00E30960">
        <w:rPr>
          <w:rFonts w:ascii="Arial" w:eastAsia="Arial" w:hAnsi="Arial" w:cs="Arial"/>
          <w:i/>
          <w:iCs/>
          <w:sz w:val="22"/>
          <w:szCs w:val="22"/>
        </w:rPr>
        <w:t>Women and girls with disabilities (WGD)</w:t>
      </w:r>
    </w:p>
    <w:p w14:paraId="158DA853" w14:textId="77777777" w:rsidR="00C41F6E" w:rsidRPr="00092464" w:rsidRDefault="00C41F6E" w:rsidP="00092464">
      <w:pPr>
        <w:rPr>
          <w:rFonts w:ascii="Arial" w:hAnsi="Arial"/>
          <w:sz w:val="22"/>
        </w:rPr>
      </w:pPr>
    </w:p>
    <w:p w14:paraId="767F246F" w14:textId="77777777" w:rsidR="00C41F6E" w:rsidRPr="00092464" w:rsidRDefault="00000000" w:rsidP="00092464">
      <w:pPr>
        <w:rPr>
          <w:rFonts w:ascii="Arial" w:hAnsi="Arial"/>
          <w:sz w:val="22"/>
        </w:rPr>
      </w:pPr>
      <w:r w:rsidRPr="00092464">
        <w:rPr>
          <w:rFonts w:ascii="Arial" w:hAnsi="Arial"/>
          <w:sz w:val="22"/>
        </w:rPr>
        <w:t>12.3</w:t>
      </w:r>
      <w:r w:rsidRPr="00092464">
        <w:rPr>
          <w:rFonts w:ascii="Arial" w:hAnsi="Arial"/>
          <w:sz w:val="22"/>
        </w:rPr>
        <w:tab/>
        <w:t>WGD face discrimination and gender-disability ableist attitudes and behaviour when accessing healthcare,</w:t>
      </w:r>
      <w:r w:rsidRPr="00092464">
        <w:rPr>
          <w:rFonts w:ascii="Arial" w:hAnsi="Arial"/>
          <w:sz w:val="22"/>
          <w:vertAlign w:val="superscript"/>
        </w:rPr>
        <w:footnoteReference w:id="20"/>
      </w:r>
      <w:r w:rsidRPr="00092464">
        <w:rPr>
          <w:rFonts w:ascii="Arial" w:hAnsi="Arial"/>
          <w:sz w:val="22"/>
        </w:rPr>
        <w:t xml:space="preserve"> including contraception access. WGD participation in decision-making on personal health care is limited.</w:t>
      </w:r>
    </w:p>
    <w:p w14:paraId="06A59D94" w14:textId="77777777" w:rsidR="00C41F6E" w:rsidRPr="00092464" w:rsidRDefault="00C41F6E" w:rsidP="00092464">
      <w:pPr>
        <w:rPr>
          <w:rFonts w:ascii="Arial" w:hAnsi="Arial"/>
          <w:sz w:val="22"/>
        </w:rPr>
      </w:pPr>
    </w:p>
    <w:p w14:paraId="1A9AF5EF" w14:textId="1A3506D7" w:rsidR="00C41F6E" w:rsidRPr="00092464" w:rsidRDefault="00000000" w:rsidP="00092464">
      <w:pPr>
        <w:spacing w:after="240" w:line="240" w:lineRule="auto"/>
        <w:rPr>
          <w:rFonts w:ascii="Arial" w:hAnsi="Arial"/>
          <w:i/>
          <w:sz w:val="22"/>
        </w:rPr>
      </w:pPr>
      <w:r w:rsidRPr="00092464">
        <w:rPr>
          <w:rFonts w:ascii="Arial" w:hAnsi="Arial"/>
          <w:i/>
          <w:sz w:val="22"/>
        </w:rPr>
        <w:t xml:space="preserve">LBTI </w:t>
      </w:r>
      <w:r w:rsidR="00E30960">
        <w:rPr>
          <w:rFonts w:ascii="Arial" w:hAnsi="Arial"/>
          <w:i/>
          <w:sz w:val="22"/>
        </w:rPr>
        <w:t>WOMEN AND GIRLS</w:t>
      </w:r>
      <w:r w:rsidRPr="00092464">
        <w:rPr>
          <w:rFonts w:ascii="Arial" w:hAnsi="Arial"/>
          <w:i/>
          <w:sz w:val="22"/>
        </w:rPr>
        <w:t xml:space="preserve"> </w:t>
      </w:r>
    </w:p>
    <w:p w14:paraId="45D98A05" w14:textId="77777777" w:rsidR="00C41F6E" w:rsidRPr="00092464" w:rsidRDefault="00000000" w:rsidP="00092464">
      <w:pPr>
        <w:rPr>
          <w:rFonts w:ascii="Arial" w:hAnsi="Arial"/>
          <w:sz w:val="22"/>
        </w:rPr>
      </w:pPr>
      <w:r w:rsidRPr="00092464">
        <w:rPr>
          <w:rFonts w:ascii="Arial" w:hAnsi="Arial"/>
          <w:sz w:val="22"/>
        </w:rPr>
        <w:t>12.4 The state’s health guidelines medicalize LBTI persons and are not evidence and rights-based. The 2017 guideline on managing ‘gender confusion’ in health clinics</w:t>
      </w:r>
      <w:r w:rsidRPr="00092464">
        <w:rPr>
          <w:rFonts w:ascii="Arial" w:hAnsi="Arial"/>
          <w:sz w:val="22"/>
          <w:vertAlign w:val="superscript"/>
        </w:rPr>
        <w:footnoteReference w:id="21"/>
      </w:r>
      <w:r w:rsidRPr="00092464">
        <w:rPr>
          <w:rFonts w:ascii="Arial" w:hAnsi="Arial"/>
          <w:sz w:val="22"/>
        </w:rPr>
        <w:t xml:space="preserve"> recommends medical  examinations, chromosome tests and counselling with state agencies, counsellors, and religious institutions, among others for people seeking gender-related support. The 2019 Paediatric Protocols recommends sex rearing for intersex babies based on ‘most probable adult gender identity and potential for adult function’ and medical and non-medical measures to reinforce the assigned gender.</w:t>
      </w:r>
      <w:r w:rsidRPr="00092464">
        <w:rPr>
          <w:rFonts w:ascii="Arial" w:hAnsi="Arial"/>
          <w:sz w:val="22"/>
          <w:vertAlign w:val="superscript"/>
        </w:rPr>
        <w:footnoteReference w:id="22"/>
      </w:r>
      <w:r w:rsidRPr="00092464">
        <w:rPr>
          <w:rFonts w:ascii="Arial" w:hAnsi="Arial"/>
          <w:sz w:val="22"/>
          <w:vertAlign w:val="superscript"/>
        </w:rPr>
        <w:t xml:space="preserve"> </w:t>
      </w:r>
      <w:r w:rsidRPr="00092464">
        <w:rPr>
          <w:rFonts w:ascii="Arial" w:hAnsi="Arial"/>
          <w:sz w:val="22"/>
          <w:vertAlign w:val="superscript"/>
        </w:rPr>
        <w:footnoteReference w:id="23"/>
      </w:r>
    </w:p>
    <w:p w14:paraId="4590C47F" w14:textId="77777777" w:rsidR="00C41F6E" w:rsidRPr="00092464" w:rsidRDefault="00C41F6E" w:rsidP="00092464">
      <w:pPr>
        <w:rPr>
          <w:rFonts w:ascii="Arial" w:hAnsi="Arial"/>
          <w:sz w:val="22"/>
        </w:rPr>
      </w:pPr>
    </w:p>
    <w:p w14:paraId="5DCF1E71" w14:textId="77777777" w:rsidR="00C41F6E" w:rsidRPr="00092464" w:rsidRDefault="00000000" w:rsidP="00092464">
      <w:pPr>
        <w:rPr>
          <w:rFonts w:ascii="Arial" w:hAnsi="Arial"/>
          <w:color w:val="222222"/>
          <w:sz w:val="22"/>
        </w:rPr>
      </w:pPr>
      <w:r w:rsidRPr="00092464">
        <w:rPr>
          <w:rFonts w:ascii="Arial" w:hAnsi="Arial"/>
          <w:sz w:val="22"/>
        </w:rPr>
        <w:t>12.5 Weaponization of HIV against LGBT people threatens healthcare access and increases discrimination based on SOGI. State actors exploit LGBT-related HIV statistics while promoting harmful and counterproductive HIV interventions, such as rehabilitation. A study shows 42% of 436 physicians in Kuala Lumpur showed stigma-related constructs towards transgender people.</w:t>
      </w:r>
      <w:r w:rsidRPr="00092464">
        <w:rPr>
          <w:rFonts w:ascii="Arial" w:hAnsi="Arial"/>
          <w:sz w:val="22"/>
          <w:vertAlign w:val="superscript"/>
        </w:rPr>
        <w:footnoteReference w:id="24"/>
      </w:r>
    </w:p>
    <w:p w14:paraId="55411DCF" w14:textId="77777777" w:rsidR="00C41F6E" w:rsidRPr="00E30960" w:rsidRDefault="00000000" w:rsidP="00092464">
      <w:pPr>
        <w:pStyle w:val="Heading3"/>
        <w:spacing w:before="240" w:after="240"/>
        <w:rPr>
          <w:rFonts w:ascii="Arial" w:eastAsia="Arial" w:hAnsi="Arial" w:cs="Arial"/>
          <w:i/>
          <w:iCs/>
          <w:sz w:val="22"/>
          <w:szCs w:val="22"/>
        </w:rPr>
      </w:pPr>
      <w:bookmarkStart w:id="39" w:name="_heading=h.fgz3rwz6haen" w:colFirst="0" w:colLast="0"/>
      <w:bookmarkEnd w:id="39"/>
      <w:r w:rsidRPr="00E30960">
        <w:rPr>
          <w:rFonts w:ascii="Arial" w:eastAsia="Arial" w:hAnsi="Arial" w:cs="Arial"/>
          <w:i/>
          <w:iCs/>
          <w:sz w:val="22"/>
          <w:szCs w:val="22"/>
        </w:rPr>
        <w:t>COVID-19 Critical Issues</w:t>
      </w:r>
    </w:p>
    <w:p w14:paraId="3E21608C" w14:textId="77777777" w:rsidR="00C41F6E" w:rsidRPr="00092464" w:rsidRDefault="00000000" w:rsidP="00092464">
      <w:pPr>
        <w:spacing w:before="240" w:after="240"/>
        <w:rPr>
          <w:rFonts w:ascii="Arial" w:hAnsi="Arial"/>
          <w:sz w:val="22"/>
        </w:rPr>
      </w:pPr>
      <w:r w:rsidRPr="00092464">
        <w:rPr>
          <w:rFonts w:ascii="Arial" w:hAnsi="Arial"/>
          <w:sz w:val="22"/>
        </w:rPr>
        <w:t>12.6</w:t>
      </w:r>
      <w:r w:rsidRPr="00092464">
        <w:rPr>
          <w:rFonts w:ascii="Arial" w:hAnsi="Arial"/>
          <w:sz w:val="22"/>
        </w:rPr>
        <w:tab/>
        <w:t>The COVID-19 pandemic has exacerbated inequalities, further marginalizing persons with disabilities and the poor. The COVID-19 pandemic may well become a mass disabling event, with women and girls at higher risk.</w:t>
      </w:r>
      <w:r w:rsidRPr="00092464">
        <w:rPr>
          <w:rFonts w:ascii="Arial" w:hAnsi="Arial"/>
          <w:sz w:val="22"/>
          <w:vertAlign w:val="superscript"/>
        </w:rPr>
        <w:footnoteReference w:id="25"/>
      </w:r>
    </w:p>
    <w:p w14:paraId="2181A63D" w14:textId="77777777" w:rsidR="00C41F6E" w:rsidRPr="00092464" w:rsidRDefault="00000000" w:rsidP="00092464">
      <w:pPr>
        <w:spacing w:before="240" w:after="240"/>
        <w:rPr>
          <w:rFonts w:ascii="Arial" w:hAnsi="Arial"/>
          <w:sz w:val="22"/>
          <w:shd w:val="clear" w:color="auto" w:fill="F4CCCC"/>
        </w:rPr>
      </w:pPr>
      <w:r w:rsidRPr="00092464">
        <w:rPr>
          <w:rFonts w:ascii="Arial" w:hAnsi="Arial"/>
          <w:sz w:val="22"/>
        </w:rPr>
        <w:t>12.7</w:t>
      </w:r>
      <w:r w:rsidRPr="00092464">
        <w:rPr>
          <w:rFonts w:ascii="Arial" w:hAnsi="Arial"/>
          <w:sz w:val="22"/>
        </w:rPr>
        <w:tab/>
        <w:t>One in five COVID-19 survivors will experience persistent symptoms or organ dysfunction, some of which may be disabling. There is a higher female rate for Long COVID</w:t>
      </w:r>
      <w:r w:rsidRPr="00092464">
        <w:rPr>
          <w:rFonts w:ascii="Arial" w:hAnsi="Arial"/>
          <w:sz w:val="22"/>
          <w:vertAlign w:val="superscript"/>
        </w:rPr>
        <w:footnoteReference w:id="26"/>
      </w:r>
      <w:r w:rsidRPr="00092464">
        <w:rPr>
          <w:rFonts w:ascii="Arial" w:hAnsi="Arial"/>
          <w:sz w:val="22"/>
        </w:rPr>
        <w:t xml:space="preserve"> and there may be a higher risk of developmental delay in babies born to mothers infected during pregnancy. However, no such studies on the impact of long covid-19 on women are available in Malaysia.</w:t>
      </w:r>
    </w:p>
    <w:p w14:paraId="05D341AA" w14:textId="77777777" w:rsidR="00C41F6E" w:rsidRPr="00E30960" w:rsidRDefault="00000000" w:rsidP="00092464">
      <w:pPr>
        <w:pStyle w:val="Heading4"/>
        <w:spacing w:line="240" w:lineRule="auto"/>
        <w:rPr>
          <w:rFonts w:ascii="Arial" w:eastAsia="Arial" w:hAnsi="Arial" w:cs="Arial"/>
          <w:b/>
          <w:bCs/>
          <w:sz w:val="22"/>
        </w:rPr>
      </w:pPr>
      <w:bookmarkStart w:id="40" w:name="_heading=h.iqf7majvs087" w:colFirst="0" w:colLast="0"/>
      <w:bookmarkEnd w:id="40"/>
      <w:r w:rsidRPr="00E30960">
        <w:rPr>
          <w:rFonts w:ascii="Arial" w:eastAsia="Arial" w:hAnsi="Arial" w:cs="Arial"/>
          <w:b/>
          <w:bCs/>
          <w:sz w:val="22"/>
        </w:rPr>
        <w:t xml:space="preserve">Critical Questions </w:t>
      </w:r>
    </w:p>
    <w:p w14:paraId="5CD157E9" w14:textId="77777777" w:rsidR="00E30960" w:rsidRDefault="00E30960" w:rsidP="00092464">
      <w:pPr>
        <w:spacing w:line="240" w:lineRule="auto"/>
        <w:rPr>
          <w:rFonts w:ascii="Arial" w:hAnsi="Arial"/>
          <w:sz w:val="22"/>
        </w:rPr>
      </w:pPr>
    </w:p>
    <w:p w14:paraId="29E223F7" w14:textId="7F543710" w:rsidR="00C41F6E" w:rsidRPr="00092464" w:rsidRDefault="00000000" w:rsidP="00092464">
      <w:pPr>
        <w:spacing w:line="240" w:lineRule="auto"/>
        <w:rPr>
          <w:rFonts w:ascii="Arial" w:hAnsi="Arial"/>
          <w:sz w:val="22"/>
        </w:rPr>
      </w:pPr>
      <w:r w:rsidRPr="00092464">
        <w:rPr>
          <w:rFonts w:ascii="Arial" w:hAnsi="Arial"/>
          <w:sz w:val="22"/>
        </w:rPr>
        <w:lastRenderedPageBreak/>
        <w:t>Q23.</w:t>
      </w:r>
      <w:r w:rsidRPr="00092464">
        <w:rPr>
          <w:rFonts w:ascii="Arial" w:hAnsi="Arial"/>
          <w:sz w:val="22"/>
        </w:rPr>
        <w:tab/>
        <w:t xml:space="preserve">How does the state plan to adopt an evidence and rights-based approach in relation to LBTI women’s health issues? </w:t>
      </w:r>
    </w:p>
    <w:p w14:paraId="638A7B9E" w14:textId="77777777" w:rsidR="00C41F6E" w:rsidRPr="00092464" w:rsidRDefault="00C41F6E" w:rsidP="00092464">
      <w:pPr>
        <w:spacing w:line="240" w:lineRule="auto"/>
        <w:rPr>
          <w:rFonts w:ascii="Arial" w:hAnsi="Arial"/>
          <w:sz w:val="22"/>
        </w:rPr>
      </w:pPr>
    </w:p>
    <w:p w14:paraId="52B541C7" w14:textId="77777777" w:rsidR="00C41F6E" w:rsidRPr="00092464" w:rsidRDefault="00000000" w:rsidP="00092464">
      <w:pPr>
        <w:spacing w:line="240" w:lineRule="auto"/>
        <w:rPr>
          <w:rFonts w:ascii="Arial" w:hAnsi="Arial"/>
          <w:sz w:val="22"/>
        </w:rPr>
      </w:pPr>
      <w:r w:rsidRPr="00092464">
        <w:rPr>
          <w:rFonts w:ascii="Arial" w:hAnsi="Arial"/>
          <w:sz w:val="22"/>
        </w:rPr>
        <w:t>Q24.</w:t>
      </w:r>
      <w:r w:rsidRPr="00092464">
        <w:rPr>
          <w:rFonts w:ascii="Arial" w:hAnsi="Arial"/>
          <w:sz w:val="22"/>
        </w:rPr>
        <w:tab/>
        <w:t xml:space="preserve">What Government schemes strengthen the rights of WGD (including Deaf/Blind/Learning Disabled girls and women, rights-based SRHR services), as healthcare service users, and enable their informed decision-making and bodily autonomy? </w:t>
      </w:r>
    </w:p>
    <w:p w14:paraId="0EA93FEB" w14:textId="77777777" w:rsidR="00C41F6E" w:rsidRPr="00092464" w:rsidRDefault="00C41F6E" w:rsidP="00092464">
      <w:pPr>
        <w:spacing w:line="240" w:lineRule="auto"/>
        <w:rPr>
          <w:rFonts w:ascii="Arial" w:hAnsi="Arial"/>
          <w:sz w:val="22"/>
        </w:rPr>
      </w:pPr>
    </w:p>
    <w:p w14:paraId="0E05DEEF" w14:textId="77777777" w:rsidR="00C41F6E" w:rsidRPr="00092464" w:rsidRDefault="00C41F6E" w:rsidP="00092464">
      <w:pPr>
        <w:spacing w:line="240" w:lineRule="auto"/>
        <w:rPr>
          <w:rFonts w:ascii="Arial" w:hAnsi="Arial"/>
          <w:sz w:val="22"/>
        </w:rPr>
      </w:pPr>
    </w:p>
    <w:p w14:paraId="12463205"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t xml:space="preserve">Article 13: Social and economic benefits </w:t>
      </w:r>
    </w:p>
    <w:p w14:paraId="29F9B053" w14:textId="77777777" w:rsidR="00C41F6E" w:rsidRPr="00092464" w:rsidRDefault="00C41F6E" w:rsidP="00092464">
      <w:pPr>
        <w:rPr>
          <w:rFonts w:ascii="Arial" w:hAnsi="Arial"/>
          <w:sz w:val="22"/>
        </w:rPr>
      </w:pPr>
    </w:p>
    <w:p w14:paraId="6AEE3711" w14:textId="77777777" w:rsidR="00C41F6E" w:rsidRPr="00092464" w:rsidRDefault="00000000" w:rsidP="00092464">
      <w:pPr>
        <w:rPr>
          <w:rFonts w:ascii="Arial" w:hAnsi="Arial"/>
          <w:sz w:val="22"/>
        </w:rPr>
      </w:pPr>
      <w:r w:rsidRPr="00092464">
        <w:rPr>
          <w:rFonts w:ascii="Arial" w:hAnsi="Arial"/>
          <w:sz w:val="22"/>
        </w:rPr>
        <w:t>13.1</w:t>
      </w:r>
      <w:r w:rsidRPr="00092464">
        <w:rPr>
          <w:rFonts w:ascii="Arial" w:hAnsi="Arial"/>
          <w:sz w:val="22"/>
        </w:rPr>
        <w:tab/>
        <w:t>The primary care partners of persons with disabilities are women, including WGD. Care is significant, unrecognized work that limits social and economic engagement.</w:t>
      </w:r>
    </w:p>
    <w:p w14:paraId="6A6BDB3B" w14:textId="77777777" w:rsidR="00E30960" w:rsidRDefault="00E30960" w:rsidP="00092464">
      <w:pPr>
        <w:pStyle w:val="Heading4"/>
        <w:rPr>
          <w:rFonts w:ascii="Arial" w:eastAsia="Arial" w:hAnsi="Arial" w:cs="Arial"/>
          <w:sz w:val="22"/>
        </w:rPr>
      </w:pPr>
      <w:bookmarkStart w:id="41" w:name="_heading=h.8rurwvq3kh73" w:colFirst="0" w:colLast="0"/>
      <w:bookmarkEnd w:id="41"/>
    </w:p>
    <w:p w14:paraId="4FC37BFD" w14:textId="29F16043" w:rsidR="00C41F6E" w:rsidRDefault="00000000" w:rsidP="00092464">
      <w:pPr>
        <w:pStyle w:val="Heading4"/>
        <w:rPr>
          <w:rFonts w:ascii="Arial" w:eastAsia="Arial" w:hAnsi="Arial" w:cs="Arial"/>
          <w:b/>
          <w:bCs/>
          <w:sz w:val="22"/>
        </w:rPr>
      </w:pPr>
      <w:r w:rsidRPr="00E30960">
        <w:rPr>
          <w:rFonts w:ascii="Arial" w:eastAsia="Arial" w:hAnsi="Arial" w:cs="Arial"/>
          <w:b/>
          <w:bCs/>
          <w:sz w:val="22"/>
        </w:rPr>
        <w:t>Critical Question</w:t>
      </w:r>
    </w:p>
    <w:p w14:paraId="441D0FBB" w14:textId="77777777" w:rsidR="00E30960" w:rsidRPr="00E30960" w:rsidRDefault="00E30960" w:rsidP="00E30960"/>
    <w:p w14:paraId="197879A5" w14:textId="77777777" w:rsidR="00C41F6E" w:rsidRPr="00092464" w:rsidRDefault="00000000" w:rsidP="00092464">
      <w:pPr>
        <w:rPr>
          <w:rFonts w:ascii="Arial" w:hAnsi="Arial"/>
          <w:sz w:val="22"/>
        </w:rPr>
      </w:pPr>
      <w:r w:rsidRPr="00092464">
        <w:rPr>
          <w:rFonts w:ascii="Arial" w:hAnsi="Arial"/>
          <w:sz w:val="22"/>
        </w:rPr>
        <w:t>Q25.</w:t>
      </w:r>
      <w:r w:rsidRPr="00092464">
        <w:rPr>
          <w:rFonts w:ascii="Arial" w:hAnsi="Arial"/>
          <w:sz w:val="22"/>
        </w:rPr>
        <w:tab/>
        <w:t xml:space="preserve">What measures does the state have to recognize unpaid care work, and to ensure women primary care partners of PWD receive sufficient support? This includes a mechanism to address complaints by care partners when they are raised. </w:t>
      </w:r>
    </w:p>
    <w:p w14:paraId="3DDF7586" w14:textId="77777777" w:rsidR="00C41F6E" w:rsidRPr="00092464" w:rsidRDefault="00C41F6E" w:rsidP="00092464">
      <w:pPr>
        <w:rPr>
          <w:rFonts w:ascii="Arial" w:hAnsi="Arial"/>
          <w:sz w:val="22"/>
        </w:rPr>
      </w:pPr>
    </w:p>
    <w:p w14:paraId="40AC7391" w14:textId="77777777" w:rsidR="00C41F6E" w:rsidRPr="00092464" w:rsidRDefault="00C41F6E" w:rsidP="00092464">
      <w:pPr>
        <w:rPr>
          <w:rFonts w:ascii="Arial" w:hAnsi="Arial"/>
          <w:sz w:val="22"/>
        </w:rPr>
      </w:pPr>
    </w:p>
    <w:p w14:paraId="32DA4C01" w14:textId="77777777" w:rsidR="00C41F6E" w:rsidRPr="00E30960" w:rsidRDefault="00000000" w:rsidP="00092464">
      <w:pPr>
        <w:pStyle w:val="Heading2"/>
        <w:rPr>
          <w:rFonts w:ascii="Arial" w:eastAsia="Arial" w:hAnsi="Arial" w:cs="Arial"/>
          <w:b/>
          <w:bCs/>
          <w:sz w:val="24"/>
          <w:szCs w:val="24"/>
        </w:rPr>
      </w:pPr>
      <w:bookmarkStart w:id="42" w:name="_heading=h.3jazv8rv0nmg" w:colFirst="0" w:colLast="0"/>
      <w:bookmarkEnd w:id="42"/>
      <w:r w:rsidRPr="00E30960">
        <w:rPr>
          <w:rFonts w:ascii="Arial" w:eastAsia="Arial" w:hAnsi="Arial" w:cs="Arial"/>
          <w:b/>
          <w:bCs/>
          <w:sz w:val="24"/>
          <w:szCs w:val="24"/>
        </w:rPr>
        <w:t xml:space="preserve">Article 14: Rural women </w:t>
      </w:r>
    </w:p>
    <w:p w14:paraId="7BA2A364" w14:textId="77777777" w:rsidR="00C41F6E" w:rsidRPr="00E30960" w:rsidRDefault="00C41F6E" w:rsidP="00092464">
      <w:pPr>
        <w:rPr>
          <w:rFonts w:ascii="Arial" w:hAnsi="Arial"/>
          <w:b/>
          <w:bCs/>
          <w:sz w:val="24"/>
          <w:szCs w:val="24"/>
        </w:rPr>
      </w:pPr>
    </w:p>
    <w:p w14:paraId="29633C26" w14:textId="77777777" w:rsidR="00C41F6E" w:rsidRPr="00092464" w:rsidRDefault="00000000" w:rsidP="00092464">
      <w:pPr>
        <w:rPr>
          <w:rFonts w:ascii="Arial" w:hAnsi="Arial"/>
          <w:sz w:val="22"/>
        </w:rPr>
      </w:pPr>
      <w:r w:rsidRPr="00092464">
        <w:rPr>
          <w:rFonts w:ascii="Arial" w:hAnsi="Arial"/>
          <w:sz w:val="22"/>
        </w:rPr>
        <w:t>14.1</w:t>
      </w:r>
      <w:r w:rsidRPr="00092464">
        <w:rPr>
          <w:rFonts w:ascii="Arial" w:hAnsi="Arial"/>
          <w:sz w:val="22"/>
        </w:rPr>
        <w:tab/>
        <w:t>Though the state claims that indigenous women are protected by national and state laws (paragraph 106), Malaysian indigenous women suffer from many forms of violence - physical, sexual, and emotional abuse. A National Task Force identified complicating factors for Indigenous women to report abuse include: lack of identification cards, poor transportation poverty, illiteracy, and discrimination.</w:t>
      </w:r>
      <w:r w:rsidRPr="00092464">
        <w:rPr>
          <w:rFonts w:ascii="Arial" w:hAnsi="Arial"/>
          <w:sz w:val="22"/>
          <w:vertAlign w:val="superscript"/>
        </w:rPr>
        <w:footnoteReference w:id="27"/>
      </w:r>
      <w:r w:rsidRPr="00092464">
        <w:rPr>
          <w:rFonts w:ascii="Arial" w:hAnsi="Arial"/>
          <w:sz w:val="22"/>
        </w:rPr>
        <w:t xml:space="preserve"> This also impacts their access to healthcare, as articulated under </w:t>
      </w:r>
      <w:hyperlink w:anchor="_heading=h.sgh9uunoiuv2">
        <w:r w:rsidRPr="00092464">
          <w:rPr>
            <w:rFonts w:ascii="Arial" w:hAnsi="Arial"/>
            <w:color w:val="1155CC"/>
            <w:sz w:val="22"/>
            <w:u w:val="single"/>
          </w:rPr>
          <w:t>Article 12</w:t>
        </w:r>
      </w:hyperlink>
      <w:r w:rsidRPr="00092464">
        <w:rPr>
          <w:rFonts w:ascii="Arial" w:hAnsi="Arial"/>
          <w:sz w:val="22"/>
        </w:rPr>
        <w:t xml:space="preserve">. </w:t>
      </w:r>
    </w:p>
    <w:p w14:paraId="5F074B5B" w14:textId="0368EDF8" w:rsidR="00C41F6E" w:rsidRPr="00E30960" w:rsidRDefault="00000000" w:rsidP="00092464">
      <w:pPr>
        <w:pStyle w:val="Heading4"/>
        <w:rPr>
          <w:rFonts w:ascii="Arial" w:eastAsia="Arial" w:hAnsi="Arial" w:cs="Arial"/>
          <w:b/>
          <w:bCs/>
          <w:sz w:val="22"/>
        </w:rPr>
      </w:pPr>
      <w:bookmarkStart w:id="43" w:name="_heading=h.6dlad29zdrlz" w:colFirst="0" w:colLast="0"/>
      <w:bookmarkEnd w:id="43"/>
      <w:r w:rsidRPr="00E30960">
        <w:rPr>
          <w:rFonts w:ascii="Arial" w:eastAsia="Arial" w:hAnsi="Arial" w:cs="Arial"/>
          <w:b/>
          <w:bCs/>
          <w:sz w:val="22"/>
        </w:rPr>
        <w:t xml:space="preserve">Critical Question </w:t>
      </w:r>
    </w:p>
    <w:p w14:paraId="17A72CA8" w14:textId="77777777" w:rsidR="00E30960" w:rsidRPr="00E30960" w:rsidRDefault="00E30960" w:rsidP="00E30960"/>
    <w:p w14:paraId="35E2BBD3" w14:textId="77777777" w:rsidR="00C41F6E" w:rsidRPr="00092464" w:rsidRDefault="00000000" w:rsidP="00092464">
      <w:pPr>
        <w:rPr>
          <w:rFonts w:ascii="Arial" w:hAnsi="Arial"/>
          <w:sz w:val="22"/>
        </w:rPr>
      </w:pPr>
      <w:r w:rsidRPr="00092464">
        <w:rPr>
          <w:rFonts w:ascii="Arial" w:hAnsi="Arial"/>
          <w:sz w:val="22"/>
        </w:rPr>
        <w:t>Q26.</w:t>
      </w:r>
      <w:r w:rsidRPr="00092464">
        <w:rPr>
          <w:rFonts w:ascii="Arial" w:hAnsi="Arial"/>
          <w:sz w:val="22"/>
        </w:rPr>
        <w:tab/>
        <w:t xml:space="preserve">How does the state plan to extend its protections to Malaysian indigenous women to prevent them from further abuse? </w:t>
      </w:r>
    </w:p>
    <w:p w14:paraId="564C585B" w14:textId="77777777" w:rsidR="00C41F6E" w:rsidRPr="00092464" w:rsidRDefault="00C41F6E" w:rsidP="00092464">
      <w:pPr>
        <w:pStyle w:val="Heading2"/>
        <w:rPr>
          <w:rFonts w:ascii="Arial" w:eastAsia="Arial" w:hAnsi="Arial" w:cs="Arial"/>
          <w:sz w:val="22"/>
          <w:szCs w:val="22"/>
        </w:rPr>
      </w:pPr>
    </w:p>
    <w:p w14:paraId="49E67892" w14:textId="77777777" w:rsidR="00C41F6E" w:rsidRPr="00E30960" w:rsidRDefault="00000000" w:rsidP="00092464">
      <w:pPr>
        <w:pStyle w:val="Heading2"/>
        <w:rPr>
          <w:rFonts w:ascii="Arial" w:eastAsia="Arial" w:hAnsi="Arial" w:cs="Arial"/>
          <w:b/>
          <w:bCs/>
          <w:sz w:val="24"/>
          <w:szCs w:val="24"/>
        </w:rPr>
      </w:pPr>
      <w:r w:rsidRPr="00E30960">
        <w:rPr>
          <w:rFonts w:ascii="Arial" w:eastAsia="Arial" w:hAnsi="Arial" w:cs="Arial"/>
          <w:b/>
          <w:bCs/>
          <w:sz w:val="24"/>
          <w:szCs w:val="24"/>
        </w:rPr>
        <w:t xml:space="preserve">Article 15: Equality in the law </w:t>
      </w:r>
    </w:p>
    <w:p w14:paraId="29AC46E4" w14:textId="77777777" w:rsidR="00C41F6E" w:rsidRPr="00092464" w:rsidRDefault="00C41F6E" w:rsidP="00092464">
      <w:pPr>
        <w:rPr>
          <w:rFonts w:ascii="Arial" w:hAnsi="Arial"/>
          <w:sz w:val="22"/>
        </w:rPr>
      </w:pPr>
    </w:p>
    <w:p w14:paraId="5128681A" w14:textId="77777777" w:rsidR="00C41F6E" w:rsidRPr="00092464" w:rsidRDefault="00000000" w:rsidP="00092464">
      <w:pPr>
        <w:rPr>
          <w:rFonts w:ascii="Arial" w:hAnsi="Arial"/>
          <w:sz w:val="22"/>
        </w:rPr>
      </w:pPr>
      <w:r w:rsidRPr="00092464">
        <w:rPr>
          <w:rFonts w:ascii="Arial" w:hAnsi="Arial"/>
          <w:sz w:val="22"/>
        </w:rPr>
        <w:t>15.1</w:t>
      </w:r>
      <w:r w:rsidRPr="00092464">
        <w:rPr>
          <w:rFonts w:ascii="Arial" w:hAnsi="Arial"/>
          <w:sz w:val="22"/>
        </w:rPr>
        <w:tab/>
        <w:t>Contrary to paragraph 113 of the Report, LBT women face increasing criminalization. Between 2019 and 2022, 8 new anti-LGBT state Syariah laws were introduced in three states</w:t>
      </w:r>
      <w:r w:rsidRPr="00092464">
        <w:rPr>
          <w:rFonts w:ascii="Arial" w:hAnsi="Arial"/>
          <w:sz w:val="22"/>
          <w:vertAlign w:val="superscript"/>
        </w:rPr>
        <w:footnoteReference w:id="28"/>
      </w:r>
      <w:r w:rsidRPr="00092464">
        <w:rPr>
          <w:rFonts w:ascii="Arial" w:hAnsi="Arial"/>
          <w:sz w:val="22"/>
        </w:rPr>
        <w:t xml:space="preserve">, increasing the number of state Syariah anti-LGBT laws to 55. The new laws include female person posing as a man (3), attempt to </w:t>
      </w:r>
      <w:proofErr w:type="spellStart"/>
      <w:r w:rsidRPr="00092464">
        <w:rPr>
          <w:rFonts w:ascii="Arial" w:hAnsi="Arial"/>
          <w:i/>
          <w:sz w:val="22"/>
        </w:rPr>
        <w:t>musahaqah</w:t>
      </w:r>
      <w:proofErr w:type="spellEnd"/>
      <w:r w:rsidRPr="00092464">
        <w:rPr>
          <w:rFonts w:ascii="Arial" w:hAnsi="Arial"/>
          <w:sz w:val="22"/>
        </w:rPr>
        <w:t xml:space="preserve">  or sexual relations between women (2), attempt to </w:t>
      </w:r>
      <w:proofErr w:type="spellStart"/>
      <w:r w:rsidRPr="00092464">
        <w:rPr>
          <w:rFonts w:ascii="Arial" w:hAnsi="Arial"/>
          <w:i/>
          <w:sz w:val="22"/>
        </w:rPr>
        <w:t>liwat</w:t>
      </w:r>
      <w:proofErr w:type="spellEnd"/>
      <w:r w:rsidRPr="00092464">
        <w:rPr>
          <w:rFonts w:ascii="Arial" w:hAnsi="Arial"/>
          <w:sz w:val="22"/>
        </w:rPr>
        <w:t xml:space="preserve">  or anal sex or sexual relations between men (2), and changing gender (1). </w:t>
      </w:r>
    </w:p>
    <w:p w14:paraId="162E8E08" w14:textId="77777777" w:rsidR="00C41F6E" w:rsidRPr="00092464" w:rsidRDefault="00C41F6E" w:rsidP="00092464">
      <w:pPr>
        <w:rPr>
          <w:rFonts w:ascii="Arial" w:hAnsi="Arial"/>
          <w:sz w:val="22"/>
        </w:rPr>
      </w:pPr>
    </w:p>
    <w:p w14:paraId="130B818E" w14:textId="77777777" w:rsidR="00C41F6E" w:rsidRPr="00092464" w:rsidRDefault="00000000" w:rsidP="00092464">
      <w:pPr>
        <w:rPr>
          <w:rFonts w:ascii="Arial" w:hAnsi="Arial"/>
          <w:sz w:val="22"/>
        </w:rPr>
      </w:pPr>
      <w:r w:rsidRPr="00092464">
        <w:rPr>
          <w:rFonts w:ascii="Arial" w:hAnsi="Arial"/>
          <w:sz w:val="22"/>
        </w:rPr>
        <w:lastRenderedPageBreak/>
        <w:t xml:space="preserve">15.2 </w:t>
      </w:r>
      <w:r w:rsidRPr="00092464">
        <w:rPr>
          <w:rFonts w:ascii="Arial" w:hAnsi="Arial"/>
          <w:sz w:val="22"/>
        </w:rPr>
        <w:tab/>
        <w:t xml:space="preserve">Between January and February 2022 alone, 5 </w:t>
      </w:r>
      <w:proofErr w:type="spellStart"/>
      <w:r w:rsidRPr="00092464">
        <w:rPr>
          <w:rFonts w:ascii="Arial" w:hAnsi="Arial"/>
          <w:i/>
          <w:sz w:val="22"/>
        </w:rPr>
        <w:t>musahaqah</w:t>
      </w:r>
      <w:proofErr w:type="spellEnd"/>
      <w:r w:rsidRPr="00092464">
        <w:rPr>
          <w:rFonts w:ascii="Arial" w:hAnsi="Arial"/>
          <w:i/>
          <w:sz w:val="22"/>
        </w:rPr>
        <w:t xml:space="preserve"> </w:t>
      </w:r>
      <w:r w:rsidRPr="00092464">
        <w:rPr>
          <w:rFonts w:ascii="Arial" w:hAnsi="Arial"/>
          <w:sz w:val="22"/>
        </w:rPr>
        <w:t>cases and an arrest of a trans person were reported in Kelantan. In 2018 and 2019, a</w:t>
      </w:r>
      <w:hyperlink r:id="rId36">
        <w:r w:rsidRPr="00092464">
          <w:rPr>
            <w:rFonts w:ascii="Arial" w:hAnsi="Arial"/>
            <w:color w:val="1155CC"/>
            <w:sz w:val="22"/>
            <w:u w:val="single"/>
          </w:rPr>
          <w:t xml:space="preserve">t least six people were subjected to caning for attempt to </w:t>
        </w:r>
      </w:hyperlink>
      <w:hyperlink r:id="rId37">
        <w:proofErr w:type="spellStart"/>
        <w:r w:rsidRPr="00092464">
          <w:rPr>
            <w:rFonts w:ascii="Arial" w:hAnsi="Arial"/>
            <w:i/>
            <w:color w:val="1155CC"/>
            <w:sz w:val="22"/>
            <w:u w:val="single"/>
          </w:rPr>
          <w:t>musahaqah</w:t>
        </w:r>
        <w:proofErr w:type="spellEnd"/>
      </w:hyperlink>
      <w:hyperlink r:id="rId38">
        <w:r w:rsidRPr="00092464">
          <w:rPr>
            <w:rFonts w:ascii="Arial" w:hAnsi="Arial"/>
            <w:color w:val="1155CC"/>
            <w:sz w:val="22"/>
            <w:u w:val="single"/>
          </w:rPr>
          <w:t xml:space="preserve"> in Terengganu</w:t>
        </w:r>
      </w:hyperlink>
      <w:r w:rsidRPr="00092464">
        <w:rPr>
          <w:rFonts w:ascii="Arial" w:hAnsi="Arial"/>
          <w:sz w:val="22"/>
        </w:rPr>
        <w:t xml:space="preserve"> and </w:t>
      </w:r>
      <w:hyperlink r:id="rId39">
        <w:r w:rsidRPr="00092464">
          <w:rPr>
            <w:rFonts w:ascii="Arial" w:hAnsi="Arial"/>
            <w:color w:val="1155CC"/>
            <w:sz w:val="22"/>
            <w:u w:val="single"/>
          </w:rPr>
          <w:t>sex against the order of nature in Selangor.</w:t>
        </w:r>
      </w:hyperlink>
      <w:r w:rsidRPr="00092464">
        <w:rPr>
          <w:rFonts w:ascii="Arial" w:hAnsi="Arial"/>
          <w:sz w:val="22"/>
        </w:rPr>
        <w:t xml:space="preserve"> 2 are LBQ women. Statistics of arrests and prosecution are not accessible and available. </w:t>
      </w:r>
    </w:p>
    <w:p w14:paraId="3B75E45A" w14:textId="77777777" w:rsidR="00C41F6E" w:rsidRPr="00092464" w:rsidRDefault="00C41F6E" w:rsidP="00092464">
      <w:pPr>
        <w:rPr>
          <w:rFonts w:ascii="Arial" w:hAnsi="Arial"/>
          <w:sz w:val="22"/>
        </w:rPr>
      </w:pPr>
    </w:p>
    <w:p w14:paraId="34C61A47" w14:textId="77777777" w:rsidR="00C41F6E" w:rsidRPr="00092464" w:rsidRDefault="00000000" w:rsidP="00092464">
      <w:pPr>
        <w:rPr>
          <w:rFonts w:ascii="Arial" w:hAnsi="Arial"/>
          <w:sz w:val="22"/>
        </w:rPr>
      </w:pPr>
      <w:r w:rsidRPr="00092464">
        <w:rPr>
          <w:rFonts w:ascii="Arial" w:hAnsi="Arial"/>
          <w:sz w:val="22"/>
        </w:rPr>
        <w:t>15.3</w:t>
      </w:r>
      <w:r w:rsidRPr="00092464">
        <w:rPr>
          <w:rFonts w:ascii="Arial" w:hAnsi="Arial"/>
          <w:sz w:val="22"/>
        </w:rPr>
        <w:tab/>
        <w:t xml:space="preserve"> In the 2020 constitutional review of Section 28 of the Selangor Syariah Criminal Offences (which criminalizes sex against the order of nature), the Federal Court found the state law unconstitutional and in violation of Article 73, 74 and 75 on Federal and state legislative jurisdiction, further elaborated  in the Federal, state and concurrent lists. The State List, while allowing states to enact laws in relation to ‘precepts of Islam’, is bound by the preclusion clause which stipulates that states cannot enact laws on matters included under the Federal List. </w:t>
      </w:r>
    </w:p>
    <w:p w14:paraId="2EEAD782" w14:textId="77777777" w:rsidR="00C41F6E" w:rsidRPr="00092464" w:rsidRDefault="00C41F6E" w:rsidP="00092464">
      <w:pPr>
        <w:rPr>
          <w:rFonts w:ascii="Arial" w:hAnsi="Arial"/>
          <w:sz w:val="22"/>
        </w:rPr>
      </w:pPr>
    </w:p>
    <w:p w14:paraId="025A552C" w14:textId="77777777" w:rsidR="00C41F6E" w:rsidRPr="00092464" w:rsidRDefault="00000000" w:rsidP="00092464">
      <w:pPr>
        <w:rPr>
          <w:rFonts w:ascii="Arial" w:hAnsi="Arial"/>
          <w:sz w:val="22"/>
        </w:rPr>
      </w:pPr>
      <w:r w:rsidRPr="00092464">
        <w:rPr>
          <w:rFonts w:ascii="Arial" w:hAnsi="Arial"/>
          <w:sz w:val="22"/>
        </w:rPr>
        <w:t>15.4</w:t>
      </w:r>
      <w:r w:rsidRPr="00092464">
        <w:rPr>
          <w:rFonts w:ascii="Arial" w:hAnsi="Arial"/>
          <w:sz w:val="22"/>
        </w:rPr>
        <w:tab/>
        <w:t>The state LGBT rehabilitation efforts consist of  1) Establishment of a task force and action plan 2) Implementation of support and guidance programmes; 3) Establishment of support services; 4) Development of resources. 1,769 people have reportedly participated in the state-organised activities. Through which, 12 ex-LGBT groups were established. Five rehabilitation programmes targeting LGBT people were held in 2019, including in a women’s prison. In 2021, JAKIM organised a Nusantara Religious Camp with LGBT persons in the region.</w:t>
      </w:r>
      <w:r w:rsidRPr="00092464">
        <w:rPr>
          <w:rFonts w:ascii="Arial" w:hAnsi="Arial"/>
          <w:sz w:val="22"/>
          <w:vertAlign w:val="superscript"/>
        </w:rPr>
        <w:footnoteReference w:id="29"/>
      </w:r>
      <w:r w:rsidRPr="00092464">
        <w:rPr>
          <w:rFonts w:ascii="Arial" w:hAnsi="Arial"/>
          <w:sz w:val="22"/>
        </w:rPr>
        <w:t xml:space="preserve"> </w:t>
      </w:r>
      <w:hyperlink r:id="rId40">
        <w:r w:rsidRPr="00092464">
          <w:rPr>
            <w:rFonts w:ascii="Arial" w:hAnsi="Arial"/>
            <w:color w:val="1155CC"/>
            <w:sz w:val="22"/>
            <w:u w:val="single"/>
          </w:rPr>
          <w:t>The programmes use a combination of reinforcement of shame, religious guilt, peer pressure, incentives and pseudo-science.</w:t>
        </w:r>
      </w:hyperlink>
      <w:r w:rsidRPr="00092464">
        <w:rPr>
          <w:rFonts w:ascii="Arial" w:hAnsi="Arial"/>
          <w:sz w:val="22"/>
          <w:vertAlign w:val="superscript"/>
        </w:rPr>
        <w:t xml:space="preserve"> </w:t>
      </w:r>
    </w:p>
    <w:p w14:paraId="5E821C46" w14:textId="77777777" w:rsidR="00C41F6E" w:rsidRPr="00092464" w:rsidRDefault="00C41F6E" w:rsidP="00092464">
      <w:pPr>
        <w:pStyle w:val="Heading3"/>
        <w:rPr>
          <w:rFonts w:ascii="Arial" w:eastAsia="Arial" w:hAnsi="Arial" w:cs="Arial"/>
          <w:sz w:val="22"/>
          <w:szCs w:val="22"/>
        </w:rPr>
      </w:pPr>
      <w:bookmarkStart w:id="44" w:name="_heading=h.ou05b4vs3zj4" w:colFirst="0" w:colLast="0"/>
      <w:bookmarkEnd w:id="44"/>
    </w:p>
    <w:p w14:paraId="4083987A" w14:textId="77777777" w:rsidR="00C41F6E" w:rsidRPr="003E6F1B" w:rsidRDefault="00000000" w:rsidP="00092464">
      <w:pPr>
        <w:pStyle w:val="Heading3"/>
        <w:rPr>
          <w:rFonts w:ascii="Arial" w:eastAsia="Arial" w:hAnsi="Arial" w:cs="Arial"/>
          <w:i/>
          <w:iCs/>
          <w:sz w:val="22"/>
          <w:szCs w:val="22"/>
        </w:rPr>
      </w:pPr>
      <w:bookmarkStart w:id="45" w:name="_heading=h.3ex2tl1j27jf" w:colFirst="0" w:colLast="0"/>
      <w:bookmarkEnd w:id="45"/>
      <w:r w:rsidRPr="003E6F1B">
        <w:rPr>
          <w:rFonts w:ascii="Arial" w:eastAsia="Arial" w:hAnsi="Arial" w:cs="Arial"/>
          <w:i/>
          <w:iCs/>
          <w:sz w:val="22"/>
          <w:szCs w:val="22"/>
        </w:rPr>
        <w:t xml:space="preserve">Muslim women and girls </w:t>
      </w:r>
    </w:p>
    <w:p w14:paraId="137D5225" w14:textId="77777777" w:rsidR="00C41F6E" w:rsidRPr="00092464" w:rsidRDefault="00C41F6E" w:rsidP="00092464">
      <w:pPr>
        <w:rPr>
          <w:rFonts w:ascii="Arial" w:hAnsi="Arial"/>
          <w:sz w:val="22"/>
        </w:rPr>
      </w:pPr>
    </w:p>
    <w:p w14:paraId="49C51667" w14:textId="77777777" w:rsidR="00C41F6E" w:rsidRPr="00092464" w:rsidRDefault="00000000" w:rsidP="00092464">
      <w:pPr>
        <w:rPr>
          <w:rFonts w:ascii="Arial" w:hAnsi="Arial"/>
          <w:sz w:val="22"/>
        </w:rPr>
      </w:pPr>
      <w:r w:rsidRPr="00092464">
        <w:rPr>
          <w:rFonts w:ascii="Arial" w:hAnsi="Arial"/>
          <w:sz w:val="22"/>
        </w:rPr>
        <w:t xml:space="preserve">15.5 </w:t>
      </w:r>
      <w:r w:rsidRPr="00092464">
        <w:rPr>
          <w:rFonts w:ascii="Arial" w:hAnsi="Arial"/>
          <w:sz w:val="22"/>
        </w:rPr>
        <w:tab/>
        <w:t xml:space="preserve">The  new Syariah Criminal Offences (Kelantan) Enactment 2019  introduced laws that criminalise exposition of </w:t>
      </w:r>
      <w:proofErr w:type="spellStart"/>
      <w:r w:rsidRPr="00092464">
        <w:rPr>
          <w:rFonts w:ascii="Arial" w:hAnsi="Arial"/>
          <w:i/>
          <w:sz w:val="22"/>
        </w:rPr>
        <w:t>aurat</w:t>
      </w:r>
      <w:proofErr w:type="spellEnd"/>
      <w:r w:rsidRPr="00092464">
        <w:rPr>
          <w:rFonts w:ascii="Arial" w:hAnsi="Arial"/>
          <w:sz w:val="22"/>
        </w:rPr>
        <w:t xml:space="preserve"> in public spaces, “female who flees from custody”, and pregnancy out of wedlock. These further limit Muslim women and girls' equality before the law. At least 5 pregnancies out of wedlock and 1 exposure of </w:t>
      </w:r>
      <w:proofErr w:type="spellStart"/>
      <w:r w:rsidRPr="00092464">
        <w:rPr>
          <w:rFonts w:ascii="Arial" w:hAnsi="Arial"/>
          <w:i/>
          <w:sz w:val="22"/>
        </w:rPr>
        <w:t>aurat</w:t>
      </w:r>
      <w:proofErr w:type="spellEnd"/>
      <w:r w:rsidRPr="00092464">
        <w:rPr>
          <w:rFonts w:ascii="Arial" w:hAnsi="Arial"/>
          <w:sz w:val="22"/>
        </w:rPr>
        <w:t xml:space="preserve"> cases were reportedly investigated between January and February 2022 in Kelantan. The enactment allows additional and ‘alternative punishments’ or rehabilitation, </w:t>
      </w:r>
      <w:proofErr w:type="spellStart"/>
      <w:r w:rsidRPr="00092464">
        <w:rPr>
          <w:rFonts w:ascii="Arial" w:hAnsi="Arial"/>
          <w:sz w:val="22"/>
        </w:rPr>
        <w:t>counseling</w:t>
      </w:r>
      <w:proofErr w:type="spellEnd"/>
      <w:r w:rsidRPr="00092464">
        <w:rPr>
          <w:rFonts w:ascii="Arial" w:hAnsi="Arial"/>
          <w:sz w:val="22"/>
        </w:rPr>
        <w:t>, and community services for these so-called offenses. Most concerning is that the effect of the law under Sections 19 and 20 of the Enactment is extra-terrestrial and may be applicable outside the State of Kelantan.</w:t>
      </w:r>
    </w:p>
    <w:p w14:paraId="28F959C4" w14:textId="77777777" w:rsidR="00C41F6E" w:rsidRPr="00092464" w:rsidRDefault="00C41F6E" w:rsidP="00092464">
      <w:pPr>
        <w:rPr>
          <w:rFonts w:ascii="Arial" w:hAnsi="Arial"/>
          <w:sz w:val="22"/>
        </w:rPr>
      </w:pPr>
    </w:p>
    <w:p w14:paraId="00F580B6"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15.6</w:t>
      </w:r>
      <w:r w:rsidRPr="00092464">
        <w:rPr>
          <w:rFonts w:ascii="Arial" w:hAnsi="Arial"/>
          <w:sz w:val="22"/>
        </w:rPr>
        <w:tab/>
        <w:t>While the state notes that “only 3 women” have been subjected to judicial caning under the state Syariah laws (paragraph 35), whipping is in contravention with international human rights law</w:t>
      </w:r>
      <w:r w:rsidRPr="00092464">
        <w:rPr>
          <w:rFonts w:ascii="Arial" w:hAnsi="Arial"/>
          <w:sz w:val="22"/>
          <w:vertAlign w:val="superscript"/>
        </w:rPr>
        <w:footnoteReference w:id="30"/>
      </w:r>
      <w:r w:rsidRPr="00092464">
        <w:rPr>
          <w:rFonts w:ascii="Arial" w:hAnsi="Arial"/>
          <w:sz w:val="22"/>
        </w:rPr>
        <w:t xml:space="preserve"> and the Constitution. The state’s justification that “Syariah whipping is just and effective as it sets out to punish and reform the convict while deterring the public from committing the crime” skews the meaning of just and effective by treating personal acts as crimes against the state. </w:t>
      </w:r>
    </w:p>
    <w:p w14:paraId="655764B0" w14:textId="77777777" w:rsidR="00C41F6E" w:rsidRPr="00092464" w:rsidRDefault="00C41F6E" w:rsidP="00092464">
      <w:pPr>
        <w:rPr>
          <w:rFonts w:ascii="Arial" w:hAnsi="Arial"/>
          <w:sz w:val="22"/>
        </w:rPr>
      </w:pPr>
    </w:p>
    <w:p w14:paraId="64BE91F9" w14:textId="77777777" w:rsidR="00C41F6E" w:rsidRPr="003E6F1B" w:rsidRDefault="00000000" w:rsidP="00092464">
      <w:pPr>
        <w:pStyle w:val="Heading3"/>
        <w:rPr>
          <w:rFonts w:ascii="Arial" w:eastAsia="Arial" w:hAnsi="Arial" w:cs="Arial"/>
          <w:i/>
          <w:iCs/>
          <w:sz w:val="22"/>
          <w:szCs w:val="22"/>
        </w:rPr>
      </w:pPr>
      <w:bookmarkStart w:id="46" w:name="_heading=h.ovgahf9si8rk" w:colFirst="0" w:colLast="0"/>
      <w:bookmarkEnd w:id="46"/>
      <w:r w:rsidRPr="003E6F1B">
        <w:rPr>
          <w:rFonts w:ascii="Arial" w:eastAsia="Arial" w:hAnsi="Arial" w:cs="Arial"/>
          <w:i/>
          <w:iCs/>
          <w:sz w:val="22"/>
          <w:szCs w:val="22"/>
        </w:rPr>
        <w:lastRenderedPageBreak/>
        <w:t xml:space="preserve">Women human rights defenders </w:t>
      </w:r>
    </w:p>
    <w:p w14:paraId="7DF2E12F" w14:textId="77777777" w:rsidR="00C41F6E" w:rsidRPr="00092464" w:rsidRDefault="00C41F6E" w:rsidP="00092464">
      <w:pPr>
        <w:pStyle w:val="Heading3"/>
        <w:rPr>
          <w:rFonts w:ascii="Arial" w:eastAsia="Arial" w:hAnsi="Arial" w:cs="Arial"/>
          <w:sz w:val="22"/>
          <w:szCs w:val="22"/>
        </w:rPr>
      </w:pPr>
      <w:bookmarkStart w:id="47" w:name="_heading=h.ly7ez8f2uqbd" w:colFirst="0" w:colLast="0"/>
      <w:bookmarkEnd w:id="47"/>
    </w:p>
    <w:p w14:paraId="69B5BF35" w14:textId="77777777" w:rsidR="00C41F6E" w:rsidRPr="00092464" w:rsidRDefault="00000000" w:rsidP="00092464">
      <w:pPr>
        <w:rPr>
          <w:rFonts w:ascii="Arial" w:hAnsi="Arial"/>
          <w:sz w:val="22"/>
        </w:rPr>
      </w:pPr>
      <w:r w:rsidRPr="00092464">
        <w:rPr>
          <w:rFonts w:ascii="Arial" w:hAnsi="Arial"/>
          <w:sz w:val="22"/>
        </w:rPr>
        <w:t>15.7</w:t>
      </w:r>
      <w:r w:rsidRPr="00092464">
        <w:rPr>
          <w:rFonts w:ascii="Arial" w:hAnsi="Arial"/>
          <w:sz w:val="22"/>
        </w:rPr>
        <w:tab/>
        <w:t xml:space="preserve">Young women activists have faced state reprisals for their work. </w:t>
      </w:r>
      <w:hyperlink r:id="rId41">
        <w:r w:rsidRPr="00092464">
          <w:rPr>
            <w:rFonts w:ascii="Arial" w:hAnsi="Arial"/>
            <w:color w:val="1155CC"/>
            <w:sz w:val="22"/>
            <w:u w:val="single"/>
          </w:rPr>
          <w:t xml:space="preserve">In one case, a </w:t>
        </w:r>
      </w:hyperlink>
      <w:hyperlink r:id="rId42">
        <w:r w:rsidRPr="00092464">
          <w:rPr>
            <w:rFonts w:ascii="Arial" w:hAnsi="Arial"/>
            <w:color w:val="1155CC"/>
            <w:sz w:val="22"/>
            <w:u w:val="single"/>
          </w:rPr>
          <w:t>20-year-old</w:t>
        </w:r>
      </w:hyperlink>
      <w:hyperlink r:id="rId43">
        <w:r w:rsidRPr="00092464">
          <w:rPr>
            <w:rFonts w:ascii="Arial" w:hAnsi="Arial"/>
            <w:color w:val="1155CC"/>
            <w:sz w:val="22"/>
            <w:u w:val="single"/>
          </w:rPr>
          <w:t xml:space="preserve"> activist was detained for 10 hours over a tweet calling for the prime minister to resign.</w:t>
        </w:r>
      </w:hyperlink>
      <w:r w:rsidRPr="00092464">
        <w:rPr>
          <w:rFonts w:ascii="Arial" w:hAnsi="Arial"/>
          <w:sz w:val="22"/>
        </w:rPr>
        <w:t xml:space="preserve"> Her mobile phone was confiscated and she was subjected to harsh police questioning. The Women’s March 2019 organizers were investigated under the Sedition Act and the Peaceful Assembly Act due to LGBT visibility and inclusion. The charges were later dropped. </w:t>
      </w:r>
    </w:p>
    <w:p w14:paraId="7C754D42" w14:textId="77777777" w:rsidR="00C41F6E" w:rsidRPr="00092464" w:rsidRDefault="00C41F6E" w:rsidP="00092464">
      <w:pPr>
        <w:rPr>
          <w:rFonts w:ascii="Arial" w:hAnsi="Arial"/>
          <w:sz w:val="22"/>
        </w:rPr>
      </w:pPr>
    </w:p>
    <w:p w14:paraId="3B21EA97" w14:textId="77777777" w:rsidR="00C41F6E" w:rsidRPr="003E6F1B" w:rsidRDefault="00000000" w:rsidP="00092464">
      <w:pPr>
        <w:pStyle w:val="Heading3"/>
        <w:rPr>
          <w:rFonts w:ascii="Arial" w:eastAsia="Arial" w:hAnsi="Arial" w:cs="Arial"/>
          <w:i/>
          <w:iCs/>
          <w:sz w:val="22"/>
          <w:szCs w:val="22"/>
        </w:rPr>
      </w:pPr>
      <w:bookmarkStart w:id="48" w:name="_heading=h.b283x3bb56h" w:colFirst="0" w:colLast="0"/>
      <w:bookmarkEnd w:id="48"/>
      <w:r w:rsidRPr="003E6F1B">
        <w:rPr>
          <w:rFonts w:ascii="Arial" w:eastAsia="Arial" w:hAnsi="Arial" w:cs="Arial"/>
          <w:i/>
          <w:iCs/>
          <w:sz w:val="22"/>
          <w:szCs w:val="22"/>
        </w:rPr>
        <w:t xml:space="preserve">Foreign wives  </w:t>
      </w:r>
    </w:p>
    <w:p w14:paraId="1F318863" w14:textId="77777777" w:rsidR="00C41F6E" w:rsidRPr="00092464" w:rsidRDefault="00C41F6E" w:rsidP="00092464">
      <w:pPr>
        <w:rPr>
          <w:rFonts w:ascii="Arial" w:hAnsi="Arial"/>
          <w:sz w:val="22"/>
        </w:rPr>
      </w:pPr>
    </w:p>
    <w:p w14:paraId="4A49F629" w14:textId="77777777" w:rsidR="00C41F6E" w:rsidRPr="00092464" w:rsidRDefault="00000000" w:rsidP="00092464">
      <w:pPr>
        <w:rPr>
          <w:rFonts w:ascii="Arial" w:hAnsi="Arial"/>
          <w:sz w:val="22"/>
        </w:rPr>
      </w:pPr>
      <w:r w:rsidRPr="00092464">
        <w:rPr>
          <w:rFonts w:ascii="Arial" w:hAnsi="Arial"/>
          <w:sz w:val="22"/>
        </w:rPr>
        <w:t>15.8</w:t>
      </w:r>
      <w:r w:rsidRPr="00092464">
        <w:rPr>
          <w:rFonts w:ascii="Arial" w:hAnsi="Arial"/>
          <w:sz w:val="22"/>
        </w:rPr>
        <w:tab/>
        <w:t>Despite the Report (paragraph 115) stating that it is possible for a foreign wife to apply for citizenship, the process of granting any kind of legal status to foreign women married to Malaysian men is convoluted and gender discriminatory. Even the application for a long-term social visit pass (LTVSP) requires the presence of the husband. There needs to be a simpler process for obtaining permanent residency and citizenship that does not rely entirely on the documentation and presence of the Malaysian spouse. This affects single mothers, abandoned women, and widowed mothers of Malaysian citizens. (</w:t>
      </w:r>
      <w:hyperlink w:anchor="_heading=h.rr0pozk1nfvd">
        <w:r w:rsidRPr="00092464">
          <w:rPr>
            <w:rFonts w:ascii="Arial" w:hAnsi="Arial"/>
            <w:color w:val="1155CC"/>
            <w:sz w:val="22"/>
            <w:u w:val="single"/>
          </w:rPr>
          <w:t>Annex C</w:t>
        </w:r>
      </w:hyperlink>
      <w:r w:rsidRPr="00092464">
        <w:rPr>
          <w:rFonts w:ascii="Arial" w:hAnsi="Arial"/>
          <w:sz w:val="22"/>
        </w:rPr>
        <w:t>)</w:t>
      </w:r>
    </w:p>
    <w:p w14:paraId="12756594" w14:textId="77777777" w:rsidR="00C41F6E" w:rsidRPr="00092464" w:rsidRDefault="00C41F6E" w:rsidP="00092464">
      <w:pPr>
        <w:rPr>
          <w:rFonts w:ascii="Arial" w:hAnsi="Arial"/>
          <w:sz w:val="22"/>
        </w:rPr>
      </w:pPr>
    </w:p>
    <w:p w14:paraId="3CC69AB5" w14:textId="77777777" w:rsidR="00C41F6E" w:rsidRPr="00092464" w:rsidRDefault="00000000" w:rsidP="00092464">
      <w:pPr>
        <w:rPr>
          <w:rFonts w:ascii="Arial" w:hAnsi="Arial"/>
          <w:sz w:val="22"/>
        </w:rPr>
      </w:pPr>
      <w:r w:rsidRPr="00092464">
        <w:rPr>
          <w:rFonts w:ascii="Arial" w:hAnsi="Arial"/>
          <w:sz w:val="22"/>
        </w:rPr>
        <w:t>15.9</w:t>
      </w:r>
      <w:r w:rsidRPr="00092464">
        <w:rPr>
          <w:rFonts w:ascii="Arial" w:hAnsi="Arial"/>
          <w:sz w:val="22"/>
        </w:rPr>
        <w:tab/>
        <w:t>Contrary to the Report (paragraph 116), the state has not implemented the CO to amend its laws and policies to enable foreign wives to work. (</w:t>
      </w:r>
      <w:hyperlink w:anchor="_heading=h.7s962crrvsue">
        <w:r w:rsidRPr="00092464">
          <w:rPr>
            <w:rFonts w:ascii="Arial" w:hAnsi="Arial"/>
            <w:color w:val="1155CC"/>
            <w:sz w:val="22"/>
            <w:u w:val="single"/>
          </w:rPr>
          <w:t>Annex B</w:t>
        </w:r>
      </w:hyperlink>
      <w:r w:rsidRPr="00092464">
        <w:rPr>
          <w:rFonts w:ascii="Arial" w:hAnsi="Arial"/>
          <w:sz w:val="22"/>
        </w:rPr>
        <w:t>)</w:t>
      </w:r>
    </w:p>
    <w:p w14:paraId="2A29F795" w14:textId="018BCB63" w:rsidR="00C41F6E" w:rsidRPr="003E6F1B" w:rsidRDefault="00000000" w:rsidP="00092464">
      <w:pPr>
        <w:pStyle w:val="Heading4"/>
        <w:rPr>
          <w:rFonts w:ascii="Arial" w:eastAsia="Arial" w:hAnsi="Arial" w:cs="Arial"/>
          <w:b/>
          <w:bCs/>
          <w:sz w:val="22"/>
        </w:rPr>
      </w:pPr>
      <w:bookmarkStart w:id="49" w:name="_heading=h.gat98a5nmy0i" w:colFirst="0" w:colLast="0"/>
      <w:bookmarkEnd w:id="49"/>
      <w:r w:rsidRPr="003E6F1B">
        <w:rPr>
          <w:rFonts w:ascii="Arial" w:eastAsia="Arial" w:hAnsi="Arial" w:cs="Arial"/>
          <w:b/>
          <w:bCs/>
          <w:sz w:val="22"/>
        </w:rPr>
        <w:t xml:space="preserve">Critical Questions </w:t>
      </w:r>
    </w:p>
    <w:p w14:paraId="6B063E2C" w14:textId="77777777" w:rsidR="003E6F1B" w:rsidRPr="003E6F1B" w:rsidRDefault="003E6F1B" w:rsidP="003E6F1B"/>
    <w:p w14:paraId="270BE333" w14:textId="77777777" w:rsidR="00C41F6E" w:rsidRPr="00092464" w:rsidRDefault="00000000" w:rsidP="00092464">
      <w:pPr>
        <w:rPr>
          <w:rFonts w:ascii="Arial" w:hAnsi="Arial"/>
          <w:sz w:val="22"/>
        </w:rPr>
      </w:pPr>
      <w:r w:rsidRPr="00092464">
        <w:rPr>
          <w:rFonts w:ascii="Arial" w:hAnsi="Arial"/>
          <w:sz w:val="22"/>
        </w:rPr>
        <w:t xml:space="preserve">Q27. Does the state plan to repeal fatwas and ban any harmful practices related to  FGM/C without exceptions in accordance with the recommendations made by WHO? </w:t>
      </w:r>
    </w:p>
    <w:p w14:paraId="0E17EDBA" w14:textId="77777777" w:rsidR="00C41F6E" w:rsidRPr="00092464" w:rsidRDefault="00C41F6E" w:rsidP="00092464">
      <w:pPr>
        <w:rPr>
          <w:rFonts w:ascii="Arial" w:hAnsi="Arial"/>
          <w:sz w:val="22"/>
        </w:rPr>
      </w:pPr>
    </w:p>
    <w:p w14:paraId="4707B603" w14:textId="77777777" w:rsidR="00C41F6E" w:rsidRPr="00092464" w:rsidRDefault="00000000" w:rsidP="00092464">
      <w:pPr>
        <w:rPr>
          <w:rFonts w:ascii="Arial" w:hAnsi="Arial"/>
          <w:sz w:val="22"/>
        </w:rPr>
      </w:pPr>
      <w:r w:rsidRPr="00092464">
        <w:rPr>
          <w:rFonts w:ascii="Arial" w:hAnsi="Arial"/>
          <w:sz w:val="22"/>
        </w:rPr>
        <w:t xml:space="preserve">Q28. What steps will be taken for the state to repeal provisions in the Syariah Criminal Offences Enactments that entail whipping as punishment? </w:t>
      </w:r>
    </w:p>
    <w:p w14:paraId="0DDE68D6" w14:textId="77777777" w:rsidR="00C41F6E" w:rsidRPr="00092464" w:rsidRDefault="00C41F6E" w:rsidP="00092464">
      <w:pPr>
        <w:rPr>
          <w:rFonts w:ascii="Arial" w:hAnsi="Arial"/>
          <w:sz w:val="22"/>
        </w:rPr>
      </w:pPr>
    </w:p>
    <w:p w14:paraId="286881C1" w14:textId="77777777" w:rsidR="00C41F6E" w:rsidRPr="00092464" w:rsidRDefault="00000000" w:rsidP="00092464">
      <w:pPr>
        <w:rPr>
          <w:rFonts w:ascii="Arial" w:hAnsi="Arial"/>
          <w:sz w:val="22"/>
        </w:rPr>
      </w:pPr>
      <w:r w:rsidRPr="00092464">
        <w:rPr>
          <w:rFonts w:ascii="Arial" w:hAnsi="Arial"/>
          <w:sz w:val="22"/>
        </w:rPr>
        <w:t xml:space="preserve">Q29. How does the state plan adopt an evidence and rights-based approach instead of rehabilitation of LGBT persons? </w:t>
      </w:r>
    </w:p>
    <w:p w14:paraId="4C46A2CD" w14:textId="77777777" w:rsidR="00C41F6E" w:rsidRPr="00092464" w:rsidRDefault="00C41F6E" w:rsidP="00092464">
      <w:pPr>
        <w:spacing w:line="276" w:lineRule="auto"/>
        <w:rPr>
          <w:rFonts w:ascii="Arial" w:hAnsi="Arial"/>
          <w:sz w:val="22"/>
        </w:rPr>
      </w:pPr>
    </w:p>
    <w:p w14:paraId="5B17CEAB" w14:textId="698C1A70" w:rsidR="00C41F6E" w:rsidRPr="003E6F1B" w:rsidRDefault="00000000" w:rsidP="003E6F1B">
      <w:pPr>
        <w:pStyle w:val="Heading2"/>
        <w:rPr>
          <w:rFonts w:ascii="Arial" w:eastAsia="Arial" w:hAnsi="Arial" w:cs="Arial"/>
          <w:b/>
          <w:bCs/>
          <w:sz w:val="24"/>
          <w:szCs w:val="24"/>
        </w:rPr>
      </w:pPr>
      <w:r w:rsidRPr="003E6F1B">
        <w:rPr>
          <w:rFonts w:ascii="Arial" w:eastAsia="Arial" w:hAnsi="Arial" w:cs="Arial"/>
          <w:b/>
          <w:bCs/>
          <w:sz w:val="24"/>
          <w:szCs w:val="24"/>
        </w:rPr>
        <w:t xml:space="preserve">Article 16: Equality in marriage and family law </w:t>
      </w:r>
    </w:p>
    <w:p w14:paraId="3B6069F6" w14:textId="77777777" w:rsidR="00C41F6E" w:rsidRPr="003E6F1B" w:rsidRDefault="00000000" w:rsidP="00092464">
      <w:pPr>
        <w:pStyle w:val="Heading3"/>
        <w:rPr>
          <w:rFonts w:ascii="Arial" w:eastAsia="Arial" w:hAnsi="Arial" w:cs="Arial"/>
          <w:i/>
          <w:iCs/>
          <w:sz w:val="22"/>
          <w:szCs w:val="22"/>
        </w:rPr>
      </w:pPr>
      <w:bookmarkStart w:id="50" w:name="_heading=h.370yhil29oyb" w:colFirst="0" w:colLast="0"/>
      <w:bookmarkEnd w:id="50"/>
      <w:r w:rsidRPr="003E6F1B">
        <w:rPr>
          <w:rFonts w:ascii="Arial" w:eastAsia="Arial" w:hAnsi="Arial" w:cs="Arial"/>
          <w:i/>
          <w:iCs/>
          <w:sz w:val="22"/>
          <w:szCs w:val="22"/>
        </w:rPr>
        <w:t>Child marriage under civil law and Islamic Family law</w:t>
      </w:r>
    </w:p>
    <w:p w14:paraId="7CCDD529" w14:textId="77777777" w:rsidR="00C41F6E" w:rsidRPr="00092464" w:rsidRDefault="00C41F6E" w:rsidP="00092464">
      <w:pPr>
        <w:rPr>
          <w:rFonts w:ascii="Arial" w:hAnsi="Arial"/>
          <w:sz w:val="22"/>
        </w:rPr>
      </w:pPr>
    </w:p>
    <w:p w14:paraId="25B9B1C4" w14:textId="14EE8DFC" w:rsidR="00C41F6E" w:rsidRDefault="00000000" w:rsidP="003E6F1B">
      <w:pPr>
        <w:rPr>
          <w:rFonts w:ascii="Arial" w:hAnsi="Arial"/>
          <w:sz w:val="22"/>
          <w:highlight w:val="white"/>
        </w:rPr>
      </w:pPr>
      <w:r w:rsidRPr="00092464">
        <w:rPr>
          <w:rFonts w:ascii="Arial" w:hAnsi="Arial"/>
          <w:sz w:val="22"/>
        </w:rPr>
        <w:t xml:space="preserve">16.1 </w:t>
      </w:r>
      <w:r w:rsidRPr="00092464">
        <w:rPr>
          <w:rFonts w:ascii="Arial" w:hAnsi="Arial"/>
          <w:sz w:val="22"/>
        </w:rPr>
        <w:tab/>
        <w:t>Child marriage remains legally permissible under civil, Islamic and native customary laws despite Malaysia’s removal of its reservation to Article 16(2) of CEDAW and its National Strategy Plan in Handling The Causes of Child Marriage (2020-2025). T</w:t>
      </w:r>
      <w:r w:rsidRPr="00092464">
        <w:rPr>
          <w:rFonts w:ascii="Arial" w:hAnsi="Arial"/>
          <w:sz w:val="22"/>
          <w:highlight w:val="white"/>
        </w:rPr>
        <w:t>o date, no progress report on the aforementioned Plan has been provided to Parliament  or  made publicly available by the government.</w:t>
      </w:r>
    </w:p>
    <w:p w14:paraId="1EC9C574" w14:textId="77777777" w:rsidR="003E6F1B" w:rsidRPr="00092464" w:rsidRDefault="003E6F1B" w:rsidP="003E6F1B">
      <w:pPr>
        <w:rPr>
          <w:rFonts w:ascii="Arial" w:hAnsi="Arial"/>
          <w:sz w:val="22"/>
          <w:highlight w:val="white"/>
        </w:rPr>
      </w:pPr>
    </w:p>
    <w:p w14:paraId="5FE57DA6" w14:textId="77777777" w:rsidR="00C41F6E" w:rsidRPr="00092464" w:rsidRDefault="00000000" w:rsidP="00092464">
      <w:pPr>
        <w:shd w:val="clear" w:color="auto" w:fill="FFFFFF"/>
        <w:spacing w:after="300"/>
        <w:rPr>
          <w:rFonts w:ascii="Arial" w:hAnsi="Arial"/>
          <w:sz w:val="22"/>
        </w:rPr>
      </w:pPr>
      <w:r w:rsidRPr="00092464">
        <w:rPr>
          <w:rFonts w:ascii="Arial" w:hAnsi="Arial"/>
          <w:sz w:val="22"/>
        </w:rPr>
        <w:t xml:space="preserve">16.2 </w:t>
      </w:r>
      <w:r w:rsidRPr="00092464">
        <w:rPr>
          <w:rFonts w:ascii="Arial" w:hAnsi="Arial"/>
          <w:sz w:val="22"/>
        </w:rPr>
        <w:tab/>
        <w:t xml:space="preserve">In 2018 </w:t>
      </w:r>
      <w:hyperlink r:id="rId44">
        <w:r w:rsidRPr="00092464">
          <w:rPr>
            <w:rFonts w:ascii="Arial" w:hAnsi="Arial"/>
            <w:color w:val="1155CC"/>
            <w:sz w:val="22"/>
            <w:u w:val="single"/>
          </w:rPr>
          <w:t xml:space="preserve">Selangor amended the state Islamic Family Law to </w:t>
        </w:r>
      </w:hyperlink>
      <w:hyperlink r:id="rId45">
        <w:r w:rsidRPr="00092464">
          <w:rPr>
            <w:rFonts w:ascii="Arial" w:hAnsi="Arial"/>
            <w:color w:val="1155CC"/>
            <w:sz w:val="22"/>
            <w:u w:val="single"/>
          </w:rPr>
          <w:t>increase the</w:t>
        </w:r>
      </w:hyperlink>
      <w:hyperlink r:id="rId46">
        <w:r w:rsidRPr="00092464">
          <w:rPr>
            <w:rFonts w:ascii="Arial" w:hAnsi="Arial"/>
            <w:color w:val="1155CC"/>
            <w:sz w:val="22"/>
            <w:u w:val="single"/>
          </w:rPr>
          <w:t xml:space="preserve"> minimum age of marriage to 18 with exceptions</w:t>
        </w:r>
      </w:hyperlink>
      <w:r w:rsidRPr="00092464">
        <w:rPr>
          <w:rFonts w:ascii="Arial" w:hAnsi="Arial"/>
          <w:sz w:val="22"/>
        </w:rPr>
        <w:t xml:space="preserve">. </w:t>
      </w:r>
      <w:hyperlink r:id="rId47">
        <w:r w:rsidRPr="00092464">
          <w:rPr>
            <w:rFonts w:ascii="Arial" w:hAnsi="Arial"/>
            <w:color w:val="1155CC"/>
            <w:sz w:val="22"/>
            <w:u w:val="single"/>
          </w:rPr>
          <w:t>Kedah followed suit in 2022.</w:t>
        </w:r>
      </w:hyperlink>
      <w:r w:rsidRPr="00092464">
        <w:rPr>
          <w:rFonts w:ascii="Arial" w:hAnsi="Arial"/>
          <w:sz w:val="22"/>
        </w:rPr>
        <w:t xml:space="preserve"> (</w:t>
      </w:r>
      <w:hyperlink w:anchor="_heading=h.jdet85i1mr7l">
        <w:r w:rsidRPr="00092464">
          <w:rPr>
            <w:rFonts w:ascii="Arial" w:hAnsi="Arial"/>
            <w:color w:val="1155CC"/>
            <w:sz w:val="22"/>
            <w:u w:val="single"/>
          </w:rPr>
          <w:t>Annex D</w:t>
        </w:r>
      </w:hyperlink>
      <w:r w:rsidRPr="00092464">
        <w:rPr>
          <w:rFonts w:ascii="Arial" w:hAnsi="Arial"/>
          <w:sz w:val="22"/>
        </w:rPr>
        <w:t>)</w:t>
      </w:r>
    </w:p>
    <w:p w14:paraId="02123428"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16.3</w:t>
      </w:r>
      <w:r w:rsidRPr="00092464">
        <w:rPr>
          <w:rFonts w:ascii="Arial" w:hAnsi="Arial"/>
          <w:sz w:val="22"/>
        </w:rPr>
        <w:tab/>
        <w:t xml:space="preserve">The exceptions give </w:t>
      </w:r>
      <w:proofErr w:type="spellStart"/>
      <w:r w:rsidRPr="00092464">
        <w:rPr>
          <w:rFonts w:ascii="Arial" w:hAnsi="Arial"/>
          <w:sz w:val="22"/>
        </w:rPr>
        <w:t>Syarie</w:t>
      </w:r>
      <w:proofErr w:type="spellEnd"/>
      <w:r w:rsidRPr="00092464">
        <w:rPr>
          <w:rFonts w:ascii="Arial" w:hAnsi="Arial"/>
          <w:sz w:val="22"/>
        </w:rPr>
        <w:t xml:space="preserve"> Judges discretionary power to allow marriages below 18 years old. In 2020, the Chief </w:t>
      </w:r>
      <w:proofErr w:type="spellStart"/>
      <w:r w:rsidRPr="00092464">
        <w:rPr>
          <w:rFonts w:ascii="Arial" w:hAnsi="Arial"/>
          <w:sz w:val="22"/>
        </w:rPr>
        <w:t>Syarie</w:t>
      </w:r>
      <w:proofErr w:type="spellEnd"/>
      <w:r w:rsidRPr="00092464">
        <w:rPr>
          <w:rFonts w:ascii="Arial" w:hAnsi="Arial"/>
          <w:sz w:val="22"/>
        </w:rPr>
        <w:t xml:space="preserve"> Judge of Malaysia issued a </w:t>
      </w:r>
      <w:hyperlink r:id="rId48">
        <w:r w:rsidRPr="00092464">
          <w:rPr>
            <w:rFonts w:ascii="Arial" w:hAnsi="Arial"/>
            <w:color w:val="1155CC"/>
            <w:sz w:val="22"/>
            <w:u w:val="single"/>
          </w:rPr>
          <w:t>Practice Direction (</w:t>
        </w:r>
        <w:proofErr w:type="spellStart"/>
      </w:hyperlink>
      <w:hyperlink r:id="rId49">
        <w:r w:rsidRPr="00092464">
          <w:rPr>
            <w:rFonts w:ascii="Arial" w:hAnsi="Arial"/>
            <w:i/>
            <w:color w:val="1155CC"/>
            <w:sz w:val="22"/>
            <w:u w:val="single"/>
          </w:rPr>
          <w:t>Arahan</w:t>
        </w:r>
        <w:proofErr w:type="spellEnd"/>
        <w:r w:rsidRPr="00092464">
          <w:rPr>
            <w:rFonts w:ascii="Arial" w:hAnsi="Arial"/>
            <w:i/>
            <w:color w:val="1155CC"/>
            <w:sz w:val="22"/>
            <w:u w:val="single"/>
          </w:rPr>
          <w:t xml:space="preserve"> </w:t>
        </w:r>
        <w:proofErr w:type="spellStart"/>
        <w:r w:rsidRPr="00092464">
          <w:rPr>
            <w:rFonts w:ascii="Arial" w:hAnsi="Arial"/>
            <w:i/>
            <w:color w:val="1155CC"/>
            <w:sz w:val="22"/>
            <w:u w:val="single"/>
          </w:rPr>
          <w:t>Amalan</w:t>
        </w:r>
        <w:proofErr w:type="spellEnd"/>
        <w:r w:rsidRPr="00092464">
          <w:rPr>
            <w:rFonts w:ascii="Arial" w:hAnsi="Arial"/>
            <w:i/>
            <w:color w:val="1155CC"/>
            <w:sz w:val="22"/>
            <w:u w:val="single"/>
          </w:rPr>
          <w:t xml:space="preserve"> No.2 </w:t>
        </w:r>
        <w:proofErr w:type="spellStart"/>
        <w:r w:rsidRPr="00092464">
          <w:rPr>
            <w:rFonts w:ascii="Arial" w:hAnsi="Arial"/>
            <w:i/>
            <w:color w:val="1155CC"/>
            <w:sz w:val="22"/>
            <w:u w:val="single"/>
          </w:rPr>
          <w:t>Tahun</w:t>
        </w:r>
        <w:proofErr w:type="spellEnd"/>
        <w:r w:rsidRPr="00092464">
          <w:rPr>
            <w:rFonts w:ascii="Arial" w:hAnsi="Arial"/>
            <w:i/>
            <w:color w:val="1155CC"/>
            <w:sz w:val="22"/>
            <w:u w:val="single"/>
          </w:rPr>
          <w:t xml:space="preserve"> 2020</w:t>
        </w:r>
      </w:hyperlink>
      <w:hyperlink r:id="rId50">
        <w:r w:rsidRPr="00092464">
          <w:rPr>
            <w:rFonts w:ascii="Arial" w:hAnsi="Arial"/>
            <w:color w:val="1155CC"/>
            <w:sz w:val="22"/>
            <w:u w:val="single"/>
          </w:rPr>
          <w:t>)</w:t>
        </w:r>
      </w:hyperlink>
      <w:r w:rsidRPr="00092464">
        <w:rPr>
          <w:rFonts w:ascii="Arial" w:hAnsi="Arial"/>
          <w:sz w:val="22"/>
        </w:rPr>
        <w:t xml:space="preserve"> to all </w:t>
      </w:r>
      <w:proofErr w:type="spellStart"/>
      <w:r w:rsidRPr="00092464">
        <w:rPr>
          <w:rFonts w:ascii="Arial" w:hAnsi="Arial"/>
          <w:sz w:val="22"/>
        </w:rPr>
        <w:t>Syarie</w:t>
      </w:r>
      <w:proofErr w:type="spellEnd"/>
      <w:r w:rsidRPr="00092464">
        <w:rPr>
          <w:rFonts w:ascii="Arial" w:hAnsi="Arial"/>
          <w:sz w:val="22"/>
        </w:rPr>
        <w:t xml:space="preserve"> judges in Malaysia on the format and usage of the social/moral report form from the social welfare department (JKM) for cases of underage marriage applications. However, the legal effect of practice direction is only persuasive and not </w:t>
      </w:r>
      <w:r w:rsidRPr="00092464">
        <w:rPr>
          <w:rFonts w:ascii="Arial" w:hAnsi="Arial"/>
          <w:sz w:val="22"/>
        </w:rPr>
        <w:lastRenderedPageBreak/>
        <w:t xml:space="preserve">compulsory. Hence, there are no legal consequences if </w:t>
      </w:r>
      <w:proofErr w:type="spellStart"/>
      <w:r w:rsidRPr="00092464">
        <w:rPr>
          <w:rFonts w:ascii="Arial" w:hAnsi="Arial"/>
          <w:sz w:val="22"/>
        </w:rPr>
        <w:t>Syarie</w:t>
      </w:r>
      <w:proofErr w:type="spellEnd"/>
      <w:r w:rsidRPr="00092464">
        <w:rPr>
          <w:rFonts w:ascii="Arial" w:hAnsi="Arial"/>
          <w:sz w:val="22"/>
        </w:rPr>
        <w:t xml:space="preserve"> judges refuse to follow the practice direction issued. </w:t>
      </w:r>
    </w:p>
    <w:p w14:paraId="0F6796C2" w14:textId="56A1252B" w:rsidR="00C41F6E" w:rsidRPr="00092464" w:rsidRDefault="00000000" w:rsidP="00092464">
      <w:pPr>
        <w:shd w:val="clear" w:color="auto" w:fill="FFFFFF"/>
        <w:spacing w:after="240"/>
        <w:ind w:left="-90"/>
        <w:rPr>
          <w:rFonts w:ascii="Arial" w:hAnsi="Arial"/>
          <w:i/>
          <w:sz w:val="22"/>
        </w:rPr>
      </w:pPr>
      <w:r w:rsidRPr="00092464">
        <w:rPr>
          <w:rFonts w:ascii="Arial" w:hAnsi="Arial"/>
          <w:i/>
          <w:sz w:val="22"/>
        </w:rPr>
        <w:t>W</w:t>
      </w:r>
      <w:r w:rsidR="003E6F1B">
        <w:rPr>
          <w:rFonts w:ascii="Arial" w:hAnsi="Arial"/>
          <w:i/>
          <w:sz w:val="22"/>
        </w:rPr>
        <w:t xml:space="preserve">OMEN’S CAPACITY TO ENTER INTO MARRIAGE – WALI’S CONSENT </w:t>
      </w:r>
    </w:p>
    <w:p w14:paraId="140F5B1C"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16.4</w:t>
      </w:r>
      <w:r w:rsidRPr="00092464">
        <w:rPr>
          <w:rFonts w:ascii="Arial" w:hAnsi="Arial"/>
          <w:sz w:val="22"/>
        </w:rPr>
        <w:tab/>
        <w:t xml:space="preserve">Although legally a woman has the right to obtain permission from </w:t>
      </w:r>
      <w:proofErr w:type="spellStart"/>
      <w:r w:rsidRPr="00092464">
        <w:rPr>
          <w:rFonts w:ascii="Arial" w:hAnsi="Arial"/>
          <w:sz w:val="22"/>
        </w:rPr>
        <w:t>wali</w:t>
      </w:r>
      <w:proofErr w:type="spellEnd"/>
      <w:r w:rsidRPr="00092464">
        <w:rPr>
          <w:rFonts w:ascii="Arial" w:hAnsi="Arial"/>
          <w:sz w:val="22"/>
        </w:rPr>
        <w:t xml:space="preserve"> Raja or </w:t>
      </w:r>
      <w:proofErr w:type="spellStart"/>
      <w:r w:rsidRPr="00092464">
        <w:rPr>
          <w:rFonts w:ascii="Arial" w:hAnsi="Arial"/>
          <w:sz w:val="22"/>
        </w:rPr>
        <w:t>wali</w:t>
      </w:r>
      <w:proofErr w:type="spellEnd"/>
      <w:r w:rsidRPr="00092464">
        <w:rPr>
          <w:rFonts w:ascii="Arial" w:hAnsi="Arial"/>
          <w:sz w:val="22"/>
        </w:rPr>
        <w:t xml:space="preserve"> Hakim (Report, paragraph 124) through advance application to the Syariah court, in practice, requirements for this application are impractical and inconvenient. Many women have to make an official search at the National Registration Department and advertise in newspapers for their long-lost </w:t>
      </w:r>
      <w:proofErr w:type="spellStart"/>
      <w:r w:rsidRPr="00092464">
        <w:rPr>
          <w:rFonts w:ascii="Arial" w:hAnsi="Arial"/>
          <w:sz w:val="22"/>
        </w:rPr>
        <w:t>wali</w:t>
      </w:r>
      <w:proofErr w:type="spellEnd"/>
      <w:r w:rsidRPr="00092464">
        <w:rPr>
          <w:rFonts w:ascii="Arial" w:hAnsi="Arial"/>
          <w:sz w:val="22"/>
        </w:rPr>
        <w:t>, in some cases those who have abandoned or even abused them. The preliminary requirements</w:t>
      </w:r>
      <w:r w:rsidRPr="00092464">
        <w:rPr>
          <w:rFonts w:ascii="Arial" w:hAnsi="Arial"/>
          <w:sz w:val="22"/>
          <w:vertAlign w:val="superscript"/>
        </w:rPr>
        <w:footnoteReference w:id="31"/>
      </w:r>
      <w:r w:rsidRPr="00092464">
        <w:rPr>
          <w:rFonts w:ascii="Arial" w:hAnsi="Arial"/>
          <w:sz w:val="22"/>
        </w:rPr>
        <w:t xml:space="preserve"> outlined by the religious department are time-consuming and costly. These factors sometimes catalyse couples to cross over the Malaysia-Thailand border to marry, which exposes them to scam marriages and lack of legal protections.</w:t>
      </w:r>
    </w:p>
    <w:p w14:paraId="2C27085B" w14:textId="77777777" w:rsidR="00C41F6E" w:rsidRPr="003E6F1B" w:rsidRDefault="00000000" w:rsidP="00092464">
      <w:pPr>
        <w:pStyle w:val="Heading3"/>
        <w:shd w:val="clear" w:color="auto" w:fill="FFFFFF"/>
        <w:spacing w:after="240"/>
        <w:ind w:left="-90"/>
        <w:rPr>
          <w:rFonts w:ascii="Arial" w:eastAsia="Arial" w:hAnsi="Arial" w:cs="Arial"/>
          <w:i/>
          <w:iCs/>
          <w:sz w:val="22"/>
          <w:szCs w:val="22"/>
        </w:rPr>
      </w:pPr>
      <w:bookmarkStart w:id="51" w:name="_heading=h.99hppik66tp" w:colFirst="0" w:colLast="0"/>
      <w:bookmarkEnd w:id="51"/>
      <w:r w:rsidRPr="003E6F1B">
        <w:rPr>
          <w:rFonts w:ascii="Arial" w:eastAsia="Arial" w:hAnsi="Arial" w:cs="Arial"/>
          <w:i/>
          <w:iCs/>
          <w:sz w:val="22"/>
          <w:szCs w:val="22"/>
        </w:rPr>
        <w:t>Polygamy</w:t>
      </w:r>
    </w:p>
    <w:p w14:paraId="707853F6"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16.5</w:t>
      </w:r>
      <w:r w:rsidRPr="00092464">
        <w:rPr>
          <w:rFonts w:ascii="Arial" w:hAnsi="Arial"/>
          <w:sz w:val="22"/>
        </w:rPr>
        <w:tab/>
        <w:t xml:space="preserve">The Practice Direction No.7 of 2021 (Report, paragraph 120) issued by the Syariah Judiciary Department (JKSM) is only persuasive in nature. The practice direction does not hold any legal standing or carry legal repercussions if not followed, it is merely a directive suggestion. The husband’s application for a polygamous marriage may continue whether or not the practice direction is adhered to. </w:t>
      </w:r>
    </w:p>
    <w:p w14:paraId="5339FA74" w14:textId="77777777" w:rsidR="00C41F6E" w:rsidRPr="003E6F1B" w:rsidRDefault="00000000" w:rsidP="00092464">
      <w:pPr>
        <w:pStyle w:val="Heading3"/>
        <w:shd w:val="clear" w:color="auto" w:fill="FFFFFF"/>
        <w:spacing w:after="240"/>
        <w:ind w:left="-90"/>
        <w:rPr>
          <w:rFonts w:ascii="Arial" w:eastAsia="Arial" w:hAnsi="Arial" w:cs="Arial"/>
          <w:i/>
          <w:iCs/>
          <w:sz w:val="22"/>
          <w:szCs w:val="22"/>
        </w:rPr>
      </w:pPr>
      <w:bookmarkStart w:id="52" w:name="_heading=h.rg0uf67v5xbw" w:colFirst="0" w:colLast="0"/>
      <w:bookmarkEnd w:id="52"/>
      <w:r w:rsidRPr="003E6F1B">
        <w:rPr>
          <w:rFonts w:ascii="Arial" w:eastAsia="Arial" w:hAnsi="Arial" w:cs="Arial"/>
          <w:i/>
          <w:iCs/>
          <w:sz w:val="22"/>
          <w:szCs w:val="22"/>
        </w:rPr>
        <w:t>Financial Provisions</w:t>
      </w:r>
    </w:p>
    <w:p w14:paraId="1F8E1645" w14:textId="7F1BD076" w:rsidR="00C41F6E" w:rsidRPr="003E6F1B" w:rsidRDefault="00000000" w:rsidP="003E6F1B">
      <w:pPr>
        <w:shd w:val="clear" w:color="auto" w:fill="FFFFFF"/>
        <w:spacing w:after="240"/>
        <w:ind w:left="-90"/>
        <w:rPr>
          <w:rFonts w:ascii="Arial" w:hAnsi="Arial"/>
          <w:sz w:val="22"/>
        </w:rPr>
      </w:pPr>
      <w:r w:rsidRPr="00092464">
        <w:rPr>
          <w:rFonts w:ascii="Arial" w:hAnsi="Arial"/>
          <w:sz w:val="22"/>
        </w:rPr>
        <w:t>16.6</w:t>
      </w:r>
      <w:r w:rsidRPr="00092464">
        <w:rPr>
          <w:rFonts w:ascii="Arial" w:hAnsi="Arial"/>
          <w:sz w:val="22"/>
        </w:rPr>
        <w:tab/>
        <w:t xml:space="preserve">In a recent, ongoing case, the Syariah court allowed an application from the husband to claim for </w:t>
      </w:r>
      <w:proofErr w:type="spellStart"/>
      <w:r w:rsidRPr="00092464">
        <w:rPr>
          <w:rFonts w:ascii="Arial" w:hAnsi="Arial"/>
          <w:i/>
          <w:sz w:val="22"/>
        </w:rPr>
        <w:t>harta</w:t>
      </w:r>
      <w:proofErr w:type="spellEnd"/>
      <w:r w:rsidRPr="00092464">
        <w:rPr>
          <w:rFonts w:ascii="Arial" w:hAnsi="Arial"/>
          <w:i/>
          <w:sz w:val="22"/>
        </w:rPr>
        <w:t xml:space="preserve"> </w:t>
      </w:r>
      <w:proofErr w:type="spellStart"/>
      <w:r w:rsidRPr="00092464">
        <w:rPr>
          <w:rFonts w:ascii="Arial" w:hAnsi="Arial"/>
          <w:i/>
          <w:sz w:val="22"/>
        </w:rPr>
        <w:t>sepencarian</w:t>
      </w:r>
      <w:proofErr w:type="spellEnd"/>
      <w:r w:rsidRPr="00092464">
        <w:rPr>
          <w:rFonts w:ascii="Arial" w:hAnsi="Arial"/>
          <w:i/>
          <w:sz w:val="22"/>
        </w:rPr>
        <w:t xml:space="preserve"> </w:t>
      </w:r>
      <w:r w:rsidRPr="00092464">
        <w:rPr>
          <w:rFonts w:ascii="Arial" w:hAnsi="Arial"/>
          <w:sz w:val="22"/>
        </w:rPr>
        <w:t xml:space="preserve">(joint assets) from the wife, instead of protecting the non-working mother who is the caretaker of all the children. </w:t>
      </w:r>
    </w:p>
    <w:p w14:paraId="28F9173B" w14:textId="31DBBCF7" w:rsidR="00C41F6E" w:rsidRPr="00092464" w:rsidRDefault="003E6F1B" w:rsidP="00092464">
      <w:pPr>
        <w:shd w:val="clear" w:color="auto" w:fill="FFFFFF"/>
        <w:spacing w:after="240"/>
        <w:ind w:left="-90"/>
        <w:rPr>
          <w:rFonts w:ascii="Arial" w:hAnsi="Arial"/>
          <w:b/>
          <w:sz w:val="22"/>
        </w:rPr>
      </w:pPr>
      <w:r>
        <w:rPr>
          <w:rFonts w:ascii="Arial" w:hAnsi="Arial"/>
          <w:b/>
          <w:sz w:val="22"/>
        </w:rPr>
        <w:t>CRITICAL QUESTION</w:t>
      </w:r>
    </w:p>
    <w:p w14:paraId="76FCF4D1"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 xml:space="preserve">Q30. When will the state ban child marriage and address exceptions for </w:t>
      </w:r>
      <w:proofErr w:type="spellStart"/>
      <w:r w:rsidRPr="00092464">
        <w:rPr>
          <w:rFonts w:ascii="Arial" w:hAnsi="Arial"/>
          <w:sz w:val="22"/>
        </w:rPr>
        <w:t>Syarie</w:t>
      </w:r>
      <w:proofErr w:type="spellEnd"/>
      <w:r w:rsidRPr="00092464">
        <w:rPr>
          <w:rFonts w:ascii="Arial" w:hAnsi="Arial"/>
          <w:sz w:val="22"/>
        </w:rPr>
        <w:t xml:space="preserve"> practitioners to permit marriage? </w:t>
      </w:r>
    </w:p>
    <w:p w14:paraId="01F6EA8A" w14:textId="77777777" w:rsidR="003E6F1B" w:rsidRDefault="003E6F1B" w:rsidP="00092464">
      <w:pPr>
        <w:pStyle w:val="Heading2"/>
        <w:shd w:val="clear" w:color="auto" w:fill="FFFFFF"/>
        <w:spacing w:after="240"/>
        <w:ind w:left="-90"/>
        <w:rPr>
          <w:rFonts w:ascii="Arial" w:eastAsia="Arial" w:hAnsi="Arial" w:cs="Arial"/>
          <w:b/>
          <w:bCs/>
          <w:sz w:val="24"/>
          <w:szCs w:val="24"/>
        </w:rPr>
      </w:pPr>
      <w:bookmarkStart w:id="53" w:name="_heading=h.c1cpemvvpbdx" w:colFirst="0" w:colLast="0"/>
      <w:bookmarkEnd w:id="53"/>
    </w:p>
    <w:p w14:paraId="6148F394" w14:textId="55ED0C1F" w:rsidR="00C41F6E" w:rsidRPr="003E6F1B" w:rsidRDefault="00000000" w:rsidP="00092464">
      <w:pPr>
        <w:pStyle w:val="Heading2"/>
        <w:shd w:val="clear" w:color="auto" w:fill="FFFFFF"/>
        <w:spacing w:after="240"/>
        <w:ind w:left="-90"/>
        <w:rPr>
          <w:rFonts w:ascii="Arial" w:eastAsia="Arial" w:hAnsi="Arial" w:cs="Arial"/>
          <w:b/>
          <w:bCs/>
          <w:sz w:val="24"/>
          <w:szCs w:val="24"/>
        </w:rPr>
      </w:pPr>
      <w:r w:rsidRPr="003E6F1B">
        <w:rPr>
          <w:rFonts w:ascii="Arial" w:eastAsia="Arial" w:hAnsi="Arial" w:cs="Arial"/>
          <w:b/>
          <w:bCs/>
          <w:sz w:val="24"/>
          <w:szCs w:val="24"/>
        </w:rPr>
        <w:t xml:space="preserve">General Recommendation 19: Gender-based violence </w:t>
      </w:r>
    </w:p>
    <w:p w14:paraId="46B56622"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GR19.1</w:t>
      </w:r>
      <w:r w:rsidRPr="00092464">
        <w:rPr>
          <w:rFonts w:ascii="Arial" w:hAnsi="Arial"/>
          <w:sz w:val="22"/>
        </w:rPr>
        <w:tab/>
        <w:t xml:space="preserve"> The Domestic Violence Act does not apply to unmarried cohabiting couples (Report, paragraph 24). Though the Report claims that other sections of the Penal Code cover intimate partner violence (paragraph 34), their exclusion from the definition of “domestic violence” denies them protection  orders and other redress mechanisms under DV. Thus, CO24 has not been fulfilled. </w:t>
      </w:r>
    </w:p>
    <w:p w14:paraId="381BF95F"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GR19.2</w:t>
      </w:r>
      <w:r w:rsidRPr="00092464">
        <w:rPr>
          <w:rFonts w:ascii="Arial" w:hAnsi="Arial"/>
          <w:sz w:val="22"/>
        </w:rPr>
        <w:tab/>
        <w:t xml:space="preserve"> The availability of a specialised division (D11) within the Malaysian Royal Police to investigate cases involving violence against women and children is commendable (para 32). However, the training on gender based violence and sensitivity must be extended to frontline police officers, who often act as gatekeepers to reporting violence. Reported instances include victim-blaming by police officers, and refusal to receive  or further investigate  reports by </w:t>
      </w:r>
      <w:r w:rsidRPr="00092464">
        <w:rPr>
          <w:rFonts w:ascii="Arial" w:hAnsi="Arial"/>
          <w:sz w:val="22"/>
        </w:rPr>
        <w:lastRenderedPageBreak/>
        <w:t>survivors. Trans women have reported name-calling, humiliation and  microaggression.</w:t>
      </w:r>
      <w:r w:rsidRPr="00092464">
        <w:rPr>
          <w:rFonts w:ascii="Arial" w:hAnsi="Arial"/>
          <w:sz w:val="22"/>
          <w:vertAlign w:val="superscript"/>
        </w:rPr>
        <w:footnoteReference w:id="32"/>
      </w:r>
      <w:r w:rsidRPr="00092464">
        <w:rPr>
          <w:rFonts w:ascii="Arial" w:hAnsi="Arial"/>
          <w:sz w:val="22"/>
        </w:rPr>
        <w:t xml:space="preserve"> The D11 unit only has 100 officers nationwide and these are insufficient to address the volume of cases.</w:t>
      </w:r>
    </w:p>
    <w:p w14:paraId="243A953E"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GR19.3</w:t>
      </w:r>
      <w:r w:rsidRPr="00092464">
        <w:rPr>
          <w:rFonts w:ascii="Arial" w:hAnsi="Arial"/>
          <w:sz w:val="22"/>
        </w:rPr>
        <w:tab/>
        <w:t xml:space="preserve"> The exceptions under sections 375 and 375A are insufficient to wholly cover the offense of marital rape. ‘Causing hurt’ in the Penal Code, under Section 375A indicates a manifestation of physical harm. There is no mention of the requirement of consent or other types of abuses to qualify for marital rape unlike Section 376 of the same act, where any sexual intercourse without consent may be considered rape. This narrow approach fails to consider various circumstances, including pressure, threats, intimidation to have sexual intercourse with their husband, as well as substance-facilitated assault. </w:t>
      </w:r>
    </w:p>
    <w:p w14:paraId="767C3C4B"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GR19.4</w:t>
      </w:r>
      <w:r w:rsidRPr="00092464">
        <w:rPr>
          <w:rFonts w:ascii="Arial" w:hAnsi="Arial"/>
          <w:sz w:val="22"/>
        </w:rPr>
        <w:tab/>
        <w:t xml:space="preserve"> There is little systematic data on frequency and forms of online gender-based violence (GBV)  in Malaysia, although various forms of OBV, namely sexual harassment and violence have been reported.</w:t>
      </w:r>
      <w:r w:rsidRPr="00092464">
        <w:rPr>
          <w:rFonts w:ascii="Arial" w:hAnsi="Arial"/>
          <w:sz w:val="22"/>
          <w:vertAlign w:val="superscript"/>
        </w:rPr>
        <w:footnoteReference w:id="33"/>
      </w:r>
      <w:r w:rsidRPr="00092464">
        <w:rPr>
          <w:rFonts w:ascii="Arial" w:hAnsi="Arial"/>
          <w:sz w:val="22"/>
        </w:rPr>
        <w:t xml:space="preserve"> </w:t>
      </w:r>
    </w:p>
    <w:p w14:paraId="1722021C"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GR19.5 WGD experience higher rates of sexual abuse than peers without disabilities, however, this is not reflected in the Report.</w:t>
      </w:r>
      <w:r w:rsidRPr="00092464">
        <w:rPr>
          <w:rFonts w:ascii="Arial" w:hAnsi="Arial"/>
          <w:sz w:val="22"/>
          <w:vertAlign w:val="superscript"/>
        </w:rPr>
        <w:footnoteReference w:id="34"/>
      </w:r>
      <w:r w:rsidRPr="00092464">
        <w:rPr>
          <w:rFonts w:ascii="Arial" w:hAnsi="Arial"/>
          <w:sz w:val="22"/>
        </w:rPr>
        <w:t xml:space="preserve"> </w:t>
      </w:r>
    </w:p>
    <w:p w14:paraId="0EB79F34" w14:textId="77777777" w:rsidR="00C41F6E" w:rsidRPr="003E6F1B" w:rsidRDefault="00000000" w:rsidP="00092464">
      <w:pPr>
        <w:pStyle w:val="Heading4"/>
        <w:shd w:val="clear" w:color="auto" w:fill="FFFFFF"/>
        <w:spacing w:after="240"/>
        <w:ind w:left="-90"/>
        <w:rPr>
          <w:rFonts w:ascii="Arial" w:eastAsia="Arial" w:hAnsi="Arial" w:cs="Arial"/>
          <w:b/>
          <w:bCs/>
          <w:sz w:val="22"/>
        </w:rPr>
      </w:pPr>
      <w:bookmarkStart w:id="54" w:name="_heading=h.qcrow13lnc2z" w:colFirst="0" w:colLast="0"/>
      <w:bookmarkEnd w:id="54"/>
      <w:r w:rsidRPr="003E6F1B">
        <w:rPr>
          <w:rFonts w:ascii="Arial" w:eastAsia="Arial" w:hAnsi="Arial" w:cs="Arial"/>
          <w:b/>
          <w:bCs/>
          <w:sz w:val="22"/>
        </w:rPr>
        <w:t>Critical Questions</w:t>
      </w:r>
    </w:p>
    <w:p w14:paraId="356335C1" w14:textId="77777777" w:rsidR="00C41F6E" w:rsidRPr="00092464" w:rsidRDefault="00000000" w:rsidP="00092464">
      <w:pPr>
        <w:rPr>
          <w:rFonts w:ascii="Arial" w:hAnsi="Arial"/>
          <w:sz w:val="22"/>
        </w:rPr>
      </w:pPr>
      <w:r w:rsidRPr="00092464">
        <w:rPr>
          <w:rFonts w:ascii="Arial" w:hAnsi="Arial"/>
          <w:sz w:val="22"/>
        </w:rPr>
        <w:t>Q31.</w:t>
      </w:r>
      <w:r w:rsidRPr="00092464">
        <w:rPr>
          <w:rFonts w:ascii="Arial" w:hAnsi="Arial"/>
          <w:sz w:val="22"/>
        </w:rPr>
        <w:tab/>
        <w:t>Does the government have an action plan on measures to institutionalise gender sensitivity training among government first responders to gender-based violence?</w:t>
      </w:r>
    </w:p>
    <w:p w14:paraId="3A11F8DE" w14:textId="77777777" w:rsidR="00C41F6E" w:rsidRPr="00092464" w:rsidRDefault="00C41F6E" w:rsidP="00092464">
      <w:pPr>
        <w:rPr>
          <w:rFonts w:ascii="Arial" w:hAnsi="Arial"/>
          <w:sz w:val="22"/>
        </w:rPr>
      </w:pPr>
    </w:p>
    <w:p w14:paraId="35746302" w14:textId="78906B79" w:rsidR="00C41F6E" w:rsidRPr="00092464" w:rsidRDefault="00000000" w:rsidP="003E6F1B">
      <w:pPr>
        <w:spacing w:line="240" w:lineRule="auto"/>
        <w:rPr>
          <w:rFonts w:ascii="Arial" w:hAnsi="Arial"/>
          <w:sz w:val="22"/>
        </w:rPr>
      </w:pPr>
      <w:r w:rsidRPr="00092464">
        <w:rPr>
          <w:rFonts w:ascii="Arial" w:hAnsi="Arial"/>
          <w:sz w:val="22"/>
        </w:rPr>
        <w:t>Q32.</w:t>
      </w:r>
      <w:r w:rsidRPr="00092464">
        <w:rPr>
          <w:rFonts w:ascii="Arial" w:hAnsi="Arial"/>
          <w:sz w:val="22"/>
        </w:rPr>
        <w:tab/>
        <w:t>How will the Government institutionalize protection of all WGD from sexual abuse? What are the state’s plans to ensure availability of and accessibility to intersectional gender-disaggregated data, including disability, on all forms of gender-based violence?</w:t>
      </w:r>
    </w:p>
    <w:p w14:paraId="4D07183F" w14:textId="77777777" w:rsidR="00C41F6E" w:rsidRPr="00092464" w:rsidRDefault="00C41F6E" w:rsidP="00092464">
      <w:pPr>
        <w:pStyle w:val="Heading2"/>
        <w:rPr>
          <w:rFonts w:ascii="Arial" w:eastAsia="Arial" w:hAnsi="Arial" w:cs="Arial"/>
          <w:sz w:val="22"/>
          <w:szCs w:val="22"/>
        </w:rPr>
      </w:pPr>
      <w:bookmarkStart w:id="55" w:name="_heading=h.xancytevxewq" w:colFirst="0" w:colLast="0"/>
      <w:bookmarkEnd w:id="55"/>
    </w:p>
    <w:p w14:paraId="2439FE88" w14:textId="77777777" w:rsidR="00C41F6E" w:rsidRPr="003E6F1B" w:rsidRDefault="00000000" w:rsidP="00092464">
      <w:pPr>
        <w:pStyle w:val="Heading2"/>
        <w:rPr>
          <w:rFonts w:ascii="Arial" w:eastAsia="Arial" w:hAnsi="Arial" w:cs="Arial"/>
          <w:b/>
          <w:bCs/>
          <w:sz w:val="24"/>
          <w:szCs w:val="24"/>
        </w:rPr>
      </w:pPr>
      <w:bookmarkStart w:id="56" w:name="_heading=h.9kgpp63yk5nq" w:colFirst="0" w:colLast="0"/>
      <w:bookmarkEnd w:id="56"/>
      <w:r w:rsidRPr="003E6F1B">
        <w:rPr>
          <w:rFonts w:ascii="Arial" w:eastAsia="Arial" w:hAnsi="Arial" w:cs="Arial"/>
          <w:b/>
          <w:bCs/>
          <w:sz w:val="24"/>
          <w:szCs w:val="24"/>
        </w:rPr>
        <w:t xml:space="preserve">General Recommendation 33: Women’s Access to Justice </w:t>
      </w:r>
    </w:p>
    <w:p w14:paraId="5FE6727C" w14:textId="77777777" w:rsidR="00C41F6E" w:rsidRPr="00092464" w:rsidRDefault="00C41F6E" w:rsidP="00092464">
      <w:pPr>
        <w:rPr>
          <w:rFonts w:ascii="Arial" w:hAnsi="Arial"/>
          <w:sz w:val="22"/>
        </w:rPr>
      </w:pPr>
    </w:p>
    <w:p w14:paraId="26C2D90A"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GR33.1</w:t>
      </w:r>
      <w:r w:rsidRPr="00092464">
        <w:rPr>
          <w:rFonts w:ascii="Arial" w:hAnsi="Arial"/>
          <w:sz w:val="22"/>
        </w:rPr>
        <w:tab/>
        <w:t xml:space="preserve">  Shaming and extraneous bail conditions coupled with lack of affordable and affirming legal representation and support, especially by family members results in Muslim women, namely LBT women and women in sex work facing harsh sentences and restriction of their access to justice. </w:t>
      </w:r>
    </w:p>
    <w:p w14:paraId="1C0D0DE1" w14:textId="77777777" w:rsidR="00C41F6E" w:rsidRPr="00092464" w:rsidRDefault="00000000" w:rsidP="00092464">
      <w:pPr>
        <w:shd w:val="clear" w:color="auto" w:fill="FFFFFF"/>
        <w:spacing w:after="240"/>
        <w:ind w:left="-90"/>
        <w:rPr>
          <w:rFonts w:ascii="Arial" w:hAnsi="Arial"/>
          <w:sz w:val="22"/>
        </w:rPr>
      </w:pPr>
      <w:r w:rsidRPr="00092464">
        <w:rPr>
          <w:rFonts w:ascii="Arial" w:hAnsi="Arial"/>
          <w:sz w:val="22"/>
        </w:rPr>
        <w:t>GR33.2</w:t>
      </w:r>
      <w:r w:rsidRPr="00092464">
        <w:rPr>
          <w:rFonts w:ascii="Arial" w:hAnsi="Arial"/>
          <w:sz w:val="22"/>
        </w:rPr>
        <w:tab/>
        <w:t xml:space="preserve">  Trans women are subjected to procedures, treatment and assignment of facilities based on their gender marker on legal documents, although segregated from others and discretion is made for some medically transitioned trans women. They have reported humiliating treatment during police urine tests conducted by male officers. All of which increases gender dysphoria and harm.</w:t>
      </w:r>
      <w:r w:rsidRPr="00092464">
        <w:rPr>
          <w:rFonts w:ascii="Arial" w:hAnsi="Arial"/>
          <w:sz w:val="22"/>
          <w:vertAlign w:val="superscript"/>
        </w:rPr>
        <w:footnoteReference w:id="35"/>
      </w:r>
      <w:r w:rsidRPr="00092464">
        <w:rPr>
          <w:rFonts w:ascii="Arial" w:hAnsi="Arial"/>
          <w:sz w:val="22"/>
        </w:rPr>
        <w:t xml:space="preserve"> </w:t>
      </w:r>
    </w:p>
    <w:p w14:paraId="3BDA41E3" w14:textId="0E68BE9F" w:rsidR="00C41F6E" w:rsidRPr="00092464" w:rsidRDefault="00000000" w:rsidP="00092464">
      <w:pPr>
        <w:shd w:val="clear" w:color="auto" w:fill="FFFFFF"/>
        <w:spacing w:after="240"/>
        <w:ind w:left="-90"/>
        <w:rPr>
          <w:rFonts w:ascii="Arial" w:hAnsi="Arial"/>
          <w:sz w:val="22"/>
        </w:rPr>
      </w:pPr>
      <w:r w:rsidRPr="00092464">
        <w:rPr>
          <w:rFonts w:ascii="Arial" w:hAnsi="Arial"/>
          <w:sz w:val="22"/>
        </w:rPr>
        <w:t xml:space="preserve">GR33.3   Malaysia has also not formalised any legislative provisions providing explicit </w:t>
      </w:r>
      <w:r w:rsidR="003E6F1B" w:rsidRPr="00092464">
        <w:rPr>
          <w:rFonts w:ascii="Arial" w:hAnsi="Arial"/>
          <w:sz w:val="22"/>
        </w:rPr>
        <w:t>defence</w:t>
      </w:r>
      <w:r w:rsidRPr="00092464">
        <w:rPr>
          <w:rFonts w:ascii="Arial" w:hAnsi="Arial"/>
          <w:sz w:val="22"/>
        </w:rPr>
        <w:t xml:space="preserve"> or mitigation for victims of domestic violence and persons with possible Post-Traumatic Stress Disorder (PTSD) or Battered Person Syndromes (BPS) can still be prosecuted for murder which carries the mandatory death penalty. In August 2020, </w:t>
      </w:r>
      <w:hyperlink r:id="rId51">
        <w:r w:rsidRPr="00092464">
          <w:rPr>
            <w:rFonts w:ascii="Arial" w:hAnsi="Arial"/>
            <w:color w:val="1155CC"/>
            <w:sz w:val="22"/>
            <w:u w:val="single"/>
          </w:rPr>
          <w:t xml:space="preserve">a woman, who reportedly experienced </w:t>
        </w:r>
        <w:r w:rsidRPr="00092464">
          <w:rPr>
            <w:rFonts w:ascii="Arial" w:hAnsi="Arial"/>
            <w:color w:val="1155CC"/>
            <w:sz w:val="22"/>
            <w:u w:val="single"/>
          </w:rPr>
          <w:lastRenderedPageBreak/>
          <w:t xml:space="preserve">domestic abuse, was sentenced to 42 </w:t>
        </w:r>
        <w:proofErr w:type="spellStart"/>
        <w:r w:rsidRPr="00092464">
          <w:rPr>
            <w:rFonts w:ascii="Arial" w:hAnsi="Arial"/>
            <w:color w:val="1155CC"/>
            <w:sz w:val="22"/>
            <w:u w:val="single"/>
          </w:rPr>
          <w:t>months</w:t>
        </w:r>
        <w:proofErr w:type="spellEnd"/>
        <w:r w:rsidRPr="00092464">
          <w:rPr>
            <w:rFonts w:ascii="Arial" w:hAnsi="Arial"/>
            <w:color w:val="1155CC"/>
            <w:sz w:val="22"/>
            <w:u w:val="single"/>
          </w:rPr>
          <w:t xml:space="preserve"> imprisonment and a fine of RM10,000 after the murder charges against her were amended</w:t>
        </w:r>
      </w:hyperlink>
      <w:r w:rsidRPr="00092464">
        <w:rPr>
          <w:rFonts w:ascii="Arial" w:hAnsi="Arial"/>
          <w:sz w:val="22"/>
        </w:rPr>
        <w:t>. She served 20 months of her sentence before her charges were amended.</w:t>
      </w:r>
    </w:p>
    <w:p w14:paraId="3F1E7071" w14:textId="5777FBC4" w:rsidR="00C41F6E" w:rsidRDefault="00000000" w:rsidP="00092464">
      <w:pPr>
        <w:pStyle w:val="Heading4"/>
        <w:rPr>
          <w:rFonts w:ascii="Arial" w:eastAsia="Arial" w:hAnsi="Arial" w:cs="Arial"/>
          <w:b/>
          <w:bCs/>
          <w:sz w:val="22"/>
        </w:rPr>
      </w:pPr>
      <w:bookmarkStart w:id="57" w:name="_heading=h.ebyppjja3yeo" w:colFirst="0" w:colLast="0"/>
      <w:bookmarkEnd w:id="57"/>
      <w:r w:rsidRPr="003E6F1B">
        <w:rPr>
          <w:rFonts w:ascii="Arial" w:eastAsia="Arial" w:hAnsi="Arial" w:cs="Arial"/>
          <w:b/>
          <w:bCs/>
          <w:sz w:val="22"/>
        </w:rPr>
        <w:t>Critical Questions</w:t>
      </w:r>
    </w:p>
    <w:p w14:paraId="310273E2" w14:textId="77777777" w:rsidR="003E6F1B" w:rsidRPr="003E6F1B" w:rsidRDefault="003E6F1B" w:rsidP="003E6F1B"/>
    <w:p w14:paraId="0DCC63C3" w14:textId="77777777" w:rsidR="00C41F6E" w:rsidRPr="00092464" w:rsidRDefault="00000000" w:rsidP="00092464">
      <w:pPr>
        <w:rPr>
          <w:rFonts w:ascii="Arial" w:hAnsi="Arial"/>
          <w:sz w:val="22"/>
        </w:rPr>
      </w:pPr>
      <w:r w:rsidRPr="00092464">
        <w:rPr>
          <w:rFonts w:ascii="Arial" w:hAnsi="Arial"/>
          <w:sz w:val="22"/>
        </w:rPr>
        <w:t>Q33.</w:t>
      </w:r>
      <w:r w:rsidRPr="00092464">
        <w:rPr>
          <w:rFonts w:ascii="Arial" w:hAnsi="Arial"/>
          <w:sz w:val="22"/>
        </w:rPr>
        <w:tab/>
        <w:t>How will the state address discrimination and trust deficit in police to ensure access to justice? Are there plans to adopt good practices such as introducing a Standard Operating Procedure, training and introduction in relation to LBTI persons?</w:t>
      </w:r>
    </w:p>
    <w:p w14:paraId="751BF8F8" w14:textId="77777777" w:rsidR="00C41F6E" w:rsidRPr="00092464" w:rsidRDefault="00C41F6E" w:rsidP="00092464">
      <w:pPr>
        <w:rPr>
          <w:rFonts w:ascii="Arial" w:hAnsi="Arial"/>
          <w:sz w:val="22"/>
        </w:rPr>
      </w:pPr>
    </w:p>
    <w:p w14:paraId="4D2B26B9" w14:textId="77777777" w:rsidR="00C41F6E" w:rsidRPr="00092464" w:rsidRDefault="00000000" w:rsidP="00092464">
      <w:pPr>
        <w:rPr>
          <w:rFonts w:ascii="Arial" w:hAnsi="Arial"/>
          <w:sz w:val="22"/>
        </w:rPr>
      </w:pPr>
      <w:r w:rsidRPr="00092464">
        <w:rPr>
          <w:rFonts w:ascii="Arial" w:hAnsi="Arial"/>
          <w:sz w:val="22"/>
        </w:rPr>
        <w:t>Q34.</w:t>
      </w:r>
      <w:r w:rsidRPr="00092464">
        <w:rPr>
          <w:rFonts w:ascii="Arial" w:hAnsi="Arial"/>
          <w:sz w:val="22"/>
        </w:rPr>
        <w:tab/>
        <w:t xml:space="preserve">How many women are currently on Malaysia’s death row? For each woman, please provide demographic data including age, ethnicity, nationality, age of dependent children, details regarding their conviction). </w:t>
      </w:r>
    </w:p>
    <w:p w14:paraId="0B795EF4" w14:textId="77777777" w:rsidR="00C41F6E" w:rsidRPr="00092464" w:rsidRDefault="00C41F6E" w:rsidP="00092464">
      <w:pPr>
        <w:rPr>
          <w:rFonts w:ascii="Arial" w:hAnsi="Arial"/>
          <w:sz w:val="22"/>
        </w:rPr>
      </w:pPr>
    </w:p>
    <w:p w14:paraId="4A3C5EA7" w14:textId="77777777" w:rsidR="00C41F6E" w:rsidRPr="00092464" w:rsidRDefault="00C41F6E" w:rsidP="00092464">
      <w:pPr>
        <w:pStyle w:val="Heading1"/>
        <w:rPr>
          <w:rFonts w:ascii="Arial" w:hAnsi="Arial" w:cs="Arial"/>
          <w:sz w:val="22"/>
          <w:szCs w:val="22"/>
        </w:rPr>
      </w:pPr>
      <w:bookmarkStart w:id="58" w:name="_heading=h.rz3w1feb5ehq" w:colFirst="0" w:colLast="0"/>
      <w:bookmarkEnd w:id="58"/>
    </w:p>
    <w:p w14:paraId="0908065C" w14:textId="77777777" w:rsidR="00C41F6E" w:rsidRPr="00092464" w:rsidRDefault="00C41F6E" w:rsidP="00092464">
      <w:pPr>
        <w:pStyle w:val="Heading1"/>
        <w:rPr>
          <w:rFonts w:ascii="Arial" w:hAnsi="Arial" w:cs="Arial"/>
          <w:sz w:val="22"/>
          <w:szCs w:val="22"/>
        </w:rPr>
      </w:pPr>
      <w:bookmarkStart w:id="59" w:name="_heading=h.yk886f97u7r0" w:colFirst="0" w:colLast="0"/>
      <w:bookmarkEnd w:id="59"/>
    </w:p>
    <w:p w14:paraId="13E8BB29" w14:textId="77777777" w:rsidR="00C41F6E" w:rsidRPr="00092464" w:rsidRDefault="00C41F6E" w:rsidP="00092464">
      <w:pPr>
        <w:pStyle w:val="Heading1"/>
        <w:rPr>
          <w:rFonts w:ascii="Arial" w:hAnsi="Arial" w:cs="Arial"/>
          <w:sz w:val="22"/>
          <w:szCs w:val="22"/>
        </w:rPr>
      </w:pPr>
      <w:bookmarkStart w:id="60" w:name="_heading=h.a2j1mlzg85z" w:colFirst="0" w:colLast="0"/>
      <w:bookmarkEnd w:id="60"/>
    </w:p>
    <w:p w14:paraId="6260CF29" w14:textId="77777777" w:rsidR="00C41F6E" w:rsidRPr="00092464" w:rsidRDefault="00C41F6E" w:rsidP="00092464">
      <w:pPr>
        <w:pStyle w:val="Heading1"/>
        <w:rPr>
          <w:rFonts w:ascii="Arial" w:hAnsi="Arial" w:cs="Arial"/>
          <w:sz w:val="22"/>
          <w:szCs w:val="22"/>
        </w:rPr>
      </w:pPr>
      <w:bookmarkStart w:id="61" w:name="_heading=h.dxa73zikcb1b" w:colFirst="0" w:colLast="0"/>
      <w:bookmarkEnd w:id="61"/>
    </w:p>
    <w:p w14:paraId="36F84BBC" w14:textId="77777777" w:rsidR="00C41F6E" w:rsidRPr="00092464" w:rsidRDefault="00C41F6E" w:rsidP="00092464">
      <w:pPr>
        <w:pStyle w:val="Heading1"/>
        <w:rPr>
          <w:rFonts w:ascii="Arial" w:hAnsi="Arial" w:cs="Arial"/>
          <w:sz w:val="22"/>
          <w:szCs w:val="22"/>
        </w:rPr>
      </w:pPr>
      <w:bookmarkStart w:id="62" w:name="_heading=h.nd9yhlgl7df0" w:colFirst="0" w:colLast="0"/>
      <w:bookmarkEnd w:id="62"/>
    </w:p>
    <w:p w14:paraId="6E7E3E17" w14:textId="77777777" w:rsidR="00C41F6E" w:rsidRPr="00092464" w:rsidRDefault="00C41F6E" w:rsidP="00092464">
      <w:pPr>
        <w:rPr>
          <w:rFonts w:ascii="Arial" w:hAnsi="Arial"/>
          <w:sz w:val="22"/>
        </w:rPr>
      </w:pPr>
    </w:p>
    <w:p w14:paraId="7C20ED8A" w14:textId="77777777" w:rsidR="00C41F6E" w:rsidRPr="00092464" w:rsidRDefault="00C41F6E" w:rsidP="00092464">
      <w:pPr>
        <w:pStyle w:val="Heading1"/>
        <w:rPr>
          <w:rFonts w:ascii="Arial" w:hAnsi="Arial" w:cs="Arial"/>
          <w:sz w:val="22"/>
          <w:szCs w:val="22"/>
        </w:rPr>
      </w:pPr>
      <w:bookmarkStart w:id="63" w:name="_heading=h.ykj2q0o68dha" w:colFirst="0" w:colLast="0"/>
      <w:bookmarkEnd w:id="63"/>
    </w:p>
    <w:p w14:paraId="1645CAA3" w14:textId="77777777" w:rsidR="00C41F6E" w:rsidRPr="00092464" w:rsidRDefault="00C41F6E" w:rsidP="00092464">
      <w:pPr>
        <w:rPr>
          <w:rFonts w:ascii="Arial" w:hAnsi="Arial"/>
          <w:sz w:val="22"/>
        </w:rPr>
      </w:pPr>
    </w:p>
    <w:p w14:paraId="0E7B7A4D" w14:textId="77777777" w:rsidR="00C41F6E" w:rsidRPr="00092464" w:rsidRDefault="00C41F6E" w:rsidP="00092464">
      <w:pPr>
        <w:pStyle w:val="Title"/>
        <w:rPr>
          <w:rFonts w:ascii="Arial" w:hAnsi="Arial" w:cs="Arial"/>
          <w:sz w:val="22"/>
          <w:szCs w:val="22"/>
        </w:rPr>
      </w:pPr>
      <w:bookmarkStart w:id="64" w:name="_heading=h.g0zmxunoahsf" w:colFirst="0" w:colLast="0"/>
      <w:bookmarkEnd w:id="64"/>
    </w:p>
    <w:p w14:paraId="320FA075" w14:textId="77777777" w:rsidR="00C41F6E" w:rsidRPr="00092464" w:rsidRDefault="00C41F6E" w:rsidP="00092464">
      <w:pPr>
        <w:pStyle w:val="Title"/>
        <w:rPr>
          <w:rFonts w:ascii="Arial" w:hAnsi="Arial" w:cs="Arial"/>
          <w:sz w:val="22"/>
          <w:szCs w:val="22"/>
        </w:rPr>
      </w:pPr>
      <w:bookmarkStart w:id="65" w:name="_heading=h.jebschjbbc24" w:colFirst="0" w:colLast="0"/>
      <w:bookmarkEnd w:id="65"/>
    </w:p>
    <w:p w14:paraId="1C8B8318" w14:textId="77777777" w:rsidR="00C41F6E" w:rsidRPr="00092464" w:rsidRDefault="00C41F6E" w:rsidP="00092464">
      <w:pPr>
        <w:pStyle w:val="Title"/>
        <w:rPr>
          <w:rFonts w:ascii="Arial" w:hAnsi="Arial" w:cs="Arial"/>
          <w:sz w:val="22"/>
          <w:szCs w:val="22"/>
        </w:rPr>
      </w:pPr>
      <w:bookmarkStart w:id="66" w:name="_heading=h.bgby70d94aaa" w:colFirst="0" w:colLast="0"/>
      <w:bookmarkEnd w:id="66"/>
    </w:p>
    <w:p w14:paraId="2F30FA59" w14:textId="46246B3C" w:rsidR="00C41F6E" w:rsidRDefault="00C41F6E" w:rsidP="00092464">
      <w:pPr>
        <w:pStyle w:val="Title"/>
        <w:rPr>
          <w:rFonts w:ascii="Arial" w:hAnsi="Arial" w:cs="Arial"/>
          <w:sz w:val="22"/>
          <w:szCs w:val="22"/>
        </w:rPr>
      </w:pPr>
      <w:bookmarkStart w:id="67" w:name="_heading=h.9wtob1twi1cu" w:colFirst="0" w:colLast="0"/>
      <w:bookmarkEnd w:id="67"/>
    </w:p>
    <w:p w14:paraId="7E32B73B" w14:textId="7AAC5BD9" w:rsidR="003E6F1B" w:rsidRDefault="003E6F1B" w:rsidP="003E6F1B"/>
    <w:p w14:paraId="414C9921" w14:textId="329B6639" w:rsidR="003E6F1B" w:rsidRDefault="003E6F1B" w:rsidP="003E6F1B"/>
    <w:p w14:paraId="0EAD6D61" w14:textId="2E49DF75" w:rsidR="003E6F1B" w:rsidRDefault="003E6F1B" w:rsidP="003E6F1B"/>
    <w:p w14:paraId="630E4E57" w14:textId="36E03A58" w:rsidR="003E6F1B" w:rsidRDefault="003E6F1B" w:rsidP="003E6F1B"/>
    <w:p w14:paraId="532B1A88" w14:textId="37A5C812" w:rsidR="003E6F1B" w:rsidRDefault="003E6F1B" w:rsidP="003E6F1B"/>
    <w:p w14:paraId="6DF92D42" w14:textId="0B4A2B33" w:rsidR="003E6F1B" w:rsidRDefault="003E6F1B" w:rsidP="003E6F1B"/>
    <w:p w14:paraId="3767FE7F" w14:textId="2B9B261B" w:rsidR="003E6F1B" w:rsidRDefault="003E6F1B" w:rsidP="003E6F1B"/>
    <w:p w14:paraId="7A1196B9" w14:textId="0FD02AE6" w:rsidR="003E6F1B" w:rsidRDefault="003E6F1B" w:rsidP="003E6F1B"/>
    <w:p w14:paraId="400A7E6A" w14:textId="6DA07F92" w:rsidR="003E6F1B" w:rsidRDefault="003E6F1B" w:rsidP="003E6F1B"/>
    <w:p w14:paraId="414B06CA" w14:textId="76504BDF" w:rsidR="003E6F1B" w:rsidRDefault="003E6F1B" w:rsidP="003E6F1B"/>
    <w:p w14:paraId="017B97B6" w14:textId="7D77D198" w:rsidR="003E6F1B" w:rsidRDefault="003E6F1B" w:rsidP="003E6F1B"/>
    <w:p w14:paraId="78B0A210" w14:textId="2B463022" w:rsidR="003E6F1B" w:rsidRDefault="003E6F1B" w:rsidP="003E6F1B"/>
    <w:p w14:paraId="3EB1469E" w14:textId="31EEF311" w:rsidR="003E6F1B" w:rsidRDefault="003E6F1B" w:rsidP="003E6F1B"/>
    <w:p w14:paraId="36EF9A95" w14:textId="210A23F1" w:rsidR="003E6F1B" w:rsidRDefault="003E6F1B" w:rsidP="003E6F1B"/>
    <w:p w14:paraId="1D1197EA" w14:textId="46FDAACC" w:rsidR="003E6F1B" w:rsidRDefault="003E6F1B" w:rsidP="003E6F1B"/>
    <w:p w14:paraId="0C8E3632" w14:textId="46C1C6B9" w:rsidR="003E6F1B" w:rsidRDefault="003E6F1B" w:rsidP="003E6F1B"/>
    <w:p w14:paraId="12F187A5" w14:textId="77777777" w:rsidR="003E6F1B" w:rsidRPr="003E6F1B" w:rsidRDefault="003E6F1B" w:rsidP="003E6F1B"/>
    <w:p w14:paraId="0500FEE1" w14:textId="77777777" w:rsidR="00C41F6E" w:rsidRPr="00092464" w:rsidRDefault="00C41F6E" w:rsidP="00092464">
      <w:pPr>
        <w:pStyle w:val="Title"/>
        <w:rPr>
          <w:rFonts w:ascii="Arial" w:hAnsi="Arial" w:cs="Arial"/>
          <w:sz w:val="22"/>
          <w:szCs w:val="22"/>
        </w:rPr>
      </w:pPr>
      <w:bookmarkStart w:id="68" w:name="_heading=h.vme0k67f856r" w:colFirst="0" w:colLast="0"/>
      <w:bookmarkEnd w:id="68"/>
    </w:p>
    <w:p w14:paraId="08F38A3C" w14:textId="56ED6FA6" w:rsidR="00C41F6E" w:rsidRPr="003E6F1B" w:rsidRDefault="00000000" w:rsidP="003E6F1B">
      <w:pPr>
        <w:pStyle w:val="Title"/>
        <w:jc w:val="center"/>
        <w:rPr>
          <w:rFonts w:ascii="Arial" w:hAnsi="Arial" w:cs="Arial"/>
          <w:b/>
          <w:bCs/>
          <w:sz w:val="24"/>
          <w:szCs w:val="24"/>
        </w:rPr>
      </w:pPr>
      <w:bookmarkStart w:id="69" w:name="_heading=h.g0wnp0icg0qh" w:colFirst="0" w:colLast="0"/>
      <w:bookmarkEnd w:id="69"/>
      <w:r w:rsidRPr="003E6F1B">
        <w:rPr>
          <w:rFonts w:ascii="Arial" w:hAnsi="Arial" w:cs="Arial"/>
          <w:b/>
          <w:bCs/>
          <w:sz w:val="24"/>
          <w:szCs w:val="24"/>
        </w:rPr>
        <w:lastRenderedPageBreak/>
        <w:t>Annexes</w:t>
      </w:r>
      <w:bookmarkStart w:id="70" w:name="_heading=h.nf5c108671tr" w:colFirst="0" w:colLast="0"/>
      <w:bookmarkEnd w:id="70"/>
    </w:p>
    <w:p w14:paraId="020ADD8B" w14:textId="77777777" w:rsidR="00C41F6E" w:rsidRPr="00092464" w:rsidRDefault="00C41F6E" w:rsidP="00092464">
      <w:pPr>
        <w:pStyle w:val="Heading2"/>
        <w:rPr>
          <w:rFonts w:ascii="Arial" w:hAnsi="Arial" w:cs="Arial"/>
          <w:sz w:val="22"/>
          <w:szCs w:val="22"/>
        </w:rPr>
      </w:pPr>
      <w:bookmarkStart w:id="71" w:name="_heading=h.u6lzs8fmmozm" w:colFirst="0" w:colLast="0"/>
      <w:bookmarkEnd w:id="71"/>
    </w:p>
    <w:p w14:paraId="75E1C462" w14:textId="77777777" w:rsidR="00C41F6E" w:rsidRPr="00092464" w:rsidRDefault="00000000" w:rsidP="00092464">
      <w:pPr>
        <w:pStyle w:val="Heading2"/>
        <w:rPr>
          <w:rFonts w:ascii="Arial" w:hAnsi="Arial" w:cs="Arial"/>
          <w:b/>
          <w:color w:val="666666"/>
          <w:sz w:val="22"/>
          <w:szCs w:val="22"/>
        </w:rPr>
      </w:pPr>
      <w:bookmarkStart w:id="72" w:name="_heading=h.db71dv9jy7j0" w:colFirst="0" w:colLast="0"/>
      <w:bookmarkEnd w:id="72"/>
      <w:r w:rsidRPr="003E6F1B">
        <w:rPr>
          <w:rFonts w:ascii="Arial" w:hAnsi="Arial" w:cs="Arial"/>
          <w:b/>
          <w:bCs/>
          <w:sz w:val="22"/>
          <w:szCs w:val="22"/>
        </w:rPr>
        <w:t xml:space="preserve">Annex A </w:t>
      </w:r>
      <w:r w:rsidRPr="00092464">
        <w:rPr>
          <w:rFonts w:ascii="Arial" w:hAnsi="Arial" w:cs="Arial"/>
          <w:sz w:val="22"/>
          <w:szCs w:val="22"/>
        </w:rPr>
        <w:t>– Complete timeline of events in the public interest case of Suriani Kempe &amp; Ors. v Government of Malaysia &amp; Ors</w:t>
      </w:r>
    </w:p>
    <w:p w14:paraId="7137C7DB"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03FB0ED4"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18 December 2020 : The Association of Family Support &amp; Welfare Selangor &amp; KL (‘Family Frontiers’) filed a constitutional challenge with the Kuala Lumpur High Court, seeking a declaration that Malaysian women married to foreign spouses can automatically confer citizenship on their children who are born overseas. Along with six Malaysian mothers, Family Frontiers aims to uphold the spirit of the Federal Constitution, which promotes equality and prohibits discrimination. They have named the Government of Malaysia, the Minister of Home Affairs and the Director-General of the National Registration Department as its defendants.</w:t>
      </w:r>
    </w:p>
    <w:p w14:paraId="51748EA4"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22 January 2021 : The Government attempted to strike out the case stating it was “scandalous, frivolous and vexatious”, and that it was an “abuse of the court process”. However, the High Court delivered a judgement in favour of the applicants on 6 May 2021, ruling that the case can proceed.</w:t>
      </w:r>
    </w:p>
    <w:p w14:paraId="7F91092F"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7 May 2021 : In response to the failed strike-out, the Government filed an appeal at the Court of Appeal against the High Court judgement.</w:t>
      </w:r>
    </w:p>
    <w:p w14:paraId="7A1A4795"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7 May 2021 : In the interim, the Government filed a stay application to put the High Court hearing of the merits of the case into abeyance until the Court of Appeal has disposed of the strike-out matter.</w:t>
      </w:r>
    </w:p>
    <w:p w14:paraId="5D39148A"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19 August 2021 : The High Court dismissed the Government's stay application and ruled that the merits of the case be heard on 24 August 2021.</w:t>
      </w:r>
    </w:p>
    <w:p w14:paraId="71D5E43F"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20 August 2021 : The Court of Appeal dismissed the Government’s appeal against the High Court judgement dismissing the strike out of the case.</w:t>
      </w:r>
    </w:p>
    <w:p w14:paraId="35A2373A"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24 August 2021 : The Kuala Lumpur High Court heard the merits of the originating summons.</w:t>
      </w:r>
    </w:p>
    <w:p w14:paraId="2B2D8D1B"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9 September 2021 : The Kuala Lumpur High Court ruled that Article 14(1)(b) of the Federal Constitution together with the Second Schedule, Part II, Section 1(b) of the FC, must be read in a harmonious manner with Article 8 of the FC. In doing this, the High Court judge announced that the word ‘father’ must be read to include mothers and that their children are entitled to citizenship by operation of law.</w:t>
      </w:r>
    </w:p>
    <w:p w14:paraId="0D8B00E8"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13 September 2021 : The Defendants (the Government of Malaysia, the Home Minister and the Director-General of the National Registration Department) filed a Notice of Appeal against the High Court decision and a stay of execution pending appeal application at the High Court.</w:t>
      </w:r>
    </w:p>
    <w:p w14:paraId="28AE6B52"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15 November 2021 : The High Court dismissed the Government’s stay of execution application with RM5000 as costs to the plaintiffs.</w:t>
      </w:r>
    </w:p>
    <w:p w14:paraId="4657F49E"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16 November 2021 : The Government filed an application for a stay at the Court of Appeal. The hearing date was fixed to be on 18 March 2022.</w:t>
      </w:r>
    </w:p>
    <w:p w14:paraId="37502458"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17 November 2021 : The Government filed an application for an interim stay at the Court of Appeal.</w:t>
      </w:r>
    </w:p>
    <w:p w14:paraId="188F20BC"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6 December 2021 : The Court of Appeal made no order for the interim stay, and instead brought forward the hearing date of the stay application from 18 March 2022 to 22 December 2021.</w:t>
      </w:r>
    </w:p>
    <w:p w14:paraId="45E77AD4"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22 December 2021 : The Court of Appeal unanimously dismissed the Government’s application for a stay of execution of the Kuala Lumpur High Court judgement.</w:t>
      </w:r>
    </w:p>
    <w:p w14:paraId="5C5FE923"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lastRenderedPageBreak/>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23 March 2022 : The Court of Appeal heard the Government’s appeal on the merits of the case.</w:t>
      </w:r>
    </w:p>
    <w:p w14:paraId="667FC08D"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22 June 2022 : The Court of Appeal heard further submissions by both parties on the merits of the Government’s appeal.</w:t>
      </w:r>
    </w:p>
    <w:p w14:paraId="4E0ABD16"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5 August 2022 : The Court of Appeal, in a 2-1 decision, allowed the Government’s appeal and overruled the High Court judgement.</w:t>
      </w:r>
    </w:p>
    <w:p w14:paraId="0D04C2FF" w14:textId="77777777" w:rsidR="00C41F6E" w:rsidRPr="00092464" w:rsidRDefault="00000000" w:rsidP="00092464">
      <w:pPr>
        <w:shd w:val="clear" w:color="auto" w:fill="FFFFFF"/>
        <w:spacing w:after="60"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26 August 2022 : Family Frontiers applied for leave to appeal the decision at the Federal Court.</w:t>
      </w:r>
    </w:p>
    <w:p w14:paraId="0AB9677D" w14:textId="77777777" w:rsidR="00C41F6E" w:rsidRPr="00092464" w:rsidRDefault="00000000" w:rsidP="00092464">
      <w:pPr>
        <w:shd w:val="clear" w:color="auto" w:fill="FFFFFF"/>
        <w:spacing w:line="276" w:lineRule="auto"/>
        <w:ind w:left="-270" w:hanging="360"/>
        <w:rPr>
          <w:rFonts w:ascii="Arial" w:hAnsi="Arial"/>
          <w:sz w:val="22"/>
        </w:rPr>
      </w:pPr>
      <w:r w:rsidRPr="00092464">
        <w:rPr>
          <w:rFonts w:ascii="Arial" w:hAnsi="Arial"/>
          <w:sz w:val="22"/>
        </w:rPr>
        <w:t>●</w:t>
      </w:r>
      <w:r w:rsidRPr="00092464">
        <w:rPr>
          <w:rFonts w:ascii="Arial" w:eastAsia="Times New Roman" w:hAnsi="Arial"/>
          <w:sz w:val="22"/>
        </w:rPr>
        <w:t xml:space="preserve">  </w:t>
      </w:r>
      <w:r w:rsidRPr="00092464">
        <w:rPr>
          <w:rFonts w:ascii="Arial" w:eastAsia="Times New Roman" w:hAnsi="Arial"/>
          <w:sz w:val="22"/>
        </w:rPr>
        <w:tab/>
      </w:r>
      <w:r w:rsidRPr="00092464">
        <w:rPr>
          <w:rFonts w:ascii="Arial" w:hAnsi="Arial"/>
          <w:sz w:val="22"/>
        </w:rPr>
        <w:t>14 December 2022 : The Federal Court granted Family Frontiers leave to appeal at the Federal Court.</w:t>
      </w:r>
    </w:p>
    <w:p w14:paraId="05C3D864" w14:textId="77777777" w:rsidR="00C41F6E" w:rsidRPr="00092464" w:rsidRDefault="00C41F6E" w:rsidP="00092464">
      <w:pPr>
        <w:shd w:val="clear" w:color="auto" w:fill="FFFFFF"/>
        <w:spacing w:line="276" w:lineRule="auto"/>
        <w:ind w:left="-270" w:hanging="360"/>
        <w:rPr>
          <w:rFonts w:ascii="Arial" w:hAnsi="Arial"/>
          <w:sz w:val="22"/>
        </w:rPr>
      </w:pPr>
    </w:p>
    <w:p w14:paraId="45512DB9" w14:textId="77777777" w:rsidR="00C41F6E" w:rsidRPr="00092464" w:rsidRDefault="00000000" w:rsidP="00092464">
      <w:pPr>
        <w:pStyle w:val="Heading2"/>
        <w:rPr>
          <w:rFonts w:ascii="Arial" w:hAnsi="Arial" w:cs="Arial"/>
          <w:sz w:val="22"/>
          <w:szCs w:val="22"/>
        </w:rPr>
      </w:pPr>
      <w:bookmarkStart w:id="73" w:name="_heading=h.7s962crrvsue" w:colFirst="0" w:colLast="0"/>
      <w:bookmarkEnd w:id="73"/>
      <w:r w:rsidRPr="003E6F1B">
        <w:rPr>
          <w:rFonts w:ascii="Arial" w:hAnsi="Arial" w:cs="Arial"/>
          <w:b/>
          <w:bCs/>
          <w:sz w:val="22"/>
          <w:szCs w:val="22"/>
        </w:rPr>
        <w:t>Annex B</w:t>
      </w:r>
      <w:r w:rsidRPr="00092464">
        <w:rPr>
          <w:rFonts w:ascii="Arial" w:hAnsi="Arial" w:cs="Arial"/>
          <w:sz w:val="22"/>
          <w:szCs w:val="22"/>
        </w:rPr>
        <w:t xml:space="preserve"> –  Lived reality of Sofia: A female foreign spouse of a Malaysian and her struggle for economic autonomy and self-realisation as a result of restrictive immigration policies and practices</w:t>
      </w:r>
    </w:p>
    <w:p w14:paraId="5653F14A" w14:textId="77777777" w:rsidR="00C41F6E" w:rsidRPr="00092464" w:rsidRDefault="00C41F6E" w:rsidP="00092464">
      <w:pPr>
        <w:rPr>
          <w:rFonts w:ascii="Arial" w:hAnsi="Arial"/>
          <w:sz w:val="22"/>
        </w:rPr>
      </w:pPr>
    </w:p>
    <w:p w14:paraId="6D5C90FA" w14:textId="77777777" w:rsidR="00C41F6E" w:rsidRPr="00092464" w:rsidRDefault="00000000" w:rsidP="00092464">
      <w:pPr>
        <w:shd w:val="clear" w:color="auto" w:fill="FFFFFF"/>
        <w:spacing w:after="200" w:line="276" w:lineRule="auto"/>
        <w:rPr>
          <w:rFonts w:ascii="Arial" w:hAnsi="Arial"/>
          <w:sz w:val="22"/>
        </w:rPr>
      </w:pPr>
      <w:r w:rsidRPr="00092464">
        <w:rPr>
          <w:rFonts w:ascii="Arial" w:hAnsi="Arial"/>
          <w:sz w:val="22"/>
        </w:rPr>
        <w:t>Malaysia to pursue an undergraduate degree in finance. She furthered her qualifications with a postgraduate degree subsequently.</w:t>
      </w:r>
    </w:p>
    <w:p w14:paraId="1332B2A5"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1AFC261B"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Despite her qualifications, Sofia faces great difficulty finding an employer who would hire an entry-level non-citizen with a prohibition of employment on her visa. In 2013, Sofia was employed by a foreign bank, until the organization closed its office in Malaysia in 2015. Since then, Sofia has not had a steady income.</w:t>
      </w:r>
    </w:p>
    <w:p w14:paraId="564E9C32"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20CB0175"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Since she completed her education, Sofia has been on a Long-Term Social Visit Pass (LTSVP) that is accorded to spouses. Sofia submitted an application for a Permanent Residence in 2015 hoping that it would improve her employability. But five years later, she was notified that her application was rejected. In this letter, she was notified that while the Permanent Residence was denied, she could apply for a Residence Pass, which will keep her dependent on her husband and has a validity of five years. Rather, she appealed to the Ministry of Home Affairs and received a notification in 2020 that the Ministry is taking action and as such, the results will be released when all actions have been taken by them (translated from Bahasa Malaysia). Both communications lacked information on the reasons for rejection or delay. Until Sofia secures Permanent Residence, a career in finance will remain inaccessible to her.</w:t>
      </w:r>
    </w:p>
    <w:p w14:paraId="2703B06F"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53945E60"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Her stability and security in the country is solely dependent on her Malaysian spouse; she is reliant on him for her legal status and finances. This added stress has caused strain on her marriage and she worries that if anything were to happen, she would not be at liberty to support her son. Her worries expand as she and her son have different passports and both require visas to remain in the others’ country.</w:t>
      </w:r>
    </w:p>
    <w:p w14:paraId="7DF570B9"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4BF25FF8"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Sofia, once a highly ambitious woman, has been effectively forced to put her career goals on the back burner at the cost of her self-fulfilment. The longer she spends in Malaysia unemployed makes it more difficult for her to be employed elsewhere, as employers are hesitant to hire entry-level professionals with a large gap in their resumes. Sofia has continued to build her skills by taking specialist courses in her industry, but employers remain hesitant to employ her; not because of her ability but her legal status and the statement on her visa </w:t>
      </w:r>
      <w:r w:rsidRPr="00092464">
        <w:rPr>
          <w:rFonts w:ascii="Arial" w:hAnsi="Arial"/>
          <w:sz w:val="22"/>
        </w:rPr>
        <w:lastRenderedPageBreak/>
        <w:t>‘</w:t>
      </w:r>
      <w:r w:rsidRPr="00092464">
        <w:rPr>
          <w:rFonts w:ascii="Arial" w:hAnsi="Arial"/>
          <w:i/>
          <w:sz w:val="22"/>
        </w:rPr>
        <w:t>prohibited from all forms of employment</w:t>
      </w:r>
      <w:r w:rsidRPr="00092464">
        <w:rPr>
          <w:rFonts w:ascii="Arial" w:hAnsi="Arial"/>
          <w:sz w:val="22"/>
        </w:rPr>
        <w:t>’ (despite prior approval from the Department of Immigration to work).</w:t>
      </w:r>
    </w:p>
    <w:p w14:paraId="2C588330"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5AAD96F6"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The policies and practices employed by the Malaysian Government have caused her immeasurable emotional trauma over the years and propagates her struggle for autonomy and self-realization.</w:t>
      </w:r>
    </w:p>
    <w:p w14:paraId="508542FE"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2367EC22" w14:textId="77777777" w:rsidR="00C41F6E" w:rsidRPr="00092464" w:rsidRDefault="00000000" w:rsidP="00092464">
      <w:pPr>
        <w:pStyle w:val="Heading2"/>
        <w:rPr>
          <w:rFonts w:ascii="Arial" w:hAnsi="Arial" w:cs="Arial"/>
          <w:sz w:val="22"/>
          <w:szCs w:val="22"/>
        </w:rPr>
      </w:pPr>
      <w:bookmarkStart w:id="74" w:name="_heading=h.rr0pozk1nfvd" w:colFirst="0" w:colLast="0"/>
      <w:bookmarkEnd w:id="74"/>
      <w:r w:rsidRPr="003E6F1B">
        <w:rPr>
          <w:rFonts w:ascii="Arial" w:hAnsi="Arial" w:cs="Arial"/>
          <w:b/>
          <w:bCs/>
          <w:sz w:val="22"/>
          <w:szCs w:val="22"/>
        </w:rPr>
        <w:t>Annex C</w:t>
      </w:r>
      <w:r w:rsidRPr="00092464">
        <w:rPr>
          <w:rFonts w:ascii="Arial" w:hAnsi="Arial" w:cs="Arial"/>
          <w:sz w:val="22"/>
          <w:szCs w:val="22"/>
        </w:rPr>
        <w:t xml:space="preserve"> –  Restrictive immigration policies and practices and its impact on female foreign spouses of Malaysians</w:t>
      </w:r>
    </w:p>
    <w:p w14:paraId="64DA905E"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2FE152F2" w14:textId="77777777" w:rsidR="00C41F6E" w:rsidRPr="00092464" w:rsidRDefault="00000000" w:rsidP="00092464">
      <w:pPr>
        <w:shd w:val="clear" w:color="auto" w:fill="FFFFFF"/>
        <w:spacing w:line="276" w:lineRule="auto"/>
        <w:rPr>
          <w:rFonts w:ascii="Arial" w:hAnsi="Arial"/>
          <w:b/>
          <w:sz w:val="22"/>
        </w:rPr>
      </w:pPr>
      <w:r w:rsidRPr="00092464">
        <w:rPr>
          <w:rFonts w:ascii="Arial" w:hAnsi="Arial"/>
          <w:b/>
          <w:sz w:val="22"/>
        </w:rPr>
        <w:t>STATEMENT OF PROHIBITION FROM EMPLOYMENT ON SPOUSE VISAS AND ITS IMPACT ON ECONOMIC AUTONOMY</w:t>
      </w:r>
    </w:p>
    <w:p w14:paraId="7237DDDC"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 </w:t>
      </w:r>
    </w:p>
    <w:p w14:paraId="644739DB"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A survey conducted by Family Frontiers with 516 Malaysian binational families in 2020 found that 3 out of 4 (77.2%) foreign spouses believed that the </w:t>
      </w:r>
      <w:proofErr w:type="spellStart"/>
      <w:r w:rsidRPr="00092464">
        <w:rPr>
          <w:rFonts w:ascii="Arial" w:hAnsi="Arial"/>
          <w:sz w:val="22"/>
        </w:rPr>
        <w:t>prohibitory</w:t>
      </w:r>
      <w:proofErr w:type="spellEnd"/>
      <w:r w:rsidRPr="00092464">
        <w:rPr>
          <w:rFonts w:ascii="Arial" w:hAnsi="Arial"/>
          <w:sz w:val="22"/>
        </w:rPr>
        <w:t xml:space="preserve"> statement on their visa makes it difficult to secure a job in Malaysia. While 75% of foreign spouses possessed a Bachelor’s Degree or higher, 49% of foreign spouses residing in Malaysia were unemployed at the time of the survey.</w:t>
      </w:r>
    </w:p>
    <w:p w14:paraId="1B8366FE" w14:textId="77777777" w:rsidR="00C41F6E" w:rsidRPr="00092464" w:rsidRDefault="00000000" w:rsidP="00092464">
      <w:pPr>
        <w:shd w:val="clear" w:color="auto" w:fill="FFFFFF"/>
        <w:spacing w:line="276" w:lineRule="auto"/>
        <w:ind w:left="1440"/>
        <w:rPr>
          <w:rFonts w:ascii="Arial" w:hAnsi="Arial"/>
          <w:sz w:val="22"/>
        </w:rPr>
      </w:pPr>
      <w:r w:rsidRPr="00092464">
        <w:rPr>
          <w:rFonts w:ascii="Arial" w:hAnsi="Arial"/>
          <w:sz w:val="22"/>
        </w:rPr>
        <w:t xml:space="preserve"> </w:t>
      </w:r>
    </w:p>
    <w:p w14:paraId="1B12EF59"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The </w:t>
      </w:r>
      <w:proofErr w:type="spellStart"/>
      <w:r w:rsidRPr="00092464">
        <w:rPr>
          <w:rFonts w:ascii="Arial" w:hAnsi="Arial"/>
          <w:sz w:val="22"/>
        </w:rPr>
        <w:t>prohibitory</w:t>
      </w:r>
      <w:proofErr w:type="spellEnd"/>
      <w:r w:rsidRPr="00092464">
        <w:rPr>
          <w:rFonts w:ascii="Arial" w:hAnsi="Arial"/>
          <w:sz w:val="22"/>
        </w:rPr>
        <w:t xml:space="preserve"> statement has critical impacts on the autonomy of female foreign spouses. The foreign spouse is made to be entirely financially dependent on the Malaysian spouse, effectively compromising the economic autonomy and liberty of female foreign spouses. Those in abusive marriages may be forced to stay in such marriages due to this dependency, as well as immigration stipulations that require the Malaysian spouse to be physically present at each visa renewal. Malaysian binational families forced into being single-income households are pushed to situations of dire economic hardship in the current climate of the rising cost of living.</w:t>
      </w:r>
    </w:p>
    <w:p w14:paraId="4074F157" w14:textId="77777777" w:rsidR="00C41F6E" w:rsidRPr="00092464" w:rsidRDefault="00000000" w:rsidP="00092464">
      <w:pPr>
        <w:shd w:val="clear" w:color="auto" w:fill="FFFFFF"/>
        <w:spacing w:line="276" w:lineRule="auto"/>
        <w:ind w:left="1440"/>
        <w:rPr>
          <w:rFonts w:ascii="Arial" w:hAnsi="Arial"/>
          <w:b/>
          <w:sz w:val="22"/>
        </w:rPr>
      </w:pPr>
      <w:r w:rsidRPr="00092464">
        <w:rPr>
          <w:rFonts w:ascii="Arial" w:hAnsi="Arial"/>
          <w:sz w:val="22"/>
        </w:rPr>
        <w:t xml:space="preserve"> </w:t>
      </w:r>
    </w:p>
    <w:p w14:paraId="615B5F6F" w14:textId="77777777" w:rsidR="00C41F6E" w:rsidRPr="00092464" w:rsidRDefault="00000000" w:rsidP="00092464">
      <w:pPr>
        <w:shd w:val="clear" w:color="auto" w:fill="FFFFFF"/>
        <w:spacing w:line="276" w:lineRule="auto"/>
        <w:rPr>
          <w:rFonts w:ascii="Arial" w:hAnsi="Arial"/>
          <w:b/>
          <w:sz w:val="22"/>
        </w:rPr>
      </w:pPr>
      <w:r w:rsidRPr="00092464">
        <w:rPr>
          <w:rFonts w:ascii="Arial" w:hAnsi="Arial"/>
          <w:b/>
          <w:sz w:val="22"/>
        </w:rPr>
        <w:t>RESTRICTED ACCESS TO PERMANENT RESIDENCE AMONG NON-CITIZEN SPOUSES OF MALAYSIANS</w:t>
      </w:r>
    </w:p>
    <w:p w14:paraId="09691472" w14:textId="77777777" w:rsidR="00C41F6E" w:rsidRPr="00092464" w:rsidRDefault="00000000" w:rsidP="00092464">
      <w:pPr>
        <w:shd w:val="clear" w:color="auto" w:fill="FFFFFF"/>
        <w:spacing w:line="276" w:lineRule="auto"/>
        <w:ind w:left="1440"/>
        <w:rPr>
          <w:rFonts w:ascii="Arial" w:hAnsi="Arial"/>
          <w:sz w:val="22"/>
        </w:rPr>
      </w:pPr>
      <w:r w:rsidRPr="00092464">
        <w:rPr>
          <w:rFonts w:ascii="Arial" w:hAnsi="Arial"/>
          <w:sz w:val="22"/>
        </w:rPr>
        <w:t xml:space="preserve"> </w:t>
      </w:r>
    </w:p>
    <w:p w14:paraId="1F421B34"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A Family Frontiers survey of 65 spouses of Malaysians who have submitted an application for Permanent Residence since 2014 showed that the processing time of the application was inconsistent—the processing time was less than 2 years for 9.3%,, 2-4 years among 32.6%, 4-6 years among 27.9% and more than 6 years for 30,2% respondents. The majority of the applications were still in process and there were zero approvals. Lately, the Government has been offering a new pass, a Residence Pass, rather than a Permanent Residence. Compared to Permanent Residence status, this pass contains restrictions including a validity period of five years and leaves the foreign spouse completely dependent on the Malaysian spouse.</w:t>
      </w:r>
    </w:p>
    <w:p w14:paraId="461A5FCC" w14:textId="77777777" w:rsidR="00C41F6E" w:rsidRPr="00092464" w:rsidRDefault="00000000" w:rsidP="00092464">
      <w:pPr>
        <w:shd w:val="clear" w:color="auto" w:fill="FFFFFF"/>
        <w:spacing w:line="276" w:lineRule="auto"/>
        <w:ind w:left="1440"/>
        <w:rPr>
          <w:rFonts w:ascii="Arial" w:hAnsi="Arial"/>
          <w:sz w:val="22"/>
        </w:rPr>
      </w:pPr>
      <w:r w:rsidRPr="00092464">
        <w:rPr>
          <w:rFonts w:ascii="Arial" w:hAnsi="Arial"/>
          <w:sz w:val="22"/>
        </w:rPr>
        <w:t xml:space="preserve"> </w:t>
      </w:r>
    </w:p>
    <w:p w14:paraId="7CDA0101"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 xml:space="preserve">The lack of Permanent Residence among non-citizen spouses of Malaysians has critical socioeconomic implications on Malaysian binational families, particularly for female foreign spouses. This includes difficulty in  securing employment opportunities, increased economic hardship and other economic challenges such as difficulty opening a bank account, securing financial loans and owning properties. Foreign spouses are also faced with the fear of family separation, including the fear of being removed (and separation from children and family in Malaysia) following the death of a Malaysian spouse or divorce or separation. Access to </w:t>
      </w:r>
      <w:r w:rsidRPr="00092464">
        <w:rPr>
          <w:rFonts w:ascii="Arial" w:hAnsi="Arial"/>
          <w:sz w:val="22"/>
        </w:rPr>
        <w:lastRenderedPageBreak/>
        <w:t>permanent residence will grant female foreign spouses autonomy and financial freedom which is a step towards eliminating abuse and violence against women.</w:t>
      </w:r>
    </w:p>
    <w:p w14:paraId="526572C8" w14:textId="77777777" w:rsidR="00C41F6E" w:rsidRPr="00092464" w:rsidRDefault="00000000" w:rsidP="00092464">
      <w:pPr>
        <w:shd w:val="clear" w:color="auto" w:fill="FFFFFF"/>
        <w:spacing w:line="276" w:lineRule="auto"/>
        <w:ind w:left="1440"/>
        <w:rPr>
          <w:rFonts w:ascii="Arial" w:hAnsi="Arial"/>
          <w:sz w:val="22"/>
        </w:rPr>
      </w:pPr>
      <w:r w:rsidRPr="00092464">
        <w:rPr>
          <w:rFonts w:ascii="Arial" w:hAnsi="Arial"/>
          <w:sz w:val="22"/>
        </w:rPr>
        <w:t xml:space="preserve"> </w:t>
      </w:r>
    </w:p>
    <w:p w14:paraId="18F14065" w14:textId="77777777" w:rsidR="00C41F6E" w:rsidRPr="00092464" w:rsidRDefault="00000000" w:rsidP="00092464">
      <w:pPr>
        <w:shd w:val="clear" w:color="auto" w:fill="FFFFFF"/>
        <w:spacing w:line="276" w:lineRule="auto"/>
        <w:rPr>
          <w:rFonts w:ascii="Arial" w:hAnsi="Arial"/>
          <w:b/>
          <w:sz w:val="22"/>
        </w:rPr>
      </w:pPr>
      <w:r w:rsidRPr="00092464">
        <w:rPr>
          <w:rFonts w:ascii="Arial" w:hAnsi="Arial"/>
          <w:b/>
          <w:sz w:val="22"/>
        </w:rPr>
        <w:t>LIMITED ACCESS TO LEGAL STATUS AND ITS IMPACT ON SEPARATED, DIVORCED AND WIDOWED FOREIGN SPOUSES OF MALAYSIANS</w:t>
      </w:r>
    </w:p>
    <w:p w14:paraId="7A401F15" w14:textId="77777777" w:rsidR="00C41F6E" w:rsidRPr="00092464" w:rsidRDefault="00000000" w:rsidP="00092464">
      <w:pPr>
        <w:shd w:val="clear" w:color="auto" w:fill="FFFFFF"/>
        <w:spacing w:line="276" w:lineRule="auto"/>
        <w:ind w:left="1440"/>
        <w:rPr>
          <w:rFonts w:ascii="Arial" w:hAnsi="Arial"/>
          <w:sz w:val="22"/>
        </w:rPr>
      </w:pPr>
      <w:r w:rsidRPr="00092464">
        <w:rPr>
          <w:rFonts w:ascii="Arial" w:hAnsi="Arial"/>
          <w:sz w:val="22"/>
        </w:rPr>
        <w:t xml:space="preserve"> </w:t>
      </w:r>
    </w:p>
    <w:p w14:paraId="08F551E8" w14:textId="77777777" w:rsidR="00C41F6E" w:rsidRPr="00092464" w:rsidRDefault="00000000" w:rsidP="00092464">
      <w:pPr>
        <w:shd w:val="clear" w:color="auto" w:fill="FFFFFF"/>
        <w:spacing w:line="276" w:lineRule="auto"/>
        <w:rPr>
          <w:rFonts w:ascii="Arial" w:hAnsi="Arial"/>
          <w:sz w:val="22"/>
        </w:rPr>
      </w:pPr>
      <w:r w:rsidRPr="00092464">
        <w:rPr>
          <w:rFonts w:ascii="Arial" w:hAnsi="Arial"/>
          <w:sz w:val="22"/>
        </w:rPr>
        <w:t>Divorced and widowed non-citizen spouses without Permanent Residence and without children are often forced to leave the country; those with children are left to acquire a six-month pass (Social Visit Pass) that is to be sponsored by a Malaysian, perpetuating a system of precarity and dependence. The spouse’s right to work is at the discretion and interpretation of the attending officer; many are not permitted to work during this period and are left at the mercy of the benevolence of others, despite being caregivers and providers for their Malaysian children and family. Those seeking remedy for domestic violence are allowed to remain in the country for a short term, while those seeking custody of their children are often met with disappointment and eventual dismissal from the country. Many are forced to stay in abusive marriages to be able to remain in the country with their children. Female foreign spouses may be less likely to leave abusive situations to protect their or their children’s legal status, or due to the lack of economic liberty. Foreign spouses previously married to Malaysians are also faced with limited rights to child custody.</w:t>
      </w:r>
    </w:p>
    <w:p w14:paraId="4653ECB3" w14:textId="77777777" w:rsidR="00C41F6E" w:rsidRPr="00092464" w:rsidRDefault="00C41F6E" w:rsidP="00092464">
      <w:pPr>
        <w:shd w:val="clear" w:color="auto" w:fill="FFFFFF"/>
        <w:spacing w:line="276" w:lineRule="auto"/>
        <w:rPr>
          <w:rFonts w:ascii="Arial" w:hAnsi="Arial"/>
          <w:sz w:val="22"/>
        </w:rPr>
      </w:pPr>
    </w:p>
    <w:p w14:paraId="1CAC6A71" w14:textId="77777777" w:rsidR="00C41F6E" w:rsidRPr="00092464" w:rsidRDefault="00000000" w:rsidP="00092464">
      <w:pPr>
        <w:pStyle w:val="Heading2"/>
        <w:shd w:val="clear" w:color="auto" w:fill="FFFFFF"/>
        <w:spacing w:after="300"/>
        <w:rPr>
          <w:rFonts w:ascii="Arial" w:hAnsi="Arial" w:cs="Arial"/>
          <w:sz w:val="22"/>
          <w:szCs w:val="22"/>
        </w:rPr>
      </w:pPr>
      <w:bookmarkStart w:id="75" w:name="_heading=h.jdet85i1mr7l" w:colFirst="0" w:colLast="0"/>
      <w:bookmarkEnd w:id="75"/>
      <w:r w:rsidRPr="003E6F1B">
        <w:rPr>
          <w:rFonts w:ascii="Arial" w:hAnsi="Arial" w:cs="Arial"/>
          <w:b/>
          <w:bCs/>
          <w:sz w:val="22"/>
          <w:szCs w:val="22"/>
        </w:rPr>
        <w:t>Annex D</w:t>
      </w:r>
      <w:r w:rsidRPr="00092464">
        <w:rPr>
          <w:rFonts w:ascii="Arial" w:hAnsi="Arial" w:cs="Arial"/>
          <w:sz w:val="22"/>
          <w:szCs w:val="22"/>
        </w:rPr>
        <w:t xml:space="preserve"> - States which have agreed and disagreed to increase the minimum age of marriage to 18 years old </w:t>
      </w:r>
    </w:p>
    <w:tbl>
      <w:tblPr>
        <w:tblStyle w:val="a"/>
        <w:tblW w:w="79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8"/>
        <w:gridCol w:w="4110"/>
      </w:tblGrid>
      <w:tr w:rsidR="00C41F6E" w:rsidRPr="00092464" w14:paraId="33B54C32" w14:textId="77777777">
        <w:trPr>
          <w:trHeight w:val="566"/>
        </w:trPr>
        <w:tc>
          <w:tcPr>
            <w:tcW w:w="3828" w:type="dxa"/>
          </w:tcPr>
          <w:p w14:paraId="1D7C3B9B" w14:textId="77777777" w:rsidR="00C41F6E" w:rsidRPr="00092464" w:rsidRDefault="00000000" w:rsidP="00092464">
            <w:pPr>
              <w:spacing w:line="276" w:lineRule="auto"/>
              <w:rPr>
                <w:rFonts w:ascii="Arial" w:hAnsi="Arial"/>
                <w:b/>
                <w:sz w:val="22"/>
              </w:rPr>
            </w:pPr>
            <w:r w:rsidRPr="00092464">
              <w:rPr>
                <w:rFonts w:ascii="Arial" w:hAnsi="Arial"/>
                <w:b/>
                <w:sz w:val="22"/>
              </w:rPr>
              <w:t>Agree to Amend State Islamic Family Law</w:t>
            </w:r>
          </w:p>
        </w:tc>
        <w:tc>
          <w:tcPr>
            <w:tcW w:w="4110" w:type="dxa"/>
          </w:tcPr>
          <w:p w14:paraId="420778E2" w14:textId="77777777" w:rsidR="00C41F6E" w:rsidRPr="00092464" w:rsidRDefault="00000000" w:rsidP="00092464">
            <w:pPr>
              <w:spacing w:line="276" w:lineRule="auto"/>
              <w:rPr>
                <w:rFonts w:ascii="Arial" w:hAnsi="Arial"/>
                <w:b/>
                <w:sz w:val="22"/>
              </w:rPr>
            </w:pPr>
            <w:r w:rsidRPr="00092464">
              <w:rPr>
                <w:rFonts w:ascii="Arial" w:hAnsi="Arial"/>
                <w:b/>
                <w:color w:val="FF0000"/>
                <w:sz w:val="22"/>
              </w:rPr>
              <w:t xml:space="preserve">Disagree </w:t>
            </w:r>
            <w:r w:rsidRPr="00092464">
              <w:rPr>
                <w:rFonts w:ascii="Arial" w:hAnsi="Arial"/>
                <w:b/>
                <w:sz w:val="22"/>
              </w:rPr>
              <w:t>to Amend State Islamic Family Law</w:t>
            </w:r>
          </w:p>
        </w:tc>
      </w:tr>
      <w:tr w:rsidR="00C41F6E" w:rsidRPr="00092464" w14:paraId="09E7692C" w14:textId="77777777">
        <w:trPr>
          <w:trHeight w:val="570"/>
        </w:trPr>
        <w:tc>
          <w:tcPr>
            <w:tcW w:w="3828" w:type="dxa"/>
          </w:tcPr>
          <w:p w14:paraId="4D38E8B0" w14:textId="77777777" w:rsidR="00C41F6E" w:rsidRPr="00092464" w:rsidRDefault="00000000" w:rsidP="00092464">
            <w:pPr>
              <w:rPr>
                <w:rFonts w:ascii="Arial" w:hAnsi="Arial"/>
                <w:sz w:val="22"/>
              </w:rPr>
            </w:pPr>
            <w:r w:rsidRPr="00092464">
              <w:rPr>
                <w:rFonts w:ascii="Arial" w:hAnsi="Arial"/>
                <w:sz w:val="22"/>
              </w:rPr>
              <w:t>Federal Territories</w:t>
            </w:r>
          </w:p>
        </w:tc>
        <w:tc>
          <w:tcPr>
            <w:tcW w:w="4110" w:type="dxa"/>
          </w:tcPr>
          <w:p w14:paraId="1B438F91" w14:textId="77777777" w:rsidR="00C41F6E" w:rsidRPr="00092464" w:rsidRDefault="00000000" w:rsidP="00092464">
            <w:pPr>
              <w:rPr>
                <w:rFonts w:ascii="Arial" w:hAnsi="Arial"/>
                <w:sz w:val="22"/>
              </w:rPr>
            </w:pPr>
            <w:r w:rsidRPr="00092464">
              <w:rPr>
                <w:rFonts w:ascii="Arial" w:hAnsi="Arial"/>
                <w:sz w:val="22"/>
                <w:highlight w:val="white"/>
              </w:rPr>
              <w:t>Sarawak</w:t>
            </w:r>
          </w:p>
        </w:tc>
      </w:tr>
      <w:tr w:rsidR="00C41F6E" w:rsidRPr="00092464" w14:paraId="13A31F10" w14:textId="77777777">
        <w:trPr>
          <w:trHeight w:val="570"/>
        </w:trPr>
        <w:tc>
          <w:tcPr>
            <w:tcW w:w="3828" w:type="dxa"/>
          </w:tcPr>
          <w:p w14:paraId="0DBA7901" w14:textId="77777777" w:rsidR="00C41F6E" w:rsidRPr="00092464" w:rsidRDefault="00000000" w:rsidP="00092464">
            <w:pPr>
              <w:rPr>
                <w:rFonts w:ascii="Arial" w:hAnsi="Arial"/>
                <w:sz w:val="22"/>
              </w:rPr>
            </w:pPr>
            <w:r w:rsidRPr="00092464">
              <w:rPr>
                <w:rFonts w:ascii="Arial" w:hAnsi="Arial"/>
                <w:sz w:val="22"/>
              </w:rPr>
              <w:t>Penang</w:t>
            </w:r>
          </w:p>
        </w:tc>
        <w:tc>
          <w:tcPr>
            <w:tcW w:w="4110" w:type="dxa"/>
          </w:tcPr>
          <w:p w14:paraId="45C0E1CC" w14:textId="77777777" w:rsidR="00C41F6E" w:rsidRPr="00092464" w:rsidRDefault="00000000" w:rsidP="00092464">
            <w:pPr>
              <w:ind w:left="-90"/>
              <w:rPr>
                <w:rFonts w:ascii="Arial" w:hAnsi="Arial"/>
                <w:sz w:val="22"/>
              </w:rPr>
            </w:pPr>
            <w:r w:rsidRPr="00092464">
              <w:rPr>
                <w:rFonts w:ascii="Arial" w:hAnsi="Arial"/>
                <w:sz w:val="22"/>
                <w:highlight w:val="white"/>
              </w:rPr>
              <w:t>Pahang</w:t>
            </w:r>
          </w:p>
        </w:tc>
      </w:tr>
      <w:tr w:rsidR="00C41F6E" w:rsidRPr="00092464" w14:paraId="214A85A8" w14:textId="77777777">
        <w:trPr>
          <w:trHeight w:val="570"/>
        </w:trPr>
        <w:tc>
          <w:tcPr>
            <w:tcW w:w="3828" w:type="dxa"/>
          </w:tcPr>
          <w:p w14:paraId="73EB5504" w14:textId="77777777" w:rsidR="00C41F6E" w:rsidRPr="00092464" w:rsidRDefault="00000000" w:rsidP="00092464">
            <w:pPr>
              <w:rPr>
                <w:rFonts w:ascii="Arial" w:hAnsi="Arial"/>
                <w:sz w:val="22"/>
              </w:rPr>
            </w:pPr>
            <w:r w:rsidRPr="00092464">
              <w:rPr>
                <w:rFonts w:ascii="Arial" w:hAnsi="Arial"/>
                <w:sz w:val="22"/>
              </w:rPr>
              <w:t>Sabah</w:t>
            </w:r>
          </w:p>
        </w:tc>
        <w:tc>
          <w:tcPr>
            <w:tcW w:w="4110" w:type="dxa"/>
          </w:tcPr>
          <w:p w14:paraId="2629811A" w14:textId="77777777" w:rsidR="00C41F6E" w:rsidRPr="00092464" w:rsidRDefault="00000000" w:rsidP="00092464">
            <w:pPr>
              <w:rPr>
                <w:rFonts w:ascii="Arial" w:hAnsi="Arial"/>
                <w:sz w:val="22"/>
              </w:rPr>
            </w:pPr>
            <w:r w:rsidRPr="00092464">
              <w:rPr>
                <w:rFonts w:ascii="Arial" w:hAnsi="Arial"/>
                <w:sz w:val="22"/>
                <w:highlight w:val="white"/>
              </w:rPr>
              <w:t>Terengganu</w:t>
            </w:r>
          </w:p>
        </w:tc>
      </w:tr>
      <w:tr w:rsidR="00C41F6E" w:rsidRPr="00092464" w14:paraId="1EDFB3CB" w14:textId="77777777">
        <w:trPr>
          <w:trHeight w:val="570"/>
        </w:trPr>
        <w:tc>
          <w:tcPr>
            <w:tcW w:w="3828" w:type="dxa"/>
          </w:tcPr>
          <w:p w14:paraId="42F6553F" w14:textId="77777777" w:rsidR="00C41F6E" w:rsidRPr="00092464" w:rsidRDefault="00000000" w:rsidP="00092464">
            <w:pPr>
              <w:rPr>
                <w:rFonts w:ascii="Arial" w:hAnsi="Arial"/>
                <w:sz w:val="22"/>
              </w:rPr>
            </w:pPr>
            <w:r w:rsidRPr="00092464">
              <w:rPr>
                <w:rFonts w:ascii="Arial" w:hAnsi="Arial"/>
                <w:sz w:val="22"/>
              </w:rPr>
              <w:t>Johor</w:t>
            </w:r>
          </w:p>
        </w:tc>
        <w:tc>
          <w:tcPr>
            <w:tcW w:w="4110" w:type="dxa"/>
          </w:tcPr>
          <w:p w14:paraId="7F313C35" w14:textId="77777777" w:rsidR="00C41F6E" w:rsidRPr="00092464" w:rsidRDefault="00000000" w:rsidP="00092464">
            <w:pPr>
              <w:rPr>
                <w:rFonts w:ascii="Arial" w:hAnsi="Arial"/>
                <w:sz w:val="22"/>
              </w:rPr>
            </w:pPr>
            <w:r w:rsidRPr="00092464">
              <w:rPr>
                <w:rFonts w:ascii="Arial" w:hAnsi="Arial"/>
                <w:sz w:val="22"/>
                <w:highlight w:val="white"/>
              </w:rPr>
              <w:t>Perlis</w:t>
            </w:r>
          </w:p>
        </w:tc>
      </w:tr>
      <w:tr w:rsidR="00C41F6E" w:rsidRPr="00092464" w14:paraId="1316C083" w14:textId="77777777">
        <w:trPr>
          <w:trHeight w:val="570"/>
        </w:trPr>
        <w:tc>
          <w:tcPr>
            <w:tcW w:w="3828" w:type="dxa"/>
          </w:tcPr>
          <w:p w14:paraId="07013403" w14:textId="77777777" w:rsidR="00C41F6E" w:rsidRPr="00092464" w:rsidRDefault="00000000" w:rsidP="00092464">
            <w:pPr>
              <w:rPr>
                <w:rFonts w:ascii="Arial" w:hAnsi="Arial"/>
                <w:sz w:val="22"/>
              </w:rPr>
            </w:pPr>
            <w:r w:rsidRPr="00092464">
              <w:rPr>
                <w:rFonts w:ascii="Arial" w:hAnsi="Arial"/>
                <w:sz w:val="22"/>
              </w:rPr>
              <w:t>Melaka</w:t>
            </w:r>
          </w:p>
        </w:tc>
        <w:tc>
          <w:tcPr>
            <w:tcW w:w="4110" w:type="dxa"/>
          </w:tcPr>
          <w:p w14:paraId="54351295" w14:textId="77777777" w:rsidR="00C41F6E" w:rsidRPr="00092464" w:rsidRDefault="00000000" w:rsidP="00092464">
            <w:pPr>
              <w:rPr>
                <w:rFonts w:ascii="Arial" w:hAnsi="Arial"/>
                <w:sz w:val="22"/>
              </w:rPr>
            </w:pPr>
            <w:r w:rsidRPr="00092464">
              <w:rPr>
                <w:rFonts w:ascii="Arial" w:hAnsi="Arial"/>
                <w:sz w:val="22"/>
                <w:highlight w:val="white"/>
              </w:rPr>
              <w:t>Negeri Sembilan</w:t>
            </w:r>
          </w:p>
        </w:tc>
      </w:tr>
      <w:tr w:rsidR="00C41F6E" w:rsidRPr="00092464" w14:paraId="2EBC4AA3" w14:textId="77777777">
        <w:trPr>
          <w:trHeight w:val="570"/>
        </w:trPr>
        <w:tc>
          <w:tcPr>
            <w:tcW w:w="3828" w:type="dxa"/>
          </w:tcPr>
          <w:p w14:paraId="6AE42805" w14:textId="77777777" w:rsidR="00C41F6E" w:rsidRPr="00092464" w:rsidRDefault="00000000" w:rsidP="00092464">
            <w:pPr>
              <w:rPr>
                <w:rFonts w:ascii="Arial" w:hAnsi="Arial"/>
                <w:sz w:val="22"/>
              </w:rPr>
            </w:pPr>
            <w:r w:rsidRPr="00092464">
              <w:rPr>
                <w:rFonts w:ascii="Arial" w:hAnsi="Arial"/>
                <w:sz w:val="22"/>
              </w:rPr>
              <w:t>Perak</w:t>
            </w:r>
          </w:p>
        </w:tc>
        <w:tc>
          <w:tcPr>
            <w:tcW w:w="4110" w:type="dxa"/>
          </w:tcPr>
          <w:p w14:paraId="4DE03E21" w14:textId="77777777" w:rsidR="00C41F6E" w:rsidRPr="00092464" w:rsidRDefault="00000000" w:rsidP="00092464">
            <w:pPr>
              <w:rPr>
                <w:rFonts w:ascii="Arial" w:hAnsi="Arial"/>
                <w:sz w:val="22"/>
              </w:rPr>
            </w:pPr>
            <w:r w:rsidRPr="00092464">
              <w:rPr>
                <w:rFonts w:ascii="Arial" w:hAnsi="Arial"/>
                <w:sz w:val="22"/>
              </w:rPr>
              <w:t>Kedah</w:t>
            </w:r>
          </w:p>
        </w:tc>
      </w:tr>
      <w:tr w:rsidR="00C41F6E" w:rsidRPr="00092464" w14:paraId="04E66147" w14:textId="77777777">
        <w:trPr>
          <w:trHeight w:val="570"/>
        </w:trPr>
        <w:tc>
          <w:tcPr>
            <w:tcW w:w="3828" w:type="dxa"/>
          </w:tcPr>
          <w:p w14:paraId="0888101B" w14:textId="77777777" w:rsidR="00C41F6E" w:rsidRPr="00092464" w:rsidRDefault="00C41F6E" w:rsidP="00092464">
            <w:pPr>
              <w:rPr>
                <w:rFonts w:ascii="Arial" w:hAnsi="Arial"/>
                <w:sz w:val="22"/>
              </w:rPr>
            </w:pPr>
          </w:p>
        </w:tc>
        <w:tc>
          <w:tcPr>
            <w:tcW w:w="4110" w:type="dxa"/>
          </w:tcPr>
          <w:p w14:paraId="66DE9AD2" w14:textId="77777777" w:rsidR="00C41F6E" w:rsidRPr="00092464" w:rsidRDefault="00000000" w:rsidP="00092464">
            <w:pPr>
              <w:rPr>
                <w:rFonts w:ascii="Arial" w:hAnsi="Arial"/>
                <w:sz w:val="22"/>
              </w:rPr>
            </w:pPr>
            <w:r w:rsidRPr="00092464">
              <w:rPr>
                <w:rFonts w:ascii="Arial" w:hAnsi="Arial"/>
                <w:sz w:val="22"/>
                <w:highlight w:val="white"/>
              </w:rPr>
              <w:t>Kelantan</w:t>
            </w:r>
          </w:p>
        </w:tc>
      </w:tr>
    </w:tbl>
    <w:p w14:paraId="152EA55B" w14:textId="77777777" w:rsidR="00C41F6E" w:rsidRPr="00092464" w:rsidRDefault="00C41F6E" w:rsidP="00092464">
      <w:pPr>
        <w:shd w:val="clear" w:color="auto" w:fill="FFFFFF"/>
        <w:spacing w:after="240"/>
        <w:ind w:left="-90"/>
        <w:rPr>
          <w:rFonts w:ascii="Arial" w:hAnsi="Arial"/>
          <w:sz w:val="22"/>
        </w:rPr>
      </w:pPr>
    </w:p>
    <w:sectPr w:rsidR="00C41F6E" w:rsidRPr="00092464">
      <w:headerReference w:type="default" r:id="rId52"/>
      <w:footerReference w:type="default" r:id="rId5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FDF2D" w14:textId="77777777" w:rsidR="001A0B76" w:rsidRDefault="001A0B76">
      <w:pPr>
        <w:spacing w:line="240" w:lineRule="auto"/>
      </w:pPr>
      <w:r>
        <w:separator/>
      </w:r>
    </w:p>
  </w:endnote>
  <w:endnote w:type="continuationSeparator" w:id="0">
    <w:p w14:paraId="7CFF2055" w14:textId="77777777" w:rsidR="001A0B76" w:rsidRDefault="001A0B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dugi">
    <w:panose1 w:val="020B0502040204020203"/>
    <w:charset w:val="00"/>
    <w:family w:val="swiss"/>
    <w:pitch w:val="variable"/>
    <w:sig w:usb0="80000003" w:usb1="02000000" w:usb2="00003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542D" w14:textId="77777777" w:rsidR="00C41F6E" w:rsidRDefault="00000000">
    <w:pPr>
      <w:jc w:val="right"/>
    </w:pPr>
    <w:r>
      <w:fldChar w:fldCharType="begin"/>
    </w:r>
    <w:r>
      <w:instrText>PAGE</w:instrText>
    </w:r>
    <w:r>
      <w:fldChar w:fldCharType="separate"/>
    </w:r>
    <w:r w:rsidR="0009246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22D2" w14:textId="77777777" w:rsidR="001A0B76" w:rsidRDefault="001A0B76">
      <w:pPr>
        <w:spacing w:line="240" w:lineRule="auto"/>
      </w:pPr>
      <w:r>
        <w:separator/>
      </w:r>
    </w:p>
  </w:footnote>
  <w:footnote w:type="continuationSeparator" w:id="0">
    <w:p w14:paraId="679AC02D" w14:textId="77777777" w:rsidR="001A0B76" w:rsidRDefault="001A0B76">
      <w:pPr>
        <w:spacing w:line="240" w:lineRule="auto"/>
      </w:pPr>
      <w:r>
        <w:continuationSeparator/>
      </w:r>
    </w:p>
  </w:footnote>
  <w:footnote w:id="1">
    <w:p w14:paraId="6505B0CE"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r w:rsidRPr="00E30960">
        <w:rPr>
          <w:rFonts w:ascii="Arial" w:hAnsi="Arial"/>
          <w:sz w:val="18"/>
          <w:szCs w:val="18"/>
        </w:rPr>
        <w:t xml:space="preserve">The Joint Action Group for Gender Equality is a coalition of fourteen organisations working on women human rights in Malaysia. Organisations represented are Women’s Aid Organisation, All Action Women’s Society, Family Frontiers, Justice for Sisters, Sisters in Islam, Association of Women Lawyers, Empower, </w:t>
      </w:r>
      <w:proofErr w:type="spellStart"/>
      <w:r w:rsidRPr="00E30960">
        <w:rPr>
          <w:rFonts w:ascii="Arial" w:hAnsi="Arial"/>
          <w:sz w:val="18"/>
          <w:szCs w:val="18"/>
        </w:rPr>
        <w:t>Tenaganita</w:t>
      </w:r>
      <w:proofErr w:type="spellEnd"/>
      <w:r w:rsidRPr="00E30960">
        <w:rPr>
          <w:rFonts w:ascii="Arial" w:hAnsi="Arial"/>
          <w:sz w:val="18"/>
          <w:szCs w:val="18"/>
        </w:rPr>
        <w:t xml:space="preserve">, SAWO, Sarawak Women for Women Society, Perak Women for women, KRYSS Network, Women Centre for Change Penang, and </w:t>
      </w:r>
      <w:proofErr w:type="spellStart"/>
      <w:r w:rsidRPr="00E30960">
        <w:rPr>
          <w:rFonts w:ascii="Arial" w:hAnsi="Arial"/>
          <w:sz w:val="18"/>
          <w:szCs w:val="18"/>
        </w:rPr>
        <w:t>Sahabat</w:t>
      </w:r>
      <w:proofErr w:type="spellEnd"/>
      <w:r w:rsidRPr="00E30960">
        <w:rPr>
          <w:rFonts w:ascii="Arial" w:hAnsi="Arial"/>
          <w:sz w:val="18"/>
          <w:szCs w:val="18"/>
        </w:rPr>
        <w:t xml:space="preserve"> Wanita Malaysia.</w:t>
      </w:r>
    </w:p>
  </w:footnote>
  <w:footnote w:id="2">
    <w:p w14:paraId="265CABD3"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Some of these issues have been highlighted in the concluding observations on the combined third to fifth periodic reports of Malaysia including the government’s reservations to relevant CEDAW articles that hinder progress on accessing equal rights in Malaysia.</w:t>
      </w:r>
    </w:p>
  </w:footnote>
  <w:footnote w:id="3">
    <w:p w14:paraId="4C388116"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r w:rsidRPr="00E30960">
        <w:rPr>
          <w:rFonts w:ascii="Arial" w:hAnsi="Arial"/>
          <w:sz w:val="18"/>
          <w:szCs w:val="18"/>
        </w:rPr>
        <w:t xml:space="preserve">A response to the effectiveness of these amendments and their enforcement will be covered under the relevant articles. </w:t>
      </w:r>
    </w:p>
  </w:footnote>
  <w:footnote w:id="4">
    <w:p w14:paraId="2EBD151D"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CEDAW/C/MYS/CO/3-5</w:t>
      </w:r>
    </w:p>
  </w:footnote>
  <w:footnote w:id="5">
    <w:p w14:paraId="26DFD77F" w14:textId="77777777" w:rsidR="00C41F6E" w:rsidRDefault="00000000">
      <w:pPr>
        <w:spacing w:line="240" w:lineRule="auto"/>
        <w:rPr>
          <w:szCs w:val="20"/>
        </w:rPr>
      </w:pPr>
      <w:r w:rsidRPr="00E30960">
        <w:rPr>
          <w:rStyle w:val="FootnoteReference"/>
          <w:rFonts w:ascii="Arial" w:hAnsi="Arial"/>
          <w:sz w:val="18"/>
          <w:szCs w:val="21"/>
        </w:rPr>
        <w:footnoteRef/>
      </w:r>
      <w:r w:rsidRPr="00E30960">
        <w:rPr>
          <w:rFonts w:ascii="Arial" w:hAnsi="Arial"/>
          <w:sz w:val="18"/>
          <w:szCs w:val="18"/>
        </w:rPr>
        <w:t xml:space="preserve"> The case sought a declaration that the discriminatory provision–Article 14(1)(b) read with Second Schedule, Part II, Section 1(b) and 1(c) of the Federal Constitution–is to be read harmoniously with Article 8(2) of the Federal Constitution that was amended in 2001 to include ‘gender’ as a </w:t>
      </w:r>
      <w:proofErr w:type="spellStart"/>
      <w:r w:rsidRPr="00E30960">
        <w:rPr>
          <w:rFonts w:ascii="Arial" w:hAnsi="Arial"/>
          <w:sz w:val="18"/>
          <w:szCs w:val="18"/>
        </w:rPr>
        <w:t>prohibitory</w:t>
      </w:r>
      <w:proofErr w:type="spellEnd"/>
      <w:r w:rsidRPr="00E30960">
        <w:rPr>
          <w:rFonts w:ascii="Arial" w:hAnsi="Arial"/>
          <w:sz w:val="18"/>
          <w:szCs w:val="18"/>
        </w:rPr>
        <w:t xml:space="preserve"> ground for discrimination.</w:t>
      </w:r>
      <w:r w:rsidRPr="00E30960">
        <w:rPr>
          <w:sz w:val="18"/>
          <w:szCs w:val="18"/>
        </w:rPr>
        <w:t xml:space="preserve">  </w:t>
      </w:r>
    </w:p>
  </w:footnote>
  <w:footnote w:id="6">
    <w:p w14:paraId="745AF46E"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r w:rsidRPr="00E30960">
        <w:rPr>
          <w:rFonts w:ascii="Arial" w:hAnsi="Arial"/>
          <w:sz w:val="18"/>
          <w:szCs w:val="18"/>
        </w:rPr>
        <w:t xml:space="preserve">On 22 January 2021, the Government filed an application to strike out the </w:t>
      </w:r>
      <w:proofErr w:type="spellStart"/>
      <w:r w:rsidRPr="00E30960">
        <w:rPr>
          <w:rFonts w:ascii="Arial" w:hAnsi="Arial"/>
          <w:sz w:val="18"/>
          <w:szCs w:val="18"/>
        </w:rPr>
        <w:t>Suriani</w:t>
      </w:r>
      <w:proofErr w:type="spellEnd"/>
      <w:r w:rsidRPr="00E30960">
        <w:rPr>
          <w:rFonts w:ascii="Arial" w:hAnsi="Arial"/>
          <w:sz w:val="18"/>
          <w:szCs w:val="18"/>
        </w:rPr>
        <w:t xml:space="preserve"> Kempe case stating it was “frivolous, vexatious and troublesome” and that it was an “abuse of the court process”. However, on 6 May 2021, the Kuala Lumpur High Court delivered a judgement in favour of the applicants ruling that the case can proceed. In response to the failed strikeout, the Government filed an appeal at the Court of Appeal against the High Court judgement. In the interim, the Government filed a stay application to temporarily halt the High Court judgement (on the strike out) until the Court of Appeal disposed of the strikeout. However, the High Court dismissed the Government’s stay application. Subsequently, the Court of Appeal dismissed the Government’s appeal against the High Court judgement on the strike out and ruled that the merits of the case can be heard. Full timeline can be found in </w:t>
      </w:r>
      <w:hyperlink w:anchor="_heading=h.db71dv9jy7j0">
        <w:r w:rsidRPr="00E30960">
          <w:rPr>
            <w:rFonts w:ascii="Arial" w:hAnsi="Arial"/>
            <w:color w:val="1155CC"/>
            <w:sz w:val="18"/>
            <w:szCs w:val="18"/>
            <w:u w:val="single"/>
          </w:rPr>
          <w:t>Annex A</w:t>
        </w:r>
      </w:hyperlink>
      <w:r w:rsidRPr="00E30960">
        <w:rPr>
          <w:rFonts w:ascii="Arial" w:hAnsi="Arial"/>
          <w:sz w:val="18"/>
          <w:szCs w:val="18"/>
        </w:rPr>
        <w:t>.</w:t>
      </w:r>
    </w:p>
  </w:footnote>
  <w:footnote w:id="7">
    <w:p w14:paraId="6060233C"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World Health Organization - The World Bank (2011). </w:t>
      </w:r>
      <w:hyperlink r:id="rId1">
        <w:r w:rsidRPr="00E30960">
          <w:rPr>
            <w:rFonts w:ascii="Arial" w:hAnsi="Arial"/>
            <w:color w:val="1155CC"/>
            <w:sz w:val="18"/>
            <w:szCs w:val="18"/>
            <w:u w:val="single"/>
          </w:rPr>
          <w:t>World Report on Disability</w:t>
        </w:r>
      </w:hyperlink>
      <w:r w:rsidRPr="00E30960">
        <w:rPr>
          <w:rFonts w:ascii="Arial" w:hAnsi="Arial"/>
          <w:sz w:val="18"/>
          <w:szCs w:val="18"/>
        </w:rPr>
        <w:t>.</w:t>
      </w:r>
    </w:p>
    <w:p w14:paraId="633497A0" w14:textId="77777777" w:rsidR="00C41F6E" w:rsidRPr="00E30960" w:rsidRDefault="00000000">
      <w:pPr>
        <w:spacing w:line="240" w:lineRule="auto"/>
        <w:rPr>
          <w:rFonts w:ascii="Arial" w:hAnsi="Arial"/>
          <w:sz w:val="18"/>
          <w:szCs w:val="18"/>
        </w:rPr>
      </w:pPr>
      <w:r w:rsidRPr="00E30960">
        <w:rPr>
          <w:rFonts w:ascii="Arial" w:hAnsi="Arial"/>
          <w:sz w:val="18"/>
          <w:szCs w:val="18"/>
        </w:rPr>
        <w:t xml:space="preserve">Institute for Health Systems Research (IHSR), National Institutes of Health, Ministry of Health Malaysia (2020). National Health and Morbidity Survey (NHMS) 2019: Vol. II: Healthcare Demand. </w:t>
      </w:r>
    </w:p>
  </w:footnote>
  <w:footnote w:id="8">
    <w:p w14:paraId="73A9C55D"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Chan KG, Abdullah KL, Ling HK (2013). </w:t>
      </w:r>
      <w:hyperlink r:id="rId2">
        <w:r w:rsidRPr="00E30960">
          <w:rPr>
            <w:rFonts w:ascii="Arial" w:hAnsi="Arial"/>
            <w:color w:val="1155CC"/>
            <w:sz w:val="18"/>
            <w:szCs w:val="18"/>
            <w:u w:val="single"/>
          </w:rPr>
          <w:t>Quality of life among Malaysian mothers with a child with Down syndrome</w:t>
        </w:r>
      </w:hyperlink>
      <w:r w:rsidRPr="00E30960">
        <w:rPr>
          <w:rFonts w:ascii="Arial" w:hAnsi="Arial"/>
          <w:sz w:val="18"/>
          <w:szCs w:val="18"/>
        </w:rPr>
        <w:t xml:space="preserve">. International Journal of Nursing Practice Volume 19 (4): 381–389. </w:t>
      </w:r>
    </w:p>
  </w:footnote>
  <w:footnote w:id="9">
    <w:p w14:paraId="530584BC" w14:textId="77777777" w:rsidR="00C41F6E" w:rsidRDefault="00000000">
      <w:pPr>
        <w:spacing w:line="240" w:lineRule="auto"/>
        <w:rPr>
          <w:szCs w:val="20"/>
        </w:rPr>
      </w:pPr>
      <w:r w:rsidRPr="00E30960">
        <w:rPr>
          <w:rStyle w:val="FootnoteReference"/>
          <w:rFonts w:ascii="Arial" w:hAnsi="Arial"/>
          <w:sz w:val="18"/>
          <w:szCs w:val="21"/>
        </w:rPr>
        <w:footnoteRef/>
      </w:r>
      <w:r w:rsidRPr="00E30960">
        <w:rPr>
          <w:rFonts w:ascii="Arial" w:hAnsi="Arial"/>
          <w:sz w:val="18"/>
          <w:szCs w:val="18"/>
        </w:rPr>
        <w:t xml:space="preserve"> UNICEF Malaysia (2017). </w:t>
      </w:r>
      <w:hyperlink r:id="rId3">
        <w:r w:rsidRPr="00E30960">
          <w:rPr>
            <w:rFonts w:ascii="Arial" w:hAnsi="Arial"/>
            <w:color w:val="1155CC"/>
            <w:sz w:val="18"/>
            <w:szCs w:val="18"/>
            <w:u w:val="single"/>
          </w:rPr>
          <w:t>Childhood Disability in Malaysia: A Study of Knowledge, Attitudes and Practices</w:t>
        </w:r>
      </w:hyperlink>
      <w:r>
        <w:rPr>
          <w:szCs w:val="20"/>
        </w:rPr>
        <w:t xml:space="preserve">. </w:t>
      </w:r>
    </w:p>
    <w:p w14:paraId="15C1F532" w14:textId="77777777" w:rsidR="00C41F6E" w:rsidRDefault="00C41F6E">
      <w:pPr>
        <w:spacing w:line="240" w:lineRule="auto"/>
        <w:rPr>
          <w:szCs w:val="20"/>
        </w:rPr>
      </w:pPr>
    </w:p>
  </w:footnote>
  <w:footnote w:id="10">
    <w:p w14:paraId="4CE82AEC"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r w:rsidRPr="00E30960">
        <w:rPr>
          <w:rFonts w:ascii="Arial" w:hAnsi="Arial"/>
          <w:sz w:val="18"/>
          <w:szCs w:val="18"/>
        </w:rPr>
        <w:t xml:space="preserve">World Economic Forum, </w:t>
      </w:r>
      <w:hyperlink r:id="rId4">
        <w:r w:rsidRPr="00E30960">
          <w:rPr>
            <w:rFonts w:ascii="Arial" w:hAnsi="Arial"/>
            <w:color w:val="1155CC"/>
            <w:sz w:val="18"/>
            <w:szCs w:val="18"/>
            <w:u w:val="single"/>
          </w:rPr>
          <w:t>Global Gender Gap Report (2022</w:t>
        </w:r>
      </w:hyperlink>
      <w:r w:rsidRPr="00E30960">
        <w:rPr>
          <w:rFonts w:ascii="Arial" w:hAnsi="Arial"/>
          <w:sz w:val="18"/>
          <w:szCs w:val="18"/>
        </w:rPr>
        <w:t>), 240</w:t>
      </w:r>
    </w:p>
  </w:footnote>
  <w:footnote w:id="11">
    <w:p w14:paraId="01C37C93" w14:textId="77777777" w:rsidR="00C41F6E" w:rsidRDefault="00000000">
      <w:pPr>
        <w:spacing w:line="240" w:lineRule="auto"/>
        <w:rPr>
          <w:szCs w:val="20"/>
        </w:rPr>
      </w:pPr>
      <w:r>
        <w:rPr>
          <w:rStyle w:val="FootnoteReference"/>
        </w:rPr>
        <w:footnoteRef/>
      </w:r>
      <w:r>
        <w:rPr>
          <w:szCs w:val="20"/>
        </w:rPr>
        <w:t xml:space="preserve"> Recital of the Quran or verses </w:t>
      </w:r>
    </w:p>
  </w:footnote>
  <w:footnote w:id="12">
    <w:p w14:paraId="438EC8E7" w14:textId="77777777" w:rsidR="00C41F6E" w:rsidRDefault="00000000">
      <w:pPr>
        <w:spacing w:line="240" w:lineRule="auto"/>
        <w:rPr>
          <w:szCs w:val="20"/>
        </w:rPr>
      </w:pPr>
      <w:r>
        <w:rPr>
          <w:rStyle w:val="FootnoteReference"/>
        </w:rPr>
        <w:footnoteRef/>
      </w:r>
      <w:r>
        <w:rPr>
          <w:sz w:val="16"/>
          <w:szCs w:val="16"/>
        </w:rPr>
        <w:t xml:space="preserve"> </w:t>
      </w:r>
      <w:r>
        <w:rPr>
          <w:szCs w:val="20"/>
        </w:rPr>
        <w:t>Between 2020 and 2022, three LGBT-related books</w:t>
      </w:r>
      <w:r>
        <w:rPr>
          <w:szCs w:val="20"/>
          <w:vertAlign w:val="superscript"/>
        </w:rPr>
        <w:t>#</w:t>
      </w:r>
      <w:r>
        <w:rPr>
          <w:szCs w:val="20"/>
        </w:rPr>
        <w:t xml:space="preserve"> were banned under the Printing and Publication Act for being ’detrimental to public order, morals and public interest’.</w:t>
      </w:r>
      <w:r>
        <w:rPr>
          <w:szCs w:val="20"/>
          <w:vertAlign w:val="superscript"/>
        </w:rPr>
        <w:t>#</w:t>
      </w:r>
      <w:r>
        <w:rPr>
          <w:szCs w:val="20"/>
        </w:rPr>
        <w:t xml:space="preserve"> In 2022, two celebrities</w:t>
      </w:r>
      <w:r>
        <w:rPr>
          <w:szCs w:val="20"/>
          <w:vertAlign w:val="superscript"/>
        </w:rPr>
        <w:t>#</w:t>
      </w:r>
      <w:r>
        <w:rPr>
          <w:szCs w:val="20"/>
        </w:rPr>
        <w:t xml:space="preserve"> were charged under the Communication and Multimedia Act (CMA) for sharing their music videos featuring gender-diverse and drag performers on their social media platforms.</w:t>
      </w:r>
      <w:r>
        <w:rPr>
          <w:szCs w:val="20"/>
          <w:vertAlign w:val="superscript"/>
        </w:rPr>
        <w:t>#</w:t>
      </w:r>
      <w:r>
        <w:rPr>
          <w:szCs w:val="20"/>
        </w:rPr>
        <w:t xml:space="preserve"> Meanwhile, two films were banned due to LGBT content</w:t>
      </w:r>
    </w:p>
    <w:p w14:paraId="57BE13EB" w14:textId="77777777" w:rsidR="00C41F6E" w:rsidRDefault="00C41F6E">
      <w:pPr>
        <w:spacing w:line="240" w:lineRule="auto"/>
        <w:rPr>
          <w:szCs w:val="20"/>
        </w:rPr>
      </w:pPr>
    </w:p>
  </w:footnote>
  <w:footnote w:id="13">
    <w:p w14:paraId="320F1296" w14:textId="77777777" w:rsidR="00C41F6E" w:rsidRDefault="00000000">
      <w:pPr>
        <w:spacing w:line="240" w:lineRule="auto"/>
        <w:rPr>
          <w:sz w:val="18"/>
          <w:szCs w:val="18"/>
        </w:rPr>
      </w:pPr>
      <w:r>
        <w:rPr>
          <w:rStyle w:val="FootnoteReference"/>
        </w:rPr>
        <w:footnoteRef/>
      </w:r>
      <w:r w:rsidRPr="00E30960">
        <w:rPr>
          <w:rFonts w:ascii="Arial" w:hAnsi="Arial"/>
          <w:sz w:val="18"/>
          <w:szCs w:val="18"/>
        </w:rPr>
        <w:t xml:space="preserve">Data from the cases investigated and reported by the police's D11 division (Sexual, Women and Child Investigation), D11 Polis </w:t>
      </w:r>
      <w:proofErr w:type="spellStart"/>
      <w:r w:rsidRPr="00E30960">
        <w:rPr>
          <w:rFonts w:ascii="Arial" w:hAnsi="Arial"/>
          <w:sz w:val="18"/>
          <w:szCs w:val="18"/>
        </w:rPr>
        <w:t>DiRaja</w:t>
      </w:r>
      <w:proofErr w:type="spellEnd"/>
      <w:r w:rsidRPr="00E30960">
        <w:rPr>
          <w:rFonts w:ascii="Arial" w:hAnsi="Arial"/>
          <w:sz w:val="18"/>
          <w:szCs w:val="18"/>
        </w:rPr>
        <w:t xml:space="preserve"> Malaysia</w:t>
      </w:r>
    </w:p>
  </w:footnote>
  <w:footnote w:id="14">
    <w:p w14:paraId="0748D3C5" w14:textId="77777777" w:rsidR="00C41F6E" w:rsidRDefault="00000000">
      <w:pPr>
        <w:spacing w:line="240" w:lineRule="auto"/>
        <w:rPr>
          <w:rFonts w:ascii="Calibri" w:eastAsia="Calibri" w:hAnsi="Calibri" w:cs="Calibri"/>
          <w:sz w:val="24"/>
          <w:szCs w:val="24"/>
        </w:rPr>
      </w:pPr>
      <w:r>
        <w:rPr>
          <w:rStyle w:val="FootnoteReference"/>
        </w:rPr>
        <w:footnoteRef/>
      </w:r>
      <w:r>
        <w:rPr>
          <w:sz w:val="16"/>
          <w:szCs w:val="16"/>
        </w:rPr>
        <w:t xml:space="preserve"> </w:t>
      </w:r>
      <w:r w:rsidRPr="00E30960">
        <w:rPr>
          <w:rFonts w:ascii="Arial" w:hAnsi="Arial"/>
          <w:sz w:val="18"/>
          <w:szCs w:val="18"/>
        </w:rPr>
        <w:t xml:space="preserve">1) An </w:t>
      </w:r>
      <w:hyperlink r:id="rId5">
        <w:r w:rsidRPr="00E30960">
          <w:rPr>
            <w:rFonts w:ascii="Arial" w:hAnsi="Arial"/>
            <w:color w:val="0000FF"/>
            <w:sz w:val="18"/>
            <w:szCs w:val="18"/>
            <w:u w:val="single"/>
          </w:rPr>
          <w:t>LGBT club</w:t>
        </w:r>
      </w:hyperlink>
      <w:r w:rsidRPr="00E30960">
        <w:rPr>
          <w:rFonts w:ascii="Arial" w:hAnsi="Arial"/>
          <w:sz w:val="18"/>
          <w:szCs w:val="18"/>
        </w:rPr>
        <w:t xml:space="preserve"> was raided in 2018, 2) a birthday party attended by trans women in Kedah was disrupted in 2020, 3) REXKL raid in October 2022, 4) a venue was cautioned by the police of prospective raids should they continue to host LGBT events 5) An LGBT venue faced surveillance and harassment by police  </w:t>
      </w:r>
    </w:p>
  </w:footnote>
  <w:footnote w:id="15">
    <w:p w14:paraId="0FF0E6CA"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r w:rsidRPr="00E30960">
        <w:rPr>
          <w:rFonts w:ascii="Arial" w:hAnsi="Arial"/>
          <w:sz w:val="18"/>
          <w:szCs w:val="18"/>
        </w:rPr>
        <w:t xml:space="preserve">This is well demonstrated by the predicament faced by 21-year-old </w:t>
      </w:r>
      <w:proofErr w:type="spellStart"/>
      <w:r w:rsidRPr="00E30960">
        <w:rPr>
          <w:rFonts w:ascii="Arial" w:hAnsi="Arial"/>
          <w:sz w:val="18"/>
          <w:szCs w:val="18"/>
        </w:rPr>
        <w:t>Shalina</w:t>
      </w:r>
      <w:proofErr w:type="spellEnd"/>
      <w:r w:rsidRPr="00E30960">
        <w:rPr>
          <w:rFonts w:ascii="Arial" w:hAnsi="Arial"/>
          <w:sz w:val="18"/>
          <w:szCs w:val="18"/>
        </w:rPr>
        <w:t>, who could not acquire Malaysian citizenship despite being born to both Malaysian parents.</w:t>
      </w:r>
    </w:p>
  </w:footnote>
  <w:footnote w:id="16">
    <w:p w14:paraId="27D28C08" w14:textId="77777777" w:rsidR="00C41F6E" w:rsidRPr="00E30960" w:rsidRDefault="00000000">
      <w:pPr>
        <w:spacing w:line="240" w:lineRule="auto"/>
        <w:rPr>
          <w:rFonts w:ascii="Arial" w:hAnsi="Arial"/>
          <w:sz w:val="16"/>
          <w:szCs w:val="16"/>
        </w:rPr>
      </w:pPr>
      <w:r w:rsidRPr="00E30960">
        <w:rPr>
          <w:rStyle w:val="FootnoteReference"/>
          <w:rFonts w:ascii="Arial" w:hAnsi="Arial"/>
          <w:sz w:val="18"/>
          <w:szCs w:val="21"/>
        </w:rPr>
        <w:footnoteRef/>
      </w:r>
      <w:r w:rsidRPr="00E30960">
        <w:rPr>
          <w:rFonts w:ascii="Arial" w:hAnsi="Arial"/>
          <w:sz w:val="18"/>
          <w:szCs w:val="18"/>
        </w:rPr>
        <w:t xml:space="preserve"> A Malaysian mother was forced to give away her child born out of wedlock to an orphanage at birth, refused to come forward to facilitate the citizenship application of her now 21 years old child. Legally married and mother to three other children at present, the birth mother’s decision was mooted by the fear of bringing shame and jeopardizing the unity of her current family.  </w:t>
      </w:r>
    </w:p>
  </w:footnote>
  <w:footnote w:id="17">
    <w:p w14:paraId="5352CEAB"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Parliament House of Representatives, </w:t>
      </w:r>
      <w:hyperlink r:id="rId6">
        <w:r w:rsidRPr="00E30960">
          <w:rPr>
            <w:rFonts w:ascii="Arial" w:hAnsi="Arial"/>
            <w:color w:val="1155CC"/>
            <w:sz w:val="18"/>
            <w:szCs w:val="18"/>
            <w:u w:val="single"/>
          </w:rPr>
          <w:t>Oral Answers</w:t>
        </w:r>
      </w:hyperlink>
      <w:r w:rsidRPr="00E30960">
        <w:rPr>
          <w:rFonts w:ascii="Arial" w:hAnsi="Arial"/>
          <w:sz w:val="18"/>
          <w:szCs w:val="18"/>
        </w:rPr>
        <w:t xml:space="preserve">, (2021), Question no. 74, 133 </w:t>
      </w:r>
    </w:p>
  </w:footnote>
  <w:footnote w:id="18">
    <w:p w14:paraId="2ACF6611"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hyperlink r:id="rId7">
        <w:r w:rsidRPr="00E30960">
          <w:rPr>
            <w:rFonts w:ascii="Arial" w:hAnsi="Arial"/>
            <w:color w:val="1155CC"/>
            <w:sz w:val="18"/>
            <w:szCs w:val="18"/>
            <w:u w:val="single"/>
          </w:rPr>
          <w:t>KSSM Health Education Component Level 2</w:t>
        </w:r>
      </w:hyperlink>
      <w:r w:rsidRPr="00E30960">
        <w:rPr>
          <w:rFonts w:ascii="Arial" w:hAnsi="Arial"/>
          <w:sz w:val="18"/>
          <w:szCs w:val="18"/>
        </w:rPr>
        <w:t>, 99</w:t>
      </w:r>
    </w:p>
  </w:footnote>
  <w:footnote w:id="19">
    <w:p w14:paraId="718B5BE3" w14:textId="77777777" w:rsidR="00C41F6E" w:rsidRDefault="00000000">
      <w:pPr>
        <w:spacing w:line="240" w:lineRule="auto"/>
        <w:rPr>
          <w:szCs w:val="20"/>
        </w:rPr>
      </w:pPr>
      <w:r w:rsidRPr="00E30960">
        <w:rPr>
          <w:rStyle w:val="FootnoteReference"/>
          <w:rFonts w:ascii="Arial" w:hAnsi="Arial"/>
          <w:sz w:val="18"/>
          <w:szCs w:val="18"/>
        </w:rPr>
        <w:footnoteRef/>
      </w:r>
      <w:r w:rsidRPr="00E30960">
        <w:rPr>
          <w:rFonts w:ascii="Arial" w:hAnsi="Arial"/>
          <w:sz w:val="18"/>
          <w:szCs w:val="18"/>
        </w:rPr>
        <w:t xml:space="preserve"> SUHAKAM, </w:t>
      </w:r>
      <w:hyperlink r:id="rId8">
        <w:r w:rsidRPr="00E30960">
          <w:rPr>
            <w:rFonts w:ascii="Arial" w:hAnsi="Arial"/>
            <w:color w:val="1155CC"/>
            <w:sz w:val="18"/>
            <w:szCs w:val="18"/>
            <w:u w:val="single"/>
          </w:rPr>
          <w:t>Study on Discrimination Against Transgender Persons Based in Kuala Lumpur and Selangor. Human Rights Commission of Malaysia</w:t>
        </w:r>
      </w:hyperlink>
      <w:r w:rsidRPr="00E30960">
        <w:rPr>
          <w:rFonts w:ascii="Arial" w:hAnsi="Arial"/>
          <w:sz w:val="18"/>
          <w:szCs w:val="18"/>
        </w:rPr>
        <w:t xml:space="preserve"> (2019)</w:t>
      </w:r>
    </w:p>
  </w:footnote>
  <w:footnote w:id="20">
    <w:p w14:paraId="0A50F8C6"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6"/>
          <w:szCs w:val="16"/>
        </w:rPr>
        <w:t xml:space="preserve"> </w:t>
      </w:r>
      <w:proofErr w:type="spellStart"/>
      <w:r w:rsidRPr="00E30960">
        <w:rPr>
          <w:rFonts w:ascii="Arial" w:hAnsi="Arial"/>
          <w:sz w:val="18"/>
          <w:szCs w:val="18"/>
        </w:rPr>
        <w:t>Erman</w:t>
      </w:r>
      <w:proofErr w:type="spellEnd"/>
      <w:r w:rsidRPr="00E30960">
        <w:rPr>
          <w:rFonts w:ascii="Arial" w:hAnsi="Arial"/>
          <w:sz w:val="18"/>
          <w:szCs w:val="18"/>
        </w:rPr>
        <w:t xml:space="preserve"> Efendi, Alfa Nur Aini, </w:t>
      </w:r>
      <w:proofErr w:type="spellStart"/>
      <w:r w:rsidRPr="00E30960">
        <w:rPr>
          <w:rFonts w:ascii="Arial" w:hAnsi="Arial"/>
          <w:sz w:val="18"/>
          <w:szCs w:val="18"/>
        </w:rPr>
        <w:t>Solhaimi</w:t>
      </w:r>
      <w:proofErr w:type="spellEnd"/>
      <w:r w:rsidRPr="00E30960">
        <w:rPr>
          <w:rFonts w:ascii="Arial" w:hAnsi="Arial"/>
          <w:sz w:val="18"/>
          <w:szCs w:val="18"/>
        </w:rPr>
        <w:t xml:space="preserve"> </w:t>
      </w:r>
      <w:proofErr w:type="spellStart"/>
      <w:r w:rsidRPr="00E30960">
        <w:rPr>
          <w:rFonts w:ascii="Arial" w:hAnsi="Arial"/>
          <w:sz w:val="18"/>
          <w:szCs w:val="18"/>
        </w:rPr>
        <w:t>Fadzil</w:t>
      </w:r>
      <w:proofErr w:type="spellEnd"/>
      <w:r w:rsidRPr="00E30960">
        <w:rPr>
          <w:rFonts w:ascii="Arial" w:hAnsi="Arial"/>
          <w:sz w:val="18"/>
          <w:szCs w:val="18"/>
        </w:rPr>
        <w:t xml:space="preserve">, Kamal, and Ying </w:t>
      </w:r>
      <w:proofErr w:type="spellStart"/>
      <w:r w:rsidRPr="00E30960">
        <w:rPr>
          <w:rFonts w:ascii="Arial" w:hAnsi="Arial"/>
          <w:sz w:val="18"/>
          <w:szCs w:val="18"/>
        </w:rPr>
        <w:t>Hooi</w:t>
      </w:r>
      <w:proofErr w:type="spellEnd"/>
      <w:r w:rsidRPr="00E30960">
        <w:rPr>
          <w:rFonts w:ascii="Arial" w:hAnsi="Arial"/>
          <w:sz w:val="18"/>
          <w:szCs w:val="18"/>
        </w:rPr>
        <w:t xml:space="preserve"> Khoo. "</w:t>
      </w:r>
      <w:hyperlink r:id="rId9">
        <w:r w:rsidRPr="00E30960">
          <w:rPr>
            <w:rFonts w:ascii="Arial" w:hAnsi="Arial"/>
            <w:color w:val="1155CC"/>
            <w:sz w:val="18"/>
            <w:szCs w:val="18"/>
            <w:u w:val="single"/>
          </w:rPr>
          <w:t>Better Die at Home Than Here in This Hospital: Exploring Challenges of Women with Disabilities in Accessing Healthcare in Malaysia.</w:t>
        </w:r>
      </w:hyperlink>
      <w:r w:rsidRPr="00E30960">
        <w:rPr>
          <w:rFonts w:ascii="Arial" w:hAnsi="Arial"/>
          <w:sz w:val="18"/>
          <w:szCs w:val="18"/>
        </w:rPr>
        <w:t xml:space="preserve">" SARJANA 33, no. 1 (2018): 1-10. </w:t>
      </w:r>
    </w:p>
  </w:footnote>
  <w:footnote w:id="21">
    <w:p w14:paraId="5F646738"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Ministry of Health Malaysia (KKM),. </w:t>
      </w:r>
      <w:hyperlink r:id="rId10">
        <w:r w:rsidRPr="00E30960">
          <w:rPr>
            <w:rFonts w:ascii="Arial" w:hAnsi="Arial"/>
            <w:color w:val="1155CC"/>
            <w:sz w:val="18"/>
            <w:szCs w:val="18"/>
            <w:u w:val="single"/>
          </w:rPr>
          <w:t>Guideline on managing ‘gender confusion’ in health clinics</w:t>
        </w:r>
      </w:hyperlink>
      <w:r w:rsidRPr="00E30960">
        <w:rPr>
          <w:rFonts w:ascii="Arial" w:hAnsi="Arial"/>
          <w:sz w:val="18"/>
          <w:szCs w:val="18"/>
        </w:rPr>
        <w:t xml:space="preserve"> (2017)</w:t>
      </w:r>
    </w:p>
  </w:footnote>
  <w:footnote w:id="22">
    <w:p w14:paraId="29D8BE64"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eastAsia="Calibri" w:hAnsi="Arial"/>
          <w:sz w:val="18"/>
          <w:szCs w:val="18"/>
        </w:rPr>
        <w:t xml:space="preserve"> </w:t>
      </w:r>
      <w:r w:rsidRPr="00E30960">
        <w:rPr>
          <w:rFonts w:ascii="Arial" w:hAnsi="Arial"/>
          <w:sz w:val="18"/>
          <w:szCs w:val="18"/>
        </w:rPr>
        <w:t xml:space="preserve">Terrence </w:t>
      </w:r>
      <w:proofErr w:type="spellStart"/>
      <w:r w:rsidRPr="00E30960">
        <w:rPr>
          <w:rFonts w:ascii="Arial" w:hAnsi="Arial"/>
          <w:sz w:val="18"/>
          <w:szCs w:val="18"/>
        </w:rPr>
        <w:t>Thomas,Ng</w:t>
      </w:r>
      <w:proofErr w:type="spellEnd"/>
      <w:r w:rsidRPr="00E30960">
        <w:rPr>
          <w:rFonts w:ascii="Arial" w:hAnsi="Arial"/>
          <w:sz w:val="18"/>
          <w:szCs w:val="18"/>
        </w:rPr>
        <w:t xml:space="preserve"> </w:t>
      </w:r>
      <w:proofErr w:type="spellStart"/>
      <w:r w:rsidRPr="00E30960">
        <w:rPr>
          <w:rFonts w:ascii="Arial" w:hAnsi="Arial"/>
          <w:sz w:val="18"/>
          <w:szCs w:val="18"/>
        </w:rPr>
        <w:t>Hoong</w:t>
      </w:r>
      <w:proofErr w:type="spellEnd"/>
      <w:r w:rsidRPr="00E30960">
        <w:rPr>
          <w:rFonts w:ascii="Arial" w:hAnsi="Arial"/>
          <w:sz w:val="18"/>
          <w:szCs w:val="18"/>
        </w:rPr>
        <w:t xml:space="preserve"> </w:t>
      </w:r>
      <w:proofErr w:type="spellStart"/>
      <w:r w:rsidRPr="00E30960">
        <w:rPr>
          <w:rFonts w:ascii="Arial" w:hAnsi="Arial"/>
          <w:sz w:val="18"/>
          <w:szCs w:val="18"/>
        </w:rPr>
        <w:t>Phak</w:t>
      </w:r>
      <w:proofErr w:type="spellEnd"/>
      <w:r w:rsidRPr="00E30960">
        <w:rPr>
          <w:rFonts w:ascii="Arial" w:hAnsi="Arial"/>
          <w:sz w:val="18"/>
          <w:szCs w:val="18"/>
        </w:rPr>
        <w:t xml:space="preserve"> et al, Ministry of Health Malaysia (2019), </w:t>
      </w:r>
      <w:hyperlink r:id="rId11">
        <w:r w:rsidRPr="00E30960">
          <w:rPr>
            <w:rFonts w:ascii="Arial" w:hAnsi="Arial"/>
            <w:color w:val="1155CC"/>
            <w:sz w:val="18"/>
            <w:szCs w:val="18"/>
            <w:u w:val="single"/>
          </w:rPr>
          <w:t>PAEDIATRIC PROTOCOLS For Malaysian Hospitals 4th Edition</w:t>
        </w:r>
      </w:hyperlink>
      <w:r w:rsidRPr="00E30960">
        <w:rPr>
          <w:rFonts w:ascii="Arial" w:hAnsi="Arial"/>
          <w:sz w:val="18"/>
          <w:szCs w:val="18"/>
        </w:rPr>
        <w:t xml:space="preserve">, 322-323 </w:t>
      </w:r>
    </w:p>
  </w:footnote>
  <w:footnote w:id="23">
    <w:p w14:paraId="7B0CBD25"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hyperlink r:id="rId12">
        <w:r w:rsidRPr="00E30960">
          <w:rPr>
            <w:rFonts w:ascii="Arial" w:hAnsi="Arial"/>
            <w:color w:val="1155CC"/>
            <w:sz w:val="18"/>
            <w:szCs w:val="18"/>
            <w:u w:val="single"/>
          </w:rPr>
          <w:t xml:space="preserve"> </w:t>
        </w:r>
      </w:hyperlink>
      <w:hyperlink r:id="rId13">
        <w:r w:rsidRPr="00E30960">
          <w:rPr>
            <w:rFonts w:ascii="Arial" w:hAnsi="Arial"/>
            <w:color w:val="1155CC"/>
            <w:sz w:val="18"/>
            <w:szCs w:val="18"/>
            <w:u w:val="single"/>
          </w:rPr>
          <w:t>KOM to continue with “Gender Dysphoria 2.0” (2020)</w:t>
        </w:r>
      </w:hyperlink>
      <w:r w:rsidRPr="00E30960">
        <w:rPr>
          <w:rFonts w:ascii="Arial" w:hAnsi="Arial"/>
          <w:sz w:val="18"/>
          <w:szCs w:val="18"/>
        </w:rPr>
        <w:t xml:space="preserve"> A university linked hospital, aiming to ‘save LGBT people’ reportedly sponsored 20 trans people’s medical de-transition procedures. Financial incentives are provided to discourage them from returning to their ‘old self’</w:t>
      </w:r>
    </w:p>
  </w:footnote>
  <w:footnote w:id="24">
    <w:p w14:paraId="32C124D6" w14:textId="77777777" w:rsidR="00C41F6E" w:rsidRPr="00E30960" w:rsidRDefault="00000000">
      <w:pPr>
        <w:spacing w:line="240" w:lineRule="auto"/>
        <w:rPr>
          <w:rFonts w:ascii="Arial" w:eastAsia="Calibri" w:hAnsi="Arial"/>
          <w:sz w:val="18"/>
          <w:szCs w:val="18"/>
        </w:rPr>
      </w:pPr>
      <w:r w:rsidRPr="00E30960">
        <w:rPr>
          <w:rStyle w:val="FootnoteReference"/>
          <w:rFonts w:ascii="Arial" w:hAnsi="Arial"/>
          <w:sz w:val="18"/>
          <w:szCs w:val="21"/>
        </w:rPr>
        <w:footnoteRef/>
      </w:r>
      <w:r w:rsidRPr="00E30960">
        <w:rPr>
          <w:rFonts w:ascii="Arial" w:eastAsia="Calibri" w:hAnsi="Arial"/>
          <w:sz w:val="18"/>
          <w:szCs w:val="18"/>
        </w:rPr>
        <w:t xml:space="preserve"> </w:t>
      </w:r>
      <w:r w:rsidRPr="00E30960">
        <w:rPr>
          <w:rFonts w:ascii="Arial" w:hAnsi="Arial"/>
          <w:sz w:val="18"/>
          <w:szCs w:val="18"/>
        </w:rPr>
        <w:t xml:space="preserve">Vijay, A. et al., (2018), </w:t>
      </w:r>
      <w:hyperlink r:id="rId14">
        <w:r w:rsidRPr="00E30960">
          <w:rPr>
            <w:rFonts w:ascii="Arial" w:hAnsi="Arial"/>
            <w:color w:val="1155CC"/>
            <w:sz w:val="18"/>
            <w:szCs w:val="18"/>
            <w:u w:val="single"/>
          </w:rPr>
          <w:t>Factors Associated with Medical Doctors’ Intentions to Discriminate Against Transgender Patients in Kuala Lumpur, Malaysia</w:t>
        </w:r>
      </w:hyperlink>
      <w:r w:rsidRPr="00E30960">
        <w:rPr>
          <w:rFonts w:ascii="Arial" w:hAnsi="Arial"/>
          <w:sz w:val="18"/>
          <w:szCs w:val="18"/>
        </w:rPr>
        <w:t xml:space="preserve"> </w:t>
      </w:r>
    </w:p>
  </w:footnote>
  <w:footnote w:id="25">
    <w:p w14:paraId="36AEEAE7" w14:textId="77777777" w:rsidR="00C41F6E" w:rsidRPr="00E30960" w:rsidRDefault="00000000">
      <w:pPr>
        <w:spacing w:line="240" w:lineRule="auto"/>
        <w:rPr>
          <w:rFonts w:ascii="Arial" w:hAnsi="Arial"/>
          <w:sz w:val="18"/>
          <w:szCs w:val="18"/>
        </w:rPr>
      </w:pPr>
      <w:r w:rsidRPr="00E30960">
        <w:rPr>
          <w:rStyle w:val="FootnoteReference"/>
          <w:rFonts w:ascii="Arial" w:hAnsi="Arial"/>
          <w:sz w:val="18"/>
          <w:szCs w:val="21"/>
        </w:rPr>
        <w:footnoteRef/>
      </w:r>
      <w:r w:rsidRPr="00E30960">
        <w:rPr>
          <w:rFonts w:ascii="Arial" w:hAnsi="Arial"/>
          <w:sz w:val="18"/>
          <w:szCs w:val="18"/>
        </w:rPr>
        <w:t xml:space="preserve"> Robertson, </w:t>
      </w:r>
      <w:proofErr w:type="spellStart"/>
      <w:r w:rsidRPr="00E30960">
        <w:rPr>
          <w:rFonts w:ascii="Arial" w:hAnsi="Arial"/>
          <w:sz w:val="18"/>
          <w:szCs w:val="18"/>
        </w:rPr>
        <w:t>Qasmieh</w:t>
      </w:r>
      <w:proofErr w:type="spellEnd"/>
      <w:r w:rsidRPr="00E30960">
        <w:rPr>
          <w:rFonts w:ascii="Arial" w:hAnsi="Arial"/>
          <w:sz w:val="18"/>
          <w:szCs w:val="18"/>
        </w:rPr>
        <w:t xml:space="preserve">, Kulkarni, et al (2022). </w:t>
      </w:r>
      <w:hyperlink r:id="rId15">
        <w:r w:rsidRPr="00E30960">
          <w:rPr>
            <w:rFonts w:ascii="Arial" w:hAnsi="Arial"/>
            <w:color w:val="1155CC"/>
            <w:sz w:val="18"/>
            <w:szCs w:val="18"/>
            <w:u w:val="single"/>
          </w:rPr>
          <w:t>The epidemiology of long COVID in US adults. Clinical Infectious Diseases</w:t>
        </w:r>
      </w:hyperlink>
      <w:r w:rsidRPr="00E30960">
        <w:rPr>
          <w:rFonts w:ascii="Arial" w:hAnsi="Arial"/>
          <w:sz w:val="18"/>
          <w:szCs w:val="18"/>
        </w:rPr>
        <w:t>: Women have an almost two times higher risk of Long Covid than men.</w:t>
      </w:r>
    </w:p>
  </w:footnote>
  <w:footnote w:id="26">
    <w:p w14:paraId="6F766C7E" w14:textId="77777777" w:rsidR="00C41F6E" w:rsidRDefault="00000000">
      <w:pPr>
        <w:spacing w:line="240" w:lineRule="auto"/>
        <w:rPr>
          <w:szCs w:val="20"/>
        </w:rPr>
      </w:pPr>
      <w:r w:rsidRPr="00E30960">
        <w:rPr>
          <w:rStyle w:val="FootnoteReference"/>
          <w:rFonts w:ascii="Arial" w:hAnsi="Arial"/>
          <w:sz w:val="18"/>
          <w:szCs w:val="21"/>
        </w:rPr>
        <w:footnoteRef/>
      </w:r>
      <w:r w:rsidRPr="00E30960">
        <w:rPr>
          <w:rFonts w:ascii="Arial" w:hAnsi="Arial"/>
          <w:sz w:val="18"/>
          <w:szCs w:val="18"/>
        </w:rPr>
        <w:t xml:space="preserve"> Amar-Singh HSS (2022). “Disability and the COVID-19 Pandemic.” </w:t>
      </w:r>
      <w:hyperlink r:id="rId16">
        <w:r w:rsidRPr="00E30960">
          <w:rPr>
            <w:rFonts w:ascii="Arial" w:hAnsi="Arial"/>
            <w:color w:val="1155CC"/>
            <w:sz w:val="18"/>
            <w:szCs w:val="18"/>
            <w:u w:val="single"/>
          </w:rPr>
          <w:t>Fact Sheet prepared for sharing with the United Nations ESCAP Expert Group Meeting: Final Review of the Asian and Pacific Decade of Persons with Disabilities (2013-2022)</w:t>
        </w:r>
      </w:hyperlink>
      <w:r w:rsidRPr="00E30960">
        <w:rPr>
          <w:rFonts w:ascii="Arial" w:hAnsi="Arial"/>
          <w:sz w:val="18"/>
          <w:szCs w:val="18"/>
        </w:rPr>
        <w:t>, 22-23 June 2022 (Bangkok and online).</w:t>
      </w:r>
      <w:r w:rsidRPr="00E30960">
        <w:rPr>
          <w:sz w:val="18"/>
          <w:szCs w:val="18"/>
        </w:rPr>
        <w:t xml:space="preserve"> </w:t>
      </w:r>
    </w:p>
  </w:footnote>
  <w:footnote w:id="27">
    <w:p w14:paraId="2D2D100A" w14:textId="77777777" w:rsidR="00C41F6E" w:rsidRPr="00E30960" w:rsidRDefault="00000000">
      <w:pPr>
        <w:spacing w:line="240" w:lineRule="auto"/>
        <w:rPr>
          <w:rFonts w:ascii="Arial" w:hAnsi="Arial"/>
          <w:sz w:val="18"/>
          <w:szCs w:val="18"/>
        </w:rPr>
      </w:pPr>
      <w:r>
        <w:rPr>
          <w:rStyle w:val="FootnoteReference"/>
        </w:rPr>
        <w:footnoteRef/>
      </w:r>
      <w:r>
        <w:rPr>
          <w:szCs w:val="20"/>
        </w:rPr>
        <w:t xml:space="preserve"> </w:t>
      </w:r>
      <w:hyperlink r:id="rId17">
        <w:r w:rsidRPr="00E30960">
          <w:rPr>
            <w:rFonts w:ascii="Arial" w:hAnsi="Arial"/>
            <w:color w:val="1155CC"/>
            <w:sz w:val="18"/>
            <w:szCs w:val="18"/>
            <w:u w:val="single"/>
          </w:rPr>
          <w:t>Observations on the  State of  Indigenous Human Rights  in Malaysia</w:t>
        </w:r>
      </w:hyperlink>
      <w:r w:rsidRPr="00E30960">
        <w:rPr>
          <w:rFonts w:ascii="Arial" w:hAnsi="Arial"/>
          <w:sz w:val="18"/>
          <w:szCs w:val="18"/>
        </w:rPr>
        <w:t>, Prepared for the 31st Session of the United Nations Human Rights Council Universal Periodic Review, submission by Cultural Survival, 7-8</w:t>
      </w:r>
    </w:p>
  </w:footnote>
  <w:footnote w:id="28">
    <w:p w14:paraId="34CD299F" w14:textId="3196CEE4" w:rsidR="00C41F6E" w:rsidRDefault="00000000">
      <w:pPr>
        <w:spacing w:line="240" w:lineRule="auto"/>
        <w:rPr>
          <w:szCs w:val="20"/>
        </w:rPr>
      </w:pPr>
      <w:r w:rsidRPr="00E30960">
        <w:rPr>
          <w:rStyle w:val="FootnoteReference"/>
          <w:rFonts w:ascii="Arial" w:hAnsi="Arial"/>
          <w:sz w:val="18"/>
          <w:szCs w:val="21"/>
        </w:rPr>
        <w:footnoteRef/>
      </w:r>
      <w:r w:rsidRPr="00E30960">
        <w:rPr>
          <w:rFonts w:ascii="Arial" w:eastAsia="Calibri" w:hAnsi="Arial"/>
          <w:sz w:val="18"/>
          <w:szCs w:val="18"/>
        </w:rPr>
        <w:t xml:space="preserve"> </w:t>
      </w:r>
      <w:r w:rsidRPr="00E30960">
        <w:rPr>
          <w:rFonts w:ascii="Arial" w:hAnsi="Arial"/>
          <w:sz w:val="18"/>
          <w:szCs w:val="18"/>
        </w:rPr>
        <w:t xml:space="preserve">1) Negeri Sembilan introduced female person posing as a man &amp; amended male person posing as a woman 2) Kelantan introduced attempt to </w:t>
      </w:r>
      <w:proofErr w:type="spellStart"/>
      <w:r w:rsidRPr="00E30960">
        <w:rPr>
          <w:rFonts w:ascii="Arial" w:hAnsi="Arial"/>
          <w:sz w:val="18"/>
          <w:szCs w:val="18"/>
        </w:rPr>
        <w:t>liwat</w:t>
      </w:r>
      <w:proofErr w:type="spellEnd"/>
      <w:r w:rsidRPr="00E30960">
        <w:rPr>
          <w:rFonts w:ascii="Arial" w:hAnsi="Arial"/>
          <w:sz w:val="18"/>
          <w:szCs w:val="18"/>
        </w:rPr>
        <w:t xml:space="preserve"> and </w:t>
      </w:r>
      <w:proofErr w:type="spellStart"/>
      <w:r w:rsidRPr="00E30960">
        <w:rPr>
          <w:rFonts w:ascii="Arial" w:hAnsi="Arial"/>
          <w:sz w:val="18"/>
          <w:szCs w:val="18"/>
        </w:rPr>
        <w:t>musahaqah</w:t>
      </w:r>
      <w:proofErr w:type="spellEnd"/>
      <w:r w:rsidRPr="00E30960">
        <w:rPr>
          <w:rFonts w:ascii="Arial" w:hAnsi="Arial"/>
          <w:sz w:val="18"/>
          <w:szCs w:val="18"/>
        </w:rPr>
        <w:t xml:space="preserve">, female person posing as a man, changing gender &amp; amended male person posing as a woman 3)Terengganu introduced attempt to </w:t>
      </w:r>
      <w:proofErr w:type="spellStart"/>
      <w:r w:rsidRPr="00E30960">
        <w:rPr>
          <w:rFonts w:ascii="Arial" w:hAnsi="Arial"/>
          <w:sz w:val="18"/>
          <w:szCs w:val="18"/>
        </w:rPr>
        <w:t>liwat</w:t>
      </w:r>
      <w:proofErr w:type="spellEnd"/>
      <w:r w:rsidRPr="00E30960">
        <w:rPr>
          <w:rFonts w:ascii="Arial" w:hAnsi="Arial"/>
          <w:sz w:val="18"/>
          <w:szCs w:val="18"/>
        </w:rPr>
        <w:t xml:space="preserve"> and </w:t>
      </w:r>
      <w:proofErr w:type="spellStart"/>
      <w:r w:rsidRPr="00E30960">
        <w:rPr>
          <w:rFonts w:ascii="Arial" w:hAnsi="Arial"/>
          <w:sz w:val="18"/>
          <w:szCs w:val="18"/>
        </w:rPr>
        <w:t>musahaqah</w:t>
      </w:r>
      <w:proofErr w:type="spellEnd"/>
      <w:r w:rsidRPr="00E30960">
        <w:rPr>
          <w:rFonts w:ascii="Arial" w:hAnsi="Arial"/>
          <w:sz w:val="18"/>
          <w:szCs w:val="18"/>
        </w:rPr>
        <w:t>, female person posing as a man</w:t>
      </w:r>
      <w:r w:rsidR="003E6F1B">
        <w:rPr>
          <w:rFonts w:ascii="Arial" w:hAnsi="Arial"/>
          <w:sz w:val="18"/>
          <w:szCs w:val="18"/>
        </w:rPr>
        <w:t>.</w:t>
      </w:r>
    </w:p>
  </w:footnote>
  <w:footnote w:id="29">
    <w:p w14:paraId="3DC2985F" w14:textId="77777777" w:rsidR="00C41F6E" w:rsidRPr="003E6F1B" w:rsidRDefault="00000000">
      <w:pPr>
        <w:spacing w:line="240" w:lineRule="auto"/>
        <w:rPr>
          <w:rFonts w:ascii="Arial" w:hAnsi="Arial"/>
          <w:sz w:val="18"/>
          <w:szCs w:val="18"/>
        </w:rPr>
      </w:pPr>
      <w:r w:rsidRPr="003E6F1B">
        <w:rPr>
          <w:rStyle w:val="FootnoteReference"/>
          <w:rFonts w:ascii="Arial" w:hAnsi="Arial"/>
          <w:sz w:val="18"/>
          <w:szCs w:val="21"/>
        </w:rPr>
        <w:footnoteRef/>
      </w:r>
      <w:r w:rsidRPr="003E6F1B">
        <w:rPr>
          <w:rFonts w:ascii="Arial" w:hAnsi="Arial"/>
          <w:sz w:val="18"/>
          <w:szCs w:val="18"/>
        </w:rPr>
        <w:t xml:space="preserve"> Malaysia, Indonesia, Thailand and Singapore</w:t>
      </w:r>
    </w:p>
  </w:footnote>
  <w:footnote w:id="30">
    <w:p w14:paraId="6D5C45A8" w14:textId="77777777" w:rsidR="00C41F6E" w:rsidRDefault="00000000">
      <w:pPr>
        <w:spacing w:line="240" w:lineRule="auto"/>
        <w:rPr>
          <w:szCs w:val="20"/>
        </w:rPr>
      </w:pPr>
      <w:r w:rsidRPr="003E6F1B">
        <w:rPr>
          <w:rStyle w:val="FootnoteReference"/>
          <w:rFonts w:ascii="Arial" w:hAnsi="Arial"/>
          <w:sz w:val="18"/>
          <w:szCs w:val="21"/>
        </w:rPr>
        <w:footnoteRef/>
      </w:r>
      <w:r w:rsidRPr="003E6F1B">
        <w:rPr>
          <w:rFonts w:ascii="Arial" w:hAnsi="Arial"/>
          <w:sz w:val="18"/>
          <w:szCs w:val="21"/>
        </w:rPr>
        <w:t xml:space="preserve"> </w:t>
      </w:r>
      <w:r w:rsidRPr="003E6F1B">
        <w:rPr>
          <w:rFonts w:ascii="Arial" w:hAnsi="Arial"/>
          <w:sz w:val="18"/>
          <w:szCs w:val="18"/>
        </w:rPr>
        <w:t>Laws of Malaysia, Criminal Procedure Code (Act 593),</w:t>
      </w:r>
      <w:r w:rsidRPr="003E6F1B">
        <w:rPr>
          <w:rFonts w:ascii="Arial" w:hAnsi="Arial"/>
          <w:sz w:val="18"/>
          <w:szCs w:val="21"/>
        </w:rPr>
        <w:t xml:space="preserve"> </w:t>
      </w:r>
      <w:r w:rsidRPr="003E6F1B">
        <w:rPr>
          <w:rFonts w:ascii="Arial" w:hAnsi="Arial"/>
          <w:sz w:val="18"/>
          <w:szCs w:val="18"/>
        </w:rPr>
        <w:t>Section 298; “No sentence of whipping shall be executed by instalments, and none of the following persons shall be punishable with whipping: (a) females; (b) …..”</w:t>
      </w:r>
    </w:p>
  </w:footnote>
  <w:footnote w:id="31">
    <w:p w14:paraId="07E9335F" w14:textId="77777777" w:rsidR="00C41F6E" w:rsidRDefault="00000000">
      <w:pPr>
        <w:spacing w:line="240" w:lineRule="auto"/>
        <w:rPr>
          <w:szCs w:val="20"/>
        </w:rPr>
      </w:pPr>
      <w:r>
        <w:rPr>
          <w:rStyle w:val="FootnoteReference"/>
        </w:rPr>
        <w:footnoteRef/>
      </w:r>
      <w:r w:rsidRPr="003E6F1B">
        <w:rPr>
          <w:rFonts w:ascii="Arial" w:hAnsi="Arial"/>
          <w:sz w:val="18"/>
          <w:szCs w:val="18"/>
        </w:rPr>
        <w:t xml:space="preserve">She must prove that she is born in a lawful marriage whereby she has to provide a certificate of her parents’ marriage to prove that she is not born out of wedlock. The requirement of proving lineage is imposed towards the woman only, and not the man. Additionally, the presence of a </w:t>
      </w:r>
      <w:proofErr w:type="spellStart"/>
      <w:r w:rsidRPr="003E6F1B">
        <w:rPr>
          <w:rFonts w:ascii="Arial" w:hAnsi="Arial"/>
          <w:sz w:val="18"/>
          <w:szCs w:val="18"/>
        </w:rPr>
        <w:t>wali</w:t>
      </w:r>
      <w:proofErr w:type="spellEnd"/>
      <w:r w:rsidRPr="003E6F1B">
        <w:rPr>
          <w:rFonts w:ascii="Arial" w:hAnsi="Arial"/>
          <w:sz w:val="18"/>
          <w:szCs w:val="18"/>
        </w:rPr>
        <w:t xml:space="preserve"> is mandatory in the woman’s marriage application</w:t>
      </w:r>
    </w:p>
  </w:footnote>
  <w:footnote w:id="32">
    <w:p w14:paraId="18648860" w14:textId="77777777" w:rsidR="00C41F6E" w:rsidRPr="003E6F1B" w:rsidRDefault="00000000">
      <w:pPr>
        <w:spacing w:line="240" w:lineRule="auto"/>
        <w:rPr>
          <w:rFonts w:ascii="Arial" w:hAnsi="Arial"/>
          <w:sz w:val="18"/>
          <w:szCs w:val="18"/>
        </w:rPr>
      </w:pPr>
      <w:r w:rsidRPr="003E6F1B">
        <w:rPr>
          <w:rStyle w:val="FootnoteReference"/>
          <w:rFonts w:ascii="Arial" w:hAnsi="Arial"/>
          <w:sz w:val="18"/>
          <w:szCs w:val="21"/>
        </w:rPr>
        <w:footnoteRef/>
      </w:r>
      <w:r w:rsidRPr="003E6F1B">
        <w:rPr>
          <w:rFonts w:ascii="Arial" w:hAnsi="Arial"/>
          <w:sz w:val="18"/>
          <w:szCs w:val="18"/>
        </w:rPr>
        <w:t xml:space="preserve"> EMPOWER Malaysia and Justice for Sisters (2021), </w:t>
      </w:r>
      <w:hyperlink r:id="rId18">
        <w:r w:rsidRPr="003E6F1B">
          <w:rPr>
            <w:rFonts w:ascii="Arial" w:hAnsi="Arial"/>
            <w:color w:val="1155CC"/>
            <w:sz w:val="18"/>
            <w:szCs w:val="18"/>
            <w:u w:val="single"/>
          </w:rPr>
          <w:t>Freedom of Expression and Transgender Women in Malaysia (2021</w:t>
        </w:r>
      </w:hyperlink>
    </w:p>
  </w:footnote>
  <w:footnote w:id="33">
    <w:p w14:paraId="63D07B94" w14:textId="77777777" w:rsidR="00C41F6E" w:rsidRPr="003E6F1B" w:rsidRDefault="00000000">
      <w:pPr>
        <w:spacing w:line="240" w:lineRule="auto"/>
        <w:rPr>
          <w:rFonts w:ascii="Arial" w:hAnsi="Arial"/>
          <w:sz w:val="18"/>
          <w:szCs w:val="18"/>
        </w:rPr>
      </w:pPr>
      <w:r w:rsidRPr="003E6F1B">
        <w:rPr>
          <w:rStyle w:val="FootnoteReference"/>
          <w:rFonts w:ascii="Arial" w:hAnsi="Arial"/>
          <w:sz w:val="18"/>
          <w:szCs w:val="21"/>
        </w:rPr>
        <w:footnoteRef/>
      </w:r>
      <w:r w:rsidRPr="003E6F1B">
        <w:rPr>
          <w:rFonts w:ascii="Arial" w:hAnsi="Arial"/>
          <w:sz w:val="18"/>
          <w:szCs w:val="18"/>
        </w:rPr>
        <w:t xml:space="preserve"> Online sexual harassment such as the distribution of intimate photos or videos without consent, or receiving unwanted sexual content via text or social media; stalking; and rape threats. </w:t>
      </w:r>
    </w:p>
  </w:footnote>
  <w:footnote w:id="34">
    <w:p w14:paraId="5021B927" w14:textId="77777777" w:rsidR="00C41F6E" w:rsidRPr="003E6F1B" w:rsidRDefault="00000000">
      <w:pPr>
        <w:spacing w:line="240" w:lineRule="auto"/>
        <w:rPr>
          <w:rFonts w:ascii="Arial" w:hAnsi="Arial"/>
          <w:sz w:val="16"/>
          <w:szCs w:val="16"/>
        </w:rPr>
      </w:pPr>
      <w:r w:rsidRPr="003E6F1B">
        <w:rPr>
          <w:rStyle w:val="FootnoteReference"/>
          <w:rFonts w:ascii="Arial" w:hAnsi="Arial"/>
          <w:sz w:val="18"/>
          <w:szCs w:val="21"/>
        </w:rPr>
        <w:footnoteRef/>
      </w:r>
      <w:r w:rsidRPr="003E6F1B">
        <w:rPr>
          <w:rFonts w:ascii="Arial" w:hAnsi="Arial"/>
          <w:sz w:val="16"/>
          <w:szCs w:val="16"/>
        </w:rPr>
        <w:t xml:space="preserve"> </w:t>
      </w:r>
      <w:r w:rsidRPr="003E6F1B">
        <w:rPr>
          <w:rFonts w:ascii="Arial" w:hAnsi="Arial"/>
          <w:sz w:val="18"/>
          <w:szCs w:val="18"/>
        </w:rPr>
        <w:t xml:space="preserve">UNICEF Malaysia (2017). </w:t>
      </w:r>
      <w:hyperlink r:id="rId19">
        <w:r w:rsidRPr="003E6F1B">
          <w:rPr>
            <w:rFonts w:ascii="Arial" w:hAnsi="Arial"/>
            <w:color w:val="1155CC"/>
            <w:sz w:val="18"/>
            <w:szCs w:val="18"/>
            <w:u w:val="single"/>
          </w:rPr>
          <w:t>Childhood Disability in Malaysia: A Study of Knowledge, Attitudes and Practices</w:t>
        </w:r>
      </w:hyperlink>
      <w:r w:rsidRPr="003E6F1B">
        <w:rPr>
          <w:rFonts w:ascii="Arial" w:hAnsi="Arial"/>
          <w:sz w:val="18"/>
          <w:szCs w:val="18"/>
        </w:rPr>
        <w:t xml:space="preserve">. </w:t>
      </w:r>
    </w:p>
  </w:footnote>
  <w:footnote w:id="35">
    <w:p w14:paraId="38C8E596" w14:textId="77777777" w:rsidR="00C41F6E" w:rsidRDefault="00000000">
      <w:pPr>
        <w:spacing w:line="240" w:lineRule="auto"/>
        <w:rPr>
          <w:szCs w:val="20"/>
        </w:rPr>
      </w:pPr>
      <w:r w:rsidRPr="003E6F1B">
        <w:rPr>
          <w:rStyle w:val="FootnoteReference"/>
          <w:rFonts w:ascii="Arial" w:hAnsi="Arial"/>
          <w:sz w:val="18"/>
          <w:szCs w:val="21"/>
        </w:rPr>
        <w:footnoteRef/>
      </w:r>
      <w:r w:rsidRPr="003E6F1B">
        <w:rPr>
          <w:rFonts w:ascii="Arial" w:hAnsi="Arial"/>
          <w:sz w:val="18"/>
          <w:szCs w:val="18"/>
        </w:rPr>
        <w:t xml:space="preserve"> EMPOWER Malaysia and Justice for Sisters (2021), </w:t>
      </w:r>
      <w:hyperlink r:id="rId20">
        <w:r w:rsidRPr="003E6F1B">
          <w:rPr>
            <w:rFonts w:ascii="Arial" w:hAnsi="Arial"/>
            <w:color w:val="1155CC"/>
            <w:sz w:val="18"/>
            <w:szCs w:val="18"/>
            <w:u w:val="single"/>
          </w:rPr>
          <w:t>Freedom of Expression and Transgender Women in Malaysia (2021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538A6" w14:textId="77777777" w:rsidR="00C41F6E" w:rsidRDefault="00C41F6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F6E"/>
    <w:rsid w:val="00092464"/>
    <w:rsid w:val="00112B14"/>
    <w:rsid w:val="001A0B76"/>
    <w:rsid w:val="003E6F1B"/>
    <w:rsid w:val="00AC0A53"/>
    <w:rsid w:val="00C41F6E"/>
    <w:rsid w:val="00E30960"/>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68F5ACA"/>
  <w15:docId w15:val="{1ACCAC5F-9368-CC41-8CF4-2702190DD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MY" w:eastAsia="en-GB"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04E5"/>
    <w:rPr>
      <w:rFonts w:ascii="Roboto" w:hAnsi="Roboto"/>
      <w:sz w:val="20"/>
    </w:rPr>
  </w:style>
  <w:style w:type="paragraph" w:styleId="Heading1">
    <w:name w:val="heading 1"/>
    <w:basedOn w:val="Normal"/>
    <w:next w:val="Normal"/>
    <w:link w:val="Heading1Char"/>
    <w:uiPriority w:val="9"/>
    <w:qFormat/>
    <w:rsid w:val="00BD04E5"/>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BD04E5"/>
    <w:pPr>
      <w:keepNext/>
      <w:keepLines/>
      <w:spacing w:before="12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BD04E5"/>
    <w:pPr>
      <w:keepNext/>
      <w:keepLines/>
      <w:spacing w:before="12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unhideWhenUsed/>
    <w:qFormat/>
    <w:rsid w:val="00BD04E5"/>
    <w:pPr>
      <w:keepNext/>
      <w:keepLines/>
      <w:spacing w:before="12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BD04E5"/>
    <w:pPr>
      <w:keepNext/>
      <w:keepLines/>
      <w:spacing w:before="12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BD04E5"/>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Heading7">
    <w:name w:val="heading 7"/>
    <w:basedOn w:val="Normal"/>
    <w:next w:val="Normal"/>
    <w:link w:val="Heading7Char"/>
    <w:uiPriority w:val="9"/>
    <w:semiHidden/>
    <w:unhideWhenUsed/>
    <w:qFormat/>
    <w:rsid w:val="00BD04E5"/>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Heading8">
    <w:name w:val="heading 8"/>
    <w:basedOn w:val="Normal"/>
    <w:next w:val="Normal"/>
    <w:link w:val="Heading8Char"/>
    <w:uiPriority w:val="9"/>
    <w:semiHidden/>
    <w:unhideWhenUsed/>
    <w:qFormat/>
    <w:rsid w:val="00BD04E5"/>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Heading9">
    <w:name w:val="heading 9"/>
    <w:basedOn w:val="Normal"/>
    <w:next w:val="Normal"/>
    <w:link w:val="Heading9Char"/>
    <w:uiPriority w:val="9"/>
    <w:semiHidden/>
    <w:unhideWhenUsed/>
    <w:qFormat/>
    <w:rsid w:val="00BD04E5"/>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D04E5"/>
    <w:pPr>
      <w:spacing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Heading1Char">
    <w:name w:val="Heading 1 Char"/>
    <w:basedOn w:val="DefaultParagraphFont"/>
    <w:link w:val="Heading1"/>
    <w:uiPriority w:val="9"/>
    <w:rsid w:val="00BD04E5"/>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BD04E5"/>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BD04E5"/>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BD04E5"/>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BD04E5"/>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BD04E5"/>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BD04E5"/>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BD04E5"/>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BD04E5"/>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BD04E5"/>
    <w:pPr>
      <w:spacing w:line="240" w:lineRule="auto"/>
    </w:pPr>
    <w:rPr>
      <w:b/>
      <w:bCs/>
      <w:smallCaps/>
      <w:color w:val="595959" w:themeColor="text1" w:themeTint="A6"/>
    </w:rPr>
  </w:style>
  <w:style w:type="character" w:customStyle="1" w:styleId="TitleChar">
    <w:name w:val="Title Char"/>
    <w:basedOn w:val="DefaultParagraphFont"/>
    <w:link w:val="Title"/>
    <w:uiPriority w:val="10"/>
    <w:rsid w:val="00BD04E5"/>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pPr>
      <w:jc w:val="center"/>
    </w:pPr>
    <w:rPr>
      <w:i/>
    </w:rPr>
  </w:style>
  <w:style w:type="character" w:customStyle="1" w:styleId="SubtitleChar">
    <w:name w:val="Subtitle Char"/>
    <w:basedOn w:val="DefaultParagraphFont"/>
    <w:link w:val="Subtitle"/>
    <w:uiPriority w:val="11"/>
    <w:rsid w:val="00BD04E5"/>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BD04E5"/>
    <w:rPr>
      <w:b/>
      <w:bCs/>
    </w:rPr>
  </w:style>
  <w:style w:type="character" w:styleId="Emphasis">
    <w:name w:val="Emphasis"/>
    <w:basedOn w:val="DefaultParagraphFont"/>
    <w:uiPriority w:val="20"/>
    <w:qFormat/>
    <w:rsid w:val="00BD04E5"/>
    <w:rPr>
      <w:i/>
      <w:iCs/>
    </w:rPr>
  </w:style>
  <w:style w:type="paragraph" w:styleId="NoSpacing">
    <w:name w:val="No Spacing"/>
    <w:uiPriority w:val="1"/>
    <w:qFormat/>
    <w:rsid w:val="002C556D"/>
    <w:pPr>
      <w:spacing w:line="240" w:lineRule="auto"/>
    </w:pPr>
    <w:rPr>
      <w:rFonts w:ascii="Roboto" w:hAnsi="Roboto"/>
      <w:sz w:val="20"/>
    </w:rPr>
  </w:style>
  <w:style w:type="paragraph" w:styleId="Quote">
    <w:name w:val="Quote"/>
    <w:basedOn w:val="Normal"/>
    <w:next w:val="Normal"/>
    <w:link w:val="QuoteChar"/>
    <w:uiPriority w:val="29"/>
    <w:qFormat/>
    <w:rsid w:val="00BD04E5"/>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BD04E5"/>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BD04E5"/>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BD04E5"/>
    <w:rPr>
      <w:color w:val="404040" w:themeColor="text1" w:themeTint="BF"/>
      <w:sz w:val="32"/>
      <w:szCs w:val="32"/>
    </w:rPr>
  </w:style>
  <w:style w:type="character" w:styleId="SubtleEmphasis">
    <w:name w:val="Subtle Emphasis"/>
    <w:basedOn w:val="DefaultParagraphFont"/>
    <w:uiPriority w:val="19"/>
    <w:qFormat/>
    <w:rsid w:val="00BD04E5"/>
    <w:rPr>
      <w:i/>
      <w:iCs/>
      <w:color w:val="595959" w:themeColor="text1" w:themeTint="A6"/>
    </w:rPr>
  </w:style>
  <w:style w:type="character" w:styleId="IntenseEmphasis">
    <w:name w:val="Intense Emphasis"/>
    <w:basedOn w:val="DefaultParagraphFont"/>
    <w:uiPriority w:val="21"/>
    <w:qFormat/>
    <w:rsid w:val="00BD04E5"/>
    <w:rPr>
      <w:b/>
      <w:bCs/>
      <w:i/>
      <w:iCs/>
    </w:rPr>
  </w:style>
  <w:style w:type="character" w:styleId="SubtleReference">
    <w:name w:val="Subtle Reference"/>
    <w:basedOn w:val="DefaultParagraphFont"/>
    <w:uiPriority w:val="31"/>
    <w:qFormat/>
    <w:rsid w:val="00BD04E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D04E5"/>
    <w:rPr>
      <w:b/>
      <w:bCs/>
      <w:caps w:val="0"/>
      <w:smallCaps/>
      <w:color w:val="auto"/>
      <w:spacing w:val="3"/>
      <w:u w:val="single"/>
    </w:rPr>
  </w:style>
  <w:style w:type="character" w:styleId="BookTitle">
    <w:name w:val="Book Title"/>
    <w:basedOn w:val="DefaultParagraphFont"/>
    <w:uiPriority w:val="33"/>
    <w:qFormat/>
    <w:rsid w:val="00BD04E5"/>
    <w:rPr>
      <w:b/>
      <w:bCs/>
      <w:smallCaps/>
      <w:spacing w:val="7"/>
    </w:rPr>
  </w:style>
  <w:style w:type="paragraph" w:styleId="TOCHeading">
    <w:name w:val="TOC Heading"/>
    <w:basedOn w:val="Heading1"/>
    <w:next w:val="Normal"/>
    <w:uiPriority w:val="39"/>
    <w:semiHidden/>
    <w:unhideWhenUsed/>
    <w:qFormat/>
    <w:rsid w:val="00BD04E5"/>
    <w:pPr>
      <w:outlineLvl w:val="9"/>
    </w:pPr>
  </w:style>
  <w:style w:type="character" w:styleId="FootnoteReference">
    <w:name w:val="footnote reference"/>
    <w:basedOn w:val="DefaultParagraphFont"/>
    <w:uiPriority w:val="99"/>
    <w:semiHidden/>
    <w:unhideWhenUsed/>
    <w:rsid w:val="00BD04E5"/>
    <w:rPr>
      <w:vertAlign w:val="superscript"/>
    </w:rPr>
  </w:style>
  <w:style w:type="character" w:styleId="Hyperlink">
    <w:name w:val="Hyperlink"/>
    <w:basedOn w:val="DefaultParagraphFont"/>
    <w:uiPriority w:val="99"/>
    <w:unhideWhenUsed/>
    <w:rsid w:val="00BD04E5"/>
    <w:rPr>
      <w:color w:val="CC9900" w:themeColor="hyperlink"/>
      <w:u w:val="single"/>
    </w:rPr>
  </w:style>
  <w:style w:type="paragraph" w:styleId="FootnoteText">
    <w:name w:val="footnote text"/>
    <w:basedOn w:val="Normal"/>
    <w:link w:val="FootnoteTextChar"/>
    <w:uiPriority w:val="99"/>
    <w:unhideWhenUsed/>
    <w:rsid w:val="00BD04E5"/>
    <w:pPr>
      <w:spacing w:line="240" w:lineRule="auto"/>
    </w:pPr>
    <w:rPr>
      <w:rFonts w:ascii="Arial" w:eastAsiaTheme="minorHAnsi" w:hAnsi="Arial"/>
      <w:sz w:val="18"/>
      <w:szCs w:val="20"/>
      <w:lang w:eastAsia="en-US"/>
    </w:rPr>
  </w:style>
  <w:style w:type="character" w:customStyle="1" w:styleId="FootnoteTextChar">
    <w:name w:val="Footnote Text Char"/>
    <w:basedOn w:val="DefaultParagraphFont"/>
    <w:link w:val="FootnoteText"/>
    <w:uiPriority w:val="99"/>
    <w:rsid w:val="00BD04E5"/>
    <w:rPr>
      <w:rFonts w:ascii="Arial" w:eastAsiaTheme="minorHAnsi" w:hAnsi="Arial" w:cs="Arial"/>
      <w:sz w:val="18"/>
      <w:szCs w:val="20"/>
      <w:lang w:eastAsia="en-US"/>
    </w:rPr>
  </w:style>
  <w:style w:type="paragraph" w:styleId="ListParagraph">
    <w:name w:val="List Paragraph"/>
    <w:basedOn w:val="Normal"/>
    <w:uiPriority w:val="34"/>
    <w:qFormat/>
    <w:rsid w:val="00BD04E5"/>
    <w:pPr>
      <w:spacing w:line="240" w:lineRule="auto"/>
      <w:ind w:left="720"/>
      <w:contextualSpacing/>
    </w:pPr>
    <w:rPr>
      <w:rFonts w:ascii="Arial" w:eastAsiaTheme="minorHAnsi" w:hAnsi="Arial"/>
      <w:sz w:val="22"/>
      <w:lang w:eastAsia="en-US"/>
    </w:rPr>
  </w:style>
  <w:style w:type="character" w:customStyle="1" w:styleId="FootnoteChar">
    <w:name w:val="Footnote Char"/>
    <w:basedOn w:val="DefaultParagraphFont"/>
    <w:link w:val="Footnote"/>
    <w:locked/>
    <w:rsid w:val="00BD04E5"/>
    <w:rPr>
      <w:rFonts w:ascii="Gadugi" w:hAnsi="Gadugi"/>
      <w:sz w:val="18"/>
      <w:szCs w:val="18"/>
    </w:rPr>
  </w:style>
  <w:style w:type="paragraph" w:customStyle="1" w:styleId="Footnote">
    <w:name w:val="Footnote"/>
    <w:basedOn w:val="FootnoteText"/>
    <w:link w:val="FootnoteChar"/>
    <w:autoRedefine/>
    <w:qFormat/>
    <w:rsid w:val="00BD04E5"/>
    <w:rPr>
      <w:rFonts w:ascii="Gadugi" w:eastAsiaTheme="minorEastAsia" w:hAnsi="Gadugi" w:cstheme="minorBidi"/>
      <w:szCs w:val="18"/>
      <w:lang w:eastAsia="zh-CN"/>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straitstimes.com/asia/se-asia/malaysia-election-used-to-challenges-disabled-candidate-noraishah-takes-on-putrajaya" TargetMode="External"/><Relationship Id="rId18" Type="http://schemas.openxmlformats.org/officeDocument/2006/relationships/hyperlink" Target="https://www.today.com/style/12-year-old-girl-forced-withdraw-chess-tournament-seductive-dress-t111038" TargetMode="External"/><Relationship Id="rId26" Type="http://schemas.openxmlformats.org/officeDocument/2006/relationships/hyperlink" Target="https://www.nst.com.my/news/nation/2022/07/815017/uproar-dewan-rakyat-tajuddin-allegedly-utters-swear-word-nsttv" TargetMode="External"/><Relationship Id="rId39" Type="http://schemas.openxmlformats.org/officeDocument/2006/relationships/hyperlink" Target="https://www.amnesty.org/en/latest/press-release/2019/11/malaysia-caning-of-four-men-is-a-terrible-warning-to-lgbti-people-while-more-await-trial/" TargetMode="External"/><Relationship Id="rId21" Type="http://schemas.openxmlformats.org/officeDocument/2006/relationships/hyperlink" Target="https://www.nst.com.my/news/nation/2018/05/373276/watch-man-criticises-nurul-izzahs-style-dress-says-he-can-see-her" TargetMode="External"/><Relationship Id="rId34" Type="http://schemas.openxmlformats.org/officeDocument/2006/relationships/hyperlink" Target="https://www.aljazeera.com/news/2021/5/19/the-17-year-old-exposing-rape-culture-in-malaysian-schools" TargetMode="External"/><Relationship Id="rId42" Type="http://schemas.openxmlformats.org/officeDocument/2006/relationships/hyperlink" Target="https://www.thestar.com.my/news/nation/2021/08/02/mca-treatment-of-young-female-activists-inexcusable" TargetMode="External"/><Relationship Id="rId47" Type="http://schemas.openxmlformats.org/officeDocument/2006/relationships/hyperlink" Target="https://www.thestar.com.my/news/nation/2022/07/18/minimum-age-for-women-to-marry-increased-to-18-in-kedah-one-year-jail-for-polygamy-without-permission" TargetMode="External"/><Relationship Id="rId50" Type="http://schemas.openxmlformats.org/officeDocument/2006/relationships/hyperlink" Target="https://jksp.pahang.gov.my/wp-content/uploads/2022/07/ARAHAN-AMALAN-TAHUN-2020.pdf" TargetMode="External"/><Relationship Id="rId55" Type="http://schemas.openxmlformats.org/officeDocument/2006/relationships/theme" Target="theme/theme1.xml"/><Relationship Id="rId7" Type="http://schemas.openxmlformats.org/officeDocument/2006/relationships/hyperlink" Target="https://www.nst.com.my/news/nation/2020/03/573457/selangor-launches-gender-mainstreaming-project-empower-women" TargetMode="External"/><Relationship Id="rId2" Type="http://schemas.openxmlformats.org/officeDocument/2006/relationships/styles" Target="styles.xml"/><Relationship Id="rId16" Type="http://schemas.openxmlformats.org/officeDocument/2006/relationships/hyperlink" Target="https://www.thestar.com.my/news/nation/2022/02/13/soft-but-firm-advice-raises-eyebrows-and-draws-criticism" TargetMode="External"/><Relationship Id="rId29" Type="http://schemas.openxmlformats.org/officeDocument/2006/relationships/hyperlink" Target="https://justiceforsisters.wordpress.com/2022/12/16/sinar-harian-must-reconsider-its-prep-buat-komuniti-songsang-lega-bencana-episode-in-order-to-prevent-misinformation-stigma-against-lgbt-people/" TargetMode="External"/><Relationship Id="rId11" Type="http://schemas.openxmlformats.org/officeDocument/2006/relationships/hyperlink" Target="https://www.dosm.gov.my/v1/index.php?r=column/cthemeByCat&amp;cat=444&amp;bul_id=ZklSZ1c1cFFTMEhTaUw1dW16VEZOQT09&amp;menu_id=L0pheU43NWJwRWVSZklWdzQ4TlhUUT09" TargetMode="External"/><Relationship Id="rId24" Type="http://schemas.openxmlformats.org/officeDocument/2006/relationships/hyperlink" Target="https://www.nst.com.my/news/nation/2022/07/815017/uproar-dewan-rakyat-tajuddin-allegedly-utters-swear-word-nsttv" TargetMode="External"/><Relationship Id="rId32" Type="http://schemas.openxmlformats.org/officeDocument/2006/relationships/hyperlink" Target="https://www.freemalaysiatoday.com/category/opinion/2022/12/11/a-plea-to-save-stateless-children-from-citizenship-trauma/" TargetMode="External"/><Relationship Id="rId37" Type="http://schemas.openxmlformats.org/officeDocument/2006/relationships/hyperlink" Target="https://www.malaymail.com/news/malaysia/2018/09/03/terengganu-duo-publicly-caned-six-times-over-lesbian-sex-attempt/1668766" TargetMode="External"/><Relationship Id="rId40" Type="http://schemas.openxmlformats.org/officeDocument/2006/relationships/hyperlink" Target="https://www.hrw.org/report/2022/08/10/i-dont-want-change-myself/anti-lgbt-conversion-practices-discrimination-and" TargetMode="External"/><Relationship Id="rId45" Type="http://schemas.openxmlformats.org/officeDocument/2006/relationships/hyperlink" Target="https://www.malaymail.com/news/malaysia/2018/09/05/selangors-minimum-age-of-marriage-now-18/1669656"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m.aliran.com/thinking-allowed-online/gender-mainstreaming-towards-a-positive-and-workable-reality" TargetMode="External"/><Relationship Id="rId19" Type="http://schemas.openxmlformats.org/officeDocument/2006/relationships/hyperlink" Target="https://www.nst.com.my/news/nation/2018/05/373276/watch-man-criticises-nurul-izzahs-style-dress-says-he-can-see-her" TargetMode="External"/><Relationship Id="rId31" Type="http://schemas.openxmlformats.org/officeDocument/2006/relationships/hyperlink" Target="https://www.queerlapis.com/survey-findings-impact-of-covid-19-anti-lgbt-narratives-on-lgbtq-persons-in-malaysia-out-now/" TargetMode="External"/><Relationship Id="rId44" Type="http://schemas.openxmlformats.org/officeDocument/2006/relationships/hyperlink" Target="https://www.malaymail.com/news/malaysia/2018/09/05/selangors-minimum-age-of-marriage-now-18/1669656"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m.aliran.com/thinking-allowed-online/gender-mainstreaming-towards-a-positive-and-workable-reality" TargetMode="External"/><Relationship Id="rId14" Type="http://schemas.openxmlformats.org/officeDocument/2006/relationships/hyperlink" Target="https://www.straitstimes.com/asia/se-asia/malaysia-election-used-to-challenges-disabled-candidate-noraishah-takes-on-putrajaya" TargetMode="External"/><Relationship Id="rId22" Type="http://schemas.openxmlformats.org/officeDocument/2006/relationships/hyperlink" Target="https://www.thestar.com.my/news/nation/2022/11/12/campaign-marred-by-sexist-slurs" TargetMode="External"/><Relationship Id="rId27" Type="http://schemas.openxmlformats.org/officeDocument/2006/relationships/hyperlink" Target="https://justiceforsisters.wordpress.com/2022/12/16/sinar-harian-must-reconsider-its-prep-buat-komuniti-songsang-lega-bencana-episode-in-order-to-prevent-misinformation-stigma-against-lgbt-people/" TargetMode="External"/><Relationship Id="rId30" Type="http://schemas.openxmlformats.org/officeDocument/2006/relationships/hyperlink" Target="https://cijmalaysia.net/election-monitoring/" TargetMode="External"/><Relationship Id="rId35" Type="http://schemas.openxmlformats.org/officeDocument/2006/relationships/hyperlink" Target="https://www.freemalaysiatoday.com/category/nation/2023/01/09/many-bosses-not-abiding-by-employment-act-changes-says-mtuc/" TargetMode="External"/><Relationship Id="rId43" Type="http://schemas.openxmlformats.org/officeDocument/2006/relationships/hyperlink" Target="https://www.thestar.com.my/news/nation/2021/08/02/mca-treatment-of-young-female-activists-inexcusable" TargetMode="External"/><Relationship Id="rId48" Type="http://schemas.openxmlformats.org/officeDocument/2006/relationships/hyperlink" Target="https://jksp.pahang.gov.my/wp-content/uploads/2022/07/ARAHAN-AMALAN-TAHUN-2020.pdf" TargetMode="External"/><Relationship Id="rId8" Type="http://schemas.openxmlformats.org/officeDocument/2006/relationships/hyperlink" Target="https://www.nst.com.my/news/nation/2022/11/848662/45-deputy-sec-gen-dg-appointed-gender-focal-points" TargetMode="External"/><Relationship Id="rId51" Type="http://schemas.openxmlformats.org/officeDocument/2006/relationships/hyperlink" Target="https://news.sky.com/story/samantha-jones-british-woman-who-stabbed-husband-to-death-in-malaysia-avoids-death-penalty-12041366" TargetMode="External"/><Relationship Id="rId3" Type="http://schemas.openxmlformats.org/officeDocument/2006/relationships/settings" Target="settings.xml"/><Relationship Id="rId12" Type="http://schemas.openxmlformats.org/officeDocument/2006/relationships/hyperlink" Target="https://www.nst.com.my/news/nation/2022/03/778191/govt-announces-six-initiatives-further-empower-malaysian-women" TargetMode="External"/><Relationship Id="rId17" Type="http://schemas.openxmlformats.org/officeDocument/2006/relationships/hyperlink" Target="https://www.freemalaysiatoday.com/category/nation/2023/01/31/woman-in-shorts-denied-entry-to-police-station/" TargetMode="External"/><Relationship Id="rId25" Type="http://schemas.openxmlformats.org/officeDocument/2006/relationships/hyperlink" Target="https://www.nst.com.my/news/nation/2022/07/815017/uproar-dewan-rakyat-tajuddin-allegedly-utters-swear-word-nsttv" TargetMode="External"/><Relationship Id="rId33" Type="http://schemas.openxmlformats.org/officeDocument/2006/relationships/hyperlink" Target="https://www.malaymail.com/news/malaysia/2019/03/14/court-declared-non-citizen-malaysian-born-child-cant-seek-citizenship-witho/1732674" TargetMode="External"/><Relationship Id="rId38" Type="http://schemas.openxmlformats.org/officeDocument/2006/relationships/hyperlink" Target="https://www.malaymail.com/news/malaysia/2018/09/03/terengganu-duo-publicly-caned-six-times-over-lesbian-sex-attempt/1668766" TargetMode="External"/><Relationship Id="rId46" Type="http://schemas.openxmlformats.org/officeDocument/2006/relationships/hyperlink" Target="https://www.malaymail.com/news/malaysia/2018/09/05/selangors-minimum-age-of-marriage-now-18/1669656" TargetMode="External"/><Relationship Id="rId20" Type="http://schemas.openxmlformats.org/officeDocument/2006/relationships/hyperlink" Target="https://worldofbuzz.com/sanusi-labels-women-as-betina-and-incapable-of-becoming-an-mp-in-sexist-rant/" TargetMode="External"/><Relationship Id="rId41" Type="http://schemas.openxmlformats.org/officeDocument/2006/relationships/hyperlink" Target="https://www.thestar.com.my/news/nation/2021/08/02/mca-treatment-of-young-female-activists-inexcusable"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malaymail.com/news/malaysia/2020/03/31/ministrys-mco-advice-to-women-wear-make-up-while-working-at-home-speak-to-s/1851985" TargetMode="External"/><Relationship Id="rId23" Type="http://schemas.openxmlformats.org/officeDocument/2006/relationships/hyperlink" Target="https://www.nst.com.my/news/nation/2018/05/373276/watch-man-criticises-nurul-izzahs-style-dress-says-he-can-see-her" TargetMode="External"/><Relationship Id="rId28" Type="http://schemas.openxmlformats.org/officeDocument/2006/relationships/hyperlink" Target="https://justiceforsisters.wordpress.com/2022/12/16/sinar-harian-must-reconsider-its-prep-buat-komuniti-songsang-lega-bencana-episode-in-order-to-prevent-misinformation-stigma-against-lgbt-people/" TargetMode="External"/><Relationship Id="rId36" Type="http://schemas.openxmlformats.org/officeDocument/2006/relationships/hyperlink" Target="https://www.malaymail.com/news/malaysia/2018/09/03/terengganu-duo-publicly-caned-six-times-over-lesbian-sex-attempt/1668766" TargetMode="External"/><Relationship Id="rId49" Type="http://schemas.openxmlformats.org/officeDocument/2006/relationships/hyperlink" Target="https://jksp.pahang.gov.my/wp-content/uploads/2022/07/ARAHAN-AMALAN-TAHUN-2020.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file/d/1wEJ2pVGheprNhqFquoQtMNV01nmfbK48/view." TargetMode="External"/><Relationship Id="rId13" Type="http://schemas.openxmlformats.org/officeDocument/2006/relationships/hyperlink" Target="https://news.iium.edu.my/?p=142015" TargetMode="External"/><Relationship Id="rId18" Type="http://schemas.openxmlformats.org/officeDocument/2006/relationships/hyperlink" Target="https://static1.squarespace.com/static/5e2fb70868966a1c84c7e258/t/6156fb9848b86e3bf6013ad3/1633090508281/Empower_JFS_FOEGI_Report.pdf" TargetMode="External"/><Relationship Id="rId3" Type="http://schemas.openxmlformats.org/officeDocument/2006/relationships/hyperlink" Target="https://www.unicef.org/malaysia/media/281/file/Childhood%20Disability%20in%20Malaysia.pdf" TargetMode="External"/><Relationship Id="rId7" Type="http://schemas.openxmlformats.org/officeDocument/2006/relationships/hyperlink" Target="https://anyflip.com/pvoey/wgzk/basic," TargetMode="External"/><Relationship Id="rId12" Type="http://schemas.openxmlformats.org/officeDocument/2006/relationships/hyperlink" Target="https://news.iium.edu.my/?p=142015" TargetMode="External"/><Relationship Id="rId17" Type="http://schemas.openxmlformats.org/officeDocument/2006/relationships/hyperlink" Target="https://www.culturalsurvival.org/sites/default/files/Malaysia%202018%20UPR%20Report.pdf" TargetMode="External"/><Relationship Id="rId2" Type="http://schemas.openxmlformats.org/officeDocument/2006/relationships/hyperlink" Target="https://ir.unimas.my/id/eprint/1310/" TargetMode="External"/><Relationship Id="rId16" Type="http://schemas.openxmlformats.org/officeDocument/2006/relationships/hyperlink" Target="https://www.okurightsmatter.com/covid19articles" TargetMode="External"/><Relationship Id="rId20" Type="http://schemas.openxmlformats.org/officeDocument/2006/relationships/hyperlink" Target="https://static1.squarespace.com/static/5e2fb70868966a1c84c7e258/t/6156fb9848b86e3bf6013ad3/1633090508281/Empower_JFS_FOEGI_Report.pdf" TargetMode="External"/><Relationship Id="rId1" Type="http://schemas.openxmlformats.org/officeDocument/2006/relationships/hyperlink" Target="https://apps.who.int/iris/handle/10665/44575." TargetMode="External"/><Relationship Id="rId6" Type="http://schemas.openxmlformats.org/officeDocument/2006/relationships/hyperlink" Target="https://www.parlimen.gov.my/files/jindex/pdf/JDR28092021.pdf" TargetMode="External"/><Relationship Id="rId11" Type="http://schemas.openxmlformats.org/officeDocument/2006/relationships/hyperlink" Target="https://mpaeds.my/wp-content/uploads/2019/09/Paediatric_Protocols_4th_Edition_(MPA%20Version)_2nd_Print_Aug_2019.pdf" TargetMode="External"/><Relationship Id="rId5" Type="http://schemas.openxmlformats.org/officeDocument/2006/relationships/hyperlink" Target="https://www.malaymail.com/news/malaysia/2018/09/06/after-blue-boy-ft-ministry-says-public-complaints-welcome-for-more-gay-club/1670012" TargetMode="External"/><Relationship Id="rId15" Type="http://schemas.openxmlformats.org/officeDocument/2006/relationships/hyperlink" Target="https://doi.org/10.1093/cid/ciac961" TargetMode="External"/><Relationship Id="rId10" Type="http://schemas.openxmlformats.org/officeDocument/2006/relationships/hyperlink" Target="http://irep.iium.edu.my/55219/1/BOOK_GENDER%20IDENTITY%20DISORDER_LAYOUT_FA2pdf.pdf" TargetMode="External"/><Relationship Id="rId19" Type="http://schemas.openxmlformats.org/officeDocument/2006/relationships/hyperlink" Target="https://www.unicef.org/malaysia/media/281/file/Childhood%20Disability%20in%20Malaysia.pdf" TargetMode="External"/><Relationship Id="rId4" Type="http://schemas.openxmlformats.org/officeDocument/2006/relationships/hyperlink" Target="https://www.weforum.org/reports/global-gender-gap-report-2021/" TargetMode="External"/><Relationship Id="rId9" Type="http://schemas.openxmlformats.org/officeDocument/2006/relationships/hyperlink" Target="http://jpmm.um.edu.my/index.php/SARJANA/article/view/14599." TargetMode="External"/><Relationship Id="rId14" Type="http://schemas.openxmlformats.org/officeDocument/2006/relationships/hyperlink" Target="https://www.ncbi.nlm.nih.gov/pmc/articles/PMC5770086/" TargetMode="Externa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qPz0yg2ZQ6liGYbzYp4ETwoBkbg==">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22</Pages>
  <Words>9095</Words>
  <Characters>51848</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 Tan</dc:creator>
  <cp:lastModifiedBy>Abinaya Dhivya Mohan</cp:lastModifiedBy>
  <cp:revision>3</cp:revision>
  <dcterms:created xsi:type="dcterms:W3CDTF">2023-01-03T09:54:00Z</dcterms:created>
  <dcterms:modified xsi:type="dcterms:W3CDTF">2023-02-03T10:25:00Z</dcterms:modified>
</cp:coreProperties>
</file>