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0293A" w14:textId="77777777" w:rsidR="00D378E5" w:rsidRDefault="00B72D66" w:rsidP="00D378E5">
      <w:bookmarkStart w:id="0" w:name="_Toc441479443"/>
      <w:bookmarkStart w:id="1" w:name="_Toc441479562"/>
      <w:bookmarkStart w:id="2" w:name="_Toc441480146"/>
      <w:bookmarkStart w:id="3" w:name="_Toc441480325"/>
      <w:bookmarkStart w:id="4" w:name="_Toc441480626"/>
      <w:bookmarkStart w:id="5" w:name="_Toc447623071"/>
      <w:bookmarkStart w:id="6" w:name="_Toc447623331"/>
      <w:bookmarkStart w:id="7" w:name="_Toc447623570"/>
      <w:bookmarkStart w:id="8" w:name="_Toc447623699"/>
      <w:bookmarkStart w:id="9" w:name="_Toc452459470"/>
      <w:bookmarkStart w:id="10" w:name="_Toc498436945"/>
      <w:bookmarkStart w:id="11" w:name="_GoBack"/>
      <w:bookmarkEnd w:id="11"/>
      <w:permStart w:id="1578186547" w:edGrp="everyone"/>
      <w:r>
        <w:rPr>
          <w:noProof/>
          <w:lang w:eastAsia="en-GB"/>
        </w:rPr>
        <w:drawing>
          <wp:anchor distT="0" distB="0" distL="114300" distR="114300" simplePos="0" relativeHeight="251658240" behindDoc="0" locked="0" layoutInCell="1" allowOverlap="1" wp14:anchorId="36A62220" wp14:editId="1E77EE88">
            <wp:simplePos x="0" y="0"/>
            <wp:positionH relativeFrom="margin">
              <wp:posOffset>-8004481</wp:posOffset>
            </wp:positionH>
            <wp:positionV relativeFrom="paragraph">
              <wp:posOffset>-5499100</wp:posOffset>
            </wp:positionV>
            <wp:extent cx="19817773" cy="17449078"/>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der-graphic.jpg"/>
                    <pic:cNvPicPr/>
                  </pic:nvPicPr>
                  <pic:blipFill rotWithShape="1">
                    <a:blip r:embed="rId8" cstate="print">
                      <a:extLst>
                        <a:ext uri="{28A0092B-C50C-407E-A947-70E740481C1C}">
                          <a14:useLocalDpi xmlns:a14="http://schemas.microsoft.com/office/drawing/2010/main" val="0"/>
                        </a:ext>
                      </a:extLst>
                    </a:blip>
                    <a:srcRect/>
                    <a:stretch/>
                  </pic:blipFill>
                  <pic:spPr>
                    <a:xfrm>
                      <a:off x="0" y="0"/>
                      <a:ext cx="19817773" cy="17449078"/>
                    </a:xfrm>
                    <a:prstGeom prst="rect">
                      <a:avLst/>
                    </a:prstGeom>
                  </pic:spPr>
                </pic:pic>
              </a:graphicData>
            </a:graphic>
            <wp14:sizeRelH relativeFrom="margin">
              <wp14:pctWidth>0</wp14:pctWidth>
            </wp14:sizeRelH>
            <wp14:sizeRelV relativeFrom="margin">
              <wp14:pctHeight>0</wp14:pctHeight>
            </wp14:sizeRelV>
          </wp:anchor>
        </w:drawing>
      </w:r>
      <w:permEnd w:id="1578186547"/>
    </w:p>
    <w:p w14:paraId="750F52BC" w14:textId="0F07C217" w:rsidR="0083306F" w:rsidRPr="000E7DC8" w:rsidRDefault="006D2103" w:rsidP="000E7DC8">
      <w:pPr>
        <w:spacing w:after="160" w:line="259" w:lineRule="auto"/>
        <w:rPr>
          <w:b/>
          <w:sz w:val="44"/>
          <w:szCs w:val="44"/>
        </w:rPr>
        <w:sectPr w:rsidR="0083306F" w:rsidRPr="000E7DC8" w:rsidSect="0083306F">
          <w:headerReference w:type="default" r:id="rId9"/>
          <w:pgSz w:w="11907" w:h="16839" w:code="9"/>
          <w:pgMar w:top="0" w:right="0" w:bottom="0" w:left="0" w:header="567" w:footer="567" w:gutter="0"/>
          <w:pgNumType w:start="1"/>
          <w:cols w:space="708"/>
          <w:docGrid w:linePitch="381"/>
        </w:sectPr>
      </w:pPr>
      <w:r>
        <w:rPr>
          <w:noProof/>
          <w:lang w:eastAsia="en-GB"/>
        </w:rPr>
        <mc:AlternateContent>
          <mc:Choice Requires="wps">
            <w:drawing>
              <wp:anchor distT="45720" distB="45720" distL="114300" distR="114300" simplePos="0" relativeHeight="251667456" behindDoc="0" locked="0" layoutInCell="1" allowOverlap="1" wp14:anchorId="7A06A720" wp14:editId="6C468104">
                <wp:simplePos x="0" y="0"/>
                <wp:positionH relativeFrom="margin">
                  <wp:posOffset>327025</wp:posOffset>
                </wp:positionH>
                <wp:positionV relativeFrom="paragraph">
                  <wp:posOffset>3818255</wp:posOffset>
                </wp:positionV>
                <wp:extent cx="6591300" cy="95504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55040"/>
                        </a:xfrm>
                        <a:prstGeom prst="rect">
                          <a:avLst/>
                        </a:prstGeom>
                        <a:noFill/>
                        <a:ln w="9525">
                          <a:noFill/>
                          <a:miter lim="800000"/>
                          <a:headEnd/>
                          <a:tailEnd/>
                        </a:ln>
                      </wps:spPr>
                      <wps:txbx>
                        <w:txbxContent>
                          <w:p w14:paraId="5DE58F32" w14:textId="77777777" w:rsidR="00370D86" w:rsidRPr="006D2103" w:rsidRDefault="00370D86" w:rsidP="006D2103">
                            <w:pPr>
                              <w:jc w:val="center"/>
                              <w:rPr>
                                <w:rFonts w:ascii="Verdana" w:hAnsi="Verdana"/>
                                <w:color w:val="FF0000"/>
                                <w:sz w:val="100"/>
                                <w:szCs w:val="1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6A720" id="_x0000_t202" coordsize="21600,21600" o:spt="202" path="m,l,21600r21600,l21600,xe">
                <v:stroke joinstyle="miter"/>
                <v:path gradientshapeok="t" o:connecttype="rect"/>
              </v:shapetype>
              <v:shape id="Text Box 2" o:spid="_x0000_s1026" type="#_x0000_t202" style="position:absolute;margin-left:25.75pt;margin-top:300.65pt;width:519pt;height:75.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C2CQIAAPIDAAAOAAAAZHJzL2Uyb0RvYy54bWysU9tu2zAMfR+wfxD0vtjJkqwx4hRduw4D&#10;ugvQ7gMYWY6FSaImKbGzrx8lp2mwvQ3TgyCK5BHPIbW+HoxmB+mDQlvz6aTkTFqBjbK7mn9/un9z&#10;xVmIYBvQaGXNjzLw683rV+veVXKGHepGekYgNlS9q3kXo6uKIohOGggTdNKSs0VvIJLpd0XjoSd0&#10;o4tZWS6LHn3jPAoZAt3ejU6+yfhtK0X82rZBRqZrTrXFvPu8b9NebNZQ7Ty4TolTGfAPVRhQlh49&#10;Q91BBLb36i8oo4THgG2cCDQFtq0SMnMgNtPyDzaPHTiZuZA4wZ1lCv8PVnw5fPNMNTVfcmbBUIue&#10;5BDZexzYLKnTu1BR0KOjsDjQNXU5Mw3uAcWPwCzedmB38sZ77DsJDVU3TZnFReqIExLItv+MDT0D&#10;+4gZaGi9SdKRGIzQqUvHc2dSKYIul4vV9G1JLkG+1WJRznPrCqies50P8aNEw9Kh5p46n9Hh8BBi&#10;qgaq55D0mMV7pXXuvrasT6CzRU648BgVaTi1MjW/KtMaxyWR/GCbnBxB6fFMD2h7Yp2IjpTjsB0o&#10;MEmxxeZI/D2OQ0ifhg4d+l+c9TSANQ8/9+AlZ/qTJQ1X0zmRZDEb88W7GRn+0rO99IAVBFXzyNl4&#10;vI15ykeuN6R1q7IML5WcaqXByuqcPkGa3Es7R7181c1vAAAA//8DAFBLAwQUAAYACAAAACEAJSn9&#10;oN4AAAALAQAADwAAAGRycy9kb3ducmV2LnhtbEyPy07DMBBF90j8gzVI7KgdIH2ETCoEYltEXxI7&#10;N54mEfE4it0m/H3dFSxn5ujOuflytK04U+8bxwjJRIEgLp1puELYbj4e5iB80Gx065gQfsnDsri9&#10;yXVm3MBfdF6HSsQQ9plGqEPoMil9WZPVfuI64ng7ut7qEMe+kqbXQwy3rXxUaiqtbjh+qHVHbzWV&#10;P+uTRditjt/7Z/VZvdu0G9yoJNuFRLy/G19fQAQawx8MV/2oDkV0OrgTGy9ahDRJI4kwVckTiCug&#10;5ou4OiDM0mQGssjl/w7FBQAA//8DAFBLAQItABQABgAIAAAAIQC2gziS/gAAAOEBAAATAAAAAAAA&#10;AAAAAAAAAAAAAABbQ29udGVudF9UeXBlc10ueG1sUEsBAi0AFAAGAAgAAAAhADj9If/WAAAAlAEA&#10;AAsAAAAAAAAAAAAAAAAALwEAAF9yZWxzLy5yZWxzUEsBAi0AFAAGAAgAAAAhABrDULYJAgAA8gMA&#10;AA4AAAAAAAAAAAAAAAAALgIAAGRycy9lMm9Eb2MueG1sUEsBAi0AFAAGAAgAAAAhACUp/aDeAAAA&#10;CwEAAA8AAAAAAAAAAAAAAAAAYwQAAGRycy9kb3ducmV2LnhtbFBLBQYAAAAABAAEAPMAAABuBQAA&#10;AAA=&#10;" filled="f" stroked="f">
                <v:textbox>
                  <w:txbxContent>
                    <w:p w14:paraId="5DE58F32" w14:textId="77777777" w:rsidR="00370D86" w:rsidRPr="006D2103" w:rsidRDefault="00370D86" w:rsidP="006D2103">
                      <w:pPr>
                        <w:jc w:val="center"/>
                        <w:rPr>
                          <w:rFonts w:ascii="Verdana" w:hAnsi="Verdana"/>
                          <w:color w:val="FF0000"/>
                          <w:sz w:val="100"/>
                          <w:szCs w:val="100"/>
                        </w:rPr>
                      </w:pPr>
                    </w:p>
                  </w:txbxContent>
                </v:textbox>
                <w10:wrap type="square" anchorx="margin"/>
              </v:shape>
            </w:pict>
          </mc:Fallback>
        </mc:AlternateContent>
      </w:r>
      <w:r w:rsidR="00703239">
        <w:rPr>
          <w:noProof/>
          <w:lang w:eastAsia="en-GB"/>
        </w:rPr>
        <mc:AlternateContent>
          <mc:Choice Requires="wpg">
            <w:drawing>
              <wp:anchor distT="0" distB="0" distL="114300" distR="114300" simplePos="0" relativeHeight="251661312" behindDoc="0" locked="0" layoutInCell="1" allowOverlap="1" wp14:anchorId="67D0632C" wp14:editId="40797E67">
                <wp:simplePos x="0" y="0"/>
                <wp:positionH relativeFrom="margin">
                  <wp:posOffset>362585</wp:posOffset>
                </wp:positionH>
                <wp:positionV relativeFrom="paragraph">
                  <wp:posOffset>5014595</wp:posOffset>
                </wp:positionV>
                <wp:extent cx="6755130" cy="2080895"/>
                <wp:effectExtent l="0" t="0" r="7620" b="0"/>
                <wp:wrapSquare wrapText="bothSides"/>
                <wp:docPr id="9" name="Group 9"/>
                <wp:cNvGraphicFramePr/>
                <a:graphic xmlns:a="http://schemas.openxmlformats.org/drawingml/2006/main">
                  <a:graphicData uri="http://schemas.microsoft.com/office/word/2010/wordprocessingGroup">
                    <wpg:wgp>
                      <wpg:cNvGrpSpPr/>
                      <wpg:grpSpPr>
                        <a:xfrm>
                          <a:off x="0" y="0"/>
                          <a:ext cx="6755130" cy="2080895"/>
                          <a:chOff x="0" y="-40292"/>
                          <a:chExt cx="6195695" cy="1677416"/>
                        </a:xfrm>
                      </wpg:grpSpPr>
                      <wps:wsp>
                        <wps:cNvPr id="217" name="Text Box 2"/>
                        <wps:cNvSpPr txBox="1">
                          <a:spLocks noChangeArrowheads="1"/>
                        </wps:cNvSpPr>
                        <wps:spPr bwMode="auto">
                          <a:xfrm>
                            <a:off x="0" y="-40292"/>
                            <a:ext cx="6195695" cy="1090455"/>
                          </a:xfrm>
                          <a:prstGeom prst="rect">
                            <a:avLst/>
                          </a:prstGeom>
                          <a:solidFill>
                            <a:srgbClr val="A2185B"/>
                          </a:solidFill>
                          <a:ln w="9525">
                            <a:noFill/>
                            <a:miter lim="800000"/>
                            <a:headEnd/>
                            <a:tailEnd/>
                          </a:ln>
                        </wps:spPr>
                        <wps:txbx>
                          <w:txbxContent>
                            <w:p w14:paraId="5F9E2580" w14:textId="77777777" w:rsidR="00370D86" w:rsidRPr="00D378E5" w:rsidRDefault="00370D86" w:rsidP="00D378E5">
                              <w:pPr>
                                <w:rPr>
                                  <w:rFonts w:ascii="Verdana" w:hAnsi="Verdana" w:cs="Tahoma"/>
                                  <w:b/>
                                  <w:color w:val="FFFFFF" w:themeColor="background1"/>
                                  <w:sz w:val="52"/>
                                  <w:szCs w:val="52"/>
                                </w:rPr>
                              </w:pPr>
                              <w:r w:rsidRPr="00D378E5">
                                <w:rPr>
                                  <w:rFonts w:ascii="Verdana" w:hAnsi="Verdana" w:cs="Tahoma"/>
                                  <w:b/>
                                  <w:color w:val="FFFFFF" w:themeColor="background1"/>
                                  <w:sz w:val="52"/>
                                  <w:szCs w:val="52"/>
                                </w:rPr>
                                <w:t xml:space="preserve">UN Convention on the </w:t>
                              </w:r>
                              <w:r>
                                <w:rPr>
                                  <w:rFonts w:ascii="Verdana" w:hAnsi="Verdana" w:cs="Tahoma"/>
                                  <w:b/>
                                  <w:color w:val="FFFFFF" w:themeColor="background1"/>
                                  <w:sz w:val="52"/>
                                  <w:szCs w:val="52"/>
                                </w:rPr>
                                <w:br/>
                              </w:r>
                              <w:r w:rsidRPr="00D378E5">
                                <w:rPr>
                                  <w:rFonts w:ascii="Verdana" w:hAnsi="Verdana" w:cs="Tahoma"/>
                                  <w:b/>
                                  <w:color w:val="FFFFFF" w:themeColor="background1"/>
                                  <w:sz w:val="52"/>
                                  <w:szCs w:val="52"/>
                                </w:rPr>
                                <w:t>Elimination of All Forms of Discrimination against Women</w:t>
                              </w:r>
                            </w:p>
                          </w:txbxContent>
                        </wps:txbx>
                        <wps:bodyPr rot="0" vert="horz" wrap="square" lIns="91440" tIns="45720" rIns="91440" bIns="45720" anchor="t" anchorCtr="0">
                          <a:noAutofit/>
                        </wps:bodyPr>
                      </wps:wsp>
                      <wps:wsp>
                        <wps:cNvPr id="4" name="Text Box 2"/>
                        <wps:cNvSpPr txBox="1">
                          <a:spLocks noChangeArrowheads="1"/>
                        </wps:cNvSpPr>
                        <wps:spPr bwMode="auto">
                          <a:xfrm>
                            <a:off x="0" y="1050684"/>
                            <a:ext cx="6195695" cy="586440"/>
                          </a:xfrm>
                          <a:prstGeom prst="rect">
                            <a:avLst/>
                          </a:prstGeom>
                          <a:solidFill>
                            <a:srgbClr val="A2185B">
                              <a:alpha val="50000"/>
                            </a:srgbClr>
                          </a:solidFill>
                          <a:ln w="9525">
                            <a:noFill/>
                            <a:miter lim="800000"/>
                            <a:headEnd/>
                            <a:tailEnd/>
                          </a:ln>
                        </wps:spPr>
                        <wps:txbx>
                          <w:txbxContent>
                            <w:p w14:paraId="2B457848" w14:textId="77777777" w:rsidR="00370D86" w:rsidRPr="00D71F6E" w:rsidRDefault="00370D86" w:rsidP="00D378E5">
                              <w:pPr>
                                <w:rPr>
                                  <w:rFonts w:ascii="Verdana" w:hAnsi="Verdana" w:cs="Tahoma"/>
                                  <w:b/>
                                  <w:color w:val="FFFFFF" w:themeColor="background1"/>
                                  <w:sz w:val="36"/>
                                  <w:szCs w:val="36"/>
                                </w:rPr>
                              </w:pPr>
                              <w:r>
                                <w:rPr>
                                  <w:rFonts w:ascii="Verdana" w:hAnsi="Verdana" w:cs="Tahoma"/>
                                  <w:b/>
                                  <w:color w:val="FFFFFF" w:themeColor="background1"/>
                                  <w:sz w:val="36"/>
                                  <w:szCs w:val="36"/>
                                </w:rPr>
                                <w:t xml:space="preserve">Shadow Report </w:t>
                              </w:r>
                              <w:r>
                                <w:rPr>
                                  <w:rFonts w:ascii="Verdana" w:hAnsi="Verdana" w:cs="Tahoma"/>
                                  <w:b/>
                                  <w:color w:val="FFFFFF" w:themeColor="background1"/>
                                  <w:sz w:val="36"/>
                                  <w:szCs w:val="36"/>
                                </w:rPr>
                                <w:br/>
                                <w:t>(Examination of United Kingdom,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7D0632C" id="Group 9" o:spid="_x0000_s1027" style="position:absolute;margin-left:28.55pt;margin-top:394.85pt;width:531.9pt;height:163.85pt;z-index:251661312;mso-position-horizontal-relative:margin;mso-width-relative:margin;mso-height-relative:margin" coordorigin=",-402" coordsize="61956,16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9ywIAABgIAAAOAAAAZHJzL2Uyb0RvYy54bWzMlclu2zAQhu8F+g4E74mWSrYkRA6yo0Da&#10;Bkj6ALRELShFsiRtKX36DClLdtKc0haNDzLX4cw3/5Anp0PH0JYq3Qqe4+DYx4jyQpQtr3P8/eH6&#10;KMFIG8JLwgSnOX6kGp+uPn446WVGQ9EIVlKFwAjXWS9z3BgjM8/TRUM7oo+FpBwmK6E6YqCraq9U&#10;pAfrHfNC3194vVClVKKgWsPo5TiJV85+VdHCfKsqTQ1iOQbfjPsq913br7c6IVmtiGzaYucGeYMX&#10;HWk5HDqbuiSGoI1qfzPVtYUSWlTmuBCdJ6qqLaiLAaIJ/BfR3CixkS6WOutrOWMCtC84vdls8XV7&#10;p1Bb5jjFiJMOUuRORalF08s6gxU3St7LO7UbqMeejXaoVGf/IQ40OKiPM1Q6GFTA4GIZx8EnYF/A&#10;XOgnfpLGI/aigdzs9x1FfpiG09TVtD1I4wXscNuDxXIZBQu7xptO96yTs0+9BB3pPSr9Z6juGyKp&#10;y4C2IHaowmA5wXqwYZ6LATnH7emwzMJCZoBhKAknCy1vRfFDIy4uGsJreqaU6BtKSvAvcOEcbLXc&#10;daatkXX/RZSQE7Ixwhl6lfghuRn7M25+6kexwz5zI5lU2txQ0SHbyLGCYnFnkO2tNiPiaYlNshas&#10;La9bxlxH1esLptCWQGGdhUESn++y8mwZ46gHacVh7CxzYfeDaZJ1rYHCZ22X48S3vzHxlskVL90S&#10;Q1o2tsFpxiHnE5eRkBnWg5OuI2jn1qJ8BGpKjHUO9xI0GqF+YdRDjedY/9wQRTFinzmQT4MospeC&#10;60TxMoSOOpxZH84QXoCpHBuMxuaFcReJjYaLM8hQ1Tpse092LoMgR4//uTKjd6XLwI/9RRKNmX1V&#10;mHGysCk4rOe/r0ubIMJkQ0a1xpPaQFV6lLG7Tv6DcOdL4z0L112w8Pw4SLun0r5vh30n9P2DvnoC&#10;AAD//wMAUEsDBBQABgAIAAAAIQDKOdmM4gAAAAwBAAAPAAAAZHJzL2Rvd25yZXYueG1sTI/BSsNA&#10;EIbvgu+wjODNbrZa08ZsSinqqQi2gnibJtMkNDsbstskfXs3J73NMB//fH+6Hk0jeupcbVmDmkUg&#10;iHNb1Fxq+Dq8PSxBOI9cYGOZNFzJwTq7vUkxKezAn9TvfSlCCLsENVTet4mULq/IoJvZljjcTrYz&#10;6MPalbLocAjhppHzKHqWBmsOHypsaVtRft5fjIb3AYfNo3rtd+fT9vpzWHx87xRpfX83bl5AeBr9&#10;HwyTflCHLDgd7YULJxoNi1gFUkO8XMUgJkDNoxWI4zSp+Alklsr/JbJfAAAA//8DAFBLAQItABQA&#10;BgAIAAAAIQC2gziS/gAAAOEBAAATAAAAAAAAAAAAAAAAAAAAAABbQ29udGVudF9UeXBlc10ueG1s&#10;UEsBAi0AFAAGAAgAAAAhADj9If/WAAAAlAEAAAsAAAAAAAAAAAAAAAAALwEAAF9yZWxzLy5yZWxz&#10;UEsBAi0AFAAGAAgAAAAhAL89wv3LAgAAGAgAAA4AAAAAAAAAAAAAAAAALgIAAGRycy9lMm9Eb2Mu&#10;eG1sUEsBAi0AFAAGAAgAAAAhAMo52YziAAAADAEAAA8AAAAAAAAAAAAAAAAAJQUAAGRycy9kb3du&#10;cmV2LnhtbFBLBQYAAAAABAAEAPMAAAA0BgAAAAA=&#10;">
                <v:shape id="_x0000_s1028" type="#_x0000_t202" style="position:absolute;top:-402;width:61956;height:10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ukexQAAANwAAAAPAAAAZHJzL2Rvd25yZXYueG1sRI9Ba8JA&#10;FITvhf6H5RW8FN1oi0p0laIt9FRoFL0+s88kmH2b5q0m/ffdQqHHYWa+YZbr3tXqRq1Ung2MRwko&#10;4tzbigsD+93bcA5KArLF2jMZ+CaB9er+bomp9R1/0i0LhYoQlhQNlCE0qdaSl+RQRr4hjt7Ztw5D&#10;lG2hbYtdhLtaT5Jkqh1WHBdKbGhTUn7Jrs5A9vh8ktePJ8mqLp/tjlupvw5izOChf1mACtSH//Bf&#10;+90amIxn8HsmHgG9+gEAAP//AwBQSwECLQAUAAYACAAAACEA2+H2y+4AAACFAQAAEwAAAAAAAAAA&#10;AAAAAAAAAAAAW0NvbnRlbnRfVHlwZXNdLnhtbFBLAQItABQABgAIAAAAIQBa9CxbvwAAABUBAAAL&#10;AAAAAAAAAAAAAAAAAB8BAABfcmVscy8ucmVsc1BLAQItABQABgAIAAAAIQAk9ukexQAAANwAAAAP&#10;AAAAAAAAAAAAAAAAAAcCAABkcnMvZG93bnJldi54bWxQSwUGAAAAAAMAAwC3AAAA+QIAAAAA&#10;" fillcolor="#a2185b" stroked="f">
                  <v:textbox>
                    <w:txbxContent>
                      <w:p w14:paraId="5F9E2580" w14:textId="77777777" w:rsidR="00370D86" w:rsidRPr="00D378E5" w:rsidRDefault="00370D86" w:rsidP="00D378E5">
                        <w:pPr>
                          <w:rPr>
                            <w:rFonts w:ascii="Verdana" w:hAnsi="Verdana" w:cs="Tahoma"/>
                            <w:b/>
                            <w:color w:val="FFFFFF" w:themeColor="background1"/>
                            <w:sz w:val="52"/>
                            <w:szCs w:val="52"/>
                          </w:rPr>
                        </w:pPr>
                        <w:r w:rsidRPr="00D378E5">
                          <w:rPr>
                            <w:rFonts w:ascii="Verdana" w:hAnsi="Verdana" w:cs="Tahoma"/>
                            <w:b/>
                            <w:color w:val="FFFFFF" w:themeColor="background1"/>
                            <w:sz w:val="52"/>
                            <w:szCs w:val="52"/>
                          </w:rPr>
                          <w:t xml:space="preserve">UN Convention on the </w:t>
                        </w:r>
                        <w:r>
                          <w:rPr>
                            <w:rFonts w:ascii="Verdana" w:hAnsi="Verdana" w:cs="Tahoma"/>
                            <w:b/>
                            <w:color w:val="FFFFFF" w:themeColor="background1"/>
                            <w:sz w:val="52"/>
                            <w:szCs w:val="52"/>
                          </w:rPr>
                          <w:br/>
                        </w:r>
                        <w:r w:rsidRPr="00D378E5">
                          <w:rPr>
                            <w:rFonts w:ascii="Verdana" w:hAnsi="Verdana" w:cs="Tahoma"/>
                            <w:b/>
                            <w:color w:val="FFFFFF" w:themeColor="background1"/>
                            <w:sz w:val="52"/>
                            <w:szCs w:val="52"/>
                          </w:rPr>
                          <w:t>Elimination of All Forms of Discrimination against Women</w:t>
                        </w:r>
                      </w:p>
                    </w:txbxContent>
                  </v:textbox>
                </v:shape>
                <v:shape id="_x0000_s1029" type="#_x0000_t202" style="position:absolute;top:10506;width:61956;height: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99LwgAAANoAAAAPAAAAZHJzL2Rvd25yZXYueG1sRI9Ba8JA&#10;FITvgv9heUJvuqmVImk2oRQFexDaKJ4f2ZdsaPZtml1j/PfdQqHHYWa+YbJisp0YafCtYwWPqwQE&#10;ceV0y42C82m/3ILwAVlj55gU3MlDkc9nGaba3fiTxjI0IkLYp6jAhNCnUvrKkEW/cj1x9Go3WAxR&#10;Do3UA94i3HZynSTP0mLLccFgT2+Gqq/yahW48XBls/u+f5zw6f3ovJz2l1qph8X0+gIi0BT+w3/t&#10;g1awgd8r8QbI/AcAAP//AwBQSwECLQAUAAYACAAAACEA2+H2y+4AAACFAQAAEwAAAAAAAAAAAAAA&#10;AAAAAAAAW0NvbnRlbnRfVHlwZXNdLnhtbFBLAQItABQABgAIAAAAIQBa9CxbvwAAABUBAAALAAAA&#10;AAAAAAAAAAAAAB8BAABfcmVscy8ucmVsc1BLAQItABQABgAIAAAAIQCcQ99LwgAAANoAAAAPAAAA&#10;AAAAAAAAAAAAAAcCAABkcnMvZG93bnJldi54bWxQSwUGAAAAAAMAAwC3AAAA9gIAAAAA&#10;" fillcolor="#a2185b" stroked="f">
                  <v:fill opacity="32896f"/>
                  <v:textbox>
                    <w:txbxContent>
                      <w:p w14:paraId="2B457848" w14:textId="77777777" w:rsidR="00370D86" w:rsidRPr="00D71F6E" w:rsidRDefault="00370D86" w:rsidP="00D378E5">
                        <w:pPr>
                          <w:rPr>
                            <w:rFonts w:ascii="Verdana" w:hAnsi="Verdana" w:cs="Tahoma"/>
                            <w:b/>
                            <w:color w:val="FFFFFF" w:themeColor="background1"/>
                            <w:sz w:val="36"/>
                            <w:szCs w:val="36"/>
                          </w:rPr>
                        </w:pPr>
                        <w:r>
                          <w:rPr>
                            <w:rFonts w:ascii="Verdana" w:hAnsi="Verdana" w:cs="Tahoma"/>
                            <w:b/>
                            <w:color w:val="FFFFFF" w:themeColor="background1"/>
                            <w:sz w:val="36"/>
                            <w:szCs w:val="36"/>
                          </w:rPr>
                          <w:t xml:space="preserve">Shadow Report </w:t>
                        </w:r>
                        <w:r>
                          <w:rPr>
                            <w:rFonts w:ascii="Verdana" w:hAnsi="Verdana" w:cs="Tahoma"/>
                            <w:b/>
                            <w:color w:val="FFFFFF" w:themeColor="background1"/>
                            <w:sz w:val="36"/>
                            <w:szCs w:val="36"/>
                          </w:rPr>
                          <w:br/>
                          <w:t>(Examination of United Kingdom, 2019)</w:t>
                        </w:r>
                      </w:p>
                    </w:txbxContent>
                  </v:textbox>
                </v:shape>
                <w10:wrap type="square" anchorx="margin"/>
              </v:group>
            </w:pict>
          </mc:Fallback>
        </mc:AlternateContent>
      </w:r>
      <w:r w:rsidR="00703239">
        <w:rPr>
          <w:noProof/>
          <w:lang w:eastAsia="en-GB"/>
        </w:rPr>
        <w:drawing>
          <wp:anchor distT="0" distB="0" distL="114300" distR="114300" simplePos="0" relativeHeight="251660288" behindDoc="0" locked="0" layoutInCell="1" allowOverlap="1" wp14:anchorId="0FF31315" wp14:editId="7B2FC20D">
            <wp:simplePos x="0" y="0"/>
            <wp:positionH relativeFrom="margin">
              <wp:posOffset>5055870</wp:posOffset>
            </wp:positionH>
            <wp:positionV relativeFrom="paragraph">
              <wp:posOffset>315595</wp:posOffset>
            </wp:positionV>
            <wp:extent cx="2063115" cy="824230"/>
            <wp:effectExtent l="0" t="0" r="0" b="0"/>
            <wp:wrapNone/>
            <wp:docPr id="1" name="Picture 1" descr="Equality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quality Commission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3115" cy="824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3239">
        <w:rPr>
          <w:noProof/>
          <w:lang w:eastAsia="en-GB"/>
        </w:rPr>
        <w:drawing>
          <wp:anchor distT="0" distB="0" distL="114300" distR="114300" simplePos="0" relativeHeight="251659264" behindDoc="0" locked="0" layoutInCell="1" allowOverlap="1" wp14:anchorId="72345A1D" wp14:editId="5D72123B">
            <wp:simplePos x="0" y="0"/>
            <wp:positionH relativeFrom="margin">
              <wp:posOffset>4736787</wp:posOffset>
            </wp:positionH>
            <wp:positionV relativeFrom="paragraph">
              <wp:posOffset>8628380</wp:posOffset>
            </wp:positionV>
            <wp:extent cx="2382520" cy="892175"/>
            <wp:effectExtent l="19050" t="19050" r="17780" b="22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der-equality - blackoutline-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2520" cy="892175"/>
                    </a:xfrm>
                    <a:prstGeom prst="rect">
                      <a:avLst/>
                    </a:prstGeom>
                    <a:ln>
                      <a:solidFill>
                        <a:srgbClr val="A2185B"/>
                      </a:solidFill>
                    </a:ln>
                  </pic:spPr>
                </pic:pic>
              </a:graphicData>
            </a:graphic>
            <wp14:sizeRelH relativeFrom="margin">
              <wp14:pctWidth>0</wp14:pctWidth>
            </wp14:sizeRelH>
            <wp14:sizeRelV relativeFrom="margin">
              <wp14:pctHeight>0</wp14:pctHeight>
            </wp14:sizeRelV>
          </wp:anchor>
        </w:drawing>
      </w:r>
      <w:r w:rsidR="00D378E5">
        <w:rPr>
          <w:noProof/>
          <w:lang w:eastAsia="en-GB"/>
        </w:rPr>
        <mc:AlternateContent>
          <mc:Choice Requires="wps">
            <w:drawing>
              <wp:anchor distT="45720" distB="45720" distL="114300" distR="114300" simplePos="0" relativeHeight="251665408" behindDoc="0" locked="0" layoutInCell="1" allowOverlap="1" wp14:anchorId="7C323979" wp14:editId="2DD3C135">
                <wp:simplePos x="0" y="0"/>
                <wp:positionH relativeFrom="margin">
                  <wp:align>center</wp:align>
                </wp:positionH>
                <wp:positionV relativeFrom="paragraph">
                  <wp:posOffset>2085226</wp:posOffset>
                </wp:positionV>
                <wp:extent cx="6591300" cy="20605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2060575"/>
                        </a:xfrm>
                        <a:prstGeom prst="rect">
                          <a:avLst/>
                        </a:prstGeom>
                        <a:noFill/>
                        <a:ln w="9525">
                          <a:noFill/>
                          <a:miter lim="800000"/>
                          <a:headEnd/>
                          <a:tailEnd/>
                        </a:ln>
                      </wps:spPr>
                      <wps:txbx>
                        <w:txbxContent>
                          <w:p w14:paraId="3D193A19" w14:textId="77777777" w:rsidR="00370D86" w:rsidRPr="00C364A1" w:rsidRDefault="00370D86">
                            <w:pPr>
                              <w:rPr>
                                <w:rFonts w:ascii="Verdana" w:hAnsi="Verdana"/>
                                <w:color w:val="A2185B"/>
                                <w:sz w:val="100"/>
                                <w:szCs w:val="100"/>
                              </w:rPr>
                            </w:pPr>
                            <w:r w:rsidRPr="00C364A1">
                              <w:rPr>
                                <w:rFonts w:ascii="Verdana" w:hAnsi="Verdana" w:cs="Tahoma"/>
                                <w:b/>
                                <w:color w:val="A2185B"/>
                                <w:sz w:val="100"/>
                                <w:szCs w:val="100"/>
                              </w:rPr>
                              <w:t>Women in Northern Ireland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23979" id="_x0000_s1030" type="#_x0000_t202" style="position:absolute;margin-left:0;margin-top:164.2pt;width:519pt;height:162.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HoyDgIAAPoDAAAOAAAAZHJzL2Uyb0RvYy54bWysU21v2yAQ/j5p/wHxfbHjxmljxam6dp0m&#10;dS9Sux9AMI7RgGNAYme/vgdOMmv7No0PiOO45+557ljfDlqRg3BegqnpfJZTIgyHRppdTb+/PL67&#10;ocQHZhqmwIiaHoWnt5u3b9a9rUQBHahGOIIgxle9rWkXgq2yzPNOaOZnYIVBZwtOs4Cm22WNYz2i&#10;a5UVeb7MenCNdcCF93j7MDrpJuG3reDha9t6EYiqKdYW0u7Svo17tlmzaueY7SQ/lcH+oQrNpMGk&#10;F6gHFhjZO/kXlJbcgYc2zDjoDNpWcpE4IJt5/geb545ZkbigON5eZPL/D5Z/OXxzRDY1LSkxTGOL&#10;XsQQyHsYSBHV6a2v8NGzxWdhwGvscmLq7RPwH54YuO+Y2Yk756DvBGuwunmMzCahI46PINv+MzSY&#10;hu0DJKChdTpKh2IQRMcuHS+diaVwvFyWq/lVji6OviJf5uV1mXKw6hxunQ8fBWgSDzV12PoEzw5P&#10;PsRyWHV+ErMZeJRKpfYrQ/qarsqiTAETj5YBp1NJXdObPK5xXiLLD6ZJwYFJNZ4xgTIn2pHpyDkM&#10;2yHpe3VWcwvNEXVwMA4jfh48dOB+UdLjINbU/9wzJyhRnwxquZovFnFyk7Eorws03NSznXqY4QhV&#10;00DJeLwPadpHyneoeSuTGrE5YyWnknHAkkinzxAneGqnV7+/7OYVAAD//wMAUEsDBBQABgAIAAAA&#10;IQAc8a393gAAAAkBAAAPAAAAZHJzL2Rvd25yZXYueG1sTI/NTsMwEITvSLyDtZW4Ubvpj9KQTYVA&#10;XEEtUKk3N94mEfE6it0mvD3uqRxnZzXzTb4ZbSsu1PvGMcJsqkAQl840XCF8fb49piB80Gx065gQ&#10;fsnDpri/y3Vm3MBbuuxCJWII+0wj1CF0mZS+rMlqP3UdcfROrrc6RNlX0vR6iOG2lYlSK2l1w7Gh&#10;1h291FT+7M4W4fv9dNgv1Ef1apfd4EYl2a4l4sNkfH4CEWgMt2e44kd0KCLT0Z3ZeNEixCEBYZ6k&#10;CxBXW83TeDoirJbJGmSRy/8Lij8AAAD//wMAUEsBAi0AFAAGAAgAAAAhALaDOJL+AAAA4QEAABMA&#10;AAAAAAAAAAAAAAAAAAAAAFtDb250ZW50X1R5cGVzXS54bWxQSwECLQAUAAYACAAAACEAOP0h/9YA&#10;AACUAQAACwAAAAAAAAAAAAAAAAAvAQAAX3JlbHMvLnJlbHNQSwECLQAUAAYACAAAACEAqlB6Mg4C&#10;AAD6AwAADgAAAAAAAAAAAAAAAAAuAgAAZHJzL2Uyb0RvYy54bWxQSwECLQAUAAYACAAAACEAHPGt&#10;/d4AAAAJAQAADwAAAAAAAAAAAAAAAABoBAAAZHJzL2Rvd25yZXYueG1sUEsFBgAAAAAEAAQA8wAA&#10;AHMFAAAAAA==&#10;" filled="f" stroked="f">
                <v:textbox>
                  <w:txbxContent>
                    <w:p w14:paraId="3D193A19" w14:textId="77777777" w:rsidR="00370D86" w:rsidRPr="00C364A1" w:rsidRDefault="00370D86">
                      <w:pPr>
                        <w:rPr>
                          <w:rFonts w:ascii="Verdana" w:hAnsi="Verdana"/>
                          <w:color w:val="A2185B"/>
                          <w:sz w:val="100"/>
                          <w:szCs w:val="100"/>
                        </w:rPr>
                      </w:pPr>
                      <w:r w:rsidRPr="00C364A1">
                        <w:rPr>
                          <w:rFonts w:ascii="Verdana" w:hAnsi="Verdana" w:cs="Tahoma"/>
                          <w:b/>
                          <w:color w:val="A2185B"/>
                          <w:sz w:val="100"/>
                          <w:szCs w:val="100"/>
                        </w:rPr>
                        <w:t>Women in Northern Ireland</w:t>
                      </w:r>
                    </w:p>
                  </w:txbxContent>
                </v:textbox>
                <w10:wrap type="square" anchorx="margin"/>
              </v:shape>
            </w:pict>
          </mc:Fallback>
        </mc:AlternateContent>
      </w:r>
      <w:r w:rsidR="00D378E5">
        <w:rPr>
          <w:b/>
          <w:sz w:val="44"/>
          <w:szCs w:val="44"/>
        </w:rPr>
        <w:br w:type="page"/>
      </w:r>
    </w:p>
    <w:p w14:paraId="6B41BFDD" w14:textId="77777777" w:rsidR="004E589D" w:rsidRPr="009106BC" w:rsidRDefault="00FA50FC" w:rsidP="00054C26">
      <w:pPr>
        <w:pStyle w:val="zH1"/>
      </w:pPr>
      <w:bookmarkStart w:id="12" w:name="_Toc514235134"/>
      <w:bookmarkStart w:id="13" w:name="_Toc535396275"/>
      <w:bookmarkEnd w:id="0"/>
      <w:bookmarkEnd w:id="1"/>
      <w:bookmarkEnd w:id="2"/>
      <w:bookmarkEnd w:id="3"/>
      <w:bookmarkEnd w:id="4"/>
      <w:bookmarkEnd w:id="5"/>
      <w:bookmarkEnd w:id="6"/>
      <w:bookmarkEnd w:id="7"/>
      <w:bookmarkEnd w:id="8"/>
      <w:bookmarkEnd w:id="9"/>
      <w:r>
        <w:lastRenderedPageBreak/>
        <w:t>Context</w:t>
      </w:r>
      <w:bookmarkEnd w:id="12"/>
      <w:bookmarkEnd w:id="13"/>
      <w:r w:rsidR="004E589D">
        <w:t xml:space="preserve"> </w:t>
      </w:r>
    </w:p>
    <w:p w14:paraId="546A6F6E" w14:textId="4726E374" w:rsidR="002E0E50" w:rsidRDefault="004E589D" w:rsidP="00B2707E">
      <w:pPr>
        <w:pStyle w:val="zNumPara"/>
      </w:pPr>
      <w:r w:rsidRPr="00BD2D1D">
        <w:t xml:space="preserve">This submission has been prepared by the </w:t>
      </w:r>
      <w:r w:rsidRPr="009A08B0">
        <w:rPr>
          <w:b/>
        </w:rPr>
        <w:t xml:space="preserve">Equality Commission for Northern Ireland </w:t>
      </w:r>
      <w:r w:rsidRPr="00BD2D1D">
        <w:t>(</w:t>
      </w:r>
      <w:r w:rsidR="001E6B55">
        <w:t>the Commission</w:t>
      </w:r>
      <w:r w:rsidRPr="00BD2D1D">
        <w:t xml:space="preserve">) to inform the UN </w:t>
      </w:r>
      <w:r w:rsidR="009A08B0">
        <w:t>CEDAW Committee</w:t>
      </w:r>
      <w:r w:rsidR="003871AE">
        <w:t>’s</w:t>
      </w:r>
      <w:r w:rsidR="009A08B0">
        <w:t xml:space="preserve"> </w:t>
      </w:r>
      <w:r w:rsidR="00832171">
        <w:t xml:space="preserve">development of </w:t>
      </w:r>
      <w:r w:rsidR="00851743">
        <w:t xml:space="preserve">its </w:t>
      </w:r>
      <w:r w:rsidR="00B12DE2">
        <w:t xml:space="preserve">Concluding Observations </w:t>
      </w:r>
      <w:r w:rsidRPr="00BD2D1D">
        <w:t xml:space="preserve">on the UK. </w:t>
      </w:r>
      <w:r w:rsidR="009D71E4">
        <w:t>It builds on the Commission’s June 2018</w:t>
      </w:r>
      <w:r w:rsidR="00832171">
        <w:t xml:space="preserve"> submission</w:t>
      </w:r>
      <w:r w:rsidR="009D71E4">
        <w:rPr>
          <w:rStyle w:val="FootnoteReference"/>
        </w:rPr>
        <w:footnoteReference w:id="1"/>
      </w:r>
      <w:r w:rsidR="00B2707E">
        <w:t>,</w:t>
      </w:r>
      <w:r w:rsidR="00B2707E" w:rsidRPr="00B2707E">
        <w:t xml:space="preserve"> </w:t>
      </w:r>
      <w:r w:rsidR="00B2707E">
        <w:t xml:space="preserve">and </w:t>
      </w:r>
      <w:r w:rsidR="00832171">
        <w:t xml:space="preserve">takes account of </w:t>
      </w:r>
      <w:r w:rsidR="00B2707E" w:rsidRPr="009D71E4">
        <w:t xml:space="preserve">the </w:t>
      </w:r>
      <w:r w:rsidR="00B2707E">
        <w:t>UK Government’s response</w:t>
      </w:r>
      <w:r w:rsidR="00B2707E">
        <w:rPr>
          <w:rStyle w:val="FootnoteReference"/>
        </w:rPr>
        <w:footnoteReference w:id="2"/>
      </w:r>
      <w:r w:rsidR="00B2707E">
        <w:t xml:space="preserve"> to the CEDAW </w:t>
      </w:r>
      <w:r w:rsidR="00B2707E" w:rsidRPr="009D71E4">
        <w:t>Commit</w:t>
      </w:r>
      <w:r w:rsidR="00B2707E">
        <w:t>tee’s List of Issues</w:t>
      </w:r>
      <w:r w:rsidR="00FB0276">
        <w:t xml:space="preserve"> (LOI)</w:t>
      </w:r>
      <w:r w:rsidR="00B2707E">
        <w:rPr>
          <w:rStyle w:val="FootnoteReference"/>
        </w:rPr>
        <w:footnoteReference w:id="3"/>
      </w:r>
      <w:r w:rsidR="00B2707E">
        <w:t>.</w:t>
      </w:r>
    </w:p>
    <w:p w14:paraId="1241A967" w14:textId="5D993E09" w:rsidR="004E589D" w:rsidRPr="00955F96" w:rsidRDefault="004E589D" w:rsidP="004E589D">
      <w:pPr>
        <w:pStyle w:val="zNumPara"/>
        <w:spacing w:before="240"/>
      </w:pPr>
      <w:r w:rsidRPr="00BD2D1D">
        <w:t xml:space="preserve">It </w:t>
      </w:r>
      <w:r w:rsidR="00891162">
        <w:t xml:space="preserve">is </w:t>
      </w:r>
      <w:r w:rsidRPr="00BD2D1D">
        <w:t xml:space="preserve">submitted in furtherance of </w:t>
      </w:r>
      <w:r w:rsidR="001E6B55">
        <w:t>the Commission</w:t>
      </w:r>
      <w:r w:rsidR="006D7513">
        <w:t>’</w:t>
      </w:r>
      <w:r w:rsidRPr="00BD2D1D">
        <w:t>s remit</w:t>
      </w:r>
      <w:r w:rsidR="002623DD" w:rsidRPr="002623DD">
        <w:rPr>
          <w:rStyle w:val="FootnoteReference"/>
        </w:rPr>
        <w:footnoteReference w:id="4"/>
      </w:r>
      <w:r w:rsidRPr="00BD2D1D">
        <w:t xml:space="preserve"> under the sex equality and equal </w:t>
      </w:r>
      <w:r w:rsidR="007C5055">
        <w:t xml:space="preserve">pay legislation in </w:t>
      </w:r>
      <w:r w:rsidR="006D7513">
        <w:t>Northern Ireland</w:t>
      </w:r>
      <w:r w:rsidR="007C5055">
        <w:t xml:space="preserve">, </w:t>
      </w:r>
      <w:r w:rsidRPr="00BD2D1D">
        <w:t>as well as under the statutory duties on public authorities</w:t>
      </w:r>
      <w:r w:rsidR="00585043">
        <w:rPr>
          <w:rStyle w:val="FootnoteReference"/>
        </w:rPr>
        <w:footnoteReference w:id="5"/>
      </w:r>
      <w:r w:rsidRPr="00955F96">
        <w:t>.</w:t>
      </w:r>
    </w:p>
    <w:p w14:paraId="7C0C911B" w14:textId="38A9FBE7" w:rsidR="00832171" w:rsidRPr="00955F96" w:rsidRDefault="002E0E50" w:rsidP="00832171">
      <w:pPr>
        <w:pStyle w:val="zNumPara"/>
        <w:spacing w:before="240"/>
      </w:pPr>
      <w:r>
        <w:t xml:space="preserve">Our submission </w:t>
      </w:r>
      <w:r w:rsidRPr="00BD2D1D">
        <w:t>highlights priority equality issues affec</w:t>
      </w:r>
      <w:r>
        <w:t xml:space="preserve">ting </w:t>
      </w:r>
      <w:r w:rsidRPr="00EF674A">
        <w:rPr>
          <w:b/>
        </w:rPr>
        <w:t>women in Northern Ireland</w:t>
      </w:r>
      <w:r w:rsidRPr="00BD2D1D">
        <w:t xml:space="preserve"> which </w:t>
      </w:r>
      <w:r w:rsidR="003871AE">
        <w:t xml:space="preserve">we </w:t>
      </w:r>
      <w:r w:rsidRPr="00BD2D1D">
        <w:t>recommend are addressed by Government</w:t>
      </w:r>
      <w:r w:rsidR="00585043">
        <w:rPr>
          <w:rStyle w:val="FootnoteReference"/>
        </w:rPr>
        <w:footnoteReference w:id="6"/>
      </w:r>
      <w:r w:rsidRPr="00BD2D1D">
        <w:t xml:space="preserve">. </w:t>
      </w:r>
      <w:r>
        <w:t xml:space="preserve"> The </w:t>
      </w:r>
      <w:r w:rsidR="004E589D" w:rsidRPr="00955F96">
        <w:t>submission has been informed by engagement with a number of key stakeholders, including representatives f</w:t>
      </w:r>
      <w:r w:rsidR="009A08B0" w:rsidRPr="00955F96">
        <w:t>rom the women’s sector</w:t>
      </w:r>
      <w:r w:rsidR="004E589D" w:rsidRPr="00955F96">
        <w:t>.</w:t>
      </w:r>
      <w:r>
        <w:t xml:space="preserve">  </w:t>
      </w:r>
    </w:p>
    <w:p w14:paraId="54AF314D" w14:textId="3B498FB8" w:rsidR="00891162" w:rsidRDefault="00955F96" w:rsidP="00851C7A">
      <w:pPr>
        <w:pStyle w:val="zNumPara"/>
        <w:spacing w:before="240"/>
      </w:pPr>
      <w:r>
        <w:t>T</w:t>
      </w:r>
      <w:r w:rsidR="004E589D" w:rsidRPr="00955F96">
        <w:t xml:space="preserve">he </w:t>
      </w:r>
      <w:r>
        <w:t xml:space="preserve">absence of a </w:t>
      </w:r>
      <w:r w:rsidR="001A267E" w:rsidRPr="00955F96">
        <w:t>Northern Ireland</w:t>
      </w:r>
      <w:r w:rsidR="004E589D" w:rsidRPr="00955F96">
        <w:t xml:space="preserve"> Executive </w:t>
      </w:r>
      <w:r>
        <w:t xml:space="preserve">since </w:t>
      </w:r>
      <w:r w:rsidR="00E00A16" w:rsidRPr="00955F96">
        <w:t xml:space="preserve">January 2017 </w:t>
      </w:r>
      <w:r>
        <w:t xml:space="preserve">has </w:t>
      </w:r>
      <w:r w:rsidR="00E00A16" w:rsidRPr="00955F96">
        <w:t>impact</w:t>
      </w:r>
      <w:r>
        <w:t>ed</w:t>
      </w:r>
      <w:r w:rsidR="00E00A16" w:rsidRPr="00955F96">
        <w:t xml:space="preserve"> </w:t>
      </w:r>
      <w:r w:rsidR="004E589D" w:rsidRPr="00955F96">
        <w:t xml:space="preserve">the ability </w:t>
      </w:r>
      <w:r w:rsidR="002623DD" w:rsidRPr="00955F96">
        <w:t xml:space="preserve">of </w:t>
      </w:r>
      <w:r w:rsidR="00787F73">
        <w:t>G</w:t>
      </w:r>
      <w:r w:rsidR="002623DD" w:rsidRPr="00955F96">
        <w:t xml:space="preserve">overnment </w:t>
      </w:r>
      <w:r w:rsidR="004E589D" w:rsidRPr="00955F96">
        <w:t xml:space="preserve">to progress a number of </w:t>
      </w:r>
      <w:r w:rsidR="006D7513" w:rsidRPr="00955F96">
        <w:t>strategic policies</w:t>
      </w:r>
      <w:r w:rsidR="004E589D" w:rsidRPr="00955F96">
        <w:t xml:space="preserve"> </w:t>
      </w:r>
      <w:r w:rsidR="00E00A16" w:rsidRPr="00955F96">
        <w:t>relevant to women’s equality</w:t>
      </w:r>
      <w:r w:rsidR="001164E2">
        <w:t>.</w:t>
      </w:r>
      <w:r w:rsidR="00851C7A">
        <w:t xml:space="preserve"> </w:t>
      </w:r>
      <w:r w:rsidR="00E00A16" w:rsidRPr="00955F96">
        <w:t xml:space="preserve">However, </w:t>
      </w:r>
      <w:r w:rsidR="004E589D" w:rsidRPr="00955F96">
        <w:t xml:space="preserve">it is important to stress that the CEDAW Committee’s </w:t>
      </w:r>
      <w:r w:rsidR="002623DD" w:rsidRPr="00955F96">
        <w:t xml:space="preserve">previous </w:t>
      </w:r>
      <w:r w:rsidR="004E589D" w:rsidRPr="00955F96">
        <w:t xml:space="preserve">Concluding Observations </w:t>
      </w:r>
      <w:r w:rsidR="00EE6794" w:rsidRPr="00955F96">
        <w:t>on the UK</w:t>
      </w:r>
      <w:r w:rsidR="00EE6794" w:rsidRPr="00955F96">
        <w:rPr>
          <w:rStyle w:val="FootnoteReference"/>
        </w:rPr>
        <w:footnoteReference w:id="7"/>
      </w:r>
      <w:r w:rsidR="00EE6794" w:rsidRPr="00955F96">
        <w:t xml:space="preserve"> </w:t>
      </w:r>
      <w:r w:rsidR="004E589D" w:rsidRPr="00955F96">
        <w:t xml:space="preserve">were issued in 2013 and </w:t>
      </w:r>
      <w:r w:rsidR="006D7513" w:rsidRPr="00955F96">
        <w:t xml:space="preserve">that </w:t>
      </w:r>
      <w:r w:rsidR="003871AE">
        <w:t xml:space="preserve">even </w:t>
      </w:r>
      <w:r w:rsidR="006D7513" w:rsidRPr="00955F96">
        <w:t xml:space="preserve">prior to 2017, </w:t>
      </w:r>
      <w:r w:rsidR="004E589D" w:rsidRPr="00955F96">
        <w:t>in some key areas such as strengthe</w:t>
      </w:r>
      <w:r w:rsidR="001A267E" w:rsidRPr="00955F96">
        <w:t>ni</w:t>
      </w:r>
      <w:r w:rsidR="004E589D" w:rsidRPr="00955F96">
        <w:t xml:space="preserve">ng women’s </w:t>
      </w:r>
      <w:r w:rsidR="00585043">
        <w:t xml:space="preserve">equality </w:t>
      </w:r>
      <w:r w:rsidR="004E589D" w:rsidRPr="00955F96">
        <w:t>rights</w:t>
      </w:r>
      <w:r w:rsidR="00E00A16" w:rsidRPr="00955F96">
        <w:t>, there were</w:t>
      </w:r>
      <w:r w:rsidR="004E589D" w:rsidRPr="00955F96">
        <w:t xml:space="preserve"> no </w:t>
      </w:r>
      <w:r w:rsidR="00851C7A">
        <w:t xml:space="preserve">associated commitments by the </w:t>
      </w:r>
      <w:r w:rsidR="00E00A16" w:rsidRPr="00955F96">
        <w:t>Executive</w:t>
      </w:r>
      <w:r w:rsidR="00EF674A">
        <w:t xml:space="preserve"> to give effect to the Observations</w:t>
      </w:r>
      <w:r w:rsidR="004E589D" w:rsidRPr="00955F96">
        <w:t xml:space="preserve">. </w:t>
      </w:r>
    </w:p>
    <w:p w14:paraId="600333E2" w14:textId="77777777" w:rsidR="004E589D" w:rsidRDefault="007F5235" w:rsidP="00CE10A3">
      <w:pPr>
        <w:pStyle w:val="zNumPara"/>
        <w:spacing w:before="240"/>
      </w:pPr>
      <w:r>
        <w:t>T</w:t>
      </w:r>
      <w:r w:rsidR="00EE6794">
        <w:t xml:space="preserve">here is </w:t>
      </w:r>
      <w:r w:rsidR="00901A33">
        <w:t xml:space="preserve">also </w:t>
      </w:r>
      <w:r w:rsidR="00E00A16">
        <w:t>limited information relating to Northern Ireland in the</w:t>
      </w:r>
      <w:r w:rsidR="00EE6794">
        <w:t xml:space="preserve"> UK Government’s </w:t>
      </w:r>
      <w:r w:rsidR="00955F96">
        <w:t xml:space="preserve">2017 </w:t>
      </w:r>
      <w:r w:rsidR="00EE6794">
        <w:t>8</w:t>
      </w:r>
      <w:r w:rsidR="00EE6794" w:rsidRPr="00955F96">
        <w:rPr>
          <w:vertAlign w:val="superscript"/>
        </w:rPr>
        <w:t>th</w:t>
      </w:r>
      <w:r w:rsidR="00EE6794">
        <w:t xml:space="preserve"> Periodic </w:t>
      </w:r>
      <w:r w:rsidR="00787F73">
        <w:t>R</w:t>
      </w:r>
      <w:r w:rsidR="00EE6794">
        <w:t>eport</w:t>
      </w:r>
      <w:r w:rsidR="00A3392A" w:rsidRPr="00567EFB">
        <w:rPr>
          <w:rStyle w:val="FootnoteReference"/>
          <w:rFonts w:eastAsiaTheme="minorEastAsia"/>
          <w:color w:val="000000"/>
          <w:lang w:eastAsia="en-GB"/>
        </w:rPr>
        <w:footnoteReference w:id="8"/>
      </w:r>
      <w:r>
        <w:t xml:space="preserve"> and replies to the LOI</w:t>
      </w:r>
      <w:r w:rsidR="00EE6794">
        <w:t>.</w:t>
      </w:r>
    </w:p>
    <w:p w14:paraId="75EA47EE" w14:textId="02629CBF" w:rsidR="004E522B" w:rsidRPr="004E522B" w:rsidRDefault="001E6B55" w:rsidP="00C00700">
      <w:pPr>
        <w:pStyle w:val="zNumPara"/>
        <w:rPr>
          <w:b/>
        </w:rPr>
      </w:pPr>
      <w:r>
        <w:t xml:space="preserve">The Commission has highlighted </w:t>
      </w:r>
      <w:r w:rsidR="00955F96">
        <w:t>below</w:t>
      </w:r>
      <w:r w:rsidR="00124888">
        <w:t xml:space="preserve"> its </w:t>
      </w:r>
      <w:r w:rsidR="00955F96">
        <w:t xml:space="preserve">proposed </w:t>
      </w:r>
      <w:r w:rsidR="00C00700">
        <w:t xml:space="preserve">recommendations </w:t>
      </w:r>
      <w:r w:rsidR="00B2707E">
        <w:t xml:space="preserve">for consideration by </w:t>
      </w:r>
      <w:r w:rsidR="00F3236E">
        <w:t xml:space="preserve">the </w:t>
      </w:r>
      <w:r w:rsidR="00C00700">
        <w:t xml:space="preserve">CEDAW </w:t>
      </w:r>
      <w:r w:rsidR="00C00700" w:rsidRPr="00C00700">
        <w:t>Committee</w:t>
      </w:r>
      <w:r w:rsidR="00FA50FC">
        <w:t>.</w:t>
      </w:r>
      <w:r w:rsidR="009C64C5">
        <w:t xml:space="preserve">  </w:t>
      </w:r>
      <w:r w:rsidR="001055A3">
        <w:t>A</w:t>
      </w:r>
      <w:r w:rsidR="00EC310C">
        <w:t>nnex 1 contains a</w:t>
      </w:r>
      <w:r w:rsidR="009C64C5">
        <w:t xml:space="preserve"> summary of</w:t>
      </w:r>
      <w:r w:rsidR="004F1298">
        <w:t xml:space="preserve"> </w:t>
      </w:r>
      <w:r w:rsidR="006E33EF">
        <w:t xml:space="preserve">the </w:t>
      </w:r>
      <w:r w:rsidR="00B2707E">
        <w:t>proposed recommendations.</w:t>
      </w:r>
      <w:r w:rsidR="004F1298">
        <w:t xml:space="preserve"> </w:t>
      </w:r>
    </w:p>
    <w:p w14:paraId="37D665B4" w14:textId="77777777" w:rsidR="004E589D" w:rsidRDefault="000B39D0" w:rsidP="000B39D0">
      <w:pPr>
        <w:pStyle w:val="zH1"/>
      </w:pPr>
      <w:bookmarkStart w:id="14" w:name="_Toc513725342"/>
      <w:bookmarkStart w:id="15" w:name="_Toc514235135"/>
      <w:bookmarkStart w:id="16" w:name="_Toc535396276"/>
      <w:r w:rsidRPr="000B39D0">
        <w:lastRenderedPageBreak/>
        <w:t xml:space="preserve">Articles 1-4; Article 15: Tackling discrimination; advancing gender equality; </w:t>
      </w:r>
      <w:r>
        <w:t>l</w:t>
      </w:r>
      <w:r w:rsidRPr="000B39D0">
        <w:t>egislation.</w:t>
      </w:r>
      <w:bookmarkEnd w:id="14"/>
      <w:bookmarkEnd w:id="15"/>
      <w:bookmarkEnd w:id="16"/>
    </w:p>
    <w:p w14:paraId="37088820" w14:textId="77777777" w:rsidR="004E589D" w:rsidRPr="00740A34" w:rsidRDefault="00576AF8" w:rsidP="006B06AC">
      <w:pPr>
        <w:pStyle w:val="zH2"/>
      </w:pPr>
      <w:bookmarkStart w:id="17" w:name="_Toc513725343"/>
      <w:bookmarkStart w:id="18" w:name="_Toc514235136"/>
      <w:bookmarkStart w:id="19" w:name="_Toc535396277"/>
      <w:r>
        <w:t>Strengthen institutional mechani</w:t>
      </w:r>
      <w:r w:rsidR="004E589D" w:rsidRPr="00BD2D1D">
        <w:t>sms for gender equality</w:t>
      </w:r>
      <w:bookmarkEnd w:id="17"/>
      <w:bookmarkEnd w:id="18"/>
      <w:bookmarkEnd w:id="19"/>
    </w:p>
    <w:p w14:paraId="5D5B1661" w14:textId="67A64DC4" w:rsidR="00857009" w:rsidRPr="00DF22ED" w:rsidRDefault="00025B66" w:rsidP="00857009">
      <w:pPr>
        <w:pStyle w:val="zSummBox"/>
        <w:numPr>
          <w:ilvl w:val="0"/>
          <w:numId w:val="0"/>
        </w:numPr>
        <w:ind w:left="1494" w:hanging="360"/>
        <w:rPr>
          <w:u w:val="single"/>
        </w:rPr>
      </w:pPr>
      <w:r>
        <w:rPr>
          <w:u w:val="single"/>
        </w:rPr>
        <w:t xml:space="preserve">Proposed </w:t>
      </w:r>
      <w:r w:rsidR="009037E3" w:rsidRPr="00DF22ED">
        <w:rPr>
          <w:u w:val="single"/>
        </w:rPr>
        <w:t>Recommendation</w:t>
      </w:r>
      <w:r w:rsidR="00857009" w:rsidRPr="00DF22ED">
        <w:rPr>
          <w:u w:val="single"/>
        </w:rPr>
        <w:t xml:space="preserve">: </w:t>
      </w:r>
    </w:p>
    <w:p w14:paraId="0A767084" w14:textId="77777777" w:rsidR="00857009" w:rsidRPr="00DF22ED" w:rsidRDefault="003C209F" w:rsidP="006D3529">
      <w:pPr>
        <w:pStyle w:val="zSummBox"/>
        <w:numPr>
          <w:ilvl w:val="0"/>
          <w:numId w:val="0"/>
        </w:numPr>
        <w:ind w:left="1134"/>
      </w:pPr>
      <w:r w:rsidRPr="00DF22ED">
        <w:t xml:space="preserve">We recommend </w:t>
      </w:r>
      <w:r w:rsidR="002023E9" w:rsidRPr="00DF22ED">
        <w:t>Government tak</w:t>
      </w:r>
      <w:r w:rsidRPr="00DF22ED">
        <w:t xml:space="preserve">es action </w:t>
      </w:r>
      <w:r w:rsidR="002023E9" w:rsidRPr="00DF22ED">
        <w:t>in Northern Ireland to strengthen institutional mechanisms for gender equality</w:t>
      </w:r>
      <w:r w:rsidR="009F36AE" w:rsidRPr="00DF22ED">
        <w:t xml:space="preserve"> (</w:t>
      </w:r>
      <w:r w:rsidR="002023E9" w:rsidRPr="00DF22ED">
        <w:t>including</w:t>
      </w:r>
      <w:r w:rsidR="00B2707E" w:rsidRPr="00DF22ED">
        <w:t xml:space="preserve"> to</w:t>
      </w:r>
      <w:r w:rsidR="00492A00" w:rsidRPr="00DF22ED">
        <w:t xml:space="preserve"> </w:t>
      </w:r>
      <w:r w:rsidR="00B2707E" w:rsidRPr="00DF22ED">
        <w:t>develop</w:t>
      </w:r>
      <w:r w:rsidRPr="00DF22ED">
        <w:t xml:space="preserve"> an effective strategic framework and action plan</w:t>
      </w:r>
      <w:r w:rsidR="002023E9" w:rsidRPr="00DF22ED">
        <w:t xml:space="preserve">; strengthen national machineries; </w:t>
      </w:r>
      <w:r w:rsidR="00B2707E" w:rsidRPr="00DF22ED">
        <w:t>ensure</w:t>
      </w:r>
      <w:r w:rsidR="002023E9" w:rsidRPr="00DF22ED">
        <w:t xml:space="preserve"> gender mainstreaming and the taking of positive action, where appropriate; mainstream women’s equality across the Programme for Government (PfG) and associated delivery plans</w:t>
      </w:r>
      <w:r w:rsidR="000163D5" w:rsidRPr="00DF22ED">
        <w:t xml:space="preserve"> and</w:t>
      </w:r>
      <w:r w:rsidR="002023E9" w:rsidRPr="00DF22ED">
        <w:t xml:space="preserve"> indicators; and improv</w:t>
      </w:r>
      <w:r w:rsidR="00B2707E" w:rsidRPr="00DF22ED">
        <w:t>e</w:t>
      </w:r>
      <w:r w:rsidR="002023E9" w:rsidRPr="00DF22ED">
        <w:t xml:space="preserve"> the collection of gender disaggregated data</w:t>
      </w:r>
      <w:r w:rsidR="009F36AE" w:rsidRPr="00DF22ED">
        <w:t>)</w:t>
      </w:r>
      <w:r w:rsidRPr="00DF22ED">
        <w:t>.</w:t>
      </w:r>
    </w:p>
    <w:p w14:paraId="7CC7334B" w14:textId="341AFBCA" w:rsidR="006D7513" w:rsidRPr="00DF22ED" w:rsidRDefault="000E50AA" w:rsidP="00492D03">
      <w:pPr>
        <w:pStyle w:val="zNumPara"/>
      </w:pPr>
      <w:r w:rsidRPr="00DF22ED">
        <w:t>Th</w:t>
      </w:r>
      <w:r>
        <w:t>ere is a lack of a</w:t>
      </w:r>
      <w:r w:rsidR="00851C7A">
        <w:t xml:space="preserve"> </w:t>
      </w:r>
      <w:r>
        <w:t xml:space="preserve">strategic </w:t>
      </w:r>
      <w:r w:rsidRPr="00DF22ED">
        <w:t xml:space="preserve">framework </w:t>
      </w:r>
      <w:r>
        <w:t xml:space="preserve">in Northern Ireland aimed at ensuring </w:t>
      </w:r>
      <w:r w:rsidRPr="00DF22ED">
        <w:t>compliance with Government obligations under CEDAW and relevant UN Sustainable Development Goals (SDGs)</w:t>
      </w:r>
      <w:r w:rsidRPr="00DF22ED">
        <w:rPr>
          <w:rStyle w:val="FootnoteReference"/>
          <w:rFonts w:eastAsiaTheme="minorEastAsia"/>
        </w:rPr>
        <w:footnoteReference w:id="9"/>
      </w:r>
      <w:r w:rsidRPr="00DF22ED">
        <w:t>.</w:t>
      </w:r>
      <w:r>
        <w:t xml:space="preserve"> </w:t>
      </w:r>
      <w:r w:rsidR="00B168E8" w:rsidRPr="00DF22ED">
        <w:t xml:space="preserve">There is </w:t>
      </w:r>
      <w:r w:rsidR="00F3236E">
        <w:t xml:space="preserve">no </w:t>
      </w:r>
      <w:r w:rsidR="006D7513" w:rsidRPr="00DF22ED">
        <w:t xml:space="preserve">timetabled commitment by Government to take forward a </w:t>
      </w:r>
      <w:r w:rsidR="003C209F" w:rsidRPr="00DF22ED">
        <w:t>strategic framework</w:t>
      </w:r>
      <w:r>
        <w:t xml:space="preserve">, </w:t>
      </w:r>
      <w:r w:rsidR="00F3236E">
        <w:t xml:space="preserve">with </w:t>
      </w:r>
      <w:r w:rsidR="006D7513" w:rsidRPr="00DF22ED">
        <w:t>underpinning action plan</w:t>
      </w:r>
      <w:r w:rsidR="00F3236E">
        <w:t>s</w:t>
      </w:r>
      <w:r w:rsidR="006D7513" w:rsidRPr="00DF22ED">
        <w:t xml:space="preserve"> and mechanisms to support women’s participation in its development, implementation and review, to replace the </w:t>
      </w:r>
      <w:r w:rsidR="006D7513" w:rsidRPr="00DF22ED">
        <w:rPr>
          <w:i/>
        </w:rPr>
        <w:t>Gender Equality Strategy 2006-2016</w:t>
      </w:r>
      <w:r w:rsidR="006D7513" w:rsidRPr="00DF22ED">
        <w:rPr>
          <w:rStyle w:val="FootnoteReference"/>
          <w:rFonts w:eastAsiaTheme="majorEastAsia"/>
        </w:rPr>
        <w:footnoteReference w:id="10"/>
      </w:r>
      <w:r w:rsidR="00F3236E" w:rsidRPr="00585043">
        <w:t>,</w:t>
      </w:r>
      <w:r w:rsidR="006D7513" w:rsidRPr="00585043">
        <w:t xml:space="preserve"> </w:t>
      </w:r>
      <w:r w:rsidR="006D7513" w:rsidRPr="00DF22ED">
        <w:t>which expired in 2016</w:t>
      </w:r>
      <w:r w:rsidR="00F3236E">
        <w:t xml:space="preserve"> and required improvement</w:t>
      </w:r>
      <w:r w:rsidR="00C63D53" w:rsidRPr="00DF22ED">
        <w:rPr>
          <w:rStyle w:val="FootnoteReference"/>
          <w:rFonts w:eastAsiaTheme="minorEastAsia"/>
        </w:rPr>
        <w:footnoteReference w:id="11"/>
      </w:r>
      <w:r w:rsidR="00C63D53">
        <w:t>.</w:t>
      </w:r>
    </w:p>
    <w:p w14:paraId="0107BF0F" w14:textId="0054C894" w:rsidR="009F36AE" w:rsidRDefault="00FD1690" w:rsidP="006D7513">
      <w:pPr>
        <w:pStyle w:val="zNumPara"/>
        <w:spacing w:before="240"/>
      </w:pPr>
      <w:r>
        <w:t>There is a need to</w:t>
      </w:r>
      <w:r w:rsidR="001B5F30" w:rsidRPr="00DF22ED">
        <w:t>: strengthen</w:t>
      </w:r>
      <w:r w:rsidR="00E90FE1" w:rsidRPr="00DF22ED">
        <w:t xml:space="preserve"> national machineries</w:t>
      </w:r>
      <w:r w:rsidR="00AE40A0" w:rsidRPr="00DF22ED">
        <w:t xml:space="preserve"> for gender equality</w:t>
      </w:r>
      <w:r w:rsidR="00E90FE1" w:rsidRPr="00DF22ED">
        <w:t xml:space="preserve">, including </w:t>
      </w:r>
      <w:r w:rsidR="004808DD">
        <w:t xml:space="preserve">addressing the reduction in funding </w:t>
      </w:r>
      <w:r w:rsidR="001164E2" w:rsidRPr="00DF22ED">
        <w:t xml:space="preserve">of </w:t>
      </w:r>
      <w:r w:rsidR="00984DB7" w:rsidRPr="00DF22ED">
        <w:t>the Commission</w:t>
      </w:r>
      <w:r w:rsidR="001B66B1" w:rsidRPr="00DF22ED">
        <w:rPr>
          <w:rStyle w:val="FootnoteReference"/>
        </w:rPr>
        <w:footnoteReference w:id="12"/>
      </w:r>
      <w:r w:rsidR="001164E2" w:rsidRPr="00DF22ED">
        <w:t>, and representative organisations that support women</w:t>
      </w:r>
      <w:r w:rsidR="001164E2" w:rsidRPr="00DF22ED">
        <w:rPr>
          <w:rStyle w:val="FootnoteReference"/>
        </w:rPr>
        <w:footnoteReference w:id="13"/>
      </w:r>
      <w:r w:rsidR="001B5F30" w:rsidRPr="00DF22ED">
        <w:t xml:space="preserve">; </w:t>
      </w:r>
      <w:r w:rsidR="001C0B31">
        <w:t xml:space="preserve">improve </w:t>
      </w:r>
      <w:r w:rsidR="00E90FE1" w:rsidRPr="00DF22ED">
        <w:t xml:space="preserve">gender mainstreaming, including </w:t>
      </w:r>
      <w:r w:rsidR="001C0B31">
        <w:t>by</w:t>
      </w:r>
      <w:r w:rsidR="00B57EC6">
        <w:t xml:space="preserve"> </w:t>
      </w:r>
      <w:r w:rsidR="00E90FE1" w:rsidRPr="00DF22ED">
        <w:t xml:space="preserve">using the tools of </w:t>
      </w:r>
      <w:r w:rsidR="000D441A">
        <w:t>equality (</w:t>
      </w:r>
      <w:r w:rsidR="00E90FE1" w:rsidRPr="00DF22ED">
        <w:t>gender</w:t>
      </w:r>
      <w:r w:rsidR="000D441A">
        <w:t>)</w:t>
      </w:r>
      <w:r w:rsidR="00E90FE1" w:rsidRPr="00DF22ED">
        <w:t xml:space="preserve"> budgeting</w:t>
      </w:r>
      <w:r w:rsidR="00E90FE1" w:rsidRPr="00DF22ED">
        <w:rPr>
          <w:rStyle w:val="FootnoteReference"/>
          <w:rFonts w:eastAsiaTheme="minorEastAsia"/>
          <w:lang w:val="en-US"/>
        </w:rPr>
        <w:footnoteReference w:id="14"/>
      </w:r>
      <w:r w:rsidR="00E90FE1" w:rsidRPr="00DF22ED">
        <w:t xml:space="preserve"> and impact assessment</w:t>
      </w:r>
      <w:r w:rsidR="000D441A">
        <w:t>,</w:t>
      </w:r>
      <w:r w:rsidR="0096426F">
        <w:t xml:space="preserve"> and </w:t>
      </w:r>
      <w:r w:rsidR="00836F54">
        <w:t xml:space="preserve"> improve practices </w:t>
      </w:r>
      <w:r w:rsidR="00B57EC6">
        <w:t>by public bodies in implementi</w:t>
      </w:r>
      <w:r w:rsidR="00836F54">
        <w:t xml:space="preserve">ng </w:t>
      </w:r>
      <w:r w:rsidR="00B57EC6">
        <w:t>their public sector duties</w:t>
      </w:r>
      <w:r w:rsidR="00E90FE1" w:rsidRPr="00DF22ED">
        <w:rPr>
          <w:rStyle w:val="FootnoteReference"/>
          <w:rFonts w:eastAsiaTheme="minorEastAsia"/>
        </w:rPr>
        <w:footnoteReference w:id="15"/>
      </w:r>
      <w:r w:rsidR="001B5F30" w:rsidRPr="00DF22ED">
        <w:t xml:space="preserve">; </w:t>
      </w:r>
      <w:r w:rsidR="00E23484">
        <w:t>increase</w:t>
      </w:r>
      <w:r>
        <w:t xml:space="preserve"> </w:t>
      </w:r>
      <w:r w:rsidR="00E90FE1" w:rsidRPr="00E536B4">
        <w:t xml:space="preserve">use of positive action and </w:t>
      </w:r>
      <w:r w:rsidR="001B5F30" w:rsidRPr="00E536B4">
        <w:t>temporary special measures</w:t>
      </w:r>
      <w:r w:rsidR="00E90FE1" w:rsidRPr="00E536B4">
        <w:t xml:space="preserve"> where appropriate</w:t>
      </w:r>
      <w:r w:rsidR="001B5F30" w:rsidRPr="00E536B4">
        <w:t>, and public p</w:t>
      </w:r>
      <w:r w:rsidR="00A8156D">
        <w:t>r</w:t>
      </w:r>
      <w:r w:rsidR="001B5F30" w:rsidRPr="00E536B4">
        <w:t>ocurement</w:t>
      </w:r>
      <w:r w:rsidR="00787883">
        <w:t>, to promote women’s equality</w:t>
      </w:r>
      <w:r w:rsidR="001B5F30" w:rsidRPr="00E536B4">
        <w:rPr>
          <w:rStyle w:val="FootnoteReference"/>
        </w:rPr>
        <w:footnoteReference w:id="16"/>
      </w:r>
      <w:r w:rsidR="00E90FE1" w:rsidRPr="00E536B4">
        <w:t>.</w:t>
      </w:r>
      <w:r w:rsidR="006D7513" w:rsidRPr="00E536B4">
        <w:t xml:space="preserve"> </w:t>
      </w:r>
    </w:p>
    <w:p w14:paraId="21394AD6" w14:textId="1F8E5FC6" w:rsidR="00E90FE1" w:rsidRDefault="00B52CA5" w:rsidP="006D7513">
      <w:pPr>
        <w:pStyle w:val="zNumPara"/>
        <w:spacing w:before="240"/>
      </w:pPr>
      <w:r w:rsidRPr="00E536B4">
        <w:t>Aligned to UN</w:t>
      </w:r>
      <w:r w:rsidR="006D1A64">
        <w:t xml:space="preserve"> </w:t>
      </w:r>
      <w:r w:rsidR="00772584">
        <w:t>SDG</w:t>
      </w:r>
      <w:r w:rsidR="00492A00">
        <w:t>s</w:t>
      </w:r>
      <w:r w:rsidR="00772584">
        <w:t xml:space="preserve"> </w:t>
      </w:r>
      <w:r w:rsidRPr="00E536B4">
        <w:t>targets</w:t>
      </w:r>
      <w:r w:rsidRPr="00E536B4">
        <w:rPr>
          <w:rStyle w:val="FootnoteReference"/>
          <w:rFonts w:eastAsiaTheme="minorEastAsia"/>
        </w:rPr>
        <w:footnoteReference w:id="17"/>
      </w:r>
      <w:r w:rsidRPr="00E536B4">
        <w:t xml:space="preserve">, there is the need to improve the collection of gender disaggregated statistics in </w:t>
      </w:r>
      <w:r w:rsidR="00576AF8" w:rsidRPr="00E536B4">
        <w:t>Northern Ireland</w:t>
      </w:r>
      <w:r w:rsidR="004B4CE4" w:rsidRPr="00E536B4">
        <w:t>, including in relation to women with multiple identities</w:t>
      </w:r>
      <w:r w:rsidR="004B4CE4" w:rsidRPr="00E536B4">
        <w:rPr>
          <w:rStyle w:val="FootnoteReference"/>
        </w:rPr>
        <w:footnoteReference w:id="18"/>
      </w:r>
      <w:r w:rsidRPr="00E536B4">
        <w:t>.</w:t>
      </w:r>
      <w:r w:rsidR="00E90FE1" w:rsidRPr="00567EFB">
        <w:t xml:space="preserve"> </w:t>
      </w:r>
    </w:p>
    <w:p w14:paraId="1A16EAA4" w14:textId="228CC6D7" w:rsidR="00E43D74" w:rsidRDefault="004E589D" w:rsidP="00D76F7F">
      <w:pPr>
        <w:pStyle w:val="zNumPara"/>
        <w:spacing w:before="240"/>
      </w:pPr>
      <w:r w:rsidRPr="00567EFB">
        <w:t>Further, whilst</w:t>
      </w:r>
      <w:r w:rsidR="006D1A64">
        <w:t xml:space="preserve"> the Commission</w:t>
      </w:r>
      <w:r w:rsidR="00300733">
        <w:t xml:space="preserve"> has welcomed </w:t>
      </w:r>
      <w:r w:rsidR="0016041F">
        <w:t xml:space="preserve">the inclusion of </w:t>
      </w:r>
      <w:r w:rsidR="00300733">
        <w:t xml:space="preserve">some </w:t>
      </w:r>
      <w:r w:rsidRPr="00567EFB">
        <w:t xml:space="preserve">commitments in the </w:t>
      </w:r>
      <w:r w:rsidR="00300733">
        <w:t xml:space="preserve">Executive’s </w:t>
      </w:r>
      <w:r w:rsidRPr="00567EFB">
        <w:t xml:space="preserve">draft </w:t>
      </w:r>
      <w:r w:rsidR="00300733">
        <w:t>Programme for Government (</w:t>
      </w:r>
      <w:r w:rsidRPr="00567EFB">
        <w:t>PfG</w:t>
      </w:r>
      <w:r w:rsidR="00300733">
        <w:t>)</w:t>
      </w:r>
      <w:r w:rsidR="00E82FBC">
        <w:t>,</w:t>
      </w:r>
      <w:r w:rsidRPr="00567EFB">
        <w:t xml:space="preserve"> </w:t>
      </w:r>
      <w:r w:rsidRPr="004E589D">
        <w:rPr>
          <w:i/>
        </w:rPr>
        <w:t>additional actions</w:t>
      </w:r>
      <w:r w:rsidRPr="00567EFB">
        <w:t xml:space="preserve"> to promote </w:t>
      </w:r>
      <w:r w:rsidR="00685582">
        <w:t xml:space="preserve">and mainstream </w:t>
      </w:r>
      <w:r>
        <w:t xml:space="preserve">women’s </w:t>
      </w:r>
      <w:r w:rsidRPr="00567EFB">
        <w:t xml:space="preserve">equality across the </w:t>
      </w:r>
      <w:r w:rsidR="00851AA8">
        <w:t xml:space="preserve">work of government </w:t>
      </w:r>
      <w:r w:rsidR="00BB5436">
        <w:t>are required</w:t>
      </w:r>
      <w:r>
        <w:t xml:space="preserve">. </w:t>
      </w:r>
      <w:r w:rsidR="00B2707E">
        <w:t>These outstanding actions are highlighted under each of the Articles</w:t>
      </w:r>
      <w:r w:rsidRPr="00D222C4">
        <w:t xml:space="preserve">. </w:t>
      </w:r>
    </w:p>
    <w:p w14:paraId="3C66D0A4" w14:textId="77777777" w:rsidR="004E589D" w:rsidRDefault="004E589D" w:rsidP="006B06AC">
      <w:pPr>
        <w:pStyle w:val="zH2"/>
      </w:pPr>
      <w:bookmarkStart w:id="20" w:name="_Toc513725344"/>
      <w:bookmarkStart w:id="21" w:name="_Toc514235137"/>
      <w:bookmarkStart w:id="22" w:name="_Toc535396278"/>
      <w:r w:rsidRPr="00BD2D1D">
        <w:t>Address the potential negative impact of Brexit</w:t>
      </w:r>
      <w:bookmarkEnd w:id="20"/>
      <w:bookmarkEnd w:id="21"/>
      <w:bookmarkEnd w:id="22"/>
    </w:p>
    <w:p w14:paraId="4F5EEF5E"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DC2E7A">
        <w:rPr>
          <w:u w:val="single"/>
        </w:rPr>
        <w:t>Recommendation</w:t>
      </w:r>
      <w:r w:rsidR="00857009" w:rsidRPr="00857009">
        <w:rPr>
          <w:u w:val="single"/>
        </w:rPr>
        <w:t xml:space="preserve">: </w:t>
      </w:r>
    </w:p>
    <w:p w14:paraId="2DC28674" w14:textId="3347D255" w:rsidR="00740A34" w:rsidRDefault="00DC2E7A" w:rsidP="00F15CAD">
      <w:pPr>
        <w:pStyle w:val="zSummBox"/>
        <w:numPr>
          <w:ilvl w:val="0"/>
          <w:numId w:val="0"/>
        </w:numPr>
        <w:ind w:left="1134"/>
      </w:pPr>
      <w:r>
        <w:t xml:space="preserve">We recommend </w:t>
      </w:r>
      <w:r w:rsidR="002023E9" w:rsidRPr="002023E9">
        <w:t>Government ensure</w:t>
      </w:r>
      <w:r>
        <w:t>s</w:t>
      </w:r>
      <w:r w:rsidR="002023E9" w:rsidRPr="002023E9">
        <w:t xml:space="preserve"> there are no negative impacts on women’s equality as a result of </w:t>
      </w:r>
      <w:r w:rsidR="00AD10E1">
        <w:t xml:space="preserve">the UK exiting the EU, </w:t>
      </w:r>
      <w:r w:rsidR="00B77AA8">
        <w:t>including via an enforceable commitment to non-regression of equality rights</w:t>
      </w:r>
      <w:r w:rsidR="00524AE4">
        <w:t xml:space="preserve"> and to keep pace with future EU equality rights</w:t>
      </w:r>
      <w:r w:rsidR="007E151D">
        <w:t>;</w:t>
      </w:r>
      <w:r w:rsidR="00B77AA8">
        <w:t xml:space="preserve"> </w:t>
      </w:r>
      <w:r w:rsidR="00AD10E1">
        <w:t>to</w:t>
      </w:r>
      <w:r w:rsidR="004F0F8A">
        <w:t xml:space="preserve"> </w:t>
      </w:r>
      <w:r w:rsidR="00AD10E1" w:rsidRPr="00AD10E1">
        <w:t>ensur</w:t>
      </w:r>
      <w:r w:rsidR="004F0F8A">
        <w:t>e</w:t>
      </w:r>
      <w:r w:rsidR="00AD10E1" w:rsidRPr="00AD10E1">
        <w:t xml:space="preserve"> effective engagement with women during the Brexit pr</w:t>
      </w:r>
      <w:r w:rsidR="00AD10E1">
        <w:t>ocess</w:t>
      </w:r>
      <w:r w:rsidR="007E151D">
        <w:t xml:space="preserve">; </w:t>
      </w:r>
      <w:r w:rsidR="004F0F8A">
        <w:t>and to mitigate any potential impact of the loss of EU funding</w:t>
      </w:r>
      <w:r>
        <w:t>.</w:t>
      </w:r>
      <w:r w:rsidR="002023E9" w:rsidRPr="002023E9">
        <w:t xml:space="preserve"> </w:t>
      </w:r>
    </w:p>
    <w:p w14:paraId="1AACD3BB" w14:textId="2046B60E" w:rsidR="006021E9" w:rsidRDefault="00740A34" w:rsidP="003114BD">
      <w:pPr>
        <w:pStyle w:val="zNumPara"/>
      </w:pPr>
      <w:r>
        <w:t>Whilst the UK Government has committed</w:t>
      </w:r>
      <w:r w:rsidR="004E589D" w:rsidRPr="00567EFB">
        <w:t xml:space="preserve"> in the </w:t>
      </w:r>
      <w:r w:rsidR="004E589D" w:rsidRPr="00740A34">
        <w:rPr>
          <w:i/>
        </w:rPr>
        <w:t>draft</w:t>
      </w:r>
      <w:r w:rsidR="004E589D" w:rsidRPr="00567EFB">
        <w:t xml:space="preserve"> Withdrawal Agreement</w:t>
      </w:r>
      <w:r w:rsidR="00DD273B" w:rsidRPr="00690580">
        <w:rPr>
          <w:rStyle w:val="FootnoteReference"/>
          <w:rFonts w:eastAsiaTheme="minorEastAsia"/>
        </w:rPr>
        <w:footnoteReference w:id="19"/>
      </w:r>
      <w:r w:rsidR="004E589D" w:rsidRPr="00567EFB">
        <w:t xml:space="preserve"> </w:t>
      </w:r>
      <w:r w:rsidR="004E589D" w:rsidRPr="00690580">
        <w:t xml:space="preserve">to non-regression of EU equality rights in </w:t>
      </w:r>
      <w:r w:rsidR="00576AF8" w:rsidRPr="00690580">
        <w:t>Northern Ireland</w:t>
      </w:r>
      <w:r w:rsidR="00961F47" w:rsidRPr="00690580">
        <w:t xml:space="preserve"> </w:t>
      </w:r>
      <w:r w:rsidR="00961F47" w:rsidRPr="001B63C7">
        <w:t xml:space="preserve">as </w:t>
      </w:r>
      <w:r w:rsidR="00DC1588">
        <w:t xml:space="preserve">the UK </w:t>
      </w:r>
      <w:r w:rsidR="00961F47" w:rsidRPr="001B63C7">
        <w:t>leave</w:t>
      </w:r>
      <w:r w:rsidR="00DC1588">
        <w:t>s</w:t>
      </w:r>
      <w:r w:rsidR="00961F47" w:rsidRPr="001B63C7">
        <w:t xml:space="preserve"> the EU</w:t>
      </w:r>
      <w:r w:rsidR="004E589D" w:rsidRPr="00690580">
        <w:t>,</w:t>
      </w:r>
      <w:r w:rsidRPr="00690580">
        <w:t xml:space="preserve"> </w:t>
      </w:r>
      <w:r w:rsidR="00524AE4" w:rsidRPr="00690580">
        <w:t>there</w:t>
      </w:r>
      <w:r w:rsidR="00524AE4">
        <w:t xml:space="preserve"> is a need for a</w:t>
      </w:r>
      <w:r w:rsidR="00A525B9">
        <w:t xml:space="preserve">n enforceable commitment </w:t>
      </w:r>
      <w:r w:rsidR="008F6FE2">
        <w:t>i</w:t>
      </w:r>
      <w:r w:rsidR="00A525B9">
        <w:t xml:space="preserve">n </w:t>
      </w:r>
      <w:r w:rsidR="00197322">
        <w:t>any</w:t>
      </w:r>
      <w:r w:rsidR="00A525B9">
        <w:t xml:space="preserve"> </w:t>
      </w:r>
      <w:r w:rsidR="00A525B9" w:rsidRPr="00197322">
        <w:rPr>
          <w:i/>
        </w:rPr>
        <w:t>final</w:t>
      </w:r>
      <w:r w:rsidR="00843390">
        <w:t xml:space="preserve"> </w:t>
      </w:r>
      <w:r w:rsidR="00A525B9" w:rsidRPr="00567EFB">
        <w:t>Withdrawal Agreement</w:t>
      </w:r>
      <w:r w:rsidR="00836F54" w:rsidRPr="00567EFB">
        <w:rPr>
          <w:rStyle w:val="FootnoteReference"/>
          <w:rFonts w:eastAsiaTheme="minorEastAsia"/>
          <w:bCs/>
        </w:rPr>
        <w:footnoteReference w:id="20"/>
      </w:r>
      <w:r w:rsidR="00DD273B">
        <w:rPr>
          <w:rStyle w:val="FootnoteReference"/>
        </w:rPr>
        <w:footnoteReference w:id="21"/>
      </w:r>
      <w:r w:rsidR="00A525B9">
        <w:t xml:space="preserve">. </w:t>
      </w:r>
      <w:r w:rsidR="00524AE4">
        <w:t xml:space="preserve"> </w:t>
      </w:r>
      <w:r w:rsidR="003114BD">
        <w:t>The</w:t>
      </w:r>
      <w:r w:rsidR="00197322">
        <w:t>re is a</w:t>
      </w:r>
      <w:r w:rsidR="006C0379">
        <w:t xml:space="preserve"> </w:t>
      </w:r>
      <w:r w:rsidR="006D26CE">
        <w:t xml:space="preserve">failure </w:t>
      </w:r>
      <w:r w:rsidR="00836F54">
        <w:t xml:space="preserve">to retain </w:t>
      </w:r>
      <w:r w:rsidR="003114BD">
        <w:t xml:space="preserve">the EU Charter of Fundamental Rights </w:t>
      </w:r>
      <w:r w:rsidR="00B0397D">
        <w:t>in domestic law</w:t>
      </w:r>
      <w:r w:rsidR="00B0397D">
        <w:rPr>
          <w:rStyle w:val="FootnoteReference"/>
        </w:rPr>
        <w:footnoteReference w:id="22"/>
      </w:r>
      <w:r w:rsidR="00021D1D">
        <w:t xml:space="preserve"> </w:t>
      </w:r>
      <w:r w:rsidR="00C114D7">
        <w:t xml:space="preserve">and </w:t>
      </w:r>
      <w:r w:rsidR="00D61D4A">
        <w:t>the</w:t>
      </w:r>
      <w:r w:rsidR="00021D1D">
        <w:t>re is no</w:t>
      </w:r>
      <w:r w:rsidR="00D61D4A">
        <w:t xml:space="preserve"> commitment </w:t>
      </w:r>
      <w:r w:rsidR="00836F54">
        <w:t xml:space="preserve">to </w:t>
      </w:r>
      <w:r w:rsidR="003114BD">
        <w:t xml:space="preserve">keep pace with </w:t>
      </w:r>
      <w:r w:rsidR="00836F54">
        <w:t xml:space="preserve">all </w:t>
      </w:r>
      <w:r w:rsidR="003114BD">
        <w:t>future EU equality rights</w:t>
      </w:r>
      <w:r w:rsidR="001E4FF0" w:rsidRPr="003D2E5E">
        <w:rPr>
          <w:rStyle w:val="FootnoteReference"/>
        </w:rPr>
        <w:footnoteReference w:id="23"/>
      </w:r>
      <w:r w:rsidR="00D76F7F">
        <w:t>.</w:t>
      </w:r>
      <w:r w:rsidR="00C114D7">
        <w:t xml:space="preserve"> </w:t>
      </w:r>
      <w:r w:rsidR="003114BD">
        <w:t>T</w:t>
      </w:r>
      <w:r w:rsidR="00A525B9">
        <w:t>he loss of EU funding</w:t>
      </w:r>
      <w:r w:rsidR="003114BD">
        <w:t>, including under</w:t>
      </w:r>
      <w:r w:rsidR="00836F54">
        <w:t xml:space="preserve"> </w:t>
      </w:r>
      <w:r w:rsidR="003114BD">
        <w:t>PEACE</w:t>
      </w:r>
      <w:r w:rsidR="003B1C49">
        <w:rPr>
          <w:rStyle w:val="FootnoteReference"/>
        </w:rPr>
        <w:footnoteReference w:id="24"/>
      </w:r>
      <w:r w:rsidR="003114BD">
        <w:t>,</w:t>
      </w:r>
      <w:r w:rsidR="003114BD" w:rsidRPr="003114BD">
        <w:t xml:space="preserve"> INTERREG</w:t>
      </w:r>
      <w:r w:rsidR="003114BD">
        <w:t xml:space="preserve">, and </w:t>
      </w:r>
      <w:r w:rsidR="003114BD" w:rsidRPr="003114BD">
        <w:t>European Social Fund Programmes</w:t>
      </w:r>
      <w:r w:rsidR="003114BD">
        <w:t>,</w:t>
      </w:r>
      <w:r w:rsidR="00836F54">
        <w:t xml:space="preserve"> has the potential to</w:t>
      </w:r>
      <w:r w:rsidR="00E165A8">
        <w:t xml:space="preserve"> negatively </w:t>
      </w:r>
      <w:r w:rsidR="003114BD">
        <w:t xml:space="preserve">impact on work to promote women’s equality, including by </w:t>
      </w:r>
      <w:r w:rsidR="00A525B9">
        <w:t>the voluntary and community sector</w:t>
      </w:r>
      <w:r w:rsidR="00A525B9" w:rsidRPr="00567EFB">
        <w:rPr>
          <w:rStyle w:val="FootnoteReference"/>
          <w:rFonts w:eastAsiaTheme="minorEastAsia"/>
        </w:rPr>
        <w:footnoteReference w:id="25"/>
      </w:r>
      <w:r w:rsidR="007E151D">
        <w:t xml:space="preserve"> </w:t>
      </w:r>
      <w:r w:rsidR="00A525B9" w:rsidRPr="00567EFB">
        <w:rPr>
          <w:rStyle w:val="FootnoteReference"/>
          <w:rFonts w:eastAsiaTheme="minorEastAsia"/>
        </w:rPr>
        <w:footnoteReference w:id="26"/>
      </w:r>
      <w:r w:rsidR="00A525B9">
        <w:t xml:space="preserve">. </w:t>
      </w:r>
    </w:p>
    <w:p w14:paraId="5B18E54A" w14:textId="5226D927" w:rsidR="00E43D74" w:rsidRPr="002D0FDA" w:rsidRDefault="001E4FF0" w:rsidP="002F451D">
      <w:pPr>
        <w:pStyle w:val="zNumPara"/>
        <w:spacing w:before="240"/>
      </w:pPr>
      <w:r>
        <w:t xml:space="preserve">Measures are required </w:t>
      </w:r>
      <w:r w:rsidR="00A525B9" w:rsidRPr="00567EFB">
        <w:t>to ensure effective engagement with women</w:t>
      </w:r>
      <w:r w:rsidR="007E151D">
        <w:t xml:space="preserve">, </w:t>
      </w:r>
      <w:r w:rsidR="00A525B9" w:rsidRPr="00567EFB">
        <w:t xml:space="preserve">and </w:t>
      </w:r>
      <w:r>
        <w:t xml:space="preserve">to ensure </w:t>
      </w:r>
      <w:r w:rsidR="00A525B9" w:rsidRPr="00567EFB">
        <w:t>compliance by public bodies with their Section 75 duties</w:t>
      </w:r>
      <w:r w:rsidR="00A525B9" w:rsidRPr="00567EFB">
        <w:rPr>
          <w:rStyle w:val="FootnoteReference"/>
          <w:rFonts w:eastAsiaTheme="minorEastAsia"/>
        </w:rPr>
        <w:footnoteReference w:id="27"/>
      </w:r>
      <w:r w:rsidR="004E589D">
        <w:t>.</w:t>
      </w:r>
    </w:p>
    <w:p w14:paraId="79EAB86B" w14:textId="77777777" w:rsidR="004E589D" w:rsidRPr="00BD2D1D" w:rsidRDefault="004E589D" w:rsidP="006B06AC">
      <w:pPr>
        <w:pStyle w:val="zH2"/>
      </w:pPr>
      <w:bookmarkStart w:id="23" w:name="_Toc513725345"/>
      <w:bookmarkStart w:id="24" w:name="_Toc514235138"/>
      <w:bookmarkStart w:id="25" w:name="_Toc535396279"/>
      <w:r w:rsidRPr="00BD2D1D">
        <w:t>Strengthen gender equality legislation</w:t>
      </w:r>
      <w:bookmarkEnd w:id="23"/>
      <w:bookmarkEnd w:id="24"/>
      <w:bookmarkEnd w:id="25"/>
    </w:p>
    <w:p w14:paraId="3CB1D948"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4C23C3">
        <w:rPr>
          <w:u w:val="single"/>
        </w:rPr>
        <w:t>Recommendations</w:t>
      </w:r>
      <w:r w:rsidR="00857009" w:rsidRPr="00857009">
        <w:rPr>
          <w:u w:val="single"/>
        </w:rPr>
        <w:t xml:space="preserve">: </w:t>
      </w:r>
    </w:p>
    <w:p w14:paraId="0DE9751A" w14:textId="14E884A9" w:rsidR="002023E9" w:rsidRDefault="004C23C3" w:rsidP="002023E9">
      <w:pPr>
        <w:pStyle w:val="zSummBox"/>
        <w:numPr>
          <w:ilvl w:val="0"/>
          <w:numId w:val="0"/>
        </w:numPr>
        <w:ind w:left="1134"/>
      </w:pPr>
      <w:r>
        <w:t xml:space="preserve">We recommend </w:t>
      </w:r>
      <w:r w:rsidR="002023E9">
        <w:t xml:space="preserve">Government address </w:t>
      </w:r>
      <w:r w:rsidR="002023E9" w:rsidRPr="00690580">
        <w:t>the legislative gaps in equality protection for women</w:t>
      </w:r>
      <w:r w:rsidR="00AD10E1" w:rsidRPr="00690580">
        <w:t xml:space="preserve"> in Northern Ireland</w:t>
      </w:r>
      <w:r w:rsidR="002023E9" w:rsidRPr="00690580">
        <w:t xml:space="preserve"> </w:t>
      </w:r>
      <w:r w:rsidRPr="00690580">
        <w:t>including</w:t>
      </w:r>
      <w:r w:rsidR="007E151D" w:rsidRPr="00690580">
        <w:t xml:space="preserve">, but not limited to, </w:t>
      </w:r>
      <w:r w:rsidRPr="00690580">
        <w:t>gaps that exist between Northern</w:t>
      </w:r>
      <w:r w:rsidR="00F15CAD">
        <w:t xml:space="preserve"> Ireland and Great Britain, </w:t>
      </w:r>
      <w:r w:rsidR="002023E9">
        <w:t xml:space="preserve">as set out in </w:t>
      </w:r>
      <w:r w:rsidR="009C64C5">
        <w:t xml:space="preserve">the Commission’s </w:t>
      </w:r>
      <w:r w:rsidR="002023E9">
        <w:t>gender law reform recommendations</w:t>
      </w:r>
      <w:r>
        <w:t>.</w:t>
      </w:r>
    </w:p>
    <w:p w14:paraId="503E2708" w14:textId="77777777" w:rsidR="002023E9" w:rsidRDefault="004C23C3" w:rsidP="002B6BA8">
      <w:pPr>
        <w:pStyle w:val="zSummBox"/>
        <w:numPr>
          <w:ilvl w:val="0"/>
          <w:numId w:val="0"/>
        </w:numPr>
        <w:ind w:left="1134"/>
      </w:pPr>
      <w:r>
        <w:t xml:space="preserve">We recommend </w:t>
      </w:r>
      <w:r w:rsidR="00CB6860">
        <w:t xml:space="preserve">the urgent introduction of </w:t>
      </w:r>
      <w:r w:rsidR="002023E9">
        <w:t xml:space="preserve">gender pay </w:t>
      </w:r>
      <w:r>
        <w:t xml:space="preserve">gap </w:t>
      </w:r>
      <w:r w:rsidR="002023E9">
        <w:t xml:space="preserve">reporting requirements and a Gender Pay Strategy and Action </w:t>
      </w:r>
      <w:r w:rsidR="004F1D4E">
        <w:t>P</w:t>
      </w:r>
      <w:r w:rsidR="002023E9">
        <w:t>lan in Northern Ireland</w:t>
      </w:r>
      <w:r>
        <w:t>.</w:t>
      </w:r>
    </w:p>
    <w:p w14:paraId="7B6C4DC5" w14:textId="6D380C46" w:rsidR="004E589D" w:rsidRDefault="004E589D" w:rsidP="004E589D">
      <w:pPr>
        <w:pStyle w:val="zNumPara"/>
        <w:spacing w:before="240"/>
      </w:pPr>
      <w:r w:rsidRPr="00BD2D1D">
        <w:t xml:space="preserve">There is a lower level of protection for women in </w:t>
      </w:r>
      <w:r w:rsidR="00576AF8">
        <w:t>Northern Ireland</w:t>
      </w:r>
      <w:r w:rsidRPr="00BD2D1D">
        <w:t xml:space="preserve"> against sex discrimination than in </w:t>
      </w:r>
      <w:r w:rsidR="00F772EF">
        <w:t xml:space="preserve">Great Britain (GB). </w:t>
      </w:r>
      <w:r w:rsidR="006D1A64">
        <w:t>The Commission</w:t>
      </w:r>
      <w:r w:rsidRPr="00BD2D1D">
        <w:t xml:space="preserve"> has</w:t>
      </w:r>
      <w:r>
        <w:t xml:space="preserve"> </w:t>
      </w:r>
      <w:r w:rsidR="00F772EF">
        <w:t xml:space="preserve">highlighted in its </w:t>
      </w:r>
      <w:r w:rsidRPr="007E2A24">
        <w:rPr>
          <w:i/>
        </w:rPr>
        <w:t>Gender Law Reform Recommendations</w:t>
      </w:r>
      <w:r>
        <w:t xml:space="preserve"> (2016)</w:t>
      </w:r>
      <w:r>
        <w:rPr>
          <w:rStyle w:val="FootnoteReference"/>
        </w:rPr>
        <w:footnoteReference w:id="28"/>
      </w:r>
      <w:r>
        <w:t xml:space="preserve"> the sig</w:t>
      </w:r>
      <w:r w:rsidR="00576AF8">
        <w:t>ni</w:t>
      </w:r>
      <w:r>
        <w:t xml:space="preserve">ficant gaps and weaknesses in the gender equality legislation that urgently </w:t>
      </w:r>
      <w:r w:rsidR="00B45137">
        <w:t>need addressed</w:t>
      </w:r>
      <w:r w:rsidR="00D056BF">
        <w:rPr>
          <w:rStyle w:val="FootnoteReference"/>
        </w:rPr>
        <w:footnoteReference w:id="29"/>
      </w:r>
      <w:r w:rsidR="00B45137">
        <w:t>, including through</w:t>
      </w:r>
      <w:r w:rsidRPr="00BD2D1D">
        <w:t xml:space="preserve"> the introduction of single equality legislation</w:t>
      </w:r>
      <w:r>
        <w:t xml:space="preserve"> in </w:t>
      </w:r>
      <w:r w:rsidR="00576AF8">
        <w:t>Northern Ireland</w:t>
      </w:r>
      <w:r w:rsidRPr="00BD2D1D">
        <w:t xml:space="preserve">. </w:t>
      </w:r>
      <w:r w:rsidR="00397287">
        <w:t xml:space="preserve">A review (2018) of sex discrimination law across the UK has also </w:t>
      </w:r>
      <w:r w:rsidR="00EC74EC">
        <w:t>recommended that</w:t>
      </w:r>
      <w:r w:rsidR="00397287">
        <w:t xml:space="preserve"> gaps in protection </w:t>
      </w:r>
      <w:r w:rsidR="00EC74EC">
        <w:t xml:space="preserve">in Northern Ireland </w:t>
      </w:r>
      <w:r w:rsidR="00397287">
        <w:t>are addressed</w:t>
      </w:r>
      <w:r w:rsidR="00397287">
        <w:rPr>
          <w:rStyle w:val="FootnoteReference"/>
        </w:rPr>
        <w:footnoteReference w:id="30"/>
      </w:r>
      <w:r w:rsidR="00397287">
        <w:t xml:space="preserve">. </w:t>
      </w:r>
    </w:p>
    <w:p w14:paraId="04F0860A" w14:textId="77777777" w:rsidR="002E6A98" w:rsidRDefault="00740A34" w:rsidP="0047193B">
      <w:pPr>
        <w:pStyle w:val="zNumPara"/>
      </w:pPr>
      <w:r w:rsidRPr="00567EFB">
        <w:t xml:space="preserve">Further, </w:t>
      </w:r>
      <w:r w:rsidR="00097518">
        <w:t>there is a need for the urgent</w:t>
      </w:r>
      <w:r w:rsidR="00097518" w:rsidRPr="00567EFB">
        <w:t xml:space="preserve"> introduction of </w:t>
      </w:r>
      <w:r w:rsidR="0047193B" w:rsidRPr="00567EFB">
        <w:t>a gender pay strategy</w:t>
      </w:r>
      <w:r w:rsidR="002E6A98">
        <w:t xml:space="preserve"> </w:t>
      </w:r>
      <w:r w:rsidR="0047193B" w:rsidRPr="00567EFB">
        <w:t>/</w:t>
      </w:r>
      <w:r w:rsidR="002E6A98">
        <w:t xml:space="preserve"> </w:t>
      </w:r>
      <w:r w:rsidR="0047193B" w:rsidRPr="00567EFB">
        <w:t xml:space="preserve">action plan </w:t>
      </w:r>
      <w:r w:rsidR="0047193B">
        <w:t xml:space="preserve">for </w:t>
      </w:r>
      <w:r w:rsidR="00097518">
        <w:t>Northern Ireland</w:t>
      </w:r>
      <w:r w:rsidR="0047193B" w:rsidRPr="0047193B">
        <w:t xml:space="preserve"> </w:t>
      </w:r>
      <w:r w:rsidR="00097518" w:rsidRPr="00567EFB">
        <w:t>and, in parallel,</w:t>
      </w:r>
      <w:r w:rsidR="0047193B">
        <w:t xml:space="preserve"> </w:t>
      </w:r>
      <w:r w:rsidR="0047193B" w:rsidRPr="00567EFB">
        <w:t>gender pay reporting requirements</w:t>
      </w:r>
      <w:r w:rsidR="0047193B">
        <w:t xml:space="preserve"> for employers</w:t>
      </w:r>
      <w:r w:rsidR="00097518" w:rsidRPr="00567EFB">
        <w:t>.</w:t>
      </w:r>
      <w:r w:rsidR="00097518">
        <w:t xml:space="preserve"> </w:t>
      </w:r>
    </w:p>
    <w:p w14:paraId="16096864" w14:textId="3D5E3583" w:rsidR="00E43D74" w:rsidRPr="002E6A98" w:rsidRDefault="00097518" w:rsidP="002F451D">
      <w:pPr>
        <w:pStyle w:val="zNumPara"/>
      </w:pPr>
      <w:r>
        <w:t>G</w:t>
      </w:r>
      <w:r w:rsidR="00740A34" w:rsidRPr="00567EFB">
        <w:t>e</w:t>
      </w:r>
      <w:r w:rsidR="00B45137">
        <w:t>nder pay reporting requirements</w:t>
      </w:r>
      <w:r w:rsidR="00740A34" w:rsidRPr="00567EFB">
        <w:t xml:space="preserve"> which apply to large employers across all sectors were introduced in GB in 2017</w:t>
      </w:r>
      <w:r w:rsidR="00740A34" w:rsidRPr="00567EFB">
        <w:rPr>
          <w:rStyle w:val="FootnoteReference"/>
          <w:rFonts w:eastAsiaTheme="minorEastAsia"/>
        </w:rPr>
        <w:footnoteReference w:id="31"/>
      </w:r>
      <w:r w:rsidR="00B45137">
        <w:t>, but</w:t>
      </w:r>
      <w:r w:rsidR="00740A34" w:rsidRPr="00567EFB">
        <w:t xml:space="preserve"> do not apply to </w:t>
      </w:r>
      <w:r w:rsidR="00576AF8">
        <w:t>Northern Ireland</w:t>
      </w:r>
      <w:r w:rsidR="00740A34" w:rsidRPr="00567EFB">
        <w:t xml:space="preserve">. </w:t>
      </w:r>
      <w:r w:rsidR="002E6A98">
        <w:t xml:space="preserve"> </w:t>
      </w:r>
      <w:r w:rsidR="00740A34" w:rsidRPr="00567EFB">
        <w:t>Whilst Section 19 of the Employment Act (</w:t>
      </w:r>
      <w:r w:rsidR="00576AF8">
        <w:t>NI</w:t>
      </w:r>
      <w:r w:rsidR="00740A34" w:rsidRPr="00567EFB">
        <w:t xml:space="preserve">) </w:t>
      </w:r>
      <w:r w:rsidR="00740A34">
        <w:t>2016</w:t>
      </w:r>
      <w:r w:rsidR="00B45137">
        <w:rPr>
          <w:rStyle w:val="FootnoteReference"/>
        </w:rPr>
        <w:footnoteReference w:id="32"/>
      </w:r>
      <w:r w:rsidR="00740A34">
        <w:t xml:space="preserve"> provides for the making of</w:t>
      </w:r>
      <w:r w:rsidR="00740A34" w:rsidRPr="00567EFB">
        <w:t xml:space="preserve"> gender pay gap reporting Regulations and for the introduction of </w:t>
      </w:r>
      <w:r w:rsidR="00740A34">
        <w:t xml:space="preserve">a </w:t>
      </w:r>
      <w:r w:rsidR="0047193B">
        <w:t xml:space="preserve">Northern Ireland </w:t>
      </w:r>
      <w:r w:rsidR="00740A34" w:rsidRPr="00567EFB">
        <w:t xml:space="preserve">gender pay strategy/action plan, to date </w:t>
      </w:r>
      <w:r w:rsidR="002F6F64">
        <w:t xml:space="preserve">Section 19 </w:t>
      </w:r>
      <w:r w:rsidR="00740A34" w:rsidRPr="00567EFB">
        <w:t>ha</w:t>
      </w:r>
      <w:r w:rsidR="002F6F64">
        <w:t>s</w:t>
      </w:r>
      <w:r w:rsidR="00740A34" w:rsidRPr="00567EFB">
        <w:t xml:space="preserve"> not been brought into force</w:t>
      </w:r>
      <w:r w:rsidR="002F6F64">
        <w:t>.</w:t>
      </w:r>
      <w:bookmarkStart w:id="26" w:name="_Toc513725346"/>
      <w:bookmarkStart w:id="27" w:name="_Toc514235139"/>
    </w:p>
    <w:p w14:paraId="7AE8A5F1" w14:textId="77777777" w:rsidR="00E724C7" w:rsidRPr="00BD2D1D" w:rsidRDefault="00E724C7" w:rsidP="00E724C7">
      <w:pPr>
        <w:pStyle w:val="zH2"/>
      </w:pPr>
      <w:bookmarkStart w:id="28" w:name="_Toc535396280"/>
      <w:r>
        <w:t>Eradicate gender-</w:t>
      </w:r>
      <w:r w:rsidRPr="00041C9B">
        <w:t>based</w:t>
      </w:r>
      <w:r w:rsidRPr="00BD2D1D">
        <w:t xml:space="preserve"> violence against women</w:t>
      </w:r>
      <w:bookmarkEnd w:id="28"/>
    </w:p>
    <w:p w14:paraId="4A33011E" w14:textId="77777777" w:rsidR="00E724C7" w:rsidRPr="00857009" w:rsidRDefault="00E724C7" w:rsidP="00E724C7">
      <w:pPr>
        <w:pStyle w:val="zSummBox"/>
        <w:numPr>
          <w:ilvl w:val="0"/>
          <w:numId w:val="0"/>
        </w:numPr>
        <w:ind w:left="1494" w:hanging="360"/>
        <w:rPr>
          <w:u w:val="single"/>
        </w:rPr>
      </w:pPr>
      <w:r>
        <w:rPr>
          <w:u w:val="single"/>
        </w:rPr>
        <w:t>Proposed</w:t>
      </w:r>
      <w:r w:rsidR="002C2F9B">
        <w:rPr>
          <w:u w:val="single"/>
        </w:rPr>
        <w:t xml:space="preserve"> Recommendation</w:t>
      </w:r>
      <w:r w:rsidRPr="00857009">
        <w:rPr>
          <w:u w:val="single"/>
        </w:rPr>
        <w:t xml:space="preserve">: </w:t>
      </w:r>
    </w:p>
    <w:p w14:paraId="21BEAB66" w14:textId="77777777" w:rsidR="00E724C7" w:rsidRDefault="002C2F9B" w:rsidP="00E724C7">
      <w:pPr>
        <w:pStyle w:val="zSummBox"/>
        <w:numPr>
          <w:ilvl w:val="0"/>
          <w:numId w:val="0"/>
        </w:numPr>
        <w:ind w:left="1134"/>
      </w:pPr>
      <w:r>
        <w:t xml:space="preserve">We recommend </w:t>
      </w:r>
      <w:r w:rsidR="00E724C7">
        <w:t xml:space="preserve">Government </w:t>
      </w:r>
      <w:r w:rsidR="00492A00">
        <w:t xml:space="preserve">action </w:t>
      </w:r>
      <w:r>
        <w:t xml:space="preserve">to </w:t>
      </w:r>
      <w:r w:rsidR="00E724C7">
        <w:t>tackle the nature and specific impact of gender-based violence on women in Northern Ireland, including through the delivery of effective strategies</w:t>
      </w:r>
      <w:r>
        <w:t>.</w:t>
      </w:r>
    </w:p>
    <w:p w14:paraId="2AC2372E" w14:textId="7DD99403" w:rsidR="00E724C7" w:rsidRPr="002E7FCF" w:rsidRDefault="00E724C7" w:rsidP="00E724C7">
      <w:pPr>
        <w:pStyle w:val="zNumPara"/>
      </w:pPr>
      <w:r>
        <w:rPr>
          <w:color w:val="000000"/>
          <w:lang w:eastAsia="en-GB"/>
        </w:rPr>
        <w:t xml:space="preserve">In </w:t>
      </w:r>
      <w:r>
        <w:t>Northern Ireland</w:t>
      </w:r>
      <w:r>
        <w:rPr>
          <w:color w:val="000000"/>
          <w:lang w:eastAsia="en-GB"/>
        </w:rPr>
        <w:t xml:space="preserve">, </w:t>
      </w:r>
      <w:r w:rsidRPr="00567EFB">
        <w:rPr>
          <w:color w:val="000000"/>
          <w:lang w:eastAsia="en-GB"/>
        </w:rPr>
        <w:t xml:space="preserve">increasing levels of </w:t>
      </w:r>
      <w:r w:rsidR="00617926">
        <w:rPr>
          <w:color w:val="000000"/>
          <w:lang w:eastAsia="en-GB"/>
        </w:rPr>
        <w:t xml:space="preserve">reported </w:t>
      </w:r>
      <w:r w:rsidRPr="00567EFB">
        <w:rPr>
          <w:color w:val="000000"/>
          <w:lang w:eastAsia="en-GB"/>
        </w:rPr>
        <w:t xml:space="preserve">domestic violence </w:t>
      </w:r>
      <w:r>
        <w:rPr>
          <w:color w:val="000000"/>
          <w:lang w:eastAsia="en-GB"/>
        </w:rPr>
        <w:t xml:space="preserve">are </w:t>
      </w:r>
      <w:r w:rsidRPr="00567EFB">
        <w:rPr>
          <w:color w:val="000000"/>
          <w:lang w:eastAsia="en-GB"/>
        </w:rPr>
        <w:t>experienced by women</w:t>
      </w:r>
      <w:r w:rsidRPr="00567EFB">
        <w:rPr>
          <w:rStyle w:val="FootnoteReference"/>
          <w:rFonts w:eastAsiaTheme="minorEastAsia"/>
        </w:rPr>
        <w:footnoteReference w:id="33"/>
      </w:r>
      <w:r w:rsidRPr="00567EFB">
        <w:rPr>
          <w:color w:val="000000"/>
          <w:lang w:eastAsia="en-GB"/>
        </w:rPr>
        <w:t xml:space="preserve">. </w:t>
      </w:r>
      <w:r w:rsidRPr="00567EFB">
        <w:t>There is a need</w:t>
      </w:r>
      <w:r>
        <w:t xml:space="preserve"> for effective strategies to tackle the nature and specific impact of gender-based violence on women, including women with multiple identities</w:t>
      </w:r>
      <w:r w:rsidR="00836F54">
        <w:t xml:space="preserve">; </w:t>
      </w:r>
      <w:r>
        <w:t>includ</w:t>
      </w:r>
      <w:r w:rsidR="00836F54">
        <w:t>ing</w:t>
      </w:r>
      <w:r>
        <w:t xml:space="preserve"> tackling</w:t>
      </w:r>
      <w:r w:rsidRPr="00567EFB">
        <w:t xml:space="preserve"> cultural and stereotypical attitudes, including through education</w:t>
      </w:r>
      <w:r w:rsidRPr="00567EFB">
        <w:rPr>
          <w:rStyle w:val="FootnoteReference"/>
          <w:rFonts w:eastAsiaTheme="minorEastAsia"/>
        </w:rPr>
        <w:footnoteReference w:id="34"/>
      </w:r>
      <w:r>
        <w:t xml:space="preserve">. </w:t>
      </w:r>
      <w:r w:rsidRPr="00567EFB">
        <w:t xml:space="preserve">  </w:t>
      </w:r>
    </w:p>
    <w:p w14:paraId="77CBB25B" w14:textId="59D0673B" w:rsidR="00E724C7" w:rsidRDefault="00E724C7" w:rsidP="008004B5">
      <w:pPr>
        <w:pStyle w:val="zNumPara"/>
        <w:rPr>
          <w:color w:val="000000"/>
          <w:lang w:eastAsia="en-GB"/>
        </w:rPr>
      </w:pPr>
      <w:r>
        <w:rPr>
          <w:lang w:eastAsia="en-GB"/>
        </w:rPr>
        <w:t xml:space="preserve">There is a need to ensure that the </w:t>
      </w:r>
      <w:r w:rsidRPr="00E519F0">
        <w:t xml:space="preserve">DHSSPS / DoJ (2016) </w:t>
      </w:r>
      <w:r>
        <w:t xml:space="preserve"> </w:t>
      </w:r>
      <w:r w:rsidRPr="008F2148">
        <w:rPr>
          <w:i/>
        </w:rPr>
        <w:t>Stopping Domestic and Sexual Violence and Abuse Strategy</w:t>
      </w:r>
      <w:r w:rsidRPr="00E519F0">
        <w:rPr>
          <w:i/>
        </w:rPr>
        <w:t xml:space="preserve"> in Northern Ireland</w:t>
      </w:r>
      <w:r>
        <w:rPr>
          <w:rStyle w:val="FootnoteReference"/>
        </w:rPr>
        <w:footnoteReference w:id="35"/>
      </w:r>
      <w:r>
        <w:t xml:space="preserve"> </w:t>
      </w:r>
      <w:r>
        <w:rPr>
          <w:lang w:eastAsia="en-GB"/>
        </w:rPr>
        <w:t>and underpinning actions effectively address domestic and sexual violence and abuse experienced by women in a gender specific context</w:t>
      </w:r>
      <w:r w:rsidR="0027609B">
        <w:rPr>
          <w:rStyle w:val="FootnoteReference"/>
          <w:lang w:eastAsia="en-GB"/>
        </w:rPr>
        <w:footnoteReference w:id="36"/>
      </w:r>
      <w:r w:rsidR="0022189E">
        <w:rPr>
          <w:rStyle w:val="FootnoteReference"/>
          <w:lang w:eastAsia="en-GB"/>
        </w:rPr>
        <w:footnoteReference w:id="37"/>
      </w:r>
      <w:r w:rsidR="00464172">
        <w:rPr>
          <w:lang w:eastAsia="en-GB"/>
        </w:rPr>
        <w:t>, including</w:t>
      </w:r>
      <w:r w:rsidR="00464172">
        <w:t xml:space="preserve"> </w:t>
      </w:r>
      <w:r w:rsidR="00B910F8">
        <w:t xml:space="preserve"> address</w:t>
      </w:r>
      <w:r w:rsidR="00464172">
        <w:t>ing</w:t>
      </w:r>
      <w:r w:rsidR="00B910F8">
        <w:t xml:space="preserve"> the low </w:t>
      </w:r>
      <w:r w:rsidR="008004B5">
        <w:rPr>
          <w:color w:val="000000"/>
          <w:lang w:eastAsia="en-GB"/>
        </w:rPr>
        <w:t>o</w:t>
      </w:r>
      <w:r w:rsidR="008004B5" w:rsidRPr="008004B5">
        <w:rPr>
          <w:color w:val="000000"/>
          <w:lang w:eastAsia="en-GB"/>
        </w:rPr>
        <w:t>utco</w:t>
      </w:r>
      <w:r w:rsidR="008004B5">
        <w:rPr>
          <w:color w:val="000000"/>
          <w:lang w:eastAsia="en-GB"/>
        </w:rPr>
        <w:t>me rates for sexual offences</w:t>
      </w:r>
      <w:r w:rsidR="008004B5">
        <w:rPr>
          <w:rStyle w:val="FootnoteReference"/>
          <w:color w:val="000000"/>
          <w:lang w:eastAsia="en-GB"/>
        </w:rPr>
        <w:footnoteReference w:id="38"/>
      </w:r>
      <w:r w:rsidR="008004B5" w:rsidRPr="008004B5">
        <w:rPr>
          <w:color w:val="000000"/>
          <w:lang w:eastAsia="en-GB"/>
        </w:rPr>
        <w:t>.</w:t>
      </w:r>
    </w:p>
    <w:p w14:paraId="3659CEEA" w14:textId="77777777" w:rsidR="00E43D74" w:rsidRDefault="00E43D74" w:rsidP="00D84166">
      <w:pPr>
        <w:pStyle w:val="zNumPara"/>
        <w:numPr>
          <w:ilvl w:val="0"/>
          <w:numId w:val="0"/>
        </w:numPr>
        <w:rPr>
          <w:color w:val="000000"/>
          <w:lang w:eastAsia="en-GB"/>
        </w:rPr>
      </w:pPr>
    </w:p>
    <w:p w14:paraId="5C86344F" w14:textId="77777777" w:rsidR="00E724C7" w:rsidRPr="001E1ABD" w:rsidRDefault="00E724C7" w:rsidP="00E724C7">
      <w:pPr>
        <w:pStyle w:val="zH2"/>
      </w:pPr>
      <w:bookmarkStart w:id="29" w:name="_Toc535396281"/>
      <w:r w:rsidRPr="001E1ABD">
        <w:t>Ratify the Istanbul Convention</w:t>
      </w:r>
      <w:bookmarkEnd w:id="29"/>
    </w:p>
    <w:p w14:paraId="2391A03B" w14:textId="77777777" w:rsidR="00E724C7" w:rsidRPr="00857009" w:rsidRDefault="00E724C7" w:rsidP="00E724C7">
      <w:pPr>
        <w:pStyle w:val="zSummBox"/>
        <w:numPr>
          <w:ilvl w:val="0"/>
          <w:numId w:val="0"/>
        </w:numPr>
        <w:ind w:left="1494" w:hanging="360"/>
        <w:rPr>
          <w:u w:val="single"/>
        </w:rPr>
      </w:pPr>
      <w:r>
        <w:rPr>
          <w:u w:val="single"/>
        </w:rPr>
        <w:t xml:space="preserve">Proposed </w:t>
      </w:r>
      <w:r w:rsidR="004C23C3">
        <w:rPr>
          <w:u w:val="single"/>
        </w:rPr>
        <w:t>Recommendation</w:t>
      </w:r>
      <w:r w:rsidRPr="00857009">
        <w:rPr>
          <w:u w:val="single"/>
        </w:rPr>
        <w:t xml:space="preserve">: </w:t>
      </w:r>
    </w:p>
    <w:p w14:paraId="24BCAFA2" w14:textId="77777777" w:rsidR="00E724C7" w:rsidRDefault="004C23C3" w:rsidP="00E724C7">
      <w:pPr>
        <w:pStyle w:val="zSummBox"/>
        <w:numPr>
          <w:ilvl w:val="0"/>
          <w:numId w:val="0"/>
        </w:numPr>
        <w:ind w:left="1134"/>
      </w:pPr>
      <w:r>
        <w:t xml:space="preserve">We recommend that </w:t>
      </w:r>
      <w:r w:rsidR="00E724C7">
        <w:t>t</w:t>
      </w:r>
      <w:r w:rsidR="00E724C7" w:rsidRPr="00453DD9">
        <w:t>he UK Government</w:t>
      </w:r>
      <w:r>
        <w:t xml:space="preserve"> </w:t>
      </w:r>
      <w:r w:rsidR="00D67331">
        <w:t>takes all necessary measures, including in Norther</w:t>
      </w:r>
      <w:r w:rsidR="00AA6049">
        <w:t>n</w:t>
      </w:r>
      <w:r w:rsidR="00D67331">
        <w:t xml:space="preserve"> Ireland, to </w:t>
      </w:r>
      <w:r w:rsidR="003F0D97">
        <w:t>comply</w:t>
      </w:r>
      <w:r w:rsidR="00D67331">
        <w:t xml:space="preserve"> with the Istanbul Convention, so as to enable it</w:t>
      </w:r>
      <w:r w:rsidR="00AA6049">
        <w:t>’s</w:t>
      </w:r>
      <w:r w:rsidR="00D67331">
        <w:t xml:space="preserve"> </w:t>
      </w:r>
      <w:r w:rsidR="00AA6049">
        <w:t>prompt ratification</w:t>
      </w:r>
      <w:r w:rsidR="00D67331">
        <w:t xml:space="preserve">.  </w:t>
      </w:r>
      <w:r w:rsidR="00D86155">
        <w:t xml:space="preserve"> </w:t>
      </w:r>
      <w:r>
        <w:t xml:space="preserve"> </w:t>
      </w:r>
    </w:p>
    <w:p w14:paraId="75AA962A" w14:textId="77777777" w:rsidR="00E724C7" w:rsidRDefault="00E724C7" w:rsidP="00E724C7">
      <w:pPr>
        <w:pStyle w:val="zNumPara"/>
        <w:rPr>
          <w:color w:val="000000"/>
          <w:lang w:eastAsia="en-GB"/>
        </w:rPr>
      </w:pPr>
      <w:r w:rsidRPr="00567EFB">
        <w:t>To date the UK Government has signed, but not ratified</w:t>
      </w:r>
      <w:r>
        <w:rPr>
          <w:rStyle w:val="FootnoteReference"/>
        </w:rPr>
        <w:footnoteReference w:id="39"/>
      </w:r>
      <w:r w:rsidRPr="00567EFB">
        <w:t>, the Istanbul Convention</w:t>
      </w:r>
      <w:r w:rsidRPr="00567EFB">
        <w:rPr>
          <w:rStyle w:val="FootnoteReference"/>
          <w:rFonts w:eastAsiaTheme="minorEastAsia"/>
        </w:rPr>
        <w:footnoteReference w:id="40"/>
      </w:r>
      <w:r>
        <w:rPr>
          <w:color w:val="000000"/>
          <w:lang w:eastAsia="en-GB"/>
        </w:rPr>
        <w:t xml:space="preserve">. </w:t>
      </w:r>
    </w:p>
    <w:p w14:paraId="725B45CF" w14:textId="60D11ABC" w:rsidR="00E43D74" w:rsidRPr="00D84166" w:rsidRDefault="00E724C7" w:rsidP="00D84166">
      <w:pPr>
        <w:pStyle w:val="zNumPara"/>
        <w:rPr>
          <w:color w:val="000000"/>
          <w:lang w:eastAsia="en-GB"/>
        </w:rPr>
      </w:pPr>
      <w:r>
        <w:t>T</w:t>
      </w:r>
      <w:r w:rsidRPr="00E866EE">
        <w:t xml:space="preserve">he UK Government has indicated </w:t>
      </w:r>
      <w:r>
        <w:t xml:space="preserve">that </w:t>
      </w:r>
      <w:r w:rsidRPr="00E866EE">
        <w:t>t</w:t>
      </w:r>
      <w:r>
        <w:t>here remain outstanding issues</w:t>
      </w:r>
      <w:r w:rsidRPr="00E866EE">
        <w:t xml:space="preserve"> which must be addressed before the UK can be considered to be</w:t>
      </w:r>
      <w:r>
        <w:t xml:space="preserve"> compliant with the Convention</w:t>
      </w:r>
      <w:r w:rsidR="009F5928" w:rsidRPr="00567EFB">
        <w:rPr>
          <w:rStyle w:val="FootnoteReference"/>
          <w:rFonts w:eastAsiaTheme="minorEastAsia"/>
          <w:color w:val="000000"/>
          <w:lang w:eastAsia="en-GB"/>
        </w:rPr>
        <w:footnoteReference w:id="41"/>
      </w:r>
      <w:r>
        <w:t xml:space="preserve">, and that it is engaging with </w:t>
      </w:r>
      <w:r w:rsidRPr="007F4962">
        <w:t>the Devolved Administrations</w:t>
      </w:r>
      <w:r>
        <w:t xml:space="preserve">, including in </w:t>
      </w:r>
      <w:r w:rsidRPr="007F4962">
        <w:t>Northern Ireland</w:t>
      </w:r>
      <w:r>
        <w:t>,</w:t>
      </w:r>
      <w:r w:rsidRPr="00567EFB">
        <w:rPr>
          <w:rStyle w:val="FootnoteReference"/>
          <w:rFonts w:eastAsiaTheme="minorEastAsia"/>
          <w:color w:val="000000"/>
          <w:lang w:eastAsia="en-GB"/>
        </w:rPr>
        <w:t xml:space="preserve"> </w:t>
      </w:r>
      <w:r w:rsidR="00F15CAD">
        <w:rPr>
          <w:rFonts w:eastAsiaTheme="minorEastAsia"/>
          <w:color w:val="000000"/>
          <w:lang w:eastAsia="en-GB"/>
        </w:rPr>
        <w:t xml:space="preserve"> </w:t>
      </w:r>
      <w:r>
        <w:rPr>
          <w:rFonts w:eastAsiaTheme="minorEastAsia"/>
          <w:color w:val="000000"/>
          <w:lang w:eastAsia="en-GB"/>
        </w:rPr>
        <w:t xml:space="preserve">to ensure compliance </w:t>
      </w:r>
      <w:r>
        <w:t>on these issues.</w:t>
      </w:r>
    </w:p>
    <w:p w14:paraId="0D3556EE" w14:textId="77777777" w:rsidR="004E589D" w:rsidRPr="0016041F" w:rsidRDefault="004E589D" w:rsidP="00054C26">
      <w:pPr>
        <w:pStyle w:val="zH2"/>
      </w:pPr>
      <w:bookmarkStart w:id="30" w:name="_Toc535396282"/>
      <w:r w:rsidRPr="0016041F">
        <w:t>Address barriers for women with multiple identities</w:t>
      </w:r>
      <w:bookmarkEnd w:id="26"/>
      <w:bookmarkEnd w:id="27"/>
      <w:bookmarkEnd w:id="30"/>
    </w:p>
    <w:p w14:paraId="5254962B"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01453F">
        <w:rPr>
          <w:u w:val="single"/>
        </w:rPr>
        <w:t>Recommendation</w:t>
      </w:r>
      <w:r w:rsidR="00857009" w:rsidRPr="00857009">
        <w:rPr>
          <w:u w:val="single"/>
        </w:rPr>
        <w:t xml:space="preserve">: </w:t>
      </w:r>
    </w:p>
    <w:p w14:paraId="1211C1D2" w14:textId="77777777" w:rsidR="00857009" w:rsidRPr="00054C26" w:rsidRDefault="0001453F" w:rsidP="00857009">
      <w:pPr>
        <w:pStyle w:val="zSummBox"/>
        <w:numPr>
          <w:ilvl w:val="0"/>
          <w:numId w:val="0"/>
        </w:numPr>
        <w:ind w:left="1134"/>
      </w:pPr>
      <w:r>
        <w:t xml:space="preserve">We recommend </w:t>
      </w:r>
      <w:r w:rsidR="002023E9" w:rsidRPr="002023E9">
        <w:t xml:space="preserve">Government </w:t>
      </w:r>
      <w:r>
        <w:t>action</w:t>
      </w:r>
      <w:r w:rsidR="002023E9" w:rsidRPr="002023E9">
        <w:t xml:space="preserve"> to address </w:t>
      </w:r>
      <w:r w:rsidR="00591166">
        <w:t xml:space="preserve">inequalities and </w:t>
      </w:r>
      <w:r w:rsidR="002023E9" w:rsidRPr="002023E9">
        <w:t xml:space="preserve">barriers faced </w:t>
      </w:r>
      <w:r w:rsidR="002023E9" w:rsidRPr="00054C26">
        <w:t>by women with multiple identities in Northern Ireland</w:t>
      </w:r>
      <w:r>
        <w:t>.</w:t>
      </w:r>
    </w:p>
    <w:p w14:paraId="4E4552BB" w14:textId="39D06453" w:rsidR="002E6A98" w:rsidRDefault="00CE5A47" w:rsidP="00CE5A47">
      <w:pPr>
        <w:pStyle w:val="zNumPara"/>
      </w:pPr>
      <w:r>
        <w:t>W</w:t>
      </w:r>
      <w:r w:rsidR="00740A34" w:rsidRPr="00054C26">
        <w:t xml:space="preserve">omen in </w:t>
      </w:r>
      <w:r w:rsidR="0005677B" w:rsidRPr="00054C26">
        <w:t>Northern Ireland</w:t>
      </w:r>
      <w:r w:rsidR="0001453F">
        <w:t xml:space="preserve">, </w:t>
      </w:r>
      <w:r>
        <w:t xml:space="preserve">experience inequalities </w:t>
      </w:r>
      <w:r w:rsidR="00740A34" w:rsidRPr="00054C26">
        <w:t>due to their multiple identities</w:t>
      </w:r>
      <w:r>
        <w:t xml:space="preserve">. For example, </w:t>
      </w:r>
      <w:r w:rsidRPr="00CE5A47">
        <w:t>lone parents</w:t>
      </w:r>
      <w:r w:rsidR="00F15CAD">
        <w:t xml:space="preserve"> with </w:t>
      </w:r>
      <w:r w:rsidRPr="00CE5A47">
        <w:t>dependents</w:t>
      </w:r>
      <w:r w:rsidR="00F15CAD">
        <w:t>,</w:t>
      </w:r>
      <w:r w:rsidRPr="00CE5A47">
        <w:t xml:space="preserve"> experience barriers to their participation in employment, </w:t>
      </w:r>
      <w:r w:rsidR="00D67C55">
        <w:t>including as regards the cost and availability of childcare</w:t>
      </w:r>
      <w:r w:rsidR="00F15CAD">
        <w:t>, particularly for women who constitute the majority of lone parents</w:t>
      </w:r>
      <w:r w:rsidR="00F15CAD">
        <w:rPr>
          <w:rStyle w:val="FootnoteReference"/>
        </w:rPr>
        <w:footnoteReference w:id="42"/>
      </w:r>
      <w:r w:rsidR="00F15CAD">
        <w:t>.</w:t>
      </w:r>
    </w:p>
    <w:p w14:paraId="361061F9" w14:textId="0B62E2FA" w:rsidR="00E43D74" w:rsidRPr="00054C26" w:rsidRDefault="00740A34" w:rsidP="00E43D74">
      <w:pPr>
        <w:pStyle w:val="zNumPara"/>
      </w:pPr>
      <w:r w:rsidRPr="00054C26">
        <w:t>The lack of</w:t>
      </w:r>
      <w:r w:rsidR="009B1701" w:rsidRPr="00054C26">
        <w:t xml:space="preserve"> Government equality frameworks</w:t>
      </w:r>
      <w:r w:rsidR="002658BD">
        <w:t xml:space="preserve">, </w:t>
      </w:r>
      <w:r w:rsidRPr="00054C26">
        <w:t xml:space="preserve">strategies </w:t>
      </w:r>
      <w:r w:rsidR="002658BD">
        <w:t xml:space="preserve">and action plans </w:t>
      </w:r>
      <w:r w:rsidRPr="00054C26">
        <w:t xml:space="preserve">in some equality areas, such </w:t>
      </w:r>
      <w:r w:rsidR="006D1A64">
        <w:t xml:space="preserve">as </w:t>
      </w:r>
      <w:r w:rsidR="0041520B" w:rsidRPr="00054C26">
        <w:t xml:space="preserve">sexual orientation </w:t>
      </w:r>
      <w:r w:rsidRPr="00054C26">
        <w:t>and transgender equality,</w:t>
      </w:r>
      <w:r w:rsidR="0041520B" w:rsidRPr="00054C26">
        <w:t xml:space="preserve"> has </w:t>
      </w:r>
      <w:r w:rsidR="00054C26" w:rsidRPr="00054C26">
        <w:t xml:space="preserve">likely </w:t>
      </w:r>
      <w:r w:rsidR="0041520B" w:rsidRPr="00054C26">
        <w:t>also limited opportu</w:t>
      </w:r>
      <w:r w:rsidR="0047323F" w:rsidRPr="00054C26">
        <w:t>nit</w:t>
      </w:r>
      <w:r w:rsidR="0041520B" w:rsidRPr="00054C26">
        <w:t>ies</w:t>
      </w:r>
      <w:r w:rsidR="0068303A" w:rsidRPr="00054C26">
        <w:t xml:space="preserve"> to address these inequalities.</w:t>
      </w:r>
    </w:p>
    <w:p w14:paraId="59C46639" w14:textId="77777777" w:rsidR="004E589D" w:rsidRPr="00054C26" w:rsidRDefault="004E589D" w:rsidP="00054C26">
      <w:pPr>
        <w:pStyle w:val="zH1"/>
      </w:pPr>
      <w:bookmarkStart w:id="31" w:name="_Toc513725348"/>
      <w:bookmarkStart w:id="32" w:name="_Toc514235140"/>
      <w:bookmarkStart w:id="33" w:name="_Toc535396283"/>
      <w:r w:rsidRPr="00054C26">
        <w:t>Article 5</w:t>
      </w:r>
      <w:r w:rsidR="006D5FC3">
        <w:t>:</w:t>
      </w:r>
      <w:r w:rsidRPr="00054C26">
        <w:t xml:space="preserve"> Roles and Stereotyping</w:t>
      </w:r>
      <w:bookmarkEnd w:id="31"/>
      <w:bookmarkEnd w:id="32"/>
      <w:bookmarkEnd w:id="33"/>
    </w:p>
    <w:p w14:paraId="5E927265" w14:textId="77777777" w:rsidR="004E589D" w:rsidRPr="00BD2D1D" w:rsidRDefault="004E589D" w:rsidP="006B06AC">
      <w:pPr>
        <w:pStyle w:val="zH2"/>
      </w:pPr>
      <w:bookmarkStart w:id="34" w:name="_Toc513725349"/>
      <w:bookmarkStart w:id="35" w:name="_Toc514235141"/>
      <w:bookmarkStart w:id="36" w:name="_Toc535396284"/>
      <w:r w:rsidRPr="00BD2D1D">
        <w:t>Challenge gender stereotyping</w:t>
      </w:r>
      <w:bookmarkEnd w:id="34"/>
      <w:bookmarkEnd w:id="35"/>
      <w:bookmarkEnd w:id="36"/>
    </w:p>
    <w:p w14:paraId="333B76CA"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4F1298">
        <w:rPr>
          <w:u w:val="single"/>
        </w:rPr>
        <w:t>Recommendation</w:t>
      </w:r>
      <w:r w:rsidR="00857009" w:rsidRPr="00857009">
        <w:rPr>
          <w:u w:val="single"/>
        </w:rPr>
        <w:t xml:space="preserve">: </w:t>
      </w:r>
    </w:p>
    <w:p w14:paraId="0B490505" w14:textId="77777777" w:rsidR="002023E9" w:rsidRDefault="00CB6860" w:rsidP="002023E9">
      <w:pPr>
        <w:pStyle w:val="zSummBox"/>
        <w:numPr>
          <w:ilvl w:val="0"/>
          <w:numId w:val="0"/>
        </w:numPr>
        <w:ind w:left="1134"/>
      </w:pPr>
      <w:r>
        <w:t>We recommend</w:t>
      </w:r>
      <w:r w:rsidR="000613C0">
        <w:t xml:space="preserve"> </w:t>
      </w:r>
      <w:r w:rsidR="002023E9">
        <w:t xml:space="preserve">Government </w:t>
      </w:r>
      <w:r w:rsidR="004F1298">
        <w:t xml:space="preserve">action </w:t>
      </w:r>
      <w:r w:rsidR="002023E9">
        <w:t xml:space="preserve">in Northern Ireland to challenge gender stereotypes, including in </w:t>
      </w:r>
      <w:r w:rsidR="00E111AD">
        <w:t xml:space="preserve">relation to </w:t>
      </w:r>
      <w:r w:rsidR="002023E9">
        <w:t>education, work, the media, and wider society</w:t>
      </w:r>
      <w:r>
        <w:t xml:space="preserve">. </w:t>
      </w:r>
    </w:p>
    <w:p w14:paraId="0B5237EF" w14:textId="28A60721" w:rsidR="002E7FCF" w:rsidRPr="002E7FCF" w:rsidRDefault="00213F41" w:rsidP="002E7FCF">
      <w:pPr>
        <w:pStyle w:val="zNumPara"/>
      </w:pPr>
      <w:r>
        <w:t>Further action is need to challenge g</w:t>
      </w:r>
      <w:r w:rsidR="002E7FCF" w:rsidRPr="00567EFB">
        <w:t>ender stereotyping in the curriculum, careers advice and subject choice</w:t>
      </w:r>
      <w:r w:rsidR="002E7FCF" w:rsidRPr="00567EFB">
        <w:rPr>
          <w:rStyle w:val="FootnoteReference"/>
          <w:rFonts w:eastAsiaTheme="minorEastAsia"/>
        </w:rPr>
        <w:footnoteReference w:id="43"/>
      </w:r>
      <w:r w:rsidR="002E7FCF" w:rsidRPr="00567EFB">
        <w:t xml:space="preserve">. Gender stereotypes are prevalent in the </w:t>
      </w:r>
      <w:r w:rsidR="002E7FCF" w:rsidRPr="00567EFB">
        <w:rPr>
          <w:i/>
        </w:rPr>
        <w:t>media and social media</w:t>
      </w:r>
      <w:r w:rsidR="002E7FCF" w:rsidRPr="00567EFB">
        <w:t>, incl</w:t>
      </w:r>
      <w:r w:rsidR="002E7FCF">
        <w:t>uding advertising and marketing</w:t>
      </w:r>
      <w:r w:rsidR="002E7FCF" w:rsidRPr="00567EFB">
        <w:rPr>
          <w:rStyle w:val="FootnoteReference"/>
          <w:rFonts w:eastAsiaTheme="minorEastAsia"/>
          <w:color w:val="4C5B52"/>
          <w:lang w:eastAsia="en-GB"/>
        </w:rPr>
        <w:footnoteReference w:id="44"/>
      </w:r>
      <w:r w:rsidR="002E7FCF">
        <w:rPr>
          <w:color w:val="4C5B52"/>
          <w:lang w:eastAsia="en-GB"/>
        </w:rPr>
        <w:t xml:space="preserve">. </w:t>
      </w:r>
    </w:p>
    <w:p w14:paraId="6C387841" w14:textId="122A9954" w:rsidR="002E7FCF" w:rsidRDefault="002D4347" w:rsidP="00787F73">
      <w:pPr>
        <w:pStyle w:val="zNumPara"/>
      </w:pPr>
      <w:r>
        <w:rPr>
          <w:lang w:eastAsia="en-GB"/>
        </w:rPr>
        <w:t xml:space="preserve">Research in Northern Ireland has highlighted the need to </w:t>
      </w:r>
      <w:r w:rsidR="003871AE">
        <w:rPr>
          <w:lang w:eastAsia="en-GB"/>
        </w:rPr>
        <w:t xml:space="preserve">ensure </w:t>
      </w:r>
      <w:r w:rsidR="002E7FCF" w:rsidRPr="00567EFB">
        <w:rPr>
          <w:lang w:eastAsia="en-GB"/>
        </w:rPr>
        <w:t>a greater collaborative effort to encourage women into STEM sectors</w:t>
      </w:r>
      <w:r w:rsidR="002E7FCF" w:rsidRPr="00567EFB">
        <w:t>, and to challenge stereotyping and bias</w:t>
      </w:r>
      <w:r w:rsidR="00A65908" w:rsidRPr="00567EFB">
        <w:rPr>
          <w:rStyle w:val="FootnoteReference"/>
          <w:rFonts w:eastAsiaTheme="minorEastAsia"/>
        </w:rPr>
        <w:footnoteReference w:id="45"/>
      </w:r>
      <w:r w:rsidR="002E7FCF" w:rsidRPr="00567EFB">
        <w:t>.</w:t>
      </w:r>
      <w:r w:rsidR="0072423F">
        <w:t xml:space="preserve"> </w:t>
      </w:r>
    </w:p>
    <w:p w14:paraId="4D6A4ACD" w14:textId="17F036F2" w:rsidR="002E7FCF" w:rsidRDefault="002E7FCF" w:rsidP="00EF5DA0">
      <w:pPr>
        <w:pStyle w:val="zNumPara"/>
      </w:pPr>
      <w:r w:rsidRPr="004F7BB2">
        <w:t xml:space="preserve">A </w:t>
      </w:r>
      <w:r w:rsidR="002F4F9C" w:rsidRPr="004F7BB2">
        <w:t xml:space="preserve">2018 </w:t>
      </w:r>
      <w:r w:rsidRPr="004F7BB2">
        <w:t>CEDAW Committee Inquiry report found prevalence of discriminatory gender stereotypes on women’s role as mothers as rooted in culture and religion and the non-existence of policy to counter existing negative stereotypes</w:t>
      </w:r>
      <w:r w:rsidRPr="004F7BB2">
        <w:rPr>
          <w:rStyle w:val="FootnoteReference"/>
          <w:rFonts w:eastAsiaTheme="minorEastAsia"/>
        </w:rPr>
        <w:footnoteReference w:id="46"/>
      </w:r>
      <w:r w:rsidRPr="004F7BB2">
        <w:t>.</w:t>
      </w:r>
    </w:p>
    <w:p w14:paraId="75789FE0" w14:textId="77777777" w:rsidR="00515AAD" w:rsidRDefault="00515AAD" w:rsidP="003649DE">
      <w:pPr>
        <w:pStyle w:val="zNumPara"/>
        <w:numPr>
          <w:ilvl w:val="0"/>
          <w:numId w:val="0"/>
        </w:numPr>
      </w:pPr>
    </w:p>
    <w:p w14:paraId="01C4779D" w14:textId="77777777" w:rsidR="004E589D" w:rsidRPr="00BD2D1D" w:rsidRDefault="004E589D" w:rsidP="006B06AC">
      <w:pPr>
        <w:pStyle w:val="zH2"/>
      </w:pPr>
      <w:bookmarkStart w:id="37" w:name="_Toc513725350"/>
      <w:bookmarkStart w:id="38" w:name="_Toc514235142"/>
      <w:bookmarkStart w:id="39" w:name="_Toc535396285"/>
      <w:r w:rsidRPr="00BD2D1D">
        <w:t>Tackle the objectification and degradation of women</w:t>
      </w:r>
      <w:bookmarkEnd w:id="37"/>
      <w:bookmarkEnd w:id="38"/>
      <w:bookmarkEnd w:id="39"/>
    </w:p>
    <w:p w14:paraId="692D6D0B"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11163E">
        <w:rPr>
          <w:u w:val="single"/>
        </w:rPr>
        <w:t>Recommendation</w:t>
      </w:r>
      <w:r w:rsidR="00857009" w:rsidRPr="00857009">
        <w:rPr>
          <w:u w:val="single"/>
        </w:rPr>
        <w:t xml:space="preserve">: </w:t>
      </w:r>
    </w:p>
    <w:p w14:paraId="0EBD22E2" w14:textId="77777777" w:rsidR="00857009" w:rsidRDefault="00CB6860" w:rsidP="00857009">
      <w:pPr>
        <w:pStyle w:val="zSummBox"/>
        <w:numPr>
          <w:ilvl w:val="0"/>
          <w:numId w:val="0"/>
        </w:numPr>
        <w:ind w:left="1134"/>
      </w:pPr>
      <w:r>
        <w:t xml:space="preserve">We recommend </w:t>
      </w:r>
      <w:r w:rsidR="002023E9" w:rsidRPr="002023E9">
        <w:t xml:space="preserve">Government </w:t>
      </w:r>
      <w:r w:rsidR="00AA6049">
        <w:t xml:space="preserve">action </w:t>
      </w:r>
      <w:r>
        <w:t xml:space="preserve">to </w:t>
      </w:r>
      <w:r w:rsidR="002023E9" w:rsidRPr="002023E9">
        <w:t>tack</w:t>
      </w:r>
      <w:r>
        <w:t>le</w:t>
      </w:r>
      <w:r w:rsidR="002023E9" w:rsidRPr="002023E9">
        <w:t xml:space="preserve"> the objectification and degradation of women, including in the media, in Northern Ireland</w:t>
      </w:r>
      <w:r>
        <w:t>.</w:t>
      </w:r>
    </w:p>
    <w:p w14:paraId="08EFE117" w14:textId="147EB7C3" w:rsidR="004E589D" w:rsidRPr="003649DE" w:rsidRDefault="002658BD" w:rsidP="004E589D">
      <w:pPr>
        <w:pStyle w:val="zNumPara"/>
      </w:pPr>
      <w:r>
        <w:t>There is evidence of the objectification and degradation of women</w:t>
      </w:r>
      <w:r w:rsidR="00FE1AD8">
        <w:t xml:space="preserve">, </w:t>
      </w:r>
      <w:r>
        <w:t>including in the media</w:t>
      </w:r>
      <w:r w:rsidR="00FE1AD8">
        <w:rPr>
          <w:rStyle w:val="FootnoteReference"/>
        </w:rPr>
        <w:footnoteReference w:id="47"/>
      </w:r>
      <w:r w:rsidR="007503AF">
        <w:t xml:space="preserve"> </w:t>
      </w:r>
      <w:r w:rsidR="002E7FCF" w:rsidRPr="00567EFB">
        <w:rPr>
          <w:rStyle w:val="FootnoteReference"/>
          <w:rFonts w:eastAsiaTheme="majorEastAsia"/>
        </w:rPr>
        <w:footnoteReference w:id="48"/>
      </w:r>
      <w:r w:rsidR="00F15CAD">
        <w:t xml:space="preserve">, and </w:t>
      </w:r>
      <w:r w:rsidR="002E7FCF" w:rsidRPr="00567EFB">
        <w:t>of an increasingly sexual and sexualised culture</w:t>
      </w:r>
      <w:r w:rsidR="002E7FCF" w:rsidRPr="00567EFB">
        <w:rPr>
          <w:rStyle w:val="FootnoteReference"/>
          <w:rFonts w:eastAsiaTheme="minorEastAsia"/>
        </w:rPr>
        <w:footnoteReference w:id="49"/>
      </w:r>
      <w:r w:rsidR="002E7FCF" w:rsidRPr="00567EFB">
        <w:t xml:space="preserve">. </w:t>
      </w:r>
      <w:r w:rsidR="002E7FCF" w:rsidRPr="00567EFB">
        <w:rPr>
          <w:rStyle w:val="FootnoteReference"/>
          <w:rFonts w:eastAsiaTheme="minorEastAsia"/>
          <w:b/>
        </w:rPr>
        <w:t xml:space="preserve">  </w:t>
      </w:r>
    </w:p>
    <w:p w14:paraId="5C5C5E19" w14:textId="229FAC24" w:rsidR="003649DE" w:rsidRDefault="003649DE" w:rsidP="003649DE">
      <w:pPr>
        <w:pStyle w:val="zH1"/>
        <w:numPr>
          <w:ilvl w:val="0"/>
          <w:numId w:val="0"/>
        </w:numPr>
        <w:ind w:left="1134"/>
      </w:pPr>
    </w:p>
    <w:p w14:paraId="629BA5DC" w14:textId="17EBFA46" w:rsidR="003649DE" w:rsidRDefault="003649DE" w:rsidP="003649DE"/>
    <w:p w14:paraId="52ED012E" w14:textId="18705578" w:rsidR="003649DE" w:rsidRDefault="003649DE" w:rsidP="003649DE"/>
    <w:p w14:paraId="288BAC9E" w14:textId="77777777" w:rsidR="003649DE" w:rsidRPr="003649DE" w:rsidRDefault="003649DE" w:rsidP="003649DE"/>
    <w:p w14:paraId="759AF08A" w14:textId="77777777" w:rsidR="004E589D" w:rsidRDefault="004E589D" w:rsidP="00041C9B">
      <w:pPr>
        <w:pStyle w:val="zH1"/>
      </w:pPr>
      <w:bookmarkStart w:id="40" w:name="_Toc513725354"/>
      <w:bookmarkStart w:id="41" w:name="_Toc514235146"/>
      <w:bookmarkStart w:id="42" w:name="_Toc535396286"/>
      <w:r w:rsidRPr="00BD2D1D">
        <w:t>Article 7</w:t>
      </w:r>
      <w:r w:rsidR="006D5FC3">
        <w:t>:</w:t>
      </w:r>
      <w:r w:rsidRPr="00BD2D1D">
        <w:t xml:space="preserve"> Political and Public Life</w:t>
      </w:r>
      <w:bookmarkEnd w:id="40"/>
      <w:bookmarkEnd w:id="41"/>
      <w:bookmarkEnd w:id="42"/>
    </w:p>
    <w:p w14:paraId="540ADF62" w14:textId="77777777" w:rsidR="006D3529" w:rsidRPr="006D3529" w:rsidRDefault="006D3529" w:rsidP="006D3529">
      <w:pPr>
        <w:pStyle w:val="zH2"/>
      </w:pPr>
      <w:bookmarkStart w:id="43" w:name="_Toc535396287"/>
      <w:r w:rsidRPr="006D3529">
        <w:t>Advance the participation of women in public and political life and in peacebuilding.</w:t>
      </w:r>
      <w:bookmarkEnd w:id="43"/>
    </w:p>
    <w:p w14:paraId="4028992E"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11163E">
        <w:rPr>
          <w:u w:val="single"/>
        </w:rPr>
        <w:t>Recommendation</w:t>
      </w:r>
      <w:r w:rsidR="002023E9">
        <w:rPr>
          <w:u w:val="single"/>
        </w:rPr>
        <w:t>s</w:t>
      </w:r>
      <w:r w:rsidR="00857009" w:rsidRPr="00857009">
        <w:rPr>
          <w:u w:val="single"/>
        </w:rPr>
        <w:t xml:space="preserve">: </w:t>
      </w:r>
    </w:p>
    <w:p w14:paraId="708946BC" w14:textId="77777777" w:rsidR="002023E9" w:rsidRPr="00A42357" w:rsidRDefault="00CB6860" w:rsidP="002023E9">
      <w:pPr>
        <w:pStyle w:val="zSummBox"/>
        <w:numPr>
          <w:ilvl w:val="0"/>
          <w:numId w:val="0"/>
        </w:numPr>
        <w:ind w:left="1134"/>
      </w:pPr>
      <w:r>
        <w:t xml:space="preserve">We recommend </w:t>
      </w:r>
      <w:r w:rsidR="002023E9">
        <w:t xml:space="preserve">Government </w:t>
      </w:r>
      <w:r w:rsidR="00E4682E">
        <w:t>action</w:t>
      </w:r>
      <w:r w:rsidR="002F1C65">
        <w:t xml:space="preserve"> to </w:t>
      </w:r>
      <w:r w:rsidR="002023E9">
        <w:t xml:space="preserve">ensure </w:t>
      </w:r>
      <w:r w:rsidR="002F1C65">
        <w:t xml:space="preserve">it achieves </w:t>
      </w:r>
      <w:r w:rsidR="0018563F">
        <w:t xml:space="preserve">published </w:t>
      </w:r>
      <w:r w:rsidR="002023E9">
        <w:t>target</w:t>
      </w:r>
      <w:r w:rsidR="002F1C65">
        <w:t>s</w:t>
      </w:r>
      <w:r w:rsidR="002023E9">
        <w:t xml:space="preserve"> for gender equality in </w:t>
      </w:r>
      <w:r w:rsidR="002023E9" w:rsidRPr="00CC3636">
        <w:t>public appointments</w:t>
      </w:r>
      <w:r w:rsidR="002023E9">
        <w:t xml:space="preserve">, including through implementing the 2014 recommendations of the Commissioner </w:t>
      </w:r>
      <w:r w:rsidR="002023E9" w:rsidRPr="00A42357">
        <w:t>for Public Appointments for Northern Ireland</w:t>
      </w:r>
      <w:r>
        <w:t>.</w:t>
      </w:r>
    </w:p>
    <w:p w14:paraId="5D6B9002" w14:textId="2571716C" w:rsidR="002C13A1" w:rsidRDefault="00CB6860" w:rsidP="00682F97">
      <w:pPr>
        <w:pStyle w:val="zSummBox"/>
        <w:numPr>
          <w:ilvl w:val="0"/>
          <w:numId w:val="0"/>
        </w:numPr>
        <w:ind w:left="1134"/>
      </w:pPr>
      <w:r>
        <w:t xml:space="preserve">We recommend </w:t>
      </w:r>
      <w:r w:rsidR="002023E9" w:rsidRPr="00A42357">
        <w:t>Government</w:t>
      </w:r>
      <w:r>
        <w:t xml:space="preserve"> action</w:t>
      </w:r>
      <w:r w:rsidR="00682F97" w:rsidRPr="00A42357">
        <w:t xml:space="preserve">, including </w:t>
      </w:r>
      <w:r w:rsidR="00E13FED" w:rsidRPr="00A42357">
        <w:t xml:space="preserve">via </w:t>
      </w:r>
      <w:r w:rsidR="00682F97" w:rsidRPr="00A42357">
        <w:t>temporary special measures,</w:t>
      </w:r>
      <w:r w:rsidR="002023E9" w:rsidRPr="00A42357">
        <w:t xml:space="preserve"> to </w:t>
      </w:r>
      <w:r w:rsidR="00D56F3F" w:rsidRPr="00A42357">
        <w:t>overcome key barriers to women</w:t>
      </w:r>
      <w:r w:rsidR="00A4020B" w:rsidRPr="00A42357">
        <w:t xml:space="preserve">’s participation </w:t>
      </w:r>
      <w:r w:rsidR="002023E9" w:rsidRPr="00A42357">
        <w:t>in political life</w:t>
      </w:r>
      <w:r w:rsidR="00FD5DD0" w:rsidRPr="00A42357">
        <w:t xml:space="preserve">, </w:t>
      </w:r>
      <w:r w:rsidR="002023E9" w:rsidRPr="00A42357">
        <w:t>economic decision making</w:t>
      </w:r>
      <w:r w:rsidR="006837B4" w:rsidRPr="00A42357">
        <w:t xml:space="preserve">, </w:t>
      </w:r>
      <w:r w:rsidR="00F515EA" w:rsidRPr="00A42357">
        <w:t>and peace building</w:t>
      </w:r>
      <w:r w:rsidR="00FD5DD0" w:rsidRPr="00A42357">
        <w:t xml:space="preserve"> in Northern Ireland; </w:t>
      </w:r>
      <w:r w:rsidR="00F515EA" w:rsidRPr="00A42357">
        <w:t xml:space="preserve">including to implement </w:t>
      </w:r>
      <w:r w:rsidR="002C13A1" w:rsidRPr="00A42357">
        <w:t xml:space="preserve">in </w:t>
      </w:r>
      <w:r w:rsidR="00FD5DD0" w:rsidRPr="00A42357">
        <w:t>Northern</w:t>
      </w:r>
      <w:r w:rsidR="002C13A1" w:rsidRPr="00A42357">
        <w:t xml:space="preserve"> Ireland the aspects </w:t>
      </w:r>
      <w:r w:rsidR="00FD5DD0" w:rsidRPr="00A42357">
        <w:t xml:space="preserve">of </w:t>
      </w:r>
      <w:r w:rsidR="002C13A1" w:rsidRPr="00A42357">
        <w:t>UNSCR</w:t>
      </w:r>
      <w:r w:rsidR="002C13A1" w:rsidRPr="002C13A1">
        <w:t xml:space="preserve"> 1325 </w:t>
      </w:r>
      <w:r w:rsidR="002C13A1">
        <w:t xml:space="preserve">which </w:t>
      </w:r>
      <w:r w:rsidR="007A1F6C">
        <w:t xml:space="preserve">it </w:t>
      </w:r>
      <w:r w:rsidR="002C13A1">
        <w:t>consider</w:t>
      </w:r>
      <w:r w:rsidR="007A1F6C">
        <w:t>s</w:t>
      </w:r>
      <w:r w:rsidR="002C13A1">
        <w:t xml:space="preserve"> </w:t>
      </w:r>
      <w:r w:rsidR="002C13A1" w:rsidRPr="00FD5DD0">
        <w:rPr>
          <w:i/>
        </w:rPr>
        <w:t>“are relevant to all states”</w:t>
      </w:r>
      <w:r>
        <w:t xml:space="preserve">. </w:t>
      </w:r>
    </w:p>
    <w:p w14:paraId="0280845B" w14:textId="6A8D48E5" w:rsidR="00E13FED" w:rsidRDefault="007355F1" w:rsidP="004F7BB2">
      <w:pPr>
        <w:pStyle w:val="zNumPara"/>
      </w:pPr>
      <w:r w:rsidRPr="00567EFB">
        <w:t>Women remain under-represented in all spheres of political life</w:t>
      </w:r>
      <w:r w:rsidR="00553FD5">
        <w:t>,</w:t>
      </w:r>
      <w:r w:rsidRPr="00567EFB">
        <w:t xml:space="preserve"> at </w:t>
      </w:r>
      <w:r w:rsidRPr="00B072C2">
        <w:t>Westminster, in the Assembly and in local government</w:t>
      </w:r>
      <w:r w:rsidRPr="00B072C2">
        <w:rPr>
          <w:rStyle w:val="FootnoteReference"/>
          <w:rFonts w:eastAsiaTheme="minorEastAsia"/>
        </w:rPr>
        <w:footnoteReference w:id="50"/>
      </w:r>
      <w:r w:rsidRPr="00B072C2">
        <w:t xml:space="preserve">, as well as in </w:t>
      </w:r>
      <w:r w:rsidR="00345603" w:rsidRPr="00B072C2">
        <w:t>public life</w:t>
      </w:r>
      <w:r w:rsidR="00553FD5" w:rsidRPr="00B072C2">
        <w:t xml:space="preserve"> </w:t>
      </w:r>
      <w:r w:rsidR="00345603" w:rsidRPr="00B072C2">
        <w:t xml:space="preserve">and </w:t>
      </w:r>
      <w:r w:rsidRPr="00B072C2">
        <w:t>econo</w:t>
      </w:r>
      <w:r w:rsidR="00E13FED" w:rsidRPr="00B072C2">
        <w:t>mic decision-</w:t>
      </w:r>
      <w:r w:rsidR="008F5EC2">
        <w:t>making (including</w:t>
      </w:r>
      <w:r w:rsidRPr="00B072C2">
        <w:t xml:space="preserve"> private</w:t>
      </w:r>
      <w:r w:rsidR="006E79A6">
        <w:t xml:space="preserve"> sector boards</w:t>
      </w:r>
      <w:r w:rsidR="00B072C2" w:rsidRPr="00B072C2">
        <w:rPr>
          <w:rStyle w:val="FootnoteReference"/>
          <w:rFonts w:eastAsiaTheme="minorEastAsia"/>
        </w:rPr>
        <w:footnoteReference w:id="51"/>
      </w:r>
      <w:r w:rsidRPr="00B072C2">
        <w:t xml:space="preserve"> </w:t>
      </w:r>
      <w:r w:rsidR="008F5EC2">
        <w:t>and</w:t>
      </w:r>
      <w:r w:rsidR="006E79A6">
        <w:t xml:space="preserve"> government public appointments</w:t>
      </w:r>
      <w:r w:rsidR="006E79A6" w:rsidRPr="00B072C2">
        <w:rPr>
          <w:rStyle w:val="FootnoteReference"/>
        </w:rPr>
        <w:footnoteReference w:id="52"/>
      </w:r>
      <w:r w:rsidRPr="00B072C2">
        <w:t>). A report of the Commissioner for Public</w:t>
      </w:r>
      <w:r w:rsidRPr="00567EFB">
        <w:t xml:space="preserve"> Appointments for Northern Ireland</w:t>
      </w:r>
      <w:r w:rsidRPr="00567EFB">
        <w:rPr>
          <w:rStyle w:val="FootnoteReference"/>
          <w:rFonts w:eastAsiaTheme="majorEastAsia"/>
        </w:rPr>
        <w:footnoteReference w:id="53"/>
      </w:r>
      <w:r w:rsidRPr="00567EFB">
        <w:t xml:space="preserve"> </w:t>
      </w:r>
      <w:r w:rsidR="00C239EF">
        <w:t>(</w:t>
      </w:r>
      <w:r w:rsidRPr="00567EFB">
        <w:t>2014</w:t>
      </w:r>
      <w:r w:rsidR="00C239EF">
        <w:t>)</w:t>
      </w:r>
      <w:r w:rsidRPr="00567EFB">
        <w:t xml:space="preserve"> outlined recommendations to improve diversity in public appointments.</w:t>
      </w:r>
      <w:r>
        <w:t xml:space="preserve"> </w:t>
      </w:r>
    </w:p>
    <w:p w14:paraId="1762528E" w14:textId="6E3ED3BE" w:rsidR="007355F1" w:rsidRDefault="007355F1" w:rsidP="006E33EF">
      <w:pPr>
        <w:pStyle w:val="zNumPara"/>
      </w:pPr>
      <w:r w:rsidRPr="00567EFB">
        <w:t xml:space="preserve">There is a need for the prompt implementation of </w:t>
      </w:r>
      <w:r w:rsidR="00324CDB">
        <w:t xml:space="preserve">a </w:t>
      </w:r>
      <w:r w:rsidR="002F1C65">
        <w:t xml:space="preserve">targeted </w:t>
      </w:r>
      <w:r w:rsidRPr="00567EFB">
        <w:t>action plan to deliver on the Northern Ireland Executive’s agreed targets</w:t>
      </w:r>
      <w:r w:rsidR="006E33EF">
        <w:t xml:space="preserve"> (a</w:t>
      </w:r>
      <w:r w:rsidR="006E33EF" w:rsidRPr="006E33EF">
        <w:t>ligned to commitments in the</w:t>
      </w:r>
      <w:r w:rsidR="006E33EF" w:rsidRPr="006E33EF">
        <w:rPr>
          <w:rStyle w:val="FootnoteReference"/>
          <w:rFonts w:eastAsiaTheme="minorEastAsia"/>
          <w:vertAlign w:val="baseline"/>
        </w:rPr>
        <w:t xml:space="preserve"> </w:t>
      </w:r>
      <w:r w:rsidR="006E33EF">
        <w:rPr>
          <w:rFonts w:eastAsiaTheme="minorEastAsia"/>
        </w:rPr>
        <w:t>Good Friday/Belfast Agreement</w:t>
      </w:r>
      <w:r w:rsidR="00D56F3F" w:rsidRPr="00567EFB">
        <w:rPr>
          <w:rStyle w:val="FootnoteReference"/>
          <w:rFonts w:eastAsiaTheme="minorEastAsia"/>
        </w:rPr>
        <w:footnoteReference w:id="54"/>
      </w:r>
      <w:r w:rsidR="006E33EF">
        <w:rPr>
          <w:rFonts w:eastAsiaTheme="minorEastAsia"/>
        </w:rPr>
        <w:t>)</w:t>
      </w:r>
      <w:r w:rsidR="002F1C65">
        <w:t xml:space="preserve">, including that by </w:t>
      </w:r>
      <w:r w:rsidR="002F1C65" w:rsidRPr="002F1C65">
        <w:t>2021 there should be gender equality for all appointees in post, reflected in both board membership and at chair level</w:t>
      </w:r>
      <w:r w:rsidRPr="00567EFB">
        <w:rPr>
          <w:rStyle w:val="FootnoteReference"/>
          <w:rFonts w:eastAsiaTheme="minorEastAsia"/>
        </w:rPr>
        <w:footnoteReference w:id="55"/>
      </w:r>
      <w:r w:rsidR="002F1C65" w:rsidRPr="002F1C65">
        <w:rPr>
          <w:rStyle w:val="FootnoteReference"/>
          <w:rFonts w:eastAsiaTheme="minorEastAsia"/>
        </w:rPr>
        <w:t xml:space="preserve"> </w:t>
      </w:r>
      <w:r w:rsidRPr="00567EFB">
        <w:rPr>
          <w:rStyle w:val="FootnoteReference"/>
          <w:rFonts w:eastAsiaTheme="minorEastAsia"/>
        </w:rPr>
        <w:footnoteReference w:id="56"/>
      </w:r>
      <w:r w:rsidRPr="00567EFB">
        <w:t xml:space="preserve">.  </w:t>
      </w:r>
    </w:p>
    <w:p w14:paraId="3205CD9B" w14:textId="4A1985BF" w:rsidR="007970FA" w:rsidRPr="007503AF" w:rsidRDefault="007355F1" w:rsidP="00C569B1">
      <w:pPr>
        <w:pStyle w:val="zNumPara"/>
      </w:pPr>
      <w:r w:rsidRPr="00CC3636">
        <w:rPr>
          <w:color w:val="333333"/>
        </w:rPr>
        <w:t>A report by the Assembly</w:t>
      </w:r>
      <w:r w:rsidR="00585043">
        <w:rPr>
          <w:color w:val="333333"/>
        </w:rPr>
        <w:t xml:space="preserve"> and Executive Review Committee</w:t>
      </w:r>
      <w:r w:rsidRPr="00CC3636">
        <w:rPr>
          <w:color w:val="333333"/>
        </w:rPr>
        <w:t xml:space="preserve"> </w:t>
      </w:r>
      <w:r w:rsidR="00585043">
        <w:rPr>
          <w:color w:val="333333"/>
        </w:rPr>
        <w:t>(</w:t>
      </w:r>
      <w:r w:rsidRPr="00CC3636">
        <w:rPr>
          <w:color w:val="333333"/>
        </w:rPr>
        <w:t>2014</w:t>
      </w:r>
      <w:r w:rsidR="00585043">
        <w:rPr>
          <w:color w:val="333333"/>
        </w:rPr>
        <w:t>)</w:t>
      </w:r>
      <w:r w:rsidRPr="00CC3636">
        <w:rPr>
          <w:color w:val="333333"/>
        </w:rPr>
        <w:t xml:space="preserve"> highlighted that “</w:t>
      </w:r>
      <w:r w:rsidRPr="00CC3636">
        <w:rPr>
          <w:i/>
          <w:color w:val="333333"/>
        </w:rPr>
        <w:t>the underrepresentation of women in politics in Northern Ireland is a serious issue which must be addressed as a matter of urgency</w:t>
      </w:r>
      <w:r w:rsidRPr="00CC3636">
        <w:rPr>
          <w:color w:val="333333"/>
        </w:rPr>
        <w:t>”</w:t>
      </w:r>
      <w:r w:rsidRPr="009232FC">
        <w:rPr>
          <w:vertAlign w:val="superscript"/>
        </w:rPr>
        <w:footnoteReference w:id="57"/>
      </w:r>
      <w:r w:rsidR="00F3625B" w:rsidRPr="00CC3636">
        <w:rPr>
          <w:color w:val="333333"/>
        </w:rPr>
        <w:t xml:space="preserve">. </w:t>
      </w:r>
      <w:r w:rsidR="006E33EF">
        <w:rPr>
          <w:color w:val="333333"/>
        </w:rPr>
        <w:t xml:space="preserve">There is a need for additional steps to address the under-representation of women in political life, including </w:t>
      </w:r>
      <w:r w:rsidR="006E33EF" w:rsidRPr="006E33EF">
        <w:rPr>
          <w:i/>
          <w:color w:val="333333"/>
        </w:rPr>
        <w:t>via</w:t>
      </w:r>
      <w:r w:rsidR="006E33EF">
        <w:rPr>
          <w:color w:val="333333"/>
        </w:rPr>
        <w:t xml:space="preserve"> temporary special measures</w:t>
      </w:r>
      <w:r w:rsidR="006E33EF">
        <w:rPr>
          <w:rStyle w:val="FootnoteReference"/>
          <w:color w:val="333333"/>
        </w:rPr>
        <w:footnoteReference w:id="58"/>
      </w:r>
      <w:r w:rsidR="006E33EF">
        <w:rPr>
          <w:color w:val="333333"/>
        </w:rPr>
        <w:t>.</w:t>
      </w:r>
    </w:p>
    <w:p w14:paraId="23AD90BF" w14:textId="21961F4C" w:rsidR="00CC3636" w:rsidRDefault="00836F54" w:rsidP="007970FA">
      <w:pPr>
        <w:pStyle w:val="zNumPara"/>
      </w:pPr>
      <w:r>
        <w:t xml:space="preserve">Barriers, including </w:t>
      </w:r>
      <w:r w:rsidR="006E33EF">
        <w:t>political, socio-economic,</w:t>
      </w:r>
      <w:r w:rsidR="007970FA" w:rsidRPr="001F7202">
        <w:t xml:space="preserve"> ideological and psychological</w:t>
      </w:r>
      <w:r>
        <w:t xml:space="preserve">, </w:t>
      </w:r>
      <w:r w:rsidR="007970FA">
        <w:t xml:space="preserve">to </w:t>
      </w:r>
      <w:r>
        <w:t xml:space="preserve">women’s </w:t>
      </w:r>
      <w:r w:rsidR="007970FA">
        <w:t>participation in political and public life</w:t>
      </w:r>
      <w:r>
        <w:t>, need addressed</w:t>
      </w:r>
      <w:r w:rsidR="007970FA" w:rsidRPr="00567EFB">
        <w:rPr>
          <w:rStyle w:val="FootnoteReference"/>
          <w:rFonts w:eastAsiaTheme="minorEastAsia"/>
        </w:rPr>
        <w:footnoteReference w:id="59"/>
      </w:r>
      <w:r w:rsidR="007970FA">
        <w:t>.</w:t>
      </w:r>
    </w:p>
    <w:p w14:paraId="5496B645" w14:textId="19E7020B" w:rsidR="00D56F3F" w:rsidRDefault="00D56F3F" w:rsidP="0086392D">
      <w:pPr>
        <w:pStyle w:val="zNumPara"/>
      </w:pPr>
      <w:r>
        <w:t>A 2014</w:t>
      </w:r>
      <w:r w:rsidR="007355F1" w:rsidRPr="00CC3636">
        <w:rPr>
          <w:i/>
        </w:rPr>
        <w:t xml:space="preserve"> Inquiry</w:t>
      </w:r>
      <w:r w:rsidRPr="00567EFB">
        <w:rPr>
          <w:rStyle w:val="FootnoteReference"/>
          <w:rFonts w:eastAsiaTheme="minorEastAsia"/>
        </w:rPr>
        <w:footnoteReference w:id="60"/>
      </w:r>
      <w:r w:rsidR="007355F1" w:rsidRPr="00CC3636">
        <w:rPr>
          <w:i/>
        </w:rPr>
        <w:t xml:space="preserve"> </w:t>
      </w:r>
      <w:r w:rsidR="007355F1" w:rsidRPr="00567EFB">
        <w:t>found that women face barriers to participation in peace building</w:t>
      </w:r>
      <w:r w:rsidR="00B072C2">
        <w:rPr>
          <w:rStyle w:val="FootnoteReference"/>
        </w:rPr>
        <w:footnoteReference w:id="61"/>
      </w:r>
      <w:r w:rsidR="007355F1" w:rsidRPr="00567EFB">
        <w:t xml:space="preserve"> and post conflict reconstruction, as wel</w:t>
      </w:r>
      <w:r>
        <w:t>l as in other areas of decision-</w:t>
      </w:r>
      <w:r w:rsidR="007355F1" w:rsidRPr="00567EFB">
        <w:t>making</w:t>
      </w:r>
      <w:r w:rsidR="00836F54">
        <w:rPr>
          <w:rStyle w:val="FootnoteReference"/>
        </w:rPr>
        <w:footnoteReference w:id="62"/>
      </w:r>
      <w:r w:rsidRPr="00D56F3F">
        <w:t xml:space="preserve">. </w:t>
      </w:r>
    </w:p>
    <w:p w14:paraId="34DB4876" w14:textId="0CF34467" w:rsidR="00D27973" w:rsidRDefault="00836F54" w:rsidP="00160AB2">
      <w:pPr>
        <w:pStyle w:val="zNumPara"/>
      </w:pPr>
      <w:r>
        <w:t xml:space="preserve">The UK Government </w:t>
      </w:r>
      <w:r w:rsidR="007355F1">
        <w:t>has no plans to integrate provisions relating to the implementation of UNSCR 1325</w:t>
      </w:r>
      <w:r w:rsidR="00E60FA3">
        <w:rPr>
          <w:rStyle w:val="FootnoteReference"/>
        </w:rPr>
        <w:footnoteReference w:id="63"/>
      </w:r>
      <w:r w:rsidR="007355F1">
        <w:t xml:space="preserve"> in </w:t>
      </w:r>
      <w:r w:rsidR="0005677B">
        <w:t>Northern Ireland</w:t>
      </w:r>
      <w:r w:rsidR="007355F1">
        <w:t xml:space="preserve"> into the UK’s National Action Plan, though recog</w:t>
      </w:r>
      <w:r w:rsidR="00752894">
        <w:t>ni</w:t>
      </w:r>
      <w:r w:rsidR="007355F1">
        <w:t>ses that</w:t>
      </w:r>
      <w:r w:rsidR="007355F1" w:rsidRPr="000E43C4">
        <w:t xml:space="preserve"> </w:t>
      </w:r>
      <w:r w:rsidR="007355F1" w:rsidRPr="00E111AD">
        <w:rPr>
          <w:i/>
        </w:rPr>
        <w:t>“(n)evertheless, some aspects of UNSCR 1325, such as women’s participation in peace building and political processes, are relevant to all states”</w:t>
      </w:r>
      <w:r w:rsidR="007355F1" w:rsidRPr="00D56F3F">
        <w:rPr>
          <w:rStyle w:val="FootnoteTextChar"/>
          <w:rFonts w:eastAsiaTheme="majorEastAsia"/>
        </w:rPr>
        <w:t xml:space="preserve"> </w:t>
      </w:r>
      <w:r w:rsidR="007355F1">
        <w:rPr>
          <w:rStyle w:val="FootnoteReference"/>
          <w:rFonts w:eastAsiaTheme="majorEastAsia"/>
        </w:rPr>
        <w:footnoteReference w:id="64"/>
      </w:r>
      <w:r w:rsidR="007355F1">
        <w:t>.</w:t>
      </w:r>
      <w:r w:rsidR="00160AB2" w:rsidRPr="00160AB2">
        <w:t xml:space="preserve"> </w:t>
      </w:r>
      <w:r w:rsidR="00160AB2">
        <w:t xml:space="preserve">We await the outcome of the </w:t>
      </w:r>
      <w:r w:rsidR="00160AB2" w:rsidRPr="00160AB2">
        <w:t>Department for Communities</w:t>
      </w:r>
      <w:r w:rsidR="00160AB2">
        <w:t>’</w:t>
      </w:r>
      <w:r w:rsidR="00160AB2" w:rsidRPr="00160AB2">
        <w:t xml:space="preserve"> programme for ‘Women in Community Transformation’</w:t>
      </w:r>
      <w:r w:rsidR="00160AB2">
        <w:rPr>
          <w:rStyle w:val="FootnoteReference"/>
        </w:rPr>
        <w:footnoteReference w:id="65"/>
      </w:r>
      <w:r w:rsidR="00187F39">
        <w:t xml:space="preserve"> </w:t>
      </w:r>
      <w:r w:rsidR="00160AB2" w:rsidRPr="00160AB2">
        <w:t>.</w:t>
      </w:r>
    </w:p>
    <w:p w14:paraId="5B77B713" w14:textId="77777777" w:rsidR="004E589D" w:rsidRPr="00BD2D1D" w:rsidRDefault="004E589D" w:rsidP="00E13FED">
      <w:pPr>
        <w:pStyle w:val="zH1"/>
      </w:pPr>
      <w:bookmarkStart w:id="44" w:name="_Toc513725356"/>
      <w:bookmarkStart w:id="45" w:name="_Toc514235148"/>
      <w:bookmarkStart w:id="46" w:name="_Toc535396288"/>
      <w:r w:rsidRPr="00BD2D1D">
        <w:t>Article 10</w:t>
      </w:r>
      <w:r w:rsidR="006D5FC3">
        <w:t xml:space="preserve">: </w:t>
      </w:r>
      <w:r w:rsidRPr="00BD2D1D">
        <w:t>Education</w:t>
      </w:r>
      <w:bookmarkEnd w:id="44"/>
      <w:bookmarkEnd w:id="45"/>
      <w:bookmarkEnd w:id="46"/>
    </w:p>
    <w:p w14:paraId="1AB73670" w14:textId="77777777" w:rsidR="004E589D" w:rsidRDefault="004E589D" w:rsidP="00E13FED">
      <w:pPr>
        <w:pStyle w:val="zH2"/>
      </w:pPr>
      <w:bookmarkStart w:id="47" w:name="_Toc513725357"/>
      <w:bookmarkStart w:id="48" w:name="_Toc514235149"/>
      <w:bookmarkStart w:id="49" w:name="_Toc535396289"/>
      <w:r>
        <w:t xml:space="preserve">Promote </w:t>
      </w:r>
      <w:r w:rsidR="00C4439E">
        <w:t xml:space="preserve">women’s </w:t>
      </w:r>
      <w:r>
        <w:t xml:space="preserve">equality </w:t>
      </w:r>
      <w:r w:rsidRPr="00BD2D1D">
        <w:t>in education</w:t>
      </w:r>
      <w:bookmarkEnd w:id="47"/>
      <w:bookmarkEnd w:id="48"/>
      <w:r w:rsidR="006D3529">
        <w:t xml:space="preserve"> and c</w:t>
      </w:r>
      <w:r w:rsidR="006D3529" w:rsidRPr="006D3529">
        <w:t>hallenge gender based bullying</w:t>
      </w:r>
      <w:bookmarkEnd w:id="49"/>
    </w:p>
    <w:p w14:paraId="01B014B3"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7C3174">
        <w:rPr>
          <w:u w:val="single"/>
        </w:rPr>
        <w:t>Recommendation</w:t>
      </w:r>
      <w:r w:rsidR="00857009" w:rsidRPr="00857009">
        <w:rPr>
          <w:u w:val="single"/>
        </w:rPr>
        <w:t xml:space="preserve">: </w:t>
      </w:r>
    </w:p>
    <w:p w14:paraId="5B16B85E" w14:textId="77777777" w:rsidR="00857009" w:rsidRPr="00A77230" w:rsidRDefault="0011163E" w:rsidP="006D3529">
      <w:pPr>
        <w:pStyle w:val="zSummBox"/>
        <w:numPr>
          <w:ilvl w:val="0"/>
          <w:numId w:val="0"/>
        </w:numPr>
        <w:ind w:left="1134"/>
      </w:pPr>
      <w:r>
        <w:t xml:space="preserve">We recommend </w:t>
      </w:r>
      <w:r w:rsidR="002023E9" w:rsidRPr="002023E9">
        <w:t xml:space="preserve">Government </w:t>
      </w:r>
      <w:r w:rsidR="003F0D97">
        <w:t xml:space="preserve">action </w:t>
      </w:r>
      <w:r w:rsidR="002023E9" w:rsidRPr="002023E9">
        <w:t>to tackle inequalities and challenge gender stereotypes experienced by women in Northern Ireland in all stages of education and vocational training</w:t>
      </w:r>
      <w:r w:rsidR="00B072C2">
        <w:t xml:space="preserve"> (</w:t>
      </w:r>
      <w:r w:rsidR="002023E9" w:rsidRPr="002023E9">
        <w:t>including through the curriculum</w:t>
      </w:r>
      <w:r w:rsidR="00947041">
        <w:t xml:space="preserve">, </w:t>
      </w:r>
      <w:r w:rsidR="002023E9" w:rsidRPr="002023E9">
        <w:t xml:space="preserve">subject choice, careers advice, and teacher training; ensure gender </w:t>
      </w:r>
      <w:r w:rsidR="002023E9" w:rsidRPr="00A77230">
        <w:t>mainstreaming in educational bodies; remove barriers to non-traditional career paths for girls</w:t>
      </w:r>
      <w:r w:rsidR="00FB4627">
        <w:t>, including in STEM subjects</w:t>
      </w:r>
      <w:r w:rsidR="002023E9" w:rsidRPr="00A77230">
        <w:t>; and to eliminate gender based bullying</w:t>
      </w:r>
      <w:r w:rsidR="00B072C2">
        <w:t>)</w:t>
      </w:r>
      <w:r w:rsidR="007C3174">
        <w:t>.</w:t>
      </w:r>
    </w:p>
    <w:p w14:paraId="11ABE7D6" w14:textId="7903EAE8" w:rsidR="004B185D" w:rsidRPr="004B185D" w:rsidRDefault="004B185D" w:rsidP="004B185D">
      <w:pPr>
        <w:pStyle w:val="zNumPara"/>
      </w:pPr>
      <w:r w:rsidRPr="00567EFB">
        <w:t>As regards subject choice, there is a lower proportion of girls than boys studying STEM</w:t>
      </w:r>
      <w:r w:rsidRPr="00567EFB">
        <w:rPr>
          <w:rStyle w:val="FootnoteReference"/>
          <w:rFonts w:eastAsiaTheme="minorEastAsia"/>
        </w:rPr>
        <w:footnoteReference w:id="66"/>
      </w:r>
      <w:r w:rsidRPr="00567EFB">
        <w:t xml:space="preserve"> </w:t>
      </w:r>
      <w:r w:rsidR="001B2D6A">
        <w:t xml:space="preserve">related </w:t>
      </w:r>
      <w:r w:rsidRPr="00567EFB">
        <w:t xml:space="preserve">subjects in higher </w:t>
      </w:r>
      <w:r w:rsidRPr="0070196F">
        <w:t>education</w:t>
      </w:r>
      <w:r w:rsidRPr="0070196F">
        <w:rPr>
          <w:rStyle w:val="FootnoteReference"/>
          <w:rFonts w:eastAsiaTheme="minorEastAsia"/>
        </w:rPr>
        <w:footnoteReference w:id="67"/>
      </w:r>
      <w:r w:rsidRPr="0070196F">
        <w:t xml:space="preserve">.  </w:t>
      </w:r>
      <w:r w:rsidR="00836F54" w:rsidRPr="00567EFB">
        <w:t xml:space="preserve">While girls’ educational attainment has improved, </w:t>
      </w:r>
      <w:r w:rsidR="00836F54">
        <w:t>f</w:t>
      </w:r>
      <w:r w:rsidR="00187F39" w:rsidRPr="0070196F">
        <w:t xml:space="preserve">urther action is needed to </w:t>
      </w:r>
      <w:r w:rsidR="00325A80" w:rsidRPr="0070196F">
        <w:t>ensure gender mainstreaming in the policies and practices of educational bodies</w:t>
      </w:r>
      <w:r w:rsidR="00D10267">
        <w:t>,</w:t>
      </w:r>
      <w:r w:rsidR="00D10267" w:rsidRPr="00D10267">
        <w:t xml:space="preserve"> </w:t>
      </w:r>
      <w:r w:rsidR="00D10267">
        <w:t xml:space="preserve">to challenge </w:t>
      </w:r>
      <w:r w:rsidR="00D10267" w:rsidRPr="00567EFB">
        <w:t>gender stereotyping</w:t>
      </w:r>
      <w:r w:rsidR="00D10267" w:rsidRPr="00567EFB">
        <w:rPr>
          <w:rStyle w:val="FootnoteReference"/>
          <w:rFonts w:eastAsiaTheme="minorEastAsia"/>
        </w:rPr>
        <w:footnoteReference w:id="68"/>
      </w:r>
      <w:r w:rsidR="00D10267">
        <w:t>,</w:t>
      </w:r>
      <w:r w:rsidR="00325A80" w:rsidRPr="0070196F">
        <w:t xml:space="preserve"> and to promote gender equality including in the curriculum</w:t>
      </w:r>
      <w:r w:rsidR="00D10267" w:rsidRPr="00B352ED">
        <w:rPr>
          <w:rStyle w:val="FootnoteReference"/>
          <w:rFonts w:eastAsiaTheme="minorEastAsia"/>
        </w:rPr>
        <w:footnoteReference w:id="69"/>
      </w:r>
      <w:r w:rsidR="00325A80" w:rsidRPr="0070196F">
        <w:t>,</w:t>
      </w:r>
      <w:r w:rsidR="00947041" w:rsidRPr="0070196F">
        <w:t xml:space="preserve"> </w:t>
      </w:r>
      <w:r w:rsidR="00325A80" w:rsidRPr="0070196F">
        <w:t>subject choice, careers advice and</w:t>
      </w:r>
      <w:r w:rsidR="00325A80" w:rsidRPr="00567EFB">
        <w:t xml:space="preserve"> teacher trai</w:t>
      </w:r>
      <w:r w:rsidR="00324CDB">
        <w:t>ni</w:t>
      </w:r>
      <w:r w:rsidR="00325A80" w:rsidRPr="00567EFB">
        <w:t>ng</w:t>
      </w:r>
      <w:r w:rsidR="00836F54" w:rsidRPr="00567EFB">
        <w:rPr>
          <w:rStyle w:val="FootnoteReference"/>
          <w:rFonts w:eastAsiaTheme="minorEastAsia"/>
        </w:rPr>
        <w:footnoteReference w:id="70"/>
      </w:r>
      <w:r w:rsidR="00325A80">
        <w:t>.</w:t>
      </w:r>
    </w:p>
    <w:p w14:paraId="1C333B80" w14:textId="53AD4C92" w:rsidR="00515AAD" w:rsidRPr="00567EFB" w:rsidRDefault="004B185D" w:rsidP="009C496A">
      <w:pPr>
        <w:pStyle w:val="zNumPara"/>
      </w:pPr>
      <w:r w:rsidRPr="00567EFB">
        <w:t>Evidence reveals that girls frequently experience bullying with a sexual mea</w:t>
      </w:r>
      <w:r w:rsidR="00BC13AB">
        <w:t>ni</w:t>
      </w:r>
      <w:r w:rsidRPr="00567EFB">
        <w:t>ng</w:t>
      </w:r>
      <w:r w:rsidRPr="00567EFB">
        <w:rPr>
          <w:rStyle w:val="FootnoteReference"/>
          <w:rFonts w:eastAsiaTheme="minorEastAsia"/>
        </w:rPr>
        <w:footnoteReference w:id="71"/>
      </w:r>
      <w:r w:rsidRPr="00567EFB">
        <w:t xml:space="preserve">. </w:t>
      </w:r>
      <w:r>
        <w:t>A</w:t>
      </w:r>
      <w:r w:rsidRPr="00567EFB">
        <w:t xml:space="preserve">nti-bullying legislation </w:t>
      </w:r>
      <w:r>
        <w:t xml:space="preserve">needs to be brought into force </w:t>
      </w:r>
      <w:r w:rsidRPr="00567EFB">
        <w:t>and supporting guidance</w:t>
      </w:r>
      <w:r w:rsidRPr="00567EFB">
        <w:rPr>
          <w:rStyle w:val="FootnoteReference"/>
          <w:rFonts w:eastAsiaTheme="minorEastAsia"/>
        </w:rPr>
        <w:footnoteReference w:id="72"/>
      </w:r>
      <w:r>
        <w:t xml:space="preserve"> produced</w:t>
      </w:r>
      <w:r w:rsidRPr="00567EFB">
        <w:t xml:space="preserve">, as well as further action to prevent prejudice based bullying, </w:t>
      </w:r>
      <w:r w:rsidR="00C11BAC">
        <w:t>including transphobic bullying</w:t>
      </w:r>
      <w:r w:rsidR="00C11BAC">
        <w:rPr>
          <w:rStyle w:val="FootnoteReference"/>
        </w:rPr>
        <w:footnoteReference w:id="73"/>
      </w:r>
      <w:r w:rsidR="00C11BAC">
        <w:t xml:space="preserve">, and to </w:t>
      </w:r>
      <w:r w:rsidRPr="00567EFB">
        <w:t>challeng</w:t>
      </w:r>
      <w:r w:rsidR="00C11BAC">
        <w:t>e</w:t>
      </w:r>
      <w:r w:rsidRPr="00567EFB">
        <w:t xml:space="preserve"> gender roles</w:t>
      </w:r>
      <w:r w:rsidRPr="00567EFB">
        <w:rPr>
          <w:rStyle w:val="FootnoteReference"/>
          <w:rFonts w:eastAsiaTheme="minorEastAsia"/>
        </w:rPr>
        <w:footnoteReference w:id="74"/>
      </w:r>
      <w:r w:rsidRPr="00567EFB">
        <w:t>.</w:t>
      </w:r>
    </w:p>
    <w:p w14:paraId="45759F59" w14:textId="77777777" w:rsidR="004E589D" w:rsidRPr="00BD2D1D" w:rsidRDefault="004E589D" w:rsidP="004E589D">
      <w:pPr>
        <w:pStyle w:val="zH1"/>
        <w:spacing w:before="240"/>
      </w:pPr>
      <w:bookmarkStart w:id="50" w:name="_Toc513725359"/>
      <w:bookmarkStart w:id="51" w:name="_Toc514235151"/>
      <w:bookmarkStart w:id="52" w:name="_Toc535396290"/>
      <w:r w:rsidRPr="00BD2D1D">
        <w:t>Article 11</w:t>
      </w:r>
      <w:r w:rsidR="006D5FC3">
        <w:t xml:space="preserve">: </w:t>
      </w:r>
      <w:r w:rsidRPr="00BD2D1D">
        <w:t>Employment</w:t>
      </w:r>
      <w:bookmarkEnd w:id="50"/>
      <w:bookmarkEnd w:id="51"/>
      <w:bookmarkEnd w:id="52"/>
      <w:r w:rsidRPr="00BD2D1D">
        <w:t xml:space="preserve"> </w:t>
      </w:r>
    </w:p>
    <w:p w14:paraId="4C6EEE27" w14:textId="77777777" w:rsidR="004E589D" w:rsidRPr="00BD2D1D" w:rsidRDefault="004E589D" w:rsidP="006B06AC">
      <w:pPr>
        <w:pStyle w:val="zH2"/>
      </w:pPr>
      <w:bookmarkStart w:id="53" w:name="_Toc514235152"/>
      <w:bookmarkStart w:id="54" w:name="_Toc535396291"/>
      <w:bookmarkStart w:id="55" w:name="_Toc513725360"/>
      <w:r w:rsidRPr="00BD2D1D">
        <w:t>E</w:t>
      </w:r>
      <w:r w:rsidR="00C90741">
        <w:t>nsure women’s economic independence</w:t>
      </w:r>
      <w:bookmarkEnd w:id="53"/>
      <w:bookmarkEnd w:id="54"/>
      <w:r w:rsidR="00C90741">
        <w:t xml:space="preserve"> </w:t>
      </w:r>
      <w:bookmarkEnd w:id="55"/>
    </w:p>
    <w:p w14:paraId="56B31952" w14:textId="77777777" w:rsidR="002023E9" w:rsidRPr="00857009" w:rsidRDefault="00E13FED" w:rsidP="002023E9">
      <w:pPr>
        <w:pStyle w:val="zSummBox"/>
        <w:numPr>
          <w:ilvl w:val="0"/>
          <w:numId w:val="0"/>
        </w:numPr>
        <w:ind w:left="1494" w:hanging="360"/>
        <w:rPr>
          <w:u w:val="single"/>
        </w:rPr>
      </w:pPr>
      <w:r>
        <w:rPr>
          <w:u w:val="single"/>
        </w:rPr>
        <w:t xml:space="preserve">Proposed </w:t>
      </w:r>
      <w:r w:rsidR="00CB6860">
        <w:rPr>
          <w:u w:val="single"/>
        </w:rPr>
        <w:t>Recommendation</w:t>
      </w:r>
      <w:r w:rsidR="002023E9" w:rsidRPr="00857009">
        <w:rPr>
          <w:u w:val="single"/>
        </w:rPr>
        <w:t xml:space="preserve">: </w:t>
      </w:r>
    </w:p>
    <w:p w14:paraId="229D5DE0" w14:textId="5BA3B5B2" w:rsidR="004A60C7" w:rsidRPr="00567EFB" w:rsidRDefault="00CB6860" w:rsidP="000A75A1">
      <w:pPr>
        <w:pStyle w:val="zSummBox"/>
        <w:numPr>
          <w:ilvl w:val="0"/>
          <w:numId w:val="0"/>
        </w:numPr>
        <w:ind w:left="1134"/>
      </w:pPr>
      <w:r>
        <w:t xml:space="preserve">We recommend </w:t>
      </w:r>
      <w:r w:rsidR="0061657F" w:rsidRPr="0061657F">
        <w:t xml:space="preserve">Government </w:t>
      </w:r>
      <w:r w:rsidR="000613C0">
        <w:t xml:space="preserve">action </w:t>
      </w:r>
      <w:r w:rsidR="0061657F" w:rsidRPr="0061657F">
        <w:t>to ensure women’s economic independence in Northern Ireland, including to: eliminate occupational and industrial segregation; promote women’s equality in the workplace; encourage flexible working practices</w:t>
      </w:r>
      <w:r w:rsidR="00D05FB1" w:rsidRPr="00D05FB1">
        <w:t xml:space="preserve"> </w:t>
      </w:r>
      <w:r w:rsidR="00D05FB1">
        <w:t xml:space="preserve">and sharing of </w:t>
      </w:r>
      <w:r w:rsidR="00687FEA">
        <w:t>caring</w:t>
      </w:r>
      <w:r w:rsidR="00D05FB1">
        <w:t xml:space="preserve"> roles</w:t>
      </w:r>
      <w:r w:rsidR="0061657F" w:rsidRPr="0061657F">
        <w:t>; tackle gender pay gaps; and eliminate discrimination</w:t>
      </w:r>
      <w:r w:rsidR="006E0671">
        <w:t xml:space="preserve"> and harassment</w:t>
      </w:r>
      <w:r w:rsidR="000613C0">
        <w:t xml:space="preserve">. </w:t>
      </w:r>
    </w:p>
    <w:p w14:paraId="0A272BE7" w14:textId="7490633F" w:rsidR="00E241A0" w:rsidRDefault="00BD6185" w:rsidP="00C239EF">
      <w:pPr>
        <w:pStyle w:val="zNumPara"/>
      </w:pPr>
      <w:r>
        <w:t xml:space="preserve">Women experience </w:t>
      </w:r>
      <w:r w:rsidRPr="00567EFB">
        <w:t>industrial</w:t>
      </w:r>
      <w:r w:rsidRPr="00567EFB">
        <w:rPr>
          <w:rStyle w:val="FootnoteReference"/>
          <w:rFonts w:eastAsiaTheme="minorEastAsia"/>
        </w:rPr>
        <w:footnoteReference w:id="75"/>
      </w:r>
      <w:r w:rsidRPr="00567EFB">
        <w:t xml:space="preserve"> and occupational segregation</w:t>
      </w:r>
      <w:r w:rsidRPr="00567EFB">
        <w:rPr>
          <w:rStyle w:val="FootnoteReference"/>
          <w:rFonts w:eastAsiaTheme="minorEastAsia"/>
        </w:rPr>
        <w:footnoteReference w:id="76"/>
      </w:r>
      <w:r>
        <w:rPr>
          <w:rStyle w:val="FootnoteReference"/>
        </w:rPr>
        <w:footnoteReference w:id="77"/>
      </w:r>
      <w:r>
        <w:t xml:space="preserve"> </w:t>
      </w:r>
      <w:r w:rsidRPr="00567EFB">
        <w:t>within the labour market</w:t>
      </w:r>
      <w:r>
        <w:t xml:space="preserve">, including gender imbalances in certain apprenticeships. </w:t>
      </w:r>
      <w:r w:rsidR="00C239EF">
        <w:t>W</w:t>
      </w:r>
      <w:r w:rsidR="004A60C7" w:rsidRPr="00567EFB">
        <w:t>omen are more often employed with atypical contracts, particularly part time working</w:t>
      </w:r>
      <w:r w:rsidR="004A60C7" w:rsidRPr="00567EFB">
        <w:rPr>
          <w:rStyle w:val="FootnoteReference"/>
          <w:rFonts w:eastAsiaTheme="minorEastAsia"/>
        </w:rPr>
        <w:footnoteReference w:id="78"/>
      </w:r>
      <w:r w:rsidR="004A60C7" w:rsidRPr="00567EFB">
        <w:t xml:space="preserve"> </w:t>
      </w:r>
      <w:r w:rsidR="00C239EF">
        <w:t xml:space="preserve">where they are at risk of low pay and precarious employment, such as </w:t>
      </w:r>
      <w:r w:rsidR="004A60C7" w:rsidRPr="00567EFB">
        <w:t xml:space="preserve">zero-hours contracts.  </w:t>
      </w:r>
    </w:p>
    <w:p w14:paraId="1BCBE203" w14:textId="5B86BA52" w:rsidR="004A60C7" w:rsidRDefault="009F247E" w:rsidP="00C239EF">
      <w:pPr>
        <w:pStyle w:val="zNumPara"/>
      </w:pPr>
      <w:r>
        <w:t>I</w:t>
      </w:r>
      <w:r w:rsidRPr="00567EFB">
        <w:t>n Northern Ireland</w:t>
      </w:r>
      <w:r>
        <w:t>,</w:t>
      </w:r>
      <w:r w:rsidR="00D61976">
        <w:t xml:space="preserve"> </w:t>
      </w:r>
      <w:r>
        <w:t>w</w:t>
      </w:r>
      <w:r w:rsidR="004A60C7" w:rsidRPr="00567EFB">
        <w:t>omen experience a lower employment rate</w:t>
      </w:r>
      <w:r w:rsidR="002846E1">
        <w:t xml:space="preserve"> </w:t>
      </w:r>
      <w:r w:rsidR="004A60C7" w:rsidRPr="00567EFB">
        <w:t>and a higher economic inactivity rate</w:t>
      </w:r>
      <w:r w:rsidR="002846E1">
        <w:t xml:space="preserve"> </w:t>
      </w:r>
      <w:r w:rsidR="004A60C7" w:rsidRPr="00567EFB">
        <w:t>than men</w:t>
      </w:r>
      <w:r w:rsidR="002846E1" w:rsidRPr="00567EFB">
        <w:rPr>
          <w:rStyle w:val="FootnoteReference"/>
          <w:rFonts w:eastAsiaTheme="minorEastAsia"/>
        </w:rPr>
        <w:footnoteReference w:id="79"/>
      </w:r>
      <w:r w:rsidR="004A60C7" w:rsidRPr="00567EFB">
        <w:t>. Lone parents</w:t>
      </w:r>
      <w:r w:rsidR="00E241A0">
        <w:t>, who are overwhelmingly female, also experience barriers to employment</w:t>
      </w:r>
      <w:r w:rsidR="004A60C7" w:rsidRPr="00567EFB">
        <w:rPr>
          <w:rStyle w:val="FootnoteReference"/>
          <w:rFonts w:eastAsiaTheme="minorEastAsia"/>
        </w:rPr>
        <w:footnoteReference w:id="80"/>
      </w:r>
      <w:r w:rsidR="002F5345">
        <w:t>.</w:t>
      </w:r>
      <w:r w:rsidR="004A60C7" w:rsidRPr="00567EFB">
        <w:t xml:space="preserve"> </w:t>
      </w:r>
      <w:r w:rsidR="00C239EF">
        <w:t>W</w:t>
      </w:r>
      <w:r w:rsidR="004A60C7" w:rsidRPr="00567EFB">
        <w:t xml:space="preserve">omen are more likely </w:t>
      </w:r>
      <w:r w:rsidR="00C239EF">
        <w:t xml:space="preserve">than men </w:t>
      </w:r>
      <w:r w:rsidR="004A60C7" w:rsidRPr="00567EFB">
        <w:t xml:space="preserve">to report underemployment </w:t>
      </w:r>
      <w:r w:rsidR="00C239EF">
        <w:t xml:space="preserve">and </w:t>
      </w:r>
      <w:r w:rsidR="00C239EF" w:rsidRPr="00C239EF">
        <w:t xml:space="preserve">are half as likely </w:t>
      </w:r>
      <w:r w:rsidR="00C239EF">
        <w:t xml:space="preserve">as men </w:t>
      </w:r>
      <w:r w:rsidR="00C239EF" w:rsidRPr="00C239EF">
        <w:t>to be entreprene</w:t>
      </w:r>
      <w:r w:rsidR="006E33EF">
        <w:t>urs</w:t>
      </w:r>
      <w:r w:rsidR="004A60C7" w:rsidRPr="00567EFB">
        <w:rPr>
          <w:rStyle w:val="FootnoteReference"/>
          <w:rFonts w:eastAsiaTheme="majorEastAsia"/>
        </w:rPr>
        <w:footnoteReference w:id="81"/>
      </w:r>
      <w:r w:rsidR="004A60C7" w:rsidRPr="00567EFB">
        <w:t>.</w:t>
      </w:r>
      <w:r w:rsidR="00E241A0">
        <w:t xml:space="preserve"> </w:t>
      </w:r>
      <w:r w:rsidR="004B1D29">
        <w:t xml:space="preserve">Additional </w:t>
      </w:r>
      <w:r w:rsidR="00E241A0">
        <w:t xml:space="preserve">actions </w:t>
      </w:r>
      <w:r w:rsidR="004B1D29">
        <w:t xml:space="preserve">are required </w:t>
      </w:r>
      <w:r w:rsidR="00E241A0">
        <w:t>to encourage flexible working practices and sharing of family roles</w:t>
      </w:r>
      <w:r w:rsidR="00F664AA">
        <w:t xml:space="preserve"> across all sectors</w:t>
      </w:r>
      <w:r w:rsidR="00F664AA">
        <w:rPr>
          <w:rStyle w:val="FootnoteReference"/>
          <w:iCs/>
        </w:rPr>
        <w:footnoteReference w:id="82"/>
      </w:r>
      <w:r w:rsidR="00E241A0">
        <w:t>.</w:t>
      </w:r>
    </w:p>
    <w:p w14:paraId="77AA3D31" w14:textId="14E884A9" w:rsidR="00DD2522" w:rsidRDefault="00DD2522" w:rsidP="00DD2522">
      <w:pPr>
        <w:pStyle w:val="zNumPara"/>
      </w:pPr>
      <w:r>
        <w:t>In Northern Ireland, w</w:t>
      </w:r>
      <w:r w:rsidR="004A60C7" w:rsidRPr="00567EFB">
        <w:t xml:space="preserve">hilst </w:t>
      </w:r>
      <w:r>
        <w:t xml:space="preserve">discrete </w:t>
      </w:r>
      <w:r w:rsidRPr="00DD2522">
        <w:t>full time and part-time gender pay gap</w:t>
      </w:r>
      <w:r>
        <w:t>s</w:t>
      </w:r>
      <w:r w:rsidRPr="00DD2522">
        <w:t xml:space="preserve"> </w:t>
      </w:r>
      <w:r>
        <w:t xml:space="preserve">are </w:t>
      </w:r>
      <w:r w:rsidRPr="00DD2522">
        <w:t>in favour of women</w:t>
      </w:r>
      <w:r>
        <w:t xml:space="preserve">, the combined overall </w:t>
      </w:r>
      <w:r w:rsidR="00514E1E">
        <w:t xml:space="preserve">gender </w:t>
      </w:r>
      <w:r>
        <w:t xml:space="preserve">pay gap </w:t>
      </w:r>
      <w:r w:rsidRPr="00567EFB">
        <w:t>favour</w:t>
      </w:r>
      <w:r>
        <w:t>s</w:t>
      </w:r>
      <w:r w:rsidRPr="00567EFB">
        <w:t xml:space="preserve"> men</w:t>
      </w:r>
      <w:r w:rsidRPr="00567EFB">
        <w:rPr>
          <w:rStyle w:val="FootnoteReference"/>
          <w:rFonts w:eastAsiaTheme="minorEastAsia"/>
        </w:rPr>
        <w:footnoteReference w:id="83"/>
      </w:r>
      <w:r w:rsidR="00077955">
        <w:t xml:space="preserve">. </w:t>
      </w:r>
      <w:r>
        <w:t>T</w:t>
      </w:r>
      <w:r w:rsidR="004A60C7" w:rsidRPr="00567EFB">
        <w:t>here are gender pay gaps in favour of men in the public and private sectors, and across many different industrial sectors and occupational groups</w:t>
      </w:r>
      <w:r w:rsidR="004A60C7" w:rsidRPr="00567EFB">
        <w:rPr>
          <w:rStyle w:val="FootnoteReference"/>
          <w:rFonts w:eastAsiaTheme="minorEastAsia"/>
        </w:rPr>
        <w:footnoteReference w:id="84"/>
      </w:r>
      <w:r>
        <w:t xml:space="preserve">.  </w:t>
      </w:r>
    </w:p>
    <w:p w14:paraId="08EDEA5E" w14:textId="6CC5C71A" w:rsidR="00A8156D" w:rsidRPr="004A60C7" w:rsidRDefault="004A60C7" w:rsidP="006E33EF">
      <w:pPr>
        <w:pStyle w:val="zNumPara"/>
      </w:pPr>
      <w:r w:rsidRPr="00567EFB">
        <w:t>Women frequently experience sex discrimination and harassment in the workplace</w:t>
      </w:r>
      <w:r w:rsidRPr="00567EFB">
        <w:rPr>
          <w:rStyle w:val="FootnoteReference"/>
          <w:rFonts w:eastAsiaTheme="minorEastAsia"/>
        </w:rPr>
        <w:footnoteReference w:id="85"/>
      </w:r>
      <w:r w:rsidRPr="00567EFB">
        <w:t>, including due to pregnancy / mat</w:t>
      </w:r>
      <w:r w:rsidR="002F5345">
        <w:t>er</w:t>
      </w:r>
      <w:r w:rsidR="007E4241">
        <w:t>ni</w:t>
      </w:r>
      <w:r w:rsidR="002F5345">
        <w:t>ty and unequal pay. A</w:t>
      </w:r>
      <w:r w:rsidRPr="00567EFB">
        <w:t xml:space="preserve"> </w:t>
      </w:r>
      <w:r w:rsidR="00836F54">
        <w:t xml:space="preserve">Commission </w:t>
      </w:r>
      <w:r w:rsidRPr="00567EFB">
        <w:t xml:space="preserve">investigation </w:t>
      </w:r>
      <w:r w:rsidR="00836F54">
        <w:t xml:space="preserve">(2016) </w:t>
      </w:r>
      <w:r w:rsidRPr="00567EFB">
        <w:t>has highlighted experiences of unfair treatment of pregnant workers and mothers in the workplace</w:t>
      </w:r>
      <w:r w:rsidRPr="00567EFB">
        <w:rPr>
          <w:rStyle w:val="FootnoteReference"/>
          <w:rFonts w:eastAsiaTheme="minorEastAsia"/>
        </w:rPr>
        <w:footnoteReference w:id="86"/>
      </w:r>
      <w:r w:rsidRPr="00567EFB">
        <w:t>.</w:t>
      </w:r>
    </w:p>
    <w:p w14:paraId="2A44C4A8" w14:textId="77777777" w:rsidR="004E589D" w:rsidRPr="00BD2D1D" w:rsidRDefault="004E589D" w:rsidP="003F6D1A">
      <w:pPr>
        <w:pStyle w:val="zH2"/>
      </w:pPr>
      <w:bookmarkStart w:id="56" w:name="_Toc513725364"/>
      <w:bookmarkStart w:id="57" w:name="_Toc514235153"/>
      <w:bookmarkStart w:id="58" w:name="_Toc535396292"/>
      <w:r w:rsidRPr="00BD2D1D">
        <w:t>Ensure affordable and accessible child care provision</w:t>
      </w:r>
      <w:bookmarkEnd w:id="56"/>
      <w:bookmarkEnd w:id="57"/>
      <w:bookmarkEnd w:id="58"/>
    </w:p>
    <w:p w14:paraId="2B3936D3" w14:textId="77777777" w:rsidR="002023E9" w:rsidRPr="00857009" w:rsidRDefault="00E13FED" w:rsidP="002023E9">
      <w:pPr>
        <w:pStyle w:val="zSummBox"/>
        <w:numPr>
          <w:ilvl w:val="0"/>
          <w:numId w:val="0"/>
        </w:numPr>
        <w:ind w:left="1494" w:hanging="360"/>
        <w:rPr>
          <w:u w:val="single"/>
        </w:rPr>
      </w:pPr>
      <w:r>
        <w:rPr>
          <w:u w:val="single"/>
        </w:rPr>
        <w:t xml:space="preserve">Proposed </w:t>
      </w:r>
      <w:r w:rsidR="000613C0">
        <w:rPr>
          <w:u w:val="single"/>
        </w:rPr>
        <w:t>Recommendation</w:t>
      </w:r>
      <w:r w:rsidR="002023E9" w:rsidRPr="00857009">
        <w:rPr>
          <w:u w:val="single"/>
        </w:rPr>
        <w:t xml:space="preserve">: </w:t>
      </w:r>
    </w:p>
    <w:p w14:paraId="4CF915AB" w14:textId="77777777" w:rsidR="002023E9" w:rsidRDefault="000613C0" w:rsidP="002023E9">
      <w:pPr>
        <w:pStyle w:val="zSummBox"/>
        <w:numPr>
          <w:ilvl w:val="0"/>
          <w:numId w:val="0"/>
        </w:numPr>
        <w:ind w:left="1134"/>
      </w:pPr>
      <w:r>
        <w:t xml:space="preserve">We recommend </w:t>
      </w:r>
      <w:r w:rsidR="0061657F" w:rsidRPr="0061657F">
        <w:t xml:space="preserve">Government </w:t>
      </w:r>
      <w:r>
        <w:t xml:space="preserve">action to </w:t>
      </w:r>
      <w:r w:rsidR="0061657F" w:rsidRPr="0061657F">
        <w:t xml:space="preserve">ensure appropriate, flexible, accessible and affordable childcare provision in Northern Ireland, including through the implementation of an effective </w:t>
      </w:r>
      <w:r w:rsidR="006522F6">
        <w:t xml:space="preserve">full </w:t>
      </w:r>
      <w:r w:rsidR="0061657F" w:rsidRPr="0061657F">
        <w:t>Childcare Strategy and action plan</w:t>
      </w:r>
      <w:r>
        <w:t xml:space="preserve">. </w:t>
      </w:r>
    </w:p>
    <w:p w14:paraId="0AC112DF" w14:textId="156E4914" w:rsidR="004A60C7" w:rsidRDefault="004B70A7" w:rsidP="004A60C7">
      <w:pPr>
        <w:pStyle w:val="zNumPara"/>
      </w:pPr>
      <w:r>
        <w:t>Commission</w:t>
      </w:r>
      <w:r w:rsidR="004A60C7">
        <w:t xml:space="preserve"> research </w:t>
      </w:r>
      <w:r w:rsidR="003F6D1A">
        <w:t xml:space="preserve">(2013) </w:t>
      </w:r>
      <w:r w:rsidR="004A60C7">
        <w:t xml:space="preserve">identified the lack of </w:t>
      </w:r>
      <w:r w:rsidR="004A60C7" w:rsidRPr="00C23636">
        <w:rPr>
          <w:rFonts w:eastAsia="MS ??"/>
          <w:lang w:val="en-US"/>
        </w:rPr>
        <w:t>affordable</w:t>
      </w:r>
      <w:r w:rsidR="006870AF">
        <w:rPr>
          <w:rFonts w:eastAsiaTheme="minorEastAsia"/>
        </w:rPr>
        <w:t xml:space="preserve"> </w:t>
      </w:r>
      <w:r w:rsidR="004A60C7" w:rsidRPr="00C23636">
        <w:rPr>
          <w:rFonts w:eastAsia="MS ??"/>
          <w:lang w:val="en-US"/>
        </w:rPr>
        <w:t xml:space="preserve">and appropriate childcare </w:t>
      </w:r>
      <w:r w:rsidR="004A60C7">
        <w:rPr>
          <w:rFonts w:eastAsia="MS ??"/>
          <w:lang w:val="en-US"/>
        </w:rPr>
        <w:t xml:space="preserve">provision and </w:t>
      </w:r>
      <w:r w:rsidR="004A60C7">
        <w:t>recommended the implementation of a Childcare Strategy</w:t>
      </w:r>
      <w:r w:rsidR="004A60C7">
        <w:rPr>
          <w:rStyle w:val="FootnoteReference"/>
          <w:rFonts w:eastAsiaTheme="minorEastAsia"/>
        </w:rPr>
        <w:footnoteReference w:id="87"/>
      </w:r>
      <w:r w:rsidR="004A60C7">
        <w:t xml:space="preserve">. </w:t>
      </w:r>
    </w:p>
    <w:p w14:paraId="591BAE49" w14:textId="6C917329" w:rsidR="000A75A1" w:rsidRPr="0044255D" w:rsidRDefault="004A60C7" w:rsidP="00E43D74">
      <w:pPr>
        <w:pStyle w:val="zNumPara"/>
      </w:pPr>
      <w:r>
        <w:t>W</w:t>
      </w:r>
      <w:r w:rsidRPr="0045349D">
        <w:t>hilst there has been an increase in the number of childcare places in N</w:t>
      </w:r>
      <w:r>
        <w:t xml:space="preserve">orthern </w:t>
      </w:r>
      <w:r w:rsidRPr="0045349D">
        <w:t>I</w:t>
      </w:r>
      <w:r>
        <w:t>reland</w:t>
      </w:r>
      <w:r w:rsidRPr="0045349D">
        <w:t xml:space="preserve"> over the last decade, the cost of childcare remains high</w:t>
      </w:r>
      <w:r>
        <w:t>, and is higher than in other parts of the UK</w:t>
      </w:r>
      <w:r>
        <w:rPr>
          <w:rStyle w:val="FootnoteReference"/>
          <w:rFonts w:eastAsiaTheme="minorEastAsia"/>
        </w:rPr>
        <w:footnoteReference w:id="88"/>
      </w:r>
      <w:r>
        <w:t xml:space="preserve">. </w:t>
      </w:r>
      <w:r w:rsidR="00324CDB">
        <w:t xml:space="preserve">There are barriers </w:t>
      </w:r>
      <w:r>
        <w:t>linked to the disproportionate share of caregiving by women, and gender stereotypes</w:t>
      </w:r>
      <w:r>
        <w:rPr>
          <w:rStyle w:val="FootnoteReference"/>
          <w:rFonts w:eastAsiaTheme="minorEastAsia"/>
        </w:rPr>
        <w:footnoteReference w:id="89"/>
      </w:r>
      <w:r>
        <w:t>.</w:t>
      </w:r>
      <w:r w:rsidRPr="001B5E53">
        <w:t xml:space="preserve"> </w:t>
      </w:r>
      <w:r w:rsidR="005B66C2">
        <w:t xml:space="preserve">Whilst actions </w:t>
      </w:r>
      <w:r w:rsidR="00836F54">
        <w:t xml:space="preserve">have been taken </w:t>
      </w:r>
      <w:r w:rsidR="00643661">
        <w:t xml:space="preserve">under the first phase of the Strategy (2013) </w:t>
      </w:r>
      <w:r w:rsidR="005B66C2">
        <w:t xml:space="preserve">to </w:t>
      </w:r>
      <w:r w:rsidR="00836F54">
        <w:t xml:space="preserve">help </w:t>
      </w:r>
      <w:r w:rsidR="005B66C2">
        <w:t>address the shortfall in childcare provision</w:t>
      </w:r>
      <w:r w:rsidR="00836F54">
        <w:t>, to date a full Childcare Strategy has not been introduced, despite a government consultation in 2015</w:t>
      </w:r>
      <w:r w:rsidR="00836F54">
        <w:rPr>
          <w:rStyle w:val="FootnoteReference"/>
          <w:rFonts w:eastAsiaTheme="minorEastAsia"/>
        </w:rPr>
        <w:t xml:space="preserve"> </w:t>
      </w:r>
      <w:r w:rsidR="00836F54">
        <w:rPr>
          <w:rStyle w:val="FootnoteReference"/>
          <w:rFonts w:eastAsiaTheme="minorEastAsia"/>
        </w:rPr>
        <w:footnoteReference w:id="90"/>
      </w:r>
      <w:r w:rsidR="00836F54">
        <w:t>, and</w:t>
      </w:r>
      <w:r w:rsidR="005B66C2">
        <w:t xml:space="preserve"> additional action is required</w:t>
      </w:r>
      <w:r w:rsidR="00300FFA">
        <w:rPr>
          <w:rStyle w:val="FootnoteReference"/>
          <w:rFonts w:eastAsiaTheme="minorEastAsia"/>
        </w:rPr>
        <w:footnoteReference w:id="91"/>
      </w:r>
      <w:r w:rsidR="00A8156D">
        <w:t>.</w:t>
      </w:r>
    </w:p>
    <w:p w14:paraId="37B96FAF" w14:textId="77777777" w:rsidR="004E589D" w:rsidRDefault="004E589D" w:rsidP="003F6D1A">
      <w:pPr>
        <w:pStyle w:val="zH1"/>
      </w:pPr>
      <w:bookmarkStart w:id="59" w:name="_Toc530476823"/>
      <w:bookmarkStart w:id="60" w:name="_Toc513725365"/>
      <w:bookmarkStart w:id="61" w:name="_Toc514235154"/>
      <w:bookmarkStart w:id="62" w:name="_Toc535396293"/>
      <w:bookmarkEnd w:id="59"/>
      <w:r w:rsidRPr="00BD2D1D">
        <w:t>Article 12</w:t>
      </w:r>
      <w:r w:rsidR="006D5FC3">
        <w:t xml:space="preserve">: </w:t>
      </w:r>
      <w:r w:rsidRPr="00BD2D1D">
        <w:t>Health</w:t>
      </w:r>
      <w:bookmarkEnd w:id="60"/>
      <w:bookmarkEnd w:id="61"/>
      <w:bookmarkEnd w:id="62"/>
      <w:r w:rsidRPr="00BD2D1D">
        <w:t xml:space="preserve"> </w:t>
      </w:r>
    </w:p>
    <w:p w14:paraId="5FFE58D9" w14:textId="77777777" w:rsidR="004E589D" w:rsidRPr="00BD2D1D" w:rsidRDefault="004E589D" w:rsidP="003F6D1A">
      <w:pPr>
        <w:pStyle w:val="zH2"/>
      </w:pPr>
      <w:bookmarkStart w:id="63" w:name="_Toc513725366"/>
      <w:bookmarkStart w:id="64" w:name="_Toc514235155"/>
      <w:bookmarkStart w:id="65" w:name="_Toc535396294"/>
      <w:r w:rsidRPr="00BD2D1D">
        <w:t xml:space="preserve">Remove </w:t>
      </w:r>
      <w:r w:rsidRPr="003F6D1A">
        <w:t>barriers</w:t>
      </w:r>
      <w:r w:rsidRPr="00BD2D1D">
        <w:t xml:space="preserve"> to women accessing health care services</w:t>
      </w:r>
      <w:bookmarkEnd w:id="63"/>
      <w:bookmarkEnd w:id="64"/>
      <w:bookmarkEnd w:id="65"/>
    </w:p>
    <w:p w14:paraId="3BA37997" w14:textId="0300935C" w:rsidR="002023E9" w:rsidRPr="00857009" w:rsidRDefault="00E13FED" w:rsidP="002023E9">
      <w:pPr>
        <w:pStyle w:val="zSummBox"/>
        <w:numPr>
          <w:ilvl w:val="0"/>
          <w:numId w:val="0"/>
        </w:numPr>
        <w:ind w:left="1494" w:hanging="360"/>
        <w:rPr>
          <w:u w:val="single"/>
        </w:rPr>
      </w:pPr>
      <w:r>
        <w:rPr>
          <w:u w:val="single"/>
        </w:rPr>
        <w:t xml:space="preserve">Proposed </w:t>
      </w:r>
      <w:r w:rsidR="006E33EF">
        <w:rPr>
          <w:u w:val="single"/>
        </w:rPr>
        <w:t>Recommendation</w:t>
      </w:r>
      <w:r w:rsidR="002023E9" w:rsidRPr="00857009">
        <w:rPr>
          <w:u w:val="single"/>
        </w:rPr>
        <w:t xml:space="preserve">: </w:t>
      </w:r>
    </w:p>
    <w:p w14:paraId="097C59E5" w14:textId="77777777" w:rsidR="00F314FC" w:rsidRDefault="008D4176" w:rsidP="002023E9">
      <w:pPr>
        <w:pStyle w:val="zSummBox"/>
        <w:numPr>
          <w:ilvl w:val="0"/>
          <w:numId w:val="0"/>
        </w:numPr>
        <w:ind w:left="1134"/>
      </w:pPr>
      <w:r>
        <w:t xml:space="preserve">We recommend </w:t>
      </w:r>
      <w:r w:rsidR="0061657F" w:rsidRPr="0061657F">
        <w:t>Government</w:t>
      </w:r>
      <w:r w:rsidR="005C11F7">
        <w:t xml:space="preserve"> </w:t>
      </w:r>
      <w:r>
        <w:t>action</w:t>
      </w:r>
      <w:r w:rsidR="005C11F7">
        <w:t xml:space="preserve"> </w:t>
      </w:r>
      <w:r w:rsidR="0061657F" w:rsidRPr="0061657F">
        <w:t>to remove barriers experienced by women in Northern Ireland in accessing health care services</w:t>
      </w:r>
      <w:r w:rsidR="007120C8">
        <w:t xml:space="preserve">, </w:t>
      </w:r>
      <w:r w:rsidR="0061657F" w:rsidRPr="0061657F">
        <w:t>including reproductive health care services</w:t>
      </w:r>
      <w:r w:rsidR="00F314FC">
        <w:t>.</w:t>
      </w:r>
    </w:p>
    <w:p w14:paraId="029156F9" w14:textId="77777777" w:rsidR="002023E9" w:rsidRDefault="00F314FC" w:rsidP="002023E9">
      <w:pPr>
        <w:pStyle w:val="zSummBox"/>
        <w:numPr>
          <w:ilvl w:val="0"/>
          <w:numId w:val="0"/>
        </w:numPr>
        <w:ind w:left="1134"/>
      </w:pPr>
      <w:r>
        <w:t>We recommend Government</w:t>
      </w:r>
      <w:r w:rsidR="00A66448">
        <w:t xml:space="preserve"> </w:t>
      </w:r>
      <w:r w:rsidR="0061657F" w:rsidRPr="0061657F">
        <w:t>conduct</w:t>
      </w:r>
      <w:r>
        <w:t>s</w:t>
      </w:r>
      <w:r w:rsidR="0061657F" w:rsidRPr="0061657F">
        <w:t xml:space="preserve"> a full </w:t>
      </w:r>
      <w:r w:rsidR="00EE162D">
        <w:t xml:space="preserve">public </w:t>
      </w:r>
      <w:r w:rsidR="0061657F" w:rsidRPr="0061657F">
        <w:t>consultation on abortion law</w:t>
      </w:r>
      <w:r w:rsidR="008D4176">
        <w:t xml:space="preserve">. </w:t>
      </w:r>
    </w:p>
    <w:p w14:paraId="1CC24B73" w14:textId="753C766D" w:rsidR="00F362DD" w:rsidRPr="00F362DD" w:rsidRDefault="009A4A9C" w:rsidP="00B869CC">
      <w:pPr>
        <w:pStyle w:val="zNumPara"/>
      </w:pPr>
      <w:r>
        <w:t>Women, including women with multiple identities</w:t>
      </w:r>
      <w:r w:rsidR="00836F54">
        <w:t>,</w:t>
      </w:r>
      <w:r>
        <w:t xml:space="preserve"> experience barriers to healthcare, including reproductive healthcare. Research </w:t>
      </w:r>
      <w:r w:rsidR="00906991">
        <w:t xml:space="preserve">(2012) </w:t>
      </w:r>
      <w:r>
        <w:t>identified barriers for d</w:t>
      </w:r>
      <w:r w:rsidR="004A60C7" w:rsidRPr="007120C8">
        <w:t>isabled women</w:t>
      </w:r>
      <w:r>
        <w:t xml:space="preserve"> in accessing sexual health and maternity services</w:t>
      </w:r>
      <w:r w:rsidR="004A60C7" w:rsidRPr="007120C8">
        <w:rPr>
          <w:rStyle w:val="FootnoteReference"/>
          <w:rFonts w:eastAsiaTheme="minorEastAsia"/>
        </w:rPr>
        <w:footnoteReference w:id="92"/>
      </w:r>
      <w:r w:rsidR="008F5EC2">
        <w:t>. L</w:t>
      </w:r>
      <w:r w:rsidRPr="00033E5A">
        <w:t>esbian and bisexual women</w:t>
      </w:r>
      <w:r w:rsidR="00B869CC">
        <w:t>, and trans women</w:t>
      </w:r>
      <w:r w:rsidR="00AE5EB9">
        <w:t>,</w:t>
      </w:r>
      <w:r w:rsidR="00B869CC">
        <w:t xml:space="preserve"> </w:t>
      </w:r>
      <w:r w:rsidRPr="00033E5A">
        <w:t>experience barrie</w:t>
      </w:r>
      <w:r w:rsidR="00906991" w:rsidRPr="00033E5A">
        <w:t>rs to accessing health services</w:t>
      </w:r>
      <w:r w:rsidR="0001453F" w:rsidRPr="00033E5A">
        <w:rPr>
          <w:rStyle w:val="FootnoteReference"/>
          <w:rFonts w:eastAsiaTheme="minorEastAsia"/>
        </w:rPr>
        <w:footnoteReference w:id="93"/>
      </w:r>
      <w:r w:rsidR="00B869CC">
        <w:rPr>
          <w:rStyle w:val="FootnoteReference"/>
        </w:rPr>
        <w:footnoteReference w:id="94"/>
      </w:r>
      <w:r w:rsidR="00FD1690">
        <w:t xml:space="preserve">. </w:t>
      </w:r>
      <w:r w:rsidR="004A60C7" w:rsidRPr="00033E5A">
        <w:t xml:space="preserve"> </w:t>
      </w:r>
      <w:r w:rsidRPr="00033E5A">
        <w:t>A RQIA report (201</w:t>
      </w:r>
      <w:r w:rsidR="00FD1690">
        <w:t>7</w:t>
      </w:r>
      <w:r w:rsidRPr="00033E5A">
        <w:t xml:space="preserve">) has recommended action to improve services for women who experience </w:t>
      </w:r>
      <w:r w:rsidR="003C5E57" w:rsidRPr="00033E5A">
        <w:t xml:space="preserve">perinatal </w:t>
      </w:r>
      <w:r w:rsidR="00E548C1" w:rsidRPr="00033E5A">
        <w:t>mental health services</w:t>
      </w:r>
      <w:r w:rsidR="00E548C1" w:rsidRPr="00033E5A">
        <w:rPr>
          <w:rStyle w:val="FootnoteReference"/>
        </w:rPr>
        <w:footnoteReference w:id="95"/>
      </w:r>
      <w:r w:rsidR="00E548C1" w:rsidRPr="00033E5A">
        <w:t xml:space="preserve"> </w:t>
      </w:r>
      <w:r w:rsidR="004A60C7" w:rsidRPr="00033E5A">
        <w:t xml:space="preserve">.  </w:t>
      </w:r>
    </w:p>
    <w:p w14:paraId="64D54F12" w14:textId="16F417EE" w:rsidR="00794834" w:rsidRPr="00033E5A" w:rsidRDefault="004A60C7" w:rsidP="006522F6">
      <w:pPr>
        <w:pStyle w:val="zNumPara"/>
      </w:pPr>
      <w:r w:rsidRPr="00033E5A">
        <w:t>T</w:t>
      </w:r>
      <w:r w:rsidRPr="00033E5A">
        <w:rPr>
          <w:bCs/>
          <w:lang w:eastAsia="en-GB"/>
        </w:rPr>
        <w:t xml:space="preserve">he CEDAW Committee’s Inquiry </w:t>
      </w:r>
      <w:r w:rsidR="007834F3" w:rsidRPr="00033E5A">
        <w:rPr>
          <w:bCs/>
          <w:lang w:eastAsia="en-GB"/>
        </w:rPr>
        <w:t xml:space="preserve">(2018) </w:t>
      </w:r>
      <w:r w:rsidRPr="00033E5A">
        <w:rPr>
          <w:bCs/>
          <w:lang w:eastAsia="en-GB"/>
        </w:rPr>
        <w:t xml:space="preserve">into abortion law </w:t>
      </w:r>
      <w:r w:rsidR="00CC3636" w:rsidRPr="00033E5A">
        <w:rPr>
          <w:bCs/>
          <w:lang w:eastAsia="en-GB"/>
        </w:rPr>
        <w:t xml:space="preserve">in Northern Ireland </w:t>
      </w:r>
      <w:r w:rsidRPr="00033E5A">
        <w:rPr>
          <w:bCs/>
          <w:lang w:eastAsia="en-GB"/>
        </w:rPr>
        <w:t>found that the UK was responsible for grave and systematic v</w:t>
      </w:r>
      <w:r w:rsidR="000404F5" w:rsidRPr="00033E5A">
        <w:rPr>
          <w:bCs/>
          <w:lang w:eastAsia="en-GB"/>
        </w:rPr>
        <w:t>iolations of rights under CEDAW.</w:t>
      </w:r>
      <w:r w:rsidRPr="00033E5A">
        <w:rPr>
          <w:bCs/>
          <w:lang w:eastAsia="en-GB"/>
        </w:rPr>
        <w:t xml:space="preserve"> </w:t>
      </w:r>
      <w:r w:rsidR="00B509FB" w:rsidRPr="00033E5A">
        <w:rPr>
          <w:bCs/>
          <w:lang w:eastAsia="en-GB"/>
        </w:rPr>
        <w:t xml:space="preserve"> </w:t>
      </w:r>
      <w:r w:rsidR="00794834" w:rsidRPr="00033E5A">
        <w:rPr>
          <w:bCs/>
          <w:lang w:eastAsia="en-GB"/>
        </w:rPr>
        <w:t xml:space="preserve">In </w:t>
      </w:r>
      <w:r w:rsidR="00A259E3" w:rsidRPr="00033E5A">
        <w:rPr>
          <w:bCs/>
          <w:lang w:eastAsia="en-GB"/>
        </w:rPr>
        <w:t>2016</w:t>
      </w:r>
      <w:r w:rsidR="00794834" w:rsidRPr="00033E5A">
        <w:rPr>
          <w:bCs/>
          <w:lang w:eastAsia="en-GB"/>
        </w:rPr>
        <w:t>, a</w:t>
      </w:r>
      <w:r w:rsidRPr="00033E5A">
        <w:rPr>
          <w:bCs/>
          <w:lang w:eastAsia="en-GB"/>
        </w:rPr>
        <w:t>n inter-Departmental working group</w:t>
      </w:r>
      <w:r w:rsidR="0005677B" w:rsidRPr="00033E5A">
        <w:rPr>
          <w:bCs/>
          <w:lang w:eastAsia="en-GB"/>
        </w:rPr>
        <w:t xml:space="preserve"> </w:t>
      </w:r>
      <w:r w:rsidR="00A259E3" w:rsidRPr="00033E5A">
        <w:rPr>
          <w:bCs/>
          <w:lang w:eastAsia="en-GB"/>
        </w:rPr>
        <w:t xml:space="preserve">in Northern Ireland had already </w:t>
      </w:r>
      <w:r w:rsidRPr="00033E5A">
        <w:rPr>
          <w:bCs/>
          <w:lang w:eastAsia="en-GB"/>
        </w:rPr>
        <w:t>recommended a change to Northern Ireland's laws to allow abortion in cases of fatal foetal abnormality</w:t>
      </w:r>
      <w:r w:rsidR="00C17836" w:rsidRPr="00033E5A">
        <w:rPr>
          <w:rStyle w:val="FootnoteReference"/>
          <w:bCs/>
          <w:lang w:eastAsia="en-GB"/>
        </w:rPr>
        <w:footnoteReference w:id="96"/>
      </w:r>
      <w:r w:rsidR="006522F6">
        <w:rPr>
          <w:bCs/>
          <w:lang w:eastAsia="en-GB"/>
        </w:rPr>
        <w:t>, and the Supreme Court has highlighted the incompatibility of Northern Ireland</w:t>
      </w:r>
      <w:r w:rsidR="006522F6">
        <w:t xml:space="preserve"> abortion</w:t>
      </w:r>
      <w:r w:rsidR="006522F6" w:rsidRPr="006522F6">
        <w:rPr>
          <w:bCs/>
          <w:lang w:eastAsia="en-GB"/>
        </w:rPr>
        <w:t xml:space="preserve"> laws with human rights</w:t>
      </w:r>
      <w:r w:rsidR="006522F6" w:rsidRPr="00033E5A">
        <w:rPr>
          <w:rStyle w:val="FootnoteReference"/>
          <w:bCs/>
          <w:lang w:eastAsia="en-GB"/>
        </w:rPr>
        <w:footnoteReference w:id="97"/>
      </w:r>
      <w:r w:rsidR="006522F6">
        <w:rPr>
          <w:bCs/>
          <w:lang w:eastAsia="en-GB"/>
        </w:rPr>
        <w:t>.</w:t>
      </w:r>
    </w:p>
    <w:p w14:paraId="664763A4" w14:textId="0114BD5D" w:rsidR="003816F7" w:rsidRPr="00033E5A" w:rsidRDefault="00794834" w:rsidP="00033E5A">
      <w:pPr>
        <w:pStyle w:val="zNumPara"/>
      </w:pPr>
      <w:r w:rsidRPr="00033E5A">
        <w:t xml:space="preserve">The </w:t>
      </w:r>
      <w:r w:rsidR="003816F7" w:rsidRPr="00033E5A">
        <w:t xml:space="preserve">2018 </w:t>
      </w:r>
      <w:r w:rsidRPr="00033E5A">
        <w:t xml:space="preserve">UK Response to the </w:t>
      </w:r>
      <w:r w:rsidR="003816F7" w:rsidRPr="00033E5A">
        <w:t xml:space="preserve">CEDAW </w:t>
      </w:r>
      <w:proofErr w:type="spellStart"/>
      <w:r w:rsidRPr="00033E5A">
        <w:t>LoI</w:t>
      </w:r>
      <w:proofErr w:type="spellEnd"/>
      <w:r w:rsidR="006522F6">
        <w:t xml:space="preserve"> </w:t>
      </w:r>
      <w:r w:rsidR="00836F54">
        <w:t xml:space="preserve">highlights </w:t>
      </w:r>
      <w:r w:rsidR="006522F6">
        <w:t xml:space="preserve">that </w:t>
      </w:r>
      <w:r w:rsidR="003816F7" w:rsidRPr="00033E5A">
        <w:rPr>
          <w:i/>
        </w:rPr>
        <w:t>“</w:t>
      </w:r>
      <w:r w:rsidR="006E33EF">
        <w:rPr>
          <w:i/>
        </w:rPr>
        <w:t>A</w:t>
      </w:r>
      <w:r w:rsidR="00033E5A" w:rsidRPr="00033E5A">
        <w:rPr>
          <w:i/>
        </w:rPr>
        <w:t>t present, however, no declaration of incompatibility has been made by the courts for consideration or response by the UK Government or a restored government in Northern Ireland</w:t>
      </w:r>
      <w:r w:rsidR="00B133C1">
        <w:rPr>
          <w:i/>
        </w:rPr>
        <w:t>”</w:t>
      </w:r>
      <w:r w:rsidR="006E33EF">
        <w:rPr>
          <w:i/>
        </w:rPr>
        <w:t>,</w:t>
      </w:r>
      <w:r w:rsidR="00B133C1">
        <w:rPr>
          <w:i/>
        </w:rPr>
        <w:t xml:space="preserve"> </w:t>
      </w:r>
      <w:r w:rsidR="00B133C1" w:rsidRPr="006E33EF">
        <w:t xml:space="preserve">and </w:t>
      </w:r>
      <w:r w:rsidR="00DB41F9" w:rsidRPr="006E33EF">
        <w:t xml:space="preserve">that </w:t>
      </w:r>
      <w:r w:rsidR="00B133C1" w:rsidRPr="006E33EF">
        <w:t>abortion is a devolved matter</w:t>
      </w:r>
      <w:r w:rsidR="00033E5A" w:rsidRPr="006E33EF">
        <w:t>.</w:t>
      </w:r>
    </w:p>
    <w:p w14:paraId="5BC67F51" w14:textId="1E0BA857" w:rsidR="007834F3" w:rsidRDefault="00836F54" w:rsidP="000D0F91">
      <w:pPr>
        <w:pStyle w:val="zNumPara"/>
        <w:spacing w:before="240"/>
      </w:pPr>
      <w:r>
        <w:rPr>
          <w:bCs/>
          <w:lang w:eastAsia="en-GB"/>
        </w:rPr>
        <w:t>T</w:t>
      </w:r>
      <w:r w:rsidR="00A259E3" w:rsidRPr="00033E5A">
        <w:rPr>
          <w:bCs/>
          <w:lang w:eastAsia="en-GB"/>
        </w:rPr>
        <w:t>here is a clear need</w:t>
      </w:r>
      <w:r w:rsidR="00033E5A" w:rsidRPr="00033E5A">
        <w:t xml:space="preserve"> </w:t>
      </w:r>
      <w:r w:rsidR="00A259E3" w:rsidRPr="00033E5A">
        <w:rPr>
          <w:bCs/>
          <w:lang w:eastAsia="en-GB"/>
        </w:rPr>
        <w:t>for urgent Government action and response</w:t>
      </w:r>
      <w:r w:rsidR="00A259E3" w:rsidRPr="00033E5A">
        <w:rPr>
          <w:rStyle w:val="FootnoteReference"/>
          <w:bCs/>
          <w:lang w:eastAsia="en-GB"/>
        </w:rPr>
        <w:footnoteReference w:id="98"/>
      </w:r>
      <w:r w:rsidR="00A259E3" w:rsidRPr="00033E5A">
        <w:rPr>
          <w:bCs/>
          <w:lang w:eastAsia="en-GB"/>
        </w:rPr>
        <w:t xml:space="preserve">.  </w:t>
      </w:r>
      <w:r w:rsidR="003816F7" w:rsidRPr="00033E5A">
        <w:t>We continue to call</w:t>
      </w:r>
      <w:r w:rsidR="00A259E3" w:rsidRPr="00033E5A">
        <w:rPr>
          <w:rStyle w:val="FootnoteReference"/>
        </w:rPr>
        <w:footnoteReference w:id="99"/>
      </w:r>
      <w:r w:rsidR="003816F7" w:rsidRPr="00033E5A">
        <w:t xml:space="preserve"> for Government to undertake a full </w:t>
      </w:r>
      <w:r w:rsidR="00565D99">
        <w:t xml:space="preserve">public </w:t>
      </w:r>
      <w:r w:rsidR="003816F7" w:rsidRPr="00033E5A">
        <w:t>consultation on abortion law</w:t>
      </w:r>
      <w:r w:rsidR="00A259E3" w:rsidRPr="00033E5A">
        <w:t>.</w:t>
      </w:r>
    </w:p>
    <w:p w14:paraId="4045DB7C" w14:textId="77777777" w:rsidR="00A046D4" w:rsidRPr="000D0F91" w:rsidRDefault="00A046D4" w:rsidP="00A046D4">
      <w:pPr>
        <w:pStyle w:val="zNumPara"/>
        <w:numPr>
          <w:ilvl w:val="0"/>
          <w:numId w:val="0"/>
        </w:numPr>
        <w:spacing w:before="240"/>
        <w:ind w:left="1134"/>
      </w:pPr>
    </w:p>
    <w:p w14:paraId="690F201D" w14:textId="77777777" w:rsidR="004E589D" w:rsidRPr="00BD2D1D" w:rsidRDefault="004E589D" w:rsidP="007120C8">
      <w:pPr>
        <w:pStyle w:val="zH1"/>
      </w:pPr>
      <w:bookmarkStart w:id="66" w:name="_Toc535396295"/>
      <w:bookmarkStart w:id="67" w:name="_Toc513725367"/>
      <w:bookmarkStart w:id="68" w:name="_Toc514235156"/>
      <w:r w:rsidRPr="00BD2D1D">
        <w:t>Article 13</w:t>
      </w:r>
      <w:r w:rsidR="006D5FC3">
        <w:t xml:space="preserve">: </w:t>
      </w:r>
      <w:r w:rsidR="000B39D0">
        <w:t xml:space="preserve">Social and </w:t>
      </w:r>
      <w:r w:rsidRPr="00BD2D1D">
        <w:t xml:space="preserve">Economic </w:t>
      </w:r>
      <w:r w:rsidR="00A53AF4">
        <w:t>Life</w:t>
      </w:r>
      <w:bookmarkEnd w:id="66"/>
      <w:r w:rsidR="00A53AF4">
        <w:t xml:space="preserve"> </w:t>
      </w:r>
      <w:bookmarkEnd w:id="67"/>
      <w:bookmarkEnd w:id="68"/>
    </w:p>
    <w:p w14:paraId="044FE2A3" w14:textId="77777777" w:rsidR="00C640BD" w:rsidRPr="005D4D04" w:rsidRDefault="00C640BD" w:rsidP="00C640BD">
      <w:pPr>
        <w:pStyle w:val="zH2"/>
      </w:pPr>
      <w:bookmarkStart w:id="69" w:name="_Toc513725368"/>
      <w:bookmarkStart w:id="70" w:name="_Toc514235157"/>
      <w:bookmarkStart w:id="71" w:name="_Toc535396296"/>
      <w:bookmarkStart w:id="72" w:name="_Toc513725369"/>
      <w:r w:rsidRPr="005D4D04">
        <w:t>Mitigate adverse gender impacts of welfare reform</w:t>
      </w:r>
      <w:bookmarkEnd w:id="69"/>
      <w:bookmarkEnd w:id="70"/>
      <w:bookmarkEnd w:id="71"/>
      <w:r w:rsidRPr="005D4D04">
        <w:t xml:space="preserve">  </w:t>
      </w:r>
    </w:p>
    <w:p w14:paraId="07B6427D" w14:textId="77777777" w:rsidR="00C640BD" w:rsidRPr="005D4D04" w:rsidRDefault="00C640BD" w:rsidP="00C640BD">
      <w:pPr>
        <w:pStyle w:val="zSummBox"/>
        <w:numPr>
          <w:ilvl w:val="0"/>
          <w:numId w:val="0"/>
        </w:numPr>
        <w:ind w:left="1494" w:hanging="360"/>
        <w:rPr>
          <w:u w:val="single"/>
        </w:rPr>
      </w:pPr>
      <w:r w:rsidRPr="005D4D04">
        <w:rPr>
          <w:u w:val="single"/>
        </w:rPr>
        <w:t xml:space="preserve">Proposed </w:t>
      </w:r>
      <w:r w:rsidR="008D4176">
        <w:rPr>
          <w:u w:val="single"/>
        </w:rPr>
        <w:t>Recommendation</w:t>
      </w:r>
      <w:r w:rsidRPr="005D4D04">
        <w:rPr>
          <w:u w:val="single"/>
        </w:rPr>
        <w:t xml:space="preserve">: </w:t>
      </w:r>
    </w:p>
    <w:p w14:paraId="76215C85" w14:textId="77777777" w:rsidR="00C640BD" w:rsidRPr="005D4D04" w:rsidRDefault="008D4176" w:rsidP="00C640BD">
      <w:pPr>
        <w:pStyle w:val="zSummBox"/>
        <w:numPr>
          <w:ilvl w:val="0"/>
          <w:numId w:val="0"/>
        </w:numPr>
        <w:ind w:left="1134"/>
      </w:pPr>
      <w:r>
        <w:t xml:space="preserve">We </w:t>
      </w:r>
      <w:r w:rsidRPr="00574D21">
        <w:t xml:space="preserve">recommend </w:t>
      </w:r>
      <w:r w:rsidR="006E3766" w:rsidRPr="00574D21">
        <w:t xml:space="preserve">action by </w:t>
      </w:r>
      <w:r w:rsidR="00C640BD" w:rsidRPr="00574D21">
        <w:t>Government</w:t>
      </w:r>
      <w:r w:rsidR="006E3766" w:rsidRPr="00574D21">
        <w:t xml:space="preserve">, </w:t>
      </w:r>
      <w:r w:rsidR="004231E5" w:rsidRPr="00574D21">
        <w:t xml:space="preserve">including </w:t>
      </w:r>
      <w:r w:rsidR="006E3766" w:rsidRPr="00574D21">
        <w:t xml:space="preserve">through their relevant Departments, to </w:t>
      </w:r>
      <w:r w:rsidR="00D3764A" w:rsidRPr="00574D21">
        <w:t>identify</w:t>
      </w:r>
      <w:r w:rsidR="006E3766" w:rsidRPr="00574D21">
        <w:t>,</w:t>
      </w:r>
      <w:r w:rsidR="006E3766">
        <w:t xml:space="preserve"> </w:t>
      </w:r>
      <w:r w:rsidR="00C640BD" w:rsidRPr="005D4D04">
        <w:t>mitigate</w:t>
      </w:r>
      <w:r w:rsidR="00D3764A">
        <w:t xml:space="preserve"> </w:t>
      </w:r>
      <w:r w:rsidR="006E3766">
        <w:t>and monitor any</w:t>
      </w:r>
      <w:r w:rsidR="001A26D6">
        <w:t xml:space="preserve"> </w:t>
      </w:r>
      <w:r w:rsidR="00C640BD" w:rsidRPr="005D4D04">
        <w:t xml:space="preserve">adverse impacts </w:t>
      </w:r>
      <w:r w:rsidR="00D3764A">
        <w:t>of welfare reform on women</w:t>
      </w:r>
      <w:r w:rsidR="001C31D1">
        <w:t>,</w:t>
      </w:r>
      <w:r w:rsidR="00D3764A">
        <w:t xml:space="preserve"> </w:t>
      </w:r>
      <w:r w:rsidR="002B334D">
        <w:t xml:space="preserve">for example </w:t>
      </w:r>
      <w:r w:rsidR="001C31D1">
        <w:t xml:space="preserve">any </w:t>
      </w:r>
      <w:r w:rsidR="00C640BD" w:rsidRPr="005D4D04">
        <w:t xml:space="preserve">associated with the </w:t>
      </w:r>
      <w:r w:rsidR="00C640BD" w:rsidRPr="005D4D04">
        <w:rPr>
          <w:i/>
        </w:rPr>
        <w:t>household</w:t>
      </w:r>
      <w:r w:rsidR="00C640BD" w:rsidRPr="005D4D04">
        <w:t xml:space="preserve"> payment of universal credit</w:t>
      </w:r>
      <w:r w:rsidR="002B334D">
        <w:t xml:space="preserve">, </w:t>
      </w:r>
      <w:r w:rsidR="00D3764A">
        <w:t>the closure of the childcare voucher scheme</w:t>
      </w:r>
      <w:r w:rsidR="002B334D">
        <w:t xml:space="preserve">, or </w:t>
      </w:r>
      <w:r w:rsidR="00D3764A">
        <w:t>payment requirements under the childcare element of universal credit</w:t>
      </w:r>
      <w:r w:rsidR="008B77B5">
        <w:t>.</w:t>
      </w:r>
      <w:r w:rsidR="00D3764A">
        <w:t xml:space="preserve"> </w:t>
      </w:r>
    </w:p>
    <w:p w14:paraId="78E75379" w14:textId="5878E356" w:rsidR="00A02926" w:rsidRPr="00A02926" w:rsidRDefault="00A02926" w:rsidP="002103BE">
      <w:pPr>
        <w:pStyle w:val="zNumPara"/>
      </w:pPr>
      <w:r w:rsidRPr="00A02926">
        <w:rPr>
          <w:rFonts w:eastAsiaTheme="minorHAnsi"/>
        </w:rPr>
        <w:t>Women typically depend more on non-employment income than men, due to the gendered nature of caring</w:t>
      </w:r>
      <w:r w:rsidR="009C14CA">
        <w:rPr>
          <w:rFonts w:eastAsiaTheme="minorHAnsi"/>
        </w:rPr>
        <w:t xml:space="preserve"> roles</w:t>
      </w:r>
      <w:r>
        <w:rPr>
          <w:rFonts w:eastAsiaTheme="minorHAnsi"/>
        </w:rPr>
        <w:t>.</w:t>
      </w:r>
      <w:r w:rsidRPr="00A02926">
        <w:rPr>
          <w:rFonts w:eastAsiaTheme="minorHAnsi"/>
        </w:rPr>
        <w:t xml:space="preserve"> The payment of benefit directly to women in their ‘caring for dependents role’ was an important reform introduced in the 1970’s, with Child Benefit usually being paid to the child’s mother</w:t>
      </w:r>
      <w:r w:rsidRPr="005D4D04">
        <w:rPr>
          <w:rStyle w:val="FootnoteReference"/>
        </w:rPr>
        <w:footnoteReference w:id="100"/>
      </w:r>
      <w:r w:rsidRPr="00A02926">
        <w:rPr>
          <w:rFonts w:eastAsiaTheme="minorHAnsi"/>
        </w:rPr>
        <w:t xml:space="preserve">.  </w:t>
      </w:r>
    </w:p>
    <w:p w14:paraId="5D7A3E38" w14:textId="64BF820F" w:rsidR="00C640BD" w:rsidRPr="005D4D04" w:rsidRDefault="00FD5C47" w:rsidP="00F05E55">
      <w:pPr>
        <w:pStyle w:val="zNumPara"/>
      </w:pPr>
      <w:r>
        <w:t>Significant changes to w</w:t>
      </w:r>
      <w:r w:rsidR="00C640BD" w:rsidRPr="005D4D04">
        <w:t xml:space="preserve">elfare </w:t>
      </w:r>
      <w:r>
        <w:t>r</w:t>
      </w:r>
      <w:r w:rsidR="00C640BD" w:rsidRPr="005D4D04">
        <w:t xml:space="preserve">eform </w:t>
      </w:r>
      <w:r>
        <w:t>are being introduced in Northern Ireland on a phased basis</w:t>
      </w:r>
      <w:r w:rsidR="00C640BD" w:rsidRPr="005D4D04">
        <w:rPr>
          <w:rStyle w:val="FootnoteReference"/>
          <w:rFonts w:eastAsiaTheme="minorEastAsia"/>
        </w:rPr>
        <w:footnoteReference w:id="101"/>
      </w:r>
      <w:r w:rsidR="00C640BD" w:rsidRPr="005D4D04">
        <w:t xml:space="preserve">. </w:t>
      </w:r>
      <w:r w:rsidR="0039381C">
        <w:t xml:space="preserve"> </w:t>
      </w:r>
      <w:r w:rsidR="00C640BD" w:rsidRPr="005D4D04">
        <w:t>Whilst some overall mitigation measures have been introduced in Northern Ireland</w:t>
      </w:r>
      <w:r w:rsidR="00C640BD" w:rsidRPr="005D4D04">
        <w:rPr>
          <w:rStyle w:val="FootnoteReference"/>
          <w:rFonts w:eastAsiaTheme="minorEastAsia"/>
        </w:rPr>
        <w:footnoteReference w:id="102"/>
      </w:r>
      <w:r w:rsidR="00C640BD" w:rsidRPr="005D4D04">
        <w:t>, these are of a temporary nature, and we remain concerned</w:t>
      </w:r>
      <w:r w:rsidR="00000B1E">
        <w:t xml:space="preserve"> </w:t>
      </w:r>
      <w:r w:rsidR="00C640BD" w:rsidRPr="005D4D04">
        <w:t xml:space="preserve">that the payment arrangements for Universal Credit will negatively impact on women’s financial independence.  </w:t>
      </w:r>
      <w:r w:rsidR="00C640BD" w:rsidRPr="00A02926">
        <w:rPr>
          <w:rFonts w:eastAsiaTheme="minorHAnsi"/>
        </w:rPr>
        <w:t xml:space="preserve">In 2013 the </w:t>
      </w:r>
      <w:r w:rsidR="00C640BD" w:rsidRPr="005D4D04">
        <w:t xml:space="preserve">CEDAW Committee </w:t>
      </w:r>
      <w:r w:rsidR="00B8795C">
        <w:t xml:space="preserve">highlighted </w:t>
      </w:r>
      <w:r w:rsidR="00C640BD" w:rsidRPr="005D4D04">
        <w:t>concerns that payment arrangements for Universal Credit poses risks of financial abuse for women.</w:t>
      </w:r>
    </w:p>
    <w:p w14:paraId="35B1CE86" w14:textId="2CF4EA01" w:rsidR="00C640BD" w:rsidRPr="005D4D04" w:rsidRDefault="00C640BD" w:rsidP="00C640BD">
      <w:pPr>
        <w:pStyle w:val="zNumPara"/>
      </w:pPr>
      <w:r w:rsidRPr="005D4D04">
        <w:t>We note the option within Universal Credit for Alternative Payment Arrangements, whereby in ‘</w:t>
      </w:r>
      <w:r w:rsidRPr="005D4D04">
        <w:rPr>
          <w:i/>
        </w:rPr>
        <w:t>very exceptional circumstances’</w:t>
      </w:r>
      <w:r w:rsidRPr="005D4D04">
        <w:t xml:space="preserve"> payments of  Universal Credit can be </w:t>
      </w:r>
      <w:r w:rsidRPr="005D4D04">
        <w:rPr>
          <w:i/>
        </w:rPr>
        <w:t>“split into 2 bank accounts instead of one (couples only)”</w:t>
      </w:r>
      <w:r w:rsidR="00BD7527" w:rsidRPr="00BD7527">
        <w:rPr>
          <w:rStyle w:val="FootnoteReference"/>
        </w:rPr>
        <w:t xml:space="preserve"> </w:t>
      </w:r>
      <w:r w:rsidR="00BD7527">
        <w:rPr>
          <w:rStyle w:val="FootnoteReference"/>
        </w:rPr>
        <w:footnoteReference w:id="103"/>
      </w:r>
      <w:r w:rsidRPr="005D4D04">
        <w:t xml:space="preserve">.  </w:t>
      </w:r>
    </w:p>
    <w:p w14:paraId="014CBEE7" w14:textId="4C29A578" w:rsidR="00C640BD" w:rsidRPr="002B334D" w:rsidRDefault="00C640BD" w:rsidP="002B334D">
      <w:pPr>
        <w:pStyle w:val="zNumPara"/>
      </w:pPr>
      <w:r w:rsidRPr="005D4D04">
        <w:t xml:space="preserve">However, we remain concerned that following any joint claim and assessment, paying Universal Credit by default into a </w:t>
      </w:r>
      <w:r w:rsidRPr="0083306F">
        <w:rPr>
          <w:i/>
        </w:rPr>
        <w:t>single</w:t>
      </w:r>
      <w:r w:rsidRPr="005D4D04">
        <w:t xml:space="preserve"> bank account chosen by the claimant(s), may in some instances leave women without direct income and family members potentially without access to funds, until evidence of </w:t>
      </w:r>
      <w:r w:rsidR="002B334D">
        <w:t xml:space="preserve">any </w:t>
      </w:r>
      <w:r w:rsidRPr="005D4D04">
        <w:t>‘very exceptional circumstances’ has been produced, assessed and proven</w:t>
      </w:r>
      <w:r w:rsidR="00A03ADB" w:rsidRPr="005D4D04">
        <w:rPr>
          <w:rStyle w:val="FootnoteReference"/>
        </w:rPr>
        <w:footnoteReference w:id="104"/>
      </w:r>
      <w:r w:rsidRPr="005D4D04">
        <w:t xml:space="preserve">. </w:t>
      </w:r>
      <w:r w:rsidR="0083306F">
        <w:t xml:space="preserve"> </w:t>
      </w:r>
      <w:r w:rsidR="00836F54">
        <w:t>F</w:t>
      </w:r>
      <w:r w:rsidRPr="005D4D04">
        <w:t xml:space="preserve">urther consideration </w:t>
      </w:r>
      <w:r w:rsidR="00836F54">
        <w:t xml:space="preserve">should be </w:t>
      </w:r>
      <w:r w:rsidRPr="005D4D04">
        <w:t xml:space="preserve">given to </w:t>
      </w:r>
      <w:r w:rsidR="002B334D">
        <w:t xml:space="preserve">the default </w:t>
      </w:r>
      <w:r w:rsidRPr="005D4D04">
        <w:t>payment of Universal Credit to the primary carer, usually the mother</w:t>
      </w:r>
      <w:r w:rsidR="00836F54">
        <w:t xml:space="preserve">; a </w:t>
      </w:r>
      <w:r w:rsidR="002B334D">
        <w:t xml:space="preserve">  recommendation echoed by a 2018 UK </w:t>
      </w:r>
      <w:r w:rsidR="002B334D" w:rsidRPr="002B334D">
        <w:t>Work and Pensions Committee Inquiry</w:t>
      </w:r>
      <w:r w:rsidR="002B334D">
        <w:rPr>
          <w:rStyle w:val="FootnoteReference"/>
        </w:rPr>
        <w:footnoteReference w:id="105"/>
      </w:r>
      <w:r w:rsidR="00B97E63">
        <w:rPr>
          <w:rStyle w:val="FootnoteReference"/>
        </w:rPr>
        <w:footnoteReference w:id="106"/>
      </w:r>
      <w:r w:rsidR="00836F54">
        <w:t>.</w:t>
      </w:r>
    </w:p>
    <w:p w14:paraId="78445DAF" w14:textId="397165BD" w:rsidR="008B77B5" w:rsidRDefault="006E33EF" w:rsidP="008B77B5">
      <w:pPr>
        <w:pStyle w:val="zNumPara"/>
      </w:pPr>
      <w:r>
        <w:rPr>
          <w:lang w:val="en"/>
        </w:rPr>
        <w:t>Further</w:t>
      </w:r>
      <w:r w:rsidR="00D87998">
        <w:rPr>
          <w:lang w:val="en"/>
        </w:rPr>
        <w:t xml:space="preserve">, a UK Parliamentary Committee Inquiry has raised </w:t>
      </w:r>
      <w:r w:rsidR="008B77B5">
        <w:rPr>
          <w:lang w:val="en"/>
        </w:rPr>
        <w:t xml:space="preserve">concerns </w:t>
      </w:r>
      <w:r w:rsidR="00D87998">
        <w:rPr>
          <w:lang w:val="en"/>
        </w:rPr>
        <w:t xml:space="preserve">regarding </w:t>
      </w:r>
      <w:r w:rsidR="008B77B5">
        <w:rPr>
          <w:lang w:val="en"/>
        </w:rPr>
        <w:t xml:space="preserve">the </w:t>
      </w:r>
      <w:r w:rsidR="00D87998">
        <w:rPr>
          <w:lang w:val="en"/>
        </w:rPr>
        <w:t xml:space="preserve">impact </w:t>
      </w:r>
      <w:r w:rsidR="004D43E1">
        <w:rPr>
          <w:lang w:val="en"/>
        </w:rPr>
        <w:t xml:space="preserve">on supporting low paid parents into work </w:t>
      </w:r>
      <w:r w:rsidR="003104CB">
        <w:rPr>
          <w:lang w:val="en"/>
        </w:rPr>
        <w:t xml:space="preserve">of payment requirements </w:t>
      </w:r>
      <w:r w:rsidR="008B77B5">
        <w:rPr>
          <w:lang w:val="en"/>
        </w:rPr>
        <w:t xml:space="preserve">under the </w:t>
      </w:r>
      <w:r w:rsidR="006D6806" w:rsidRPr="006D6806">
        <w:rPr>
          <w:lang w:val="en"/>
        </w:rPr>
        <w:t>childcare element of Universal C</w:t>
      </w:r>
      <w:r w:rsidR="008B77B5" w:rsidRPr="002B334D">
        <w:rPr>
          <w:lang w:val="en"/>
        </w:rPr>
        <w:t>redit</w:t>
      </w:r>
      <w:r w:rsidR="00124051">
        <w:rPr>
          <w:rStyle w:val="FootnoteReference"/>
          <w:lang w:val="en"/>
        </w:rPr>
        <w:footnoteReference w:id="107"/>
      </w:r>
      <w:r w:rsidR="008B77B5">
        <w:rPr>
          <w:lang w:val="en"/>
        </w:rPr>
        <w:t>, a</w:t>
      </w:r>
      <w:r w:rsidR="004D43E1">
        <w:rPr>
          <w:lang w:val="en"/>
        </w:rPr>
        <w:t xml:space="preserve">s well as the impact of </w:t>
      </w:r>
      <w:r w:rsidR="00632194">
        <w:rPr>
          <w:lang w:val="en"/>
        </w:rPr>
        <w:t>the closure of the childcare voucher scheme</w:t>
      </w:r>
      <w:r w:rsidR="00632194">
        <w:rPr>
          <w:rStyle w:val="FootnoteReference"/>
          <w:lang w:val="en"/>
        </w:rPr>
        <w:footnoteReference w:id="108"/>
      </w:r>
      <w:r w:rsidR="008B77B5">
        <w:rPr>
          <w:lang w:val="en"/>
        </w:rPr>
        <w:t>.</w:t>
      </w:r>
    </w:p>
    <w:p w14:paraId="71CB0480" w14:textId="77777777" w:rsidR="004E589D" w:rsidRPr="00D27973" w:rsidRDefault="004E589D" w:rsidP="006B06AC">
      <w:pPr>
        <w:pStyle w:val="zH2"/>
      </w:pPr>
      <w:bookmarkStart w:id="73" w:name="_Toc514235158"/>
      <w:bookmarkStart w:id="74" w:name="_Toc535396297"/>
      <w:r>
        <w:t>Remove barriers to</w:t>
      </w:r>
      <w:r w:rsidR="001B5F30">
        <w:t xml:space="preserve"> women</w:t>
      </w:r>
      <w:r>
        <w:t xml:space="preserve"> </w:t>
      </w:r>
      <w:r w:rsidRPr="00BD2D1D">
        <w:t>access</w:t>
      </w:r>
      <w:r>
        <w:t xml:space="preserve">ing </w:t>
      </w:r>
      <w:r w:rsidRPr="00BD2D1D">
        <w:t>social protection</w:t>
      </w:r>
      <w:bookmarkEnd w:id="72"/>
      <w:bookmarkEnd w:id="73"/>
      <w:bookmarkEnd w:id="74"/>
      <w:r w:rsidRPr="00BD2D1D">
        <w:t xml:space="preserve"> </w:t>
      </w:r>
    </w:p>
    <w:p w14:paraId="14788688"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B12DE2">
        <w:rPr>
          <w:u w:val="single"/>
        </w:rPr>
        <w:t>Recommendation</w:t>
      </w:r>
      <w:r w:rsidR="00857009" w:rsidRPr="00857009">
        <w:rPr>
          <w:u w:val="single"/>
        </w:rPr>
        <w:t xml:space="preserve">: </w:t>
      </w:r>
    </w:p>
    <w:p w14:paraId="6ECDD5C3" w14:textId="77777777" w:rsidR="00857009" w:rsidRDefault="00B12DE2" w:rsidP="00857009">
      <w:pPr>
        <w:pStyle w:val="zSummBox"/>
        <w:numPr>
          <w:ilvl w:val="0"/>
          <w:numId w:val="0"/>
        </w:numPr>
        <w:ind w:left="1134"/>
      </w:pPr>
      <w:r>
        <w:t xml:space="preserve">We recommend </w:t>
      </w:r>
      <w:r w:rsidR="0061657F" w:rsidRPr="0061657F">
        <w:t xml:space="preserve">Government </w:t>
      </w:r>
      <w:r>
        <w:t xml:space="preserve">action to </w:t>
      </w:r>
      <w:r w:rsidR="0061657F" w:rsidRPr="0061657F">
        <w:t>improve access to social protection, including for those (mainly minority ethnic women) subjected to domestic violence with no recourse to public funds</w:t>
      </w:r>
      <w:r>
        <w:t xml:space="preserve">. </w:t>
      </w:r>
    </w:p>
    <w:p w14:paraId="698E892E" w14:textId="77777777" w:rsidR="00391717" w:rsidRDefault="007C5055" w:rsidP="00495D75">
      <w:pPr>
        <w:pStyle w:val="zNumPara"/>
      </w:pPr>
      <w:r w:rsidRPr="004A6CB7">
        <w:t>Some minority eth</w:t>
      </w:r>
      <w:r w:rsidR="000F5B89">
        <w:t>ni</w:t>
      </w:r>
      <w:r w:rsidRPr="004A6CB7">
        <w:t xml:space="preserve">c people who are not from the UK and with insecure immigration status have ‘no recourse to public funds’; namely they cannot claim benefit or use services paid for by public funds. </w:t>
      </w:r>
    </w:p>
    <w:p w14:paraId="1A29A2CC" w14:textId="1BA43545" w:rsidR="000A75A1" w:rsidRDefault="000404F5" w:rsidP="00E43D74">
      <w:pPr>
        <w:pStyle w:val="zNumPara"/>
      </w:pPr>
      <w:r>
        <w:t>Therefore,</w:t>
      </w:r>
      <w:r w:rsidR="007C5055" w:rsidRPr="004A6CB7">
        <w:t xml:space="preserve"> victims of domestic and sexual violence, mainly minority eth</w:t>
      </w:r>
      <w:r w:rsidR="000F5B89">
        <w:t>ni</w:t>
      </w:r>
      <w:r w:rsidR="007C5055" w:rsidRPr="004A6CB7">
        <w:t>c women, can be left financially dependent on their abuser, whether partner, other family member, employer or trafficker</w:t>
      </w:r>
      <w:r w:rsidR="007C5055" w:rsidRPr="004A6CB7">
        <w:rPr>
          <w:rStyle w:val="FootnoteReference"/>
        </w:rPr>
        <w:footnoteReference w:id="109"/>
      </w:r>
      <w:r w:rsidR="00495D75">
        <w:t>.</w:t>
      </w:r>
    </w:p>
    <w:p w14:paraId="3FDA2BF9" w14:textId="77777777" w:rsidR="004E589D" w:rsidRPr="00D27973" w:rsidRDefault="004E589D" w:rsidP="006B06AC">
      <w:pPr>
        <w:pStyle w:val="zH2"/>
      </w:pPr>
      <w:bookmarkStart w:id="75" w:name="_Toc513725370"/>
      <w:bookmarkStart w:id="76" w:name="_Toc514235159"/>
      <w:bookmarkStart w:id="77" w:name="_Toc535396298"/>
      <w:r w:rsidRPr="00BD2D1D">
        <w:t>Protect women with smaller pension provision</w:t>
      </w:r>
      <w:bookmarkEnd w:id="75"/>
      <w:bookmarkEnd w:id="76"/>
      <w:bookmarkEnd w:id="77"/>
    </w:p>
    <w:p w14:paraId="2FD5D510" w14:textId="77777777" w:rsidR="00857009" w:rsidRPr="00857009" w:rsidRDefault="00E13FED" w:rsidP="00857009">
      <w:pPr>
        <w:pStyle w:val="zSummBox"/>
        <w:numPr>
          <w:ilvl w:val="0"/>
          <w:numId w:val="0"/>
        </w:numPr>
        <w:ind w:left="1494" w:hanging="360"/>
        <w:rPr>
          <w:u w:val="single"/>
        </w:rPr>
      </w:pPr>
      <w:r>
        <w:rPr>
          <w:u w:val="single"/>
        </w:rPr>
        <w:t xml:space="preserve">Proposed </w:t>
      </w:r>
      <w:r w:rsidR="00B12DE2">
        <w:rPr>
          <w:u w:val="single"/>
        </w:rPr>
        <w:t>Recommendation</w:t>
      </w:r>
      <w:r w:rsidR="00857009" w:rsidRPr="00857009">
        <w:rPr>
          <w:u w:val="single"/>
        </w:rPr>
        <w:t xml:space="preserve">: </w:t>
      </w:r>
    </w:p>
    <w:p w14:paraId="395B85FA" w14:textId="77777777" w:rsidR="00857009" w:rsidRDefault="00B12DE2" w:rsidP="00857009">
      <w:pPr>
        <w:pStyle w:val="zSummBox"/>
        <w:numPr>
          <w:ilvl w:val="0"/>
          <w:numId w:val="0"/>
        </w:numPr>
        <w:ind w:left="1134"/>
      </w:pPr>
      <w:r>
        <w:t xml:space="preserve">We recommend </w:t>
      </w:r>
      <w:r w:rsidR="0061657F" w:rsidRPr="0061657F">
        <w:t xml:space="preserve">Government </w:t>
      </w:r>
      <w:r>
        <w:t xml:space="preserve">action to </w:t>
      </w:r>
      <w:r w:rsidR="0061657F" w:rsidRPr="0061657F">
        <w:t>protect women in Northern Ireland with smaller pension provision</w:t>
      </w:r>
      <w:r>
        <w:t>.</w:t>
      </w:r>
    </w:p>
    <w:p w14:paraId="072FA662" w14:textId="6D29AE0D" w:rsidR="00391717" w:rsidRDefault="0025077E" w:rsidP="004E589D">
      <w:pPr>
        <w:pStyle w:val="zNumPara"/>
      </w:pPr>
      <w:r>
        <w:t>Older w</w:t>
      </w:r>
      <w:r w:rsidR="007C5055">
        <w:t xml:space="preserve">omen </w:t>
      </w:r>
      <w:r w:rsidR="007C5055" w:rsidRPr="00066E4B">
        <w:t xml:space="preserve">are less likely to have occupational and private pensions and, if they have them, </w:t>
      </w:r>
      <w:r w:rsidR="004231E5">
        <w:t xml:space="preserve">more likely </w:t>
      </w:r>
      <w:r w:rsidR="007C5055" w:rsidRPr="00066E4B">
        <w:t xml:space="preserve">to receive lower payments than men because of broken careers </w:t>
      </w:r>
      <w:r w:rsidR="004231E5">
        <w:t xml:space="preserve">to allow </w:t>
      </w:r>
      <w:r w:rsidR="007C5055" w:rsidRPr="00066E4B">
        <w:t>for caring duties</w:t>
      </w:r>
      <w:r w:rsidR="007C5055">
        <w:t>.</w:t>
      </w:r>
      <w:r w:rsidR="007C5055" w:rsidRPr="00066E4B">
        <w:t xml:space="preserve"> </w:t>
      </w:r>
    </w:p>
    <w:p w14:paraId="4A0EB9EB" w14:textId="727DCDC4" w:rsidR="009504C8" w:rsidRPr="00F865AF" w:rsidRDefault="007C5055" w:rsidP="00F865AF">
      <w:pPr>
        <w:pStyle w:val="zNumPara"/>
      </w:pPr>
      <w:r w:rsidRPr="00066E4B">
        <w:t>Research has highlighted that women in low-paid, temporary work lose out most because they often cannot affor</w:t>
      </w:r>
      <w:r>
        <w:t>d to make pension contributions.</w:t>
      </w:r>
      <w:r w:rsidR="00C239EF">
        <w:t xml:space="preserve"> Further</w:t>
      </w:r>
      <w:r>
        <w:t xml:space="preserve">, some women will be worse off following the </w:t>
      </w:r>
      <w:r w:rsidRPr="00567EFB">
        <w:t>introduction of the flat rate pension</w:t>
      </w:r>
      <w:r w:rsidRPr="00567EFB">
        <w:rPr>
          <w:vertAlign w:val="superscript"/>
        </w:rPr>
        <w:footnoteReference w:id="110"/>
      </w:r>
      <w:r w:rsidRPr="00567EFB">
        <w:t>.</w:t>
      </w:r>
    </w:p>
    <w:p w14:paraId="31FF4EAE" w14:textId="77777777" w:rsidR="0040442D" w:rsidRDefault="0040442D">
      <w:pPr>
        <w:spacing w:after="160" w:line="259" w:lineRule="auto"/>
        <w:rPr>
          <w:rStyle w:val="Hyperlink"/>
          <w:b/>
        </w:rPr>
        <w:sectPr w:rsidR="0040442D" w:rsidSect="00DD4D94">
          <w:headerReference w:type="even" r:id="rId12"/>
          <w:headerReference w:type="default" r:id="rId13"/>
          <w:footerReference w:type="default" r:id="rId14"/>
          <w:headerReference w:type="first" r:id="rId15"/>
          <w:pgSz w:w="11907" w:h="16839" w:code="9"/>
          <w:pgMar w:top="1134" w:right="1134" w:bottom="1134" w:left="1134" w:header="567" w:footer="567" w:gutter="0"/>
          <w:pgNumType w:start="1"/>
          <w:cols w:space="708"/>
          <w:docGrid w:linePitch="381"/>
        </w:sectPr>
      </w:pPr>
    </w:p>
    <w:p w14:paraId="2A7A28AD" w14:textId="77777777" w:rsidR="004C556E" w:rsidRPr="001B63C7" w:rsidRDefault="004C556E" w:rsidP="004C556E">
      <w:pPr>
        <w:pStyle w:val="Heading1"/>
      </w:pPr>
      <w:bookmarkStart w:id="78" w:name="_Toc535396299"/>
      <w:r w:rsidRPr="001B63C7">
        <w:t xml:space="preserve">Annex 1: Summary of Proposed </w:t>
      </w:r>
      <w:r w:rsidR="00B12DE2" w:rsidRPr="001B63C7">
        <w:t>Recommendations</w:t>
      </w:r>
      <w:bookmarkEnd w:id="78"/>
      <w:r w:rsidR="00B12DE2" w:rsidRPr="001B63C7">
        <w:t xml:space="preserve"> </w:t>
      </w:r>
    </w:p>
    <w:p w14:paraId="2B7748EB" w14:textId="77777777" w:rsidR="004C556E" w:rsidRPr="001B63C7" w:rsidRDefault="004C556E" w:rsidP="004C556E">
      <w:pPr>
        <w:pStyle w:val="zNormalPara"/>
      </w:pPr>
      <w:r w:rsidRPr="001B63C7">
        <w:t xml:space="preserve">We propose that the UN Committee </w:t>
      </w:r>
      <w:r w:rsidR="00C17EC9" w:rsidRPr="001B63C7">
        <w:t xml:space="preserve">raises </w:t>
      </w:r>
      <w:r w:rsidRPr="001B63C7">
        <w:t xml:space="preserve">the following </w:t>
      </w:r>
      <w:r w:rsidR="00C17EC9" w:rsidRPr="001B63C7">
        <w:t xml:space="preserve">recommendations with </w:t>
      </w:r>
      <w:r w:rsidRPr="001B63C7">
        <w:t>the UK State Party</w:t>
      </w:r>
      <w:r w:rsidR="00C17EC9" w:rsidRPr="001B63C7">
        <w:t>, as regards actions to promote women’s equality in Northern Ireland</w:t>
      </w:r>
      <w:r w:rsidRPr="001B63C7">
        <w:t>:</w:t>
      </w:r>
    </w:p>
    <w:p w14:paraId="1A353192" w14:textId="77777777" w:rsidR="004C556E" w:rsidRPr="001B63C7" w:rsidRDefault="004C556E" w:rsidP="004C556E">
      <w:pPr>
        <w:pStyle w:val="Heading2"/>
      </w:pPr>
      <w:r w:rsidRPr="001B63C7">
        <w:t>Articles 1-4</w:t>
      </w:r>
      <w:r w:rsidR="000B39D0" w:rsidRPr="001B63C7">
        <w:t>; Article 15</w:t>
      </w:r>
      <w:r w:rsidRPr="001B63C7">
        <w:t>: Tackling discrimination</w:t>
      </w:r>
      <w:r w:rsidR="000B39D0" w:rsidRPr="001B63C7">
        <w:t xml:space="preserve">; </w:t>
      </w:r>
      <w:r w:rsidRPr="001B63C7">
        <w:t>advancing gender equality</w:t>
      </w:r>
      <w:r w:rsidR="000B39D0" w:rsidRPr="001B63C7">
        <w:t>; legislation.</w:t>
      </w:r>
      <w:r w:rsidRPr="001B63C7">
        <w:t xml:space="preserve"> </w:t>
      </w:r>
    </w:p>
    <w:p w14:paraId="05BB6B7C" w14:textId="77777777" w:rsidR="00E4682E" w:rsidRPr="001B63C7" w:rsidRDefault="00124ABB" w:rsidP="00124ABB">
      <w:pPr>
        <w:pStyle w:val="zBullet"/>
      </w:pPr>
      <w:r w:rsidRPr="001B63C7">
        <w:t>We recommend Government takes action in Northern Ireland to strengthen institutional mechanisms for gender equality (including to develop an effective strategic framework and action plan; strengthen national machineries; ensure gender mainstreaming and the taking of positive action, where appropriate; mainstream women’s equality across the Programme for Government (PfG) and associated delivery plans and indicators; and improve the collection of gender disaggregated data).</w:t>
      </w:r>
    </w:p>
    <w:p w14:paraId="0217256E" w14:textId="77777777" w:rsidR="00124ABB" w:rsidRPr="001B63C7" w:rsidRDefault="00124ABB" w:rsidP="00124ABB">
      <w:pPr>
        <w:pStyle w:val="zBullet"/>
      </w:pPr>
      <w:r w:rsidRPr="001B63C7">
        <w:t>We recommend Government ensures there are no negative impacts on women’s equality as a result of the UK exiting the EU, including via an enforceable commitment to non-regression of equality rights and to keep pace with future EU equality rights; to ensure effective engagement with women during the Brexit process; and to mitigate any potential impact of the loss of EU funding.</w:t>
      </w:r>
    </w:p>
    <w:p w14:paraId="4D0394F9" w14:textId="77777777" w:rsidR="00124ABB" w:rsidRPr="001B63C7" w:rsidRDefault="00124ABB" w:rsidP="00124ABB">
      <w:pPr>
        <w:pStyle w:val="zBullet"/>
      </w:pPr>
      <w:r w:rsidRPr="001B63C7">
        <w:t>We recommend Government address the legislative gaps in equality protection for women in Northern Ireland including, but not limited to, gaps that exist between Northern Ireland and Great Britain, as set out in the Commission’s gender law reform recommendations.</w:t>
      </w:r>
    </w:p>
    <w:p w14:paraId="1D76EE27" w14:textId="77777777" w:rsidR="00124ABB" w:rsidRPr="001B63C7" w:rsidRDefault="00124ABB" w:rsidP="00124ABB">
      <w:pPr>
        <w:pStyle w:val="zBullet"/>
      </w:pPr>
      <w:r w:rsidRPr="001B63C7">
        <w:t>We recommend the urgent introduction of gender pay gap reporting requirements and a Gender Pay Strategy and Action Plan in Northern Ireland.</w:t>
      </w:r>
    </w:p>
    <w:p w14:paraId="769B028A" w14:textId="77777777" w:rsidR="00124ABB" w:rsidRPr="001B63C7" w:rsidRDefault="00124ABB" w:rsidP="00124ABB">
      <w:pPr>
        <w:pStyle w:val="zBullet"/>
      </w:pPr>
      <w:r w:rsidRPr="001B63C7">
        <w:t>We recommend Government action to tackle the nature and specific impact of gender-based violence on women in Northern Ireland, including through the delivery of effective strategies.</w:t>
      </w:r>
    </w:p>
    <w:p w14:paraId="33BD6710" w14:textId="77777777" w:rsidR="00124ABB" w:rsidRPr="001B63C7" w:rsidRDefault="00124ABB" w:rsidP="00124ABB">
      <w:pPr>
        <w:pStyle w:val="zBullet"/>
      </w:pPr>
      <w:r w:rsidRPr="001B63C7">
        <w:t xml:space="preserve">We recommend that the UK Government takes all necessary measures, including in Northern Ireland, to comply with the Istanbul Convention, so as to enable it’s prompt ratification.    </w:t>
      </w:r>
    </w:p>
    <w:p w14:paraId="04279F44" w14:textId="77777777" w:rsidR="00124ABB" w:rsidRPr="001B63C7" w:rsidRDefault="00124ABB" w:rsidP="00124ABB">
      <w:pPr>
        <w:pStyle w:val="zBullet"/>
      </w:pPr>
      <w:r w:rsidRPr="001B63C7">
        <w:t>We recommend Government action to address inequalities and barriers faced by women with multiple identities in Northern Ireland.</w:t>
      </w:r>
    </w:p>
    <w:p w14:paraId="7F15ADFE" w14:textId="77777777" w:rsidR="004C556E" w:rsidRPr="001B63C7" w:rsidRDefault="004C556E" w:rsidP="004C556E">
      <w:pPr>
        <w:pStyle w:val="Heading2"/>
      </w:pPr>
      <w:r w:rsidRPr="001B63C7">
        <w:t>Article 5: Roles and Stereotyping</w:t>
      </w:r>
    </w:p>
    <w:p w14:paraId="7DC0F59C" w14:textId="77777777" w:rsidR="00124ABB" w:rsidRPr="001B63C7" w:rsidRDefault="00124ABB" w:rsidP="00124ABB">
      <w:pPr>
        <w:pStyle w:val="zBullet"/>
      </w:pPr>
      <w:r w:rsidRPr="001B63C7">
        <w:t xml:space="preserve">We recommend Government action in Northern Ireland to challenge gender stereotypes, including in relation to education, work, the media, and wider society. </w:t>
      </w:r>
    </w:p>
    <w:p w14:paraId="6E9B6A1D" w14:textId="77777777" w:rsidR="007A19E4" w:rsidRPr="001B63C7" w:rsidRDefault="00124ABB" w:rsidP="00124ABB">
      <w:pPr>
        <w:pStyle w:val="zBullet"/>
      </w:pPr>
      <w:r w:rsidRPr="001B63C7">
        <w:t>We recommend Government action to tackle the objectification and degradation of women, including in the media, in Northern Ireland.</w:t>
      </w:r>
    </w:p>
    <w:p w14:paraId="5B42D1E5" w14:textId="77777777" w:rsidR="007A19E4" w:rsidRPr="001B63C7" w:rsidRDefault="007A19E4" w:rsidP="004231E5"/>
    <w:p w14:paraId="2D7B25AB" w14:textId="77777777" w:rsidR="004C556E" w:rsidRPr="001B63C7" w:rsidRDefault="004C556E" w:rsidP="004C556E">
      <w:pPr>
        <w:pStyle w:val="Heading2"/>
      </w:pPr>
      <w:r w:rsidRPr="001B63C7">
        <w:t>Article 7: Political and Public Life</w:t>
      </w:r>
    </w:p>
    <w:p w14:paraId="6860E50A" w14:textId="77777777" w:rsidR="00124ABB" w:rsidRPr="001B63C7" w:rsidRDefault="00124ABB" w:rsidP="00124ABB">
      <w:pPr>
        <w:pStyle w:val="zBullet"/>
      </w:pPr>
      <w:r w:rsidRPr="001B63C7">
        <w:t>We recommend Government action to ensure it achieves published targets for gender equality in public appointments, including through implementing the 2014 recommendations of the Commissioner for Public Appointments for Northern Ireland.</w:t>
      </w:r>
    </w:p>
    <w:p w14:paraId="683F9B41" w14:textId="77777777" w:rsidR="007A19E4" w:rsidRPr="001B63C7" w:rsidRDefault="00124ABB" w:rsidP="00124ABB">
      <w:pPr>
        <w:pStyle w:val="zBullet"/>
      </w:pPr>
      <w:r w:rsidRPr="001B63C7">
        <w:t>We recommend Government action, including via any temporary special measures, to overcome key barriers to women’s participation in political life, economic decision making, and peace building in Northern Ireland; including to implement in Northern Ireland the aspects of UNSCR 1325 which it considers “are relevant to all states”.</w:t>
      </w:r>
    </w:p>
    <w:p w14:paraId="6B33F8A8" w14:textId="77777777" w:rsidR="00E4682E" w:rsidRPr="001B63C7" w:rsidRDefault="00E4682E" w:rsidP="004231E5">
      <w:pPr>
        <w:pStyle w:val="zBullet"/>
        <w:numPr>
          <w:ilvl w:val="0"/>
          <w:numId w:val="0"/>
        </w:numPr>
        <w:ind w:left="1098" w:hanging="360"/>
      </w:pPr>
    </w:p>
    <w:p w14:paraId="43D74263" w14:textId="77777777" w:rsidR="004C556E" w:rsidRPr="001B63C7" w:rsidRDefault="004C556E" w:rsidP="004C556E">
      <w:pPr>
        <w:pStyle w:val="Heading2"/>
      </w:pPr>
      <w:r w:rsidRPr="001B63C7">
        <w:t>Article 10: Education</w:t>
      </w:r>
    </w:p>
    <w:p w14:paraId="341AA576" w14:textId="77777777" w:rsidR="007A19E4" w:rsidRPr="001B63C7" w:rsidRDefault="0070196F" w:rsidP="0070196F">
      <w:pPr>
        <w:pStyle w:val="zBullet"/>
      </w:pPr>
      <w:r w:rsidRPr="001B63C7">
        <w:t>We recommend Government action to tackle inequalities and challenge gender stereotypes experienced by women in Northern Ireland in all stages of education and vocational training (including through the curriculum, subject choice, careers advice, and teacher training; ensure gender mainstreaming in educational bodies; remove barriers to non-traditional career paths for girls, including in STEM subjects; and to eliminate gender based bullying).</w:t>
      </w:r>
    </w:p>
    <w:p w14:paraId="7D4A5D01" w14:textId="77777777" w:rsidR="00E4682E" w:rsidRPr="001B63C7" w:rsidRDefault="00E4682E" w:rsidP="004231E5">
      <w:pPr>
        <w:pStyle w:val="zBullet"/>
        <w:numPr>
          <w:ilvl w:val="0"/>
          <w:numId w:val="0"/>
        </w:numPr>
        <w:ind w:left="1098" w:hanging="360"/>
      </w:pPr>
    </w:p>
    <w:p w14:paraId="28DEF7F6" w14:textId="77777777" w:rsidR="004C556E" w:rsidRPr="001B63C7" w:rsidRDefault="004C556E" w:rsidP="004C556E">
      <w:pPr>
        <w:pStyle w:val="Heading2"/>
      </w:pPr>
      <w:r w:rsidRPr="001B63C7">
        <w:t xml:space="preserve">Article 11: Employment </w:t>
      </w:r>
    </w:p>
    <w:p w14:paraId="0CDB50F1" w14:textId="77777777" w:rsidR="007A19E4" w:rsidRPr="001B63C7" w:rsidRDefault="001B63C7" w:rsidP="001B63C7">
      <w:pPr>
        <w:pStyle w:val="zBullet"/>
      </w:pPr>
      <w:r w:rsidRPr="001B63C7">
        <w:t xml:space="preserve">We recommend Government action to ensure women’s economic independence in Northern Ireland, including to: eliminate occupational and industrial segregation; promote women’s equality in the workplace; encourage flexible working practices and sharing of caring roles; tackle gender pay gaps; and eliminate discrimination and harassment. </w:t>
      </w:r>
    </w:p>
    <w:p w14:paraId="54BCE658" w14:textId="1F11FFEF" w:rsidR="001B63C7" w:rsidRPr="001B63C7" w:rsidRDefault="001B63C7" w:rsidP="001B63C7">
      <w:pPr>
        <w:pStyle w:val="zBullet"/>
      </w:pPr>
      <w:r w:rsidRPr="001B63C7">
        <w:t xml:space="preserve">We recommend Government action to ensure appropriate, flexible, accessible and affordable childcare provision in Northern Ireland, including through the implementation of an effective </w:t>
      </w:r>
      <w:r w:rsidR="006E33EF">
        <w:t xml:space="preserve">full </w:t>
      </w:r>
      <w:r w:rsidRPr="001B63C7">
        <w:t>Childcare Strategy and action plan.</w:t>
      </w:r>
    </w:p>
    <w:p w14:paraId="6DDDB208" w14:textId="77777777" w:rsidR="004C556E" w:rsidRPr="001B63C7" w:rsidRDefault="004C556E" w:rsidP="004C556E">
      <w:pPr>
        <w:pStyle w:val="Heading2"/>
      </w:pPr>
      <w:r w:rsidRPr="001B63C7">
        <w:t xml:space="preserve">Article 12: Health </w:t>
      </w:r>
    </w:p>
    <w:p w14:paraId="6D03C49B" w14:textId="77777777" w:rsidR="00F314FC" w:rsidRDefault="001B63C7" w:rsidP="001B63C7">
      <w:pPr>
        <w:pStyle w:val="zBullet"/>
      </w:pPr>
      <w:r w:rsidRPr="001B63C7">
        <w:t>We recommend Government action to remove barriers experienced by women in Northern Ireland in accessing health care services, including reproductive health care services</w:t>
      </w:r>
      <w:r w:rsidR="00F314FC">
        <w:t xml:space="preserve">. </w:t>
      </w:r>
    </w:p>
    <w:p w14:paraId="449A5722" w14:textId="77777777" w:rsidR="007A19E4" w:rsidRPr="001B63C7" w:rsidRDefault="00F314FC" w:rsidP="001B63C7">
      <w:pPr>
        <w:pStyle w:val="zBullet"/>
      </w:pPr>
      <w:r>
        <w:t xml:space="preserve">We recommend Government </w:t>
      </w:r>
      <w:r w:rsidR="001B63C7" w:rsidRPr="001B63C7">
        <w:t>conduct</w:t>
      </w:r>
      <w:r>
        <w:t>s</w:t>
      </w:r>
      <w:r w:rsidR="001B63C7" w:rsidRPr="001B63C7">
        <w:t xml:space="preserve"> a full public consultation on abortion law.</w:t>
      </w:r>
    </w:p>
    <w:p w14:paraId="0B59B234" w14:textId="77777777" w:rsidR="00814990" w:rsidRDefault="00814990" w:rsidP="00814990">
      <w:pPr>
        <w:pStyle w:val="Heading2"/>
        <w:ind w:left="0"/>
        <w:rPr>
          <w:rFonts w:cs="Times New Roman"/>
          <w:b w:val="0"/>
          <w:sz w:val="24"/>
          <w:szCs w:val="24"/>
        </w:rPr>
      </w:pPr>
    </w:p>
    <w:p w14:paraId="4F169933" w14:textId="77777777" w:rsidR="00814990" w:rsidRDefault="00814990" w:rsidP="00814990">
      <w:pPr>
        <w:pStyle w:val="Heading2"/>
        <w:ind w:left="0"/>
        <w:rPr>
          <w:rFonts w:cs="Times New Roman"/>
          <w:b w:val="0"/>
          <w:sz w:val="24"/>
          <w:szCs w:val="24"/>
        </w:rPr>
      </w:pPr>
    </w:p>
    <w:p w14:paraId="539ADAB6" w14:textId="2A927170" w:rsidR="004C556E" w:rsidRPr="001B63C7" w:rsidRDefault="004C556E" w:rsidP="00814990">
      <w:pPr>
        <w:pStyle w:val="Heading2"/>
        <w:ind w:left="0"/>
      </w:pPr>
      <w:r w:rsidRPr="001B63C7">
        <w:t xml:space="preserve">Article 13: Social and Economic </w:t>
      </w:r>
      <w:r w:rsidR="000B39D0" w:rsidRPr="001B63C7">
        <w:t xml:space="preserve">Life </w:t>
      </w:r>
    </w:p>
    <w:p w14:paraId="76C566EF" w14:textId="77777777" w:rsidR="001B63C7" w:rsidRPr="001B63C7" w:rsidRDefault="001B63C7" w:rsidP="001B63C7">
      <w:pPr>
        <w:pStyle w:val="zBullet"/>
      </w:pPr>
      <w:r w:rsidRPr="001B63C7">
        <w:t xml:space="preserve">We recommend action by Government, including through their relevant Departments, to identify, mitigate and monitor any adverse impacts of welfare reform on women, for example any associated with the </w:t>
      </w:r>
      <w:r w:rsidRPr="006E33EF">
        <w:rPr>
          <w:i/>
        </w:rPr>
        <w:t>household</w:t>
      </w:r>
      <w:r w:rsidRPr="001B63C7">
        <w:t xml:space="preserve"> payment of universal credit, the closure of the childcare voucher scheme, or payment requirements under the childcare element of universal credit. </w:t>
      </w:r>
    </w:p>
    <w:p w14:paraId="0E0AD178" w14:textId="77777777" w:rsidR="001B63C7" w:rsidRPr="001B63C7" w:rsidRDefault="001B63C7" w:rsidP="001B63C7">
      <w:pPr>
        <w:pStyle w:val="zBullet"/>
      </w:pPr>
      <w:r w:rsidRPr="001B63C7">
        <w:t>We recommend Government action to improve access to social protection, including for those (mainly minority ethnic women) subjected to domestic violence with no recourse to public funds.</w:t>
      </w:r>
    </w:p>
    <w:p w14:paraId="501298C6" w14:textId="77777777" w:rsidR="007A19E4" w:rsidRPr="001B63C7" w:rsidRDefault="001B63C7" w:rsidP="001B63C7">
      <w:pPr>
        <w:pStyle w:val="zBullet"/>
      </w:pPr>
      <w:r w:rsidRPr="001B63C7">
        <w:t>We recommend Government action to protect women in Northern Ireland with smaller pension provision.</w:t>
      </w:r>
    </w:p>
    <w:p w14:paraId="747BB5E6" w14:textId="77777777" w:rsidR="007A19E4" w:rsidRPr="007A19E4" w:rsidRDefault="007A19E4" w:rsidP="004231E5"/>
    <w:p w14:paraId="48FE2DD1" w14:textId="77777777" w:rsidR="009504C8" w:rsidRDefault="009504C8" w:rsidP="009504C8">
      <w:pPr>
        <w:pStyle w:val="zBullet"/>
        <w:numPr>
          <w:ilvl w:val="0"/>
          <w:numId w:val="0"/>
        </w:numPr>
        <w:tabs>
          <w:tab w:val="num" w:pos="378"/>
          <w:tab w:val="num" w:pos="1098"/>
        </w:tabs>
        <w:rPr>
          <w:highlight w:val="yellow"/>
        </w:rPr>
      </w:pPr>
    </w:p>
    <w:p w14:paraId="5A308F1B" w14:textId="45BCF21D" w:rsidR="009504C8" w:rsidRDefault="009504C8" w:rsidP="009504C8">
      <w:pPr>
        <w:pStyle w:val="zBullet"/>
        <w:numPr>
          <w:ilvl w:val="0"/>
          <w:numId w:val="0"/>
        </w:numPr>
        <w:tabs>
          <w:tab w:val="num" w:pos="378"/>
          <w:tab w:val="num" w:pos="1098"/>
        </w:tabs>
        <w:rPr>
          <w:highlight w:val="yellow"/>
        </w:rPr>
      </w:pPr>
    </w:p>
    <w:p w14:paraId="7CA1133B" w14:textId="13C705AF" w:rsidR="00370D86" w:rsidRDefault="00370D86" w:rsidP="009504C8">
      <w:pPr>
        <w:pStyle w:val="zBullet"/>
        <w:numPr>
          <w:ilvl w:val="0"/>
          <w:numId w:val="0"/>
        </w:numPr>
        <w:tabs>
          <w:tab w:val="num" w:pos="378"/>
          <w:tab w:val="num" w:pos="1098"/>
        </w:tabs>
        <w:rPr>
          <w:highlight w:val="yellow"/>
        </w:rPr>
      </w:pPr>
    </w:p>
    <w:p w14:paraId="5531D8B9" w14:textId="7F3C5C4C" w:rsidR="00370D86" w:rsidRDefault="00370D86" w:rsidP="009504C8">
      <w:pPr>
        <w:pStyle w:val="zBullet"/>
        <w:numPr>
          <w:ilvl w:val="0"/>
          <w:numId w:val="0"/>
        </w:numPr>
        <w:tabs>
          <w:tab w:val="num" w:pos="378"/>
          <w:tab w:val="num" w:pos="1098"/>
        </w:tabs>
        <w:rPr>
          <w:highlight w:val="yellow"/>
        </w:rPr>
      </w:pPr>
    </w:p>
    <w:p w14:paraId="49ADC565" w14:textId="1A91AF64" w:rsidR="00370D86" w:rsidRDefault="00370D86" w:rsidP="009504C8">
      <w:pPr>
        <w:pStyle w:val="zBullet"/>
        <w:numPr>
          <w:ilvl w:val="0"/>
          <w:numId w:val="0"/>
        </w:numPr>
        <w:tabs>
          <w:tab w:val="num" w:pos="378"/>
          <w:tab w:val="num" w:pos="1098"/>
        </w:tabs>
        <w:rPr>
          <w:highlight w:val="yellow"/>
        </w:rPr>
      </w:pPr>
    </w:p>
    <w:p w14:paraId="62024713" w14:textId="7B65234F" w:rsidR="00370D86" w:rsidRDefault="00370D86" w:rsidP="009504C8">
      <w:pPr>
        <w:pStyle w:val="zBullet"/>
        <w:numPr>
          <w:ilvl w:val="0"/>
          <w:numId w:val="0"/>
        </w:numPr>
        <w:tabs>
          <w:tab w:val="num" w:pos="378"/>
          <w:tab w:val="num" w:pos="1098"/>
        </w:tabs>
        <w:rPr>
          <w:highlight w:val="yellow"/>
        </w:rPr>
      </w:pPr>
    </w:p>
    <w:p w14:paraId="7208952B" w14:textId="7D264BEB" w:rsidR="00370D86" w:rsidRDefault="00370D86" w:rsidP="009504C8">
      <w:pPr>
        <w:pStyle w:val="zBullet"/>
        <w:numPr>
          <w:ilvl w:val="0"/>
          <w:numId w:val="0"/>
        </w:numPr>
        <w:tabs>
          <w:tab w:val="num" w:pos="378"/>
          <w:tab w:val="num" w:pos="1098"/>
        </w:tabs>
        <w:rPr>
          <w:highlight w:val="yellow"/>
        </w:rPr>
      </w:pPr>
    </w:p>
    <w:p w14:paraId="413B7EF7" w14:textId="70D128FD" w:rsidR="00370D86" w:rsidRDefault="00370D86" w:rsidP="009504C8">
      <w:pPr>
        <w:pStyle w:val="zBullet"/>
        <w:numPr>
          <w:ilvl w:val="0"/>
          <w:numId w:val="0"/>
        </w:numPr>
        <w:tabs>
          <w:tab w:val="num" w:pos="378"/>
          <w:tab w:val="num" w:pos="1098"/>
        </w:tabs>
        <w:rPr>
          <w:highlight w:val="yellow"/>
        </w:rPr>
      </w:pPr>
    </w:p>
    <w:p w14:paraId="231E5CC3" w14:textId="745E5D4E" w:rsidR="00370D86" w:rsidRDefault="00370D86" w:rsidP="009504C8">
      <w:pPr>
        <w:pStyle w:val="zBullet"/>
        <w:numPr>
          <w:ilvl w:val="0"/>
          <w:numId w:val="0"/>
        </w:numPr>
        <w:tabs>
          <w:tab w:val="num" w:pos="378"/>
          <w:tab w:val="num" w:pos="1098"/>
        </w:tabs>
        <w:rPr>
          <w:highlight w:val="yellow"/>
        </w:rPr>
      </w:pPr>
    </w:p>
    <w:p w14:paraId="632E7A5C" w14:textId="2C0E557A" w:rsidR="00370D86" w:rsidRDefault="00370D86" w:rsidP="009504C8">
      <w:pPr>
        <w:pStyle w:val="zBullet"/>
        <w:numPr>
          <w:ilvl w:val="0"/>
          <w:numId w:val="0"/>
        </w:numPr>
        <w:tabs>
          <w:tab w:val="num" w:pos="378"/>
          <w:tab w:val="num" w:pos="1098"/>
        </w:tabs>
        <w:rPr>
          <w:highlight w:val="yellow"/>
        </w:rPr>
      </w:pPr>
    </w:p>
    <w:p w14:paraId="3CF205B5" w14:textId="5FA8FEC9" w:rsidR="00370D86" w:rsidRDefault="00370D86" w:rsidP="009504C8">
      <w:pPr>
        <w:pStyle w:val="zBullet"/>
        <w:numPr>
          <w:ilvl w:val="0"/>
          <w:numId w:val="0"/>
        </w:numPr>
        <w:tabs>
          <w:tab w:val="num" w:pos="378"/>
          <w:tab w:val="num" w:pos="1098"/>
        </w:tabs>
        <w:rPr>
          <w:highlight w:val="yellow"/>
        </w:rPr>
      </w:pPr>
    </w:p>
    <w:p w14:paraId="71435EC6" w14:textId="29BC6560" w:rsidR="00370D86" w:rsidRDefault="00370D86" w:rsidP="009504C8">
      <w:pPr>
        <w:pStyle w:val="zBullet"/>
        <w:numPr>
          <w:ilvl w:val="0"/>
          <w:numId w:val="0"/>
        </w:numPr>
        <w:tabs>
          <w:tab w:val="num" w:pos="378"/>
          <w:tab w:val="num" w:pos="1098"/>
        </w:tabs>
        <w:rPr>
          <w:highlight w:val="yellow"/>
        </w:rPr>
      </w:pPr>
    </w:p>
    <w:p w14:paraId="3B89EAF1" w14:textId="36FB6DAA" w:rsidR="00370D86" w:rsidRDefault="00370D86" w:rsidP="009504C8">
      <w:pPr>
        <w:pStyle w:val="zBullet"/>
        <w:numPr>
          <w:ilvl w:val="0"/>
          <w:numId w:val="0"/>
        </w:numPr>
        <w:tabs>
          <w:tab w:val="num" w:pos="378"/>
          <w:tab w:val="num" w:pos="1098"/>
        </w:tabs>
        <w:rPr>
          <w:highlight w:val="yellow"/>
        </w:rPr>
      </w:pPr>
    </w:p>
    <w:p w14:paraId="66AAE181" w14:textId="225603FA" w:rsidR="00370D86" w:rsidRDefault="00370D86" w:rsidP="009504C8">
      <w:pPr>
        <w:pStyle w:val="zBullet"/>
        <w:numPr>
          <w:ilvl w:val="0"/>
          <w:numId w:val="0"/>
        </w:numPr>
        <w:tabs>
          <w:tab w:val="num" w:pos="378"/>
          <w:tab w:val="num" w:pos="1098"/>
        </w:tabs>
        <w:rPr>
          <w:highlight w:val="yellow"/>
        </w:rPr>
      </w:pPr>
    </w:p>
    <w:p w14:paraId="58E35201" w14:textId="37D5B65E" w:rsidR="00370D86" w:rsidRDefault="00370D86" w:rsidP="009504C8">
      <w:pPr>
        <w:pStyle w:val="zBullet"/>
        <w:numPr>
          <w:ilvl w:val="0"/>
          <w:numId w:val="0"/>
        </w:numPr>
        <w:tabs>
          <w:tab w:val="num" w:pos="378"/>
          <w:tab w:val="num" w:pos="1098"/>
        </w:tabs>
        <w:rPr>
          <w:highlight w:val="yellow"/>
        </w:rPr>
      </w:pPr>
    </w:p>
    <w:p w14:paraId="1CC2079F" w14:textId="692A8958" w:rsidR="00370D86" w:rsidRDefault="00370D86" w:rsidP="009504C8">
      <w:pPr>
        <w:pStyle w:val="zBullet"/>
        <w:numPr>
          <w:ilvl w:val="0"/>
          <w:numId w:val="0"/>
        </w:numPr>
        <w:tabs>
          <w:tab w:val="num" w:pos="378"/>
          <w:tab w:val="num" w:pos="1098"/>
        </w:tabs>
        <w:rPr>
          <w:highlight w:val="yellow"/>
        </w:rPr>
      </w:pPr>
    </w:p>
    <w:p w14:paraId="1FE3E06B" w14:textId="0F9C4A75" w:rsidR="00370D86" w:rsidRDefault="00370D86" w:rsidP="009504C8">
      <w:pPr>
        <w:pStyle w:val="zBullet"/>
        <w:numPr>
          <w:ilvl w:val="0"/>
          <w:numId w:val="0"/>
        </w:numPr>
        <w:tabs>
          <w:tab w:val="num" w:pos="378"/>
          <w:tab w:val="num" w:pos="1098"/>
        </w:tabs>
        <w:rPr>
          <w:highlight w:val="yellow"/>
        </w:rPr>
      </w:pPr>
    </w:p>
    <w:p w14:paraId="79E1197B" w14:textId="61208129" w:rsidR="00370D86" w:rsidRDefault="00370D86" w:rsidP="009504C8">
      <w:pPr>
        <w:pStyle w:val="zBullet"/>
        <w:numPr>
          <w:ilvl w:val="0"/>
          <w:numId w:val="0"/>
        </w:numPr>
        <w:tabs>
          <w:tab w:val="num" w:pos="378"/>
          <w:tab w:val="num" w:pos="1098"/>
        </w:tabs>
        <w:rPr>
          <w:highlight w:val="yellow"/>
        </w:rPr>
      </w:pPr>
    </w:p>
    <w:p w14:paraId="3707F596" w14:textId="0225F65A" w:rsidR="00370D86" w:rsidRDefault="00370D86" w:rsidP="009504C8">
      <w:pPr>
        <w:pStyle w:val="zBullet"/>
        <w:numPr>
          <w:ilvl w:val="0"/>
          <w:numId w:val="0"/>
        </w:numPr>
        <w:tabs>
          <w:tab w:val="num" w:pos="378"/>
          <w:tab w:val="num" w:pos="1098"/>
        </w:tabs>
        <w:rPr>
          <w:highlight w:val="yellow"/>
        </w:rPr>
      </w:pPr>
    </w:p>
    <w:p w14:paraId="05687E5D" w14:textId="4EC9A7D7" w:rsidR="00370D86" w:rsidRDefault="00370D86" w:rsidP="009504C8">
      <w:pPr>
        <w:pStyle w:val="zBullet"/>
        <w:numPr>
          <w:ilvl w:val="0"/>
          <w:numId w:val="0"/>
        </w:numPr>
        <w:tabs>
          <w:tab w:val="num" w:pos="378"/>
          <w:tab w:val="num" w:pos="1098"/>
        </w:tabs>
        <w:rPr>
          <w:highlight w:val="yellow"/>
        </w:rPr>
      </w:pPr>
    </w:p>
    <w:p w14:paraId="2938B262" w14:textId="0ADA5330" w:rsidR="00370D86" w:rsidRDefault="00370D86" w:rsidP="009504C8">
      <w:pPr>
        <w:pStyle w:val="zBullet"/>
        <w:numPr>
          <w:ilvl w:val="0"/>
          <w:numId w:val="0"/>
        </w:numPr>
        <w:tabs>
          <w:tab w:val="num" w:pos="378"/>
          <w:tab w:val="num" w:pos="1098"/>
        </w:tabs>
        <w:rPr>
          <w:highlight w:val="yellow"/>
        </w:rPr>
      </w:pPr>
    </w:p>
    <w:p w14:paraId="7BCD8FFD" w14:textId="521A19F8" w:rsidR="00370D86" w:rsidRPr="00BD2D1D" w:rsidRDefault="00370D86" w:rsidP="00370D86">
      <w:pPr>
        <w:rPr>
          <w:b/>
          <w:sz w:val="28"/>
          <w:szCs w:val="28"/>
        </w:rPr>
      </w:pPr>
      <w:r w:rsidRPr="00BD2D1D">
        <w:rPr>
          <w:b/>
          <w:sz w:val="28"/>
          <w:szCs w:val="28"/>
        </w:rPr>
        <w:t>Equality Commission for Northern Ireland:</w:t>
      </w:r>
    </w:p>
    <w:p w14:paraId="1819C630" w14:textId="77777777" w:rsidR="00370D86" w:rsidRPr="0061657F" w:rsidRDefault="00370D86" w:rsidP="00370D86">
      <w:pPr>
        <w:rPr>
          <w:sz w:val="28"/>
          <w:szCs w:val="28"/>
        </w:rPr>
      </w:pPr>
      <w:r w:rsidRPr="0061657F">
        <w:rPr>
          <w:sz w:val="28"/>
          <w:szCs w:val="28"/>
        </w:rPr>
        <w:t>Equality House</w:t>
      </w:r>
      <w:r>
        <w:rPr>
          <w:sz w:val="28"/>
          <w:szCs w:val="28"/>
        </w:rPr>
        <w:t xml:space="preserve">, </w:t>
      </w:r>
      <w:r w:rsidRPr="0061657F">
        <w:rPr>
          <w:sz w:val="28"/>
          <w:szCs w:val="28"/>
        </w:rPr>
        <w:t>7-9 Shaftesbury Square</w:t>
      </w:r>
      <w:r>
        <w:rPr>
          <w:sz w:val="28"/>
          <w:szCs w:val="28"/>
        </w:rPr>
        <w:t>,</w:t>
      </w:r>
      <w:r w:rsidRPr="0061657F">
        <w:rPr>
          <w:sz w:val="28"/>
          <w:szCs w:val="28"/>
        </w:rPr>
        <w:t xml:space="preserve"> Belfast</w:t>
      </w:r>
      <w:r>
        <w:rPr>
          <w:sz w:val="28"/>
          <w:szCs w:val="28"/>
        </w:rPr>
        <w:t>,</w:t>
      </w:r>
      <w:r w:rsidRPr="0061657F">
        <w:rPr>
          <w:sz w:val="28"/>
          <w:szCs w:val="28"/>
        </w:rPr>
        <w:t xml:space="preserve"> BT2 7DP</w:t>
      </w:r>
    </w:p>
    <w:p w14:paraId="2FD4DADB" w14:textId="77777777" w:rsidR="00370D86" w:rsidRPr="0061657F" w:rsidRDefault="00370D86" w:rsidP="00370D86">
      <w:pPr>
        <w:rPr>
          <w:sz w:val="28"/>
          <w:szCs w:val="28"/>
        </w:rPr>
      </w:pPr>
      <w:r w:rsidRPr="0061657F">
        <w:rPr>
          <w:sz w:val="28"/>
          <w:szCs w:val="28"/>
        </w:rPr>
        <w:t xml:space="preserve">Telephone: 028 90 500 600 </w:t>
      </w:r>
    </w:p>
    <w:p w14:paraId="13DCDEF9" w14:textId="77777777" w:rsidR="00370D86" w:rsidRPr="0061657F" w:rsidRDefault="00370D86" w:rsidP="00370D86">
      <w:pPr>
        <w:rPr>
          <w:sz w:val="28"/>
          <w:szCs w:val="28"/>
        </w:rPr>
      </w:pPr>
      <w:r w:rsidRPr="0061657F">
        <w:rPr>
          <w:sz w:val="28"/>
          <w:szCs w:val="28"/>
        </w:rPr>
        <w:t xml:space="preserve">Textphone: 028 90 500 589 </w:t>
      </w:r>
    </w:p>
    <w:p w14:paraId="1B62C103" w14:textId="77777777" w:rsidR="00370D86" w:rsidRPr="0061657F" w:rsidRDefault="00370D86" w:rsidP="00370D86">
      <w:pPr>
        <w:rPr>
          <w:sz w:val="28"/>
          <w:szCs w:val="28"/>
        </w:rPr>
      </w:pPr>
      <w:r w:rsidRPr="0061657F">
        <w:rPr>
          <w:sz w:val="28"/>
          <w:szCs w:val="28"/>
        </w:rPr>
        <w:t xml:space="preserve">Email: </w:t>
      </w:r>
      <w:hyperlink r:id="rId16" w:history="1">
        <w:r w:rsidRPr="0045682E">
          <w:rPr>
            <w:rStyle w:val="Hyperlink"/>
            <w:sz w:val="28"/>
            <w:szCs w:val="28"/>
          </w:rPr>
          <w:t>information@equalityni.org</w:t>
        </w:r>
      </w:hyperlink>
      <w:r>
        <w:rPr>
          <w:sz w:val="28"/>
          <w:szCs w:val="28"/>
        </w:rPr>
        <w:t xml:space="preserve"> </w:t>
      </w:r>
    </w:p>
    <w:p w14:paraId="36935FAA" w14:textId="77777777" w:rsidR="00370D86" w:rsidRPr="009C060D" w:rsidRDefault="00370D86" w:rsidP="00370D86">
      <w:pPr>
        <w:rPr>
          <w:sz w:val="28"/>
          <w:szCs w:val="28"/>
        </w:rPr>
      </w:pPr>
      <w:r w:rsidRPr="009C060D">
        <w:rPr>
          <w:sz w:val="28"/>
          <w:szCs w:val="28"/>
        </w:rPr>
        <w:t xml:space="preserve">Website: </w:t>
      </w:r>
      <w:hyperlink r:id="rId17" w:history="1">
        <w:r w:rsidRPr="0045682E">
          <w:rPr>
            <w:rStyle w:val="Hyperlink"/>
            <w:sz w:val="28"/>
            <w:szCs w:val="28"/>
          </w:rPr>
          <w:t>www.equalityni.org</w:t>
        </w:r>
      </w:hyperlink>
      <w:r>
        <w:rPr>
          <w:rStyle w:val="Hyperlink"/>
          <w:sz w:val="28"/>
          <w:szCs w:val="28"/>
        </w:rPr>
        <w:t>/CEDAW</w:t>
      </w:r>
      <w:r>
        <w:rPr>
          <w:sz w:val="28"/>
          <w:szCs w:val="28"/>
        </w:rPr>
        <w:t xml:space="preserve"> </w:t>
      </w:r>
    </w:p>
    <w:p w14:paraId="4EC9D2DA" w14:textId="77777777" w:rsidR="00370D86" w:rsidRDefault="00370D86" w:rsidP="00370D86">
      <w:pPr>
        <w:rPr>
          <w:b/>
          <w:sz w:val="28"/>
          <w:szCs w:val="28"/>
        </w:rPr>
      </w:pPr>
    </w:p>
    <w:p w14:paraId="4C6B4B99" w14:textId="2A089E45" w:rsidR="00370D86" w:rsidRDefault="00370D86" w:rsidP="00370D86">
      <w:pPr>
        <w:rPr>
          <w:b/>
          <w:sz w:val="28"/>
          <w:szCs w:val="28"/>
        </w:rPr>
      </w:pPr>
    </w:p>
    <w:p w14:paraId="2681A535" w14:textId="77777777" w:rsidR="00370D86" w:rsidRDefault="00370D86" w:rsidP="00370D86">
      <w:pPr>
        <w:rPr>
          <w:b/>
          <w:sz w:val="28"/>
          <w:szCs w:val="28"/>
        </w:rPr>
      </w:pPr>
    </w:p>
    <w:p w14:paraId="40EB5592" w14:textId="13DA301A" w:rsidR="00370D86" w:rsidRDefault="00370D86" w:rsidP="00370D86">
      <w:pPr>
        <w:rPr>
          <w:b/>
          <w:sz w:val="28"/>
          <w:szCs w:val="28"/>
        </w:rPr>
      </w:pPr>
      <w:r>
        <w:rPr>
          <w:b/>
          <w:sz w:val="28"/>
          <w:szCs w:val="28"/>
        </w:rPr>
        <w:t>Janua</w:t>
      </w:r>
      <w:bookmarkEnd w:id="10"/>
      <w:r w:rsidR="00814990">
        <w:rPr>
          <w:b/>
          <w:sz w:val="28"/>
          <w:szCs w:val="28"/>
        </w:rPr>
        <w:t>ry 2019</w:t>
      </w:r>
    </w:p>
    <w:sectPr w:rsidR="00370D86" w:rsidSect="00DD4D94">
      <w:headerReference w:type="even" r:id="rId18"/>
      <w:headerReference w:type="default" r:id="rId19"/>
      <w:footerReference w:type="default" r:id="rId20"/>
      <w:headerReference w:type="first" r:id="rId21"/>
      <w:pgSz w:w="11907" w:h="16839" w:code="9"/>
      <w:pgMar w:top="1134" w:right="1134" w:bottom="1134" w:left="1134" w:header="567" w:footer="567"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5431C" w14:textId="77777777" w:rsidR="00370D86" w:rsidRDefault="00370D86" w:rsidP="00F33564">
      <w:r>
        <w:separator/>
      </w:r>
    </w:p>
  </w:endnote>
  <w:endnote w:type="continuationSeparator" w:id="0">
    <w:p w14:paraId="2446D651" w14:textId="77777777" w:rsidR="00370D86" w:rsidRDefault="00370D86" w:rsidP="00F3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Minion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246315"/>
      <w:docPartObj>
        <w:docPartGallery w:val="Page Numbers (Bottom of Page)"/>
        <w:docPartUnique/>
      </w:docPartObj>
    </w:sdtPr>
    <w:sdtEndPr>
      <w:rPr>
        <w:sz w:val="20"/>
        <w:szCs w:val="20"/>
      </w:rPr>
    </w:sdtEndPr>
    <w:sdtContent>
      <w:p w14:paraId="14906565" w14:textId="2CCA5415" w:rsidR="00370D86" w:rsidRPr="00F33564" w:rsidRDefault="00370D86" w:rsidP="00F33564">
        <w:pPr>
          <w:pStyle w:val="Footer"/>
          <w:jc w:val="right"/>
          <w:rPr>
            <w:sz w:val="20"/>
            <w:szCs w:val="20"/>
          </w:rPr>
        </w:pPr>
        <w:r w:rsidRPr="00F33564">
          <w:rPr>
            <w:sz w:val="20"/>
            <w:szCs w:val="20"/>
          </w:rPr>
          <w:t xml:space="preserve">Page | </w:t>
        </w:r>
        <w:r w:rsidRPr="00F33564">
          <w:rPr>
            <w:sz w:val="20"/>
            <w:szCs w:val="20"/>
          </w:rPr>
          <w:fldChar w:fldCharType="begin"/>
        </w:r>
        <w:r w:rsidRPr="00F33564">
          <w:rPr>
            <w:sz w:val="20"/>
            <w:szCs w:val="20"/>
          </w:rPr>
          <w:instrText xml:space="preserve"> PAGE   \* MERGEFORMAT </w:instrText>
        </w:r>
        <w:r w:rsidRPr="00F33564">
          <w:rPr>
            <w:sz w:val="20"/>
            <w:szCs w:val="20"/>
          </w:rPr>
          <w:fldChar w:fldCharType="separate"/>
        </w:r>
        <w:r w:rsidR="005A5095">
          <w:rPr>
            <w:noProof/>
            <w:sz w:val="20"/>
            <w:szCs w:val="20"/>
          </w:rPr>
          <w:t>1</w:t>
        </w:r>
        <w:r w:rsidRPr="00F33564">
          <w:rPr>
            <w:noProof/>
            <w:sz w:val="20"/>
            <w:szCs w:val="20"/>
          </w:rPr>
          <w:fldChar w:fldCharType="end"/>
        </w:r>
        <w:r w:rsidRPr="00F33564">
          <w:rPr>
            <w:sz w:val="20"/>
            <w:szCs w:val="20"/>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4878" w14:textId="77777777" w:rsidR="00370D86" w:rsidRPr="00370D86" w:rsidRDefault="00370D86" w:rsidP="00370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A09CD" w14:textId="77777777" w:rsidR="00370D86" w:rsidRDefault="00370D86" w:rsidP="00F33564">
      <w:r>
        <w:separator/>
      </w:r>
    </w:p>
  </w:footnote>
  <w:footnote w:type="continuationSeparator" w:id="0">
    <w:p w14:paraId="4CD7D5F7" w14:textId="77777777" w:rsidR="00370D86" w:rsidRDefault="00370D86" w:rsidP="00F33564">
      <w:r>
        <w:continuationSeparator/>
      </w:r>
    </w:p>
  </w:footnote>
  <w:footnote w:id="1">
    <w:p w14:paraId="26260E9A" w14:textId="77777777" w:rsidR="00370D86" w:rsidRDefault="00370D86" w:rsidP="009D71E4">
      <w:pPr>
        <w:pStyle w:val="FootnoteText"/>
      </w:pPr>
      <w:r>
        <w:rPr>
          <w:rStyle w:val="FootnoteReference"/>
        </w:rPr>
        <w:footnoteRef/>
      </w:r>
      <w:r>
        <w:t xml:space="preserve"> ECNI (2018), </w:t>
      </w:r>
      <w:hyperlink r:id="rId1" w:history="1">
        <w:r w:rsidRPr="00C90B98">
          <w:rPr>
            <w:rStyle w:val="Hyperlink"/>
          </w:rPr>
          <w:t>Submission to inform List of Issues consideration</w:t>
        </w:r>
      </w:hyperlink>
      <w:r>
        <w:t xml:space="preserve"> </w:t>
      </w:r>
    </w:p>
  </w:footnote>
  <w:footnote w:id="2">
    <w:p w14:paraId="1D0B01B0" w14:textId="439A4CCE" w:rsidR="00370D86" w:rsidRDefault="00370D86">
      <w:pPr>
        <w:pStyle w:val="FootnoteText"/>
      </w:pPr>
      <w:r>
        <w:rPr>
          <w:rStyle w:val="FootnoteReference"/>
        </w:rPr>
        <w:footnoteRef/>
      </w:r>
      <w:r>
        <w:t xml:space="preserve"> CEDAW (2018) </w:t>
      </w:r>
      <w:hyperlink r:id="rId2" w:history="1">
        <w:r>
          <w:rPr>
            <w:rStyle w:val="Hyperlink"/>
          </w:rPr>
          <w:t>Replies of the UK of Great Britain and Northern Ireland: List of issues and questions in relation to the eighth periodic report of the UK of Great Britain and Northern Ireland</w:t>
        </w:r>
      </w:hyperlink>
      <w:r>
        <w:t xml:space="preserve"> </w:t>
      </w:r>
    </w:p>
  </w:footnote>
  <w:footnote w:id="3">
    <w:p w14:paraId="4A4C8B50" w14:textId="55CFF10E" w:rsidR="00370D86" w:rsidRDefault="00370D86" w:rsidP="00B2707E">
      <w:pPr>
        <w:pStyle w:val="FootnoteText"/>
      </w:pPr>
      <w:r>
        <w:rPr>
          <w:rStyle w:val="FootnoteReference"/>
        </w:rPr>
        <w:footnoteRef/>
      </w:r>
      <w:r>
        <w:t xml:space="preserve"> UN CEDAW Committee (2018), </w:t>
      </w:r>
      <w:hyperlink r:id="rId3" w:history="1">
        <w:r w:rsidRPr="00FF08B9">
          <w:rPr>
            <w:rStyle w:val="Hyperlink"/>
          </w:rPr>
          <w:t>List of Issues</w:t>
        </w:r>
        <w:r>
          <w:rPr>
            <w:rStyle w:val="Hyperlink"/>
          </w:rPr>
          <w:t xml:space="preserve"> questions</w:t>
        </w:r>
        <w:r w:rsidRPr="00FF08B9">
          <w:rPr>
            <w:rStyle w:val="Hyperlink"/>
          </w:rPr>
          <w:t xml:space="preserve"> in relation to </w:t>
        </w:r>
        <w:r>
          <w:rPr>
            <w:rStyle w:val="Hyperlink"/>
          </w:rPr>
          <w:t xml:space="preserve">the eighth periodic report of the </w:t>
        </w:r>
        <w:r w:rsidRPr="00FF08B9">
          <w:rPr>
            <w:rStyle w:val="Hyperlink"/>
          </w:rPr>
          <w:t>UK</w:t>
        </w:r>
      </w:hyperlink>
    </w:p>
  </w:footnote>
  <w:footnote w:id="4">
    <w:p w14:paraId="758955C0" w14:textId="77777777" w:rsidR="00370D86" w:rsidRDefault="00370D86" w:rsidP="002623DD">
      <w:pPr>
        <w:pStyle w:val="FootnoteText"/>
      </w:pPr>
      <w:r>
        <w:rPr>
          <w:rStyle w:val="FootnoteReference"/>
        </w:rPr>
        <w:footnoteRef/>
      </w:r>
      <w:r>
        <w:t xml:space="preserve"> For further information on the Commission’s remit see: </w:t>
      </w:r>
      <w:hyperlink r:id="rId4" w:history="1">
        <w:r w:rsidRPr="0045682E">
          <w:rPr>
            <w:rStyle w:val="Hyperlink"/>
          </w:rPr>
          <w:t>http://www.equalityni.org/AboutUs</w:t>
        </w:r>
      </w:hyperlink>
      <w:r>
        <w:t xml:space="preserve"> </w:t>
      </w:r>
    </w:p>
  </w:footnote>
  <w:footnote w:id="5">
    <w:p w14:paraId="4FF08B43" w14:textId="1B747CA2" w:rsidR="00370D86" w:rsidRDefault="00370D86">
      <w:pPr>
        <w:pStyle w:val="FootnoteText"/>
      </w:pPr>
      <w:r>
        <w:rPr>
          <w:rStyle w:val="FootnoteReference"/>
        </w:rPr>
        <w:footnoteRef/>
      </w:r>
      <w:r>
        <w:t xml:space="preserve"> Including under Section 75 of the Northern Ireland Act 1998.</w:t>
      </w:r>
    </w:p>
  </w:footnote>
  <w:footnote w:id="6">
    <w:p w14:paraId="6730002B" w14:textId="77777777" w:rsidR="00370D86" w:rsidRDefault="00370D86" w:rsidP="00585043">
      <w:pPr>
        <w:pStyle w:val="FootnoteText"/>
      </w:pPr>
      <w:r>
        <w:rPr>
          <w:rStyle w:val="FootnoteReference"/>
        </w:rPr>
        <w:footnoteRef/>
      </w:r>
      <w:r>
        <w:t xml:space="preserve"> </w:t>
      </w:r>
      <w:r w:rsidRPr="004E522B">
        <w:t xml:space="preserve">The Commission has set out its </w:t>
      </w:r>
      <w:r>
        <w:t xml:space="preserve">wider gender equality policy positions </w:t>
      </w:r>
      <w:r w:rsidRPr="004E522B">
        <w:t xml:space="preserve">in </w:t>
      </w:r>
      <w:r>
        <w:t xml:space="preserve">its </w:t>
      </w:r>
      <w:r w:rsidRPr="004E522B">
        <w:t>‘</w:t>
      </w:r>
      <w:hyperlink r:id="rId5" w:history="1">
        <w:r w:rsidRPr="004E522B">
          <w:rPr>
            <w:rStyle w:val="Hyperlink"/>
          </w:rPr>
          <w:t>Gender Equality Policy Priorities and Recommendations’ (2016)</w:t>
        </w:r>
      </w:hyperlink>
      <w:r>
        <w:t>. In line with</w:t>
      </w:r>
      <w:r w:rsidRPr="00F3236E">
        <w:t xml:space="preserve"> the focus of CEDAW, </w:t>
      </w:r>
      <w:r>
        <w:t>this Shadow Report reflects the Commission’s priority issues and recommendations relating only to inequalities experienced by women/girls.</w:t>
      </w:r>
      <w:r w:rsidRPr="00F3236E">
        <w:t xml:space="preserve"> </w:t>
      </w:r>
      <w:r w:rsidRPr="004E522B">
        <w:t xml:space="preserve">For </w:t>
      </w:r>
      <w:r>
        <w:t>a summary of the</w:t>
      </w:r>
      <w:r w:rsidRPr="004E522B">
        <w:t xml:space="preserve"> Commission’s priorities and recommendations - see </w:t>
      </w:r>
      <w:hyperlink r:id="rId6" w:history="1">
        <w:r w:rsidRPr="00080F15">
          <w:rPr>
            <w:rStyle w:val="Hyperlink"/>
          </w:rPr>
          <w:t>www.equalityni.org/gender</w:t>
        </w:r>
      </w:hyperlink>
      <w:r>
        <w:t xml:space="preserve"> .</w:t>
      </w:r>
    </w:p>
  </w:footnote>
  <w:footnote w:id="7">
    <w:p w14:paraId="40E0B677" w14:textId="77777777" w:rsidR="00370D86" w:rsidRDefault="00370D86" w:rsidP="00EE6794">
      <w:pPr>
        <w:pStyle w:val="FootnoteText"/>
      </w:pPr>
      <w:r w:rsidRPr="00221A7A">
        <w:rPr>
          <w:rStyle w:val="FootnoteReference"/>
        </w:rPr>
        <w:footnoteRef/>
      </w:r>
      <w:r w:rsidRPr="00221A7A">
        <w:t xml:space="preserve"> </w:t>
      </w:r>
      <w:hyperlink r:id="rId7" w:history="1">
        <w:r w:rsidRPr="00EE6794">
          <w:rPr>
            <w:rStyle w:val="Hyperlink"/>
          </w:rPr>
          <w:t>Concluding Observations, CEDAW_COC_GBR_14761_E,</w:t>
        </w:r>
      </w:hyperlink>
      <w:r>
        <w:t xml:space="preserve"> July 2013 </w:t>
      </w:r>
    </w:p>
  </w:footnote>
  <w:footnote w:id="8">
    <w:p w14:paraId="07C4C0B6" w14:textId="46BB094E" w:rsidR="00370D86" w:rsidRPr="00590C0F" w:rsidRDefault="00370D86" w:rsidP="00A3392A">
      <w:pPr>
        <w:pStyle w:val="FootnoteText"/>
      </w:pPr>
      <w:r>
        <w:rPr>
          <w:rStyle w:val="FootnoteReference"/>
          <w:rFonts w:eastAsiaTheme="minorEastAsia"/>
        </w:rPr>
        <w:footnoteRef/>
      </w:r>
      <w:r>
        <w:t xml:space="preserve"> UK (2017), </w:t>
      </w:r>
      <w:hyperlink r:id="rId8" w:history="1">
        <w:r w:rsidRPr="00EE6794">
          <w:rPr>
            <w:rStyle w:val="Hyperlink"/>
          </w:rPr>
          <w:t>8</w:t>
        </w:r>
        <w:r w:rsidRPr="00EE6794">
          <w:rPr>
            <w:rStyle w:val="Hyperlink"/>
            <w:vertAlign w:val="superscript"/>
          </w:rPr>
          <w:t>th</w:t>
        </w:r>
        <w:r w:rsidRPr="00EE6794">
          <w:rPr>
            <w:rStyle w:val="Hyperlink"/>
          </w:rPr>
          <w:t xml:space="preserve"> Periodic </w:t>
        </w:r>
        <w:r>
          <w:rPr>
            <w:rStyle w:val="Hyperlink"/>
          </w:rPr>
          <w:t>R</w:t>
        </w:r>
        <w:r w:rsidRPr="00EE6794">
          <w:rPr>
            <w:rStyle w:val="Hyperlink"/>
          </w:rPr>
          <w:t xml:space="preserve">eport </w:t>
        </w:r>
        <w:r>
          <w:rPr>
            <w:rStyle w:val="Hyperlink"/>
          </w:rPr>
          <w:t xml:space="preserve">of the UK </w:t>
        </w:r>
      </w:hyperlink>
      <w:r>
        <w:rPr>
          <w:rStyle w:val="Hyperlink"/>
        </w:rPr>
        <w:t>.</w:t>
      </w:r>
    </w:p>
  </w:footnote>
  <w:footnote w:id="9">
    <w:p w14:paraId="2221B28D" w14:textId="692060C1" w:rsidR="00370D86" w:rsidRPr="00A30E8C" w:rsidRDefault="00370D86" w:rsidP="000E50AA">
      <w:pPr>
        <w:pStyle w:val="FootnoteText"/>
        <w:rPr>
          <w:b/>
        </w:rPr>
      </w:pPr>
      <w:r>
        <w:rPr>
          <w:rStyle w:val="FootnoteReference"/>
          <w:rFonts w:eastAsiaTheme="minorEastAsia"/>
        </w:rPr>
        <w:footnoteRef/>
      </w:r>
      <w:r>
        <w:t xml:space="preserve"> See </w:t>
      </w:r>
      <w:hyperlink r:id="rId9" w:history="1">
        <w:r w:rsidRPr="00851C7A">
          <w:rPr>
            <w:rStyle w:val="Hyperlink"/>
          </w:rPr>
          <w:t>UN</w:t>
        </w:r>
        <w:r>
          <w:rPr>
            <w:rStyle w:val="Hyperlink"/>
          </w:rPr>
          <w:t xml:space="preserve"> </w:t>
        </w:r>
        <w:r w:rsidRPr="00851C7A">
          <w:rPr>
            <w:rStyle w:val="Hyperlink"/>
          </w:rPr>
          <w:t>SDG</w:t>
        </w:r>
      </w:hyperlink>
      <w:r>
        <w:t xml:space="preserve">s </w:t>
      </w:r>
      <w:r w:rsidRPr="00B61CF4">
        <w:t>which include goals and targets on tackling poverty and reducing inequalities, and a specific goal on achieving gender equality</w:t>
      </w:r>
      <w:r>
        <w:t xml:space="preserve"> (Goal 5)</w:t>
      </w:r>
      <w:r w:rsidRPr="00A30E8C">
        <w:t>.</w:t>
      </w:r>
      <w:r w:rsidRPr="00A30E8C">
        <w:rPr>
          <w:b/>
        </w:rPr>
        <w:t xml:space="preserve"> </w:t>
      </w:r>
    </w:p>
  </w:footnote>
  <w:footnote w:id="10">
    <w:p w14:paraId="01CB9A0D" w14:textId="77777777" w:rsidR="00370D86" w:rsidRDefault="00370D86" w:rsidP="006D7513">
      <w:pPr>
        <w:pStyle w:val="FootnoteText"/>
      </w:pPr>
      <w:r>
        <w:rPr>
          <w:rStyle w:val="FootnoteReference"/>
        </w:rPr>
        <w:footnoteRef/>
      </w:r>
      <w:r>
        <w:t xml:space="preserve"> OFMDFM (2006), </w:t>
      </w:r>
      <w:hyperlink r:id="rId10" w:history="1">
        <w:r w:rsidRPr="00E4644C">
          <w:rPr>
            <w:rStyle w:val="Hyperlink"/>
            <w:i/>
          </w:rPr>
          <w:t>Gender Equality Strategy 2006-2016</w:t>
        </w:r>
      </w:hyperlink>
      <w:r>
        <w:rPr>
          <w:i/>
        </w:rPr>
        <w:t xml:space="preserve"> </w:t>
      </w:r>
      <w:r>
        <w:t xml:space="preserve"> </w:t>
      </w:r>
    </w:p>
  </w:footnote>
  <w:footnote w:id="11">
    <w:p w14:paraId="7AE19B7E" w14:textId="62F52DAB" w:rsidR="00370D86" w:rsidRPr="00CC2A4B" w:rsidRDefault="00370D86" w:rsidP="00C63D53">
      <w:pPr>
        <w:pStyle w:val="FootnoteText"/>
      </w:pPr>
      <w:r>
        <w:rPr>
          <w:rStyle w:val="FootnoteReference"/>
          <w:rFonts w:eastAsiaTheme="minorEastAsia"/>
        </w:rPr>
        <w:footnoteRef/>
      </w:r>
      <w:r>
        <w:t xml:space="preserve"> </w:t>
      </w:r>
      <w:r w:rsidRPr="000902B8">
        <w:t>A review of th</w:t>
      </w:r>
      <w:r>
        <w:t xml:space="preserve">e former </w:t>
      </w:r>
      <w:r w:rsidRPr="000A4BE3">
        <w:rPr>
          <w:i/>
        </w:rPr>
        <w:t>GES 2006-2016</w:t>
      </w:r>
      <w:r>
        <w:t xml:space="preserve"> (2013) </w:t>
      </w:r>
      <w:r w:rsidRPr="000902B8">
        <w:t xml:space="preserve">highlighted </w:t>
      </w:r>
      <w:r>
        <w:t>areas for improvement. For example, findings highlighted the need for an improved monitoring framework</w:t>
      </w:r>
      <w:r w:rsidRPr="00851C7A">
        <w:t xml:space="preserve"> </w:t>
      </w:r>
      <w:r>
        <w:t>and for actions to address transgender equality; and that action plan o</w:t>
      </w:r>
      <w:r w:rsidRPr="006F09AF">
        <w:t>utcomes and targets were generally not SMART (Specific, Measureable, Achievable, Realistic and Timebound)</w:t>
      </w:r>
      <w:r>
        <w:t xml:space="preserve">. See NISRA (2014), </w:t>
      </w:r>
      <w:r>
        <w:rPr>
          <w:rStyle w:val="Hyperlink"/>
          <w:i/>
        </w:rPr>
        <w:t xml:space="preserve"> </w:t>
      </w:r>
      <w:hyperlink r:id="rId11" w:history="1">
        <w:r w:rsidRPr="006F09AF">
          <w:rPr>
            <w:rStyle w:val="Hyperlink"/>
            <w:i/>
          </w:rPr>
          <w:t>Gender Equality Strategy 2006-2016 Review</w:t>
        </w:r>
        <w:r w:rsidRPr="006F09AF">
          <w:rPr>
            <w:rStyle w:val="Hyperlink"/>
          </w:rPr>
          <w:t xml:space="preserve"> </w:t>
        </w:r>
      </w:hyperlink>
    </w:p>
  </w:footnote>
  <w:footnote w:id="12">
    <w:p w14:paraId="3C172883" w14:textId="77777777" w:rsidR="00370D86" w:rsidRDefault="00370D86">
      <w:pPr>
        <w:pStyle w:val="FootnoteText"/>
      </w:pPr>
      <w:r>
        <w:rPr>
          <w:rStyle w:val="FootnoteReference"/>
        </w:rPr>
        <w:footnoteRef/>
      </w:r>
      <w:r>
        <w:t xml:space="preserve"> Between</w:t>
      </w:r>
      <w:r w:rsidRPr="009C64C5">
        <w:t xml:space="preserve"> 2013</w:t>
      </w:r>
      <w:r>
        <w:t xml:space="preserve"> -2017</w:t>
      </w:r>
      <w:r w:rsidRPr="009C64C5">
        <w:t>, due to budget cuts, ECNI’s staff resources have reduced from</w:t>
      </w:r>
      <w:r>
        <w:t xml:space="preserve"> 100 to 84 (FTEs), as well as a reduction in grant in aid from £6.37m to £5.58m</w:t>
      </w:r>
      <w:r w:rsidRPr="009C64C5">
        <w:t>.</w:t>
      </w:r>
      <w:r>
        <w:t xml:space="preserve"> </w:t>
      </w:r>
    </w:p>
  </w:footnote>
  <w:footnote w:id="13">
    <w:p w14:paraId="5F79FE2F" w14:textId="77777777" w:rsidR="00370D86" w:rsidRDefault="00370D86" w:rsidP="001164E2">
      <w:pPr>
        <w:pStyle w:val="FootnoteText"/>
      </w:pPr>
      <w:r>
        <w:rPr>
          <w:rStyle w:val="FootnoteReference"/>
        </w:rPr>
        <w:footnoteRef/>
      </w:r>
      <w:r>
        <w:t xml:space="preserve"> A report by the WRDA (2016) has highlighted that support services for women are under serious threat from funding cuts with many organisations reducing services, losing staff or closing altogether. It also highlighted the ‘decision by the Department for Employment to severely limit the training qualifications that a women’s organisation could offer drastically restricted the capacity for women’s organisations to adequately resource their training programmes’.</w:t>
      </w:r>
      <w:r w:rsidRPr="00492D03">
        <w:t xml:space="preserve"> </w:t>
      </w:r>
      <w:r>
        <w:t xml:space="preserve">WRDA (2016), </w:t>
      </w:r>
      <w:hyperlink r:id="rId12" w:history="1">
        <w:r w:rsidRPr="00492D03">
          <w:rPr>
            <w:rStyle w:val="Hyperlink"/>
          </w:rPr>
          <w:t>Women at the Cutting Edge: The impact of spending and cuts on the women’s community and voluntary organisations in Northern Ireland</w:t>
        </w:r>
      </w:hyperlink>
      <w:r>
        <w:t>.</w:t>
      </w:r>
    </w:p>
  </w:footnote>
  <w:footnote w:id="14">
    <w:p w14:paraId="66192DAF" w14:textId="77777777" w:rsidR="00370D86" w:rsidRPr="00376255" w:rsidRDefault="00370D86" w:rsidP="00E90FE1">
      <w:pPr>
        <w:pStyle w:val="FootnoteText"/>
      </w:pPr>
      <w:r>
        <w:rPr>
          <w:rStyle w:val="FootnoteReference"/>
          <w:rFonts w:eastAsiaTheme="minorEastAsia"/>
        </w:rPr>
        <w:footnoteRef/>
      </w:r>
      <w:r>
        <w:t xml:space="preserve"> See </w:t>
      </w:r>
      <w:r w:rsidRPr="00273068">
        <w:t xml:space="preserve">Quinn S (2013) </w:t>
      </w:r>
      <w:hyperlink r:id="rId13" w:history="1">
        <w:r w:rsidRPr="0083306F">
          <w:rPr>
            <w:rStyle w:val="Hyperlink"/>
            <w:i/>
          </w:rPr>
          <w:t>Equality Responsive Budgeting</w:t>
        </w:r>
      </w:hyperlink>
      <w:r w:rsidRPr="0083306F">
        <w:rPr>
          <w:i/>
        </w:rPr>
        <w:t xml:space="preserve"> , Expert paper</w:t>
      </w:r>
      <w:r>
        <w:t xml:space="preserve">, </w:t>
      </w:r>
      <w:r w:rsidRPr="00273068">
        <w:t>commissioned by</w:t>
      </w:r>
      <w:r>
        <w:t xml:space="preserve"> ECNI.</w:t>
      </w:r>
    </w:p>
  </w:footnote>
  <w:footnote w:id="15">
    <w:p w14:paraId="1B094E8F" w14:textId="77777777" w:rsidR="00370D86" w:rsidRPr="003D5D6C" w:rsidRDefault="00370D86" w:rsidP="00E90FE1">
      <w:pPr>
        <w:pStyle w:val="FootnoteText"/>
      </w:pPr>
      <w:r>
        <w:rPr>
          <w:rStyle w:val="FootnoteReference"/>
          <w:rFonts w:eastAsiaTheme="minorEastAsia"/>
        </w:rPr>
        <w:footnoteRef/>
      </w:r>
      <w:r>
        <w:t xml:space="preserve"> </w:t>
      </w:r>
      <w:r w:rsidRPr="009B1701">
        <w:t>There is evidence to suggest that, whilst there is some good scree</w:t>
      </w:r>
      <w:r>
        <w:t>ni</w:t>
      </w:r>
      <w:r w:rsidRPr="009B1701">
        <w:t>ng practice, in some cases scree</w:t>
      </w:r>
      <w:r>
        <w:t>ni</w:t>
      </w:r>
      <w:r w:rsidRPr="009B1701">
        <w:t>ng exercises are not mea</w:t>
      </w:r>
      <w:r>
        <w:t>nin</w:t>
      </w:r>
      <w:r w:rsidRPr="009B1701">
        <w:t>gful and that the number of EQIAs conducted by public authorities is low. See EC</w:t>
      </w:r>
      <w:r>
        <w:t>NI</w:t>
      </w:r>
      <w:r w:rsidRPr="009B1701">
        <w:t xml:space="preserve"> (2017) </w:t>
      </w:r>
      <w:hyperlink r:id="rId14" w:history="1">
        <w:r w:rsidRPr="009B1701">
          <w:rPr>
            <w:rStyle w:val="Hyperlink"/>
            <w:i/>
          </w:rPr>
          <w:t xml:space="preserve">Effective Section </w:t>
        </w:r>
        <w:r>
          <w:rPr>
            <w:rStyle w:val="Hyperlink"/>
            <w:i/>
          </w:rPr>
          <w:t>75 Equality Assessments: Screeni</w:t>
        </w:r>
        <w:r w:rsidRPr="009B1701">
          <w:rPr>
            <w:rStyle w:val="Hyperlink"/>
            <w:i/>
          </w:rPr>
          <w:t>ng and Equality Assessments</w:t>
        </w:r>
      </w:hyperlink>
    </w:p>
  </w:footnote>
  <w:footnote w:id="16">
    <w:p w14:paraId="4F1779D2" w14:textId="77777777" w:rsidR="00370D86" w:rsidRDefault="00370D86">
      <w:pPr>
        <w:pStyle w:val="FootnoteText"/>
      </w:pPr>
      <w:r>
        <w:rPr>
          <w:rStyle w:val="FootnoteReference"/>
        </w:rPr>
        <w:footnoteRef/>
      </w:r>
      <w:r>
        <w:t xml:space="preserve"> See ECNI, DFP (2008) </w:t>
      </w:r>
      <w:hyperlink r:id="rId15" w:history="1">
        <w:r w:rsidRPr="00C6023E">
          <w:rPr>
            <w:rStyle w:val="Hyperlink"/>
            <w:i/>
          </w:rPr>
          <w:t>Equality of Opportunity and Sustainable Development in Public Sector Procurement</w:t>
        </w:r>
      </w:hyperlink>
    </w:p>
  </w:footnote>
  <w:footnote w:id="17">
    <w:p w14:paraId="52A95E21" w14:textId="77777777" w:rsidR="00370D86" w:rsidRPr="00A30E8C" w:rsidRDefault="00370D86" w:rsidP="00B52CA5">
      <w:pPr>
        <w:pStyle w:val="FootnoteText"/>
        <w:rPr>
          <w:b/>
        </w:rPr>
      </w:pPr>
      <w:r>
        <w:rPr>
          <w:rStyle w:val="FootnoteReference"/>
          <w:rFonts w:eastAsiaTheme="minorEastAsia"/>
        </w:rPr>
        <w:footnoteRef/>
      </w:r>
      <w:r>
        <w:t xml:space="preserve"> See UN </w:t>
      </w:r>
      <w:r w:rsidRPr="00851AA8">
        <w:t>Sustainable Development Goals’</w:t>
      </w:r>
      <w:r>
        <w:t xml:space="preserve"> (SDG) targets 5.1, 5.2 and 5.5</w:t>
      </w:r>
      <w:r w:rsidRPr="00A30E8C">
        <w:t>.</w:t>
      </w:r>
      <w:r w:rsidRPr="00A30E8C">
        <w:rPr>
          <w:b/>
        </w:rPr>
        <w:t xml:space="preserve"> </w:t>
      </w:r>
    </w:p>
  </w:footnote>
  <w:footnote w:id="18">
    <w:p w14:paraId="468D06F5" w14:textId="77777777" w:rsidR="00370D86" w:rsidRDefault="00370D86">
      <w:pPr>
        <w:pStyle w:val="FootnoteText"/>
      </w:pPr>
      <w:r>
        <w:rPr>
          <w:rStyle w:val="FootnoteReference"/>
        </w:rPr>
        <w:footnoteRef/>
      </w:r>
      <w:r>
        <w:t xml:space="preserve"> For example, ECNI has highlighted the need for improved data collection as regards disabled women in NI. See ECNI (2014) UNCRPD </w:t>
      </w:r>
      <w:hyperlink r:id="rId16" w:history="1">
        <w:r w:rsidRPr="004B4CE4">
          <w:rPr>
            <w:rStyle w:val="Hyperlink"/>
          </w:rPr>
          <w:t xml:space="preserve">Jurisdictional Parallel Report on Implementation in </w:t>
        </w:r>
        <w:r>
          <w:rPr>
            <w:rStyle w:val="Hyperlink"/>
          </w:rPr>
          <w:t>NI</w:t>
        </w:r>
        <w:r w:rsidRPr="004B4CE4">
          <w:rPr>
            <w:rStyle w:val="Hyperlink"/>
          </w:rPr>
          <w:t>.</w:t>
        </w:r>
      </w:hyperlink>
    </w:p>
  </w:footnote>
  <w:footnote w:id="19">
    <w:p w14:paraId="76B71909" w14:textId="757FA803" w:rsidR="00370D86" w:rsidRPr="004B488F" w:rsidRDefault="00370D86" w:rsidP="00DD273B">
      <w:pPr>
        <w:pStyle w:val="FootnoteText"/>
      </w:pPr>
      <w:r>
        <w:rPr>
          <w:rStyle w:val="FootnoteReference"/>
          <w:rFonts w:eastAsiaTheme="minorEastAsia"/>
        </w:rPr>
        <w:footnoteRef/>
      </w:r>
      <w:r>
        <w:t xml:space="preserve"> See under Art 4 of </w:t>
      </w:r>
      <w:hyperlink r:id="rId17" w:history="1">
        <w:r w:rsidRPr="00524AE4">
          <w:rPr>
            <w:rStyle w:val="Hyperlink"/>
            <w:i/>
          </w:rPr>
          <w:t>Draft Withdrawal Agreement (14 November 2018): Protocol on Ireland/Northern Ireland</w:t>
        </w:r>
        <w:r w:rsidRPr="00524AE4">
          <w:rPr>
            <w:rStyle w:val="Hyperlink"/>
          </w:rPr>
          <w:t>.</w:t>
        </w:r>
      </w:hyperlink>
      <w:r>
        <w:rPr>
          <w:rStyle w:val="Hyperlink"/>
        </w:rPr>
        <w:t xml:space="preserve"> </w:t>
      </w:r>
      <w:r>
        <w:rPr>
          <w:rStyle w:val="Hyperlink"/>
          <w:color w:val="auto"/>
          <w:u w:val="none"/>
        </w:rPr>
        <w:t>There is also a commitment</w:t>
      </w:r>
      <w:r w:rsidRPr="00E23484">
        <w:rPr>
          <w:rStyle w:val="Hyperlink"/>
          <w:color w:val="auto"/>
          <w:u w:val="none"/>
        </w:rPr>
        <w:t xml:space="preserve"> under the ‘backstop’ pro</w:t>
      </w:r>
      <w:r>
        <w:rPr>
          <w:rStyle w:val="Hyperlink"/>
          <w:color w:val="auto"/>
          <w:u w:val="none"/>
        </w:rPr>
        <w:t>visions to</w:t>
      </w:r>
      <w:r w:rsidRPr="00E23484">
        <w:rPr>
          <w:rStyle w:val="Hyperlink"/>
          <w:color w:val="auto"/>
          <w:u w:val="none"/>
        </w:rPr>
        <w:t xml:space="preserve"> non-regression in the level of common standards of labour and social protection applicable at the end of the transition period in a range of labour and social areas, including fundamental rights at work.</w:t>
      </w:r>
      <w:r w:rsidR="004B488F">
        <w:rPr>
          <w:rStyle w:val="Hyperlink"/>
          <w:color w:val="auto"/>
          <w:u w:val="none"/>
        </w:rPr>
        <w:t xml:space="preserve"> Ibid, Article 4(1) of Annex 4.</w:t>
      </w:r>
    </w:p>
  </w:footnote>
  <w:footnote w:id="20">
    <w:p w14:paraId="222D39E4" w14:textId="122C7D68" w:rsidR="00370D86" w:rsidRPr="00DD273B" w:rsidRDefault="00370D86" w:rsidP="00836F54">
      <w:pPr>
        <w:pStyle w:val="FootnoteText"/>
        <w:rPr>
          <w:color w:val="0563C1" w:themeColor="hyperlink"/>
          <w:u w:val="single"/>
        </w:rPr>
      </w:pPr>
      <w:r>
        <w:rPr>
          <w:rStyle w:val="FootnoteReference"/>
          <w:rFonts w:eastAsiaTheme="minorEastAsia"/>
        </w:rPr>
        <w:footnoteRef/>
      </w:r>
      <w:r>
        <w:t xml:space="preserve"> T</w:t>
      </w:r>
      <w:r w:rsidRPr="00197322">
        <w:t>o date</w:t>
      </w:r>
      <w:r>
        <w:t xml:space="preserve">, the draft Withdrawal Agreement has been rejected Parliament. On 15 January 2019, the House of Commons voted not to approve the draft Withdrawal Agreement. </w:t>
      </w:r>
    </w:p>
  </w:footnote>
  <w:footnote w:id="21">
    <w:p w14:paraId="0310101C" w14:textId="5A64DE14" w:rsidR="00370D86" w:rsidRDefault="00370D86">
      <w:pPr>
        <w:pStyle w:val="FootnoteText"/>
      </w:pPr>
      <w:r>
        <w:rPr>
          <w:rStyle w:val="FootnoteReference"/>
        </w:rPr>
        <w:footnoteRef/>
      </w:r>
      <w:r>
        <w:t xml:space="preserve"> See ECNI (2017) </w:t>
      </w:r>
      <w:hyperlink r:id="rId18" w:history="1">
        <w:r w:rsidRPr="002323A0">
          <w:rPr>
            <w:rStyle w:val="Hyperlink"/>
            <w:i/>
          </w:rPr>
          <w:t>Recommendations on UK exit from the EU</w:t>
        </w:r>
      </w:hyperlink>
      <w:r w:rsidR="004B488F">
        <w:t xml:space="preserve">. </w:t>
      </w:r>
    </w:p>
  </w:footnote>
  <w:footnote w:id="22">
    <w:p w14:paraId="50CCD94C" w14:textId="77777777" w:rsidR="00370D86" w:rsidRDefault="00370D86" w:rsidP="00B0397D">
      <w:pPr>
        <w:pStyle w:val="FootnoteText"/>
      </w:pPr>
      <w:r>
        <w:rPr>
          <w:rStyle w:val="FootnoteReference"/>
        </w:rPr>
        <w:footnoteRef/>
      </w:r>
      <w:r>
        <w:t xml:space="preserve"> See </w:t>
      </w:r>
      <w:r w:rsidRPr="006C4E78">
        <w:t xml:space="preserve">Joint Committee </w:t>
      </w:r>
      <w:r>
        <w:t xml:space="preserve">on Human Rights (2018), </w:t>
      </w:r>
      <w:r w:rsidRPr="0075345B">
        <w:rPr>
          <w:i/>
        </w:rPr>
        <w:t>Legislative Scrutiny:</w:t>
      </w:r>
      <w:r>
        <w:t xml:space="preserve"> </w:t>
      </w:r>
      <w:hyperlink r:id="rId19" w:history="1">
        <w:r w:rsidRPr="006C4E78">
          <w:rPr>
            <w:rStyle w:val="Hyperlink"/>
            <w:i/>
          </w:rPr>
          <w:t>The EU (Withdrawal) Bill: A Right by Right Analysis</w:t>
        </w:r>
      </w:hyperlink>
      <w:r w:rsidRPr="001F2055">
        <w:t xml:space="preserve"> </w:t>
      </w:r>
      <w:r>
        <w:t xml:space="preserve">which </w:t>
      </w:r>
      <w:r w:rsidRPr="006C0379">
        <w:t>highl</w:t>
      </w:r>
      <w:r>
        <w:t xml:space="preserve">ighted why </w:t>
      </w:r>
      <w:r w:rsidRPr="006C0379">
        <w:t xml:space="preserve">rights may be diminished owing </w:t>
      </w:r>
      <w:r>
        <w:t>to the exclusion of the Charter.</w:t>
      </w:r>
    </w:p>
  </w:footnote>
  <w:footnote w:id="23">
    <w:p w14:paraId="3C129182" w14:textId="5945EBF8" w:rsidR="00370D86" w:rsidRDefault="00370D86" w:rsidP="001E4FF0">
      <w:pPr>
        <w:pStyle w:val="FootnoteText"/>
      </w:pPr>
      <w:r>
        <w:rPr>
          <w:rStyle w:val="FootnoteReference"/>
        </w:rPr>
        <w:footnoteRef/>
      </w:r>
      <w:r>
        <w:t xml:space="preserve">For example, the European Commission’s proposal for a new </w:t>
      </w:r>
      <w:hyperlink r:id="rId20" w:history="1">
        <w:r w:rsidRPr="008A7C3B">
          <w:rPr>
            <w:rStyle w:val="Hyperlink"/>
          </w:rPr>
          <w:t>Directive on work-life balance for parents and carers</w:t>
        </w:r>
      </w:hyperlink>
      <w:r>
        <w:t xml:space="preserve">. There is a commitment in the draft Withdrawal Agreement to update only the 6 existing EU equality Directives listed in the Annex to Art 4, if </w:t>
      </w:r>
      <w:r w:rsidRPr="00627D23">
        <w:t>amended or replaced, along with corresponding domestic legislation</w:t>
      </w:r>
      <w:r>
        <w:t xml:space="preserve">. </w:t>
      </w:r>
    </w:p>
  </w:footnote>
  <w:footnote w:id="24">
    <w:p w14:paraId="0660A08D" w14:textId="062776FB" w:rsidR="00370D86" w:rsidRDefault="00370D86" w:rsidP="003B1C49">
      <w:pPr>
        <w:pStyle w:val="FootnoteText"/>
      </w:pPr>
      <w:r>
        <w:rPr>
          <w:rStyle w:val="FootnoteReference"/>
        </w:rPr>
        <w:footnoteRef/>
      </w:r>
      <w:r>
        <w:t xml:space="preserve"> There is a commitment by the UK and EU to delivering a future PEACE PLUS programme maintaining the current funding proportions for the future programme, up until at least 2027. See EU/UK (2018) </w:t>
      </w:r>
      <w:hyperlink r:id="rId21" w:history="1">
        <w:r w:rsidRPr="00617926">
          <w:rPr>
            <w:rStyle w:val="Hyperlink"/>
          </w:rPr>
          <w:t>Political Declaration setting out the framework on the Future Relationship between the EU and UK</w:t>
        </w:r>
      </w:hyperlink>
      <w:r>
        <w:t xml:space="preserve">, and NI Secretary of State </w:t>
      </w:r>
      <w:hyperlink r:id="rId22" w:history="1">
        <w:r w:rsidRPr="00C114D7">
          <w:rPr>
            <w:rStyle w:val="Hyperlink"/>
          </w:rPr>
          <w:t>statement</w:t>
        </w:r>
      </w:hyperlink>
      <w:r>
        <w:t xml:space="preserve"> of 11 January 2019. The UK Government has also committed to replacing EU Structural and Investment Funds with the UK Shared Prosperity Fund. See Secretary of State for </w:t>
      </w:r>
      <w:r w:rsidRPr="00C65043">
        <w:t xml:space="preserve">Housing, Communities and Local Government </w:t>
      </w:r>
      <w:hyperlink r:id="rId23" w:history="1">
        <w:r w:rsidRPr="00C65043">
          <w:rPr>
            <w:rStyle w:val="Hyperlink"/>
          </w:rPr>
          <w:t>statement</w:t>
        </w:r>
      </w:hyperlink>
      <w:r>
        <w:t xml:space="preserve"> to Parliament on 24 July 2018. </w:t>
      </w:r>
    </w:p>
  </w:footnote>
  <w:footnote w:id="25">
    <w:p w14:paraId="4DC2DDBD" w14:textId="00A1891E" w:rsidR="00370D86" w:rsidRPr="00473DF2" w:rsidRDefault="00370D86" w:rsidP="00A525B9">
      <w:pPr>
        <w:rPr>
          <w:rFonts w:cs="Arial"/>
          <w:sz w:val="20"/>
          <w:szCs w:val="20"/>
          <w:lang w:val="en"/>
        </w:rPr>
      </w:pPr>
      <w:r w:rsidRPr="00473DF2">
        <w:rPr>
          <w:rStyle w:val="FootnoteReference"/>
          <w:rFonts w:eastAsiaTheme="minorEastAsia"/>
          <w:sz w:val="20"/>
          <w:szCs w:val="20"/>
        </w:rPr>
        <w:footnoteRef/>
      </w:r>
      <w:r w:rsidRPr="00473DF2">
        <w:rPr>
          <w:sz w:val="20"/>
          <w:szCs w:val="20"/>
        </w:rPr>
        <w:t xml:space="preserve"> </w:t>
      </w:r>
      <w:r>
        <w:rPr>
          <w:sz w:val="20"/>
          <w:szCs w:val="20"/>
        </w:rPr>
        <w:t xml:space="preserve">ECNI has recommended that Government </w:t>
      </w:r>
      <w:r w:rsidRPr="00076AB5">
        <w:rPr>
          <w:sz w:val="20"/>
          <w:szCs w:val="20"/>
        </w:rPr>
        <w:t xml:space="preserve">fully mitigate any potential negative impact </w:t>
      </w:r>
      <w:r>
        <w:rPr>
          <w:sz w:val="20"/>
          <w:szCs w:val="20"/>
        </w:rPr>
        <w:t xml:space="preserve">of the </w:t>
      </w:r>
      <w:r w:rsidRPr="00076AB5">
        <w:rPr>
          <w:sz w:val="20"/>
          <w:szCs w:val="20"/>
        </w:rPr>
        <w:t>loss of EU funding on programmes aimed at supporting women’s equality</w:t>
      </w:r>
      <w:r>
        <w:rPr>
          <w:sz w:val="20"/>
          <w:szCs w:val="20"/>
        </w:rPr>
        <w:t>;</w:t>
      </w:r>
      <w:r w:rsidRPr="00076AB5">
        <w:rPr>
          <w:sz w:val="20"/>
          <w:szCs w:val="20"/>
        </w:rPr>
        <w:t xml:space="preserve"> </w:t>
      </w:r>
      <w:r>
        <w:rPr>
          <w:sz w:val="20"/>
          <w:szCs w:val="20"/>
        </w:rPr>
        <w:t>f</w:t>
      </w:r>
      <w:r w:rsidRPr="00473DF2">
        <w:rPr>
          <w:sz w:val="20"/>
          <w:szCs w:val="20"/>
        </w:rPr>
        <w:t>or example,</w:t>
      </w:r>
      <w:r w:rsidRPr="00473DF2">
        <w:t xml:space="preserve"> </w:t>
      </w:r>
      <w:r w:rsidRPr="005C512A">
        <w:rPr>
          <w:sz w:val="20"/>
          <w:szCs w:val="20"/>
        </w:rPr>
        <w:t>funding</w:t>
      </w:r>
      <w:r>
        <w:t xml:space="preserve"> </w:t>
      </w:r>
      <w:r w:rsidRPr="00473DF2">
        <w:rPr>
          <w:sz w:val="20"/>
          <w:szCs w:val="20"/>
        </w:rPr>
        <w:t xml:space="preserve">through the </w:t>
      </w:r>
      <w:r w:rsidRPr="000A4BE3">
        <w:rPr>
          <w:i/>
          <w:sz w:val="20"/>
          <w:szCs w:val="20"/>
        </w:rPr>
        <w:t>Rights, Equality and Citizenship Programme 2014-2020</w:t>
      </w:r>
      <w:r>
        <w:rPr>
          <w:sz w:val="20"/>
          <w:szCs w:val="20"/>
        </w:rPr>
        <w:t xml:space="preserve">,  PEACE and </w:t>
      </w:r>
      <w:r w:rsidRPr="00473DF2">
        <w:rPr>
          <w:sz w:val="20"/>
          <w:szCs w:val="20"/>
        </w:rPr>
        <w:t xml:space="preserve">INTERREG  </w:t>
      </w:r>
      <w:r>
        <w:rPr>
          <w:sz w:val="20"/>
          <w:szCs w:val="20"/>
        </w:rPr>
        <w:t>P</w:t>
      </w:r>
      <w:r w:rsidRPr="00473DF2">
        <w:rPr>
          <w:sz w:val="20"/>
          <w:szCs w:val="20"/>
        </w:rPr>
        <w:t>rogramme</w:t>
      </w:r>
      <w:r>
        <w:rPr>
          <w:sz w:val="20"/>
          <w:szCs w:val="20"/>
        </w:rPr>
        <w:t>s</w:t>
      </w:r>
      <w:r w:rsidRPr="00473DF2">
        <w:rPr>
          <w:sz w:val="20"/>
          <w:szCs w:val="20"/>
        </w:rPr>
        <w:t xml:space="preserve"> </w:t>
      </w:r>
      <w:r>
        <w:rPr>
          <w:sz w:val="20"/>
          <w:szCs w:val="20"/>
        </w:rPr>
        <w:t xml:space="preserve">and the </w:t>
      </w:r>
      <w:r w:rsidRPr="00473DF2">
        <w:rPr>
          <w:sz w:val="20"/>
          <w:szCs w:val="20"/>
        </w:rPr>
        <w:t>European Social Fund (E</w:t>
      </w:r>
      <w:r>
        <w:rPr>
          <w:sz w:val="20"/>
          <w:szCs w:val="20"/>
        </w:rPr>
        <w:t>SF) Programme. A regional Project under the Peace IV Building Positive Relations theme has sought to address the under representation of women in public life in NI.</w:t>
      </w:r>
    </w:p>
  </w:footnote>
  <w:footnote w:id="26">
    <w:p w14:paraId="47C18742" w14:textId="77777777" w:rsidR="00370D86" w:rsidRPr="009D56AF" w:rsidRDefault="00370D86" w:rsidP="00A525B9">
      <w:pPr>
        <w:pStyle w:val="FootnoteText"/>
      </w:pPr>
      <w:r>
        <w:rPr>
          <w:rStyle w:val="FootnoteReference"/>
          <w:rFonts w:eastAsiaTheme="minorEastAsia"/>
        </w:rPr>
        <w:footnoteRef/>
      </w:r>
      <w:r>
        <w:t xml:space="preserve"> </w:t>
      </w:r>
      <w:r w:rsidRPr="009D56AF">
        <w:t>EU fundi</w:t>
      </w:r>
      <w:r>
        <w:t xml:space="preserve">ng has enabled the community/ </w:t>
      </w:r>
      <w:r w:rsidRPr="009D56AF">
        <w:t>volu</w:t>
      </w:r>
      <w:r>
        <w:t xml:space="preserve">ntary sector in NI to play a </w:t>
      </w:r>
      <w:r w:rsidRPr="009D56AF">
        <w:t>role in addressing social and economic deprivation, peace bu</w:t>
      </w:r>
      <w:r>
        <w:t>ilding and building cross-communit</w:t>
      </w:r>
      <w:r w:rsidRPr="009D56AF">
        <w:t>y an</w:t>
      </w:r>
      <w:r>
        <w:t xml:space="preserve">d cross-border relationships, including </w:t>
      </w:r>
      <w:r w:rsidRPr="009D56AF">
        <w:t xml:space="preserve">in the area of </w:t>
      </w:r>
      <w:r>
        <w:t xml:space="preserve">women’s </w:t>
      </w:r>
      <w:r w:rsidRPr="009D56AF">
        <w:t>equality.</w:t>
      </w:r>
    </w:p>
  </w:footnote>
  <w:footnote w:id="27">
    <w:p w14:paraId="666EC285" w14:textId="409CFE5F" w:rsidR="00370D86" w:rsidRPr="009713B8" w:rsidRDefault="00370D86" w:rsidP="00A525B9">
      <w:pPr>
        <w:pStyle w:val="FootnoteText"/>
      </w:pPr>
      <w:r>
        <w:rPr>
          <w:rStyle w:val="FootnoteReference"/>
          <w:rFonts w:eastAsiaTheme="minorEastAsia"/>
        </w:rPr>
        <w:footnoteRef/>
      </w:r>
      <w:r>
        <w:t xml:space="preserve"> </w:t>
      </w:r>
      <w:r w:rsidRPr="007005D0">
        <w:t>Section 75 o</w:t>
      </w:r>
      <w:r>
        <w:t>f the Northern Ireland Act 1998 includes a duty on designated public bodies to have due regard to the need to promote equality of opportunity between men and women.</w:t>
      </w:r>
    </w:p>
  </w:footnote>
  <w:footnote w:id="28">
    <w:p w14:paraId="46E6C728" w14:textId="136B66AE" w:rsidR="00370D86" w:rsidRDefault="00370D86" w:rsidP="004E589D">
      <w:pPr>
        <w:pStyle w:val="FootnoteText"/>
      </w:pPr>
      <w:r>
        <w:rPr>
          <w:rStyle w:val="FootnoteReference"/>
        </w:rPr>
        <w:footnoteRef/>
      </w:r>
      <w:r>
        <w:t xml:space="preserve"> See </w:t>
      </w:r>
      <w:r w:rsidRPr="00F772EF">
        <w:t>EC</w:t>
      </w:r>
      <w:r>
        <w:t>NI</w:t>
      </w:r>
      <w:r w:rsidRPr="00F772EF">
        <w:t xml:space="preserve"> (2016), </w:t>
      </w:r>
      <w:hyperlink r:id="rId24" w:history="1">
        <w:r w:rsidRPr="00F772EF">
          <w:rPr>
            <w:rStyle w:val="Hyperlink"/>
            <w:i/>
          </w:rPr>
          <w:t>Gender Equality Law Reform Recommendations</w:t>
        </w:r>
      </w:hyperlink>
      <w:r>
        <w:rPr>
          <w:rStyle w:val="Hyperlink"/>
          <w:i/>
        </w:rPr>
        <w:t xml:space="preserve">. </w:t>
      </w:r>
      <w:r w:rsidR="005A4AAC" w:rsidRPr="00BD2D1D">
        <w:t>Gender equality legis</w:t>
      </w:r>
      <w:r w:rsidR="005A4AAC">
        <w:t>lation in Great Britain was</w:t>
      </w:r>
      <w:r w:rsidR="005A4AAC" w:rsidRPr="00BD2D1D">
        <w:t xml:space="preserve"> harmo</w:t>
      </w:r>
      <w:r w:rsidR="005A4AAC">
        <w:t>ni</w:t>
      </w:r>
      <w:r w:rsidR="005A4AAC" w:rsidRPr="00BD2D1D">
        <w:t>sed and strengthened by the implement</w:t>
      </w:r>
      <w:r w:rsidR="005A4AAC">
        <w:t xml:space="preserve">ation of the Equality Act 2010, </w:t>
      </w:r>
      <w:r w:rsidR="005A4AAC" w:rsidRPr="00BD2D1D">
        <w:t>which do</w:t>
      </w:r>
      <w:r w:rsidR="005A4AAC">
        <w:t>es not apply in Northern Ireland.</w:t>
      </w:r>
    </w:p>
  </w:footnote>
  <w:footnote w:id="29">
    <w:p w14:paraId="1E731EA7" w14:textId="2BDB9F6F" w:rsidR="00370D86" w:rsidRDefault="00370D86" w:rsidP="00D056BF">
      <w:pPr>
        <w:pStyle w:val="FootnoteText"/>
      </w:pPr>
      <w:r>
        <w:rPr>
          <w:rStyle w:val="FootnoteReference"/>
        </w:rPr>
        <w:footnoteRef/>
      </w:r>
      <w:r>
        <w:t xml:space="preserve"> The ECNI</w:t>
      </w:r>
      <w:r w:rsidRPr="002D4347">
        <w:t xml:space="preserve">’s </w:t>
      </w:r>
      <w:hyperlink r:id="rId25" w:history="1">
        <w:r w:rsidRPr="00F772EF">
          <w:rPr>
            <w:rStyle w:val="Hyperlink"/>
            <w:i/>
          </w:rPr>
          <w:t>Gender Equality Law Reform Recommendations</w:t>
        </w:r>
      </w:hyperlink>
      <w:r>
        <w:rPr>
          <w:rStyle w:val="Hyperlink"/>
          <w:i/>
        </w:rPr>
        <w:t xml:space="preserve"> </w:t>
      </w:r>
      <w:r w:rsidRPr="002D4347">
        <w:t>include areas aligned to previous CEDAW C</w:t>
      </w:r>
      <w:r>
        <w:t xml:space="preserve">oncluding </w:t>
      </w:r>
      <w:r w:rsidRPr="002D4347">
        <w:t>O</w:t>
      </w:r>
      <w:r>
        <w:t>bservation</w:t>
      </w:r>
      <w:r w:rsidRPr="002D4347">
        <w:t>s – for example, on pay secrecy clauses and multiple discrimination.</w:t>
      </w:r>
      <w:r>
        <w:t xml:space="preserve"> As stated in the Government’s replies to the LOI, the Racial Equality Strategy recognises more needs to be done to prevent multiple discrimination (at page 3). </w:t>
      </w:r>
    </w:p>
  </w:footnote>
  <w:footnote w:id="30">
    <w:p w14:paraId="731E347D" w14:textId="269845FD" w:rsidR="00370D86" w:rsidRDefault="00370D86">
      <w:pPr>
        <w:pStyle w:val="FootnoteText"/>
      </w:pPr>
      <w:r>
        <w:rPr>
          <w:rStyle w:val="FootnoteReference"/>
        </w:rPr>
        <w:footnoteRef/>
      </w:r>
      <w:r>
        <w:t xml:space="preserve"> See Fawcett Society (2018) </w:t>
      </w:r>
      <w:hyperlink r:id="rId26" w:history="1">
        <w:r w:rsidRPr="00397287">
          <w:rPr>
            <w:rStyle w:val="Hyperlink"/>
          </w:rPr>
          <w:t>Sex Discrimination Law Review</w:t>
        </w:r>
      </w:hyperlink>
      <w:r>
        <w:t xml:space="preserve"> .</w:t>
      </w:r>
    </w:p>
  </w:footnote>
  <w:footnote w:id="31">
    <w:p w14:paraId="416BAD55" w14:textId="77777777" w:rsidR="00370D86" w:rsidRPr="00FD0A9B" w:rsidRDefault="00370D86" w:rsidP="00740A34">
      <w:pPr>
        <w:pStyle w:val="FootnoteText"/>
      </w:pPr>
      <w:r>
        <w:rPr>
          <w:rStyle w:val="FootnoteReference"/>
          <w:rFonts w:eastAsiaTheme="minorEastAsia"/>
        </w:rPr>
        <w:footnoteRef/>
      </w:r>
      <w:r>
        <w:t xml:space="preserve"> See </w:t>
      </w:r>
      <w:hyperlink r:id="rId27" w:history="1">
        <w:r w:rsidRPr="00B352ED">
          <w:rPr>
            <w:rStyle w:val="Hyperlink"/>
          </w:rPr>
          <w:t>The Equality Act 2010 (Gender Pay Gap Information) Regulations 2017</w:t>
        </w:r>
      </w:hyperlink>
      <w:r w:rsidRPr="00B352ED">
        <w:t xml:space="preserve"> </w:t>
      </w:r>
      <w:r>
        <w:t xml:space="preserve">and </w:t>
      </w:r>
      <w:hyperlink r:id="rId28" w:history="1">
        <w:r w:rsidRPr="00B352ED">
          <w:rPr>
            <w:rStyle w:val="Hyperlink"/>
          </w:rPr>
          <w:t>The Equality Act 2010 (Specific Duties and Public Authorities) Regulations 2017</w:t>
        </w:r>
      </w:hyperlink>
      <w:r>
        <w:t xml:space="preserve"> .</w:t>
      </w:r>
    </w:p>
  </w:footnote>
  <w:footnote w:id="32">
    <w:p w14:paraId="5AE5665A" w14:textId="6B195E55" w:rsidR="00370D86" w:rsidRDefault="00370D86">
      <w:pPr>
        <w:pStyle w:val="FootnoteText"/>
      </w:pPr>
      <w:r>
        <w:rPr>
          <w:rStyle w:val="FootnoteReference"/>
        </w:rPr>
        <w:footnoteRef/>
      </w:r>
      <w:r>
        <w:t xml:space="preserve"> See </w:t>
      </w:r>
      <w:hyperlink r:id="rId29" w:history="1">
        <w:r w:rsidRPr="00F52BD7">
          <w:rPr>
            <w:rStyle w:val="Hyperlink"/>
          </w:rPr>
          <w:t>Section 19</w:t>
        </w:r>
      </w:hyperlink>
      <w:r>
        <w:t xml:space="preserve">, The </w:t>
      </w:r>
      <w:r w:rsidRPr="00CC3636">
        <w:t>Employment Act (NI) 2016</w:t>
      </w:r>
      <w:r w:rsidRPr="00F15CAD">
        <w:rPr>
          <w:rStyle w:val="Hyperlink"/>
          <w:u w:val="none"/>
        </w:rPr>
        <w:t xml:space="preserve">. </w:t>
      </w:r>
      <w:r>
        <w:rPr>
          <w:rStyle w:val="Hyperlink"/>
        </w:rPr>
        <w:t xml:space="preserve">Section 19 </w:t>
      </w:r>
      <w:r w:rsidRPr="00F15CAD">
        <w:t>requires</w:t>
      </w:r>
      <w:r>
        <w:t xml:space="preserve"> the former Office of the First Minister and Deputy First Minister to introduce gender pay reporting Regulations and publish a gender pay strategy and action plan within the timescale set out in Section 19.</w:t>
      </w:r>
    </w:p>
  </w:footnote>
  <w:footnote w:id="33">
    <w:p w14:paraId="2D9467AF" w14:textId="0C75D16D" w:rsidR="00370D86" w:rsidRDefault="00370D86" w:rsidP="00E724C7">
      <w:pPr>
        <w:pStyle w:val="FootnoteText"/>
      </w:pPr>
      <w:r>
        <w:rPr>
          <w:rStyle w:val="FootnoteReference"/>
          <w:rFonts w:eastAsiaTheme="minorEastAsia"/>
        </w:rPr>
        <w:footnoteRef/>
      </w:r>
      <w:r>
        <w:t xml:space="preserve"> </w:t>
      </w:r>
      <w:r w:rsidRPr="00066CF5">
        <w:t xml:space="preserve">Levels of </w:t>
      </w:r>
      <w:r>
        <w:t xml:space="preserve">reported </w:t>
      </w:r>
      <w:r w:rsidRPr="00066CF5">
        <w:t>domestic violence against women have generally increased between 2009/10 and 201</w:t>
      </w:r>
      <w:r>
        <w:t>7</w:t>
      </w:r>
      <w:r w:rsidRPr="00066CF5">
        <w:t>/1</w:t>
      </w:r>
      <w:r>
        <w:t>8.</w:t>
      </w:r>
      <w:r w:rsidRPr="00066CF5">
        <w:t xml:space="preserve"> There were </w:t>
      </w:r>
      <w:r>
        <w:t>6,436</w:t>
      </w:r>
      <w:r w:rsidRPr="00066CF5">
        <w:t xml:space="preserve"> female victims of domestic abuse crimes in 2009/10 which rose to </w:t>
      </w:r>
      <w:r>
        <w:t xml:space="preserve">9,330 </w:t>
      </w:r>
      <w:r w:rsidRPr="00066CF5">
        <w:t>crimes in 201</w:t>
      </w:r>
      <w:r>
        <w:t>7</w:t>
      </w:r>
      <w:r w:rsidRPr="00066CF5">
        <w:t>/1</w:t>
      </w:r>
      <w:r>
        <w:t>8</w:t>
      </w:r>
      <w:r w:rsidRPr="00066CF5">
        <w:t>. In 2017</w:t>
      </w:r>
      <w:r>
        <w:t>/18</w:t>
      </w:r>
      <w:r w:rsidRPr="00066CF5">
        <w:t>, 6</w:t>
      </w:r>
      <w:r>
        <w:t>8</w:t>
      </w:r>
      <w:r w:rsidRPr="00066CF5">
        <w:t xml:space="preserve">% of all domestic abuse victims were female. Source: PSNI </w:t>
      </w:r>
      <w:hyperlink r:id="rId30" w:history="1">
        <w:r w:rsidRPr="0022189E">
          <w:rPr>
            <w:rStyle w:val="Hyperlink"/>
          </w:rPr>
          <w:t>Trends in Domestic Abuse Incidents and Crimes 2004/5-2017/18</w:t>
        </w:r>
      </w:hyperlink>
      <w:r w:rsidRPr="0022189E">
        <w:rPr>
          <w:rStyle w:val="Hyperlink"/>
        </w:rPr>
        <w:t xml:space="preserve"> </w:t>
      </w:r>
      <w:r>
        <w:rPr>
          <w:rStyle w:val="Hyperlink"/>
        </w:rPr>
        <w:t>.</w:t>
      </w:r>
      <w:r w:rsidRPr="0022189E">
        <w:rPr>
          <w:rStyle w:val="Hyperlink"/>
        </w:rPr>
        <w:t xml:space="preserve"> </w:t>
      </w:r>
      <w:r w:rsidRPr="00EC765C">
        <w:t xml:space="preserve"> </w:t>
      </w:r>
    </w:p>
  </w:footnote>
  <w:footnote w:id="34">
    <w:p w14:paraId="745500D8" w14:textId="6883ED70" w:rsidR="00370D86" w:rsidRPr="001A6005" w:rsidRDefault="00370D86" w:rsidP="00E724C7">
      <w:pPr>
        <w:pStyle w:val="FootnoteText"/>
      </w:pPr>
      <w:r>
        <w:rPr>
          <w:rStyle w:val="FootnoteReference"/>
          <w:rFonts w:eastAsiaTheme="minorEastAsia"/>
        </w:rPr>
        <w:footnoteRef/>
      </w:r>
      <w:r>
        <w:t xml:space="preserve"> </w:t>
      </w:r>
      <w:r w:rsidRPr="001A6005">
        <w:t xml:space="preserve">The Joint Committee on Human Rights </w:t>
      </w:r>
      <w:r>
        <w:t xml:space="preserve">has </w:t>
      </w:r>
      <w:r w:rsidRPr="001A6005">
        <w:t>recommended that schools play a greater role in tackling cultural attitudes throug</w:t>
      </w:r>
      <w:r>
        <w:t>h teaching on issues on</w:t>
      </w:r>
      <w:r w:rsidRPr="001A6005">
        <w:t xml:space="preserve"> gender equality and violence</w:t>
      </w:r>
      <w:r>
        <w:t xml:space="preserve">. </w:t>
      </w:r>
      <w:hyperlink r:id="rId31" w:history="1">
        <w:r w:rsidRPr="00817847">
          <w:rPr>
            <w:rStyle w:val="Hyperlink"/>
          </w:rPr>
          <w:t>JCHR, 6</w:t>
        </w:r>
        <w:r w:rsidRPr="00817847">
          <w:rPr>
            <w:rStyle w:val="Hyperlink"/>
            <w:vertAlign w:val="superscript"/>
          </w:rPr>
          <w:t>th</w:t>
        </w:r>
        <w:r w:rsidRPr="00817847">
          <w:rPr>
            <w:rStyle w:val="Hyperlink"/>
          </w:rPr>
          <w:t xml:space="preserve"> Report, 2015</w:t>
        </w:r>
      </w:hyperlink>
    </w:p>
  </w:footnote>
  <w:footnote w:id="35">
    <w:p w14:paraId="7C0E62CA" w14:textId="75335A6B" w:rsidR="00370D86" w:rsidRDefault="00370D86" w:rsidP="00E724C7">
      <w:pPr>
        <w:pStyle w:val="Default"/>
      </w:pPr>
      <w:r w:rsidRPr="00F15CAD">
        <w:rPr>
          <w:rStyle w:val="FootnoteReference"/>
          <w:sz w:val="20"/>
          <w:szCs w:val="20"/>
        </w:rPr>
        <w:footnoteRef/>
      </w:r>
      <w:r>
        <w:t xml:space="preserve"> </w:t>
      </w:r>
      <w:r w:rsidRPr="00106258">
        <w:rPr>
          <w:sz w:val="20"/>
          <w:szCs w:val="20"/>
        </w:rPr>
        <w:t>See</w:t>
      </w:r>
      <w:r>
        <w:t xml:space="preserve"> </w:t>
      </w:r>
      <w:r w:rsidRPr="00E519F0">
        <w:rPr>
          <w:sz w:val="20"/>
          <w:szCs w:val="20"/>
        </w:rPr>
        <w:t xml:space="preserve">DHSSPS / DoJ (2016) </w:t>
      </w:r>
      <w:r>
        <w:rPr>
          <w:rStyle w:val="Hyperlink"/>
          <w:sz w:val="20"/>
          <w:szCs w:val="20"/>
        </w:rPr>
        <w:t xml:space="preserve"> </w:t>
      </w:r>
      <w:hyperlink r:id="rId32" w:history="1">
        <w:r w:rsidRPr="0022189E">
          <w:rPr>
            <w:rStyle w:val="Hyperlink"/>
            <w:sz w:val="20"/>
            <w:szCs w:val="20"/>
          </w:rPr>
          <w:t>Stopping Domestic and Sexual Violence and Abuse Strategy and action plans</w:t>
        </w:r>
      </w:hyperlink>
    </w:p>
  </w:footnote>
  <w:footnote w:id="36">
    <w:p w14:paraId="4EF0D731" w14:textId="104FAAE9" w:rsidR="00370D86" w:rsidRDefault="00370D86">
      <w:pPr>
        <w:pStyle w:val="FootnoteText"/>
      </w:pPr>
      <w:r>
        <w:rPr>
          <w:rStyle w:val="FootnoteReference"/>
        </w:rPr>
        <w:footnoteRef/>
      </w:r>
      <w:r>
        <w:t xml:space="preserve"> The UK Government has indicated that draft provisions for a Domestic Abuse Bill have been developed and is to be considered by an incoming NI Executive. See CEDAW (2018) </w:t>
      </w:r>
      <w:hyperlink r:id="rId33" w:history="1">
        <w:r>
          <w:rPr>
            <w:rStyle w:val="Hyperlink"/>
          </w:rPr>
          <w:t>Replies of the UK of Great Britain and Northern Ireland. List of issues and questions in relation to the eighth periodic report of the UK of Great Britain and Northern Ireland</w:t>
        </w:r>
      </w:hyperlink>
      <w:r>
        <w:t>.</w:t>
      </w:r>
    </w:p>
  </w:footnote>
  <w:footnote w:id="37">
    <w:p w14:paraId="2B151D19" w14:textId="5EE12264" w:rsidR="00370D86" w:rsidRDefault="00370D86" w:rsidP="0022189E">
      <w:pPr>
        <w:pStyle w:val="FootnoteText"/>
      </w:pPr>
      <w:r>
        <w:rPr>
          <w:rStyle w:val="FootnoteReference"/>
        </w:rPr>
        <w:footnoteRef/>
      </w:r>
      <w:r>
        <w:t xml:space="preserve"> Research (2018) has recommended further action to tackle domestic violence in Northern Ireland.</w:t>
      </w:r>
      <w:r w:rsidRPr="0022189E">
        <w:t xml:space="preserve"> </w:t>
      </w:r>
      <w:r>
        <w:t xml:space="preserve">See J. Doyle, M. McWilliams, TJI, UU (2018) </w:t>
      </w:r>
      <w:hyperlink r:id="rId34" w:history="1">
        <w:r w:rsidRPr="00106258">
          <w:rPr>
            <w:rStyle w:val="Hyperlink"/>
            <w:i/>
          </w:rPr>
          <w:t>Intimate Partner Violence in Conflict and Post-Conflict Societies: Insights and Lessons from Northern Ireland</w:t>
        </w:r>
      </w:hyperlink>
      <w:r>
        <w:rPr>
          <w:i/>
        </w:rPr>
        <w:t>.</w:t>
      </w:r>
    </w:p>
  </w:footnote>
  <w:footnote w:id="38">
    <w:p w14:paraId="087C5DBA" w14:textId="77777777" w:rsidR="00370D86" w:rsidRDefault="00370D86" w:rsidP="008004B5">
      <w:pPr>
        <w:pStyle w:val="FootnoteText"/>
      </w:pPr>
      <w:r>
        <w:rPr>
          <w:rStyle w:val="FootnoteReference"/>
        </w:rPr>
        <w:footnoteRef/>
      </w:r>
      <w:r w:rsidRPr="00B910F8">
        <w:t xml:space="preserve">A Criminal Justice Inspection NI (CJI) report (2018) has highlighted that </w:t>
      </w:r>
      <w:r>
        <w:t xml:space="preserve">outcome rates for sexual offences were low across the UK, but lowest in Northern Ireland. It shows differences in 2016-17 between the estimated overall outcome rates as calculated by CJI across Northern Ireland (rape 1.8% and other sexual offences 9.8%) and England and Wales (rape 3.3% and other sexual offences 13.4%). See CJI NI (2018), </w:t>
      </w:r>
      <w:hyperlink r:id="rId35" w:history="1">
        <w:r w:rsidRPr="004A7F33">
          <w:rPr>
            <w:rStyle w:val="Hyperlink"/>
          </w:rPr>
          <w:t>Without Witness: PPS: A Thematic Inspection of the handling of sexual violence and abuse cases by the Criminal Justice System in NI</w:t>
        </w:r>
      </w:hyperlink>
      <w:r>
        <w:t xml:space="preserve">. </w:t>
      </w:r>
    </w:p>
  </w:footnote>
  <w:footnote w:id="39">
    <w:p w14:paraId="262463C4" w14:textId="77777777" w:rsidR="00370D86" w:rsidRDefault="00370D86" w:rsidP="00E724C7">
      <w:pPr>
        <w:pStyle w:val="FootnoteText"/>
      </w:pPr>
      <w:r>
        <w:rPr>
          <w:rStyle w:val="FootnoteReference"/>
        </w:rPr>
        <w:footnoteRef/>
      </w:r>
      <w:r>
        <w:t xml:space="preserve"> By ratifying the Convention, the treaty’s obligations would become binding on the UK; including to exercise due diligence to prevent/protect against violence against women, to prosecute perpetrators and provide reparations for victims.</w:t>
      </w:r>
      <w:r w:rsidRPr="00CB06C3">
        <w:t xml:space="preserve"> </w:t>
      </w:r>
      <w:r>
        <w:t xml:space="preserve">See Joint Committee on Human Rights (2015) </w:t>
      </w:r>
      <w:hyperlink r:id="rId36" w:history="1">
        <w:r w:rsidRPr="00CB06C3">
          <w:rPr>
            <w:rStyle w:val="Hyperlink"/>
          </w:rPr>
          <w:t>Report on violence against women</w:t>
        </w:r>
      </w:hyperlink>
      <w:r>
        <w:t xml:space="preserve">. </w:t>
      </w:r>
    </w:p>
  </w:footnote>
  <w:footnote w:id="40">
    <w:p w14:paraId="5D141CB6" w14:textId="77777777" w:rsidR="00370D86" w:rsidRPr="00863777" w:rsidRDefault="00370D86" w:rsidP="00E724C7">
      <w:pPr>
        <w:pStyle w:val="FootnoteText"/>
      </w:pPr>
      <w:r>
        <w:rPr>
          <w:rStyle w:val="FootnoteReference"/>
          <w:rFonts w:eastAsiaTheme="minorEastAsia"/>
        </w:rPr>
        <w:footnoteRef/>
      </w:r>
      <w:r>
        <w:t xml:space="preserve"> See the Council of Europe’s </w:t>
      </w:r>
      <w:r w:rsidRPr="001E2E64">
        <w:rPr>
          <w:i/>
        </w:rPr>
        <w:t>Convention on preventing and combating violence against women and domestic violence</w:t>
      </w:r>
      <w:r w:rsidRPr="006769D9">
        <w:t xml:space="preserve"> </w:t>
      </w:r>
      <w:r>
        <w:t xml:space="preserve">(the </w:t>
      </w:r>
      <w:hyperlink r:id="rId37" w:history="1">
        <w:r w:rsidRPr="00CF55A2">
          <w:rPr>
            <w:rStyle w:val="Hyperlink"/>
            <w:i/>
          </w:rPr>
          <w:t>Istanbul Convention</w:t>
        </w:r>
      </w:hyperlink>
      <w:r>
        <w:rPr>
          <w:rStyle w:val="Hyperlink"/>
          <w:i/>
        </w:rPr>
        <w:t xml:space="preserve"> </w:t>
      </w:r>
      <w:r>
        <w:t xml:space="preserve"> </w:t>
      </w:r>
      <w:r w:rsidRPr="00F66218">
        <w:t>2014)</w:t>
      </w:r>
      <w:r>
        <w:t xml:space="preserve">. </w:t>
      </w:r>
    </w:p>
  </w:footnote>
  <w:footnote w:id="41">
    <w:p w14:paraId="679E4908" w14:textId="4A28CE71" w:rsidR="00370D86" w:rsidRPr="00590C0F" w:rsidRDefault="00370D86" w:rsidP="009F5928">
      <w:pPr>
        <w:pStyle w:val="FootnoteText"/>
      </w:pPr>
      <w:r>
        <w:rPr>
          <w:rStyle w:val="FootnoteReference"/>
          <w:rFonts w:eastAsiaTheme="minorEastAsia"/>
        </w:rPr>
        <w:footnoteRef/>
      </w:r>
      <w:r>
        <w:t xml:space="preserve"> The UK Government has indicated that these outstanding issues include in relation to </w:t>
      </w:r>
      <w:r w:rsidRPr="007F4962">
        <w:t>extra-territorial jurisdiction</w:t>
      </w:r>
      <w:r>
        <w:t xml:space="preserve"> (ETJ); namely the ability to prosecute certain offences that occur outside national borders, and there are some offences where ETJ does not apply, and this requires primary legislation across the UK. It has stated that the Devolved Administrations are considering what legislative or other changes are necessary for compliance with</w:t>
      </w:r>
      <w:r w:rsidRPr="009F5928">
        <w:t xml:space="preserve"> </w:t>
      </w:r>
      <w:r>
        <w:t xml:space="preserve">the Convention in their territories. See Home Office (2017) </w:t>
      </w:r>
      <w:hyperlink r:id="rId38" w:history="1">
        <w:r w:rsidRPr="00777577">
          <w:rPr>
            <w:rStyle w:val="Hyperlink"/>
            <w:i/>
          </w:rPr>
          <w:t>Ratification of the Istanbul Convention –Report on Progress</w:t>
        </w:r>
      </w:hyperlink>
      <w:r>
        <w:t xml:space="preserve">.  The UK Government’s 2018 report on progress refers to its intention to take forward a draft Domestic Abuse Bill. The Bill will contain </w:t>
      </w:r>
      <w:r w:rsidRPr="004C784A">
        <w:t xml:space="preserve">provisions on </w:t>
      </w:r>
      <w:r>
        <w:t xml:space="preserve">ETJ </w:t>
      </w:r>
      <w:r w:rsidRPr="004C784A">
        <w:t>over the specific offences necessarily for compliance with the Convention in England and Wales</w:t>
      </w:r>
      <w:r>
        <w:t xml:space="preserve"> only</w:t>
      </w:r>
      <w:r w:rsidRPr="004C784A">
        <w:t xml:space="preserve">. </w:t>
      </w:r>
      <w:r>
        <w:t xml:space="preserve">See Home Office (2018) </w:t>
      </w:r>
      <w:hyperlink r:id="rId39" w:history="1">
        <w:r w:rsidRPr="004C784A">
          <w:rPr>
            <w:rStyle w:val="Hyperlink"/>
            <w:i/>
          </w:rPr>
          <w:t>Ratification of the Istanbul Convention –Report on Progress</w:t>
        </w:r>
      </w:hyperlink>
      <w:r>
        <w:t>.</w:t>
      </w:r>
      <w:r w:rsidR="005A4AAC" w:rsidRPr="005A4AAC">
        <w:t xml:space="preserve"> </w:t>
      </w:r>
      <w:r w:rsidR="005A4AAC">
        <w:t xml:space="preserve">The UK Government indicated it will introduce ETJ </w:t>
      </w:r>
      <w:r w:rsidR="005A4AAC" w:rsidRPr="007F4962">
        <w:t xml:space="preserve">measures necessary for compliance </w:t>
      </w:r>
      <w:r w:rsidR="005A4AAC">
        <w:t xml:space="preserve">with the Convention </w:t>
      </w:r>
      <w:r w:rsidR="005A4AAC" w:rsidRPr="007F4962">
        <w:t>in England and Wales as part o</w:t>
      </w:r>
      <w:r w:rsidR="005A4AAC">
        <w:t xml:space="preserve">f the Domestic Abuse Bill and that it is </w:t>
      </w:r>
      <w:r w:rsidR="005A4AAC" w:rsidRPr="007F4962">
        <w:t>engaging with the Devolved Administrations on the measures necessary to ensure compliance in Northern Ireland</w:t>
      </w:r>
      <w:r w:rsidR="005A4AAC">
        <w:t xml:space="preserve"> (and </w:t>
      </w:r>
      <w:r w:rsidR="005A4AAC" w:rsidRPr="007F4962">
        <w:t>Scotland</w:t>
      </w:r>
      <w:r w:rsidR="005A4AAC">
        <w:t>)</w:t>
      </w:r>
      <w:r w:rsidR="005A4AAC" w:rsidRPr="007F4962">
        <w:t>.</w:t>
      </w:r>
      <w:r w:rsidR="005A4AAC" w:rsidRPr="002E16CC">
        <w:t xml:space="preserve"> </w:t>
      </w:r>
      <w:r w:rsidR="005A4AAC">
        <w:t xml:space="preserve">See UK (2017), </w:t>
      </w:r>
      <w:hyperlink r:id="rId40" w:history="1">
        <w:r w:rsidR="005A4AAC" w:rsidRPr="00EE6794">
          <w:rPr>
            <w:rStyle w:val="Hyperlink"/>
          </w:rPr>
          <w:t>8</w:t>
        </w:r>
        <w:r w:rsidR="005A4AAC" w:rsidRPr="00EE6794">
          <w:rPr>
            <w:rStyle w:val="Hyperlink"/>
            <w:vertAlign w:val="superscript"/>
          </w:rPr>
          <w:t>th</w:t>
        </w:r>
        <w:r w:rsidR="005A4AAC" w:rsidRPr="00EE6794">
          <w:rPr>
            <w:rStyle w:val="Hyperlink"/>
          </w:rPr>
          <w:t xml:space="preserve"> Periodic report on CEDAW</w:t>
        </w:r>
      </w:hyperlink>
      <w:r w:rsidR="005A4AAC">
        <w:rPr>
          <w:rStyle w:val="Hyperlink"/>
        </w:rPr>
        <w:t>.</w:t>
      </w:r>
    </w:p>
  </w:footnote>
  <w:footnote w:id="42">
    <w:p w14:paraId="3EEA9174" w14:textId="329E0A24" w:rsidR="00370D86" w:rsidRDefault="00370D86" w:rsidP="00F15CAD">
      <w:pPr>
        <w:pStyle w:val="FootnoteText"/>
      </w:pPr>
      <w:r>
        <w:rPr>
          <w:rStyle w:val="FootnoteReference"/>
        </w:rPr>
        <w:footnoteRef/>
      </w:r>
      <w:r>
        <w:t xml:space="preserve"> See ECNI (2018) </w:t>
      </w:r>
      <w:hyperlink r:id="rId41" w:history="1">
        <w:r w:rsidRPr="00521922">
          <w:rPr>
            <w:rStyle w:val="Hyperlink"/>
            <w:i/>
          </w:rPr>
          <w:t>Statement on</w:t>
        </w:r>
        <w:r w:rsidRPr="00521922">
          <w:rPr>
            <w:rStyle w:val="Hyperlink"/>
          </w:rPr>
          <w:t xml:space="preserve"> </w:t>
        </w:r>
        <w:r w:rsidRPr="00521922">
          <w:rPr>
            <w:rStyle w:val="Hyperlink"/>
            <w:i/>
          </w:rPr>
          <w:t>Key Inequalities in Employment</w:t>
        </w:r>
      </w:hyperlink>
      <w:r w:rsidRPr="007E4241">
        <w:rPr>
          <w:i/>
        </w:rPr>
        <w:t xml:space="preserve"> </w:t>
      </w:r>
      <w:r>
        <w:rPr>
          <w:i/>
        </w:rPr>
        <w:t>.</w:t>
      </w:r>
      <w:r w:rsidR="00742BC6" w:rsidRPr="00742BC6">
        <w:t xml:space="preserve"> </w:t>
      </w:r>
      <w:r w:rsidR="00742BC6">
        <w:t xml:space="preserve">There is currently no commitment by Government to bring forward a Sexual Orientation Strategy/action plan. The </w:t>
      </w:r>
      <w:hyperlink r:id="rId42" w:history="1">
        <w:r w:rsidR="00742BC6" w:rsidRPr="00E4644C">
          <w:rPr>
            <w:rStyle w:val="Hyperlink"/>
            <w:i/>
          </w:rPr>
          <w:t>Gender Equality Strategy 2006-2016 Review</w:t>
        </w:r>
      </w:hyperlink>
      <w:r w:rsidR="00742BC6">
        <w:t xml:space="preserve"> (2013) identified the need for actions to promote transgender equality.</w:t>
      </w:r>
    </w:p>
  </w:footnote>
  <w:footnote w:id="43">
    <w:p w14:paraId="5A1F3D25" w14:textId="2208C33F" w:rsidR="00370D86" w:rsidRPr="00B74106" w:rsidRDefault="00370D86" w:rsidP="002E7FCF">
      <w:pPr>
        <w:pStyle w:val="FootnoteText"/>
      </w:pPr>
      <w:r>
        <w:rPr>
          <w:rStyle w:val="FootnoteReference"/>
          <w:rFonts w:eastAsiaTheme="minorEastAsia"/>
        </w:rPr>
        <w:footnoteRef/>
      </w:r>
      <w:r>
        <w:t xml:space="preserve"> </w:t>
      </w:r>
      <w:r w:rsidRPr="00474F30">
        <w:t>EC</w:t>
      </w:r>
      <w:r>
        <w:t>NI</w:t>
      </w:r>
      <w:r w:rsidRPr="00474F30">
        <w:t xml:space="preserve"> has highlighted that gender stereotyping of subject choice at A Level may be a contributory factor in the gender imbalance in higher education where females have a lower share of enr</w:t>
      </w:r>
      <w:r>
        <w:t>olees in the STEM subject areas</w:t>
      </w:r>
      <w:r w:rsidRPr="00474F30">
        <w:t xml:space="preserve">. </w:t>
      </w:r>
      <w:r>
        <w:t xml:space="preserve">See ECNI (2017) </w:t>
      </w:r>
      <w:hyperlink r:id="rId43" w:history="1">
        <w:r w:rsidRPr="00B25FA0">
          <w:rPr>
            <w:rStyle w:val="Hyperlink"/>
            <w:i/>
          </w:rPr>
          <w:t>Statement on</w:t>
        </w:r>
        <w:r w:rsidRPr="00B25FA0">
          <w:rPr>
            <w:rStyle w:val="Hyperlink"/>
          </w:rPr>
          <w:t xml:space="preserve"> </w:t>
        </w:r>
        <w:r w:rsidRPr="00B25FA0">
          <w:rPr>
            <w:rStyle w:val="Hyperlink"/>
            <w:i/>
          </w:rPr>
          <w:t>Key Inequalities in Education</w:t>
        </w:r>
      </w:hyperlink>
      <w:r>
        <w:t>, at p13. T</w:t>
      </w:r>
      <w:r w:rsidRPr="00F664AA">
        <w:t xml:space="preserve">he female share for a combined STEM category </w:t>
      </w:r>
      <w:r>
        <w:t xml:space="preserve">of </w:t>
      </w:r>
      <w:r w:rsidRPr="00F664AA">
        <w:t>subject</w:t>
      </w:r>
      <w:r>
        <w:t>s</w:t>
      </w:r>
      <w:r w:rsidRPr="00F664AA">
        <w:t xml:space="preserve"> aligned to Maths, Information Technology, Engineering and Technology was </w:t>
      </w:r>
      <w:r>
        <w:t>38.4%</w:t>
      </w:r>
      <w:r w:rsidRPr="00F664AA">
        <w:t xml:space="preserve"> for examination </w:t>
      </w:r>
      <w:r>
        <w:t xml:space="preserve">entries at ‘A’ Level in 2016/17. Figures based on ECNI analyses of data from the Department for Education of </w:t>
      </w:r>
      <w:r w:rsidRPr="00F664AA">
        <w:t>A-Level STEM subject examination entries by p</w:t>
      </w:r>
      <w:r>
        <w:t>upil gender, 2016/17</w:t>
      </w:r>
      <w:r w:rsidRPr="00F664AA">
        <w:t>.</w:t>
      </w:r>
    </w:p>
  </w:footnote>
  <w:footnote w:id="44">
    <w:p w14:paraId="70CC89D8" w14:textId="291D2FCB" w:rsidR="00370D86" w:rsidRPr="009F6D3D" w:rsidRDefault="00370D86" w:rsidP="002E7FCF">
      <w:pPr>
        <w:pStyle w:val="FootnoteText"/>
      </w:pPr>
      <w:r>
        <w:rPr>
          <w:rStyle w:val="FootnoteReference"/>
          <w:rFonts w:eastAsiaTheme="minorEastAsia"/>
        </w:rPr>
        <w:footnoteRef/>
      </w:r>
      <w:r>
        <w:t xml:space="preserve"> A review</w:t>
      </w:r>
      <w:r w:rsidRPr="009F6D3D">
        <w:t xml:space="preserve"> by the Advertising Standards Authority (ASA) </w:t>
      </w:r>
      <w:r>
        <w:t>highlighted the case for stronger regulation of adverts</w:t>
      </w:r>
      <w:r w:rsidRPr="004435C2">
        <w:t xml:space="preserve"> that feature certain kinds of gender stereotypical roles</w:t>
      </w:r>
      <w:r>
        <w:t xml:space="preserve">. </w:t>
      </w:r>
      <w:r w:rsidRPr="009F6D3D">
        <w:t xml:space="preserve">See ASA (2017) </w:t>
      </w:r>
      <w:r w:rsidRPr="00A65908">
        <w:rPr>
          <w:rStyle w:val="Hyperlink"/>
          <w:i/>
        </w:rPr>
        <w:t>Depictions, Perceptions and Harm, A report on gender stereotypes in advertising</w:t>
      </w:r>
      <w:r>
        <w:rPr>
          <w:rStyle w:val="Hyperlink"/>
        </w:rPr>
        <w:t>.</w:t>
      </w:r>
      <w:r w:rsidRPr="00F15CAD">
        <w:t xml:space="preserve"> The UK Government has indicated its intention, in its replies to the LOI, to progress work to tackle harmful gender stereotypes in advertising with industry following the consultation by the Committees of Advertising Practice (CAP) and Broadcast Committee of Advertising Practice (BCAP) on proposals for a new rule to tackle harmful gender stereotypes.</w:t>
      </w:r>
    </w:p>
  </w:footnote>
  <w:footnote w:id="45">
    <w:p w14:paraId="2DB96198" w14:textId="13E1442D" w:rsidR="00370D86" w:rsidRPr="003D0743" w:rsidRDefault="00370D86" w:rsidP="00A65908">
      <w:pPr>
        <w:pStyle w:val="FootnoteText"/>
      </w:pPr>
      <w:r>
        <w:rPr>
          <w:rStyle w:val="FootnoteReference"/>
          <w:rFonts w:eastAsiaTheme="minorEastAsia"/>
        </w:rPr>
        <w:footnoteRef/>
      </w:r>
      <w:r>
        <w:t xml:space="preserve"> </w:t>
      </w:r>
      <w:r w:rsidRPr="00F158B6">
        <w:t xml:space="preserve">See </w:t>
      </w:r>
      <w:hyperlink r:id="rId44" w:history="1">
        <w:r w:rsidRPr="00FD5C47">
          <w:rPr>
            <w:rStyle w:val="Hyperlink"/>
          </w:rPr>
          <w:t>STEM Business Group (2013) Addressing Gender Imbalance Reaping the Gender Dividend in STEM</w:t>
        </w:r>
      </w:hyperlink>
      <w:r>
        <w:rPr>
          <w:rStyle w:val="Hyperlink"/>
        </w:rPr>
        <w:t>.</w:t>
      </w:r>
      <w:r w:rsidRPr="00A65908">
        <w:t xml:space="preserve"> Women in Northern Ireland experience both industrial and occupational segregation and are more likely to be in part-time employment where they are at risk of low pay and precarious employment</w:t>
      </w:r>
      <w:r>
        <w:t>.</w:t>
      </w:r>
      <w:r w:rsidRPr="00A65908">
        <w:t xml:space="preserve"> </w:t>
      </w:r>
      <w:r>
        <w:t xml:space="preserve">See ECNI (2018) </w:t>
      </w:r>
      <w:hyperlink r:id="rId45" w:history="1">
        <w:r w:rsidRPr="00521922">
          <w:rPr>
            <w:rStyle w:val="Hyperlink"/>
            <w:i/>
          </w:rPr>
          <w:t>Statement on</w:t>
        </w:r>
        <w:r w:rsidRPr="00521922">
          <w:rPr>
            <w:rStyle w:val="Hyperlink"/>
          </w:rPr>
          <w:t xml:space="preserve"> </w:t>
        </w:r>
        <w:r w:rsidRPr="00521922">
          <w:rPr>
            <w:rStyle w:val="Hyperlink"/>
            <w:i/>
          </w:rPr>
          <w:t>Key Inequalities in Employment</w:t>
        </w:r>
      </w:hyperlink>
      <w:r w:rsidRPr="007E4241">
        <w:rPr>
          <w:i/>
        </w:rPr>
        <w:t xml:space="preserve"> </w:t>
      </w:r>
      <w:r>
        <w:t xml:space="preserve"> </w:t>
      </w:r>
      <w:r>
        <w:rPr>
          <w:rStyle w:val="Hyperlink"/>
        </w:rPr>
        <w:t xml:space="preserve"> </w:t>
      </w:r>
      <w:r w:rsidRPr="00F158B6">
        <w:t xml:space="preserve"> </w:t>
      </w:r>
    </w:p>
  </w:footnote>
  <w:footnote w:id="46">
    <w:p w14:paraId="624F7215" w14:textId="77777777" w:rsidR="00370D86" w:rsidRPr="00EF5DA0" w:rsidRDefault="00370D86" w:rsidP="00EF5DA0">
      <w:pPr>
        <w:pStyle w:val="FootnoteText"/>
      </w:pPr>
      <w:r>
        <w:rPr>
          <w:rStyle w:val="FootnoteReference"/>
          <w:rFonts w:eastAsiaTheme="minorEastAsia"/>
        </w:rPr>
        <w:footnoteRef/>
      </w:r>
      <w:r>
        <w:t xml:space="preserve"> UN </w:t>
      </w:r>
      <w:r w:rsidRPr="00EF5DA0">
        <w:t>CEDAW Committee</w:t>
      </w:r>
      <w:r>
        <w:t xml:space="preserve"> (2018) </w:t>
      </w:r>
      <w:r>
        <w:rPr>
          <w:rStyle w:val="Hyperlink"/>
          <w:i/>
        </w:rPr>
        <w:t xml:space="preserve"> </w:t>
      </w:r>
      <w:hyperlink r:id="rId46" w:history="1">
        <w:r w:rsidRPr="00F3625B">
          <w:rPr>
            <w:rStyle w:val="Hyperlink"/>
            <w:i/>
          </w:rPr>
          <w:t>Inquiry report on UK under Art 8 of Optional Protocol CEDAW into abortion in Northern Ireland</w:t>
        </w:r>
      </w:hyperlink>
      <w:r w:rsidRPr="00EF5DA0">
        <w:t xml:space="preserve"> </w:t>
      </w:r>
    </w:p>
  </w:footnote>
  <w:footnote w:id="47">
    <w:p w14:paraId="1CD88964" w14:textId="77777777" w:rsidR="00370D86" w:rsidRDefault="00370D86">
      <w:pPr>
        <w:pStyle w:val="FootnoteText"/>
      </w:pPr>
      <w:r>
        <w:rPr>
          <w:rStyle w:val="FootnoteReference"/>
        </w:rPr>
        <w:footnoteRef/>
      </w:r>
      <w:r>
        <w:t xml:space="preserve"> A review</w:t>
      </w:r>
      <w:r w:rsidRPr="009F6D3D">
        <w:t xml:space="preserve"> by the Advertising Standards Authority (ASA) </w:t>
      </w:r>
      <w:r>
        <w:t xml:space="preserve">has indicated that women are </w:t>
      </w:r>
      <w:r w:rsidRPr="002658BD">
        <w:t xml:space="preserve">presented as passive </w:t>
      </w:r>
      <w:r>
        <w:t>and are often sexualised in adverts.</w:t>
      </w:r>
      <w:r w:rsidRPr="009F6D3D">
        <w:t xml:space="preserve"> See ASA (2017) </w:t>
      </w:r>
      <w:hyperlink r:id="rId47" w:history="1">
        <w:r w:rsidRPr="00EE4768">
          <w:rPr>
            <w:rStyle w:val="Hyperlink"/>
            <w:i/>
          </w:rPr>
          <w:t>Depictions, Perceptions and Harm, A report on gender stereotypes in advertising</w:t>
        </w:r>
        <w:r w:rsidRPr="00EE4768">
          <w:rPr>
            <w:rStyle w:val="Hyperlink"/>
          </w:rPr>
          <w:t xml:space="preserve"> </w:t>
        </w:r>
      </w:hyperlink>
    </w:p>
  </w:footnote>
  <w:footnote w:id="48">
    <w:p w14:paraId="3A1B7B2C" w14:textId="5503D14C" w:rsidR="00370D86" w:rsidRDefault="00370D86" w:rsidP="002E7FCF">
      <w:pPr>
        <w:pStyle w:val="FootnoteText"/>
      </w:pPr>
      <w:r w:rsidRPr="00F61AD6">
        <w:rPr>
          <w:rStyle w:val="FootnoteReference"/>
          <w:rFonts w:eastAsiaTheme="minorEastAsia"/>
        </w:rPr>
        <w:footnoteRef/>
      </w:r>
      <w:r w:rsidRPr="00F61AD6">
        <w:t xml:space="preserve"> </w:t>
      </w:r>
      <w:r>
        <w:t xml:space="preserve"> </w:t>
      </w:r>
      <w:r w:rsidRPr="00AF7217">
        <w:rPr>
          <w:rFonts w:cs="Arial"/>
        </w:rPr>
        <w:t xml:space="preserve">Leveson (2012) </w:t>
      </w:r>
      <w:hyperlink r:id="rId48" w:history="1">
        <w:r w:rsidRPr="00AF7217">
          <w:rPr>
            <w:rStyle w:val="Hyperlink"/>
            <w:rFonts w:cs="Arial"/>
            <w:i/>
          </w:rPr>
          <w:t>Inquiry Report</w:t>
        </w:r>
      </w:hyperlink>
      <w:r w:rsidRPr="00AF7217">
        <w:rPr>
          <w:rFonts w:cs="Arial"/>
          <w:i/>
        </w:rPr>
        <w:t xml:space="preserve"> </w:t>
      </w:r>
      <w:r>
        <w:rPr>
          <w:rFonts w:cs="Arial"/>
        </w:rPr>
        <w:t>at p664</w:t>
      </w:r>
      <w:r>
        <w:t>.</w:t>
      </w:r>
    </w:p>
  </w:footnote>
  <w:footnote w:id="49">
    <w:p w14:paraId="4B512984" w14:textId="4E20B3E1" w:rsidR="00370D86" w:rsidRPr="00F158B6" w:rsidRDefault="00370D86" w:rsidP="002E7FCF">
      <w:pPr>
        <w:pStyle w:val="FootnoteText"/>
      </w:pPr>
      <w:r w:rsidRPr="00F158B6">
        <w:rPr>
          <w:rStyle w:val="FootnoteReference"/>
          <w:rFonts w:eastAsiaTheme="minorEastAsia"/>
        </w:rPr>
        <w:footnoteRef/>
      </w:r>
      <w:r>
        <w:t xml:space="preserve"> See Bailey, R (2011)</w:t>
      </w:r>
      <w:r w:rsidRPr="00F158B6">
        <w:t xml:space="preserve"> </w:t>
      </w:r>
      <w:hyperlink r:id="rId49" w:history="1">
        <w:r w:rsidRPr="00F158B6">
          <w:rPr>
            <w:rStyle w:val="Hyperlink"/>
            <w:i/>
          </w:rPr>
          <w:t>Letting Children be Children, Report of an Independent Review of the Commercialisation and sexualisation of childhood</w:t>
        </w:r>
      </w:hyperlink>
      <w:r w:rsidRPr="00F158B6">
        <w:t xml:space="preserve"> </w:t>
      </w:r>
      <w:r>
        <w:t xml:space="preserve">, and UK Government progress report, Department for Education (2013) </w:t>
      </w:r>
      <w:hyperlink r:id="rId50" w:history="1">
        <w:r w:rsidRPr="00F15CAD">
          <w:rPr>
            <w:rStyle w:val="Hyperlink"/>
            <w:i/>
          </w:rPr>
          <w:t>Letting Children be Children: Progress Report</w:t>
        </w:r>
      </w:hyperlink>
      <w:r>
        <w:t>.</w:t>
      </w:r>
    </w:p>
  </w:footnote>
  <w:footnote w:id="50">
    <w:p w14:paraId="03B28154" w14:textId="77777777" w:rsidR="00370D86" w:rsidRPr="00C6669A" w:rsidRDefault="00370D86" w:rsidP="007355F1">
      <w:pPr>
        <w:pStyle w:val="FootnoteText"/>
        <w:rPr>
          <w:rFonts w:cs="Arial"/>
        </w:rPr>
      </w:pPr>
      <w:r>
        <w:rPr>
          <w:rStyle w:val="FootnoteReference"/>
          <w:rFonts w:eastAsiaTheme="minorEastAsia"/>
        </w:rPr>
        <w:footnoteRef/>
      </w:r>
      <w:r>
        <w:t xml:space="preserve"> For example, w</w:t>
      </w:r>
      <w:r w:rsidRPr="005D3DA6">
        <w:t>hilst the recent increase in female representation in the Northern Ire</w:t>
      </w:r>
      <w:r>
        <w:t>land Assembly is to be welcomed</w:t>
      </w:r>
      <w:r w:rsidRPr="005D3DA6">
        <w:t>, the Northern Ireland Assembly still has the lowest female representation (30%) when compared with other devolved leg</w:t>
      </w:r>
      <w:r>
        <w:t>islatures in the UK</w:t>
      </w:r>
      <w:r w:rsidRPr="005D3DA6">
        <w:t>.</w:t>
      </w:r>
      <w:r w:rsidRPr="001A25A4">
        <w:t xml:space="preserve"> </w:t>
      </w:r>
      <w:r>
        <w:t>The percentage of female MPs is 22% of all NI MPs and 25% of councillors are women.</w:t>
      </w:r>
    </w:p>
  </w:footnote>
  <w:footnote w:id="51">
    <w:p w14:paraId="20E50F3F" w14:textId="77777777" w:rsidR="00370D86" w:rsidRPr="003734CF" w:rsidRDefault="00370D86" w:rsidP="00B072C2">
      <w:pPr>
        <w:pStyle w:val="FootnoteText"/>
      </w:pPr>
      <w:r w:rsidRPr="00EB3B9B">
        <w:rPr>
          <w:rStyle w:val="FootnoteReference"/>
          <w:rFonts w:eastAsiaTheme="minorEastAsia"/>
        </w:rPr>
        <w:footnoteRef/>
      </w:r>
      <w:r w:rsidRPr="004F5D65">
        <w:t xml:space="preserve"> A study of the boards of the top 100 priva</w:t>
      </w:r>
      <w:r>
        <w:t xml:space="preserve">te companies in NI </w:t>
      </w:r>
      <w:r w:rsidRPr="004F5D65">
        <w:t xml:space="preserve">has indicated that only 15.4% of board members are women. RaISe (2015) </w:t>
      </w:r>
      <w:hyperlink r:id="rId51" w:history="1">
        <w:r w:rsidRPr="007E5F31">
          <w:rPr>
            <w:rStyle w:val="Hyperlink"/>
            <w:i/>
          </w:rPr>
          <w:t>Women on Boards of the top 100 compa</w:t>
        </w:r>
        <w:r>
          <w:rPr>
            <w:rStyle w:val="Hyperlink"/>
            <w:i/>
          </w:rPr>
          <w:t>ni</w:t>
        </w:r>
        <w:r w:rsidRPr="007E5F31">
          <w:rPr>
            <w:rStyle w:val="Hyperlink"/>
            <w:i/>
          </w:rPr>
          <w:t>es in Northern Ireland</w:t>
        </w:r>
      </w:hyperlink>
      <w:r>
        <w:t>.</w:t>
      </w:r>
    </w:p>
  </w:footnote>
  <w:footnote w:id="52">
    <w:p w14:paraId="1A1FF636" w14:textId="66B4D2AA" w:rsidR="00370D86" w:rsidRDefault="00370D86" w:rsidP="006E79A6">
      <w:pPr>
        <w:pStyle w:val="FootnoteText"/>
      </w:pPr>
      <w:r>
        <w:rPr>
          <w:rStyle w:val="FootnoteReference"/>
        </w:rPr>
        <w:footnoteRef/>
      </w:r>
      <w:r>
        <w:t xml:space="preserve"> </w:t>
      </w:r>
      <w:r w:rsidRPr="001A25A4">
        <w:t>In</w:t>
      </w:r>
      <w:r>
        <w:t xml:space="preserve"> 2016/17 women were under represented within government public appointments as regards applications received, appointments made and appointments held. For example, as at March 2017,</w:t>
      </w:r>
      <w:r w:rsidRPr="001A25A4">
        <w:t xml:space="preserve"> 41% of </w:t>
      </w:r>
      <w:r>
        <w:t xml:space="preserve">all </w:t>
      </w:r>
      <w:r w:rsidRPr="001A25A4">
        <w:t xml:space="preserve">public appointments </w:t>
      </w:r>
      <w:r>
        <w:t>were female (t</w:t>
      </w:r>
      <w:r w:rsidRPr="001A25A4">
        <w:t>his compares with 34% in 2010</w:t>
      </w:r>
      <w:r>
        <w:t>), and</w:t>
      </w:r>
      <w:r w:rsidRPr="001A25A4">
        <w:t xml:space="preserve"> 2</w:t>
      </w:r>
      <w:r>
        <w:t>8</w:t>
      </w:r>
      <w:r w:rsidRPr="001A25A4">
        <w:t>% of chair posts were held by women.</w:t>
      </w:r>
      <w:r w:rsidRPr="00EA7104">
        <w:t xml:space="preserve"> </w:t>
      </w:r>
      <w:r w:rsidRPr="00C6669A">
        <w:t>In terms of remuneration</w:t>
      </w:r>
      <w:r>
        <w:t xml:space="preserve">, women </w:t>
      </w:r>
      <w:r w:rsidRPr="00EA7104">
        <w:t>are proportionally over-represented in unpaid public appointments, and under-represented in public appointments which pay £5,000 or more per year.</w:t>
      </w:r>
      <w:r>
        <w:t xml:space="preserve">  See The Executive Office/NISRA (2018) </w:t>
      </w:r>
      <w:hyperlink r:id="rId52" w:history="1">
        <w:r w:rsidRPr="00D42EB5">
          <w:rPr>
            <w:rStyle w:val="Hyperlink"/>
            <w:i/>
          </w:rPr>
          <w:t>Public Appointments: Annual Report for Northern Ireland, 2016/17</w:t>
        </w:r>
      </w:hyperlink>
      <w:r>
        <w:t xml:space="preserve">. </w:t>
      </w:r>
      <w:r w:rsidRPr="00C6669A">
        <w:t xml:space="preserve"> </w:t>
      </w:r>
      <w:r>
        <w:t xml:space="preserve"> </w:t>
      </w:r>
    </w:p>
  </w:footnote>
  <w:footnote w:id="53">
    <w:p w14:paraId="0E8696C4" w14:textId="77777777" w:rsidR="00370D86" w:rsidRPr="0032402D" w:rsidRDefault="00370D86" w:rsidP="007355F1">
      <w:pPr>
        <w:pStyle w:val="FootnoteText"/>
      </w:pPr>
      <w:r>
        <w:rPr>
          <w:rStyle w:val="FootnoteReference"/>
          <w:rFonts w:eastAsiaTheme="minorEastAsia"/>
        </w:rPr>
        <w:footnoteRef/>
      </w:r>
      <w:r>
        <w:t xml:space="preserve"> </w:t>
      </w:r>
      <w:r w:rsidRPr="00C52175">
        <w:t xml:space="preserve">Commissioner for Public Appointments </w:t>
      </w:r>
      <w:r>
        <w:t>(</w:t>
      </w:r>
      <w:r w:rsidRPr="00C52175">
        <w:t>2014</w:t>
      </w:r>
      <w:r>
        <w:t xml:space="preserve">) </w:t>
      </w:r>
      <w:hyperlink r:id="rId53" w:history="1">
        <w:r>
          <w:rPr>
            <w:rStyle w:val="Hyperlink"/>
            <w:i/>
          </w:rPr>
          <w:t>Under</w:t>
        </w:r>
        <w:r w:rsidRPr="0005677B">
          <w:rPr>
            <w:rStyle w:val="Hyperlink"/>
            <w:i/>
          </w:rPr>
          <w:t>representation and lack of diversity in public appointments in Northern Ireland</w:t>
        </w:r>
      </w:hyperlink>
      <w:r w:rsidRPr="0005677B">
        <w:rPr>
          <w:i/>
        </w:rPr>
        <w:t xml:space="preserve"> </w:t>
      </w:r>
      <w:r>
        <w:t>.</w:t>
      </w:r>
      <w:r w:rsidRPr="00C52175">
        <w:t xml:space="preserve"> </w:t>
      </w:r>
    </w:p>
  </w:footnote>
  <w:footnote w:id="54">
    <w:p w14:paraId="5C529D7D" w14:textId="48D88D13" w:rsidR="00370D86" w:rsidRPr="008D4050" w:rsidRDefault="00370D86" w:rsidP="00D56F3F">
      <w:pPr>
        <w:pStyle w:val="FootnoteText"/>
      </w:pPr>
      <w:r>
        <w:rPr>
          <w:rStyle w:val="FootnoteReference"/>
          <w:rFonts w:eastAsiaTheme="minorEastAsia"/>
        </w:rPr>
        <w:footnoteRef/>
      </w:r>
      <w:r>
        <w:t xml:space="preserve"> T</w:t>
      </w:r>
      <w:r w:rsidRPr="008D4050">
        <w:t>he</w:t>
      </w:r>
      <w:r>
        <w:t xml:space="preserve"> </w:t>
      </w:r>
      <w:hyperlink r:id="rId54" w:history="1">
        <w:r w:rsidRPr="00CC4FDC">
          <w:rPr>
            <w:rStyle w:val="Hyperlink"/>
          </w:rPr>
          <w:t>Belfast / Good Friday Agreement</w:t>
        </w:r>
      </w:hyperlink>
      <w:r>
        <w:rPr>
          <w:rStyle w:val="Hyperlink"/>
        </w:rPr>
        <w:t xml:space="preserve"> </w:t>
      </w:r>
      <w:r>
        <w:t xml:space="preserve">April 1998 </w:t>
      </w:r>
    </w:p>
  </w:footnote>
  <w:footnote w:id="55">
    <w:p w14:paraId="6870BEC4" w14:textId="77777777" w:rsidR="00370D86" w:rsidRPr="00EB5AC6" w:rsidRDefault="00370D86" w:rsidP="007355F1">
      <w:pPr>
        <w:pStyle w:val="FootnoteText"/>
      </w:pPr>
      <w:r>
        <w:rPr>
          <w:rStyle w:val="FootnoteReference"/>
          <w:rFonts w:eastAsiaTheme="minorEastAsia"/>
        </w:rPr>
        <w:footnoteRef/>
      </w:r>
      <w:r>
        <w:t xml:space="preserve"> In particular, that by 2017/18 there should gender equality for appointments made in-year; and by end- year 2020/21 there should be gender equality for all appointees in post, reflected both in board membership and at chair level. As cited in CPANI (2016) </w:t>
      </w:r>
      <w:hyperlink r:id="rId55" w:history="1">
        <w:r w:rsidRPr="007A0C46">
          <w:rPr>
            <w:rStyle w:val="Hyperlink"/>
            <w:i/>
          </w:rPr>
          <w:t>Annual Report 2015/16</w:t>
        </w:r>
      </w:hyperlink>
      <w:r>
        <w:t xml:space="preserve"> p8.</w:t>
      </w:r>
    </w:p>
  </w:footnote>
  <w:footnote w:id="56">
    <w:p w14:paraId="485356CB" w14:textId="77777777" w:rsidR="00370D86" w:rsidRPr="001F7202" w:rsidRDefault="00370D86" w:rsidP="007355F1">
      <w:pPr>
        <w:pStyle w:val="FootnoteText"/>
      </w:pPr>
      <w:r>
        <w:rPr>
          <w:rStyle w:val="FootnoteReference"/>
          <w:rFonts w:eastAsiaTheme="minorEastAsia"/>
        </w:rPr>
        <w:footnoteRef/>
      </w:r>
      <w:r>
        <w:t xml:space="preserve"> See ECNI (2018) </w:t>
      </w:r>
      <w:hyperlink r:id="rId56" w:history="1">
        <w:r w:rsidRPr="00641FB3">
          <w:rPr>
            <w:rStyle w:val="Hyperlink"/>
            <w:i/>
          </w:rPr>
          <w:t>Statement on Key Inequalities in Participation in Public Life</w:t>
        </w:r>
      </w:hyperlink>
      <w:r>
        <w:rPr>
          <w:i/>
        </w:rPr>
        <w:t xml:space="preserve"> </w:t>
      </w:r>
      <w:r w:rsidRPr="00B71CA7">
        <w:rPr>
          <w:i/>
        </w:rPr>
        <w:t xml:space="preserve">.   </w:t>
      </w:r>
      <w:r w:rsidRPr="00C25B97">
        <w:t xml:space="preserve"> </w:t>
      </w:r>
    </w:p>
  </w:footnote>
  <w:footnote w:id="57">
    <w:p w14:paraId="403591AC" w14:textId="77777777" w:rsidR="00370D86" w:rsidRDefault="00370D86" w:rsidP="007355F1">
      <w:pPr>
        <w:pStyle w:val="FootnoteText"/>
      </w:pPr>
      <w:r>
        <w:rPr>
          <w:rStyle w:val="FootnoteReference"/>
        </w:rPr>
        <w:footnoteRef/>
      </w:r>
      <w:r>
        <w:t xml:space="preserve"> The Assembly and Executive Review Committee, (2015), </w:t>
      </w:r>
      <w:hyperlink r:id="rId57" w:history="1">
        <w:r w:rsidRPr="00383E3C">
          <w:rPr>
            <w:rStyle w:val="Hyperlink"/>
          </w:rPr>
          <w:t>Report on Women in Politics and the Northern Ireland Assembly</w:t>
        </w:r>
      </w:hyperlink>
      <w:r>
        <w:t xml:space="preserve"> at page 1.</w:t>
      </w:r>
    </w:p>
  </w:footnote>
  <w:footnote w:id="58">
    <w:p w14:paraId="1245291C" w14:textId="14837138" w:rsidR="00370D86" w:rsidRDefault="00370D86">
      <w:pPr>
        <w:pStyle w:val="FootnoteText"/>
      </w:pPr>
      <w:r>
        <w:rPr>
          <w:rStyle w:val="FootnoteReference"/>
        </w:rPr>
        <w:footnoteRef/>
      </w:r>
      <w:r>
        <w:t xml:space="preserve"> </w:t>
      </w:r>
      <w:r w:rsidRPr="006E33EF">
        <w:t xml:space="preserve">Temporary special measures (all women shortlists) allowed under the Sex Discrimination (Election Candidates) Act 2002 have not as yet been used in Northern Ireland.  </w:t>
      </w:r>
    </w:p>
  </w:footnote>
  <w:footnote w:id="59">
    <w:p w14:paraId="589E5F17" w14:textId="77777777" w:rsidR="00370D86" w:rsidRPr="001F7202" w:rsidRDefault="00370D86" w:rsidP="007970FA">
      <w:pPr>
        <w:pStyle w:val="FootnoteText"/>
      </w:pPr>
      <w:r>
        <w:rPr>
          <w:rStyle w:val="FootnoteReference"/>
          <w:rFonts w:eastAsiaTheme="minorEastAsia"/>
        </w:rPr>
        <w:footnoteRef/>
      </w:r>
      <w:r>
        <w:t xml:space="preserve"> See ECNI (2018) </w:t>
      </w:r>
      <w:hyperlink r:id="rId58" w:history="1">
        <w:r w:rsidRPr="00641FB3">
          <w:rPr>
            <w:rStyle w:val="Hyperlink"/>
            <w:i/>
          </w:rPr>
          <w:t>Statement on Key Inequalities in Participation in Public Life</w:t>
        </w:r>
      </w:hyperlink>
      <w:r>
        <w:rPr>
          <w:i/>
        </w:rPr>
        <w:t xml:space="preserve"> </w:t>
      </w:r>
      <w:r w:rsidRPr="00B71CA7">
        <w:rPr>
          <w:i/>
        </w:rPr>
        <w:t xml:space="preserve">.   </w:t>
      </w:r>
      <w:r w:rsidRPr="00C25B97">
        <w:t xml:space="preserve"> </w:t>
      </w:r>
    </w:p>
  </w:footnote>
  <w:footnote w:id="60">
    <w:p w14:paraId="4EB2E3A6" w14:textId="77777777" w:rsidR="00370D86" w:rsidRPr="00B71CA7" w:rsidRDefault="00370D86" w:rsidP="00D56F3F">
      <w:pPr>
        <w:pStyle w:val="FootnoteText"/>
        <w:rPr>
          <w:i/>
          <w:color w:val="0563C1" w:themeColor="hyperlink"/>
          <w:u w:val="single"/>
        </w:rPr>
      </w:pPr>
      <w:r>
        <w:rPr>
          <w:rStyle w:val="FootnoteReference"/>
          <w:rFonts w:eastAsiaTheme="minorEastAsia"/>
        </w:rPr>
        <w:footnoteRef/>
      </w:r>
      <w:r w:rsidRPr="003734CF">
        <w:t xml:space="preserve">See </w:t>
      </w:r>
      <w:r>
        <w:t xml:space="preserve">NIWEP (2014) </w:t>
      </w:r>
      <w:hyperlink r:id="rId59" w:history="1">
        <w:r w:rsidRPr="004F5D65">
          <w:rPr>
            <w:rStyle w:val="Hyperlink"/>
            <w:i/>
          </w:rPr>
          <w:t>An Inquiry into the position of women in Northern Ireland since the Peace Agreement, summary report</w:t>
        </w:r>
      </w:hyperlink>
      <w:r>
        <w:rPr>
          <w:rStyle w:val="Hyperlink"/>
          <w:i/>
        </w:rPr>
        <w:t xml:space="preserve">. </w:t>
      </w:r>
      <w:r>
        <w:t xml:space="preserve"> </w:t>
      </w:r>
    </w:p>
  </w:footnote>
  <w:footnote w:id="61">
    <w:p w14:paraId="4C961148" w14:textId="77777777" w:rsidR="00370D86" w:rsidRDefault="00370D86" w:rsidP="00B072C2">
      <w:pPr>
        <w:pStyle w:val="FootnoteText"/>
      </w:pPr>
      <w:r>
        <w:rPr>
          <w:rStyle w:val="FootnoteReference"/>
        </w:rPr>
        <w:footnoteRef/>
      </w:r>
      <w:r>
        <w:t xml:space="preserve"> In addition, a report into </w:t>
      </w:r>
      <w:r w:rsidRPr="00FD5DD0">
        <w:rPr>
          <w:i/>
        </w:rPr>
        <w:t>Peacebuilding and the Women’s sector in Northern Ireland</w:t>
      </w:r>
      <w:r>
        <w:t xml:space="preserve"> has highlighted that in general there is a lack of tangible commitments to the inclusion of women. See CRC, ICR (2015) </w:t>
      </w:r>
      <w:hyperlink r:id="rId60" w:history="1">
        <w:r w:rsidRPr="00FD5DD0">
          <w:rPr>
            <w:rStyle w:val="Hyperlink"/>
            <w:i/>
          </w:rPr>
          <w:t>Peacebuilding and the Women’s sector in Northern Ireland</w:t>
        </w:r>
      </w:hyperlink>
      <w:r>
        <w:t>.</w:t>
      </w:r>
    </w:p>
  </w:footnote>
  <w:footnote w:id="62">
    <w:p w14:paraId="3421DEEF" w14:textId="77777777" w:rsidR="00370D86" w:rsidRPr="00836F54" w:rsidRDefault="00370D86" w:rsidP="00836F54">
      <w:pPr>
        <w:pStyle w:val="FootnoteText"/>
      </w:pPr>
      <w:r>
        <w:rPr>
          <w:rStyle w:val="FootnoteReference"/>
        </w:rPr>
        <w:footnoteRef/>
      </w:r>
      <w:r>
        <w:t xml:space="preserve"> </w:t>
      </w:r>
      <w:r w:rsidRPr="00836F54">
        <w:t>Barriers include the lack of affordable, accessible and appropriate childcare; the heavily male-dominated political institutions; and pressures that ensured their voices were silenced in local communities.</w:t>
      </w:r>
    </w:p>
  </w:footnote>
  <w:footnote w:id="63">
    <w:p w14:paraId="12724042" w14:textId="77777777" w:rsidR="00370D86" w:rsidRDefault="00370D86">
      <w:pPr>
        <w:pStyle w:val="FootnoteText"/>
      </w:pPr>
      <w:r>
        <w:rPr>
          <w:rStyle w:val="FootnoteReference"/>
        </w:rPr>
        <w:footnoteRef/>
      </w:r>
      <w:r>
        <w:t xml:space="preserve"> Since UNSCR 1325 there have been further </w:t>
      </w:r>
      <w:hyperlink r:id="rId61" w:history="1">
        <w:r w:rsidRPr="00E60FA3">
          <w:rPr>
            <w:rStyle w:val="Hyperlink"/>
          </w:rPr>
          <w:t>UN Resolutions relating to Women, Peace and Security</w:t>
        </w:r>
      </w:hyperlink>
      <w:r>
        <w:t>.</w:t>
      </w:r>
    </w:p>
  </w:footnote>
  <w:footnote w:id="64">
    <w:p w14:paraId="4417D7C1" w14:textId="77777777" w:rsidR="00370D86" w:rsidRPr="009F07CD" w:rsidRDefault="00370D86" w:rsidP="007355F1">
      <w:pPr>
        <w:pStyle w:val="FootnoteText"/>
        <w:rPr>
          <w:rFonts w:cs="Arial"/>
        </w:rPr>
      </w:pPr>
      <w:r w:rsidRPr="009F07CD">
        <w:rPr>
          <w:rStyle w:val="FootnoteReference"/>
          <w:rFonts w:eastAsiaTheme="majorEastAsia" w:cs="Arial"/>
        </w:rPr>
        <w:footnoteRef/>
      </w:r>
      <w:r w:rsidRPr="009F07CD">
        <w:rPr>
          <w:rFonts w:cs="Arial"/>
        </w:rPr>
        <w:t xml:space="preserve"> GEO (2017) </w:t>
      </w:r>
      <w:hyperlink r:id="rId62" w:history="1">
        <w:r w:rsidRPr="009F07CD">
          <w:rPr>
            <w:rStyle w:val="Hyperlink"/>
            <w:rFonts w:cs="Arial"/>
          </w:rPr>
          <w:t>UK CEDAW 8th Periodic Report</w:t>
        </w:r>
      </w:hyperlink>
    </w:p>
  </w:footnote>
  <w:footnote w:id="65">
    <w:p w14:paraId="61BCCE4B" w14:textId="396F5678" w:rsidR="00370D86" w:rsidRDefault="00370D86">
      <w:pPr>
        <w:pStyle w:val="FootnoteText"/>
      </w:pPr>
      <w:r>
        <w:rPr>
          <w:rStyle w:val="FootnoteReference"/>
        </w:rPr>
        <w:footnoteRef/>
      </w:r>
      <w:r>
        <w:t xml:space="preserve"> T</w:t>
      </w:r>
      <w:r w:rsidRPr="00797556">
        <w:t>he Executive</w:t>
      </w:r>
      <w:r>
        <w:t>’s</w:t>
      </w:r>
      <w:r w:rsidRPr="00797556">
        <w:t xml:space="preserve"> </w:t>
      </w:r>
      <w:hyperlink r:id="rId63" w:history="1">
        <w:r w:rsidRPr="007C7031">
          <w:rPr>
            <w:rStyle w:val="Hyperlink"/>
          </w:rPr>
          <w:t>response</w:t>
        </w:r>
      </w:hyperlink>
      <w:r>
        <w:t xml:space="preserve"> (2016)</w:t>
      </w:r>
      <w:r w:rsidRPr="00797556">
        <w:t xml:space="preserve"> to the </w:t>
      </w:r>
      <w:r w:rsidRPr="00797556">
        <w:rPr>
          <w:i/>
        </w:rPr>
        <w:t>Report of the Panel on Disbandment of Paramilitary Groups</w:t>
      </w:r>
      <w:r>
        <w:t xml:space="preserve"> </w:t>
      </w:r>
      <w:r w:rsidRPr="00797556">
        <w:t>(2016) recommended a programme for women in leadership</w:t>
      </w:r>
      <w:r>
        <w:t>,</w:t>
      </w:r>
      <w:r w:rsidRPr="00797556">
        <w:t xml:space="preserve"> as w</w:t>
      </w:r>
      <w:r>
        <w:t>ell as in community development. The Department for Communities has introduced a</w:t>
      </w:r>
      <w:r w:rsidRPr="00524951">
        <w:t xml:space="preserve"> programme for ‘Women </w:t>
      </w:r>
      <w:r>
        <w:t>in Community Transformation’</w:t>
      </w:r>
      <w:r w:rsidRPr="00836F54">
        <w:t xml:space="preserve"> aimed at developing the capacity of women to participate in community development</w:t>
      </w:r>
      <w:r>
        <w:t>.</w:t>
      </w:r>
    </w:p>
  </w:footnote>
  <w:footnote w:id="66">
    <w:p w14:paraId="727E3DE0" w14:textId="77777777" w:rsidR="00370D86" w:rsidRPr="004F5D65" w:rsidRDefault="00370D86" w:rsidP="004B185D">
      <w:pPr>
        <w:pStyle w:val="FootnoteText"/>
      </w:pPr>
      <w:r w:rsidRPr="00777E32">
        <w:rPr>
          <w:rStyle w:val="FootnoteReference"/>
          <w:rFonts w:eastAsiaTheme="minorEastAsia"/>
        </w:rPr>
        <w:footnoteRef/>
      </w:r>
      <w:r w:rsidRPr="00777E32">
        <w:t xml:space="preserve"> STEM – Science, Technology, Engineering and Mathematics </w:t>
      </w:r>
    </w:p>
  </w:footnote>
  <w:footnote w:id="67">
    <w:p w14:paraId="7018A705" w14:textId="57A1A610" w:rsidR="00370D86" w:rsidRPr="004C7EA7" w:rsidRDefault="00370D86" w:rsidP="004B185D">
      <w:pPr>
        <w:pStyle w:val="FootnoteText"/>
      </w:pPr>
      <w:r>
        <w:rPr>
          <w:rStyle w:val="FootnoteReference"/>
          <w:rFonts w:eastAsiaTheme="minorEastAsia"/>
        </w:rPr>
        <w:footnoteRef/>
      </w:r>
      <w:r>
        <w:t xml:space="preserve"> In particular, in 2016/17 of enrollees (</w:t>
      </w:r>
      <w:r>
        <w:rPr>
          <w:bCs/>
        </w:rPr>
        <w:t xml:space="preserve">at Northern Ireland HEIs) </w:t>
      </w:r>
      <w:r>
        <w:t>to Maths, IT, Engineering and Technology, 22% were female and 78% were male</w:t>
      </w:r>
      <w:r w:rsidRPr="004C7EA7">
        <w:rPr>
          <w:bCs/>
        </w:rPr>
        <w:t>.</w:t>
      </w:r>
      <w:r>
        <w:rPr>
          <w:b/>
          <w:bCs/>
          <w:sz w:val="18"/>
          <w:szCs w:val="18"/>
        </w:rPr>
        <w:t xml:space="preserve"> </w:t>
      </w:r>
      <w:r w:rsidRPr="008527DF">
        <w:rPr>
          <w:b/>
          <w:bCs/>
          <w:sz w:val="18"/>
          <w:szCs w:val="18"/>
        </w:rPr>
        <w:t xml:space="preserve"> </w:t>
      </w:r>
      <w:r>
        <w:t xml:space="preserve">Figures derived from Department for Economy </w:t>
      </w:r>
      <w:r w:rsidRPr="00C239EF">
        <w:rPr>
          <w:rStyle w:val="Hyperlink"/>
          <w:i/>
        </w:rPr>
        <w:t>‘</w:t>
      </w:r>
      <w:hyperlink r:id="rId64" w:history="1">
        <w:r w:rsidRPr="00C239EF">
          <w:rPr>
            <w:rStyle w:val="Hyperlink"/>
            <w:i/>
          </w:rPr>
          <w:t>Enrolments at UK Higher Education Institutions: Northern Ireland Analysis 2016/1</w:t>
        </w:r>
        <w:r w:rsidRPr="00C239EF">
          <w:rPr>
            <w:rStyle w:val="Hyperlink"/>
          </w:rPr>
          <w:t>7</w:t>
        </w:r>
      </w:hyperlink>
      <w:r>
        <w:t>’. See also ECNI (2017)</w:t>
      </w:r>
      <w:r w:rsidRPr="004F5D65">
        <w:t xml:space="preserve"> </w:t>
      </w:r>
      <w:hyperlink r:id="rId65" w:history="1">
        <w:r w:rsidRPr="005971D6">
          <w:rPr>
            <w:rStyle w:val="Hyperlink"/>
            <w:rFonts w:eastAsiaTheme="majorEastAsia"/>
            <w:i/>
          </w:rPr>
          <w:t>Statement on Key Inequalities in Education</w:t>
        </w:r>
        <w:r w:rsidRPr="005971D6">
          <w:rPr>
            <w:rStyle w:val="Hyperlink"/>
            <w:rFonts w:eastAsiaTheme="majorEastAsia"/>
          </w:rPr>
          <w:t xml:space="preserve"> </w:t>
        </w:r>
        <w:r w:rsidRPr="005971D6">
          <w:rPr>
            <w:rStyle w:val="Hyperlink"/>
          </w:rPr>
          <w:t xml:space="preserve"> </w:t>
        </w:r>
      </w:hyperlink>
    </w:p>
  </w:footnote>
  <w:footnote w:id="68">
    <w:p w14:paraId="60EAF541" w14:textId="77777777" w:rsidR="00370D86" w:rsidRPr="005971D6" w:rsidRDefault="00370D86" w:rsidP="00D10267">
      <w:pPr>
        <w:pStyle w:val="FootnoteText"/>
      </w:pPr>
      <w:r>
        <w:rPr>
          <w:rStyle w:val="FootnoteReference"/>
          <w:rFonts w:eastAsiaTheme="minorEastAsia"/>
        </w:rPr>
        <w:footnoteRef/>
      </w:r>
      <w:r>
        <w:t xml:space="preserve"> See ECNI (2017)</w:t>
      </w:r>
      <w:r w:rsidRPr="004F5D65">
        <w:t xml:space="preserve"> </w:t>
      </w:r>
      <w:hyperlink r:id="rId66" w:history="1">
        <w:r w:rsidRPr="005971D6">
          <w:rPr>
            <w:rStyle w:val="Hyperlink"/>
            <w:rFonts w:eastAsiaTheme="majorEastAsia"/>
            <w:i/>
          </w:rPr>
          <w:t>Statement on Key Inequalities in Education</w:t>
        </w:r>
        <w:r w:rsidRPr="005971D6">
          <w:rPr>
            <w:rStyle w:val="Hyperlink"/>
            <w:rFonts w:eastAsiaTheme="majorEastAsia"/>
          </w:rPr>
          <w:t xml:space="preserve"> </w:t>
        </w:r>
        <w:r w:rsidRPr="005971D6">
          <w:rPr>
            <w:rStyle w:val="Hyperlink"/>
          </w:rPr>
          <w:t xml:space="preserve"> </w:t>
        </w:r>
      </w:hyperlink>
      <w:r w:rsidRPr="004F5D65">
        <w:rPr>
          <w:i/>
        </w:rPr>
        <w:t xml:space="preserve"> </w:t>
      </w:r>
    </w:p>
  </w:footnote>
  <w:footnote w:id="69">
    <w:p w14:paraId="523AB699" w14:textId="0FBAC354" w:rsidR="00370D86" w:rsidRDefault="00370D86" w:rsidP="00D10267">
      <w:pPr>
        <w:pStyle w:val="FootnoteText"/>
      </w:pPr>
      <w:r>
        <w:rPr>
          <w:rStyle w:val="FootnoteReference"/>
          <w:rFonts w:eastAsiaTheme="minorEastAsia"/>
        </w:rPr>
        <w:footnoteRef/>
      </w:r>
      <w:r>
        <w:t xml:space="preserve"> This includes promoting gender equality within Relationships and Sexuality Education (RSE).</w:t>
      </w:r>
    </w:p>
  </w:footnote>
  <w:footnote w:id="70">
    <w:p w14:paraId="45A6196E" w14:textId="3329426C" w:rsidR="00370D86" w:rsidRPr="005971D6" w:rsidRDefault="00370D86" w:rsidP="00836F54">
      <w:pPr>
        <w:pStyle w:val="FootnoteText"/>
      </w:pPr>
      <w:r>
        <w:rPr>
          <w:rStyle w:val="FootnoteReference"/>
          <w:rFonts w:eastAsiaTheme="minorEastAsia"/>
        </w:rPr>
        <w:footnoteRef/>
      </w:r>
      <w:r>
        <w:t xml:space="preserve"> This includes promoting gender equality through initial teacher training and CIPD.</w:t>
      </w:r>
    </w:p>
  </w:footnote>
  <w:footnote w:id="71">
    <w:p w14:paraId="46FC8463" w14:textId="34F0CC4B" w:rsidR="00370D86" w:rsidRPr="00516B62" w:rsidRDefault="00370D86" w:rsidP="004B185D">
      <w:pPr>
        <w:pStyle w:val="Default"/>
        <w:rPr>
          <w:sz w:val="20"/>
          <w:szCs w:val="20"/>
        </w:rPr>
      </w:pPr>
      <w:r w:rsidRPr="00AB436C">
        <w:rPr>
          <w:rStyle w:val="FootnoteReference"/>
          <w:sz w:val="20"/>
          <w:szCs w:val="20"/>
        </w:rPr>
        <w:footnoteRef/>
      </w:r>
      <w:r w:rsidRPr="00A46159">
        <w:t xml:space="preserve"> </w:t>
      </w:r>
      <w:r w:rsidRPr="00FB6BF8">
        <w:rPr>
          <w:sz w:val="20"/>
          <w:szCs w:val="20"/>
        </w:rPr>
        <w:t>Department of Education’s research reveals that</w:t>
      </w:r>
      <w:r>
        <w:t xml:space="preserve"> </w:t>
      </w:r>
      <w:r>
        <w:rPr>
          <w:sz w:val="20"/>
          <w:szCs w:val="20"/>
        </w:rPr>
        <w:t>r</w:t>
      </w:r>
      <w:r w:rsidRPr="00516B62">
        <w:rPr>
          <w:sz w:val="20"/>
          <w:szCs w:val="20"/>
        </w:rPr>
        <w:t>esults from the Year 9 pupil survey show that: ‘</w:t>
      </w:r>
      <w:r w:rsidRPr="0024227F">
        <w:rPr>
          <w:i/>
          <w:sz w:val="20"/>
          <w:szCs w:val="20"/>
        </w:rPr>
        <w:t>I was bullied with mean names, comments or rude gestures with a sexual mea</w:t>
      </w:r>
      <w:r>
        <w:rPr>
          <w:i/>
          <w:sz w:val="20"/>
          <w:szCs w:val="20"/>
        </w:rPr>
        <w:t>ni</w:t>
      </w:r>
      <w:r w:rsidRPr="0024227F">
        <w:rPr>
          <w:i/>
          <w:sz w:val="20"/>
          <w:szCs w:val="20"/>
        </w:rPr>
        <w:t>ng</w:t>
      </w:r>
      <w:r w:rsidRPr="00516B62">
        <w:rPr>
          <w:sz w:val="20"/>
          <w:szCs w:val="20"/>
        </w:rPr>
        <w:t xml:space="preserve">’ was the sixth most common form of bullying experienced by around 14% of pupils (12% of girls). </w:t>
      </w:r>
      <w:r>
        <w:rPr>
          <w:sz w:val="20"/>
          <w:szCs w:val="20"/>
        </w:rPr>
        <w:t>RSM McClure Watters (2011)</w:t>
      </w:r>
      <w:r w:rsidRPr="00516B62">
        <w:rPr>
          <w:sz w:val="20"/>
          <w:szCs w:val="20"/>
        </w:rPr>
        <w:t xml:space="preserve"> </w:t>
      </w:r>
      <w:hyperlink r:id="rId67" w:history="1">
        <w:r w:rsidRPr="00516B62">
          <w:rPr>
            <w:rStyle w:val="Hyperlink"/>
            <w:i/>
            <w:sz w:val="20"/>
            <w:szCs w:val="20"/>
          </w:rPr>
          <w:t>The Nature and Extent of Pupil Bullying in Schools in the North of Ireland report</w:t>
        </w:r>
      </w:hyperlink>
      <w:r w:rsidRPr="00516B62">
        <w:rPr>
          <w:sz w:val="20"/>
          <w:szCs w:val="20"/>
        </w:rPr>
        <w:t xml:space="preserve"> </w:t>
      </w:r>
    </w:p>
  </w:footnote>
  <w:footnote w:id="72">
    <w:p w14:paraId="606F9245" w14:textId="77777777" w:rsidR="00370D86" w:rsidRPr="00240EE9" w:rsidRDefault="00370D86" w:rsidP="004B185D">
      <w:pPr>
        <w:pStyle w:val="FootnoteText"/>
      </w:pPr>
      <w:r>
        <w:rPr>
          <w:rStyle w:val="FootnoteReference"/>
          <w:rFonts w:eastAsiaTheme="minorEastAsia"/>
        </w:rPr>
        <w:footnoteRef/>
      </w:r>
      <w:r>
        <w:t xml:space="preserve"> The </w:t>
      </w:r>
      <w:r w:rsidRPr="009C18E3">
        <w:rPr>
          <w:i/>
        </w:rPr>
        <w:t>Addr</w:t>
      </w:r>
      <w:r>
        <w:rPr>
          <w:i/>
        </w:rPr>
        <w:t>essing Bullying in Schools Act (NI</w:t>
      </w:r>
      <w:r w:rsidRPr="009C18E3">
        <w:rPr>
          <w:i/>
        </w:rPr>
        <w:t>) 2016</w:t>
      </w:r>
      <w:r>
        <w:t xml:space="preserve"> is not in force.  </w:t>
      </w:r>
      <w:r w:rsidRPr="00240EE9">
        <w:t xml:space="preserve">The </w:t>
      </w:r>
      <w:r>
        <w:t>NI</w:t>
      </w:r>
      <w:r w:rsidRPr="00240EE9">
        <w:t xml:space="preserve"> Anti-Bullying Forum, funded </w:t>
      </w:r>
      <w:r>
        <w:t xml:space="preserve">by the Department of Education, </w:t>
      </w:r>
      <w:r w:rsidRPr="00240EE9">
        <w:t xml:space="preserve">is </w:t>
      </w:r>
      <w:r>
        <w:t xml:space="preserve">currently </w:t>
      </w:r>
      <w:r w:rsidRPr="00240EE9">
        <w:t>tasked with developing guidance f</w:t>
      </w:r>
      <w:r>
        <w:t xml:space="preserve">or schools on tackling bullying. </w:t>
      </w:r>
    </w:p>
  </w:footnote>
  <w:footnote w:id="73">
    <w:p w14:paraId="334B45C5" w14:textId="495A9AB4" w:rsidR="00370D86" w:rsidRDefault="00370D86" w:rsidP="00C11BAC">
      <w:pPr>
        <w:pStyle w:val="FootnoteText"/>
      </w:pPr>
      <w:r>
        <w:rPr>
          <w:rStyle w:val="FootnoteReference"/>
        </w:rPr>
        <w:footnoteRef/>
      </w:r>
      <w:r>
        <w:t xml:space="preserve"> Department of Education </w:t>
      </w:r>
      <w:r w:rsidRPr="00C11BAC">
        <w:t>commission</w:t>
      </w:r>
      <w:r>
        <w:t>ed research</w:t>
      </w:r>
      <w:r w:rsidRPr="00C11BAC">
        <w:t xml:space="preserve"> </w:t>
      </w:r>
      <w:r>
        <w:t>into post primary school experiences of LGB&amp;T young people indicated that 48.4% of respondents</w:t>
      </w:r>
      <w:r w:rsidRPr="00C11BAC">
        <w:t xml:space="preserve"> had experienced bullying as a result of their sexual orientation or gender identity; </w:t>
      </w:r>
      <w:r>
        <w:t xml:space="preserve">and that </w:t>
      </w:r>
      <w:r w:rsidRPr="00C11BAC">
        <w:t>responses to bullying from schools were not perceived to be very satisfactory by respondents.</w:t>
      </w:r>
      <w:r>
        <w:t xml:space="preserve"> </w:t>
      </w:r>
      <w:r>
        <w:rPr>
          <w:rFonts w:cs="Arial"/>
          <w:lang w:val="en-US"/>
        </w:rPr>
        <w:t>Public and Corporate Economic</w:t>
      </w:r>
      <w:r w:rsidRPr="00806BB1">
        <w:rPr>
          <w:rFonts w:cs="Arial"/>
          <w:lang w:val="en-US"/>
        </w:rPr>
        <w:t xml:space="preserve"> Consultants</w:t>
      </w:r>
      <w:r w:rsidRPr="00806BB1" w:rsidDel="009B2152">
        <w:rPr>
          <w:rFonts w:cs="Arial"/>
          <w:lang w:val="en-US"/>
        </w:rPr>
        <w:t xml:space="preserve"> </w:t>
      </w:r>
      <w:r w:rsidRPr="00806BB1">
        <w:rPr>
          <w:rFonts w:cs="Arial"/>
          <w:lang w:val="en-US"/>
        </w:rPr>
        <w:t xml:space="preserve"> (2017) </w:t>
      </w:r>
      <w:hyperlink r:id="rId68" w:history="1">
        <w:r w:rsidRPr="00806BB1">
          <w:rPr>
            <w:rStyle w:val="Hyperlink"/>
            <w:rFonts w:cs="Arial"/>
            <w:lang w:val="en-US"/>
          </w:rPr>
          <w:t>Post-Primary School Experiences of 16-21 year old people who are Lesbian, Gay, Bisexual and/or Transgender</w:t>
        </w:r>
        <w:r>
          <w:rPr>
            <w:rStyle w:val="Hyperlink"/>
            <w:rFonts w:cs="Arial"/>
            <w:lang w:val="en-US"/>
          </w:rPr>
          <w:t xml:space="preserve"> (LGBT):</w:t>
        </w:r>
        <w:r w:rsidRPr="00806BB1">
          <w:rPr>
            <w:rStyle w:val="Hyperlink"/>
            <w:rFonts w:cs="Arial"/>
            <w:lang w:val="en-US"/>
          </w:rPr>
          <w:t xml:space="preserve"> Research Report</w:t>
        </w:r>
      </w:hyperlink>
      <w:r>
        <w:rPr>
          <w:rFonts w:cs="Arial"/>
          <w:lang w:val="en-US"/>
        </w:rPr>
        <w:t>. .</w:t>
      </w:r>
    </w:p>
  </w:footnote>
  <w:footnote w:id="74">
    <w:p w14:paraId="69C07533" w14:textId="77777777" w:rsidR="00370D86" w:rsidRPr="00240EE9" w:rsidRDefault="00370D86" w:rsidP="004B185D">
      <w:pPr>
        <w:pStyle w:val="FootnoteText"/>
      </w:pPr>
      <w:r>
        <w:rPr>
          <w:rStyle w:val="FootnoteReference"/>
          <w:rFonts w:eastAsiaTheme="minorEastAsia"/>
        </w:rPr>
        <w:footnoteRef/>
      </w:r>
      <w:r>
        <w:t xml:space="preserve"> ECNI recommended action includes tackling one off incidents of bullying; improving monitoring of bullying incidents including by gender, </w:t>
      </w:r>
      <w:r w:rsidRPr="00027A4E">
        <w:t>challenging gender roles</w:t>
      </w:r>
      <w:r>
        <w:t xml:space="preserve"> to further the societal aim of pre</w:t>
      </w:r>
      <w:r w:rsidRPr="001B63C7">
        <w:t xml:space="preserve">venting gender based violence, ensuring support materials and opportunities within the curriculum (including within RSE) address prejudice based bullying, including gender based bullying. See ECNI (2018) </w:t>
      </w:r>
      <w:hyperlink r:id="rId69" w:history="1">
        <w:r w:rsidRPr="001B63C7">
          <w:rPr>
            <w:rStyle w:val="Hyperlink"/>
          </w:rPr>
          <w:t>draft Policy Recommendations in Education</w:t>
        </w:r>
      </w:hyperlink>
    </w:p>
  </w:footnote>
  <w:footnote w:id="75">
    <w:p w14:paraId="42439938" w14:textId="57B628B5" w:rsidR="00370D86" w:rsidRPr="001C597D" w:rsidRDefault="00370D86" w:rsidP="00BD6185">
      <w:pPr>
        <w:pStyle w:val="FootnoteText"/>
      </w:pPr>
      <w:r>
        <w:rPr>
          <w:rStyle w:val="FootnoteReference"/>
          <w:rFonts w:eastAsiaTheme="minorEastAsia"/>
        </w:rPr>
        <w:footnoteRef/>
      </w:r>
      <w:r>
        <w:t xml:space="preserve"> For example, in STEM</w:t>
      </w:r>
      <w:r w:rsidRPr="009363C5">
        <w:t>–related professions, men outnumber women by nearly three to one</w:t>
      </w:r>
      <w:r>
        <w:t>.</w:t>
      </w:r>
      <w:r w:rsidRPr="009363C5">
        <w:t xml:space="preserve"> </w:t>
      </w:r>
      <w:r>
        <w:t xml:space="preserve">See ECNI (2018) </w:t>
      </w:r>
      <w:hyperlink r:id="rId70" w:history="1">
        <w:r w:rsidRPr="00521922">
          <w:rPr>
            <w:rStyle w:val="Hyperlink"/>
            <w:i/>
          </w:rPr>
          <w:t>Statement on</w:t>
        </w:r>
        <w:r w:rsidRPr="00521922">
          <w:rPr>
            <w:rStyle w:val="Hyperlink"/>
          </w:rPr>
          <w:t xml:space="preserve"> </w:t>
        </w:r>
        <w:r w:rsidRPr="00521922">
          <w:rPr>
            <w:rStyle w:val="Hyperlink"/>
            <w:i/>
          </w:rPr>
          <w:t>Key Inequalities in Employment</w:t>
        </w:r>
      </w:hyperlink>
      <w:r w:rsidRPr="007E4241">
        <w:rPr>
          <w:i/>
        </w:rPr>
        <w:t xml:space="preserve"> </w:t>
      </w:r>
    </w:p>
  </w:footnote>
  <w:footnote w:id="76">
    <w:p w14:paraId="2E63AB1E" w14:textId="77777777" w:rsidR="00370D86" w:rsidRPr="001C597D" w:rsidRDefault="00370D86" w:rsidP="00BD6185">
      <w:pPr>
        <w:pStyle w:val="FootnoteText"/>
      </w:pPr>
      <w:r>
        <w:rPr>
          <w:rStyle w:val="FootnoteReference"/>
          <w:rFonts w:eastAsiaTheme="minorEastAsia"/>
        </w:rPr>
        <w:footnoteRef/>
      </w:r>
      <w:r>
        <w:t xml:space="preserve"> Ibid. </w:t>
      </w:r>
      <w:r w:rsidRPr="001C597D">
        <w:t>For example</w:t>
      </w:r>
      <w:r>
        <w:t>, the ECNI</w:t>
      </w:r>
      <w:r w:rsidRPr="001C597D">
        <w:t xml:space="preserve"> found that in Q1 2016, men represented 61.6% of those in ‘Managers and Se</w:t>
      </w:r>
      <w:r>
        <w:t>ni</w:t>
      </w:r>
      <w:r w:rsidRPr="001C597D">
        <w:t>or Officials’ occupations.</w:t>
      </w:r>
      <w:r>
        <w:t xml:space="preserve"> </w:t>
      </w:r>
    </w:p>
  </w:footnote>
  <w:footnote w:id="77">
    <w:p w14:paraId="40A87C02" w14:textId="4D7DE56C" w:rsidR="00370D86" w:rsidRDefault="00370D86" w:rsidP="00BD6185">
      <w:pPr>
        <w:pStyle w:val="FootnoteText"/>
      </w:pPr>
      <w:r>
        <w:rPr>
          <w:rStyle w:val="FootnoteReference"/>
        </w:rPr>
        <w:footnoteRef/>
      </w:r>
      <w:r>
        <w:t xml:space="preserve"> In the private sector, women are under-represented at </w:t>
      </w:r>
      <w:r w:rsidRPr="001C597D">
        <w:t>‘Managers</w:t>
      </w:r>
      <w:r>
        <w:t xml:space="preserve"> </w:t>
      </w:r>
      <w:r w:rsidRPr="001C597D">
        <w:t>and Se</w:t>
      </w:r>
      <w:r>
        <w:t>nior Officials’ level (SOC 1) (40% women, 60% men).</w:t>
      </w:r>
      <w:r w:rsidRPr="00D3398F">
        <w:t xml:space="preserve"> Figures derived from </w:t>
      </w:r>
      <w:r>
        <w:t xml:space="preserve">ECNI </w:t>
      </w:r>
      <w:r w:rsidRPr="00D3398F">
        <w:t xml:space="preserve">analyses of fair employment monitoring returns received </w:t>
      </w:r>
      <w:r>
        <w:t xml:space="preserve">in 2017 </w:t>
      </w:r>
      <w:r w:rsidRPr="00D3398F">
        <w:t>from all registered employers and specified public bodies required to provide a</w:t>
      </w:r>
      <w:r>
        <w:t>n annual</w:t>
      </w:r>
      <w:r w:rsidRPr="00D3398F">
        <w:t xml:space="preserve"> return to </w:t>
      </w:r>
      <w:r>
        <w:t xml:space="preserve">ECNI under fair employment legislation (unpublished). </w:t>
      </w:r>
      <w:r w:rsidRPr="00D3398F">
        <w:t>In 2017, monitored data covered an estimated 66% - 68% of all of th</w:t>
      </w:r>
      <w:r>
        <w:t xml:space="preserve">ose in employment and excludes </w:t>
      </w:r>
      <w:r w:rsidRPr="00D3398F">
        <w:t>private sector concerns with less than 11 employees.</w:t>
      </w:r>
      <w:r w:rsidR="00BD7527" w:rsidRPr="00BD7527">
        <w:t xml:space="preserve"> </w:t>
      </w:r>
      <w:r w:rsidR="00BD7527">
        <w:t>For example, women are under-represented in apprenticeships in STEM-related areas.</w:t>
      </w:r>
    </w:p>
  </w:footnote>
  <w:footnote w:id="78">
    <w:p w14:paraId="7F511F4B" w14:textId="25954368" w:rsidR="00370D86" w:rsidRDefault="00370D86" w:rsidP="004A60C7">
      <w:pPr>
        <w:pStyle w:val="FootnoteText"/>
      </w:pPr>
      <w:r>
        <w:rPr>
          <w:rStyle w:val="FootnoteReference"/>
          <w:rFonts w:eastAsiaTheme="minorEastAsia"/>
        </w:rPr>
        <w:footnoteRef/>
      </w:r>
      <w:r>
        <w:t xml:space="preserve"> In 2018, the majority (82%) of part-time employees are women. 39% of female employees work part-time compared to 9% of male employees. See </w:t>
      </w:r>
      <w:r>
        <w:rPr>
          <w:rFonts w:cs="Arial"/>
        </w:rPr>
        <w:t xml:space="preserve">NISRA (2018) </w:t>
      </w:r>
      <w:hyperlink r:id="rId71" w:history="1">
        <w:r w:rsidRPr="00AE2C57">
          <w:rPr>
            <w:rStyle w:val="Hyperlink"/>
            <w:rFonts w:cs="Arial"/>
          </w:rPr>
          <w:t>Women in Northern Ireland 2018</w:t>
        </w:r>
      </w:hyperlink>
      <w:r>
        <w:rPr>
          <w:rFonts w:cs="Arial"/>
        </w:rPr>
        <w:t>.</w:t>
      </w:r>
    </w:p>
  </w:footnote>
  <w:footnote w:id="79">
    <w:p w14:paraId="0954B918" w14:textId="30291650" w:rsidR="00370D86" w:rsidRPr="006C2D11" w:rsidRDefault="00370D86" w:rsidP="002846E1">
      <w:pPr>
        <w:pStyle w:val="FootnoteText"/>
      </w:pPr>
      <w:r>
        <w:rPr>
          <w:rStyle w:val="FootnoteReference"/>
          <w:rFonts w:eastAsiaTheme="minorEastAsia"/>
        </w:rPr>
        <w:footnoteRef/>
      </w:r>
      <w:r>
        <w:t xml:space="preserve"> </w:t>
      </w:r>
      <w:r>
        <w:rPr>
          <w:rFonts w:cs="Arial"/>
        </w:rPr>
        <w:t>In 2018, t</w:t>
      </w:r>
      <w:r w:rsidRPr="002F1C39">
        <w:rPr>
          <w:rFonts w:cs="Arial"/>
        </w:rPr>
        <w:t xml:space="preserve">he rate of employment for males </w:t>
      </w:r>
      <w:r>
        <w:rPr>
          <w:rFonts w:cs="Arial"/>
        </w:rPr>
        <w:t xml:space="preserve">was </w:t>
      </w:r>
      <w:r w:rsidRPr="002F1C39">
        <w:rPr>
          <w:rFonts w:cs="Arial"/>
        </w:rPr>
        <w:t>7</w:t>
      </w:r>
      <w:r>
        <w:rPr>
          <w:rFonts w:cs="Arial"/>
        </w:rPr>
        <w:t>2.5</w:t>
      </w:r>
      <w:r w:rsidRPr="002F1C39">
        <w:rPr>
          <w:rFonts w:cs="Arial"/>
        </w:rPr>
        <w:t>%</w:t>
      </w:r>
      <w:r>
        <w:rPr>
          <w:rFonts w:cs="Arial"/>
        </w:rPr>
        <w:t xml:space="preserve"> and for females was 64.7%, and a third of working age women (33.3%) and less than a quarter of men (23.4%) were economically inactive. More than a third of women (35%) who were unavailable for work gave the reason for inactivity as being family/home commitments. This was the least likely reason for male inactivity. See NISRA (2018) </w:t>
      </w:r>
      <w:hyperlink r:id="rId72" w:history="1">
        <w:r w:rsidRPr="00AE2C57">
          <w:rPr>
            <w:rStyle w:val="Hyperlink"/>
            <w:rFonts w:cs="Arial"/>
          </w:rPr>
          <w:t>Women in Northern Ireland 2018</w:t>
        </w:r>
      </w:hyperlink>
      <w:r>
        <w:rPr>
          <w:rFonts w:cs="Arial"/>
        </w:rPr>
        <w:t xml:space="preserve">. </w:t>
      </w:r>
      <w:r w:rsidRPr="002F1C39">
        <w:rPr>
          <w:rFonts w:cs="Arial"/>
        </w:rPr>
        <w:t xml:space="preserve"> </w:t>
      </w:r>
    </w:p>
  </w:footnote>
  <w:footnote w:id="80">
    <w:p w14:paraId="124D88C4" w14:textId="14FC39B5" w:rsidR="00370D86" w:rsidRPr="00AB4FEC" w:rsidRDefault="00370D86" w:rsidP="004A60C7">
      <w:pPr>
        <w:pStyle w:val="FootnoteText"/>
      </w:pPr>
      <w:r>
        <w:rPr>
          <w:rStyle w:val="FootnoteReference"/>
          <w:rFonts w:eastAsiaTheme="minorEastAsia"/>
        </w:rPr>
        <w:footnoteRef/>
      </w:r>
      <w:r>
        <w:t xml:space="preserve"> Between  2012</w:t>
      </w:r>
      <w:r w:rsidR="00BD7527">
        <w:t xml:space="preserve"> </w:t>
      </w:r>
      <w:r>
        <w:t xml:space="preserve">-2016 female lone parents had the lowest rates of employment of all genders and dependency groups, with just over half (51.2%) of female lone parents in employment in 2016. In 2016, </w:t>
      </w:r>
      <w:r>
        <w:rPr>
          <w:rFonts w:cs="Arial"/>
        </w:rPr>
        <w:t>economic inactivity rates were around twice (43.4%) of those who were married or cohabiting with dependent children (22.7%) and those who had no dependent children (24.9%).</w:t>
      </w:r>
      <w:r w:rsidRPr="00AB4FEC">
        <w:t xml:space="preserve"> </w:t>
      </w:r>
      <w:r>
        <w:t xml:space="preserve">See ECNI (2018) </w:t>
      </w:r>
      <w:hyperlink r:id="rId73" w:history="1">
        <w:r w:rsidRPr="00521922">
          <w:rPr>
            <w:rStyle w:val="Hyperlink"/>
            <w:i/>
          </w:rPr>
          <w:t>Statement on</w:t>
        </w:r>
        <w:r w:rsidRPr="00521922">
          <w:rPr>
            <w:rStyle w:val="Hyperlink"/>
          </w:rPr>
          <w:t xml:space="preserve"> </w:t>
        </w:r>
        <w:r w:rsidRPr="00521922">
          <w:rPr>
            <w:rStyle w:val="Hyperlink"/>
            <w:i/>
          </w:rPr>
          <w:t>Key Inequalities in Employment</w:t>
        </w:r>
      </w:hyperlink>
      <w:r w:rsidRPr="007E4241">
        <w:rPr>
          <w:i/>
        </w:rPr>
        <w:t xml:space="preserve"> </w:t>
      </w:r>
      <w:r w:rsidRPr="002F1C39">
        <w:rPr>
          <w:rFonts w:cs="Arial"/>
        </w:rPr>
        <w:t xml:space="preserve"> </w:t>
      </w:r>
    </w:p>
  </w:footnote>
  <w:footnote w:id="81">
    <w:p w14:paraId="4D26AE17" w14:textId="166C4F10" w:rsidR="00370D86" w:rsidRPr="005B772E" w:rsidRDefault="00370D86" w:rsidP="004A60C7">
      <w:pPr>
        <w:autoSpaceDE w:val="0"/>
        <w:autoSpaceDN w:val="0"/>
        <w:adjustRightInd w:val="0"/>
        <w:jc w:val="both"/>
        <w:rPr>
          <w:rFonts w:cs="Arial"/>
          <w:color w:val="000000"/>
          <w:sz w:val="20"/>
          <w:szCs w:val="20"/>
          <w:lang w:val="en-US"/>
        </w:rPr>
      </w:pPr>
      <w:r w:rsidRPr="005B772E">
        <w:rPr>
          <w:rStyle w:val="FootnoteReference"/>
          <w:rFonts w:eastAsiaTheme="minorEastAsia" w:cs="Arial"/>
          <w:sz w:val="20"/>
          <w:szCs w:val="20"/>
        </w:rPr>
        <w:footnoteRef/>
      </w:r>
      <w:r w:rsidRPr="005B772E">
        <w:rPr>
          <w:rFonts w:cs="Arial"/>
          <w:sz w:val="20"/>
          <w:szCs w:val="20"/>
        </w:rPr>
        <w:t xml:space="preserve"> </w:t>
      </w:r>
      <w:r w:rsidRPr="002846E1">
        <w:rPr>
          <w:rFonts w:cs="Arial"/>
          <w:sz w:val="20"/>
          <w:szCs w:val="20"/>
        </w:rPr>
        <w:t>In 201</w:t>
      </w:r>
      <w:r>
        <w:rPr>
          <w:rFonts w:cs="Arial"/>
          <w:sz w:val="20"/>
          <w:szCs w:val="20"/>
        </w:rPr>
        <w:t>7</w:t>
      </w:r>
      <w:r w:rsidRPr="002846E1">
        <w:rPr>
          <w:rFonts w:cs="Arial"/>
          <w:sz w:val="20"/>
          <w:szCs w:val="20"/>
        </w:rPr>
        <w:t>, the female Total Entrepreneurship Activity rate was 4.</w:t>
      </w:r>
      <w:r>
        <w:rPr>
          <w:rFonts w:cs="Arial"/>
          <w:sz w:val="20"/>
          <w:szCs w:val="20"/>
        </w:rPr>
        <w:t>3</w:t>
      </w:r>
      <w:r w:rsidRPr="002846E1">
        <w:rPr>
          <w:rFonts w:cs="Arial"/>
          <w:sz w:val="20"/>
          <w:szCs w:val="20"/>
        </w:rPr>
        <w:t xml:space="preserve">%, compared to a male rate of </w:t>
      </w:r>
      <w:r>
        <w:rPr>
          <w:rFonts w:cs="Arial"/>
          <w:sz w:val="20"/>
          <w:szCs w:val="20"/>
        </w:rPr>
        <w:t>8</w:t>
      </w:r>
      <w:r w:rsidRPr="002846E1">
        <w:rPr>
          <w:rFonts w:cs="Arial"/>
          <w:sz w:val="20"/>
          <w:szCs w:val="20"/>
        </w:rPr>
        <w:t>.</w:t>
      </w:r>
      <w:r>
        <w:rPr>
          <w:rFonts w:cs="Arial"/>
          <w:sz w:val="20"/>
          <w:szCs w:val="20"/>
        </w:rPr>
        <w:t>7</w:t>
      </w:r>
      <w:r w:rsidRPr="002846E1">
        <w:rPr>
          <w:rFonts w:cs="Arial"/>
          <w:sz w:val="20"/>
          <w:szCs w:val="20"/>
        </w:rPr>
        <w:t xml:space="preserve">%. </w:t>
      </w:r>
      <w:r w:rsidRPr="00C239EF">
        <w:rPr>
          <w:rFonts w:cs="Arial"/>
          <w:sz w:val="20"/>
          <w:szCs w:val="20"/>
        </w:rPr>
        <w:t>GEM UK</w:t>
      </w:r>
      <w:r>
        <w:rPr>
          <w:rFonts w:cs="Arial"/>
          <w:sz w:val="20"/>
          <w:szCs w:val="20"/>
        </w:rPr>
        <w:t xml:space="preserve"> (2017)</w:t>
      </w:r>
      <w:r w:rsidRPr="00C239EF">
        <w:rPr>
          <w:rFonts w:cs="Arial"/>
          <w:sz w:val="20"/>
          <w:szCs w:val="20"/>
        </w:rPr>
        <w:t xml:space="preserve">: </w:t>
      </w:r>
      <w:hyperlink r:id="rId74" w:history="1">
        <w:r w:rsidRPr="00C239EF">
          <w:rPr>
            <w:rStyle w:val="Hyperlink"/>
            <w:rFonts w:cs="Arial"/>
            <w:sz w:val="20"/>
            <w:szCs w:val="20"/>
          </w:rPr>
          <w:t>Northern Ireland Report 2017</w:t>
        </w:r>
      </w:hyperlink>
      <w:r>
        <w:rPr>
          <w:rStyle w:val="Hyperlink"/>
          <w:rFonts w:cs="Arial"/>
          <w:color w:val="auto"/>
          <w:sz w:val="20"/>
          <w:szCs w:val="20"/>
          <w:u w:val="none"/>
        </w:rPr>
        <w:t xml:space="preserve">. </w:t>
      </w:r>
      <w:hyperlink w:history="1"/>
    </w:p>
  </w:footnote>
  <w:footnote w:id="82">
    <w:p w14:paraId="35EF0E39" w14:textId="3D1E04E4" w:rsidR="00370D86" w:rsidRDefault="00370D86" w:rsidP="00F664AA">
      <w:pPr>
        <w:pStyle w:val="FootnoteText"/>
      </w:pPr>
      <w:r>
        <w:rPr>
          <w:rStyle w:val="FootnoteReference"/>
        </w:rPr>
        <w:footnoteRef/>
      </w:r>
      <w:r>
        <w:t xml:space="preserve">  See, for example, Ballantine, Banks, Haynes, Manochin, Wall, (2016) </w:t>
      </w:r>
      <w:hyperlink r:id="rId75" w:history="1">
        <w:r w:rsidRPr="00C92E0E">
          <w:rPr>
            <w:rStyle w:val="Hyperlink"/>
            <w:i/>
          </w:rPr>
          <w:t>An investigation of gender equality issues at the Executive level in Northern Ireland public sector organisations</w:t>
        </w:r>
      </w:hyperlink>
      <w:r>
        <w:t xml:space="preserve"> which recommended actions to develop a </w:t>
      </w:r>
      <w:r w:rsidRPr="00F664AA">
        <w:t xml:space="preserve">gender inclusive culture </w:t>
      </w:r>
      <w:r>
        <w:t xml:space="preserve">which promotes flexible working and work life balance </w:t>
      </w:r>
      <w:r w:rsidRPr="00F664AA">
        <w:t>at senior management levels</w:t>
      </w:r>
      <w:r>
        <w:t xml:space="preserve"> in the </w:t>
      </w:r>
      <w:r w:rsidRPr="00DC3F34">
        <w:t>N.I. public sector</w:t>
      </w:r>
      <w:r>
        <w:t>.</w:t>
      </w:r>
      <w:r w:rsidRPr="00F664AA">
        <w:t xml:space="preserve"> </w:t>
      </w:r>
      <w:r>
        <w:t xml:space="preserve">See also HC Women and Equalities Committee (2016) </w:t>
      </w:r>
      <w:hyperlink r:id="rId76" w:history="1">
        <w:r w:rsidRPr="001D56DB">
          <w:rPr>
            <w:rStyle w:val="Hyperlink"/>
            <w:i/>
          </w:rPr>
          <w:t>Gender Pay Gap</w:t>
        </w:r>
      </w:hyperlink>
      <w:r>
        <w:t xml:space="preserve"> 2</w:t>
      </w:r>
      <w:r w:rsidRPr="00AE3056">
        <w:rPr>
          <w:vertAlign w:val="superscript"/>
        </w:rPr>
        <w:t>nd</w:t>
      </w:r>
      <w:r>
        <w:t xml:space="preserve"> report of session 2015-2016. </w:t>
      </w:r>
    </w:p>
  </w:footnote>
  <w:footnote w:id="83">
    <w:p w14:paraId="4D4ADEC9" w14:textId="5744EC08" w:rsidR="00370D86" w:rsidRPr="00574669" w:rsidRDefault="00370D86" w:rsidP="00DD2522">
      <w:pPr>
        <w:pStyle w:val="FootnoteText"/>
      </w:pPr>
      <w:r>
        <w:rPr>
          <w:rStyle w:val="FootnoteReference"/>
          <w:rFonts w:eastAsiaTheme="minorEastAsia"/>
        </w:rPr>
        <w:footnoteRef/>
      </w:r>
      <w:r>
        <w:t xml:space="preserve"> In 2018, </w:t>
      </w:r>
      <w:r w:rsidRPr="008178DE">
        <w:t>there is a full time (+3.</w:t>
      </w:r>
      <w:r>
        <w:t>5%) and part-time (+6.2</w:t>
      </w:r>
      <w:r w:rsidRPr="008178DE">
        <w:t>%) gender pay gap in favour of women</w:t>
      </w:r>
      <w:r>
        <w:t xml:space="preserve">. </w:t>
      </w:r>
      <w:r w:rsidRPr="008178DE">
        <w:t>When</w:t>
      </w:r>
      <w:r>
        <w:t xml:space="preserve"> </w:t>
      </w:r>
      <w:r w:rsidRPr="00514E1E">
        <w:rPr>
          <w:u w:val="single"/>
        </w:rPr>
        <w:t xml:space="preserve">all </w:t>
      </w:r>
      <w:r>
        <w:t>employees are considered</w:t>
      </w:r>
      <w:r w:rsidRPr="008178DE">
        <w:t>, there is a gende</w:t>
      </w:r>
      <w:r>
        <w:t>r pay gap in favour of men (-9.6</w:t>
      </w:r>
      <w:r w:rsidRPr="008178DE">
        <w:t xml:space="preserve">%). </w:t>
      </w:r>
      <w:r>
        <w:t xml:space="preserve">NISRA (published Oct 2018, provisional) </w:t>
      </w:r>
      <w:r>
        <w:rPr>
          <w:rStyle w:val="Hyperlink"/>
        </w:rPr>
        <w:t xml:space="preserve">NI </w:t>
      </w:r>
      <w:hyperlink r:id="rId77" w:history="1">
        <w:r w:rsidRPr="00C239EF">
          <w:rPr>
            <w:rStyle w:val="Hyperlink"/>
          </w:rPr>
          <w:t>ASHE</w:t>
        </w:r>
      </w:hyperlink>
      <w:r>
        <w:rPr>
          <w:rStyle w:val="Hyperlink"/>
        </w:rPr>
        <w:t>.</w:t>
      </w:r>
    </w:p>
  </w:footnote>
  <w:footnote w:id="84">
    <w:p w14:paraId="4C51ADD8" w14:textId="1630A997" w:rsidR="00370D86" w:rsidRPr="00574669" w:rsidRDefault="00370D86" w:rsidP="004A60C7">
      <w:pPr>
        <w:pStyle w:val="FootnoteText"/>
      </w:pPr>
      <w:r>
        <w:rPr>
          <w:rStyle w:val="FootnoteReference"/>
          <w:rFonts w:eastAsiaTheme="minorEastAsia"/>
        </w:rPr>
        <w:footnoteRef/>
      </w:r>
      <w:r>
        <w:t xml:space="preserve"> In 2018, w</w:t>
      </w:r>
      <w:r w:rsidRPr="00574669">
        <w:t>hen</w:t>
      </w:r>
      <w:r>
        <w:t xml:space="preserve"> </w:t>
      </w:r>
      <w:r w:rsidRPr="00D3398F">
        <w:rPr>
          <w:u w:val="single"/>
        </w:rPr>
        <w:t>all</w:t>
      </w:r>
      <w:r>
        <w:t xml:space="preserve"> employees are considered</w:t>
      </w:r>
      <w:r w:rsidRPr="00574669">
        <w:t xml:space="preserve"> there is a gender pay gap in favour o</w:t>
      </w:r>
      <w:r>
        <w:t>f men in the public sector (-8.4</w:t>
      </w:r>
      <w:r w:rsidRPr="00574669">
        <w:t>%) and a sig</w:t>
      </w:r>
      <w:r>
        <w:t>ni</w:t>
      </w:r>
      <w:r w:rsidRPr="00574669">
        <w:t>ficantly higher gender pay gap in favour of men</w:t>
      </w:r>
      <w:r>
        <w:t xml:space="preserve"> in the private sector (-18.2%); see NISRA  </w:t>
      </w:r>
      <w:hyperlink r:id="rId78" w:history="1">
        <w:r w:rsidRPr="00514E1E">
          <w:rPr>
            <w:rStyle w:val="Hyperlink"/>
          </w:rPr>
          <w:t>ASHE</w:t>
        </w:r>
      </w:hyperlink>
      <w:r>
        <w:t xml:space="preserve"> (2018</w:t>
      </w:r>
      <w:r w:rsidRPr="00D3398F">
        <w:t>) (</w:t>
      </w:r>
      <w:r>
        <w:t>published Oct 2018, provisional</w:t>
      </w:r>
      <w:r w:rsidRPr="00D3398F">
        <w:t>)</w:t>
      </w:r>
      <w:r>
        <w:t>,</w:t>
      </w:r>
      <w:r w:rsidRPr="00D3398F">
        <w:t xml:space="preserve"> Table 13 (NI).6a,</w:t>
      </w:r>
      <w:r>
        <w:t xml:space="preserve"> Hourly Pay excluding overtime (public/ private sector). </w:t>
      </w:r>
      <w:r w:rsidRPr="00574669">
        <w:t>Further,</w:t>
      </w:r>
      <w:r>
        <w:t xml:space="preserve"> as regards full time employees,</w:t>
      </w:r>
      <w:r w:rsidRPr="00574669">
        <w:t xml:space="preserve"> women earn less than men </w:t>
      </w:r>
      <w:r>
        <w:t>on average in all of the nine occupation groups and men earn 3.3</w:t>
      </w:r>
      <w:r w:rsidRPr="00574669">
        <w:t>% m</w:t>
      </w:r>
      <w:r>
        <w:t xml:space="preserve">ore than women in the Managers </w:t>
      </w:r>
      <w:r w:rsidRPr="00574669">
        <w:t>and se</w:t>
      </w:r>
      <w:r>
        <w:t>nior officials occupation</w:t>
      </w:r>
      <w:r w:rsidRPr="00574669">
        <w:t xml:space="preserve"> group, which is the highest paid group</w:t>
      </w:r>
      <w:r>
        <w:t xml:space="preserve">. See NISRA (published Oct 2018, provisional) </w:t>
      </w:r>
      <w:r>
        <w:rPr>
          <w:rStyle w:val="Hyperlink"/>
        </w:rPr>
        <w:t xml:space="preserve">NI </w:t>
      </w:r>
      <w:hyperlink r:id="rId79" w:history="1">
        <w:r w:rsidRPr="00C239EF">
          <w:rPr>
            <w:rStyle w:val="Hyperlink"/>
          </w:rPr>
          <w:t>ASHE</w:t>
        </w:r>
      </w:hyperlink>
      <w:r>
        <w:rPr>
          <w:rStyle w:val="Hyperlink"/>
        </w:rPr>
        <w:t>.</w:t>
      </w:r>
    </w:p>
  </w:footnote>
  <w:footnote w:id="85">
    <w:p w14:paraId="748715BA" w14:textId="77777777" w:rsidR="00370D86" w:rsidRPr="00E0353F" w:rsidRDefault="00370D86" w:rsidP="004A60C7">
      <w:pPr>
        <w:pStyle w:val="FootnoteText"/>
      </w:pPr>
      <w:r>
        <w:rPr>
          <w:rStyle w:val="FootnoteReference"/>
          <w:rFonts w:eastAsiaTheme="minorEastAsia"/>
        </w:rPr>
        <w:footnoteRef/>
      </w:r>
      <w:r>
        <w:t xml:space="preserve"> A</w:t>
      </w:r>
      <w:r w:rsidRPr="00E0353F">
        <w:t xml:space="preserve">lmost a quarter of discrimination enquiries (24.8%) made to </w:t>
      </w:r>
      <w:r>
        <w:t xml:space="preserve">ECNI </w:t>
      </w:r>
      <w:r w:rsidRPr="00E0353F">
        <w:t xml:space="preserve">in 2017/18 </w:t>
      </w:r>
      <w:r>
        <w:t xml:space="preserve">related to sex discrimination. </w:t>
      </w:r>
      <w:r w:rsidRPr="00E0353F">
        <w:t>The vast majority (92%) related to employment; particularly pregnancy and mater</w:t>
      </w:r>
      <w:r>
        <w:t>ni</w:t>
      </w:r>
      <w:r w:rsidRPr="00E0353F">
        <w:t>ty (26%)</w:t>
      </w:r>
      <w:r>
        <w:t xml:space="preserve"> and harassment (18%)</w:t>
      </w:r>
      <w:r w:rsidRPr="00E0353F">
        <w:t>.</w:t>
      </w:r>
      <w:r>
        <w:t xml:space="preserve"> ECNI enquiries</w:t>
      </w:r>
      <w:r w:rsidRPr="00B11D38">
        <w:t xml:space="preserve"> </w:t>
      </w:r>
      <w:r>
        <w:t>on sexual harassment in the workplace have risen by 31% (2012-2017)</w:t>
      </w:r>
      <w:r w:rsidRPr="00B11D38">
        <w:t>.</w:t>
      </w:r>
      <w:r>
        <w:t xml:space="preserve"> See also recent sexual harassment </w:t>
      </w:r>
      <w:hyperlink r:id="rId80" w:history="1">
        <w:r w:rsidRPr="006C2B4D">
          <w:rPr>
            <w:rStyle w:val="Hyperlink"/>
            <w:i/>
          </w:rPr>
          <w:t>cases</w:t>
        </w:r>
      </w:hyperlink>
      <w:r>
        <w:t xml:space="preserve"> resulting in settlements secured by ECNI.</w:t>
      </w:r>
    </w:p>
  </w:footnote>
  <w:footnote w:id="86">
    <w:p w14:paraId="7D596DBD" w14:textId="02916436" w:rsidR="00370D86" w:rsidRPr="00997338" w:rsidRDefault="00370D86" w:rsidP="004A60C7">
      <w:pPr>
        <w:pStyle w:val="FootnoteText"/>
      </w:pPr>
      <w:r>
        <w:rPr>
          <w:rStyle w:val="FootnoteReference"/>
          <w:rFonts w:eastAsiaTheme="minorEastAsia"/>
        </w:rPr>
        <w:footnoteRef/>
      </w:r>
      <w:r>
        <w:t xml:space="preserve"> See ECNI (2016) </w:t>
      </w:r>
      <w:hyperlink r:id="rId81" w:history="1">
        <w:r w:rsidRPr="00106258">
          <w:rPr>
            <w:rStyle w:val="Hyperlink"/>
            <w:i/>
          </w:rPr>
          <w:t>Expecting Equality-Summary</w:t>
        </w:r>
        <w:r w:rsidRPr="009B2152">
          <w:rPr>
            <w:rStyle w:val="Hyperlink"/>
            <w:i/>
          </w:rPr>
          <w:t>:</w:t>
        </w:r>
        <w:r w:rsidRPr="009B2152">
          <w:rPr>
            <w:rStyle w:val="Hyperlink"/>
          </w:rPr>
          <w:t xml:space="preserve"> </w:t>
        </w:r>
        <w:r w:rsidRPr="009B2152">
          <w:rPr>
            <w:rStyle w:val="Hyperlink"/>
            <w:i/>
            <w:iCs/>
          </w:rPr>
          <w:t>A Formal Investigation into the treatment of pregnancy workers and mothers in Northern Ireland workplaces</w:t>
        </w:r>
      </w:hyperlink>
      <w:r w:rsidRPr="009B2152">
        <w:rPr>
          <w:rStyle w:val="Hyperlink"/>
          <w:i/>
          <w:iCs/>
        </w:rPr>
        <w:t xml:space="preserve"> </w:t>
      </w:r>
      <w:r>
        <w:t>.</w:t>
      </w:r>
    </w:p>
  </w:footnote>
  <w:footnote w:id="87">
    <w:p w14:paraId="6AD3DE86" w14:textId="40E1EF08" w:rsidR="00370D86" w:rsidRPr="00C17689" w:rsidRDefault="00370D86" w:rsidP="00BD7527">
      <w:pPr>
        <w:pStyle w:val="FootnoteText"/>
      </w:pPr>
      <w:r>
        <w:rPr>
          <w:rStyle w:val="FootnoteReference"/>
          <w:rFonts w:eastAsiaTheme="minorEastAsia"/>
        </w:rPr>
        <w:footnoteRef/>
      </w:r>
      <w:r>
        <w:t xml:space="preserve"> See</w:t>
      </w:r>
      <w:r w:rsidRPr="004F5D65">
        <w:t xml:space="preserve"> </w:t>
      </w:r>
      <w:r w:rsidRPr="006E33EF">
        <w:rPr>
          <w:rStyle w:val="Hyperlink"/>
        </w:rPr>
        <w:t>ECNI (2015) response to the consultation on a</w:t>
      </w:r>
      <w:r>
        <w:rPr>
          <w:rStyle w:val="Hyperlink"/>
        </w:rPr>
        <w:t>n Executive childcare strategy</w:t>
      </w:r>
      <w:r w:rsidRPr="004F5D65">
        <w:t>.</w:t>
      </w:r>
      <w:r w:rsidR="00BD7527" w:rsidRPr="00BD7527">
        <w:t xml:space="preserve"> </w:t>
      </w:r>
      <w:r w:rsidR="00BD7527" w:rsidRPr="007F4460">
        <w:t>EC</w:t>
      </w:r>
      <w:r w:rsidR="00BD7527">
        <w:t>NI</w:t>
      </w:r>
      <w:r w:rsidR="00BD7527" w:rsidRPr="007F4460">
        <w:t xml:space="preserve"> research highlighted that the availability of affordable and appropriate childcare is a fundamental part of the process of mothers entering, remai</w:t>
      </w:r>
      <w:r w:rsidR="00BD7527">
        <w:t>ni</w:t>
      </w:r>
      <w:r w:rsidR="00BD7527" w:rsidRPr="007F4460">
        <w:t>ng in, progressing in, or retur</w:t>
      </w:r>
      <w:r w:rsidR="00BD7527">
        <w:t>ni</w:t>
      </w:r>
      <w:r w:rsidR="00BD7527" w:rsidRPr="007F4460">
        <w:t xml:space="preserve">ng to work </w:t>
      </w:r>
      <w:r w:rsidR="00BD7527">
        <w:t xml:space="preserve">See </w:t>
      </w:r>
      <w:r w:rsidR="00BD7527" w:rsidRPr="007F4460">
        <w:t>McQuaid, R., Graham, H. and Shapira, M (2013)</w:t>
      </w:r>
      <w:r w:rsidR="00BD7527" w:rsidRPr="002F1C39">
        <w:t xml:space="preserve"> </w:t>
      </w:r>
      <w:hyperlink r:id="rId82" w:history="1">
        <w:r w:rsidR="00BD7527" w:rsidRPr="00E51D9B">
          <w:rPr>
            <w:rStyle w:val="Hyperlink"/>
            <w:i/>
          </w:rPr>
          <w:t>Child care: Maximising the economic participation of women</w:t>
        </w:r>
      </w:hyperlink>
      <w:r w:rsidR="00BD7527" w:rsidRPr="00CC6519">
        <w:t>, EC</w:t>
      </w:r>
      <w:r w:rsidR="00BD7527">
        <w:t>NI.</w:t>
      </w:r>
    </w:p>
  </w:footnote>
  <w:footnote w:id="88">
    <w:p w14:paraId="494B25CD" w14:textId="18D8B1FA" w:rsidR="00370D86" w:rsidRPr="004065BC" w:rsidRDefault="00370D86" w:rsidP="004065BC">
      <w:pPr>
        <w:pStyle w:val="Default"/>
        <w:rPr>
          <w:sz w:val="20"/>
          <w:szCs w:val="20"/>
        </w:rPr>
      </w:pPr>
      <w:r w:rsidRPr="00AB436C">
        <w:rPr>
          <w:rStyle w:val="FootnoteReference"/>
          <w:rFonts w:eastAsiaTheme="minorEastAsia"/>
          <w:sz w:val="20"/>
        </w:rPr>
        <w:footnoteRef/>
      </w:r>
      <w:r>
        <w:t xml:space="preserve"> </w:t>
      </w:r>
      <w:r w:rsidRPr="004065BC">
        <w:rPr>
          <w:sz w:val="20"/>
          <w:szCs w:val="20"/>
        </w:rPr>
        <w:t xml:space="preserve">Ibid. In 2013 childcare in Northern Ireland cost nearly half (44%) the average income, compared to 33% in GB. In 2017, </w:t>
      </w:r>
      <w:r>
        <w:rPr>
          <w:sz w:val="20"/>
          <w:szCs w:val="20"/>
        </w:rPr>
        <w:t>t</w:t>
      </w:r>
      <w:r w:rsidRPr="004065BC">
        <w:rPr>
          <w:sz w:val="20"/>
          <w:szCs w:val="20"/>
        </w:rPr>
        <w:t xml:space="preserve">he average cost of a full-time childcare place in Northern Ireland </w:t>
      </w:r>
      <w:r>
        <w:rPr>
          <w:sz w:val="20"/>
          <w:szCs w:val="20"/>
        </w:rPr>
        <w:t>wa</w:t>
      </w:r>
      <w:r w:rsidRPr="004065BC">
        <w:rPr>
          <w:sz w:val="20"/>
          <w:szCs w:val="20"/>
        </w:rPr>
        <w:t xml:space="preserve">s £168 per week </w:t>
      </w:r>
      <w:r>
        <w:rPr>
          <w:sz w:val="20"/>
          <w:szCs w:val="20"/>
        </w:rPr>
        <w:t>(almost 40 % of average household income).</w:t>
      </w:r>
      <w:r w:rsidRPr="004065BC">
        <w:rPr>
          <w:sz w:val="20"/>
          <w:szCs w:val="20"/>
        </w:rPr>
        <w:t xml:space="preserve"> </w:t>
      </w:r>
      <w:r>
        <w:rPr>
          <w:sz w:val="20"/>
          <w:szCs w:val="20"/>
        </w:rPr>
        <w:t xml:space="preserve">See </w:t>
      </w:r>
      <w:r w:rsidRPr="004065BC">
        <w:rPr>
          <w:sz w:val="20"/>
          <w:szCs w:val="20"/>
        </w:rPr>
        <w:t>Employers For Childcare</w:t>
      </w:r>
      <w:r>
        <w:rPr>
          <w:sz w:val="20"/>
          <w:szCs w:val="20"/>
        </w:rPr>
        <w:t xml:space="preserve"> </w:t>
      </w:r>
      <w:hyperlink r:id="rId83" w:history="1">
        <w:r w:rsidRPr="004065BC">
          <w:rPr>
            <w:rStyle w:val="Hyperlink"/>
            <w:i/>
            <w:sz w:val="20"/>
            <w:szCs w:val="20"/>
          </w:rPr>
          <w:t>NI Childcare Cost survey 2017</w:t>
        </w:r>
      </w:hyperlink>
      <w:r w:rsidRPr="004065BC">
        <w:rPr>
          <w:sz w:val="20"/>
          <w:szCs w:val="20"/>
        </w:rPr>
        <w:t xml:space="preserve"> </w:t>
      </w:r>
    </w:p>
  </w:footnote>
  <w:footnote w:id="89">
    <w:p w14:paraId="62F60495" w14:textId="77777777" w:rsidR="00370D86" w:rsidRDefault="00370D86" w:rsidP="004A60C7">
      <w:pPr>
        <w:pStyle w:val="FootnoteText"/>
      </w:pPr>
      <w:r>
        <w:rPr>
          <w:rStyle w:val="FootnoteReference"/>
          <w:rFonts w:eastAsiaTheme="minorEastAsia"/>
        </w:rPr>
        <w:footnoteRef/>
      </w:r>
      <w:r>
        <w:t xml:space="preserve"> See </w:t>
      </w:r>
      <w:r w:rsidRPr="002F1C39">
        <w:rPr>
          <w:rFonts w:cs="Arial"/>
        </w:rPr>
        <w:t xml:space="preserve">McQuaid, R., Graham, H. and Shapira, M (2013) </w:t>
      </w:r>
      <w:hyperlink r:id="rId84" w:history="1">
        <w:r w:rsidRPr="002F4A2A">
          <w:rPr>
            <w:rStyle w:val="Hyperlink"/>
            <w:rFonts w:cs="Arial"/>
          </w:rPr>
          <w:t>Child Care: Maximising the Participation of Women</w:t>
        </w:r>
      </w:hyperlink>
      <w:r>
        <w:rPr>
          <w:rFonts w:cs="Arial"/>
        </w:rPr>
        <w:t>.</w:t>
      </w:r>
    </w:p>
  </w:footnote>
  <w:footnote w:id="90">
    <w:p w14:paraId="04CC3ED5" w14:textId="77777777" w:rsidR="00370D86" w:rsidRPr="0070196F" w:rsidRDefault="00370D86" w:rsidP="00836F54">
      <w:pPr>
        <w:pStyle w:val="FootnoteText"/>
      </w:pPr>
      <w:r>
        <w:rPr>
          <w:rStyle w:val="FootnoteReference"/>
          <w:rFonts w:eastAsiaTheme="minorEastAsia"/>
        </w:rPr>
        <w:footnoteRef/>
      </w:r>
      <w:r>
        <w:t xml:space="preserve"> In 2015, the </w:t>
      </w:r>
      <w:r w:rsidRPr="00124ABB">
        <w:t>former OFMDFM carried out a consultation on a draft Executive Childcare Strategy</w:t>
      </w:r>
      <w:r w:rsidRPr="0070196F">
        <w:t>.</w:t>
      </w:r>
    </w:p>
  </w:footnote>
  <w:footnote w:id="91">
    <w:p w14:paraId="69308048" w14:textId="77777777" w:rsidR="00370D86" w:rsidRPr="0003688F" w:rsidRDefault="00370D86" w:rsidP="00300FFA">
      <w:pPr>
        <w:pStyle w:val="FootnoteText"/>
      </w:pPr>
      <w:r w:rsidRPr="00124ABB">
        <w:rPr>
          <w:rStyle w:val="FootnoteReference"/>
        </w:rPr>
        <w:footnoteRef/>
      </w:r>
      <w:r w:rsidRPr="00124ABB">
        <w:t xml:space="preserve"> </w:t>
      </w:r>
      <w:r w:rsidRPr="001B63C7">
        <w:t xml:space="preserve">There is a proposal by Department for Education to extend free childcare provision available to families with children aged 3 / 4 years for up to 38 weeks. See draft </w:t>
      </w:r>
      <w:hyperlink r:id="rId85" w:history="1">
        <w:r w:rsidRPr="001B63C7">
          <w:rPr>
            <w:rStyle w:val="Hyperlink"/>
          </w:rPr>
          <w:t>PfG Delivery plan (2017) for Indicators 17,32, 33</w:t>
        </w:r>
      </w:hyperlink>
      <w:r w:rsidRPr="001B63C7">
        <w:t>. In 2017, in England, unlike in Northern Ireland, measures have been introduced to increase the provision of childcare, namely 30 hours free childcare for eligible families for parents of children aged 3/4 years old.</w:t>
      </w:r>
    </w:p>
  </w:footnote>
  <w:footnote w:id="92">
    <w:p w14:paraId="04B6377B" w14:textId="77777777" w:rsidR="00370D86" w:rsidRPr="00AC1D58" w:rsidRDefault="00370D86" w:rsidP="0083306F">
      <w:pPr>
        <w:rPr>
          <w:rFonts w:cs="Arial"/>
          <w:sz w:val="20"/>
          <w:szCs w:val="20"/>
        </w:rPr>
      </w:pPr>
      <w:r w:rsidRPr="004B706B">
        <w:rPr>
          <w:rStyle w:val="FootnoteReference"/>
          <w:rFonts w:eastAsiaTheme="minorEastAsia"/>
          <w:sz w:val="20"/>
          <w:szCs w:val="20"/>
        </w:rPr>
        <w:footnoteRef/>
      </w:r>
      <w:r w:rsidRPr="004B706B">
        <w:rPr>
          <w:sz w:val="20"/>
          <w:szCs w:val="20"/>
        </w:rPr>
        <w:t xml:space="preserve"> </w:t>
      </w:r>
      <w:r>
        <w:rPr>
          <w:sz w:val="20"/>
          <w:szCs w:val="20"/>
        </w:rPr>
        <w:t>Barriers include a</w:t>
      </w:r>
      <w:r w:rsidRPr="00836F54">
        <w:rPr>
          <w:sz w:val="20"/>
          <w:szCs w:val="20"/>
        </w:rPr>
        <w:t xml:space="preserve"> lack of information and accessibility, and</w:t>
      </w:r>
      <w:r>
        <w:rPr>
          <w:sz w:val="20"/>
          <w:szCs w:val="20"/>
        </w:rPr>
        <w:t xml:space="preserve"> the research</w:t>
      </w:r>
      <w:r w:rsidRPr="00836F54">
        <w:rPr>
          <w:sz w:val="20"/>
          <w:szCs w:val="20"/>
        </w:rPr>
        <w:t xml:space="preserve"> also recommended awareness training for health service staff</w:t>
      </w:r>
      <w:r>
        <w:rPr>
          <w:sz w:val="20"/>
          <w:szCs w:val="20"/>
        </w:rPr>
        <w:t xml:space="preserve">. </w:t>
      </w:r>
      <w:r w:rsidRPr="00836F54">
        <w:rPr>
          <w:sz w:val="20"/>
          <w:szCs w:val="20"/>
        </w:rPr>
        <w:t xml:space="preserve"> </w:t>
      </w:r>
      <w:r w:rsidRPr="00AC1D58">
        <w:rPr>
          <w:rFonts w:cs="Arial"/>
          <w:sz w:val="20"/>
          <w:szCs w:val="20"/>
        </w:rPr>
        <w:t>See Harper, C., McClenahan, S., Byrne, B. and Russell, H. (2012): ‘</w:t>
      </w:r>
      <w:hyperlink r:id="rId86" w:history="1">
        <w:r w:rsidRPr="00AC1D58">
          <w:rPr>
            <w:rStyle w:val="Hyperlink"/>
            <w:rFonts w:cs="Arial"/>
            <w:i/>
            <w:sz w:val="20"/>
            <w:szCs w:val="20"/>
          </w:rPr>
          <w:t>Disability programmes and policies: How does Northern Ireland measure up? Monitoring Implementation (public policy and programmes) of the UNCRPD in Northern Ireland</w:t>
        </w:r>
        <w:r w:rsidRPr="00AC1D58">
          <w:rPr>
            <w:rStyle w:val="Hyperlink"/>
            <w:rFonts w:cs="Arial"/>
            <w:sz w:val="20"/>
            <w:szCs w:val="20"/>
          </w:rPr>
          <w:t>’</w:t>
        </w:r>
      </w:hyperlink>
      <w:r w:rsidRPr="00AC1D58">
        <w:rPr>
          <w:rFonts w:cs="Arial"/>
          <w:sz w:val="20"/>
          <w:szCs w:val="20"/>
        </w:rPr>
        <w:t>, p. 60 ECNI</w:t>
      </w:r>
      <w:r>
        <w:rPr>
          <w:rFonts w:cs="Arial"/>
          <w:sz w:val="20"/>
          <w:szCs w:val="20"/>
        </w:rPr>
        <w:t>. See also ECNI</w:t>
      </w:r>
      <w:r w:rsidRPr="00F362DD">
        <w:rPr>
          <w:rFonts w:cs="Arial"/>
          <w:sz w:val="20"/>
          <w:szCs w:val="20"/>
        </w:rPr>
        <w:t xml:space="preserve"> (June 2013): </w:t>
      </w:r>
      <w:hyperlink r:id="rId87" w:history="1">
        <w:r w:rsidRPr="00F362DD">
          <w:rPr>
            <w:rStyle w:val="Hyperlink"/>
            <w:rFonts w:cs="Arial"/>
            <w:sz w:val="20"/>
            <w:szCs w:val="20"/>
          </w:rPr>
          <w:t>Review of the Formal Investigation into the Accessibility of Health Information for People with a Learning Disability in Northern Ireland</w:t>
        </w:r>
      </w:hyperlink>
      <w:r>
        <w:rPr>
          <w:rFonts w:cs="Arial"/>
          <w:sz w:val="20"/>
          <w:szCs w:val="20"/>
        </w:rPr>
        <w:t>.</w:t>
      </w:r>
      <w:r w:rsidRPr="00F362DD">
        <w:rPr>
          <w:rFonts w:cs="Arial"/>
          <w:sz w:val="20"/>
          <w:szCs w:val="20"/>
        </w:rPr>
        <w:t xml:space="preserve">  </w:t>
      </w:r>
    </w:p>
  </w:footnote>
  <w:footnote w:id="93">
    <w:p w14:paraId="5D7B1DAF" w14:textId="77777777" w:rsidR="00370D86" w:rsidRPr="00C55639" w:rsidRDefault="00370D86" w:rsidP="0001453F">
      <w:pPr>
        <w:pStyle w:val="FootnoteText"/>
      </w:pPr>
      <w:r>
        <w:rPr>
          <w:rStyle w:val="FootnoteReference"/>
          <w:rFonts w:eastAsiaTheme="minorEastAsia"/>
        </w:rPr>
        <w:footnoteRef/>
      </w:r>
      <w:r>
        <w:t xml:space="preserve"> See</w:t>
      </w:r>
      <w:r w:rsidRPr="00AD59D5">
        <w:t xml:space="preserve"> </w:t>
      </w:r>
      <w:r>
        <w:t xml:space="preserve">Queiry M (2007) </w:t>
      </w:r>
      <w:hyperlink r:id="rId88" w:history="1">
        <w:r w:rsidRPr="00AD59D5">
          <w:rPr>
            <w:rStyle w:val="Hyperlink"/>
          </w:rPr>
          <w:t>A Review of the impact of discrimination and social exclusion on lesbian and bisexual women's health in Northern Ireland</w:t>
        </w:r>
      </w:hyperlink>
      <w:r>
        <w:t xml:space="preserve">.  </w:t>
      </w:r>
    </w:p>
  </w:footnote>
  <w:footnote w:id="94">
    <w:p w14:paraId="0F8F12DF" w14:textId="789EA923" w:rsidR="00370D86" w:rsidRDefault="00370D86">
      <w:pPr>
        <w:pStyle w:val="FootnoteText"/>
      </w:pPr>
      <w:r>
        <w:rPr>
          <w:rStyle w:val="FootnoteReference"/>
        </w:rPr>
        <w:footnoteRef/>
      </w:r>
      <w:r>
        <w:t xml:space="preserve"> See R.</w:t>
      </w:r>
      <w:r w:rsidRPr="009A3A8A">
        <w:rPr>
          <w:rFonts w:cs="Arial"/>
          <w:lang w:val="en-US"/>
        </w:rPr>
        <w:t>McBride (2011)</w:t>
      </w:r>
      <w:r w:rsidRPr="006B4B98">
        <w:t xml:space="preserve"> </w:t>
      </w:r>
      <w:r w:rsidRPr="009A3A8A">
        <w:t>Institute for Conflict</w:t>
      </w:r>
      <w:r w:rsidRPr="00342077">
        <w:t xml:space="preserve"> Research</w:t>
      </w:r>
      <w:r w:rsidRPr="009A3A8A">
        <w:rPr>
          <w:rFonts w:cs="Arial"/>
          <w:lang w:val="en-US"/>
        </w:rPr>
        <w:t xml:space="preserve"> </w:t>
      </w:r>
      <w:hyperlink r:id="rId89" w:history="1">
        <w:r w:rsidRPr="006B4B98">
          <w:rPr>
            <w:rStyle w:val="Hyperlink"/>
            <w:rFonts w:cs="Arial"/>
            <w:i/>
            <w:lang w:val="en-US"/>
          </w:rPr>
          <w:t>Healthcare Issues for Transgender People living in Northern Ireland</w:t>
        </w:r>
      </w:hyperlink>
      <w:r>
        <w:rPr>
          <w:rFonts w:cs="Arial"/>
          <w:lang w:val="en-US"/>
        </w:rPr>
        <w:t xml:space="preserve"> </w:t>
      </w:r>
      <w:r w:rsidRPr="003D141C">
        <w:t xml:space="preserve"> </w:t>
      </w:r>
      <w:r>
        <w:t xml:space="preserve">which </w:t>
      </w:r>
      <w:r w:rsidRPr="000F181B">
        <w:t>found that a lack of awareness and understanding</w:t>
      </w:r>
      <w:r>
        <w:t xml:space="preserve"> among healthcare professionals.</w:t>
      </w:r>
    </w:p>
  </w:footnote>
  <w:footnote w:id="95">
    <w:p w14:paraId="572E9EA9" w14:textId="015E75FF" w:rsidR="00370D86" w:rsidRDefault="00370D86">
      <w:pPr>
        <w:pStyle w:val="FootnoteText"/>
      </w:pPr>
      <w:r>
        <w:rPr>
          <w:rStyle w:val="FootnoteReference"/>
        </w:rPr>
        <w:footnoteRef/>
      </w:r>
      <w:r>
        <w:t xml:space="preserve"> See </w:t>
      </w:r>
      <w:r w:rsidRPr="00764958">
        <w:t>RQIA (2017)</w:t>
      </w:r>
      <w:r w:rsidRPr="002C28FE">
        <w:t xml:space="preserve"> </w:t>
      </w:r>
      <w:hyperlink r:id="rId90" w:history="1">
        <w:r w:rsidRPr="00DC4718">
          <w:rPr>
            <w:rStyle w:val="Hyperlink"/>
          </w:rPr>
          <w:t>Review of Perinatal Mental Health Services in Northern Ireland</w:t>
        </w:r>
      </w:hyperlink>
      <w:r>
        <w:t>.</w:t>
      </w:r>
      <w:r w:rsidRPr="002C28FE">
        <w:t xml:space="preserve"> </w:t>
      </w:r>
    </w:p>
  </w:footnote>
  <w:footnote w:id="96">
    <w:p w14:paraId="643E06D2" w14:textId="77777777" w:rsidR="00370D86" w:rsidRDefault="00370D86">
      <w:pPr>
        <w:pStyle w:val="FootnoteText"/>
      </w:pPr>
      <w:r>
        <w:rPr>
          <w:rStyle w:val="FootnoteReference"/>
        </w:rPr>
        <w:footnoteRef/>
      </w:r>
      <w:r>
        <w:t xml:space="preserve"> </w:t>
      </w:r>
      <w:r w:rsidRPr="00F269DB">
        <w:t xml:space="preserve">See DOJ/DOH working group on fatal foetal abnormality (2016), </w:t>
      </w:r>
      <w:hyperlink r:id="rId91" w:history="1">
        <w:r w:rsidRPr="00F269DB">
          <w:rPr>
            <w:rStyle w:val="Hyperlink"/>
            <w:i/>
          </w:rPr>
          <w:t>Report of the working group on fatal foetal abnormality</w:t>
        </w:r>
      </w:hyperlink>
      <w:r w:rsidRPr="00F269DB">
        <w:t xml:space="preserve">. </w:t>
      </w:r>
    </w:p>
  </w:footnote>
  <w:footnote w:id="97">
    <w:p w14:paraId="3A987FC1" w14:textId="77777777" w:rsidR="00370D86" w:rsidRDefault="00370D86" w:rsidP="006522F6">
      <w:pPr>
        <w:pStyle w:val="FootnoteText"/>
      </w:pPr>
      <w:r>
        <w:rPr>
          <w:rStyle w:val="FootnoteReference"/>
        </w:rPr>
        <w:footnoteRef/>
      </w:r>
      <w:r>
        <w:t xml:space="preserve"> Following a judicial review application by t</w:t>
      </w:r>
      <w:r w:rsidRPr="00F269DB">
        <w:t xml:space="preserve">he </w:t>
      </w:r>
      <w:r>
        <w:t xml:space="preserve">NI </w:t>
      </w:r>
      <w:r w:rsidRPr="00F269DB">
        <w:t>Human Rights Commission</w:t>
      </w:r>
      <w:r>
        <w:t xml:space="preserve"> (NIHRC),</w:t>
      </w:r>
      <w:r w:rsidRPr="00F269DB">
        <w:t xml:space="preserve"> </w:t>
      </w:r>
      <w:r>
        <w:t xml:space="preserve">a majority of judges of </w:t>
      </w:r>
      <w:r w:rsidRPr="00F269DB">
        <w:t xml:space="preserve">the </w:t>
      </w:r>
      <w:r>
        <w:t xml:space="preserve">UK </w:t>
      </w:r>
      <w:r w:rsidRPr="00F269DB">
        <w:t>Supreme Court</w:t>
      </w:r>
      <w:r>
        <w:t>,</w:t>
      </w:r>
      <w:r w:rsidRPr="00F269DB">
        <w:t xml:space="preserve"> </w:t>
      </w:r>
      <w:r>
        <w:t xml:space="preserve">in its </w:t>
      </w:r>
      <w:hyperlink r:id="rId92" w:history="1">
        <w:r w:rsidRPr="00BE0DD8">
          <w:rPr>
            <w:rStyle w:val="Hyperlink"/>
          </w:rPr>
          <w:t>decision</w:t>
        </w:r>
      </w:hyperlink>
      <w:r>
        <w:t xml:space="preserve"> of 7 June 2018, concluded that abortion law in Northern Ireland was incompatible with Article 8 (right to respect for private and family life) of the European Convention on Human Rights; though the Court also held it did not have the jurisdiction to make a declaration of incompatibility.  For further information see also NIHRC’s </w:t>
      </w:r>
      <w:hyperlink r:id="rId93" w:history="1">
        <w:r w:rsidRPr="00C569B1">
          <w:rPr>
            <w:rStyle w:val="Hyperlink"/>
          </w:rPr>
          <w:t>Statement</w:t>
        </w:r>
      </w:hyperlink>
      <w:r>
        <w:t xml:space="preserve"> on Court decision (7 June 2018) </w:t>
      </w:r>
    </w:p>
  </w:footnote>
  <w:footnote w:id="98">
    <w:p w14:paraId="04687256" w14:textId="77777777" w:rsidR="00370D86" w:rsidRDefault="00370D86" w:rsidP="00A259E3">
      <w:pPr>
        <w:pStyle w:val="FootnoteText"/>
      </w:pPr>
      <w:r>
        <w:rPr>
          <w:rStyle w:val="FootnoteReference"/>
        </w:rPr>
        <w:footnoteRef/>
      </w:r>
      <w:r>
        <w:t xml:space="preserve"> In May 2018 a </w:t>
      </w:r>
      <w:hyperlink r:id="rId94" w:history="1">
        <w:r>
          <w:rPr>
            <w:rStyle w:val="Hyperlink"/>
          </w:rPr>
          <w:t>r</w:t>
        </w:r>
        <w:r w:rsidRPr="00E732F6">
          <w:rPr>
            <w:rStyle w:val="Hyperlink"/>
          </w:rPr>
          <w:t xml:space="preserve">eferendum in Ireland supported </w:t>
        </w:r>
        <w:r>
          <w:rPr>
            <w:rStyle w:val="Hyperlink"/>
          </w:rPr>
          <w:t xml:space="preserve">repeal </w:t>
        </w:r>
        <w:r w:rsidRPr="00E732F6">
          <w:rPr>
            <w:rStyle w:val="Hyperlink"/>
          </w:rPr>
          <w:t>(by 66.4% to 33.6%</w:t>
        </w:r>
        <w:r>
          <w:rPr>
            <w:rStyle w:val="Hyperlink"/>
          </w:rPr>
          <w:t xml:space="preserve"> of the vote</w:t>
        </w:r>
        <w:r w:rsidRPr="00E732F6">
          <w:rPr>
            <w:rStyle w:val="Hyperlink"/>
          </w:rPr>
          <w:t>)</w:t>
        </w:r>
      </w:hyperlink>
      <w:r>
        <w:t xml:space="preserve"> of the </w:t>
      </w:r>
      <w:r w:rsidRPr="003F51C5">
        <w:t>Eighth Amendment</w:t>
      </w:r>
      <w:r>
        <w:t xml:space="preserve"> of the Irish Constitution and reform of </w:t>
      </w:r>
      <w:r w:rsidRPr="00E732F6">
        <w:t>their abortion law.</w:t>
      </w:r>
      <w:r>
        <w:t xml:space="preserve"> Since then there have been further calls for the reform of abortion law in Northern Ireland, for example see - </w:t>
      </w:r>
      <w:hyperlink r:id="rId95" w:history="1">
        <w:r w:rsidRPr="00080F15">
          <w:rPr>
            <w:rStyle w:val="Hyperlink"/>
          </w:rPr>
          <w:t>http://www.bbc.co.uk/news/uk-44266135</w:t>
        </w:r>
      </w:hyperlink>
      <w:r>
        <w:t xml:space="preserve">  </w:t>
      </w:r>
    </w:p>
  </w:footnote>
  <w:footnote w:id="99">
    <w:p w14:paraId="35F6F33B" w14:textId="77777777" w:rsidR="00370D86" w:rsidRPr="009A3A8A" w:rsidRDefault="00370D86" w:rsidP="00A259E3">
      <w:pPr>
        <w:pStyle w:val="FootnoteText"/>
      </w:pPr>
      <w:r w:rsidRPr="009A3A8A">
        <w:rPr>
          <w:rStyle w:val="FootnoteReference"/>
        </w:rPr>
        <w:footnoteRef/>
      </w:r>
      <w:r w:rsidRPr="009A3A8A">
        <w:t xml:space="preserve"> </w:t>
      </w:r>
      <w:r>
        <w:t xml:space="preserve">ECNI called for a full public consultation on abortion law in 2013 in its </w:t>
      </w:r>
      <w:hyperlink r:id="rId96" w:history="1">
        <w:r w:rsidRPr="00D31935">
          <w:rPr>
            <w:rStyle w:val="Hyperlink"/>
          </w:rPr>
          <w:t>CEDAW shadow report</w:t>
        </w:r>
      </w:hyperlink>
      <w:r>
        <w:rPr>
          <w:rStyle w:val="Hyperlink"/>
        </w:rPr>
        <w:t xml:space="preserve">. </w:t>
      </w:r>
      <w:r w:rsidRPr="00E640F3">
        <w:t xml:space="preserve">In </w:t>
      </w:r>
      <w:r>
        <w:t xml:space="preserve">2015, in response </w:t>
      </w:r>
      <w:r w:rsidRPr="00E640F3">
        <w:t xml:space="preserve">to the DOJ consultation, </w:t>
      </w:r>
      <w:r w:rsidRPr="00E640F3">
        <w:rPr>
          <w:i/>
        </w:rPr>
        <w:t>The Criminal Law on Abortion: lethal foetal abnormality and sexual crime</w:t>
      </w:r>
      <w:r>
        <w:rPr>
          <w:i/>
        </w:rPr>
        <w:t>,</w:t>
      </w:r>
      <w:r w:rsidRPr="00E640F3">
        <w:rPr>
          <w:i/>
        </w:rPr>
        <w:t xml:space="preserve"> </w:t>
      </w:r>
      <w:r>
        <w:t>ECNI</w:t>
      </w:r>
      <w:r w:rsidRPr="00E640F3">
        <w:t xml:space="preserve"> agreed that there was a pressing need to </w:t>
      </w:r>
      <w:r w:rsidRPr="00E640F3">
        <w:rPr>
          <w:i/>
        </w:rPr>
        <w:t>consider</w:t>
      </w:r>
      <w:r w:rsidRPr="00E640F3">
        <w:t xml:space="preserve"> a change to the criminal law on abortion to provide for lawful termination of pregnancy as an option for women in certain limited and clearly defined circumstances, including on the ground of lethal foetal abnormality, where such changes are considered compatible with human rights law.  We also supported the Department’s proposal to </w:t>
      </w:r>
      <w:r w:rsidRPr="00E640F3">
        <w:rPr>
          <w:i/>
        </w:rPr>
        <w:t>consider</w:t>
      </w:r>
      <w:r w:rsidRPr="00E640F3">
        <w:t xml:space="preserve"> whether or not to make provision for abortion in the case of pregnancy resulting from sexual crime</w:t>
      </w:r>
      <w:r>
        <w:t xml:space="preserve">, and </w:t>
      </w:r>
      <w:r w:rsidRPr="00E640F3">
        <w:t xml:space="preserve">how, in the event of changes to the criminal law relating to abortion, a right of conscientious objection might be included.  ECNI </w:t>
      </w:r>
      <w:hyperlink r:id="rId97" w:history="1">
        <w:r w:rsidRPr="00E640F3">
          <w:rPr>
            <w:rStyle w:val="Hyperlink"/>
            <w:i/>
          </w:rPr>
          <w:t>Response to DOJ consultation on abortion</w:t>
        </w:r>
      </w:hyperlink>
      <w:r w:rsidRPr="00E640F3">
        <w:t xml:space="preserve"> 2015</w:t>
      </w:r>
      <w:r>
        <w:t>.</w:t>
      </w:r>
      <w:r w:rsidRPr="009A3A8A">
        <w:t xml:space="preserve"> </w:t>
      </w:r>
    </w:p>
  </w:footnote>
  <w:footnote w:id="100">
    <w:p w14:paraId="5DDDFBCB" w14:textId="3F154D16" w:rsidR="00370D86" w:rsidRDefault="00370D86" w:rsidP="00A02926">
      <w:pPr>
        <w:pStyle w:val="FootnoteText"/>
      </w:pPr>
      <w:r>
        <w:rPr>
          <w:rStyle w:val="FootnoteReference"/>
        </w:rPr>
        <w:footnoteRef/>
      </w:r>
      <w:r>
        <w:t xml:space="preserve"> </w:t>
      </w:r>
      <w:r w:rsidRPr="00A02926">
        <w:t xml:space="preserve">Prior to the introduction of </w:t>
      </w:r>
      <w:r>
        <w:t>Universal Credit, ECNI</w:t>
      </w:r>
      <w:r w:rsidRPr="00A02926">
        <w:t xml:space="preserve"> raised concerns that the potential negative impact on women of the proposed household payment arrangements had not been identified nor acted upon</w:t>
      </w:r>
      <w:r>
        <w:t xml:space="preserve"> - see ECNI (2011) </w:t>
      </w:r>
      <w:hyperlink r:id="rId98" w:history="1">
        <w:r w:rsidRPr="008B4151">
          <w:rPr>
            <w:rStyle w:val="Hyperlink"/>
          </w:rPr>
          <w:t>Response to DSD consultation on Welfare Reform Bill (NI) 2011 EQIA</w:t>
        </w:r>
      </w:hyperlink>
      <w:r>
        <w:t xml:space="preserve"> </w:t>
      </w:r>
      <w:r w:rsidRPr="0025077E">
        <w:t xml:space="preserve"> </w:t>
      </w:r>
      <w:r>
        <w:t xml:space="preserve">and </w:t>
      </w:r>
      <w:r w:rsidRPr="0025077E">
        <w:t>ECNI (2012</w:t>
      </w:r>
      <w:hyperlink r:id="rId99" w:history="1">
        <w:r w:rsidRPr="0025077E">
          <w:rPr>
            <w:rStyle w:val="Hyperlink"/>
          </w:rPr>
          <w:t>) Welfare Reform Bill (Northern Ireland) Submission to the Ad Hoc Committee on Conformity with Equality Requirements</w:t>
        </w:r>
      </w:hyperlink>
      <w:r w:rsidRPr="0025077E">
        <w:t>.</w:t>
      </w:r>
    </w:p>
  </w:footnote>
  <w:footnote w:id="101">
    <w:p w14:paraId="28118106" w14:textId="77777777" w:rsidR="00370D86" w:rsidRPr="001B2AA0" w:rsidRDefault="00370D86" w:rsidP="00C640BD">
      <w:pPr>
        <w:pStyle w:val="FootnoteText"/>
        <w:rPr>
          <w:rFonts w:cs="Arial"/>
        </w:rPr>
      </w:pPr>
      <w:r>
        <w:rPr>
          <w:rStyle w:val="FootnoteReference"/>
          <w:rFonts w:eastAsiaTheme="minorEastAsia"/>
        </w:rPr>
        <w:footnoteRef/>
      </w:r>
      <w:r>
        <w:t xml:space="preserve"> </w:t>
      </w:r>
      <w:r>
        <w:rPr>
          <w:rFonts w:cs="Arial"/>
        </w:rPr>
        <w:t xml:space="preserve">The </w:t>
      </w:r>
      <w:hyperlink r:id="rId100" w:history="1">
        <w:r w:rsidRPr="005220CC">
          <w:rPr>
            <w:rStyle w:val="Hyperlink"/>
            <w:rFonts w:cs="Arial"/>
          </w:rPr>
          <w:t>Welfare Reform (NI) Order 2015</w:t>
        </w:r>
      </w:hyperlink>
      <w:r>
        <w:rPr>
          <w:rFonts w:cs="Arial"/>
        </w:rPr>
        <w:t xml:space="preserve"> is being implemented on a phased basis in NI. </w:t>
      </w:r>
      <w:r w:rsidRPr="005B6BAF">
        <w:rPr>
          <w:rFonts w:cs="Arial"/>
        </w:rPr>
        <w:t>The welfare reform measures are broadly similar to the measures passed into law in G</w:t>
      </w:r>
      <w:r>
        <w:rPr>
          <w:rFonts w:cs="Arial"/>
        </w:rPr>
        <w:t xml:space="preserve">reat </w:t>
      </w:r>
      <w:r w:rsidRPr="005B6BAF">
        <w:rPr>
          <w:rFonts w:cs="Arial"/>
        </w:rPr>
        <w:t>B</w:t>
      </w:r>
      <w:r>
        <w:rPr>
          <w:rFonts w:cs="Arial"/>
        </w:rPr>
        <w:t>ritain</w:t>
      </w:r>
      <w:r w:rsidRPr="005B6BAF">
        <w:rPr>
          <w:rFonts w:cs="Arial"/>
        </w:rPr>
        <w:t xml:space="preserve">. </w:t>
      </w:r>
      <w:r>
        <w:rPr>
          <w:rFonts w:cs="Arial"/>
        </w:rPr>
        <w:t>See also</w:t>
      </w:r>
      <w:r w:rsidRPr="001B2AA0">
        <w:rPr>
          <w:rFonts w:cs="Arial"/>
          <w:i/>
        </w:rPr>
        <w:t xml:space="preserve"> </w:t>
      </w:r>
      <w:hyperlink r:id="rId101" w:history="1">
        <w:r>
          <w:rPr>
            <w:rStyle w:val="Hyperlink"/>
            <w:i/>
          </w:rPr>
          <w:t>NI</w:t>
        </w:r>
        <w:r w:rsidRPr="001B2AA0">
          <w:rPr>
            <w:rStyle w:val="Hyperlink"/>
            <w:i/>
          </w:rPr>
          <w:t xml:space="preserve"> (Welfare Reform) Act 2015</w:t>
        </w:r>
      </w:hyperlink>
      <w:r>
        <w:t xml:space="preserve">.  </w:t>
      </w:r>
    </w:p>
  </w:footnote>
  <w:footnote w:id="102">
    <w:p w14:paraId="428F9AB2" w14:textId="77777777" w:rsidR="00370D86" w:rsidRDefault="00370D86" w:rsidP="00C640BD">
      <w:pPr>
        <w:pStyle w:val="zNormalparagraph"/>
        <w:rPr>
          <w:sz w:val="20"/>
          <w:szCs w:val="20"/>
        </w:rPr>
      </w:pPr>
      <w:r w:rsidRPr="00AB436C">
        <w:rPr>
          <w:rStyle w:val="FootnoteReference"/>
          <w:rFonts w:eastAsiaTheme="minorEastAsia"/>
          <w:sz w:val="20"/>
        </w:rPr>
        <w:footnoteRef/>
      </w:r>
      <w:r>
        <w:rPr>
          <w:sz w:val="20"/>
          <w:szCs w:val="20"/>
        </w:rPr>
        <w:t xml:space="preserve"> In 2016 a series of time-bound ‘mitigation’ for some people measures were agreed by the Executive, with additional budget provision for these measures allocated to March 2020. Measures include supplementary payments for those who will be adversely affected by the reforms, including carers and lone parents; for example, payments to mitigate the impact of the benefit cap on households with children, and the loss of carer payments as a result of PIP assessment; and a Discretionary Support Scheme to provide short term financial support in </w:t>
      </w:r>
      <w:r w:rsidRPr="00535CC7">
        <w:rPr>
          <w:sz w:val="20"/>
          <w:szCs w:val="20"/>
        </w:rPr>
        <w:t>crisis situation</w:t>
      </w:r>
      <w:r>
        <w:rPr>
          <w:sz w:val="20"/>
          <w:szCs w:val="20"/>
        </w:rPr>
        <w:t xml:space="preserve">s. See Evason E, (2016) </w:t>
      </w:r>
      <w:hyperlink r:id="rId102" w:history="1">
        <w:r w:rsidRPr="00C34393">
          <w:rPr>
            <w:rStyle w:val="Hyperlink"/>
            <w:i/>
            <w:sz w:val="20"/>
            <w:szCs w:val="20"/>
          </w:rPr>
          <w:t>Welfare reform working group mitigations Report</w:t>
        </w:r>
      </w:hyperlink>
    </w:p>
  </w:footnote>
  <w:footnote w:id="103">
    <w:p w14:paraId="58E38F14" w14:textId="77777777" w:rsidR="00BD7527" w:rsidRDefault="00BD7527" w:rsidP="00BD7527">
      <w:pPr>
        <w:pStyle w:val="FootnoteText"/>
      </w:pPr>
      <w:r>
        <w:rPr>
          <w:rStyle w:val="FootnoteReference"/>
        </w:rPr>
        <w:footnoteRef/>
      </w:r>
      <w:r>
        <w:t xml:space="preserve"> </w:t>
      </w:r>
      <w:r w:rsidRPr="00AB436C">
        <w:t xml:space="preserve">DWP (2018) </w:t>
      </w:r>
      <w:hyperlink r:id="rId103" w:history="1">
        <w:r w:rsidRPr="00AB436C">
          <w:rPr>
            <w:rStyle w:val="Hyperlink"/>
          </w:rPr>
          <w:t>Personal Budgeting Support and Alternative Payment Arrangements: Guidance</w:t>
        </w:r>
      </w:hyperlink>
      <w:r>
        <w:t>.</w:t>
      </w:r>
    </w:p>
  </w:footnote>
  <w:footnote w:id="104">
    <w:p w14:paraId="038328F3" w14:textId="1BE3D0AA" w:rsidR="00370D86" w:rsidRDefault="00370D86" w:rsidP="00A03ADB">
      <w:pPr>
        <w:pStyle w:val="FootnoteText"/>
      </w:pPr>
      <w:r>
        <w:rPr>
          <w:rStyle w:val="FootnoteReference"/>
        </w:rPr>
        <w:footnoteRef/>
      </w:r>
      <w:r>
        <w:t xml:space="preserve"> See DWP (2018) </w:t>
      </w:r>
      <w:hyperlink r:id="rId104" w:history="1">
        <w:r w:rsidRPr="00F324E1">
          <w:rPr>
            <w:rStyle w:val="Hyperlink"/>
            <w:i/>
          </w:rPr>
          <w:t>Personal Budgeting Support and Alternative Payment Arrangements: Guidance</w:t>
        </w:r>
      </w:hyperlink>
      <w:r>
        <w:t>.</w:t>
      </w:r>
    </w:p>
  </w:footnote>
  <w:footnote w:id="105">
    <w:p w14:paraId="59C6A933" w14:textId="77777777" w:rsidR="00370D86" w:rsidRDefault="00370D86" w:rsidP="002B334D">
      <w:pPr>
        <w:pStyle w:val="FootnoteText"/>
      </w:pPr>
      <w:r>
        <w:rPr>
          <w:rStyle w:val="FootnoteReference"/>
        </w:rPr>
        <w:footnoteRef/>
      </w:r>
      <w:r>
        <w:t xml:space="preserve"> The Work and Pensions Committee Inquiry (2018) has recommended that where claimants have dependent children, the entire Universal Credit payment should be made to the main carer by default. See, House of Commons Work and Pensions Committee (2018) Inquiry</w:t>
      </w:r>
      <w:hyperlink r:id="rId105" w:history="1">
        <w:r w:rsidRPr="00C85E9D">
          <w:rPr>
            <w:rStyle w:val="Hyperlink"/>
          </w:rPr>
          <w:t>, Universal credit and domestic abuse: Government response to the Committee’s Seventeenth Report</w:t>
        </w:r>
      </w:hyperlink>
      <w:r>
        <w:t>.</w:t>
      </w:r>
    </w:p>
  </w:footnote>
  <w:footnote w:id="106">
    <w:p w14:paraId="74BDD378" w14:textId="68EAA5FA" w:rsidR="00370D86" w:rsidRDefault="00370D86">
      <w:pPr>
        <w:pStyle w:val="FootnoteText"/>
      </w:pPr>
      <w:r>
        <w:rPr>
          <w:rStyle w:val="FootnoteReference"/>
        </w:rPr>
        <w:footnoteRef/>
      </w:r>
      <w:r>
        <w:t xml:space="preserve"> </w:t>
      </w:r>
      <w:r w:rsidRPr="00B97E63">
        <w:t>The UK Government has recently indicated its commitment to ensuring that household payments under Universal Credit go d</w:t>
      </w:r>
      <w:r>
        <w:t xml:space="preserve">irectly to the main carer. See </w:t>
      </w:r>
      <w:hyperlink r:id="rId106" w:history="1">
        <w:r w:rsidRPr="00E635F7">
          <w:rPr>
            <w:rStyle w:val="Hyperlink"/>
          </w:rPr>
          <w:t>speech</w:t>
        </w:r>
      </w:hyperlink>
      <w:r w:rsidRPr="00B97E63">
        <w:t xml:space="preserve"> by Amber Rudd MP, Work and Pensions</w:t>
      </w:r>
      <w:r>
        <w:t xml:space="preserve"> Secretary, on 11 January 2019 (</w:t>
      </w:r>
      <w:r w:rsidRPr="00B97E63">
        <w:t>accessed on 11 January 2019).</w:t>
      </w:r>
    </w:p>
  </w:footnote>
  <w:footnote w:id="107">
    <w:p w14:paraId="3555E8D6" w14:textId="77777777" w:rsidR="00370D86" w:rsidRDefault="00370D86">
      <w:pPr>
        <w:pStyle w:val="FootnoteText"/>
      </w:pPr>
      <w:r>
        <w:rPr>
          <w:rStyle w:val="FootnoteReference"/>
        </w:rPr>
        <w:footnoteRef/>
      </w:r>
      <w:r>
        <w:t xml:space="preserve"> A </w:t>
      </w:r>
      <w:r w:rsidRPr="00632194">
        <w:t xml:space="preserve">Treasury Committee </w:t>
      </w:r>
      <w:r>
        <w:t>Childcare I</w:t>
      </w:r>
      <w:r w:rsidRPr="00632194">
        <w:t>nquiry</w:t>
      </w:r>
      <w:r>
        <w:t xml:space="preserve"> stated that ‘t</w:t>
      </w:r>
      <w:r w:rsidRPr="00632194">
        <w:t>he childcare element of Universal Credit plays a crucial role in supporting the lowest-paid parents into work. But requiring parents to pay for their childcare costs up front, before seeking reimbursement later, is a fundamental design flaw that undermines this objective, and should be rectified as a matter of urgency</w:t>
      </w:r>
      <w:r>
        <w:t>’</w:t>
      </w:r>
      <w:r w:rsidRPr="00632194">
        <w:t xml:space="preserve">. </w:t>
      </w:r>
      <w:r>
        <w:t xml:space="preserve">In its </w:t>
      </w:r>
      <w:hyperlink r:id="rId107" w:history="1">
        <w:r w:rsidRPr="00124051">
          <w:rPr>
            <w:rStyle w:val="Hyperlink"/>
          </w:rPr>
          <w:t>Response</w:t>
        </w:r>
      </w:hyperlink>
      <w:r>
        <w:t>, the UK Government has recognised that some childcare providers require payment in advance and that for UC claimants starting work or increasing their hours, some may have difficulty in paying.</w:t>
      </w:r>
      <w:r w:rsidRPr="00124051">
        <w:t xml:space="preserve"> </w:t>
      </w:r>
      <w:r>
        <w:t xml:space="preserve">See </w:t>
      </w:r>
      <w:r w:rsidRPr="00632194">
        <w:t xml:space="preserve">Treasury Committee </w:t>
      </w:r>
      <w:r>
        <w:t xml:space="preserve">(2018) </w:t>
      </w:r>
      <w:hyperlink r:id="rId108" w:history="1">
        <w:r w:rsidRPr="00632194">
          <w:rPr>
            <w:rStyle w:val="Hyperlink"/>
          </w:rPr>
          <w:t>Childcare Inquiry</w:t>
        </w:r>
      </w:hyperlink>
      <w:r>
        <w:t>.</w:t>
      </w:r>
    </w:p>
  </w:footnote>
  <w:footnote w:id="108">
    <w:p w14:paraId="3BD23561" w14:textId="77777777" w:rsidR="00370D86" w:rsidRDefault="00370D86" w:rsidP="00124051">
      <w:pPr>
        <w:pStyle w:val="FootnoteText"/>
      </w:pPr>
      <w:r>
        <w:rPr>
          <w:rStyle w:val="FootnoteReference"/>
        </w:rPr>
        <w:footnoteRef/>
      </w:r>
      <w:r>
        <w:t xml:space="preserve"> The childcare voucher scheme was closed to new applicants across the UK in October 2018. </w:t>
      </w:r>
      <w:r w:rsidRPr="00632194">
        <w:t xml:space="preserve">Tax-Free Childcare </w:t>
      </w:r>
      <w:r>
        <w:t xml:space="preserve">(TFC) was introduced to childcare vouchers. A </w:t>
      </w:r>
      <w:r w:rsidRPr="00632194">
        <w:t xml:space="preserve">Treasury Committee </w:t>
      </w:r>
      <w:r>
        <w:t>Childcare I</w:t>
      </w:r>
      <w:r w:rsidRPr="00632194">
        <w:t xml:space="preserve">nquiry </w:t>
      </w:r>
      <w:r>
        <w:t>has found that s</w:t>
      </w:r>
      <w:r w:rsidRPr="00632194">
        <w:t xml:space="preserve">ome families will be worse-off under </w:t>
      </w:r>
      <w:r>
        <w:t xml:space="preserve">TFC </w:t>
      </w:r>
      <w:r w:rsidRPr="00632194">
        <w:t>than they would have been with childcare vouchers.</w:t>
      </w:r>
      <w:r>
        <w:t xml:space="preserve"> It has indicated that it</w:t>
      </w:r>
      <w:r w:rsidRPr="00632194">
        <w:t xml:space="preserve"> has not been confirmed whether any impact assessments have been conducted to confirm the extent to which low-income households will be affected by the closure of the childcare vouchers scheme.</w:t>
      </w:r>
      <w:r>
        <w:t xml:space="preserve"> The UK G</w:t>
      </w:r>
      <w:r w:rsidRPr="00124051">
        <w:t>overnment has committed to carry out a post-implementation review of TFC two years after it was implemented.</w:t>
      </w:r>
      <w:r>
        <w:t xml:space="preserve"> Ibid</w:t>
      </w:r>
    </w:p>
  </w:footnote>
  <w:footnote w:id="109">
    <w:p w14:paraId="0A56A9B3" w14:textId="77777777" w:rsidR="00370D86" w:rsidRPr="00C11712" w:rsidRDefault="00370D86" w:rsidP="007C5055">
      <w:pPr>
        <w:autoSpaceDE w:val="0"/>
        <w:autoSpaceDN w:val="0"/>
        <w:adjustRightInd w:val="0"/>
        <w:rPr>
          <w:rFonts w:ascii="MinionPro-Regular" w:eastAsiaTheme="minorHAnsi" w:hAnsi="MinionPro-Regular" w:cs="MinionPro-Regular"/>
          <w:sz w:val="20"/>
          <w:szCs w:val="20"/>
          <w:lang w:val="en-US"/>
        </w:rPr>
      </w:pPr>
      <w:r w:rsidRPr="009504C8">
        <w:rPr>
          <w:rStyle w:val="FootnoteReference"/>
          <w:sz w:val="20"/>
        </w:rPr>
        <w:footnoteRef/>
      </w:r>
      <w:r>
        <w:t xml:space="preserve"> </w:t>
      </w:r>
      <w:r w:rsidRPr="00C11712">
        <w:rPr>
          <w:sz w:val="20"/>
          <w:szCs w:val="20"/>
        </w:rPr>
        <w:t xml:space="preserve">The Joint Committee on Human Rights has raised concerns about service provision for </w:t>
      </w:r>
      <w:r>
        <w:rPr>
          <w:rFonts w:ascii="MinionPro-Regular" w:eastAsiaTheme="minorHAnsi" w:hAnsi="MinionPro-Regular" w:cs="MinionPro-Regular"/>
          <w:sz w:val="20"/>
          <w:szCs w:val="20"/>
          <w:lang w:val="en-US"/>
        </w:rPr>
        <w:t>victims of</w:t>
      </w:r>
      <w:r w:rsidRPr="00C11712">
        <w:rPr>
          <w:rFonts w:ascii="MinionPro-Regular" w:eastAsiaTheme="minorHAnsi" w:hAnsi="MinionPro-Regular" w:cs="MinionPro-Regular"/>
          <w:sz w:val="20"/>
          <w:szCs w:val="20"/>
          <w:lang w:val="en-US"/>
        </w:rPr>
        <w:t xml:space="preserve"> domestic violence with insecure immigrati</w:t>
      </w:r>
      <w:r>
        <w:rPr>
          <w:rFonts w:ascii="MinionPro-Regular" w:eastAsiaTheme="minorHAnsi" w:hAnsi="MinionPro-Regular" w:cs="MinionPro-Regular"/>
          <w:sz w:val="20"/>
          <w:szCs w:val="20"/>
          <w:lang w:val="en-US"/>
        </w:rPr>
        <w:t xml:space="preserve">on status, asylum </w:t>
      </w:r>
      <w:r w:rsidRPr="00C11712">
        <w:rPr>
          <w:rFonts w:ascii="MinionPro-Regular" w:eastAsiaTheme="minorHAnsi" w:hAnsi="MinionPro-Regular" w:cs="MinionPro-Regular"/>
          <w:sz w:val="20"/>
          <w:szCs w:val="20"/>
          <w:lang w:val="en-US"/>
        </w:rPr>
        <w:t>seekers or refugees.</w:t>
      </w:r>
      <w:r w:rsidRPr="00C11712">
        <w:rPr>
          <w:sz w:val="20"/>
          <w:szCs w:val="20"/>
        </w:rPr>
        <w:t xml:space="preserve"> See Joint Committee on HR, </w:t>
      </w:r>
      <w:r>
        <w:rPr>
          <w:sz w:val="20"/>
          <w:szCs w:val="20"/>
        </w:rPr>
        <w:t>(2015)</w:t>
      </w:r>
      <w:r w:rsidRPr="00C11712">
        <w:rPr>
          <w:sz w:val="20"/>
          <w:szCs w:val="20"/>
        </w:rPr>
        <w:t xml:space="preserve"> </w:t>
      </w:r>
      <w:hyperlink r:id="rId109" w:history="1">
        <w:r w:rsidRPr="00C11712">
          <w:rPr>
            <w:rStyle w:val="Hyperlink"/>
            <w:i/>
            <w:sz w:val="20"/>
            <w:szCs w:val="20"/>
          </w:rPr>
          <w:t>Violence Against Women and Girls</w:t>
        </w:r>
      </w:hyperlink>
      <w:r w:rsidRPr="00C11712">
        <w:rPr>
          <w:sz w:val="20"/>
          <w:szCs w:val="20"/>
        </w:rPr>
        <w:t xml:space="preserve"> , 6</w:t>
      </w:r>
      <w:r w:rsidRPr="00C11712">
        <w:rPr>
          <w:sz w:val="20"/>
          <w:szCs w:val="20"/>
          <w:vertAlign w:val="superscript"/>
        </w:rPr>
        <w:t>th</w:t>
      </w:r>
      <w:r>
        <w:rPr>
          <w:sz w:val="20"/>
          <w:szCs w:val="20"/>
        </w:rPr>
        <w:t xml:space="preserve"> Report of Session 2014/15</w:t>
      </w:r>
    </w:p>
  </w:footnote>
  <w:footnote w:id="110">
    <w:p w14:paraId="39B8FB3D" w14:textId="77777777" w:rsidR="00370D86" w:rsidRDefault="00370D86" w:rsidP="007C5055">
      <w:pPr>
        <w:pStyle w:val="FootnoteText"/>
      </w:pPr>
      <w:r>
        <w:rPr>
          <w:rStyle w:val="FootnoteReference"/>
          <w:rFonts w:eastAsiaTheme="minorEastAsia"/>
        </w:rPr>
        <w:footnoteRef/>
      </w:r>
      <w:r>
        <w:t xml:space="preserve"> Concerns have been raised that some women born in the 1950s have been particularly negatively impacted as a result of the State Pension age increases.  See </w:t>
      </w:r>
      <w:r w:rsidRPr="00406D75">
        <w:t>House of Commons Briefing paper, March 2016</w:t>
      </w:r>
      <w:r>
        <w:t xml:space="preserve">, </w:t>
      </w:r>
      <w:hyperlink r:id="rId110" w:anchor="fullreport" w:history="1">
        <w:r w:rsidRPr="00FA1F50">
          <w:rPr>
            <w:rStyle w:val="Hyperlink"/>
          </w:rPr>
          <w:t>State Pension Age Increases for Women Born in the 1950s</w:t>
        </w:r>
      </w:hyperlink>
      <w:r>
        <w:t>. O</w:t>
      </w:r>
      <w:r w:rsidRPr="00041EE6">
        <w:t>n 30 November 2017, the House</w:t>
      </w:r>
      <w:r>
        <w:t xml:space="preserve"> of Commons</w:t>
      </w:r>
      <w:r w:rsidRPr="00041EE6">
        <w:t xml:space="preserve"> </w:t>
      </w:r>
      <w:r>
        <w:t>approved a</w:t>
      </w:r>
      <w:r w:rsidRPr="00041EE6">
        <w:t xml:space="preserve"> motion calling on the Government to im</w:t>
      </w:r>
      <w:r>
        <w:t xml:space="preserve">prove transitional arrangements for women affected </w:t>
      </w:r>
      <w:r w:rsidRPr="00041EE6">
        <w:t>(</w:t>
      </w:r>
      <w:hyperlink r:id="rId111" w:history="1">
        <w:r w:rsidRPr="00041EE6">
          <w:rPr>
            <w:rStyle w:val="Hyperlink"/>
          </w:rPr>
          <w:t>HC Deb 29 November 2017, c410</w:t>
        </w:r>
      </w:hyperlink>
      <w:r w:rsidRPr="00041EE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E27BF" w14:textId="39219655" w:rsidR="00370D86" w:rsidRPr="00DD4D94" w:rsidRDefault="00370D86" w:rsidP="00DD4D94">
    <w:pPr>
      <w:pStyle w:val="Header"/>
      <w:jc w:val="right"/>
      <w:rPr>
        <w:rFonts w:ascii="Arial Bold" w:hAnsi="Arial Bold"/>
        <w:b/>
        <w:sz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98594" w14:textId="515322D3" w:rsidR="00370D86" w:rsidRDefault="00370D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D36D9" w14:textId="7D6BDC87" w:rsidR="00370D86" w:rsidRDefault="00370D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106D9" w14:textId="58911803" w:rsidR="00370D86" w:rsidRDefault="00370D8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E1915" w14:textId="1DED611E" w:rsidR="00370D86" w:rsidRDefault="00370D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E4A2B" w14:textId="36B38B40" w:rsidR="00370D86" w:rsidRDefault="00370D8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DA9AC" w14:textId="3DFC9503" w:rsidR="00370D86" w:rsidRDefault="00370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117"/>
    <w:multiLevelType w:val="hybridMultilevel"/>
    <w:tmpl w:val="113231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2F2245C"/>
    <w:multiLevelType w:val="hybridMultilevel"/>
    <w:tmpl w:val="1794E3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7E51A84"/>
    <w:multiLevelType w:val="multilevel"/>
    <w:tmpl w:val="18EEEAB0"/>
    <w:lvl w:ilvl="0">
      <w:start w:val="1"/>
      <w:numFmt w:val="decimal"/>
      <w:pStyle w:val="zH1"/>
      <w:lvlText w:val="%1"/>
      <w:lvlJc w:val="left"/>
      <w:pPr>
        <w:tabs>
          <w:tab w:val="num" w:pos="1134"/>
        </w:tabs>
        <w:ind w:left="1134" w:hanging="1134"/>
      </w:pPr>
      <w:rPr>
        <w:rFonts w:ascii="Arial Bold" w:hAnsi="Arial Bold" w:hint="default"/>
        <w:b/>
        <w:i w:val="0"/>
      </w:rPr>
    </w:lvl>
    <w:lvl w:ilvl="1">
      <w:start w:val="1"/>
      <w:numFmt w:val="none"/>
      <w:lvlText w:val=""/>
      <w:lvlJc w:val="left"/>
      <w:pPr>
        <w:tabs>
          <w:tab w:val="num" w:pos="576"/>
        </w:tabs>
        <w:ind w:left="1134" w:hanging="1134"/>
      </w:pPr>
      <w:rPr>
        <w:rFonts w:ascii="Arial" w:hAnsi="Arial" w:hint="default"/>
      </w:rPr>
    </w:lvl>
    <w:lvl w:ilvl="2">
      <w:start w:val="1"/>
      <w:numFmt w:val="none"/>
      <w:lvlRestart w:val="0"/>
      <w:lvlText w:val=""/>
      <w:lvlJc w:val="left"/>
      <w:pPr>
        <w:tabs>
          <w:tab w:val="num" w:pos="720"/>
        </w:tabs>
        <w:ind w:left="1134" w:hanging="1134"/>
      </w:pPr>
      <w:rPr>
        <w:rFonts w:ascii="Times New Roman" w:hAnsi="Times New Roman" w:hint="default"/>
        <w:color w:val="808080"/>
        <w:sz w:val="20"/>
        <w:szCs w:val="20"/>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decimal"/>
      <w:lvlRestart w:val="1"/>
      <w:pStyle w:val="zNumPara"/>
      <w:lvlText w:val="%1.%9"/>
      <w:lvlJc w:val="left"/>
      <w:pPr>
        <w:tabs>
          <w:tab w:val="num" w:pos="1134"/>
        </w:tabs>
        <w:ind w:left="1134" w:hanging="1134"/>
      </w:pPr>
      <w:rPr>
        <w:rFonts w:ascii="Arial" w:hAnsi="Arial" w:cs="Arial" w:hint="default"/>
        <w:b w:val="0"/>
        <w:i w:val="0"/>
        <w:color w:val="auto"/>
        <w:sz w:val="28"/>
        <w:szCs w:val="28"/>
      </w:rPr>
    </w:lvl>
  </w:abstractNum>
  <w:abstractNum w:abstractNumId="3" w15:restartNumberingAfterBreak="0">
    <w:nsid w:val="129938DF"/>
    <w:multiLevelType w:val="hybridMultilevel"/>
    <w:tmpl w:val="6F6A91D6"/>
    <w:lvl w:ilvl="0" w:tplc="2B0E127E">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4" w15:restartNumberingAfterBreak="0">
    <w:nsid w:val="1E640A25"/>
    <w:multiLevelType w:val="hybridMultilevel"/>
    <w:tmpl w:val="9D8A4774"/>
    <w:lvl w:ilvl="0" w:tplc="50C4EE9C">
      <w:start w:val="1"/>
      <w:numFmt w:val="bullet"/>
      <w:lvlText w:val=""/>
      <w:lvlJc w:val="left"/>
      <w:pPr>
        <w:tabs>
          <w:tab w:val="num" w:pos="378"/>
        </w:tabs>
        <w:ind w:left="378" w:hanging="360"/>
      </w:pPr>
      <w:rPr>
        <w:rFonts w:ascii="Symbol" w:hAnsi="Symbol" w:hint="default"/>
      </w:rPr>
    </w:lvl>
    <w:lvl w:ilvl="1" w:tplc="6E08B7E8">
      <w:start w:val="1"/>
      <w:numFmt w:val="bullet"/>
      <w:pStyle w:val="zBullet"/>
      <w:lvlText w:val=""/>
      <w:lvlJc w:val="left"/>
      <w:pPr>
        <w:tabs>
          <w:tab w:val="num" w:pos="1098"/>
        </w:tabs>
        <w:ind w:left="1098" w:hanging="360"/>
      </w:pPr>
      <w:rPr>
        <w:rFonts w:ascii="Wingdings" w:hAnsi="Wingdings" w:hint="default"/>
      </w:rPr>
    </w:lvl>
    <w:lvl w:ilvl="2" w:tplc="04090005">
      <w:start w:val="1"/>
      <w:numFmt w:val="bullet"/>
      <w:lvlText w:val=""/>
      <w:lvlJc w:val="left"/>
      <w:pPr>
        <w:tabs>
          <w:tab w:val="num" w:pos="1818"/>
        </w:tabs>
        <w:ind w:left="1818" w:hanging="360"/>
      </w:pPr>
      <w:rPr>
        <w:rFonts w:ascii="Wingdings" w:hAnsi="Wingdings" w:hint="default"/>
      </w:rPr>
    </w:lvl>
    <w:lvl w:ilvl="3" w:tplc="04090001">
      <w:start w:val="1"/>
      <w:numFmt w:val="bullet"/>
      <w:lvlText w:val=""/>
      <w:lvlJc w:val="left"/>
      <w:pPr>
        <w:ind w:left="2538" w:hanging="360"/>
      </w:pPr>
      <w:rPr>
        <w:rFonts w:ascii="Symbol" w:hAnsi="Symbol" w:hint="default"/>
      </w:rPr>
    </w:lvl>
    <w:lvl w:ilvl="4" w:tplc="04090003" w:tentative="1">
      <w:start w:val="1"/>
      <w:numFmt w:val="bullet"/>
      <w:lvlText w:val="o"/>
      <w:lvlJc w:val="left"/>
      <w:pPr>
        <w:tabs>
          <w:tab w:val="num" w:pos="3258"/>
        </w:tabs>
        <w:ind w:left="3258" w:hanging="360"/>
      </w:pPr>
      <w:rPr>
        <w:rFonts w:ascii="Courier New" w:hAnsi="Courier New" w:cs="Courier New" w:hint="default"/>
      </w:rPr>
    </w:lvl>
    <w:lvl w:ilvl="5" w:tplc="04090005" w:tentative="1">
      <w:start w:val="1"/>
      <w:numFmt w:val="bullet"/>
      <w:lvlText w:val=""/>
      <w:lvlJc w:val="left"/>
      <w:pPr>
        <w:tabs>
          <w:tab w:val="num" w:pos="3978"/>
        </w:tabs>
        <w:ind w:left="3978" w:hanging="360"/>
      </w:pPr>
      <w:rPr>
        <w:rFonts w:ascii="Wingdings" w:hAnsi="Wingdings" w:hint="default"/>
      </w:rPr>
    </w:lvl>
    <w:lvl w:ilvl="6" w:tplc="04090001" w:tentative="1">
      <w:start w:val="1"/>
      <w:numFmt w:val="bullet"/>
      <w:lvlText w:val=""/>
      <w:lvlJc w:val="left"/>
      <w:pPr>
        <w:tabs>
          <w:tab w:val="num" w:pos="4698"/>
        </w:tabs>
        <w:ind w:left="4698" w:hanging="360"/>
      </w:pPr>
      <w:rPr>
        <w:rFonts w:ascii="Symbol" w:hAnsi="Symbol" w:hint="default"/>
      </w:rPr>
    </w:lvl>
    <w:lvl w:ilvl="7" w:tplc="04090003" w:tentative="1">
      <w:start w:val="1"/>
      <w:numFmt w:val="bullet"/>
      <w:lvlText w:val="o"/>
      <w:lvlJc w:val="left"/>
      <w:pPr>
        <w:tabs>
          <w:tab w:val="num" w:pos="5418"/>
        </w:tabs>
        <w:ind w:left="5418" w:hanging="360"/>
      </w:pPr>
      <w:rPr>
        <w:rFonts w:ascii="Courier New" w:hAnsi="Courier New" w:cs="Courier New" w:hint="default"/>
      </w:rPr>
    </w:lvl>
    <w:lvl w:ilvl="8" w:tplc="04090005">
      <w:start w:val="1"/>
      <w:numFmt w:val="bullet"/>
      <w:lvlText w:val=""/>
      <w:lvlJc w:val="left"/>
      <w:pPr>
        <w:tabs>
          <w:tab w:val="num" w:pos="6138"/>
        </w:tabs>
        <w:ind w:left="6138" w:hanging="360"/>
      </w:pPr>
      <w:rPr>
        <w:rFonts w:ascii="Wingdings" w:hAnsi="Wingdings" w:hint="default"/>
      </w:rPr>
    </w:lvl>
  </w:abstractNum>
  <w:abstractNum w:abstractNumId="5" w15:restartNumberingAfterBreak="0">
    <w:nsid w:val="2226395D"/>
    <w:multiLevelType w:val="hybridMultilevel"/>
    <w:tmpl w:val="AF3C028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250E31FA"/>
    <w:multiLevelType w:val="hybridMultilevel"/>
    <w:tmpl w:val="26887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AD2555"/>
    <w:multiLevelType w:val="hybridMultilevel"/>
    <w:tmpl w:val="AB5A285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2BB61FD5"/>
    <w:multiLevelType w:val="hybridMultilevel"/>
    <w:tmpl w:val="BD18CAF4"/>
    <w:lvl w:ilvl="0" w:tplc="AC502312">
      <w:start w:val="1"/>
      <w:numFmt w:val="lowerLetter"/>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38251C"/>
    <w:multiLevelType w:val="hybridMultilevel"/>
    <w:tmpl w:val="CDB2A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F7261D"/>
    <w:multiLevelType w:val="hybridMultilevel"/>
    <w:tmpl w:val="1C0EB3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2286560"/>
    <w:multiLevelType w:val="hybridMultilevel"/>
    <w:tmpl w:val="1182F26C"/>
    <w:lvl w:ilvl="0" w:tplc="A926AA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87081B"/>
    <w:multiLevelType w:val="hybridMultilevel"/>
    <w:tmpl w:val="BF8620D8"/>
    <w:lvl w:ilvl="0" w:tplc="650AD152">
      <w:numFmt w:val="bullet"/>
      <w:lvlText w:val=""/>
      <w:lvlJc w:val="left"/>
      <w:pPr>
        <w:ind w:left="72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A5B62D3"/>
    <w:multiLevelType w:val="hybridMultilevel"/>
    <w:tmpl w:val="2E0AA2A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14" w15:restartNumberingAfterBreak="0">
    <w:nsid w:val="46394353"/>
    <w:multiLevelType w:val="hybridMultilevel"/>
    <w:tmpl w:val="23ACC8AA"/>
    <w:lvl w:ilvl="0" w:tplc="B5F85B88">
      <w:start w:val="1"/>
      <w:numFmt w:val="bullet"/>
      <w:lvlText w:val="•"/>
      <w:lvlJc w:val="left"/>
      <w:pPr>
        <w:tabs>
          <w:tab w:val="num" w:pos="720"/>
        </w:tabs>
        <w:ind w:left="720" w:hanging="360"/>
      </w:pPr>
      <w:rPr>
        <w:rFonts w:ascii="Arial" w:hAnsi="Arial" w:hint="default"/>
      </w:rPr>
    </w:lvl>
    <w:lvl w:ilvl="1" w:tplc="D374A666" w:tentative="1">
      <w:start w:val="1"/>
      <w:numFmt w:val="bullet"/>
      <w:lvlText w:val="•"/>
      <w:lvlJc w:val="left"/>
      <w:pPr>
        <w:tabs>
          <w:tab w:val="num" w:pos="1440"/>
        </w:tabs>
        <w:ind w:left="1440" w:hanging="360"/>
      </w:pPr>
      <w:rPr>
        <w:rFonts w:ascii="Arial" w:hAnsi="Arial" w:hint="default"/>
      </w:rPr>
    </w:lvl>
    <w:lvl w:ilvl="2" w:tplc="1B1E9C4E" w:tentative="1">
      <w:start w:val="1"/>
      <w:numFmt w:val="bullet"/>
      <w:lvlText w:val="•"/>
      <w:lvlJc w:val="left"/>
      <w:pPr>
        <w:tabs>
          <w:tab w:val="num" w:pos="2160"/>
        </w:tabs>
        <w:ind w:left="2160" w:hanging="360"/>
      </w:pPr>
      <w:rPr>
        <w:rFonts w:ascii="Arial" w:hAnsi="Arial" w:hint="default"/>
      </w:rPr>
    </w:lvl>
    <w:lvl w:ilvl="3" w:tplc="044412DE" w:tentative="1">
      <w:start w:val="1"/>
      <w:numFmt w:val="bullet"/>
      <w:lvlText w:val="•"/>
      <w:lvlJc w:val="left"/>
      <w:pPr>
        <w:tabs>
          <w:tab w:val="num" w:pos="2880"/>
        </w:tabs>
        <w:ind w:left="2880" w:hanging="360"/>
      </w:pPr>
      <w:rPr>
        <w:rFonts w:ascii="Arial" w:hAnsi="Arial" w:hint="default"/>
      </w:rPr>
    </w:lvl>
    <w:lvl w:ilvl="4" w:tplc="292E506E" w:tentative="1">
      <w:start w:val="1"/>
      <w:numFmt w:val="bullet"/>
      <w:lvlText w:val="•"/>
      <w:lvlJc w:val="left"/>
      <w:pPr>
        <w:tabs>
          <w:tab w:val="num" w:pos="3600"/>
        </w:tabs>
        <w:ind w:left="3600" w:hanging="360"/>
      </w:pPr>
      <w:rPr>
        <w:rFonts w:ascii="Arial" w:hAnsi="Arial" w:hint="default"/>
      </w:rPr>
    </w:lvl>
    <w:lvl w:ilvl="5" w:tplc="1DF6EA5E" w:tentative="1">
      <w:start w:val="1"/>
      <w:numFmt w:val="bullet"/>
      <w:lvlText w:val="•"/>
      <w:lvlJc w:val="left"/>
      <w:pPr>
        <w:tabs>
          <w:tab w:val="num" w:pos="4320"/>
        </w:tabs>
        <w:ind w:left="4320" w:hanging="360"/>
      </w:pPr>
      <w:rPr>
        <w:rFonts w:ascii="Arial" w:hAnsi="Arial" w:hint="default"/>
      </w:rPr>
    </w:lvl>
    <w:lvl w:ilvl="6" w:tplc="BACCD3BC" w:tentative="1">
      <w:start w:val="1"/>
      <w:numFmt w:val="bullet"/>
      <w:lvlText w:val="•"/>
      <w:lvlJc w:val="left"/>
      <w:pPr>
        <w:tabs>
          <w:tab w:val="num" w:pos="5040"/>
        </w:tabs>
        <w:ind w:left="5040" w:hanging="360"/>
      </w:pPr>
      <w:rPr>
        <w:rFonts w:ascii="Arial" w:hAnsi="Arial" w:hint="default"/>
      </w:rPr>
    </w:lvl>
    <w:lvl w:ilvl="7" w:tplc="8334E5E6" w:tentative="1">
      <w:start w:val="1"/>
      <w:numFmt w:val="bullet"/>
      <w:lvlText w:val="•"/>
      <w:lvlJc w:val="left"/>
      <w:pPr>
        <w:tabs>
          <w:tab w:val="num" w:pos="5760"/>
        </w:tabs>
        <w:ind w:left="5760" w:hanging="360"/>
      </w:pPr>
      <w:rPr>
        <w:rFonts w:ascii="Arial" w:hAnsi="Arial" w:hint="default"/>
      </w:rPr>
    </w:lvl>
    <w:lvl w:ilvl="8" w:tplc="512214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A27082"/>
    <w:multiLevelType w:val="hybridMultilevel"/>
    <w:tmpl w:val="05FC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045EF"/>
    <w:multiLevelType w:val="hybridMultilevel"/>
    <w:tmpl w:val="32A2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AF7969"/>
    <w:multiLevelType w:val="hybridMultilevel"/>
    <w:tmpl w:val="DA0A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C01DC3"/>
    <w:multiLevelType w:val="hybridMultilevel"/>
    <w:tmpl w:val="07A45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F3EFE"/>
    <w:multiLevelType w:val="hybridMultilevel"/>
    <w:tmpl w:val="A5BA63D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51A15D00"/>
    <w:multiLevelType w:val="hybridMultilevel"/>
    <w:tmpl w:val="F7482F72"/>
    <w:lvl w:ilvl="0" w:tplc="7E841204">
      <w:start w:val="1"/>
      <w:numFmt w:val="bullet"/>
      <w:pStyle w:val="zSummBox"/>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5A036313"/>
    <w:multiLevelType w:val="hybridMultilevel"/>
    <w:tmpl w:val="39A02B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63980A9D"/>
    <w:multiLevelType w:val="hybridMultilevel"/>
    <w:tmpl w:val="7DB64E3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DE835A2"/>
    <w:multiLevelType w:val="hybridMultilevel"/>
    <w:tmpl w:val="6C4C285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46528B7"/>
    <w:multiLevelType w:val="hybridMultilevel"/>
    <w:tmpl w:val="80688A5C"/>
    <w:lvl w:ilvl="0" w:tplc="5F56C784">
      <w:start w:val="1"/>
      <w:numFmt w:val="bullet"/>
      <w:lvlText w:val="•"/>
      <w:lvlJc w:val="left"/>
      <w:pPr>
        <w:tabs>
          <w:tab w:val="num" w:pos="720"/>
        </w:tabs>
        <w:ind w:left="720" w:hanging="360"/>
      </w:pPr>
      <w:rPr>
        <w:rFonts w:ascii="Arial" w:hAnsi="Arial" w:hint="default"/>
      </w:rPr>
    </w:lvl>
    <w:lvl w:ilvl="1" w:tplc="87B498BA" w:tentative="1">
      <w:start w:val="1"/>
      <w:numFmt w:val="bullet"/>
      <w:lvlText w:val="•"/>
      <w:lvlJc w:val="left"/>
      <w:pPr>
        <w:tabs>
          <w:tab w:val="num" w:pos="1440"/>
        </w:tabs>
        <w:ind w:left="1440" w:hanging="360"/>
      </w:pPr>
      <w:rPr>
        <w:rFonts w:ascii="Arial" w:hAnsi="Arial" w:hint="default"/>
      </w:rPr>
    </w:lvl>
    <w:lvl w:ilvl="2" w:tplc="862CC9AA" w:tentative="1">
      <w:start w:val="1"/>
      <w:numFmt w:val="bullet"/>
      <w:lvlText w:val="•"/>
      <w:lvlJc w:val="left"/>
      <w:pPr>
        <w:tabs>
          <w:tab w:val="num" w:pos="2160"/>
        </w:tabs>
        <w:ind w:left="2160" w:hanging="360"/>
      </w:pPr>
      <w:rPr>
        <w:rFonts w:ascii="Arial" w:hAnsi="Arial" w:hint="default"/>
      </w:rPr>
    </w:lvl>
    <w:lvl w:ilvl="3" w:tplc="126ADC20" w:tentative="1">
      <w:start w:val="1"/>
      <w:numFmt w:val="bullet"/>
      <w:lvlText w:val="•"/>
      <w:lvlJc w:val="left"/>
      <w:pPr>
        <w:tabs>
          <w:tab w:val="num" w:pos="2880"/>
        </w:tabs>
        <w:ind w:left="2880" w:hanging="360"/>
      </w:pPr>
      <w:rPr>
        <w:rFonts w:ascii="Arial" w:hAnsi="Arial" w:hint="default"/>
      </w:rPr>
    </w:lvl>
    <w:lvl w:ilvl="4" w:tplc="3C5C26EC" w:tentative="1">
      <w:start w:val="1"/>
      <w:numFmt w:val="bullet"/>
      <w:lvlText w:val="•"/>
      <w:lvlJc w:val="left"/>
      <w:pPr>
        <w:tabs>
          <w:tab w:val="num" w:pos="3600"/>
        </w:tabs>
        <w:ind w:left="3600" w:hanging="360"/>
      </w:pPr>
      <w:rPr>
        <w:rFonts w:ascii="Arial" w:hAnsi="Arial" w:hint="default"/>
      </w:rPr>
    </w:lvl>
    <w:lvl w:ilvl="5" w:tplc="94CA7CA8" w:tentative="1">
      <w:start w:val="1"/>
      <w:numFmt w:val="bullet"/>
      <w:lvlText w:val="•"/>
      <w:lvlJc w:val="left"/>
      <w:pPr>
        <w:tabs>
          <w:tab w:val="num" w:pos="4320"/>
        </w:tabs>
        <w:ind w:left="4320" w:hanging="360"/>
      </w:pPr>
      <w:rPr>
        <w:rFonts w:ascii="Arial" w:hAnsi="Arial" w:hint="default"/>
      </w:rPr>
    </w:lvl>
    <w:lvl w:ilvl="6" w:tplc="A28C775A" w:tentative="1">
      <w:start w:val="1"/>
      <w:numFmt w:val="bullet"/>
      <w:lvlText w:val="•"/>
      <w:lvlJc w:val="left"/>
      <w:pPr>
        <w:tabs>
          <w:tab w:val="num" w:pos="5040"/>
        </w:tabs>
        <w:ind w:left="5040" w:hanging="360"/>
      </w:pPr>
      <w:rPr>
        <w:rFonts w:ascii="Arial" w:hAnsi="Arial" w:hint="default"/>
      </w:rPr>
    </w:lvl>
    <w:lvl w:ilvl="7" w:tplc="1606408E" w:tentative="1">
      <w:start w:val="1"/>
      <w:numFmt w:val="bullet"/>
      <w:lvlText w:val="•"/>
      <w:lvlJc w:val="left"/>
      <w:pPr>
        <w:tabs>
          <w:tab w:val="num" w:pos="5760"/>
        </w:tabs>
        <w:ind w:left="5760" w:hanging="360"/>
      </w:pPr>
      <w:rPr>
        <w:rFonts w:ascii="Arial" w:hAnsi="Arial" w:hint="default"/>
      </w:rPr>
    </w:lvl>
    <w:lvl w:ilvl="8" w:tplc="E24624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7B10664"/>
    <w:multiLevelType w:val="hybridMultilevel"/>
    <w:tmpl w:val="EBB4F45C"/>
    <w:lvl w:ilvl="0" w:tplc="04FA4A8C">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26" w15:restartNumberingAfterBreak="0">
    <w:nsid w:val="7D476941"/>
    <w:multiLevelType w:val="hybridMultilevel"/>
    <w:tmpl w:val="3B9889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7E5D0D46"/>
    <w:multiLevelType w:val="hybridMultilevel"/>
    <w:tmpl w:val="D9C6FC8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2"/>
  </w:num>
  <w:num w:numId="3">
    <w:abstractNumId w:val="2"/>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8"/>
  </w:num>
  <w:num w:numId="8">
    <w:abstractNumId w:val="17"/>
  </w:num>
  <w:num w:numId="9">
    <w:abstractNumId w:val="14"/>
  </w:num>
  <w:num w:numId="10">
    <w:abstractNumId w:val="13"/>
  </w:num>
  <w:num w:numId="11">
    <w:abstractNumId w:val="24"/>
  </w:num>
  <w:num w:numId="12">
    <w:abstractNumId w:val="0"/>
  </w:num>
  <w:num w:numId="13">
    <w:abstractNumId w:val="16"/>
  </w:num>
  <w:num w:numId="14">
    <w:abstractNumId w:val="3"/>
  </w:num>
  <w:num w:numId="15">
    <w:abstractNumId w:val="25"/>
  </w:num>
  <w:num w:numId="16">
    <w:abstractNumId w:val="1"/>
  </w:num>
  <w:num w:numId="17">
    <w:abstractNumId w:val="21"/>
  </w:num>
  <w:num w:numId="18">
    <w:abstractNumId w:val="6"/>
  </w:num>
  <w:num w:numId="19">
    <w:abstractNumId w:val="18"/>
  </w:num>
  <w:num w:numId="20">
    <w:abstractNumId w:val="15"/>
  </w:num>
  <w:num w:numId="21">
    <w:abstractNumId w:val="10"/>
  </w:num>
  <w:num w:numId="22">
    <w:abstractNumId w:val="23"/>
  </w:num>
  <w:num w:numId="23">
    <w:abstractNumId w:val="7"/>
  </w:num>
  <w:num w:numId="24">
    <w:abstractNumId w:val="22"/>
  </w:num>
  <w:num w:numId="25">
    <w:abstractNumId w:val="27"/>
  </w:num>
  <w:num w:numId="26">
    <w:abstractNumId w:val="26"/>
  </w:num>
  <w:num w:numId="27">
    <w:abstractNumId w:val="20"/>
  </w:num>
  <w:num w:numId="28">
    <w:abstractNumId w:val="5"/>
  </w:num>
  <w:num w:numId="29">
    <w:abstractNumId w:val="19"/>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I6rE6TJiqHFo3+fsQdzyZ8WlN253yGLxVTpUztmfirOgzi84tfMSJvrz7ITtkpWLnfH+8+t4fGNXymfBBw/yrg==" w:salt="LU0Rj2HGd1SbWXIqgUZEW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4A990FF-1E05-483E-A7C4-53C68A2023B5}"/>
    <w:docVar w:name="dgnword-eventsink" w:val="630875520"/>
  </w:docVars>
  <w:rsids>
    <w:rsidRoot w:val="00F33564"/>
    <w:rsid w:val="00000B1E"/>
    <w:rsid w:val="000020F8"/>
    <w:rsid w:val="00002876"/>
    <w:rsid w:val="00002F80"/>
    <w:rsid w:val="000047B0"/>
    <w:rsid w:val="00004BD8"/>
    <w:rsid w:val="000053CE"/>
    <w:rsid w:val="00005C1A"/>
    <w:rsid w:val="00006502"/>
    <w:rsid w:val="000069EE"/>
    <w:rsid w:val="00007F4A"/>
    <w:rsid w:val="000112B8"/>
    <w:rsid w:val="000128CD"/>
    <w:rsid w:val="0001453F"/>
    <w:rsid w:val="00015D8C"/>
    <w:rsid w:val="000163D5"/>
    <w:rsid w:val="00017172"/>
    <w:rsid w:val="000175A7"/>
    <w:rsid w:val="0002050B"/>
    <w:rsid w:val="00020843"/>
    <w:rsid w:val="00021548"/>
    <w:rsid w:val="000215C6"/>
    <w:rsid w:val="00021A5E"/>
    <w:rsid w:val="00021D1D"/>
    <w:rsid w:val="000256F6"/>
    <w:rsid w:val="0002576A"/>
    <w:rsid w:val="00025B66"/>
    <w:rsid w:val="00033E5A"/>
    <w:rsid w:val="00034093"/>
    <w:rsid w:val="000343AF"/>
    <w:rsid w:val="00034497"/>
    <w:rsid w:val="00034A49"/>
    <w:rsid w:val="0003605D"/>
    <w:rsid w:val="00036623"/>
    <w:rsid w:val="000367E4"/>
    <w:rsid w:val="0003688F"/>
    <w:rsid w:val="00037B2A"/>
    <w:rsid w:val="000401BD"/>
    <w:rsid w:val="000404F5"/>
    <w:rsid w:val="0004187F"/>
    <w:rsid w:val="00041C9B"/>
    <w:rsid w:val="00041F33"/>
    <w:rsid w:val="00044318"/>
    <w:rsid w:val="00044E58"/>
    <w:rsid w:val="00045D6C"/>
    <w:rsid w:val="00046444"/>
    <w:rsid w:val="00047B83"/>
    <w:rsid w:val="000501C2"/>
    <w:rsid w:val="0005064C"/>
    <w:rsid w:val="000506AC"/>
    <w:rsid w:val="000516B8"/>
    <w:rsid w:val="00052A3E"/>
    <w:rsid w:val="000530F6"/>
    <w:rsid w:val="00054032"/>
    <w:rsid w:val="00054C26"/>
    <w:rsid w:val="0005677B"/>
    <w:rsid w:val="0006026E"/>
    <w:rsid w:val="000613C0"/>
    <w:rsid w:val="00064DCE"/>
    <w:rsid w:val="00066CF5"/>
    <w:rsid w:val="00066F95"/>
    <w:rsid w:val="00067B2B"/>
    <w:rsid w:val="00072847"/>
    <w:rsid w:val="0007291B"/>
    <w:rsid w:val="00073570"/>
    <w:rsid w:val="00074763"/>
    <w:rsid w:val="00074775"/>
    <w:rsid w:val="00075A00"/>
    <w:rsid w:val="000771C8"/>
    <w:rsid w:val="0007722D"/>
    <w:rsid w:val="00077955"/>
    <w:rsid w:val="00081A6B"/>
    <w:rsid w:val="0008445A"/>
    <w:rsid w:val="00084CBD"/>
    <w:rsid w:val="00084F6A"/>
    <w:rsid w:val="000904E5"/>
    <w:rsid w:val="00090CB1"/>
    <w:rsid w:val="00092C4D"/>
    <w:rsid w:val="0009348D"/>
    <w:rsid w:val="00093768"/>
    <w:rsid w:val="000941F1"/>
    <w:rsid w:val="00094D18"/>
    <w:rsid w:val="00095069"/>
    <w:rsid w:val="000953CC"/>
    <w:rsid w:val="00097518"/>
    <w:rsid w:val="000A0492"/>
    <w:rsid w:val="000A1323"/>
    <w:rsid w:val="000A18AA"/>
    <w:rsid w:val="000A2024"/>
    <w:rsid w:val="000A225E"/>
    <w:rsid w:val="000A3006"/>
    <w:rsid w:val="000A39EE"/>
    <w:rsid w:val="000A3B69"/>
    <w:rsid w:val="000A45EF"/>
    <w:rsid w:val="000A4942"/>
    <w:rsid w:val="000A4BE3"/>
    <w:rsid w:val="000A70AF"/>
    <w:rsid w:val="000A75A1"/>
    <w:rsid w:val="000A79D8"/>
    <w:rsid w:val="000B1EC4"/>
    <w:rsid w:val="000B39D0"/>
    <w:rsid w:val="000B3C78"/>
    <w:rsid w:val="000B49E6"/>
    <w:rsid w:val="000B6691"/>
    <w:rsid w:val="000B7B7C"/>
    <w:rsid w:val="000C070F"/>
    <w:rsid w:val="000C337F"/>
    <w:rsid w:val="000C6CF7"/>
    <w:rsid w:val="000C7B01"/>
    <w:rsid w:val="000D0032"/>
    <w:rsid w:val="000D0F91"/>
    <w:rsid w:val="000D441A"/>
    <w:rsid w:val="000D64D3"/>
    <w:rsid w:val="000D7272"/>
    <w:rsid w:val="000E1435"/>
    <w:rsid w:val="000E237F"/>
    <w:rsid w:val="000E50AA"/>
    <w:rsid w:val="000E7499"/>
    <w:rsid w:val="000E7DC8"/>
    <w:rsid w:val="000F0FA3"/>
    <w:rsid w:val="000F10F6"/>
    <w:rsid w:val="000F181B"/>
    <w:rsid w:val="000F1C11"/>
    <w:rsid w:val="000F2E28"/>
    <w:rsid w:val="000F48EA"/>
    <w:rsid w:val="000F5B89"/>
    <w:rsid w:val="00100EF9"/>
    <w:rsid w:val="001012D7"/>
    <w:rsid w:val="00101FCC"/>
    <w:rsid w:val="00102385"/>
    <w:rsid w:val="00104075"/>
    <w:rsid w:val="00104C7A"/>
    <w:rsid w:val="00104F0D"/>
    <w:rsid w:val="001055A3"/>
    <w:rsid w:val="00106258"/>
    <w:rsid w:val="0010650B"/>
    <w:rsid w:val="00106A54"/>
    <w:rsid w:val="00106EE3"/>
    <w:rsid w:val="00107288"/>
    <w:rsid w:val="0011163E"/>
    <w:rsid w:val="001134B0"/>
    <w:rsid w:val="0011540D"/>
    <w:rsid w:val="0011560B"/>
    <w:rsid w:val="00115E1D"/>
    <w:rsid w:val="001164E2"/>
    <w:rsid w:val="00117BF4"/>
    <w:rsid w:val="001212CC"/>
    <w:rsid w:val="00122552"/>
    <w:rsid w:val="001233E0"/>
    <w:rsid w:val="00123BDA"/>
    <w:rsid w:val="00124051"/>
    <w:rsid w:val="00124888"/>
    <w:rsid w:val="00124ABB"/>
    <w:rsid w:val="00124C14"/>
    <w:rsid w:val="0012680A"/>
    <w:rsid w:val="001270FB"/>
    <w:rsid w:val="001306BE"/>
    <w:rsid w:val="00130B76"/>
    <w:rsid w:val="0013115D"/>
    <w:rsid w:val="00131C97"/>
    <w:rsid w:val="001331F6"/>
    <w:rsid w:val="00133B12"/>
    <w:rsid w:val="00140250"/>
    <w:rsid w:val="00140FDE"/>
    <w:rsid w:val="0014122C"/>
    <w:rsid w:val="00141255"/>
    <w:rsid w:val="001412A3"/>
    <w:rsid w:val="00144EA1"/>
    <w:rsid w:val="00145385"/>
    <w:rsid w:val="001457B9"/>
    <w:rsid w:val="00146988"/>
    <w:rsid w:val="00151B1A"/>
    <w:rsid w:val="00153556"/>
    <w:rsid w:val="0015439B"/>
    <w:rsid w:val="0015468E"/>
    <w:rsid w:val="0016041F"/>
    <w:rsid w:val="0016078C"/>
    <w:rsid w:val="00160AB2"/>
    <w:rsid w:val="00160B06"/>
    <w:rsid w:val="00161992"/>
    <w:rsid w:val="00162FE2"/>
    <w:rsid w:val="00163105"/>
    <w:rsid w:val="0016333A"/>
    <w:rsid w:val="001667F3"/>
    <w:rsid w:val="00166A66"/>
    <w:rsid w:val="00167439"/>
    <w:rsid w:val="001714BD"/>
    <w:rsid w:val="001734B0"/>
    <w:rsid w:val="0017555A"/>
    <w:rsid w:val="001832E3"/>
    <w:rsid w:val="001839C8"/>
    <w:rsid w:val="0018563F"/>
    <w:rsid w:val="0018792B"/>
    <w:rsid w:val="00187F39"/>
    <w:rsid w:val="0019248E"/>
    <w:rsid w:val="00193750"/>
    <w:rsid w:val="00197322"/>
    <w:rsid w:val="001A1A48"/>
    <w:rsid w:val="001A25E9"/>
    <w:rsid w:val="001A267E"/>
    <w:rsid w:val="001A26D6"/>
    <w:rsid w:val="001A4BF0"/>
    <w:rsid w:val="001A5AD4"/>
    <w:rsid w:val="001A7B55"/>
    <w:rsid w:val="001A7D0C"/>
    <w:rsid w:val="001B2D6A"/>
    <w:rsid w:val="001B5505"/>
    <w:rsid w:val="001B5F30"/>
    <w:rsid w:val="001B63C7"/>
    <w:rsid w:val="001B66B1"/>
    <w:rsid w:val="001B7EC5"/>
    <w:rsid w:val="001C0B31"/>
    <w:rsid w:val="001C1F1F"/>
    <w:rsid w:val="001C27B7"/>
    <w:rsid w:val="001C31D1"/>
    <w:rsid w:val="001C4D78"/>
    <w:rsid w:val="001C57FE"/>
    <w:rsid w:val="001C6B25"/>
    <w:rsid w:val="001D1EF0"/>
    <w:rsid w:val="001D2057"/>
    <w:rsid w:val="001D27D7"/>
    <w:rsid w:val="001D2E8D"/>
    <w:rsid w:val="001D35E1"/>
    <w:rsid w:val="001D42BC"/>
    <w:rsid w:val="001D5341"/>
    <w:rsid w:val="001D6778"/>
    <w:rsid w:val="001D67FE"/>
    <w:rsid w:val="001D7718"/>
    <w:rsid w:val="001E1B47"/>
    <w:rsid w:val="001E26C1"/>
    <w:rsid w:val="001E2A00"/>
    <w:rsid w:val="001E4FF0"/>
    <w:rsid w:val="001E5029"/>
    <w:rsid w:val="001E63D0"/>
    <w:rsid w:val="001E6B55"/>
    <w:rsid w:val="001F02A9"/>
    <w:rsid w:val="001F2055"/>
    <w:rsid w:val="001F273A"/>
    <w:rsid w:val="001F3E02"/>
    <w:rsid w:val="001F5A21"/>
    <w:rsid w:val="001F6265"/>
    <w:rsid w:val="001F7135"/>
    <w:rsid w:val="001F784A"/>
    <w:rsid w:val="002023E9"/>
    <w:rsid w:val="00203F9C"/>
    <w:rsid w:val="00204269"/>
    <w:rsid w:val="00205B4D"/>
    <w:rsid w:val="002064B5"/>
    <w:rsid w:val="00207E8C"/>
    <w:rsid w:val="002103BE"/>
    <w:rsid w:val="0021173A"/>
    <w:rsid w:val="002137BA"/>
    <w:rsid w:val="00213F41"/>
    <w:rsid w:val="00214F94"/>
    <w:rsid w:val="002155FC"/>
    <w:rsid w:val="00215AED"/>
    <w:rsid w:val="0022189E"/>
    <w:rsid w:val="00222CE7"/>
    <w:rsid w:val="00223C70"/>
    <w:rsid w:val="00224E53"/>
    <w:rsid w:val="00225E13"/>
    <w:rsid w:val="00227473"/>
    <w:rsid w:val="00227A86"/>
    <w:rsid w:val="002304CA"/>
    <w:rsid w:val="00230DC3"/>
    <w:rsid w:val="00231858"/>
    <w:rsid w:val="002321DF"/>
    <w:rsid w:val="002323A0"/>
    <w:rsid w:val="002333E9"/>
    <w:rsid w:val="002348D7"/>
    <w:rsid w:val="002361F0"/>
    <w:rsid w:val="00236BAD"/>
    <w:rsid w:val="0023756A"/>
    <w:rsid w:val="00240C49"/>
    <w:rsid w:val="0024305B"/>
    <w:rsid w:val="00243EE4"/>
    <w:rsid w:val="002453AB"/>
    <w:rsid w:val="0024778C"/>
    <w:rsid w:val="002501EB"/>
    <w:rsid w:val="00250630"/>
    <w:rsid w:val="0025077E"/>
    <w:rsid w:val="00250C8F"/>
    <w:rsid w:val="002510E6"/>
    <w:rsid w:val="0025285E"/>
    <w:rsid w:val="00252AAC"/>
    <w:rsid w:val="00254700"/>
    <w:rsid w:val="002552CE"/>
    <w:rsid w:val="00256BB0"/>
    <w:rsid w:val="002623DD"/>
    <w:rsid w:val="00262995"/>
    <w:rsid w:val="002658BD"/>
    <w:rsid w:val="002672F7"/>
    <w:rsid w:val="0026748C"/>
    <w:rsid w:val="002706E5"/>
    <w:rsid w:val="00270DE7"/>
    <w:rsid w:val="00271F4C"/>
    <w:rsid w:val="00271FEA"/>
    <w:rsid w:val="002738F5"/>
    <w:rsid w:val="0027609B"/>
    <w:rsid w:val="00276630"/>
    <w:rsid w:val="00277DCD"/>
    <w:rsid w:val="00281037"/>
    <w:rsid w:val="00283A7C"/>
    <w:rsid w:val="002846E1"/>
    <w:rsid w:val="002847EB"/>
    <w:rsid w:val="00285E76"/>
    <w:rsid w:val="00286DE9"/>
    <w:rsid w:val="00287017"/>
    <w:rsid w:val="00287744"/>
    <w:rsid w:val="00292C95"/>
    <w:rsid w:val="002948BA"/>
    <w:rsid w:val="0029593A"/>
    <w:rsid w:val="002A067B"/>
    <w:rsid w:val="002A2A9F"/>
    <w:rsid w:val="002A505F"/>
    <w:rsid w:val="002A51E5"/>
    <w:rsid w:val="002A730F"/>
    <w:rsid w:val="002A7CC7"/>
    <w:rsid w:val="002B123D"/>
    <w:rsid w:val="002B22F2"/>
    <w:rsid w:val="002B334D"/>
    <w:rsid w:val="002B3FDE"/>
    <w:rsid w:val="002B6BA8"/>
    <w:rsid w:val="002C13A1"/>
    <w:rsid w:val="002C144E"/>
    <w:rsid w:val="002C28FE"/>
    <w:rsid w:val="002C2F9B"/>
    <w:rsid w:val="002C3E2E"/>
    <w:rsid w:val="002C58DD"/>
    <w:rsid w:val="002C5FEC"/>
    <w:rsid w:val="002D0404"/>
    <w:rsid w:val="002D0E42"/>
    <w:rsid w:val="002D3D6F"/>
    <w:rsid w:val="002D4347"/>
    <w:rsid w:val="002D616C"/>
    <w:rsid w:val="002D6FEB"/>
    <w:rsid w:val="002E0E50"/>
    <w:rsid w:val="002E16CC"/>
    <w:rsid w:val="002E1BEA"/>
    <w:rsid w:val="002E1CA3"/>
    <w:rsid w:val="002E2811"/>
    <w:rsid w:val="002E2D51"/>
    <w:rsid w:val="002E4FF0"/>
    <w:rsid w:val="002E5DF0"/>
    <w:rsid w:val="002E5ED0"/>
    <w:rsid w:val="002E6A98"/>
    <w:rsid w:val="002E7CBA"/>
    <w:rsid w:val="002E7FCF"/>
    <w:rsid w:val="002F1704"/>
    <w:rsid w:val="002F1C65"/>
    <w:rsid w:val="002F1D81"/>
    <w:rsid w:val="002F25AD"/>
    <w:rsid w:val="002F2707"/>
    <w:rsid w:val="002F2CCB"/>
    <w:rsid w:val="002F451D"/>
    <w:rsid w:val="002F49A5"/>
    <w:rsid w:val="002F4A2A"/>
    <w:rsid w:val="002F4A45"/>
    <w:rsid w:val="002F4F9C"/>
    <w:rsid w:val="002F5345"/>
    <w:rsid w:val="002F6F64"/>
    <w:rsid w:val="002F7B18"/>
    <w:rsid w:val="00300733"/>
    <w:rsid w:val="00300FFA"/>
    <w:rsid w:val="0030211C"/>
    <w:rsid w:val="003051FA"/>
    <w:rsid w:val="0030676E"/>
    <w:rsid w:val="0031035B"/>
    <w:rsid w:val="003104CB"/>
    <w:rsid w:val="00310701"/>
    <w:rsid w:val="00310706"/>
    <w:rsid w:val="003114BD"/>
    <w:rsid w:val="00311744"/>
    <w:rsid w:val="00313B79"/>
    <w:rsid w:val="00314BEA"/>
    <w:rsid w:val="0031522F"/>
    <w:rsid w:val="00317AEE"/>
    <w:rsid w:val="0032027B"/>
    <w:rsid w:val="00321D77"/>
    <w:rsid w:val="003235B0"/>
    <w:rsid w:val="00324CDB"/>
    <w:rsid w:val="00325A80"/>
    <w:rsid w:val="00326D95"/>
    <w:rsid w:val="00327AA8"/>
    <w:rsid w:val="00327BDF"/>
    <w:rsid w:val="003310F6"/>
    <w:rsid w:val="00334C60"/>
    <w:rsid w:val="003361AD"/>
    <w:rsid w:val="00337F52"/>
    <w:rsid w:val="0034111F"/>
    <w:rsid w:val="003423A7"/>
    <w:rsid w:val="00344CFB"/>
    <w:rsid w:val="00345235"/>
    <w:rsid w:val="00345603"/>
    <w:rsid w:val="003458B7"/>
    <w:rsid w:val="00345979"/>
    <w:rsid w:val="00345D37"/>
    <w:rsid w:val="00346285"/>
    <w:rsid w:val="00347BFF"/>
    <w:rsid w:val="0035312E"/>
    <w:rsid w:val="00353A12"/>
    <w:rsid w:val="00353BAA"/>
    <w:rsid w:val="00354809"/>
    <w:rsid w:val="00355BD4"/>
    <w:rsid w:val="003565EC"/>
    <w:rsid w:val="00361138"/>
    <w:rsid w:val="0036121D"/>
    <w:rsid w:val="003649DE"/>
    <w:rsid w:val="00370102"/>
    <w:rsid w:val="00370D86"/>
    <w:rsid w:val="00373A29"/>
    <w:rsid w:val="00380518"/>
    <w:rsid w:val="0038057B"/>
    <w:rsid w:val="003812D7"/>
    <w:rsid w:val="003816F7"/>
    <w:rsid w:val="00381703"/>
    <w:rsid w:val="00381719"/>
    <w:rsid w:val="00382041"/>
    <w:rsid w:val="003866AD"/>
    <w:rsid w:val="00386B37"/>
    <w:rsid w:val="003871AE"/>
    <w:rsid w:val="0039106E"/>
    <w:rsid w:val="00391717"/>
    <w:rsid w:val="0039381C"/>
    <w:rsid w:val="00393B0A"/>
    <w:rsid w:val="00394C40"/>
    <w:rsid w:val="00397287"/>
    <w:rsid w:val="00397693"/>
    <w:rsid w:val="003A04D4"/>
    <w:rsid w:val="003A2235"/>
    <w:rsid w:val="003A30C1"/>
    <w:rsid w:val="003A32EE"/>
    <w:rsid w:val="003A39BB"/>
    <w:rsid w:val="003A4014"/>
    <w:rsid w:val="003A706D"/>
    <w:rsid w:val="003A7241"/>
    <w:rsid w:val="003B1C49"/>
    <w:rsid w:val="003B5C75"/>
    <w:rsid w:val="003B7AE9"/>
    <w:rsid w:val="003C0E6A"/>
    <w:rsid w:val="003C149D"/>
    <w:rsid w:val="003C209F"/>
    <w:rsid w:val="003C214E"/>
    <w:rsid w:val="003C3920"/>
    <w:rsid w:val="003C3D63"/>
    <w:rsid w:val="003C5E57"/>
    <w:rsid w:val="003C768F"/>
    <w:rsid w:val="003C770A"/>
    <w:rsid w:val="003D10C1"/>
    <w:rsid w:val="003D1394"/>
    <w:rsid w:val="003D1DC8"/>
    <w:rsid w:val="003D1E5E"/>
    <w:rsid w:val="003D213E"/>
    <w:rsid w:val="003D664F"/>
    <w:rsid w:val="003D68D3"/>
    <w:rsid w:val="003D7C21"/>
    <w:rsid w:val="003D7EFC"/>
    <w:rsid w:val="003D7FDB"/>
    <w:rsid w:val="003E04A6"/>
    <w:rsid w:val="003E0FAB"/>
    <w:rsid w:val="003E3855"/>
    <w:rsid w:val="003E39ED"/>
    <w:rsid w:val="003E4337"/>
    <w:rsid w:val="003E4D48"/>
    <w:rsid w:val="003E7D92"/>
    <w:rsid w:val="003F0D97"/>
    <w:rsid w:val="003F10F9"/>
    <w:rsid w:val="003F2CF8"/>
    <w:rsid w:val="003F329E"/>
    <w:rsid w:val="003F39C6"/>
    <w:rsid w:val="003F3E07"/>
    <w:rsid w:val="003F4DED"/>
    <w:rsid w:val="003F51C5"/>
    <w:rsid w:val="003F6448"/>
    <w:rsid w:val="003F6D1A"/>
    <w:rsid w:val="003F7228"/>
    <w:rsid w:val="00400940"/>
    <w:rsid w:val="00400950"/>
    <w:rsid w:val="00402DC6"/>
    <w:rsid w:val="004034BE"/>
    <w:rsid w:val="004041C8"/>
    <w:rsid w:val="0040442D"/>
    <w:rsid w:val="0040512F"/>
    <w:rsid w:val="00405BB4"/>
    <w:rsid w:val="004065BC"/>
    <w:rsid w:val="00407595"/>
    <w:rsid w:val="004107BD"/>
    <w:rsid w:val="00410B9B"/>
    <w:rsid w:val="0041104F"/>
    <w:rsid w:val="00413ED5"/>
    <w:rsid w:val="0041520B"/>
    <w:rsid w:val="00415CAD"/>
    <w:rsid w:val="0041796D"/>
    <w:rsid w:val="00422C67"/>
    <w:rsid w:val="00423100"/>
    <w:rsid w:val="004231E5"/>
    <w:rsid w:val="00426C8F"/>
    <w:rsid w:val="00427324"/>
    <w:rsid w:val="00427B8B"/>
    <w:rsid w:val="00430E45"/>
    <w:rsid w:val="00431463"/>
    <w:rsid w:val="004333E3"/>
    <w:rsid w:val="00433915"/>
    <w:rsid w:val="004343F3"/>
    <w:rsid w:val="00434452"/>
    <w:rsid w:val="00434888"/>
    <w:rsid w:val="004361D9"/>
    <w:rsid w:val="004363C0"/>
    <w:rsid w:val="0043720E"/>
    <w:rsid w:val="00437479"/>
    <w:rsid w:val="00437CF8"/>
    <w:rsid w:val="00440CAC"/>
    <w:rsid w:val="004410C7"/>
    <w:rsid w:val="004413F4"/>
    <w:rsid w:val="0044255D"/>
    <w:rsid w:val="00443522"/>
    <w:rsid w:val="004435C2"/>
    <w:rsid w:val="004443C8"/>
    <w:rsid w:val="00444671"/>
    <w:rsid w:val="004504D2"/>
    <w:rsid w:val="00453DD9"/>
    <w:rsid w:val="00455968"/>
    <w:rsid w:val="00464172"/>
    <w:rsid w:val="004643A6"/>
    <w:rsid w:val="00466B43"/>
    <w:rsid w:val="0047193B"/>
    <w:rsid w:val="0047323F"/>
    <w:rsid w:val="00475999"/>
    <w:rsid w:val="00475BD8"/>
    <w:rsid w:val="004760E9"/>
    <w:rsid w:val="00480229"/>
    <w:rsid w:val="004808DD"/>
    <w:rsid w:val="0048095E"/>
    <w:rsid w:val="00480ECA"/>
    <w:rsid w:val="004834A4"/>
    <w:rsid w:val="00486DB7"/>
    <w:rsid w:val="00487130"/>
    <w:rsid w:val="00490B0F"/>
    <w:rsid w:val="0049101B"/>
    <w:rsid w:val="0049131C"/>
    <w:rsid w:val="00492A00"/>
    <w:rsid w:val="00492B42"/>
    <w:rsid w:val="00492D03"/>
    <w:rsid w:val="00494521"/>
    <w:rsid w:val="00495D75"/>
    <w:rsid w:val="004A2033"/>
    <w:rsid w:val="004A21B1"/>
    <w:rsid w:val="004A29DD"/>
    <w:rsid w:val="004A2B30"/>
    <w:rsid w:val="004A3C0C"/>
    <w:rsid w:val="004A412B"/>
    <w:rsid w:val="004A543C"/>
    <w:rsid w:val="004A60C7"/>
    <w:rsid w:val="004A7F33"/>
    <w:rsid w:val="004B045B"/>
    <w:rsid w:val="004B1061"/>
    <w:rsid w:val="004B185D"/>
    <w:rsid w:val="004B1D29"/>
    <w:rsid w:val="004B3E36"/>
    <w:rsid w:val="004B488F"/>
    <w:rsid w:val="004B4CC7"/>
    <w:rsid w:val="004B4CE4"/>
    <w:rsid w:val="004B70A7"/>
    <w:rsid w:val="004B79EF"/>
    <w:rsid w:val="004C01A6"/>
    <w:rsid w:val="004C094E"/>
    <w:rsid w:val="004C0DA4"/>
    <w:rsid w:val="004C23C3"/>
    <w:rsid w:val="004C3576"/>
    <w:rsid w:val="004C556E"/>
    <w:rsid w:val="004C56C3"/>
    <w:rsid w:val="004C6728"/>
    <w:rsid w:val="004C6FDA"/>
    <w:rsid w:val="004C701F"/>
    <w:rsid w:val="004C759C"/>
    <w:rsid w:val="004C784A"/>
    <w:rsid w:val="004D2CF3"/>
    <w:rsid w:val="004D43E1"/>
    <w:rsid w:val="004D6F9A"/>
    <w:rsid w:val="004D7759"/>
    <w:rsid w:val="004E0C72"/>
    <w:rsid w:val="004E1878"/>
    <w:rsid w:val="004E2BE0"/>
    <w:rsid w:val="004E2F39"/>
    <w:rsid w:val="004E4A0E"/>
    <w:rsid w:val="004E4AA0"/>
    <w:rsid w:val="004E50DB"/>
    <w:rsid w:val="004E50E8"/>
    <w:rsid w:val="004E522B"/>
    <w:rsid w:val="004E589D"/>
    <w:rsid w:val="004E641A"/>
    <w:rsid w:val="004F0248"/>
    <w:rsid w:val="004F0BD7"/>
    <w:rsid w:val="004F0F8A"/>
    <w:rsid w:val="004F1298"/>
    <w:rsid w:val="004F1D4E"/>
    <w:rsid w:val="004F3219"/>
    <w:rsid w:val="004F4F6A"/>
    <w:rsid w:val="004F544C"/>
    <w:rsid w:val="004F5816"/>
    <w:rsid w:val="004F6772"/>
    <w:rsid w:val="004F7BB2"/>
    <w:rsid w:val="0050183C"/>
    <w:rsid w:val="005020B0"/>
    <w:rsid w:val="00506581"/>
    <w:rsid w:val="00506C4C"/>
    <w:rsid w:val="005103E3"/>
    <w:rsid w:val="00510AFE"/>
    <w:rsid w:val="0051298F"/>
    <w:rsid w:val="00513183"/>
    <w:rsid w:val="00513A23"/>
    <w:rsid w:val="00513E6F"/>
    <w:rsid w:val="005141A7"/>
    <w:rsid w:val="00514E1E"/>
    <w:rsid w:val="00515A8D"/>
    <w:rsid w:val="00515AAD"/>
    <w:rsid w:val="005170DA"/>
    <w:rsid w:val="00521397"/>
    <w:rsid w:val="00521922"/>
    <w:rsid w:val="005219DF"/>
    <w:rsid w:val="005220CC"/>
    <w:rsid w:val="00523CDB"/>
    <w:rsid w:val="00524AE4"/>
    <w:rsid w:val="0053208A"/>
    <w:rsid w:val="005343E1"/>
    <w:rsid w:val="005365D4"/>
    <w:rsid w:val="00536B89"/>
    <w:rsid w:val="0053735B"/>
    <w:rsid w:val="00537C54"/>
    <w:rsid w:val="00540895"/>
    <w:rsid w:val="00540D14"/>
    <w:rsid w:val="0054563D"/>
    <w:rsid w:val="00545966"/>
    <w:rsid w:val="00545E68"/>
    <w:rsid w:val="00546729"/>
    <w:rsid w:val="005520BD"/>
    <w:rsid w:val="0055223C"/>
    <w:rsid w:val="00552518"/>
    <w:rsid w:val="00552DEC"/>
    <w:rsid w:val="00553FD5"/>
    <w:rsid w:val="00560789"/>
    <w:rsid w:val="0056096D"/>
    <w:rsid w:val="005615E6"/>
    <w:rsid w:val="005629E9"/>
    <w:rsid w:val="00562BB8"/>
    <w:rsid w:val="00563220"/>
    <w:rsid w:val="00565D99"/>
    <w:rsid w:val="005723B7"/>
    <w:rsid w:val="005727B7"/>
    <w:rsid w:val="00573DBD"/>
    <w:rsid w:val="00574D21"/>
    <w:rsid w:val="005758D1"/>
    <w:rsid w:val="00576AF8"/>
    <w:rsid w:val="00577638"/>
    <w:rsid w:val="0058238D"/>
    <w:rsid w:val="00582B63"/>
    <w:rsid w:val="00584846"/>
    <w:rsid w:val="00585043"/>
    <w:rsid w:val="00587B88"/>
    <w:rsid w:val="00587DDA"/>
    <w:rsid w:val="00590B22"/>
    <w:rsid w:val="00591166"/>
    <w:rsid w:val="005913CE"/>
    <w:rsid w:val="005927EC"/>
    <w:rsid w:val="00592BBB"/>
    <w:rsid w:val="00595782"/>
    <w:rsid w:val="00595AC7"/>
    <w:rsid w:val="005972BB"/>
    <w:rsid w:val="005A2341"/>
    <w:rsid w:val="005A2C5F"/>
    <w:rsid w:val="005A4AAC"/>
    <w:rsid w:val="005A5095"/>
    <w:rsid w:val="005A639F"/>
    <w:rsid w:val="005A640F"/>
    <w:rsid w:val="005B3BC0"/>
    <w:rsid w:val="005B5D6C"/>
    <w:rsid w:val="005B66C2"/>
    <w:rsid w:val="005B6AB1"/>
    <w:rsid w:val="005C11F7"/>
    <w:rsid w:val="005C182B"/>
    <w:rsid w:val="005C5138"/>
    <w:rsid w:val="005C55CA"/>
    <w:rsid w:val="005C5F0F"/>
    <w:rsid w:val="005D1B06"/>
    <w:rsid w:val="005D1CA6"/>
    <w:rsid w:val="005D2986"/>
    <w:rsid w:val="005D4749"/>
    <w:rsid w:val="005D63A9"/>
    <w:rsid w:val="005D6A5F"/>
    <w:rsid w:val="005D7774"/>
    <w:rsid w:val="005D79B3"/>
    <w:rsid w:val="005E0943"/>
    <w:rsid w:val="005E2FD3"/>
    <w:rsid w:val="005E3943"/>
    <w:rsid w:val="005E6F22"/>
    <w:rsid w:val="005E77F3"/>
    <w:rsid w:val="005E77FF"/>
    <w:rsid w:val="005E79EB"/>
    <w:rsid w:val="005E7CA0"/>
    <w:rsid w:val="005E7FEC"/>
    <w:rsid w:val="005F13BE"/>
    <w:rsid w:val="005F1822"/>
    <w:rsid w:val="005F184C"/>
    <w:rsid w:val="005F1887"/>
    <w:rsid w:val="005F21E5"/>
    <w:rsid w:val="005F2FA0"/>
    <w:rsid w:val="005F68EC"/>
    <w:rsid w:val="00600D0D"/>
    <w:rsid w:val="00600F2E"/>
    <w:rsid w:val="00601615"/>
    <w:rsid w:val="006021E9"/>
    <w:rsid w:val="00602450"/>
    <w:rsid w:val="00602A5E"/>
    <w:rsid w:val="00603CEC"/>
    <w:rsid w:val="00603D66"/>
    <w:rsid w:val="0060434E"/>
    <w:rsid w:val="00604C06"/>
    <w:rsid w:val="0060608F"/>
    <w:rsid w:val="00607385"/>
    <w:rsid w:val="0060785E"/>
    <w:rsid w:val="00607CA7"/>
    <w:rsid w:val="006115D5"/>
    <w:rsid w:val="00611A98"/>
    <w:rsid w:val="00613DBB"/>
    <w:rsid w:val="00613E91"/>
    <w:rsid w:val="00614709"/>
    <w:rsid w:val="00616120"/>
    <w:rsid w:val="0061657F"/>
    <w:rsid w:val="0061768E"/>
    <w:rsid w:val="00617926"/>
    <w:rsid w:val="00617F6E"/>
    <w:rsid w:val="00621C23"/>
    <w:rsid w:val="00621FDB"/>
    <w:rsid w:val="00622801"/>
    <w:rsid w:val="0062316F"/>
    <w:rsid w:val="00623A46"/>
    <w:rsid w:val="00623AE6"/>
    <w:rsid w:val="006245E8"/>
    <w:rsid w:val="006257F3"/>
    <w:rsid w:val="0062677F"/>
    <w:rsid w:val="00627D23"/>
    <w:rsid w:val="00632194"/>
    <w:rsid w:val="00632715"/>
    <w:rsid w:val="0063606E"/>
    <w:rsid w:val="00636A2A"/>
    <w:rsid w:val="00636CAF"/>
    <w:rsid w:val="0063718D"/>
    <w:rsid w:val="00637447"/>
    <w:rsid w:val="00640176"/>
    <w:rsid w:val="0064239E"/>
    <w:rsid w:val="00642A5D"/>
    <w:rsid w:val="00643661"/>
    <w:rsid w:val="006436FC"/>
    <w:rsid w:val="00646673"/>
    <w:rsid w:val="006473E2"/>
    <w:rsid w:val="00647CC0"/>
    <w:rsid w:val="00651A2B"/>
    <w:rsid w:val="00651B24"/>
    <w:rsid w:val="006522F6"/>
    <w:rsid w:val="00652C9D"/>
    <w:rsid w:val="00654FE9"/>
    <w:rsid w:val="006563D8"/>
    <w:rsid w:val="006571AC"/>
    <w:rsid w:val="00657A01"/>
    <w:rsid w:val="006606C9"/>
    <w:rsid w:val="00660703"/>
    <w:rsid w:val="00664B63"/>
    <w:rsid w:val="006673E0"/>
    <w:rsid w:val="00667D5A"/>
    <w:rsid w:val="0067041B"/>
    <w:rsid w:val="00670DB8"/>
    <w:rsid w:val="0067442A"/>
    <w:rsid w:val="00674AFB"/>
    <w:rsid w:val="006754E9"/>
    <w:rsid w:val="00675D4C"/>
    <w:rsid w:val="00677B15"/>
    <w:rsid w:val="0068061B"/>
    <w:rsid w:val="006827F3"/>
    <w:rsid w:val="00682F97"/>
    <w:rsid w:val="0068303A"/>
    <w:rsid w:val="006837B4"/>
    <w:rsid w:val="00685582"/>
    <w:rsid w:val="006870AF"/>
    <w:rsid w:val="00687FEA"/>
    <w:rsid w:val="00690580"/>
    <w:rsid w:val="00692B0E"/>
    <w:rsid w:val="00693243"/>
    <w:rsid w:val="00694ADE"/>
    <w:rsid w:val="00696679"/>
    <w:rsid w:val="006970D1"/>
    <w:rsid w:val="006977A1"/>
    <w:rsid w:val="006A2477"/>
    <w:rsid w:val="006A3A2F"/>
    <w:rsid w:val="006A4A61"/>
    <w:rsid w:val="006A5319"/>
    <w:rsid w:val="006A61D8"/>
    <w:rsid w:val="006A6E88"/>
    <w:rsid w:val="006A7788"/>
    <w:rsid w:val="006A7BCF"/>
    <w:rsid w:val="006B03F1"/>
    <w:rsid w:val="006B06AC"/>
    <w:rsid w:val="006B06E2"/>
    <w:rsid w:val="006B11BA"/>
    <w:rsid w:val="006B186A"/>
    <w:rsid w:val="006B25FB"/>
    <w:rsid w:val="006B33BC"/>
    <w:rsid w:val="006B6196"/>
    <w:rsid w:val="006B74BA"/>
    <w:rsid w:val="006C0379"/>
    <w:rsid w:val="006C1E26"/>
    <w:rsid w:val="006C2B4D"/>
    <w:rsid w:val="006C2D11"/>
    <w:rsid w:val="006C3FF0"/>
    <w:rsid w:val="006C4009"/>
    <w:rsid w:val="006C4127"/>
    <w:rsid w:val="006C47A8"/>
    <w:rsid w:val="006C4C41"/>
    <w:rsid w:val="006C4D6A"/>
    <w:rsid w:val="006C6A97"/>
    <w:rsid w:val="006D1A64"/>
    <w:rsid w:val="006D2103"/>
    <w:rsid w:val="006D26CE"/>
    <w:rsid w:val="006D2C77"/>
    <w:rsid w:val="006D30FF"/>
    <w:rsid w:val="006D3529"/>
    <w:rsid w:val="006D384B"/>
    <w:rsid w:val="006D3D7C"/>
    <w:rsid w:val="006D3DFD"/>
    <w:rsid w:val="006D4350"/>
    <w:rsid w:val="006D48F6"/>
    <w:rsid w:val="006D5FC3"/>
    <w:rsid w:val="006D6806"/>
    <w:rsid w:val="006D7513"/>
    <w:rsid w:val="006E033B"/>
    <w:rsid w:val="006E0671"/>
    <w:rsid w:val="006E2241"/>
    <w:rsid w:val="006E33EF"/>
    <w:rsid w:val="006E3766"/>
    <w:rsid w:val="006E5C14"/>
    <w:rsid w:val="006E62E1"/>
    <w:rsid w:val="006E79A6"/>
    <w:rsid w:val="006E7B0D"/>
    <w:rsid w:val="006E7E5C"/>
    <w:rsid w:val="006F098C"/>
    <w:rsid w:val="006F09AF"/>
    <w:rsid w:val="006F2B1A"/>
    <w:rsid w:val="006F4A78"/>
    <w:rsid w:val="0070196F"/>
    <w:rsid w:val="00703239"/>
    <w:rsid w:val="0070458F"/>
    <w:rsid w:val="00706135"/>
    <w:rsid w:val="007066F2"/>
    <w:rsid w:val="00706702"/>
    <w:rsid w:val="00706C1F"/>
    <w:rsid w:val="007103EE"/>
    <w:rsid w:val="007105E1"/>
    <w:rsid w:val="00711622"/>
    <w:rsid w:val="007120C8"/>
    <w:rsid w:val="00714169"/>
    <w:rsid w:val="0071710F"/>
    <w:rsid w:val="007200C2"/>
    <w:rsid w:val="007210E5"/>
    <w:rsid w:val="007231A5"/>
    <w:rsid w:val="00723980"/>
    <w:rsid w:val="0072423F"/>
    <w:rsid w:val="007243A4"/>
    <w:rsid w:val="0072645F"/>
    <w:rsid w:val="007275E1"/>
    <w:rsid w:val="0073038F"/>
    <w:rsid w:val="00730697"/>
    <w:rsid w:val="007355F1"/>
    <w:rsid w:val="00736308"/>
    <w:rsid w:val="0073779E"/>
    <w:rsid w:val="00737974"/>
    <w:rsid w:val="00737D0F"/>
    <w:rsid w:val="007403A2"/>
    <w:rsid w:val="00740A34"/>
    <w:rsid w:val="0074164D"/>
    <w:rsid w:val="007427B8"/>
    <w:rsid w:val="007427D1"/>
    <w:rsid w:val="00742BC6"/>
    <w:rsid w:val="00743112"/>
    <w:rsid w:val="00746B53"/>
    <w:rsid w:val="007503AF"/>
    <w:rsid w:val="00750BAA"/>
    <w:rsid w:val="00752894"/>
    <w:rsid w:val="00755287"/>
    <w:rsid w:val="00755497"/>
    <w:rsid w:val="00755DAC"/>
    <w:rsid w:val="00757469"/>
    <w:rsid w:val="0075774D"/>
    <w:rsid w:val="007613AB"/>
    <w:rsid w:val="007613B5"/>
    <w:rsid w:val="00763FC0"/>
    <w:rsid w:val="0076426B"/>
    <w:rsid w:val="00764958"/>
    <w:rsid w:val="007656C9"/>
    <w:rsid w:val="00767A1F"/>
    <w:rsid w:val="00767B2F"/>
    <w:rsid w:val="00771485"/>
    <w:rsid w:val="00772584"/>
    <w:rsid w:val="00772C78"/>
    <w:rsid w:val="007731ED"/>
    <w:rsid w:val="007759CC"/>
    <w:rsid w:val="00777577"/>
    <w:rsid w:val="00782923"/>
    <w:rsid w:val="007834F3"/>
    <w:rsid w:val="00783D5B"/>
    <w:rsid w:val="007862CA"/>
    <w:rsid w:val="00787883"/>
    <w:rsid w:val="00787F73"/>
    <w:rsid w:val="007903D8"/>
    <w:rsid w:val="007914EC"/>
    <w:rsid w:val="0079176A"/>
    <w:rsid w:val="00792AD4"/>
    <w:rsid w:val="00793071"/>
    <w:rsid w:val="00793177"/>
    <w:rsid w:val="00794698"/>
    <w:rsid w:val="00794834"/>
    <w:rsid w:val="007953F8"/>
    <w:rsid w:val="007970FA"/>
    <w:rsid w:val="007A19E4"/>
    <w:rsid w:val="007A1ED0"/>
    <w:rsid w:val="007A1F6C"/>
    <w:rsid w:val="007A29A6"/>
    <w:rsid w:val="007A2A1A"/>
    <w:rsid w:val="007A36CC"/>
    <w:rsid w:val="007A3EF3"/>
    <w:rsid w:val="007A487D"/>
    <w:rsid w:val="007A5380"/>
    <w:rsid w:val="007A63B9"/>
    <w:rsid w:val="007A7AA6"/>
    <w:rsid w:val="007B0479"/>
    <w:rsid w:val="007B0B69"/>
    <w:rsid w:val="007B288C"/>
    <w:rsid w:val="007B381E"/>
    <w:rsid w:val="007B4EB9"/>
    <w:rsid w:val="007B6915"/>
    <w:rsid w:val="007B72FD"/>
    <w:rsid w:val="007B7BC9"/>
    <w:rsid w:val="007C2502"/>
    <w:rsid w:val="007C2EC3"/>
    <w:rsid w:val="007C3174"/>
    <w:rsid w:val="007C5055"/>
    <w:rsid w:val="007C574C"/>
    <w:rsid w:val="007C658E"/>
    <w:rsid w:val="007C7031"/>
    <w:rsid w:val="007D2B01"/>
    <w:rsid w:val="007D2BB2"/>
    <w:rsid w:val="007D2E20"/>
    <w:rsid w:val="007D4627"/>
    <w:rsid w:val="007D67E5"/>
    <w:rsid w:val="007D7C7E"/>
    <w:rsid w:val="007D7CD3"/>
    <w:rsid w:val="007E0C35"/>
    <w:rsid w:val="007E151D"/>
    <w:rsid w:val="007E2580"/>
    <w:rsid w:val="007E3483"/>
    <w:rsid w:val="007E4241"/>
    <w:rsid w:val="007E7DAF"/>
    <w:rsid w:val="007E7E9E"/>
    <w:rsid w:val="007F145C"/>
    <w:rsid w:val="007F1917"/>
    <w:rsid w:val="007F19CE"/>
    <w:rsid w:val="007F2281"/>
    <w:rsid w:val="007F3F45"/>
    <w:rsid w:val="007F4962"/>
    <w:rsid w:val="007F5235"/>
    <w:rsid w:val="007F53C3"/>
    <w:rsid w:val="007F612C"/>
    <w:rsid w:val="007F6A9F"/>
    <w:rsid w:val="007F70EF"/>
    <w:rsid w:val="008004B5"/>
    <w:rsid w:val="00802674"/>
    <w:rsid w:val="00802680"/>
    <w:rsid w:val="008034B9"/>
    <w:rsid w:val="0080456B"/>
    <w:rsid w:val="00805C1F"/>
    <w:rsid w:val="00805FC4"/>
    <w:rsid w:val="0080744D"/>
    <w:rsid w:val="00811147"/>
    <w:rsid w:val="0081146D"/>
    <w:rsid w:val="008119EB"/>
    <w:rsid w:val="00812954"/>
    <w:rsid w:val="008145C2"/>
    <w:rsid w:val="00814990"/>
    <w:rsid w:val="00814D4A"/>
    <w:rsid w:val="00820E7C"/>
    <w:rsid w:val="00821BB9"/>
    <w:rsid w:val="00822CBD"/>
    <w:rsid w:val="00822F38"/>
    <w:rsid w:val="0082321E"/>
    <w:rsid w:val="00823CE6"/>
    <w:rsid w:val="008247EC"/>
    <w:rsid w:val="00825FE1"/>
    <w:rsid w:val="00830C8D"/>
    <w:rsid w:val="008318B5"/>
    <w:rsid w:val="00831FE1"/>
    <w:rsid w:val="0083204E"/>
    <w:rsid w:val="00832171"/>
    <w:rsid w:val="008329C7"/>
    <w:rsid w:val="0083306F"/>
    <w:rsid w:val="00833998"/>
    <w:rsid w:val="00834107"/>
    <w:rsid w:val="0083483F"/>
    <w:rsid w:val="0083501B"/>
    <w:rsid w:val="00835C8B"/>
    <w:rsid w:val="00836F54"/>
    <w:rsid w:val="00837186"/>
    <w:rsid w:val="00837CE7"/>
    <w:rsid w:val="00840E56"/>
    <w:rsid w:val="00841EB5"/>
    <w:rsid w:val="00843390"/>
    <w:rsid w:val="00844F1B"/>
    <w:rsid w:val="008461FF"/>
    <w:rsid w:val="00846AE5"/>
    <w:rsid w:val="00850178"/>
    <w:rsid w:val="008514BD"/>
    <w:rsid w:val="00851743"/>
    <w:rsid w:val="00851AA8"/>
    <w:rsid w:val="00851C7A"/>
    <w:rsid w:val="00854909"/>
    <w:rsid w:val="00857009"/>
    <w:rsid w:val="008602D9"/>
    <w:rsid w:val="0086392D"/>
    <w:rsid w:val="0086447F"/>
    <w:rsid w:val="00865B91"/>
    <w:rsid w:val="008660E8"/>
    <w:rsid w:val="0086724C"/>
    <w:rsid w:val="00867454"/>
    <w:rsid w:val="008678C7"/>
    <w:rsid w:val="00870772"/>
    <w:rsid w:val="008708FF"/>
    <w:rsid w:val="0087123C"/>
    <w:rsid w:val="0087183E"/>
    <w:rsid w:val="00871F09"/>
    <w:rsid w:val="00873E3A"/>
    <w:rsid w:val="00874D53"/>
    <w:rsid w:val="00882731"/>
    <w:rsid w:val="00883F58"/>
    <w:rsid w:val="008844A6"/>
    <w:rsid w:val="008847FA"/>
    <w:rsid w:val="00884F9F"/>
    <w:rsid w:val="00885DF6"/>
    <w:rsid w:val="00886E1F"/>
    <w:rsid w:val="00887289"/>
    <w:rsid w:val="00887463"/>
    <w:rsid w:val="00887684"/>
    <w:rsid w:val="0089018D"/>
    <w:rsid w:val="00891162"/>
    <w:rsid w:val="00891F88"/>
    <w:rsid w:val="008929CE"/>
    <w:rsid w:val="008940D1"/>
    <w:rsid w:val="008A0D2A"/>
    <w:rsid w:val="008A3A62"/>
    <w:rsid w:val="008A64E3"/>
    <w:rsid w:val="008B1891"/>
    <w:rsid w:val="008B1C48"/>
    <w:rsid w:val="008B24BA"/>
    <w:rsid w:val="008B2AEF"/>
    <w:rsid w:val="008B4151"/>
    <w:rsid w:val="008B5623"/>
    <w:rsid w:val="008B5660"/>
    <w:rsid w:val="008B65BC"/>
    <w:rsid w:val="008B746C"/>
    <w:rsid w:val="008B77B5"/>
    <w:rsid w:val="008C1298"/>
    <w:rsid w:val="008C2280"/>
    <w:rsid w:val="008C2DEC"/>
    <w:rsid w:val="008C6C13"/>
    <w:rsid w:val="008C79E8"/>
    <w:rsid w:val="008D1C01"/>
    <w:rsid w:val="008D1CF1"/>
    <w:rsid w:val="008D2B19"/>
    <w:rsid w:val="008D31E3"/>
    <w:rsid w:val="008D4176"/>
    <w:rsid w:val="008D4EF4"/>
    <w:rsid w:val="008D5250"/>
    <w:rsid w:val="008D709A"/>
    <w:rsid w:val="008E1F07"/>
    <w:rsid w:val="008E4141"/>
    <w:rsid w:val="008E654A"/>
    <w:rsid w:val="008E6A4F"/>
    <w:rsid w:val="008F07BD"/>
    <w:rsid w:val="008F1E5D"/>
    <w:rsid w:val="008F3946"/>
    <w:rsid w:val="008F44FF"/>
    <w:rsid w:val="008F5EC2"/>
    <w:rsid w:val="008F6D04"/>
    <w:rsid w:val="008F6FE2"/>
    <w:rsid w:val="00900271"/>
    <w:rsid w:val="00900546"/>
    <w:rsid w:val="00901A33"/>
    <w:rsid w:val="00901C9F"/>
    <w:rsid w:val="009029D1"/>
    <w:rsid w:val="00903367"/>
    <w:rsid w:val="009037E3"/>
    <w:rsid w:val="009041DB"/>
    <w:rsid w:val="0090459D"/>
    <w:rsid w:val="00904B7B"/>
    <w:rsid w:val="00906991"/>
    <w:rsid w:val="00906B0A"/>
    <w:rsid w:val="00907799"/>
    <w:rsid w:val="009106BC"/>
    <w:rsid w:val="009121AA"/>
    <w:rsid w:val="00912569"/>
    <w:rsid w:val="0091296F"/>
    <w:rsid w:val="00912B7E"/>
    <w:rsid w:val="00913391"/>
    <w:rsid w:val="00913BC8"/>
    <w:rsid w:val="00915B6D"/>
    <w:rsid w:val="009160F8"/>
    <w:rsid w:val="00920413"/>
    <w:rsid w:val="009249C3"/>
    <w:rsid w:val="00930621"/>
    <w:rsid w:val="0093300C"/>
    <w:rsid w:val="00933213"/>
    <w:rsid w:val="00933CA3"/>
    <w:rsid w:val="00934155"/>
    <w:rsid w:val="00934611"/>
    <w:rsid w:val="009347A9"/>
    <w:rsid w:val="00935ADA"/>
    <w:rsid w:val="0094092C"/>
    <w:rsid w:val="00940C2D"/>
    <w:rsid w:val="00940DC8"/>
    <w:rsid w:val="00942744"/>
    <w:rsid w:val="00946047"/>
    <w:rsid w:val="00946953"/>
    <w:rsid w:val="00947041"/>
    <w:rsid w:val="00947477"/>
    <w:rsid w:val="0094751B"/>
    <w:rsid w:val="009504C8"/>
    <w:rsid w:val="00951227"/>
    <w:rsid w:val="00951C36"/>
    <w:rsid w:val="0095259D"/>
    <w:rsid w:val="00953E59"/>
    <w:rsid w:val="00955023"/>
    <w:rsid w:val="00955F96"/>
    <w:rsid w:val="00957117"/>
    <w:rsid w:val="00957205"/>
    <w:rsid w:val="0096168C"/>
    <w:rsid w:val="00961C5C"/>
    <w:rsid w:val="00961F47"/>
    <w:rsid w:val="0096426F"/>
    <w:rsid w:val="00965354"/>
    <w:rsid w:val="0096619A"/>
    <w:rsid w:val="009663C6"/>
    <w:rsid w:val="00966D5C"/>
    <w:rsid w:val="00966F9B"/>
    <w:rsid w:val="0096716C"/>
    <w:rsid w:val="00970019"/>
    <w:rsid w:val="00971A3F"/>
    <w:rsid w:val="00972A85"/>
    <w:rsid w:val="00973B7F"/>
    <w:rsid w:val="009823FF"/>
    <w:rsid w:val="00982B51"/>
    <w:rsid w:val="00984C7F"/>
    <w:rsid w:val="00984DB7"/>
    <w:rsid w:val="009856F1"/>
    <w:rsid w:val="00990BE0"/>
    <w:rsid w:val="0099162C"/>
    <w:rsid w:val="009938E5"/>
    <w:rsid w:val="00993FB5"/>
    <w:rsid w:val="0099407D"/>
    <w:rsid w:val="009951CA"/>
    <w:rsid w:val="009957ED"/>
    <w:rsid w:val="00996786"/>
    <w:rsid w:val="009A015B"/>
    <w:rsid w:val="009A08B0"/>
    <w:rsid w:val="009A21A3"/>
    <w:rsid w:val="009A2F05"/>
    <w:rsid w:val="009A37A3"/>
    <w:rsid w:val="009A4A9C"/>
    <w:rsid w:val="009B1516"/>
    <w:rsid w:val="009B1701"/>
    <w:rsid w:val="009B2152"/>
    <w:rsid w:val="009B28E9"/>
    <w:rsid w:val="009B392C"/>
    <w:rsid w:val="009B430E"/>
    <w:rsid w:val="009B486D"/>
    <w:rsid w:val="009B54C7"/>
    <w:rsid w:val="009B6CE7"/>
    <w:rsid w:val="009B72C2"/>
    <w:rsid w:val="009C060D"/>
    <w:rsid w:val="009C0C51"/>
    <w:rsid w:val="009C14CA"/>
    <w:rsid w:val="009C2202"/>
    <w:rsid w:val="009C3173"/>
    <w:rsid w:val="009C3E47"/>
    <w:rsid w:val="009C496A"/>
    <w:rsid w:val="009C5126"/>
    <w:rsid w:val="009C64C5"/>
    <w:rsid w:val="009D2802"/>
    <w:rsid w:val="009D3A13"/>
    <w:rsid w:val="009D5569"/>
    <w:rsid w:val="009D71E4"/>
    <w:rsid w:val="009E4245"/>
    <w:rsid w:val="009E60B4"/>
    <w:rsid w:val="009E6A06"/>
    <w:rsid w:val="009E7AE9"/>
    <w:rsid w:val="009F1092"/>
    <w:rsid w:val="009F247E"/>
    <w:rsid w:val="009F36AE"/>
    <w:rsid w:val="009F5928"/>
    <w:rsid w:val="009F5B9E"/>
    <w:rsid w:val="009F7716"/>
    <w:rsid w:val="009F7843"/>
    <w:rsid w:val="00A01399"/>
    <w:rsid w:val="00A02484"/>
    <w:rsid w:val="00A02926"/>
    <w:rsid w:val="00A02A5B"/>
    <w:rsid w:val="00A03ADB"/>
    <w:rsid w:val="00A03EE7"/>
    <w:rsid w:val="00A046D4"/>
    <w:rsid w:val="00A04D42"/>
    <w:rsid w:val="00A0561C"/>
    <w:rsid w:val="00A05ED8"/>
    <w:rsid w:val="00A123D0"/>
    <w:rsid w:val="00A125B2"/>
    <w:rsid w:val="00A135EE"/>
    <w:rsid w:val="00A15A4B"/>
    <w:rsid w:val="00A16CC8"/>
    <w:rsid w:val="00A16EB5"/>
    <w:rsid w:val="00A17480"/>
    <w:rsid w:val="00A24154"/>
    <w:rsid w:val="00A25749"/>
    <w:rsid w:val="00A2581B"/>
    <w:rsid w:val="00A259E3"/>
    <w:rsid w:val="00A265DA"/>
    <w:rsid w:val="00A2689D"/>
    <w:rsid w:val="00A302A9"/>
    <w:rsid w:val="00A32A64"/>
    <w:rsid w:val="00A3392A"/>
    <w:rsid w:val="00A33A8B"/>
    <w:rsid w:val="00A353AC"/>
    <w:rsid w:val="00A35E42"/>
    <w:rsid w:val="00A4020B"/>
    <w:rsid w:val="00A40316"/>
    <w:rsid w:val="00A40EC9"/>
    <w:rsid w:val="00A42006"/>
    <w:rsid w:val="00A42357"/>
    <w:rsid w:val="00A42DA7"/>
    <w:rsid w:val="00A458F4"/>
    <w:rsid w:val="00A45E6B"/>
    <w:rsid w:val="00A46212"/>
    <w:rsid w:val="00A50D20"/>
    <w:rsid w:val="00A51099"/>
    <w:rsid w:val="00A5222E"/>
    <w:rsid w:val="00A525B9"/>
    <w:rsid w:val="00A53AF4"/>
    <w:rsid w:val="00A5482F"/>
    <w:rsid w:val="00A549FF"/>
    <w:rsid w:val="00A56B6A"/>
    <w:rsid w:val="00A63247"/>
    <w:rsid w:val="00A63E6D"/>
    <w:rsid w:val="00A646A4"/>
    <w:rsid w:val="00A65908"/>
    <w:rsid w:val="00A65FA4"/>
    <w:rsid w:val="00A66448"/>
    <w:rsid w:val="00A66D8C"/>
    <w:rsid w:val="00A67BC0"/>
    <w:rsid w:val="00A700F9"/>
    <w:rsid w:val="00A707D9"/>
    <w:rsid w:val="00A7092C"/>
    <w:rsid w:val="00A711FB"/>
    <w:rsid w:val="00A719BE"/>
    <w:rsid w:val="00A72272"/>
    <w:rsid w:val="00A7399E"/>
    <w:rsid w:val="00A74175"/>
    <w:rsid w:val="00A74ACB"/>
    <w:rsid w:val="00A75AA8"/>
    <w:rsid w:val="00A77230"/>
    <w:rsid w:val="00A77E1A"/>
    <w:rsid w:val="00A80242"/>
    <w:rsid w:val="00A81152"/>
    <w:rsid w:val="00A8156D"/>
    <w:rsid w:val="00A81988"/>
    <w:rsid w:val="00A81A84"/>
    <w:rsid w:val="00A83800"/>
    <w:rsid w:val="00A84576"/>
    <w:rsid w:val="00A86D52"/>
    <w:rsid w:val="00A86E09"/>
    <w:rsid w:val="00A90DF3"/>
    <w:rsid w:val="00A955CF"/>
    <w:rsid w:val="00A95C68"/>
    <w:rsid w:val="00AA3743"/>
    <w:rsid w:val="00AA54C0"/>
    <w:rsid w:val="00AA6049"/>
    <w:rsid w:val="00AA77F1"/>
    <w:rsid w:val="00AB24A8"/>
    <w:rsid w:val="00AB3529"/>
    <w:rsid w:val="00AB3837"/>
    <w:rsid w:val="00AB436C"/>
    <w:rsid w:val="00AB45D0"/>
    <w:rsid w:val="00AB4FEC"/>
    <w:rsid w:val="00AB5679"/>
    <w:rsid w:val="00AB5D32"/>
    <w:rsid w:val="00AB7434"/>
    <w:rsid w:val="00AB7649"/>
    <w:rsid w:val="00AC0678"/>
    <w:rsid w:val="00AC1D58"/>
    <w:rsid w:val="00AC20C7"/>
    <w:rsid w:val="00AC2275"/>
    <w:rsid w:val="00AC547F"/>
    <w:rsid w:val="00AC54AB"/>
    <w:rsid w:val="00AC74A1"/>
    <w:rsid w:val="00AD0753"/>
    <w:rsid w:val="00AD0962"/>
    <w:rsid w:val="00AD0DAF"/>
    <w:rsid w:val="00AD10E1"/>
    <w:rsid w:val="00AD182A"/>
    <w:rsid w:val="00AD256F"/>
    <w:rsid w:val="00AD3C3D"/>
    <w:rsid w:val="00AD45AB"/>
    <w:rsid w:val="00AD59D5"/>
    <w:rsid w:val="00AE2781"/>
    <w:rsid w:val="00AE2C57"/>
    <w:rsid w:val="00AE3A48"/>
    <w:rsid w:val="00AE40A0"/>
    <w:rsid w:val="00AE4CE9"/>
    <w:rsid w:val="00AE536B"/>
    <w:rsid w:val="00AE5494"/>
    <w:rsid w:val="00AE5EB9"/>
    <w:rsid w:val="00AE777B"/>
    <w:rsid w:val="00AF4277"/>
    <w:rsid w:val="00AF6A77"/>
    <w:rsid w:val="00AF7681"/>
    <w:rsid w:val="00B016AC"/>
    <w:rsid w:val="00B0243A"/>
    <w:rsid w:val="00B02765"/>
    <w:rsid w:val="00B029ED"/>
    <w:rsid w:val="00B03957"/>
    <w:rsid w:val="00B0397D"/>
    <w:rsid w:val="00B04D5D"/>
    <w:rsid w:val="00B053EB"/>
    <w:rsid w:val="00B072C2"/>
    <w:rsid w:val="00B100A5"/>
    <w:rsid w:val="00B11D38"/>
    <w:rsid w:val="00B12DE2"/>
    <w:rsid w:val="00B133C1"/>
    <w:rsid w:val="00B141F1"/>
    <w:rsid w:val="00B145CE"/>
    <w:rsid w:val="00B147F6"/>
    <w:rsid w:val="00B15968"/>
    <w:rsid w:val="00B168E8"/>
    <w:rsid w:val="00B20B0B"/>
    <w:rsid w:val="00B23103"/>
    <w:rsid w:val="00B2346E"/>
    <w:rsid w:val="00B237AB"/>
    <w:rsid w:val="00B250DF"/>
    <w:rsid w:val="00B25FA0"/>
    <w:rsid w:val="00B2707E"/>
    <w:rsid w:val="00B27896"/>
    <w:rsid w:val="00B30349"/>
    <w:rsid w:val="00B30651"/>
    <w:rsid w:val="00B310B5"/>
    <w:rsid w:val="00B322C9"/>
    <w:rsid w:val="00B33770"/>
    <w:rsid w:val="00B33D8F"/>
    <w:rsid w:val="00B35364"/>
    <w:rsid w:val="00B356F8"/>
    <w:rsid w:val="00B35F61"/>
    <w:rsid w:val="00B36805"/>
    <w:rsid w:val="00B36AEA"/>
    <w:rsid w:val="00B37338"/>
    <w:rsid w:val="00B37ABD"/>
    <w:rsid w:val="00B37EBE"/>
    <w:rsid w:val="00B44EEE"/>
    <w:rsid w:val="00B45137"/>
    <w:rsid w:val="00B479D2"/>
    <w:rsid w:val="00B47A4B"/>
    <w:rsid w:val="00B47D3E"/>
    <w:rsid w:val="00B50309"/>
    <w:rsid w:val="00B509FB"/>
    <w:rsid w:val="00B51AF5"/>
    <w:rsid w:val="00B52BB4"/>
    <w:rsid w:val="00B52CA5"/>
    <w:rsid w:val="00B53E5C"/>
    <w:rsid w:val="00B54197"/>
    <w:rsid w:val="00B55FC6"/>
    <w:rsid w:val="00B571DB"/>
    <w:rsid w:val="00B57AE6"/>
    <w:rsid w:val="00B57EC6"/>
    <w:rsid w:val="00B608F0"/>
    <w:rsid w:val="00B61051"/>
    <w:rsid w:val="00B61CF4"/>
    <w:rsid w:val="00B64554"/>
    <w:rsid w:val="00B654EA"/>
    <w:rsid w:val="00B66B01"/>
    <w:rsid w:val="00B673E3"/>
    <w:rsid w:val="00B67849"/>
    <w:rsid w:val="00B70293"/>
    <w:rsid w:val="00B71CA7"/>
    <w:rsid w:val="00B72D66"/>
    <w:rsid w:val="00B73E58"/>
    <w:rsid w:val="00B73ED7"/>
    <w:rsid w:val="00B75635"/>
    <w:rsid w:val="00B75897"/>
    <w:rsid w:val="00B76799"/>
    <w:rsid w:val="00B76C9E"/>
    <w:rsid w:val="00B77AA8"/>
    <w:rsid w:val="00B80B92"/>
    <w:rsid w:val="00B81E7A"/>
    <w:rsid w:val="00B827B5"/>
    <w:rsid w:val="00B83E77"/>
    <w:rsid w:val="00B84918"/>
    <w:rsid w:val="00B84C7D"/>
    <w:rsid w:val="00B85332"/>
    <w:rsid w:val="00B869CC"/>
    <w:rsid w:val="00B8795C"/>
    <w:rsid w:val="00B906B5"/>
    <w:rsid w:val="00B910F8"/>
    <w:rsid w:val="00B928F1"/>
    <w:rsid w:val="00B93212"/>
    <w:rsid w:val="00B93234"/>
    <w:rsid w:val="00B93445"/>
    <w:rsid w:val="00B944B4"/>
    <w:rsid w:val="00B94816"/>
    <w:rsid w:val="00B9621A"/>
    <w:rsid w:val="00B97E63"/>
    <w:rsid w:val="00BA0D9D"/>
    <w:rsid w:val="00BA14F2"/>
    <w:rsid w:val="00BA2DEE"/>
    <w:rsid w:val="00BA33FF"/>
    <w:rsid w:val="00BA733C"/>
    <w:rsid w:val="00BB0527"/>
    <w:rsid w:val="00BB087B"/>
    <w:rsid w:val="00BB0ABD"/>
    <w:rsid w:val="00BB0B18"/>
    <w:rsid w:val="00BB1609"/>
    <w:rsid w:val="00BB516C"/>
    <w:rsid w:val="00BB51C3"/>
    <w:rsid w:val="00BB5436"/>
    <w:rsid w:val="00BB64F6"/>
    <w:rsid w:val="00BC01E5"/>
    <w:rsid w:val="00BC10CD"/>
    <w:rsid w:val="00BC13AB"/>
    <w:rsid w:val="00BC1B85"/>
    <w:rsid w:val="00BC3A86"/>
    <w:rsid w:val="00BC431A"/>
    <w:rsid w:val="00BD0349"/>
    <w:rsid w:val="00BD1551"/>
    <w:rsid w:val="00BD6185"/>
    <w:rsid w:val="00BD7527"/>
    <w:rsid w:val="00BE0DD8"/>
    <w:rsid w:val="00BE27EB"/>
    <w:rsid w:val="00BE2866"/>
    <w:rsid w:val="00BE36F9"/>
    <w:rsid w:val="00BE566D"/>
    <w:rsid w:val="00BE6BCD"/>
    <w:rsid w:val="00BF0FEA"/>
    <w:rsid w:val="00BF16CC"/>
    <w:rsid w:val="00BF1E11"/>
    <w:rsid w:val="00BF30BE"/>
    <w:rsid w:val="00BF3323"/>
    <w:rsid w:val="00BF571C"/>
    <w:rsid w:val="00BF581F"/>
    <w:rsid w:val="00BF6BE2"/>
    <w:rsid w:val="00C00700"/>
    <w:rsid w:val="00C02931"/>
    <w:rsid w:val="00C048DD"/>
    <w:rsid w:val="00C05717"/>
    <w:rsid w:val="00C05CB6"/>
    <w:rsid w:val="00C06E27"/>
    <w:rsid w:val="00C06F38"/>
    <w:rsid w:val="00C114D7"/>
    <w:rsid w:val="00C11BAC"/>
    <w:rsid w:val="00C17836"/>
    <w:rsid w:val="00C179B4"/>
    <w:rsid w:val="00C17EC9"/>
    <w:rsid w:val="00C228D8"/>
    <w:rsid w:val="00C239EF"/>
    <w:rsid w:val="00C23C30"/>
    <w:rsid w:val="00C23FEA"/>
    <w:rsid w:val="00C26059"/>
    <w:rsid w:val="00C27055"/>
    <w:rsid w:val="00C2726A"/>
    <w:rsid w:val="00C314AC"/>
    <w:rsid w:val="00C364A1"/>
    <w:rsid w:val="00C373FE"/>
    <w:rsid w:val="00C37D50"/>
    <w:rsid w:val="00C40956"/>
    <w:rsid w:val="00C42972"/>
    <w:rsid w:val="00C43067"/>
    <w:rsid w:val="00C43D1A"/>
    <w:rsid w:val="00C4439E"/>
    <w:rsid w:val="00C44DBC"/>
    <w:rsid w:val="00C4539A"/>
    <w:rsid w:val="00C501DB"/>
    <w:rsid w:val="00C50543"/>
    <w:rsid w:val="00C516B5"/>
    <w:rsid w:val="00C51D4E"/>
    <w:rsid w:val="00C556D5"/>
    <w:rsid w:val="00C56495"/>
    <w:rsid w:val="00C566D8"/>
    <w:rsid w:val="00C569B1"/>
    <w:rsid w:val="00C60BBC"/>
    <w:rsid w:val="00C61441"/>
    <w:rsid w:val="00C61B5F"/>
    <w:rsid w:val="00C62131"/>
    <w:rsid w:val="00C63C59"/>
    <w:rsid w:val="00C63D53"/>
    <w:rsid w:val="00C640BD"/>
    <w:rsid w:val="00C64C5E"/>
    <w:rsid w:val="00C65043"/>
    <w:rsid w:val="00C6518A"/>
    <w:rsid w:val="00C67F27"/>
    <w:rsid w:val="00C71F49"/>
    <w:rsid w:val="00C72354"/>
    <w:rsid w:val="00C72DAD"/>
    <w:rsid w:val="00C765D9"/>
    <w:rsid w:val="00C80E8A"/>
    <w:rsid w:val="00C8114D"/>
    <w:rsid w:val="00C820EF"/>
    <w:rsid w:val="00C820F2"/>
    <w:rsid w:val="00C8214D"/>
    <w:rsid w:val="00C82BDA"/>
    <w:rsid w:val="00C8455D"/>
    <w:rsid w:val="00C85E9D"/>
    <w:rsid w:val="00C875D0"/>
    <w:rsid w:val="00C90741"/>
    <w:rsid w:val="00C9118D"/>
    <w:rsid w:val="00C911D2"/>
    <w:rsid w:val="00C92DF3"/>
    <w:rsid w:val="00C92E0E"/>
    <w:rsid w:val="00C94FF4"/>
    <w:rsid w:val="00C962D1"/>
    <w:rsid w:val="00CA0D20"/>
    <w:rsid w:val="00CA1969"/>
    <w:rsid w:val="00CA3FB6"/>
    <w:rsid w:val="00CA6050"/>
    <w:rsid w:val="00CA7A7C"/>
    <w:rsid w:val="00CB005D"/>
    <w:rsid w:val="00CB06C3"/>
    <w:rsid w:val="00CB0F43"/>
    <w:rsid w:val="00CB24D6"/>
    <w:rsid w:val="00CB3C87"/>
    <w:rsid w:val="00CB6066"/>
    <w:rsid w:val="00CB6860"/>
    <w:rsid w:val="00CB75C0"/>
    <w:rsid w:val="00CC0121"/>
    <w:rsid w:val="00CC2E28"/>
    <w:rsid w:val="00CC3443"/>
    <w:rsid w:val="00CC3636"/>
    <w:rsid w:val="00CC608F"/>
    <w:rsid w:val="00CC7693"/>
    <w:rsid w:val="00CC77A7"/>
    <w:rsid w:val="00CD016F"/>
    <w:rsid w:val="00CD106D"/>
    <w:rsid w:val="00CD4847"/>
    <w:rsid w:val="00CD6ACD"/>
    <w:rsid w:val="00CD7542"/>
    <w:rsid w:val="00CE0613"/>
    <w:rsid w:val="00CE10A3"/>
    <w:rsid w:val="00CE3921"/>
    <w:rsid w:val="00CE46BB"/>
    <w:rsid w:val="00CE5A3F"/>
    <w:rsid w:val="00CE5A47"/>
    <w:rsid w:val="00CF1DC9"/>
    <w:rsid w:val="00CF2E40"/>
    <w:rsid w:val="00CF3E60"/>
    <w:rsid w:val="00CF40DD"/>
    <w:rsid w:val="00CF528A"/>
    <w:rsid w:val="00D023B2"/>
    <w:rsid w:val="00D02B7B"/>
    <w:rsid w:val="00D043E5"/>
    <w:rsid w:val="00D0478F"/>
    <w:rsid w:val="00D056BF"/>
    <w:rsid w:val="00D05FB1"/>
    <w:rsid w:val="00D06B05"/>
    <w:rsid w:val="00D06C00"/>
    <w:rsid w:val="00D0769B"/>
    <w:rsid w:val="00D10267"/>
    <w:rsid w:val="00D12ABE"/>
    <w:rsid w:val="00D135A7"/>
    <w:rsid w:val="00D14842"/>
    <w:rsid w:val="00D151E8"/>
    <w:rsid w:val="00D166F7"/>
    <w:rsid w:val="00D2067C"/>
    <w:rsid w:val="00D24397"/>
    <w:rsid w:val="00D243FC"/>
    <w:rsid w:val="00D250BE"/>
    <w:rsid w:val="00D25617"/>
    <w:rsid w:val="00D25D80"/>
    <w:rsid w:val="00D260B0"/>
    <w:rsid w:val="00D26124"/>
    <w:rsid w:val="00D26C1C"/>
    <w:rsid w:val="00D27973"/>
    <w:rsid w:val="00D27EA1"/>
    <w:rsid w:val="00D32652"/>
    <w:rsid w:val="00D3299B"/>
    <w:rsid w:val="00D3398F"/>
    <w:rsid w:val="00D3531D"/>
    <w:rsid w:val="00D356CD"/>
    <w:rsid w:val="00D35DDA"/>
    <w:rsid w:val="00D3764A"/>
    <w:rsid w:val="00D37771"/>
    <w:rsid w:val="00D378E5"/>
    <w:rsid w:val="00D414F2"/>
    <w:rsid w:val="00D418D0"/>
    <w:rsid w:val="00D41D40"/>
    <w:rsid w:val="00D42670"/>
    <w:rsid w:val="00D4498D"/>
    <w:rsid w:val="00D46BF0"/>
    <w:rsid w:val="00D46DB5"/>
    <w:rsid w:val="00D477F9"/>
    <w:rsid w:val="00D47A12"/>
    <w:rsid w:val="00D513EA"/>
    <w:rsid w:val="00D52AA1"/>
    <w:rsid w:val="00D54D5D"/>
    <w:rsid w:val="00D55C66"/>
    <w:rsid w:val="00D55C6A"/>
    <w:rsid w:val="00D56F3F"/>
    <w:rsid w:val="00D57F67"/>
    <w:rsid w:val="00D60629"/>
    <w:rsid w:val="00D61976"/>
    <w:rsid w:val="00D61D4A"/>
    <w:rsid w:val="00D629C4"/>
    <w:rsid w:val="00D67323"/>
    <w:rsid w:val="00D67331"/>
    <w:rsid w:val="00D67806"/>
    <w:rsid w:val="00D67C55"/>
    <w:rsid w:val="00D70883"/>
    <w:rsid w:val="00D708B6"/>
    <w:rsid w:val="00D72A9D"/>
    <w:rsid w:val="00D73051"/>
    <w:rsid w:val="00D74223"/>
    <w:rsid w:val="00D75D58"/>
    <w:rsid w:val="00D76F7F"/>
    <w:rsid w:val="00D77489"/>
    <w:rsid w:val="00D80D38"/>
    <w:rsid w:val="00D80EF6"/>
    <w:rsid w:val="00D8278B"/>
    <w:rsid w:val="00D84166"/>
    <w:rsid w:val="00D848EF"/>
    <w:rsid w:val="00D84F84"/>
    <w:rsid w:val="00D857D8"/>
    <w:rsid w:val="00D86155"/>
    <w:rsid w:val="00D8661F"/>
    <w:rsid w:val="00D87246"/>
    <w:rsid w:val="00D87998"/>
    <w:rsid w:val="00D91930"/>
    <w:rsid w:val="00D9286E"/>
    <w:rsid w:val="00D92C7F"/>
    <w:rsid w:val="00D9410B"/>
    <w:rsid w:val="00D94430"/>
    <w:rsid w:val="00D9476D"/>
    <w:rsid w:val="00D95493"/>
    <w:rsid w:val="00DA3BE3"/>
    <w:rsid w:val="00DA44ED"/>
    <w:rsid w:val="00DA5331"/>
    <w:rsid w:val="00DA5360"/>
    <w:rsid w:val="00DA584E"/>
    <w:rsid w:val="00DA7A08"/>
    <w:rsid w:val="00DB228D"/>
    <w:rsid w:val="00DB229C"/>
    <w:rsid w:val="00DB2346"/>
    <w:rsid w:val="00DB24FE"/>
    <w:rsid w:val="00DB2849"/>
    <w:rsid w:val="00DB41F9"/>
    <w:rsid w:val="00DB5CD3"/>
    <w:rsid w:val="00DB647C"/>
    <w:rsid w:val="00DC1588"/>
    <w:rsid w:val="00DC26E5"/>
    <w:rsid w:val="00DC2E7A"/>
    <w:rsid w:val="00DC3BA3"/>
    <w:rsid w:val="00DC3F34"/>
    <w:rsid w:val="00DC4718"/>
    <w:rsid w:val="00DD2522"/>
    <w:rsid w:val="00DD273B"/>
    <w:rsid w:val="00DD2E8A"/>
    <w:rsid w:val="00DD380F"/>
    <w:rsid w:val="00DD3FF2"/>
    <w:rsid w:val="00DD4A18"/>
    <w:rsid w:val="00DD4D94"/>
    <w:rsid w:val="00DD52D5"/>
    <w:rsid w:val="00DD5D86"/>
    <w:rsid w:val="00DE347B"/>
    <w:rsid w:val="00DE4298"/>
    <w:rsid w:val="00DE6D2B"/>
    <w:rsid w:val="00DF035C"/>
    <w:rsid w:val="00DF04D9"/>
    <w:rsid w:val="00DF22ED"/>
    <w:rsid w:val="00DF32A5"/>
    <w:rsid w:val="00DF3FA3"/>
    <w:rsid w:val="00DF4AD3"/>
    <w:rsid w:val="00DF55E7"/>
    <w:rsid w:val="00DF677B"/>
    <w:rsid w:val="00E000AB"/>
    <w:rsid w:val="00E00A16"/>
    <w:rsid w:val="00E0120D"/>
    <w:rsid w:val="00E0173E"/>
    <w:rsid w:val="00E01C53"/>
    <w:rsid w:val="00E02397"/>
    <w:rsid w:val="00E02759"/>
    <w:rsid w:val="00E0353F"/>
    <w:rsid w:val="00E041B2"/>
    <w:rsid w:val="00E043EC"/>
    <w:rsid w:val="00E067DB"/>
    <w:rsid w:val="00E07D48"/>
    <w:rsid w:val="00E10121"/>
    <w:rsid w:val="00E111AD"/>
    <w:rsid w:val="00E11F20"/>
    <w:rsid w:val="00E12304"/>
    <w:rsid w:val="00E127D0"/>
    <w:rsid w:val="00E13547"/>
    <w:rsid w:val="00E13CCE"/>
    <w:rsid w:val="00E13F51"/>
    <w:rsid w:val="00E13FED"/>
    <w:rsid w:val="00E1473D"/>
    <w:rsid w:val="00E165A8"/>
    <w:rsid w:val="00E168C0"/>
    <w:rsid w:val="00E17B82"/>
    <w:rsid w:val="00E17FEC"/>
    <w:rsid w:val="00E21072"/>
    <w:rsid w:val="00E2193A"/>
    <w:rsid w:val="00E23125"/>
    <w:rsid w:val="00E23484"/>
    <w:rsid w:val="00E241A0"/>
    <w:rsid w:val="00E24395"/>
    <w:rsid w:val="00E24EA5"/>
    <w:rsid w:val="00E259B0"/>
    <w:rsid w:val="00E301EA"/>
    <w:rsid w:val="00E305FC"/>
    <w:rsid w:val="00E30EE7"/>
    <w:rsid w:val="00E3235A"/>
    <w:rsid w:val="00E356CB"/>
    <w:rsid w:val="00E36F17"/>
    <w:rsid w:val="00E377B8"/>
    <w:rsid w:val="00E40749"/>
    <w:rsid w:val="00E4222E"/>
    <w:rsid w:val="00E43134"/>
    <w:rsid w:val="00E43785"/>
    <w:rsid w:val="00E43D74"/>
    <w:rsid w:val="00E4682E"/>
    <w:rsid w:val="00E5034D"/>
    <w:rsid w:val="00E51533"/>
    <w:rsid w:val="00E524D7"/>
    <w:rsid w:val="00E52BA7"/>
    <w:rsid w:val="00E536B4"/>
    <w:rsid w:val="00E548C1"/>
    <w:rsid w:val="00E54C7C"/>
    <w:rsid w:val="00E555D2"/>
    <w:rsid w:val="00E55D78"/>
    <w:rsid w:val="00E57250"/>
    <w:rsid w:val="00E60FA3"/>
    <w:rsid w:val="00E61544"/>
    <w:rsid w:val="00E62927"/>
    <w:rsid w:val="00E635F7"/>
    <w:rsid w:val="00E63D85"/>
    <w:rsid w:val="00E63FF8"/>
    <w:rsid w:val="00E640F3"/>
    <w:rsid w:val="00E64C4D"/>
    <w:rsid w:val="00E70586"/>
    <w:rsid w:val="00E70D89"/>
    <w:rsid w:val="00E7126A"/>
    <w:rsid w:val="00E724C7"/>
    <w:rsid w:val="00E7311D"/>
    <w:rsid w:val="00E732F6"/>
    <w:rsid w:val="00E741DF"/>
    <w:rsid w:val="00E75A33"/>
    <w:rsid w:val="00E80BB3"/>
    <w:rsid w:val="00E81907"/>
    <w:rsid w:val="00E81D53"/>
    <w:rsid w:val="00E82FBC"/>
    <w:rsid w:val="00E848B2"/>
    <w:rsid w:val="00E8614C"/>
    <w:rsid w:val="00E86485"/>
    <w:rsid w:val="00E90FE1"/>
    <w:rsid w:val="00E915CD"/>
    <w:rsid w:val="00E91AED"/>
    <w:rsid w:val="00E93A5B"/>
    <w:rsid w:val="00E95A58"/>
    <w:rsid w:val="00E95C06"/>
    <w:rsid w:val="00E95FBC"/>
    <w:rsid w:val="00E96BDA"/>
    <w:rsid w:val="00E96EA1"/>
    <w:rsid w:val="00EA08A2"/>
    <w:rsid w:val="00EA156D"/>
    <w:rsid w:val="00EA6A4B"/>
    <w:rsid w:val="00EA7104"/>
    <w:rsid w:val="00EA7E12"/>
    <w:rsid w:val="00EB08C1"/>
    <w:rsid w:val="00EB411A"/>
    <w:rsid w:val="00EB4CAA"/>
    <w:rsid w:val="00EB58CA"/>
    <w:rsid w:val="00EB5EB7"/>
    <w:rsid w:val="00EB5F9E"/>
    <w:rsid w:val="00EB7053"/>
    <w:rsid w:val="00EB7DD6"/>
    <w:rsid w:val="00EC0C4E"/>
    <w:rsid w:val="00EC19DC"/>
    <w:rsid w:val="00EC2333"/>
    <w:rsid w:val="00EC244A"/>
    <w:rsid w:val="00EC310C"/>
    <w:rsid w:val="00EC4DAA"/>
    <w:rsid w:val="00EC6D9C"/>
    <w:rsid w:val="00EC7292"/>
    <w:rsid w:val="00EC74EC"/>
    <w:rsid w:val="00ED3C33"/>
    <w:rsid w:val="00ED467A"/>
    <w:rsid w:val="00ED5A4A"/>
    <w:rsid w:val="00ED68BA"/>
    <w:rsid w:val="00ED6E86"/>
    <w:rsid w:val="00EE0DA7"/>
    <w:rsid w:val="00EE122B"/>
    <w:rsid w:val="00EE12BF"/>
    <w:rsid w:val="00EE162D"/>
    <w:rsid w:val="00EE4665"/>
    <w:rsid w:val="00EE4768"/>
    <w:rsid w:val="00EE56A5"/>
    <w:rsid w:val="00EE5A9E"/>
    <w:rsid w:val="00EE6794"/>
    <w:rsid w:val="00EE6E0E"/>
    <w:rsid w:val="00EE6E77"/>
    <w:rsid w:val="00EE7081"/>
    <w:rsid w:val="00EE7B88"/>
    <w:rsid w:val="00EF157D"/>
    <w:rsid w:val="00EF33DA"/>
    <w:rsid w:val="00EF5DA0"/>
    <w:rsid w:val="00EF674A"/>
    <w:rsid w:val="00F00B6F"/>
    <w:rsid w:val="00F0255F"/>
    <w:rsid w:val="00F04083"/>
    <w:rsid w:val="00F05E55"/>
    <w:rsid w:val="00F067D1"/>
    <w:rsid w:val="00F072DF"/>
    <w:rsid w:val="00F07658"/>
    <w:rsid w:val="00F0777B"/>
    <w:rsid w:val="00F10282"/>
    <w:rsid w:val="00F10A6A"/>
    <w:rsid w:val="00F1307A"/>
    <w:rsid w:val="00F13749"/>
    <w:rsid w:val="00F15CAD"/>
    <w:rsid w:val="00F16913"/>
    <w:rsid w:val="00F16995"/>
    <w:rsid w:val="00F16F70"/>
    <w:rsid w:val="00F17067"/>
    <w:rsid w:val="00F17683"/>
    <w:rsid w:val="00F20E2B"/>
    <w:rsid w:val="00F2266A"/>
    <w:rsid w:val="00F23C6E"/>
    <w:rsid w:val="00F24675"/>
    <w:rsid w:val="00F24A8C"/>
    <w:rsid w:val="00F26509"/>
    <w:rsid w:val="00F26706"/>
    <w:rsid w:val="00F26D23"/>
    <w:rsid w:val="00F27703"/>
    <w:rsid w:val="00F30BBB"/>
    <w:rsid w:val="00F30E76"/>
    <w:rsid w:val="00F314FC"/>
    <w:rsid w:val="00F3236E"/>
    <w:rsid w:val="00F32D85"/>
    <w:rsid w:val="00F33464"/>
    <w:rsid w:val="00F33564"/>
    <w:rsid w:val="00F33FCE"/>
    <w:rsid w:val="00F35B1F"/>
    <w:rsid w:val="00F3625B"/>
    <w:rsid w:val="00F362DD"/>
    <w:rsid w:val="00F4124E"/>
    <w:rsid w:val="00F41F52"/>
    <w:rsid w:val="00F42074"/>
    <w:rsid w:val="00F44FD6"/>
    <w:rsid w:val="00F453B5"/>
    <w:rsid w:val="00F467A8"/>
    <w:rsid w:val="00F50653"/>
    <w:rsid w:val="00F515EA"/>
    <w:rsid w:val="00F51C5A"/>
    <w:rsid w:val="00F525F3"/>
    <w:rsid w:val="00F527D5"/>
    <w:rsid w:val="00F52BD7"/>
    <w:rsid w:val="00F53AA3"/>
    <w:rsid w:val="00F554E1"/>
    <w:rsid w:val="00F561DF"/>
    <w:rsid w:val="00F578EE"/>
    <w:rsid w:val="00F61C03"/>
    <w:rsid w:val="00F61E52"/>
    <w:rsid w:val="00F65739"/>
    <w:rsid w:val="00F664AA"/>
    <w:rsid w:val="00F66C7D"/>
    <w:rsid w:val="00F67DE2"/>
    <w:rsid w:val="00F712B9"/>
    <w:rsid w:val="00F715F5"/>
    <w:rsid w:val="00F73585"/>
    <w:rsid w:val="00F74801"/>
    <w:rsid w:val="00F76314"/>
    <w:rsid w:val="00F7654A"/>
    <w:rsid w:val="00F772EF"/>
    <w:rsid w:val="00F77DE8"/>
    <w:rsid w:val="00F801C9"/>
    <w:rsid w:val="00F80CD8"/>
    <w:rsid w:val="00F8100A"/>
    <w:rsid w:val="00F81792"/>
    <w:rsid w:val="00F8458A"/>
    <w:rsid w:val="00F84CC8"/>
    <w:rsid w:val="00F865AF"/>
    <w:rsid w:val="00F869EE"/>
    <w:rsid w:val="00F94012"/>
    <w:rsid w:val="00F94488"/>
    <w:rsid w:val="00F95992"/>
    <w:rsid w:val="00FA020B"/>
    <w:rsid w:val="00FA2A1B"/>
    <w:rsid w:val="00FA2A93"/>
    <w:rsid w:val="00FA50FC"/>
    <w:rsid w:val="00FA652C"/>
    <w:rsid w:val="00FA66B5"/>
    <w:rsid w:val="00FA78B2"/>
    <w:rsid w:val="00FB0276"/>
    <w:rsid w:val="00FB105F"/>
    <w:rsid w:val="00FB2124"/>
    <w:rsid w:val="00FB3818"/>
    <w:rsid w:val="00FB4627"/>
    <w:rsid w:val="00FB529D"/>
    <w:rsid w:val="00FC0B71"/>
    <w:rsid w:val="00FC0CA5"/>
    <w:rsid w:val="00FC1122"/>
    <w:rsid w:val="00FC2A38"/>
    <w:rsid w:val="00FC4AB2"/>
    <w:rsid w:val="00FD1690"/>
    <w:rsid w:val="00FD19BF"/>
    <w:rsid w:val="00FD29D1"/>
    <w:rsid w:val="00FD3B5D"/>
    <w:rsid w:val="00FD3CD3"/>
    <w:rsid w:val="00FD4D15"/>
    <w:rsid w:val="00FD5C47"/>
    <w:rsid w:val="00FD5DD0"/>
    <w:rsid w:val="00FD5FB1"/>
    <w:rsid w:val="00FD7234"/>
    <w:rsid w:val="00FE0CEB"/>
    <w:rsid w:val="00FE15A9"/>
    <w:rsid w:val="00FE1AD8"/>
    <w:rsid w:val="00FE33F1"/>
    <w:rsid w:val="00FE3A2A"/>
    <w:rsid w:val="00FE6554"/>
    <w:rsid w:val="00FE6A08"/>
    <w:rsid w:val="00FE6CDC"/>
    <w:rsid w:val="00FF1379"/>
    <w:rsid w:val="00FF1887"/>
    <w:rsid w:val="00FF2686"/>
    <w:rsid w:val="00FF53C0"/>
    <w:rsid w:val="00FF5B5F"/>
    <w:rsid w:val="00FF7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6413E5B"/>
  <w15:docId w15:val="{342250CC-3B42-4039-8597-DBC7AD235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564"/>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autoRedefine/>
    <w:qFormat/>
    <w:rsid w:val="009A21A3"/>
    <w:pPr>
      <w:keepNext/>
      <w:spacing w:before="240" w:after="240"/>
      <w:ind w:left="142"/>
      <w:outlineLvl w:val="0"/>
    </w:pPr>
    <w:rPr>
      <w:rFonts w:cs="Arial"/>
      <w:b/>
      <w:bCs/>
      <w:kern w:val="32"/>
      <w:sz w:val="32"/>
      <w:szCs w:val="32"/>
    </w:rPr>
  </w:style>
  <w:style w:type="paragraph" w:styleId="Heading2">
    <w:name w:val="heading 2"/>
    <w:basedOn w:val="zNormalPara"/>
    <w:next w:val="Normal"/>
    <w:link w:val="Heading2Char"/>
    <w:unhideWhenUsed/>
    <w:qFormat/>
    <w:rsid w:val="00A02A5B"/>
    <w:pPr>
      <w:spacing w:before="240" w:after="120"/>
      <w:outlineLvl w:val="1"/>
    </w:pPr>
    <w:rPr>
      <w:b/>
    </w:rPr>
  </w:style>
  <w:style w:type="paragraph" w:styleId="Heading3">
    <w:name w:val="heading 3"/>
    <w:basedOn w:val="Normal"/>
    <w:next w:val="Normal"/>
    <w:link w:val="Heading3Char"/>
    <w:qFormat/>
    <w:rsid w:val="00E741DF"/>
    <w:pPr>
      <w:keepNext/>
      <w:tabs>
        <w:tab w:val="num" w:pos="862"/>
      </w:tabs>
      <w:spacing w:before="240" w:after="60"/>
      <w:ind w:left="1276" w:hanging="1134"/>
      <w:outlineLvl w:val="2"/>
    </w:pPr>
    <w:rPr>
      <w:rFonts w:cs="Arial"/>
      <w:b/>
      <w:bCs/>
      <w:sz w:val="26"/>
      <w:szCs w:val="26"/>
    </w:rPr>
  </w:style>
  <w:style w:type="paragraph" w:styleId="Heading4">
    <w:name w:val="heading 4"/>
    <w:basedOn w:val="Normal"/>
    <w:next w:val="Normal"/>
    <w:link w:val="Heading4Char"/>
    <w:qFormat/>
    <w:rsid w:val="00E741DF"/>
    <w:pPr>
      <w:keepNext/>
      <w:tabs>
        <w:tab w:val="num" w:pos="1006"/>
      </w:tabs>
      <w:spacing w:before="240" w:after="60"/>
      <w:ind w:left="1006" w:hanging="864"/>
      <w:outlineLvl w:val="3"/>
    </w:pPr>
    <w:rPr>
      <w:rFonts w:ascii="Times New Roman" w:hAnsi="Times New Roman"/>
      <w:b/>
      <w:bCs/>
      <w:sz w:val="28"/>
      <w:szCs w:val="28"/>
    </w:rPr>
  </w:style>
  <w:style w:type="paragraph" w:styleId="Heading5">
    <w:name w:val="heading 5"/>
    <w:basedOn w:val="Normal"/>
    <w:next w:val="Normal"/>
    <w:link w:val="Heading5Char"/>
    <w:qFormat/>
    <w:rsid w:val="00E741DF"/>
    <w:pPr>
      <w:tabs>
        <w:tab w:val="num" w:pos="1150"/>
      </w:tabs>
      <w:spacing w:before="240" w:after="60"/>
      <w:ind w:left="1150" w:hanging="1008"/>
      <w:outlineLvl w:val="4"/>
    </w:pPr>
    <w:rPr>
      <w:b/>
      <w:bCs/>
      <w:i/>
      <w:iCs/>
      <w:sz w:val="26"/>
      <w:szCs w:val="26"/>
    </w:rPr>
  </w:style>
  <w:style w:type="paragraph" w:styleId="Heading6">
    <w:name w:val="heading 6"/>
    <w:basedOn w:val="Normal"/>
    <w:next w:val="Normal"/>
    <w:link w:val="Heading6Char"/>
    <w:qFormat/>
    <w:rsid w:val="00E741DF"/>
    <w:pPr>
      <w:tabs>
        <w:tab w:val="num" w:pos="1294"/>
      </w:tabs>
      <w:spacing w:before="240" w:after="60"/>
      <w:ind w:left="1294" w:hanging="1152"/>
      <w:outlineLvl w:val="5"/>
    </w:pPr>
    <w:rPr>
      <w:rFonts w:ascii="Times New Roman" w:hAnsi="Times New Roman"/>
      <w:b/>
      <w:bCs/>
      <w:sz w:val="22"/>
      <w:szCs w:val="22"/>
    </w:rPr>
  </w:style>
  <w:style w:type="paragraph" w:styleId="Heading7">
    <w:name w:val="heading 7"/>
    <w:basedOn w:val="Normal"/>
    <w:next w:val="Normal"/>
    <w:link w:val="Heading7Char"/>
    <w:qFormat/>
    <w:rsid w:val="00E741DF"/>
    <w:pPr>
      <w:tabs>
        <w:tab w:val="num" w:pos="1438"/>
      </w:tabs>
      <w:spacing w:before="240" w:after="60"/>
      <w:ind w:left="1438" w:hanging="1296"/>
      <w:outlineLvl w:val="6"/>
    </w:pPr>
    <w:rPr>
      <w:rFonts w:ascii="Times New Roman" w:hAnsi="Times New Roman"/>
    </w:rPr>
  </w:style>
  <w:style w:type="paragraph" w:styleId="Heading8">
    <w:name w:val="heading 8"/>
    <w:basedOn w:val="Normal"/>
    <w:next w:val="Normal"/>
    <w:link w:val="Heading8Char"/>
    <w:qFormat/>
    <w:rsid w:val="00E741DF"/>
    <w:pPr>
      <w:tabs>
        <w:tab w:val="num" w:pos="1582"/>
      </w:tabs>
      <w:spacing w:before="240" w:after="60"/>
      <w:ind w:left="1582" w:hanging="144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21A3"/>
    <w:rPr>
      <w:rFonts w:ascii="Arial" w:eastAsia="Times New Roman" w:hAnsi="Arial" w:cs="Arial"/>
      <w:b/>
      <w:bCs/>
      <w:kern w:val="32"/>
      <w:sz w:val="32"/>
      <w:szCs w:val="32"/>
    </w:rPr>
  </w:style>
  <w:style w:type="paragraph" w:customStyle="1" w:styleId="zAuthors">
    <w:name w:val="zAuthors"/>
    <w:basedOn w:val="Normal"/>
    <w:qFormat/>
    <w:rsid w:val="005170DA"/>
    <w:pPr>
      <w:ind w:left="720" w:hanging="720"/>
    </w:pPr>
    <w:rPr>
      <w:rFonts w:cs="Arial"/>
      <w:b/>
      <w:sz w:val="28"/>
      <w:szCs w:val="28"/>
    </w:rPr>
  </w:style>
  <w:style w:type="paragraph" w:customStyle="1" w:styleId="zBullet">
    <w:name w:val="zBullet"/>
    <w:basedOn w:val="Normal"/>
    <w:qFormat/>
    <w:rsid w:val="005170DA"/>
    <w:pPr>
      <w:numPr>
        <w:ilvl w:val="1"/>
        <w:numId w:val="1"/>
      </w:numPr>
    </w:pPr>
    <w:rPr>
      <w:rFonts w:cs="Arial"/>
      <w:iCs/>
      <w:sz w:val="28"/>
      <w:szCs w:val="28"/>
    </w:rPr>
  </w:style>
  <w:style w:type="paragraph" w:customStyle="1" w:styleId="zQuote">
    <w:name w:val="zQuote"/>
    <w:basedOn w:val="Normal"/>
    <w:qFormat/>
    <w:rsid w:val="005170DA"/>
    <w:pPr>
      <w:spacing w:before="240" w:after="360"/>
      <w:ind w:left="1276" w:right="424"/>
    </w:pPr>
    <w:rPr>
      <w:rFonts w:ascii="Century Gothic" w:hAnsi="Century Gothic"/>
      <w:i/>
    </w:rPr>
  </w:style>
  <w:style w:type="paragraph" w:customStyle="1" w:styleId="zEditNote">
    <w:name w:val="zEditNote"/>
    <w:basedOn w:val="zQuote"/>
    <w:qFormat/>
    <w:rsid w:val="005170DA"/>
    <w:pPr>
      <w:pBdr>
        <w:top w:val="single" w:sz="4" w:space="1" w:color="auto"/>
        <w:left w:val="single" w:sz="4" w:space="4" w:color="auto"/>
        <w:bottom w:val="single" w:sz="4" w:space="1" w:color="auto"/>
        <w:right w:val="single" w:sz="4" w:space="4" w:color="auto"/>
      </w:pBdr>
      <w:shd w:val="clear" w:color="auto" w:fill="FFFF99"/>
      <w:jc w:val="both"/>
    </w:pPr>
  </w:style>
  <w:style w:type="paragraph" w:customStyle="1" w:styleId="ZFooterText">
    <w:name w:val="ZFooterText"/>
    <w:basedOn w:val="Footer"/>
    <w:qFormat/>
    <w:rsid w:val="005170DA"/>
    <w:pPr>
      <w:tabs>
        <w:tab w:val="clear" w:pos="4513"/>
        <w:tab w:val="clear" w:pos="9026"/>
        <w:tab w:val="center" w:pos="4320"/>
        <w:tab w:val="right" w:pos="8640"/>
      </w:tabs>
      <w:jc w:val="right"/>
    </w:pPr>
  </w:style>
  <w:style w:type="paragraph" w:styleId="Footer">
    <w:name w:val="footer"/>
    <w:basedOn w:val="Normal"/>
    <w:link w:val="FooterChar"/>
    <w:uiPriority w:val="99"/>
    <w:unhideWhenUsed/>
    <w:rsid w:val="005170DA"/>
    <w:pPr>
      <w:tabs>
        <w:tab w:val="center" w:pos="4513"/>
        <w:tab w:val="right" w:pos="9026"/>
      </w:tabs>
    </w:pPr>
  </w:style>
  <w:style w:type="character" w:customStyle="1" w:styleId="FooterChar">
    <w:name w:val="Footer Char"/>
    <w:basedOn w:val="DefaultParagraphFont"/>
    <w:link w:val="Footer"/>
    <w:uiPriority w:val="99"/>
    <w:rsid w:val="005170DA"/>
  </w:style>
  <w:style w:type="paragraph" w:customStyle="1" w:styleId="zH1">
    <w:name w:val="zH1"/>
    <w:next w:val="Normal"/>
    <w:qFormat/>
    <w:rsid w:val="002E6A98"/>
    <w:pPr>
      <w:keepNext/>
      <w:numPr>
        <w:numId w:val="2"/>
      </w:numPr>
      <w:spacing w:before="720" w:after="60" w:line="240" w:lineRule="auto"/>
      <w:outlineLvl w:val="0"/>
    </w:pPr>
    <w:rPr>
      <w:rFonts w:ascii="Arial" w:eastAsia="Times New Roman" w:hAnsi="Arial" w:cs="Arial"/>
      <w:b/>
      <w:bCs/>
      <w:kern w:val="32"/>
      <w:sz w:val="32"/>
      <w:szCs w:val="32"/>
    </w:rPr>
  </w:style>
  <w:style w:type="paragraph" w:customStyle="1" w:styleId="zH2">
    <w:name w:val="zH2"/>
    <w:next w:val="Normal"/>
    <w:qFormat/>
    <w:rsid w:val="00D056BF"/>
    <w:pPr>
      <w:keepNext/>
      <w:spacing w:before="480" w:after="60" w:line="240" w:lineRule="auto"/>
      <w:ind w:left="1134"/>
      <w:outlineLvl w:val="1"/>
    </w:pPr>
    <w:rPr>
      <w:rFonts w:ascii="Arial" w:eastAsia="Times New Roman" w:hAnsi="Arial" w:cs="Arial"/>
      <w:b/>
      <w:bCs/>
      <w:i/>
      <w:iCs/>
      <w:sz w:val="32"/>
      <w:szCs w:val="32"/>
    </w:rPr>
  </w:style>
  <w:style w:type="paragraph" w:customStyle="1" w:styleId="zH3">
    <w:name w:val="zH3"/>
    <w:basedOn w:val="zH2"/>
    <w:next w:val="Normal"/>
    <w:qFormat/>
    <w:rsid w:val="005170DA"/>
    <w:rPr>
      <w:b w:val="0"/>
      <w:i w:val="0"/>
      <w:sz w:val="28"/>
      <w:szCs w:val="28"/>
      <w:u w:val="single"/>
    </w:rPr>
  </w:style>
  <w:style w:type="paragraph" w:customStyle="1" w:styleId="zH4">
    <w:name w:val="zH4"/>
    <w:basedOn w:val="zH3"/>
    <w:qFormat/>
    <w:rsid w:val="005170DA"/>
    <w:rPr>
      <w:i/>
      <w:u w:val="none"/>
    </w:rPr>
  </w:style>
  <w:style w:type="paragraph" w:customStyle="1" w:styleId="zH5">
    <w:name w:val="zH5"/>
    <w:basedOn w:val="zH3"/>
    <w:qFormat/>
    <w:rsid w:val="005170DA"/>
    <w:pPr>
      <w:ind w:left="1440"/>
    </w:pPr>
    <w:rPr>
      <w:b/>
      <w:u w:val="none"/>
    </w:rPr>
  </w:style>
  <w:style w:type="paragraph" w:customStyle="1" w:styleId="zHeaderText">
    <w:name w:val="zHeaderText"/>
    <w:basedOn w:val="Normal"/>
    <w:qFormat/>
    <w:rsid w:val="005170DA"/>
    <w:pPr>
      <w:jc w:val="right"/>
    </w:pPr>
    <w:rPr>
      <w:b/>
      <w:sz w:val="28"/>
      <w:szCs w:val="28"/>
    </w:rPr>
  </w:style>
  <w:style w:type="paragraph" w:customStyle="1" w:styleId="zNumPara">
    <w:name w:val="zNumPara"/>
    <w:basedOn w:val="Normal"/>
    <w:link w:val="zNumParaChar"/>
    <w:qFormat/>
    <w:rsid w:val="005170DA"/>
    <w:pPr>
      <w:numPr>
        <w:ilvl w:val="8"/>
        <w:numId w:val="2"/>
      </w:numPr>
      <w:spacing w:after="240"/>
    </w:pPr>
    <w:rPr>
      <w:rFonts w:cs="Arial"/>
      <w:sz w:val="28"/>
      <w:szCs w:val="28"/>
    </w:rPr>
  </w:style>
  <w:style w:type="paragraph" w:customStyle="1" w:styleId="zNormalPara">
    <w:name w:val="zNormalPara"/>
    <w:basedOn w:val="zNumPara"/>
    <w:qFormat/>
    <w:rsid w:val="005170DA"/>
    <w:pPr>
      <w:numPr>
        <w:ilvl w:val="0"/>
        <w:numId w:val="0"/>
      </w:numPr>
      <w:ind w:left="142"/>
    </w:pPr>
  </w:style>
  <w:style w:type="paragraph" w:customStyle="1" w:styleId="zSubtitle">
    <w:name w:val="zSubtitle"/>
    <w:basedOn w:val="Subtitle"/>
    <w:qFormat/>
    <w:rsid w:val="005170DA"/>
    <w:pPr>
      <w:numPr>
        <w:ilvl w:val="0"/>
      </w:numPr>
      <w:spacing w:after="60"/>
      <w:jc w:val="center"/>
      <w:outlineLvl w:val="1"/>
    </w:pPr>
    <w:rPr>
      <w:rFonts w:eastAsia="Times New Roman" w:cs="Arial"/>
      <w:color w:val="auto"/>
      <w:spacing w:val="0"/>
    </w:rPr>
  </w:style>
  <w:style w:type="paragraph" w:styleId="Subtitle">
    <w:name w:val="Subtitle"/>
    <w:basedOn w:val="Normal"/>
    <w:next w:val="Normal"/>
    <w:link w:val="SubtitleChar"/>
    <w:uiPriority w:val="11"/>
    <w:qFormat/>
    <w:rsid w:val="005170D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170DA"/>
    <w:rPr>
      <w:rFonts w:eastAsiaTheme="minorEastAsia"/>
      <w:color w:val="5A5A5A" w:themeColor="text1" w:themeTint="A5"/>
      <w:spacing w:val="15"/>
    </w:rPr>
  </w:style>
  <w:style w:type="paragraph" w:customStyle="1" w:styleId="zTitle">
    <w:name w:val="zTitle"/>
    <w:basedOn w:val="Title"/>
    <w:qFormat/>
    <w:rsid w:val="005170DA"/>
    <w:pPr>
      <w:contextualSpacing w:val="0"/>
      <w:jc w:val="center"/>
    </w:pPr>
    <w:rPr>
      <w:rFonts w:ascii="Arial" w:eastAsia="Times New Roman" w:hAnsi="Arial" w:cs="Arial"/>
      <w:b/>
      <w:spacing w:val="0"/>
      <w:kern w:val="0"/>
      <w:sz w:val="28"/>
      <w:szCs w:val="28"/>
    </w:rPr>
  </w:style>
  <w:style w:type="paragraph" w:styleId="Title">
    <w:name w:val="Title"/>
    <w:basedOn w:val="Normal"/>
    <w:next w:val="Normal"/>
    <w:link w:val="TitleChar"/>
    <w:uiPriority w:val="10"/>
    <w:qFormat/>
    <w:rsid w:val="005170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0DA"/>
    <w:rPr>
      <w:rFonts w:asciiTheme="majorHAnsi" w:eastAsiaTheme="majorEastAsia" w:hAnsiTheme="majorHAnsi" w:cstheme="majorBidi"/>
      <w:spacing w:val="-10"/>
      <w:kern w:val="28"/>
      <w:sz w:val="56"/>
      <w:szCs w:val="56"/>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Footnote Quot"/>
    <w:basedOn w:val="Normal"/>
    <w:link w:val="FootnoteTextChar"/>
    <w:uiPriority w:val="99"/>
    <w:unhideWhenUsed/>
    <w:qFormat/>
    <w:rsid w:val="00F33564"/>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Footnote Quot Char"/>
    <w:basedOn w:val="DefaultParagraphFont"/>
    <w:link w:val="FootnoteText"/>
    <w:uiPriority w:val="99"/>
    <w:rsid w:val="00F33564"/>
    <w:rPr>
      <w:rFonts w:ascii="Arial" w:eastAsia="Times New Roman"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F33564"/>
    <w:rPr>
      <w:vertAlign w:val="superscript"/>
    </w:rPr>
  </w:style>
  <w:style w:type="character" w:styleId="Hyperlink">
    <w:name w:val="Hyperlink"/>
    <w:basedOn w:val="DefaultParagraphFont"/>
    <w:uiPriority w:val="99"/>
    <w:unhideWhenUsed/>
    <w:rsid w:val="00F33564"/>
    <w:rPr>
      <w:color w:val="0563C1" w:themeColor="hyperlink"/>
      <w:u w:val="single"/>
    </w:rPr>
  </w:style>
  <w:style w:type="paragraph" w:customStyle="1" w:styleId="legp2paratext1">
    <w:name w:val="legp2paratext1"/>
    <w:basedOn w:val="Normal"/>
    <w:rsid w:val="00F33564"/>
    <w:pPr>
      <w:shd w:val="clear" w:color="auto" w:fill="FFFFFF"/>
      <w:spacing w:after="120" w:line="360" w:lineRule="atLeast"/>
      <w:ind w:firstLine="240"/>
      <w:jc w:val="both"/>
    </w:pPr>
    <w:rPr>
      <w:rFonts w:ascii="Times New Roman" w:hAnsi="Times New Roman"/>
      <w:color w:val="494949"/>
      <w:sz w:val="19"/>
      <w:szCs w:val="19"/>
      <w:lang w:val="en-US"/>
    </w:rPr>
  </w:style>
  <w:style w:type="character" w:customStyle="1" w:styleId="zNumParaChar">
    <w:name w:val="zNumPara Char"/>
    <w:basedOn w:val="DefaultParagraphFont"/>
    <w:link w:val="zNumPara"/>
    <w:rsid w:val="00F33564"/>
    <w:rPr>
      <w:rFonts w:ascii="Arial" w:eastAsia="Times New Roman" w:hAnsi="Arial" w:cs="Arial"/>
      <w:sz w:val="28"/>
      <w:szCs w:val="28"/>
    </w:rPr>
  </w:style>
  <w:style w:type="paragraph" w:styleId="Header">
    <w:name w:val="header"/>
    <w:basedOn w:val="Normal"/>
    <w:link w:val="HeaderChar"/>
    <w:unhideWhenUsed/>
    <w:rsid w:val="00F33564"/>
    <w:pPr>
      <w:tabs>
        <w:tab w:val="center" w:pos="4513"/>
        <w:tab w:val="right" w:pos="9026"/>
      </w:tabs>
    </w:pPr>
  </w:style>
  <w:style w:type="character" w:customStyle="1" w:styleId="HeaderChar">
    <w:name w:val="Header Char"/>
    <w:basedOn w:val="DefaultParagraphFont"/>
    <w:link w:val="Header"/>
    <w:rsid w:val="00F33564"/>
    <w:rPr>
      <w:rFonts w:ascii="Arial" w:eastAsia="Times New Roman" w:hAnsi="Arial" w:cs="Times New Roman"/>
      <w:sz w:val="24"/>
      <w:szCs w:val="24"/>
    </w:rPr>
  </w:style>
  <w:style w:type="paragraph" w:styleId="ListParagraph">
    <w:name w:val="List Paragraph"/>
    <w:basedOn w:val="Normal"/>
    <w:uiPriority w:val="34"/>
    <w:qFormat/>
    <w:rsid w:val="006D30FF"/>
    <w:pPr>
      <w:ind w:left="720"/>
    </w:pPr>
    <w:rPr>
      <w:rFonts w:ascii="Calibri" w:eastAsiaTheme="minorHAnsi" w:hAnsi="Calibri"/>
      <w:sz w:val="22"/>
      <w:szCs w:val="22"/>
      <w:lang w:eastAsia="en-GB"/>
    </w:rPr>
  </w:style>
  <w:style w:type="paragraph" w:styleId="BalloonText">
    <w:name w:val="Balloon Text"/>
    <w:basedOn w:val="Normal"/>
    <w:link w:val="BalloonTextChar"/>
    <w:uiPriority w:val="99"/>
    <w:semiHidden/>
    <w:unhideWhenUsed/>
    <w:rsid w:val="004F4F6A"/>
    <w:rPr>
      <w:rFonts w:ascii="Tahoma" w:hAnsi="Tahoma" w:cs="Tahoma"/>
      <w:sz w:val="16"/>
      <w:szCs w:val="16"/>
    </w:rPr>
  </w:style>
  <w:style w:type="character" w:customStyle="1" w:styleId="BalloonTextChar">
    <w:name w:val="Balloon Text Char"/>
    <w:basedOn w:val="DefaultParagraphFont"/>
    <w:link w:val="BalloonText"/>
    <w:uiPriority w:val="99"/>
    <w:semiHidden/>
    <w:rsid w:val="004F4F6A"/>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4361D9"/>
    <w:rPr>
      <w:color w:val="954F72" w:themeColor="followedHyperlink"/>
      <w:u w:val="single"/>
    </w:rPr>
  </w:style>
  <w:style w:type="paragraph" w:customStyle="1" w:styleId="Default">
    <w:name w:val="Default"/>
    <w:link w:val="DefaultChar"/>
    <w:rsid w:val="00C06F38"/>
    <w:pPr>
      <w:autoSpaceDE w:val="0"/>
      <w:autoSpaceDN w:val="0"/>
      <w:adjustRightInd w:val="0"/>
      <w:spacing w:after="0" w:line="240" w:lineRule="auto"/>
    </w:pPr>
    <w:rPr>
      <w:rFonts w:ascii="Arial" w:hAnsi="Arial" w:cs="Arial"/>
      <w:color w:val="000000"/>
      <w:sz w:val="24"/>
      <w:szCs w:val="24"/>
      <w:lang w:val="en-US"/>
    </w:rPr>
  </w:style>
  <w:style w:type="character" w:customStyle="1" w:styleId="Heading3Char">
    <w:name w:val="Heading 3 Char"/>
    <w:basedOn w:val="DefaultParagraphFont"/>
    <w:link w:val="Heading3"/>
    <w:uiPriority w:val="9"/>
    <w:rsid w:val="00E741DF"/>
    <w:rPr>
      <w:rFonts w:ascii="Arial" w:eastAsia="Times New Roman" w:hAnsi="Arial" w:cs="Arial"/>
      <w:b/>
      <w:bCs/>
      <w:sz w:val="26"/>
      <w:szCs w:val="26"/>
    </w:rPr>
  </w:style>
  <w:style w:type="character" w:customStyle="1" w:styleId="Heading4Char">
    <w:name w:val="Heading 4 Char"/>
    <w:basedOn w:val="DefaultParagraphFont"/>
    <w:link w:val="Heading4"/>
    <w:uiPriority w:val="9"/>
    <w:rsid w:val="00E741D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E741DF"/>
    <w:rPr>
      <w:rFonts w:ascii="Arial" w:eastAsia="Times New Roman" w:hAnsi="Arial" w:cs="Times New Roman"/>
      <w:b/>
      <w:bCs/>
      <w:i/>
      <w:iCs/>
      <w:sz w:val="26"/>
      <w:szCs w:val="26"/>
    </w:rPr>
  </w:style>
  <w:style w:type="character" w:customStyle="1" w:styleId="Heading6Char">
    <w:name w:val="Heading 6 Char"/>
    <w:basedOn w:val="DefaultParagraphFont"/>
    <w:link w:val="Heading6"/>
    <w:uiPriority w:val="9"/>
    <w:rsid w:val="00E741DF"/>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E741DF"/>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E741DF"/>
    <w:rPr>
      <w:rFonts w:ascii="Times New Roman" w:eastAsia="Times New Roman" w:hAnsi="Times New Roman" w:cs="Times New Roman"/>
      <w:i/>
      <w:iCs/>
      <w:sz w:val="24"/>
      <w:szCs w:val="24"/>
    </w:rPr>
  </w:style>
  <w:style w:type="character" w:styleId="Strong">
    <w:name w:val="Strong"/>
    <w:basedOn w:val="DefaultParagraphFont"/>
    <w:uiPriority w:val="22"/>
    <w:qFormat/>
    <w:rsid w:val="00A63E6D"/>
    <w:rPr>
      <w:b/>
      <w:bCs/>
    </w:rPr>
  </w:style>
  <w:style w:type="table" w:styleId="TableGrid">
    <w:name w:val="Table Grid"/>
    <w:basedOn w:val="TableNormal"/>
    <w:uiPriority w:val="39"/>
    <w:rsid w:val="00793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B746C"/>
    <w:pPr>
      <w:spacing w:after="200"/>
    </w:pPr>
    <w:rPr>
      <w:rFonts w:asciiTheme="minorHAnsi" w:eastAsiaTheme="minorHAnsi" w:hAnsiTheme="minorHAnsi" w:cstheme="minorBidi"/>
      <w:i/>
      <w:iCs/>
      <w:color w:val="44546A" w:themeColor="text2"/>
      <w:sz w:val="18"/>
      <w:szCs w:val="18"/>
    </w:rPr>
  </w:style>
  <w:style w:type="character" w:customStyle="1" w:styleId="Heading2Char">
    <w:name w:val="Heading 2 Char"/>
    <w:basedOn w:val="DefaultParagraphFont"/>
    <w:link w:val="Heading2"/>
    <w:rsid w:val="00A02A5B"/>
    <w:rPr>
      <w:rFonts w:ascii="Arial" w:eastAsia="Times New Roman" w:hAnsi="Arial" w:cs="Arial"/>
      <w:b/>
      <w:sz w:val="28"/>
      <w:szCs w:val="28"/>
    </w:rPr>
  </w:style>
  <w:style w:type="paragraph" w:styleId="TOC1">
    <w:name w:val="toc 1"/>
    <w:basedOn w:val="Normal"/>
    <w:next w:val="Normal"/>
    <w:autoRedefine/>
    <w:uiPriority w:val="39"/>
    <w:unhideWhenUsed/>
    <w:rsid w:val="00984C7F"/>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02A5B"/>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984C7F"/>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984C7F"/>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984C7F"/>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984C7F"/>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984C7F"/>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984C7F"/>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984C7F"/>
    <w:pPr>
      <w:ind w:left="1920"/>
    </w:pPr>
    <w:rPr>
      <w:rFonts w:asciiTheme="minorHAnsi" w:hAnsiTheme="minorHAnsi" w:cstheme="minorHAnsi"/>
      <w:sz w:val="18"/>
      <w:szCs w:val="18"/>
    </w:rPr>
  </w:style>
  <w:style w:type="character" w:styleId="CommentReference">
    <w:name w:val="annotation reference"/>
    <w:basedOn w:val="DefaultParagraphFont"/>
    <w:uiPriority w:val="99"/>
    <w:semiHidden/>
    <w:unhideWhenUsed/>
    <w:rsid w:val="00AE4CE9"/>
    <w:rPr>
      <w:sz w:val="16"/>
      <w:szCs w:val="16"/>
    </w:rPr>
  </w:style>
  <w:style w:type="paragraph" w:styleId="CommentText">
    <w:name w:val="annotation text"/>
    <w:basedOn w:val="Normal"/>
    <w:link w:val="CommentTextChar"/>
    <w:uiPriority w:val="99"/>
    <w:unhideWhenUsed/>
    <w:rsid w:val="00AE4CE9"/>
    <w:rPr>
      <w:sz w:val="20"/>
      <w:szCs w:val="20"/>
    </w:rPr>
  </w:style>
  <w:style w:type="character" w:customStyle="1" w:styleId="CommentTextChar">
    <w:name w:val="Comment Text Char"/>
    <w:basedOn w:val="DefaultParagraphFont"/>
    <w:link w:val="CommentText"/>
    <w:uiPriority w:val="99"/>
    <w:rsid w:val="00AE4CE9"/>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E4CE9"/>
    <w:rPr>
      <w:b/>
      <w:bCs/>
    </w:rPr>
  </w:style>
  <w:style w:type="character" w:customStyle="1" w:styleId="CommentSubjectChar">
    <w:name w:val="Comment Subject Char"/>
    <w:basedOn w:val="CommentTextChar"/>
    <w:link w:val="CommentSubject"/>
    <w:uiPriority w:val="99"/>
    <w:semiHidden/>
    <w:rsid w:val="00AE4CE9"/>
    <w:rPr>
      <w:rFonts w:ascii="Arial" w:eastAsia="Times New Roman" w:hAnsi="Arial" w:cs="Times New Roman"/>
      <w:b/>
      <w:bCs/>
      <w:sz w:val="20"/>
      <w:szCs w:val="20"/>
    </w:rPr>
  </w:style>
  <w:style w:type="character" w:customStyle="1" w:styleId="A2">
    <w:name w:val="A2"/>
    <w:uiPriority w:val="99"/>
    <w:rsid w:val="0034111F"/>
    <w:rPr>
      <w:rFonts w:cs="Georgia"/>
      <w:color w:val="000000"/>
      <w:sz w:val="36"/>
      <w:szCs w:val="36"/>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E589D"/>
    <w:pPr>
      <w:spacing w:after="160" w:line="240" w:lineRule="exact"/>
      <w:jc w:val="both"/>
    </w:pPr>
    <w:rPr>
      <w:rFonts w:asciiTheme="minorHAnsi" w:eastAsiaTheme="minorHAnsi" w:hAnsiTheme="minorHAnsi" w:cstheme="minorBidi"/>
      <w:sz w:val="22"/>
      <w:szCs w:val="22"/>
      <w:vertAlign w:val="superscript"/>
    </w:rPr>
  </w:style>
  <w:style w:type="paragraph" w:customStyle="1" w:styleId="Parabeforenewsubsection">
    <w:name w:val="&gt; Para before new subsection"/>
    <w:basedOn w:val="Normal"/>
    <w:qFormat/>
    <w:rsid w:val="004E589D"/>
    <w:pPr>
      <w:spacing w:after="420" w:line="312" w:lineRule="auto"/>
    </w:pPr>
    <w:rPr>
      <w:rFonts w:eastAsia="Calibri" w:cs="Arial"/>
    </w:rPr>
  </w:style>
  <w:style w:type="paragraph" w:customStyle="1" w:styleId="Parabeforenewsection">
    <w:name w:val="&gt; Para before new section"/>
    <w:basedOn w:val="Normal"/>
    <w:qFormat/>
    <w:rsid w:val="00740A34"/>
    <w:pPr>
      <w:spacing w:after="680" w:line="312" w:lineRule="auto"/>
    </w:pPr>
    <w:rPr>
      <w:rFonts w:eastAsia="Calibri"/>
    </w:rPr>
  </w:style>
  <w:style w:type="character" w:customStyle="1" w:styleId="DefaultChar">
    <w:name w:val="Default Char"/>
    <w:link w:val="Default"/>
    <w:rsid w:val="002E7FCF"/>
    <w:rPr>
      <w:rFonts w:ascii="Arial" w:hAnsi="Arial" w:cs="Arial"/>
      <w:color w:val="000000"/>
      <w:sz w:val="24"/>
      <w:szCs w:val="24"/>
      <w:lang w:val="en-US"/>
    </w:rPr>
  </w:style>
  <w:style w:type="paragraph" w:customStyle="1" w:styleId="zNormalparagraph">
    <w:name w:val="zNormalparagraph"/>
    <w:basedOn w:val="Normal"/>
    <w:autoRedefine/>
    <w:qFormat/>
    <w:rsid w:val="004A60C7"/>
  </w:style>
  <w:style w:type="paragraph" w:customStyle="1" w:styleId="zSummBox">
    <w:name w:val="zSummBox"/>
    <w:basedOn w:val="Normal"/>
    <w:qFormat/>
    <w:rsid w:val="00857009"/>
    <w:pPr>
      <w:numPr>
        <w:numId w:val="27"/>
      </w:numPr>
      <w:pBdr>
        <w:top w:val="single" w:sz="4" w:space="1" w:color="auto"/>
        <w:left w:val="single" w:sz="4" w:space="4" w:color="auto"/>
        <w:bottom w:val="single" w:sz="4" w:space="1" w:color="auto"/>
        <w:right w:val="single" w:sz="4" w:space="4" w:color="auto"/>
      </w:pBdr>
      <w:shd w:val="clear" w:color="auto" w:fill="BDD6EE" w:themeFill="accent1" w:themeFillTint="66"/>
      <w:spacing w:before="120" w:after="120"/>
      <w:ind w:right="425"/>
      <w:jc w:val="both"/>
    </w:pPr>
    <w:rPr>
      <w:sz w:val="28"/>
    </w:rPr>
  </w:style>
  <w:style w:type="paragraph" w:styleId="Revision">
    <w:name w:val="Revision"/>
    <w:hidden/>
    <w:uiPriority w:val="99"/>
    <w:semiHidden/>
    <w:rsid w:val="001164E2"/>
    <w:pPr>
      <w:spacing w:after="0" w:line="240" w:lineRule="auto"/>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12347">
      <w:bodyDiv w:val="1"/>
      <w:marLeft w:val="0"/>
      <w:marRight w:val="0"/>
      <w:marTop w:val="0"/>
      <w:marBottom w:val="0"/>
      <w:divBdr>
        <w:top w:val="none" w:sz="0" w:space="0" w:color="auto"/>
        <w:left w:val="none" w:sz="0" w:space="0" w:color="auto"/>
        <w:bottom w:val="none" w:sz="0" w:space="0" w:color="auto"/>
        <w:right w:val="none" w:sz="0" w:space="0" w:color="auto"/>
      </w:divBdr>
      <w:divsChild>
        <w:div w:id="1854105394">
          <w:marLeft w:val="0"/>
          <w:marRight w:val="0"/>
          <w:marTop w:val="0"/>
          <w:marBottom w:val="0"/>
          <w:divBdr>
            <w:top w:val="none" w:sz="0" w:space="0" w:color="auto"/>
            <w:left w:val="none" w:sz="0" w:space="0" w:color="auto"/>
            <w:bottom w:val="none" w:sz="0" w:space="0" w:color="auto"/>
            <w:right w:val="none" w:sz="0" w:space="0" w:color="auto"/>
          </w:divBdr>
        </w:div>
        <w:div w:id="284236740">
          <w:marLeft w:val="0"/>
          <w:marRight w:val="0"/>
          <w:marTop w:val="0"/>
          <w:marBottom w:val="0"/>
          <w:divBdr>
            <w:top w:val="none" w:sz="0" w:space="0" w:color="auto"/>
            <w:left w:val="none" w:sz="0" w:space="0" w:color="auto"/>
            <w:bottom w:val="none" w:sz="0" w:space="0" w:color="auto"/>
            <w:right w:val="none" w:sz="0" w:space="0" w:color="auto"/>
          </w:divBdr>
        </w:div>
        <w:div w:id="1201896601">
          <w:marLeft w:val="0"/>
          <w:marRight w:val="0"/>
          <w:marTop w:val="0"/>
          <w:marBottom w:val="0"/>
          <w:divBdr>
            <w:top w:val="none" w:sz="0" w:space="0" w:color="auto"/>
            <w:left w:val="none" w:sz="0" w:space="0" w:color="auto"/>
            <w:bottom w:val="none" w:sz="0" w:space="0" w:color="auto"/>
            <w:right w:val="none" w:sz="0" w:space="0" w:color="auto"/>
          </w:divBdr>
        </w:div>
        <w:div w:id="709959033">
          <w:marLeft w:val="0"/>
          <w:marRight w:val="0"/>
          <w:marTop w:val="0"/>
          <w:marBottom w:val="0"/>
          <w:divBdr>
            <w:top w:val="none" w:sz="0" w:space="0" w:color="auto"/>
            <w:left w:val="none" w:sz="0" w:space="0" w:color="auto"/>
            <w:bottom w:val="none" w:sz="0" w:space="0" w:color="auto"/>
            <w:right w:val="none" w:sz="0" w:space="0" w:color="auto"/>
          </w:divBdr>
        </w:div>
        <w:div w:id="729579206">
          <w:marLeft w:val="0"/>
          <w:marRight w:val="0"/>
          <w:marTop w:val="0"/>
          <w:marBottom w:val="0"/>
          <w:divBdr>
            <w:top w:val="none" w:sz="0" w:space="0" w:color="auto"/>
            <w:left w:val="none" w:sz="0" w:space="0" w:color="auto"/>
            <w:bottom w:val="none" w:sz="0" w:space="0" w:color="auto"/>
            <w:right w:val="none" w:sz="0" w:space="0" w:color="auto"/>
          </w:divBdr>
        </w:div>
      </w:divsChild>
    </w:div>
    <w:div w:id="348722548">
      <w:bodyDiv w:val="1"/>
      <w:marLeft w:val="0"/>
      <w:marRight w:val="0"/>
      <w:marTop w:val="0"/>
      <w:marBottom w:val="0"/>
      <w:divBdr>
        <w:top w:val="none" w:sz="0" w:space="0" w:color="auto"/>
        <w:left w:val="none" w:sz="0" w:space="0" w:color="auto"/>
        <w:bottom w:val="none" w:sz="0" w:space="0" w:color="auto"/>
        <w:right w:val="none" w:sz="0" w:space="0" w:color="auto"/>
      </w:divBdr>
    </w:div>
    <w:div w:id="538275992">
      <w:bodyDiv w:val="1"/>
      <w:marLeft w:val="0"/>
      <w:marRight w:val="0"/>
      <w:marTop w:val="0"/>
      <w:marBottom w:val="0"/>
      <w:divBdr>
        <w:top w:val="none" w:sz="0" w:space="0" w:color="auto"/>
        <w:left w:val="none" w:sz="0" w:space="0" w:color="auto"/>
        <w:bottom w:val="none" w:sz="0" w:space="0" w:color="auto"/>
        <w:right w:val="none" w:sz="0" w:space="0" w:color="auto"/>
      </w:divBdr>
      <w:divsChild>
        <w:div w:id="757483788">
          <w:marLeft w:val="0"/>
          <w:marRight w:val="0"/>
          <w:marTop w:val="0"/>
          <w:marBottom w:val="0"/>
          <w:divBdr>
            <w:top w:val="none" w:sz="0" w:space="0" w:color="auto"/>
            <w:left w:val="none" w:sz="0" w:space="0" w:color="auto"/>
            <w:bottom w:val="none" w:sz="0" w:space="0" w:color="auto"/>
            <w:right w:val="none" w:sz="0" w:space="0" w:color="auto"/>
          </w:divBdr>
        </w:div>
        <w:div w:id="1974942579">
          <w:marLeft w:val="0"/>
          <w:marRight w:val="0"/>
          <w:marTop w:val="0"/>
          <w:marBottom w:val="0"/>
          <w:divBdr>
            <w:top w:val="none" w:sz="0" w:space="0" w:color="auto"/>
            <w:left w:val="none" w:sz="0" w:space="0" w:color="auto"/>
            <w:bottom w:val="none" w:sz="0" w:space="0" w:color="auto"/>
            <w:right w:val="none" w:sz="0" w:space="0" w:color="auto"/>
          </w:divBdr>
        </w:div>
        <w:div w:id="1011374640">
          <w:marLeft w:val="0"/>
          <w:marRight w:val="0"/>
          <w:marTop w:val="0"/>
          <w:marBottom w:val="0"/>
          <w:divBdr>
            <w:top w:val="none" w:sz="0" w:space="0" w:color="auto"/>
            <w:left w:val="none" w:sz="0" w:space="0" w:color="auto"/>
            <w:bottom w:val="none" w:sz="0" w:space="0" w:color="auto"/>
            <w:right w:val="none" w:sz="0" w:space="0" w:color="auto"/>
          </w:divBdr>
        </w:div>
        <w:div w:id="361824659">
          <w:marLeft w:val="0"/>
          <w:marRight w:val="0"/>
          <w:marTop w:val="0"/>
          <w:marBottom w:val="0"/>
          <w:divBdr>
            <w:top w:val="none" w:sz="0" w:space="0" w:color="auto"/>
            <w:left w:val="none" w:sz="0" w:space="0" w:color="auto"/>
            <w:bottom w:val="none" w:sz="0" w:space="0" w:color="auto"/>
            <w:right w:val="none" w:sz="0" w:space="0" w:color="auto"/>
          </w:divBdr>
        </w:div>
        <w:div w:id="1619943655">
          <w:marLeft w:val="0"/>
          <w:marRight w:val="0"/>
          <w:marTop w:val="0"/>
          <w:marBottom w:val="0"/>
          <w:divBdr>
            <w:top w:val="none" w:sz="0" w:space="0" w:color="auto"/>
            <w:left w:val="none" w:sz="0" w:space="0" w:color="auto"/>
            <w:bottom w:val="none" w:sz="0" w:space="0" w:color="auto"/>
            <w:right w:val="none" w:sz="0" w:space="0" w:color="auto"/>
          </w:divBdr>
        </w:div>
        <w:div w:id="337925851">
          <w:marLeft w:val="0"/>
          <w:marRight w:val="0"/>
          <w:marTop w:val="0"/>
          <w:marBottom w:val="0"/>
          <w:divBdr>
            <w:top w:val="none" w:sz="0" w:space="0" w:color="auto"/>
            <w:left w:val="none" w:sz="0" w:space="0" w:color="auto"/>
            <w:bottom w:val="none" w:sz="0" w:space="0" w:color="auto"/>
            <w:right w:val="none" w:sz="0" w:space="0" w:color="auto"/>
          </w:divBdr>
        </w:div>
      </w:divsChild>
    </w:div>
    <w:div w:id="686448495">
      <w:bodyDiv w:val="1"/>
      <w:marLeft w:val="0"/>
      <w:marRight w:val="0"/>
      <w:marTop w:val="0"/>
      <w:marBottom w:val="0"/>
      <w:divBdr>
        <w:top w:val="none" w:sz="0" w:space="0" w:color="auto"/>
        <w:left w:val="none" w:sz="0" w:space="0" w:color="auto"/>
        <w:bottom w:val="none" w:sz="0" w:space="0" w:color="auto"/>
        <w:right w:val="none" w:sz="0" w:space="0" w:color="auto"/>
      </w:divBdr>
    </w:div>
    <w:div w:id="774907834">
      <w:bodyDiv w:val="1"/>
      <w:marLeft w:val="0"/>
      <w:marRight w:val="0"/>
      <w:marTop w:val="0"/>
      <w:marBottom w:val="0"/>
      <w:divBdr>
        <w:top w:val="none" w:sz="0" w:space="0" w:color="auto"/>
        <w:left w:val="none" w:sz="0" w:space="0" w:color="auto"/>
        <w:bottom w:val="none" w:sz="0" w:space="0" w:color="auto"/>
        <w:right w:val="none" w:sz="0" w:space="0" w:color="auto"/>
      </w:divBdr>
    </w:div>
    <w:div w:id="948005721">
      <w:bodyDiv w:val="1"/>
      <w:marLeft w:val="0"/>
      <w:marRight w:val="0"/>
      <w:marTop w:val="0"/>
      <w:marBottom w:val="0"/>
      <w:divBdr>
        <w:top w:val="none" w:sz="0" w:space="0" w:color="auto"/>
        <w:left w:val="none" w:sz="0" w:space="0" w:color="auto"/>
        <w:bottom w:val="none" w:sz="0" w:space="0" w:color="auto"/>
        <w:right w:val="none" w:sz="0" w:space="0" w:color="auto"/>
      </w:divBdr>
      <w:divsChild>
        <w:div w:id="770054419">
          <w:marLeft w:val="0"/>
          <w:marRight w:val="0"/>
          <w:marTop w:val="0"/>
          <w:marBottom w:val="0"/>
          <w:divBdr>
            <w:top w:val="none" w:sz="0" w:space="0" w:color="auto"/>
            <w:left w:val="none" w:sz="0" w:space="0" w:color="auto"/>
            <w:bottom w:val="none" w:sz="0" w:space="0" w:color="auto"/>
            <w:right w:val="none" w:sz="0" w:space="0" w:color="auto"/>
          </w:divBdr>
        </w:div>
        <w:div w:id="112411285">
          <w:marLeft w:val="0"/>
          <w:marRight w:val="0"/>
          <w:marTop w:val="0"/>
          <w:marBottom w:val="0"/>
          <w:divBdr>
            <w:top w:val="none" w:sz="0" w:space="0" w:color="auto"/>
            <w:left w:val="none" w:sz="0" w:space="0" w:color="auto"/>
            <w:bottom w:val="none" w:sz="0" w:space="0" w:color="auto"/>
            <w:right w:val="none" w:sz="0" w:space="0" w:color="auto"/>
          </w:divBdr>
        </w:div>
        <w:div w:id="1622882774">
          <w:marLeft w:val="0"/>
          <w:marRight w:val="0"/>
          <w:marTop w:val="0"/>
          <w:marBottom w:val="0"/>
          <w:divBdr>
            <w:top w:val="none" w:sz="0" w:space="0" w:color="auto"/>
            <w:left w:val="none" w:sz="0" w:space="0" w:color="auto"/>
            <w:bottom w:val="none" w:sz="0" w:space="0" w:color="auto"/>
            <w:right w:val="none" w:sz="0" w:space="0" w:color="auto"/>
          </w:divBdr>
        </w:div>
        <w:div w:id="1726180291">
          <w:marLeft w:val="0"/>
          <w:marRight w:val="0"/>
          <w:marTop w:val="0"/>
          <w:marBottom w:val="0"/>
          <w:divBdr>
            <w:top w:val="none" w:sz="0" w:space="0" w:color="auto"/>
            <w:left w:val="none" w:sz="0" w:space="0" w:color="auto"/>
            <w:bottom w:val="none" w:sz="0" w:space="0" w:color="auto"/>
            <w:right w:val="none" w:sz="0" w:space="0" w:color="auto"/>
          </w:divBdr>
        </w:div>
        <w:div w:id="1249192370">
          <w:marLeft w:val="0"/>
          <w:marRight w:val="0"/>
          <w:marTop w:val="0"/>
          <w:marBottom w:val="0"/>
          <w:divBdr>
            <w:top w:val="none" w:sz="0" w:space="0" w:color="auto"/>
            <w:left w:val="none" w:sz="0" w:space="0" w:color="auto"/>
            <w:bottom w:val="none" w:sz="0" w:space="0" w:color="auto"/>
            <w:right w:val="none" w:sz="0" w:space="0" w:color="auto"/>
          </w:divBdr>
        </w:div>
      </w:divsChild>
    </w:div>
    <w:div w:id="981351030">
      <w:bodyDiv w:val="1"/>
      <w:marLeft w:val="0"/>
      <w:marRight w:val="0"/>
      <w:marTop w:val="0"/>
      <w:marBottom w:val="0"/>
      <w:divBdr>
        <w:top w:val="none" w:sz="0" w:space="0" w:color="auto"/>
        <w:left w:val="none" w:sz="0" w:space="0" w:color="auto"/>
        <w:bottom w:val="none" w:sz="0" w:space="0" w:color="auto"/>
        <w:right w:val="none" w:sz="0" w:space="0" w:color="auto"/>
      </w:divBdr>
    </w:div>
    <w:div w:id="1162356395">
      <w:bodyDiv w:val="1"/>
      <w:marLeft w:val="0"/>
      <w:marRight w:val="0"/>
      <w:marTop w:val="0"/>
      <w:marBottom w:val="0"/>
      <w:divBdr>
        <w:top w:val="none" w:sz="0" w:space="0" w:color="auto"/>
        <w:left w:val="none" w:sz="0" w:space="0" w:color="auto"/>
        <w:bottom w:val="none" w:sz="0" w:space="0" w:color="auto"/>
        <w:right w:val="none" w:sz="0" w:space="0" w:color="auto"/>
      </w:divBdr>
      <w:divsChild>
        <w:div w:id="1188985273">
          <w:marLeft w:val="360"/>
          <w:marRight w:val="0"/>
          <w:marTop w:val="200"/>
          <w:marBottom w:val="0"/>
          <w:divBdr>
            <w:top w:val="none" w:sz="0" w:space="0" w:color="auto"/>
            <w:left w:val="none" w:sz="0" w:space="0" w:color="auto"/>
            <w:bottom w:val="none" w:sz="0" w:space="0" w:color="auto"/>
            <w:right w:val="none" w:sz="0" w:space="0" w:color="auto"/>
          </w:divBdr>
        </w:div>
        <w:div w:id="1807162039">
          <w:marLeft w:val="360"/>
          <w:marRight w:val="0"/>
          <w:marTop w:val="200"/>
          <w:marBottom w:val="0"/>
          <w:divBdr>
            <w:top w:val="none" w:sz="0" w:space="0" w:color="auto"/>
            <w:left w:val="none" w:sz="0" w:space="0" w:color="auto"/>
            <w:bottom w:val="none" w:sz="0" w:space="0" w:color="auto"/>
            <w:right w:val="none" w:sz="0" w:space="0" w:color="auto"/>
          </w:divBdr>
        </w:div>
        <w:div w:id="229316460">
          <w:marLeft w:val="360"/>
          <w:marRight w:val="0"/>
          <w:marTop w:val="200"/>
          <w:marBottom w:val="0"/>
          <w:divBdr>
            <w:top w:val="none" w:sz="0" w:space="0" w:color="auto"/>
            <w:left w:val="none" w:sz="0" w:space="0" w:color="auto"/>
            <w:bottom w:val="none" w:sz="0" w:space="0" w:color="auto"/>
            <w:right w:val="none" w:sz="0" w:space="0" w:color="auto"/>
          </w:divBdr>
        </w:div>
        <w:div w:id="161623408">
          <w:marLeft w:val="360"/>
          <w:marRight w:val="0"/>
          <w:marTop w:val="200"/>
          <w:marBottom w:val="0"/>
          <w:divBdr>
            <w:top w:val="none" w:sz="0" w:space="0" w:color="auto"/>
            <w:left w:val="none" w:sz="0" w:space="0" w:color="auto"/>
            <w:bottom w:val="none" w:sz="0" w:space="0" w:color="auto"/>
            <w:right w:val="none" w:sz="0" w:space="0" w:color="auto"/>
          </w:divBdr>
        </w:div>
      </w:divsChild>
    </w:div>
    <w:div w:id="1367946888">
      <w:bodyDiv w:val="1"/>
      <w:marLeft w:val="0"/>
      <w:marRight w:val="0"/>
      <w:marTop w:val="0"/>
      <w:marBottom w:val="0"/>
      <w:divBdr>
        <w:top w:val="none" w:sz="0" w:space="0" w:color="auto"/>
        <w:left w:val="none" w:sz="0" w:space="0" w:color="auto"/>
        <w:bottom w:val="none" w:sz="0" w:space="0" w:color="auto"/>
        <w:right w:val="none" w:sz="0" w:space="0" w:color="auto"/>
      </w:divBdr>
      <w:divsChild>
        <w:div w:id="1926722651">
          <w:marLeft w:val="0"/>
          <w:marRight w:val="0"/>
          <w:marTop w:val="0"/>
          <w:marBottom w:val="0"/>
          <w:divBdr>
            <w:top w:val="none" w:sz="0" w:space="0" w:color="auto"/>
            <w:left w:val="none" w:sz="0" w:space="0" w:color="auto"/>
            <w:bottom w:val="none" w:sz="0" w:space="0" w:color="auto"/>
            <w:right w:val="none" w:sz="0" w:space="0" w:color="auto"/>
          </w:divBdr>
        </w:div>
        <w:div w:id="1689133272">
          <w:marLeft w:val="0"/>
          <w:marRight w:val="0"/>
          <w:marTop w:val="0"/>
          <w:marBottom w:val="0"/>
          <w:divBdr>
            <w:top w:val="none" w:sz="0" w:space="0" w:color="auto"/>
            <w:left w:val="none" w:sz="0" w:space="0" w:color="auto"/>
            <w:bottom w:val="none" w:sz="0" w:space="0" w:color="auto"/>
            <w:right w:val="none" w:sz="0" w:space="0" w:color="auto"/>
          </w:divBdr>
        </w:div>
        <w:div w:id="448936936">
          <w:marLeft w:val="0"/>
          <w:marRight w:val="0"/>
          <w:marTop w:val="0"/>
          <w:marBottom w:val="0"/>
          <w:divBdr>
            <w:top w:val="none" w:sz="0" w:space="0" w:color="auto"/>
            <w:left w:val="none" w:sz="0" w:space="0" w:color="auto"/>
            <w:bottom w:val="none" w:sz="0" w:space="0" w:color="auto"/>
            <w:right w:val="none" w:sz="0" w:space="0" w:color="auto"/>
          </w:divBdr>
        </w:div>
        <w:div w:id="1198665209">
          <w:marLeft w:val="0"/>
          <w:marRight w:val="0"/>
          <w:marTop w:val="0"/>
          <w:marBottom w:val="0"/>
          <w:divBdr>
            <w:top w:val="none" w:sz="0" w:space="0" w:color="auto"/>
            <w:left w:val="none" w:sz="0" w:space="0" w:color="auto"/>
            <w:bottom w:val="none" w:sz="0" w:space="0" w:color="auto"/>
            <w:right w:val="none" w:sz="0" w:space="0" w:color="auto"/>
          </w:divBdr>
        </w:div>
        <w:div w:id="921061335">
          <w:marLeft w:val="0"/>
          <w:marRight w:val="0"/>
          <w:marTop w:val="0"/>
          <w:marBottom w:val="0"/>
          <w:divBdr>
            <w:top w:val="none" w:sz="0" w:space="0" w:color="auto"/>
            <w:left w:val="none" w:sz="0" w:space="0" w:color="auto"/>
            <w:bottom w:val="none" w:sz="0" w:space="0" w:color="auto"/>
            <w:right w:val="none" w:sz="0" w:space="0" w:color="auto"/>
          </w:divBdr>
        </w:div>
        <w:div w:id="544679156">
          <w:marLeft w:val="0"/>
          <w:marRight w:val="0"/>
          <w:marTop w:val="0"/>
          <w:marBottom w:val="0"/>
          <w:divBdr>
            <w:top w:val="none" w:sz="0" w:space="0" w:color="auto"/>
            <w:left w:val="none" w:sz="0" w:space="0" w:color="auto"/>
            <w:bottom w:val="none" w:sz="0" w:space="0" w:color="auto"/>
            <w:right w:val="none" w:sz="0" w:space="0" w:color="auto"/>
          </w:divBdr>
        </w:div>
        <w:div w:id="743332672">
          <w:marLeft w:val="0"/>
          <w:marRight w:val="0"/>
          <w:marTop w:val="0"/>
          <w:marBottom w:val="0"/>
          <w:divBdr>
            <w:top w:val="none" w:sz="0" w:space="0" w:color="auto"/>
            <w:left w:val="none" w:sz="0" w:space="0" w:color="auto"/>
            <w:bottom w:val="none" w:sz="0" w:space="0" w:color="auto"/>
            <w:right w:val="none" w:sz="0" w:space="0" w:color="auto"/>
          </w:divBdr>
        </w:div>
        <w:div w:id="1390879976">
          <w:marLeft w:val="0"/>
          <w:marRight w:val="0"/>
          <w:marTop w:val="0"/>
          <w:marBottom w:val="0"/>
          <w:divBdr>
            <w:top w:val="none" w:sz="0" w:space="0" w:color="auto"/>
            <w:left w:val="none" w:sz="0" w:space="0" w:color="auto"/>
            <w:bottom w:val="none" w:sz="0" w:space="0" w:color="auto"/>
            <w:right w:val="none" w:sz="0" w:space="0" w:color="auto"/>
          </w:divBdr>
        </w:div>
        <w:div w:id="2016032219">
          <w:marLeft w:val="0"/>
          <w:marRight w:val="0"/>
          <w:marTop w:val="0"/>
          <w:marBottom w:val="0"/>
          <w:divBdr>
            <w:top w:val="none" w:sz="0" w:space="0" w:color="auto"/>
            <w:left w:val="none" w:sz="0" w:space="0" w:color="auto"/>
            <w:bottom w:val="none" w:sz="0" w:space="0" w:color="auto"/>
            <w:right w:val="none" w:sz="0" w:space="0" w:color="auto"/>
          </w:divBdr>
        </w:div>
        <w:div w:id="882639372">
          <w:marLeft w:val="0"/>
          <w:marRight w:val="0"/>
          <w:marTop w:val="0"/>
          <w:marBottom w:val="0"/>
          <w:divBdr>
            <w:top w:val="none" w:sz="0" w:space="0" w:color="auto"/>
            <w:left w:val="none" w:sz="0" w:space="0" w:color="auto"/>
            <w:bottom w:val="none" w:sz="0" w:space="0" w:color="auto"/>
            <w:right w:val="none" w:sz="0" w:space="0" w:color="auto"/>
          </w:divBdr>
        </w:div>
        <w:div w:id="454299093">
          <w:marLeft w:val="0"/>
          <w:marRight w:val="0"/>
          <w:marTop w:val="0"/>
          <w:marBottom w:val="0"/>
          <w:divBdr>
            <w:top w:val="none" w:sz="0" w:space="0" w:color="auto"/>
            <w:left w:val="none" w:sz="0" w:space="0" w:color="auto"/>
            <w:bottom w:val="none" w:sz="0" w:space="0" w:color="auto"/>
            <w:right w:val="none" w:sz="0" w:space="0" w:color="auto"/>
          </w:divBdr>
        </w:div>
        <w:div w:id="619142391">
          <w:marLeft w:val="0"/>
          <w:marRight w:val="0"/>
          <w:marTop w:val="0"/>
          <w:marBottom w:val="0"/>
          <w:divBdr>
            <w:top w:val="none" w:sz="0" w:space="0" w:color="auto"/>
            <w:left w:val="none" w:sz="0" w:space="0" w:color="auto"/>
            <w:bottom w:val="none" w:sz="0" w:space="0" w:color="auto"/>
            <w:right w:val="none" w:sz="0" w:space="0" w:color="auto"/>
          </w:divBdr>
        </w:div>
        <w:div w:id="182403405">
          <w:marLeft w:val="0"/>
          <w:marRight w:val="0"/>
          <w:marTop w:val="0"/>
          <w:marBottom w:val="0"/>
          <w:divBdr>
            <w:top w:val="none" w:sz="0" w:space="0" w:color="auto"/>
            <w:left w:val="none" w:sz="0" w:space="0" w:color="auto"/>
            <w:bottom w:val="none" w:sz="0" w:space="0" w:color="auto"/>
            <w:right w:val="none" w:sz="0" w:space="0" w:color="auto"/>
          </w:divBdr>
        </w:div>
      </w:divsChild>
    </w:div>
    <w:div w:id="1368722752">
      <w:bodyDiv w:val="1"/>
      <w:marLeft w:val="0"/>
      <w:marRight w:val="0"/>
      <w:marTop w:val="0"/>
      <w:marBottom w:val="0"/>
      <w:divBdr>
        <w:top w:val="none" w:sz="0" w:space="0" w:color="auto"/>
        <w:left w:val="none" w:sz="0" w:space="0" w:color="auto"/>
        <w:bottom w:val="none" w:sz="0" w:space="0" w:color="auto"/>
        <w:right w:val="none" w:sz="0" w:space="0" w:color="auto"/>
      </w:divBdr>
      <w:divsChild>
        <w:div w:id="986788050">
          <w:marLeft w:val="0"/>
          <w:marRight w:val="0"/>
          <w:marTop w:val="0"/>
          <w:marBottom w:val="0"/>
          <w:divBdr>
            <w:top w:val="none" w:sz="0" w:space="0" w:color="auto"/>
            <w:left w:val="none" w:sz="0" w:space="0" w:color="auto"/>
            <w:bottom w:val="none" w:sz="0" w:space="0" w:color="auto"/>
            <w:right w:val="none" w:sz="0" w:space="0" w:color="auto"/>
          </w:divBdr>
        </w:div>
        <w:div w:id="2081436375">
          <w:marLeft w:val="0"/>
          <w:marRight w:val="0"/>
          <w:marTop w:val="0"/>
          <w:marBottom w:val="0"/>
          <w:divBdr>
            <w:top w:val="none" w:sz="0" w:space="0" w:color="auto"/>
            <w:left w:val="none" w:sz="0" w:space="0" w:color="auto"/>
            <w:bottom w:val="none" w:sz="0" w:space="0" w:color="auto"/>
            <w:right w:val="none" w:sz="0" w:space="0" w:color="auto"/>
          </w:divBdr>
        </w:div>
        <w:div w:id="1976521671">
          <w:marLeft w:val="0"/>
          <w:marRight w:val="0"/>
          <w:marTop w:val="0"/>
          <w:marBottom w:val="0"/>
          <w:divBdr>
            <w:top w:val="none" w:sz="0" w:space="0" w:color="auto"/>
            <w:left w:val="none" w:sz="0" w:space="0" w:color="auto"/>
            <w:bottom w:val="none" w:sz="0" w:space="0" w:color="auto"/>
            <w:right w:val="none" w:sz="0" w:space="0" w:color="auto"/>
          </w:divBdr>
        </w:div>
        <w:div w:id="300619358">
          <w:marLeft w:val="0"/>
          <w:marRight w:val="0"/>
          <w:marTop w:val="0"/>
          <w:marBottom w:val="0"/>
          <w:divBdr>
            <w:top w:val="none" w:sz="0" w:space="0" w:color="auto"/>
            <w:left w:val="none" w:sz="0" w:space="0" w:color="auto"/>
            <w:bottom w:val="none" w:sz="0" w:space="0" w:color="auto"/>
            <w:right w:val="none" w:sz="0" w:space="0" w:color="auto"/>
          </w:divBdr>
        </w:div>
        <w:div w:id="742751342">
          <w:marLeft w:val="0"/>
          <w:marRight w:val="0"/>
          <w:marTop w:val="0"/>
          <w:marBottom w:val="0"/>
          <w:divBdr>
            <w:top w:val="none" w:sz="0" w:space="0" w:color="auto"/>
            <w:left w:val="none" w:sz="0" w:space="0" w:color="auto"/>
            <w:bottom w:val="none" w:sz="0" w:space="0" w:color="auto"/>
            <w:right w:val="none" w:sz="0" w:space="0" w:color="auto"/>
          </w:divBdr>
        </w:div>
        <w:div w:id="1047726877">
          <w:marLeft w:val="0"/>
          <w:marRight w:val="0"/>
          <w:marTop w:val="0"/>
          <w:marBottom w:val="0"/>
          <w:divBdr>
            <w:top w:val="none" w:sz="0" w:space="0" w:color="auto"/>
            <w:left w:val="none" w:sz="0" w:space="0" w:color="auto"/>
            <w:bottom w:val="none" w:sz="0" w:space="0" w:color="auto"/>
            <w:right w:val="none" w:sz="0" w:space="0" w:color="auto"/>
          </w:divBdr>
        </w:div>
      </w:divsChild>
    </w:div>
    <w:div w:id="1803959640">
      <w:bodyDiv w:val="1"/>
      <w:marLeft w:val="0"/>
      <w:marRight w:val="0"/>
      <w:marTop w:val="0"/>
      <w:marBottom w:val="0"/>
      <w:divBdr>
        <w:top w:val="none" w:sz="0" w:space="0" w:color="auto"/>
        <w:left w:val="none" w:sz="0" w:space="0" w:color="auto"/>
        <w:bottom w:val="none" w:sz="0" w:space="0" w:color="auto"/>
        <w:right w:val="none" w:sz="0" w:space="0" w:color="auto"/>
      </w:divBdr>
      <w:divsChild>
        <w:div w:id="1051348538">
          <w:marLeft w:val="0"/>
          <w:marRight w:val="0"/>
          <w:marTop w:val="0"/>
          <w:marBottom w:val="0"/>
          <w:divBdr>
            <w:top w:val="none" w:sz="0" w:space="0" w:color="auto"/>
            <w:left w:val="none" w:sz="0" w:space="0" w:color="auto"/>
            <w:bottom w:val="none" w:sz="0" w:space="0" w:color="auto"/>
            <w:right w:val="none" w:sz="0" w:space="0" w:color="auto"/>
          </w:divBdr>
        </w:div>
        <w:div w:id="734666041">
          <w:marLeft w:val="0"/>
          <w:marRight w:val="0"/>
          <w:marTop w:val="0"/>
          <w:marBottom w:val="0"/>
          <w:divBdr>
            <w:top w:val="none" w:sz="0" w:space="0" w:color="auto"/>
            <w:left w:val="none" w:sz="0" w:space="0" w:color="auto"/>
            <w:bottom w:val="none" w:sz="0" w:space="0" w:color="auto"/>
            <w:right w:val="none" w:sz="0" w:space="0" w:color="auto"/>
          </w:divBdr>
        </w:div>
        <w:div w:id="420374227">
          <w:marLeft w:val="0"/>
          <w:marRight w:val="0"/>
          <w:marTop w:val="0"/>
          <w:marBottom w:val="0"/>
          <w:divBdr>
            <w:top w:val="none" w:sz="0" w:space="0" w:color="auto"/>
            <w:left w:val="none" w:sz="0" w:space="0" w:color="auto"/>
            <w:bottom w:val="none" w:sz="0" w:space="0" w:color="auto"/>
            <w:right w:val="none" w:sz="0" w:space="0" w:color="auto"/>
          </w:divBdr>
        </w:div>
        <w:div w:id="1625845963">
          <w:marLeft w:val="0"/>
          <w:marRight w:val="0"/>
          <w:marTop w:val="0"/>
          <w:marBottom w:val="0"/>
          <w:divBdr>
            <w:top w:val="none" w:sz="0" w:space="0" w:color="auto"/>
            <w:left w:val="none" w:sz="0" w:space="0" w:color="auto"/>
            <w:bottom w:val="none" w:sz="0" w:space="0" w:color="auto"/>
            <w:right w:val="none" w:sz="0" w:space="0" w:color="auto"/>
          </w:divBdr>
        </w:div>
        <w:div w:id="1412116942">
          <w:marLeft w:val="0"/>
          <w:marRight w:val="0"/>
          <w:marTop w:val="0"/>
          <w:marBottom w:val="0"/>
          <w:divBdr>
            <w:top w:val="none" w:sz="0" w:space="0" w:color="auto"/>
            <w:left w:val="none" w:sz="0" w:space="0" w:color="auto"/>
            <w:bottom w:val="none" w:sz="0" w:space="0" w:color="auto"/>
            <w:right w:val="none" w:sz="0" w:space="0" w:color="auto"/>
          </w:divBdr>
        </w:div>
        <w:div w:id="940649179">
          <w:marLeft w:val="0"/>
          <w:marRight w:val="0"/>
          <w:marTop w:val="0"/>
          <w:marBottom w:val="0"/>
          <w:divBdr>
            <w:top w:val="none" w:sz="0" w:space="0" w:color="auto"/>
            <w:left w:val="none" w:sz="0" w:space="0" w:color="auto"/>
            <w:bottom w:val="none" w:sz="0" w:space="0" w:color="auto"/>
            <w:right w:val="none" w:sz="0" w:space="0" w:color="auto"/>
          </w:divBdr>
        </w:div>
        <w:div w:id="428813836">
          <w:marLeft w:val="0"/>
          <w:marRight w:val="0"/>
          <w:marTop w:val="0"/>
          <w:marBottom w:val="0"/>
          <w:divBdr>
            <w:top w:val="none" w:sz="0" w:space="0" w:color="auto"/>
            <w:left w:val="none" w:sz="0" w:space="0" w:color="auto"/>
            <w:bottom w:val="none" w:sz="0" w:space="0" w:color="auto"/>
            <w:right w:val="none" w:sz="0" w:space="0" w:color="auto"/>
          </w:divBdr>
        </w:div>
        <w:div w:id="110322609">
          <w:marLeft w:val="0"/>
          <w:marRight w:val="0"/>
          <w:marTop w:val="0"/>
          <w:marBottom w:val="0"/>
          <w:divBdr>
            <w:top w:val="none" w:sz="0" w:space="0" w:color="auto"/>
            <w:left w:val="none" w:sz="0" w:space="0" w:color="auto"/>
            <w:bottom w:val="none" w:sz="0" w:space="0" w:color="auto"/>
            <w:right w:val="none" w:sz="0" w:space="0" w:color="auto"/>
          </w:divBdr>
        </w:div>
        <w:div w:id="274020625">
          <w:marLeft w:val="0"/>
          <w:marRight w:val="0"/>
          <w:marTop w:val="0"/>
          <w:marBottom w:val="0"/>
          <w:divBdr>
            <w:top w:val="none" w:sz="0" w:space="0" w:color="auto"/>
            <w:left w:val="none" w:sz="0" w:space="0" w:color="auto"/>
            <w:bottom w:val="none" w:sz="0" w:space="0" w:color="auto"/>
            <w:right w:val="none" w:sz="0" w:space="0" w:color="auto"/>
          </w:divBdr>
        </w:div>
        <w:div w:id="1505590662">
          <w:marLeft w:val="0"/>
          <w:marRight w:val="0"/>
          <w:marTop w:val="0"/>
          <w:marBottom w:val="0"/>
          <w:divBdr>
            <w:top w:val="none" w:sz="0" w:space="0" w:color="auto"/>
            <w:left w:val="none" w:sz="0" w:space="0" w:color="auto"/>
            <w:bottom w:val="none" w:sz="0" w:space="0" w:color="auto"/>
            <w:right w:val="none" w:sz="0" w:space="0" w:color="auto"/>
          </w:divBdr>
        </w:div>
        <w:div w:id="930240359">
          <w:marLeft w:val="0"/>
          <w:marRight w:val="0"/>
          <w:marTop w:val="0"/>
          <w:marBottom w:val="0"/>
          <w:divBdr>
            <w:top w:val="none" w:sz="0" w:space="0" w:color="auto"/>
            <w:left w:val="none" w:sz="0" w:space="0" w:color="auto"/>
            <w:bottom w:val="none" w:sz="0" w:space="0" w:color="auto"/>
            <w:right w:val="none" w:sz="0" w:space="0" w:color="auto"/>
          </w:divBdr>
        </w:div>
        <w:div w:id="796222301">
          <w:marLeft w:val="0"/>
          <w:marRight w:val="0"/>
          <w:marTop w:val="0"/>
          <w:marBottom w:val="0"/>
          <w:divBdr>
            <w:top w:val="none" w:sz="0" w:space="0" w:color="auto"/>
            <w:left w:val="none" w:sz="0" w:space="0" w:color="auto"/>
            <w:bottom w:val="none" w:sz="0" w:space="0" w:color="auto"/>
            <w:right w:val="none" w:sz="0" w:space="0" w:color="auto"/>
          </w:divBdr>
        </w:div>
        <w:div w:id="2082872084">
          <w:marLeft w:val="0"/>
          <w:marRight w:val="0"/>
          <w:marTop w:val="0"/>
          <w:marBottom w:val="0"/>
          <w:divBdr>
            <w:top w:val="none" w:sz="0" w:space="0" w:color="auto"/>
            <w:left w:val="none" w:sz="0" w:space="0" w:color="auto"/>
            <w:bottom w:val="none" w:sz="0" w:space="0" w:color="auto"/>
            <w:right w:val="none" w:sz="0" w:space="0" w:color="auto"/>
          </w:divBdr>
        </w:div>
      </w:divsChild>
    </w:div>
    <w:div w:id="1862433464">
      <w:bodyDiv w:val="1"/>
      <w:marLeft w:val="0"/>
      <w:marRight w:val="0"/>
      <w:marTop w:val="0"/>
      <w:marBottom w:val="0"/>
      <w:divBdr>
        <w:top w:val="none" w:sz="0" w:space="0" w:color="auto"/>
        <w:left w:val="none" w:sz="0" w:space="0" w:color="auto"/>
        <w:bottom w:val="none" w:sz="0" w:space="0" w:color="auto"/>
        <w:right w:val="none" w:sz="0" w:space="0" w:color="auto"/>
      </w:divBdr>
      <w:divsChild>
        <w:div w:id="1646004069">
          <w:marLeft w:val="0"/>
          <w:marRight w:val="0"/>
          <w:marTop w:val="0"/>
          <w:marBottom w:val="0"/>
          <w:divBdr>
            <w:top w:val="none" w:sz="0" w:space="0" w:color="auto"/>
            <w:left w:val="none" w:sz="0" w:space="0" w:color="auto"/>
            <w:bottom w:val="none" w:sz="0" w:space="0" w:color="auto"/>
            <w:right w:val="none" w:sz="0" w:space="0" w:color="auto"/>
          </w:divBdr>
        </w:div>
        <w:div w:id="711803679">
          <w:marLeft w:val="0"/>
          <w:marRight w:val="0"/>
          <w:marTop w:val="0"/>
          <w:marBottom w:val="0"/>
          <w:divBdr>
            <w:top w:val="none" w:sz="0" w:space="0" w:color="auto"/>
            <w:left w:val="none" w:sz="0" w:space="0" w:color="auto"/>
            <w:bottom w:val="none" w:sz="0" w:space="0" w:color="auto"/>
            <w:right w:val="none" w:sz="0" w:space="0" w:color="auto"/>
          </w:divBdr>
        </w:div>
        <w:div w:id="195772049">
          <w:marLeft w:val="0"/>
          <w:marRight w:val="0"/>
          <w:marTop w:val="0"/>
          <w:marBottom w:val="0"/>
          <w:divBdr>
            <w:top w:val="none" w:sz="0" w:space="0" w:color="auto"/>
            <w:left w:val="none" w:sz="0" w:space="0" w:color="auto"/>
            <w:bottom w:val="none" w:sz="0" w:space="0" w:color="auto"/>
            <w:right w:val="none" w:sz="0" w:space="0" w:color="auto"/>
          </w:divBdr>
        </w:div>
        <w:div w:id="1366491252">
          <w:marLeft w:val="0"/>
          <w:marRight w:val="0"/>
          <w:marTop w:val="0"/>
          <w:marBottom w:val="0"/>
          <w:divBdr>
            <w:top w:val="none" w:sz="0" w:space="0" w:color="auto"/>
            <w:left w:val="none" w:sz="0" w:space="0" w:color="auto"/>
            <w:bottom w:val="none" w:sz="0" w:space="0" w:color="auto"/>
            <w:right w:val="none" w:sz="0" w:space="0" w:color="auto"/>
          </w:divBdr>
        </w:div>
        <w:div w:id="2006320877">
          <w:marLeft w:val="0"/>
          <w:marRight w:val="0"/>
          <w:marTop w:val="0"/>
          <w:marBottom w:val="0"/>
          <w:divBdr>
            <w:top w:val="none" w:sz="0" w:space="0" w:color="auto"/>
            <w:left w:val="none" w:sz="0" w:space="0" w:color="auto"/>
            <w:bottom w:val="none" w:sz="0" w:space="0" w:color="auto"/>
            <w:right w:val="none" w:sz="0" w:space="0" w:color="auto"/>
          </w:divBdr>
        </w:div>
        <w:div w:id="1033307046">
          <w:marLeft w:val="0"/>
          <w:marRight w:val="0"/>
          <w:marTop w:val="0"/>
          <w:marBottom w:val="0"/>
          <w:divBdr>
            <w:top w:val="none" w:sz="0" w:space="0" w:color="auto"/>
            <w:left w:val="none" w:sz="0" w:space="0" w:color="auto"/>
            <w:bottom w:val="none" w:sz="0" w:space="0" w:color="auto"/>
            <w:right w:val="none" w:sz="0" w:space="0" w:color="auto"/>
          </w:divBdr>
        </w:div>
        <w:div w:id="223687351">
          <w:marLeft w:val="0"/>
          <w:marRight w:val="0"/>
          <w:marTop w:val="0"/>
          <w:marBottom w:val="0"/>
          <w:divBdr>
            <w:top w:val="none" w:sz="0" w:space="0" w:color="auto"/>
            <w:left w:val="none" w:sz="0" w:space="0" w:color="auto"/>
            <w:bottom w:val="none" w:sz="0" w:space="0" w:color="auto"/>
            <w:right w:val="none" w:sz="0" w:space="0" w:color="auto"/>
          </w:divBdr>
        </w:div>
        <w:div w:id="491722769">
          <w:marLeft w:val="0"/>
          <w:marRight w:val="0"/>
          <w:marTop w:val="0"/>
          <w:marBottom w:val="0"/>
          <w:divBdr>
            <w:top w:val="none" w:sz="0" w:space="0" w:color="auto"/>
            <w:left w:val="none" w:sz="0" w:space="0" w:color="auto"/>
            <w:bottom w:val="none" w:sz="0" w:space="0" w:color="auto"/>
            <w:right w:val="none" w:sz="0" w:space="0" w:color="auto"/>
          </w:divBdr>
        </w:div>
        <w:div w:id="1128863815">
          <w:marLeft w:val="0"/>
          <w:marRight w:val="0"/>
          <w:marTop w:val="0"/>
          <w:marBottom w:val="0"/>
          <w:divBdr>
            <w:top w:val="none" w:sz="0" w:space="0" w:color="auto"/>
            <w:left w:val="none" w:sz="0" w:space="0" w:color="auto"/>
            <w:bottom w:val="none" w:sz="0" w:space="0" w:color="auto"/>
            <w:right w:val="none" w:sz="0" w:space="0" w:color="auto"/>
          </w:divBdr>
        </w:div>
        <w:div w:id="1666282759">
          <w:marLeft w:val="0"/>
          <w:marRight w:val="0"/>
          <w:marTop w:val="0"/>
          <w:marBottom w:val="0"/>
          <w:divBdr>
            <w:top w:val="none" w:sz="0" w:space="0" w:color="auto"/>
            <w:left w:val="none" w:sz="0" w:space="0" w:color="auto"/>
            <w:bottom w:val="none" w:sz="0" w:space="0" w:color="auto"/>
            <w:right w:val="none" w:sz="0" w:space="0" w:color="auto"/>
          </w:divBdr>
        </w:div>
        <w:div w:id="683750916">
          <w:marLeft w:val="0"/>
          <w:marRight w:val="0"/>
          <w:marTop w:val="0"/>
          <w:marBottom w:val="0"/>
          <w:divBdr>
            <w:top w:val="none" w:sz="0" w:space="0" w:color="auto"/>
            <w:left w:val="none" w:sz="0" w:space="0" w:color="auto"/>
            <w:bottom w:val="none" w:sz="0" w:space="0" w:color="auto"/>
            <w:right w:val="none" w:sz="0" w:space="0" w:color="auto"/>
          </w:divBdr>
        </w:div>
        <w:div w:id="1287202034">
          <w:marLeft w:val="0"/>
          <w:marRight w:val="0"/>
          <w:marTop w:val="0"/>
          <w:marBottom w:val="0"/>
          <w:divBdr>
            <w:top w:val="none" w:sz="0" w:space="0" w:color="auto"/>
            <w:left w:val="none" w:sz="0" w:space="0" w:color="auto"/>
            <w:bottom w:val="none" w:sz="0" w:space="0" w:color="auto"/>
            <w:right w:val="none" w:sz="0" w:space="0" w:color="auto"/>
          </w:divBdr>
        </w:div>
        <w:div w:id="1665235369">
          <w:marLeft w:val="0"/>
          <w:marRight w:val="0"/>
          <w:marTop w:val="0"/>
          <w:marBottom w:val="0"/>
          <w:divBdr>
            <w:top w:val="none" w:sz="0" w:space="0" w:color="auto"/>
            <w:left w:val="none" w:sz="0" w:space="0" w:color="auto"/>
            <w:bottom w:val="none" w:sz="0" w:space="0" w:color="auto"/>
            <w:right w:val="none" w:sz="0" w:space="0" w:color="auto"/>
          </w:divBdr>
        </w:div>
      </w:divsChild>
    </w:div>
    <w:div w:id="2117944234">
      <w:bodyDiv w:val="1"/>
      <w:marLeft w:val="0"/>
      <w:marRight w:val="0"/>
      <w:marTop w:val="0"/>
      <w:marBottom w:val="0"/>
      <w:divBdr>
        <w:top w:val="none" w:sz="0" w:space="0" w:color="auto"/>
        <w:left w:val="none" w:sz="0" w:space="0" w:color="auto"/>
        <w:bottom w:val="none" w:sz="0" w:space="0" w:color="auto"/>
        <w:right w:val="none" w:sz="0" w:space="0" w:color="auto"/>
      </w:divBdr>
      <w:divsChild>
        <w:div w:id="1068503253">
          <w:marLeft w:val="0"/>
          <w:marRight w:val="0"/>
          <w:marTop w:val="0"/>
          <w:marBottom w:val="0"/>
          <w:divBdr>
            <w:top w:val="none" w:sz="0" w:space="0" w:color="auto"/>
            <w:left w:val="none" w:sz="0" w:space="0" w:color="auto"/>
            <w:bottom w:val="none" w:sz="0" w:space="0" w:color="auto"/>
            <w:right w:val="none" w:sz="0" w:space="0" w:color="auto"/>
          </w:divBdr>
        </w:div>
        <w:div w:id="1146240795">
          <w:marLeft w:val="0"/>
          <w:marRight w:val="0"/>
          <w:marTop w:val="0"/>
          <w:marBottom w:val="0"/>
          <w:divBdr>
            <w:top w:val="none" w:sz="0" w:space="0" w:color="auto"/>
            <w:left w:val="none" w:sz="0" w:space="0" w:color="auto"/>
            <w:bottom w:val="none" w:sz="0" w:space="0" w:color="auto"/>
            <w:right w:val="none" w:sz="0" w:space="0" w:color="auto"/>
          </w:divBdr>
        </w:div>
        <w:div w:id="72438913">
          <w:marLeft w:val="0"/>
          <w:marRight w:val="0"/>
          <w:marTop w:val="0"/>
          <w:marBottom w:val="0"/>
          <w:divBdr>
            <w:top w:val="none" w:sz="0" w:space="0" w:color="auto"/>
            <w:left w:val="none" w:sz="0" w:space="0" w:color="auto"/>
            <w:bottom w:val="none" w:sz="0" w:space="0" w:color="auto"/>
            <w:right w:val="none" w:sz="0" w:space="0" w:color="auto"/>
          </w:divBdr>
        </w:div>
      </w:divsChild>
    </w:div>
    <w:div w:id="2134979347">
      <w:bodyDiv w:val="1"/>
      <w:marLeft w:val="0"/>
      <w:marRight w:val="0"/>
      <w:marTop w:val="0"/>
      <w:marBottom w:val="0"/>
      <w:divBdr>
        <w:top w:val="none" w:sz="0" w:space="0" w:color="auto"/>
        <w:left w:val="none" w:sz="0" w:space="0" w:color="auto"/>
        <w:bottom w:val="none" w:sz="0" w:space="0" w:color="auto"/>
        <w:right w:val="none" w:sz="0" w:space="0" w:color="auto"/>
      </w:divBdr>
      <w:divsChild>
        <w:div w:id="693119697">
          <w:marLeft w:val="0"/>
          <w:marRight w:val="0"/>
          <w:marTop w:val="0"/>
          <w:marBottom w:val="0"/>
          <w:divBdr>
            <w:top w:val="none" w:sz="0" w:space="0" w:color="auto"/>
            <w:left w:val="none" w:sz="0" w:space="0" w:color="auto"/>
            <w:bottom w:val="none" w:sz="0" w:space="0" w:color="auto"/>
            <w:right w:val="none" w:sz="0" w:space="0" w:color="auto"/>
          </w:divBdr>
        </w:div>
        <w:div w:id="736976625">
          <w:marLeft w:val="0"/>
          <w:marRight w:val="0"/>
          <w:marTop w:val="0"/>
          <w:marBottom w:val="0"/>
          <w:divBdr>
            <w:top w:val="none" w:sz="0" w:space="0" w:color="auto"/>
            <w:left w:val="none" w:sz="0" w:space="0" w:color="auto"/>
            <w:bottom w:val="none" w:sz="0" w:space="0" w:color="auto"/>
            <w:right w:val="none" w:sz="0" w:space="0" w:color="auto"/>
          </w:divBdr>
        </w:div>
        <w:div w:id="1596665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equalityni.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information@equalityni.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fawcettsociety.org.uk/Handlers/Download.ashx?IDMF=e473a103-28c1-4a6c-aa43-5099d34c0116" TargetMode="External"/><Relationship Id="rId21" Type="http://schemas.openxmlformats.org/officeDocument/2006/relationships/hyperlink" Target="https://assets.publishing.service.gov.uk/government/uploads/system/uploads/attachment_data/file/759021/25_November_Political_Declaration_setting_out_the_framework_for_the_future_relationship_between_the_European_Union_and_the_United_Kingdom__.pdf" TargetMode="External"/><Relationship Id="rId42" Type="http://schemas.openxmlformats.org/officeDocument/2006/relationships/hyperlink" Target="https://www.ofmdfmni.gov.uk/publications/gender-equality-strategy" TargetMode="External"/><Relationship Id="rId47" Type="http://schemas.openxmlformats.org/officeDocument/2006/relationships/hyperlink" Target="https://www.asa.org.uk/resource/depictions-perceptions-and-harm.html" TargetMode="External"/><Relationship Id="rId63" Type="http://schemas.openxmlformats.org/officeDocument/2006/relationships/hyperlink" Target="https://www.northernireland.gov.uk/publications/tackling-paramilitary-activity-criminality-and-organised-crime-executive-action-plan" TargetMode="External"/><Relationship Id="rId68" Type="http://schemas.openxmlformats.org/officeDocument/2006/relationships/hyperlink" Target="https://www.education-ni.gov.uk/sites/default/files/publications/education/Research%20report%20no%2062_2017.pdf" TargetMode="External"/><Relationship Id="rId84" Type="http://schemas.openxmlformats.org/officeDocument/2006/relationships/hyperlink" Target="http://www.equalityni.org/ECNI/media/ECNI/Publications/Delivering%20Equality/MaximisingChildCareSummary2013.pdf" TargetMode="External"/><Relationship Id="rId89" Type="http://schemas.openxmlformats.org/officeDocument/2006/relationships/hyperlink" Target="http://conflictresearch.org.uk/reports/equality-diversity/Healthcare-issues-for-transgender-individuals.pdf" TargetMode="External"/><Relationship Id="rId2" Type="http://schemas.openxmlformats.org/officeDocument/2006/relationships/hyperlink" Target="https://tbinternet.ohchr.org/Treaties/CEDAW/Shared%20Documents/GBR/CEDAW_C_GBR_Q_8_Add-1_31122_E.pdf" TargetMode="External"/><Relationship Id="rId16" Type="http://schemas.openxmlformats.org/officeDocument/2006/relationships/hyperlink" Target="http://www.equalityni.org/ECNI/media/ECNI/Publications/Delivering%20Equality/IMNI_CRPD_ParallelJurisdictionalReport_WorkingPaper_v1_080714.pdf" TargetMode="External"/><Relationship Id="rId29" Type="http://schemas.openxmlformats.org/officeDocument/2006/relationships/hyperlink" Target="http://www.legislation.gov.uk/nia/2016/15/contents" TargetMode="External"/><Relationship Id="rId107" Type="http://schemas.openxmlformats.org/officeDocument/2006/relationships/hyperlink" Target="https://publications.parliament.uk/pa/cm201719/cmselect/cmtreasy/1196/1196.pdf" TargetMode="External"/><Relationship Id="rId11" Type="http://schemas.openxmlformats.org/officeDocument/2006/relationships/hyperlink" Target="https://www.communities-ni.gov.uk/sites/default/files/publications/ofmdfm_dev/gender-equality-strategy-2006-2016-review.pdf" TargetMode="External"/><Relationship Id="rId24" Type="http://schemas.openxmlformats.org/officeDocument/2006/relationships/hyperlink" Target="http://www.equalityni.org/GenderLawReform" TargetMode="External"/><Relationship Id="rId32" Type="http://schemas.openxmlformats.org/officeDocument/2006/relationships/hyperlink" Target="https://www.justice-ni.gov.uk/publications/stopping-domestic-and-sexual-violence-and-abuse-northern-ireland-seven-year-strategy-march-2016" TargetMode="External"/><Relationship Id="rId37" Type="http://schemas.openxmlformats.org/officeDocument/2006/relationships/hyperlink" Target="http://www.google.co.uk/url?sa=t&amp;rct=j&amp;q=&amp;esrc=s&amp;source=web&amp;cd=1&amp;cad=rja&amp;uact=8&amp;ved=0CCMQFjAAahUKEwjSlu_6jMLIAhWGbRQKHcLlC7o&amp;url=http%3A%2F%2Fwww.coe.int%2Fen%2Fweb%2Fistanbul-convention&amp;usg=AFQjCNF3EK5Li8PCPUGMrZWHTWQ-13Amzw" TargetMode="External"/><Relationship Id="rId40" Type="http://schemas.openxmlformats.org/officeDocument/2006/relationships/hyperlink" Target="http://tbinternet.ohchr.org/Treaties/CEDAW/Shared%20Documents/GBR/CEDAW_C_GBR_8_7322_E.pdf" TargetMode="External"/><Relationship Id="rId45" Type="http://schemas.openxmlformats.org/officeDocument/2006/relationships/hyperlink" Target="https://www.equalityni.org/KeyInequalities-Employment" TargetMode="External"/><Relationship Id="rId53" Type="http://schemas.openxmlformats.org/officeDocument/2006/relationships/hyperlink" Target="https://www.publicappointmentsni.org/sites/cpani/files/media-files/under-representation_and_lack_of_diversity_in_public_appointments_in_northern_ireland.pdf" TargetMode="External"/><Relationship Id="rId58" Type="http://schemas.openxmlformats.org/officeDocument/2006/relationships/hyperlink" Target="https://www.equalityni.org/ECNI/media/ECNI/Publications/Delivering%20Equality/ParticipationInPublicLife-Statement.pdf" TargetMode="External"/><Relationship Id="rId66" Type="http://schemas.openxmlformats.org/officeDocument/2006/relationships/hyperlink" Target="http://www.equalityni.org/ECNI/media/ECNI/Publications/Delivering%20Equality/EducationKeyInequalities-FinalStatement.pdf" TargetMode="External"/><Relationship Id="rId74" Type="http://schemas.openxmlformats.org/officeDocument/2006/relationships/hyperlink" Target="https://www.economy-ni.gov.uk/sites/default/files/publications/economy/GEM-NI-2017.pdf" TargetMode="External"/><Relationship Id="rId79" Type="http://schemas.openxmlformats.org/officeDocument/2006/relationships/hyperlink" Target="https://www.nisra.gov.uk/system/files/statistics/ASHE%202018%20Bulletin.PDF" TargetMode="External"/><Relationship Id="rId87" Type="http://schemas.openxmlformats.org/officeDocument/2006/relationships/hyperlink" Target="http://www.equalityni.org/ECNI/media/ECNI/Publications/Delivering%20Equality/Disability_Investigation_paper_full_ross_harknesssep13_1.pdf" TargetMode="External"/><Relationship Id="rId102" Type="http://schemas.openxmlformats.org/officeDocument/2006/relationships/hyperlink" Target="https://www.executiveoffice-ni.gov.uk/publications/welfare-reform-mitigations-working-group-report" TargetMode="External"/><Relationship Id="rId110" Type="http://schemas.openxmlformats.org/officeDocument/2006/relationships/hyperlink" Target="http://researchbriefings.parliament.uk/ResearchBriefing/Summary/CBP-7405" TargetMode="External"/><Relationship Id="rId5" Type="http://schemas.openxmlformats.org/officeDocument/2006/relationships/hyperlink" Target="https://www.equalityni.org/ECNI/media/ECNI/Publications/Delivering%20Equality/GenderPolicyPriorities-Full.pdf" TargetMode="External"/><Relationship Id="rId61" Type="http://schemas.openxmlformats.org/officeDocument/2006/relationships/hyperlink" Target="http://www.securitycouncilreport.org/un-documents/women-peace-and-security/" TargetMode="External"/><Relationship Id="rId82" Type="http://schemas.openxmlformats.org/officeDocument/2006/relationships/hyperlink" Target="http://www.equalityni.org/ECNI/media/ECNI/Publications/Delivering%20Equality/MaximisingChildCareSummary2013.pdf" TargetMode="External"/><Relationship Id="rId90" Type="http://schemas.openxmlformats.org/officeDocument/2006/relationships/hyperlink" Target="https://www.google.co.uk/url?sa=t&amp;rct=j&amp;q=&amp;esrc=s&amp;source=web&amp;cd=1&amp;cad=rja&amp;uact=8&amp;ved=2ahUKEwj2gq705eXeAhXIMewKHdNGClQQFjAAegQICRAC&amp;url=https%3A%2F%2Fwww.rqia.org.uk%2FRQIA%2Ffiles%2F28%2F28f4ee85-a5e9-4004-b922-525bc41ae56d.pdf&amp;usg=AOvVaw2k-oE5p9hE-CgRLfIY1Qk8" TargetMode="External"/><Relationship Id="rId95" Type="http://schemas.openxmlformats.org/officeDocument/2006/relationships/hyperlink" Target="http://www.bbc.co.uk/news/uk-44266135" TargetMode="External"/><Relationship Id="rId19" Type="http://schemas.openxmlformats.org/officeDocument/2006/relationships/hyperlink" Target="https://publications.parliament.uk/pa/jt201719/jtselect/jtrights/774/774.pdf" TargetMode="External"/><Relationship Id="rId14" Type="http://schemas.openxmlformats.org/officeDocument/2006/relationships/hyperlink" Target="http://www.equalityni.org/ECNI/media/ECNI/Publications/Employers%20and%20Service%20Providers/Public%20Authorities/S75Advice-ScreeningEQIA.pdf" TargetMode="External"/><Relationship Id="rId22" Type="http://schemas.openxmlformats.org/officeDocument/2006/relationships/hyperlink" Target="https://www.gov.uk/government/news/bradley-confirms-300-million-to-secure-peace-funding-for-northern-ireland" TargetMode="External"/><Relationship Id="rId27" Type="http://schemas.openxmlformats.org/officeDocument/2006/relationships/hyperlink" Target="http://www.legislation.gov.uk/uksi/2017/172/contents/made" TargetMode="External"/><Relationship Id="rId30" Type="http://schemas.openxmlformats.org/officeDocument/2006/relationships/hyperlink" Target="https://www.psni.police.uk/globalassets/inside-the-psni/our-statistics/domestic-abuse-statistics/documents/domestic-abuse-incidents-and-crimes-in-northern-ireland-2004-05-to-2017-18.pdf" TargetMode="External"/><Relationship Id="rId35" Type="http://schemas.openxmlformats.org/officeDocument/2006/relationships/hyperlink" Target="http://www.cjini.org/getattachment/9bb62408-dcf2-4376-a13c-75d6c053cd91/picture.aspx" TargetMode="External"/><Relationship Id="rId43" Type="http://schemas.openxmlformats.org/officeDocument/2006/relationships/hyperlink" Target="http://www.equalityni.org/ECNI/media/ECNI/Publications/Delivering%20Equality/EducationKeyInequalities-FinalStatement.pdf" TargetMode="External"/><Relationship Id="rId48" Type="http://schemas.openxmlformats.org/officeDocument/2006/relationships/hyperlink" Target="http://webarchive.nationalarchives.gov.uk/20140122145147/http:/www.levesoninquiry.org.uk/about/the-report/" TargetMode="External"/><Relationship Id="rId56" Type="http://schemas.openxmlformats.org/officeDocument/2006/relationships/hyperlink" Target="https://www.equalityni.org/ECNI/media/ECNI/Publications/Delivering%20Equality/ParticipationInPublicLife-Statement.pdf" TargetMode="External"/><Relationship Id="rId64" Type="http://schemas.openxmlformats.org/officeDocument/2006/relationships/hyperlink" Target="https://www.economy-ni.gov.uk/publications/enrolments-uk-higher-education-institutions-northern-ireland-analysis-201617" TargetMode="External"/><Relationship Id="rId69" Type="http://schemas.openxmlformats.org/officeDocument/2006/relationships/hyperlink" Target="http://www.equalityni.org/Education/Policy" TargetMode="External"/><Relationship Id="rId77" Type="http://schemas.openxmlformats.org/officeDocument/2006/relationships/hyperlink" Target="https://www.nisra.gov.uk/system/files/statistics/ASHE%202018%20Bulletin.PDF" TargetMode="External"/><Relationship Id="rId100" Type="http://schemas.openxmlformats.org/officeDocument/2006/relationships/hyperlink" Target="http://www.legislation.gov.uk/nisi/2015/2006/pdfs/uksi_20152006_en.pdf" TargetMode="External"/><Relationship Id="rId105" Type="http://schemas.openxmlformats.org/officeDocument/2006/relationships/hyperlink" Target="https://publications.parliament.uk/pa/cm201719/cmselect/cmworpen/1611/1611.pdf" TargetMode="External"/><Relationship Id="rId8" Type="http://schemas.openxmlformats.org/officeDocument/2006/relationships/hyperlink" Target="http://tbinternet.ohchr.org/Treaties/CEDAW/Shared%20Documents/GBR/CEDAW_C_GBR_8_7322_E.pdf" TargetMode="External"/><Relationship Id="rId51" Type="http://schemas.openxmlformats.org/officeDocument/2006/relationships/hyperlink" Target="http://www.niassembly.gov.uk/globalassets/documents/raise/publications/2015/eti/11315.pdf" TargetMode="External"/><Relationship Id="rId72" Type="http://schemas.openxmlformats.org/officeDocument/2006/relationships/hyperlink" Target="https://t.co/ALm0GWPjte" TargetMode="External"/><Relationship Id="rId80" Type="http://schemas.openxmlformats.org/officeDocument/2006/relationships/hyperlink" Target="http://www.equalityni.org/cases?ground=Gender&amp;nature=Harassment&amp;area=" TargetMode="External"/><Relationship Id="rId85" Type="http://schemas.openxmlformats.org/officeDocument/2006/relationships/hyperlink" Target="https://www.northernireland.gov.uk/sites/default/files/publications/newnigov/dp-economic-inactivity-rate.PDF" TargetMode="External"/><Relationship Id="rId93" Type="http://schemas.openxmlformats.org/officeDocument/2006/relationships/hyperlink" Target="http://www.nihrc.org/news/detail/northern-ireland-termination-law-breaches-women-and-girls-human-rights" TargetMode="External"/><Relationship Id="rId98" Type="http://schemas.openxmlformats.org/officeDocument/2006/relationships/hyperlink" Target="https://www.equalityni.org/ECNI/media/ECNI/Consultation%20Responses/2011/DSD-Welfare_Reform_Bill-EQIA.pdf?ext=.pdf" TargetMode="External"/><Relationship Id="rId3" Type="http://schemas.openxmlformats.org/officeDocument/2006/relationships/hyperlink" Target="http://docstore.ohchr.org/SelfServices/FilesHandler.ashx?enc=6QkG1d%2fPPRiCAqhKb7yhsldCrOlUTvLRFDjh6%2fx1pWATd%2b5F7KFTTOnQ%2bUzl09uI93F42A7z%2bGjipiAT06ul4pomHJ2URbIuaN3X6V17lw18zcTfoxPEUXgI%2fxepAf7e" TargetMode="External"/><Relationship Id="rId12" Type="http://schemas.openxmlformats.org/officeDocument/2006/relationships/hyperlink" Target="https://www.google.co.uk/url?sa=t&amp;rct=j&amp;q=&amp;esrc=s&amp;source=web&amp;cd=1&amp;cad=rja&amp;uact=8&amp;ved=2ahUKEwjC693S2dHeAhWJXMAKHTBaAcUQFjAAegQICRAB&amp;url=https%3A%2F%2Fwww.nirwn.org%2Fwp-content%2Fuploads%2F2016%2F12%2FWRDA_CuttingEdgeA4_v4_spreads.pdf&amp;usg=AOvVaw1LM5TVn7Q8qRJk8parlA7v" TargetMode="External"/><Relationship Id="rId17" Type="http://schemas.openxmlformats.org/officeDocument/2006/relationships/hyperlink" Target="https://assets.publishing.service.gov.uk/government/uploads/system/uploads/attachment_data/file/756374/14_November_Draft_Agreement_on_the_Withdrawal_of_the_United_Kingdom_of_Great_Britain_and_Northern_Ireland_from_the_European_Union.pdf" TargetMode="External"/><Relationship Id="rId25" Type="http://schemas.openxmlformats.org/officeDocument/2006/relationships/hyperlink" Target="http://www.equalityni.org/GenderLawReform" TargetMode="External"/><Relationship Id="rId33" Type="http://schemas.openxmlformats.org/officeDocument/2006/relationships/hyperlink" Target="https://tbinternet.ohchr.org/Treaties/CEDAW/Shared%20Documents/GBR/CEDAW_C_GBR_Q_8_Add-1_31122_E.pdf" TargetMode="External"/><Relationship Id="rId38" Type="http://schemas.openxmlformats.org/officeDocument/2006/relationships/hyperlink" Target="https://www.google.co.uk/url?sa=t&amp;rct=j&amp;q=&amp;esrc=s&amp;source=web&amp;cd=1&amp;cad=rja&amp;uact=8&amp;ved=0ahUKEwjgz4HA4MHbAhXGEVAKHcbSDFoQFggnMAA&amp;url=https%3A%2F%2Fwww.gov.uk%2Fgovernment%2Fuploads%2Fsystem%2Fuploads%2Fattachment_data%2Ffile%2F656565%2FCCS207_CCS1017309396-1_HO_Istanbul_Convention_report__PRINT_READY.PDF&amp;usg=AOvVaw12oh1CPOy63hKXqR2E1Gc7" TargetMode="External"/><Relationship Id="rId46" Type="http://schemas.openxmlformats.org/officeDocument/2006/relationships/hyperlink" Target="http://tbinternet.ohchr.org/Treaties/CEDAW/Shared%20Documents/GBR/INT_CEDAW_ITB_GBR_8637_E.pdf" TargetMode="External"/><Relationship Id="rId59" Type="http://schemas.openxmlformats.org/officeDocument/2006/relationships/hyperlink" Target="file:///\\equality.local\root\Data1\PUBLIC%20POLICY\Projects\Gender\position%20paper%202016\FINAL%20revision\FINAL%20revisions%20(Sept2016)\October%20folder\NIWEP%20Report" TargetMode="External"/><Relationship Id="rId67" Type="http://schemas.openxmlformats.org/officeDocument/2006/relationships/hyperlink" Target="http://dera.ioe.ac.uk/12479/1/no_56_report_final_2011.pdf" TargetMode="External"/><Relationship Id="rId103" Type="http://schemas.openxmlformats.org/officeDocument/2006/relationships/hyperlink" Target="https://assets.publishing.service.gov.uk/government/uploads/system/uploads/attachment_data/file/699232/personal-budgeting-support-and-alternative-payment-arrangements.pdf" TargetMode="External"/><Relationship Id="rId108" Type="http://schemas.openxmlformats.org/officeDocument/2006/relationships/hyperlink" Target="https://publications.parliament.uk/pa/cm201719/cmselect/cmtreasy/757/757.pdf" TargetMode="External"/><Relationship Id="rId20" Type="http://schemas.openxmlformats.org/officeDocument/2006/relationships/hyperlink" Target="https://eur-lex.europa.eu/legal-content/EN/TXT/HTML/?uri=CELEX:52017PC0253&amp;from=EN" TargetMode="External"/><Relationship Id="rId41" Type="http://schemas.openxmlformats.org/officeDocument/2006/relationships/hyperlink" Target="https://www.equalityni.org/KeyInequalities-Employment" TargetMode="External"/><Relationship Id="rId54" Type="http://schemas.openxmlformats.org/officeDocument/2006/relationships/hyperlink" Target="https://www.google.co.uk/url?sa=t&amp;rct=j&amp;q=&amp;esrc=s&amp;source=web&amp;cd=1&amp;cad=rja&amp;uact=8&amp;ved=0ahUKEwjgkYTejojQAhXoBsAKHZLGAoYQFggcMAA&amp;url=https%3A%2F%2Fwww.gov.uk%2Fgovernment%2Fpublications%2Fthe-belfast-agreement&amp;usg=AFQjCNFdk19DSYUOSuAivxjT51-sie61rw&amp;bvm=bv.137" TargetMode="External"/><Relationship Id="rId62" Type="http://schemas.openxmlformats.org/officeDocument/2006/relationships/hyperlink" Target="http://tbinternet.ohchr.org/_layouts/treatybodyexternal/Download.aspx?symbolno=CEDAW%2fC%2fGBR%2f8&amp;Lang=en" TargetMode="External"/><Relationship Id="rId70" Type="http://schemas.openxmlformats.org/officeDocument/2006/relationships/hyperlink" Target="https://www.equalityni.org/KeyInequalities-Employment" TargetMode="External"/><Relationship Id="rId75" Type="http://schemas.openxmlformats.org/officeDocument/2006/relationships/hyperlink" Target="https://www.executiveoffice-ni.gov.uk/sites/default/files/publications/ofmdfm/gender-equality-ofmdfm-report-2016.pdf" TargetMode="External"/><Relationship Id="rId83" Type="http://schemas.openxmlformats.org/officeDocument/2006/relationships/hyperlink" Target="https://www.employersforchildcare.org/?download=file&amp;file=5199." TargetMode="External"/><Relationship Id="rId88" Type="http://schemas.openxmlformats.org/officeDocument/2006/relationships/hyperlink" Target="http://hereni.org/wp-content/uploads/2012/09/invisible_women.pdf" TargetMode="External"/><Relationship Id="rId91" Type="http://schemas.openxmlformats.org/officeDocument/2006/relationships/hyperlink" Target="https://www.justice-ni.gov.uk/sites/default/files/publications/justice/report-fatal-fetal-abnormality-april-2018.pdf" TargetMode="External"/><Relationship Id="rId96" Type="http://schemas.openxmlformats.org/officeDocument/2006/relationships/hyperlink" Target="http://www.equalityni.org/ECNI/media/ECNI/Publications/Delivering%20Equality/CEDAW_2013.pdf?ext=.pdf" TargetMode="External"/><Relationship Id="rId111" Type="http://schemas.openxmlformats.org/officeDocument/2006/relationships/hyperlink" Target="https://hansard.parliament.uk/Commons/2017-11-29/debates/721D593D-7E54-4E69-ADCB-CBCA73618FCD/StatePensionAgeWomen" TargetMode="External"/><Relationship Id="rId1" Type="http://schemas.openxmlformats.org/officeDocument/2006/relationships/hyperlink" Target="https://www.equalityni.org/ECNI/media/ECNI/Publications/Delivering%20Equality/CEDAW-ListofIssuesNI.pdf" TargetMode="External"/><Relationship Id="rId6" Type="http://schemas.openxmlformats.org/officeDocument/2006/relationships/hyperlink" Target="http://www.equalityni.org/gender" TargetMode="External"/><Relationship Id="rId15" Type="http://schemas.openxmlformats.org/officeDocument/2006/relationships/hyperlink" Target="https://www.google.com/url?q=http://www.equalityni.org/ECNI/media/ECNI/Publications/Employers%2520and%2520Service%2520Providers/Equalityinpublicsectorprocurement2008.pdf%3Fext%3D.pdf&amp;sa=U&amp;ved=0ahUKEwjV8rOQ7ofQAhWMK8AKHaZpAmwQFggHMAE&amp;client=internal-uds-cse" TargetMode="External"/><Relationship Id="rId23" Type="http://schemas.openxmlformats.org/officeDocument/2006/relationships/hyperlink" Target="https://www.parliament.uk/business/publications/written-questions-answers-statements/written-statement/Commons/2018-07-24/HCWS927" TargetMode="External"/><Relationship Id="rId28" Type="http://schemas.openxmlformats.org/officeDocument/2006/relationships/hyperlink" Target="http://www.legislation.gov.uk/uksi/2017/353/regulation/1/made" TargetMode="External"/><Relationship Id="rId36" Type="http://schemas.openxmlformats.org/officeDocument/2006/relationships/hyperlink" Target="file:///C:\Users\RMallon\AppData\Local\Microsoft\Windows\INetCache\Content.Outlook\1YQTSRKV\JCHR,%206th%20Report,%202015" TargetMode="External"/><Relationship Id="rId49" Type="http://schemas.openxmlformats.org/officeDocument/2006/relationships/hyperlink" Target="https://www.google.co.uk/url?sa=t&amp;rct=j&amp;q=&amp;esrc=s&amp;source=web&amp;cd=3&amp;cad=rja&amp;uact=8&amp;ved=0CDQQFjACahUKEwjZ0ZXY7-fHAhVKHB4KHTayD7M&amp;url=https%3A%2F%2Fwww.gov.uk%2Fgovernment%2Fuploads%2Fsystem%2Fuploads%2Fattachment_data%2Ffile%2F175418%2FBailey_Review.pdf&amp;usg=A" TargetMode="External"/><Relationship Id="rId57" Type="http://schemas.openxmlformats.org/officeDocument/2006/relationships/hyperlink" Target="http://www.niassembly.gov.uk/globalassets/documents/reports/assem_exec_review/women-in-politics.pdf" TargetMode="External"/><Relationship Id="rId106" Type="http://schemas.openxmlformats.org/officeDocument/2006/relationships/hyperlink" Target="https://www.gov.uk/government/speeches/universal-credit-personal-welfare" TargetMode="External"/><Relationship Id="rId10" Type="http://schemas.openxmlformats.org/officeDocument/2006/relationships/hyperlink" Target="https://www.ofmdfmni.gov.uk/publications/gender-equality-strategy" TargetMode="External"/><Relationship Id="rId31" Type="http://schemas.openxmlformats.org/officeDocument/2006/relationships/hyperlink" Target="http://www.parliament.uk/documents/joint-committees/human-rights/Violence_Against_Women_Girls_Gov_response.pdf" TargetMode="External"/><Relationship Id="rId44" Type="http://schemas.openxmlformats.org/officeDocument/2006/relationships/hyperlink" Target="http://www.google.co.uk/url?sa=t&amp;rct=j&amp;q=&amp;esrc=s&amp;source=web&amp;cd=1&amp;cad=rja&amp;uact=8&amp;ved=2ahUKEwibi6rV04jfAhUdSRUIHRcrDxkQFjAAegQICBAC&amp;url=http%3A%2F%2Fwww.equalityni.org%2FECNI%2Fmedia%2FECNI%2FPublications%2FEmployers%2520and%2520Service%2520Providers%2FSTEM-Report-Addressing-gender-balance-in-STEM.pdf&amp;usg=AOvVaw2ClqtymorcpTXBknZGDvKJ" TargetMode="External"/><Relationship Id="rId52" Type="http://schemas.openxmlformats.org/officeDocument/2006/relationships/hyperlink" Target="https://www.executiveoffice-ni.gov.uk/sites/default/files/publications/execoffice/public-appointments-annual-report-2016-17.pdf" TargetMode="External"/><Relationship Id="rId60" Type="http://schemas.openxmlformats.org/officeDocument/2006/relationships/hyperlink" Target="http://niopa.qub.ac.uk/bitstream/NIOPA/3891/1/Women-and-Peacebuilding.pdf" TargetMode="External"/><Relationship Id="rId65" Type="http://schemas.openxmlformats.org/officeDocument/2006/relationships/hyperlink" Target="http://www.equalityni.org/ECNI/media/ECNI/Publications/Delivering%20Equality/EducationKeyInequalities-FinalStatement.pdf" TargetMode="External"/><Relationship Id="rId73" Type="http://schemas.openxmlformats.org/officeDocument/2006/relationships/hyperlink" Target="https://www.equalityni.org/KeyInequalities-Employment" TargetMode="External"/><Relationship Id="rId78" Type="http://schemas.openxmlformats.org/officeDocument/2006/relationships/hyperlink" Target="https://www.nisra.gov.uk/publications/industry-occupation-age-publicprivate-sector-and-skill-level" TargetMode="External"/><Relationship Id="rId81" Type="http://schemas.openxmlformats.org/officeDocument/2006/relationships/hyperlink" Target="http://www.equalityni.org/ECNI/media/ECNI/Publications/Delivering%20Equality/Expecting_Equality-PregnancyInvestigation-SummaryReport.pdf" TargetMode="External"/><Relationship Id="rId86" Type="http://schemas.openxmlformats.org/officeDocument/2006/relationships/hyperlink" Target="http://www.equalityni.org/Publications?subject=Disability&amp;type=Reports&amp;year=2012" TargetMode="External"/><Relationship Id="rId94" Type="http://schemas.openxmlformats.org/officeDocument/2006/relationships/hyperlink" Target="http://www.bbc.co.uk/news/world-europe-44256152" TargetMode="External"/><Relationship Id="rId99" Type="http://schemas.openxmlformats.org/officeDocument/2006/relationships/hyperlink" Target="http://www.equalityni.org/ECNI/media/ECNI/Consultation%20Responses/2012/Evidence-to-Ad-Hoc-Committee-December-2012-FINAL.pdf" TargetMode="External"/><Relationship Id="rId101" Type="http://schemas.openxmlformats.org/officeDocument/2006/relationships/hyperlink" Target="http://services.parliament.uk/bills/2015-16/northernirelandwelfarereform.html" TargetMode="External"/><Relationship Id="rId4" Type="http://schemas.openxmlformats.org/officeDocument/2006/relationships/hyperlink" Target="http://www.equalityni.org/AboutUs" TargetMode="External"/><Relationship Id="rId9" Type="http://schemas.openxmlformats.org/officeDocument/2006/relationships/hyperlink" Target="https://www.un.org/sustainabledevelopment/sustainable-development-goals/" TargetMode="External"/><Relationship Id="rId13" Type="http://schemas.openxmlformats.org/officeDocument/2006/relationships/hyperlink" Target="http://www.equalityni.org/ECNI/media/ECNI/Publications/Employers%20and%20Service%20Providers/Equalityresponsivebugeting2013.pdf?ext=.pdf" TargetMode="External"/><Relationship Id="rId18" Type="http://schemas.openxmlformats.org/officeDocument/2006/relationships/hyperlink" Target="http://www.equalityni.org/ECNI/media/ECNI/Publications/Delivering%20Equality/EU-Exit-EqualitySummary.pdf" TargetMode="External"/><Relationship Id="rId39" Type="http://schemas.openxmlformats.org/officeDocument/2006/relationships/hyperlink" Target="https://assets.publishing.service.gov.uk/government/uploads/system/uploads/attachment_data/file/752315/CCS207_CCS0918513168-001_Domestic_Violence_Istanbul_Convention_2018_Accessible__002_.pdf" TargetMode="External"/><Relationship Id="rId109" Type="http://schemas.openxmlformats.org/officeDocument/2006/relationships/hyperlink" Target="http://www.publications.parliament.uk/pa/jt201415/jtselect/jtrights/106/106.pdf" TargetMode="External"/><Relationship Id="rId34" Type="http://schemas.openxmlformats.org/officeDocument/2006/relationships/hyperlink" Target="https://blogs.sps.ed.ac.uk/politicalsettlements/files/2018/07/2018_PSRP-Violence-Report-NI.pdf" TargetMode="External"/><Relationship Id="rId50" Type="http://schemas.openxmlformats.org/officeDocument/2006/relationships/hyperlink" Target="https://assets.publishing.service.gov.uk/government/uploads/system/uploads/attachment_data/file/203333/Bailey_Review_Progress_Report.pdf" TargetMode="External"/><Relationship Id="rId55" Type="http://schemas.openxmlformats.org/officeDocument/2006/relationships/hyperlink" Target="https://www.publicappointmentsni.org/sites/cpani/files/media-files/CPA%20NI%20Annual%20Report%202015-16%20web%20version.pdf" TargetMode="External"/><Relationship Id="rId76" Type="http://schemas.openxmlformats.org/officeDocument/2006/relationships/hyperlink" Target="http://www.publications.parliament.uk/pa/cm201516/cmselect/cmwomeq/584/584.pdf" TargetMode="External"/><Relationship Id="rId97" Type="http://schemas.openxmlformats.org/officeDocument/2006/relationships/hyperlink" Target="http://www.equalityni.org/ECNI/media/ECNI/Consultation%20Responses/2015/DOJ_consultation_on_abortion-Jan15.pdf?ext=.pdf" TargetMode="External"/><Relationship Id="rId104" Type="http://schemas.openxmlformats.org/officeDocument/2006/relationships/hyperlink" Target="https://assets.publishing.service.gov.uk/government/uploads/system/uploads/attachment_data/file/699232/personal-budgeting-support-and-alternative-payment-arrangements.pdf" TargetMode="External"/><Relationship Id="rId7" Type="http://schemas.openxmlformats.org/officeDocument/2006/relationships/hyperlink" Target="http://tbinternet.ohchr.org/_layouts/treatybodyexternal/Download.aspx?symbolno=INT%2fCEDAW%2fCOC%2fGBR%2f14761&amp;Lang=en" TargetMode="External"/><Relationship Id="rId71" Type="http://schemas.openxmlformats.org/officeDocument/2006/relationships/hyperlink" Target="https://t.co/ALm0GWPjte" TargetMode="External"/><Relationship Id="rId92" Type="http://schemas.openxmlformats.org/officeDocument/2006/relationships/hyperlink" Target="https://www.supremecourt.uk/cases/docs/uksc-2017-0131-judg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8C0548-C7A1-459C-B695-09E6CA3D0958}"/>
</file>

<file path=customXml/itemProps2.xml><?xml version="1.0" encoding="utf-8"?>
<ds:datastoreItem xmlns:ds="http://schemas.openxmlformats.org/officeDocument/2006/customXml" ds:itemID="{E326BE1B-36BF-4951-A2AF-ADA8636BE751}"/>
</file>

<file path=customXml/itemProps3.xml><?xml version="1.0" encoding="utf-8"?>
<ds:datastoreItem xmlns:ds="http://schemas.openxmlformats.org/officeDocument/2006/customXml" ds:itemID="{7E1E29DC-37A7-465D-A63E-2D1B7251F9C2}"/>
</file>

<file path=customXml/itemProps4.xml><?xml version="1.0" encoding="utf-8"?>
<ds:datastoreItem xmlns:ds="http://schemas.openxmlformats.org/officeDocument/2006/customXml" ds:itemID="{BFCA510C-C169-4960-A1F2-50DC944C00F6}"/>
</file>

<file path=docProps/app.xml><?xml version="1.0" encoding="utf-8"?>
<Properties xmlns="http://schemas.openxmlformats.org/officeDocument/2006/extended-properties" xmlns:vt="http://schemas.openxmlformats.org/officeDocument/2006/docPropsVTypes">
  <Template>Normal.dotm</Template>
  <TotalTime>9</TotalTime>
  <Pages>22</Pages>
  <Words>4068</Words>
  <Characters>23358</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Equality Commission NI</Company>
  <LinksUpToDate>false</LinksUpToDate>
  <CharactersWithSpaces>27372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Darren McKinstry</dc:creator>
  <cp:lastModifiedBy>Fleche Isabelle</cp:lastModifiedBy>
  <cp:revision>5</cp:revision>
  <cp:lastPrinted>2019-01-21T15:35:00Z</cp:lastPrinted>
  <dcterms:created xsi:type="dcterms:W3CDTF">2019-01-21T15:41:00Z</dcterms:created>
  <dcterms:modified xsi:type="dcterms:W3CDTF">2019-01-22T08:49:00Z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