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B11EE" w14:textId="77777777" w:rsidR="000678EC" w:rsidRDefault="00000000">
      <w:pPr>
        <w:pStyle w:val="Heading1"/>
      </w:pPr>
      <w:r>
        <w:t>Supplementary information on the Republic of Malawi scheduled to be reviewed by the United Nations Committee on the Elimination of Discrimination against Women during its 86</w:t>
      </w:r>
      <w:r>
        <w:rPr>
          <w:vertAlign w:val="superscript"/>
        </w:rPr>
        <w:t>th</w:t>
      </w:r>
      <w:r>
        <w:t xml:space="preserve"> Session </w:t>
      </w:r>
    </w:p>
    <w:p w14:paraId="069B11EF" w14:textId="77777777" w:rsidR="000678EC" w:rsidRDefault="00000000">
      <w:pPr>
        <w:jc w:val="center"/>
        <w:rPr>
          <w:b/>
          <w:color w:val="1F3864"/>
          <w:u w:val="single"/>
        </w:rPr>
      </w:pPr>
      <w:r>
        <w:rPr>
          <w:b/>
          <w:color w:val="1F3864"/>
          <w:u w:val="single"/>
        </w:rPr>
        <w:t>(9</w:t>
      </w:r>
      <w:r>
        <w:rPr>
          <w:b/>
          <w:color w:val="1F3864"/>
          <w:u w:val="single"/>
          <w:vertAlign w:val="superscript"/>
        </w:rPr>
        <w:t>th</w:t>
      </w:r>
      <w:r>
        <w:rPr>
          <w:b/>
          <w:color w:val="1F3864"/>
          <w:u w:val="single"/>
        </w:rPr>
        <w:t xml:space="preserve"> October 2023 – 27</w:t>
      </w:r>
      <w:r>
        <w:rPr>
          <w:b/>
          <w:color w:val="1F3864"/>
          <w:u w:val="single"/>
          <w:vertAlign w:val="superscript"/>
        </w:rPr>
        <w:t>th</w:t>
      </w:r>
      <w:r>
        <w:rPr>
          <w:b/>
          <w:color w:val="1F3864"/>
          <w:u w:val="single"/>
        </w:rPr>
        <w:t xml:space="preserve"> October 2023)</w:t>
      </w:r>
    </w:p>
    <w:p w14:paraId="069B11F0" w14:textId="77777777" w:rsidR="000678EC" w:rsidRDefault="00000000">
      <w:pPr>
        <w:pStyle w:val="Heading2"/>
      </w:pPr>
      <w:r>
        <w:t>Introduction</w:t>
      </w:r>
    </w:p>
    <w:p w14:paraId="069B11F1" w14:textId="54BD3FA6" w:rsidR="000678EC" w:rsidRDefault="00000000">
      <w:pPr>
        <w:pBdr>
          <w:top w:val="nil"/>
          <w:left w:val="nil"/>
          <w:bottom w:val="nil"/>
          <w:right w:val="nil"/>
          <w:between w:val="nil"/>
        </w:pBdr>
        <w:spacing w:after="0"/>
      </w:pPr>
      <w:r>
        <w:rPr>
          <w:rFonts w:ascii="Palatino" w:eastAsia="Palatino" w:hAnsi="Palatino" w:cs="Palatino"/>
        </w:rPr>
        <w:t>Nyale Institute for Sexual and Reproductive Health Governance (</w:t>
      </w:r>
      <w:r>
        <w:rPr>
          <w:rFonts w:ascii="Palatino" w:eastAsia="Palatino" w:hAnsi="Palatino" w:cs="Palatino"/>
          <w:b/>
          <w:color w:val="000000"/>
        </w:rPr>
        <w:t>Nyale Institute</w:t>
      </w:r>
      <w:r>
        <w:rPr>
          <w:rFonts w:ascii="Palatino" w:eastAsia="Palatino" w:hAnsi="Palatino" w:cs="Palatino"/>
          <w:color w:val="000000"/>
        </w:rPr>
        <w:t>)</w:t>
      </w:r>
      <w:r>
        <w:rPr>
          <w:color w:val="000000"/>
        </w:rPr>
        <w:t>, Young Women’s Consortium  for Sexual and Reproductive Rights (“</w:t>
      </w:r>
      <w:r>
        <w:rPr>
          <w:b/>
          <w:color w:val="000000"/>
        </w:rPr>
        <w:t>YOWCO</w:t>
      </w:r>
      <w:r>
        <w:rPr>
          <w:color w:val="000000"/>
        </w:rPr>
        <w:t>”), the Center for Human Rights and Rehabilitation (“</w:t>
      </w:r>
      <w:r>
        <w:rPr>
          <w:b/>
          <w:color w:val="000000"/>
        </w:rPr>
        <w:t>CHRR</w:t>
      </w:r>
      <w:r>
        <w:rPr>
          <w:color w:val="000000"/>
        </w:rPr>
        <w:t>”) and the Center for Reproductive Rights (“</w:t>
      </w:r>
      <w:r>
        <w:rPr>
          <w:b/>
          <w:color w:val="000000"/>
        </w:rPr>
        <w:t>the Center</w:t>
      </w:r>
      <w:r>
        <w:rPr>
          <w:color w:val="000000"/>
        </w:rPr>
        <w:t>”) submit this letter to provide the Committee on the Elimination of Discrimination against Women (“</w:t>
      </w:r>
      <w:r>
        <w:rPr>
          <w:b/>
          <w:color w:val="000000"/>
        </w:rPr>
        <w:t>the</w:t>
      </w:r>
      <w:r>
        <w:rPr>
          <w:color w:val="000000"/>
        </w:rPr>
        <w:t xml:space="preserve"> </w:t>
      </w:r>
      <w:r>
        <w:rPr>
          <w:b/>
          <w:color w:val="000000"/>
        </w:rPr>
        <w:t>Committee</w:t>
      </w:r>
      <w:r>
        <w:rPr>
          <w:color w:val="000000"/>
        </w:rPr>
        <w:t>”) with relevant information about the status of compliance by the Government of Malawi (“</w:t>
      </w:r>
      <w:r>
        <w:rPr>
          <w:b/>
          <w:color w:val="000000"/>
        </w:rPr>
        <w:t>Malawi</w:t>
      </w:r>
      <w:r>
        <w:rPr>
          <w:color w:val="000000"/>
        </w:rPr>
        <w:t>” or “</w:t>
      </w:r>
      <w:r>
        <w:rPr>
          <w:b/>
          <w:color w:val="000000"/>
        </w:rPr>
        <w:t>the</w:t>
      </w:r>
      <w:r>
        <w:rPr>
          <w:color w:val="000000"/>
        </w:rPr>
        <w:t xml:space="preserve"> </w:t>
      </w:r>
      <w:r>
        <w:rPr>
          <w:b/>
          <w:color w:val="000000"/>
        </w:rPr>
        <w:t>State</w:t>
      </w:r>
      <w:r>
        <w:rPr>
          <w:color w:val="000000"/>
        </w:rPr>
        <w:t>”) with its obligations under the Convention on the Elimination of All Forms of Discrimination against Women (“</w:t>
      </w:r>
      <w:r>
        <w:rPr>
          <w:b/>
          <w:color w:val="000000"/>
        </w:rPr>
        <w:t>the</w:t>
      </w:r>
      <w:r>
        <w:rPr>
          <w:color w:val="000000"/>
        </w:rPr>
        <w:t xml:space="preserve"> </w:t>
      </w:r>
      <w:r>
        <w:rPr>
          <w:b/>
          <w:color w:val="000000"/>
        </w:rPr>
        <w:t>CEDAW</w:t>
      </w:r>
      <w:r>
        <w:rPr>
          <w:color w:val="000000"/>
        </w:rPr>
        <w:t>”) adopted in 1979 by the United Nations (UN) General Assembly, in a bid to assist the Committee with its review of Malawi during its upcoming 86</w:t>
      </w:r>
      <w:r>
        <w:rPr>
          <w:color w:val="000000"/>
          <w:vertAlign w:val="superscript"/>
        </w:rPr>
        <w:t>th</w:t>
      </w:r>
      <w:r>
        <w:rPr>
          <w:color w:val="000000"/>
        </w:rPr>
        <w:t xml:space="preserve"> Session.</w:t>
      </w:r>
    </w:p>
    <w:p w14:paraId="069B11F2" w14:textId="57949FE0" w:rsidR="000678EC" w:rsidRDefault="00000000">
      <w:pPr>
        <w:pBdr>
          <w:top w:val="nil"/>
          <w:left w:val="nil"/>
          <w:bottom w:val="nil"/>
          <w:right w:val="nil"/>
          <w:between w:val="nil"/>
        </w:pBdr>
        <w:rPr>
          <w:color w:val="000000"/>
        </w:rPr>
      </w:pPr>
      <w:r>
        <w:rPr>
          <w:color w:val="000000"/>
        </w:rPr>
        <w:t xml:space="preserve">Nyale Institute is </w:t>
      </w:r>
      <w:r>
        <w:t>a non-governmental organization registered in Malawi and its mission is to advance gender equality and sexual and reproductive justice.</w:t>
      </w:r>
      <w:r>
        <w:rPr>
          <w:color w:val="000000"/>
        </w:rPr>
        <w:t xml:space="preserve"> YOWCO is</w:t>
      </w:r>
      <w:r>
        <w:t xml:space="preserve"> a young women feminist led movement that advocates for </w:t>
      </w:r>
      <w:r w:rsidR="005F2707">
        <w:t xml:space="preserve">the sexual and reproductive rights and justice </w:t>
      </w:r>
      <w:r>
        <w:t xml:space="preserve">of </w:t>
      </w:r>
      <w:r w:rsidR="005F2707">
        <w:t xml:space="preserve">adolescent </w:t>
      </w:r>
      <w:r>
        <w:t xml:space="preserve">girls and young women in Malawi. </w:t>
      </w:r>
      <w:r>
        <w:rPr>
          <w:color w:val="000000"/>
        </w:rPr>
        <w:t xml:space="preserve">CHRR is </w:t>
      </w:r>
      <w:r>
        <w:t>a registered non-governmental organization in Malawi, dedicated to promoting and protecting human rights and fostering good governance through research, advocacy, capacity building and networking</w:t>
      </w:r>
      <w:r>
        <w:rPr>
          <w:color w:val="000000"/>
        </w:rPr>
        <w:t xml:space="preserve">. The Center is an international non–governmental legal advocacy organization that uses the law to advance reproductive freedom as a fundamental human right that all governments are legally obligated to respect, protect, and fulfill. </w:t>
      </w:r>
    </w:p>
    <w:p w14:paraId="069B11F3" w14:textId="77777777" w:rsidR="000678EC" w:rsidRDefault="00000000">
      <w:pPr>
        <w:pStyle w:val="Heading2"/>
      </w:pPr>
      <w:r>
        <w:t>Background</w:t>
      </w:r>
    </w:p>
    <w:p w14:paraId="069B11F4" w14:textId="11EDAD36" w:rsidR="000678EC" w:rsidRDefault="00000000">
      <w:r>
        <w:t>Malawi is a dualist country and, as a result, international laws must be ratified by it and domesticated through laws passed by parliament in order to be directly applicable in the country.</w:t>
      </w:r>
      <w:r>
        <w:rPr>
          <w:vertAlign w:val="superscript"/>
        </w:rPr>
        <w:footnoteReference w:id="1"/>
      </w:r>
      <w:r>
        <w:t xml:space="preserve"> Malawi ratified CEDAW in 1987 and has domesticated it  through the provisions of Chapter 3 and 4 of its Constitution, and in particular Article 24 which recognizes that women and girls have equal rights to men and boys especially in the contexts of legal agency; equality in marriage and divorce; freedom from abuse, harassment and violence; and inheritance. The provisions of the CEDAW </w:t>
      </w:r>
      <w:proofErr w:type="gramStart"/>
      <w:r>
        <w:t>are also domesticated</w:t>
      </w:r>
      <w:proofErr w:type="gramEnd"/>
      <w:r>
        <w:t xml:space="preserve"> in the Gender Equality Act (“</w:t>
      </w:r>
      <w:r>
        <w:rPr>
          <w:b/>
        </w:rPr>
        <w:t>the</w:t>
      </w:r>
      <w:r>
        <w:t xml:space="preserve"> </w:t>
      </w:r>
      <w:r>
        <w:rPr>
          <w:b/>
        </w:rPr>
        <w:t>GEA</w:t>
      </w:r>
      <w:r>
        <w:t>”) of 2013 which includes more robust provisions on the recognition and protection of women and girls’ rights. The GEA is important in strengthening efforts to redress gender inequalities in Malawi</w:t>
      </w:r>
      <w:r w:rsidR="00F11D33">
        <w:t>. It seeks to</w:t>
      </w:r>
      <w:r>
        <w:t xml:space="preserve"> ensur</w:t>
      </w:r>
      <w:r w:rsidR="00F11D33">
        <w:t>e that</w:t>
      </w:r>
      <w:r>
        <w:t xml:space="preserve"> women </w:t>
      </w:r>
      <w:proofErr w:type="gramStart"/>
      <w:r>
        <w:t>are treated</w:t>
      </w:r>
      <w:proofErr w:type="gramEnd"/>
      <w:r>
        <w:t xml:space="preserve"> with dignity and respect</w:t>
      </w:r>
      <w:r w:rsidR="00F11D33">
        <w:t>; are</w:t>
      </w:r>
      <w:r>
        <w:t xml:space="preserve"> free from all forms of </w:t>
      </w:r>
      <w:r>
        <w:lastRenderedPageBreak/>
        <w:t>violence</w:t>
      </w:r>
      <w:r w:rsidR="00F11D33">
        <w:t>;</w:t>
      </w:r>
      <w:r>
        <w:t xml:space="preserve"> and have access to public services including healthcare. The enforcement of the GEA, and, by extension, the realization of women and girls' rights, particularly in the context of sexual and reproductive health is the responsibility of the Malawi Human Rights Commission (“</w:t>
      </w:r>
      <w:r>
        <w:rPr>
          <w:b/>
        </w:rPr>
        <w:t>the</w:t>
      </w:r>
      <w:r>
        <w:t xml:space="preserve"> </w:t>
      </w:r>
      <w:r>
        <w:rPr>
          <w:b/>
        </w:rPr>
        <w:t>MHRC</w:t>
      </w:r>
      <w:r>
        <w:t>”) which is mandated to promote gender equality including through monitoring and evaluating the policies and practices of both the government and the private sector; and receiving and investigating complaints raised in relation to gender matters</w:t>
      </w:r>
      <w:r w:rsidR="00A61094">
        <w:t>,</w:t>
      </w:r>
      <w:r>
        <w:t xml:space="preserve"> thereby enhancing sector responsiveness in alignment with international gender instruments.</w:t>
      </w:r>
      <w:r>
        <w:rPr>
          <w:vertAlign w:val="superscript"/>
        </w:rPr>
        <w:footnoteReference w:id="2"/>
      </w:r>
      <w:r>
        <w:t xml:space="preserve"> The crucial nature of the work and mandate of the MHRC is acknowledged in both the State Report</w:t>
      </w:r>
      <w:r>
        <w:rPr>
          <w:vertAlign w:val="superscript"/>
        </w:rPr>
        <w:footnoteReference w:id="3"/>
      </w:r>
      <w:r>
        <w:t xml:space="preserve"> and Reply to the List of Issues.</w:t>
      </w:r>
      <w:r>
        <w:rPr>
          <w:vertAlign w:val="superscript"/>
        </w:rPr>
        <w:footnoteReference w:id="4"/>
      </w:r>
      <w:r>
        <w:t xml:space="preserve"> Unfortunately, the term of the last cohort of commissioners expired in February 2023</w:t>
      </w:r>
      <w:r>
        <w:rPr>
          <w:vertAlign w:val="superscript"/>
        </w:rPr>
        <w:footnoteReference w:id="5"/>
      </w:r>
      <w:r>
        <w:t xml:space="preserve"> and, to date, the State has failed to appoint new commissioners. This has hampered the enforcement of the GEA including the realization of women and girls </w:t>
      </w:r>
      <w:r w:rsidR="00203B38">
        <w:t>and pregnant people’s rights</w:t>
      </w:r>
      <w:r>
        <w:t xml:space="preserve"> to sexual and reproductive health which is the focus of the present submission.</w:t>
      </w:r>
    </w:p>
    <w:p w14:paraId="069B11F5" w14:textId="661AB181" w:rsidR="000678EC" w:rsidRDefault="00000000">
      <w:r>
        <w:t xml:space="preserve">The Constitution of Malawi, in Article 13(c), requires the government to progressively adopt and implement laws and policies that “… </w:t>
      </w:r>
      <w:r>
        <w:rPr>
          <w:i/>
        </w:rPr>
        <w:t>provide adequate health care, commensurate with the health needs of Malawian society and international standards of health care</w:t>
      </w:r>
      <w:r>
        <w:t>…”. In addition, the GEA recognizes, in Section 19</w:t>
      </w:r>
      <w:r w:rsidR="00937BD7">
        <w:t>,</w:t>
      </w:r>
      <w:r>
        <w:t xml:space="preserve"> every person’s right to adequate sexual and reproductive health. These provisions capture the state obligations set out in Article 12 of the CEDAW. Despite this, women</w:t>
      </w:r>
      <w:r w:rsidR="00203B38">
        <w:t>,</w:t>
      </w:r>
      <w:r>
        <w:t xml:space="preserve"> </w:t>
      </w:r>
      <w:proofErr w:type="gramStart"/>
      <w:r>
        <w:t>girls</w:t>
      </w:r>
      <w:proofErr w:type="gramEnd"/>
      <w:r>
        <w:t xml:space="preserve"> </w:t>
      </w:r>
      <w:r w:rsidR="00203B38">
        <w:t xml:space="preserve">and pregnant people </w:t>
      </w:r>
      <w:r>
        <w:t xml:space="preserve">in Malawi are still unable to realize their sexual and reproductive health and rights because of legislative and administrative barriers as well as gender-based stereotypes, assumptions and expectations. </w:t>
      </w:r>
    </w:p>
    <w:p w14:paraId="069B11F6" w14:textId="77777777" w:rsidR="000678EC" w:rsidRDefault="00000000">
      <w:pPr>
        <w:pStyle w:val="Heading2"/>
      </w:pPr>
      <w:r>
        <w:t>Lack of access to safe, legal, comprehensive abortion care</w:t>
      </w:r>
    </w:p>
    <w:p w14:paraId="069B11F7" w14:textId="77777777" w:rsidR="000678EC" w:rsidRDefault="00000000">
      <w:r>
        <w:t xml:space="preserve">Research shows that, in Malawi, 53% of pregnancies are unintended and 30% of these unintended pregnancies end in abortion. This amounts to 16% of all pregnancies ending in abortion- </w:t>
      </w:r>
      <w:proofErr w:type="gramStart"/>
      <w:r>
        <w:t>most of</w:t>
      </w:r>
      <w:proofErr w:type="gramEnd"/>
      <w:r>
        <w:t xml:space="preserve"> which are unsafe. Further, access to safe abortion is a preserve of well-off and/or urban women and girls which means that poor, rural women are the least likely to access safe abortion care, the least likely to receive abortion care from trained health professionals and the least likely to receive </w:t>
      </w:r>
      <w:r>
        <w:lastRenderedPageBreak/>
        <w:t>treatment for complications in the event that they are forced to seek unsafe abortion.</w:t>
      </w:r>
      <w:r>
        <w:rPr>
          <w:vertAlign w:val="superscript"/>
        </w:rPr>
        <w:footnoteReference w:id="6"/>
      </w:r>
      <w:r>
        <w:t xml:space="preserve"> As a result 17% of maternal deaths in Malawi are caused by unsafe abortion.</w:t>
      </w:r>
      <w:r>
        <w:rPr>
          <w:vertAlign w:val="superscript"/>
        </w:rPr>
        <w:footnoteReference w:id="7"/>
      </w:r>
    </w:p>
    <w:p w14:paraId="069B11F8" w14:textId="414C70BF" w:rsidR="000678EC" w:rsidRDefault="00000000">
      <w:r>
        <w:t xml:space="preserve">This situation </w:t>
      </w:r>
      <w:proofErr w:type="gramStart"/>
      <w:r>
        <w:t>was worsened</w:t>
      </w:r>
      <w:proofErr w:type="gramEnd"/>
      <w:r>
        <w:t xml:space="preserve"> during the COVID-19 pandemic as the government re-directed resources from reproductive healthcare to COVID-19 response. Research, including a study which gathered data from over 7,300 women and girls, found that, access to contraception was the most severely impacted service during the COVID-19 period: 22% of women who were previously able to access </w:t>
      </w:r>
      <w:r w:rsidR="00117210" w:rsidRPr="00117210">
        <w:t xml:space="preserve">long-acting reversible contraceptives </w:t>
      </w:r>
      <w:r>
        <w:t xml:space="preserve">were unable to do so and 25% of users of modern contraception discontinued use. When queried about this, most women cited supply-side challenges as the reason they lacked access to contraceptive services and commodities, specifically, stock outs that resulted in preferred methods of contraception being unavailable; providers being unable to provide women and girls with their preferred method of contraception; and providers refusing to provide services to women and girls who did not have protective equipment including masks. </w:t>
      </w:r>
      <w:proofErr w:type="gramStart"/>
      <w:r>
        <w:t>Some</w:t>
      </w:r>
      <w:proofErr w:type="gramEnd"/>
      <w:r>
        <w:t xml:space="preserve"> women lacked access to contraception because of the lack of a gendered lens in the development and implementation of COVID-19 mitigation measures such as lockdowns and movement restrictions as well as economic strain caused by loss of income. There are reports that </w:t>
      </w:r>
      <w:proofErr w:type="gramStart"/>
      <w:r>
        <w:t>some</w:t>
      </w:r>
      <w:proofErr w:type="gramEnd"/>
      <w:r>
        <w:t xml:space="preserve"> women discontinued their use of contraception due to concerns about contracting COVID-19 when visiting healthcare facilities. Lack of access to contraception during the COVID-19 pandemic resulted in an increase in unintended pregnancy which, in turn resulted in an increase in unsafe abortion.</w:t>
      </w:r>
      <w:r>
        <w:rPr>
          <w:vertAlign w:val="superscript"/>
        </w:rPr>
        <w:footnoteReference w:id="8"/>
      </w:r>
      <w:r>
        <w:rPr>
          <w:vertAlign w:val="superscript"/>
        </w:rPr>
        <w:t xml:space="preserve">, </w:t>
      </w:r>
      <w:r>
        <w:rPr>
          <w:vertAlign w:val="superscript"/>
        </w:rPr>
        <w:footnoteReference w:id="9"/>
      </w:r>
    </w:p>
    <w:p w14:paraId="069B11F9" w14:textId="4E223B59" w:rsidR="000678EC" w:rsidRDefault="00000000">
      <w:r>
        <w:t xml:space="preserve">The prevalence of unsafe abortion can </w:t>
      </w:r>
      <w:proofErr w:type="gramStart"/>
      <w:r>
        <w:t>be attributed</w:t>
      </w:r>
      <w:proofErr w:type="gramEnd"/>
      <w:r>
        <w:t xml:space="preserve"> to stigma and legal barriers which include criminalization of safe abortion and lack of clarity on how and when abortion care can legally be accessed. Pursuant to the CEDAW, Malawi has the obligation to take all appropriate measures to eliminate discrimination in access to healthcare. This includes ensuring access to reproductive health services for all, especially prevention, detection and treatment of conditions and ailments that are specific to women</w:t>
      </w:r>
      <w:r w:rsidR="00DF7CCA">
        <w:t xml:space="preserve">, </w:t>
      </w:r>
      <w:r>
        <w:t>girls</w:t>
      </w:r>
      <w:r w:rsidR="00DF7CCA">
        <w:t xml:space="preserve"> and pregnant people</w:t>
      </w:r>
      <w:r>
        <w:t>, for instance, preventing unsafe abortion; ensuring access to safe abortion care to the full extent of the law; and ensuring unconditional access to post-abortion care.</w:t>
      </w:r>
      <w:r>
        <w:rPr>
          <w:vertAlign w:val="superscript"/>
        </w:rPr>
        <w:footnoteReference w:id="10"/>
      </w:r>
      <w:r>
        <w:t xml:space="preserve"> This includes putting in place enabling legal, policy, administrative, </w:t>
      </w:r>
      <w:r>
        <w:lastRenderedPageBreak/>
        <w:t>programmatic and budgetary frameworks to ensure availability and accessibility of essential services and commodities which include contraception and comprehensive abortion care, even during health crises such as the COVID 19-pandemic.</w:t>
      </w:r>
      <w:r>
        <w:rPr>
          <w:vertAlign w:val="superscript"/>
        </w:rPr>
        <w:footnoteReference w:id="11"/>
      </w:r>
      <w:r>
        <w:rPr>
          <w:vertAlign w:val="superscript"/>
        </w:rPr>
        <w:t xml:space="preserve">, </w:t>
      </w:r>
      <w:r>
        <w:rPr>
          <w:vertAlign w:val="superscript"/>
        </w:rPr>
        <w:footnoteReference w:id="12"/>
      </w:r>
      <w:r>
        <w:t xml:space="preserve"> </w:t>
      </w:r>
    </w:p>
    <w:p w14:paraId="069B11FA" w14:textId="661CEFE0" w:rsidR="000678EC" w:rsidRDefault="00000000">
      <w:r>
        <w:t>The Committee, in its list of issues, requested Malawi to provide information on its law on abortion, specifically, the State’s implementation of the report of the Law Commission on the Review of the Law on Abortion (“</w:t>
      </w:r>
      <w:r>
        <w:rPr>
          <w:b/>
        </w:rPr>
        <w:t>the Law Commission</w:t>
      </w:r>
      <w:r>
        <w:t>”).</w:t>
      </w:r>
      <w:r>
        <w:rPr>
          <w:vertAlign w:val="superscript"/>
        </w:rPr>
        <w:footnoteReference w:id="13"/>
      </w:r>
      <w:r>
        <w:t xml:space="preserve"> Malawi, in its State Report</w:t>
      </w:r>
      <w:r>
        <w:rPr>
          <w:vertAlign w:val="superscript"/>
        </w:rPr>
        <w:footnoteReference w:id="14"/>
      </w:r>
      <w:r>
        <w:t xml:space="preserve"> and Reply to the List of Issues,</w:t>
      </w:r>
      <w:r>
        <w:rPr>
          <w:vertAlign w:val="superscript"/>
        </w:rPr>
        <w:footnoteReference w:id="15"/>
      </w:r>
      <w:r>
        <w:t xml:space="preserve"> acknowledges that </w:t>
      </w:r>
      <w:r w:rsidR="00913726">
        <w:t>its</w:t>
      </w:r>
      <w:r>
        <w:t xml:space="preserve"> law on abortion was reviewed by the Law Commission between 2013-2016. Based on its findings, the Law Commission developed a report that included a proposed Termination of Pregnancy Bill (“</w:t>
      </w:r>
      <w:r>
        <w:rPr>
          <w:b/>
        </w:rPr>
        <w:t>the TOP Bill</w:t>
      </w:r>
      <w:r>
        <w:t>”)</w:t>
      </w:r>
      <w:r>
        <w:rPr>
          <w:vertAlign w:val="superscript"/>
        </w:rPr>
        <w:footnoteReference w:id="16"/>
      </w:r>
      <w:r>
        <w:t xml:space="preserve"> which was to </w:t>
      </w:r>
      <w:proofErr w:type="gramStart"/>
      <w:r>
        <w:t>be considered</w:t>
      </w:r>
      <w:proofErr w:type="gramEnd"/>
      <w:r>
        <w:t xml:space="preserve"> by Parliament. The government acknowledges that, to date, the Law Commission’s recommendations, including the tabling before and consideration of the TOP Bill by parliament, are yet to </w:t>
      </w:r>
      <w:proofErr w:type="gramStart"/>
      <w:r>
        <w:t>be implemented</w:t>
      </w:r>
      <w:proofErr w:type="gramEnd"/>
      <w:r>
        <w:t>.</w:t>
      </w:r>
      <w:r>
        <w:rPr>
          <w:vertAlign w:val="superscript"/>
        </w:rPr>
        <w:footnoteReference w:id="17"/>
      </w:r>
      <w:r>
        <w:t xml:space="preserve"> This lack of implementation persists despite active advocacy by civil society actors, led by the Coalition for the Prevention of Unsafe Abortion (COPUA). In 2021, COPUA sought the support of a member of parliament to present the TOP Bill through a private members motion. Parliament blocked the presentation of this motion. The lack of implementation also persists despite the government reviewing and enacting a Penal Code (Amendment) Act in February 2023 which amended other provisions of the Penal Code and remained silent on the sections that </w:t>
      </w:r>
      <w:r w:rsidR="005D436A">
        <w:t>criminalize</w:t>
      </w:r>
      <w:r>
        <w:t xml:space="preserve"> abortion.</w:t>
      </w:r>
    </w:p>
    <w:p w14:paraId="069B11FB" w14:textId="77777777" w:rsidR="000678EC" w:rsidRDefault="00000000">
      <w:r>
        <w:t xml:space="preserve">Consequently, access to safe, legal abortion in Malawi </w:t>
      </w:r>
      <w:proofErr w:type="gramStart"/>
      <w:r>
        <w:t>is governed</w:t>
      </w:r>
      <w:proofErr w:type="gramEnd"/>
      <w:r>
        <w:t xml:space="preserve"> by:</w:t>
      </w:r>
    </w:p>
    <w:p w14:paraId="069B11FC" w14:textId="660D2589" w:rsidR="000678EC" w:rsidRDefault="00000000">
      <w:pPr>
        <w:numPr>
          <w:ilvl w:val="0"/>
          <w:numId w:val="5"/>
        </w:numPr>
        <w:pBdr>
          <w:top w:val="nil"/>
          <w:left w:val="nil"/>
          <w:bottom w:val="nil"/>
          <w:right w:val="nil"/>
          <w:between w:val="nil"/>
        </w:pBdr>
        <w:spacing w:after="0"/>
        <w:ind w:left="426" w:hanging="426"/>
      </w:pPr>
      <w:r>
        <w:rPr>
          <w:color w:val="000000"/>
        </w:rPr>
        <w:t xml:space="preserve">The Gender Equality </w:t>
      </w:r>
      <w:r>
        <w:t xml:space="preserve">Act </w:t>
      </w:r>
      <w:r w:rsidR="00913726">
        <w:t xml:space="preserve">which </w:t>
      </w:r>
      <w:r>
        <w:t>provides the right to SRHR</w:t>
      </w:r>
      <w:r w:rsidR="00B93284">
        <w:rPr>
          <w:color w:val="000000"/>
        </w:rPr>
        <w:t xml:space="preserve"> and, </w:t>
      </w:r>
      <w:r>
        <w:rPr>
          <w:color w:val="000000"/>
        </w:rPr>
        <w:t>in Section 19 (2)</w:t>
      </w:r>
      <w:r w:rsidR="00B93284">
        <w:rPr>
          <w:color w:val="000000"/>
        </w:rPr>
        <w:t>, states</w:t>
      </w:r>
      <w:r>
        <w:rPr>
          <w:color w:val="000000"/>
        </w:rPr>
        <w:t xml:space="preserve"> that “</w:t>
      </w:r>
      <w:r>
        <w:rPr>
          <w:i/>
          <w:color w:val="000000"/>
        </w:rPr>
        <w:t>Subject to any other written law, every person has the right to choose whether or not to have a child</w:t>
      </w:r>
      <w:r>
        <w:rPr>
          <w:color w:val="000000"/>
        </w:rPr>
        <w:t>.” However, it does not provide any further guidance on access to legal abortion.</w:t>
      </w:r>
    </w:p>
    <w:p w14:paraId="069B11FD" w14:textId="77777777" w:rsidR="000678EC" w:rsidRDefault="00000000">
      <w:pPr>
        <w:numPr>
          <w:ilvl w:val="0"/>
          <w:numId w:val="5"/>
        </w:numPr>
        <w:pBdr>
          <w:top w:val="nil"/>
          <w:left w:val="nil"/>
          <w:bottom w:val="nil"/>
          <w:right w:val="nil"/>
          <w:between w:val="nil"/>
        </w:pBdr>
        <w:ind w:left="426" w:hanging="426"/>
      </w:pPr>
      <w:r>
        <w:rPr>
          <w:color w:val="000000"/>
        </w:rPr>
        <w:lastRenderedPageBreak/>
        <w:t xml:space="preserve">the Penal Code which, in Sections 149-151 </w:t>
      </w:r>
      <w:r>
        <w:t>criminalizes</w:t>
      </w:r>
      <w:r>
        <w:rPr>
          <w:color w:val="000000"/>
        </w:rPr>
        <w:t xml:space="preserve"> “</w:t>
      </w:r>
      <w:r>
        <w:rPr>
          <w:i/>
          <w:color w:val="000000"/>
        </w:rPr>
        <w:t>unlawful</w:t>
      </w:r>
      <w:r>
        <w:rPr>
          <w:color w:val="000000"/>
        </w:rPr>
        <w:t>” abortion while providing no clarity on what amounts to a lawful abortion. Section 243 of the Penal Code only allows for legal abortion care where a healthcare provider is “…</w:t>
      </w:r>
      <w:r>
        <w:rPr>
          <w:i/>
          <w:color w:val="000000"/>
        </w:rPr>
        <w:t>performing in good faith and with reasonable care and skill a surgical operation… for the preservation of the mother’s life</w:t>
      </w:r>
      <w:r>
        <w:rPr>
          <w:color w:val="000000"/>
        </w:rPr>
        <w:t xml:space="preserve">...” </w:t>
      </w:r>
    </w:p>
    <w:p w14:paraId="069B11FE" w14:textId="12F77371" w:rsidR="000678EC" w:rsidRDefault="00000000">
      <w:r>
        <w:t xml:space="preserve">In June 2021, the Center and Nyale Institute </w:t>
      </w:r>
      <w:r w:rsidRPr="00E84E30">
        <w:t xml:space="preserve">facilitated a girl’s access to the High Court to seek a </w:t>
      </w:r>
      <w:r>
        <w:t xml:space="preserve">judicial interpretation of Section 243 of the Penal Code in the case of </w:t>
      </w:r>
      <w:r>
        <w:rPr>
          <w:i/>
          <w:u w:val="single"/>
        </w:rPr>
        <w:t>The State (On application by HM (guardian) on behalf of CM (minor)) v The Hospital Director of Queen Elizabeth Central and 1 other.</w:t>
      </w:r>
      <w:r>
        <w:rPr>
          <w:vertAlign w:val="superscript"/>
        </w:rPr>
        <w:footnoteReference w:id="18"/>
      </w:r>
      <w:r>
        <w:t xml:space="preserve"> The facts of the case were that CM, a minor, was impregnated by an adult man whom she identified as her boyfriend. The pregnancy resulted in the deterioration of CM’s mental and physical health. Further, although the man originally accepted parental responsibility for the pregnancy and agreed to live with CM, he later changed his mind and denied being responsible for the pregnancy. CM and HM reported the pregnancy to the police and obtained a referral to take her to hospital where she sought termination of the pregnancy under Section 243 of the Penal Code. The hospital refused to provide the service and so HM and CM moved to court seeking leave to obtain a judicial review of the decision to deny CM access to abortion care. The court was partially progressive in its judgment, by recognizing that the obligation to preserve a pregnant person’s life, under Section 243, extends to the preservation of health which it defined as not merely the absence of infirmity but rather mental, physical and social well-being.</w:t>
      </w:r>
      <w:r>
        <w:rPr>
          <w:vertAlign w:val="superscript"/>
        </w:rPr>
        <w:footnoteReference w:id="19"/>
      </w:r>
      <w:r>
        <w:t xml:space="preserve"> However, other elements of the judgment raise serious concerns, including:</w:t>
      </w:r>
    </w:p>
    <w:p w14:paraId="069B11FF" w14:textId="77777777" w:rsidR="000678EC" w:rsidRDefault="00000000">
      <w:pPr>
        <w:numPr>
          <w:ilvl w:val="0"/>
          <w:numId w:val="10"/>
        </w:numPr>
        <w:pBdr>
          <w:top w:val="nil"/>
          <w:left w:val="nil"/>
          <w:bottom w:val="nil"/>
          <w:right w:val="nil"/>
          <w:between w:val="nil"/>
        </w:pBdr>
        <w:spacing w:after="0"/>
      </w:pPr>
      <w:r>
        <w:rPr>
          <w:color w:val="000000"/>
        </w:rPr>
        <w:t>The court was of the view that, CM who was a minor was “</w:t>
      </w:r>
      <w:r>
        <w:rPr>
          <w:i/>
          <w:color w:val="000000"/>
        </w:rPr>
        <w:t>having an affair</w:t>
      </w:r>
      <w:r>
        <w:rPr>
          <w:color w:val="000000"/>
        </w:rPr>
        <w:t>”</w:t>
      </w:r>
      <w:r>
        <w:rPr>
          <w:color w:val="000000"/>
          <w:vertAlign w:val="superscript"/>
        </w:rPr>
        <w:footnoteReference w:id="20"/>
      </w:r>
      <w:r>
        <w:rPr>
          <w:color w:val="000000"/>
        </w:rPr>
        <w:t xml:space="preserve"> with the adult man who got her pregnant. This point of view, in part, led the court to conclude that judicial review was not an appropriate remedy to the violation of CM </w:t>
      </w:r>
      <w:proofErr w:type="gramStart"/>
      <w:r>
        <w:rPr>
          <w:color w:val="000000"/>
        </w:rPr>
        <w:t>being denied</w:t>
      </w:r>
      <w:proofErr w:type="gramEnd"/>
      <w:r>
        <w:rPr>
          <w:color w:val="000000"/>
        </w:rPr>
        <w:t xml:space="preserve"> abortion care. The court, instead, found that the pending criminal case as well as a civil suit for child maintenance were suitable alternative remedies that CM should pursue as opposed to judicial review of the hospital’s decision not to provide her with abortion care.</w:t>
      </w:r>
      <w:r>
        <w:rPr>
          <w:color w:val="000000"/>
          <w:vertAlign w:val="superscript"/>
        </w:rPr>
        <w:footnoteReference w:id="21"/>
      </w:r>
      <w:r>
        <w:rPr>
          <w:color w:val="000000"/>
        </w:rPr>
        <w:t xml:space="preserve"> This finding was a direct violation of the court’s obligation to refrain from applying </w:t>
      </w:r>
      <w:r>
        <w:rPr>
          <w:color w:val="000000"/>
        </w:rPr>
        <w:lastRenderedPageBreak/>
        <w:t>stereotypical notions of what constitutes gender-based violence and to ensure that all survivors of gender-based violence that come before it have access to effective remedies.</w:t>
      </w:r>
      <w:r>
        <w:rPr>
          <w:color w:val="000000"/>
          <w:vertAlign w:val="superscript"/>
        </w:rPr>
        <w:footnoteReference w:id="22"/>
      </w:r>
      <w:r>
        <w:rPr>
          <w:color w:val="000000"/>
        </w:rPr>
        <w:t xml:space="preserve"> </w:t>
      </w:r>
    </w:p>
    <w:p w14:paraId="069B1200" w14:textId="4C73E47F" w:rsidR="000678EC" w:rsidRDefault="00000000">
      <w:pPr>
        <w:numPr>
          <w:ilvl w:val="0"/>
          <w:numId w:val="10"/>
        </w:numPr>
        <w:pBdr>
          <w:top w:val="nil"/>
          <w:left w:val="nil"/>
          <w:bottom w:val="nil"/>
          <w:right w:val="nil"/>
          <w:between w:val="nil"/>
        </w:pBdr>
      </w:pPr>
      <w:r>
        <w:rPr>
          <w:color w:val="000000"/>
        </w:rPr>
        <w:t>In further support of its decision not to grant leave for judicial review, the court interpreted the “good faith” requirement of Section 243 of the Penal Code to mean that healthcare providers cannot propose termination of pregnancy, after examining a pregnant person and finding that the pregnancy endangers their life or health unless the pregnant person expressly asks for termination of pregnancy first. Therefore, where a healthcare provider proposes termination and the woman has not expressly asked for the service, the healthcare provider is not acting in good faith and shall incur criminal liability under the Penal Code. Based on this reasoning, the court found that because there was no recorded evidence of CM asking the provider for abortion care,  CM did not ask for the service and therefore the healthcare provider could not have provided her with it.</w:t>
      </w:r>
      <w:r>
        <w:rPr>
          <w:color w:val="000000"/>
          <w:vertAlign w:val="superscript"/>
        </w:rPr>
        <w:footnoteReference w:id="23"/>
      </w:r>
      <w:r>
        <w:rPr>
          <w:color w:val="000000"/>
        </w:rPr>
        <w:t xml:space="preserve"> The court made this finding despite acknowledging the strong stigma</w:t>
      </w:r>
      <w:r>
        <w:rPr>
          <w:color w:val="000000"/>
          <w:vertAlign w:val="superscript"/>
        </w:rPr>
        <w:footnoteReference w:id="24"/>
      </w:r>
      <w:r>
        <w:rPr>
          <w:color w:val="000000"/>
        </w:rPr>
        <w:t xml:space="preserve"> against abortion care in Malawi because of the “</w:t>
      </w:r>
      <w:r>
        <w:rPr>
          <w:i/>
          <w:color w:val="000000"/>
        </w:rPr>
        <w:t>moral compass of society</w:t>
      </w:r>
      <w:r>
        <w:rPr>
          <w:color w:val="000000"/>
        </w:rPr>
        <w:t>”</w:t>
      </w:r>
      <w:r>
        <w:rPr>
          <w:color w:val="000000"/>
          <w:vertAlign w:val="superscript"/>
        </w:rPr>
        <w:footnoteReference w:id="25"/>
      </w:r>
      <w:r>
        <w:rPr>
          <w:color w:val="000000"/>
        </w:rPr>
        <w:t xml:space="preserve"> which would prevent women</w:t>
      </w:r>
      <w:r w:rsidR="008E1578">
        <w:rPr>
          <w:color w:val="000000"/>
        </w:rPr>
        <w:t>,</w:t>
      </w:r>
      <w:r>
        <w:rPr>
          <w:color w:val="000000"/>
        </w:rPr>
        <w:t xml:space="preserve"> girls </w:t>
      </w:r>
      <w:r w:rsidR="008E1578">
        <w:rPr>
          <w:color w:val="000000"/>
        </w:rPr>
        <w:t xml:space="preserve">and pregnant people </w:t>
      </w:r>
      <w:r>
        <w:rPr>
          <w:color w:val="000000"/>
        </w:rPr>
        <w:t xml:space="preserve">who need access to safe abortion from expressly asking for it, particularly where a healthcare provider has not mentioned it as a possible service that is available to them. </w:t>
      </w:r>
    </w:p>
    <w:p w14:paraId="069B1201" w14:textId="7FC978D1" w:rsidR="000678EC" w:rsidRDefault="00000000">
      <w:r>
        <w:t xml:space="preserve">It is also important to bring to the attention of the Committee the fact that the TOP Bill, as it was proposed by the Law Commission, contains provisions that, if adopted as is, would still constitute legal barriers that would hinder access to abortion thus failing to fulfill Malawi’s obligations under the CEDAW and other international law. For instance, Section 3 of the TOP Bill provides that women and girls who are survivors of sexual violence will only be able to legally access abortion services if the offence has been reported to the police and the gestational </w:t>
      </w:r>
      <w:r w:rsidR="003E1186">
        <w:t>age</w:t>
      </w:r>
      <w:r>
        <w:t xml:space="preserve"> does not </w:t>
      </w:r>
      <w:r>
        <w:lastRenderedPageBreak/>
        <w:t>exceed 16 weeks.</w:t>
      </w:r>
      <w:r>
        <w:rPr>
          <w:vertAlign w:val="superscript"/>
        </w:rPr>
        <w:footnoteReference w:id="26"/>
      </w:r>
      <w:r>
        <w:t xml:space="preserve"> Additionally, under Section 9 of the TOP Bill, girls cannot legally access abortion care without parental consent.</w:t>
      </w:r>
      <w:r>
        <w:rPr>
          <w:vertAlign w:val="superscript"/>
        </w:rPr>
        <w:footnoteReference w:id="27"/>
      </w:r>
    </w:p>
    <w:p w14:paraId="069B1202" w14:textId="3D1F4A22" w:rsidR="000678EC" w:rsidRDefault="00000000">
      <w:proofErr w:type="gramStart"/>
      <w:r>
        <w:t>In light of</w:t>
      </w:r>
      <w:proofErr w:type="gramEnd"/>
      <w:r>
        <w:t xml:space="preserve"> the foregoing, Nyale Institute, CHRR, YOWCO and the Center hope that the Committee will consider asking the Government of Malawi t</w:t>
      </w:r>
      <w:r w:rsidR="00122EFF">
        <w:t>o provide information regarding</w:t>
      </w:r>
      <w:r>
        <w:t xml:space="preserve"> the measures it has put in place to:</w:t>
      </w:r>
    </w:p>
    <w:p w14:paraId="069B1203" w14:textId="619B8B81" w:rsidR="000678EC" w:rsidRDefault="00000000">
      <w:pPr>
        <w:numPr>
          <w:ilvl w:val="0"/>
          <w:numId w:val="3"/>
        </w:numPr>
        <w:pBdr>
          <w:top w:val="nil"/>
          <w:left w:val="nil"/>
          <w:bottom w:val="nil"/>
          <w:right w:val="nil"/>
          <w:between w:val="nil"/>
        </w:pBdr>
        <w:spacing w:after="0"/>
        <w:ind w:left="426" w:hanging="426"/>
      </w:pPr>
      <w:r>
        <w:rPr>
          <w:color w:val="000000"/>
        </w:rPr>
        <w:t xml:space="preserve">Ensure access to safe </w:t>
      </w:r>
      <w:r w:rsidR="008E1578">
        <w:rPr>
          <w:color w:val="000000"/>
        </w:rPr>
        <w:t xml:space="preserve">and legal </w:t>
      </w:r>
      <w:r>
        <w:rPr>
          <w:color w:val="000000"/>
        </w:rPr>
        <w:t>abortion and post-abortion care to the full extent allowed by law for all women</w:t>
      </w:r>
      <w:r w:rsidR="008E1578">
        <w:rPr>
          <w:color w:val="000000"/>
        </w:rPr>
        <w:t>,</w:t>
      </w:r>
      <w:r w:rsidR="00F971C2">
        <w:rPr>
          <w:color w:val="000000"/>
        </w:rPr>
        <w:t xml:space="preserve"> </w:t>
      </w:r>
      <w:proofErr w:type="gramStart"/>
      <w:r>
        <w:rPr>
          <w:color w:val="000000"/>
        </w:rPr>
        <w:t>girls</w:t>
      </w:r>
      <w:proofErr w:type="gramEnd"/>
      <w:r>
        <w:rPr>
          <w:color w:val="000000"/>
        </w:rPr>
        <w:t xml:space="preserve"> </w:t>
      </w:r>
      <w:r w:rsidR="008E1578">
        <w:rPr>
          <w:color w:val="000000"/>
        </w:rPr>
        <w:t xml:space="preserve">and pregnant people </w:t>
      </w:r>
      <w:r>
        <w:rPr>
          <w:color w:val="000000"/>
        </w:rPr>
        <w:t>regardless of economic status or geography.</w:t>
      </w:r>
    </w:p>
    <w:p w14:paraId="069B1204" w14:textId="77777777" w:rsidR="000678EC" w:rsidRDefault="00000000">
      <w:pPr>
        <w:numPr>
          <w:ilvl w:val="0"/>
          <w:numId w:val="3"/>
        </w:numPr>
        <w:pBdr>
          <w:top w:val="nil"/>
          <w:left w:val="nil"/>
          <w:bottom w:val="nil"/>
          <w:right w:val="nil"/>
          <w:between w:val="nil"/>
        </w:pBdr>
        <w:spacing w:after="0"/>
        <w:ind w:left="426" w:hanging="426"/>
      </w:pPr>
      <w:r>
        <w:rPr>
          <w:color w:val="000000"/>
        </w:rPr>
        <w:t>Prevent unsafe abortion, specifically:</w:t>
      </w:r>
    </w:p>
    <w:p w14:paraId="069B1205" w14:textId="77777777" w:rsidR="000678EC" w:rsidRDefault="00000000">
      <w:pPr>
        <w:numPr>
          <w:ilvl w:val="1"/>
          <w:numId w:val="3"/>
        </w:numPr>
        <w:pBdr>
          <w:top w:val="nil"/>
          <w:left w:val="nil"/>
          <w:bottom w:val="nil"/>
          <w:right w:val="nil"/>
          <w:between w:val="nil"/>
        </w:pBdr>
        <w:spacing w:after="0"/>
        <w:ind w:left="851" w:hanging="425"/>
      </w:pPr>
      <w:r>
        <w:rPr>
          <w:color w:val="000000"/>
        </w:rPr>
        <w:t xml:space="preserve">what measures has the government taken to ensure access by women, </w:t>
      </w:r>
      <w:proofErr w:type="gramStart"/>
      <w:r>
        <w:rPr>
          <w:color w:val="000000"/>
        </w:rPr>
        <w:t>girls</w:t>
      </w:r>
      <w:proofErr w:type="gramEnd"/>
      <w:r>
        <w:rPr>
          <w:color w:val="000000"/>
        </w:rPr>
        <w:t xml:space="preserve"> and healthcare providers to accurate information on when and how abortion care can legally be provided? </w:t>
      </w:r>
    </w:p>
    <w:p w14:paraId="069B1206" w14:textId="77777777" w:rsidR="000678EC" w:rsidRDefault="00000000">
      <w:pPr>
        <w:numPr>
          <w:ilvl w:val="1"/>
          <w:numId w:val="3"/>
        </w:numPr>
        <w:pBdr>
          <w:top w:val="nil"/>
          <w:left w:val="nil"/>
          <w:bottom w:val="nil"/>
          <w:right w:val="nil"/>
          <w:between w:val="nil"/>
        </w:pBdr>
        <w:spacing w:after="0"/>
        <w:ind w:left="851" w:hanging="425"/>
      </w:pPr>
      <w:r>
        <w:rPr>
          <w:color w:val="000000"/>
        </w:rPr>
        <w:t>What measures has the government taken to address the negative stigma related to abortion care?</w:t>
      </w:r>
    </w:p>
    <w:p w14:paraId="069B1207" w14:textId="61E6DBDB" w:rsidR="000678EC" w:rsidRDefault="00000000">
      <w:pPr>
        <w:numPr>
          <w:ilvl w:val="0"/>
          <w:numId w:val="3"/>
        </w:numPr>
        <w:pBdr>
          <w:top w:val="nil"/>
          <w:left w:val="nil"/>
          <w:bottom w:val="nil"/>
          <w:right w:val="nil"/>
          <w:between w:val="nil"/>
        </w:pBdr>
        <w:spacing w:after="0"/>
        <w:ind w:left="426" w:hanging="426"/>
      </w:pPr>
      <w:r>
        <w:rPr>
          <w:color w:val="000000"/>
        </w:rPr>
        <w:t xml:space="preserve">Ensure availability, </w:t>
      </w:r>
      <w:proofErr w:type="gramStart"/>
      <w:r>
        <w:rPr>
          <w:color w:val="000000"/>
        </w:rPr>
        <w:t>accessibility</w:t>
      </w:r>
      <w:proofErr w:type="gramEnd"/>
      <w:r>
        <w:rPr>
          <w:color w:val="000000"/>
        </w:rPr>
        <w:t xml:space="preserve"> and acceptability of contraceptive services for all women and girls regardless of economic status, age or marital status, even during times of global pandemics and crises.</w:t>
      </w:r>
    </w:p>
    <w:p w14:paraId="069B1208" w14:textId="77777777" w:rsidR="000678EC" w:rsidRDefault="00000000">
      <w:pPr>
        <w:numPr>
          <w:ilvl w:val="0"/>
          <w:numId w:val="3"/>
        </w:numPr>
        <w:pBdr>
          <w:top w:val="nil"/>
          <w:left w:val="nil"/>
          <w:bottom w:val="nil"/>
          <w:right w:val="nil"/>
          <w:between w:val="nil"/>
        </w:pBdr>
        <w:spacing w:after="0"/>
        <w:ind w:left="426" w:hanging="426"/>
      </w:pPr>
      <w:r>
        <w:rPr>
          <w:color w:val="000000"/>
        </w:rPr>
        <w:t>Ensure access to effective remedies for survivors of gender-based violence, including safe, legal abortion care.</w:t>
      </w:r>
    </w:p>
    <w:p w14:paraId="069B1209" w14:textId="1D1F1F24" w:rsidR="000678EC" w:rsidRDefault="00000000">
      <w:pPr>
        <w:numPr>
          <w:ilvl w:val="0"/>
          <w:numId w:val="3"/>
        </w:numPr>
        <w:pBdr>
          <w:top w:val="nil"/>
          <w:left w:val="nil"/>
          <w:bottom w:val="nil"/>
          <w:right w:val="nil"/>
          <w:between w:val="nil"/>
        </w:pBdr>
        <w:spacing w:after="0"/>
        <w:ind w:left="426" w:hanging="426"/>
      </w:pPr>
      <w:r>
        <w:rPr>
          <w:color w:val="000000"/>
        </w:rPr>
        <w:t>Address stereotypical notions among police, prosecutors, judicial officers, healthcare and other service providers regarding acts or omissions that amount to gender-based violence.</w:t>
      </w:r>
    </w:p>
    <w:p w14:paraId="069B120A" w14:textId="677825BD" w:rsidR="000678EC" w:rsidRDefault="00000000">
      <w:pPr>
        <w:numPr>
          <w:ilvl w:val="0"/>
          <w:numId w:val="3"/>
        </w:numPr>
        <w:pBdr>
          <w:top w:val="nil"/>
          <w:left w:val="nil"/>
          <w:bottom w:val="nil"/>
          <w:right w:val="nil"/>
          <w:between w:val="nil"/>
        </w:pBdr>
        <w:ind w:left="426" w:hanging="426"/>
      </w:pPr>
      <w:r>
        <w:rPr>
          <w:color w:val="000000"/>
        </w:rPr>
        <w:t>Review the TOP Bill and remove provisions that prevent women</w:t>
      </w:r>
      <w:r w:rsidR="0028550C">
        <w:rPr>
          <w:color w:val="000000"/>
        </w:rPr>
        <w:t>,</w:t>
      </w:r>
      <w:r>
        <w:rPr>
          <w:color w:val="000000"/>
        </w:rPr>
        <w:t xml:space="preserve"> </w:t>
      </w:r>
      <w:proofErr w:type="gramStart"/>
      <w:r>
        <w:rPr>
          <w:color w:val="000000"/>
        </w:rPr>
        <w:t>girls</w:t>
      </w:r>
      <w:proofErr w:type="gramEnd"/>
      <w:r>
        <w:rPr>
          <w:color w:val="000000"/>
        </w:rPr>
        <w:t xml:space="preserve"> </w:t>
      </w:r>
      <w:r w:rsidR="0028550C">
        <w:rPr>
          <w:color w:val="000000"/>
        </w:rPr>
        <w:t>and pregnant</w:t>
      </w:r>
      <w:r w:rsidR="00F971C2">
        <w:rPr>
          <w:color w:val="000000"/>
        </w:rPr>
        <w:t xml:space="preserve"> persons</w:t>
      </w:r>
      <w:r w:rsidR="0028550C">
        <w:rPr>
          <w:color w:val="000000"/>
        </w:rPr>
        <w:t xml:space="preserve"> </w:t>
      </w:r>
      <w:r>
        <w:rPr>
          <w:color w:val="000000"/>
        </w:rPr>
        <w:t xml:space="preserve">from accessing safe </w:t>
      </w:r>
      <w:r w:rsidR="0028550C">
        <w:rPr>
          <w:color w:val="000000"/>
        </w:rPr>
        <w:t xml:space="preserve">and legal </w:t>
      </w:r>
      <w:r>
        <w:rPr>
          <w:color w:val="000000"/>
        </w:rPr>
        <w:t>abortion care and, thereafter table the bill before Parliament for consideration.</w:t>
      </w:r>
    </w:p>
    <w:p w14:paraId="069B120B" w14:textId="77777777" w:rsidR="000678EC" w:rsidRDefault="00000000">
      <w:r>
        <w:t>We also hope that the Committee will consider recommending that the Government of Malawi:</w:t>
      </w:r>
    </w:p>
    <w:p w14:paraId="069B120C" w14:textId="77777777" w:rsidR="000678EC" w:rsidRDefault="00000000">
      <w:pPr>
        <w:numPr>
          <w:ilvl w:val="0"/>
          <w:numId w:val="4"/>
        </w:numPr>
        <w:pBdr>
          <w:top w:val="nil"/>
          <w:left w:val="nil"/>
          <w:bottom w:val="nil"/>
          <w:right w:val="nil"/>
          <w:between w:val="nil"/>
        </w:pBdr>
        <w:spacing w:after="0"/>
        <w:ind w:left="426" w:hanging="426"/>
      </w:pPr>
      <w:r>
        <w:rPr>
          <w:color w:val="000000"/>
        </w:rPr>
        <w:t>Appoint commissioners to the Malawi Human Rights Commission to ensure implementation of the Gender Equality Act, including its provision on adoption of legislation on safe, legal abortion.</w:t>
      </w:r>
    </w:p>
    <w:p w14:paraId="069B120D" w14:textId="074CC4B1" w:rsidR="000678EC" w:rsidRDefault="00000000">
      <w:pPr>
        <w:numPr>
          <w:ilvl w:val="0"/>
          <w:numId w:val="4"/>
        </w:numPr>
        <w:pBdr>
          <w:top w:val="nil"/>
          <w:left w:val="nil"/>
          <w:bottom w:val="nil"/>
          <w:right w:val="nil"/>
          <w:between w:val="nil"/>
        </w:pBdr>
        <w:spacing w:after="0"/>
        <w:ind w:left="426" w:hanging="426"/>
      </w:pPr>
      <w:r>
        <w:rPr>
          <w:color w:val="000000"/>
        </w:rPr>
        <w:t>Ensure access to comprehensive abortion care for all women</w:t>
      </w:r>
      <w:r w:rsidR="0028550C">
        <w:rPr>
          <w:color w:val="000000"/>
        </w:rPr>
        <w:t>,</w:t>
      </w:r>
      <w:r w:rsidR="00F971C2">
        <w:rPr>
          <w:color w:val="000000"/>
        </w:rPr>
        <w:t xml:space="preserve"> </w:t>
      </w:r>
      <w:r>
        <w:rPr>
          <w:color w:val="000000"/>
        </w:rPr>
        <w:t xml:space="preserve">girls </w:t>
      </w:r>
      <w:r w:rsidR="0028550C">
        <w:rPr>
          <w:color w:val="000000"/>
        </w:rPr>
        <w:t xml:space="preserve">and pregnant people </w:t>
      </w:r>
      <w:r>
        <w:rPr>
          <w:color w:val="000000"/>
        </w:rPr>
        <w:t xml:space="preserve">including by putting in place legislative, budgetary, </w:t>
      </w:r>
      <w:proofErr w:type="gramStart"/>
      <w:r>
        <w:rPr>
          <w:color w:val="000000"/>
        </w:rPr>
        <w:t>administrative</w:t>
      </w:r>
      <w:proofErr w:type="gramEnd"/>
      <w:r>
        <w:rPr>
          <w:color w:val="000000"/>
        </w:rPr>
        <w:t xml:space="preserve"> and programmatic measures to:</w:t>
      </w:r>
    </w:p>
    <w:p w14:paraId="069B120E" w14:textId="0F2C4A69" w:rsidR="000678EC" w:rsidRDefault="00000000">
      <w:pPr>
        <w:numPr>
          <w:ilvl w:val="1"/>
          <w:numId w:val="4"/>
        </w:numPr>
        <w:pBdr>
          <w:top w:val="nil"/>
          <w:left w:val="nil"/>
          <w:bottom w:val="nil"/>
          <w:right w:val="nil"/>
          <w:between w:val="nil"/>
        </w:pBdr>
        <w:spacing w:after="0"/>
        <w:ind w:left="851" w:hanging="425"/>
      </w:pPr>
      <w:r>
        <w:rPr>
          <w:color w:val="000000"/>
        </w:rPr>
        <w:lastRenderedPageBreak/>
        <w:t xml:space="preserve">review the ToP Bill to ensure its provisions do not hinder access to safe abortion care and table it before Parliament for consideration and </w:t>
      </w:r>
      <w:r w:rsidR="003E1186">
        <w:rPr>
          <w:color w:val="000000"/>
        </w:rPr>
        <w:t>enactment</w:t>
      </w:r>
      <w:r>
        <w:rPr>
          <w:color w:val="000000"/>
        </w:rPr>
        <w:t>;</w:t>
      </w:r>
    </w:p>
    <w:p w14:paraId="069B120F" w14:textId="77777777" w:rsidR="000678EC" w:rsidRDefault="00000000">
      <w:pPr>
        <w:numPr>
          <w:ilvl w:val="1"/>
          <w:numId w:val="4"/>
        </w:numPr>
        <w:pBdr>
          <w:top w:val="nil"/>
          <w:left w:val="nil"/>
          <w:bottom w:val="nil"/>
          <w:right w:val="nil"/>
          <w:between w:val="nil"/>
        </w:pBdr>
        <w:spacing w:after="0"/>
        <w:ind w:left="851" w:hanging="425"/>
      </w:pPr>
      <w:r>
        <w:rPr>
          <w:color w:val="000000"/>
        </w:rPr>
        <w:t>ensure public awareness on existing legal provisions regarding access to safe, legal abortion;</w:t>
      </w:r>
    </w:p>
    <w:p w14:paraId="069B1210" w14:textId="024BA9D2" w:rsidR="000678EC" w:rsidRDefault="00000000">
      <w:pPr>
        <w:numPr>
          <w:ilvl w:val="1"/>
          <w:numId w:val="4"/>
        </w:numPr>
        <w:pBdr>
          <w:top w:val="nil"/>
          <w:left w:val="nil"/>
          <w:bottom w:val="nil"/>
          <w:right w:val="nil"/>
          <w:between w:val="nil"/>
        </w:pBdr>
        <w:spacing w:after="0"/>
        <w:ind w:left="851" w:hanging="425"/>
      </w:pPr>
      <w:r>
        <w:rPr>
          <w:color w:val="000000"/>
        </w:rPr>
        <w:t>address stigma relating to abortion care</w:t>
      </w:r>
      <w:r w:rsidR="0028550C">
        <w:rPr>
          <w:color w:val="000000"/>
        </w:rPr>
        <w:t xml:space="preserve"> and services</w:t>
      </w:r>
      <w:r>
        <w:rPr>
          <w:color w:val="000000"/>
        </w:rPr>
        <w:t>.</w:t>
      </w:r>
    </w:p>
    <w:p w14:paraId="069B1211" w14:textId="77777777" w:rsidR="000678EC" w:rsidRDefault="00000000">
      <w:pPr>
        <w:numPr>
          <w:ilvl w:val="0"/>
          <w:numId w:val="4"/>
        </w:numPr>
        <w:pBdr>
          <w:top w:val="nil"/>
          <w:left w:val="nil"/>
          <w:bottom w:val="nil"/>
          <w:right w:val="nil"/>
          <w:between w:val="nil"/>
        </w:pBdr>
        <w:spacing w:after="0"/>
        <w:ind w:left="426" w:hanging="426"/>
      </w:pPr>
      <w:r>
        <w:rPr>
          <w:color w:val="000000"/>
        </w:rPr>
        <w:t>Ensure availability, accessibility and acceptability of contraceptive services including through addressing issues such as stock-outs and healthcare providers inability to provide the full range of contraceptive services;</w:t>
      </w:r>
    </w:p>
    <w:p w14:paraId="069B1212" w14:textId="77777777" w:rsidR="000678EC" w:rsidRDefault="00000000">
      <w:pPr>
        <w:numPr>
          <w:ilvl w:val="0"/>
          <w:numId w:val="4"/>
        </w:numPr>
        <w:pBdr>
          <w:top w:val="nil"/>
          <w:left w:val="nil"/>
          <w:bottom w:val="nil"/>
          <w:right w:val="nil"/>
          <w:between w:val="nil"/>
        </w:pBdr>
        <w:ind w:left="426" w:hanging="426"/>
      </w:pPr>
      <w:r>
        <w:rPr>
          <w:color w:val="000000"/>
        </w:rPr>
        <w:t>Take all necessary measures, including administrative and programmatic measures to ensure all survivors of gender-based violence have access to effective remedies including access to safe, legal abortion care.</w:t>
      </w:r>
    </w:p>
    <w:p w14:paraId="069B1213" w14:textId="77777777" w:rsidR="000678EC" w:rsidRDefault="00000000">
      <w:pPr>
        <w:pStyle w:val="Heading2"/>
      </w:pPr>
      <w:r>
        <w:t xml:space="preserve">Criminalization of consensual, non-exploitative non-coercive sexual activity between adolescents </w:t>
      </w:r>
    </w:p>
    <w:p w14:paraId="069B1214" w14:textId="47BF0BFD" w:rsidR="000678EC" w:rsidRDefault="00000000">
      <w:r>
        <w:t>The Constitution of Malawi,</w:t>
      </w:r>
      <w:r>
        <w:rPr>
          <w:vertAlign w:val="superscript"/>
        </w:rPr>
        <w:footnoteReference w:id="28"/>
      </w:r>
      <w:r>
        <w:t xml:space="preserve"> the CEDAW,</w:t>
      </w:r>
      <w:r>
        <w:rPr>
          <w:vertAlign w:val="superscript"/>
        </w:rPr>
        <w:footnoteReference w:id="29"/>
      </w:r>
      <w:r>
        <w:t xml:space="preserve"> other international law</w:t>
      </w:r>
      <w:r>
        <w:rPr>
          <w:vertAlign w:val="superscript"/>
        </w:rPr>
        <w:footnoteReference w:id="30"/>
      </w:r>
      <w:r>
        <w:t xml:space="preserve"> and African regional law</w:t>
      </w:r>
      <w:r>
        <w:rPr>
          <w:vertAlign w:val="superscript"/>
        </w:rPr>
        <w:footnoteReference w:id="31"/>
      </w:r>
      <w:r>
        <w:t xml:space="preserve"> all define a child as a person below the age of 18 years. Despite the Constitution being the supreme law of the land that is binding on all arms of government,</w:t>
      </w:r>
      <w:r>
        <w:rPr>
          <w:vertAlign w:val="superscript"/>
        </w:rPr>
        <w:footnoteReference w:id="32"/>
      </w:r>
      <w:r>
        <w:t xml:space="preserve">  the State has enacted legislation that does not reflect this definition of a child. For instance, the Child Care, Protection and Justice Act which was enacted over 15 years after the Constitution came into force, defines a child as a person below the age of 16 years.</w:t>
      </w:r>
      <w:r>
        <w:rPr>
          <w:vertAlign w:val="superscript"/>
        </w:rPr>
        <w:footnoteReference w:id="33"/>
      </w:r>
      <w:r>
        <w:t xml:space="preserve"> Similarly, the version of the Penal Code that was applicable all through the reporting period, that is between 2015-2019, defined a child as a person below the age of 16 years and defined defilement as </w:t>
      </w:r>
      <w:r w:rsidR="00640B20">
        <w:t>engaging in sexual intercourse with a girl</w:t>
      </w:r>
      <w:r>
        <w:t xml:space="preserve"> below this age.</w:t>
      </w:r>
      <w:r>
        <w:rPr>
          <w:vertAlign w:val="superscript"/>
        </w:rPr>
        <w:footnoteReference w:id="34"/>
      </w:r>
      <w:r>
        <w:t xml:space="preserve"> The effect of this is that girls aged between 16-18 years,  are vulnerable to sexual and gender-based violence, and were not legally protected from predation by adults. Further, the law failed to acknowledge that not all sexual activity involving minors is harmful to them. </w:t>
      </w:r>
      <w:proofErr w:type="gramStart"/>
      <w:r>
        <w:t>In particular, consensual</w:t>
      </w:r>
      <w:proofErr w:type="gramEnd"/>
      <w:r>
        <w:t>, non-exploitative, non-coercive sexual activity that occurs between adolescents is a part of adolescence and is not harmful provided the adolescents in question have access to comprehensive, age-and-stage appropriate, scientifically accurate and evidence-based sexuality education as well as sexual and reproductive health services.</w:t>
      </w:r>
      <w:r>
        <w:rPr>
          <w:vertAlign w:val="superscript"/>
        </w:rPr>
        <w:footnoteReference w:id="35"/>
      </w:r>
    </w:p>
    <w:p w14:paraId="069B1215" w14:textId="77777777" w:rsidR="000678EC" w:rsidRDefault="00000000">
      <w:r>
        <w:lastRenderedPageBreak/>
        <w:t xml:space="preserve">Fortunately, the Penal Code was amended in 2023 to define a child as a person below the age of </w:t>
      </w:r>
      <w:proofErr w:type="gramStart"/>
      <w:r>
        <w:t>18</w:t>
      </w:r>
      <w:proofErr w:type="gramEnd"/>
      <w:r>
        <w:t>.</w:t>
      </w:r>
      <w:r>
        <w:rPr>
          <w:vertAlign w:val="superscript"/>
        </w:rPr>
        <w:footnoteReference w:id="36"/>
      </w:r>
      <w:r>
        <w:t xml:space="preserve"> Further, sections 8-10 of the Penal Code (Amendment) Act amended the Penal Code to introduce consensual sexual activity between children whose age difference is 2 years or less as a defense to a charge of defilement. While these provisions are progressive, they did not sufficiently address the question of consensual, non-exploitative, non-coercive sexual activity among adolescents because:</w:t>
      </w:r>
      <w:r>
        <w:rPr>
          <w:vertAlign w:val="superscript"/>
        </w:rPr>
        <w:footnoteReference w:id="37"/>
      </w:r>
      <w:r>
        <w:rPr>
          <w:vertAlign w:val="superscript"/>
        </w:rPr>
        <w:t xml:space="preserve">, </w:t>
      </w:r>
      <w:r>
        <w:rPr>
          <w:vertAlign w:val="superscript"/>
        </w:rPr>
        <w:footnoteReference w:id="38"/>
      </w:r>
    </w:p>
    <w:p w14:paraId="069B1216" w14:textId="77777777" w:rsidR="000678EC" w:rsidRDefault="00000000">
      <w:pPr>
        <w:numPr>
          <w:ilvl w:val="0"/>
          <w:numId w:val="11"/>
        </w:numPr>
        <w:pBdr>
          <w:top w:val="nil"/>
          <w:left w:val="nil"/>
          <w:bottom w:val="nil"/>
          <w:right w:val="nil"/>
          <w:between w:val="nil"/>
        </w:pBdr>
        <w:spacing w:after="0"/>
      </w:pPr>
      <w:r>
        <w:rPr>
          <w:color w:val="000000"/>
        </w:rPr>
        <w:t xml:space="preserve">They did not decriminalize consensual, non-exploitative, non-coercive sexual activity among adolescents but introduce it as a defence which means adolescents can still </w:t>
      </w:r>
      <w:proofErr w:type="gramStart"/>
      <w:r>
        <w:rPr>
          <w:color w:val="000000"/>
        </w:rPr>
        <w:t>be charged</w:t>
      </w:r>
      <w:proofErr w:type="gramEnd"/>
      <w:r>
        <w:rPr>
          <w:color w:val="000000"/>
        </w:rPr>
        <w:t xml:space="preserve"> with the offence of defilement and, only thereafter, raise these issues in their defence.</w:t>
      </w:r>
    </w:p>
    <w:p w14:paraId="069B1217" w14:textId="72A85DA6" w:rsidR="000678EC" w:rsidRDefault="00000000">
      <w:pPr>
        <w:numPr>
          <w:ilvl w:val="0"/>
          <w:numId w:val="11"/>
        </w:numPr>
        <w:pBdr>
          <w:top w:val="nil"/>
          <w:left w:val="nil"/>
          <w:bottom w:val="nil"/>
          <w:right w:val="nil"/>
          <w:between w:val="nil"/>
        </w:pBdr>
        <w:spacing w:after="0"/>
      </w:pPr>
      <w:r>
        <w:rPr>
          <w:color w:val="000000"/>
        </w:rPr>
        <w:t xml:space="preserve">They still criminalize </w:t>
      </w:r>
      <w:proofErr w:type="gramStart"/>
      <w:r>
        <w:rPr>
          <w:color w:val="000000"/>
        </w:rPr>
        <w:t>some</w:t>
      </w:r>
      <w:proofErr w:type="gramEnd"/>
      <w:r>
        <w:rPr>
          <w:color w:val="000000"/>
        </w:rPr>
        <w:t xml:space="preserve"> instances of consensual, non-exploitative, non-coercive sexual activity among adolescents. For example, where a</w:t>
      </w:r>
      <w:r w:rsidR="00782159">
        <w:rPr>
          <w:color w:val="000000"/>
        </w:rPr>
        <w:t xml:space="preserve"> 19</w:t>
      </w:r>
      <w:r w:rsidR="00950955">
        <w:rPr>
          <w:color w:val="000000"/>
        </w:rPr>
        <w:t>-</w:t>
      </w:r>
      <w:r w:rsidR="00782159">
        <w:rPr>
          <w:color w:val="000000"/>
        </w:rPr>
        <w:t>or</w:t>
      </w:r>
      <w:r w:rsidR="00950955">
        <w:rPr>
          <w:color w:val="000000"/>
        </w:rPr>
        <w:t>-</w:t>
      </w:r>
      <w:r>
        <w:rPr>
          <w:color w:val="000000"/>
        </w:rPr>
        <w:t>18-year-old has sex with a 1</w:t>
      </w:r>
      <w:r w:rsidR="00950955">
        <w:rPr>
          <w:color w:val="000000"/>
        </w:rPr>
        <w:t>7</w:t>
      </w:r>
      <w:r>
        <w:rPr>
          <w:color w:val="000000"/>
        </w:rPr>
        <w:t xml:space="preserve">-year-old, it </w:t>
      </w:r>
      <w:proofErr w:type="gramStart"/>
      <w:r>
        <w:rPr>
          <w:color w:val="000000"/>
        </w:rPr>
        <w:t>is still considered</w:t>
      </w:r>
      <w:proofErr w:type="gramEnd"/>
      <w:r>
        <w:rPr>
          <w:color w:val="000000"/>
        </w:rPr>
        <w:t xml:space="preserve"> an offence in law because while both parties are adolescents, legally, one party is an adult.</w:t>
      </w:r>
    </w:p>
    <w:p w14:paraId="069B1218" w14:textId="7819721C" w:rsidR="000678EC" w:rsidRDefault="00000000">
      <w:pPr>
        <w:numPr>
          <w:ilvl w:val="0"/>
          <w:numId w:val="11"/>
        </w:numPr>
        <w:pBdr>
          <w:top w:val="nil"/>
          <w:left w:val="nil"/>
          <w:bottom w:val="nil"/>
          <w:right w:val="nil"/>
          <w:between w:val="nil"/>
        </w:pBdr>
      </w:pPr>
      <w:r>
        <w:rPr>
          <w:color w:val="000000"/>
        </w:rPr>
        <w:t xml:space="preserve">They automatically criminalize all sexual activity between adolescents based on age difference; such that where both persons are </w:t>
      </w:r>
      <w:r w:rsidR="00D34DB4">
        <w:rPr>
          <w:color w:val="000000"/>
        </w:rPr>
        <w:t>adolescents,</w:t>
      </w:r>
      <w:r>
        <w:rPr>
          <w:color w:val="000000"/>
        </w:rPr>
        <w:t xml:space="preserve"> but their age difference is more than 2 years, such sexual activity </w:t>
      </w:r>
      <w:proofErr w:type="gramStart"/>
      <w:r>
        <w:rPr>
          <w:color w:val="000000"/>
        </w:rPr>
        <w:t>is considered</w:t>
      </w:r>
      <w:proofErr w:type="gramEnd"/>
      <w:r>
        <w:rPr>
          <w:color w:val="000000"/>
        </w:rPr>
        <w:t xml:space="preserve"> illegal without any exceptions. This position fails to </w:t>
      </w:r>
      <w:proofErr w:type="gramStart"/>
      <w:r>
        <w:rPr>
          <w:color w:val="000000"/>
        </w:rPr>
        <w:t>take into account</w:t>
      </w:r>
      <w:proofErr w:type="gramEnd"/>
      <w:r>
        <w:rPr>
          <w:color w:val="000000"/>
        </w:rPr>
        <w:t xml:space="preserve"> the fact that adolescents’ ability to consent to sex is determined not by their age alone but by their evolving capacities which differ from child to child according to a number of factors including their age, stage and ability to make and communicate decisions. Thus, it is not automatic that an age gap of less than 2 years will guarantee that sexual activity is consensual, non-exploitative and non-coercive and that any age gap that is larger than this negates these elements.</w:t>
      </w:r>
    </w:p>
    <w:p w14:paraId="069B1219" w14:textId="53743550" w:rsidR="000678EC" w:rsidRDefault="00000000">
      <w:r>
        <w:t>These gaps in law are of concern particularly because, in Malawi, 12% of girls and 22% of boys are sexually active by age 15 and 57% of girls and 49% of boys are sexually active by age 18.</w:t>
      </w:r>
      <w:r>
        <w:rPr>
          <w:vertAlign w:val="superscript"/>
        </w:rPr>
        <w:footnoteReference w:id="39"/>
      </w:r>
      <w:r>
        <w:t xml:space="preserve"> </w:t>
      </w:r>
      <w:proofErr w:type="gramStart"/>
      <w:r>
        <w:t>A significant portion</w:t>
      </w:r>
      <w:proofErr w:type="gramEnd"/>
      <w:r>
        <w:t xml:space="preserve"> of this sexual activity occurs amongst adolescents and is consensual. It is well established that criminalization of sexual activities involving adolescents which does not take into consideration the key nuances raised above, contributes towards the stigmatization of adolescent sexuality which is an issue that is quite prevalent in Malawi among adolescents themselves, </w:t>
      </w:r>
      <w:proofErr w:type="gramStart"/>
      <w:r>
        <w:t>parents</w:t>
      </w:r>
      <w:proofErr w:type="gramEnd"/>
      <w:r>
        <w:t xml:space="preserve"> and some healthcare providers. Additionally, such criminalization does not </w:t>
      </w:r>
      <w:r>
        <w:lastRenderedPageBreak/>
        <w:t xml:space="preserve">stop adolescents from being sexually active with each other but merely drives their sexual activity underground and denies them access to information and services that they need to make safe, </w:t>
      </w:r>
      <w:proofErr w:type="gramStart"/>
      <w:r>
        <w:t>responsible</w:t>
      </w:r>
      <w:proofErr w:type="gramEnd"/>
      <w:r>
        <w:t xml:space="preserve"> and informed decisions about their sexuality and reproducti</w:t>
      </w:r>
      <w:r w:rsidR="00114D84">
        <w:t>ve health</w:t>
      </w:r>
      <w:r>
        <w:t>.</w:t>
      </w:r>
      <w:r>
        <w:rPr>
          <w:vertAlign w:val="superscript"/>
        </w:rPr>
        <w:footnoteReference w:id="40"/>
      </w:r>
      <w:r>
        <w:rPr>
          <w:vertAlign w:val="superscript"/>
        </w:rPr>
        <w:t xml:space="preserve">, </w:t>
      </w:r>
      <w:r>
        <w:rPr>
          <w:vertAlign w:val="superscript"/>
        </w:rPr>
        <w:footnoteReference w:id="41"/>
      </w:r>
      <w:r>
        <w:t xml:space="preserve"> </w:t>
      </w:r>
    </w:p>
    <w:p w14:paraId="069B121A" w14:textId="044FE98B" w:rsidR="000678EC" w:rsidRDefault="00000000">
      <w:pPr>
        <w:rPr>
          <w:vertAlign w:val="superscript"/>
        </w:rPr>
      </w:pPr>
      <w:r>
        <w:t xml:space="preserve">This partial criminalization of adolescents’ sexuality is compounded by other gaps in law, </w:t>
      </w:r>
      <w:proofErr w:type="gramStart"/>
      <w:r>
        <w:t>policy</w:t>
      </w:r>
      <w:proofErr w:type="gramEnd"/>
      <w:r>
        <w:t xml:space="preserve"> and practice. The result of this is negative health outcomes for adolescents, particularly adolescent girls such as a high teenage pregnancy rate of 29%.</w:t>
      </w:r>
      <w:r>
        <w:rPr>
          <w:vertAlign w:val="superscript"/>
        </w:rPr>
        <w:footnoteReference w:id="42"/>
      </w:r>
      <w:r>
        <w:t xml:space="preserve"> For instance, Malawi lacks comprehensive sexuality education for both in-school and out-of-school adolescents. The government of Malawi has failed to develop and implement comprehensive sexuality curricula and, instead, sought to subsume education on sexual and reproductive health into its life-skills syllabus. Additionally, in contravention of the obligation to provide comprehensive information, the parts of the life skills syllabus that address sexual and reproductive health are centered </w:t>
      </w:r>
      <w:proofErr w:type="gramStart"/>
      <w:r>
        <w:t>largely on</w:t>
      </w:r>
      <w:proofErr w:type="gramEnd"/>
      <w:r>
        <w:t xml:space="preserve"> prevention, treatment and management of sexually transmitted diseases and fail to sufficiently address other aspects of reproductive health. Thus, lack of information and misinformation on sexual and reproductive health continue to be rampant among parents</w:t>
      </w:r>
      <w:r w:rsidR="00F15B18">
        <w:t xml:space="preserve">, care givers </w:t>
      </w:r>
      <w:r>
        <w:t>and adolescents.</w:t>
      </w:r>
      <w:r>
        <w:rPr>
          <w:vertAlign w:val="superscript"/>
        </w:rPr>
        <w:footnoteReference w:id="43"/>
      </w:r>
      <w:r>
        <w:rPr>
          <w:vertAlign w:val="superscript"/>
        </w:rPr>
        <w:t>,</w:t>
      </w:r>
      <w:r>
        <w:t xml:space="preserve"> </w:t>
      </w:r>
      <w:r>
        <w:rPr>
          <w:vertAlign w:val="superscript"/>
        </w:rPr>
        <w:footnoteReference w:id="44"/>
      </w:r>
      <w:r>
        <w:rPr>
          <w:vertAlign w:val="superscript"/>
        </w:rPr>
        <w:t xml:space="preserve">, </w:t>
      </w:r>
      <w:r>
        <w:rPr>
          <w:vertAlign w:val="superscript"/>
        </w:rPr>
        <w:footnoteReference w:id="45"/>
      </w:r>
    </w:p>
    <w:p w14:paraId="069B121B" w14:textId="5F0ABC8D" w:rsidR="000678EC" w:rsidRDefault="00000000">
      <w:r>
        <w:t xml:space="preserve">In response to these issues, Nyale Institute, CHRR, YOWCO and the Center hope that the Committee will consider asking the Government of Malawi </w:t>
      </w:r>
      <w:r w:rsidR="00950955">
        <w:t xml:space="preserve">to provide information regarding </w:t>
      </w:r>
      <w:r>
        <w:t>the measures it has put in place to:</w:t>
      </w:r>
    </w:p>
    <w:p w14:paraId="069B121C" w14:textId="77777777" w:rsidR="000678EC" w:rsidRDefault="00000000">
      <w:pPr>
        <w:numPr>
          <w:ilvl w:val="0"/>
          <w:numId w:val="7"/>
        </w:numPr>
        <w:pBdr>
          <w:top w:val="nil"/>
          <w:left w:val="nil"/>
          <w:bottom w:val="nil"/>
          <w:right w:val="nil"/>
          <w:between w:val="nil"/>
        </w:pBdr>
        <w:spacing w:after="0"/>
        <w:ind w:left="426" w:hanging="426"/>
      </w:pPr>
      <w:r>
        <w:rPr>
          <w:color w:val="000000"/>
        </w:rPr>
        <w:t xml:space="preserve">fully decriminalize consensual, non-exploitative, non-coercive sexual activity among adolescents. </w:t>
      </w:r>
    </w:p>
    <w:p w14:paraId="069B121D" w14:textId="77777777" w:rsidR="000678EC" w:rsidRDefault="00000000">
      <w:pPr>
        <w:numPr>
          <w:ilvl w:val="0"/>
          <w:numId w:val="7"/>
        </w:numPr>
        <w:pBdr>
          <w:top w:val="nil"/>
          <w:left w:val="nil"/>
          <w:bottom w:val="nil"/>
          <w:right w:val="nil"/>
          <w:between w:val="nil"/>
        </w:pBdr>
        <w:spacing w:after="0"/>
        <w:ind w:left="426" w:hanging="426"/>
      </w:pPr>
      <w:r>
        <w:rPr>
          <w:color w:val="000000"/>
        </w:rPr>
        <w:t>ensure all adolescents have access to comprehensive, scientifically accurate, evidence-based and age-and-stage appropriate sexuality education.</w:t>
      </w:r>
    </w:p>
    <w:p w14:paraId="069B121E" w14:textId="0B769427" w:rsidR="000678EC" w:rsidRDefault="00000000">
      <w:pPr>
        <w:numPr>
          <w:ilvl w:val="0"/>
          <w:numId w:val="7"/>
        </w:numPr>
        <w:pBdr>
          <w:top w:val="nil"/>
          <w:left w:val="nil"/>
          <w:bottom w:val="nil"/>
          <w:right w:val="nil"/>
          <w:between w:val="nil"/>
        </w:pBdr>
        <w:ind w:left="426" w:hanging="426"/>
      </w:pPr>
      <w:r>
        <w:rPr>
          <w:color w:val="000000"/>
        </w:rPr>
        <w:t>Address lack of information and misinformation on sexual and reproductive health, particularly among adolescents and their parents</w:t>
      </w:r>
      <w:r w:rsidR="00122EFF">
        <w:rPr>
          <w:color w:val="000000"/>
        </w:rPr>
        <w:t xml:space="preserve"> and </w:t>
      </w:r>
      <w:r w:rsidR="00D34DB4">
        <w:rPr>
          <w:color w:val="000000"/>
        </w:rPr>
        <w:t>caregivers</w:t>
      </w:r>
      <w:r>
        <w:rPr>
          <w:color w:val="000000"/>
        </w:rPr>
        <w:t>.</w:t>
      </w:r>
    </w:p>
    <w:p w14:paraId="069B121F" w14:textId="77777777" w:rsidR="000678EC" w:rsidRDefault="00000000">
      <w:r>
        <w:lastRenderedPageBreak/>
        <w:t>We also hope that the Committee will consider recommending that the Government of Malawi takes all necessary measures to ensure that adolescents, especially adolescent girls, are able to realise their sexual and reproductive health and rights, including through:</w:t>
      </w:r>
    </w:p>
    <w:p w14:paraId="069B1220" w14:textId="77777777" w:rsidR="000678EC" w:rsidRDefault="00000000">
      <w:pPr>
        <w:numPr>
          <w:ilvl w:val="0"/>
          <w:numId w:val="6"/>
        </w:numPr>
        <w:pBdr>
          <w:top w:val="nil"/>
          <w:left w:val="nil"/>
          <w:bottom w:val="nil"/>
          <w:right w:val="nil"/>
          <w:between w:val="nil"/>
        </w:pBdr>
        <w:spacing w:after="0"/>
        <w:ind w:left="426" w:hanging="426"/>
      </w:pPr>
      <w:r>
        <w:rPr>
          <w:color w:val="000000"/>
        </w:rPr>
        <w:t>full decriminalization of consensual, non-exploitative, non-coercive sexual activity among adolescents; and</w:t>
      </w:r>
    </w:p>
    <w:p w14:paraId="069B1221" w14:textId="77777777" w:rsidR="000678EC" w:rsidRDefault="00000000">
      <w:pPr>
        <w:numPr>
          <w:ilvl w:val="0"/>
          <w:numId w:val="6"/>
        </w:numPr>
        <w:pBdr>
          <w:top w:val="nil"/>
          <w:left w:val="nil"/>
          <w:bottom w:val="nil"/>
          <w:right w:val="nil"/>
          <w:between w:val="nil"/>
        </w:pBdr>
        <w:ind w:left="426" w:hanging="426"/>
      </w:pPr>
      <w:r>
        <w:rPr>
          <w:color w:val="000000"/>
        </w:rPr>
        <w:t>developing and implementing a comprehensive sexuality education curriculum for both in school and out of school adolescents that provides them with information that is scientifically accurate, evidence-</w:t>
      </w:r>
      <w:proofErr w:type="gramStart"/>
      <w:r>
        <w:rPr>
          <w:color w:val="000000"/>
        </w:rPr>
        <w:t>based</w:t>
      </w:r>
      <w:proofErr w:type="gramEnd"/>
      <w:r>
        <w:rPr>
          <w:color w:val="000000"/>
        </w:rPr>
        <w:t xml:space="preserve"> and age-and-stage-appropriate.</w:t>
      </w:r>
    </w:p>
    <w:p w14:paraId="069B1222" w14:textId="77777777" w:rsidR="000678EC" w:rsidRDefault="00000000">
      <w:pPr>
        <w:pStyle w:val="Heading2"/>
      </w:pPr>
      <w:r>
        <w:t>Lack of access to quality maternal healthcare</w:t>
      </w:r>
    </w:p>
    <w:p w14:paraId="069B1223" w14:textId="7A4EB1C3" w:rsidR="000678EC" w:rsidRDefault="00000000">
      <w:r>
        <w:t xml:space="preserve">Article 13(a)(iii) of the Constitution of Malawi requires the government to address gender equality through “… </w:t>
      </w:r>
      <w:r>
        <w:rPr>
          <w:i/>
        </w:rPr>
        <w:t xml:space="preserve">the implementation of policies to address social issues such as domestic violence, security of the person, </w:t>
      </w:r>
      <w:r>
        <w:rPr>
          <w:i/>
          <w:u w:val="single"/>
        </w:rPr>
        <w:t>lack of maternity benefits</w:t>
      </w:r>
      <w:r>
        <w:rPr>
          <w:i/>
        </w:rPr>
        <w:t>, economic exploitation and rights to property</w:t>
      </w:r>
      <w:r>
        <w:t xml:space="preserve">…”. Although it does not expressly mention maternal healthcare, the </w:t>
      </w:r>
      <w:r>
        <w:rPr>
          <w:b/>
        </w:rPr>
        <w:t>GEA</w:t>
      </w:r>
      <w:r>
        <w:t xml:space="preserve"> in Section 19-20, guarantees every person’s right to sexual and reproductive healthcare and mandates that health officers must respect sexual and reproductive health rights without discrimination and provide services that respect a person’s right to dignity, and integrity and right to free, informed consent. Further the CEDAW, in Article 12(2), requires state parties to “… </w:t>
      </w:r>
      <w:r>
        <w:rPr>
          <w:i/>
        </w:rPr>
        <w:t>ensure to women appropriate services in connection with pregnancy, confinement and the post-natal period, granting free services where necessary, as well as adequate nutrition during pregnancy and lactation</w:t>
      </w:r>
      <w:r>
        <w:t>…”</w:t>
      </w:r>
    </w:p>
    <w:p w14:paraId="069B1224" w14:textId="77777777" w:rsidR="000678EC" w:rsidRDefault="00000000">
      <w:r>
        <w:t>Maternal mortality in Malawi stands at 381 deaths per 100,000 live births. This high rate of maternal mortality persists despite 96% of women in the country having skilled birth attendance and 97% delivering in health facilities.</w:t>
      </w:r>
      <w:r>
        <w:rPr>
          <w:vertAlign w:val="superscript"/>
        </w:rPr>
        <w:footnoteReference w:id="46"/>
      </w:r>
      <w:r>
        <w:t xml:space="preserve"> Majority of pregnant women (86%) go to deliver in government facilities.</w:t>
      </w:r>
      <w:r>
        <w:rPr>
          <w:vertAlign w:val="superscript"/>
        </w:rPr>
        <w:footnoteReference w:id="47"/>
      </w:r>
      <w:r>
        <w:t xml:space="preserve"> According to research, majority of maternal deaths occur among women who accessed healthcare facilities but delayed in deciding to seek care or were delayed in arriving at health facilities or were delayed in receiving services once they were at the facility. All three delays point to health system failures.</w:t>
      </w:r>
      <w:r>
        <w:rPr>
          <w:vertAlign w:val="superscript"/>
        </w:rPr>
        <w:t xml:space="preserve"> </w:t>
      </w:r>
      <w:r>
        <w:rPr>
          <w:vertAlign w:val="superscript"/>
        </w:rPr>
        <w:footnoteReference w:id="48"/>
      </w:r>
      <w:r>
        <w:t xml:space="preserve"> </w:t>
      </w:r>
    </w:p>
    <w:p w14:paraId="069B1225" w14:textId="77777777" w:rsidR="000678EC" w:rsidRDefault="00000000">
      <w:r>
        <w:t xml:space="preserve">The causal link between high maternal deaths and health system failures </w:t>
      </w:r>
      <w:proofErr w:type="gramStart"/>
      <w:r>
        <w:t>is corroborated</w:t>
      </w:r>
      <w:proofErr w:type="gramEnd"/>
      <w:r>
        <w:t xml:space="preserve"> by the findings of research into improvement of quality of maternal healthcare. In 2017, the World Health Organization alongside other national and international partners including the Malawi </w:t>
      </w:r>
      <w:r>
        <w:lastRenderedPageBreak/>
        <w:t>government, launched the Quality of Care for Maternal, Newborn and Child Health Network (“</w:t>
      </w:r>
      <w:r>
        <w:rPr>
          <w:b/>
        </w:rPr>
        <w:t>the QoCN</w:t>
      </w:r>
      <w:r>
        <w:t>”). The data collected from the management, staff and patients of the healthcare facilities in this network, identifies the following inadequacies in the health system: unaffordable costs of healthcare; lack of training and motivation for healthcare providers resulting in absconding as well as unprofessional, disrespectful and, sometimes, abusive treatment; lack of adequate healthcare workers and support personnel; lack of adequate infrastructure including buildings, equipment and commodities; lack of data to inform processes and procedures; lack of leadership; and disruptive events such as COVID-19.</w:t>
      </w:r>
      <w:r>
        <w:rPr>
          <w:vertAlign w:val="superscript"/>
        </w:rPr>
        <w:footnoteReference w:id="49"/>
      </w:r>
      <w:r>
        <w:t xml:space="preserve"> This program has had some successes as research conducted in some health facilities in 2018 and 2019 have found that more women and girls have been encountering healthcare providers who are present, sufficiently trained and treat women and girls with professionalism, care, concern and in a manner that respects their rights to dignity, information and bodily autonomy.</w:t>
      </w:r>
      <w:r>
        <w:rPr>
          <w:vertAlign w:val="superscript"/>
        </w:rPr>
        <w:footnoteReference w:id="50"/>
      </w:r>
      <w:r>
        <w:rPr>
          <w:vertAlign w:val="superscript"/>
        </w:rPr>
        <w:t xml:space="preserve">, </w:t>
      </w:r>
      <w:r>
        <w:rPr>
          <w:vertAlign w:val="superscript"/>
        </w:rPr>
        <w:footnoteReference w:id="51"/>
      </w:r>
    </w:p>
    <w:p w14:paraId="069B1226" w14:textId="149A9FF8" w:rsidR="000678EC" w:rsidRDefault="00000000">
      <w:r>
        <w:t xml:space="preserve">However, </w:t>
      </w:r>
      <w:proofErr w:type="gramStart"/>
      <w:r>
        <w:t>many</w:t>
      </w:r>
      <w:proofErr w:type="gramEnd"/>
      <w:r>
        <w:t xml:space="preserve"> women still report challenges when seeking antenatal care, intra-partum care and post-natal care. For instance, by-laws created and enforced by chiefs to encourage women to seek timely and skilled maternal antenatal and intrapartum care and discourage the enlisting of traditional birth attendants have ended up having a punitive effect on women. While these by-laws vary from village to village, there are </w:t>
      </w:r>
      <w:proofErr w:type="gramStart"/>
      <w:r>
        <w:t>some</w:t>
      </w:r>
      <w:proofErr w:type="gramEnd"/>
      <w:r>
        <w:t xml:space="preserve"> elements that are common across various villages. For instance, by-laws mandating the attendance of at least one antenatal care (“</w:t>
      </w:r>
      <w:r>
        <w:rPr>
          <w:b/>
        </w:rPr>
        <w:t>ANC</w:t>
      </w:r>
      <w:r>
        <w:t xml:space="preserve">”) visit within the first </w:t>
      </w:r>
      <w:r w:rsidR="00544E50">
        <w:t>trimester of</w:t>
      </w:r>
      <w:r>
        <w:t xml:space="preserve"> pregnancy; by-laws requiring the attendance of spouses or partners during antenatal care visits or, where a spouse or partner is not present, a letter from the chief justifying the absence of the spouse or partner; by-laws requiring spouses or partners to provide the supplies needed for child birth such as baby clothes, blankets, soaps and razors; and by-laws that require women to deliver at healthcare facilities. Where these by-laws </w:t>
      </w:r>
      <w:proofErr w:type="gramStart"/>
      <w:r>
        <w:t>are broken</w:t>
      </w:r>
      <w:proofErr w:type="gramEnd"/>
      <w:r>
        <w:t xml:space="preserve">, various fines are imposed such as paying a chicken or a goat or money which can amount to </w:t>
      </w:r>
      <w:r>
        <w:lastRenderedPageBreak/>
        <w:t>25,000 Malawian Kwacha (USD 25). While noble in their intention, these by-laws have had the effect of facilitating and justifying violation of women and girls’ rights. For instance:</w:t>
      </w:r>
      <w:r>
        <w:rPr>
          <w:vertAlign w:val="superscript"/>
        </w:rPr>
        <w:footnoteReference w:id="52"/>
      </w:r>
      <w:r>
        <w:rPr>
          <w:vertAlign w:val="superscript"/>
        </w:rPr>
        <w:t xml:space="preserve">, </w:t>
      </w:r>
      <w:r>
        <w:rPr>
          <w:vertAlign w:val="superscript"/>
        </w:rPr>
        <w:footnoteReference w:id="53"/>
      </w:r>
      <w:r>
        <w:rPr>
          <w:vertAlign w:val="superscript"/>
        </w:rPr>
        <w:t xml:space="preserve">, </w:t>
      </w:r>
      <w:r>
        <w:rPr>
          <w:vertAlign w:val="superscript"/>
        </w:rPr>
        <w:footnoteReference w:id="54"/>
      </w:r>
      <w:r>
        <w:rPr>
          <w:vertAlign w:val="superscript"/>
        </w:rPr>
        <w:t>,</w:t>
      </w:r>
      <w:r>
        <w:rPr>
          <w:vertAlign w:val="superscript"/>
        </w:rPr>
        <w:footnoteReference w:id="55"/>
      </w:r>
    </w:p>
    <w:p w14:paraId="069B1227" w14:textId="02AB03ED" w:rsidR="000678EC" w:rsidRDefault="00000000">
      <w:pPr>
        <w:numPr>
          <w:ilvl w:val="2"/>
          <w:numId w:val="2"/>
        </w:numPr>
        <w:pBdr>
          <w:top w:val="nil"/>
          <w:left w:val="nil"/>
          <w:bottom w:val="nil"/>
          <w:right w:val="nil"/>
          <w:between w:val="nil"/>
        </w:pBdr>
        <w:tabs>
          <w:tab w:val="left" w:pos="426"/>
        </w:tabs>
        <w:spacing w:after="0"/>
        <w:ind w:left="426" w:hanging="426"/>
      </w:pPr>
      <w:proofErr w:type="gramStart"/>
      <w:r>
        <w:rPr>
          <w:color w:val="000000"/>
        </w:rPr>
        <w:t>Some of</w:t>
      </w:r>
      <w:proofErr w:type="gramEnd"/>
      <w:r>
        <w:rPr>
          <w:color w:val="000000"/>
        </w:rPr>
        <w:t xml:space="preserve"> the women who first seek ANC services </w:t>
      </w:r>
      <w:r w:rsidR="00956453">
        <w:rPr>
          <w:color w:val="000000"/>
        </w:rPr>
        <w:t>during their second and third trimester</w:t>
      </w:r>
      <w:r>
        <w:rPr>
          <w:color w:val="000000"/>
        </w:rPr>
        <w:t xml:space="preserve"> report being denied services and sent home to return with the money to pay the fine. Where they are unable to raise the money for the fine and return to the hospital without money, they </w:t>
      </w:r>
      <w:proofErr w:type="gramStart"/>
      <w:r>
        <w:rPr>
          <w:color w:val="000000"/>
        </w:rPr>
        <w:t>are verbally abused</w:t>
      </w:r>
      <w:proofErr w:type="gramEnd"/>
      <w:r>
        <w:rPr>
          <w:color w:val="000000"/>
        </w:rPr>
        <w:t xml:space="preserve"> and, in some instances, still denied services.</w:t>
      </w:r>
    </w:p>
    <w:p w14:paraId="069B1228" w14:textId="77777777" w:rsidR="000678EC" w:rsidRDefault="00000000">
      <w:pPr>
        <w:numPr>
          <w:ilvl w:val="2"/>
          <w:numId w:val="2"/>
        </w:numPr>
        <w:pBdr>
          <w:top w:val="nil"/>
          <w:left w:val="nil"/>
          <w:bottom w:val="nil"/>
          <w:right w:val="nil"/>
          <w:between w:val="nil"/>
        </w:pBdr>
        <w:tabs>
          <w:tab w:val="left" w:pos="426"/>
        </w:tabs>
        <w:spacing w:after="0"/>
        <w:ind w:left="426" w:hanging="426"/>
      </w:pPr>
      <w:r>
        <w:rPr>
          <w:color w:val="000000"/>
        </w:rPr>
        <w:t>Women whose husbands, for cultural or other reasons, refuse to attend ANC clinics, women whose husbands work outside the village and unmarried women often have a difficult time securing this letter from the chief and, in some instances, such women are even denied the letter thus barring them from seeking ANC, delivery or post-natal care because they will be denied services without the letter, and they usually cannot afford to pay the fine.</w:t>
      </w:r>
    </w:p>
    <w:p w14:paraId="069B1229" w14:textId="74C34DF9" w:rsidR="000678EC" w:rsidRDefault="0052165E">
      <w:pPr>
        <w:numPr>
          <w:ilvl w:val="2"/>
          <w:numId w:val="2"/>
        </w:numPr>
        <w:pBdr>
          <w:top w:val="nil"/>
          <w:left w:val="nil"/>
          <w:bottom w:val="nil"/>
          <w:right w:val="nil"/>
          <w:between w:val="nil"/>
        </w:pBdr>
        <w:tabs>
          <w:tab w:val="left" w:pos="426"/>
        </w:tabs>
        <w:ind w:left="426" w:hanging="426"/>
      </w:pPr>
      <w:proofErr w:type="gramStart"/>
      <w:r>
        <w:rPr>
          <w:color w:val="000000"/>
        </w:rPr>
        <w:t>Some</w:t>
      </w:r>
      <w:proofErr w:type="gramEnd"/>
      <w:r>
        <w:rPr>
          <w:color w:val="000000"/>
        </w:rPr>
        <w:t xml:space="preserve"> w</w:t>
      </w:r>
      <w:r w:rsidR="00000000">
        <w:rPr>
          <w:color w:val="000000"/>
        </w:rPr>
        <w:t xml:space="preserve">omen who seek intrapartum care before their husbands or spouses can secure the supplies needed for </w:t>
      </w:r>
      <w:r w:rsidR="00D34DB4">
        <w:rPr>
          <w:color w:val="000000"/>
        </w:rPr>
        <w:t>childbirth report</w:t>
      </w:r>
      <w:r>
        <w:rPr>
          <w:color w:val="000000"/>
        </w:rPr>
        <w:t xml:space="preserve"> being</w:t>
      </w:r>
      <w:r w:rsidR="00000000">
        <w:rPr>
          <w:color w:val="000000"/>
        </w:rPr>
        <w:t xml:space="preserve"> verbally abused and, after delivery, detained in healthcare facilities until their husbands or partners come to provide said supplies or pay for the supplies that the woman was given. It is of note that many healthcare facilities are plagued by overcrowding, poor </w:t>
      </w:r>
      <w:proofErr w:type="gramStart"/>
      <w:r w:rsidR="00000000">
        <w:rPr>
          <w:color w:val="000000"/>
        </w:rPr>
        <w:t>sanitation</w:t>
      </w:r>
      <w:proofErr w:type="gramEnd"/>
      <w:r w:rsidR="00000000">
        <w:rPr>
          <w:color w:val="000000"/>
        </w:rPr>
        <w:t xml:space="preserve"> and inadequate food and these are the conditions in which women are detained. </w:t>
      </w:r>
    </w:p>
    <w:p w14:paraId="069B122A" w14:textId="77777777" w:rsidR="000678EC" w:rsidRDefault="00000000">
      <w:r>
        <w:t>Also, in the context of intra-partum care, women face challenges arising from lack of available facilities, personnel and commodities; delays in receiving care when they arrive at facilities; and disrespectful, abusive and sometimes, criminal treatment from healthcare providers.</w:t>
      </w:r>
      <w:r>
        <w:rPr>
          <w:vertAlign w:val="superscript"/>
        </w:rPr>
        <w:footnoteReference w:id="56"/>
      </w:r>
      <w:r>
        <w:t xml:space="preserve"> These findings were documented in a report developed by the Ombudsman from research conducted in 2018- 2019. The report found that women and girls in public hospitals </w:t>
      </w:r>
      <w:proofErr w:type="gramStart"/>
      <w:r>
        <w:t>are subjected</w:t>
      </w:r>
      <w:proofErr w:type="gramEnd"/>
      <w:r>
        <w:t xml:space="preserve"> to:</w:t>
      </w:r>
      <w:r>
        <w:rPr>
          <w:vertAlign w:val="superscript"/>
        </w:rPr>
        <w:footnoteReference w:id="57"/>
      </w:r>
      <w:r>
        <w:rPr>
          <w:vertAlign w:val="superscript"/>
        </w:rPr>
        <w:t>,</w:t>
      </w:r>
      <w:r>
        <w:t xml:space="preserve"> </w:t>
      </w:r>
      <w:r>
        <w:rPr>
          <w:vertAlign w:val="superscript"/>
        </w:rPr>
        <w:footnoteReference w:id="58"/>
      </w:r>
      <w:r>
        <w:t xml:space="preserve"> </w:t>
      </w:r>
    </w:p>
    <w:p w14:paraId="069B122B" w14:textId="77777777" w:rsidR="000678EC" w:rsidRDefault="00000000">
      <w:pPr>
        <w:numPr>
          <w:ilvl w:val="0"/>
          <w:numId w:val="1"/>
        </w:numPr>
        <w:pBdr>
          <w:top w:val="nil"/>
          <w:left w:val="nil"/>
          <w:bottom w:val="nil"/>
          <w:right w:val="nil"/>
          <w:between w:val="nil"/>
        </w:pBdr>
        <w:spacing w:after="0"/>
        <w:ind w:left="426" w:hanging="426"/>
      </w:pPr>
      <w:r>
        <w:rPr>
          <w:color w:val="000000"/>
        </w:rPr>
        <w:lastRenderedPageBreak/>
        <w:t xml:space="preserve">Negligent provision of maternal health services by healthcare providers resulting in infections and eventually sepsis, which in </w:t>
      </w:r>
      <w:proofErr w:type="gramStart"/>
      <w:r>
        <w:rPr>
          <w:color w:val="000000"/>
        </w:rPr>
        <w:t>some</w:t>
      </w:r>
      <w:proofErr w:type="gramEnd"/>
      <w:r>
        <w:rPr>
          <w:color w:val="000000"/>
        </w:rPr>
        <w:t xml:space="preserve"> cases, becomes so severe that it warrants a hysterectomy. Women also report not </w:t>
      </w:r>
      <w:proofErr w:type="gramStart"/>
      <w:r>
        <w:rPr>
          <w:color w:val="000000"/>
        </w:rPr>
        <w:t>being explained</w:t>
      </w:r>
      <w:proofErr w:type="gramEnd"/>
      <w:r>
        <w:rPr>
          <w:color w:val="000000"/>
        </w:rPr>
        <w:t xml:space="preserve"> to the causes of their infections which makes it impossible for them to seek accountability and redress.</w:t>
      </w:r>
    </w:p>
    <w:p w14:paraId="069B122C" w14:textId="77777777" w:rsidR="000678EC" w:rsidRDefault="00000000">
      <w:pPr>
        <w:numPr>
          <w:ilvl w:val="0"/>
          <w:numId w:val="1"/>
        </w:numPr>
        <w:pBdr>
          <w:top w:val="nil"/>
          <w:left w:val="nil"/>
          <w:bottom w:val="nil"/>
          <w:right w:val="nil"/>
          <w:between w:val="nil"/>
        </w:pBdr>
        <w:spacing w:after="0"/>
        <w:ind w:left="426" w:hanging="426"/>
      </w:pPr>
      <w:r>
        <w:rPr>
          <w:color w:val="000000"/>
        </w:rPr>
        <w:t xml:space="preserve">neglect of pregnant women’s questions, </w:t>
      </w:r>
      <w:proofErr w:type="gramStart"/>
      <w:r>
        <w:rPr>
          <w:color w:val="000000"/>
        </w:rPr>
        <w:t>complaints</w:t>
      </w:r>
      <w:proofErr w:type="gramEnd"/>
      <w:r>
        <w:rPr>
          <w:color w:val="000000"/>
        </w:rPr>
        <w:t xml:space="preserve"> and medical conditions by healthcare providers. For instance, one of the respondents who </w:t>
      </w:r>
      <w:proofErr w:type="gramStart"/>
      <w:r>
        <w:rPr>
          <w:color w:val="000000"/>
        </w:rPr>
        <w:t>was interviewed</w:t>
      </w:r>
      <w:proofErr w:type="gramEnd"/>
      <w:r>
        <w:rPr>
          <w:color w:val="000000"/>
        </w:rPr>
        <w:t xml:space="preserve"> shared that when they took her sister to deliver, the sister was treated by an intern doctor who was negligent and unqualified and, as a result, did not remove the whole placenta. The questions and complaints raised by the respondent about her sister’s condition </w:t>
      </w:r>
      <w:proofErr w:type="gramStart"/>
      <w:r>
        <w:rPr>
          <w:color w:val="000000"/>
        </w:rPr>
        <w:t>were ignored</w:t>
      </w:r>
      <w:proofErr w:type="gramEnd"/>
      <w:r>
        <w:rPr>
          <w:color w:val="000000"/>
        </w:rPr>
        <w:t xml:space="preserve"> for over 10 hours until the sister went into septic shock. Only then did they take her for surgery and the surgery </w:t>
      </w:r>
      <w:proofErr w:type="gramStart"/>
      <w:r>
        <w:rPr>
          <w:color w:val="000000"/>
        </w:rPr>
        <w:t>was negligently performed</w:t>
      </w:r>
      <w:proofErr w:type="gramEnd"/>
      <w:r>
        <w:rPr>
          <w:color w:val="000000"/>
        </w:rPr>
        <w:t xml:space="preserve"> causing the infection to spread to her gastric system. The family eventually transferred her to a private hospital where she received proper treatment and was able to recover but cost the family 1.2 million Kwacha (USD 1,175).</w:t>
      </w:r>
    </w:p>
    <w:p w14:paraId="069B122D" w14:textId="77777777" w:rsidR="000678EC" w:rsidRDefault="00000000">
      <w:pPr>
        <w:numPr>
          <w:ilvl w:val="0"/>
          <w:numId w:val="1"/>
        </w:numPr>
        <w:pBdr>
          <w:top w:val="nil"/>
          <w:left w:val="nil"/>
          <w:bottom w:val="nil"/>
          <w:right w:val="nil"/>
          <w:between w:val="nil"/>
        </w:pBdr>
        <w:spacing w:after="0"/>
        <w:ind w:left="426" w:hanging="426"/>
      </w:pPr>
      <w:r>
        <w:rPr>
          <w:color w:val="000000"/>
        </w:rPr>
        <w:t xml:space="preserve">delays in receiving care when women arrive at health facilities which leads to complications such as raptured uteruses especially among women who have previously delivered via caesarian section. In the case recorded in the Ombudsman’s report, in addition to the hysterectomy, the woman also lost her newborn because of the delays she </w:t>
      </w:r>
      <w:proofErr w:type="gramStart"/>
      <w:r>
        <w:rPr>
          <w:color w:val="000000"/>
        </w:rPr>
        <w:t>was forced</w:t>
      </w:r>
      <w:proofErr w:type="gramEnd"/>
      <w:r>
        <w:rPr>
          <w:color w:val="000000"/>
        </w:rPr>
        <w:t xml:space="preserve"> to endure.</w:t>
      </w:r>
    </w:p>
    <w:p w14:paraId="069B122E" w14:textId="3274E30D" w:rsidR="000678EC" w:rsidRDefault="00000000">
      <w:pPr>
        <w:numPr>
          <w:ilvl w:val="0"/>
          <w:numId w:val="1"/>
        </w:numPr>
        <w:pBdr>
          <w:top w:val="nil"/>
          <w:left w:val="nil"/>
          <w:bottom w:val="nil"/>
          <w:right w:val="nil"/>
          <w:between w:val="nil"/>
        </w:pBdr>
        <w:ind w:left="426" w:hanging="426"/>
      </w:pPr>
      <w:r>
        <w:rPr>
          <w:color w:val="000000"/>
        </w:rPr>
        <w:t>medical procedures they do not need. As one respondent who worked in a public hospital explained: “…</w:t>
      </w:r>
      <w:r>
        <w:rPr>
          <w:i/>
          <w:color w:val="000000"/>
        </w:rPr>
        <w:t xml:space="preserve">There is also a tendency at Gynaecology department that once someone </w:t>
      </w:r>
      <w:proofErr w:type="gramStart"/>
      <w:r>
        <w:rPr>
          <w:i/>
          <w:color w:val="000000"/>
        </w:rPr>
        <w:t>is diagnosed</w:t>
      </w:r>
      <w:proofErr w:type="gramEnd"/>
      <w:r>
        <w:rPr>
          <w:i/>
          <w:color w:val="000000"/>
        </w:rPr>
        <w:t xml:space="preserve"> with a fibroid, they rush to do a hysterectomy</w:t>
      </w:r>
      <w:r>
        <w:rPr>
          <w:color w:val="000000"/>
        </w:rPr>
        <w:t xml:space="preserve">. </w:t>
      </w:r>
      <w:r>
        <w:rPr>
          <w:i/>
          <w:color w:val="000000"/>
        </w:rPr>
        <w:t xml:space="preserve">I personally saved about </w:t>
      </w:r>
      <w:proofErr w:type="gramStart"/>
      <w:r>
        <w:rPr>
          <w:i/>
          <w:color w:val="000000"/>
        </w:rPr>
        <w:t>6</w:t>
      </w:r>
      <w:proofErr w:type="gramEnd"/>
      <w:r>
        <w:rPr>
          <w:i/>
          <w:color w:val="000000"/>
        </w:rPr>
        <w:t xml:space="preserve"> women who were on their way to the theatre for hysterectomy just because they had a fibroid</w:t>
      </w:r>
      <w:r>
        <w:rPr>
          <w:color w:val="000000"/>
        </w:rPr>
        <w:t>.”</w:t>
      </w:r>
      <w:r w:rsidR="00F02123">
        <w:rPr>
          <w:rStyle w:val="FootnoteReference"/>
          <w:color w:val="000000"/>
        </w:rPr>
        <w:footnoteReference w:id="59"/>
      </w:r>
    </w:p>
    <w:p w14:paraId="069B122F" w14:textId="77777777" w:rsidR="000678EC" w:rsidRDefault="00000000">
      <w:r>
        <w:t xml:space="preserve">The investigation conducted by the Ombudsman into these occurrences found that most of them tie back to the government’s failure to ensure available, </w:t>
      </w:r>
      <w:proofErr w:type="gramStart"/>
      <w:r>
        <w:t>accessible</w:t>
      </w:r>
      <w:proofErr w:type="gramEnd"/>
      <w:r>
        <w:t xml:space="preserve"> and quality maternal healthcare. For example, the negligence, neglect and delays were attributed to insufficient numbers of staff such as doctors, clinicians and nurses; insufficient number of operation theatres and insufficient amounts of ward space and bed capacity; lack of equipment and supplies including lack of running water for 8-10 hours in the maternity wards and operation theatres, lack of suturing materials and lack of medication including antibiotics; failure to adhere to service standards; and poor implementation of accountability and disciplinary measures.</w:t>
      </w:r>
      <w:r>
        <w:rPr>
          <w:vertAlign w:val="superscript"/>
        </w:rPr>
        <w:footnoteReference w:id="60"/>
      </w:r>
      <w:r>
        <w:t xml:space="preserve"> These findings are attributable to the government consistently failing to allocate sufficient funds to </w:t>
      </w:r>
      <w:r>
        <w:lastRenderedPageBreak/>
        <w:t xml:space="preserve">healthcare in accordance with the International Conference of Population Development Plan of Action- which Malawi is a party to. For instance, in the 2023/2024 </w:t>
      </w:r>
      <w:proofErr w:type="gramStart"/>
      <w:r>
        <w:t>financial year</w:t>
      </w:r>
      <w:proofErr w:type="gramEnd"/>
      <w:r>
        <w:t>, Malawi has allocated only 8.7% of the total national budget to healthcare.</w:t>
      </w:r>
      <w:r>
        <w:rPr>
          <w:vertAlign w:val="superscript"/>
        </w:rPr>
        <w:footnoteReference w:id="61"/>
      </w:r>
    </w:p>
    <w:p w14:paraId="069B1230" w14:textId="77777777" w:rsidR="000678EC" w:rsidRDefault="00000000">
      <w:r>
        <w:t>The 2023 review of the QoCN identified the following health system challenges which align with the findings of the Ombudsman’s report: inadequate infrastructure including old buildings and outdated equipment; inadequate resources; high rates of staff turnover; failure to sustain the use of online resources such as the Continuous Professional Development programme; and cultural resistance to implementing new healthcare standards.</w:t>
      </w:r>
      <w:r>
        <w:rPr>
          <w:vertAlign w:val="superscript"/>
        </w:rPr>
        <w:footnoteReference w:id="62"/>
      </w:r>
    </w:p>
    <w:p w14:paraId="069B1231" w14:textId="77777777" w:rsidR="000678EC" w:rsidRDefault="00000000">
      <w:r>
        <w:t>In the context of post-natal care, data shows a consistent trend of prioritizing the health of the infant over that of the mother as opposed to prioritizing the health of both. For example, national statistics show that 88% of infants received post-natal care from a trained health professional within 2 days of birth as compared to 84% of women and girls who had delivered.</w:t>
      </w:r>
      <w:r>
        <w:rPr>
          <w:vertAlign w:val="superscript"/>
        </w:rPr>
        <w:footnoteReference w:id="63"/>
      </w:r>
    </w:p>
    <w:p w14:paraId="069B1232" w14:textId="470DC11C" w:rsidR="000678EC" w:rsidRDefault="00000000">
      <w:proofErr w:type="gramStart"/>
      <w:r>
        <w:t>In light of</w:t>
      </w:r>
      <w:proofErr w:type="gramEnd"/>
      <w:r>
        <w:t xml:space="preserve"> the above, Nyale Institute, CHRR, YOWCO and the Center hope that the Committee will consider asking the Government of Malawi </w:t>
      </w:r>
      <w:r w:rsidR="0052165E">
        <w:t xml:space="preserve">to provide information on </w:t>
      </w:r>
      <w:r>
        <w:t>the measures it has put in place to:</w:t>
      </w:r>
    </w:p>
    <w:p w14:paraId="069B1233" w14:textId="77777777" w:rsidR="000678EC" w:rsidRDefault="00000000">
      <w:pPr>
        <w:numPr>
          <w:ilvl w:val="0"/>
          <w:numId w:val="8"/>
        </w:numPr>
        <w:pBdr>
          <w:top w:val="nil"/>
          <w:left w:val="nil"/>
          <w:bottom w:val="nil"/>
          <w:right w:val="nil"/>
          <w:between w:val="nil"/>
        </w:pBdr>
        <w:spacing w:after="0"/>
        <w:ind w:left="426" w:hanging="426"/>
      </w:pPr>
      <w:r>
        <w:rPr>
          <w:color w:val="000000"/>
        </w:rPr>
        <w:t xml:space="preserve">Ensure availability of maternal health services, including ensuring adequate numbers of healthcare providers who </w:t>
      </w:r>
      <w:proofErr w:type="gramStart"/>
      <w:r>
        <w:rPr>
          <w:color w:val="000000"/>
        </w:rPr>
        <w:t>are sufficiently trained</w:t>
      </w:r>
      <w:proofErr w:type="gramEnd"/>
      <w:r>
        <w:rPr>
          <w:color w:val="000000"/>
        </w:rPr>
        <w:t xml:space="preserve"> and remunerated as well as ensuring availability of sufficient health equipment and commodities.</w:t>
      </w:r>
    </w:p>
    <w:p w14:paraId="069B1234" w14:textId="77777777" w:rsidR="000678EC" w:rsidRDefault="00000000">
      <w:pPr>
        <w:numPr>
          <w:ilvl w:val="0"/>
          <w:numId w:val="8"/>
        </w:numPr>
        <w:pBdr>
          <w:top w:val="nil"/>
          <w:left w:val="nil"/>
          <w:bottom w:val="nil"/>
          <w:right w:val="nil"/>
          <w:between w:val="nil"/>
        </w:pBdr>
        <w:spacing w:after="0"/>
        <w:ind w:left="426" w:hanging="426"/>
      </w:pPr>
      <w:r>
        <w:rPr>
          <w:color w:val="000000"/>
        </w:rPr>
        <w:t>Ensure the quality of maternal healthcare through preventing and addressing obstetric violence, including verbal abuse; neglect from healthcare providers; performing health procedures without free, informed consent from patients; negligence by healthcare providers; and detention of women and girls for inability to pay medical costs.</w:t>
      </w:r>
    </w:p>
    <w:p w14:paraId="069B1235" w14:textId="7309FF8D" w:rsidR="000678EC" w:rsidRDefault="00000000">
      <w:pPr>
        <w:numPr>
          <w:ilvl w:val="0"/>
          <w:numId w:val="8"/>
        </w:numPr>
        <w:pBdr>
          <w:top w:val="nil"/>
          <w:left w:val="nil"/>
          <w:bottom w:val="nil"/>
          <w:right w:val="nil"/>
          <w:between w:val="nil"/>
        </w:pBdr>
        <w:spacing w:after="0"/>
        <w:ind w:left="426" w:hanging="426"/>
      </w:pPr>
      <w:r>
        <w:rPr>
          <w:color w:val="000000"/>
        </w:rPr>
        <w:t>Ensure access to justice for women</w:t>
      </w:r>
      <w:r w:rsidR="008D6FF6">
        <w:rPr>
          <w:color w:val="000000"/>
        </w:rPr>
        <w:t>,</w:t>
      </w:r>
      <w:r>
        <w:rPr>
          <w:color w:val="000000"/>
        </w:rPr>
        <w:t xml:space="preserve"> girls </w:t>
      </w:r>
      <w:r w:rsidR="008D6FF6">
        <w:rPr>
          <w:color w:val="000000"/>
        </w:rPr>
        <w:t xml:space="preserve">and pregnant people </w:t>
      </w:r>
      <w:r>
        <w:rPr>
          <w:color w:val="000000"/>
        </w:rPr>
        <w:t xml:space="preserve">who </w:t>
      </w:r>
      <w:proofErr w:type="gramStart"/>
      <w:r>
        <w:rPr>
          <w:color w:val="000000"/>
        </w:rPr>
        <w:t>are subjected</w:t>
      </w:r>
      <w:proofErr w:type="gramEnd"/>
      <w:r>
        <w:rPr>
          <w:color w:val="000000"/>
        </w:rPr>
        <w:t xml:space="preserve"> to obstetric violence.</w:t>
      </w:r>
    </w:p>
    <w:p w14:paraId="069B1236" w14:textId="77777777" w:rsidR="000678EC" w:rsidRDefault="00000000">
      <w:pPr>
        <w:numPr>
          <w:ilvl w:val="0"/>
          <w:numId w:val="8"/>
        </w:numPr>
        <w:pBdr>
          <w:top w:val="nil"/>
          <w:left w:val="nil"/>
          <w:bottom w:val="nil"/>
          <w:right w:val="nil"/>
          <w:between w:val="nil"/>
        </w:pBdr>
        <w:spacing w:after="0"/>
        <w:ind w:left="426" w:hanging="426"/>
      </w:pPr>
      <w:r>
        <w:rPr>
          <w:color w:val="000000"/>
        </w:rPr>
        <w:t xml:space="preserve">Ensure equal access to post-natal care for women, </w:t>
      </w:r>
      <w:proofErr w:type="gramStart"/>
      <w:r>
        <w:rPr>
          <w:color w:val="000000"/>
        </w:rPr>
        <w:t>girls</w:t>
      </w:r>
      <w:proofErr w:type="gramEnd"/>
      <w:r>
        <w:rPr>
          <w:color w:val="000000"/>
        </w:rPr>
        <w:t xml:space="preserve"> and their newborns.</w:t>
      </w:r>
    </w:p>
    <w:p w14:paraId="069B1237" w14:textId="77777777" w:rsidR="000678EC" w:rsidRDefault="00000000">
      <w:pPr>
        <w:numPr>
          <w:ilvl w:val="0"/>
          <w:numId w:val="8"/>
        </w:numPr>
        <w:pBdr>
          <w:top w:val="nil"/>
          <w:left w:val="nil"/>
          <w:bottom w:val="nil"/>
          <w:right w:val="nil"/>
          <w:between w:val="nil"/>
        </w:pBdr>
        <w:spacing w:after="0"/>
        <w:ind w:left="426" w:hanging="426"/>
      </w:pPr>
      <w:r>
        <w:rPr>
          <w:color w:val="000000"/>
        </w:rPr>
        <w:t>Ensure accessibility of maternal healthcare including ensuring affordability of health services and commodities.</w:t>
      </w:r>
    </w:p>
    <w:p w14:paraId="069B1238" w14:textId="77777777" w:rsidR="000678EC" w:rsidRDefault="00000000">
      <w:pPr>
        <w:numPr>
          <w:ilvl w:val="0"/>
          <w:numId w:val="8"/>
        </w:numPr>
        <w:pBdr>
          <w:top w:val="nil"/>
          <w:left w:val="nil"/>
          <w:bottom w:val="nil"/>
          <w:right w:val="nil"/>
          <w:between w:val="nil"/>
        </w:pBdr>
        <w:ind w:left="426" w:hanging="426"/>
      </w:pPr>
      <w:r>
        <w:rPr>
          <w:color w:val="000000"/>
        </w:rPr>
        <w:lastRenderedPageBreak/>
        <w:t>Review village by-laws on seeking ante-natal and intrapartum care and address the violations they occasion.</w:t>
      </w:r>
    </w:p>
    <w:p w14:paraId="069B1239" w14:textId="77777777" w:rsidR="000678EC" w:rsidRDefault="00000000">
      <w:r>
        <w:t>We also hope that the Committee will consider recommending that the Government of Malawi:</w:t>
      </w:r>
    </w:p>
    <w:p w14:paraId="069B123A" w14:textId="77777777" w:rsidR="000678EC" w:rsidRDefault="00000000">
      <w:pPr>
        <w:numPr>
          <w:ilvl w:val="0"/>
          <w:numId w:val="9"/>
        </w:numPr>
        <w:pBdr>
          <w:top w:val="nil"/>
          <w:left w:val="nil"/>
          <w:bottom w:val="nil"/>
          <w:right w:val="nil"/>
          <w:between w:val="nil"/>
        </w:pBdr>
        <w:spacing w:after="0"/>
        <w:ind w:left="426" w:hanging="426"/>
      </w:pPr>
      <w:r>
        <w:rPr>
          <w:color w:val="000000"/>
        </w:rPr>
        <w:t xml:space="preserve">Put in place all necessary measures, including legislative, </w:t>
      </w:r>
      <w:proofErr w:type="gramStart"/>
      <w:r>
        <w:rPr>
          <w:color w:val="000000"/>
        </w:rPr>
        <w:t>administrative</w:t>
      </w:r>
      <w:proofErr w:type="gramEnd"/>
      <w:r>
        <w:rPr>
          <w:color w:val="000000"/>
        </w:rPr>
        <w:t xml:space="preserve"> and budgetary measures to ensure availability and accessibility of maternal healthcare;</w:t>
      </w:r>
    </w:p>
    <w:p w14:paraId="069B123B" w14:textId="77777777" w:rsidR="000678EC" w:rsidRDefault="00000000">
      <w:pPr>
        <w:numPr>
          <w:ilvl w:val="0"/>
          <w:numId w:val="9"/>
        </w:numPr>
        <w:pBdr>
          <w:top w:val="nil"/>
          <w:left w:val="nil"/>
          <w:bottom w:val="nil"/>
          <w:right w:val="nil"/>
          <w:between w:val="nil"/>
        </w:pBdr>
        <w:spacing w:after="0"/>
        <w:ind w:left="426" w:hanging="426"/>
      </w:pPr>
      <w:r>
        <w:rPr>
          <w:color w:val="000000"/>
        </w:rPr>
        <w:t>Put in place all necessary measures to prevent and address all forms of obstetric violence and ensure survivors have access to prompt and effective remedies.</w:t>
      </w:r>
    </w:p>
    <w:p w14:paraId="069B123C" w14:textId="77777777" w:rsidR="000678EC" w:rsidRDefault="00000000">
      <w:pPr>
        <w:numPr>
          <w:ilvl w:val="0"/>
          <w:numId w:val="9"/>
        </w:numPr>
        <w:pBdr>
          <w:top w:val="nil"/>
          <w:left w:val="nil"/>
          <w:bottom w:val="nil"/>
          <w:right w:val="nil"/>
          <w:between w:val="nil"/>
        </w:pBdr>
        <w:ind w:left="426" w:hanging="426"/>
      </w:pPr>
      <w:r>
        <w:rPr>
          <w:color w:val="000000"/>
        </w:rPr>
        <w:t>Put in place measures to review and amend village by-laws to ensure they do not have a punitive effect, either directly or indirectly, on pregnant persons.</w:t>
      </w:r>
    </w:p>
    <w:p w14:paraId="069B123D" w14:textId="0A98C77B" w:rsidR="000678EC" w:rsidRDefault="00000000" w:rsidP="00F02123">
      <w:pPr>
        <w:pStyle w:val="Heading2"/>
      </w:pPr>
      <w:r>
        <w:rPr>
          <w:rFonts w:eastAsia="Palatino Linotype"/>
        </w:rPr>
        <w:t>Conclusion</w:t>
      </w:r>
    </w:p>
    <w:p w14:paraId="069B123E" w14:textId="64BC3FFF" w:rsidR="000678EC" w:rsidRDefault="00000000" w:rsidP="00E76D02">
      <w:pPr>
        <w:spacing w:before="240" w:after="240"/>
      </w:pPr>
      <w:r>
        <w:rPr>
          <w:color w:val="000000"/>
        </w:rPr>
        <w:t>Malawi has made commendable efforts in domesticating and enacting legal provisions that align with the principles of CEDAW. However, barriers and challenges persist in realizing women</w:t>
      </w:r>
      <w:r w:rsidR="008D6FF6">
        <w:rPr>
          <w:color w:val="000000"/>
        </w:rPr>
        <w:t>,</w:t>
      </w:r>
      <w:r>
        <w:rPr>
          <w:color w:val="000000"/>
        </w:rPr>
        <w:t xml:space="preserve"> girls</w:t>
      </w:r>
      <w:r w:rsidR="008D6FF6">
        <w:rPr>
          <w:color w:val="000000"/>
        </w:rPr>
        <w:t xml:space="preserve"> and pregnant people’s</w:t>
      </w:r>
      <w:r>
        <w:rPr>
          <w:color w:val="000000"/>
        </w:rPr>
        <w:t xml:space="preserve"> sexual and reproductive health rights and justice, necessitating urgent action from the government and its partners. We hope that the Committee will consider the recommendations in this submission and engage with the Malawian government to ensure the effective implementation of CEDAW in the country and related domestic laws. </w:t>
      </w:r>
    </w:p>
    <w:p w14:paraId="069B123F" w14:textId="77777777" w:rsidR="000678EC" w:rsidRDefault="000678EC"/>
    <w:p w14:paraId="069B1240" w14:textId="77777777" w:rsidR="000678EC" w:rsidRDefault="000678EC"/>
    <w:p w14:paraId="069B1241" w14:textId="77777777" w:rsidR="000678EC" w:rsidRDefault="00000000">
      <w:r>
        <w:t xml:space="preserve"> </w:t>
      </w:r>
    </w:p>
    <w:sectPr w:rsidR="000678EC">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1214" w14:textId="77777777" w:rsidR="0043191E" w:rsidRDefault="0043191E">
      <w:pPr>
        <w:spacing w:after="0" w:line="240" w:lineRule="auto"/>
      </w:pPr>
      <w:r>
        <w:separator/>
      </w:r>
    </w:p>
  </w:endnote>
  <w:endnote w:type="continuationSeparator" w:id="0">
    <w:p w14:paraId="37DA3548" w14:textId="77777777" w:rsidR="0043191E" w:rsidRDefault="0043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w:altName w:val="Book Antiqua"/>
    <w:panose1 w:val="020406020503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930129"/>
      <w:docPartObj>
        <w:docPartGallery w:val="Page Numbers (Bottom of Page)"/>
        <w:docPartUnique/>
      </w:docPartObj>
    </w:sdtPr>
    <w:sdtEndPr>
      <w:rPr>
        <w:noProof/>
      </w:rPr>
    </w:sdtEndPr>
    <w:sdtContent>
      <w:p w14:paraId="2AD77638" w14:textId="076E07E6" w:rsidR="00D0353B" w:rsidRDefault="00D035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9B124D" w14:textId="77777777" w:rsidR="000678EC" w:rsidRDefault="000678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6D009" w14:textId="77777777" w:rsidR="0043191E" w:rsidRDefault="0043191E">
      <w:pPr>
        <w:spacing w:after="0" w:line="240" w:lineRule="auto"/>
      </w:pPr>
      <w:r>
        <w:separator/>
      </w:r>
    </w:p>
  </w:footnote>
  <w:footnote w:type="continuationSeparator" w:id="0">
    <w:p w14:paraId="79B06AE0" w14:textId="77777777" w:rsidR="0043191E" w:rsidRDefault="0043191E">
      <w:pPr>
        <w:spacing w:after="0" w:line="240" w:lineRule="auto"/>
      </w:pPr>
      <w:r>
        <w:continuationSeparator/>
      </w:r>
    </w:p>
  </w:footnote>
  <w:footnote w:id="1">
    <w:p w14:paraId="069B124E"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211, Constitution of Malawi, 1994</w:t>
      </w:r>
    </w:p>
  </w:footnote>
  <w:footnote w:id="2">
    <w:p w14:paraId="069B124F"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8-10, Gender Equality Act, Chapter 25:06</w:t>
      </w:r>
    </w:p>
  </w:footnote>
  <w:footnote w:id="3">
    <w:p w14:paraId="069B1250"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Eighth periodic report submitted by Malawi under article 18 of the Convention, due in 2019.</w:t>
      </w:r>
      <w:r>
        <w:rPr>
          <w:color w:val="000000"/>
          <w:sz w:val="20"/>
          <w:szCs w:val="20"/>
        </w:rPr>
        <w:t xml:space="preserve"> (2021). UN Document CEDAW/C/MWI/8. Paragraph 9-10.</w:t>
      </w:r>
    </w:p>
  </w:footnote>
  <w:footnote w:id="4">
    <w:p w14:paraId="069B1251"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Replies of Malawi to the list of issues and questions in relation to its eighth periodic report</w:t>
      </w:r>
      <w:r>
        <w:rPr>
          <w:color w:val="000000"/>
          <w:sz w:val="20"/>
          <w:szCs w:val="20"/>
        </w:rPr>
        <w:t>. (2023). UN Document CEDAW/C/MWI/R Q/8. Paragraph 35, 38-39.</w:t>
      </w:r>
    </w:p>
  </w:footnote>
  <w:footnote w:id="5">
    <w:p w14:paraId="069B1252"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Mkwanda N. (2023). </w:t>
      </w:r>
      <w:r>
        <w:rPr>
          <w:i/>
          <w:color w:val="000000"/>
          <w:sz w:val="20"/>
          <w:szCs w:val="20"/>
        </w:rPr>
        <w:t xml:space="preserve">MHRC commissioners mandate expires, bid farewell. </w:t>
      </w:r>
      <w:r>
        <w:rPr>
          <w:color w:val="000000"/>
          <w:sz w:val="20"/>
          <w:szCs w:val="20"/>
        </w:rPr>
        <w:t>Nyasa Times</w:t>
      </w:r>
      <w:r>
        <w:rPr>
          <w:i/>
          <w:color w:val="000000"/>
          <w:sz w:val="20"/>
          <w:szCs w:val="20"/>
        </w:rPr>
        <w:t>.</w:t>
      </w:r>
      <w:r>
        <w:rPr>
          <w:color w:val="000000"/>
          <w:sz w:val="20"/>
          <w:szCs w:val="20"/>
        </w:rPr>
        <w:t xml:space="preserve"> Accessed on 25</w:t>
      </w:r>
      <w:r>
        <w:rPr>
          <w:color w:val="000000"/>
          <w:sz w:val="20"/>
          <w:szCs w:val="20"/>
          <w:vertAlign w:val="superscript"/>
        </w:rPr>
        <w:t xml:space="preserve">th </w:t>
      </w:r>
      <w:r>
        <w:rPr>
          <w:color w:val="000000"/>
          <w:sz w:val="20"/>
          <w:szCs w:val="20"/>
        </w:rPr>
        <w:t xml:space="preserve">August 2023. Available at: https://www.nyasatimes.com/mhrc-commissioners-mandate-expires-bid-farewell/ </w:t>
      </w:r>
    </w:p>
  </w:footnote>
  <w:footnote w:id="6">
    <w:p w14:paraId="069B1253"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Polis CB, Mhango C, Philbin J, Chimwaza W, Chipeta E, Msusa A. (2017). </w:t>
      </w:r>
      <w:r>
        <w:rPr>
          <w:i/>
          <w:color w:val="000000"/>
          <w:sz w:val="20"/>
          <w:szCs w:val="20"/>
        </w:rPr>
        <w:t>Incidence of induced abortion in Malawi, 2015</w:t>
      </w:r>
      <w:r>
        <w:rPr>
          <w:color w:val="000000"/>
          <w:sz w:val="20"/>
          <w:szCs w:val="20"/>
        </w:rPr>
        <w:t>. PLoS ONE</w:t>
      </w:r>
    </w:p>
  </w:footnote>
  <w:footnote w:id="7">
    <w:p w14:paraId="069B1254"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Report of the Law Commission on the Review of the Law on Abortion, Law Commission Report No. 29, Malawi Gazette Supplement (2016).</w:t>
      </w:r>
    </w:p>
  </w:footnote>
  <w:footnote w:id="8">
    <w:p w14:paraId="069B1255"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African Population and Health Research Center, </w:t>
      </w:r>
      <w:r>
        <w:rPr>
          <w:i/>
          <w:color w:val="000000"/>
          <w:sz w:val="20"/>
          <w:szCs w:val="20"/>
        </w:rPr>
        <w:t xml:space="preserve">Impact of the COVID-19 Pandemic on Sexual and Reproductive Health Services in Burkina Faso, Ethiopia, Kenya, </w:t>
      </w:r>
      <w:proofErr w:type="gramStart"/>
      <w:r>
        <w:rPr>
          <w:i/>
          <w:color w:val="000000"/>
          <w:sz w:val="20"/>
          <w:szCs w:val="20"/>
        </w:rPr>
        <w:t>Malawi</w:t>
      </w:r>
      <w:proofErr w:type="gramEnd"/>
      <w:r>
        <w:rPr>
          <w:i/>
          <w:color w:val="000000"/>
          <w:sz w:val="20"/>
          <w:szCs w:val="20"/>
        </w:rPr>
        <w:t xml:space="preserve"> and Uganda</w:t>
      </w:r>
      <w:r>
        <w:rPr>
          <w:color w:val="000000"/>
          <w:sz w:val="20"/>
          <w:szCs w:val="20"/>
        </w:rPr>
        <w:t xml:space="preserve">, 2021.  </w:t>
      </w:r>
    </w:p>
  </w:footnote>
  <w:footnote w:id="9">
    <w:p w14:paraId="069B1256"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Polis CB, Mhango C, Philbin J, Chimwaza W, Chipeta E, Msusa A (2017) </w:t>
      </w:r>
      <w:r>
        <w:rPr>
          <w:i/>
          <w:color w:val="000000"/>
          <w:sz w:val="20"/>
          <w:szCs w:val="20"/>
        </w:rPr>
        <w:t>Incidence of induced abortion in Malawi, 2015</w:t>
      </w:r>
      <w:r>
        <w:rPr>
          <w:color w:val="000000"/>
          <w:sz w:val="20"/>
          <w:szCs w:val="20"/>
        </w:rPr>
        <w:t>. PLoS ONE</w:t>
      </w:r>
    </w:p>
  </w:footnote>
  <w:footnote w:id="10">
    <w:p w14:paraId="069B1257"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General recommendation No. 24: Article 12 of the Convention (women and health)</w:t>
      </w:r>
      <w:r>
        <w:rPr>
          <w:color w:val="000000"/>
          <w:sz w:val="20"/>
          <w:szCs w:val="20"/>
        </w:rPr>
        <w:t>. (1999). Paragraph 11.</w:t>
      </w:r>
    </w:p>
  </w:footnote>
  <w:footnote w:id="11">
    <w:p w14:paraId="069B1258"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w:t>
      </w:r>
      <w:r>
        <w:rPr>
          <w:i/>
          <w:color w:val="000000"/>
          <w:sz w:val="20"/>
          <w:szCs w:val="20"/>
        </w:rPr>
        <w:t>General comment No. 22 (2016) on the right to sexual and reproductive health (article 12 of the International Covenant on Economic, Social and Cultural Rights)</w:t>
      </w:r>
      <w:r>
        <w:rPr>
          <w:color w:val="000000"/>
          <w:sz w:val="20"/>
          <w:szCs w:val="20"/>
        </w:rPr>
        <w:t>. UN Document E/C.12/GC/22. Paragraph 12 and 49.</w:t>
      </w:r>
    </w:p>
  </w:footnote>
  <w:footnote w:id="12">
    <w:p w14:paraId="069B1259"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6, </w:t>
      </w:r>
      <w:r>
        <w:rPr>
          <w:i/>
          <w:color w:val="000000"/>
          <w:sz w:val="20"/>
          <w:szCs w:val="20"/>
        </w:rPr>
        <w:t>Maintaining essential health services: operational guidance for the COVID-19 context: Interim guidance</w:t>
      </w:r>
      <w:r>
        <w:rPr>
          <w:color w:val="000000"/>
          <w:sz w:val="20"/>
          <w:szCs w:val="20"/>
        </w:rPr>
        <w:t>, World Health Organization (2020)</w:t>
      </w:r>
    </w:p>
  </w:footnote>
  <w:footnote w:id="13">
    <w:p w14:paraId="069B125A"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List of issues and questions in relation to the eighth periodic report of Malawi</w:t>
      </w:r>
      <w:r>
        <w:rPr>
          <w:color w:val="000000"/>
          <w:sz w:val="20"/>
          <w:szCs w:val="20"/>
        </w:rPr>
        <w:t>. (2022). UN Document CEDAW/C/MWI/Q/8. Paragraph 18(b).</w:t>
      </w:r>
    </w:p>
  </w:footnote>
  <w:footnote w:id="14">
    <w:p w14:paraId="069B125B"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Eighth periodic report submitted by Malawi under article 18 of the Convention, due in 2019.</w:t>
      </w:r>
      <w:r>
        <w:rPr>
          <w:color w:val="000000"/>
          <w:sz w:val="20"/>
          <w:szCs w:val="20"/>
        </w:rPr>
        <w:t xml:space="preserve"> (2021). UN Document CEDAW/C/MWI/8. Paragraph 89.</w:t>
      </w:r>
    </w:p>
  </w:footnote>
  <w:footnote w:id="15">
    <w:p w14:paraId="069B125C"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Replies of Malawi to the list of issues and questions in relation to its eighth periodic report</w:t>
      </w:r>
      <w:r>
        <w:rPr>
          <w:color w:val="000000"/>
          <w:sz w:val="20"/>
          <w:szCs w:val="20"/>
        </w:rPr>
        <w:t>. (2023). UN Document CEDAW/C/MWI/R Q/8. Paragraph 79-83.</w:t>
      </w:r>
    </w:p>
  </w:footnote>
  <w:footnote w:id="16">
    <w:p w14:paraId="069B125D"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78-87, Report of the Law Commission on the Review of the Law on Abortion, Law Commission Report No. 29, Malawi Gazette Supplement (2016).</w:t>
      </w:r>
    </w:p>
  </w:footnote>
  <w:footnote w:id="17">
    <w:p w14:paraId="069B125E"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Replies of Malawi to the list of issues and questions in relation to its eighth periodic report</w:t>
      </w:r>
      <w:r>
        <w:rPr>
          <w:color w:val="000000"/>
          <w:sz w:val="20"/>
          <w:szCs w:val="20"/>
        </w:rPr>
        <w:t>. (2023). UN Document CEDAW/C/MWI/R Q/8. Paragraph 80.</w:t>
      </w:r>
    </w:p>
  </w:footnote>
  <w:footnote w:id="18">
    <w:p w14:paraId="069B125F"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Judicial Review Cause No 03 of 2021</w:t>
      </w:r>
    </w:p>
  </w:footnote>
  <w:footnote w:id="19">
    <w:p w14:paraId="069B1260" w14:textId="67417655"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15, </w:t>
      </w:r>
      <w:r>
        <w:rPr>
          <w:i/>
          <w:color w:val="000000"/>
          <w:sz w:val="20"/>
          <w:szCs w:val="20"/>
          <w:u w:val="single"/>
        </w:rPr>
        <w:t xml:space="preserve">The State (On application by HM (guardian) on behalf of CM (minor)) v The Hospital Director </w:t>
      </w:r>
      <w:r w:rsidR="00F119BD">
        <w:rPr>
          <w:i/>
          <w:color w:val="000000"/>
          <w:sz w:val="20"/>
          <w:szCs w:val="20"/>
          <w:u w:val="single"/>
        </w:rPr>
        <w:t>of</w:t>
      </w:r>
      <w:r>
        <w:rPr>
          <w:i/>
          <w:color w:val="000000"/>
          <w:sz w:val="20"/>
          <w:szCs w:val="20"/>
          <w:u w:val="single"/>
        </w:rPr>
        <w:t xml:space="preserve"> Queen Elizabeth Central and </w:t>
      </w:r>
      <w:proofErr w:type="gramStart"/>
      <w:r>
        <w:rPr>
          <w:i/>
          <w:color w:val="000000"/>
          <w:sz w:val="20"/>
          <w:szCs w:val="20"/>
          <w:u w:val="single"/>
        </w:rPr>
        <w:t>1</w:t>
      </w:r>
      <w:proofErr w:type="gramEnd"/>
      <w:r>
        <w:rPr>
          <w:i/>
          <w:color w:val="000000"/>
          <w:sz w:val="20"/>
          <w:szCs w:val="20"/>
          <w:u w:val="single"/>
        </w:rPr>
        <w:t xml:space="preserve"> other</w:t>
      </w:r>
      <w:r>
        <w:rPr>
          <w:color w:val="000000"/>
          <w:sz w:val="20"/>
          <w:szCs w:val="20"/>
        </w:rPr>
        <w:t>, Judicial Review Cause No 03 of 2021.</w:t>
      </w:r>
    </w:p>
  </w:footnote>
  <w:footnote w:id="20">
    <w:p w14:paraId="069B1261" w14:textId="342F5AFE"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 </w:t>
      </w:r>
      <w:r>
        <w:rPr>
          <w:i/>
          <w:color w:val="000000"/>
          <w:sz w:val="20"/>
          <w:szCs w:val="20"/>
          <w:u w:val="single"/>
        </w:rPr>
        <w:t xml:space="preserve">The State (On application by HM (guardian) on behalf of CM (minor)) v The Hospital Director </w:t>
      </w:r>
      <w:r w:rsidR="00F119BD">
        <w:rPr>
          <w:i/>
          <w:color w:val="000000"/>
          <w:sz w:val="20"/>
          <w:szCs w:val="20"/>
          <w:u w:val="single"/>
        </w:rPr>
        <w:t>of</w:t>
      </w:r>
      <w:r>
        <w:rPr>
          <w:i/>
          <w:color w:val="000000"/>
          <w:sz w:val="20"/>
          <w:szCs w:val="20"/>
          <w:u w:val="single"/>
        </w:rPr>
        <w:t xml:space="preserve"> Queen Elizabeth Central and </w:t>
      </w:r>
      <w:proofErr w:type="gramStart"/>
      <w:r>
        <w:rPr>
          <w:i/>
          <w:color w:val="000000"/>
          <w:sz w:val="20"/>
          <w:szCs w:val="20"/>
          <w:u w:val="single"/>
        </w:rPr>
        <w:t>1</w:t>
      </w:r>
      <w:proofErr w:type="gramEnd"/>
      <w:r>
        <w:rPr>
          <w:i/>
          <w:color w:val="000000"/>
          <w:sz w:val="20"/>
          <w:szCs w:val="20"/>
          <w:u w:val="single"/>
        </w:rPr>
        <w:t xml:space="preserve"> other</w:t>
      </w:r>
      <w:r>
        <w:rPr>
          <w:color w:val="000000"/>
          <w:sz w:val="20"/>
          <w:szCs w:val="20"/>
        </w:rPr>
        <w:t>, Judicial Review Cause No 03 of 2021.</w:t>
      </w:r>
    </w:p>
  </w:footnote>
  <w:footnote w:id="21">
    <w:p w14:paraId="069B1262" w14:textId="20EE8A92"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12-13, </w:t>
      </w:r>
      <w:r>
        <w:rPr>
          <w:i/>
          <w:color w:val="000000"/>
          <w:sz w:val="20"/>
          <w:szCs w:val="20"/>
          <w:u w:val="single"/>
        </w:rPr>
        <w:t xml:space="preserve">The State (On application by HM (guardian) on behalf of CM (minor)) v The Hospital Director </w:t>
      </w:r>
      <w:r w:rsidR="00F119BD">
        <w:rPr>
          <w:i/>
          <w:color w:val="000000"/>
          <w:sz w:val="20"/>
          <w:szCs w:val="20"/>
          <w:u w:val="single"/>
        </w:rPr>
        <w:t>of</w:t>
      </w:r>
      <w:r>
        <w:rPr>
          <w:i/>
          <w:color w:val="000000"/>
          <w:sz w:val="20"/>
          <w:szCs w:val="20"/>
          <w:u w:val="single"/>
        </w:rPr>
        <w:t xml:space="preserve"> Queen Elizabeth Central and </w:t>
      </w:r>
      <w:proofErr w:type="gramStart"/>
      <w:r>
        <w:rPr>
          <w:i/>
          <w:color w:val="000000"/>
          <w:sz w:val="20"/>
          <w:szCs w:val="20"/>
          <w:u w:val="single"/>
        </w:rPr>
        <w:t>1</w:t>
      </w:r>
      <w:proofErr w:type="gramEnd"/>
      <w:r>
        <w:rPr>
          <w:i/>
          <w:color w:val="000000"/>
          <w:sz w:val="20"/>
          <w:szCs w:val="20"/>
          <w:u w:val="single"/>
        </w:rPr>
        <w:t xml:space="preserve"> other</w:t>
      </w:r>
      <w:r>
        <w:rPr>
          <w:color w:val="000000"/>
          <w:sz w:val="20"/>
          <w:szCs w:val="20"/>
        </w:rPr>
        <w:t>, Judicial Review Cause No 03 of 2021.</w:t>
      </w:r>
    </w:p>
  </w:footnote>
  <w:footnote w:id="22">
    <w:p w14:paraId="069B1263"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General recommendation No. 35 on gender-based violence against women, updating general recommendation No. 19.</w:t>
      </w:r>
      <w:r>
        <w:rPr>
          <w:color w:val="000000"/>
          <w:sz w:val="20"/>
          <w:szCs w:val="20"/>
        </w:rPr>
        <w:t xml:space="preserve"> (2017). UN Document CEDAW/C/GC/35. Paragraph 26(c).</w:t>
      </w:r>
    </w:p>
  </w:footnote>
  <w:footnote w:id="23">
    <w:p w14:paraId="069B1264" w14:textId="07AC226B"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8-9, </w:t>
      </w:r>
      <w:r>
        <w:rPr>
          <w:i/>
          <w:color w:val="000000"/>
          <w:sz w:val="20"/>
          <w:szCs w:val="20"/>
          <w:u w:val="single"/>
        </w:rPr>
        <w:t xml:space="preserve">The State (On application by HM (guardian) on behalf of CM (minor)) v The Hospital Director </w:t>
      </w:r>
      <w:r w:rsidR="00F119BD">
        <w:rPr>
          <w:i/>
          <w:color w:val="000000"/>
          <w:sz w:val="20"/>
          <w:szCs w:val="20"/>
          <w:u w:val="single"/>
        </w:rPr>
        <w:t>of</w:t>
      </w:r>
      <w:r>
        <w:rPr>
          <w:i/>
          <w:color w:val="000000"/>
          <w:sz w:val="20"/>
          <w:szCs w:val="20"/>
          <w:u w:val="single"/>
        </w:rPr>
        <w:t xml:space="preserve"> Queen Elizabeth Central and </w:t>
      </w:r>
      <w:proofErr w:type="gramStart"/>
      <w:r>
        <w:rPr>
          <w:i/>
          <w:color w:val="000000"/>
          <w:sz w:val="20"/>
          <w:szCs w:val="20"/>
          <w:u w:val="single"/>
        </w:rPr>
        <w:t>1</w:t>
      </w:r>
      <w:proofErr w:type="gramEnd"/>
      <w:r>
        <w:rPr>
          <w:i/>
          <w:color w:val="000000"/>
          <w:sz w:val="20"/>
          <w:szCs w:val="20"/>
          <w:u w:val="single"/>
        </w:rPr>
        <w:t xml:space="preserve"> other</w:t>
      </w:r>
      <w:r>
        <w:rPr>
          <w:color w:val="000000"/>
          <w:sz w:val="20"/>
          <w:szCs w:val="20"/>
        </w:rPr>
        <w:t>, Judicial Review Cause No 03 of 2021.</w:t>
      </w:r>
    </w:p>
  </w:footnote>
  <w:footnote w:id="24">
    <w:p w14:paraId="069B1265"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Polis CB, Mhango C, Philbin J, Chimwaza W, Chipeta E, Msusa A. (2017). </w:t>
      </w:r>
      <w:r>
        <w:rPr>
          <w:i/>
          <w:color w:val="000000"/>
          <w:sz w:val="20"/>
          <w:szCs w:val="20"/>
        </w:rPr>
        <w:t>Incidence of induced abortion in Malawi, 2015</w:t>
      </w:r>
      <w:r>
        <w:rPr>
          <w:color w:val="000000"/>
          <w:sz w:val="20"/>
          <w:szCs w:val="20"/>
        </w:rPr>
        <w:t>. PLoS ONE</w:t>
      </w:r>
    </w:p>
  </w:footnote>
  <w:footnote w:id="25">
    <w:p w14:paraId="069B1266" w14:textId="33DB0D2D"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14, </w:t>
      </w:r>
      <w:r>
        <w:rPr>
          <w:i/>
          <w:color w:val="000000"/>
          <w:sz w:val="20"/>
          <w:szCs w:val="20"/>
          <w:u w:val="single"/>
        </w:rPr>
        <w:t xml:space="preserve">The State (On application by HM (guardian) on behalf of CM (minor)) v The Hospital Director </w:t>
      </w:r>
      <w:r w:rsidR="00F119BD">
        <w:rPr>
          <w:i/>
          <w:color w:val="000000"/>
          <w:sz w:val="20"/>
          <w:szCs w:val="20"/>
          <w:u w:val="single"/>
        </w:rPr>
        <w:t>of</w:t>
      </w:r>
      <w:r>
        <w:rPr>
          <w:i/>
          <w:color w:val="000000"/>
          <w:sz w:val="20"/>
          <w:szCs w:val="20"/>
          <w:u w:val="single"/>
        </w:rPr>
        <w:t xml:space="preserve"> Queen Elizabeth Central and </w:t>
      </w:r>
      <w:proofErr w:type="gramStart"/>
      <w:r>
        <w:rPr>
          <w:i/>
          <w:color w:val="000000"/>
          <w:sz w:val="20"/>
          <w:szCs w:val="20"/>
          <w:u w:val="single"/>
        </w:rPr>
        <w:t>1</w:t>
      </w:r>
      <w:proofErr w:type="gramEnd"/>
      <w:r>
        <w:rPr>
          <w:i/>
          <w:color w:val="000000"/>
          <w:sz w:val="20"/>
          <w:szCs w:val="20"/>
          <w:u w:val="single"/>
        </w:rPr>
        <w:t xml:space="preserve"> other</w:t>
      </w:r>
      <w:r>
        <w:rPr>
          <w:color w:val="000000"/>
          <w:sz w:val="20"/>
          <w:szCs w:val="20"/>
        </w:rPr>
        <w:t>, Judicial Review Cause No 03 of 2021.</w:t>
      </w:r>
    </w:p>
  </w:footnote>
  <w:footnote w:id="26">
    <w:p w14:paraId="069B1267"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w:t>
      </w:r>
      <w:r>
        <w:rPr>
          <w:i/>
          <w:color w:val="000000"/>
          <w:sz w:val="20"/>
          <w:szCs w:val="20"/>
        </w:rPr>
        <w:t>General comment No. 22 (2016) on the right to sexual and reproductive health (article 12 of the International Covenant on Economic, Social and Cultural Rights)</w:t>
      </w:r>
      <w:r>
        <w:rPr>
          <w:color w:val="000000"/>
          <w:sz w:val="20"/>
          <w:szCs w:val="20"/>
        </w:rPr>
        <w:t xml:space="preserve">. UN Document E/C.12/GC/22. Paragraph 45. </w:t>
      </w:r>
    </w:p>
  </w:footnote>
  <w:footnote w:id="27">
    <w:p w14:paraId="069B1268"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w:t>
      </w:r>
      <w:r>
        <w:rPr>
          <w:i/>
          <w:color w:val="000000"/>
          <w:sz w:val="20"/>
          <w:szCs w:val="20"/>
        </w:rPr>
        <w:t>General comment No. 22 (2016) on the right to sexual and reproductive health (article 12 of the International Covenant on Economic, Social and Cultural Rights)</w:t>
      </w:r>
      <w:r>
        <w:rPr>
          <w:color w:val="000000"/>
          <w:sz w:val="20"/>
          <w:szCs w:val="20"/>
        </w:rPr>
        <w:t>. UN Document E/C.12/GC/22. Paragraph 41.</w:t>
      </w:r>
    </w:p>
  </w:footnote>
  <w:footnote w:id="28">
    <w:p w14:paraId="069B1269"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23, Constitution of Malawi, 1994</w:t>
      </w:r>
    </w:p>
  </w:footnote>
  <w:footnote w:id="29">
    <w:p w14:paraId="069B126A"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16(2), Convention on the Elimination of All Forms of Discrimination against Women.</w:t>
      </w:r>
    </w:p>
  </w:footnote>
  <w:footnote w:id="30">
    <w:p w14:paraId="069B126B"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 Convention on the Rights of the Child</w:t>
      </w:r>
    </w:p>
  </w:footnote>
  <w:footnote w:id="31">
    <w:p w14:paraId="069B126C" w14:textId="40505A40"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 African Charter </w:t>
      </w:r>
      <w:r w:rsidR="00F119BD">
        <w:rPr>
          <w:color w:val="000000"/>
          <w:sz w:val="20"/>
          <w:szCs w:val="20"/>
        </w:rPr>
        <w:t>on</w:t>
      </w:r>
      <w:r>
        <w:rPr>
          <w:color w:val="000000"/>
          <w:sz w:val="20"/>
          <w:szCs w:val="20"/>
        </w:rPr>
        <w:t xml:space="preserve"> The Rights </w:t>
      </w:r>
      <w:r w:rsidR="00D34DB4">
        <w:rPr>
          <w:color w:val="000000"/>
          <w:sz w:val="20"/>
          <w:szCs w:val="20"/>
        </w:rPr>
        <w:t>and</w:t>
      </w:r>
      <w:r>
        <w:rPr>
          <w:color w:val="000000"/>
          <w:sz w:val="20"/>
          <w:szCs w:val="20"/>
        </w:rPr>
        <w:t xml:space="preserve"> Welfare </w:t>
      </w:r>
      <w:proofErr w:type="gramStart"/>
      <w:r>
        <w:rPr>
          <w:color w:val="000000"/>
          <w:sz w:val="20"/>
          <w:szCs w:val="20"/>
        </w:rPr>
        <w:t>Of</w:t>
      </w:r>
      <w:proofErr w:type="gramEnd"/>
      <w:r>
        <w:rPr>
          <w:color w:val="000000"/>
          <w:sz w:val="20"/>
          <w:szCs w:val="20"/>
        </w:rPr>
        <w:t xml:space="preserve"> The Child</w:t>
      </w:r>
    </w:p>
  </w:footnote>
  <w:footnote w:id="32">
    <w:p w14:paraId="069B126D"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5, Constitution of Malawi, 1994</w:t>
      </w:r>
    </w:p>
  </w:footnote>
  <w:footnote w:id="33">
    <w:p w14:paraId="069B126E"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2, Child Care, Protection and Justice Act, Chapter 26:03</w:t>
      </w:r>
    </w:p>
  </w:footnote>
  <w:footnote w:id="34">
    <w:p w14:paraId="069B126F"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137-138, Penal Code, Chapter 7:01</w:t>
      </w:r>
    </w:p>
  </w:footnote>
  <w:footnote w:id="35">
    <w:p w14:paraId="069B1270"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w:t>
      </w:r>
      <w:r>
        <w:rPr>
          <w:i/>
          <w:color w:val="000000"/>
          <w:sz w:val="20"/>
          <w:szCs w:val="20"/>
        </w:rPr>
        <w:t>General comment No. 20 (2016) on the implementation of the rights of the child during adolescence</w:t>
      </w:r>
      <w:r>
        <w:rPr>
          <w:color w:val="000000"/>
          <w:sz w:val="20"/>
          <w:szCs w:val="20"/>
        </w:rPr>
        <w:t>. U.N. Document CRC/C/GC/20. Paragraph 40.</w:t>
      </w:r>
    </w:p>
  </w:footnote>
  <w:footnote w:id="36">
    <w:p w14:paraId="069B1271"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2, Penal Code (Amendment) Act, No. 8 of 2023.</w:t>
      </w:r>
    </w:p>
  </w:footnote>
  <w:footnote w:id="37">
    <w:p w14:paraId="069B1272"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A commentary on Section 138 of Malawi’s Penal Code: Introducing a new Section 138</w:t>
      </w:r>
      <w:r>
        <w:rPr>
          <w:color w:val="000000"/>
          <w:sz w:val="20"/>
          <w:szCs w:val="20"/>
        </w:rPr>
        <w:t>, Nyale Institute (2023). Accessed on 27</w:t>
      </w:r>
      <w:r>
        <w:rPr>
          <w:color w:val="000000"/>
          <w:sz w:val="20"/>
          <w:szCs w:val="20"/>
          <w:vertAlign w:val="superscript"/>
        </w:rPr>
        <w:t>th</w:t>
      </w:r>
      <w:r>
        <w:rPr>
          <w:color w:val="000000"/>
          <w:sz w:val="20"/>
          <w:szCs w:val="20"/>
        </w:rPr>
        <w:t xml:space="preserve"> August 2023. Available at: https://nyaleinstitute.org/2023/06/28/a-commentary-on-section-138-of-malawis-penal-code-introducing-a-new-section-138/</w:t>
      </w:r>
    </w:p>
  </w:footnote>
  <w:footnote w:id="38">
    <w:p w14:paraId="069B1273"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w:t>
      </w:r>
      <w:r>
        <w:rPr>
          <w:i/>
          <w:color w:val="000000"/>
          <w:sz w:val="20"/>
          <w:szCs w:val="20"/>
        </w:rPr>
        <w:t>General comment No. 20 (2016) on the implementation of the rights of the child during adolescence</w:t>
      </w:r>
      <w:r>
        <w:rPr>
          <w:color w:val="000000"/>
          <w:sz w:val="20"/>
          <w:szCs w:val="20"/>
        </w:rPr>
        <w:t>. U.N. Document CRC/C/GC/20. Paragraph 18-20.</w:t>
      </w:r>
    </w:p>
  </w:footnote>
  <w:footnote w:id="39">
    <w:p w14:paraId="069B1274"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 4.5, Pg.64, Malawi Demographic and Health Survey 2015-16</w:t>
      </w:r>
    </w:p>
  </w:footnote>
  <w:footnote w:id="40">
    <w:p w14:paraId="069B1275"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African Committee of Experts on the Rights and Welfare of the Child, </w:t>
      </w:r>
      <w:r>
        <w:rPr>
          <w:i/>
          <w:color w:val="000000"/>
          <w:sz w:val="20"/>
          <w:szCs w:val="20"/>
        </w:rPr>
        <w:t>General Comment No. 7 on Article 27 of the ACRWC: Sexual Exploitation</w:t>
      </w:r>
      <w:r>
        <w:rPr>
          <w:color w:val="000000"/>
          <w:sz w:val="20"/>
          <w:szCs w:val="20"/>
        </w:rPr>
        <w:t>. (2021). Paragraph 47-50.</w:t>
      </w:r>
    </w:p>
  </w:footnote>
  <w:footnote w:id="41">
    <w:p w14:paraId="069B1276" w14:textId="77777777" w:rsidR="000678EC"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Self A., Chipokosa S. et al. </w:t>
      </w:r>
      <w:r>
        <w:rPr>
          <w:i/>
          <w:color w:val="000000"/>
          <w:sz w:val="20"/>
          <w:szCs w:val="20"/>
        </w:rPr>
        <w:t>Youth accessing reproductive health services in Malawi: drivers, barriers, and</w:t>
      </w:r>
    </w:p>
    <w:p w14:paraId="069B1277" w14:textId="77777777" w:rsidR="000678EC" w:rsidRDefault="00000000">
      <w:pPr>
        <w:pBdr>
          <w:top w:val="nil"/>
          <w:left w:val="nil"/>
          <w:bottom w:val="nil"/>
          <w:right w:val="nil"/>
          <w:between w:val="nil"/>
        </w:pBdr>
        <w:spacing w:after="0" w:line="240" w:lineRule="auto"/>
        <w:rPr>
          <w:color w:val="000000"/>
          <w:sz w:val="20"/>
          <w:szCs w:val="20"/>
        </w:rPr>
      </w:pPr>
      <w:r>
        <w:rPr>
          <w:i/>
          <w:color w:val="000000"/>
          <w:sz w:val="20"/>
          <w:szCs w:val="20"/>
        </w:rPr>
        <w:t>suggestions from the perspectives of youth and parents.</w:t>
      </w:r>
      <w:r>
        <w:rPr>
          <w:color w:val="000000"/>
          <w:sz w:val="20"/>
          <w:szCs w:val="20"/>
        </w:rPr>
        <w:t xml:space="preserve"> Reproductive Health Journal (2018)</w:t>
      </w:r>
    </w:p>
  </w:footnote>
  <w:footnote w:id="42">
    <w:p w14:paraId="069B1278"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73, Malawi Demographic and Health Survey 2015-16</w:t>
      </w:r>
    </w:p>
  </w:footnote>
  <w:footnote w:id="43">
    <w:p w14:paraId="069B1279"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w:t>
      </w:r>
      <w:r>
        <w:rPr>
          <w:i/>
          <w:color w:val="000000"/>
          <w:sz w:val="20"/>
          <w:szCs w:val="20"/>
        </w:rPr>
        <w:t>General recommendation No. 24: Article 12 of the Convention (women and health)</w:t>
      </w:r>
      <w:r>
        <w:rPr>
          <w:color w:val="000000"/>
          <w:sz w:val="20"/>
          <w:szCs w:val="20"/>
        </w:rPr>
        <w:t>. (1999). Paragraph 18-23.</w:t>
      </w:r>
    </w:p>
  </w:footnote>
  <w:footnote w:id="44">
    <w:p w14:paraId="069B127A"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Chirwa GC, Mazalale J, et al. (2019) </w:t>
      </w:r>
      <w:r>
        <w:rPr>
          <w:i/>
          <w:color w:val="000000"/>
          <w:sz w:val="20"/>
          <w:szCs w:val="20"/>
        </w:rPr>
        <w:t>An evolution of socioeconomic related inequality in teenage pregnancy and childbearing in Malawi</w:t>
      </w:r>
      <w:r>
        <w:rPr>
          <w:color w:val="000000"/>
          <w:sz w:val="20"/>
          <w:szCs w:val="20"/>
        </w:rPr>
        <w:t>. PLoS ONE</w:t>
      </w:r>
    </w:p>
  </w:footnote>
  <w:footnote w:id="45">
    <w:p w14:paraId="069B127B"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Malata M., Chipeta E. et al. (2023) </w:t>
      </w:r>
      <w:r>
        <w:rPr>
          <w:i/>
          <w:color w:val="000000"/>
          <w:sz w:val="20"/>
          <w:szCs w:val="20"/>
        </w:rPr>
        <w:t>Comprehensive sexuality education for out-of-school young people living with HIV and young people with disabilities: findings from a formative research study in Malawi.</w:t>
      </w:r>
      <w:r>
        <w:rPr>
          <w:color w:val="000000"/>
          <w:sz w:val="20"/>
          <w:szCs w:val="20"/>
        </w:rPr>
        <w:t xml:space="preserve"> Sexual and Reproductive Health Matters</w:t>
      </w:r>
    </w:p>
  </w:footnote>
  <w:footnote w:id="46">
    <w:p w14:paraId="069B127C" w14:textId="77777777" w:rsidR="000678EC" w:rsidRDefault="00000000">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w:t>
      </w:r>
      <w:r>
        <w:rPr>
          <w:i/>
          <w:color w:val="000000"/>
          <w:sz w:val="20"/>
          <w:szCs w:val="20"/>
        </w:rPr>
        <w:t xml:space="preserve">Malawi: Country Poster, </w:t>
      </w:r>
      <w:r>
        <w:rPr>
          <w:color w:val="000000"/>
          <w:sz w:val="20"/>
          <w:szCs w:val="20"/>
        </w:rPr>
        <w:t xml:space="preserve">Government of </w:t>
      </w:r>
      <w:proofErr w:type="gramStart"/>
      <w:r>
        <w:rPr>
          <w:color w:val="000000"/>
          <w:sz w:val="20"/>
          <w:szCs w:val="20"/>
        </w:rPr>
        <w:t>Malawi</w:t>
      </w:r>
      <w:proofErr w:type="gramEnd"/>
      <w:r>
        <w:rPr>
          <w:color w:val="000000"/>
          <w:sz w:val="20"/>
          <w:szCs w:val="20"/>
        </w:rPr>
        <w:t xml:space="preserve"> and Quality of Care Network (2023). Accessed on 29</w:t>
      </w:r>
      <w:r>
        <w:rPr>
          <w:color w:val="000000"/>
          <w:sz w:val="20"/>
          <w:szCs w:val="20"/>
          <w:vertAlign w:val="superscript"/>
        </w:rPr>
        <w:t>th</w:t>
      </w:r>
      <w:r>
        <w:rPr>
          <w:color w:val="000000"/>
          <w:sz w:val="20"/>
          <w:szCs w:val="20"/>
        </w:rPr>
        <w:t xml:space="preserve"> August 2023. Available at: https://www.qualityofcarenetwork.org/sites/default/files/2023-03/2023%20QoC%20Network%20-%20Country%20posters%20-%20Malawi%2010.03.2023%20web.pdf</w:t>
      </w:r>
    </w:p>
  </w:footnote>
  <w:footnote w:id="47">
    <w:p w14:paraId="069B127D"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sidRPr="00203B38">
        <w:rPr>
          <w:color w:val="000000"/>
          <w:sz w:val="20"/>
          <w:szCs w:val="20"/>
          <w:lang w:val="da-DK"/>
        </w:rPr>
        <w:t xml:space="preserve"> </w:t>
      </w:r>
      <w:r w:rsidRPr="00203B38">
        <w:rPr>
          <w:color w:val="000000"/>
          <w:sz w:val="20"/>
          <w:szCs w:val="20"/>
          <w:lang w:val="da-DK"/>
        </w:rPr>
        <w:t xml:space="preserve">Kim T., Singh K., et al. </w:t>
      </w:r>
      <w:r>
        <w:rPr>
          <w:color w:val="000000"/>
          <w:sz w:val="20"/>
          <w:szCs w:val="20"/>
        </w:rPr>
        <w:t>I</w:t>
      </w:r>
      <w:r>
        <w:rPr>
          <w:i/>
          <w:color w:val="000000"/>
          <w:sz w:val="20"/>
          <w:szCs w:val="20"/>
        </w:rPr>
        <w:t>nfluences of health facility type for delivery and experience of cesarean section on maternal and newborn postnatal care between birth and facility discharge in Malawi.</w:t>
      </w:r>
      <w:r>
        <w:rPr>
          <w:color w:val="000000"/>
          <w:sz w:val="20"/>
          <w:szCs w:val="20"/>
        </w:rPr>
        <w:t xml:space="preserve"> BMC Health Services Research (2020).</w:t>
      </w:r>
    </w:p>
  </w:footnote>
  <w:footnote w:id="48">
    <w:p w14:paraId="069B127E"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Mgawadere F., Unkels R. et al., </w:t>
      </w:r>
      <w:r>
        <w:rPr>
          <w:i/>
          <w:color w:val="000000"/>
          <w:sz w:val="20"/>
          <w:szCs w:val="20"/>
        </w:rPr>
        <w:t>Factors associated with maternal mortality in Malawi: application of the three delays model</w:t>
      </w:r>
      <w:r>
        <w:rPr>
          <w:color w:val="000000"/>
          <w:sz w:val="20"/>
          <w:szCs w:val="20"/>
        </w:rPr>
        <w:t>, BMC Pregnancy and Childbirth (2017)</w:t>
      </w:r>
    </w:p>
  </w:footnote>
  <w:footnote w:id="49">
    <w:p w14:paraId="069B127F"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sidRPr="00203B38">
        <w:rPr>
          <w:color w:val="000000"/>
          <w:sz w:val="20"/>
          <w:szCs w:val="20"/>
          <w:lang w:val="da-DK"/>
        </w:rPr>
        <w:t xml:space="preserve"> </w:t>
      </w:r>
      <w:r w:rsidRPr="00203B38">
        <w:rPr>
          <w:color w:val="000000"/>
          <w:sz w:val="20"/>
          <w:szCs w:val="20"/>
          <w:lang w:val="da-DK"/>
        </w:rPr>
        <w:t xml:space="preserve">Tesfa A, Nakidde C, et al. </w:t>
      </w:r>
      <w:r>
        <w:rPr>
          <w:color w:val="000000"/>
          <w:sz w:val="20"/>
          <w:szCs w:val="20"/>
        </w:rPr>
        <w:t xml:space="preserve">(2023) </w:t>
      </w:r>
      <w:r>
        <w:rPr>
          <w:i/>
          <w:color w:val="000000"/>
          <w:sz w:val="20"/>
          <w:szCs w:val="20"/>
        </w:rPr>
        <w:t>Individual, organizational and system circumstances, and the functioning of a multi-country implementation focused network for maternal, newborn and child health: Bangladesh, Ethiopia, Malawi, and Uganda</w:t>
      </w:r>
      <w:r>
        <w:rPr>
          <w:color w:val="000000"/>
          <w:sz w:val="20"/>
          <w:szCs w:val="20"/>
        </w:rPr>
        <w:t>. PLOS Global Public Health</w:t>
      </w:r>
    </w:p>
  </w:footnote>
  <w:footnote w:id="50">
    <w:p w14:paraId="069B1280"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Mdoe P, Mills TA, Chasweka R, et al. </w:t>
      </w:r>
      <w:r>
        <w:rPr>
          <w:i/>
          <w:color w:val="000000"/>
          <w:sz w:val="20"/>
          <w:szCs w:val="20"/>
        </w:rPr>
        <w:t>Lay and healthcare providers’ experiences to inform future of respectful maternal and newborn care in Tanzania and Malawi: An Appreciative Inquiry</w:t>
      </w:r>
      <w:r>
        <w:rPr>
          <w:color w:val="000000"/>
          <w:sz w:val="20"/>
          <w:szCs w:val="20"/>
        </w:rPr>
        <w:t>. BMJ Open. (2021).</w:t>
      </w:r>
    </w:p>
  </w:footnote>
  <w:footnote w:id="51">
    <w:p w14:paraId="069B1281" w14:textId="77777777" w:rsidR="000678EC"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Simwaka A., Kabuluzi E. et al. </w:t>
      </w:r>
      <w:r>
        <w:rPr>
          <w:i/>
          <w:color w:val="000000"/>
          <w:sz w:val="20"/>
          <w:szCs w:val="20"/>
        </w:rPr>
        <w:t>Mixed perceptions of women on care in maternal and child healthcare</w:t>
      </w:r>
    </w:p>
    <w:p w14:paraId="069B1282" w14:textId="77777777" w:rsidR="000678EC" w:rsidRDefault="00000000">
      <w:pPr>
        <w:pBdr>
          <w:top w:val="nil"/>
          <w:left w:val="nil"/>
          <w:bottom w:val="nil"/>
          <w:right w:val="nil"/>
          <w:between w:val="nil"/>
        </w:pBdr>
        <w:spacing w:after="0" w:line="240" w:lineRule="auto"/>
        <w:rPr>
          <w:color w:val="000000"/>
          <w:sz w:val="20"/>
          <w:szCs w:val="20"/>
        </w:rPr>
      </w:pPr>
      <w:r>
        <w:rPr>
          <w:i/>
          <w:color w:val="000000"/>
          <w:sz w:val="20"/>
          <w:szCs w:val="20"/>
        </w:rPr>
        <w:t>settings in Lilongwe, Malawi.</w:t>
      </w:r>
      <w:r>
        <w:rPr>
          <w:color w:val="000000"/>
          <w:sz w:val="20"/>
          <w:szCs w:val="20"/>
        </w:rPr>
        <w:t xml:space="preserve"> International Journal of Africa Nursing Sciences 13 (2020).</w:t>
      </w:r>
    </w:p>
  </w:footnote>
  <w:footnote w:id="52">
    <w:p w14:paraId="069B1283"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Lodenstein E., Pedersen K., Botha K. et al., </w:t>
      </w:r>
      <w:r>
        <w:rPr>
          <w:i/>
          <w:color w:val="000000"/>
          <w:sz w:val="20"/>
          <w:szCs w:val="20"/>
        </w:rPr>
        <w:t xml:space="preserve">Gendered norms of responsibility: reflections on accountability politics in maternal health care in Malawi, </w:t>
      </w:r>
      <w:r>
        <w:rPr>
          <w:color w:val="000000"/>
          <w:sz w:val="20"/>
          <w:szCs w:val="20"/>
        </w:rPr>
        <w:t>International Journal for Equity in Health (2018).</w:t>
      </w:r>
    </w:p>
  </w:footnote>
  <w:footnote w:id="53">
    <w:p w14:paraId="069B1284"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Stewart, C., A. Lipsky, and P. Mingkwan. </w:t>
      </w:r>
      <w:r>
        <w:rPr>
          <w:i/>
          <w:color w:val="000000"/>
          <w:sz w:val="20"/>
          <w:szCs w:val="20"/>
        </w:rPr>
        <w:t>Assessment of By-Laws Related to Maternal, Child, and Reproductive Health in Malawi</w:t>
      </w:r>
      <w:r>
        <w:rPr>
          <w:color w:val="000000"/>
          <w:sz w:val="20"/>
          <w:szCs w:val="20"/>
        </w:rPr>
        <w:t>. Palladium (2020).</w:t>
      </w:r>
    </w:p>
  </w:footnote>
  <w:footnote w:id="54">
    <w:p w14:paraId="069B1285"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Machira K., Palamuleni M</w:t>
      </w:r>
      <w:r>
        <w:rPr>
          <w:i/>
          <w:color w:val="000000"/>
          <w:sz w:val="20"/>
          <w:szCs w:val="20"/>
        </w:rPr>
        <w:t>., Women’s perspectives on quality of maternal health care services in Malawi</w:t>
      </w:r>
      <w:r>
        <w:rPr>
          <w:color w:val="000000"/>
          <w:sz w:val="20"/>
          <w:szCs w:val="20"/>
        </w:rPr>
        <w:t>, International Journal for Women’s Health (2018)</w:t>
      </w:r>
    </w:p>
  </w:footnote>
  <w:footnote w:id="55">
    <w:p w14:paraId="069B1286"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sidRPr="00203B38">
        <w:rPr>
          <w:color w:val="000000"/>
          <w:sz w:val="20"/>
          <w:szCs w:val="20"/>
          <w:lang w:val="da-DK"/>
        </w:rPr>
        <w:t xml:space="preserve"> </w:t>
      </w:r>
      <w:r w:rsidRPr="00203B38">
        <w:rPr>
          <w:color w:val="000000"/>
          <w:sz w:val="20"/>
          <w:szCs w:val="20"/>
          <w:lang w:val="da-DK"/>
        </w:rPr>
        <w:t xml:space="preserve">Walsh A., Matthews A. et al. </w:t>
      </w:r>
      <w:r>
        <w:rPr>
          <w:i/>
          <w:color w:val="000000"/>
          <w:sz w:val="20"/>
          <w:szCs w:val="20"/>
        </w:rPr>
        <w:t>The role of the traditional leader in implementing maternal, newborn and child health policy in Malawi</w:t>
      </w:r>
      <w:r>
        <w:rPr>
          <w:color w:val="000000"/>
          <w:sz w:val="20"/>
          <w:szCs w:val="20"/>
        </w:rPr>
        <w:t>. Health Policy and Planning (2018).</w:t>
      </w:r>
    </w:p>
  </w:footnote>
  <w:footnote w:id="56">
    <w:p w14:paraId="069B1287" w14:textId="77777777" w:rsidR="000678EC"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Simwaka A., Kabuluzi E. et al. </w:t>
      </w:r>
      <w:r>
        <w:rPr>
          <w:i/>
          <w:color w:val="000000"/>
          <w:sz w:val="20"/>
          <w:szCs w:val="20"/>
        </w:rPr>
        <w:t>Mixed perceptions of women on care in maternal and child healthcare</w:t>
      </w:r>
    </w:p>
    <w:p w14:paraId="069B1288" w14:textId="77777777" w:rsidR="000678EC" w:rsidRDefault="00000000">
      <w:pPr>
        <w:pBdr>
          <w:top w:val="nil"/>
          <w:left w:val="nil"/>
          <w:bottom w:val="nil"/>
          <w:right w:val="nil"/>
          <w:between w:val="nil"/>
        </w:pBdr>
        <w:spacing w:after="0" w:line="240" w:lineRule="auto"/>
        <w:rPr>
          <w:color w:val="000000"/>
          <w:sz w:val="20"/>
          <w:szCs w:val="20"/>
        </w:rPr>
      </w:pPr>
      <w:r>
        <w:rPr>
          <w:i/>
          <w:color w:val="000000"/>
          <w:sz w:val="20"/>
          <w:szCs w:val="20"/>
        </w:rPr>
        <w:t>settings in Lilongwe, Malawi.</w:t>
      </w:r>
      <w:r>
        <w:rPr>
          <w:color w:val="000000"/>
          <w:sz w:val="20"/>
          <w:szCs w:val="20"/>
        </w:rPr>
        <w:t xml:space="preserve"> International Journal of Africa Nursing Sciences 13 (2020).</w:t>
      </w:r>
    </w:p>
  </w:footnote>
  <w:footnote w:id="57">
    <w:p w14:paraId="069B1289"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1-4, </w:t>
      </w:r>
      <w:r>
        <w:rPr>
          <w:i/>
          <w:color w:val="000000"/>
          <w:sz w:val="20"/>
          <w:szCs w:val="20"/>
        </w:rPr>
        <w:t>Woes of the Womb: A Report on an Investigation into Allegations of Medical Malpractices Resulting in Removal of Uteruses from Expectant Women in Public Health Facilities</w:t>
      </w:r>
      <w:r>
        <w:rPr>
          <w:color w:val="000000"/>
          <w:sz w:val="20"/>
          <w:szCs w:val="20"/>
        </w:rPr>
        <w:t>, Office of the Ombudsman of the Republic of Malawi (2019)</w:t>
      </w:r>
    </w:p>
  </w:footnote>
  <w:footnote w:id="58">
    <w:p w14:paraId="069B128A" w14:textId="77777777" w:rsidR="000678EC" w:rsidRDefault="00000000">
      <w:pPr>
        <w:pBdr>
          <w:top w:val="nil"/>
          <w:left w:val="nil"/>
          <w:bottom w:val="nil"/>
          <w:right w:val="nil"/>
          <w:between w:val="nil"/>
        </w:pBdr>
        <w:spacing w:after="0" w:line="240" w:lineRule="auto"/>
        <w:rPr>
          <w:i/>
          <w:color w:val="000000"/>
          <w:sz w:val="20"/>
          <w:szCs w:val="20"/>
        </w:rPr>
      </w:pPr>
      <w:r>
        <w:rPr>
          <w:rStyle w:val="FootnoteReference"/>
        </w:rPr>
        <w:footnoteRef/>
      </w:r>
      <w:r w:rsidRPr="00203B38">
        <w:rPr>
          <w:color w:val="000000"/>
          <w:sz w:val="20"/>
          <w:szCs w:val="20"/>
          <w:lang w:val="da-DK"/>
        </w:rPr>
        <w:t xml:space="preserve"> </w:t>
      </w:r>
      <w:r w:rsidRPr="00203B38">
        <w:rPr>
          <w:color w:val="000000"/>
          <w:sz w:val="20"/>
          <w:szCs w:val="20"/>
          <w:lang w:val="da-DK"/>
        </w:rPr>
        <w:t xml:space="preserve">Simwaka A., Kabuluzi E. et al. </w:t>
      </w:r>
      <w:r>
        <w:rPr>
          <w:i/>
          <w:color w:val="000000"/>
          <w:sz w:val="20"/>
          <w:szCs w:val="20"/>
        </w:rPr>
        <w:t>Mixed perceptions of women on care in maternal and child healthcare</w:t>
      </w:r>
    </w:p>
    <w:p w14:paraId="069B128B" w14:textId="77777777" w:rsidR="000678EC" w:rsidRDefault="00000000">
      <w:pPr>
        <w:pBdr>
          <w:top w:val="nil"/>
          <w:left w:val="nil"/>
          <w:bottom w:val="nil"/>
          <w:right w:val="nil"/>
          <w:between w:val="nil"/>
        </w:pBdr>
        <w:spacing w:after="0" w:line="240" w:lineRule="auto"/>
        <w:rPr>
          <w:color w:val="000000"/>
          <w:sz w:val="20"/>
          <w:szCs w:val="20"/>
        </w:rPr>
      </w:pPr>
      <w:r>
        <w:rPr>
          <w:i/>
          <w:color w:val="000000"/>
          <w:sz w:val="20"/>
          <w:szCs w:val="20"/>
        </w:rPr>
        <w:t>settings in Lilongwe, Malawi.</w:t>
      </w:r>
      <w:r>
        <w:rPr>
          <w:color w:val="000000"/>
          <w:sz w:val="20"/>
          <w:szCs w:val="20"/>
        </w:rPr>
        <w:t xml:space="preserve"> International Journal of Africa Nursing Sciences 13 (2020).</w:t>
      </w:r>
    </w:p>
  </w:footnote>
  <w:footnote w:id="59">
    <w:p w14:paraId="49374702" w14:textId="787E778A" w:rsidR="00F02123" w:rsidRDefault="00F02123">
      <w:pPr>
        <w:pStyle w:val="FootnoteText"/>
      </w:pPr>
      <w:r>
        <w:rPr>
          <w:rStyle w:val="FootnoteReference"/>
        </w:rPr>
        <w:footnoteRef/>
      </w:r>
      <w:r>
        <w:t xml:space="preserve"> </w:t>
      </w:r>
      <w:r w:rsidR="00CF2657">
        <w:t xml:space="preserve">Pg. 4, </w:t>
      </w:r>
      <w:r w:rsidR="00CF2657">
        <w:rPr>
          <w:i/>
          <w:color w:val="000000"/>
        </w:rPr>
        <w:t>Woes of the Womb: A Report on an Investigation into Allegations of Medical Malpractices Resulting in Removal of Uteruses from Expectant Women in Public Health Facilities</w:t>
      </w:r>
      <w:r w:rsidR="00CF2657">
        <w:rPr>
          <w:color w:val="000000"/>
        </w:rPr>
        <w:t>, Office of the Ombudsman of the Republic of Malawi (2019)</w:t>
      </w:r>
    </w:p>
  </w:footnote>
  <w:footnote w:id="60">
    <w:p w14:paraId="069B128C" w14:textId="77777777" w:rsidR="000678EC"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9-14, </w:t>
      </w:r>
      <w:r>
        <w:rPr>
          <w:i/>
          <w:color w:val="000000"/>
          <w:sz w:val="20"/>
          <w:szCs w:val="20"/>
        </w:rPr>
        <w:t>Woes of the Womb: A Report on an Investigation into Allegations of Medical Malpractices Resulting in Removal of Uteruses from Expectant Women in Public Health Facilities</w:t>
      </w:r>
      <w:r>
        <w:rPr>
          <w:color w:val="000000"/>
          <w:sz w:val="20"/>
          <w:szCs w:val="20"/>
        </w:rPr>
        <w:t>, Office of the Ombudsman of the Republic of Malawi (2019)</w:t>
      </w:r>
    </w:p>
  </w:footnote>
  <w:footnote w:id="61">
    <w:p w14:paraId="069B128D" w14:textId="77777777" w:rsidR="000678EC" w:rsidRDefault="00000000">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w:t>
      </w:r>
      <w:r>
        <w:rPr>
          <w:i/>
          <w:color w:val="000000"/>
          <w:sz w:val="20"/>
          <w:szCs w:val="20"/>
        </w:rPr>
        <w:t>Health Budget Brief 2023/24: Building a Resilient and Sustainably Financed Health System in Malawi</w:t>
      </w:r>
      <w:r>
        <w:rPr>
          <w:color w:val="000000"/>
          <w:sz w:val="20"/>
          <w:szCs w:val="20"/>
        </w:rPr>
        <w:t>, UNICEF (2023). Accessed on 1</w:t>
      </w:r>
      <w:r>
        <w:rPr>
          <w:color w:val="000000"/>
          <w:sz w:val="20"/>
          <w:szCs w:val="20"/>
          <w:vertAlign w:val="superscript"/>
        </w:rPr>
        <w:t>st</w:t>
      </w:r>
      <w:r>
        <w:rPr>
          <w:color w:val="000000"/>
          <w:sz w:val="20"/>
          <w:szCs w:val="20"/>
        </w:rPr>
        <w:t xml:space="preserve"> September 2023. Available at: https://www.unicef.org/esa/media/12921/file/UNICEF-Malawi-Health-Budget-Brief-2023-2004.pdf</w:t>
      </w:r>
    </w:p>
  </w:footnote>
  <w:footnote w:id="62">
    <w:p w14:paraId="069B128E" w14:textId="77777777" w:rsidR="000678EC" w:rsidRDefault="00000000">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w:t>
      </w:r>
      <w:r>
        <w:rPr>
          <w:i/>
          <w:color w:val="000000"/>
          <w:sz w:val="20"/>
          <w:szCs w:val="20"/>
        </w:rPr>
        <w:t xml:space="preserve">Malawi: Country Poster, </w:t>
      </w:r>
      <w:r>
        <w:rPr>
          <w:color w:val="000000"/>
          <w:sz w:val="20"/>
          <w:szCs w:val="20"/>
        </w:rPr>
        <w:t xml:space="preserve">Government of </w:t>
      </w:r>
      <w:proofErr w:type="gramStart"/>
      <w:r>
        <w:rPr>
          <w:color w:val="000000"/>
          <w:sz w:val="20"/>
          <w:szCs w:val="20"/>
        </w:rPr>
        <w:t>Malawi</w:t>
      </w:r>
      <w:proofErr w:type="gramEnd"/>
      <w:r>
        <w:rPr>
          <w:color w:val="000000"/>
          <w:sz w:val="20"/>
          <w:szCs w:val="20"/>
        </w:rPr>
        <w:t xml:space="preserve"> and Quality of Care Network (2023). Accessed on 29</w:t>
      </w:r>
      <w:r>
        <w:rPr>
          <w:color w:val="000000"/>
          <w:sz w:val="20"/>
          <w:szCs w:val="20"/>
          <w:vertAlign w:val="superscript"/>
        </w:rPr>
        <w:t>th</w:t>
      </w:r>
      <w:r>
        <w:rPr>
          <w:color w:val="000000"/>
          <w:sz w:val="20"/>
          <w:szCs w:val="20"/>
        </w:rPr>
        <w:t xml:space="preserve"> August 2023. Available at: https://www.qualityofcarenetwork.org/sites/default/files/2023-03/2023%20QoC%20Network%20-%20Country%20posters%20-%20Malawi%2010.03.2023%20web.pdf</w:t>
      </w:r>
    </w:p>
  </w:footnote>
  <w:footnote w:id="63">
    <w:p w14:paraId="069B128F" w14:textId="77777777" w:rsidR="000678EC" w:rsidRDefault="00000000">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w:t>
      </w:r>
      <w:r>
        <w:rPr>
          <w:i/>
          <w:color w:val="000000"/>
          <w:sz w:val="20"/>
          <w:szCs w:val="20"/>
        </w:rPr>
        <w:t xml:space="preserve">Malawi: Country Poster, </w:t>
      </w:r>
      <w:r>
        <w:rPr>
          <w:color w:val="000000"/>
          <w:sz w:val="20"/>
          <w:szCs w:val="20"/>
        </w:rPr>
        <w:t xml:space="preserve">Government of </w:t>
      </w:r>
      <w:proofErr w:type="gramStart"/>
      <w:r>
        <w:rPr>
          <w:color w:val="000000"/>
          <w:sz w:val="20"/>
          <w:szCs w:val="20"/>
        </w:rPr>
        <w:t>Malawi</w:t>
      </w:r>
      <w:proofErr w:type="gramEnd"/>
      <w:r>
        <w:rPr>
          <w:color w:val="000000"/>
          <w:sz w:val="20"/>
          <w:szCs w:val="20"/>
        </w:rPr>
        <w:t xml:space="preserve"> and Quality of Care Network (2023). Accessed on 29</w:t>
      </w:r>
      <w:r>
        <w:rPr>
          <w:color w:val="000000"/>
          <w:sz w:val="20"/>
          <w:szCs w:val="20"/>
          <w:vertAlign w:val="superscript"/>
        </w:rPr>
        <w:t>th</w:t>
      </w:r>
      <w:r>
        <w:rPr>
          <w:color w:val="000000"/>
          <w:sz w:val="20"/>
          <w:szCs w:val="20"/>
        </w:rPr>
        <w:t xml:space="preserve"> August 2023. Available at: https://www.qualityofcarenetwork.org/sites/default/files/2023-03/2023%20QoC%20Network%20-%20Country%20posters%20-%20Malawi%2010.03.2023%20web.pdf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12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0B039B"/>
    <w:multiLevelType w:val="multilevel"/>
    <w:tmpl w:val="1668E1C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E71FF6"/>
    <w:multiLevelType w:val="multilevel"/>
    <w:tmpl w:val="AC5AA9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30520A"/>
    <w:multiLevelType w:val="multilevel"/>
    <w:tmpl w:val="150A9468"/>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D25930"/>
    <w:multiLevelType w:val="multilevel"/>
    <w:tmpl w:val="7D242C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56087D"/>
    <w:multiLevelType w:val="multilevel"/>
    <w:tmpl w:val="A412E2D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F65E8E"/>
    <w:multiLevelType w:val="multilevel"/>
    <w:tmpl w:val="869462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0A78D2"/>
    <w:multiLevelType w:val="multilevel"/>
    <w:tmpl w:val="A19C74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0C778E"/>
    <w:multiLevelType w:val="multilevel"/>
    <w:tmpl w:val="99EA4A7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BC42D24"/>
    <w:multiLevelType w:val="multilevel"/>
    <w:tmpl w:val="F92CB04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CB02F7"/>
    <w:multiLevelType w:val="multilevel"/>
    <w:tmpl w:val="DB0CFB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123729">
    <w:abstractNumId w:val="1"/>
  </w:num>
  <w:num w:numId="2" w16cid:durableId="112138286">
    <w:abstractNumId w:val="0"/>
  </w:num>
  <w:num w:numId="3" w16cid:durableId="1500076990">
    <w:abstractNumId w:val="9"/>
  </w:num>
  <w:num w:numId="4" w16cid:durableId="791679700">
    <w:abstractNumId w:val="6"/>
  </w:num>
  <w:num w:numId="5" w16cid:durableId="1014647443">
    <w:abstractNumId w:val="10"/>
  </w:num>
  <w:num w:numId="6" w16cid:durableId="818694615">
    <w:abstractNumId w:val="2"/>
  </w:num>
  <w:num w:numId="7" w16cid:durableId="937636726">
    <w:abstractNumId w:val="8"/>
  </w:num>
  <w:num w:numId="8" w16cid:durableId="288359441">
    <w:abstractNumId w:val="3"/>
  </w:num>
  <w:num w:numId="9" w16cid:durableId="1805538173">
    <w:abstractNumId w:val="5"/>
  </w:num>
  <w:num w:numId="10" w16cid:durableId="723796867">
    <w:abstractNumId w:val="4"/>
  </w:num>
  <w:num w:numId="11" w16cid:durableId="11384944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8EC"/>
    <w:rsid w:val="0006276C"/>
    <w:rsid w:val="000678EC"/>
    <w:rsid w:val="00114D84"/>
    <w:rsid w:val="00117210"/>
    <w:rsid w:val="00122EFF"/>
    <w:rsid w:val="00203B38"/>
    <w:rsid w:val="0028550C"/>
    <w:rsid w:val="002C24B0"/>
    <w:rsid w:val="003D21E3"/>
    <w:rsid w:val="003E1186"/>
    <w:rsid w:val="00427E38"/>
    <w:rsid w:val="0043191E"/>
    <w:rsid w:val="0052165E"/>
    <w:rsid w:val="00544E50"/>
    <w:rsid w:val="005D436A"/>
    <w:rsid w:val="005D4F9B"/>
    <w:rsid w:val="005F2707"/>
    <w:rsid w:val="00640B20"/>
    <w:rsid w:val="006567F4"/>
    <w:rsid w:val="007628B6"/>
    <w:rsid w:val="00782159"/>
    <w:rsid w:val="00830B17"/>
    <w:rsid w:val="0085398F"/>
    <w:rsid w:val="008D6FF6"/>
    <w:rsid w:val="008E1578"/>
    <w:rsid w:val="008F34FD"/>
    <w:rsid w:val="00913726"/>
    <w:rsid w:val="00937BD7"/>
    <w:rsid w:val="00950955"/>
    <w:rsid w:val="00956453"/>
    <w:rsid w:val="00981BE3"/>
    <w:rsid w:val="009C33ED"/>
    <w:rsid w:val="00A61094"/>
    <w:rsid w:val="00B93284"/>
    <w:rsid w:val="00C8089E"/>
    <w:rsid w:val="00CF2657"/>
    <w:rsid w:val="00CF5C71"/>
    <w:rsid w:val="00D0353B"/>
    <w:rsid w:val="00D34DB4"/>
    <w:rsid w:val="00D6423C"/>
    <w:rsid w:val="00DF7CCA"/>
    <w:rsid w:val="00E76D02"/>
    <w:rsid w:val="00E84E30"/>
    <w:rsid w:val="00F02123"/>
    <w:rsid w:val="00F119BD"/>
    <w:rsid w:val="00F11D33"/>
    <w:rsid w:val="00F15B18"/>
    <w:rsid w:val="00F90982"/>
    <w:rsid w:val="00F971C2"/>
    <w:rsid w:val="00FF3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B11EE"/>
  <w15:docId w15:val="{A2C1A939-66CF-4765-BF13-58F59D190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47"/>
  </w:style>
  <w:style w:type="paragraph" w:styleId="Heading1">
    <w:name w:val="heading 1"/>
    <w:basedOn w:val="Normal"/>
    <w:next w:val="Normal"/>
    <w:link w:val="Heading1Char"/>
    <w:uiPriority w:val="9"/>
    <w:qFormat/>
    <w:rsid w:val="003B565F"/>
    <w:pPr>
      <w:keepNext/>
      <w:keepLines/>
      <w:spacing w:before="120"/>
      <w:jc w:val="center"/>
      <w:outlineLvl w:val="0"/>
    </w:pPr>
    <w:rPr>
      <w:rFonts w:eastAsiaTheme="majorEastAsia" w:cstheme="majorBidi"/>
      <w:b/>
      <w:caps/>
      <w:color w:val="1F3864" w:themeColor="accent1" w:themeShade="80"/>
      <w:kern w:val="2"/>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kern w:val="2"/>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kern w:val="2"/>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kern w:val="2"/>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kern w:val="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3B565F"/>
    <w:rPr>
      <w:rFonts w:ascii="Palatino Linotype" w:eastAsiaTheme="majorEastAsia" w:hAnsi="Palatino Linotype" w:cstheme="majorBidi"/>
      <w:b/>
      <w:caps/>
      <w:color w:val="1F3864" w:themeColor="accent1" w:themeShade="80"/>
      <w:szCs w:val="32"/>
      <w:u w:val="single"/>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FootnoteText">
    <w:name w:val="footnote text"/>
    <w:basedOn w:val="Normal"/>
    <w:link w:val="FootnoteTextChar"/>
    <w:uiPriority w:val="99"/>
    <w:unhideWhenUsed/>
    <w:rsid w:val="00E85BDC"/>
    <w:pPr>
      <w:spacing w:after="0" w:line="240" w:lineRule="auto"/>
    </w:pPr>
    <w:rPr>
      <w:sz w:val="20"/>
      <w:szCs w:val="20"/>
    </w:rPr>
  </w:style>
  <w:style w:type="character" w:customStyle="1" w:styleId="FootnoteTextChar">
    <w:name w:val="Footnote Text Char"/>
    <w:basedOn w:val="DefaultParagraphFont"/>
    <w:link w:val="FootnoteText"/>
    <w:uiPriority w:val="99"/>
    <w:rsid w:val="00E85BDC"/>
    <w:rPr>
      <w:rFonts w:ascii="Palatino Linotype" w:eastAsia="Palatino Linotype" w:hAnsi="Palatino Linotype" w:cs="Palatino Linotype"/>
      <w:kern w:val="0"/>
      <w:sz w:val="20"/>
      <w:szCs w:val="20"/>
    </w:rPr>
  </w:style>
  <w:style w:type="character" w:styleId="FootnoteReference">
    <w:name w:val="footnote reference"/>
    <w:basedOn w:val="DefaultParagraphFont"/>
    <w:uiPriority w:val="99"/>
    <w:semiHidden/>
    <w:unhideWhenUsed/>
    <w:rsid w:val="00E85BDC"/>
    <w:rPr>
      <w:vertAlign w:val="superscript"/>
    </w:rPr>
  </w:style>
  <w:style w:type="paragraph" w:styleId="ListParagraph">
    <w:name w:val="List Paragraph"/>
    <w:basedOn w:val="Normal"/>
    <w:uiPriority w:val="34"/>
    <w:qFormat/>
    <w:rsid w:val="00D37E6C"/>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84E30"/>
    <w:rPr>
      <w:b/>
      <w:bCs/>
    </w:rPr>
  </w:style>
  <w:style w:type="character" w:customStyle="1" w:styleId="CommentSubjectChar">
    <w:name w:val="Comment Subject Char"/>
    <w:basedOn w:val="CommentTextChar"/>
    <w:link w:val="CommentSubject"/>
    <w:uiPriority w:val="99"/>
    <w:semiHidden/>
    <w:rsid w:val="00E84E30"/>
    <w:rPr>
      <w:b/>
      <w:bCs/>
      <w:sz w:val="20"/>
      <w:szCs w:val="20"/>
    </w:rPr>
  </w:style>
  <w:style w:type="paragraph" w:styleId="Header">
    <w:name w:val="header"/>
    <w:basedOn w:val="Normal"/>
    <w:link w:val="HeaderChar"/>
    <w:uiPriority w:val="99"/>
    <w:unhideWhenUsed/>
    <w:rsid w:val="00D03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53B"/>
  </w:style>
  <w:style w:type="paragraph" w:styleId="Footer">
    <w:name w:val="footer"/>
    <w:basedOn w:val="Normal"/>
    <w:link w:val="FooterChar"/>
    <w:uiPriority w:val="99"/>
    <w:unhideWhenUsed/>
    <w:rsid w:val="00D03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53B"/>
  </w:style>
  <w:style w:type="paragraph" w:styleId="Revision">
    <w:name w:val="Revision"/>
    <w:hidden/>
    <w:uiPriority w:val="99"/>
    <w:semiHidden/>
    <w:rsid w:val="00203B38"/>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K5mR1nHJpNU2n/WcERaxaLjxdA==">CgMxLjAaGgoBMBIVChMIBCoPCgtBQUFBNXFWVGgzbxABGhoKATESFQoTCAQqDwoLQUFBQTVxVlRoM28QAhoaCgEyEhUKEwgEKg8KC0FBQUE1c0Y3NXg0EAEaGgoBMxIVChMIBCoPCgtBQUFBNXNGNzV4OBABGhoKATQSFQoTCAQqDwoLQUFBQTVzRjc1eUEQARoaCgE1EhUKEwgEKg8KC0FBQUE1c0Y3NXlBEAIaGgoBNhIVChMIBCoPCgtBQUFBNXNGNzV2VRABGhoKATcSFQoTCAQqDwoLQUFBQTVzRjc1eU0QARoaCgE4EhUKEwgEKg8KC0FBQUE0b2htdno4EAEaGgoBORIVChMIBCoPCgtBQUFBNXNGNzUxURABGigKAjEwEiIKIAgEKhwKC0FBQUE1c0Y3NTJrEAgaC0FBQUE1c0Y3NTJrGhsKAjExEhUKEwgEKg8KC0FBQUE1c0Y3NTIwEAEaGwoCMTISFQoTCAQqDwoLQUFBQTVzRjc1MjAQAhooCgIxMxIiCiAIBCocCgtBQUFBNXNGNzUzWRAIGgtBQUFBNXNGNzUzWRobCgIxNBIVChMIBCoPCgtBQUFBNXNGNzU0dxABGhsKAjE1EhUKEwgEKg8KC0FBQUE1c0Y3NTN3EAEaKAoCMTYSIgogCAQqHAoLQUFBQTVzRjc1M3cQCBoLQUFBQTVzRjc1MzQaGwoCMTcSFQoTCAQqDwoLQUFBQTVzRjc1M3cQAhooCgIxOBIiCiAIBCocCgtBQUFBNXNGNzU1cxAIGgtBQUFBNXNGNzU1cxobCgIxORIVChMIBCoPCgtBQUFBNXNGNzU1OBABGhsKAjIwEhUKEwgEKg8KC0FBQUE1c0Y3NTU4EAIaGwoCMjESFQoTCAQqDwoLQUFBQTVzRjc1NlEQARobCgIyMhIVChMIBCoPCgtBQUFBNXNGNzU2WRABGhsKAjIzEhUKEwgEKg8KC0FBQUE1c0Y3NTZZEAIaGwoCMjQSFQoTCAQqDwoLQUFBQTVzRjc1NjQQARobCgIyNRIVChMIBCoPCgtBQUFBNXNGNzU2NBACGhsKAjI2EhUKEwgEKg8KC0FBQUE1c0Y3NTY4EAEaKAoCMjcSIgogCAQqHAoLQUFBQTRqelVIMG8QCBoLQUFBQTRqelVIMG8aKAoCMjgSIgogCAQqHAoLQUFBQTRqelVIMG8QCBoLQUFBQTVuNTE2LU0aGwoCMjkSFQoTCAQqDwoLQUFBQTVuNTE2LVEQARobCgIzMBIVChMIBCoPCgtBQUFBNW41MTYtURACGhsKAjMxEhUKEwgEKg8KC0FBQUE1c0Y3NTdBEAEaGwoCMzISFQoTCAQqDwoLQUFBQTVuNTE2LVUQAhobCgIzMxIVChMIBCoPCgtBQUFBNXNGNzU3RRACGhsKAjM0EhUKEwgEKg8KC0FBQUE1c0Y3NTdJEAIaGwoCMzUSFQoTCAQqDwoLQUFBQTVzRjc1N00QARobCgIzNhIVChMIBCoPCgtBQUFBNXNGNzU3TRACGhsKAjM3EhUKEwgEKg8KC0FBQUE1c0Y3NTcwEAIaGwoCMzgSFQoTCAQqDwoLQUFBQTVzRjc1NzQQARooCgIzORIiCiAIBCocCgtBQUFBNXNGNzU4bxAIGgtBQUFBNXNGNzU4bxobCgI0MBIVChMIBCoPCgtBQUFBNW41MTYtYxACGhsKAjQxEhUKEwgEKg8KC0FBQUE1bjUxNi1nEAIaKAoCNDISIgogCAQqHAoLQUFBQTVzRjc1ODAQCBoLQUFBQTVzRjc1ODAaKAoCNDMSIgogCAQqHAoLQUFBQTVzRjc1ODgQCBoLQUFBQTVzRjc1ODgaKAoCNDQSIgogCAQqHAoLQUFBQTVuNTE2LWsQCBoLQUFBQTVuNTE2LWsaGwoCNDUSFQoTCAQqDwoLQUFBQTRvaG12ejQQARobCgI0NhIVChMIBCoPCgtBQUFBNG9obXZ6NBABGhsKAjQ3EhUKEwgEKg8KC0FBQUE0b2htdno0EAEaGwoCNDgSFQoTCAQqDwoLQUFBQTRvaG12ejQQARobCgI0ORIVChMIBCoPCgtBQUFBNG9obXZ6NBADIokCCgtBQUFBNXNGNzU3MBLVAQoLQUFBQTVzRjc1NzASC0FBQUE1c0Y3NTcwGg0KCXRleHQvaHRtbBIAIg4KCnRleHQvcGxhaW4SACobIhUxMTY0MTEzMTc3NzcyNDg0MjAxNTIoADgAMNHSsvimMTjY2bL4pjFKOwokYXBwbGljYXRpb24vdm5kLmdvb2dsZS1hcHBzLmRvY3MubWRzGhPC19rkAQ0SCwoHCgFyEAEYABABWgw0eG12b2dpZzB5cHByAiAAeACCARRzdWdnZXN0LmRyczNjZWhpdnRwc5oBBggAEAAYABjR0rL4pjEg2Nmy+KYxQhRzdWdnZXN0LmRyczNjZWhpdnRwcyKjAgoLQUFBQTVuNTE2LVES7gEKC0FBQUE1bjUxNi1REgtBQUFBNW41MTYtURoNCgl0ZXh0L2h0bWwSACIOCgp0ZXh0L3BsYWluEgAqGyIVMTE2MDQxNDI1Nzc1ODQ1MTQwNDQ2KAA4ADDt+tmnpjE4kILap6YxSk8KJGFwcGxpY2F0aW9uL3ZuZC5nb29nbGUtYXBwcy5kb2NzLm1kcxonwtfa5AEhCh8KCwoFZ2lybHMQARgAEg4KCGNoaWxkcmVuEAEYABgBWgxnbXAweGdtc3ZoeW5yAiAAeACCARNzdWdnZXN0LnpjdnZlYXAyNDVpmgEGCAAQABgAsAEAuAEAGO362aemMSCQgtqnpjEwAEITc3VnZ2VzdC56Y3Z2ZWFwMjQ1aSKiAgoLQUFBQTVuNTE2LVUS7AEKC0FBQUE1bjUxNi1VEgtBQUFBNW41MTYtVRoNCgl0ZXh0L2h0bWwSACIOCgp0ZXh0L3BsYWluEgAqGyIVMTE2MDQxNDI1Nzc1ODQ1MTQwNDQ2KAA4ADDe3tqnpjE4tuXap6YxSkwKJGFwcGxpY2F0aW9uL3ZuZC5nb29nbGUtYXBwcy5kb2NzLm1kcxokwtfa5AEeEhwKGAoScGFydGljdWxhcmx5IGdpcmxzEAEYABABWgxsdm9hMXRieWE2MXNyAiAAeACCARRzdWdnZXN0LnBueGhqaTF3ZnVnapoBBggAEAAYALABALgBABje3tqnpjEgtuXap6YxMABCFHN1Z2dlc3QucG54aGppMXdmdWdqIrsCCgtBQUFBNXFWVGgzbxKFAgoLQUFBQTVxVlRoM28SC0FBQUE1cVZUaDNvGg0KCXRleHQvaHRtbBIAIg4KCnRleHQvcGxhaW4SACobIhUxMDQwNTI2MjI4MDE0MzU3MjMzOTQoADgAMP/QjrmmMTiz7465pjFKUQokYXBwbGljYXRpb24vdm5kLmdvb2dsZS1hcHBzLmRvY3MubWRzGinC19rkASMKIQoOCghuc29ydGl1bRABGAASDQoHYWxpdGlvbhABGAAYAVogYTUwYmQwMjQ5OWFiMDYyZWIxYWFkMWY4NjcxZTVkMGVyAiAAeACCARRzdWdnZXN0Lnk3OHYzcW0yNjBpepoBBggAEAAYALABALgBABj/0I65pjEgs++OuaYxMABCFHN1Z2dlc3QueTc4djNxbTI2MGl6IqIFCgtBQUFBNXNGNzUzWRLwBAoLQUFBQTVzRjc1M1kSC0FBQUE1c0Y3NTNZGqMBCgl0ZXh0L2h0bWwSlQF3aGVyZSB3ZSBoYXZlIHdvbWVuIGFuZCBnaXJscywgaXMgaXQgb2theSB0byB1c2UgYW5kIHByZWduYW50IHBlb3BsZSAocmU6IGluY2x1c2lvbiBvZiBub24tYmluYXJ5IHdobyBtYXkgZmluZCB0aGVtc2VsdmVzIHByZWduYW50IC0gdHJhbnMgaW5jbHVzaXZlKSKkAQoKdGV4dC9wbGFpbhKVAXdoZXJlIHdlIGhhdmUgd29tZW4gYW5kIGdpcmxzLCBpcyBpdCBva2F5IHRvIHVzZSBhbmQgcHJlZ25hbnQgcGVvcGxlIChyZTogaW5jbHVzaW9uIG9mIG5vbi1iaW5hcnkgd2hvIG1heSBmaW5kIHRoZW1zZWx2ZXMgcHJlZ25hbnQgLSB0cmFucyBpbmNsdXNpdmUpKhsiFTExNjQxMTMxNzc3NzI0ODQyMDE1MigAOAAwu/Xw96YxOPKY+PimMUodCgp0ZXh0L3BsYWluEg93b21lbiBhbmQgZ2lybHNaDGZvajBud2VyNXN3ZXICIAB4AJoBBggAEAAYAKoBmAESlQF3aGVyZSB3ZSBoYXZlIHdvbWVuIGFuZCBnaXJscywgaXMgaXQgb2theSB0byB1c2UgYW5kIHByZWduYW50IHBlb3BsZSAocmU6IGluY2x1c2lvbiBvZiBub24tYmluYXJ5IHdobyBtYXkgZmluZCB0aGVtc2VsdmVzIHByZWduYW50IC0gdHJhbnMgaW5jbHVzaXZlKbABALgBABi79fD3pjEg8pj4+KYxMABCEGtpeC44Ynd4dXk5MmN5ZXUiqwIKC0FBQUE1bjUxNi1jEvUBCgtBQUFBNW41MTYtYxILQUFBQTVuNTE2LWMaDQoJdGV4dC9odG1sEgAiDgoKdGV4dC9wbGFpbhIAKhsiFTExNjA0MTQyNTc3NTg0NTE0MDQ0NigAOAAwgI/sp6YxON2V7KemMUpVCiRhcHBsaWNhdGlvbi92bmQuZ29vZ2xlLWFwcHMuZG9jcy5tZHMaLcLX2uQBJxIlCiEKG0dlbmRlciBFcXVhbGl0eSBBY3QgKOKAnHRoZRABGAAQAVoMN3Rta2ZtdjJ0azhlcgIgAHgAggEUc3VnZ2VzdC5id24zYXFieXZpbjaaAQYIABAAGACwAQC4AQAYgI/sp6YxIN2V7KemMTAAQhRzdWdnZXN0LmJ3bjNhcWJ5dmluNiKhAgoLQUFBQTVzRjc1NHcS6wEKC0FBQUE1c0Y3NTR3EgtBQUFBNXNGNzU0dxoNCgl0ZXh0L2h0bWwSACIOCgp0ZXh0L3BsYWluEgAqGyIVMTE2NDExMzE3Nzc3MjQ4NDIwMTUyKAA4ADDGv/z3pjE43peH+KYxSksKJGFwcGxpY2F0aW9uL3ZuZC5nb29nbGUtYXBwcy5kb2NzLm1kcxojwtfa5AEdGhsKFwoRdGhlIHJpZ2h0IHRvIFNSSFIQARgAEAFaDHc3azJsenlmZmRncHICIAB4AIIBFHN1Z2dlc3QudTJ2bmR5dWFqZ251mgEGCAAQABgAsAEAuAEAGMa//PemMSDel4f4pjEwAEIUc3VnZ2VzdC51MnZuZHl1YWpnbnUiuAIKC0FBQUE1c0Y3NTY4EoICCgtBQUFBNXNGNzU2OBILQUFBQTVzRjc1NjgaDQoJdGV4dC9odG1sEgAiDgoKdGV4dC9wbGFpbhIAKhsiFTExNjQxMTMxNzc3NzI0ODQyMDE1MigAOAAwlMil+KYxOLDBpvimMUpiCiRhcHBsaWNhdGlvbi92bmQuZ29vZ2xlLWFwcHMuZG9jcy5tZHMaOsLX2uQBNBoyCi4KKCwgaGVhbHRoY2FyZSBhbmQgb3RoZXIgc2VydmljZSBwcm92aWRlcnMQARgAEAFaDHU5bDd4cXJzZjZwOHICIAB4AIIBFHN1Z2dlc3Qub21qZmJmdWhtYmVimgEGCAAQABgAsAEAuAEAGJTIpfimMSCwwab4pjEwAEIUc3VnZ2VzdC5vbWpmYmZ1aG1iZWIiwQIKC0FBQUE1c0Y3NTg4EpECCgtBQUFBNXNGNzU4OBILQUFBQTVzRjc1ODgaLQoJdGV4dC9odG1sEiBhbmQgdGhpcyBkdXJpbmcgc2Vjb25kIHRyaW1lc3RlciIuCgp0ZXh0L3BsYWluEiBhbmQgdGhpcyBkdXJpbmcgc2Vjb25kIHRyaW1lc3RlciobIhUxMTY0MTEzMTc3NzcyNDg0MjAxNTIoADgAMMmWzPimMTjJlsz4pjFKKQoKdGV4dC9wbGFpbhIbYWZ0ZXIgMyBtb250aHMgb2YgcHJlZ25hbmN5Wgw2ZWxiZW1jeTBpazByAiAAeACaAQYIABAAGACqASISIGFuZCB0aGlzIGR1cmluZyBzZWNvbmQgdHJpbWVzdGVyGMmWzPimMSDJlsz4pjFCEGtpeC42bWk3NGRyZWtubWEi6wIKC0FBQUE1c0Y3NTFRErUCCgtBQUFBNXNGNzUxURILQUFBQTVzRjc1MVEaDQoJdGV4dC9odG1sEgAiDgoKdGV4dC9wbGFpbhIAKhsiFTExNjQxMTMxNzc3NzI0ODQyMDE1MigAOAAw5OCg96YxOIzstvemMUqUAQokYXBwbGljYXRpb24vdm5kLmdvb2dsZS1hcHBzLmRvY3MubWRzGmzC19rkAWYaZApgClp0aGVyZWJ5IGVuaGFuY2luZyBzZWN0b3IgcmVzcG9uc2l2ZW5lc3MgaW4gYWxpZ25tZW50IHdpdGggaW50ZXJuYXRpb25hbCBnZW5kZXIgaW5zdHJ1bWVudHMQARgAEAFaDHF1cHpoNzFnaHcyeXICIAB4AIIBFHN1Z2dlc3QuYXdubmpzajE2Y2l5mgEGCAAQABgAsAEAuAEAGOTgoPemMSCM7Lb3pjEwAEIUc3VnZ2VzdC5hd25uanNqMTZjaXkiqgIKC0FBQUE1c0Y3NXg4EvQBCgtBQUFBNXNGNzV4OBILQUFBQTVzRjc1eDgaDQoJdGV4dC9odG1sEgAiDgoKdGV4dC9wbGFpbhIAKhsiFTExNjQxMTMxNzc3NzI0ODQyMDE1MigAOAAwpvKB9qYxOJPQhPamMUpUCiRhcHBsaWNhdGlvbi92bmQuZ29vZ2xlLWFwcHMuZG9jcy5tZHMaLMLX2uQBJhokCiAKGnJhdGlmaWVkIENFREFXIGluIDE5ODcgYW5kEAEYABABWgw5YW9vNGRidjIzazlyAiAAeACCARRzdWdnZXN0Lm42aWt1dTUzam1qYZoBBggAEAAYALABALgBABim8oH2pjEgk9CE9qYxMABCFHN1Z2dlc3QubjZpa3V1NTNqbWphIpwCCgtBQUFBNXNGNzU2NBLmAQoLQUFBQTVzRjc1NjQSC0FBQUE1c0Y3NTY0Gg0KCXRleHQvaHRtbBIAIg4KCnRleHQvcGxhaW4SACobIhUxMTY0MTEzMTc3NzcyNDg0MjAxNTIoADgAMNWdpfimMTjkqqX4pjFKRgokYXBwbGljYXRpb24vdm5kLmdvb2dsZS1hcHBzLmRvY3MubWRzGh7C19rkARgKFgoHCgEsEAEYABIJCgNhbmQQARgAGAFaDDhqZ29reGlxa3cwcXICIAB4AIIBFHN1Z2dlc3QuNDJmYjU0anlpajUxmgEGCAAQABgAsAEAuAEAGNWdpfimMSDkqqX4pjEwAEIUc3VnZ2VzdC40MmZiNTRqeWlqNTEi5AMKC0FBQUE1c0Y3NTIwEq4DCgtBQUFBNXNGNzUyMBILQUFBQTVzRjc1MjAaDQoJdGV4dC9odG1sEgAiDgoKdGV4dC9wbGFpbhIAKhsiFTExNjQxMTMxNzc3NzI0ODQyMDE1MigAOAAw25ze96YxOI6v4/emMUqNAgokYXBwbGljYXRpb24vdm5kLmdvb2dsZS1hcHBzLmRvY3MubWRzGuQBwtfa5AHdAQraAQpqCmRUaGVyZSBhcmUgcmVwb3J0cyB0aGF0IHNvbWUgd29tZW4gZGlzY29udGludWVkIHRoZWlyIHVzZSBvZiBjb250cmFjZXB0aW9uIGR1ZSB0byBjb25jZXJucyBhYm91dCBjb250EAEYARJqCmRBIGZldyB3b21lbiByZXBvcnRlZCBkaXNjb250aW51aW5nIGNvbnRyYWNlcHRpb24gdXNlIGJlY2F1c2UgdGhleSBmZWFyZWQgZ29pbmcgdG8gaGVhbHRoIGZhY2lsaXRpZXMgEAEYARgBWgxqNmgyZmNtM3kyN29yAiAAeACCARRzdWdnZXN0LnFsN3g1cmRieGE0MJoBBggAEAAYALABALgBABjbnN73pjEgjq/j96YxMABCFHN1Z2dlc3QucWw3eDVyZGJ4YTQwIt4BCgtBQUFBNW41MTYtaxKsAQoLQUFBQTVuNTE2LWsSC0FBQUE1bjUxNi1rGhAKCXRleHQvaHRtbBIDcmVmIhEKCnRleHQvcGxhaW4SA3JlZiobIhUxMTYwNDE0MjU3NzU4NDUxNDA0NDYoADgAMKLAgKimMTiiwICopjFKFQoKdGV4dC9wbGFpbhIHZmlicm9pZFoMeGhtdm5kc2o0ZG1zcgIgAHgAmgEGCAAQABgAqgEFEgNyZWawAQC4AQAYosCAqKYxIKLAgKimMTAAQhBraXguaGttcnFycWlmcndxIssCCgtBQUFBNXNGNzV4NBKVAgoLQUFBQTVzRjc1eDQSC0FBQUE1c0Y3NXg0Gg0KCXRleHQvaHRtbBIAIg4KCnRleHQvcGxhaW4SACobIhUxMTY0MTEzMTc3NzcyNDg0MjAxNTIoADgAMMuF9vWmMTiPxPn1pjFKdQokYXBwbGljYXRpb24vdm5kLmdvb2dsZS1hcHBzLmRvY3MubWRzGk3C19rkAUcaRQpBCjthZG9wdGVkIGluIDE5NzkgYnkgdGhlIFVuaXRlZCBOYXRpb25zIChVTikgR2VuZXJhbCBBc3NlbWJseRABGAAQAVoMNmZxYmxpcDY5MnhocgIgAHgAggEUc3VnZ2VzdC41cDR5dHl3dDc1eHSaAQYIABAAGACwAQC4AQAYy4X29aYxII/E+fWmMTAAQhRzdWdnZXN0LjVwNHl0eXd0NzV4dCKiCQoLQUFBQTRqelVIMG8S8AgKC0FBQUE0anpVSDBvEgtBQUFBNGp6VUgwbxqYAQoJdGV4dC9odG1sEooBcmVjb25zdHJ1Y3QgdGhpcyBkZWZpbml0aW9uIHRvIHJlZmxlY3QgdGhlIGRpZmZlcmVuY2UgYmV0d2VlbiByYXBlIGFuZCBkZWZpbGVtZW50IChhcyBpdCB3YXMgdGhlbikuIHRoaXMgaXMgYmVjYXVzZSB0aGUgdHdvIGFyZSBkaWZmZXJlbnQuIpkBCgp0ZXh0L3BsYWluEooBcmVjb25zdHJ1Y3QgdGhpcyBkZWZpbml0aW9uIHRvIHJlZmxlY3QgdGhlIGRpZmZlcmVuY2UgYmV0d2VlbiByYXBlIGFuZCBkZWZpbGVtZW50IChhcyBpdCB3YXMgdGhlbikuIHRoaXMgaXMgYmVjYXVzZSB0aGUgdHdvIGFyZSBkaWZmZXJlbnQuKhsiFTExMDg5MDYzNjU4NTY0NzM3MjAxNigAOAAw9aP8gaYxOPiE3qemMUKBBAoLQUFBQTVuNTE2LU0SC0FBQUE0anpVSDBvGosBCgl0ZXh0L2h0bWwSfk1heSBiZSBpdCBjb3VsZCBzYXkgJiMzOTtlbmdhZ2luZyBpbiBzZXh1YWwgaW50ZXJjb3Vyc2Ugd2l0aCBhIGdpcmwgYmVsb3cgdGhpcyBhZ2UmIzM5OyBhcyB0aGUgcHJvdmlzaW9uIG9ubHkgYXBwbGllZCB0byBnaXJscyKEAQoKdGV4dC9wbGFpbhJ2TWF5IGJlIGl0IGNvdWxkIHNheSAnZW5nYWdpbmcgaW4gc2V4dWFsIGludGVyY291cnNlIHdpdGggYSBnaXJsIGJlbG93IHRoaXMgYWdlJyBhcyB0aGUgcHJvdmlzaW9uIG9ubHkgYXBwbGllZCB0byBnaXJscyobIhUxMTYwNDE0MjU3NzU4NDUxNDA0NDYoADgAMPKL16emMTj4hN6npjFaDDM4YnBhaTM4b2NrZnICIAB4AJoBBggAEAAYAKoBgAESfk1heSBiZSBpdCBjb3VsZCBzYXkgJiMzOTtlbmdhZ2luZyBpbiBzZXh1YWwgaW50ZXJjb3Vyc2Ugd2l0aCBhIGdpcmwgYmVsb3cgdGhpcyBhZ2UmIzM5OyBhcyB0aGUgcHJvdmlzaW9uIG9ubHkgYXBwbGllZCB0byBnaXJsc7ABALgBAEo6Cgp0ZXh0L3BsYWluEixkZWZpbGVtZW50IGFzIHJhcGluZyBhIHBlcnNvbiBiZWxvdyB0aGlzIGFnZVoMZXQydXF2ZXk2Mm11cgIgAHgAmgEGCAAQABgAqgGNARKKAXJlY29uc3RydWN0IHRoaXMgZGVmaW5pdGlvbiB0byByZWZsZWN0IHRoZSBkaWZmZXJlbmNlIGJldHdlZW4gcmFwZSBhbmQgZGVmaWxlbWVudCAoYXMgaXQgd2FzIHRoZW4pLiB0aGlzIGlzIGJlY2F1c2UgdGhlIHR3byBhcmUgZGlmZmVyZW50LrABALgBABj1o/yBpjEg+ITep6YxMABCEGtpeC5kM3hjdjJhbjVnNmUilQIKC0FBQUE1bjUxNi1nEt8BCgtBQUFBNW41MTYtZxILQUFBQTVuNTE2LWcaDQoJdGV4dC9odG1sEgAiDgoKdGV4dC9wbGFpbhIAKhsiFTExNjA0MTQyNTc3NTg0NTE0MDQ0NigAOAAwu9Lsp6YxOIHZ7KemMUo/CiRhcHBsaWNhdGlvbi92bmQuZ29vZ2xlLWFwcHMuZG9jcy5tZHMaF8LX2uQBERIPCgsKBeKAnSksEAEYABABWgxzcnY3cHRlYmMycW1yAiAAeACCARRzdWdnZXN0LjJ3b2x1bnIyOHZqeJoBBggAEAAYALABALgBABi70uynpjEggdnsp6YxMABCFHN1Z2dlc3QuMndvbHVucjI4dmp4IqIECgtBQUFBNXNGNzUyaxLwAwoLQUFBQTVzRjc1MmsSC0FBQUE1c0Y3NTJrGncKCXRleHQvaHRtbBJqaXMgdGhpcyB0aGUgc2FtZSBhcyAmcXVvdDtsb25nLWFjdGluZyByZXZlcnNpYmxlIGNvbnRyYWNlcHRpdmVzIChMQVJDcykmcXVvdDsgYW5kIGNhbiB3ZSB1c2UgdGhhdCBpbnN0ZWFkPyJuCgp0ZXh0L3BsYWluEmBpcyB0aGlzIHRoZSBzYW1lIGFzICJsb25nLWFjdGluZyByZXZlcnNpYmxlIGNvbnRyYWNlcHRpdmVzIChMQVJDcykiIGFuZCBjYW4gd2UgdXNlIHRoYXQgaW5zdGVhZD8qGyIVMTE2NDExMzE3Nzc3MjQ4NDIwMTUyKAA4ADCKwdP3pjE4isHT96YxSi8KCnRleHQvcGxhaW4SIWxvbmctYWN0aW5nIG1vZGVybiBjb250cmFjZXB0aXZlc1oLZHR4MzF6a3k4aGlyAiAAeACaAQYIABAAGACqAWwSamlzIHRoaXMgdGhlIHNhbWUgYXMgJnF1b3Q7bG9uZy1hY3RpbmcgcmV2ZXJzaWJsZSBjb250cmFjZXB0aXZlcyAoTEFSQ3MpJnF1b3Q7IGFuZCBjYW4gd2UgdXNlIHRoYXQgaW5zdGVhZD+wAQC4AQAYisHT96YxIIrB0/emMTAAQhBraXguaWE1dXd6ejlkbnY2IsoCCgtBQUFBNXNGNzU4MBKaAgoLQUFBQTVzRjc1ODASC0FBQUE1c0Y3NTgwGjAKCXRleHQvaHRtbBIjY2FuIHdlIHJlcGxhY2Ugd2l0aCBmaXJzdCB0cmltZXN0ZXIiMQoKdGV4dC9wbGFpbhIjY2FuIHdlIHJlcGxhY2Ugd2l0aCBmaXJzdCB0cmltZXN0ZXIqGyIVMTE2NDExMzE3Nzc3MjQ4NDIwMTUyKAA4ADCQtMn4pjE4ldLN+KYxSikKCnRleHQvcGxhaW4SG2ZpcnN0IDMgbW9udGhzIG9mIHByZWduYW5jeVoMNGpha2t5Zm1wM3AycgIgAHgAmgEGCAAQABgAqgElEiNjYW4gd2UgcmVwbGFjZSB3aXRoIGZpcnN0IHRyaW1lc3RlchiQtMn4pjEgldLN+KYxQhBraXgueHpnaDZtb2R2ZHB1IqoDCgtBQUFBNXNGNzU4bxL6AgoLQUFBQTVzRjc1OG8SC0FBQUE1c0Y3NThvGlUKCXRleHQvaHRtbBJIY2FuIHdlIHJlcGxhY2UgdGhpcyB3aXRoIHJlcHJvZHVjdGl2ZSBjYXBhYmlsaXR5IG9yIHJlcHJvZHVjdGl2ZSBoZWFsdGg/IlYKCnRleHQvcGxhaW4SSGNhbiB3ZSByZXBsYWNlIHRoaXMgd2l0aCByZXByb2R1Y3RpdmUgY2FwYWJpbGl0eSBvciByZXByb2R1Y3RpdmUgaGVhbHRoPyobIhUxMTY0MTEzMTc3NzcyNDg0MjAxNTIoADgAMOClvfimMTjgpb34pjFKGgoKdGV4dC9wbGFpbhIMcmVwcm9kdWN0aW9uWgxjZjBuODFwNTExYXFyAiAAeACaAQYIABAAGACqAUoSSGNhbiB3ZSByZXBsYWNlIHRoaXMgd2l0aCByZXByb2R1Y3RpdmUgY2FwYWJpbGl0eSBvciByZXByb2R1Y3RpdmUgaGVhbHRoPxjgpb34pjEg4KW9+KYxQhBraXgubzdmcWI3dXdvNTF2IqQCCgtBQUFBNXNGNzU3TRLuAQoLQUFBQTVzRjc1N00SC0FBQUE1c0Y3NTdNGg0KCXRleHQvaHRtbBIAIg4KCnRleHQvcGxhaW4SACobIhUxMTY0MTEzMTc3NzcyNDg0MjAxNTIoADgAMJ3crfimMTjt4q34pjFKTgokYXBwbGljYXRpb24vdm5kLmdvb2dsZS1hcHBzLmRvY3MubWRzGibC19rkASAKHgoOCghhbmQgd2VyZRABGAASCgoEd2VyZRABGAAYAVoMZW96bDNubWNqOGMwcgIgAHgAggEUc3VnZ2VzdC5sajh0djJxbXFkcneaAQYIABAAGACwAQC4AQAYndyt+KYxIO3irfimMTAAQhRzdWdnZXN0LmxqOHR2MnFtcWRydyL1AgoLQUFBQTVzRjc1eU0SvwIKC0FBQUE1c0Y3NXlNEgtBQUFBNXNGNzV5TRoNCgl0ZXh0L2h0bWwSACIOCgp0ZXh0L3BsYWluEgAqGyIVMTE2NDExMzE3Nzc3MjQ4NDIwMTUyKAA4ADCRtJD2pjE4teKV96YxSp4BCiRhcHBsaWNhdGlvbi92bmQuZ29vZ2xlLWFwcHMuZG9jcy5tZHMadsLX2uQBcBpuCmoKZFRoZSBHRUEgaXMgaW1wb3J0YW50IGluIHN0cmVuZ3RoZW5pbmcgZWZmb3J0cyB0byByZWRyZXNzIGdlbmRlciBpbmVxdWFsaXRpZXMgaW4gTWFsYXdpLCBlbnN1cmluZyB3b20QARgBEAFaDGtzcGlpa2lmdWZkbnICIAB4AIIBFHN1Z2dlc3QuYnc0OWw3dmJvcDgzmgEGCAAQABgAsAEAuAEAGJG0kPamMSC14pX3pjEwAEIUc3VnZ2VzdC5idzQ5bDd2Ym9wODMilAIKC0FBQUE1c0Y3NTdJEt4BCgtBQUFBNXNGNzU3SRILQUFBQTVzRjc1N0kaDQoJdGV4dC9odG1sEgAiDgoKdGV4dC9wbGFpbhIAKhsiFTExNjQxMTMxNzc3NzI0ODQyMDE1MigAOAAw4e2q+KYxOLL0qvimMUo+CiRhcHBsaWNhdGlvbi92bmQuZ29vZ2xlLWFwcHMuZG9jcy5tZHMaFsLX2uQBEBIOCgoKBG1vcmUQARgAEAFaDDJpdmpja3VqanM3MXICIAB4AIIBFHN1Z2dlc3QuaW5zeTA3emQ1Z3RmmgEGCAAQABgAsAEAuAEAGOHtqvimMSCy9Kr4pjEwAEIUc3VnZ2VzdC5pbnN5MDd6ZDVndGYi9QIKC0FBQUE0b2htdno4Er8CCgtBQUFBNG9obXZ6OBILQUFBQTRvaG12ejgaDQoJdGV4dC9odG1sEgAiDgoKdGV4dC9wbGFpbhIAKhsiFTExNjQxMTMxNzc3NzI0ODQyMDE1MigAOAAwkM/zj6YxOJyrkJCmMUqeAQokYXBwbGljYXRpb24vdm5kLmdvb2dsZS1hcHBzLmRvY3MubWRzGnbC19rkAXAabgpqCmQsIGFuZCwgYnkgZXh0ZW5zaW9uLCB0aGUgcmVhbGl6YXRpb24gb2Ygd29tZW4gYW5kIGdpcmxzJyByaWdodHMsIHBhcnRpY3VsYXJseSBpbiB0aGUgY29udGV4dCBvZiBzZXh1EAEYARABWgx4dWh0djdmdGs3ZzhyAiAAeACCARRzdWdnZXN0LmoxbGt0dXMyZm41eZoBBggAEAAYALABALgBABiQz/OPpjEgnKuQkKYxMABCFHN1Z2dlc3QuajFsa3R1czJmbjV5IpMCCgtBQUFBNXNGNzU3RRLdAQoLQUFBQTVzRjc1N0USC0FBQUE1c0Y3NTdFGg0KCXRleHQvaHRtbBIAIg4KCnRleHQvcGxhaW4SACobIhUxMTY0MTEzMTc3NzcyNDg0MjAxNTIoADgAMMTDqvimMTiZyqr4pjFKPQokYXBwbGljYXRpb24vdm5kLmdvb2dsZS1hcHBzLmRvY3MubWRzGhXC19rkAQ8SDQoJCgN3aG8QARgAEAFaDGk5eGdnYzFzOWNyMnICIAB4AIIBFHN1Z2dlc3QuanRvdWxuZDc4cWhpmgEGCAAQABgAsAEAuAEAGMTDqvimMSCZyqr4pjEwAEIUc3VnZ2VzdC5qdG91bG5kNzhxaGki9QIKC0FBQUE0b2htdno0Er8CCgtBQUFBNG9obXZ6NBILQUFBQTRvaG12ejQaDQoJdGV4dC9odG1sEgAiDgoKdGV4dC9wbGFpbhIAKhsiFTExNjQxMTMxNzc3NzI0ODQyMDE1MigAOAAw16LFj6YxOPL4y4+mMUqeAQokYXBwbGljYXRpb24vdm5kLmdvb2dsZS1hcHBzLmRvY3MubWRzGnbC19rkAXAabgpqCmRDb25jbHVzaW9uIE1hbGF3aSBoYXMgbWFkZSBjb21tZW5kYWJsZSBlZmZvcnRzIGluIGRvbWVzdGljYXRpbmcgYW5kIGVuYWN0aW5nIGxlZ2FsIHByb3Zpc2lvbnMgdGhhdCBhEAEYARABWgxqZWl5OG5sYndmdnZyAiAAeACCARRzdWdnZXN0LjN0MWluMmljMTlrMpoBBggAEAAYALABALgBABjXosWPpjEg8vjLj6YxMABCFHN1Z2dlc3QuM3QxaW4yaWMxOWsyIpUCCgtBQUFBNXNGNzU3QRLfAQoLQUFBQTVzRjc1N0ESC0FBQUE1c0Y3NTdBGg0KCXRleHQvaHRtbBIAIg4KCnRleHQvcGxhaW4SACobIhUxMTY0MTEzMTc3NzcyNDg0MjAxNTIoADgAMNqNqvimMTj+nqr4pjFKPwokYXBwbGljYXRpb24vdm5kLmdvb2dsZS1hcHBzLmRvY3MubWRzGhfC19rkAREaDwoLCgV5ZWFycxABGAAQAVoMMmxkaWNibmdwMzVjcgIgAHgAggEUc3VnZ2VzdC5lYWh0MW1vZm01dm6aAQYIABAAGACwAQC4AQAY2o2q+KYxIP6eqvimMTAAQhRzdWdnZXN0LmVhaHQxbW9mbTV2biKfAgoLQUFBQTVzRjc1eUES6QEKC0FBQUE1c0Y3NXlBEgtBQUFBNXNGNzV5QRoNCgl0ZXh0L2h0bWwSACIOCgp0ZXh0L3BsYWluEgAqGyIVMTE2NDExMzE3Nzc3MjQ4NDIwMTUyKAA4ADDoh4X2pjE43KCF9qYxSkkKJGFwcGxpY2F0aW9uL3ZuZC5nb29nbGUtYXBwcy5kb2NzLm1kcxohwtfa5AEbChkKCAoCaXQQARgAEgsKBUNFREFXEAEYABgBWgxxZ2ZhYTE3ZDFnbHdyAiAAeACCARRzdWdnZXN0Lnc1MDI0YmFwZHk1YZoBBggAEAAYALABALgBABjoh4X2pjEg3KCF9qYxMABCFHN1Z2dlc3QudzUwMjRiYXBkeTVhIu0DCgtBQUFBNXNGNzUzdxK3AwoLQUFBQTVzRjc1M3cSC0FBQUE1c0Y3NTN3Gg0KCXRleHQvaHRtbBIAIg4KCnRleHQvcGxhaW4SACobIhUxMTY0MTEzMTc3NzcyNDg0MjAxNTIoADgAMMGE8/emMTjBxPT3pjFCzgEKC0FBQUE1c0Y3NTM0EgtBQUFBNXNGNzUzdxojCgl0ZXh0L2h0bWwSFlRoaXMgaXMgc2VjdGlvbiAxOSAoMikiJAoKdGV4dC9wbGFpbhIWVGhpcyBpcyBzZWN0aW9uIDE5ICgyKSobIhUxMTY0MTEzMTc3NzcyNDg0MjAxNTIoADgAMMHE9PemMTjBxPT3pjFaDGE4Y3Y2NG12MHhlNXICIAB4AJoBBggAEAAYAKoBGBIWVGhpcyBpcyBzZWN0aW9uIDE5ICgyKbABALgBAEpGCiRhcHBsaWNhdGlvbi92bmQuZ29vZ2xlLWFwcHMuZG9jcy5tZHMaHsLX2uQBGAoWCggKAjE5EAEYABIICgIyMBABGAAYAVoMeTdtcWltaWJ2cTlkcgIgAHgAggEUc3VnZ2VzdC5ycTJnNGViaHUyaGGaAQYIABAAGACwAQC4AQAYwYTz96YxIMHE9PemMTAAQhRzdWdnZXN0LnJxMmc0ZWJodTJoYSKxAgoLQUFBQTVzRjc1NlkS+wEKC0FBQUE1c0Y3NTZZEgtBQUFBNXNGNzU2WRoNCgl0ZXh0L2h0bWwSACIOCgp0ZXh0L3BsYWluEgAqGyIVMTE2NDExMzE3Nzc3MjQ4NDIwMTUyKAA4ADDAgJn4pjE4/tWk+KYxSlsKJGFwcGxpY2F0aW9uL3ZuZC5nb29nbGUtYXBwcy5kb2NzLm1kcxozwtfa5AEtCisKBwoBLhABGAASHgoYc3VjaCBhcyBnbG9iYWwgcGFuZGVtaWNzEAEYABgBWgx1NHVmcmQ4cWMxeWRyAiAAeACCARRzdWdnZXN0LnU2dTdoeWwwdHk1OZoBBggAEAAYALABALgBABjAgJn4pjEg/tWk+KYxMABCFHN1Z2dlc3QudTZ1N2h5bDB0eTU5IqECCgtBQUFBNXNGNzU1OBLrAQoLQUFBQTVzRjc1NTgSC0FBQUE1c0Y3NTU4Gg0KCXRleHQvaHRtbBIAIg4KCnRleHQvcGxhaW4SACobIhUxMTY0MTEzMTc3NzcyNDg0MjAxNTIoADgAMKmEk/imMTjvmJP4pjFKSwokYXBwbGljYXRpb24vdm5kLmdvb2dsZS1hcHBzLmRvY3MubWRzGiPC19rkAR0KGwoMCgZwZXJpb2QQARgAEgkKA2FnZRABGAAYAVoMZWYxMHp1MTF1YTBocgIgAHgAggEUc3VnZ2VzdC42eGZndThyMHNlbzeaAQYIABAAGACwAQC4AQAYqYST+KYxIO+Yk/imMTAAQhRzdWdnZXN0LjZ4Zmd1OHIwc2VvNyKXAgoLQUFBQTVzRjc1dlUS4QEKC0FBQUE1c0Y3NXZVEgtBQUFBNXNGNzV2VRoNCgl0ZXh0L2h0bWwSACIOCgp0ZXh0L3BsYWluEgAqGyIVMTE2NDExMzE3Nzc3MjQ4NDIwMTUyKAA4ADDFu/z0pjE48pz99KYxSkEKJGFwcGxpY2F0aW9uL3ZuZC5nb29nbGUtYXBwcy5kb2NzLm1kcxoZwtfa5AETGhEKDQoHb2YgMjAxMxABGAAQAVoMa2V1MnAyODdsdTM1cgIgAHgAggEUc3VnZ2VzdC4xeWhlanhlYTB4bmyaAQYIABAAGACwAQC4AQAYxbv89KYxIPKc/fSmMTAAQhRzdWdnZXN0LjF5aGVqeGVhMHhubCKnAwoLQUFBQTVzRjc1NXMS9QIKC0FBQUE1c0Y3NTVzEgtBQUFBNXNGNzU1cxpJCgl0ZXh0L2h0bWwSPHdvdWxkIGl0IGhlbHAgdG8gcHJvdmlkZSBkZWZpbml0aW9ucyBlLmcuIG1lbnRhbCB3ZWxsLWJlaW5nPyJKCgp0ZXh0L3BsYWluEjx3b3VsZCBpdCBoZWxwIHRvIHByb3ZpZGUgZGVmaW5pdGlvbnMgZS5nLiBtZW50YWwgd2VsbC1iZWluZz8qGyIVMTE2NDExMzE3Nzc3MjQ4NDIwMTUyKAA4ADC0r4/4pjE4tK+P+KYxSjMKCnRleHQvcGxhaW4SJW1lbnRhbCwgcGh5c2ljYWwgYW5kIHNvY2lhbCB3ZWxsLWJlaW5aDDhqaWVmeHdrYm9sNXICIAB4AJoBBggAEAAYAKoBPhI8d291bGQgaXQgaGVscCB0byBwcm92aWRlIGRlZmluaXRpb25zIGUuZy4gbWVudGFsIHdlbGwtYmVpbmc/sAEAuAEAGLSvj/imMSC0r4/4pjEwAEIQa2l4LnFiNWRqOHQ4aWhhZiKUAgoLQUFBQTVzRjc1NzQS4AEKC0FBQUE1c0Y3NTc0EgtBQUFBNXNGNzU3NBoNCgl0ZXh0L2h0bWwSACIOCgp0ZXh0L3BsYWluEgAqGyIVMTE2NDExMzE3Nzc3MjQ4NDIwMTUyKAA4ADDq/bL4pjE4r5Kz+KYxSkYKJGFwcGxpY2F0aW9uL3ZuZC5nb29nbGUtYXBwcy5kb2NzLm1kcxoewtfa5AEYGhYKEgoMYW5kIGluZm9ybWVkEAEYABABWgwybjhxZjJzNGRuOXJyAiAAeACCARRzdWdnZXN0LnBmb2M5MXI4MTc3bZoBBggAEAAYABjq/bL4pjEgr5Kz+KYxQhRzdWdnZXN0LnBmb2M5MXI4MTc3bSKkAgoLQUFBQTVzRjc1NlES7gEKC0FBQUE1c0Y3NTZREgtBQUFBNXNGNzU2URoNCgl0ZXh0L2h0bWwSACIOCgp0ZXh0L3BsYWluEgAqGyIVMTE2NDExMzE3Nzc3MjQ4NDIwMTUyKAA4ADCvp5j4pjE4u9qY+KYxSk4KJGFwcGxpY2F0aW9uL3ZuZC5nb29nbGUtYXBwcy5kb2NzLm1kcxomwtfa5AEgGh4KGgoUZ2xvYmFsIHBhbmRlbWljcyBhbmQQARgAEAFaDHdtaDU5Z2tvemN2OHICIAB4AIIBFHN1Z2dlc3QuOXMxbTdza3o0bWlvmgEGCAAQABgAsAEAuAEAGK+nmPimMSC72pj4pjEwAEIUc3VnZ2VzdC45czFtN3NrejRtaW84AGosChRzdWdnZXN0LmRyczNjZWhpdnRwcxIUTi4gRGVubmlzIE13YWZ1bGlyd2FqJwoTc3VnZ2VzdC56Y3Z2ZWFwMjQ1aRIQR29kZnJleSBLYW5nYXVkZWosChRzdWdnZXN0Lmh1amE0Z3pnMXZ6aRIUTi4gRGVubmlzIE13YWZ1bGlyd2FqKAoUc3VnZ2VzdC5wbnhoamkxd2Z1Z2oSEEdvZGZyZXkgS2FuZ2F1ZGVqLAoUc3VnZ2VzdC41cnZybnFhenB1ejESFE4uIERlbm5pcyBNd2FmdWxpcndhaikKFHN1Z2dlc3QueTc4djNxbTI2MGl6EhFDaGltd2Vtd2UgTWxvbWJ3YWooChRzdWdnZXN0LmJ3bjNhcWJ5dmluNhIQR29kZnJleSBLYW5nYXVkZWosChRzdWdnZXN0LnRjaG84dmc3eHBrZBIUTi4gRGVubmlzIE13YWZ1bGlyd2FqLAoUc3VnZ2VzdC51MnZuZHl1YWpnbnUSFE4uIERlbm5pcyBNd2FmdWxpcndhaiwKFHN1Z2dlc3Qub21qZmJmdWhtYmViEhROLiBEZW5uaXMgTXdhZnVsaXJ3YWosChRzdWdnZXN0LmF3bm5qc2oxNmNpeRIUTi4gRGVubmlzIE13YWZ1bGlyd2FqLAoUc3VnZ2VzdC5uNmlrdXU1M2ptamESFE4uIERlbm5pcyBNd2FmdWxpcndhaiwKFHN1Z2dlc3QuNDJmYjU0anlpajUxEhROLiBEZW5uaXMgTXdhZnVsaXJ3YWosChRzdWdnZXN0LnFsN3g1cmRieGE0MBIUTi4gRGVubmlzIE13YWZ1bGlyd2FqLAoUc3VnZ2VzdC41cDR5dHl3dDc1eHQSFE4uIERlbm5pcyBNd2FmdWxpcndhaiwKFHN1Z2dlc3QuOHB1ZHZsOWR1MzJ3EhROLiBEZW5uaXMgTXdhZnVsaXJ3YWooChRzdWdnZXN0LjJ3b2x1bnIyOHZqeBIQR29kZnJleSBLYW5nYXVkZWosChRzdWdnZXN0LmxqOHR2MnFtcWRydxIUTi4gRGVubmlzIE13YWZ1bGlyd2FqLAoUc3VnZ2VzdC5idzQ5bDd2Ym9wODMSFE4uIERlbm5pcyBNd2FmdWxpcndhaiwKFHN1Z2dlc3QuaW5zeTA3emQ1Z3RmEhROLiBEZW5uaXMgTXdhZnVsaXJ3YWosChRzdWdnZXN0LmoxbGt0dXMyZm41eRIUTi4gRGVubmlzIE13YWZ1bGlyd2FqLAoUc3VnZ2VzdC5qdG91bG5kNzhxaGkSFE4uIERlbm5pcyBNd2FmdWxpcndhaiwKFHN1Z2dlc3QuM3QxaW4yaWMxOWsyEhROLiBEZW5uaXMgTXdhZnVsaXJ3YWosChRzdWdnZXN0LmVhaHQxbW9mbTV2bhIUTi4gRGVubmlzIE13YWZ1bGlyd2FqLAoUc3VnZ2VzdC53NTAyNGJhcGR5NWESFE4uIERlbm5pcyBNd2FmdWxpcndhaiwKFHN1Z2dlc3QucnEyZzRlYmh1MmhhEhROLiBEZW5uaXMgTXdhZnVsaXJ3YWosChRzdWdnZXN0LnU2dTdoeWwwdHk1ORIUTi4gRGVubmlzIE13YWZ1bGlyd2FqLAoUc3VnZ2VzdC42eGZndThyMHNlbzcSFE4uIERlbm5pcyBNd2FmdWxpcndhaiwKFHN1Z2dlc3QuNm14b3VnZ2pnN3NrEhROLiBEZW5uaXMgTXdhZnVsaXJ3YWosChRzdWdnZXN0LjF5aGVqeGVhMHhubBIUTi4gRGVubmlzIE13YWZ1bGlyd2FqLAoUc3VnZ2VzdC5zbzk5dXB0YnBidjYSFE4uIERlbm5pcyBNd2FmdWxpcndhaiwKFHN1Z2dlc3QucGZvYzkxcjgxNzdtEhROLiBEZW5uaXMgTXdhZnVsaXJ3YWosChRzdWdnZXN0LjlzMW03c2t6NG1pbxIUTi4gRGVubmlzIE13YWZ1bGlyd2FqKwoTc3VnZ2VzdC41M3gzYXVzZzYydhIUTi4gRGVubmlzIE13YWZ1bGlyd2FyITEzY1V4V2s4alNJOGNxR0s5R1VfUHZERHNpUEQ0YnJjc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5CCCB5-DCBB-4429-B3C2-C51A78B7555C}">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99</TotalTime>
  <Pages>16</Pages>
  <Words>5257</Words>
  <Characters>29971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14</cp:revision>
  <dcterms:created xsi:type="dcterms:W3CDTF">2023-09-08T15:30:00Z</dcterms:created>
  <dcterms:modified xsi:type="dcterms:W3CDTF">2023-09-11T12:33:00Z</dcterms:modified>
</cp:coreProperties>
</file>