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A919F" w14:textId="3149A9B7" w:rsidR="00AE5A09" w:rsidRDefault="008B59C7" w:rsidP="005B52EA">
      <w:pPr>
        <w:pStyle w:val="HChG"/>
        <w:spacing w:after="0" w:line="240" w:lineRule="atLeast"/>
        <w:jc w:val="both"/>
        <w:rPr>
          <w:sz w:val="20"/>
        </w:rPr>
      </w:pPr>
      <w:bookmarkStart w:id="0" w:name="_GoBack"/>
      <w:bookmarkEnd w:id="0"/>
      <w:r w:rsidRPr="00C5657A">
        <w:rPr>
          <w:sz w:val="20"/>
        </w:rPr>
        <w:t>Supplementary information</w:t>
      </w:r>
    </w:p>
    <w:p w14:paraId="469164A4" w14:textId="488281F1" w:rsidR="00AE5A09" w:rsidRPr="00C5657A" w:rsidRDefault="00AE5A09" w:rsidP="005B52EA">
      <w:pPr>
        <w:pStyle w:val="H1G"/>
        <w:spacing w:after="0" w:line="240" w:lineRule="atLeast"/>
        <w:jc w:val="both"/>
        <w:rPr>
          <w:sz w:val="20"/>
        </w:rPr>
      </w:pPr>
      <w:r w:rsidRPr="00C5657A">
        <w:rPr>
          <w:sz w:val="20"/>
        </w:rPr>
        <w:tab/>
        <w:t>A.</w:t>
      </w:r>
      <w:r w:rsidRPr="00C5657A">
        <w:rPr>
          <w:sz w:val="20"/>
        </w:rPr>
        <w:tab/>
        <w:t>R</w:t>
      </w:r>
      <w:r w:rsidR="000C1015">
        <w:rPr>
          <w:sz w:val="20"/>
        </w:rPr>
        <w:t>e</w:t>
      </w:r>
      <w:r w:rsidRPr="00C5657A">
        <w:rPr>
          <w:sz w:val="20"/>
        </w:rPr>
        <w:t xml:space="preserve">ply to paragraphs 1 - 5 of the list of issues </w:t>
      </w:r>
      <w:r w:rsidR="00AB36C0" w:rsidRPr="00C5657A">
        <w:rPr>
          <w:sz w:val="20"/>
        </w:rPr>
        <w:t>(General Information)</w:t>
      </w:r>
    </w:p>
    <w:p w14:paraId="44EA4712" w14:textId="4BF93AF4" w:rsidR="000C1015" w:rsidRDefault="000C1015" w:rsidP="000C1015">
      <w:pPr>
        <w:pStyle w:val="SingleTxtG"/>
        <w:spacing w:after="0"/>
        <w:ind w:left="0"/>
        <w:rPr>
          <w:b/>
        </w:rPr>
      </w:pPr>
    </w:p>
    <w:p w14:paraId="28E6D8E4" w14:textId="2D0C1E11" w:rsidR="00AE5A09" w:rsidRPr="00C5657A" w:rsidRDefault="00AE5A09" w:rsidP="005B52EA">
      <w:pPr>
        <w:pStyle w:val="SingleTxtG"/>
        <w:spacing w:after="0"/>
        <w:rPr>
          <w:b/>
        </w:rPr>
      </w:pPr>
      <w:r w:rsidRPr="00C5657A">
        <w:rPr>
          <w:b/>
        </w:rPr>
        <w:t xml:space="preserve">Reply to paragraph 2 </w:t>
      </w:r>
      <w:bookmarkStart w:id="1" w:name="_Toc79485306"/>
      <w:bookmarkStart w:id="2" w:name="_Toc110458731"/>
    </w:p>
    <w:bookmarkEnd w:id="1"/>
    <w:bookmarkEnd w:id="2"/>
    <w:p w14:paraId="189527E1" w14:textId="2925EC8F" w:rsidR="000C1015" w:rsidRPr="000C1015" w:rsidRDefault="000C1015" w:rsidP="005B52EA">
      <w:pPr>
        <w:pStyle w:val="SingleTxtG"/>
        <w:spacing w:after="0"/>
        <w:rPr>
          <w:bCs/>
          <w:color w:val="000000" w:themeColor="text1"/>
          <w:u w:val="single"/>
        </w:rPr>
      </w:pPr>
      <w:r w:rsidRPr="000C1015">
        <w:rPr>
          <w:bCs/>
          <w:color w:val="000000" w:themeColor="text1"/>
          <w:u w:val="single"/>
        </w:rPr>
        <w:t>The Irish Human Rights and Equality Commission (IHREC)</w:t>
      </w:r>
    </w:p>
    <w:p w14:paraId="2520A51C" w14:textId="336E7EB7" w:rsidR="00AE5A09" w:rsidRPr="00C5657A" w:rsidRDefault="00AE5A09" w:rsidP="005B52EA">
      <w:pPr>
        <w:pStyle w:val="SingleTxtG"/>
        <w:spacing w:after="0"/>
        <w:rPr>
          <w:bCs/>
          <w:color w:val="000000" w:themeColor="text1"/>
        </w:rPr>
      </w:pPr>
      <w:r w:rsidRPr="00C5657A">
        <w:rPr>
          <w:bCs/>
          <w:color w:val="000000" w:themeColor="text1"/>
        </w:rPr>
        <w:t xml:space="preserve">The work of </w:t>
      </w:r>
      <w:r w:rsidR="000C1015">
        <w:rPr>
          <w:bCs/>
          <w:color w:val="000000" w:themeColor="text1"/>
        </w:rPr>
        <w:t>IHREC</w:t>
      </w:r>
      <w:r w:rsidRPr="00C5657A">
        <w:rPr>
          <w:bCs/>
          <w:color w:val="000000" w:themeColor="text1"/>
        </w:rPr>
        <w:t xml:space="preserve"> ranges from review</w:t>
      </w:r>
      <w:r w:rsidR="00217D48" w:rsidRPr="00C5657A">
        <w:rPr>
          <w:bCs/>
          <w:color w:val="000000" w:themeColor="text1"/>
        </w:rPr>
        <w:t>ing</w:t>
      </w:r>
      <w:r w:rsidRPr="00C5657A">
        <w:rPr>
          <w:bCs/>
          <w:color w:val="000000" w:themeColor="text1"/>
        </w:rPr>
        <w:t xml:space="preserve"> the effectiveness of</w:t>
      </w:r>
      <w:r w:rsidR="00217D48" w:rsidRPr="00C5657A">
        <w:rPr>
          <w:bCs/>
          <w:color w:val="000000" w:themeColor="text1"/>
        </w:rPr>
        <w:t xml:space="preserve"> human rights and equality law</w:t>
      </w:r>
      <w:r w:rsidRPr="00C5657A">
        <w:rPr>
          <w:bCs/>
          <w:color w:val="000000" w:themeColor="text1"/>
        </w:rPr>
        <w:t>, to working with communities and civil society to monitor and report on people’s real life experiences of human rights and equality. Its legal powers include giving practical help, including legal assistance, and contributing to legal cases (amicus curiae) that deal with an individual’s equality or human rights.</w:t>
      </w:r>
    </w:p>
    <w:p w14:paraId="5052BDE1" w14:textId="77777777" w:rsidR="00F16444" w:rsidRPr="00C5657A" w:rsidRDefault="00F16444" w:rsidP="005B52EA">
      <w:pPr>
        <w:pStyle w:val="SingleTxtG"/>
        <w:spacing w:after="0"/>
        <w:rPr>
          <w:bCs/>
          <w:color w:val="000000" w:themeColor="text1"/>
        </w:rPr>
      </w:pPr>
    </w:p>
    <w:p w14:paraId="706AEF5F" w14:textId="3B5C36BF" w:rsidR="00AE5A09" w:rsidRPr="00C5657A" w:rsidRDefault="00AE5A09" w:rsidP="005B52EA">
      <w:pPr>
        <w:pStyle w:val="SingleTxtG"/>
        <w:spacing w:after="0"/>
        <w:rPr>
          <w:bCs/>
          <w:color w:val="000000" w:themeColor="text1"/>
        </w:rPr>
      </w:pPr>
      <w:r w:rsidRPr="00C5657A">
        <w:rPr>
          <w:bCs/>
          <w:color w:val="000000" w:themeColor="text1"/>
        </w:rPr>
        <w:t>IHREC is a national equality body under EU law. It is accredited by the International Coordinating Committee on National Human Rights (ICC) as an ‘A’ status national human rights and equality institution (NHRI) in full compliance with the UN Paris Principles, with the right to participate in sessions of the Human Rights Council.</w:t>
      </w:r>
    </w:p>
    <w:p w14:paraId="5ACEE95E" w14:textId="006DA124" w:rsidR="00200CEC" w:rsidRDefault="00200CEC" w:rsidP="005B52EA">
      <w:pPr>
        <w:pStyle w:val="SingleTxtG"/>
        <w:spacing w:after="0"/>
        <w:rPr>
          <w:bCs/>
          <w:color w:val="000000" w:themeColor="text1"/>
        </w:rPr>
      </w:pPr>
    </w:p>
    <w:p w14:paraId="34EF06E8" w14:textId="46FBD0BD" w:rsidR="000C1015" w:rsidRDefault="000C1015" w:rsidP="005B52EA">
      <w:pPr>
        <w:pStyle w:val="SingleTxtG"/>
        <w:spacing w:after="0"/>
        <w:rPr>
          <w:bCs/>
          <w:color w:val="000000" w:themeColor="text1"/>
          <w:u w:val="single"/>
        </w:rPr>
      </w:pPr>
      <w:r>
        <w:rPr>
          <w:bCs/>
          <w:color w:val="000000" w:themeColor="text1"/>
          <w:u w:val="single"/>
        </w:rPr>
        <w:t>Persons living in poverty</w:t>
      </w:r>
    </w:p>
    <w:p w14:paraId="0BF203D2" w14:textId="77777777" w:rsidR="000C1015" w:rsidRPr="00C5657A" w:rsidRDefault="000C1015" w:rsidP="000C1015">
      <w:pPr>
        <w:spacing w:line="240" w:lineRule="atLeast"/>
        <w:ind w:left="1134" w:right="1134"/>
        <w:jc w:val="both"/>
        <w:rPr>
          <w:color w:val="000000" w:themeColor="text1"/>
          <w:sz w:val="20"/>
          <w:szCs w:val="20"/>
        </w:rPr>
      </w:pPr>
      <w:r w:rsidRPr="00C5657A">
        <w:rPr>
          <w:color w:val="000000" w:themeColor="text1"/>
          <w:sz w:val="20"/>
          <w:szCs w:val="20"/>
        </w:rPr>
        <w:t>The Department of Social Protection engages extensively with the Community and Voluntary sector and those living in poverty on matters relating to the Department’s services, schemes and policies through various consultative forums. The primary forum for engaging with those living in poverty and the organisations representing them is the annual Social Inclusion Forum.  In addition, the Department engages with the Community and Voluntary sector through the Social Inclusion Roadmap Steering Group, the Food Poverty Working Group, meetings with the Community and Voluntary Pillar, annual pre- and post-Budget Forums, the Customer Forum, the Annual Carers Forum and the Disability Consultative Forum.  Additionally, the Department engages through public consultation, recently on the Roadmap for Social Inclusion Mid-term Review, as well as in relation to various social welfare schemes and policies impacting those affected by poverty.</w:t>
      </w:r>
    </w:p>
    <w:p w14:paraId="6F333072" w14:textId="77777777" w:rsidR="000C1015" w:rsidRDefault="000C1015" w:rsidP="005B52EA">
      <w:pPr>
        <w:pStyle w:val="SingleTxtG"/>
        <w:spacing w:after="0"/>
        <w:rPr>
          <w:bCs/>
          <w:color w:val="000000" w:themeColor="text1"/>
          <w:u w:val="single"/>
        </w:rPr>
      </w:pPr>
    </w:p>
    <w:p w14:paraId="08CBA033" w14:textId="07D5ECED" w:rsidR="000C1015" w:rsidRPr="000C1015" w:rsidRDefault="000C1015" w:rsidP="005B52EA">
      <w:pPr>
        <w:pStyle w:val="SingleTxtG"/>
        <w:spacing w:after="0"/>
        <w:rPr>
          <w:bCs/>
          <w:color w:val="000000" w:themeColor="text1"/>
          <w:u w:val="single"/>
        </w:rPr>
      </w:pPr>
      <w:r w:rsidRPr="000C1015">
        <w:rPr>
          <w:bCs/>
          <w:color w:val="000000" w:themeColor="text1"/>
          <w:u w:val="single"/>
        </w:rPr>
        <w:t>Persons with disabilities</w:t>
      </w:r>
    </w:p>
    <w:p w14:paraId="0679646A" w14:textId="36E8351B" w:rsidR="00D26FAE" w:rsidRPr="00C5657A" w:rsidRDefault="00200CEC" w:rsidP="005B52EA">
      <w:pPr>
        <w:pStyle w:val="SingleTxtG"/>
        <w:spacing w:after="0"/>
        <w:rPr>
          <w:bCs/>
        </w:rPr>
      </w:pPr>
      <w:r w:rsidRPr="00C5657A">
        <w:rPr>
          <w:bCs/>
          <w:color w:val="000000" w:themeColor="text1"/>
          <w:lang w:val="en-IE"/>
        </w:rPr>
        <w:t>The Department of Social Protection hosts twice yearly meetings with the Community and Voluntary Pillar, which includes Disability Representative Bodies, to discuss policies and proposals which may have an effect o</w:t>
      </w:r>
      <w:r w:rsidR="00835C69" w:rsidRPr="00C5657A">
        <w:rPr>
          <w:bCs/>
          <w:color w:val="000000" w:themeColor="text1"/>
          <w:lang w:val="en-IE"/>
        </w:rPr>
        <w:t xml:space="preserve">n social inclusion and poverty. </w:t>
      </w:r>
      <w:r w:rsidR="00D26FAE" w:rsidRPr="00C5657A">
        <w:t xml:space="preserve">The </w:t>
      </w:r>
      <w:r w:rsidR="00D26FAE" w:rsidRPr="00C5657A">
        <w:rPr>
          <w:bCs/>
        </w:rPr>
        <w:t>Department of Social Protection regularly holds formal meetings with stakeholders, such as bilateral meetings with the C&amp;V Pillar,</w:t>
      </w:r>
      <w:r w:rsidRPr="00C5657A">
        <w:rPr>
          <w:rStyle w:val="FootnoteReference"/>
          <w:bCs/>
          <w:sz w:val="20"/>
        </w:rPr>
        <w:footnoteReference w:id="1"/>
      </w:r>
      <w:r w:rsidR="00835C69" w:rsidRPr="00C5657A">
        <w:rPr>
          <w:bCs/>
        </w:rPr>
        <w:t xml:space="preserve"> </w:t>
      </w:r>
      <w:r w:rsidR="00D26FAE" w:rsidRPr="00C5657A">
        <w:rPr>
          <w:bCs/>
        </w:rPr>
        <w:t>as well as the Pre-Budget Forum to discuss a broad range of issues, including the priorities in the implementation of poverty and social inclusion policies, and the annual Budget process.</w:t>
      </w:r>
    </w:p>
    <w:p w14:paraId="4CCC3FDD" w14:textId="4EF9DCA4" w:rsidR="00F16444" w:rsidRPr="00C5657A" w:rsidRDefault="00F16444" w:rsidP="00263E05">
      <w:pPr>
        <w:spacing w:line="240" w:lineRule="atLeast"/>
        <w:ind w:right="1134"/>
        <w:jc w:val="both"/>
        <w:rPr>
          <w:color w:val="000000" w:themeColor="text1"/>
          <w:sz w:val="20"/>
          <w:szCs w:val="20"/>
        </w:rPr>
      </w:pPr>
    </w:p>
    <w:p w14:paraId="73267FC1" w14:textId="72E53141" w:rsidR="00AE5A09" w:rsidRPr="000C1015" w:rsidRDefault="00AE5A09" w:rsidP="000C1015">
      <w:pPr>
        <w:pStyle w:val="NormalWeb"/>
        <w:ind w:left="1134" w:right="1134"/>
        <w:jc w:val="both"/>
        <w:rPr>
          <w:bCs/>
          <w:color w:val="000000" w:themeColor="text1"/>
          <w:sz w:val="20"/>
          <w:szCs w:val="20"/>
          <w:lang w:val="en-IE"/>
        </w:rPr>
      </w:pPr>
      <w:r w:rsidRPr="00C5657A">
        <w:rPr>
          <w:color w:val="000000" w:themeColor="text1"/>
          <w:sz w:val="20"/>
          <w:szCs w:val="20"/>
        </w:rPr>
        <w:t xml:space="preserve">The grant </w:t>
      </w:r>
      <w:r w:rsidRPr="000C1015">
        <w:rPr>
          <w:bCs/>
          <w:color w:val="000000" w:themeColor="text1"/>
          <w:sz w:val="20"/>
          <w:szCs w:val="20"/>
          <w:lang w:val="en-IE"/>
        </w:rPr>
        <w:t xml:space="preserve">amount for Inclusion Ireland (the </w:t>
      </w:r>
      <w:r w:rsidR="000C1015" w:rsidRPr="000C1015">
        <w:rPr>
          <w:bCs/>
          <w:color w:val="000000" w:themeColor="text1"/>
          <w:sz w:val="20"/>
          <w:szCs w:val="20"/>
          <w:lang w:val="en-IE"/>
        </w:rPr>
        <w:t>Disability Participation and Consultation Network</w:t>
      </w:r>
      <w:r w:rsidRPr="000C1015">
        <w:rPr>
          <w:bCs/>
          <w:color w:val="000000" w:themeColor="text1"/>
          <w:sz w:val="20"/>
          <w:szCs w:val="20"/>
          <w:lang w:val="en-IE"/>
        </w:rPr>
        <w:t>’s organisi</w:t>
      </w:r>
      <w:r w:rsidR="00835C69" w:rsidRPr="000C1015">
        <w:rPr>
          <w:bCs/>
          <w:color w:val="000000" w:themeColor="text1"/>
          <w:sz w:val="20"/>
          <w:szCs w:val="20"/>
          <w:lang w:val="en-IE"/>
        </w:rPr>
        <w:t xml:space="preserve">ng member) was €70,000 in 2021. </w:t>
      </w:r>
      <w:r w:rsidRPr="000C1015">
        <w:rPr>
          <w:bCs/>
          <w:color w:val="000000" w:themeColor="text1"/>
          <w:sz w:val="20"/>
          <w:szCs w:val="20"/>
          <w:lang w:val="en-IE"/>
        </w:rPr>
        <w:t>This has been increased to €90,000 for 2022 and 2023 to fund the recruitment of an Independent Chair. The group was supported by independent analysis and advice from the Natio</w:t>
      </w:r>
      <w:r w:rsidR="000C1015">
        <w:rPr>
          <w:bCs/>
          <w:color w:val="000000" w:themeColor="text1"/>
          <w:sz w:val="20"/>
          <w:szCs w:val="20"/>
          <w:lang w:val="en-IE"/>
        </w:rPr>
        <w:t>nal Disability Authority</w:t>
      </w:r>
      <w:r w:rsidR="00217D48" w:rsidRPr="000C1015">
        <w:rPr>
          <w:bCs/>
          <w:color w:val="000000" w:themeColor="text1"/>
          <w:sz w:val="20"/>
          <w:szCs w:val="20"/>
          <w:lang w:val="en-IE"/>
        </w:rPr>
        <w:t xml:space="preserve">. </w:t>
      </w:r>
    </w:p>
    <w:p w14:paraId="2D1AA7C8" w14:textId="77777777" w:rsidR="00F16444" w:rsidRPr="000C1015" w:rsidRDefault="00F16444" w:rsidP="000C1015">
      <w:pPr>
        <w:pStyle w:val="NormalWeb"/>
        <w:ind w:left="1134" w:right="1134"/>
        <w:jc w:val="both"/>
        <w:rPr>
          <w:bCs/>
          <w:color w:val="000000" w:themeColor="text1"/>
          <w:sz w:val="20"/>
          <w:szCs w:val="20"/>
          <w:lang w:val="en-IE"/>
        </w:rPr>
      </w:pPr>
    </w:p>
    <w:p w14:paraId="26FFF5FE" w14:textId="4DB696AD" w:rsidR="00AE5A09" w:rsidRPr="000C1015" w:rsidRDefault="00AB36C0" w:rsidP="000C1015">
      <w:pPr>
        <w:pStyle w:val="NormalWeb"/>
        <w:ind w:left="1134" w:right="1134"/>
        <w:jc w:val="both"/>
        <w:rPr>
          <w:bCs/>
          <w:color w:val="000000" w:themeColor="text1"/>
          <w:sz w:val="20"/>
          <w:szCs w:val="20"/>
          <w:lang w:val="en-IE"/>
        </w:rPr>
      </w:pPr>
      <w:r w:rsidRPr="000C1015">
        <w:rPr>
          <w:bCs/>
          <w:color w:val="000000" w:themeColor="text1"/>
          <w:sz w:val="20"/>
          <w:szCs w:val="20"/>
          <w:lang w:val="en-IE"/>
        </w:rPr>
        <w:t xml:space="preserve">The Department of Children, Equality, Disability, Integration and </w:t>
      </w:r>
      <w:r w:rsidR="000C1015" w:rsidRPr="000C1015">
        <w:rPr>
          <w:bCs/>
          <w:color w:val="000000" w:themeColor="text1"/>
          <w:sz w:val="20"/>
          <w:szCs w:val="20"/>
          <w:lang w:val="en-IE"/>
        </w:rPr>
        <w:t>Youth</w:t>
      </w:r>
      <w:r w:rsidRPr="000C1015">
        <w:rPr>
          <w:bCs/>
          <w:color w:val="000000" w:themeColor="text1"/>
          <w:sz w:val="20"/>
          <w:szCs w:val="20"/>
          <w:lang w:val="en-IE"/>
        </w:rPr>
        <w:t xml:space="preserve"> (DCEDIY)</w:t>
      </w:r>
      <w:r w:rsidR="00AE5A09" w:rsidRPr="000C1015">
        <w:rPr>
          <w:bCs/>
          <w:color w:val="000000" w:themeColor="text1"/>
          <w:sz w:val="20"/>
          <w:szCs w:val="20"/>
          <w:lang w:val="en-IE"/>
        </w:rPr>
        <w:t xml:space="preserve"> is currently working on a successor strategy to the NDIS, in consultation with</w:t>
      </w:r>
      <w:r w:rsidRPr="000C1015">
        <w:rPr>
          <w:bCs/>
          <w:color w:val="000000" w:themeColor="text1"/>
          <w:sz w:val="20"/>
          <w:szCs w:val="20"/>
          <w:lang w:val="en-IE"/>
        </w:rPr>
        <w:t xml:space="preserve"> other Government Departments, persons</w:t>
      </w:r>
      <w:r w:rsidR="00AE5A09" w:rsidRPr="000C1015">
        <w:rPr>
          <w:bCs/>
          <w:color w:val="000000" w:themeColor="text1"/>
          <w:sz w:val="20"/>
          <w:szCs w:val="20"/>
          <w:lang w:val="en-IE"/>
        </w:rPr>
        <w:t xml:space="preserve"> with disabilities and their representative organisations. Further detail on these issues is available in Ireland’s initial State Report on the implementation of the UNCRPD.</w:t>
      </w:r>
    </w:p>
    <w:p w14:paraId="50798095" w14:textId="108BF121" w:rsidR="00F16444" w:rsidRDefault="00F16444" w:rsidP="005B52EA">
      <w:pPr>
        <w:pStyle w:val="NormalWeb"/>
        <w:ind w:left="1134" w:right="1134"/>
        <w:jc w:val="both"/>
        <w:rPr>
          <w:bCs/>
          <w:color w:val="000000" w:themeColor="text1"/>
          <w:sz w:val="20"/>
          <w:szCs w:val="20"/>
          <w:lang w:val="en-IE"/>
        </w:rPr>
      </w:pPr>
    </w:p>
    <w:p w14:paraId="63AE2846" w14:textId="574E63C4" w:rsidR="000C1015" w:rsidRPr="000C1015" w:rsidRDefault="000C1015" w:rsidP="005B52EA">
      <w:pPr>
        <w:pStyle w:val="NormalWeb"/>
        <w:ind w:left="1134" w:right="1134"/>
        <w:jc w:val="both"/>
        <w:rPr>
          <w:bCs/>
          <w:color w:val="000000" w:themeColor="text1"/>
          <w:sz w:val="20"/>
          <w:szCs w:val="20"/>
          <w:u w:val="single"/>
          <w:lang w:val="en-IE"/>
        </w:rPr>
      </w:pPr>
      <w:r w:rsidRPr="000C1015">
        <w:rPr>
          <w:bCs/>
          <w:color w:val="000000" w:themeColor="text1"/>
          <w:sz w:val="20"/>
          <w:szCs w:val="20"/>
          <w:u w:val="single"/>
          <w:lang w:val="en-IE"/>
        </w:rPr>
        <w:t>Traveller and Roma communities</w:t>
      </w:r>
    </w:p>
    <w:p w14:paraId="448CD3E2" w14:textId="3E55B88D" w:rsidR="00AE5A09" w:rsidRPr="00C5657A" w:rsidRDefault="00AE5A09" w:rsidP="005B52EA">
      <w:pPr>
        <w:pStyle w:val="NormalWeb"/>
        <w:ind w:left="1134" w:right="1134"/>
        <w:jc w:val="both"/>
        <w:rPr>
          <w:color w:val="000000" w:themeColor="text1"/>
          <w:sz w:val="20"/>
          <w:szCs w:val="20"/>
        </w:rPr>
      </w:pPr>
      <w:r w:rsidRPr="000C1015">
        <w:rPr>
          <w:bCs/>
          <w:color w:val="000000" w:themeColor="text1"/>
          <w:sz w:val="20"/>
          <w:szCs w:val="20"/>
          <w:lang w:val="en-IE"/>
        </w:rPr>
        <w:t>The NTRIS contains a number of objectives relating to increased participation of Traveller and Roma communities in Government and publi</w:t>
      </w:r>
      <w:r w:rsidR="00217D48" w:rsidRPr="000C1015">
        <w:rPr>
          <w:bCs/>
          <w:color w:val="000000" w:themeColor="text1"/>
          <w:sz w:val="20"/>
          <w:szCs w:val="20"/>
          <w:lang w:val="en-IE"/>
        </w:rPr>
        <w:t xml:space="preserve">c service processes, including in the </w:t>
      </w:r>
      <w:r w:rsidR="00217D48" w:rsidRPr="000C1015">
        <w:rPr>
          <w:bCs/>
          <w:color w:val="000000" w:themeColor="text1"/>
          <w:sz w:val="20"/>
          <w:szCs w:val="20"/>
          <w:lang w:val="en-IE"/>
        </w:rPr>
        <w:lastRenderedPageBreak/>
        <w:t>development of policy and legislation</w:t>
      </w:r>
      <w:r w:rsidR="00217D48" w:rsidRPr="00C5657A">
        <w:rPr>
          <w:color w:val="000000" w:themeColor="text1"/>
          <w:sz w:val="20"/>
          <w:szCs w:val="20"/>
        </w:rPr>
        <w:t xml:space="preserve"> and participation in local and national political processes.</w:t>
      </w:r>
    </w:p>
    <w:p w14:paraId="59834617" w14:textId="42F4D988" w:rsidR="00F8230A" w:rsidRPr="00C5657A" w:rsidRDefault="00F8230A" w:rsidP="00767D76">
      <w:pPr>
        <w:spacing w:line="240" w:lineRule="atLeast"/>
        <w:ind w:right="1134"/>
        <w:jc w:val="both"/>
        <w:rPr>
          <w:color w:val="000000" w:themeColor="text1"/>
          <w:sz w:val="20"/>
          <w:szCs w:val="20"/>
        </w:rPr>
      </w:pPr>
    </w:p>
    <w:p w14:paraId="6D541FFC" w14:textId="77777777" w:rsidR="00AE5A09" w:rsidRPr="00C5657A" w:rsidRDefault="00AE5A09" w:rsidP="005B52EA">
      <w:pPr>
        <w:pStyle w:val="SingleTxtG"/>
        <w:spacing w:after="0"/>
      </w:pPr>
      <w:r w:rsidRPr="00C5657A">
        <w:rPr>
          <w:b/>
        </w:rPr>
        <w:t>Reply to paragraph 3</w:t>
      </w:r>
    </w:p>
    <w:p w14:paraId="2459F69B" w14:textId="668026CF" w:rsidR="004B11AC" w:rsidRDefault="004B11AC" w:rsidP="004B11AC">
      <w:pPr>
        <w:pStyle w:val="SingleTxtG"/>
        <w:spacing w:after="0"/>
      </w:pPr>
      <w:r w:rsidRPr="00C5657A">
        <w:t xml:space="preserve">Ireland’s first statutory </w:t>
      </w:r>
      <w:r w:rsidRPr="00C5657A">
        <w:rPr>
          <w:i/>
        </w:rPr>
        <w:t>National Adaptation Framework</w:t>
      </w:r>
      <w:r w:rsidRPr="00C5657A">
        <w:rPr>
          <w:vertAlign w:val="superscript"/>
        </w:rPr>
        <w:footnoteReference w:id="2"/>
      </w:r>
      <w:r w:rsidRPr="00C5657A">
        <w:t xml:space="preserve"> was published in January 2018.</w:t>
      </w:r>
      <w:r>
        <w:t xml:space="preserve"> Sectoral plans covering 12 priority sectors were approved by Government and published in 2019. </w:t>
      </w:r>
      <w:r w:rsidRPr="00C5657A">
        <w:t>In 2019, all Local Authorities signed ‘Climate Action Charters’, committing the local authority sector to specific adaptation goals and objectives</w:t>
      </w:r>
      <w:r>
        <w:t>. In 2019 all local authorities also adopted local adaptation strategies</w:t>
      </w:r>
      <w:r w:rsidRPr="00C5657A">
        <w:t xml:space="preserve">. </w:t>
      </w:r>
    </w:p>
    <w:p w14:paraId="2A566FE7" w14:textId="77777777" w:rsidR="004B11AC" w:rsidRDefault="004B11AC" w:rsidP="004B11AC">
      <w:pPr>
        <w:pStyle w:val="SingleTxtG"/>
        <w:spacing w:after="0"/>
      </w:pPr>
    </w:p>
    <w:p w14:paraId="510FB15B" w14:textId="77777777" w:rsidR="004B11AC" w:rsidRDefault="004B11AC" w:rsidP="004B11AC">
      <w:pPr>
        <w:pStyle w:val="SingleTxtG"/>
      </w:pPr>
      <w:r>
        <w:t xml:space="preserve">Each of Ireland’s 31 local authorities is required to develop a Local Authority Climate Action Plan, as set out in the </w:t>
      </w:r>
      <w:r w:rsidRPr="000C1015">
        <w:rPr>
          <w:i/>
        </w:rPr>
        <w:t>Climate Action and Low Carbon Development Amendment Act 2021</w:t>
      </w:r>
      <w:r>
        <w:t>. Each local authority climate plan must be consistent with the State’s National Climate Action Plan to help ensure a clear link between national climate policy and local policy and implementation.</w:t>
      </w:r>
    </w:p>
    <w:p w14:paraId="6213D1FD" w14:textId="77777777" w:rsidR="004B11AC" w:rsidRDefault="004B11AC" w:rsidP="004B11AC">
      <w:pPr>
        <w:pStyle w:val="SingleTxtG"/>
      </w:pPr>
      <w:r>
        <w:t>The local authority climate plans will address mitigation and adaptation in an integrated way and strengthen alignment between climate policy and the delivery of effective climate action at local and community levels. They will play a significant role in reinforcing the commitment by the local government sector to lead climate action.</w:t>
      </w:r>
    </w:p>
    <w:p w14:paraId="2D6BC043" w14:textId="77777777" w:rsidR="004B11AC" w:rsidRDefault="004B11AC" w:rsidP="004B11AC">
      <w:pPr>
        <w:pStyle w:val="SingleTxtG"/>
        <w:spacing w:after="0"/>
      </w:pPr>
      <w:r>
        <w:t>The local authority plans are designed to lead to a reduction of greenhouse gas emissions in each local authority area. The five guiding principles for the local action plans are - ambitious, action-focused, evidence-based, participative and transparent.</w:t>
      </w:r>
    </w:p>
    <w:p w14:paraId="19BB8CA7" w14:textId="77777777" w:rsidR="004B11AC" w:rsidRDefault="004B11AC" w:rsidP="004B11AC">
      <w:pPr>
        <w:pStyle w:val="SingleTxtG"/>
        <w:spacing w:after="0"/>
      </w:pPr>
    </w:p>
    <w:p w14:paraId="4B0FB2FE" w14:textId="77777777" w:rsidR="004B11AC" w:rsidRDefault="004B11AC" w:rsidP="004B11AC">
      <w:pPr>
        <w:pStyle w:val="SingleTxtG"/>
      </w:pPr>
      <w:r>
        <w:t>In January 2018, the government established four Climate Action Regional Offices (CAROs) in recognition of the need to build capacity within the local government sector to respond and adapt to climate change. The CAROs play an important role in ensuring that cross-sectoral climate issues are identified and addressed.</w:t>
      </w:r>
    </w:p>
    <w:p w14:paraId="34528953" w14:textId="77777777" w:rsidR="004B11AC" w:rsidRDefault="004B11AC" w:rsidP="004B11AC">
      <w:pPr>
        <w:pStyle w:val="SingleTxtG"/>
      </w:pPr>
      <w:r>
        <w:t>The need for regional climate offices was reflected in both the National Adaptation Framework and the National Mitigation Plan and a commitment was made to provide €10 million in funding over a 5-year period.</w:t>
      </w:r>
    </w:p>
    <w:p w14:paraId="5D6B00D4" w14:textId="77777777" w:rsidR="004B11AC" w:rsidRDefault="004B11AC" w:rsidP="004B11AC">
      <w:pPr>
        <w:pStyle w:val="SingleTxtG"/>
        <w:spacing w:after="0"/>
      </w:pPr>
      <w:r>
        <w:t>The CAROs play a central role in supporting and coordinating climate actions undertaken by local authorities, the measurement and recording of key performance indicators and supporting the advancement of behavioural change initiatives. The CAROs are supporting the local authorities to develop and coordinate their local climate plans across regions and nationally and assist with sharing knowledge and best practice.</w:t>
      </w:r>
    </w:p>
    <w:p w14:paraId="6D0BB063" w14:textId="77777777" w:rsidR="004B11AC" w:rsidRDefault="004B11AC" w:rsidP="004B11AC">
      <w:pPr>
        <w:pStyle w:val="SingleTxtG"/>
        <w:spacing w:after="0"/>
      </w:pPr>
    </w:p>
    <w:p w14:paraId="747AAAF7" w14:textId="77777777" w:rsidR="004B11AC" w:rsidRDefault="004B11AC" w:rsidP="004B11AC">
      <w:pPr>
        <w:pStyle w:val="SingleTxtG"/>
      </w:pPr>
      <w:r>
        <w:t>The Department supports upskilling and capacity building in the local government sector by funding the Local Authority Climate Action Training Programme, with a commitment of €1.575m over 2021 - 2023.</w:t>
      </w:r>
    </w:p>
    <w:p w14:paraId="20FDC03E" w14:textId="77777777" w:rsidR="004B11AC" w:rsidRDefault="004B11AC" w:rsidP="004B11AC">
      <w:pPr>
        <w:pStyle w:val="SingleTxtG"/>
        <w:spacing w:after="0"/>
      </w:pPr>
      <w:r>
        <w:t>This programme is designed to increase understanding of climate change and the need for action among all local authority staff and elected members. Building climate action capacity in the local authorities is essential to support the leadership role in the fight against climate change and in building resilience to its negative effects.</w:t>
      </w:r>
    </w:p>
    <w:p w14:paraId="41C4BD66" w14:textId="77777777" w:rsidR="004B11AC" w:rsidRDefault="004B11AC" w:rsidP="004B11AC">
      <w:pPr>
        <w:pStyle w:val="SingleTxtG"/>
        <w:spacing w:after="0"/>
      </w:pPr>
    </w:p>
    <w:p w14:paraId="33A2D8B5" w14:textId="77777777" w:rsidR="004B11AC" w:rsidRPr="00C5657A" w:rsidRDefault="004B11AC" w:rsidP="004B11AC">
      <w:pPr>
        <w:pStyle w:val="SingleTxtG"/>
        <w:spacing w:after="0"/>
      </w:pPr>
      <w:r w:rsidRPr="00C5657A">
        <w:t xml:space="preserve">The establishment of an annual ‘National Dialogue on Climate Action’ </w:t>
      </w:r>
      <w:r w:rsidRPr="00C5657A">
        <w:rPr>
          <w:vertAlign w:val="superscript"/>
        </w:rPr>
        <w:footnoteReference w:id="3"/>
      </w:r>
      <w:r w:rsidRPr="00C5657A">
        <w:t xml:space="preserve"> in 2022 delivered a two-way dialogue between the public and Government and informs the </w:t>
      </w:r>
      <w:r w:rsidRPr="00C5657A">
        <w:rPr>
          <w:i/>
        </w:rPr>
        <w:t>Climate Action Plan</w:t>
      </w:r>
      <w:r w:rsidRPr="00C5657A">
        <w:t xml:space="preserve"> and wider sectoral policy.</w:t>
      </w:r>
    </w:p>
    <w:p w14:paraId="09606BC1" w14:textId="77777777" w:rsidR="004B11AC" w:rsidRPr="00C5657A" w:rsidRDefault="004B11AC" w:rsidP="004B11AC">
      <w:pPr>
        <w:pStyle w:val="SingleTxtG"/>
        <w:spacing w:after="0"/>
      </w:pPr>
    </w:p>
    <w:p w14:paraId="53126FFA" w14:textId="77777777" w:rsidR="004B11AC" w:rsidRPr="00C5657A" w:rsidRDefault="004B11AC" w:rsidP="004B11AC">
      <w:pPr>
        <w:pStyle w:val="SingleTxtG"/>
        <w:spacing w:after="0"/>
        <w:rPr>
          <w:lang w:val="en-IE"/>
        </w:rPr>
      </w:pPr>
      <w:r w:rsidRPr="00C5657A">
        <w:rPr>
          <w:lang w:val="en-IE"/>
        </w:rPr>
        <w:t>To mitigate the effects of the transition to a low-carbon national economy, revenue gathered from carbon tax increases are utilised to support lower income households through increases to social welfare, retrofitting programmes, and other schemes.</w:t>
      </w:r>
    </w:p>
    <w:p w14:paraId="055EB1C0" w14:textId="77777777" w:rsidR="004B11AC" w:rsidRPr="00C5657A" w:rsidRDefault="004B11AC" w:rsidP="004B11AC">
      <w:pPr>
        <w:pStyle w:val="SingleTxtG"/>
        <w:spacing w:after="0"/>
      </w:pPr>
      <w:r w:rsidRPr="00C5657A">
        <w:rPr>
          <w:lang w:val="en-IE"/>
        </w:rPr>
        <w:t xml:space="preserve"> </w:t>
      </w:r>
    </w:p>
    <w:p w14:paraId="1CD5C3C1" w14:textId="77777777" w:rsidR="004B11AC" w:rsidRPr="00C5657A" w:rsidRDefault="004B11AC" w:rsidP="004B11AC">
      <w:pPr>
        <w:pStyle w:val="SingleTxtG"/>
        <w:spacing w:after="0"/>
        <w:rPr>
          <w:lang w:val="en-IE"/>
        </w:rPr>
      </w:pPr>
      <w:r w:rsidRPr="00C5657A">
        <w:t>I</w:t>
      </w:r>
      <w:r w:rsidRPr="00C5657A">
        <w:rPr>
          <w:lang w:val="en-IE"/>
        </w:rPr>
        <w:t xml:space="preserve">n Ireland, communities in the Midlands region have been directly affected by the closure of peat-fuelled power stations and cessation of large-scale peat extraction through loss of </w:t>
      </w:r>
      <w:r w:rsidRPr="00C5657A">
        <w:rPr>
          <w:lang w:val="en-IE"/>
        </w:rPr>
        <w:lastRenderedPageBreak/>
        <w:t xml:space="preserve">employment and other income streams. In 2021, the Irish Government published ‘A Just Transition Implementation Plan’ for the Midlands Region, incorporating a ‘National Just Transition Fund’. The Fund operates to ensure that the transition away from commercial extraction of peat in the Midlands is just and equitable in its implementation, leaving no social groups or communities behind. Grant-aid of up to €22 million has been committed, generating sustainable business and employment opportunities and reskilling workers to engage with the green economy. This work will be augmented by a new, larger ‘EU Just Transition Fund’ which was launched in April 2023 and will fund projects </w:t>
      </w:r>
      <w:r w:rsidRPr="00C5657A">
        <w:rPr>
          <w:color w:val="000000"/>
          <w:shd w:val="clear" w:color="auto" w:fill="FFFFFF"/>
        </w:rPr>
        <w:t>for the period to 2027</w:t>
      </w:r>
      <w:r w:rsidRPr="00C5657A">
        <w:rPr>
          <w:lang w:val="en-IE"/>
        </w:rPr>
        <w:t xml:space="preserve">. </w:t>
      </w:r>
    </w:p>
    <w:p w14:paraId="6FFDBFFC" w14:textId="69A5F891" w:rsidR="00F16444" w:rsidRPr="00C5657A" w:rsidRDefault="00F16444" w:rsidP="004B11AC">
      <w:pPr>
        <w:pStyle w:val="SingleTxtG"/>
        <w:spacing w:after="0"/>
        <w:ind w:left="0"/>
        <w:rPr>
          <w:lang w:val="en-IE"/>
        </w:rPr>
      </w:pPr>
    </w:p>
    <w:p w14:paraId="68AD931A" w14:textId="1242372C" w:rsidR="00AE5A09" w:rsidRPr="00C5657A" w:rsidRDefault="00A70CF8" w:rsidP="005B52EA">
      <w:pPr>
        <w:pStyle w:val="SingleTxtG"/>
        <w:spacing w:after="0"/>
        <w:rPr>
          <w:color w:val="0070C0"/>
        </w:rPr>
      </w:pPr>
      <w:r w:rsidRPr="00C5657A">
        <w:rPr>
          <w:b/>
        </w:rPr>
        <w:t>Reply to p</w:t>
      </w:r>
      <w:r w:rsidR="00AE5A09" w:rsidRPr="00C5657A">
        <w:rPr>
          <w:b/>
        </w:rPr>
        <w:t>ara</w:t>
      </w:r>
      <w:r w:rsidRPr="00C5657A">
        <w:rPr>
          <w:b/>
        </w:rPr>
        <w:t>graph</w:t>
      </w:r>
      <w:r w:rsidR="00AE5A09" w:rsidRPr="00C5657A">
        <w:rPr>
          <w:b/>
        </w:rPr>
        <w:t xml:space="preserve"> 4</w:t>
      </w:r>
    </w:p>
    <w:p w14:paraId="65F1303F" w14:textId="7DB77908" w:rsidR="00F76E94" w:rsidRPr="00C5657A" w:rsidRDefault="00263E05" w:rsidP="00F76E94">
      <w:pPr>
        <w:pStyle w:val="SingleTxtG"/>
        <w:spacing w:after="0"/>
      </w:pPr>
      <w:r w:rsidRPr="00C5657A">
        <w:rPr>
          <w:lang w:val="en-IE"/>
        </w:rPr>
        <w:t>Ireland wa</w:t>
      </w:r>
      <w:r w:rsidR="00FD380F" w:rsidRPr="00C5657A">
        <w:rPr>
          <w:lang w:val="en-IE"/>
        </w:rPr>
        <w:t xml:space="preserve">s </w:t>
      </w:r>
      <w:r w:rsidR="00C16E7D" w:rsidRPr="00C5657A">
        <w:rPr>
          <w:lang w:val="en-IE"/>
        </w:rPr>
        <w:t xml:space="preserve">the </w:t>
      </w:r>
      <w:r w:rsidR="000C1015">
        <w:rPr>
          <w:lang w:val="en-IE"/>
        </w:rPr>
        <w:t>nineteenth S</w:t>
      </w:r>
      <w:r w:rsidR="00C16E7D" w:rsidRPr="00C5657A">
        <w:rPr>
          <w:lang w:val="en-IE"/>
        </w:rPr>
        <w:t xml:space="preserve">tate to develop a National Plan on </w:t>
      </w:r>
      <w:r w:rsidR="000C1015">
        <w:rPr>
          <w:lang w:val="en-IE"/>
        </w:rPr>
        <w:t>Business and Human Rights</w:t>
      </w:r>
      <w:r w:rsidR="00C16E7D" w:rsidRPr="00C5657A">
        <w:rPr>
          <w:lang w:val="en-IE"/>
        </w:rPr>
        <w:t xml:space="preserve">. </w:t>
      </w:r>
    </w:p>
    <w:p w14:paraId="7E818BE1" w14:textId="77777777" w:rsidR="00F16444" w:rsidRPr="00C5657A" w:rsidRDefault="00F16444" w:rsidP="005B52EA">
      <w:pPr>
        <w:pStyle w:val="SingleTxtG"/>
        <w:spacing w:after="0"/>
      </w:pPr>
    </w:p>
    <w:p w14:paraId="225833A2" w14:textId="7B2F28F3" w:rsidR="00420C3F" w:rsidRPr="00C5657A" w:rsidRDefault="00420C3F" w:rsidP="005B52EA">
      <w:pPr>
        <w:pStyle w:val="SingleTxtG"/>
        <w:spacing w:after="0"/>
        <w:rPr>
          <w:lang w:val="en-IE"/>
        </w:rPr>
      </w:pPr>
      <w:r w:rsidRPr="00C5657A">
        <w:t>The National Contact Point (NCP) for the OECD Guidelines for Multinational Enterprises is a standalone Unit in the Department of En</w:t>
      </w:r>
      <w:r w:rsidR="000C1015">
        <w:t>terprise, Trade and Employment.</w:t>
      </w:r>
      <w:r w:rsidRPr="00C5657A">
        <w:t xml:space="preserve"> The Guidelines reflect the expectation from governments to business on how to act responsibly, covering all major areas of business ethics, with the aim to promote positive contributions by enterprises to economic, envir</w:t>
      </w:r>
      <w:r w:rsidR="000C1015">
        <w:t xml:space="preserve">onmental, and social progress. </w:t>
      </w:r>
      <w:r w:rsidRPr="00C5657A">
        <w:t xml:space="preserve">The NCP promotes and raises awareness of the Guidelines and handles complaints of alleged non-observance by a multinational enterprise, referred to as a specific instance.  </w:t>
      </w:r>
    </w:p>
    <w:p w14:paraId="317B84A6" w14:textId="77777777" w:rsidR="00C16E7D" w:rsidRPr="00C5657A" w:rsidRDefault="00C16E7D" w:rsidP="005B52EA">
      <w:pPr>
        <w:pStyle w:val="SingleTxtG"/>
        <w:spacing w:after="0"/>
        <w:ind w:left="0"/>
        <w:rPr>
          <w:color w:val="0070C0"/>
        </w:rPr>
      </w:pPr>
    </w:p>
    <w:p w14:paraId="6A9CAE24" w14:textId="77777777" w:rsidR="00AE5A09" w:rsidRPr="00C5657A" w:rsidRDefault="00AE5A09" w:rsidP="005B52EA">
      <w:pPr>
        <w:pStyle w:val="SingleTxtG"/>
        <w:spacing w:after="0"/>
        <w:ind w:left="414" w:firstLine="720"/>
        <w:rPr>
          <w:b/>
        </w:rPr>
      </w:pPr>
      <w:r w:rsidRPr="00C5657A">
        <w:rPr>
          <w:b/>
        </w:rPr>
        <w:t xml:space="preserve">Reply to paragraph 5 </w:t>
      </w:r>
    </w:p>
    <w:p w14:paraId="3D882C20" w14:textId="6506A1AE" w:rsidR="00503AFA" w:rsidRPr="00C5657A" w:rsidRDefault="00503AFA" w:rsidP="005B52EA">
      <w:pPr>
        <w:pStyle w:val="SingleTxtG"/>
        <w:spacing w:after="0"/>
        <w:rPr>
          <w:lang w:val="en-IE"/>
        </w:rPr>
      </w:pPr>
      <w:r w:rsidRPr="00C5657A">
        <w:rPr>
          <w:lang w:val="en-IE"/>
        </w:rPr>
        <w:t xml:space="preserve">The EU Recovery and Resilience Facility (RRF) is performance based. In order to access the full value of confirmed RRF grants (just under €1 billion), Ireland must achieve the milestones and targets agreed with the Commission during the development of Ireland’s NRRP. Significant progress has been made on implementation despite the changed economic circumstances since the RRF was agreed in 2021, e.g. </w:t>
      </w:r>
      <w:r w:rsidR="002414C5">
        <w:rPr>
          <w:lang w:val="en-IE"/>
        </w:rPr>
        <w:t>the war in Ukraine</w:t>
      </w:r>
      <w:r w:rsidRPr="00C5657A">
        <w:rPr>
          <w:lang w:val="en-IE"/>
        </w:rPr>
        <w:t>, cost of living an</w:t>
      </w:r>
      <w:r w:rsidR="002414C5">
        <w:rPr>
          <w:lang w:val="en-IE"/>
        </w:rPr>
        <w:t>d energy crises. Ireland will submit</w:t>
      </w:r>
      <w:r w:rsidRPr="00C5657A">
        <w:rPr>
          <w:lang w:val="en-IE"/>
        </w:rPr>
        <w:t xml:space="preserve"> its first payment request later this year.</w:t>
      </w:r>
    </w:p>
    <w:p w14:paraId="036F5DE9" w14:textId="14008500" w:rsidR="00AE5A09" w:rsidRPr="00C5657A" w:rsidRDefault="00AE5A09" w:rsidP="005B52EA">
      <w:pPr>
        <w:pStyle w:val="H1G"/>
        <w:spacing w:after="0" w:line="240" w:lineRule="atLeast"/>
        <w:jc w:val="both"/>
        <w:rPr>
          <w:sz w:val="20"/>
        </w:rPr>
      </w:pPr>
      <w:r w:rsidRPr="00C5657A">
        <w:rPr>
          <w:sz w:val="20"/>
        </w:rPr>
        <w:tab/>
        <w:t>B.</w:t>
      </w:r>
      <w:r w:rsidRPr="00C5657A">
        <w:rPr>
          <w:sz w:val="20"/>
        </w:rPr>
        <w:tab/>
        <w:t>Reply to paragraphs 6 – 9</w:t>
      </w:r>
      <w:r w:rsidRPr="00C5657A">
        <w:rPr>
          <w:color w:val="FF0000"/>
          <w:sz w:val="20"/>
        </w:rPr>
        <w:t xml:space="preserve"> </w:t>
      </w:r>
      <w:r w:rsidRPr="00C5657A">
        <w:rPr>
          <w:sz w:val="20"/>
        </w:rPr>
        <w:t xml:space="preserve">of the list of issues </w:t>
      </w:r>
      <w:r w:rsidR="0029012C" w:rsidRPr="00C5657A">
        <w:rPr>
          <w:sz w:val="20"/>
        </w:rPr>
        <w:t>(Issues relating to the general provisions of the Covenant)</w:t>
      </w:r>
    </w:p>
    <w:p w14:paraId="72FB170E" w14:textId="77777777" w:rsidR="00F16444" w:rsidRPr="00C5657A" w:rsidRDefault="00F16444" w:rsidP="00F16444">
      <w:pPr>
        <w:rPr>
          <w:sz w:val="20"/>
          <w:szCs w:val="20"/>
          <w:lang w:val="en-GB"/>
        </w:rPr>
      </w:pPr>
    </w:p>
    <w:p w14:paraId="62725942" w14:textId="77777777" w:rsidR="00AE5A09" w:rsidRPr="00C5657A" w:rsidRDefault="00AE5A09" w:rsidP="005B52EA">
      <w:pPr>
        <w:pStyle w:val="SingleTxtG"/>
        <w:spacing w:after="0"/>
        <w:rPr>
          <w:b/>
        </w:rPr>
      </w:pPr>
      <w:r w:rsidRPr="00C5657A">
        <w:rPr>
          <w:b/>
        </w:rPr>
        <w:t>Maximum available resources (art. 2(1))</w:t>
      </w:r>
      <w:r w:rsidRPr="00C5657A">
        <w:t xml:space="preserve"> </w:t>
      </w:r>
    </w:p>
    <w:p w14:paraId="57D719DC" w14:textId="53C40839" w:rsidR="00AE5A09" w:rsidRPr="00C5657A" w:rsidRDefault="0029012C" w:rsidP="005B52EA">
      <w:pPr>
        <w:pStyle w:val="SingleTxtG"/>
        <w:spacing w:after="0"/>
        <w:rPr>
          <w:b/>
        </w:rPr>
      </w:pPr>
      <w:r w:rsidRPr="00C5657A">
        <w:rPr>
          <w:b/>
        </w:rPr>
        <w:t>Reply to p</w:t>
      </w:r>
      <w:r w:rsidR="00AE5A09" w:rsidRPr="00C5657A">
        <w:rPr>
          <w:b/>
        </w:rPr>
        <w:t>ara</w:t>
      </w:r>
      <w:r w:rsidRPr="00C5657A">
        <w:rPr>
          <w:b/>
        </w:rPr>
        <w:t>graph</w:t>
      </w:r>
      <w:r w:rsidR="00AE5A09" w:rsidRPr="00C5657A">
        <w:rPr>
          <w:b/>
        </w:rPr>
        <w:t xml:space="preserve"> 6</w:t>
      </w:r>
    </w:p>
    <w:p w14:paraId="227C6234" w14:textId="77777777" w:rsidR="00F16444" w:rsidRPr="00C5657A" w:rsidRDefault="00F16444" w:rsidP="005B52EA">
      <w:pPr>
        <w:pStyle w:val="SingleTxtG"/>
        <w:spacing w:after="0"/>
      </w:pPr>
    </w:p>
    <w:p w14:paraId="460EB38A" w14:textId="77777777" w:rsidR="002414C5" w:rsidRPr="002414C5" w:rsidRDefault="00D26FAE" w:rsidP="002414C5">
      <w:pPr>
        <w:pStyle w:val="SingleTxtG"/>
        <w:numPr>
          <w:ilvl w:val="0"/>
          <w:numId w:val="25"/>
        </w:numPr>
        <w:spacing w:after="0"/>
      </w:pPr>
      <w:r w:rsidRPr="00C5657A">
        <w:t>T</w:t>
      </w:r>
      <w:r w:rsidRPr="00C5657A">
        <w:rPr>
          <w:lang w:val="en-IE"/>
        </w:rPr>
        <w:t xml:space="preserve">he at-risk of poverty threshold in Ireland is defined as 60% of median </w:t>
      </w:r>
      <w:proofErr w:type="spellStart"/>
      <w:r w:rsidRPr="00C5657A">
        <w:rPr>
          <w:lang w:val="en-IE"/>
        </w:rPr>
        <w:t>equivalised</w:t>
      </w:r>
      <w:proofErr w:type="spellEnd"/>
      <w:r w:rsidRPr="00C5657A">
        <w:rPr>
          <w:lang w:val="en-IE"/>
        </w:rPr>
        <w:t xml:space="preserve"> disposable income. </w:t>
      </w:r>
    </w:p>
    <w:p w14:paraId="2F0127E7" w14:textId="77777777" w:rsidR="002414C5" w:rsidRDefault="002414C5" w:rsidP="002414C5">
      <w:pPr>
        <w:pStyle w:val="SingleTxtG"/>
        <w:spacing w:after="0"/>
        <w:ind w:left="1494"/>
        <w:rPr>
          <w:lang w:val="en-IE"/>
        </w:rPr>
      </w:pPr>
    </w:p>
    <w:p w14:paraId="645AB166" w14:textId="5EAA3E51" w:rsidR="006D6421" w:rsidRPr="00C5657A" w:rsidRDefault="00D26FAE" w:rsidP="002414C5">
      <w:pPr>
        <w:pStyle w:val="SingleTxtG"/>
        <w:spacing w:after="0"/>
        <w:ind w:left="1494"/>
      </w:pPr>
      <w:r w:rsidRPr="00C5657A">
        <w:rPr>
          <w:lang w:val="en-IE"/>
        </w:rPr>
        <w:t>The media</w:t>
      </w:r>
      <w:r w:rsidR="004B11AC">
        <w:rPr>
          <w:lang w:val="en-IE"/>
        </w:rPr>
        <w:t>n</w:t>
      </w:r>
      <w:r w:rsidRPr="00C5657A">
        <w:rPr>
          <w:lang w:val="en-IE"/>
        </w:rPr>
        <w:t xml:space="preserve"> </w:t>
      </w:r>
      <w:proofErr w:type="spellStart"/>
      <w:r w:rsidRPr="00C5657A">
        <w:rPr>
          <w:lang w:val="en-IE"/>
        </w:rPr>
        <w:t>equivalised</w:t>
      </w:r>
      <w:proofErr w:type="spellEnd"/>
      <w:r w:rsidRPr="00C5657A">
        <w:rPr>
          <w:lang w:val="en-IE"/>
        </w:rPr>
        <w:t xml:space="preserve"> disposable income under the 2022 Survey of Income and Living C</w:t>
      </w:r>
      <w:r w:rsidR="002414C5">
        <w:rPr>
          <w:lang w:val="en-IE"/>
        </w:rPr>
        <w:t xml:space="preserve">onditions (SILC) </w:t>
      </w:r>
      <w:r w:rsidRPr="00C5657A">
        <w:rPr>
          <w:lang w:val="en-IE"/>
        </w:rPr>
        <w:t xml:space="preserve">was €26,257 with the corresponding poverty threshold (i.e. 60% of the median) at €15,754. </w:t>
      </w:r>
    </w:p>
    <w:p w14:paraId="1D6247A8" w14:textId="4DB643FA" w:rsidR="006D6421" w:rsidRPr="00C5657A" w:rsidRDefault="006D6421" w:rsidP="005B52EA">
      <w:pPr>
        <w:pStyle w:val="SingleTxtG"/>
        <w:spacing w:after="0"/>
      </w:pPr>
    </w:p>
    <w:p w14:paraId="330A7121" w14:textId="4AAB196B" w:rsidR="006D6421" w:rsidRPr="002414C5" w:rsidRDefault="002414C5" w:rsidP="005B52EA">
      <w:pPr>
        <w:spacing w:line="240" w:lineRule="atLeast"/>
        <w:ind w:left="426" w:firstLine="720"/>
        <w:contextualSpacing/>
        <w:jc w:val="both"/>
        <w:rPr>
          <w:bCs/>
          <w:color w:val="000000"/>
          <w:sz w:val="20"/>
          <w:szCs w:val="20"/>
          <w:u w:val="single"/>
        </w:rPr>
      </w:pPr>
      <w:r w:rsidRPr="002414C5">
        <w:rPr>
          <w:bCs/>
          <w:color w:val="000000"/>
          <w:sz w:val="20"/>
          <w:szCs w:val="20"/>
        </w:rPr>
        <w:t xml:space="preserve">(c) </w:t>
      </w:r>
      <w:r>
        <w:rPr>
          <w:bCs/>
          <w:color w:val="000000"/>
          <w:sz w:val="20"/>
          <w:szCs w:val="20"/>
        </w:rPr>
        <w:t xml:space="preserve">  </w:t>
      </w:r>
      <w:r w:rsidR="006D6421" w:rsidRPr="002414C5">
        <w:rPr>
          <w:bCs/>
          <w:color w:val="000000"/>
          <w:sz w:val="20"/>
          <w:szCs w:val="20"/>
          <w:u w:val="single"/>
        </w:rPr>
        <w:t>Exchequer basis</w:t>
      </w:r>
    </w:p>
    <w:p w14:paraId="74FC5893" w14:textId="77777777" w:rsidR="006D6421" w:rsidRPr="00C5657A" w:rsidRDefault="006D6421" w:rsidP="005B52EA">
      <w:pPr>
        <w:spacing w:line="240" w:lineRule="atLeast"/>
        <w:ind w:firstLine="720"/>
        <w:contextualSpacing/>
        <w:jc w:val="both"/>
        <w:rPr>
          <w:b/>
          <w:bCs/>
          <w:color w:val="000000"/>
          <w:sz w:val="20"/>
          <w:szCs w:val="20"/>
        </w:rPr>
      </w:pPr>
    </w:p>
    <w:tbl>
      <w:tblPr>
        <w:tblStyle w:val="TableGrid"/>
        <w:tblW w:w="982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369"/>
        <w:gridCol w:w="4457"/>
      </w:tblGrid>
      <w:tr w:rsidR="006D6421" w:rsidRPr="00C5657A" w14:paraId="5300A0D8" w14:textId="77777777" w:rsidTr="00B53CE4">
        <w:trPr>
          <w:trHeight w:val="3911"/>
        </w:trPr>
        <w:tc>
          <w:tcPr>
            <w:tcW w:w="4878" w:type="dxa"/>
          </w:tcPr>
          <w:tbl>
            <w:tblPr>
              <w:tblW w:w="4814" w:type="dxa"/>
              <w:tblInd w:w="545" w:type="dxa"/>
              <w:tblLook w:val="04A0" w:firstRow="1" w:lastRow="0" w:firstColumn="1" w:lastColumn="0" w:noHBand="0" w:noVBand="1"/>
            </w:tblPr>
            <w:tblGrid>
              <w:gridCol w:w="616"/>
              <w:gridCol w:w="766"/>
              <w:gridCol w:w="861"/>
              <w:gridCol w:w="794"/>
              <w:gridCol w:w="883"/>
              <w:gridCol w:w="894"/>
            </w:tblGrid>
            <w:tr w:rsidR="006D6421" w:rsidRPr="002414C5" w14:paraId="74BF2154" w14:textId="77777777" w:rsidTr="006D6421">
              <w:trPr>
                <w:trHeight w:val="605"/>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A2CF50" w14:textId="77777777" w:rsidR="006D6421" w:rsidRPr="002414C5" w:rsidRDefault="006D6421" w:rsidP="005B52EA">
                  <w:pPr>
                    <w:spacing w:line="240" w:lineRule="atLeast"/>
                    <w:jc w:val="both"/>
                    <w:rPr>
                      <w:color w:val="000000"/>
                      <w:sz w:val="20"/>
                      <w:szCs w:val="20"/>
                    </w:rPr>
                  </w:pPr>
                  <w:r w:rsidRPr="002414C5">
                    <w:rPr>
                      <w:color w:val="000000"/>
                      <w:sz w:val="20"/>
                      <w:szCs w:val="20"/>
                    </w:rPr>
                    <w:lastRenderedPageBreak/>
                    <w:t> </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2AF7FF1D"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total tax (€m)</w:t>
                  </w:r>
                </w:p>
              </w:tc>
              <w:tc>
                <w:tcPr>
                  <w:tcW w:w="861" w:type="dxa"/>
                  <w:tcBorders>
                    <w:top w:val="single" w:sz="4" w:space="0" w:color="auto"/>
                    <w:left w:val="nil"/>
                    <w:bottom w:val="single" w:sz="4" w:space="0" w:color="auto"/>
                    <w:right w:val="single" w:sz="4" w:space="0" w:color="auto"/>
                  </w:tcBorders>
                  <w:shd w:val="clear" w:color="auto" w:fill="auto"/>
                  <w:vAlign w:val="bottom"/>
                  <w:hideMark/>
                </w:tcPr>
                <w:p w14:paraId="0702C737"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total current (€m)</w:t>
                  </w:r>
                </w:p>
              </w:tc>
              <w:tc>
                <w:tcPr>
                  <w:tcW w:w="794" w:type="dxa"/>
                  <w:tcBorders>
                    <w:top w:val="single" w:sz="4" w:space="0" w:color="auto"/>
                    <w:left w:val="nil"/>
                    <w:bottom w:val="single" w:sz="4" w:space="0" w:color="auto"/>
                    <w:right w:val="single" w:sz="4" w:space="0" w:color="auto"/>
                  </w:tcBorders>
                  <w:shd w:val="clear" w:color="auto" w:fill="auto"/>
                  <w:noWrap/>
                  <w:vAlign w:val="bottom"/>
                  <w:hideMark/>
                </w:tcPr>
                <w:p w14:paraId="10A14DFE"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total capital (€m)</w:t>
                  </w:r>
                </w:p>
              </w:tc>
              <w:tc>
                <w:tcPr>
                  <w:tcW w:w="883" w:type="dxa"/>
                  <w:tcBorders>
                    <w:top w:val="single" w:sz="4" w:space="0" w:color="auto"/>
                    <w:left w:val="nil"/>
                    <w:bottom w:val="single" w:sz="4" w:space="0" w:color="auto"/>
                    <w:right w:val="single" w:sz="4" w:space="0" w:color="auto"/>
                  </w:tcBorders>
                  <w:shd w:val="clear" w:color="auto" w:fill="auto"/>
                  <w:vAlign w:val="bottom"/>
                  <w:hideMark/>
                </w:tcPr>
                <w:p w14:paraId="1739C7EB"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total receipts (€m)</w:t>
                  </w:r>
                </w:p>
              </w:tc>
              <w:tc>
                <w:tcPr>
                  <w:tcW w:w="894" w:type="dxa"/>
                  <w:tcBorders>
                    <w:top w:val="single" w:sz="4" w:space="0" w:color="auto"/>
                    <w:left w:val="nil"/>
                    <w:bottom w:val="single" w:sz="4" w:space="0" w:color="auto"/>
                    <w:right w:val="single" w:sz="4" w:space="0" w:color="auto"/>
                  </w:tcBorders>
                  <w:shd w:val="clear" w:color="auto" w:fill="auto"/>
                  <w:vAlign w:val="bottom"/>
                  <w:hideMark/>
                </w:tcPr>
                <w:p w14:paraId="1EB73028"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tax as % of total revenue</w:t>
                  </w:r>
                </w:p>
              </w:tc>
            </w:tr>
            <w:tr w:rsidR="006D6421" w:rsidRPr="002414C5" w14:paraId="4F3F0DEE"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636E998F"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2013</w:t>
                  </w:r>
                </w:p>
              </w:tc>
              <w:tc>
                <w:tcPr>
                  <w:tcW w:w="766" w:type="dxa"/>
                  <w:tcBorders>
                    <w:top w:val="nil"/>
                    <w:left w:val="nil"/>
                    <w:bottom w:val="single" w:sz="4" w:space="0" w:color="auto"/>
                    <w:right w:val="single" w:sz="4" w:space="0" w:color="auto"/>
                  </w:tcBorders>
                  <w:shd w:val="clear" w:color="auto" w:fill="auto"/>
                  <w:noWrap/>
                  <w:vAlign w:val="bottom"/>
                  <w:hideMark/>
                </w:tcPr>
                <w:p w14:paraId="25060181" w14:textId="77777777" w:rsidR="006D6421" w:rsidRPr="002414C5" w:rsidRDefault="006D6421" w:rsidP="005B52EA">
                  <w:pPr>
                    <w:spacing w:line="240" w:lineRule="atLeast"/>
                    <w:jc w:val="both"/>
                    <w:rPr>
                      <w:color w:val="000000"/>
                      <w:sz w:val="20"/>
                      <w:szCs w:val="20"/>
                    </w:rPr>
                  </w:pPr>
                  <w:r w:rsidRPr="002414C5">
                    <w:rPr>
                      <w:color w:val="000000"/>
                      <w:sz w:val="20"/>
                      <w:szCs w:val="20"/>
                    </w:rPr>
                    <w:t>37.806</w:t>
                  </w:r>
                </w:p>
              </w:tc>
              <w:tc>
                <w:tcPr>
                  <w:tcW w:w="861" w:type="dxa"/>
                  <w:tcBorders>
                    <w:top w:val="nil"/>
                    <w:left w:val="nil"/>
                    <w:bottom w:val="single" w:sz="4" w:space="0" w:color="auto"/>
                    <w:right w:val="single" w:sz="4" w:space="0" w:color="auto"/>
                  </w:tcBorders>
                  <w:shd w:val="clear" w:color="auto" w:fill="auto"/>
                  <w:noWrap/>
                  <w:vAlign w:val="bottom"/>
                  <w:hideMark/>
                </w:tcPr>
                <w:p w14:paraId="727483AF" w14:textId="77777777" w:rsidR="006D6421" w:rsidRPr="002414C5" w:rsidRDefault="006D6421" w:rsidP="005B52EA">
                  <w:pPr>
                    <w:spacing w:line="240" w:lineRule="atLeast"/>
                    <w:jc w:val="both"/>
                    <w:rPr>
                      <w:color w:val="000000"/>
                      <w:sz w:val="20"/>
                      <w:szCs w:val="20"/>
                    </w:rPr>
                  </w:pPr>
                  <w:r w:rsidRPr="002414C5">
                    <w:rPr>
                      <w:color w:val="000000"/>
                      <w:sz w:val="20"/>
                      <w:szCs w:val="20"/>
                    </w:rPr>
                    <w:t>40,482</w:t>
                  </w:r>
                </w:p>
              </w:tc>
              <w:tc>
                <w:tcPr>
                  <w:tcW w:w="794" w:type="dxa"/>
                  <w:tcBorders>
                    <w:top w:val="nil"/>
                    <w:left w:val="nil"/>
                    <w:bottom w:val="single" w:sz="4" w:space="0" w:color="auto"/>
                    <w:right w:val="single" w:sz="4" w:space="0" w:color="auto"/>
                  </w:tcBorders>
                  <w:shd w:val="clear" w:color="auto" w:fill="auto"/>
                  <w:noWrap/>
                  <w:vAlign w:val="bottom"/>
                  <w:hideMark/>
                </w:tcPr>
                <w:p w14:paraId="7AECB7E6" w14:textId="77777777" w:rsidR="006D6421" w:rsidRPr="002414C5" w:rsidRDefault="006D6421" w:rsidP="005B52EA">
                  <w:pPr>
                    <w:spacing w:line="240" w:lineRule="atLeast"/>
                    <w:jc w:val="both"/>
                    <w:rPr>
                      <w:color w:val="000000"/>
                      <w:sz w:val="20"/>
                      <w:szCs w:val="20"/>
                    </w:rPr>
                  </w:pPr>
                  <w:r w:rsidRPr="002414C5">
                    <w:rPr>
                      <w:color w:val="000000"/>
                      <w:sz w:val="20"/>
                      <w:szCs w:val="20"/>
                    </w:rPr>
                    <w:t>3,582</w:t>
                  </w:r>
                </w:p>
              </w:tc>
              <w:tc>
                <w:tcPr>
                  <w:tcW w:w="883" w:type="dxa"/>
                  <w:tcBorders>
                    <w:top w:val="nil"/>
                    <w:left w:val="nil"/>
                    <w:bottom w:val="single" w:sz="4" w:space="0" w:color="auto"/>
                    <w:right w:val="single" w:sz="4" w:space="0" w:color="auto"/>
                  </w:tcBorders>
                  <w:shd w:val="clear" w:color="auto" w:fill="auto"/>
                  <w:noWrap/>
                  <w:vAlign w:val="bottom"/>
                  <w:hideMark/>
                </w:tcPr>
                <w:p w14:paraId="6657DEF9" w14:textId="77777777" w:rsidR="006D6421" w:rsidRPr="002414C5" w:rsidRDefault="006D6421" w:rsidP="005B52EA">
                  <w:pPr>
                    <w:spacing w:line="240" w:lineRule="atLeast"/>
                    <w:jc w:val="both"/>
                    <w:rPr>
                      <w:color w:val="000000"/>
                      <w:sz w:val="20"/>
                      <w:szCs w:val="20"/>
                    </w:rPr>
                  </w:pPr>
                  <w:r w:rsidRPr="002414C5">
                    <w:rPr>
                      <w:color w:val="000000"/>
                      <w:sz w:val="20"/>
                      <w:szCs w:val="20"/>
                    </w:rPr>
                    <w:t>44,064</w:t>
                  </w:r>
                </w:p>
              </w:tc>
              <w:tc>
                <w:tcPr>
                  <w:tcW w:w="894" w:type="dxa"/>
                  <w:tcBorders>
                    <w:top w:val="nil"/>
                    <w:left w:val="nil"/>
                    <w:bottom w:val="single" w:sz="4" w:space="0" w:color="auto"/>
                    <w:right w:val="single" w:sz="4" w:space="0" w:color="auto"/>
                  </w:tcBorders>
                  <w:shd w:val="clear" w:color="auto" w:fill="auto"/>
                  <w:noWrap/>
                  <w:vAlign w:val="bottom"/>
                  <w:hideMark/>
                </w:tcPr>
                <w:p w14:paraId="5411F05D" w14:textId="77777777" w:rsidR="006D6421" w:rsidRPr="002414C5" w:rsidRDefault="006D6421" w:rsidP="005B52EA">
                  <w:pPr>
                    <w:spacing w:line="240" w:lineRule="atLeast"/>
                    <w:jc w:val="both"/>
                    <w:rPr>
                      <w:b/>
                      <w:color w:val="000000"/>
                      <w:sz w:val="20"/>
                      <w:szCs w:val="20"/>
                    </w:rPr>
                  </w:pPr>
                  <w:r w:rsidRPr="002414C5">
                    <w:rPr>
                      <w:b/>
                      <w:color w:val="000000"/>
                      <w:sz w:val="20"/>
                      <w:szCs w:val="20"/>
                    </w:rPr>
                    <w:t>85.80%</w:t>
                  </w:r>
                </w:p>
              </w:tc>
            </w:tr>
            <w:tr w:rsidR="006D6421" w:rsidRPr="002414C5" w14:paraId="2EBB15B1"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41063DC0"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2014</w:t>
                  </w:r>
                </w:p>
              </w:tc>
              <w:tc>
                <w:tcPr>
                  <w:tcW w:w="766" w:type="dxa"/>
                  <w:tcBorders>
                    <w:top w:val="nil"/>
                    <w:left w:val="nil"/>
                    <w:bottom w:val="single" w:sz="4" w:space="0" w:color="auto"/>
                    <w:right w:val="single" w:sz="4" w:space="0" w:color="auto"/>
                  </w:tcBorders>
                  <w:shd w:val="clear" w:color="auto" w:fill="auto"/>
                  <w:noWrap/>
                  <w:vAlign w:val="bottom"/>
                  <w:hideMark/>
                </w:tcPr>
                <w:p w14:paraId="277BC3DF" w14:textId="77777777" w:rsidR="006D6421" w:rsidRPr="002414C5" w:rsidRDefault="006D6421" w:rsidP="005B52EA">
                  <w:pPr>
                    <w:spacing w:line="240" w:lineRule="atLeast"/>
                    <w:jc w:val="both"/>
                    <w:rPr>
                      <w:color w:val="000000"/>
                      <w:sz w:val="20"/>
                      <w:szCs w:val="20"/>
                    </w:rPr>
                  </w:pPr>
                  <w:r w:rsidRPr="002414C5">
                    <w:rPr>
                      <w:color w:val="000000"/>
                      <w:sz w:val="20"/>
                      <w:szCs w:val="20"/>
                    </w:rPr>
                    <w:t>41,282</w:t>
                  </w:r>
                </w:p>
              </w:tc>
              <w:tc>
                <w:tcPr>
                  <w:tcW w:w="861" w:type="dxa"/>
                  <w:tcBorders>
                    <w:top w:val="nil"/>
                    <w:left w:val="nil"/>
                    <w:bottom w:val="single" w:sz="4" w:space="0" w:color="auto"/>
                    <w:right w:val="single" w:sz="4" w:space="0" w:color="auto"/>
                  </w:tcBorders>
                  <w:shd w:val="clear" w:color="auto" w:fill="auto"/>
                  <w:noWrap/>
                  <w:vAlign w:val="bottom"/>
                  <w:hideMark/>
                </w:tcPr>
                <w:p w14:paraId="521602AD" w14:textId="77777777" w:rsidR="006D6421" w:rsidRPr="002414C5" w:rsidRDefault="006D6421" w:rsidP="005B52EA">
                  <w:pPr>
                    <w:spacing w:line="240" w:lineRule="atLeast"/>
                    <w:jc w:val="both"/>
                    <w:rPr>
                      <w:color w:val="000000"/>
                      <w:sz w:val="20"/>
                      <w:szCs w:val="20"/>
                    </w:rPr>
                  </w:pPr>
                  <w:r w:rsidRPr="002414C5">
                    <w:rPr>
                      <w:color w:val="000000"/>
                      <w:sz w:val="20"/>
                      <w:szCs w:val="20"/>
                    </w:rPr>
                    <w:t>44,248</w:t>
                  </w:r>
                </w:p>
              </w:tc>
              <w:tc>
                <w:tcPr>
                  <w:tcW w:w="794" w:type="dxa"/>
                  <w:tcBorders>
                    <w:top w:val="nil"/>
                    <w:left w:val="nil"/>
                    <w:bottom w:val="single" w:sz="4" w:space="0" w:color="auto"/>
                    <w:right w:val="single" w:sz="4" w:space="0" w:color="auto"/>
                  </w:tcBorders>
                  <w:shd w:val="clear" w:color="auto" w:fill="auto"/>
                  <w:noWrap/>
                  <w:vAlign w:val="bottom"/>
                  <w:hideMark/>
                </w:tcPr>
                <w:p w14:paraId="31717752" w14:textId="77777777" w:rsidR="006D6421" w:rsidRPr="002414C5" w:rsidRDefault="006D6421" w:rsidP="005B52EA">
                  <w:pPr>
                    <w:spacing w:line="240" w:lineRule="atLeast"/>
                    <w:jc w:val="both"/>
                    <w:rPr>
                      <w:color w:val="000000"/>
                      <w:sz w:val="20"/>
                      <w:szCs w:val="20"/>
                    </w:rPr>
                  </w:pPr>
                  <w:r w:rsidRPr="002414C5">
                    <w:rPr>
                      <w:color w:val="000000"/>
                      <w:sz w:val="20"/>
                      <w:szCs w:val="20"/>
                    </w:rPr>
                    <w:t>5,523</w:t>
                  </w:r>
                </w:p>
              </w:tc>
              <w:tc>
                <w:tcPr>
                  <w:tcW w:w="883" w:type="dxa"/>
                  <w:tcBorders>
                    <w:top w:val="nil"/>
                    <w:left w:val="nil"/>
                    <w:bottom w:val="single" w:sz="4" w:space="0" w:color="auto"/>
                    <w:right w:val="single" w:sz="4" w:space="0" w:color="auto"/>
                  </w:tcBorders>
                  <w:shd w:val="clear" w:color="auto" w:fill="auto"/>
                  <w:noWrap/>
                  <w:vAlign w:val="bottom"/>
                  <w:hideMark/>
                </w:tcPr>
                <w:p w14:paraId="68FB61C6" w14:textId="77777777" w:rsidR="006D6421" w:rsidRPr="002414C5" w:rsidRDefault="006D6421" w:rsidP="005B52EA">
                  <w:pPr>
                    <w:spacing w:line="240" w:lineRule="atLeast"/>
                    <w:jc w:val="both"/>
                    <w:rPr>
                      <w:color w:val="000000"/>
                      <w:sz w:val="20"/>
                      <w:szCs w:val="20"/>
                    </w:rPr>
                  </w:pPr>
                  <w:r w:rsidRPr="002414C5">
                    <w:rPr>
                      <w:color w:val="000000"/>
                      <w:sz w:val="20"/>
                      <w:szCs w:val="20"/>
                    </w:rPr>
                    <w:t>49,771</w:t>
                  </w:r>
                </w:p>
              </w:tc>
              <w:tc>
                <w:tcPr>
                  <w:tcW w:w="894" w:type="dxa"/>
                  <w:tcBorders>
                    <w:top w:val="nil"/>
                    <w:left w:val="nil"/>
                    <w:bottom w:val="single" w:sz="4" w:space="0" w:color="auto"/>
                    <w:right w:val="single" w:sz="4" w:space="0" w:color="auto"/>
                  </w:tcBorders>
                  <w:shd w:val="clear" w:color="auto" w:fill="auto"/>
                  <w:noWrap/>
                  <w:vAlign w:val="bottom"/>
                  <w:hideMark/>
                </w:tcPr>
                <w:p w14:paraId="0EE2D2BB" w14:textId="77777777" w:rsidR="006D6421" w:rsidRPr="002414C5" w:rsidRDefault="006D6421" w:rsidP="005B52EA">
                  <w:pPr>
                    <w:spacing w:line="240" w:lineRule="atLeast"/>
                    <w:jc w:val="both"/>
                    <w:rPr>
                      <w:b/>
                      <w:color w:val="000000"/>
                      <w:sz w:val="20"/>
                      <w:szCs w:val="20"/>
                    </w:rPr>
                  </w:pPr>
                  <w:r w:rsidRPr="002414C5">
                    <w:rPr>
                      <w:b/>
                      <w:color w:val="000000"/>
                      <w:sz w:val="20"/>
                      <w:szCs w:val="20"/>
                    </w:rPr>
                    <w:t>82.94%</w:t>
                  </w:r>
                </w:p>
              </w:tc>
            </w:tr>
            <w:tr w:rsidR="006D6421" w:rsidRPr="002414C5" w14:paraId="75C5AD54"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5A3C0542"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2015</w:t>
                  </w:r>
                </w:p>
              </w:tc>
              <w:tc>
                <w:tcPr>
                  <w:tcW w:w="766" w:type="dxa"/>
                  <w:tcBorders>
                    <w:top w:val="nil"/>
                    <w:left w:val="nil"/>
                    <w:bottom w:val="single" w:sz="4" w:space="0" w:color="auto"/>
                    <w:right w:val="single" w:sz="4" w:space="0" w:color="auto"/>
                  </w:tcBorders>
                  <w:shd w:val="clear" w:color="auto" w:fill="auto"/>
                  <w:noWrap/>
                  <w:vAlign w:val="bottom"/>
                  <w:hideMark/>
                </w:tcPr>
                <w:p w14:paraId="4BA2ACA3" w14:textId="77777777" w:rsidR="006D6421" w:rsidRPr="002414C5" w:rsidRDefault="006D6421" w:rsidP="005B52EA">
                  <w:pPr>
                    <w:spacing w:line="240" w:lineRule="atLeast"/>
                    <w:jc w:val="both"/>
                    <w:rPr>
                      <w:color w:val="000000"/>
                      <w:sz w:val="20"/>
                      <w:szCs w:val="20"/>
                    </w:rPr>
                  </w:pPr>
                  <w:r w:rsidRPr="002414C5">
                    <w:rPr>
                      <w:color w:val="000000"/>
                      <w:sz w:val="20"/>
                      <w:szCs w:val="20"/>
                    </w:rPr>
                    <w:t>45,601</w:t>
                  </w:r>
                </w:p>
              </w:tc>
              <w:tc>
                <w:tcPr>
                  <w:tcW w:w="861" w:type="dxa"/>
                  <w:tcBorders>
                    <w:top w:val="nil"/>
                    <w:left w:val="nil"/>
                    <w:bottom w:val="single" w:sz="4" w:space="0" w:color="auto"/>
                    <w:right w:val="single" w:sz="4" w:space="0" w:color="auto"/>
                  </w:tcBorders>
                  <w:shd w:val="clear" w:color="auto" w:fill="auto"/>
                  <w:noWrap/>
                  <w:vAlign w:val="bottom"/>
                  <w:hideMark/>
                </w:tcPr>
                <w:p w14:paraId="3AC5C620" w14:textId="77777777" w:rsidR="006D6421" w:rsidRPr="002414C5" w:rsidRDefault="006D6421" w:rsidP="005B52EA">
                  <w:pPr>
                    <w:spacing w:line="240" w:lineRule="atLeast"/>
                    <w:jc w:val="both"/>
                    <w:rPr>
                      <w:color w:val="000000"/>
                      <w:sz w:val="20"/>
                      <w:szCs w:val="20"/>
                    </w:rPr>
                  </w:pPr>
                  <w:r w:rsidRPr="002414C5">
                    <w:rPr>
                      <w:color w:val="000000"/>
                      <w:sz w:val="20"/>
                      <w:szCs w:val="20"/>
                    </w:rPr>
                    <w:t>49,118</w:t>
                  </w:r>
                </w:p>
              </w:tc>
              <w:tc>
                <w:tcPr>
                  <w:tcW w:w="794" w:type="dxa"/>
                  <w:tcBorders>
                    <w:top w:val="nil"/>
                    <w:left w:val="nil"/>
                    <w:bottom w:val="single" w:sz="4" w:space="0" w:color="auto"/>
                    <w:right w:val="single" w:sz="4" w:space="0" w:color="auto"/>
                  </w:tcBorders>
                  <w:shd w:val="clear" w:color="auto" w:fill="auto"/>
                  <w:noWrap/>
                  <w:vAlign w:val="bottom"/>
                  <w:hideMark/>
                </w:tcPr>
                <w:p w14:paraId="504E9C74" w14:textId="77777777" w:rsidR="006D6421" w:rsidRPr="002414C5" w:rsidRDefault="006D6421" w:rsidP="005B52EA">
                  <w:pPr>
                    <w:spacing w:line="240" w:lineRule="atLeast"/>
                    <w:jc w:val="both"/>
                    <w:rPr>
                      <w:color w:val="000000"/>
                      <w:sz w:val="20"/>
                      <w:szCs w:val="20"/>
                    </w:rPr>
                  </w:pPr>
                  <w:r w:rsidRPr="002414C5">
                    <w:rPr>
                      <w:color w:val="000000"/>
                      <w:sz w:val="20"/>
                      <w:szCs w:val="20"/>
                    </w:rPr>
                    <w:t>9,470</w:t>
                  </w:r>
                </w:p>
              </w:tc>
              <w:tc>
                <w:tcPr>
                  <w:tcW w:w="883" w:type="dxa"/>
                  <w:tcBorders>
                    <w:top w:val="nil"/>
                    <w:left w:val="nil"/>
                    <w:bottom w:val="single" w:sz="4" w:space="0" w:color="auto"/>
                    <w:right w:val="single" w:sz="4" w:space="0" w:color="auto"/>
                  </w:tcBorders>
                  <w:shd w:val="clear" w:color="auto" w:fill="auto"/>
                  <w:noWrap/>
                  <w:vAlign w:val="bottom"/>
                  <w:hideMark/>
                </w:tcPr>
                <w:p w14:paraId="72D4FE61" w14:textId="77777777" w:rsidR="006D6421" w:rsidRPr="002414C5" w:rsidRDefault="006D6421" w:rsidP="005B52EA">
                  <w:pPr>
                    <w:spacing w:line="240" w:lineRule="atLeast"/>
                    <w:jc w:val="both"/>
                    <w:rPr>
                      <w:color w:val="000000"/>
                      <w:sz w:val="20"/>
                      <w:szCs w:val="20"/>
                    </w:rPr>
                  </w:pPr>
                  <w:r w:rsidRPr="002414C5">
                    <w:rPr>
                      <w:color w:val="000000"/>
                      <w:sz w:val="20"/>
                      <w:szCs w:val="20"/>
                    </w:rPr>
                    <w:t>58,588</w:t>
                  </w:r>
                </w:p>
              </w:tc>
              <w:tc>
                <w:tcPr>
                  <w:tcW w:w="894" w:type="dxa"/>
                  <w:tcBorders>
                    <w:top w:val="nil"/>
                    <w:left w:val="nil"/>
                    <w:bottom w:val="single" w:sz="4" w:space="0" w:color="auto"/>
                    <w:right w:val="single" w:sz="4" w:space="0" w:color="auto"/>
                  </w:tcBorders>
                  <w:shd w:val="clear" w:color="auto" w:fill="auto"/>
                  <w:noWrap/>
                  <w:vAlign w:val="bottom"/>
                  <w:hideMark/>
                </w:tcPr>
                <w:p w14:paraId="702FD32F" w14:textId="77777777" w:rsidR="006D6421" w:rsidRPr="002414C5" w:rsidRDefault="006D6421" w:rsidP="005B52EA">
                  <w:pPr>
                    <w:spacing w:line="240" w:lineRule="atLeast"/>
                    <w:jc w:val="both"/>
                    <w:rPr>
                      <w:b/>
                      <w:color w:val="000000"/>
                      <w:sz w:val="20"/>
                      <w:szCs w:val="20"/>
                    </w:rPr>
                  </w:pPr>
                  <w:r w:rsidRPr="002414C5">
                    <w:rPr>
                      <w:b/>
                      <w:color w:val="000000"/>
                      <w:sz w:val="20"/>
                      <w:szCs w:val="20"/>
                    </w:rPr>
                    <w:t>77.83%</w:t>
                  </w:r>
                </w:p>
              </w:tc>
            </w:tr>
            <w:tr w:rsidR="006D6421" w:rsidRPr="002414C5" w14:paraId="5F628E41"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3B976813"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2016</w:t>
                  </w:r>
                </w:p>
              </w:tc>
              <w:tc>
                <w:tcPr>
                  <w:tcW w:w="766" w:type="dxa"/>
                  <w:tcBorders>
                    <w:top w:val="nil"/>
                    <w:left w:val="nil"/>
                    <w:bottom w:val="single" w:sz="4" w:space="0" w:color="auto"/>
                    <w:right w:val="single" w:sz="4" w:space="0" w:color="auto"/>
                  </w:tcBorders>
                  <w:shd w:val="clear" w:color="auto" w:fill="auto"/>
                  <w:noWrap/>
                  <w:vAlign w:val="bottom"/>
                  <w:hideMark/>
                </w:tcPr>
                <w:p w14:paraId="3A8084C8" w14:textId="77777777" w:rsidR="006D6421" w:rsidRPr="002414C5" w:rsidRDefault="006D6421" w:rsidP="005B52EA">
                  <w:pPr>
                    <w:spacing w:line="240" w:lineRule="atLeast"/>
                    <w:jc w:val="both"/>
                    <w:rPr>
                      <w:color w:val="000000"/>
                      <w:sz w:val="20"/>
                      <w:szCs w:val="20"/>
                    </w:rPr>
                  </w:pPr>
                  <w:r w:rsidRPr="002414C5">
                    <w:rPr>
                      <w:color w:val="000000"/>
                      <w:sz w:val="20"/>
                      <w:szCs w:val="20"/>
                    </w:rPr>
                    <w:t>47,864</w:t>
                  </w:r>
                </w:p>
              </w:tc>
              <w:tc>
                <w:tcPr>
                  <w:tcW w:w="861" w:type="dxa"/>
                  <w:tcBorders>
                    <w:top w:val="nil"/>
                    <w:left w:val="nil"/>
                    <w:bottom w:val="single" w:sz="4" w:space="0" w:color="auto"/>
                    <w:right w:val="single" w:sz="4" w:space="0" w:color="auto"/>
                  </w:tcBorders>
                  <w:shd w:val="clear" w:color="auto" w:fill="auto"/>
                  <w:noWrap/>
                  <w:vAlign w:val="bottom"/>
                  <w:hideMark/>
                </w:tcPr>
                <w:p w14:paraId="6F72CB5D" w14:textId="77777777" w:rsidR="006D6421" w:rsidRPr="002414C5" w:rsidRDefault="006D6421" w:rsidP="005B52EA">
                  <w:pPr>
                    <w:spacing w:line="240" w:lineRule="atLeast"/>
                    <w:jc w:val="both"/>
                    <w:rPr>
                      <w:color w:val="000000"/>
                      <w:sz w:val="20"/>
                      <w:szCs w:val="20"/>
                    </w:rPr>
                  </w:pPr>
                  <w:r w:rsidRPr="002414C5">
                    <w:rPr>
                      <w:color w:val="000000"/>
                      <w:sz w:val="20"/>
                      <w:szCs w:val="20"/>
                    </w:rPr>
                    <w:t>50,968</w:t>
                  </w:r>
                </w:p>
              </w:tc>
              <w:tc>
                <w:tcPr>
                  <w:tcW w:w="794" w:type="dxa"/>
                  <w:tcBorders>
                    <w:top w:val="nil"/>
                    <w:left w:val="nil"/>
                    <w:bottom w:val="single" w:sz="4" w:space="0" w:color="auto"/>
                    <w:right w:val="single" w:sz="4" w:space="0" w:color="auto"/>
                  </w:tcBorders>
                  <w:shd w:val="clear" w:color="auto" w:fill="auto"/>
                  <w:noWrap/>
                  <w:vAlign w:val="bottom"/>
                  <w:hideMark/>
                </w:tcPr>
                <w:p w14:paraId="21F09F68" w14:textId="77777777" w:rsidR="006D6421" w:rsidRPr="002414C5" w:rsidRDefault="006D6421" w:rsidP="005B52EA">
                  <w:pPr>
                    <w:spacing w:line="240" w:lineRule="atLeast"/>
                    <w:jc w:val="both"/>
                    <w:rPr>
                      <w:color w:val="000000"/>
                      <w:sz w:val="20"/>
                      <w:szCs w:val="20"/>
                    </w:rPr>
                  </w:pPr>
                  <w:r w:rsidRPr="002414C5">
                    <w:rPr>
                      <w:color w:val="000000"/>
                      <w:sz w:val="20"/>
                      <w:szCs w:val="20"/>
                    </w:rPr>
                    <w:t>4,090</w:t>
                  </w:r>
                </w:p>
              </w:tc>
              <w:tc>
                <w:tcPr>
                  <w:tcW w:w="883" w:type="dxa"/>
                  <w:tcBorders>
                    <w:top w:val="nil"/>
                    <w:left w:val="nil"/>
                    <w:bottom w:val="single" w:sz="4" w:space="0" w:color="auto"/>
                    <w:right w:val="single" w:sz="4" w:space="0" w:color="auto"/>
                  </w:tcBorders>
                  <w:shd w:val="clear" w:color="auto" w:fill="auto"/>
                  <w:noWrap/>
                  <w:vAlign w:val="bottom"/>
                  <w:hideMark/>
                </w:tcPr>
                <w:p w14:paraId="27200C8F" w14:textId="77777777" w:rsidR="006D6421" w:rsidRPr="002414C5" w:rsidRDefault="006D6421" w:rsidP="005B52EA">
                  <w:pPr>
                    <w:spacing w:line="240" w:lineRule="atLeast"/>
                    <w:jc w:val="both"/>
                    <w:rPr>
                      <w:color w:val="000000"/>
                      <w:sz w:val="20"/>
                      <w:szCs w:val="20"/>
                    </w:rPr>
                  </w:pPr>
                  <w:r w:rsidRPr="002414C5">
                    <w:rPr>
                      <w:color w:val="000000"/>
                      <w:sz w:val="20"/>
                      <w:szCs w:val="20"/>
                    </w:rPr>
                    <w:t>55,057</w:t>
                  </w:r>
                </w:p>
              </w:tc>
              <w:tc>
                <w:tcPr>
                  <w:tcW w:w="894" w:type="dxa"/>
                  <w:tcBorders>
                    <w:top w:val="nil"/>
                    <w:left w:val="nil"/>
                    <w:bottom w:val="single" w:sz="4" w:space="0" w:color="auto"/>
                    <w:right w:val="single" w:sz="4" w:space="0" w:color="auto"/>
                  </w:tcBorders>
                  <w:shd w:val="clear" w:color="auto" w:fill="auto"/>
                  <w:noWrap/>
                  <w:vAlign w:val="bottom"/>
                  <w:hideMark/>
                </w:tcPr>
                <w:p w14:paraId="138E9122" w14:textId="77777777" w:rsidR="006D6421" w:rsidRPr="002414C5" w:rsidRDefault="006D6421" w:rsidP="005B52EA">
                  <w:pPr>
                    <w:spacing w:line="240" w:lineRule="atLeast"/>
                    <w:jc w:val="both"/>
                    <w:rPr>
                      <w:b/>
                      <w:color w:val="000000"/>
                      <w:sz w:val="20"/>
                      <w:szCs w:val="20"/>
                    </w:rPr>
                  </w:pPr>
                  <w:r w:rsidRPr="002414C5">
                    <w:rPr>
                      <w:b/>
                      <w:color w:val="000000"/>
                      <w:sz w:val="20"/>
                      <w:szCs w:val="20"/>
                    </w:rPr>
                    <w:t>86.94%</w:t>
                  </w:r>
                </w:p>
              </w:tc>
            </w:tr>
            <w:tr w:rsidR="006D6421" w:rsidRPr="002414C5" w14:paraId="49D0B2CE"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62F849B3"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2017</w:t>
                  </w:r>
                </w:p>
              </w:tc>
              <w:tc>
                <w:tcPr>
                  <w:tcW w:w="766" w:type="dxa"/>
                  <w:tcBorders>
                    <w:top w:val="nil"/>
                    <w:left w:val="nil"/>
                    <w:bottom w:val="single" w:sz="4" w:space="0" w:color="auto"/>
                    <w:right w:val="single" w:sz="4" w:space="0" w:color="auto"/>
                  </w:tcBorders>
                  <w:shd w:val="clear" w:color="auto" w:fill="auto"/>
                  <w:noWrap/>
                  <w:vAlign w:val="bottom"/>
                  <w:hideMark/>
                </w:tcPr>
                <w:p w14:paraId="6A303C0E" w14:textId="77777777" w:rsidR="006D6421" w:rsidRPr="002414C5" w:rsidRDefault="006D6421" w:rsidP="005B52EA">
                  <w:pPr>
                    <w:spacing w:line="240" w:lineRule="atLeast"/>
                    <w:jc w:val="both"/>
                    <w:rPr>
                      <w:color w:val="000000"/>
                      <w:sz w:val="20"/>
                      <w:szCs w:val="20"/>
                    </w:rPr>
                  </w:pPr>
                  <w:r w:rsidRPr="002414C5">
                    <w:rPr>
                      <w:color w:val="000000"/>
                      <w:sz w:val="20"/>
                      <w:szCs w:val="20"/>
                    </w:rPr>
                    <w:t>50,737</w:t>
                  </w:r>
                </w:p>
              </w:tc>
              <w:tc>
                <w:tcPr>
                  <w:tcW w:w="861" w:type="dxa"/>
                  <w:tcBorders>
                    <w:top w:val="nil"/>
                    <w:left w:val="nil"/>
                    <w:bottom w:val="single" w:sz="4" w:space="0" w:color="auto"/>
                    <w:right w:val="single" w:sz="4" w:space="0" w:color="auto"/>
                  </w:tcBorders>
                  <w:shd w:val="clear" w:color="auto" w:fill="auto"/>
                  <w:noWrap/>
                  <w:vAlign w:val="bottom"/>
                  <w:hideMark/>
                </w:tcPr>
                <w:p w14:paraId="577CD1BB" w14:textId="77777777" w:rsidR="006D6421" w:rsidRPr="002414C5" w:rsidRDefault="006D6421" w:rsidP="005B52EA">
                  <w:pPr>
                    <w:spacing w:line="240" w:lineRule="atLeast"/>
                    <w:jc w:val="both"/>
                    <w:rPr>
                      <w:color w:val="000000"/>
                      <w:sz w:val="20"/>
                      <w:szCs w:val="20"/>
                    </w:rPr>
                  </w:pPr>
                  <w:r w:rsidRPr="002414C5">
                    <w:rPr>
                      <w:color w:val="000000"/>
                      <w:sz w:val="20"/>
                      <w:szCs w:val="20"/>
                    </w:rPr>
                    <w:t>53,601</w:t>
                  </w:r>
                </w:p>
              </w:tc>
              <w:tc>
                <w:tcPr>
                  <w:tcW w:w="794" w:type="dxa"/>
                  <w:tcBorders>
                    <w:top w:val="nil"/>
                    <w:left w:val="nil"/>
                    <w:bottom w:val="single" w:sz="4" w:space="0" w:color="auto"/>
                    <w:right w:val="single" w:sz="4" w:space="0" w:color="auto"/>
                  </w:tcBorders>
                  <w:shd w:val="clear" w:color="auto" w:fill="auto"/>
                  <w:noWrap/>
                  <w:vAlign w:val="bottom"/>
                  <w:hideMark/>
                </w:tcPr>
                <w:p w14:paraId="6A86DB4E" w14:textId="77777777" w:rsidR="006D6421" w:rsidRPr="002414C5" w:rsidRDefault="006D6421" w:rsidP="005B52EA">
                  <w:pPr>
                    <w:spacing w:line="240" w:lineRule="atLeast"/>
                    <w:jc w:val="both"/>
                    <w:rPr>
                      <w:color w:val="000000"/>
                      <w:sz w:val="20"/>
                      <w:szCs w:val="20"/>
                    </w:rPr>
                  </w:pPr>
                  <w:r w:rsidRPr="002414C5">
                    <w:rPr>
                      <w:color w:val="000000"/>
                      <w:sz w:val="20"/>
                      <w:szCs w:val="20"/>
                    </w:rPr>
                    <w:t>4,775</w:t>
                  </w:r>
                </w:p>
              </w:tc>
              <w:tc>
                <w:tcPr>
                  <w:tcW w:w="883" w:type="dxa"/>
                  <w:tcBorders>
                    <w:top w:val="nil"/>
                    <w:left w:val="nil"/>
                    <w:bottom w:val="single" w:sz="4" w:space="0" w:color="auto"/>
                    <w:right w:val="single" w:sz="4" w:space="0" w:color="auto"/>
                  </w:tcBorders>
                  <w:shd w:val="clear" w:color="auto" w:fill="auto"/>
                  <w:noWrap/>
                  <w:vAlign w:val="bottom"/>
                  <w:hideMark/>
                </w:tcPr>
                <w:p w14:paraId="52984083" w14:textId="77777777" w:rsidR="006D6421" w:rsidRPr="002414C5" w:rsidRDefault="006D6421" w:rsidP="005B52EA">
                  <w:pPr>
                    <w:spacing w:line="240" w:lineRule="atLeast"/>
                    <w:jc w:val="both"/>
                    <w:rPr>
                      <w:color w:val="000000"/>
                      <w:sz w:val="20"/>
                      <w:szCs w:val="20"/>
                    </w:rPr>
                  </w:pPr>
                  <w:r w:rsidRPr="002414C5">
                    <w:rPr>
                      <w:color w:val="000000"/>
                      <w:sz w:val="20"/>
                      <w:szCs w:val="20"/>
                    </w:rPr>
                    <w:t>58,376</w:t>
                  </w:r>
                </w:p>
              </w:tc>
              <w:tc>
                <w:tcPr>
                  <w:tcW w:w="894" w:type="dxa"/>
                  <w:tcBorders>
                    <w:top w:val="nil"/>
                    <w:left w:val="nil"/>
                    <w:bottom w:val="single" w:sz="4" w:space="0" w:color="auto"/>
                    <w:right w:val="single" w:sz="4" w:space="0" w:color="auto"/>
                  </w:tcBorders>
                  <w:shd w:val="clear" w:color="auto" w:fill="auto"/>
                  <w:noWrap/>
                  <w:vAlign w:val="bottom"/>
                  <w:hideMark/>
                </w:tcPr>
                <w:p w14:paraId="35EFC120" w14:textId="77777777" w:rsidR="006D6421" w:rsidRPr="002414C5" w:rsidRDefault="006D6421" w:rsidP="005B52EA">
                  <w:pPr>
                    <w:spacing w:line="240" w:lineRule="atLeast"/>
                    <w:jc w:val="both"/>
                    <w:rPr>
                      <w:b/>
                      <w:color w:val="000000"/>
                      <w:sz w:val="20"/>
                      <w:szCs w:val="20"/>
                    </w:rPr>
                  </w:pPr>
                  <w:r w:rsidRPr="002414C5">
                    <w:rPr>
                      <w:b/>
                      <w:color w:val="000000"/>
                      <w:sz w:val="20"/>
                      <w:szCs w:val="20"/>
                    </w:rPr>
                    <w:t>86.91%</w:t>
                  </w:r>
                </w:p>
              </w:tc>
            </w:tr>
            <w:tr w:rsidR="006D6421" w:rsidRPr="002414C5" w14:paraId="56C6AD3D"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66685BEE"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2018</w:t>
                  </w:r>
                </w:p>
              </w:tc>
              <w:tc>
                <w:tcPr>
                  <w:tcW w:w="766" w:type="dxa"/>
                  <w:tcBorders>
                    <w:top w:val="nil"/>
                    <w:left w:val="nil"/>
                    <w:bottom w:val="single" w:sz="4" w:space="0" w:color="auto"/>
                    <w:right w:val="single" w:sz="4" w:space="0" w:color="auto"/>
                  </w:tcBorders>
                  <w:shd w:val="clear" w:color="auto" w:fill="auto"/>
                  <w:noWrap/>
                  <w:vAlign w:val="bottom"/>
                  <w:hideMark/>
                </w:tcPr>
                <w:p w14:paraId="4C9BA429" w14:textId="77777777" w:rsidR="006D6421" w:rsidRPr="002414C5" w:rsidRDefault="006D6421" w:rsidP="005B52EA">
                  <w:pPr>
                    <w:spacing w:line="240" w:lineRule="atLeast"/>
                    <w:jc w:val="both"/>
                    <w:rPr>
                      <w:color w:val="000000"/>
                      <w:sz w:val="20"/>
                      <w:szCs w:val="20"/>
                    </w:rPr>
                  </w:pPr>
                  <w:r w:rsidRPr="002414C5">
                    <w:rPr>
                      <w:color w:val="000000"/>
                      <w:sz w:val="20"/>
                      <w:szCs w:val="20"/>
                    </w:rPr>
                    <w:t>55,557</w:t>
                  </w:r>
                </w:p>
              </w:tc>
              <w:tc>
                <w:tcPr>
                  <w:tcW w:w="861" w:type="dxa"/>
                  <w:tcBorders>
                    <w:top w:val="nil"/>
                    <w:left w:val="nil"/>
                    <w:bottom w:val="single" w:sz="4" w:space="0" w:color="auto"/>
                    <w:right w:val="single" w:sz="4" w:space="0" w:color="auto"/>
                  </w:tcBorders>
                  <w:shd w:val="clear" w:color="auto" w:fill="auto"/>
                  <w:noWrap/>
                  <w:vAlign w:val="bottom"/>
                  <w:hideMark/>
                </w:tcPr>
                <w:p w14:paraId="09F5858D" w14:textId="77777777" w:rsidR="006D6421" w:rsidRPr="002414C5" w:rsidRDefault="006D6421" w:rsidP="005B52EA">
                  <w:pPr>
                    <w:spacing w:line="240" w:lineRule="atLeast"/>
                    <w:jc w:val="both"/>
                    <w:rPr>
                      <w:color w:val="000000"/>
                      <w:sz w:val="20"/>
                      <w:szCs w:val="20"/>
                    </w:rPr>
                  </w:pPr>
                  <w:r w:rsidRPr="002414C5">
                    <w:rPr>
                      <w:color w:val="000000"/>
                      <w:sz w:val="20"/>
                      <w:szCs w:val="20"/>
                    </w:rPr>
                    <w:t>58,463</w:t>
                  </w:r>
                </w:p>
              </w:tc>
              <w:tc>
                <w:tcPr>
                  <w:tcW w:w="794" w:type="dxa"/>
                  <w:tcBorders>
                    <w:top w:val="nil"/>
                    <w:left w:val="nil"/>
                    <w:bottom w:val="single" w:sz="4" w:space="0" w:color="auto"/>
                    <w:right w:val="single" w:sz="4" w:space="0" w:color="auto"/>
                  </w:tcBorders>
                  <w:shd w:val="clear" w:color="auto" w:fill="auto"/>
                  <w:noWrap/>
                  <w:vAlign w:val="bottom"/>
                  <w:hideMark/>
                </w:tcPr>
                <w:p w14:paraId="2B111EBB" w14:textId="77777777" w:rsidR="006D6421" w:rsidRPr="002414C5" w:rsidRDefault="006D6421" w:rsidP="005B52EA">
                  <w:pPr>
                    <w:spacing w:line="240" w:lineRule="atLeast"/>
                    <w:jc w:val="both"/>
                    <w:rPr>
                      <w:color w:val="000000"/>
                      <w:sz w:val="20"/>
                      <w:szCs w:val="20"/>
                    </w:rPr>
                  </w:pPr>
                  <w:r w:rsidRPr="002414C5">
                    <w:rPr>
                      <w:color w:val="000000"/>
                      <w:sz w:val="20"/>
                      <w:szCs w:val="20"/>
                    </w:rPr>
                    <w:t>1,846</w:t>
                  </w:r>
                </w:p>
              </w:tc>
              <w:tc>
                <w:tcPr>
                  <w:tcW w:w="883" w:type="dxa"/>
                  <w:tcBorders>
                    <w:top w:val="nil"/>
                    <w:left w:val="nil"/>
                    <w:bottom w:val="single" w:sz="4" w:space="0" w:color="auto"/>
                    <w:right w:val="single" w:sz="4" w:space="0" w:color="auto"/>
                  </w:tcBorders>
                  <w:shd w:val="clear" w:color="auto" w:fill="auto"/>
                  <w:noWrap/>
                  <w:vAlign w:val="bottom"/>
                  <w:hideMark/>
                </w:tcPr>
                <w:p w14:paraId="4AD4C1BA" w14:textId="77777777" w:rsidR="006D6421" w:rsidRPr="002414C5" w:rsidRDefault="006D6421" w:rsidP="005B52EA">
                  <w:pPr>
                    <w:spacing w:line="240" w:lineRule="atLeast"/>
                    <w:jc w:val="both"/>
                    <w:rPr>
                      <w:color w:val="000000"/>
                      <w:sz w:val="20"/>
                      <w:szCs w:val="20"/>
                    </w:rPr>
                  </w:pPr>
                  <w:r w:rsidRPr="002414C5">
                    <w:rPr>
                      <w:color w:val="000000"/>
                      <w:sz w:val="20"/>
                      <w:szCs w:val="20"/>
                    </w:rPr>
                    <w:t>60,308</w:t>
                  </w:r>
                </w:p>
              </w:tc>
              <w:tc>
                <w:tcPr>
                  <w:tcW w:w="894" w:type="dxa"/>
                  <w:tcBorders>
                    <w:top w:val="nil"/>
                    <w:left w:val="nil"/>
                    <w:bottom w:val="single" w:sz="4" w:space="0" w:color="auto"/>
                    <w:right w:val="single" w:sz="4" w:space="0" w:color="auto"/>
                  </w:tcBorders>
                  <w:shd w:val="clear" w:color="auto" w:fill="auto"/>
                  <w:noWrap/>
                  <w:vAlign w:val="bottom"/>
                  <w:hideMark/>
                </w:tcPr>
                <w:p w14:paraId="5F18D595" w14:textId="77777777" w:rsidR="006D6421" w:rsidRPr="002414C5" w:rsidRDefault="006D6421" w:rsidP="005B52EA">
                  <w:pPr>
                    <w:spacing w:line="240" w:lineRule="atLeast"/>
                    <w:jc w:val="both"/>
                    <w:rPr>
                      <w:b/>
                      <w:color w:val="000000"/>
                      <w:sz w:val="20"/>
                      <w:szCs w:val="20"/>
                    </w:rPr>
                  </w:pPr>
                  <w:r w:rsidRPr="002414C5">
                    <w:rPr>
                      <w:b/>
                      <w:color w:val="000000"/>
                      <w:sz w:val="20"/>
                      <w:szCs w:val="20"/>
                    </w:rPr>
                    <w:t>92.12%</w:t>
                  </w:r>
                </w:p>
              </w:tc>
            </w:tr>
            <w:tr w:rsidR="006D6421" w:rsidRPr="002414C5" w14:paraId="671B146C"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1EF0DD85"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2019</w:t>
                  </w:r>
                </w:p>
              </w:tc>
              <w:tc>
                <w:tcPr>
                  <w:tcW w:w="766" w:type="dxa"/>
                  <w:tcBorders>
                    <w:top w:val="nil"/>
                    <w:left w:val="nil"/>
                    <w:bottom w:val="single" w:sz="4" w:space="0" w:color="auto"/>
                    <w:right w:val="single" w:sz="4" w:space="0" w:color="auto"/>
                  </w:tcBorders>
                  <w:shd w:val="clear" w:color="auto" w:fill="auto"/>
                  <w:noWrap/>
                  <w:vAlign w:val="bottom"/>
                  <w:hideMark/>
                </w:tcPr>
                <w:p w14:paraId="196F016C" w14:textId="77777777" w:rsidR="006D6421" w:rsidRPr="002414C5" w:rsidRDefault="006D6421" w:rsidP="005B52EA">
                  <w:pPr>
                    <w:spacing w:line="240" w:lineRule="atLeast"/>
                    <w:jc w:val="both"/>
                    <w:rPr>
                      <w:color w:val="000000"/>
                      <w:sz w:val="20"/>
                      <w:szCs w:val="20"/>
                    </w:rPr>
                  </w:pPr>
                  <w:r w:rsidRPr="002414C5">
                    <w:rPr>
                      <w:color w:val="000000"/>
                      <w:sz w:val="20"/>
                      <w:szCs w:val="20"/>
                    </w:rPr>
                    <w:t>59,314</w:t>
                  </w:r>
                </w:p>
              </w:tc>
              <w:tc>
                <w:tcPr>
                  <w:tcW w:w="861" w:type="dxa"/>
                  <w:tcBorders>
                    <w:top w:val="nil"/>
                    <w:left w:val="nil"/>
                    <w:bottom w:val="single" w:sz="4" w:space="0" w:color="auto"/>
                    <w:right w:val="single" w:sz="4" w:space="0" w:color="auto"/>
                  </w:tcBorders>
                  <w:shd w:val="clear" w:color="auto" w:fill="auto"/>
                  <w:noWrap/>
                  <w:vAlign w:val="bottom"/>
                  <w:hideMark/>
                </w:tcPr>
                <w:p w14:paraId="5296585C" w14:textId="77777777" w:rsidR="006D6421" w:rsidRPr="002414C5" w:rsidRDefault="006D6421" w:rsidP="005B52EA">
                  <w:pPr>
                    <w:spacing w:line="240" w:lineRule="atLeast"/>
                    <w:jc w:val="both"/>
                    <w:rPr>
                      <w:color w:val="000000"/>
                      <w:sz w:val="20"/>
                      <w:szCs w:val="20"/>
                    </w:rPr>
                  </w:pPr>
                  <w:r w:rsidRPr="002414C5">
                    <w:rPr>
                      <w:color w:val="000000"/>
                      <w:sz w:val="20"/>
                      <w:szCs w:val="20"/>
                    </w:rPr>
                    <w:t>62,662</w:t>
                  </w:r>
                </w:p>
              </w:tc>
              <w:tc>
                <w:tcPr>
                  <w:tcW w:w="794" w:type="dxa"/>
                  <w:tcBorders>
                    <w:top w:val="nil"/>
                    <w:left w:val="nil"/>
                    <w:bottom w:val="single" w:sz="4" w:space="0" w:color="auto"/>
                    <w:right w:val="single" w:sz="4" w:space="0" w:color="auto"/>
                  </w:tcBorders>
                  <w:shd w:val="clear" w:color="auto" w:fill="auto"/>
                  <w:noWrap/>
                  <w:vAlign w:val="bottom"/>
                  <w:hideMark/>
                </w:tcPr>
                <w:p w14:paraId="6CC8B03D" w14:textId="77777777" w:rsidR="006D6421" w:rsidRPr="002414C5" w:rsidRDefault="006D6421" w:rsidP="005B52EA">
                  <w:pPr>
                    <w:spacing w:line="240" w:lineRule="atLeast"/>
                    <w:jc w:val="both"/>
                    <w:rPr>
                      <w:color w:val="000000"/>
                      <w:sz w:val="20"/>
                      <w:szCs w:val="20"/>
                    </w:rPr>
                  </w:pPr>
                  <w:r w:rsidRPr="002414C5">
                    <w:rPr>
                      <w:color w:val="000000"/>
                      <w:sz w:val="20"/>
                      <w:szCs w:val="20"/>
                    </w:rPr>
                    <w:t>1,767</w:t>
                  </w:r>
                </w:p>
              </w:tc>
              <w:tc>
                <w:tcPr>
                  <w:tcW w:w="883" w:type="dxa"/>
                  <w:tcBorders>
                    <w:top w:val="nil"/>
                    <w:left w:val="nil"/>
                    <w:bottom w:val="single" w:sz="4" w:space="0" w:color="auto"/>
                    <w:right w:val="single" w:sz="4" w:space="0" w:color="auto"/>
                  </w:tcBorders>
                  <w:shd w:val="clear" w:color="auto" w:fill="auto"/>
                  <w:noWrap/>
                  <w:vAlign w:val="bottom"/>
                  <w:hideMark/>
                </w:tcPr>
                <w:p w14:paraId="6A1E06CC" w14:textId="77777777" w:rsidR="006D6421" w:rsidRPr="002414C5" w:rsidRDefault="006D6421" w:rsidP="005B52EA">
                  <w:pPr>
                    <w:spacing w:line="240" w:lineRule="atLeast"/>
                    <w:jc w:val="both"/>
                    <w:rPr>
                      <w:color w:val="000000"/>
                      <w:sz w:val="20"/>
                      <w:szCs w:val="20"/>
                    </w:rPr>
                  </w:pPr>
                  <w:r w:rsidRPr="002414C5">
                    <w:rPr>
                      <w:color w:val="000000"/>
                      <w:sz w:val="20"/>
                      <w:szCs w:val="20"/>
                    </w:rPr>
                    <w:t>64,429</w:t>
                  </w:r>
                </w:p>
              </w:tc>
              <w:tc>
                <w:tcPr>
                  <w:tcW w:w="894" w:type="dxa"/>
                  <w:tcBorders>
                    <w:top w:val="nil"/>
                    <w:left w:val="nil"/>
                    <w:bottom w:val="single" w:sz="4" w:space="0" w:color="auto"/>
                    <w:right w:val="single" w:sz="4" w:space="0" w:color="auto"/>
                  </w:tcBorders>
                  <w:shd w:val="clear" w:color="auto" w:fill="auto"/>
                  <w:noWrap/>
                  <w:vAlign w:val="bottom"/>
                  <w:hideMark/>
                </w:tcPr>
                <w:p w14:paraId="1CF7BD04" w14:textId="77777777" w:rsidR="006D6421" w:rsidRPr="002414C5" w:rsidRDefault="006D6421" w:rsidP="005B52EA">
                  <w:pPr>
                    <w:spacing w:line="240" w:lineRule="atLeast"/>
                    <w:jc w:val="both"/>
                    <w:rPr>
                      <w:b/>
                      <w:color w:val="000000"/>
                      <w:sz w:val="20"/>
                      <w:szCs w:val="20"/>
                    </w:rPr>
                  </w:pPr>
                  <w:r w:rsidRPr="002414C5">
                    <w:rPr>
                      <w:b/>
                      <w:color w:val="000000"/>
                      <w:sz w:val="20"/>
                      <w:szCs w:val="20"/>
                    </w:rPr>
                    <w:t>92.06%</w:t>
                  </w:r>
                </w:p>
              </w:tc>
            </w:tr>
            <w:tr w:rsidR="006D6421" w:rsidRPr="002414C5" w14:paraId="0F692FEF"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14EB6880"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2020</w:t>
                  </w:r>
                </w:p>
              </w:tc>
              <w:tc>
                <w:tcPr>
                  <w:tcW w:w="766" w:type="dxa"/>
                  <w:tcBorders>
                    <w:top w:val="nil"/>
                    <w:left w:val="nil"/>
                    <w:bottom w:val="single" w:sz="4" w:space="0" w:color="auto"/>
                    <w:right w:val="single" w:sz="4" w:space="0" w:color="auto"/>
                  </w:tcBorders>
                  <w:shd w:val="clear" w:color="auto" w:fill="auto"/>
                  <w:noWrap/>
                  <w:vAlign w:val="bottom"/>
                  <w:hideMark/>
                </w:tcPr>
                <w:p w14:paraId="2614B43E" w14:textId="77777777" w:rsidR="006D6421" w:rsidRPr="002414C5" w:rsidRDefault="006D6421" w:rsidP="005B52EA">
                  <w:pPr>
                    <w:spacing w:line="240" w:lineRule="atLeast"/>
                    <w:jc w:val="both"/>
                    <w:rPr>
                      <w:color w:val="000000"/>
                      <w:sz w:val="20"/>
                      <w:szCs w:val="20"/>
                    </w:rPr>
                  </w:pPr>
                  <w:r w:rsidRPr="002414C5">
                    <w:rPr>
                      <w:color w:val="000000"/>
                      <w:sz w:val="20"/>
                      <w:szCs w:val="20"/>
                    </w:rPr>
                    <w:t>57,165</w:t>
                  </w:r>
                </w:p>
              </w:tc>
              <w:tc>
                <w:tcPr>
                  <w:tcW w:w="861" w:type="dxa"/>
                  <w:tcBorders>
                    <w:top w:val="nil"/>
                    <w:left w:val="nil"/>
                    <w:bottom w:val="single" w:sz="4" w:space="0" w:color="auto"/>
                    <w:right w:val="single" w:sz="4" w:space="0" w:color="auto"/>
                  </w:tcBorders>
                  <w:shd w:val="clear" w:color="auto" w:fill="auto"/>
                  <w:noWrap/>
                  <w:vAlign w:val="bottom"/>
                  <w:hideMark/>
                </w:tcPr>
                <w:p w14:paraId="03537BC7" w14:textId="77777777" w:rsidR="006D6421" w:rsidRPr="002414C5" w:rsidRDefault="006D6421" w:rsidP="005B52EA">
                  <w:pPr>
                    <w:spacing w:line="240" w:lineRule="atLeast"/>
                    <w:jc w:val="both"/>
                    <w:rPr>
                      <w:color w:val="000000"/>
                      <w:sz w:val="20"/>
                      <w:szCs w:val="20"/>
                    </w:rPr>
                  </w:pPr>
                  <w:r w:rsidRPr="002414C5">
                    <w:rPr>
                      <w:color w:val="000000"/>
                      <w:sz w:val="20"/>
                      <w:szCs w:val="20"/>
                    </w:rPr>
                    <w:t>61,815</w:t>
                  </w:r>
                </w:p>
              </w:tc>
              <w:tc>
                <w:tcPr>
                  <w:tcW w:w="794" w:type="dxa"/>
                  <w:tcBorders>
                    <w:top w:val="nil"/>
                    <w:left w:val="nil"/>
                    <w:bottom w:val="single" w:sz="4" w:space="0" w:color="auto"/>
                    <w:right w:val="single" w:sz="4" w:space="0" w:color="auto"/>
                  </w:tcBorders>
                  <w:shd w:val="clear" w:color="auto" w:fill="auto"/>
                  <w:noWrap/>
                  <w:vAlign w:val="bottom"/>
                  <w:hideMark/>
                </w:tcPr>
                <w:p w14:paraId="34C03F2F" w14:textId="77777777" w:rsidR="006D6421" w:rsidRPr="002414C5" w:rsidRDefault="006D6421" w:rsidP="005B52EA">
                  <w:pPr>
                    <w:spacing w:line="240" w:lineRule="atLeast"/>
                    <w:jc w:val="both"/>
                    <w:rPr>
                      <w:color w:val="000000"/>
                      <w:sz w:val="20"/>
                      <w:szCs w:val="20"/>
                    </w:rPr>
                  </w:pPr>
                  <w:r w:rsidRPr="002414C5">
                    <w:rPr>
                      <w:color w:val="000000"/>
                      <w:sz w:val="20"/>
                      <w:szCs w:val="20"/>
                    </w:rPr>
                    <w:t>3,213</w:t>
                  </w:r>
                </w:p>
              </w:tc>
              <w:tc>
                <w:tcPr>
                  <w:tcW w:w="883" w:type="dxa"/>
                  <w:tcBorders>
                    <w:top w:val="nil"/>
                    <w:left w:val="nil"/>
                    <w:bottom w:val="single" w:sz="4" w:space="0" w:color="auto"/>
                    <w:right w:val="single" w:sz="4" w:space="0" w:color="auto"/>
                  </w:tcBorders>
                  <w:shd w:val="clear" w:color="auto" w:fill="auto"/>
                  <w:noWrap/>
                  <w:vAlign w:val="bottom"/>
                  <w:hideMark/>
                </w:tcPr>
                <w:p w14:paraId="4E44C944" w14:textId="77777777" w:rsidR="006D6421" w:rsidRPr="002414C5" w:rsidRDefault="006D6421" w:rsidP="005B52EA">
                  <w:pPr>
                    <w:spacing w:line="240" w:lineRule="atLeast"/>
                    <w:jc w:val="both"/>
                    <w:rPr>
                      <w:color w:val="000000"/>
                      <w:sz w:val="20"/>
                      <w:szCs w:val="20"/>
                    </w:rPr>
                  </w:pPr>
                  <w:r w:rsidRPr="002414C5">
                    <w:rPr>
                      <w:color w:val="000000"/>
                      <w:sz w:val="20"/>
                      <w:szCs w:val="20"/>
                    </w:rPr>
                    <w:t>65,028</w:t>
                  </w:r>
                </w:p>
              </w:tc>
              <w:tc>
                <w:tcPr>
                  <w:tcW w:w="894" w:type="dxa"/>
                  <w:tcBorders>
                    <w:top w:val="nil"/>
                    <w:left w:val="nil"/>
                    <w:bottom w:val="single" w:sz="4" w:space="0" w:color="auto"/>
                    <w:right w:val="single" w:sz="4" w:space="0" w:color="auto"/>
                  </w:tcBorders>
                  <w:shd w:val="clear" w:color="auto" w:fill="auto"/>
                  <w:noWrap/>
                  <w:vAlign w:val="bottom"/>
                  <w:hideMark/>
                </w:tcPr>
                <w:p w14:paraId="3FEA025B" w14:textId="77777777" w:rsidR="006D6421" w:rsidRPr="002414C5" w:rsidRDefault="006D6421" w:rsidP="005B52EA">
                  <w:pPr>
                    <w:spacing w:line="240" w:lineRule="atLeast"/>
                    <w:jc w:val="both"/>
                    <w:rPr>
                      <w:b/>
                      <w:color w:val="000000"/>
                      <w:sz w:val="20"/>
                      <w:szCs w:val="20"/>
                    </w:rPr>
                  </w:pPr>
                  <w:r w:rsidRPr="002414C5">
                    <w:rPr>
                      <w:b/>
                      <w:color w:val="000000"/>
                      <w:sz w:val="20"/>
                      <w:szCs w:val="20"/>
                    </w:rPr>
                    <w:t>87.91%</w:t>
                  </w:r>
                </w:p>
              </w:tc>
            </w:tr>
            <w:tr w:rsidR="006D6421" w:rsidRPr="002414C5" w14:paraId="39096025"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51609341"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2021</w:t>
                  </w:r>
                </w:p>
              </w:tc>
              <w:tc>
                <w:tcPr>
                  <w:tcW w:w="766" w:type="dxa"/>
                  <w:tcBorders>
                    <w:top w:val="nil"/>
                    <w:left w:val="nil"/>
                    <w:bottom w:val="single" w:sz="4" w:space="0" w:color="auto"/>
                    <w:right w:val="single" w:sz="4" w:space="0" w:color="auto"/>
                  </w:tcBorders>
                  <w:shd w:val="clear" w:color="auto" w:fill="auto"/>
                  <w:noWrap/>
                  <w:vAlign w:val="bottom"/>
                  <w:hideMark/>
                </w:tcPr>
                <w:p w14:paraId="00FDFDA2" w14:textId="77777777" w:rsidR="006D6421" w:rsidRPr="002414C5" w:rsidRDefault="006D6421" w:rsidP="005B52EA">
                  <w:pPr>
                    <w:spacing w:line="240" w:lineRule="atLeast"/>
                    <w:jc w:val="both"/>
                    <w:rPr>
                      <w:color w:val="000000"/>
                      <w:sz w:val="20"/>
                      <w:szCs w:val="20"/>
                    </w:rPr>
                  </w:pPr>
                  <w:r w:rsidRPr="002414C5">
                    <w:rPr>
                      <w:color w:val="000000"/>
                      <w:sz w:val="20"/>
                      <w:szCs w:val="20"/>
                    </w:rPr>
                    <w:t>68,410</w:t>
                  </w:r>
                </w:p>
              </w:tc>
              <w:tc>
                <w:tcPr>
                  <w:tcW w:w="861" w:type="dxa"/>
                  <w:tcBorders>
                    <w:top w:val="nil"/>
                    <w:left w:val="nil"/>
                    <w:bottom w:val="single" w:sz="4" w:space="0" w:color="auto"/>
                    <w:right w:val="single" w:sz="4" w:space="0" w:color="auto"/>
                  </w:tcBorders>
                  <w:shd w:val="clear" w:color="auto" w:fill="auto"/>
                  <w:noWrap/>
                  <w:vAlign w:val="bottom"/>
                  <w:hideMark/>
                </w:tcPr>
                <w:p w14:paraId="2AF7DB3D" w14:textId="77777777" w:rsidR="006D6421" w:rsidRPr="002414C5" w:rsidRDefault="006D6421" w:rsidP="005B52EA">
                  <w:pPr>
                    <w:spacing w:line="240" w:lineRule="atLeast"/>
                    <w:jc w:val="both"/>
                    <w:rPr>
                      <w:color w:val="000000"/>
                      <w:sz w:val="20"/>
                      <w:szCs w:val="20"/>
                    </w:rPr>
                  </w:pPr>
                  <w:r w:rsidRPr="002414C5">
                    <w:rPr>
                      <w:color w:val="000000"/>
                      <w:sz w:val="20"/>
                      <w:szCs w:val="20"/>
                    </w:rPr>
                    <w:t>70,939</w:t>
                  </w:r>
                </w:p>
              </w:tc>
              <w:tc>
                <w:tcPr>
                  <w:tcW w:w="794" w:type="dxa"/>
                  <w:tcBorders>
                    <w:top w:val="nil"/>
                    <w:left w:val="nil"/>
                    <w:bottom w:val="single" w:sz="4" w:space="0" w:color="auto"/>
                    <w:right w:val="single" w:sz="4" w:space="0" w:color="auto"/>
                  </w:tcBorders>
                  <w:shd w:val="clear" w:color="auto" w:fill="auto"/>
                  <w:noWrap/>
                  <w:vAlign w:val="bottom"/>
                  <w:hideMark/>
                </w:tcPr>
                <w:p w14:paraId="01A26D29" w14:textId="77777777" w:rsidR="006D6421" w:rsidRPr="002414C5" w:rsidRDefault="006D6421" w:rsidP="005B52EA">
                  <w:pPr>
                    <w:spacing w:line="240" w:lineRule="atLeast"/>
                    <w:jc w:val="both"/>
                    <w:rPr>
                      <w:color w:val="000000"/>
                      <w:sz w:val="20"/>
                      <w:szCs w:val="20"/>
                    </w:rPr>
                  </w:pPr>
                  <w:r w:rsidRPr="002414C5">
                    <w:rPr>
                      <w:color w:val="000000"/>
                      <w:sz w:val="20"/>
                      <w:szCs w:val="20"/>
                    </w:rPr>
                    <w:t>11,301</w:t>
                  </w:r>
                </w:p>
              </w:tc>
              <w:tc>
                <w:tcPr>
                  <w:tcW w:w="883" w:type="dxa"/>
                  <w:tcBorders>
                    <w:top w:val="nil"/>
                    <w:left w:val="nil"/>
                    <w:bottom w:val="single" w:sz="4" w:space="0" w:color="auto"/>
                    <w:right w:val="single" w:sz="4" w:space="0" w:color="auto"/>
                  </w:tcBorders>
                  <w:shd w:val="clear" w:color="auto" w:fill="auto"/>
                  <w:noWrap/>
                  <w:vAlign w:val="bottom"/>
                  <w:hideMark/>
                </w:tcPr>
                <w:p w14:paraId="4F426D23" w14:textId="77777777" w:rsidR="006D6421" w:rsidRPr="002414C5" w:rsidRDefault="006D6421" w:rsidP="005B52EA">
                  <w:pPr>
                    <w:spacing w:line="240" w:lineRule="atLeast"/>
                    <w:jc w:val="both"/>
                    <w:rPr>
                      <w:color w:val="000000"/>
                      <w:sz w:val="20"/>
                      <w:szCs w:val="20"/>
                    </w:rPr>
                  </w:pPr>
                  <w:r w:rsidRPr="002414C5">
                    <w:rPr>
                      <w:color w:val="000000"/>
                      <w:sz w:val="20"/>
                      <w:szCs w:val="20"/>
                    </w:rPr>
                    <w:t>82,240</w:t>
                  </w:r>
                </w:p>
              </w:tc>
              <w:tc>
                <w:tcPr>
                  <w:tcW w:w="894" w:type="dxa"/>
                  <w:tcBorders>
                    <w:top w:val="nil"/>
                    <w:left w:val="nil"/>
                    <w:bottom w:val="single" w:sz="4" w:space="0" w:color="auto"/>
                    <w:right w:val="single" w:sz="4" w:space="0" w:color="auto"/>
                  </w:tcBorders>
                  <w:shd w:val="clear" w:color="auto" w:fill="auto"/>
                  <w:noWrap/>
                  <w:vAlign w:val="bottom"/>
                  <w:hideMark/>
                </w:tcPr>
                <w:p w14:paraId="4261B27E" w14:textId="77777777" w:rsidR="006D6421" w:rsidRPr="002414C5" w:rsidRDefault="006D6421" w:rsidP="005B52EA">
                  <w:pPr>
                    <w:spacing w:line="240" w:lineRule="atLeast"/>
                    <w:jc w:val="both"/>
                    <w:rPr>
                      <w:b/>
                      <w:color w:val="000000"/>
                      <w:sz w:val="20"/>
                      <w:szCs w:val="20"/>
                    </w:rPr>
                  </w:pPr>
                  <w:r w:rsidRPr="002414C5">
                    <w:rPr>
                      <w:b/>
                      <w:color w:val="000000"/>
                      <w:sz w:val="20"/>
                      <w:szCs w:val="20"/>
                    </w:rPr>
                    <w:t>83.18%</w:t>
                  </w:r>
                </w:p>
              </w:tc>
            </w:tr>
            <w:tr w:rsidR="006D6421" w:rsidRPr="002414C5" w14:paraId="6BAB60FD" w14:textId="77777777" w:rsidTr="006D6421">
              <w:trPr>
                <w:trHeight w:val="302"/>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14:paraId="37BA3326"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2022</w:t>
                  </w:r>
                </w:p>
              </w:tc>
              <w:tc>
                <w:tcPr>
                  <w:tcW w:w="766" w:type="dxa"/>
                  <w:tcBorders>
                    <w:top w:val="nil"/>
                    <w:left w:val="nil"/>
                    <w:bottom w:val="single" w:sz="4" w:space="0" w:color="auto"/>
                    <w:right w:val="single" w:sz="4" w:space="0" w:color="auto"/>
                  </w:tcBorders>
                  <w:shd w:val="clear" w:color="auto" w:fill="auto"/>
                  <w:noWrap/>
                  <w:vAlign w:val="bottom"/>
                  <w:hideMark/>
                </w:tcPr>
                <w:p w14:paraId="7D490C1F" w14:textId="77777777" w:rsidR="006D6421" w:rsidRPr="002414C5" w:rsidRDefault="006D6421" w:rsidP="005B52EA">
                  <w:pPr>
                    <w:spacing w:line="240" w:lineRule="atLeast"/>
                    <w:jc w:val="both"/>
                    <w:rPr>
                      <w:color w:val="000000"/>
                      <w:sz w:val="20"/>
                      <w:szCs w:val="20"/>
                    </w:rPr>
                  </w:pPr>
                  <w:r w:rsidRPr="002414C5">
                    <w:rPr>
                      <w:color w:val="000000"/>
                      <w:sz w:val="20"/>
                      <w:szCs w:val="20"/>
                    </w:rPr>
                    <w:t>83,130</w:t>
                  </w:r>
                </w:p>
              </w:tc>
              <w:tc>
                <w:tcPr>
                  <w:tcW w:w="861" w:type="dxa"/>
                  <w:tcBorders>
                    <w:top w:val="nil"/>
                    <w:left w:val="nil"/>
                    <w:bottom w:val="single" w:sz="4" w:space="0" w:color="auto"/>
                    <w:right w:val="single" w:sz="4" w:space="0" w:color="auto"/>
                  </w:tcBorders>
                  <w:shd w:val="clear" w:color="auto" w:fill="auto"/>
                  <w:noWrap/>
                  <w:vAlign w:val="bottom"/>
                  <w:hideMark/>
                </w:tcPr>
                <w:p w14:paraId="766300DD" w14:textId="77777777" w:rsidR="006D6421" w:rsidRPr="002414C5" w:rsidRDefault="006D6421" w:rsidP="005B52EA">
                  <w:pPr>
                    <w:spacing w:line="240" w:lineRule="atLeast"/>
                    <w:jc w:val="both"/>
                    <w:rPr>
                      <w:color w:val="000000"/>
                      <w:sz w:val="20"/>
                      <w:szCs w:val="20"/>
                    </w:rPr>
                  </w:pPr>
                  <w:r w:rsidRPr="002414C5">
                    <w:rPr>
                      <w:color w:val="000000"/>
                      <w:sz w:val="20"/>
                      <w:szCs w:val="20"/>
                    </w:rPr>
                    <w:t>85,568</w:t>
                  </w:r>
                </w:p>
              </w:tc>
              <w:tc>
                <w:tcPr>
                  <w:tcW w:w="794" w:type="dxa"/>
                  <w:tcBorders>
                    <w:top w:val="nil"/>
                    <w:left w:val="nil"/>
                    <w:bottom w:val="single" w:sz="4" w:space="0" w:color="auto"/>
                    <w:right w:val="single" w:sz="4" w:space="0" w:color="auto"/>
                  </w:tcBorders>
                  <w:shd w:val="clear" w:color="auto" w:fill="auto"/>
                  <w:noWrap/>
                  <w:vAlign w:val="bottom"/>
                  <w:hideMark/>
                </w:tcPr>
                <w:p w14:paraId="4F250503" w14:textId="77777777" w:rsidR="006D6421" w:rsidRPr="002414C5" w:rsidRDefault="006D6421" w:rsidP="005B52EA">
                  <w:pPr>
                    <w:spacing w:line="240" w:lineRule="atLeast"/>
                    <w:jc w:val="both"/>
                    <w:rPr>
                      <w:color w:val="000000"/>
                      <w:sz w:val="20"/>
                      <w:szCs w:val="20"/>
                    </w:rPr>
                  </w:pPr>
                  <w:r w:rsidRPr="002414C5">
                    <w:rPr>
                      <w:color w:val="000000"/>
                      <w:sz w:val="20"/>
                      <w:szCs w:val="20"/>
                    </w:rPr>
                    <w:t>5,206</w:t>
                  </w:r>
                </w:p>
              </w:tc>
              <w:tc>
                <w:tcPr>
                  <w:tcW w:w="883" w:type="dxa"/>
                  <w:tcBorders>
                    <w:top w:val="nil"/>
                    <w:left w:val="nil"/>
                    <w:bottom w:val="single" w:sz="4" w:space="0" w:color="auto"/>
                    <w:right w:val="single" w:sz="4" w:space="0" w:color="auto"/>
                  </w:tcBorders>
                  <w:shd w:val="clear" w:color="auto" w:fill="auto"/>
                  <w:noWrap/>
                  <w:vAlign w:val="bottom"/>
                  <w:hideMark/>
                </w:tcPr>
                <w:p w14:paraId="5A3E1F20" w14:textId="77777777" w:rsidR="006D6421" w:rsidRPr="002414C5" w:rsidRDefault="006D6421" w:rsidP="005B52EA">
                  <w:pPr>
                    <w:spacing w:line="240" w:lineRule="atLeast"/>
                    <w:jc w:val="both"/>
                    <w:rPr>
                      <w:color w:val="000000"/>
                      <w:sz w:val="20"/>
                      <w:szCs w:val="20"/>
                    </w:rPr>
                  </w:pPr>
                  <w:r w:rsidRPr="002414C5">
                    <w:rPr>
                      <w:color w:val="000000"/>
                      <w:sz w:val="20"/>
                      <w:szCs w:val="20"/>
                    </w:rPr>
                    <w:t>90,774</w:t>
                  </w:r>
                </w:p>
              </w:tc>
              <w:tc>
                <w:tcPr>
                  <w:tcW w:w="894" w:type="dxa"/>
                  <w:tcBorders>
                    <w:top w:val="nil"/>
                    <w:left w:val="nil"/>
                    <w:bottom w:val="single" w:sz="4" w:space="0" w:color="auto"/>
                    <w:right w:val="single" w:sz="4" w:space="0" w:color="auto"/>
                  </w:tcBorders>
                  <w:shd w:val="clear" w:color="auto" w:fill="auto"/>
                  <w:noWrap/>
                  <w:vAlign w:val="bottom"/>
                  <w:hideMark/>
                </w:tcPr>
                <w:p w14:paraId="1C3D0311" w14:textId="77777777" w:rsidR="006D6421" w:rsidRPr="002414C5" w:rsidRDefault="006D6421" w:rsidP="005B52EA">
                  <w:pPr>
                    <w:spacing w:line="240" w:lineRule="atLeast"/>
                    <w:jc w:val="both"/>
                    <w:rPr>
                      <w:b/>
                      <w:color w:val="000000"/>
                      <w:sz w:val="20"/>
                      <w:szCs w:val="20"/>
                    </w:rPr>
                  </w:pPr>
                  <w:r w:rsidRPr="002414C5">
                    <w:rPr>
                      <w:b/>
                      <w:color w:val="000000"/>
                      <w:sz w:val="20"/>
                      <w:szCs w:val="20"/>
                    </w:rPr>
                    <w:t>91.58%</w:t>
                  </w:r>
                </w:p>
              </w:tc>
            </w:tr>
          </w:tbl>
          <w:p w14:paraId="28B4C47F" w14:textId="77777777" w:rsidR="006D6421" w:rsidRPr="002414C5" w:rsidRDefault="006D6421" w:rsidP="005B52EA">
            <w:pPr>
              <w:spacing w:line="240" w:lineRule="atLeast"/>
              <w:jc w:val="both"/>
              <w:rPr>
                <w:b/>
                <w:bCs/>
                <w:color w:val="000000"/>
                <w:sz w:val="20"/>
                <w:szCs w:val="20"/>
              </w:rPr>
            </w:pPr>
          </w:p>
        </w:tc>
        <w:tc>
          <w:tcPr>
            <w:tcW w:w="4948" w:type="dxa"/>
          </w:tcPr>
          <w:p w14:paraId="39E2F5E8" w14:textId="77777777" w:rsidR="006D6421" w:rsidRPr="002414C5" w:rsidRDefault="006D6421" w:rsidP="005B52EA">
            <w:pPr>
              <w:spacing w:line="240" w:lineRule="atLeast"/>
              <w:jc w:val="both"/>
              <w:rPr>
                <w:b/>
                <w:bCs/>
                <w:color w:val="000000"/>
                <w:sz w:val="20"/>
                <w:szCs w:val="20"/>
              </w:rPr>
            </w:pPr>
            <w:r w:rsidRPr="002414C5">
              <w:rPr>
                <w:noProof/>
                <w:sz w:val="20"/>
                <w:szCs w:val="20"/>
              </w:rPr>
              <w:drawing>
                <wp:inline distT="0" distB="0" distL="0" distR="0" wp14:anchorId="66D5A943" wp14:editId="0D5CC4F8">
                  <wp:extent cx="2761615" cy="2371725"/>
                  <wp:effectExtent l="0" t="0" r="63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5A2756F5" w14:textId="77777777" w:rsidR="006D6421" w:rsidRPr="00C5657A" w:rsidRDefault="006D6421" w:rsidP="005B52EA">
      <w:pPr>
        <w:spacing w:line="240" w:lineRule="atLeast"/>
        <w:jc w:val="both"/>
        <w:rPr>
          <w:sz w:val="20"/>
          <w:szCs w:val="20"/>
        </w:rPr>
      </w:pPr>
    </w:p>
    <w:p w14:paraId="4E81E35D" w14:textId="77777777" w:rsidR="006D6421" w:rsidRPr="00C5657A" w:rsidRDefault="006D6421" w:rsidP="005B52EA">
      <w:pPr>
        <w:spacing w:line="240" w:lineRule="atLeast"/>
        <w:ind w:left="1134" w:right="1134"/>
        <w:jc w:val="both"/>
        <w:rPr>
          <w:sz w:val="20"/>
          <w:szCs w:val="20"/>
        </w:rPr>
      </w:pPr>
    </w:p>
    <w:p w14:paraId="57E8C3DE" w14:textId="4F706419" w:rsidR="006D6421" w:rsidRPr="00C5657A" w:rsidRDefault="006D6421" w:rsidP="005B52EA">
      <w:pPr>
        <w:spacing w:line="240" w:lineRule="atLeast"/>
        <w:ind w:left="1134" w:right="1134"/>
        <w:jc w:val="both"/>
        <w:rPr>
          <w:sz w:val="20"/>
          <w:szCs w:val="20"/>
        </w:rPr>
      </w:pPr>
      <w:r w:rsidRPr="00C5657A">
        <w:rPr>
          <w:sz w:val="20"/>
          <w:szCs w:val="20"/>
        </w:rPr>
        <w:t xml:space="preserve">On a General </w:t>
      </w:r>
      <w:r w:rsidR="00263E05" w:rsidRPr="00C5657A">
        <w:rPr>
          <w:sz w:val="20"/>
          <w:szCs w:val="20"/>
        </w:rPr>
        <w:t>Government (GG) basis, the</w:t>
      </w:r>
      <w:r w:rsidRPr="00C5657A">
        <w:rPr>
          <w:sz w:val="20"/>
          <w:szCs w:val="20"/>
        </w:rPr>
        <w:t xml:space="preserve"> table and graph</w:t>
      </w:r>
      <w:r w:rsidR="00263E05" w:rsidRPr="00C5657A">
        <w:rPr>
          <w:sz w:val="20"/>
          <w:szCs w:val="20"/>
        </w:rPr>
        <w:t xml:space="preserve"> below</w:t>
      </w:r>
      <w:r w:rsidRPr="00C5657A">
        <w:rPr>
          <w:sz w:val="20"/>
          <w:szCs w:val="20"/>
        </w:rPr>
        <w:t xml:space="preserve"> reflect the amount of revenue generated from taxes as a proportion of total GG revenue over the most recent </w:t>
      </w:r>
      <w:r w:rsidR="002414C5" w:rsidRPr="00C5657A">
        <w:rPr>
          <w:sz w:val="20"/>
          <w:szCs w:val="20"/>
        </w:rPr>
        <w:t>ten-year</w:t>
      </w:r>
      <w:r w:rsidRPr="00C5657A">
        <w:rPr>
          <w:sz w:val="20"/>
          <w:szCs w:val="20"/>
        </w:rPr>
        <w:t xml:space="preserve"> period for which data is publ</w:t>
      </w:r>
      <w:r w:rsidR="002414C5">
        <w:rPr>
          <w:sz w:val="20"/>
          <w:szCs w:val="20"/>
        </w:rPr>
        <w:t xml:space="preserve">icly available (2012 to 2021). </w:t>
      </w:r>
      <w:r w:rsidRPr="00C5657A">
        <w:rPr>
          <w:sz w:val="20"/>
          <w:szCs w:val="20"/>
        </w:rPr>
        <w:t xml:space="preserve">This </w:t>
      </w:r>
      <w:r w:rsidR="002414C5">
        <w:rPr>
          <w:sz w:val="20"/>
          <w:szCs w:val="20"/>
        </w:rPr>
        <w:t>has</w:t>
      </w:r>
      <w:r w:rsidRPr="00C5657A">
        <w:rPr>
          <w:sz w:val="20"/>
          <w:szCs w:val="20"/>
        </w:rPr>
        <w:t xml:space="preserve"> increased progressively each year from 68.5% in 2012 to 76.6% in 2021, with total taxes recorded on a GG basis over that period also rising every year</w:t>
      </w:r>
      <w:r w:rsidR="002414C5">
        <w:rPr>
          <w:sz w:val="20"/>
          <w:szCs w:val="20"/>
        </w:rPr>
        <w:t>,</w:t>
      </w:r>
      <w:r w:rsidRPr="00C5657A">
        <w:rPr>
          <w:sz w:val="20"/>
          <w:szCs w:val="20"/>
        </w:rPr>
        <w:t xml:space="preserve"> from €40.9m in 2012 to €75.6m in 2021.</w:t>
      </w:r>
    </w:p>
    <w:p w14:paraId="17AF097F" w14:textId="77777777" w:rsidR="006D6421" w:rsidRPr="00C5657A" w:rsidRDefault="006D6421" w:rsidP="005B52EA">
      <w:pPr>
        <w:spacing w:line="240" w:lineRule="atLeast"/>
        <w:ind w:left="1134" w:right="1134"/>
        <w:jc w:val="both"/>
        <w:rPr>
          <w:sz w:val="20"/>
          <w:szCs w:val="20"/>
        </w:rPr>
      </w:pPr>
    </w:p>
    <w:tbl>
      <w:tblPr>
        <w:tblStyle w:val="TableGrid"/>
        <w:tblW w:w="982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78"/>
        <w:gridCol w:w="4948"/>
      </w:tblGrid>
      <w:tr w:rsidR="006D6421" w:rsidRPr="00C5657A" w14:paraId="7D9DFE9D" w14:textId="77777777" w:rsidTr="00B53CE4">
        <w:trPr>
          <w:trHeight w:val="3911"/>
        </w:trPr>
        <w:tc>
          <w:tcPr>
            <w:tcW w:w="4878" w:type="dxa"/>
            <w:tcBorders>
              <w:right w:val="nil"/>
            </w:tcBorders>
          </w:tcPr>
          <w:tbl>
            <w:tblPr>
              <w:tblW w:w="3859" w:type="dxa"/>
              <w:tblInd w:w="542" w:type="dxa"/>
              <w:tblLook w:val="04A0" w:firstRow="1" w:lastRow="0" w:firstColumn="1" w:lastColumn="0" w:noHBand="0" w:noVBand="1"/>
            </w:tblPr>
            <w:tblGrid>
              <w:gridCol w:w="960"/>
              <w:gridCol w:w="915"/>
              <w:gridCol w:w="992"/>
              <w:gridCol w:w="992"/>
            </w:tblGrid>
            <w:tr w:rsidR="006D6421" w:rsidRPr="002414C5" w14:paraId="27F3FAC5" w14:textId="77777777" w:rsidTr="002414C5">
              <w:trPr>
                <w:trHeight w:val="74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C0B8E" w14:textId="77777777" w:rsidR="006D6421" w:rsidRPr="002414C5" w:rsidRDefault="006D6421" w:rsidP="005B52EA">
                  <w:pPr>
                    <w:spacing w:line="240" w:lineRule="atLeast"/>
                    <w:jc w:val="both"/>
                    <w:rPr>
                      <w:color w:val="000000"/>
                      <w:sz w:val="20"/>
                      <w:szCs w:val="20"/>
                    </w:rPr>
                  </w:pPr>
                  <w:r w:rsidRPr="002414C5">
                    <w:rPr>
                      <w:color w:val="000000"/>
                      <w:sz w:val="20"/>
                      <w:szCs w:val="20"/>
                    </w:rPr>
                    <w:t> </w:t>
                  </w:r>
                </w:p>
              </w:tc>
              <w:tc>
                <w:tcPr>
                  <w:tcW w:w="915" w:type="dxa"/>
                  <w:tcBorders>
                    <w:top w:val="single" w:sz="4" w:space="0" w:color="auto"/>
                    <w:left w:val="nil"/>
                    <w:bottom w:val="single" w:sz="4" w:space="0" w:color="auto"/>
                    <w:right w:val="single" w:sz="4" w:space="0" w:color="auto"/>
                  </w:tcBorders>
                  <w:shd w:val="clear" w:color="auto" w:fill="auto"/>
                  <w:noWrap/>
                  <w:vAlign w:val="bottom"/>
                  <w:hideMark/>
                </w:tcPr>
                <w:p w14:paraId="362405D4"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total tax (GG)  (€m)</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1F00552F"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Total revenue</w:t>
                  </w:r>
                </w:p>
                <w:p w14:paraId="6AD0A445"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GG (€m)</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613ACDBF"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tax as % of GG revenue</w:t>
                  </w:r>
                </w:p>
              </w:tc>
            </w:tr>
            <w:tr w:rsidR="006D6421" w:rsidRPr="002414C5" w14:paraId="1B0B9809"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E81DFF"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 xml:space="preserve"> 2012</w:t>
                  </w:r>
                </w:p>
              </w:tc>
              <w:tc>
                <w:tcPr>
                  <w:tcW w:w="915" w:type="dxa"/>
                  <w:tcBorders>
                    <w:top w:val="nil"/>
                    <w:left w:val="nil"/>
                    <w:bottom w:val="single" w:sz="4" w:space="0" w:color="auto"/>
                    <w:right w:val="single" w:sz="4" w:space="0" w:color="auto"/>
                  </w:tcBorders>
                  <w:shd w:val="clear" w:color="auto" w:fill="auto"/>
                  <w:noWrap/>
                  <w:vAlign w:val="bottom"/>
                  <w:hideMark/>
                </w:tcPr>
                <w:p w14:paraId="44D3B5F3" w14:textId="77777777" w:rsidR="006D6421" w:rsidRPr="002414C5" w:rsidRDefault="006D6421" w:rsidP="005B52EA">
                  <w:pPr>
                    <w:spacing w:line="240" w:lineRule="atLeast"/>
                    <w:jc w:val="both"/>
                    <w:rPr>
                      <w:color w:val="000000"/>
                      <w:sz w:val="20"/>
                      <w:szCs w:val="20"/>
                    </w:rPr>
                  </w:pPr>
                  <w:r w:rsidRPr="002414C5">
                    <w:rPr>
                      <w:color w:val="000000"/>
                      <w:sz w:val="20"/>
                      <w:szCs w:val="20"/>
                    </w:rPr>
                    <w:t>40,940</w:t>
                  </w:r>
                </w:p>
              </w:tc>
              <w:tc>
                <w:tcPr>
                  <w:tcW w:w="992" w:type="dxa"/>
                  <w:tcBorders>
                    <w:top w:val="nil"/>
                    <w:left w:val="nil"/>
                    <w:bottom w:val="single" w:sz="4" w:space="0" w:color="auto"/>
                    <w:right w:val="single" w:sz="4" w:space="0" w:color="auto"/>
                  </w:tcBorders>
                  <w:shd w:val="clear" w:color="auto" w:fill="auto"/>
                  <w:noWrap/>
                  <w:vAlign w:val="bottom"/>
                  <w:hideMark/>
                </w:tcPr>
                <w:p w14:paraId="08F7FDDA" w14:textId="77777777" w:rsidR="006D6421" w:rsidRPr="002414C5" w:rsidRDefault="006D6421" w:rsidP="005B52EA">
                  <w:pPr>
                    <w:spacing w:line="240" w:lineRule="atLeast"/>
                    <w:jc w:val="both"/>
                    <w:rPr>
                      <w:color w:val="000000"/>
                      <w:sz w:val="20"/>
                      <w:szCs w:val="20"/>
                    </w:rPr>
                  </w:pPr>
                  <w:r w:rsidRPr="002414C5">
                    <w:rPr>
                      <w:color w:val="000000"/>
                      <w:sz w:val="20"/>
                      <w:szCs w:val="20"/>
                    </w:rPr>
                    <w:t>59,803</w:t>
                  </w:r>
                </w:p>
              </w:tc>
              <w:tc>
                <w:tcPr>
                  <w:tcW w:w="992" w:type="dxa"/>
                  <w:tcBorders>
                    <w:top w:val="nil"/>
                    <w:left w:val="nil"/>
                    <w:bottom w:val="single" w:sz="4" w:space="0" w:color="auto"/>
                    <w:right w:val="single" w:sz="4" w:space="0" w:color="auto"/>
                  </w:tcBorders>
                  <w:shd w:val="clear" w:color="auto" w:fill="auto"/>
                  <w:noWrap/>
                  <w:vAlign w:val="bottom"/>
                  <w:hideMark/>
                </w:tcPr>
                <w:p w14:paraId="2CD24E1E" w14:textId="77777777" w:rsidR="006D6421" w:rsidRPr="002414C5" w:rsidRDefault="006D6421" w:rsidP="005B52EA">
                  <w:pPr>
                    <w:spacing w:line="240" w:lineRule="atLeast"/>
                    <w:jc w:val="both"/>
                    <w:rPr>
                      <w:color w:val="000000"/>
                      <w:sz w:val="20"/>
                      <w:szCs w:val="20"/>
                    </w:rPr>
                  </w:pPr>
                  <w:r w:rsidRPr="002414C5">
                    <w:rPr>
                      <w:color w:val="000000"/>
                      <w:sz w:val="20"/>
                      <w:szCs w:val="20"/>
                    </w:rPr>
                    <w:t>68.46%</w:t>
                  </w:r>
                </w:p>
              </w:tc>
            </w:tr>
            <w:tr w:rsidR="006D6421" w:rsidRPr="002414C5" w14:paraId="0BEC5554"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D46185"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2013</w:t>
                  </w:r>
                </w:p>
              </w:tc>
              <w:tc>
                <w:tcPr>
                  <w:tcW w:w="915" w:type="dxa"/>
                  <w:tcBorders>
                    <w:top w:val="nil"/>
                    <w:left w:val="nil"/>
                    <w:bottom w:val="single" w:sz="4" w:space="0" w:color="auto"/>
                    <w:right w:val="single" w:sz="4" w:space="0" w:color="auto"/>
                  </w:tcBorders>
                  <w:shd w:val="clear" w:color="auto" w:fill="auto"/>
                  <w:noWrap/>
                  <w:vAlign w:val="bottom"/>
                  <w:hideMark/>
                </w:tcPr>
                <w:p w14:paraId="3CADF366" w14:textId="77777777" w:rsidR="006D6421" w:rsidRPr="002414C5" w:rsidRDefault="006D6421" w:rsidP="005B52EA">
                  <w:pPr>
                    <w:spacing w:line="240" w:lineRule="atLeast"/>
                    <w:jc w:val="both"/>
                    <w:rPr>
                      <w:color w:val="000000"/>
                      <w:sz w:val="20"/>
                      <w:szCs w:val="20"/>
                    </w:rPr>
                  </w:pPr>
                  <w:r w:rsidRPr="002414C5">
                    <w:rPr>
                      <w:color w:val="000000"/>
                      <w:sz w:val="20"/>
                      <w:szCs w:val="20"/>
                    </w:rPr>
                    <w:t>42,517</w:t>
                  </w:r>
                </w:p>
              </w:tc>
              <w:tc>
                <w:tcPr>
                  <w:tcW w:w="992" w:type="dxa"/>
                  <w:tcBorders>
                    <w:top w:val="nil"/>
                    <w:left w:val="nil"/>
                    <w:bottom w:val="single" w:sz="4" w:space="0" w:color="auto"/>
                    <w:right w:val="single" w:sz="4" w:space="0" w:color="auto"/>
                  </w:tcBorders>
                  <w:shd w:val="clear" w:color="auto" w:fill="auto"/>
                  <w:noWrap/>
                  <w:vAlign w:val="bottom"/>
                  <w:hideMark/>
                </w:tcPr>
                <w:p w14:paraId="785F5FDA" w14:textId="77777777" w:rsidR="006D6421" w:rsidRPr="002414C5" w:rsidRDefault="006D6421" w:rsidP="005B52EA">
                  <w:pPr>
                    <w:spacing w:line="240" w:lineRule="atLeast"/>
                    <w:jc w:val="both"/>
                    <w:rPr>
                      <w:color w:val="000000"/>
                      <w:sz w:val="20"/>
                      <w:szCs w:val="20"/>
                    </w:rPr>
                  </w:pPr>
                  <w:r w:rsidRPr="002414C5">
                    <w:rPr>
                      <w:color w:val="000000"/>
                      <w:sz w:val="20"/>
                      <w:szCs w:val="20"/>
                    </w:rPr>
                    <w:t>61,394</w:t>
                  </w:r>
                </w:p>
              </w:tc>
              <w:tc>
                <w:tcPr>
                  <w:tcW w:w="992" w:type="dxa"/>
                  <w:tcBorders>
                    <w:top w:val="nil"/>
                    <w:left w:val="nil"/>
                    <w:bottom w:val="single" w:sz="4" w:space="0" w:color="auto"/>
                    <w:right w:val="single" w:sz="4" w:space="0" w:color="auto"/>
                  </w:tcBorders>
                  <w:shd w:val="clear" w:color="auto" w:fill="auto"/>
                  <w:noWrap/>
                  <w:vAlign w:val="bottom"/>
                  <w:hideMark/>
                </w:tcPr>
                <w:p w14:paraId="7DED1931" w14:textId="77777777" w:rsidR="006D6421" w:rsidRPr="002414C5" w:rsidRDefault="006D6421" w:rsidP="005B52EA">
                  <w:pPr>
                    <w:spacing w:line="240" w:lineRule="atLeast"/>
                    <w:jc w:val="both"/>
                    <w:rPr>
                      <w:color w:val="000000"/>
                      <w:sz w:val="20"/>
                      <w:szCs w:val="20"/>
                    </w:rPr>
                  </w:pPr>
                  <w:r w:rsidRPr="002414C5">
                    <w:rPr>
                      <w:color w:val="000000"/>
                      <w:sz w:val="20"/>
                      <w:szCs w:val="20"/>
                    </w:rPr>
                    <w:t>69.25%</w:t>
                  </w:r>
                </w:p>
              </w:tc>
            </w:tr>
            <w:tr w:rsidR="006D6421" w:rsidRPr="002414C5" w14:paraId="0760BBBD"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9239FB"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2014</w:t>
                  </w:r>
                </w:p>
              </w:tc>
              <w:tc>
                <w:tcPr>
                  <w:tcW w:w="915" w:type="dxa"/>
                  <w:tcBorders>
                    <w:top w:val="nil"/>
                    <w:left w:val="nil"/>
                    <w:bottom w:val="single" w:sz="4" w:space="0" w:color="auto"/>
                    <w:right w:val="single" w:sz="4" w:space="0" w:color="auto"/>
                  </w:tcBorders>
                  <w:shd w:val="clear" w:color="auto" w:fill="auto"/>
                  <w:noWrap/>
                  <w:vAlign w:val="bottom"/>
                  <w:hideMark/>
                </w:tcPr>
                <w:p w14:paraId="78C70A14" w14:textId="77777777" w:rsidR="006D6421" w:rsidRPr="002414C5" w:rsidRDefault="006D6421" w:rsidP="005B52EA">
                  <w:pPr>
                    <w:spacing w:line="240" w:lineRule="atLeast"/>
                    <w:jc w:val="both"/>
                    <w:rPr>
                      <w:color w:val="000000"/>
                      <w:sz w:val="20"/>
                      <w:szCs w:val="20"/>
                    </w:rPr>
                  </w:pPr>
                  <w:r w:rsidRPr="002414C5">
                    <w:rPr>
                      <w:color w:val="000000"/>
                      <w:sz w:val="20"/>
                      <w:szCs w:val="20"/>
                    </w:rPr>
                    <w:t>46,508</w:t>
                  </w:r>
                </w:p>
              </w:tc>
              <w:tc>
                <w:tcPr>
                  <w:tcW w:w="992" w:type="dxa"/>
                  <w:tcBorders>
                    <w:top w:val="nil"/>
                    <w:left w:val="nil"/>
                    <w:bottom w:val="single" w:sz="4" w:space="0" w:color="auto"/>
                    <w:right w:val="single" w:sz="4" w:space="0" w:color="auto"/>
                  </w:tcBorders>
                  <w:shd w:val="clear" w:color="auto" w:fill="auto"/>
                  <w:noWrap/>
                  <w:vAlign w:val="bottom"/>
                  <w:hideMark/>
                </w:tcPr>
                <w:p w14:paraId="06DA8E71" w14:textId="77777777" w:rsidR="006D6421" w:rsidRPr="002414C5" w:rsidRDefault="006D6421" w:rsidP="005B52EA">
                  <w:pPr>
                    <w:spacing w:line="240" w:lineRule="atLeast"/>
                    <w:jc w:val="both"/>
                    <w:rPr>
                      <w:color w:val="000000"/>
                      <w:sz w:val="20"/>
                      <w:szCs w:val="20"/>
                    </w:rPr>
                  </w:pPr>
                  <w:r w:rsidRPr="002414C5">
                    <w:rPr>
                      <w:color w:val="000000"/>
                      <w:sz w:val="20"/>
                      <w:szCs w:val="20"/>
                    </w:rPr>
                    <w:t>66,268</w:t>
                  </w:r>
                </w:p>
              </w:tc>
              <w:tc>
                <w:tcPr>
                  <w:tcW w:w="992" w:type="dxa"/>
                  <w:tcBorders>
                    <w:top w:val="nil"/>
                    <w:left w:val="nil"/>
                    <w:bottom w:val="single" w:sz="4" w:space="0" w:color="auto"/>
                    <w:right w:val="single" w:sz="4" w:space="0" w:color="auto"/>
                  </w:tcBorders>
                  <w:shd w:val="clear" w:color="auto" w:fill="auto"/>
                  <w:noWrap/>
                  <w:vAlign w:val="bottom"/>
                  <w:hideMark/>
                </w:tcPr>
                <w:p w14:paraId="09972B31" w14:textId="77777777" w:rsidR="006D6421" w:rsidRPr="002414C5" w:rsidRDefault="006D6421" w:rsidP="005B52EA">
                  <w:pPr>
                    <w:spacing w:line="240" w:lineRule="atLeast"/>
                    <w:jc w:val="both"/>
                    <w:rPr>
                      <w:color w:val="000000"/>
                      <w:sz w:val="20"/>
                      <w:szCs w:val="20"/>
                    </w:rPr>
                  </w:pPr>
                  <w:r w:rsidRPr="002414C5">
                    <w:rPr>
                      <w:color w:val="000000"/>
                      <w:sz w:val="20"/>
                      <w:szCs w:val="20"/>
                    </w:rPr>
                    <w:t>70.18%</w:t>
                  </w:r>
                </w:p>
              </w:tc>
            </w:tr>
            <w:tr w:rsidR="006D6421" w:rsidRPr="002414C5" w14:paraId="573AA1EF"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0EF955"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2015</w:t>
                  </w:r>
                </w:p>
              </w:tc>
              <w:tc>
                <w:tcPr>
                  <w:tcW w:w="915" w:type="dxa"/>
                  <w:tcBorders>
                    <w:top w:val="nil"/>
                    <w:left w:val="nil"/>
                    <w:bottom w:val="single" w:sz="4" w:space="0" w:color="auto"/>
                    <w:right w:val="single" w:sz="4" w:space="0" w:color="auto"/>
                  </w:tcBorders>
                  <w:shd w:val="clear" w:color="auto" w:fill="auto"/>
                  <w:noWrap/>
                  <w:vAlign w:val="bottom"/>
                  <w:hideMark/>
                </w:tcPr>
                <w:p w14:paraId="4A800A25" w14:textId="77777777" w:rsidR="006D6421" w:rsidRPr="002414C5" w:rsidRDefault="006D6421" w:rsidP="005B52EA">
                  <w:pPr>
                    <w:spacing w:line="240" w:lineRule="atLeast"/>
                    <w:jc w:val="both"/>
                    <w:rPr>
                      <w:color w:val="000000"/>
                      <w:sz w:val="20"/>
                      <w:szCs w:val="20"/>
                    </w:rPr>
                  </w:pPr>
                  <w:r w:rsidRPr="002414C5">
                    <w:rPr>
                      <w:color w:val="000000"/>
                      <w:sz w:val="20"/>
                      <w:szCs w:val="20"/>
                    </w:rPr>
                    <w:t>50,750</w:t>
                  </w:r>
                </w:p>
              </w:tc>
              <w:tc>
                <w:tcPr>
                  <w:tcW w:w="992" w:type="dxa"/>
                  <w:tcBorders>
                    <w:top w:val="nil"/>
                    <w:left w:val="nil"/>
                    <w:bottom w:val="single" w:sz="4" w:space="0" w:color="auto"/>
                    <w:right w:val="single" w:sz="4" w:space="0" w:color="auto"/>
                  </w:tcBorders>
                  <w:shd w:val="clear" w:color="auto" w:fill="auto"/>
                  <w:noWrap/>
                  <w:vAlign w:val="bottom"/>
                  <w:hideMark/>
                </w:tcPr>
                <w:p w14:paraId="2D12063C" w14:textId="77777777" w:rsidR="006D6421" w:rsidRPr="002414C5" w:rsidRDefault="006D6421" w:rsidP="005B52EA">
                  <w:pPr>
                    <w:spacing w:line="240" w:lineRule="atLeast"/>
                    <w:jc w:val="both"/>
                    <w:rPr>
                      <w:color w:val="000000"/>
                      <w:sz w:val="20"/>
                      <w:szCs w:val="20"/>
                    </w:rPr>
                  </w:pPr>
                  <w:r w:rsidRPr="002414C5">
                    <w:rPr>
                      <w:color w:val="000000"/>
                      <w:sz w:val="20"/>
                      <w:szCs w:val="20"/>
                    </w:rPr>
                    <w:t>71,059</w:t>
                  </w:r>
                </w:p>
              </w:tc>
              <w:tc>
                <w:tcPr>
                  <w:tcW w:w="992" w:type="dxa"/>
                  <w:tcBorders>
                    <w:top w:val="nil"/>
                    <w:left w:val="nil"/>
                    <w:bottom w:val="single" w:sz="4" w:space="0" w:color="auto"/>
                    <w:right w:val="single" w:sz="4" w:space="0" w:color="auto"/>
                  </w:tcBorders>
                  <w:shd w:val="clear" w:color="auto" w:fill="auto"/>
                  <w:noWrap/>
                  <w:vAlign w:val="bottom"/>
                  <w:hideMark/>
                </w:tcPr>
                <w:p w14:paraId="2785E8A4" w14:textId="77777777" w:rsidR="006D6421" w:rsidRPr="002414C5" w:rsidRDefault="006D6421" w:rsidP="005B52EA">
                  <w:pPr>
                    <w:spacing w:line="240" w:lineRule="atLeast"/>
                    <w:jc w:val="both"/>
                    <w:rPr>
                      <w:color w:val="000000"/>
                      <w:sz w:val="20"/>
                      <w:szCs w:val="20"/>
                    </w:rPr>
                  </w:pPr>
                  <w:r w:rsidRPr="002414C5">
                    <w:rPr>
                      <w:color w:val="000000"/>
                      <w:sz w:val="20"/>
                      <w:szCs w:val="20"/>
                    </w:rPr>
                    <w:t>71.42%</w:t>
                  </w:r>
                </w:p>
              </w:tc>
            </w:tr>
            <w:tr w:rsidR="006D6421" w:rsidRPr="002414C5" w14:paraId="1C14F348"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F633D2A"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2016</w:t>
                  </w:r>
                </w:p>
              </w:tc>
              <w:tc>
                <w:tcPr>
                  <w:tcW w:w="915" w:type="dxa"/>
                  <w:tcBorders>
                    <w:top w:val="nil"/>
                    <w:left w:val="nil"/>
                    <w:bottom w:val="single" w:sz="4" w:space="0" w:color="auto"/>
                    <w:right w:val="single" w:sz="4" w:space="0" w:color="auto"/>
                  </w:tcBorders>
                  <w:shd w:val="clear" w:color="auto" w:fill="auto"/>
                  <w:noWrap/>
                  <w:vAlign w:val="bottom"/>
                  <w:hideMark/>
                </w:tcPr>
                <w:p w14:paraId="1D2E7151" w14:textId="77777777" w:rsidR="006D6421" w:rsidRPr="002414C5" w:rsidRDefault="006D6421" w:rsidP="005B52EA">
                  <w:pPr>
                    <w:spacing w:line="240" w:lineRule="atLeast"/>
                    <w:jc w:val="both"/>
                    <w:rPr>
                      <w:color w:val="000000"/>
                      <w:sz w:val="20"/>
                      <w:szCs w:val="20"/>
                    </w:rPr>
                  </w:pPr>
                  <w:r w:rsidRPr="002414C5">
                    <w:rPr>
                      <w:color w:val="000000"/>
                      <w:sz w:val="20"/>
                      <w:szCs w:val="20"/>
                    </w:rPr>
                    <w:t>52,814</w:t>
                  </w:r>
                </w:p>
              </w:tc>
              <w:tc>
                <w:tcPr>
                  <w:tcW w:w="992" w:type="dxa"/>
                  <w:tcBorders>
                    <w:top w:val="nil"/>
                    <w:left w:val="nil"/>
                    <w:bottom w:val="single" w:sz="4" w:space="0" w:color="auto"/>
                    <w:right w:val="single" w:sz="4" w:space="0" w:color="auto"/>
                  </w:tcBorders>
                  <w:shd w:val="clear" w:color="auto" w:fill="auto"/>
                  <w:noWrap/>
                  <w:vAlign w:val="bottom"/>
                  <w:hideMark/>
                </w:tcPr>
                <w:p w14:paraId="19BDEA0C" w14:textId="77777777" w:rsidR="006D6421" w:rsidRPr="002414C5" w:rsidRDefault="006D6421" w:rsidP="005B52EA">
                  <w:pPr>
                    <w:spacing w:line="240" w:lineRule="atLeast"/>
                    <w:jc w:val="both"/>
                    <w:rPr>
                      <w:color w:val="000000"/>
                      <w:sz w:val="20"/>
                      <w:szCs w:val="20"/>
                    </w:rPr>
                  </w:pPr>
                  <w:r w:rsidRPr="002414C5">
                    <w:rPr>
                      <w:color w:val="000000"/>
                      <w:sz w:val="20"/>
                      <w:szCs w:val="20"/>
                    </w:rPr>
                    <w:t>73,822</w:t>
                  </w:r>
                </w:p>
              </w:tc>
              <w:tc>
                <w:tcPr>
                  <w:tcW w:w="992" w:type="dxa"/>
                  <w:tcBorders>
                    <w:top w:val="nil"/>
                    <w:left w:val="nil"/>
                    <w:bottom w:val="single" w:sz="4" w:space="0" w:color="auto"/>
                    <w:right w:val="single" w:sz="4" w:space="0" w:color="auto"/>
                  </w:tcBorders>
                  <w:shd w:val="clear" w:color="auto" w:fill="auto"/>
                  <w:noWrap/>
                  <w:vAlign w:val="bottom"/>
                  <w:hideMark/>
                </w:tcPr>
                <w:p w14:paraId="25C89BFD" w14:textId="77777777" w:rsidR="006D6421" w:rsidRPr="002414C5" w:rsidRDefault="006D6421" w:rsidP="005B52EA">
                  <w:pPr>
                    <w:spacing w:line="240" w:lineRule="atLeast"/>
                    <w:jc w:val="both"/>
                    <w:rPr>
                      <w:color w:val="000000"/>
                      <w:sz w:val="20"/>
                      <w:szCs w:val="20"/>
                    </w:rPr>
                  </w:pPr>
                  <w:r w:rsidRPr="002414C5">
                    <w:rPr>
                      <w:color w:val="000000"/>
                      <w:sz w:val="20"/>
                      <w:szCs w:val="20"/>
                    </w:rPr>
                    <w:t>71.54%</w:t>
                  </w:r>
                </w:p>
              </w:tc>
            </w:tr>
            <w:tr w:rsidR="006D6421" w:rsidRPr="002414C5" w14:paraId="7BA3F5F0"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C5D7BD"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2017</w:t>
                  </w:r>
                </w:p>
              </w:tc>
              <w:tc>
                <w:tcPr>
                  <w:tcW w:w="915" w:type="dxa"/>
                  <w:tcBorders>
                    <w:top w:val="nil"/>
                    <w:left w:val="nil"/>
                    <w:bottom w:val="single" w:sz="4" w:space="0" w:color="auto"/>
                    <w:right w:val="single" w:sz="4" w:space="0" w:color="auto"/>
                  </w:tcBorders>
                  <w:shd w:val="clear" w:color="auto" w:fill="auto"/>
                  <w:noWrap/>
                  <w:vAlign w:val="bottom"/>
                  <w:hideMark/>
                </w:tcPr>
                <w:p w14:paraId="42F24B8C" w14:textId="77777777" w:rsidR="006D6421" w:rsidRPr="002414C5" w:rsidRDefault="006D6421" w:rsidP="005B52EA">
                  <w:pPr>
                    <w:spacing w:line="240" w:lineRule="atLeast"/>
                    <w:jc w:val="both"/>
                    <w:rPr>
                      <w:color w:val="000000"/>
                      <w:sz w:val="20"/>
                      <w:szCs w:val="20"/>
                    </w:rPr>
                  </w:pPr>
                  <w:r w:rsidRPr="002414C5">
                    <w:rPr>
                      <w:color w:val="000000"/>
                      <w:sz w:val="20"/>
                      <w:szCs w:val="20"/>
                    </w:rPr>
                    <w:t>55,719</w:t>
                  </w:r>
                </w:p>
              </w:tc>
              <w:tc>
                <w:tcPr>
                  <w:tcW w:w="992" w:type="dxa"/>
                  <w:tcBorders>
                    <w:top w:val="nil"/>
                    <w:left w:val="nil"/>
                    <w:bottom w:val="single" w:sz="4" w:space="0" w:color="auto"/>
                    <w:right w:val="single" w:sz="4" w:space="0" w:color="auto"/>
                  </w:tcBorders>
                  <w:shd w:val="clear" w:color="auto" w:fill="auto"/>
                  <w:noWrap/>
                  <w:vAlign w:val="bottom"/>
                  <w:hideMark/>
                </w:tcPr>
                <w:p w14:paraId="64490443" w14:textId="77777777" w:rsidR="006D6421" w:rsidRPr="002414C5" w:rsidRDefault="006D6421" w:rsidP="005B52EA">
                  <w:pPr>
                    <w:spacing w:line="240" w:lineRule="atLeast"/>
                    <w:jc w:val="both"/>
                    <w:rPr>
                      <w:color w:val="000000"/>
                      <w:sz w:val="20"/>
                      <w:szCs w:val="20"/>
                    </w:rPr>
                  </w:pPr>
                  <w:r w:rsidRPr="002414C5">
                    <w:rPr>
                      <w:color w:val="000000"/>
                      <w:sz w:val="20"/>
                      <w:szCs w:val="20"/>
                    </w:rPr>
                    <w:t>77,034</w:t>
                  </w:r>
                </w:p>
              </w:tc>
              <w:tc>
                <w:tcPr>
                  <w:tcW w:w="992" w:type="dxa"/>
                  <w:tcBorders>
                    <w:top w:val="nil"/>
                    <w:left w:val="nil"/>
                    <w:bottom w:val="single" w:sz="4" w:space="0" w:color="auto"/>
                    <w:right w:val="single" w:sz="4" w:space="0" w:color="auto"/>
                  </w:tcBorders>
                  <w:shd w:val="clear" w:color="auto" w:fill="auto"/>
                  <w:noWrap/>
                  <w:vAlign w:val="bottom"/>
                  <w:hideMark/>
                </w:tcPr>
                <w:p w14:paraId="60356657" w14:textId="77777777" w:rsidR="006D6421" w:rsidRPr="002414C5" w:rsidRDefault="006D6421" w:rsidP="005B52EA">
                  <w:pPr>
                    <w:spacing w:line="240" w:lineRule="atLeast"/>
                    <w:jc w:val="both"/>
                    <w:rPr>
                      <w:color w:val="000000"/>
                      <w:sz w:val="20"/>
                      <w:szCs w:val="20"/>
                    </w:rPr>
                  </w:pPr>
                  <w:r w:rsidRPr="002414C5">
                    <w:rPr>
                      <w:color w:val="000000"/>
                      <w:sz w:val="20"/>
                      <w:szCs w:val="20"/>
                    </w:rPr>
                    <w:t>72.33%</w:t>
                  </w:r>
                </w:p>
              </w:tc>
            </w:tr>
            <w:tr w:rsidR="006D6421" w:rsidRPr="002414C5" w14:paraId="457E8269"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C1EEC53"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2018</w:t>
                  </w:r>
                </w:p>
              </w:tc>
              <w:tc>
                <w:tcPr>
                  <w:tcW w:w="915" w:type="dxa"/>
                  <w:tcBorders>
                    <w:top w:val="nil"/>
                    <w:left w:val="nil"/>
                    <w:bottom w:val="single" w:sz="4" w:space="0" w:color="auto"/>
                    <w:right w:val="single" w:sz="4" w:space="0" w:color="auto"/>
                  </w:tcBorders>
                  <w:shd w:val="clear" w:color="auto" w:fill="auto"/>
                  <w:noWrap/>
                  <w:vAlign w:val="bottom"/>
                  <w:hideMark/>
                </w:tcPr>
                <w:p w14:paraId="295D1AF9" w14:textId="77777777" w:rsidR="006D6421" w:rsidRPr="002414C5" w:rsidRDefault="006D6421" w:rsidP="005B52EA">
                  <w:pPr>
                    <w:spacing w:line="240" w:lineRule="atLeast"/>
                    <w:jc w:val="both"/>
                    <w:rPr>
                      <w:color w:val="000000"/>
                      <w:sz w:val="20"/>
                      <w:szCs w:val="20"/>
                    </w:rPr>
                  </w:pPr>
                  <w:r w:rsidRPr="002414C5">
                    <w:rPr>
                      <w:color w:val="000000"/>
                      <w:sz w:val="20"/>
                      <w:szCs w:val="20"/>
                    </w:rPr>
                    <w:t>60,508</w:t>
                  </w:r>
                </w:p>
              </w:tc>
              <w:tc>
                <w:tcPr>
                  <w:tcW w:w="992" w:type="dxa"/>
                  <w:tcBorders>
                    <w:top w:val="nil"/>
                    <w:left w:val="nil"/>
                    <w:bottom w:val="single" w:sz="4" w:space="0" w:color="auto"/>
                    <w:right w:val="single" w:sz="4" w:space="0" w:color="auto"/>
                  </w:tcBorders>
                  <w:shd w:val="clear" w:color="auto" w:fill="auto"/>
                  <w:noWrap/>
                  <w:vAlign w:val="bottom"/>
                  <w:hideMark/>
                </w:tcPr>
                <w:p w14:paraId="73E08EBB" w14:textId="77777777" w:rsidR="006D6421" w:rsidRPr="002414C5" w:rsidRDefault="006D6421" w:rsidP="005B52EA">
                  <w:pPr>
                    <w:spacing w:line="240" w:lineRule="atLeast"/>
                    <w:jc w:val="both"/>
                    <w:rPr>
                      <w:color w:val="000000"/>
                      <w:sz w:val="20"/>
                      <w:szCs w:val="20"/>
                    </w:rPr>
                  </w:pPr>
                  <w:r w:rsidRPr="002414C5">
                    <w:rPr>
                      <w:color w:val="000000"/>
                      <w:sz w:val="20"/>
                      <w:szCs w:val="20"/>
                    </w:rPr>
                    <w:t>83,238</w:t>
                  </w:r>
                </w:p>
              </w:tc>
              <w:tc>
                <w:tcPr>
                  <w:tcW w:w="992" w:type="dxa"/>
                  <w:tcBorders>
                    <w:top w:val="nil"/>
                    <w:left w:val="nil"/>
                    <w:bottom w:val="single" w:sz="4" w:space="0" w:color="auto"/>
                    <w:right w:val="single" w:sz="4" w:space="0" w:color="auto"/>
                  </w:tcBorders>
                  <w:shd w:val="clear" w:color="auto" w:fill="auto"/>
                  <w:noWrap/>
                  <w:vAlign w:val="bottom"/>
                  <w:hideMark/>
                </w:tcPr>
                <w:p w14:paraId="08D098B1" w14:textId="77777777" w:rsidR="006D6421" w:rsidRPr="002414C5" w:rsidRDefault="006D6421" w:rsidP="005B52EA">
                  <w:pPr>
                    <w:spacing w:line="240" w:lineRule="atLeast"/>
                    <w:jc w:val="both"/>
                    <w:rPr>
                      <w:color w:val="000000"/>
                      <w:sz w:val="20"/>
                      <w:szCs w:val="20"/>
                    </w:rPr>
                  </w:pPr>
                  <w:r w:rsidRPr="002414C5">
                    <w:rPr>
                      <w:color w:val="000000"/>
                      <w:sz w:val="20"/>
                      <w:szCs w:val="20"/>
                    </w:rPr>
                    <w:t>72.69%</w:t>
                  </w:r>
                </w:p>
              </w:tc>
            </w:tr>
            <w:tr w:rsidR="006D6421" w:rsidRPr="002414C5" w14:paraId="33E9738A"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15DD442"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2019</w:t>
                  </w:r>
                </w:p>
              </w:tc>
              <w:tc>
                <w:tcPr>
                  <w:tcW w:w="915" w:type="dxa"/>
                  <w:tcBorders>
                    <w:top w:val="nil"/>
                    <w:left w:val="nil"/>
                    <w:bottom w:val="single" w:sz="4" w:space="0" w:color="auto"/>
                    <w:right w:val="single" w:sz="4" w:space="0" w:color="auto"/>
                  </w:tcBorders>
                  <w:shd w:val="clear" w:color="auto" w:fill="auto"/>
                  <w:noWrap/>
                  <w:vAlign w:val="bottom"/>
                  <w:hideMark/>
                </w:tcPr>
                <w:p w14:paraId="27A4A0D9" w14:textId="77777777" w:rsidR="006D6421" w:rsidRPr="002414C5" w:rsidRDefault="006D6421" w:rsidP="005B52EA">
                  <w:pPr>
                    <w:spacing w:line="240" w:lineRule="atLeast"/>
                    <w:jc w:val="both"/>
                    <w:rPr>
                      <w:color w:val="000000"/>
                      <w:sz w:val="20"/>
                      <w:szCs w:val="20"/>
                    </w:rPr>
                  </w:pPr>
                  <w:r w:rsidRPr="002414C5">
                    <w:rPr>
                      <w:color w:val="000000"/>
                      <w:sz w:val="20"/>
                      <w:szCs w:val="20"/>
                    </w:rPr>
                    <w:t>64,581</w:t>
                  </w:r>
                </w:p>
              </w:tc>
              <w:tc>
                <w:tcPr>
                  <w:tcW w:w="992" w:type="dxa"/>
                  <w:tcBorders>
                    <w:top w:val="nil"/>
                    <w:left w:val="nil"/>
                    <w:bottom w:val="single" w:sz="4" w:space="0" w:color="auto"/>
                    <w:right w:val="single" w:sz="4" w:space="0" w:color="auto"/>
                  </w:tcBorders>
                  <w:shd w:val="clear" w:color="auto" w:fill="auto"/>
                  <w:noWrap/>
                  <w:vAlign w:val="bottom"/>
                  <w:hideMark/>
                </w:tcPr>
                <w:p w14:paraId="71BB7980" w14:textId="77777777" w:rsidR="006D6421" w:rsidRPr="002414C5" w:rsidRDefault="006D6421" w:rsidP="005B52EA">
                  <w:pPr>
                    <w:spacing w:line="240" w:lineRule="atLeast"/>
                    <w:jc w:val="both"/>
                    <w:rPr>
                      <w:color w:val="000000"/>
                      <w:sz w:val="20"/>
                      <w:szCs w:val="20"/>
                    </w:rPr>
                  </w:pPr>
                  <w:r w:rsidRPr="002414C5">
                    <w:rPr>
                      <w:color w:val="000000"/>
                      <w:sz w:val="20"/>
                      <w:szCs w:val="20"/>
                    </w:rPr>
                    <w:t>88,205</w:t>
                  </w:r>
                </w:p>
              </w:tc>
              <w:tc>
                <w:tcPr>
                  <w:tcW w:w="992" w:type="dxa"/>
                  <w:tcBorders>
                    <w:top w:val="nil"/>
                    <w:left w:val="nil"/>
                    <w:bottom w:val="single" w:sz="4" w:space="0" w:color="auto"/>
                    <w:right w:val="single" w:sz="4" w:space="0" w:color="auto"/>
                  </w:tcBorders>
                  <w:shd w:val="clear" w:color="auto" w:fill="auto"/>
                  <w:noWrap/>
                  <w:vAlign w:val="bottom"/>
                  <w:hideMark/>
                </w:tcPr>
                <w:p w14:paraId="40310714" w14:textId="77777777" w:rsidR="006D6421" w:rsidRPr="002414C5" w:rsidRDefault="006D6421" w:rsidP="005B52EA">
                  <w:pPr>
                    <w:spacing w:line="240" w:lineRule="atLeast"/>
                    <w:jc w:val="both"/>
                    <w:rPr>
                      <w:color w:val="000000"/>
                      <w:sz w:val="20"/>
                      <w:szCs w:val="20"/>
                    </w:rPr>
                  </w:pPr>
                  <w:r w:rsidRPr="002414C5">
                    <w:rPr>
                      <w:color w:val="000000"/>
                      <w:sz w:val="20"/>
                      <w:szCs w:val="20"/>
                    </w:rPr>
                    <w:t>73.22%</w:t>
                  </w:r>
                </w:p>
              </w:tc>
            </w:tr>
            <w:tr w:rsidR="006D6421" w:rsidRPr="002414C5" w14:paraId="79954CB9"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0256D7"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 xml:space="preserve"> 2020</w:t>
                  </w:r>
                </w:p>
              </w:tc>
              <w:tc>
                <w:tcPr>
                  <w:tcW w:w="915" w:type="dxa"/>
                  <w:tcBorders>
                    <w:top w:val="nil"/>
                    <w:left w:val="nil"/>
                    <w:bottom w:val="single" w:sz="4" w:space="0" w:color="auto"/>
                    <w:right w:val="single" w:sz="4" w:space="0" w:color="auto"/>
                  </w:tcBorders>
                  <w:shd w:val="clear" w:color="auto" w:fill="auto"/>
                  <w:noWrap/>
                  <w:vAlign w:val="bottom"/>
                  <w:hideMark/>
                </w:tcPr>
                <w:p w14:paraId="5ACA4A8C" w14:textId="77777777" w:rsidR="006D6421" w:rsidRPr="002414C5" w:rsidRDefault="006D6421" w:rsidP="005B52EA">
                  <w:pPr>
                    <w:spacing w:line="240" w:lineRule="atLeast"/>
                    <w:jc w:val="both"/>
                    <w:rPr>
                      <w:color w:val="000000"/>
                      <w:sz w:val="20"/>
                      <w:szCs w:val="20"/>
                    </w:rPr>
                  </w:pPr>
                  <w:r w:rsidRPr="002414C5">
                    <w:rPr>
                      <w:color w:val="000000"/>
                      <w:sz w:val="20"/>
                      <w:szCs w:val="20"/>
                    </w:rPr>
                    <w:t>61,552</w:t>
                  </w:r>
                </w:p>
              </w:tc>
              <w:tc>
                <w:tcPr>
                  <w:tcW w:w="992" w:type="dxa"/>
                  <w:tcBorders>
                    <w:top w:val="nil"/>
                    <w:left w:val="nil"/>
                    <w:bottom w:val="single" w:sz="4" w:space="0" w:color="auto"/>
                    <w:right w:val="single" w:sz="4" w:space="0" w:color="auto"/>
                  </w:tcBorders>
                  <w:shd w:val="clear" w:color="auto" w:fill="auto"/>
                  <w:noWrap/>
                  <w:vAlign w:val="bottom"/>
                  <w:hideMark/>
                </w:tcPr>
                <w:p w14:paraId="1D9AD1E6" w14:textId="77777777" w:rsidR="006D6421" w:rsidRPr="002414C5" w:rsidRDefault="006D6421" w:rsidP="005B52EA">
                  <w:pPr>
                    <w:spacing w:line="240" w:lineRule="atLeast"/>
                    <w:jc w:val="both"/>
                    <w:rPr>
                      <w:color w:val="000000"/>
                      <w:sz w:val="20"/>
                      <w:szCs w:val="20"/>
                    </w:rPr>
                  </w:pPr>
                  <w:r w:rsidRPr="002414C5">
                    <w:rPr>
                      <w:color w:val="000000"/>
                      <w:sz w:val="20"/>
                      <w:szCs w:val="20"/>
                    </w:rPr>
                    <w:t>83,190</w:t>
                  </w:r>
                </w:p>
              </w:tc>
              <w:tc>
                <w:tcPr>
                  <w:tcW w:w="992" w:type="dxa"/>
                  <w:tcBorders>
                    <w:top w:val="nil"/>
                    <w:left w:val="nil"/>
                    <w:bottom w:val="single" w:sz="4" w:space="0" w:color="auto"/>
                    <w:right w:val="single" w:sz="4" w:space="0" w:color="auto"/>
                  </w:tcBorders>
                  <w:shd w:val="clear" w:color="auto" w:fill="auto"/>
                  <w:noWrap/>
                  <w:vAlign w:val="bottom"/>
                  <w:hideMark/>
                </w:tcPr>
                <w:p w14:paraId="577333C1" w14:textId="77777777" w:rsidR="006D6421" w:rsidRPr="002414C5" w:rsidRDefault="006D6421" w:rsidP="005B52EA">
                  <w:pPr>
                    <w:spacing w:line="240" w:lineRule="atLeast"/>
                    <w:jc w:val="both"/>
                    <w:rPr>
                      <w:color w:val="000000"/>
                      <w:sz w:val="20"/>
                      <w:szCs w:val="20"/>
                    </w:rPr>
                  </w:pPr>
                  <w:r w:rsidRPr="002414C5">
                    <w:rPr>
                      <w:color w:val="000000"/>
                      <w:sz w:val="20"/>
                      <w:szCs w:val="20"/>
                    </w:rPr>
                    <w:t>73.99%</w:t>
                  </w:r>
                </w:p>
              </w:tc>
            </w:tr>
            <w:tr w:rsidR="006D6421" w:rsidRPr="002414C5" w14:paraId="6B4F5444" w14:textId="77777777" w:rsidTr="002414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AD5EB3" w14:textId="77777777" w:rsidR="006D6421" w:rsidRPr="002414C5" w:rsidRDefault="006D6421" w:rsidP="005B52EA">
                  <w:pPr>
                    <w:spacing w:line="240" w:lineRule="atLeast"/>
                    <w:jc w:val="both"/>
                    <w:rPr>
                      <w:b/>
                      <w:bCs/>
                      <w:color w:val="000000"/>
                      <w:sz w:val="20"/>
                      <w:szCs w:val="20"/>
                    </w:rPr>
                  </w:pPr>
                  <w:r w:rsidRPr="002414C5">
                    <w:rPr>
                      <w:b/>
                      <w:bCs/>
                      <w:color w:val="000000"/>
                      <w:sz w:val="20"/>
                      <w:szCs w:val="20"/>
                    </w:rPr>
                    <w:t>2021</w:t>
                  </w:r>
                </w:p>
              </w:tc>
              <w:tc>
                <w:tcPr>
                  <w:tcW w:w="915" w:type="dxa"/>
                  <w:tcBorders>
                    <w:top w:val="nil"/>
                    <w:left w:val="nil"/>
                    <w:bottom w:val="single" w:sz="4" w:space="0" w:color="auto"/>
                    <w:right w:val="single" w:sz="4" w:space="0" w:color="auto"/>
                  </w:tcBorders>
                  <w:shd w:val="clear" w:color="auto" w:fill="auto"/>
                  <w:noWrap/>
                  <w:vAlign w:val="bottom"/>
                  <w:hideMark/>
                </w:tcPr>
                <w:p w14:paraId="6916DEDA" w14:textId="77777777" w:rsidR="006D6421" w:rsidRPr="002414C5" w:rsidRDefault="006D6421" w:rsidP="005B52EA">
                  <w:pPr>
                    <w:spacing w:line="240" w:lineRule="atLeast"/>
                    <w:jc w:val="both"/>
                    <w:rPr>
                      <w:color w:val="000000"/>
                      <w:sz w:val="20"/>
                      <w:szCs w:val="20"/>
                    </w:rPr>
                  </w:pPr>
                  <w:r w:rsidRPr="002414C5">
                    <w:rPr>
                      <w:color w:val="000000"/>
                      <w:sz w:val="20"/>
                      <w:szCs w:val="20"/>
                    </w:rPr>
                    <w:t>75,606</w:t>
                  </w:r>
                </w:p>
              </w:tc>
              <w:tc>
                <w:tcPr>
                  <w:tcW w:w="992" w:type="dxa"/>
                  <w:tcBorders>
                    <w:top w:val="nil"/>
                    <w:left w:val="nil"/>
                    <w:bottom w:val="single" w:sz="4" w:space="0" w:color="auto"/>
                    <w:right w:val="single" w:sz="4" w:space="0" w:color="auto"/>
                  </w:tcBorders>
                  <w:shd w:val="clear" w:color="auto" w:fill="auto"/>
                  <w:noWrap/>
                  <w:vAlign w:val="bottom"/>
                  <w:hideMark/>
                </w:tcPr>
                <w:p w14:paraId="2D704BB4" w14:textId="77777777" w:rsidR="006D6421" w:rsidRPr="002414C5" w:rsidRDefault="006D6421" w:rsidP="005B52EA">
                  <w:pPr>
                    <w:spacing w:line="240" w:lineRule="atLeast"/>
                    <w:jc w:val="both"/>
                    <w:rPr>
                      <w:color w:val="000000"/>
                      <w:sz w:val="20"/>
                      <w:szCs w:val="20"/>
                    </w:rPr>
                  </w:pPr>
                  <w:r w:rsidRPr="002414C5">
                    <w:rPr>
                      <w:color w:val="000000"/>
                      <w:sz w:val="20"/>
                      <w:szCs w:val="20"/>
                    </w:rPr>
                    <w:t>98,735</w:t>
                  </w:r>
                </w:p>
              </w:tc>
              <w:tc>
                <w:tcPr>
                  <w:tcW w:w="992" w:type="dxa"/>
                  <w:tcBorders>
                    <w:top w:val="nil"/>
                    <w:left w:val="nil"/>
                    <w:bottom w:val="single" w:sz="4" w:space="0" w:color="auto"/>
                    <w:right w:val="single" w:sz="4" w:space="0" w:color="auto"/>
                  </w:tcBorders>
                  <w:shd w:val="clear" w:color="auto" w:fill="auto"/>
                  <w:noWrap/>
                  <w:vAlign w:val="bottom"/>
                  <w:hideMark/>
                </w:tcPr>
                <w:p w14:paraId="4815118E" w14:textId="77777777" w:rsidR="006D6421" w:rsidRPr="002414C5" w:rsidRDefault="006D6421" w:rsidP="005B52EA">
                  <w:pPr>
                    <w:spacing w:line="240" w:lineRule="atLeast"/>
                    <w:jc w:val="both"/>
                    <w:rPr>
                      <w:color w:val="000000"/>
                      <w:sz w:val="20"/>
                      <w:szCs w:val="20"/>
                    </w:rPr>
                  </w:pPr>
                  <w:r w:rsidRPr="002414C5">
                    <w:rPr>
                      <w:color w:val="000000"/>
                      <w:sz w:val="20"/>
                      <w:szCs w:val="20"/>
                    </w:rPr>
                    <w:t>76.57%</w:t>
                  </w:r>
                </w:p>
              </w:tc>
            </w:tr>
          </w:tbl>
          <w:p w14:paraId="5D60B32E" w14:textId="77777777" w:rsidR="006D6421" w:rsidRPr="00C5657A" w:rsidRDefault="006D6421" w:rsidP="005B52EA">
            <w:pPr>
              <w:spacing w:line="240" w:lineRule="atLeast"/>
              <w:jc w:val="both"/>
              <w:rPr>
                <w:b/>
                <w:bCs/>
                <w:color w:val="000000"/>
                <w:sz w:val="20"/>
                <w:szCs w:val="20"/>
              </w:rPr>
            </w:pPr>
          </w:p>
        </w:tc>
        <w:tc>
          <w:tcPr>
            <w:tcW w:w="4948" w:type="dxa"/>
            <w:tcBorders>
              <w:top w:val="nil"/>
              <w:left w:val="nil"/>
              <w:bottom w:val="nil"/>
              <w:right w:val="nil"/>
            </w:tcBorders>
          </w:tcPr>
          <w:p w14:paraId="61C6DCED" w14:textId="77777777" w:rsidR="006D6421" w:rsidRPr="00C5657A" w:rsidRDefault="006D6421" w:rsidP="005B52EA">
            <w:pPr>
              <w:spacing w:line="240" w:lineRule="atLeast"/>
              <w:jc w:val="both"/>
              <w:rPr>
                <w:b/>
                <w:bCs/>
                <w:color w:val="000000"/>
                <w:sz w:val="20"/>
                <w:szCs w:val="20"/>
              </w:rPr>
            </w:pPr>
            <w:r w:rsidRPr="00C5657A">
              <w:rPr>
                <w:noProof/>
                <w:sz w:val="20"/>
                <w:szCs w:val="20"/>
              </w:rPr>
              <w:drawing>
                <wp:inline distT="0" distB="0" distL="0" distR="0" wp14:anchorId="6D809BD3" wp14:editId="120723DA">
                  <wp:extent cx="2867024" cy="25082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165B8C" w14:textId="77777777" w:rsidR="006D6421" w:rsidRPr="00C5657A" w:rsidRDefault="006D6421" w:rsidP="005B52EA">
            <w:pPr>
              <w:spacing w:line="240" w:lineRule="atLeast"/>
              <w:jc w:val="both"/>
              <w:rPr>
                <w:b/>
                <w:bCs/>
                <w:color w:val="000000"/>
                <w:sz w:val="20"/>
                <w:szCs w:val="20"/>
              </w:rPr>
            </w:pPr>
          </w:p>
          <w:p w14:paraId="65C2CF77" w14:textId="77777777" w:rsidR="006D6421" w:rsidRPr="00C5657A" w:rsidRDefault="006D6421" w:rsidP="005B52EA">
            <w:pPr>
              <w:spacing w:line="240" w:lineRule="atLeast"/>
              <w:jc w:val="both"/>
              <w:rPr>
                <w:b/>
                <w:bCs/>
                <w:color w:val="000000"/>
                <w:sz w:val="20"/>
                <w:szCs w:val="20"/>
              </w:rPr>
            </w:pPr>
          </w:p>
        </w:tc>
      </w:tr>
    </w:tbl>
    <w:p w14:paraId="7C99E5A3" w14:textId="77777777" w:rsidR="002414C5" w:rsidRDefault="002414C5" w:rsidP="002414C5">
      <w:pPr>
        <w:pStyle w:val="SingleTxtG"/>
        <w:spacing w:after="0"/>
        <w:ind w:left="1440" w:hanging="306"/>
        <w:rPr>
          <w:lang w:val="en-IE"/>
        </w:rPr>
      </w:pPr>
      <w:r>
        <w:t xml:space="preserve">(e) </w:t>
      </w:r>
      <w:r>
        <w:tab/>
      </w:r>
      <w:r w:rsidR="00AE5A09" w:rsidRPr="00C5657A">
        <w:rPr>
          <w:lang w:val="en-IE"/>
        </w:rPr>
        <w:t>Between 2012 and 2016</w:t>
      </w:r>
      <w:r w:rsidR="007716EB" w:rsidRPr="00C5657A">
        <w:rPr>
          <w:lang w:val="en-IE"/>
        </w:rPr>
        <w:t>,</w:t>
      </w:r>
      <w:r w:rsidR="00AE5A09" w:rsidRPr="00C5657A">
        <w:rPr>
          <w:lang w:val="en-IE"/>
        </w:rPr>
        <w:t xml:space="preserve"> public expenditure remained static at </w:t>
      </w:r>
      <w:r w:rsidR="006A2F1D" w:rsidRPr="00C5657A">
        <w:rPr>
          <w:lang w:val="en-IE"/>
        </w:rPr>
        <w:t>approximately</w:t>
      </w:r>
      <w:r w:rsidR="00AE5A09" w:rsidRPr="00C5657A">
        <w:rPr>
          <w:lang w:val="en-IE"/>
        </w:rPr>
        <w:t xml:space="preserve"> €55 billion per annum. Investment in public services and infrastructure (</w:t>
      </w:r>
      <w:r w:rsidR="006A2F1D" w:rsidRPr="00C5657A">
        <w:rPr>
          <w:lang w:val="en-IE"/>
        </w:rPr>
        <w:t>c</w:t>
      </w:r>
      <w:r w:rsidR="00AE5A09" w:rsidRPr="00C5657A">
        <w:rPr>
          <w:lang w:val="en-IE"/>
        </w:rPr>
        <w:t xml:space="preserve">ore </w:t>
      </w:r>
      <w:r w:rsidR="006A2F1D" w:rsidRPr="00C5657A">
        <w:rPr>
          <w:lang w:val="en-IE"/>
        </w:rPr>
        <w:t>e</w:t>
      </w:r>
      <w:r w:rsidR="00AE5A09" w:rsidRPr="00C5657A">
        <w:rPr>
          <w:lang w:val="en-IE"/>
        </w:rPr>
        <w:t xml:space="preserve">xpenditure) began to increase steadily from 2017, with average growth of 6% per annum. </w:t>
      </w:r>
    </w:p>
    <w:p w14:paraId="491CB679" w14:textId="77777777" w:rsidR="002414C5" w:rsidRDefault="002414C5" w:rsidP="002414C5">
      <w:pPr>
        <w:pStyle w:val="SingleTxtG"/>
        <w:spacing w:after="0"/>
        <w:ind w:left="1440" w:hanging="306"/>
        <w:rPr>
          <w:lang w:val="en-IE"/>
        </w:rPr>
      </w:pPr>
    </w:p>
    <w:p w14:paraId="78FB8948" w14:textId="5E143AB2" w:rsidR="00004F02" w:rsidRPr="002414C5" w:rsidRDefault="00AE5A09" w:rsidP="002414C5">
      <w:pPr>
        <w:pStyle w:val="SingleTxtG"/>
        <w:spacing w:after="0"/>
        <w:ind w:left="1440"/>
      </w:pPr>
      <w:r w:rsidRPr="00C5657A">
        <w:rPr>
          <w:lang w:val="en-IE"/>
        </w:rPr>
        <w:t>Since 2020</w:t>
      </w:r>
      <w:r w:rsidR="007716EB" w:rsidRPr="00C5657A">
        <w:rPr>
          <w:lang w:val="en-IE"/>
        </w:rPr>
        <w:t>,</w:t>
      </w:r>
      <w:r w:rsidRPr="00C5657A">
        <w:rPr>
          <w:lang w:val="en-IE"/>
        </w:rPr>
        <w:t xml:space="preserve"> additional </w:t>
      </w:r>
      <w:r w:rsidR="006A2F1D" w:rsidRPr="00C5657A">
        <w:rPr>
          <w:lang w:val="en-IE"/>
        </w:rPr>
        <w:t>non-c</w:t>
      </w:r>
      <w:r w:rsidRPr="00C5657A">
        <w:rPr>
          <w:lang w:val="en-IE"/>
        </w:rPr>
        <w:t>ore</w:t>
      </w:r>
      <w:r w:rsidR="006A2F1D" w:rsidRPr="00C5657A">
        <w:rPr>
          <w:lang w:val="en-IE"/>
        </w:rPr>
        <w:t xml:space="preserve"> e</w:t>
      </w:r>
      <w:r w:rsidRPr="00C5657A">
        <w:rPr>
          <w:lang w:val="en-IE"/>
        </w:rPr>
        <w:t>xpenditure has been required to respond to a series of external shocks</w:t>
      </w:r>
      <w:r w:rsidR="006A2F1D" w:rsidRPr="00C5657A">
        <w:rPr>
          <w:lang w:val="en-IE"/>
        </w:rPr>
        <w:t>,</w:t>
      </w:r>
      <w:r w:rsidRPr="00C5657A">
        <w:rPr>
          <w:lang w:val="en-IE"/>
        </w:rPr>
        <w:t xml:space="preserve"> including </w:t>
      </w:r>
      <w:r w:rsidR="007716EB" w:rsidRPr="00C5657A">
        <w:rPr>
          <w:lang w:val="en-IE"/>
        </w:rPr>
        <w:t xml:space="preserve">those associated with </w:t>
      </w:r>
      <w:r w:rsidR="00A229C9" w:rsidRPr="00C5657A">
        <w:rPr>
          <w:lang w:val="en-IE"/>
        </w:rPr>
        <w:t xml:space="preserve">COVID-19, Ukraine accommodation supports and cost of living supports. </w:t>
      </w:r>
      <w:r w:rsidR="00004F02" w:rsidRPr="00C5657A">
        <w:rPr>
          <w:lang w:val="en-IE"/>
        </w:rPr>
        <w:t xml:space="preserve"> </w:t>
      </w:r>
    </w:p>
    <w:p w14:paraId="069D8D62" w14:textId="331E35D4" w:rsidR="00AE5A09" w:rsidRPr="00C5657A" w:rsidRDefault="00AE5A09" w:rsidP="005B52EA">
      <w:pPr>
        <w:pStyle w:val="SingleTxtG"/>
        <w:spacing w:after="0"/>
        <w:rPr>
          <w:lang w:val="en-IE"/>
        </w:rPr>
      </w:pPr>
    </w:p>
    <w:p w14:paraId="3859A424" w14:textId="3826EBE5" w:rsidR="006D702A" w:rsidRDefault="006D702A" w:rsidP="002414C5">
      <w:pPr>
        <w:pStyle w:val="SingleTxtG"/>
        <w:spacing w:after="0"/>
        <w:ind w:left="1440"/>
        <w:rPr>
          <w:lang w:val="en-IE"/>
        </w:rPr>
      </w:pPr>
      <w:r w:rsidRPr="00C5657A">
        <w:rPr>
          <w:lang w:val="en-IE"/>
        </w:rPr>
        <w:t>At a General Government level, spending information is available on the Central Statistics Office website (</w:t>
      </w:r>
      <w:hyperlink r:id="rId13" w:history="1">
        <w:r w:rsidRPr="00C5657A">
          <w:rPr>
            <w:rStyle w:val="Hyperlink"/>
            <w:lang w:val="en-IE"/>
          </w:rPr>
          <w:t>www.cso.ie</w:t>
        </w:r>
      </w:hyperlink>
      <w:r w:rsidRPr="00C5657A">
        <w:rPr>
          <w:lang w:val="en-IE"/>
        </w:rPr>
        <w:t>), includi</w:t>
      </w:r>
      <w:r w:rsidR="002414C5">
        <w:rPr>
          <w:lang w:val="en-IE"/>
        </w:rPr>
        <w:t xml:space="preserve">ng spending on Social Benefits. </w:t>
      </w:r>
      <w:r w:rsidRPr="00C5657A">
        <w:rPr>
          <w:lang w:val="en-IE"/>
        </w:rPr>
        <w:t>However, for ease of reference, the following table sets out changes in expenditure in some key areas, including housing, water services and education:</w:t>
      </w:r>
    </w:p>
    <w:p w14:paraId="48348BFA" w14:textId="77777777" w:rsidR="002414C5" w:rsidRPr="00C5657A" w:rsidRDefault="002414C5" w:rsidP="002414C5">
      <w:pPr>
        <w:pStyle w:val="SingleTxtG"/>
        <w:spacing w:after="0"/>
        <w:ind w:left="1440"/>
        <w:rPr>
          <w:lang w:val="en-IE"/>
        </w:rPr>
      </w:pPr>
    </w:p>
    <w:p w14:paraId="61FACECB" w14:textId="77777777" w:rsidR="00394790" w:rsidRPr="00C5657A" w:rsidRDefault="00394790" w:rsidP="005B52EA">
      <w:pPr>
        <w:pStyle w:val="SingleTxtG"/>
        <w:spacing w:after="0"/>
        <w:rPr>
          <w:lang w:val="en-IE"/>
        </w:rPr>
      </w:pPr>
    </w:p>
    <w:tbl>
      <w:tblPr>
        <w:tblStyle w:val="TableGrid"/>
        <w:tblW w:w="7087" w:type="dxa"/>
        <w:tblInd w:w="1413" w:type="dxa"/>
        <w:tblLayout w:type="fixed"/>
        <w:tblLook w:val="04A0" w:firstRow="1" w:lastRow="0" w:firstColumn="1" w:lastColumn="0" w:noHBand="0" w:noVBand="1"/>
      </w:tblPr>
      <w:tblGrid>
        <w:gridCol w:w="1559"/>
        <w:gridCol w:w="1134"/>
        <w:gridCol w:w="1134"/>
        <w:gridCol w:w="3260"/>
      </w:tblGrid>
      <w:tr w:rsidR="007716EB" w:rsidRPr="00C5657A" w14:paraId="1AC4407E" w14:textId="77777777" w:rsidTr="002414C5">
        <w:tc>
          <w:tcPr>
            <w:tcW w:w="1559" w:type="dxa"/>
            <w:shd w:val="clear" w:color="auto" w:fill="F2F2F2" w:themeFill="background1" w:themeFillShade="F2"/>
          </w:tcPr>
          <w:p w14:paraId="6DDC3A27" w14:textId="77777777" w:rsidR="00394790" w:rsidRPr="00C5657A" w:rsidRDefault="00394790" w:rsidP="005B52EA">
            <w:pPr>
              <w:pStyle w:val="SingleTxtG"/>
              <w:spacing w:after="0"/>
              <w:ind w:left="0"/>
              <w:rPr>
                <w:lang w:val="en-IE"/>
              </w:rPr>
            </w:pPr>
          </w:p>
        </w:tc>
        <w:tc>
          <w:tcPr>
            <w:tcW w:w="1134" w:type="dxa"/>
          </w:tcPr>
          <w:p w14:paraId="34AFE666" w14:textId="77777777" w:rsidR="00394790" w:rsidRPr="00C5657A" w:rsidRDefault="00394790" w:rsidP="005B52EA">
            <w:pPr>
              <w:pStyle w:val="SingleTxtG"/>
              <w:spacing w:after="0"/>
              <w:ind w:left="0" w:right="-2"/>
              <w:rPr>
                <w:i/>
                <w:lang w:val="en-IE"/>
              </w:rPr>
            </w:pPr>
            <w:r w:rsidRPr="00C5657A">
              <w:rPr>
                <w:i/>
                <w:lang w:val="en-IE"/>
              </w:rPr>
              <w:t>2012 Expenditure</w:t>
            </w:r>
          </w:p>
        </w:tc>
        <w:tc>
          <w:tcPr>
            <w:tcW w:w="1134" w:type="dxa"/>
          </w:tcPr>
          <w:p w14:paraId="5B26B730" w14:textId="77777777" w:rsidR="00394790" w:rsidRPr="00C5657A" w:rsidRDefault="006D702A" w:rsidP="005B52EA">
            <w:pPr>
              <w:pStyle w:val="SingleTxtG"/>
              <w:spacing w:after="0"/>
              <w:ind w:left="0" w:right="137"/>
              <w:rPr>
                <w:i/>
                <w:lang w:val="en-IE"/>
              </w:rPr>
            </w:pPr>
            <w:r w:rsidRPr="00C5657A">
              <w:rPr>
                <w:i/>
                <w:lang w:val="en-IE"/>
              </w:rPr>
              <w:t xml:space="preserve"> </w:t>
            </w:r>
            <w:r w:rsidR="00394790" w:rsidRPr="00C5657A">
              <w:rPr>
                <w:i/>
                <w:lang w:val="en-IE"/>
              </w:rPr>
              <w:t>2022 Expenditure</w:t>
            </w:r>
          </w:p>
        </w:tc>
        <w:tc>
          <w:tcPr>
            <w:tcW w:w="3260" w:type="dxa"/>
          </w:tcPr>
          <w:p w14:paraId="774E87FF" w14:textId="77777777" w:rsidR="00394790" w:rsidRPr="00C5657A" w:rsidRDefault="006D702A" w:rsidP="005B52EA">
            <w:pPr>
              <w:pStyle w:val="SingleTxtG"/>
              <w:spacing w:after="0"/>
              <w:ind w:left="0"/>
              <w:rPr>
                <w:i/>
                <w:lang w:val="en-IE"/>
              </w:rPr>
            </w:pPr>
            <w:r w:rsidRPr="00C5657A">
              <w:rPr>
                <w:i/>
                <w:lang w:val="en-IE"/>
              </w:rPr>
              <w:t xml:space="preserve">  </w:t>
            </w:r>
            <w:r w:rsidR="00394790" w:rsidRPr="00C5657A">
              <w:rPr>
                <w:i/>
                <w:lang w:val="en-IE"/>
              </w:rPr>
              <w:t>Note</w:t>
            </w:r>
          </w:p>
        </w:tc>
      </w:tr>
      <w:tr w:rsidR="00394790" w:rsidRPr="00C5657A" w14:paraId="2AD58495" w14:textId="77777777" w:rsidTr="002414C5">
        <w:tc>
          <w:tcPr>
            <w:tcW w:w="1559" w:type="dxa"/>
          </w:tcPr>
          <w:p w14:paraId="75EAE92D" w14:textId="0A14B4A2" w:rsidR="00394790" w:rsidRPr="00C5657A" w:rsidRDefault="00A229C9" w:rsidP="002414C5">
            <w:pPr>
              <w:pStyle w:val="SingleTxtG"/>
              <w:spacing w:after="0"/>
              <w:ind w:left="136" w:right="129"/>
              <w:jc w:val="left"/>
              <w:rPr>
                <w:lang w:val="en-IE"/>
              </w:rPr>
            </w:pPr>
            <w:r w:rsidRPr="002414C5">
              <w:rPr>
                <w:b/>
                <w:lang w:val="en-IE"/>
              </w:rPr>
              <w:t>Social Protection</w:t>
            </w:r>
            <w:r w:rsidRPr="00C5657A">
              <w:rPr>
                <w:lang w:val="en-IE"/>
              </w:rPr>
              <w:t xml:space="preserve"> </w:t>
            </w:r>
            <w:r w:rsidR="00394790" w:rsidRPr="00C5657A">
              <w:rPr>
                <w:lang w:val="en-IE"/>
              </w:rPr>
              <w:t>– non-pay gross spending</w:t>
            </w:r>
          </w:p>
          <w:p w14:paraId="50006785" w14:textId="77777777" w:rsidR="00394790" w:rsidRPr="00C5657A" w:rsidRDefault="00394790" w:rsidP="002414C5">
            <w:pPr>
              <w:pStyle w:val="SingleTxtG"/>
              <w:spacing w:after="0"/>
              <w:ind w:left="0"/>
              <w:jc w:val="left"/>
              <w:rPr>
                <w:lang w:val="en-IE"/>
              </w:rPr>
            </w:pPr>
          </w:p>
        </w:tc>
        <w:tc>
          <w:tcPr>
            <w:tcW w:w="1134" w:type="dxa"/>
          </w:tcPr>
          <w:p w14:paraId="3A90430A" w14:textId="77777777" w:rsidR="00394790" w:rsidRPr="00C5657A" w:rsidRDefault="00394790" w:rsidP="005B52EA">
            <w:pPr>
              <w:pStyle w:val="SingleTxtG"/>
              <w:spacing w:after="0"/>
              <w:ind w:left="193" w:right="362"/>
              <w:rPr>
                <w:lang w:val="en-IE"/>
              </w:rPr>
            </w:pPr>
            <w:r w:rsidRPr="00C5657A">
              <w:rPr>
                <w:lang w:val="en-IE"/>
              </w:rPr>
              <w:t>€20.5 billion</w:t>
            </w:r>
          </w:p>
        </w:tc>
        <w:tc>
          <w:tcPr>
            <w:tcW w:w="1134" w:type="dxa"/>
          </w:tcPr>
          <w:p w14:paraId="4B68BBC9" w14:textId="77777777" w:rsidR="00394790" w:rsidRPr="00C5657A" w:rsidRDefault="00394790" w:rsidP="005B52EA">
            <w:pPr>
              <w:pStyle w:val="SingleTxtG"/>
              <w:spacing w:after="0"/>
              <w:ind w:left="193" w:right="0"/>
              <w:rPr>
                <w:lang w:val="en-IE"/>
              </w:rPr>
            </w:pPr>
            <w:r w:rsidRPr="00C5657A">
              <w:rPr>
                <w:lang w:val="en-IE"/>
              </w:rPr>
              <w:t>€24 billion</w:t>
            </w:r>
          </w:p>
        </w:tc>
        <w:tc>
          <w:tcPr>
            <w:tcW w:w="3260" w:type="dxa"/>
          </w:tcPr>
          <w:p w14:paraId="4225CAEA" w14:textId="77777777" w:rsidR="002414C5" w:rsidRDefault="00A229C9" w:rsidP="005B52EA">
            <w:pPr>
              <w:pStyle w:val="SingleTxtG"/>
              <w:spacing w:after="0"/>
              <w:ind w:left="193" w:right="129"/>
              <w:rPr>
                <w:lang w:val="en-IE"/>
              </w:rPr>
            </w:pPr>
            <w:r w:rsidRPr="00C5657A">
              <w:rPr>
                <w:lang w:val="en-IE"/>
              </w:rPr>
              <w:t xml:space="preserve">Over the decade, this level of spending has remained steady, with variances of up to €0.5 billion each year to 2019. </w:t>
            </w:r>
          </w:p>
          <w:p w14:paraId="2ACF3E59" w14:textId="77777777" w:rsidR="002414C5" w:rsidRDefault="002414C5" w:rsidP="005B52EA">
            <w:pPr>
              <w:pStyle w:val="SingleTxtG"/>
              <w:spacing w:after="0"/>
              <w:ind w:left="193" w:right="129"/>
              <w:rPr>
                <w:lang w:val="en-IE"/>
              </w:rPr>
            </w:pPr>
          </w:p>
          <w:p w14:paraId="1064987D" w14:textId="2712C297" w:rsidR="00A229C9" w:rsidRDefault="00A229C9" w:rsidP="005B52EA">
            <w:pPr>
              <w:pStyle w:val="SingleTxtG"/>
              <w:spacing w:after="0"/>
              <w:ind w:left="193" w:right="129"/>
              <w:rPr>
                <w:lang w:val="en-IE"/>
              </w:rPr>
            </w:pPr>
            <w:r w:rsidRPr="00C5657A">
              <w:rPr>
                <w:lang w:val="en-IE"/>
              </w:rPr>
              <w:t>As the labour market improved</w:t>
            </w:r>
            <w:r w:rsidR="002414C5">
              <w:rPr>
                <w:lang w:val="en-IE"/>
              </w:rPr>
              <w:t>,</w:t>
            </w:r>
            <w:r w:rsidRPr="00C5657A">
              <w:rPr>
                <w:lang w:val="en-IE"/>
              </w:rPr>
              <w:t xml:space="preserve"> decreases in the volume of working age employment and income supports required were offset by spending increases in other areas, including pension spending.</w:t>
            </w:r>
          </w:p>
          <w:p w14:paraId="15BFE5F0" w14:textId="77777777" w:rsidR="002414C5" w:rsidRPr="00C5657A" w:rsidRDefault="002414C5" w:rsidP="005B52EA">
            <w:pPr>
              <w:pStyle w:val="SingleTxtG"/>
              <w:spacing w:after="0"/>
              <w:ind w:left="193" w:right="129"/>
              <w:rPr>
                <w:lang w:val="en-IE"/>
              </w:rPr>
            </w:pPr>
          </w:p>
          <w:p w14:paraId="55F6C3FE" w14:textId="77777777" w:rsidR="002414C5" w:rsidRDefault="007716EB" w:rsidP="005B52EA">
            <w:pPr>
              <w:pStyle w:val="SingleTxtG"/>
              <w:spacing w:after="0"/>
              <w:ind w:left="193" w:right="129"/>
              <w:rPr>
                <w:lang w:val="en-IE"/>
              </w:rPr>
            </w:pPr>
            <w:r w:rsidRPr="00C5657A">
              <w:rPr>
                <w:lang w:val="en-IE"/>
              </w:rPr>
              <w:t>Social Protection spending increased sharply in 2020 and remained elevated for 2021, in light of the additional income and employment supports put in place in response to the COVID-19 pandemic.</w:t>
            </w:r>
          </w:p>
          <w:p w14:paraId="6D2DCCF7" w14:textId="5CDAEE59" w:rsidR="007716EB" w:rsidRPr="00C5657A" w:rsidRDefault="007716EB" w:rsidP="005B52EA">
            <w:pPr>
              <w:pStyle w:val="SingleTxtG"/>
              <w:spacing w:after="0"/>
              <w:ind w:left="193" w:right="129"/>
              <w:rPr>
                <w:lang w:val="en-IE"/>
              </w:rPr>
            </w:pPr>
            <w:r w:rsidRPr="00C5657A">
              <w:rPr>
                <w:lang w:val="en-IE"/>
              </w:rPr>
              <w:t xml:space="preserve">  </w:t>
            </w:r>
          </w:p>
          <w:p w14:paraId="681FE65E" w14:textId="5FA02A4A" w:rsidR="00D26FAE" w:rsidRPr="00C5657A" w:rsidRDefault="00D26FAE" w:rsidP="005B52EA">
            <w:pPr>
              <w:pStyle w:val="SingleTxtG"/>
              <w:spacing w:after="0"/>
              <w:ind w:left="193" w:right="129"/>
              <w:rPr>
                <w:lang w:val="en-IE"/>
              </w:rPr>
            </w:pPr>
            <w:r w:rsidRPr="00C5657A">
              <w:t>Short-term measures were introduced in Budget 2023 to help with the cost of living. These measures added to social welfare spending in 2023.</w:t>
            </w:r>
          </w:p>
        </w:tc>
      </w:tr>
      <w:tr w:rsidR="007716EB" w:rsidRPr="00C5657A" w14:paraId="0FA463FF" w14:textId="77777777" w:rsidTr="002414C5">
        <w:tc>
          <w:tcPr>
            <w:tcW w:w="1559" w:type="dxa"/>
          </w:tcPr>
          <w:p w14:paraId="5C4C1933" w14:textId="149DA95D" w:rsidR="00394790" w:rsidRPr="00C5657A" w:rsidRDefault="00394790" w:rsidP="002414C5">
            <w:pPr>
              <w:pStyle w:val="SingleTxtG"/>
              <w:spacing w:after="0"/>
              <w:ind w:left="136" w:right="85"/>
              <w:jc w:val="left"/>
              <w:rPr>
                <w:lang w:val="en-IE"/>
              </w:rPr>
            </w:pPr>
            <w:r w:rsidRPr="00C5657A">
              <w:rPr>
                <w:lang w:val="en-IE"/>
              </w:rPr>
              <w:t xml:space="preserve">Department of Housing, Local Government and Heritage – </w:t>
            </w:r>
            <w:r w:rsidRPr="002414C5">
              <w:rPr>
                <w:b/>
                <w:lang w:val="en-IE"/>
              </w:rPr>
              <w:t>Housing Programme</w:t>
            </w:r>
            <w:r w:rsidR="002414C5">
              <w:rPr>
                <w:b/>
                <w:lang w:val="en-IE"/>
              </w:rPr>
              <w:t>s</w:t>
            </w:r>
          </w:p>
        </w:tc>
        <w:tc>
          <w:tcPr>
            <w:tcW w:w="1134" w:type="dxa"/>
          </w:tcPr>
          <w:p w14:paraId="6E6FA7E5" w14:textId="77777777" w:rsidR="00394790" w:rsidRPr="00C5657A" w:rsidRDefault="00394790" w:rsidP="005B52EA">
            <w:pPr>
              <w:pStyle w:val="SingleTxtG"/>
              <w:spacing w:after="0"/>
              <w:ind w:left="193" w:right="138"/>
              <w:rPr>
                <w:lang w:val="en-IE"/>
              </w:rPr>
            </w:pPr>
            <w:r w:rsidRPr="00C5657A">
              <w:rPr>
                <w:lang w:val="en-IE"/>
              </w:rPr>
              <w:t>€0.7 billion</w:t>
            </w:r>
          </w:p>
        </w:tc>
        <w:tc>
          <w:tcPr>
            <w:tcW w:w="1134" w:type="dxa"/>
          </w:tcPr>
          <w:p w14:paraId="4C88EB62" w14:textId="77777777" w:rsidR="00394790" w:rsidRPr="00C5657A" w:rsidRDefault="00394790" w:rsidP="005B52EA">
            <w:pPr>
              <w:pStyle w:val="SingleTxtG"/>
              <w:spacing w:after="0"/>
              <w:ind w:left="193" w:right="138"/>
              <w:rPr>
                <w:lang w:val="en-IE"/>
              </w:rPr>
            </w:pPr>
            <w:r w:rsidRPr="00C5657A">
              <w:rPr>
                <w:lang w:val="en-IE"/>
              </w:rPr>
              <w:t>€3.1 billion</w:t>
            </w:r>
          </w:p>
        </w:tc>
        <w:tc>
          <w:tcPr>
            <w:tcW w:w="3260" w:type="dxa"/>
          </w:tcPr>
          <w:p w14:paraId="3BBAFDB9" w14:textId="77777777" w:rsidR="00394790" w:rsidRPr="00C5657A" w:rsidRDefault="00394790" w:rsidP="005B52EA">
            <w:pPr>
              <w:pStyle w:val="SingleTxtG"/>
              <w:spacing w:after="0"/>
              <w:ind w:left="193"/>
              <w:rPr>
                <w:lang w:val="en-IE"/>
              </w:rPr>
            </w:pPr>
          </w:p>
        </w:tc>
      </w:tr>
      <w:tr w:rsidR="007716EB" w:rsidRPr="00C5657A" w14:paraId="37A9B726" w14:textId="77777777" w:rsidTr="002414C5">
        <w:tc>
          <w:tcPr>
            <w:tcW w:w="1559" w:type="dxa"/>
          </w:tcPr>
          <w:p w14:paraId="309CF38C" w14:textId="38AB67D2" w:rsidR="00394790" w:rsidRPr="00C5657A" w:rsidRDefault="006E3435" w:rsidP="002414C5">
            <w:pPr>
              <w:pStyle w:val="SingleTxtG"/>
              <w:spacing w:after="0"/>
              <w:ind w:left="136" w:right="85"/>
              <w:jc w:val="left"/>
              <w:rPr>
                <w:lang w:val="en-IE"/>
              </w:rPr>
            </w:pPr>
            <w:r w:rsidRPr="00C5657A">
              <w:rPr>
                <w:lang w:val="en-IE"/>
              </w:rPr>
              <w:t xml:space="preserve">Department of Housing, Local Government and Heritage </w:t>
            </w:r>
            <w:r w:rsidR="00394790" w:rsidRPr="00C5657A">
              <w:rPr>
                <w:lang w:val="en-IE"/>
              </w:rPr>
              <w:t xml:space="preserve">– </w:t>
            </w:r>
            <w:r w:rsidR="00394790" w:rsidRPr="002414C5">
              <w:rPr>
                <w:b/>
                <w:lang w:val="en-IE"/>
              </w:rPr>
              <w:t>Water Services Programme</w:t>
            </w:r>
          </w:p>
        </w:tc>
        <w:tc>
          <w:tcPr>
            <w:tcW w:w="1134" w:type="dxa"/>
          </w:tcPr>
          <w:p w14:paraId="10380765" w14:textId="77777777" w:rsidR="00394790" w:rsidRPr="00C5657A" w:rsidRDefault="00394790" w:rsidP="005B52EA">
            <w:pPr>
              <w:pStyle w:val="SingleTxtG"/>
              <w:spacing w:after="0"/>
              <w:ind w:left="193" w:right="138"/>
              <w:rPr>
                <w:lang w:val="en-IE"/>
              </w:rPr>
            </w:pPr>
            <w:r w:rsidRPr="00C5657A">
              <w:rPr>
                <w:lang w:val="en-IE"/>
              </w:rPr>
              <w:t>€0.3 billion</w:t>
            </w:r>
          </w:p>
        </w:tc>
        <w:tc>
          <w:tcPr>
            <w:tcW w:w="1134" w:type="dxa"/>
          </w:tcPr>
          <w:p w14:paraId="508076BF" w14:textId="77777777" w:rsidR="00394790" w:rsidRPr="00C5657A" w:rsidRDefault="00394790" w:rsidP="005B52EA">
            <w:pPr>
              <w:pStyle w:val="SingleTxtG"/>
              <w:spacing w:after="0"/>
              <w:ind w:left="193" w:right="138"/>
              <w:rPr>
                <w:lang w:val="en-IE"/>
              </w:rPr>
            </w:pPr>
            <w:r w:rsidRPr="00C5657A">
              <w:rPr>
                <w:lang w:val="en-IE"/>
              </w:rPr>
              <w:t>€1.5 billion</w:t>
            </w:r>
          </w:p>
        </w:tc>
        <w:tc>
          <w:tcPr>
            <w:tcW w:w="3260" w:type="dxa"/>
          </w:tcPr>
          <w:p w14:paraId="6B585B0B" w14:textId="77777777" w:rsidR="00394790" w:rsidRPr="00C5657A" w:rsidRDefault="00394790" w:rsidP="005B52EA">
            <w:pPr>
              <w:pStyle w:val="SingleTxtG"/>
              <w:spacing w:after="0"/>
              <w:ind w:left="193"/>
              <w:rPr>
                <w:lang w:val="en-IE"/>
              </w:rPr>
            </w:pPr>
          </w:p>
        </w:tc>
      </w:tr>
      <w:tr w:rsidR="007716EB" w:rsidRPr="00C5657A" w14:paraId="0337CC2A" w14:textId="77777777" w:rsidTr="002414C5">
        <w:tc>
          <w:tcPr>
            <w:tcW w:w="1559" w:type="dxa"/>
          </w:tcPr>
          <w:p w14:paraId="04E3F3EA" w14:textId="77777777" w:rsidR="00394790" w:rsidRPr="00C5657A" w:rsidRDefault="00394790" w:rsidP="002414C5">
            <w:pPr>
              <w:pStyle w:val="SingleTxtG"/>
              <w:spacing w:after="0"/>
              <w:ind w:left="136" w:right="85"/>
              <w:jc w:val="left"/>
              <w:rPr>
                <w:lang w:val="en-IE"/>
              </w:rPr>
            </w:pPr>
            <w:r w:rsidRPr="00C5657A">
              <w:rPr>
                <w:lang w:val="en-IE"/>
              </w:rPr>
              <w:t xml:space="preserve">Department of Health/ Health Service Executive – </w:t>
            </w:r>
            <w:r w:rsidRPr="002414C5">
              <w:rPr>
                <w:b/>
                <w:lang w:val="en-IE"/>
              </w:rPr>
              <w:t>gross expenditure</w:t>
            </w:r>
          </w:p>
        </w:tc>
        <w:tc>
          <w:tcPr>
            <w:tcW w:w="1134" w:type="dxa"/>
          </w:tcPr>
          <w:p w14:paraId="381119F2" w14:textId="77777777" w:rsidR="00394790" w:rsidRPr="00C5657A" w:rsidRDefault="00394790" w:rsidP="005B52EA">
            <w:pPr>
              <w:pStyle w:val="SingleTxtG"/>
              <w:spacing w:after="0"/>
              <w:ind w:left="193" w:right="138"/>
              <w:rPr>
                <w:lang w:val="en-IE"/>
              </w:rPr>
            </w:pPr>
            <w:r w:rsidRPr="00C5657A">
              <w:rPr>
                <w:lang w:val="en-IE"/>
              </w:rPr>
              <w:t>€14.2 billion</w:t>
            </w:r>
          </w:p>
        </w:tc>
        <w:tc>
          <w:tcPr>
            <w:tcW w:w="1134" w:type="dxa"/>
          </w:tcPr>
          <w:p w14:paraId="031D2CC3" w14:textId="77777777" w:rsidR="00394790" w:rsidRPr="00C5657A" w:rsidRDefault="00394790" w:rsidP="005B52EA">
            <w:pPr>
              <w:pStyle w:val="SingleTxtG"/>
              <w:spacing w:after="0"/>
              <w:ind w:left="193" w:right="138"/>
              <w:rPr>
                <w:lang w:val="en-IE"/>
              </w:rPr>
            </w:pPr>
            <w:r w:rsidRPr="00C5657A">
              <w:rPr>
                <w:lang w:val="en-IE"/>
              </w:rPr>
              <w:t xml:space="preserve">€23.6 billion </w:t>
            </w:r>
          </w:p>
        </w:tc>
        <w:tc>
          <w:tcPr>
            <w:tcW w:w="3260" w:type="dxa"/>
          </w:tcPr>
          <w:p w14:paraId="114AF222" w14:textId="77777777" w:rsidR="00394790" w:rsidRPr="00C5657A" w:rsidRDefault="00394790" w:rsidP="005B52EA">
            <w:pPr>
              <w:pStyle w:val="SingleTxtG"/>
              <w:spacing w:after="0"/>
              <w:ind w:left="193"/>
              <w:rPr>
                <w:lang w:val="en-IE"/>
              </w:rPr>
            </w:pPr>
          </w:p>
        </w:tc>
      </w:tr>
      <w:tr w:rsidR="007716EB" w:rsidRPr="00C5657A" w14:paraId="23EC1F1B" w14:textId="77777777" w:rsidTr="002414C5">
        <w:tc>
          <w:tcPr>
            <w:tcW w:w="1559" w:type="dxa"/>
          </w:tcPr>
          <w:p w14:paraId="0EA00828" w14:textId="14E110B7" w:rsidR="00394790" w:rsidRPr="00C5657A" w:rsidRDefault="00394790" w:rsidP="002414C5">
            <w:pPr>
              <w:pStyle w:val="SingleTxtG"/>
              <w:spacing w:after="0"/>
              <w:ind w:left="136" w:right="85"/>
              <w:jc w:val="left"/>
              <w:rPr>
                <w:lang w:val="en-IE"/>
              </w:rPr>
            </w:pPr>
            <w:r w:rsidRPr="00C5657A">
              <w:rPr>
                <w:lang w:val="en-IE"/>
              </w:rPr>
              <w:t>Department of Educatio</w:t>
            </w:r>
            <w:r w:rsidR="006E3435" w:rsidRPr="00C5657A">
              <w:rPr>
                <w:lang w:val="en-IE"/>
              </w:rPr>
              <w:t>n</w:t>
            </w:r>
            <w:r w:rsidRPr="00C5657A">
              <w:rPr>
                <w:lang w:val="en-IE"/>
              </w:rPr>
              <w:t xml:space="preserve">, </w:t>
            </w:r>
            <w:r w:rsidR="006E3435" w:rsidRPr="00C5657A">
              <w:rPr>
                <w:lang w:val="en-IE"/>
              </w:rPr>
              <w:t xml:space="preserve">Department of </w:t>
            </w:r>
            <w:r w:rsidR="002414C5">
              <w:rPr>
                <w:lang w:val="en-IE"/>
              </w:rPr>
              <w:t>Further and</w:t>
            </w:r>
            <w:r w:rsidRPr="00C5657A">
              <w:rPr>
                <w:lang w:val="en-IE"/>
              </w:rPr>
              <w:t xml:space="preserve"> Higher Education, Research, Innovation &amp; Science</w:t>
            </w:r>
            <w:r w:rsidR="006E3435" w:rsidRPr="00C5657A">
              <w:rPr>
                <w:lang w:val="en-IE"/>
              </w:rPr>
              <w:t>,</w:t>
            </w:r>
            <w:r w:rsidRPr="00C5657A">
              <w:rPr>
                <w:lang w:val="en-IE"/>
              </w:rPr>
              <w:t xml:space="preserve"> and National Training Fund – </w:t>
            </w:r>
            <w:r w:rsidRPr="002414C5">
              <w:rPr>
                <w:b/>
                <w:lang w:val="en-IE"/>
              </w:rPr>
              <w:t>gross expenditure</w:t>
            </w:r>
            <w:r w:rsidRPr="00C5657A">
              <w:rPr>
                <w:lang w:val="en-IE"/>
              </w:rPr>
              <w:t xml:space="preserve"> </w:t>
            </w:r>
          </w:p>
        </w:tc>
        <w:tc>
          <w:tcPr>
            <w:tcW w:w="1134" w:type="dxa"/>
          </w:tcPr>
          <w:p w14:paraId="2C65900C" w14:textId="77777777" w:rsidR="00394790" w:rsidRPr="00C5657A" w:rsidRDefault="00394790" w:rsidP="005B52EA">
            <w:pPr>
              <w:pStyle w:val="SingleTxtG"/>
              <w:spacing w:after="0"/>
              <w:ind w:left="193" w:right="138"/>
              <w:rPr>
                <w:lang w:val="en-IE"/>
              </w:rPr>
            </w:pPr>
            <w:r w:rsidRPr="00C5657A">
              <w:rPr>
                <w:lang w:val="en-IE"/>
              </w:rPr>
              <w:t xml:space="preserve">€8.9 billion </w:t>
            </w:r>
          </w:p>
        </w:tc>
        <w:tc>
          <w:tcPr>
            <w:tcW w:w="1134" w:type="dxa"/>
          </w:tcPr>
          <w:p w14:paraId="4F53D89A" w14:textId="77777777" w:rsidR="00394790" w:rsidRPr="00C5657A" w:rsidRDefault="00394790" w:rsidP="005B52EA">
            <w:pPr>
              <w:pStyle w:val="SingleTxtG"/>
              <w:spacing w:after="0"/>
              <w:ind w:left="193" w:right="138"/>
              <w:rPr>
                <w:lang w:val="en-IE"/>
              </w:rPr>
            </w:pPr>
            <w:r w:rsidRPr="00C5657A">
              <w:rPr>
                <w:lang w:val="en-IE"/>
              </w:rPr>
              <w:t>€14.1 billion</w:t>
            </w:r>
          </w:p>
        </w:tc>
        <w:tc>
          <w:tcPr>
            <w:tcW w:w="3260" w:type="dxa"/>
          </w:tcPr>
          <w:p w14:paraId="5EA96748" w14:textId="77777777" w:rsidR="00394790" w:rsidRPr="00C5657A" w:rsidRDefault="00394790" w:rsidP="005B52EA">
            <w:pPr>
              <w:pStyle w:val="SingleTxtG"/>
              <w:spacing w:after="0"/>
              <w:ind w:left="193"/>
              <w:rPr>
                <w:lang w:val="en-IE"/>
              </w:rPr>
            </w:pPr>
          </w:p>
        </w:tc>
      </w:tr>
      <w:tr w:rsidR="00394790" w:rsidRPr="00C5657A" w14:paraId="468A0637" w14:textId="77777777" w:rsidTr="002414C5">
        <w:tc>
          <w:tcPr>
            <w:tcW w:w="1559" w:type="dxa"/>
          </w:tcPr>
          <w:p w14:paraId="34722281" w14:textId="7CF8546C" w:rsidR="00394790" w:rsidRPr="00C5657A" w:rsidRDefault="006E3435" w:rsidP="005B52EA">
            <w:pPr>
              <w:pStyle w:val="SingleTxtG"/>
              <w:spacing w:after="0"/>
              <w:ind w:left="136" w:right="85"/>
              <w:rPr>
                <w:lang w:val="en-IE"/>
              </w:rPr>
            </w:pPr>
            <w:r w:rsidRPr="00C5657A">
              <w:rPr>
                <w:lang w:val="en-IE"/>
              </w:rPr>
              <w:t>DCEDIY</w:t>
            </w:r>
            <w:r w:rsidR="00394790" w:rsidRPr="00C5657A">
              <w:rPr>
                <w:lang w:val="en-IE"/>
              </w:rPr>
              <w:t xml:space="preserve"> - </w:t>
            </w:r>
            <w:r w:rsidR="00394790" w:rsidRPr="002414C5">
              <w:rPr>
                <w:b/>
                <w:lang w:val="en-IE"/>
              </w:rPr>
              <w:t xml:space="preserve">sectoral </w:t>
            </w:r>
            <w:r w:rsidR="00394790" w:rsidRPr="002414C5">
              <w:rPr>
                <w:b/>
                <w:lang w:val="en-IE"/>
              </w:rPr>
              <w:lastRenderedPageBreak/>
              <w:t>programmes for children and young people</w:t>
            </w:r>
          </w:p>
        </w:tc>
        <w:tc>
          <w:tcPr>
            <w:tcW w:w="2268" w:type="dxa"/>
            <w:gridSpan w:val="2"/>
          </w:tcPr>
          <w:p w14:paraId="19A28495" w14:textId="77777777" w:rsidR="00394790" w:rsidRPr="00C5657A" w:rsidRDefault="00394790" w:rsidP="005B52EA">
            <w:pPr>
              <w:pStyle w:val="SingleTxtG"/>
              <w:spacing w:after="0"/>
              <w:ind w:left="193" w:right="129"/>
              <w:rPr>
                <w:lang w:val="en-IE"/>
              </w:rPr>
            </w:pPr>
            <w:r w:rsidRPr="00C5657A">
              <w:rPr>
                <w:lang w:val="en-IE"/>
              </w:rPr>
              <w:lastRenderedPageBreak/>
              <w:t>€0.6 billion between 2012 and 2022</w:t>
            </w:r>
          </w:p>
        </w:tc>
        <w:tc>
          <w:tcPr>
            <w:tcW w:w="3260" w:type="dxa"/>
          </w:tcPr>
          <w:p w14:paraId="0AC51A2E" w14:textId="77777777" w:rsidR="00394790" w:rsidRPr="00C5657A" w:rsidRDefault="007716EB" w:rsidP="005B52EA">
            <w:pPr>
              <w:pStyle w:val="SingleTxtG"/>
              <w:spacing w:after="0"/>
              <w:ind w:left="193" w:right="129"/>
              <w:rPr>
                <w:lang w:val="en-IE"/>
              </w:rPr>
            </w:pPr>
            <w:r w:rsidRPr="00C5657A">
              <w:rPr>
                <w:lang w:val="en-IE"/>
              </w:rPr>
              <w:t xml:space="preserve">Over 40% of this increase can be attributed to higher expenditure on </w:t>
            </w:r>
            <w:r w:rsidRPr="00C5657A">
              <w:rPr>
                <w:lang w:val="en-IE"/>
              </w:rPr>
              <w:lastRenderedPageBreak/>
              <w:t>Early Childhood Care and Education and other childcare programmes.</w:t>
            </w:r>
          </w:p>
        </w:tc>
      </w:tr>
    </w:tbl>
    <w:p w14:paraId="381D4BF7" w14:textId="77777777" w:rsidR="007716EB" w:rsidRPr="00C5657A" w:rsidRDefault="007716EB" w:rsidP="005B52EA">
      <w:pPr>
        <w:pStyle w:val="SingleTxtG"/>
        <w:spacing w:after="0"/>
        <w:rPr>
          <w:lang w:val="en-IE"/>
        </w:rPr>
      </w:pPr>
    </w:p>
    <w:p w14:paraId="56F8105B" w14:textId="327785A3" w:rsidR="00AE5A09" w:rsidRPr="00C5657A" w:rsidRDefault="002414C5" w:rsidP="002414C5">
      <w:pPr>
        <w:pStyle w:val="SingleTxtG"/>
        <w:spacing w:after="0"/>
        <w:ind w:left="1440" w:hanging="306"/>
        <w:rPr>
          <w:lang w:val="en-IE"/>
        </w:rPr>
      </w:pPr>
      <w:r>
        <w:t xml:space="preserve">(f) </w:t>
      </w:r>
      <w:r>
        <w:tab/>
      </w:r>
      <w:r w:rsidR="006D702A" w:rsidRPr="00C5657A">
        <w:t>In 2020, o</w:t>
      </w:r>
      <w:r w:rsidR="00AE5A09" w:rsidRPr="00C5657A">
        <w:rPr>
          <w:lang w:val="en-IE"/>
        </w:rPr>
        <w:t>ver €16.5 billion</w:t>
      </w:r>
      <w:r w:rsidR="006D702A" w:rsidRPr="00C5657A">
        <w:rPr>
          <w:lang w:val="en-IE"/>
        </w:rPr>
        <w:t xml:space="preserve"> in funding was made available </w:t>
      </w:r>
      <w:r w:rsidR="00AE5A09" w:rsidRPr="00C5657A">
        <w:rPr>
          <w:lang w:val="en-IE"/>
        </w:rPr>
        <w:t xml:space="preserve">to mitigate the impacts of the </w:t>
      </w:r>
      <w:r w:rsidR="006D702A" w:rsidRPr="00C5657A">
        <w:rPr>
          <w:lang w:val="en-IE"/>
        </w:rPr>
        <w:t xml:space="preserve">COVID-19 </w:t>
      </w:r>
      <w:r w:rsidR="00AE5A09" w:rsidRPr="00C5657A">
        <w:rPr>
          <w:lang w:val="en-IE"/>
        </w:rPr>
        <w:t>pandemic</w:t>
      </w:r>
      <w:r w:rsidR="006D702A" w:rsidRPr="00C5657A">
        <w:rPr>
          <w:lang w:val="en-IE"/>
        </w:rPr>
        <w:t xml:space="preserve">, including income and employment support schemes, restart grants and rates waivers, and additional funding for the health, transport and education sectors. €13.5 billion was allocated to the COVID-19 response in 2021. </w:t>
      </w:r>
      <w:r w:rsidR="00AE5A09" w:rsidRPr="00C5657A">
        <w:rPr>
          <w:lang w:val="en-IE"/>
        </w:rPr>
        <w:t xml:space="preserve">As we emerged from the worst of the pandemic, we saw a strong recovery in the economy and subsequently unwound exceptional income and business supports. </w:t>
      </w:r>
    </w:p>
    <w:p w14:paraId="7101F32F" w14:textId="77777777" w:rsidR="00532EDC" w:rsidRDefault="00532EDC" w:rsidP="002414C5">
      <w:pPr>
        <w:pStyle w:val="SingleTxtG"/>
        <w:spacing w:after="0"/>
        <w:ind w:left="1440"/>
        <w:rPr>
          <w:lang w:val="en-IE"/>
        </w:rPr>
      </w:pPr>
    </w:p>
    <w:p w14:paraId="059853CB" w14:textId="6EC0AEE1" w:rsidR="00AE5A09" w:rsidRPr="00C5657A" w:rsidRDefault="00B56A3E" w:rsidP="002414C5">
      <w:pPr>
        <w:pStyle w:val="SingleTxtG"/>
        <w:spacing w:after="0"/>
        <w:ind w:left="1440"/>
        <w:rPr>
          <w:lang w:val="en-IE"/>
        </w:rPr>
      </w:pPr>
      <w:r w:rsidRPr="00C5657A">
        <w:rPr>
          <w:lang w:val="en-IE"/>
        </w:rPr>
        <w:t>S</w:t>
      </w:r>
      <w:r w:rsidR="00AE5A09" w:rsidRPr="00C5657A">
        <w:rPr>
          <w:lang w:val="en-IE"/>
        </w:rPr>
        <w:t xml:space="preserve">upports provided to workers and businesses, including </w:t>
      </w:r>
      <w:r w:rsidRPr="00C5657A">
        <w:rPr>
          <w:lang w:val="en-IE"/>
        </w:rPr>
        <w:t>a</w:t>
      </w:r>
      <w:r w:rsidR="00AE5A09" w:rsidRPr="00C5657A">
        <w:rPr>
          <w:lang w:val="en-IE"/>
        </w:rPr>
        <w:t>llocations of funding in respect o</w:t>
      </w:r>
      <w:r w:rsidR="002414C5">
        <w:rPr>
          <w:lang w:val="en-IE"/>
        </w:rPr>
        <w:t>f COVID</w:t>
      </w:r>
      <w:r w:rsidR="006D702A" w:rsidRPr="00C5657A">
        <w:rPr>
          <w:lang w:val="en-IE"/>
        </w:rPr>
        <w:t>-19 (and other temporary</w:t>
      </w:r>
      <w:r w:rsidR="00AE5A09" w:rsidRPr="00C5657A">
        <w:rPr>
          <w:lang w:val="en-IE"/>
        </w:rPr>
        <w:t xml:space="preserve"> external challenges</w:t>
      </w:r>
      <w:r w:rsidR="006D702A" w:rsidRPr="00C5657A">
        <w:rPr>
          <w:lang w:val="en-IE"/>
        </w:rPr>
        <w:t>)</w:t>
      </w:r>
      <w:r w:rsidR="00AE5A09" w:rsidRPr="00C5657A">
        <w:rPr>
          <w:lang w:val="en-IE"/>
        </w:rPr>
        <w:t xml:space="preserve"> have been treated as ‘non-core’ spending. This is separate to ‘core’ voted public spending for ongoing public services and investment. This delineation is intended to prevent exceptional support funding entering</w:t>
      </w:r>
      <w:r w:rsidR="006D702A" w:rsidRPr="00C5657A">
        <w:rPr>
          <w:lang w:val="en-IE"/>
        </w:rPr>
        <w:t xml:space="preserve"> the permanent expenditure base</w:t>
      </w:r>
      <w:r w:rsidR="00AE5A09" w:rsidRPr="00C5657A">
        <w:rPr>
          <w:lang w:val="en-IE"/>
        </w:rPr>
        <w:t xml:space="preserve">, to help ensure sustainable public spending. </w:t>
      </w:r>
    </w:p>
    <w:p w14:paraId="3FD35954" w14:textId="77777777" w:rsidR="00B56A3E" w:rsidRPr="00C5657A" w:rsidRDefault="00B56A3E" w:rsidP="005B52EA">
      <w:pPr>
        <w:pStyle w:val="SingleTxtG"/>
        <w:spacing w:after="0"/>
        <w:rPr>
          <w:b/>
        </w:rPr>
      </w:pPr>
    </w:p>
    <w:p w14:paraId="2A16C967" w14:textId="1895526E" w:rsidR="00AE5A09" w:rsidRPr="00C5657A" w:rsidRDefault="00572AF3" w:rsidP="005B52EA">
      <w:pPr>
        <w:pStyle w:val="SingleTxtG"/>
        <w:spacing w:after="0"/>
      </w:pPr>
      <w:r w:rsidRPr="00C5657A">
        <w:rPr>
          <w:b/>
        </w:rPr>
        <w:t>Reply to paragraph 7</w:t>
      </w:r>
      <w:r w:rsidR="00AE5A09" w:rsidRPr="00C5657A">
        <w:tab/>
      </w:r>
    </w:p>
    <w:p w14:paraId="6D207910" w14:textId="141B9B3D" w:rsidR="00AE5A09" w:rsidRPr="00C5657A" w:rsidRDefault="00532EDC" w:rsidP="00532EDC">
      <w:pPr>
        <w:pStyle w:val="SingleTxtG"/>
        <w:spacing w:after="0"/>
      </w:pPr>
      <w:r>
        <w:t>The Anti-Bribery and Corruption Unit (ABCU)</w:t>
      </w:r>
      <w:r w:rsidR="00AE5A09" w:rsidRPr="00C5657A">
        <w:t xml:space="preserve"> is a centre of excellence in the investigation of bribery and corruption, provides training and assists local units conducting bribery </w:t>
      </w:r>
      <w:r>
        <w:t xml:space="preserve">and corruption investigations. </w:t>
      </w:r>
      <w:r w:rsidR="00AE5A09" w:rsidRPr="00C5657A">
        <w:t>Organised crime and corruption do not respect international borders and Ireland works closely wi</w:t>
      </w:r>
      <w:r w:rsidR="00C67E34" w:rsidRPr="00C5657A">
        <w:t>th other States in this regard, particularly through our Europol, Interpol and</w:t>
      </w:r>
      <w:r w:rsidR="00AE5A09" w:rsidRPr="00C5657A">
        <w:t xml:space="preserve"> </w:t>
      </w:r>
      <w:proofErr w:type="spellStart"/>
      <w:r w:rsidR="00AE5A09" w:rsidRPr="00C5657A">
        <w:t>Eurojust</w:t>
      </w:r>
      <w:proofErr w:type="spellEnd"/>
      <w:r w:rsidR="00AE5A09" w:rsidRPr="00C5657A">
        <w:t xml:space="preserve"> membership</w:t>
      </w:r>
      <w:r w:rsidR="00C67E34" w:rsidRPr="00C5657A">
        <w:t>s</w:t>
      </w:r>
      <w:r w:rsidR="00AE5A09" w:rsidRPr="00C5657A">
        <w:t>.</w:t>
      </w:r>
    </w:p>
    <w:p w14:paraId="30215D58" w14:textId="77777777" w:rsidR="00572AF3" w:rsidRPr="00C5657A" w:rsidRDefault="00572AF3" w:rsidP="005B52EA">
      <w:pPr>
        <w:pStyle w:val="SingleTxtG"/>
        <w:spacing w:after="0"/>
      </w:pPr>
    </w:p>
    <w:p w14:paraId="11D15AF1" w14:textId="48993D2A" w:rsidR="00AE5A09" w:rsidRPr="00C5657A" w:rsidRDefault="00AE5A09" w:rsidP="005B52EA">
      <w:pPr>
        <w:pStyle w:val="SingleTxtG"/>
        <w:spacing w:after="0"/>
        <w:rPr>
          <w:lang w:val="en-IE"/>
        </w:rPr>
      </w:pPr>
      <w:r w:rsidRPr="00C5657A">
        <w:rPr>
          <w:lang w:val="en-IE"/>
        </w:rPr>
        <w:t xml:space="preserve">Garda personnel </w:t>
      </w:r>
      <w:r w:rsidR="00C67E34" w:rsidRPr="00C5657A">
        <w:rPr>
          <w:lang w:val="en-IE"/>
        </w:rPr>
        <w:t xml:space="preserve">also </w:t>
      </w:r>
      <w:r w:rsidRPr="00C5657A">
        <w:rPr>
          <w:lang w:val="en-IE"/>
        </w:rPr>
        <w:t>participate in the OECD Global Network of Law Enforcement Practitioner</w:t>
      </w:r>
      <w:r w:rsidR="00C67E34" w:rsidRPr="00C5657A">
        <w:rPr>
          <w:lang w:val="en-IE"/>
        </w:rPr>
        <w:t>s against Transnational Bribery, the</w:t>
      </w:r>
      <w:r w:rsidRPr="00C5657A">
        <w:rPr>
          <w:lang w:val="en-IE"/>
        </w:rPr>
        <w:t xml:space="preserve"> Eur</w:t>
      </w:r>
      <w:r w:rsidR="00C67E34" w:rsidRPr="00C5657A">
        <w:rPr>
          <w:lang w:val="en-IE"/>
        </w:rPr>
        <w:t>opol Anti-Corruption Conference,</w:t>
      </w:r>
      <w:r w:rsidRPr="00C5657A">
        <w:rPr>
          <w:lang w:val="en-IE"/>
        </w:rPr>
        <w:t xml:space="preserve"> and </w:t>
      </w:r>
      <w:r w:rsidR="00C67E34" w:rsidRPr="00C5657A">
        <w:rPr>
          <w:lang w:val="en-IE"/>
        </w:rPr>
        <w:t xml:space="preserve">the </w:t>
      </w:r>
      <w:r w:rsidRPr="00C5657A">
        <w:rPr>
          <w:lang w:val="en-IE"/>
        </w:rPr>
        <w:t>Europol Analysis Project on Sports Corruption.</w:t>
      </w:r>
    </w:p>
    <w:p w14:paraId="39CC4AA7" w14:textId="77777777" w:rsidR="00572AF3" w:rsidRPr="00C5657A" w:rsidRDefault="00572AF3" w:rsidP="005B52EA">
      <w:pPr>
        <w:pStyle w:val="SingleTxtG"/>
        <w:spacing w:after="0"/>
        <w:rPr>
          <w:lang w:val="en-IE"/>
        </w:rPr>
      </w:pPr>
    </w:p>
    <w:p w14:paraId="279A9A68" w14:textId="278AE2C6" w:rsidR="00AE5A09" w:rsidRPr="00C5657A" w:rsidRDefault="00AE5A09" w:rsidP="005B52EA">
      <w:pPr>
        <w:pStyle w:val="SingleTxtG"/>
        <w:spacing w:after="0"/>
        <w:rPr>
          <w:bCs/>
          <w:iCs/>
          <w:lang w:val="en-IE"/>
        </w:rPr>
      </w:pPr>
      <w:r w:rsidRPr="00C5657A">
        <w:rPr>
          <w:bCs/>
          <w:iCs/>
          <w:lang w:val="en-IE"/>
        </w:rPr>
        <w:t xml:space="preserve">Since September 2018, ABCU </w:t>
      </w:r>
      <w:r w:rsidR="00532EDC">
        <w:rPr>
          <w:bCs/>
          <w:iCs/>
          <w:lang w:val="en-IE"/>
        </w:rPr>
        <w:t>has operated the Bribery and</w:t>
      </w:r>
      <w:r w:rsidRPr="00C5657A">
        <w:rPr>
          <w:bCs/>
          <w:iCs/>
          <w:lang w:val="en-IE"/>
        </w:rPr>
        <w:t xml:space="preserve"> Corruption Confidential Reporting Line, 1800 40 60 80, which is a message-based service. The table below shows the number of calls received on the line since its establishment:</w:t>
      </w:r>
    </w:p>
    <w:p w14:paraId="71224CDD" w14:textId="77777777" w:rsidR="00C67E34" w:rsidRPr="00C5657A" w:rsidRDefault="00C67E34" w:rsidP="005B52EA">
      <w:pPr>
        <w:pStyle w:val="SingleTxtG"/>
        <w:spacing w:after="0"/>
        <w:rPr>
          <w:b/>
          <w:bCs/>
          <w:i/>
          <w:iCs/>
          <w:lang w:val="en-IE"/>
        </w:rPr>
      </w:pPr>
    </w:p>
    <w:tbl>
      <w:tblPr>
        <w:tblStyle w:val="TableGrid"/>
        <w:tblW w:w="0" w:type="auto"/>
        <w:tblInd w:w="1341" w:type="dxa"/>
        <w:tblLook w:val="04A0" w:firstRow="1" w:lastRow="0" w:firstColumn="1" w:lastColumn="0" w:noHBand="0" w:noVBand="1"/>
      </w:tblPr>
      <w:tblGrid>
        <w:gridCol w:w="2678"/>
        <w:gridCol w:w="2768"/>
      </w:tblGrid>
      <w:tr w:rsidR="00AE5A09" w:rsidRPr="00C5657A" w14:paraId="409A7369" w14:textId="77777777" w:rsidTr="00C67E34">
        <w:trPr>
          <w:trHeight w:val="321"/>
        </w:trPr>
        <w:tc>
          <w:tcPr>
            <w:tcW w:w="2678" w:type="dxa"/>
            <w:hideMark/>
          </w:tcPr>
          <w:p w14:paraId="4BEBA642" w14:textId="77777777" w:rsidR="00AE5A09" w:rsidRPr="00C5657A" w:rsidRDefault="00AE5A09" w:rsidP="005B52EA">
            <w:pPr>
              <w:pStyle w:val="SingleTxtG"/>
              <w:spacing w:after="0"/>
              <w:ind w:left="71" w:right="51"/>
              <w:rPr>
                <w:b/>
                <w:lang w:val="en-IE"/>
              </w:rPr>
            </w:pPr>
            <w:r w:rsidRPr="00C5657A">
              <w:rPr>
                <w:b/>
                <w:lang w:val="en-IE"/>
              </w:rPr>
              <w:t>Year</w:t>
            </w:r>
          </w:p>
        </w:tc>
        <w:tc>
          <w:tcPr>
            <w:tcW w:w="2768" w:type="dxa"/>
            <w:hideMark/>
          </w:tcPr>
          <w:p w14:paraId="2A560214" w14:textId="77777777" w:rsidR="00AE5A09" w:rsidRPr="00C5657A" w:rsidRDefault="00C67E34" w:rsidP="005B52EA">
            <w:pPr>
              <w:pStyle w:val="SingleTxtG"/>
              <w:spacing w:after="0"/>
              <w:ind w:left="71" w:right="-17"/>
              <w:rPr>
                <w:b/>
                <w:lang w:val="en-IE"/>
              </w:rPr>
            </w:pPr>
            <w:r w:rsidRPr="00C5657A">
              <w:rPr>
                <w:b/>
                <w:lang w:val="en-IE"/>
              </w:rPr>
              <w:t>Number</w:t>
            </w:r>
            <w:r w:rsidR="00AE5A09" w:rsidRPr="00C5657A">
              <w:rPr>
                <w:b/>
                <w:lang w:val="en-IE"/>
              </w:rPr>
              <w:t xml:space="preserve"> of Calls</w:t>
            </w:r>
          </w:p>
        </w:tc>
      </w:tr>
      <w:tr w:rsidR="00AE5A09" w:rsidRPr="00C5657A" w14:paraId="6C47AD5B" w14:textId="77777777" w:rsidTr="00C67E34">
        <w:trPr>
          <w:trHeight w:val="314"/>
        </w:trPr>
        <w:tc>
          <w:tcPr>
            <w:tcW w:w="2678" w:type="dxa"/>
            <w:hideMark/>
          </w:tcPr>
          <w:p w14:paraId="004A5B31" w14:textId="77777777" w:rsidR="00AE5A09" w:rsidRPr="00C5657A" w:rsidRDefault="00AE5A09" w:rsidP="005B52EA">
            <w:pPr>
              <w:pStyle w:val="SingleTxtG"/>
              <w:spacing w:after="0"/>
              <w:ind w:left="71" w:right="0"/>
              <w:rPr>
                <w:lang w:val="en-IE"/>
              </w:rPr>
            </w:pPr>
            <w:r w:rsidRPr="00C5657A">
              <w:rPr>
                <w:lang w:val="en-IE"/>
              </w:rPr>
              <w:t>2018</w:t>
            </w:r>
          </w:p>
        </w:tc>
        <w:tc>
          <w:tcPr>
            <w:tcW w:w="2768" w:type="dxa"/>
            <w:hideMark/>
          </w:tcPr>
          <w:p w14:paraId="3F990453" w14:textId="77777777" w:rsidR="00AE5A09" w:rsidRPr="00C5657A" w:rsidRDefault="00AE5A09" w:rsidP="005B52EA">
            <w:pPr>
              <w:pStyle w:val="SingleTxtG"/>
              <w:spacing w:after="0"/>
              <w:ind w:left="85" w:right="0"/>
              <w:rPr>
                <w:lang w:val="en-IE"/>
              </w:rPr>
            </w:pPr>
            <w:r w:rsidRPr="00C5657A">
              <w:rPr>
                <w:lang w:val="en-IE"/>
              </w:rPr>
              <w:t>33</w:t>
            </w:r>
          </w:p>
        </w:tc>
      </w:tr>
      <w:tr w:rsidR="00AE5A09" w:rsidRPr="00C5657A" w14:paraId="58FE3F8E" w14:textId="77777777" w:rsidTr="00C67E34">
        <w:trPr>
          <w:trHeight w:val="321"/>
        </w:trPr>
        <w:tc>
          <w:tcPr>
            <w:tcW w:w="2678" w:type="dxa"/>
            <w:hideMark/>
          </w:tcPr>
          <w:p w14:paraId="14D2760B" w14:textId="77777777" w:rsidR="00AE5A09" w:rsidRPr="00C5657A" w:rsidRDefault="00AE5A09" w:rsidP="005B52EA">
            <w:pPr>
              <w:pStyle w:val="SingleTxtG"/>
              <w:spacing w:after="0"/>
              <w:ind w:left="71" w:right="0"/>
              <w:rPr>
                <w:lang w:val="en-IE"/>
              </w:rPr>
            </w:pPr>
            <w:r w:rsidRPr="00C5657A">
              <w:rPr>
                <w:lang w:val="en-IE"/>
              </w:rPr>
              <w:t>2019</w:t>
            </w:r>
          </w:p>
        </w:tc>
        <w:tc>
          <w:tcPr>
            <w:tcW w:w="2768" w:type="dxa"/>
            <w:hideMark/>
          </w:tcPr>
          <w:p w14:paraId="690752BE" w14:textId="77777777" w:rsidR="00AE5A09" w:rsidRPr="00C5657A" w:rsidRDefault="00AE5A09" w:rsidP="005B52EA">
            <w:pPr>
              <w:pStyle w:val="SingleTxtG"/>
              <w:spacing w:after="0"/>
              <w:ind w:left="85" w:right="0"/>
              <w:rPr>
                <w:lang w:val="en-IE"/>
              </w:rPr>
            </w:pPr>
            <w:r w:rsidRPr="00C5657A">
              <w:rPr>
                <w:lang w:val="en-IE"/>
              </w:rPr>
              <w:t>88</w:t>
            </w:r>
          </w:p>
        </w:tc>
      </w:tr>
      <w:tr w:rsidR="00AE5A09" w:rsidRPr="00C5657A" w14:paraId="36DC81CC" w14:textId="77777777" w:rsidTr="00C67E34">
        <w:trPr>
          <w:trHeight w:val="314"/>
        </w:trPr>
        <w:tc>
          <w:tcPr>
            <w:tcW w:w="2678" w:type="dxa"/>
            <w:hideMark/>
          </w:tcPr>
          <w:p w14:paraId="2CD90015" w14:textId="77777777" w:rsidR="00AE5A09" w:rsidRPr="00C5657A" w:rsidRDefault="00AE5A09" w:rsidP="005B52EA">
            <w:pPr>
              <w:pStyle w:val="SingleTxtG"/>
              <w:spacing w:after="0"/>
              <w:ind w:left="71" w:right="0"/>
              <w:rPr>
                <w:lang w:val="en-IE"/>
              </w:rPr>
            </w:pPr>
            <w:r w:rsidRPr="00C5657A">
              <w:rPr>
                <w:lang w:val="en-IE"/>
              </w:rPr>
              <w:t>2020</w:t>
            </w:r>
          </w:p>
        </w:tc>
        <w:tc>
          <w:tcPr>
            <w:tcW w:w="2768" w:type="dxa"/>
            <w:hideMark/>
          </w:tcPr>
          <w:p w14:paraId="1BE4E2C6" w14:textId="77777777" w:rsidR="00AE5A09" w:rsidRPr="00C5657A" w:rsidRDefault="00AE5A09" w:rsidP="005B52EA">
            <w:pPr>
              <w:pStyle w:val="SingleTxtG"/>
              <w:spacing w:after="0"/>
              <w:ind w:left="85" w:right="0"/>
              <w:rPr>
                <w:lang w:val="en-IE"/>
              </w:rPr>
            </w:pPr>
            <w:r w:rsidRPr="00C5657A">
              <w:rPr>
                <w:lang w:val="en-IE"/>
              </w:rPr>
              <w:t>72</w:t>
            </w:r>
          </w:p>
        </w:tc>
      </w:tr>
      <w:tr w:rsidR="00AE5A09" w:rsidRPr="00C5657A" w14:paraId="096FF158" w14:textId="77777777" w:rsidTr="00C67E34">
        <w:trPr>
          <w:trHeight w:val="321"/>
        </w:trPr>
        <w:tc>
          <w:tcPr>
            <w:tcW w:w="2678" w:type="dxa"/>
            <w:hideMark/>
          </w:tcPr>
          <w:p w14:paraId="446C4DF8" w14:textId="77777777" w:rsidR="00AE5A09" w:rsidRPr="00C5657A" w:rsidRDefault="00AE5A09" w:rsidP="005B52EA">
            <w:pPr>
              <w:pStyle w:val="SingleTxtG"/>
              <w:spacing w:after="0"/>
              <w:ind w:left="71" w:right="0"/>
              <w:rPr>
                <w:lang w:val="en-IE"/>
              </w:rPr>
            </w:pPr>
            <w:r w:rsidRPr="00C5657A">
              <w:rPr>
                <w:lang w:val="en-IE"/>
              </w:rPr>
              <w:t>2021</w:t>
            </w:r>
          </w:p>
        </w:tc>
        <w:tc>
          <w:tcPr>
            <w:tcW w:w="2768" w:type="dxa"/>
            <w:hideMark/>
          </w:tcPr>
          <w:p w14:paraId="09F7FB4A" w14:textId="77777777" w:rsidR="00AE5A09" w:rsidRPr="00C5657A" w:rsidRDefault="00AE5A09" w:rsidP="005B52EA">
            <w:pPr>
              <w:pStyle w:val="SingleTxtG"/>
              <w:spacing w:after="0"/>
              <w:ind w:left="85" w:right="0"/>
              <w:rPr>
                <w:lang w:val="en-IE"/>
              </w:rPr>
            </w:pPr>
            <w:r w:rsidRPr="00C5657A">
              <w:rPr>
                <w:lang w:val="en-IE"/>
              </w:rPr>
              <w:t>138</w:t>
            </w:r>
          </w:p>
        </w:tc>
      </w:tr>
      <w:tr w:rsidR="00AE5A09" w:rsidRPr="00C5657A" w14:paraId="761B74B3" w14:textId="77777777" w:rsidTr="00C67E34">
        <w:trPr>
          <w:trHeight w:val="314"/>
        </w:trPr>
        <w:tc>
          <w:tcPr>
            <w:tcW w:w="2678" w:type="dxa"/>
            <w:hideMark/>
          </w:tcPr>
          <w:p w14:paraId="268A7DEF" w14:textId="77777777" w:rsidR="00AE5A09" w:rsidRPr="00C5657A" w:rsidRDefault="00AE5A09" w:rsidP="005B52EA">
            <w:pPr>
              <w:pStyle w:val="SingleTxtG"/>
              <w:spacing w:after="0"/>
              <w:ind w:left="71" w:right="0"/>
              <w:rPr>
                <w:lang w:val="en-IE"/>
              </w:rPr>
            </w:pPr>
            <w:r w:rsidRPr="00C5657A">
              <w:rPr>
                <w:lang w:val="en-IE"/>
              </w:rPr>
              <w:t>2022</w:t>
            </w:r>
          </w:p>
        </w:tc>
        <w:tc>
          <w:tcPr>
            <w:tcW w:w="2768" w:type="dxa"/>
            <w:hideMark/>
          </w:tcPr>
          <w:p w14:paraId="2A0DFFCF" w14:textId="77777777" w:rsidR="00AE5A09" w:rsidRPr="00C5657A" w:rsidRDefault="00AE5A09" w:rsidP="005B52EA">
            <w:pPr>
              <w:pStyle w:val="SingleTxtG"/>
              <w:spacing w:after="0"/>
              <w:ind w:left="85" w:right="0"/>
              <w:rPr>
                <w:lang w:val="en-IE"/>
              </w:rPr>
            </w:pPr>
            <w:r w:rsidRPr="00C5657A">
              <w:rPr>
                <w:lang w:val="en-IE"/>
              </w:rPr>
              <w:t>107</w:t>
            </w:r>
          </w:p>
        </w:tc>
      </w:tr>
    </w:tbl>
    <w:p w14:paraId="1658E254" w14:textId="77777777" w:rsidR="00AE5A09" w:rsidRPr="00C5657A" w:rsidRDefault="00AE5A09" w:rsidP="005B52EA">
      <w:pPr>
        <w:pStyle w:val="SingleTxtG"/>
        <w:spacing w:after="0"/>
      </w:pPr>
    </w:p>
    <w:p w14:paraId="6AEF682F" w14:textId="77777777" w:rsidR="00AE5A09" w:rsidRPr="00C5657A" w:rsidRDefault="00AE5A09" w:rsidP="005B52EA">
      <w:pPr>
        <w:pStyle w:val="SingleTxtG"/>
        <w:spacing w:after="0"/>
        <w:rPr>
          <w:bCs/>
          <w:iCs/>
          <w:lang w:val="en-IE"/>
        </w:rPr>
      </w:pPr>
      <w:r w:rsidRPr="00C5657A">
        <w:rPr>
          <w:bCs/>
          <w:iCs/>
          <w:lang w:val="en-IE"/>
        </w:rPr>
        <w:t>The ABCU currently has 16 o</w:t>
      </w:r>
      <w:r w:rsidR="00C67E34" w:rsidRPr="00C5657A">
        <w:rPr>
          <w:bCs/>
          <w:iCs/>
          <w:lang w:val="en-IE"/>
        </w:rPr>
        <w:t>ngoing criminal investigations. There have been no convictions to date, as all of the above cases are at investigation stage. </w:t>
      </w:r>
      <w:r w:rsidRPr="00C5657A">
        <w:rPr>
          <w:bCs/>
          <w:iCs/>
          <w:lang w:val="en-IE"/>
        </w:rPr>
        <w:t>Please find a breakdown of cases below:</w:t>
      </w:r>
    </w:p>
    <w:p w14:paraId="7D7CD1B3" w14:textId="77777777" w:rsidR="006576B2" w:rsidRPr="00C5657A" w:rsidRDefault="006576B2" w:rsidP="005B52EA">
      <w:pPr>
        <w:pStyle w:val="SingleTxtG"/>
        <w:spacing w:after="0"/>
        <w:rPr>
          <w:bCs/>
          <w:iCs/>
          <w:lang w:val="en-IE"/>
        </w:rPr>
      </w:pPr>
    </w:p>
    <w:tbl>
      <w:tblPr>
        <w:tblStyle w:val="TableGrid"/>
        <w:tblW w:w="0" w:type="auto"/>
        <w:tblInd w:w="1307" w:type="dxa"/>
        <w:tblLook w:val="04A0" w:firstRow="1" w:lastRow="0" w:firstColumn="1" w:lastColumn="0" w:noHBand="0" w:noVBand="1"/>
      </w:tblPr>
      <w:tblGrid>
        <w:gridCol w:w="2734"/>
        <w:gridCol w:w="2758"/>
      </w:tblGrid>
      <w:tr w:rsidR="00AE5A09" w:rsidRPr="00C5657A" w14:paraId="5D7EF361" w14:textId="77777777" w:rsidTr="00C67E34">
        <w:tc>
          <w:tcPr>
            <w:tcW w:w="2734" w:type="dxa"/>
            <w:hideMark/>
          </w:tcPr>
          <w:p w14:paraId="3885BF55" w14:textId="77777777" w:rsidR="00AE5A09" w:rsidRPr="00C5657A" w:rsidRDefault="00C67E34" w:rsidP="005B52EA">
            <w:pPr>
              <w:pStyle w:val="SingleTxtG"/>
              <w:spacing w:after="0"/>
              <w:ind w:left="0" w:right="-71"/>
              <w:rPr>
                <w:bCs/>
                <w:iCs/>
                <w:lang w:val="en-IE"/>
              </w:rPr>
            </w:pPr>
            <w:r w:rsidRPr="00C5657A">
              <w:rPr>
                <w:bCs/>
                <w:iCs/>
                <w:lang w:val="en-IE"/>
              </w:rPr>
              <w:t>Foreign b</w:t>
            </w:r>
            <w:r w:rsidR="00AE5A09" w:rsidRPr="00C5657A">
              <w:rPr>
                <w:bCs/>
                <w:iCs/>
                <w:lang w:val="en-IE"/>
              </w:rPr>
              <w:t>ribery</w:t>
            </w:r>
          </w:p>
        </w:tc>
        <w:tc>
          <w:tcPr>
            <w:tcW w:w="2758" w:type="dxa"/>
            <w:hideMark/>
          </w:tcPr>
          <w:p w14:paraId="7E09EABB" w14:textId="77777777" w:rsidR="00AE5A09" w:rsidRPr="00C5657A" w:rsidRDefault="00AE5A09" w:rsidP="005B52EA">
            <w:pPr>
              <w:pStyle w:val="SingleTxtG"/>
              <w:spacing w:after="0"/>
              <w:rPr>
                <w:bCs/>
                <w:iCs/>
                <w:lang w:val="en-IE"/>
              </w:rPr>
            </w:pPr>
            <w:r w:rsidRPr="00C5657A">
              <w:rPr>
                <w:bCs/>
                <w:iCs/>
                <w:lang w:val="en-IE"/>
              </w:rPr>
              <w:t>5</w:t>
            </w:r>
          </w:p>
        </w:tc>
      </w:tr>
      <w:tr w:rsidR="00AE5A09" w:rsidRPr="00C5657A" w14:paraId="0BD6C7E7" w14:textId="77777777" w:rsidTr="00C67E34">
        <w:tc>
          <w:tcPr>
            <w:tcW w:w="2734" w:type="dxa"/>
            <w:hideMark/>
          </w:tcPr>
          <w:p w14:paraId="6A4BBC5C" w14:textId="77777777" w:rsidR="00AE5A09" w:rsidRPr="00C5657A" w:rsidRDefault="00C67E34" w:rsidP="005B52EA">
            <w:pPr>
              <w:pStyle w:val="SingleTxtG"/>
              <w:spacing w:after="0"/>
              <w:ind w:left="0" w:right="-71"/>
              <w:rPr>
                <w:bCs/>
                <w:iCs/>
                <w:lang w:val="en-IE"/>
              </w:rPr>
            </w:pPr>
            <w:r w:rsidRPr="00C5657A">
              <w:rPr>
                <w:bCs/>
                <w:iCs/>
                <w:lang w:val="en-IE"/>
              </w:rPr>
              <w:t>Corruption in public o</w:t>
            </w:r>
            <w:r w:rsidR="00AE5A09" w:rsidRPr="00C5657A">
              <w:rPr>
                <w:bCs/>
                <w:iCs/>
                <w:lang w:val="en-IE"/>
              </w:rPr>
              <w:t>ffice</w:t>
            </w:r>
          </w:p>
        </w:tc>
        <w:tc>
          <w:tcPr>
            <w:tcW w:w="2758" w:type="dxa"/>
            <w:hideMark/>
          </w:tcPr>
          <w:p w14:paraId="7685F361" w14:textId="77777777" w:rsidR="00AE5A09" w:rsidRPr="00C5657A" w:rsidRDefault="00AE5A09" w:rsidP="005B52EA">
            <w:pPr>
              <w:pStyle w:val="SingleTxtG"/>
              <w:spacing w:after="0"/>
              <w:rPr>
                <w:bCs/>
                <w:iCs/>
                <w:lang w:val="en-IE"/>
              </w:rPr>
            </w:pPr>
            <w:r w:rsidRPr="00C5657A">
              <w:rPr>
                <w:bCs/>
                <w:iCs/>
                <w:lang w:val="en-IE"/>
              </w:rPr>
              <w:t>5</w:t>
            </w:r>
          </w:p>
        </w:tc>
      </w:tr>
      <w:tr w:rsidR="00AE5A09" w:rsidRPr="00C5657A" w14:paraId="73A54894" w14:textId="77777777" w:rsidTr="00C67E34">
        <w:tc>
          <w:tcPr>
            <w:tcW w:w="2734" w:type="dxa"/>
            <w:hideMark/>
          </w:tcPr>
          <w:p w14:paraId="49BF9F8A" w14:textId="77777777" w:rsidR="00AE5A09" w:rsidRPr="00C5657A" w:rsidRDefault="00C67E34" w:rsidP="005B52EA">
            <w:pPr>
              <w:pStyle w:val="SingleTxtG"/>
              <w:spacing w:after="0"/>
              <w:ind w:left="0" w:right="-71"/>
              <w:rPr>
                <w:bCs/>
                <w:iCs/>
                <w:lang w:val="en-IE"/>
              </w:rPr>
            </w:pPr>
            <w:r w:rsidRPr="00C5657A">
              <w:rPr>
                <w:bCs/>
                <w:iCs/>
                <w:lang w:val="en-IE"/>
              </w:rPr>
              <w:t>Bribery in private s</w:t>
            </w:r>
            <w:r w:rsidR="00AE5A09" w:rsidRPr="00C5657A">
              <w:rPr>
                <w:bCs/>
                <w:iCs/>
                <w:lang w:val="en-IE"/>
              </w:rPr>
              <w:t>ector</w:t>
            </w:r>
          </w:p>
        </w:tc>
        <w:tc>
          <w:tcPr>
            <w:tcW w:w="2758" w:type="dxa"/>
            <w:hideMark/>
          </w:tcPr>
          <w:p w14:paraId="57585AEE" w14:textId="77777777" w:rsidR="00AE5A09" w:rsidRPr="00C5657A" w:rsidRDefault="00AE5A09" w:rsidP="005B52EA">
            <w:pPr>
              <w:pStyle w:val="SingleTxtG"/>
              <w:spacing w:after="0"/>
              <w:rPr>
                <w:bCs/>
                <w:iCs/>
                <w:lang w:val="en-IE"/>
              </w:rPr>
            </w:pPr>
            <w:r w:rsidRPr="00C5657A">
              <w:rPr>
                <w:bCs/>
                <w:iCs/>
                <w:lang w:val="en-IE"/>
              </w:rPr>
              <w:t>3</w:t>
            </w:r>
          </w:p>
        </w:tc>
      </w:tr>
      <w:tr w:rsidR="00AE5A09" w:rsidRPr="00C5657A" w14:paraId="2D0CA452" w14:textId="77777777" w:rsidTr="00C67E34">
        <w:tc>
          <w:tcPr>
            <w:tcW w:w="2734" w:type="dxa"/>
            <w:hideMark/>
          </w:tcPr>
          <w:p w14:paraId="26DE5A17" w14:textId="77777777" w:rsidR="00AE5A09" w:rsidRPr="00C5657A" w:rsidRDefault="00C67E34" w:rsidP="005B52EA">
            <w:pPr>
              <w:pStyle w:val="SingleTxtG"/>
              <w:spacing w:after="0"/>
              <w:ind w:left="0" w:right="-71"/>
              <w:rPr>
                <w:bCs/>
                <w:iCs/>
                <w:lang w:val="en-IE"/>
              </w:rPr>
            </w:pPr>
            <w:r w:rsidRPr="00C5657A">
              <w:rPr>
                <w:bCs/>
                <w:iCs/>
                <w:lang w:val="en-IE"/>
              </w:rPr>
              <w:t>Political d</w:t>
            </w:r>
            <w:r w:rsidR="00AE5A09" w:rsidRPr="00C5657A">
              <w:rPr>
                <w:bCs/>
                <w:iCs/>
                <w:lang w:val="en-IE"/>
              </w:rPr>
              <w:t>onations</w:t>
            </w:r>
          </w:p>
        </w:tc>
        <w:tc>
          <w:tcPr>
            <w:tcW w:w="2758" w:type="dxa"/>
            <w:hideMark/>
          </w:tcPr>
          <w:p w14:paraId="3B32F5CE" w14:textId="77777777" w:rsidR="00AE5A09" w:rsidRPr="00C5657A" w:rsidRDefault="00AE5A09" w:rsidP="005B52EA">
            <w:pPr>
              <w:pStyle w:val="SingleTxtG"/>
              <w:spacing w:after="0"/>
              <w:rPr>
                <w:bCs/>
                <w:iCs/>
                <w:lang w:val="en-IE"/>
              </w:rPr>
            </w:pPr>
            <w:r w:rsidRPr="00C5657A">
              <w:rPr>
                <w:bCs/>
                <w:iCs/>
                <w:lang w:val="en-IE"/>
              </w:rPr>
              <w:t>1</w:t>
            </w:r>
          </w:p>
        </w:tc>
      </w:tr>
      <w:tr w:rsidR="00AE5A09" w:rsidRPr="00C5657A" w14:paraId="221DBA31" w14:textId="77777777" w:rsidTr="00C67E34">
        <w:tc>
          <w:tcPr>
            <w:tcW w:w="2734" w:type="dxa"/>
            <w:hideMark/>
          </w:tcPr>
          <w:p w14:paraId="5908B860" w14:textId="77777777" w:rsidR="00AE5A09" w:rsidRPr="00C5657A" w:rsidRDefault="00C67E34" w:rsidP="005B52EA">
            <w:pPr>
              <w:pStyle w:val="SingleTxtG"/>
              <w:spacing w:after="0"/>
              <w:ind w:left="0" w:right="-71"/>
              <w:rPr>
                <w:bCs/>
                <w:iCs/>
                <w:lang w:val="en-IE"/>
              </w:rPr>
            </w:pPr>
            <w:r w:rsidRPr="00C5657A">
              <w:rPr>
                <w:bCs/>
                <w:iCs/>
                <w:lang w:val="en-IE"/>
              </w:rPr>
              <w:t>Sports corruption (match f</w:t>
            </w:r>
            <w:r w:rsidR="00AE5A09" w:rsidRPr="00C5657A">
              <w:rPr>
                <w:bCs/>
                <w:iCs/>
                <w:lang w:val="en-IE"/>
              </w:rPr>
              <w:t>ixing)</w:t>
            </w:r>
          </w:p>
        </w:tc>
        <w:tc>
          <w:tcPr>
            <w:tcW w:w="2758" w:type="dxa"/>
            <w:hideMark/>
          </w:tcPr>
          <w:p w14:paraId="3E962BDE" w14:textId="77777777" w:rsidR="00AE5A09" w:rsidRPr="00C5657A" w:rsidRDefault="00AE5A09" w:rsidP="005B52EA">
            <w:pPr>
              <w:pStyle w:val="SingleTxtG"/>
              <w:spacing w:after="0"/>
              <w:rPr>
                <w:bCs/>
                <w:iCs/>
                <w:lang w:val="en-IE"/>
              </w:rPr>
            </w:pPr>
            <w:r w:rsidRPr="00C5657A">
              <w:rPr>
                <w:bCs/>
                <w:iCs/>
                <w:lang w:val="en-IE"/>
              </w:rPr>
              <w:t>1</w:t>
            </w:r>
          </w:p>
        </w:tc>
      </w:tr>
      <w:tr w:rsidR="00AE5A09" w:rsidRPr="00C5657A" w14:paraId="35B4CE1F" w14:textId="77777777" w:rsidTr="00C67E34">
        <w:tc>
          <w:tcPr>
            <w:tcW w:w="2734" w:type="dxa"/>
            <w:hideMark/>
          </w:tcPr>
          <w:p w14:paraId="697CBBC5" w14:textId="77777777" w:rsidR="00AE5A09" w:rsidRPr="00C5657A" w:rsidRDefault="00AE5A09" w:rsidP="005B52EA">
            <w:pPr>
              <w:pStyle w:val="SingleTxtG"/>
              <w:spacing w:after="0"/>
              <w:ind w:left="0" w:right="-71"/>
              <w:rPr>
                <w:bCs/>
                <w:iCs/>
                <w:lang w:val="en-IE"/>
              </w:rPr>
            </w:pPr>
            <w:r w:rsidRPr="00C5657A">
              <w:rPr>
                <w:bCs/>
                <w:iCs/>
                <w:lang w:val="en-IE"/>
              </w:rPr>
              <w:t>Fraud</w:t>
            </w:r>
          </w:p>
        </w:tc>
        <w:tc>
          <w:tcPr>
            <w:tcW w:w="2758" w:type="dxa"/>
            <w:hideMark/>
          </w:tcPr>
          <w:p w14:paraId="713C69D4" w14:textId="77777777" w:rsidR="00AE5A09" w:rsidRPr="00C5657A" w:rsidRDefault="00AE5A09" w:rsidP="005B52EA">
            <w:pPr>
              <w:pStyle w:val="SingleTxtG"/>
              <w:spacing w:after="0"/>
              <w:rPr>
                <w:bCs/>
                <w:iCs/>
                <w:lang w:val="en-IE"/>
              </w:rPr>
            </w:pPr>
            <w:r w:rsidRPr="00C5657A">
              <w:rPr>
                <w:bCs/>
                <w:iCs/>
                <w:lang w:val="en-IE"/>
              </w:rPr>
              <w:t>1</w:t>
            </w:r>
          </w:p>
        </w:tc>
      </w:tr>
      <w:tr w:rsidR="00AE5A09" w:rsidRPr="00C5657A" w14:paraId="111012CF" w14:textId="77777777" w:rsidTr="00C67E34">
        <w:tc>
          <w:tcPr>
            <w:tcW w:w="2734" w:type="dxa"/>
            <w:hideMark/>
          </w:tcPr>
          <w:p w14:paraId="74544883" w14:textId="77777777" w:rsidR="00AE5A09" w:rsidRPr="00C5657A" w:rsidRDefault="00AE5A09" w:rsidP="005B52EA">
            <w:pPr>
              <w:pStyle w:val="SingleTxtG"/>
              <w:spacing w:after="0"/>
              <w:rPr>
                <w:b/>
                <w:bCs/>
                <w:iCs/>
                <w:lang w:val="en-IE"/>
              </w:rPr>
            </w:pPr>
            <w:r w:rsidRPr="00C5657A">
              <w:rPr>
                <w:b/>
                <w:bCs/>
                <w:iCs/>
                <w:lang w:val="en-IE"/>
              </w:rPr>
              <w:t>Total</w:t>
            </w:r>
          </w:p>
        </w:tc>
        <w:tc>
          <w:tcPr>
            <w:tcW w:w="2758" w:type="dxa"/>
            <w:hideMark/>
          </w:tcPr>
          <w:p w14:paraId="606EADD8" w14:textId="77777777" w:rsidR="00AE5A09" w:rsidRPr="00C5657A" w:rsidRDefault="00AE5A09" w:rsidP="005B52EA">
            <w:pPr>
              <w:pStyle w:val="SingleTxtG"/>
              <w:spacing w:after="0"/>
              <w:rPr>
                <w:b/>
                <w:bCs/>
                <w:iCs/>
                <w:lang w:val="en-IE"/>
              </w:rPr>
            </w:pPr>
            <w:r w:rsidRPr="00C5657A">
              <w:rPr>
                <w:b/>
                <w:bCs/>
                <w:iCs/>
                <w:lang w:val="en-IE"/>
              </w:rPr>
              <w:t>16</w:t>
            </w:r>
          </w:p>
        </w:tc>
      </w:tr>
    </w:tbl>
    <w:p w14:paraId="30AE52C9" w14:textId="6993E91E" w:rsidR="00AE5A09" w:rsidRDefault="00AE5A09" w:rsidP="005B52EA">
      <w:pPr>
        <w:pStyle w:val="SingleTxtG"/>
        <w:spacing w:after="0"/>
        <w:rPr>
          <w:bCs/>
          <w:iCs/>
          <w:lang w:val="en-IE"/>
        </w:rPr>
      </w:pPr>
      <w:r w:rsidRPr="00C5657A">
        <w:rPr>
          <w:bCs/>
          <w:iCs/>
          <w:lang w:val="en-IE"/>
        </w:rPr>
        <w:t> </w:t>
      </w:r>
    </w:p>
    <w:p w14:paraId="191A792D" w14:textId="46F741A6" w:rsidR="00532EDC" w:rsidRPr="00C5657A" w:rsidRDefault="00532EDC" w:rsidP="00532EDC">
      <w:pPr>
        <w:pStyle w:val="Default"/>
        <w:spacing w:line="240" w:lineRule="atLeast"/>
        <w:ind w:left="1080" w:right="1134"/>
        <w:jc w:val="both"/>
        <w:rPr>
          <w:rFonts w:eastAsia="Times New Roman"/>
          <w:color w:val="auto"/>
          <w:sz w:val="20"/>
          <w:szCs w:val="20"/>
          <w:lang w:eastAsia="en-IE"/>
        </w:rPr>
      </w:pPr>
      <w:r>
        <w:rPr>
          <w:rFonts w:eastAsia="Times New Roman"/>
          <w:color w:val="auto"/>
          <w:sz w:val="20"/>
          <w:szCs w:val="20"/>
          <w:lang w:eastAsia="en-IE"/>
        </w:rPr>
        <w:t>The Office of the Revenue Commissioners</w:t>
      </w:r>
      <w:r w:rsidRPr="00C5657A">
        <w:rPr>
          <w:rFonts w:eastAsia="Times New Roman"/>
          <w:color w:val="auto"/>
          <w:sz w:val="20"/>
          <w:szCs w:val="20"/>
          <w:lang w:eastAsia="en-IE"/>
        </w:rPr>
        <w:t xml:space="preserve"> uses a risk-based approach to minimise opportunities for bribery and corruption through: </w:t>
      </w:r>
    </w:p>
    <w:p w14:paraId="27A76D92"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t>High quality staff recruitment methods, including Garda vetting.</w:t>
      </w:r>
    </w:p>
    <w:p w14:paraId="5D2332AF"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lastRenderedPageBreak/>
        <w:t>Promoting a culture of integrity and fostering an ethical workplace from initial recruitment and induction onwards.</w:t>
      </w:r>
    </w:p>
    <w:p w14:paraId="2A5C49B4"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t xml:space="preserve">Operating an effective system of Corporate Governance and internal controls. </w:t>
      </w:r>
    </w:p>
    <w:p w14:paraId="318447F9"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t xml:space="preserve">Ensuring the appropriate segregation of duties and delegated authorities. </w:t>
      </w:r>
    </w:p>
    <w:p w14:paraId="3AC9DD2B"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t xml:space="preserve">Committing the necessary resources to detect any incidences of fraud and corruption. </w:t>
      </w:r>
    </w:p>
    <w:p w14:paraId="6D369FEC"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t>Accessible policies, procedures and guidelines which are regularly reviewed and communicated to all staff.</w:t>
      </w:r>
    </w:p>
    <w:p w14:paraId="63A210C0" w14:textId="77777777" w:rsidR="00532EDC" w:rsidRPr="00C5657A" w:rsidRDefault="00532EDC" w:rsidP="00532EDC">
      <w:pPr>
        <w:pStyle w:val="Default"/>
        <w:numPr>
          <w:ilvl w:val="0"/>
          <w:numId w:val="11"/>
        </w:numPr>
        <w:spacing w:line="240" w:lineRule="atLeast"/>
        <w:ind w:left="1800" w:right="1134"/>
        <w:jc w:val="both"/>
        <w:rPr>
          <w:rFonts w:eastAsia="Times New Roman"/>
          <w:color w:val="auto"/>
          <w:sz w:val="20"/>
          <w:szCs w:val="20"/>
          <w:lang w:eastAsia="en-IE"/>
        </w:rPr>
      </w:pPr>
      <w:r w:rsidRPr="00C5657A">
        <w:rPr>
          <w:rFonts w:eastAsia="Times New Roman"/>
          <w:color w:val="auto"/>
          <w:sz w:val="20"/>
          <w:szCs w:val="20"/>
          <w:lang w:eastAsia="en-IE"/>
        </w:rPr>
        <w:t>Operating an effective Protected Disclosures Policy, actively encouraging reporting of any suspected wrongdoing.</w:t>
      </w:r>
    </w:p>
    <w:p w14:paraId="6A631D6E" w14:textId="77777777" w:rsidR="00532EDC" w:rsidRPr="00C5657A" w:rsidRDefault="00532EDC" w:rsidP="005B52EA">
      <w:pPr>
        <w:pStyle w:val="SingleTxtG"/>
        <w:spacing w:after="0"/>
        <w:rPr>
          <w:bCs/>
          <w:iCs/>
          <w:lang w:val="en-IE"/>
        </w:rPr>
      </w:pPr>
    </w:p>
    <w:p w14:paraId="740E80BF" w14:textId="0FAF98BE" w:rsidR="00532EDC" w:rsidRPr="00532EDC" w:rsidRDefault="00532EDC" w:rsidP="005B52EA">
      <w:pPr>
        <w:pStyle w:val="SingleTxtG"/>
        <w:spacing w:after="0"/>
        <w:rPr>
          <w:bCs/>
          <w:iCs/>
          <w:u w:val="single"/>
          <w:lang w:val="en-IE"/>
        </w:rPr>
      </w:pPr>
      <w:r>
        <w:rPr>
          <w:bCs/>
          <w:iCs/>
          <w:u w:val="single"/>
          <w:lang w:val="en-IE"/>
        </w:rPr>
        <w:t>Whistle-blowers</w:t>
      </w:r>
    </w:p>
    <w:p w14:paraId="2AAABCB7" w14:textId="178F6B27" w:rsidR="00AE5A09" w:rsidRPr="00C5657A" w:rsidRDefault="00AE5A09" w:rsidP="005B52EA">
      <w:pPr>
        <w:pStyle w:val="SingleTxtG"/>
        <w:spacing w:after="0"/>
        <w:rPr>
          <w:bCs/>
          <w:iCs/>
          <w:lang w:val="en-IE"/>
        </w:rPr>
      </w:pPr>
      <w:r w:rsidRPr="00C5657A">
        <w:rPr>
          <w:bCs/>
          <w:iCs/>
          <w:lang w:val="en-IE"/>
        </w:rPr>
        <w:t>The development of the</w:t>
      </w:r>
      <w:r w:rsidR="00C67E34" w:rsidRPr="00C5657A">
        <w:rPr>
          <w:bCs/>
          <w:iCs/>
          <w:lang w:val="en-IE"/>
        </w:rPr>
        <w:t xml:space="preserve"> </w:t>
      </w:r>
      <w:hyperlink r:id="rId14" w:history="1">
        <w:r w:rsidR="00532EDC" w:rsidRPr="003060C9">
          <w:rPr>
            <w:rStyle w:val="Hyperlink"/>
            <w:bCs/>
            <w:i/>
            <w:iCs/>
            <w:lang w:val="en-IE"/>
          </w:rPr>
          <w:t>Protected Disclosures Act</w:t>
        </w:r>
      </w:hyperlink>
      <w:r w:rsidR="00C67E34" w:rsidRPr="00C5657A">
        <w:rPr>
          <w:bCs/>
          <w:iCs/>
          <w:lang w:val="en-IE"/>
        </w:rPr>
        <w:t xml:space="preserve"> drew on </w:t>
      </w:r>
      <w:r w:rsidRPr="00C5657A">
        <w:rPr>
          <w:bCs/>
          <w:iCs/>
          <w:lang w:val="en-IE"/>
        </w:rPr>
        <w:t xml:space="preserve">best practice </w:t>
      </w:r>
      <w:r w:rsidR="006576B2" w:rsidRPr="00C5657A">
        <w:rPr>
          <w:bCs/>
          <w:iCs/>
          <w:lang w:val="en-IE"/>
        </w:rPr>
        <w:t>recommendations from</w:t>
      </w:r>
      <w:r w:rsidRPr="00C5657A">
        <w:rPr>
          <w:bCs/>
          <w:iCs/>
          <w:lang w:val="en-IE"/>
        </w:rPr>
        <w:t xml:space="preserve"> the OECD, the Council of Europe and the G20, and the Act has been regarded for some years as a model of best practice for legislation on the protection of </w:t>
      </w:r>
      <w:r w:rsidR="006576B2" w:rsidRPr="00C5657A">
        <w:rPr>
          <w:bCs/>
          <w:iCs/>
          <w:lang w:val="en-IE"/>
        </w:rPr>
        <w:t>whistle-blowers</w:t>
      </w:r>
      <w:r w:rsidRPr="00C5657A">
        <w:rPr>
          <w:bCs/>
          <w:iCs/>
          <w:lang w:val="en-IE"/>
        </w:rPr>
        <w:t xml:space="preserve">. </w:t>
      </w:r>
    </w:p>
    <w:p w14:paraId="158743B4" w14:textId="77777777" w:rsidR="00F16444" w:rsidRPr="00C5657A" w:rsidRDefault="00F16444" w:rsidP="005B52EA">
      <w:pPr>
        <w:pStyle w:val="SingleTxtG"/>
        <w:spacing w:after="0"/>
        <w:rPr>
          <w:bCs/>
          <w:iCs/>
          <w:lang w:val="en-IE"/>
        </w:rPr>
      </w:pPr>
    </w:p>
    <w:p w14:paraId="73168E32" w14:textId="5DB270FE" w:rsidR="006576B2" w:rsidRPr="00C5657A" w:rsidRDefault="000C7158" w:rsidP="005B52EA">
      <w:pPr>
        <w:pStyle w:val="SingleTxtG"/>
        <w:spacing w:after="0"/>
        <w:rPr>
          <w:bCs/>
          <w:iCs/>
          <w:lang w:val="en-IE"/>
        </w:rPr>
      </w:pPr>
      <w:r w:rsidRPr="00C5657A">
        <w:rPr>
          <w:bCs/>
          <w:iCs/>
          <w:lang w:val="en-IE"/>
        </w:rPr>
        <w:t>As a further practical measure, t</w:t>
      </w:r>
      <w:r w:rsidR="006576B2" w:rsidRPr="00C5657A">
        <w:rPr>
          <w:bCs/>
          <w:iCs/>
          <w:lang w:val="en-IE"/>
        </w:rPr>
        <w:t>he Government provides a grant to Transparency International Ireland (€405,000) to support the operation of a ‘Speak Up Helpline’ and free legal advice centre, for anyone wishing to report instances of corruption, bribery or other wrongdoing.  </w:t>
      </w:r>
    </w:p>
    <w:p w14:paraId="3F3CF05F" w14:textId="2A376046" w:rsidR="00F16444" w:rsidRDefault="00F16444" w:rsidP="005B52EA">
      <w:pPr>
        <w:pStyle w:val="SingleTxtG"/>
        <w:spacing w:after="0"/>
        <w:rPr>
          <w:bCs/>
          <w:iCs/>
          <w:lang w:val="en-IE"/>
        </w:rPr>
      </w:pPr>
    </w:p>
    <w:p w14:paraId="2975309A" w14:textId="2F32EA88" w:rsidR="00532EDC" w:rsidRPr="00532EDC" w:rsidRDefault="00532EDC" w:rsidP="005B52EA">
      <w:pPr>
        <w:pStyle w:val="SingleTxtG"/>
        <w:spacing w:after="0"/>
        <w:rPr>
          <w:bCs/>
          <w:iCs/>
          <w:u w:val="single"/>
          <w:lang w:val="en-IE"/>
        </w:rPr>
      </w:pPr>
      <w:r>
        <w:rPr>
          <w:bCs/>
          <w:iCs/>
          <w:u w:val="single"/>
          <w:lang w:val="en-IE"/>
        </w:rPr>
        <w:t>Public procurement</w:t>
      </w:r>
    </w:p>
    <w:p w14:paraId="4CE24E9C" w14:textId="77777777" w:rsidR="00532EDC" w:rsidRPr="00532EDC" w:rsidRDefault="00532EDC" w:rsidP="00532EDC">
      <w:pPr>
        <w:pStyle w:val="SingleTxtG"/>
        <w:spacing w:after="0"/>
        <w:rPr>
          <w:bCs/>
          <w:iCs/>
          <w:lang w:val="en-IE"/>
        </w:rPr>
      </w:pPr>
      <w:r w:rsidRPr="00532EDC">
        <w:rPr>
          <w:bCs/>
          <w:iCs/>
          <w:lang w:val="en-IE"/>
        </w:rPr>
        <w:t xml:space="preserve">In accordance with Circular 05/2023, contracting authorities are required to publish all contracts above €50,000 on </w:t>
      </w:r>
      <w:proofErr w:type="spellStart"/>
      <w:r w:rsidRPr="00532EDC">
        <w:rPr>
          <w:bCs/>
          <w:iCs/>
          <w:lang w:val="en-IE"/>
        </w:rPr>
        <w:t>eTenders</w:t>
      </w:r>
      <w:proofErr w:type="spellEnd"/>
      <w:r w:rsidRPr="00532EDC">
        <w:rPr>
          <w:bCs/>
          <w:iCs/>
          <w:lang w:val="en-IE"/>
        </w:rPr>
        <w:t xml:space="preserve">, the national tendering platform. In addition, contracting authorities are required to publish on </w:t>
      </w:r>
      <w:proofErr w:type="spellStart"/>
      <w:r w:rsidRPr="00532EDC">
        <w:rPr>
          <w:bCs/>
          <w:iCs/>
          <w:lang w:val="en-IE"/>
        </w:rPr>
        <w:t>eTenders</w:t>
      </w:r>
      <w:proofErr w:type="spellEnd"/>
      <w:r w:rsidRPr="00532EDC">
        <w:rPr>
          <w:bCs/>
          <w:iCs/>
          <w:lang w:val="en-IE"/>
        </w:rPr>
        <w:t xml:space="preserve"> contract award information for all procurements over €25,000. The OGP has published a standard suite of template documents, which are designed for above EU threshold tenders, to be used by contracting authorities for low to medium risk goods and services. The template Request for Tender includes a Declaration as to Personal Circumstances of Tenderer within which contracting authorities can choose to include multiple clauses including, inter alia, a requirement for the tenderer to self-declare that the preparation of the tender was carried out independently, that it has not entered into agreements with other economic operators aimed at distorting competition and that it is not aware of any conflict of interest due to its participation in the Competition.</w:t>
      </w:r>
    </w:p>
    <w:p w14:paraId="4DD14AE4" w14:textId="77777777" w:rsidR="00A229C9" w:rsidRPr="00C5657A" w:rsidRDefault="00A229C9" w:rsidP="005B52EA">
      <w:pPr>
        <w:pStyle w:val="SingleTxtG"/>
        <w:spacing w:after="0"/>
        <w:ind w:left="1140"/>
        <w:rPr>
          <w:lang w:val="en-IE"/>
        </w:rPr>
      </w:pPr>
    </w:p>
    <w:p w14:paraId="675DAE38" w14:textId="09E78877" w:rsidR="00AE5A09" w:rsidRDefault="00AE5A09" w:rsidP="005B52EA">
      <w:pPr>
        <w:pStyle w:val="SingleTxtG"/>
        <w:spacing w:after="0"/>
        <w:rPr>
          <w:b/>
        </w:rPr>
      </w:pPr>
      <w:r w:rsidRPr="00C5657A">
        <w:rPr>
          <w:b/>
        </w:rPr>
        <w:t>Non-discrimination (art. 2 (2))</w:t>
      </w:r>
    </w:p>
    <w:p w14:paraId="126AFECC" w14:textId="77777777" w:rsidR="00532EDC" w:rsidRPr="00C5657A" w:rsidRDefault="00532EDC" w:rsidP="005B52EA">
      <w:pPr>
        <w:pStyle w:val="SingleTxtG"/>
        <w:spacing w:after="0"/>
        <w:rPr>
          <w:b/>
        </w:rPr>
      </w:pPr>
    </w:p>
    <w:p w14:paraId="292ADCB6" w14:textId="00E0C411" w:rsidR="001B736F" w:rsidRPr="00C5657A" w:rsidRDefault="001B736F" w:rsidP="005B52EA">
      <w:pPr>
        <w:pStyle w:val="SingleTxtG"/>
        <w:spacing w:after="0"/>
        <w:rPr>
          <w:b/>
        </w:rPr>
      </w:pPr>
      <w:r w:rsidRPr="00C5657A">
        <w:rPr>
          <w:b/>
        </w:rPr>
        <w:t>Reply to paragraph 8</w:t>
      </w:r>
    </w:p>
    <w:p w14:paraId="5961F1A8" w14:textId="2CDD0A0F" w:rsidR="00532EDC" w:rsidRPr="00532EDC" w:rsidRDefault="00532EDC" w:rsidP="005B52EA">
      <w:pPr>
        <w:spacing w:line="240" w:lineRule="atLeast"/>
        <w:ind w:left="1134" w:right="1134"/>
        <w:jc w:val="both"/>
        <w:rPr>
          <w:sz w:val="20"/>
          <w:szCs w:val="20"/>
          <w:u w:val="single"/>
        </w:rPr>
      </w:pPr>
      <w:r>
        <w:rPr>
          <w:sz w:val="20"/>
          <w:szCs w:val="20"/>
          <w:u w:val="single"/>
        </w:rPr>
        <w:t>Legislation</w:t>
      </w:r>
    </w:p>
    <w:p w14:paraId="47DF80A6" w14:textId="678AF83C" w:rsidR="00AE5A09" w:rsidRPr="00C5657A" w:rsidRDefault="0005597F" w:rsidP="005B52EA">
      <w:pPr>
        <w:spacing w:line="240" w:lineRule="atLeast"/>
        <w:ind w:left="1134" w:right="1134"/>
        <w:jc w:val="both"/>
        <w:rPr>
          <w:sz w:val="20"/>
          <w:szCs w:val="20"/>
        </w:rPr>
      </w:pPr>
      <w:r w:rsidRPr="00C5657A">
        <w:rPr>
          <w:sz w:val="20"/>
          <w:szCs w:val="20"/>
        </w:rPr>
        <w:t>T</w:t>
      </w:r>
      <w:r w:rsidR="00AE5A09" w:rsidRPr="00C5657A">
        <w:rPr>
          <w:sz w:val="20"/>
          <w:szCs w:val="20"/>
        </w:rPr>
        <w:t>he review</w:t>
      </w:r>
      <w:r w:rsidR="00532EDC">
        <w:rPr>
          <w:sz w:val="20"/>
          <w:szCs w:val="20"/>
        </w:rPr>
        <w:t xml:space="preserve"> of the Equality Acts</w:t>
      </w:r>
      <w:r w:rsidR="00AE5A09" w:rsidRPr="00C5657A">
        <w:rPr>
          <w:sz w:val="20"/>
          <w:szCs w:val="20"/>
        </w:rPr>
        <w:t xml:space="preserve"> will </w:t>
      </w:r>
      <w:r w:rsidRPr="00C5657A">
        <w:rPr>
          <w:sz w:val="20"/>
          <w:szCs w:val="20"/>
        </w:rPr>
        <w:t xml:space="preserve">also </w:t>
      </w:r>
      <w:r w:rsidR="00AE5A09" w:rsidRPr="00C5657A">
        <w:rPr>
          <w:sz w:val="20"/>
          <w:szCs w:val="20"/>
        </w:rPr>
        <w:t xml:space="preserve">examine the use of non-disclosure agreements by employers in cases of sexual harassment and discrimination, in line with the issues raised in the </w:t>
      </w:r>
      <w:r w:rsidR="00AE5A09" w:rsidRPr="00532EDC">
        <w:rPr>
          <w:i/>
          <w:sz w:val="20"/>
          <w:szCs w:val="20"/>
        </w:rPr>
        <w:t>Employment Equality (Amendment) (Non-Disclosure Agreement) Bill 2021</w:t>
      </w:r>
      <w:r w:rsidR="00AE5A09" w:rsidRPr="00C5657A">
        <w:rPr>
          <w:sz w:val="20"/>
          <w:szCs w:val="20"/>
        </w:rPr>
        <w:t>.</w:t>
      </w:r>
      <w:r w:rsidR="00CF16DC" w:rsidRPr="00C5657A">
        <w:rPr>
          <w:rStyle w:val="FootnoteReference"/>
          <w:sz w:val="20"/>
          <w:szCs w:val="20"/>
        </w:rPr>
        <w:footnoteReference w:id="4"/>
      </w:r>
      <w:r w:rsidR="00AE5A09" w:rsidRPr="00C5657A">
        <w:rPr>
          <w:sz w:val="20"/>
          <w:szCs w:val="20"/>
        </w:rPr>
        <w:t xml:space="preserve"> </w:t>
      </w:r>
    </w:p>
    <w:p w14:paraId="5E244D1B" w14:textId="4C327D64" w:rsidR="000522C5" w:rsidRPr="00C5657A" w:rsidRDefault="000522C5" w:rsidP="005B52EA">
      <w:pPr>
        <w:spacing w:line="240" w:lineRule="atLeast"/>
        <w:ind w:left="567" w:firstLine="567"/>
        <w:jc w:val="both"/>
        <w:rPr>
          <w:color w:val="000000" w:themeColor="text1"/>
          <w:sz w:val="20"/>
          <w:szCs w:val="20"/>
          <w:u w:val="single"/>
        </w:rPr>
      </w:pPr>
    </w:p>
    <w:p w14:paraId="31AEE864" w14:textId="0E8DAC05" w:rsidR="00AE5A09" w:rsidRPr="00C5657A" w:rsidRDefault="000522C5" w:rsidP="005B52EA">
      <w:pPr>
        <w:spacing w:line="240" w:lineRule="atLeast"/>
        <w:ind w:left="567" w:firstLine="567"/>
        <w:jc w:val="both"/>
        <w:rPr>
          <w:color w:val="000000" w:themeColor="text1"/>
          <w:sz w:val="20"/>
          <w:szCs w:val="20"/>
          <w:u w:val="single"/>
        </w:rPr>
      </w:pPr>
      <w:r w:rsidRPr="00C5657A">
        <w:rPr>
          <w:color w:val="000000" w:themeColor="text1"/>
          <w:sz w:val="20"/>
          <w:szCs w:val="20"/>
          <w:u w:val="single"/>
        </w:rPr>
        <w:t>Legal advice services for</w:t>
      </w:r>
      <w:r w:rsidR="00AE5A09" w:rsidRPr="00C5657A">
        <w:rPr>
          <w:color w:val="000000" w:themeColor="text1"/>
          <w:sz w:val="20"/>
          <w:szCs w:val="20"/>
          <w:u w:val="single"/>
        </w:rPr>
        <w:t xml:space="preserve"> Traveller and Roma communities</w:t>
      </w:r>
    </w:p>
    <w:p w14:paraId="1E16072B" w14:textId="7C86A17A" w:rsidR="00AE5A09" w:rsidRPr="00C5657A" w:rsidRDefault="00AE5A09" w:rsidP="005B52EA">
      <w:pPr>
        <w:spacing w:line="240" w:lineRule="atLeast"/>
        <w:ind w:left="1134" w:right="1134"/>
        <w:jc w:val="both"/>
        <w:rPr>
          <w:color w:val="000000" w:themeColor="text1"/>
          <w:sz w:val="20"/>
          <w:szCs w:val="20"/>
        </w:rPr>
      </w:pPr>
      <w:r w:rsidRPr="00C5657A">
        <w:rPr>
          <w:color w:val="000000" w:themeColor="text1"/>
          <w:sz w:val="20"/>
          <w:szCs w:val="20"/>
        </w:rPr>
        <w:t>The Free Legal Aid Advice Centre (FLAC), an independent voluntary organization that promotes equal access to justice, receive</w:t>
      </w:r>
      <w:r w:rsidR="000522C5" w:rsidRPr="00C5657A">
        <w:rPr>
          <w:color w:val="000000" w:themeColor="text1"/>
          <w:sz w:val="20"/>
          <w:szCs w:val="20"/>
        </w:rPr>
        <w:t xml:space="preserve">s an annual contribution from </w:t>
      </w:r>
      <w:r w:rsidRPr="00C5657A">
        <w:rPr>
          <w:color w:val="000000" w:themeColor="text1"/>
          <w:sz w:val="20"/>
          <w:szCs w:val="20"/>
        </w:rPr>
        <w:t xml:space="preserve">DCEDIY to provide a Legal Advice Advocacy and Casework Service to the Roma Community. The service aims to support people from the Roma Community who experience inequality, discrimination, difficulties accessing services </w:t>
      </w:r>
      <w:r w:rsidR="000522C5" w:rsidRPr="00C5657A">
        <w:rPr>
          <w:color w:val="000000" w:themeColor="text1"/>
          <w:sz w:val="20"/>
          <w:szCs w:val="20"/>
        </w:rPr>
        <w:t>(</w:t>
      </w:r>
      <w:r w:rsidRPr="00C5657A">
        <w:rPr>
          <w:color w:val="000000" w:themeColor="text1"/>
          <w:sz w:val="20"/>
          <w:szCs w:val="20"/>
        </w:rPr>
        <w:t>e.g. housing and social welfare</w:t>
      </w:r>
      <w:r w:rsidR="000522C5" w:rsidRPr="00C5657A">
        <w:rPr>
          <w:color w:val="000000" w:themeColor="text1"/>
          <w:sz w:val="20"/>
          <w:szCs w:val="20"/>
        </w:rPr>
        <w:t>)</w:t>
      </w:r>
      <w:r w:rsidRPr="00C5657A">
        <w:rPr>
          <w:color w:val="000000" w:themeColor="text1"/>
          <w:sz w:val="20"/>
          <w:szCs w:val="20"/>
        </w:rPr>
        <w:t xml:space="preserve">. </w:t>
      </w:r>
    </w:p>
    <w:p w14:paraId="53EDC8AB" w14:textId="77777777" w:rsidR="00572AF3" w:rsidRPr="00C5657A" w:rsidRDefault="00572AF3" w:rsidP="005B52EA">
      <w:pPr>
        <w:spacing w:line="240" w:lineRule="atLeast"/>
        <w:ind w:left="1134" w:right="1134"/>
        <w:jc w:val="both"/>
        <w:rPr>
          <w:color w:val="000000" w:themeColor="text1"/>
          <w:sz w:val="20"/>
          <w:szCs w:val="20"/>
        </w:rPr>
      </w:pPr>
    </w:p>
    <w:p w14:paraId="4E1DB0FF" w14:textId="77777777" w:rsidR="00AE5A09" w:rsidRPr="00C5657A" w:rsidRDefault="00B4318F" w:rsidP="005B52EA">
      <w:pPr>
        <w:spacing w:line="240" w:lineRule="atLeast"/>
        <w:ind w:left="1134" w:right="1134"/>
        <w:jc w:val="both"/>
        <w:rPr>
          <w:color w:val="000000" w:themeColor="text1"/>
          <w:sz w:val="20"/>
          <w:szCs w:val="20"/>
        </w:rPr>
      </w:pPr>
      <w:r w:rsidRPr="00C5657A">
        <w:rPr>
          <w:color w:val="000000" w:themeColor="text1"/>
          <w:sz w:val="20"/>
          <w:szCs w:val="20"/>
        </w:rPr>
        <w:t>S</w:t>
      </w:r>
      <w:r w:rsidR="00AE5A09" w:rsidRPr="00C5657A">
        <w:rPr>
          <w:color w:val="000000" w:themeColor="text1"/>
          <w:sz w:val="20"/>
          <w:szCs w:val="20"/>
        </w:rPr>
        <w:t>ince March 2020, FLAC has operated a dedicated Traveller Legal Service in cooperation with a Steering G</w:t>
      </w:r>
      <w:r w:rsidRPr="00C5657A">
        <w:rPr>
          <w:color w:val="000000" w:themeColor="text1"/>
          <w:sz w:val="20"/>
          <w:szCs w:val="20"/>
        </w:rPr>
        <w:t>roup of representatives from</w:t>
      </w:r>
      <w:r w:rsidR="00AE5A09" w:rsidRPr="00C5657A">
        <w:rPr>
          <w:color w:val="000000" w:themeColor="text1"/>
          <w:sz w:val="20"/>
          <w:szCs w:val="20"/>
        </w:rPr>
        <w:t xml:space="preserve"> national Traveller organisations</w:t>
      </w:r>
      <w:r w:rsidRPr="00C5657A">
        <w:rPr>
          <w:color w:val="000000" w:themeColor="text1"/>
          <w:sz w:val="20"/>
          <w:szCs w:val="20"/>
        </w:rPr>
        <w:t>,</w:t>
      </w:r>
      <w:r w:rsidR="00AE5A09" w:rsidRPr="00C5657A">
        <w:rPr>
          <w:color w:val="000000" w:themeColor="text1"/>
          <w:sz w:val="20"/>
          <w:szCs w:val="20"/>
        </w:rPr>
        <w:t xml:space="preserve"> supported by the Community Foundation of Ireland.</w:t>
      </w:r>
    </w:p>
    <w:p w14:paraId="641BFF33" w14:textId="77777777" w:rsidR="00AE5A09" w:rsidRPr="00C5657A" w:rsidRDefault="00AE5A09" w:rsidP="005B52EA">
      <w:pPr>
        <w:pStyle w:val="SingleTxtG"/>
        <w:spacing w:after="0"/>
        <w:rPr>
          <w:lang w:val="en-IE"/>
        </w:rPr>
      </w:pPr>
    </w:p>
    <w:p w14:paraId="211A3C31" w14:textId="77777777" w:rsidR="00AE5A09" w:rsidRPr="00C5657A" w:rsidRDefault="00AE5A09" w:rsidP="005B52EA">
      <w:pPr>
        <w:pStyle w:val="SingleTxtG"/>
        <w:spacing w:after="0"/>
        <w:rPr>
          <w:b/>
        </w:rPr>
      </w:pPr>
      <w:r w:rsidRPr="00C5657A">
        <w:rPr>
          <w:b/>
        </w:rPr>
        <w:t>Equal rights of men and women (art. 3)</w:t>
      </w:r>
    </w:p>
    <w:p w14:paraId="0BC2909C" w14:textId="77777777" w:rsidR="00532EDC" w:rsidRDefault="00532EDC" w:rsidP="005B52EA">
      <w:pPr>
        <w:pStyle w:val="SingleTxtG"/>
        <w:spacing w:after="0"/>
        <w:rPr>
          <w:b/>
        </w:rPr>
      </w:pPr>
    </w:p>
    <w:p w14:paraId="0683F687" w14:textId="6C4E1D2F" w:rsidR="00AE5A09" w:rsidRPr="00C5657A" w:rsidRDefault="00AE5A09" w:rsidP="005B52EA">
      <w:pPr>
        <w:pStyle w:val="SingleTxtG"/>
        <w:spacing w:after="0"/>
        <w:rPr>
          <w:b/>
        </w:rPr>
      </w:pPr>
      <w:r w:rsidRPr="00C5657A">
        <w:rPr>
          <w:b/>
        </w:rPr>
        <w:t>Reply to paragraph 9</w:t>
      </w:r>
    </w:p>
    <w:p w14:paraId="6DA29F2C" w14:textId="200D8D03" w:rsidR="002B0535" w:rsidRPr="002B0535" w:rsidRDefault="00153A75" w:rsidP="005B52EA">
      <w:pPr>
        <w:spacing w:line="240" w:lineRule="atLeast"/>
        <w:ind w:left="1134" w:right="1134"/>
        <w:jc w:val="both"/>
        <w:rPr>
          <w:sz w:val="20"/>
          <w:szCs w:val="20"/>
          <w:u w:val="single"/>
        </w:rPr>
      </w:pPr>
      <w:r>
        <w:rPr>
          <w:sz w:val="20"/>
          <w:szCs w:val="20"/>
          <w:u w:val="single"/>
        </w:rPr>
        <w:t>Strategies,</w:t>
      </w:r>
      <w:r w:rsidR="002B0535" w:rsidRPr="002B0535">
        <w:rPr>
          <w:sz w:val="20"/>
          <w:szCs w:val="20"/>
          <w:u w:val="single"/>
        </w:rPr>
        <w:t xml:space="preserve"> frameworks</w:t>
      </w:r>
      <w:r>
        <w:rPr>
          <w:sz w:val="20"/>
          <w:szCs w:val="20"/>
          <w:u w:val="single"/>
        </w:rPr>
        <w:t xml:space="preserve"> and programmes</w:t>
      </w:r>
    </w:p>
    <w:p w14:paraId="7DF3719B" w14:textId="15335723" w:rsidR="00AE5A09" w:rsidRPr="00C5657A" w:rsidRDefault="00AE5A09" w:rsidP="005B52EA">
      <w:pPr>
        <w:spacing w:line="240" w:lineRule="atLeast"/>
        <w:ind w:left="1134" w:right="1134"/>
        <w:jc w:val="both"/>
        <w:rPr>
          <w:sz w:val="20"/>
          <w:szCs w:val="20"/>
        </w:rPr>
      </w:pPr>
      <w:r w:rsidRPr="00C5657A">
        <w:rPr>
          <w:sz w:val="20"/>
          <w:szCs w:val="20"/>
        </w:rPr>
        <w:lastRenderedPageBreak/>
        <w:t>In 2021, Ireland became the first country in the world to apply the OECD “Man Enough” Framework on masculine gender norms to national data. Statistical Spotlight No 6 on Gender Norms aimed to measure the characteristics of “restrictive masculinities” and their consequences for women and girls’</w:t>
      </w:r>
      <w:r w:rsidR="002B0535">
        <w:rPr>
          <w:sz w:val="20"/>
          <w:szCs w:val="20"/>
        </w:rPr>
        <w:t xml:space="preserve"> </w:t>
      </w:r>
      <w:r w:rsidRPr="00C5657A">
        <w:rPr>
          <w:sz w:val="20"/>
          <w:szCs w:val="20"/>
        </w:rPr>
        <w:t>empowerment, as compared to gender-equitable mascul</w:t>
      </w:r>
      <w:r w:rsidR="00AE64BA" w:rsidRPr="00C5657A">
        <w:rPr>
          <w:sz w:val="20"/>
          <w:szCs w:val="20"/>
        </w:rPr>
        <w:t>ine norms. This</w:t>
      </w:r>
      <w:r w:rsidRPr="00C5657A">
        <w:rPr>
          <w:sz w:val="20"/>
          <w:szCs w:val="20"/>
        </w:rPr>
        <w:t xml:space="preserve"> forms part of a wider discussion on the relationships between gender equality and gendered norms in the public and private spheres in Ireland.</w:t>
      </w:r>
    </w:p>
    <w:p w14:paraId="25C1D452" w14:textId="2AA5A210" w:rsidR="00E22246" w:rsidRPr="00C5657A" w:rsidRDefault="00E22246" w:rsidP="005B52EA">
      <w:pPr>
        <w:spacing w:line="240" w:lineRule="atLeast"/>
        <w:ind w:left="1134" w:right="1134"/>
        <w:jc w:val="both"/>
        <w:rPr>
          <w:sz w:val="20"/>
          <w:szCs w:val="20"/>
        </w:rPr>
      </w:pPr>
    </w:p>
    <w:p w14:paraId="6C61CEB9" w14:textId="281F49EB" w:rsidR="002B0535" w:rsidRDefault="002B0535" w:rsidP="002B0535">
      <w:pPr>
        <w:pStyle w:val="NormalWeb"/>
        <w:ind w:left="1134" w:right="1134"/>
        <w:jc w:val="both"/>
        <w:rPr>
          <w:color w:val="000000" w:themeColor="text1"/>
          <w:sz w:val="20"/>
          <w:szCs w:val="20"/>
        </w:rPr>
      </w:pPr>
      <w:r w:rsidRPr="00C5657A">
        <w:rPr>
          <w:color w:val="000000" w:themeColor="text1"/>
          <w:sz w:val="20"/>
          <w:szCs w:val="20"/>
        </w:rPr>
        <w:t xml:space="preserve">Ireland’s primary equality strategies (including the </w:t>
      </w:r>
      <w:r w:rsidRPr="00C5657A">
        <w:rPr>
          <w:i/>
          <w:color w:val="000000" w:themeColor="text1"/>
          <w:sz w:val="20"/>
          <w:szCs w:val="20"/>
        </w:rPr>
        <w:t>National Strategy for Women and Girls</w:t>
      </w:r>
      <w:r w:rsidRPr="00C5657A">
        <w:rPr>
          <w:color w:val="000000" w:themeColor="text1"/>
          <w:sz w:val="20"/>
          <w:szCs w:val="20"/>
        </w:rPr>
        <w:t>) are currently under review. In developing successor equality strategies, key challenges include ensuring better delivery and addressing the issue of intersectionality in a more coherent manner.</w:t>
      </w:r>
      <w:r>
        <w:rPr>
          <w:color w:val="000000" w:themeColor="text1"/>
          <w:sz w:val="20"/>
          <w:szCs w:val="20"/>
        </w:rPr>
        <w:t xml:space="preserve"> Key achievements from the National Strategy for Women and Girls include:</w:t>
      </w:r>
    </w:p>
    <w:p w14:paraId="55CEDB4D" w14:textId="77777777" w:rsidR="002B0535" w:rsidRPr="002B0535" w:rsidRDefault="002B0535" w:rsidP="002B0535">
      <w:pPr>
        <w:pStyle w:val="NormalWeb"/>
        <w:numPr>
          <w:ilvl w:val="0"/>
          <w:numId w:val="28"/>
        </w:numPr>
        <w:ind w:right="1134"/>
        <w:jc w:val="both"/>
        <w:rPr>
          <w:color w:val="000000" w:themeColor="text1"/>
          <w:sz w:val="20"/>
          <w:szCs w:val="20"/>
        </w:rPr>
      </w:pPr>
      <w:r w:rsidRPr="002B0535">
        <w:rPr>
          <w:color w:val="000000" w:themeColor="text1"/>
          <w:sz w:val="20"/>
          <w:szCs w:val="20"/>
        </w:rPr>
        <w:t>Challenging stereotypes and occupational segregation through review of apprenticeships and STEM education policy, and introducing gender policies in National Cultural Institutions, the Irish Film Board and the Arts Council.</w:t>
      </w:r>
    </w:p>
    <w:p w14:paraId="5E98EA81" w14:textId="77777777" w:rsidR="002B0535" w:rsidRPr="002B0535" w:rsidRDefault="002B0535" w:rsidP="002B0535">
      <w:pPr>
        <w:pStyle w:val="NormalWeb"/>
        <w:numPr>
          <w:ilvl w:val="0"/>
          <w:numId w:val="28"/>
        </w:numPr>
        <w:ind w:right="1134"/>
        <w:jc w:val="both"/>
        <w:rPr>
          <w:color w:val="000000" w:themeColor="text1"/>
          <w:sz w:val="20"/>
          <w:szCs w:val="20"/>
        </w:rPr>
      </w:pPr>
      <w:r w:rsidRPr="002B0535">
        <w:rPr>
          <w:color w:val="000000" w:themeColor="text1"/>
          <w:sz w:val="20"/>
          <w:szCs w:val="20"/>
        </w:rPr>
        <w:t>Promotion of women in leadership in political and business spheres, the public service, civil society and sport.</w:t>
      </w:r>
    </w:p>
    <w:p w14:paraId="1014AD3E" w14:textId="5AE3574C" w:rsidR="002B0535" w:rsidRPr="002B0535" w:rsidRDefault="002B0535" w:rsidP="002B0535">
      <w:pPr>
        <w:pStyle w:val="NormalWeb"/>
        <w:numPr>
          <w:ilvl w:val="0"/>
          <w:numId w:val="28"/>
        </w:numPr>
        <w:ind w:right="1134"/>
        <w:jc w:val="both"/>
        <w:rPr>
          <w:color w:val="000000" w:themeColor="text1"/>
          <w:sz w:val="20"/>
          <w:szCs w:val="20"/>
        </w:rPr>
      </w:pPr>
      <w:r w:rsidRPr="002B0535">
        <w:rPr>
          <w:color w:val="000000" w:themeColor="text1"/>
          <w:sz w:val="20"/>
          <w:szCs w:val="20"/>
        </w:rPr>
        <w:t>The introduction of an equality budgeting initiative.</w:t>
      </w:r>
    </w:p>
    <w:p w14:paraId="536396A9" w14:textId="77777777" w:rsidR="002B0535" w:rsidRDefault="002B0535" w:rsidP="002B0535">
      <w:pPr>
        <w:pStyle w:val="NormalWeb"/>
        <w:ind w:left="1134" w:right="1134"/>
        <w:jc w:val="both"/>
        <w:rPr>
          <w:color w:val="000000" w:themeColor="text1"/>
          <w:sz w:val="20"/>
          <w:szCs w:val="20"/>
        </w:rPr>
      </w:pPr>
    </w:p>
    <w:p w14:paraId="2813681C" w14:textId="3A44F8EC" w:rsidR="002B0535" w:rsidRDefault="002B0535" w:rsidP="002B0535">
      <w:pPr>
        <w:pStyle w:val="NormalWeb"/>
        <w:ind w:left="1134" w:right="1134"/>
        <w:jc w:val="both"/>
        <w:rPr>
          <w:color w:val="000000" w:themeColor="text1"/>
          <w:sz w:val="20"/>
          <w:szCs w:val="20"/>
        </w:rPr>
      </w:pPr>
      <w:r w:rsidRPr="00C5657A">
        <w:rPr>
          <w:color w:val="000000" w:themeColor="text1"/>
          <w:sz w:val="20"/>
          <w:szCs w:val="20"/>
        </w:rPr>
        <w:t xml:space="preserve">A </w:t>
      </w:r>
      <w:r w:rsidRPr="00C5657A">
        <w:rPr>
          <w:i/>
          <w:color w:val="000000" w:themeColor="text1"/>
          <w:sz w:val="20"/>
          <w:szCs w:val="20"/>
        </w:rPr>
        <w:t>National Equality Data Strategy</w:t>
      </w:r>
      <w:r w:rsidRPr="00C5657A">
        <w:rPr>
          <w:color w:val="000000" w:themeColor="text1"/>
          <w:sz w:val="20"/>
          <w:szCs w:val="20"/>
        </w:rPr>
        <w:t xml:space="preserve"> (announced on 21 March 2022) is being developed to improve equality data collection and the ability of public bodies to monitor the impact of policies and initiatives. </w:t>
      </w:r>
    </w:p>
    <w:p w14:paraId="21052C48" w14:textId="77777777" w:rsidR="002B0535" w:rsidRPr="00C5657A" w:rsidRDefault="002B0535" w:rsidP="002B0535">
      <w:pPr>
        <w:pStyle w:val="NormalWeb"/>
        <w:ind w:left="1134" w:right="1134"/>
        <w:jc w:val="both"/>
        <w:rPr>
          <w:color w:val="000000" w:themeColor="text1"/>
          <w:sz w:val="20"/>
          <w:szCs w:val="20"/>
        </w:rPr>
      </w:pPr>
    </w:p>
    <w:p w14:paraId="09792D01" w14:textId="5736A447" w:rsidR="00CF16DC" w:rsidRDefault="00CF16DC" w:rsidP="005B52EA">
      <w:pPr>
        <w:spacing w:line="240" w:lineRule="atLeast"/>
        <w:ind w:left="1134" w:right="1134"/>
        <w:jc w:val="both"/>
        <w:rPr>
          <w:sz w:val="20"/>
          <w:szCs w:val="20"/>
        </w:rPr>
      </w:pPr>
      <w:r w:rsidRPr="00C5657A">
        <w:rPr>
          <w:sz w:val="20"/>
          <w:szCs w:val="20"/>
        </w:rPr>
        <w:t xml:space="preserve">In response to commitments in the </w:t>
      </w:r>
      <w:r w:rsidRPr="00C5657A">
        <w:rPr>
          <w:i/>
          <w:sz w:val="20"/>
          <w:szCs w:val="20"/>
        </w:rPr>
        <w:t>National Strategy for Women and Girls</w:t>
      </w:r>
      <w:r w:rsidRPr="00C5657A">
        <w:rPr>
          <w:sz w:val="20"/>
          <w:szCs w:val="20"/>
        </w:rPr>
        <w:t xml:space="preserve">, a series of actions were included in the </w:t>
      </w:r>
      <w:r w:rsidRPr="00C5657A">
        <w:rPr>
          <w:i/>
          <w:sz w:val="20"/>
          <w:szCs w:val="20"/>
        </w:rPr>
        <w:t>National Traveller and Roma Inclusion Strategy</w:t>
      </w:r>
      <w:r w:rsidRPr="00C5657A">
        <w:rPr>
          <w:sz w:val="20"/>
          <w:szCs w:val="20"/>
        </w:rPr>
        <w:t xml:space="preserve"> aimed at women and girls belonging to the Travellers </w:t>
      </w:r>
      <w:r w:rsidR="002B0535">
        <w:rPr>
          <w:sz w:val="20"/>
          <w:szCs w:val="20"/>
        </w:rPr>
        <w:t>and Roma communities, including:</w:t>
      </w:r>
      <w:r w:rsidRPr="00C5657A">
        <w:rPr>
          <w:sz w:val="20"/>
          <w:szCs w:val="20"/>
        </w:rPr>
        <w:t xml:space="preserve"> improved access to education, training and employment opportunities; improved health outcomes; greater levels of participation in public life; and greater participation in leadership positions. </w:t>
      </w:r>
    </w:p>
    <w:p w14:paraId="664923C3" w14:textId="77777777" w:rsidR="002B0535" w:rsidRDefault="002B0535" w:rsidP="005B52EA">
      <w:pPr>
        <w:spacing w:line="240" w:lineRule="atLeast"/>
        <w:ind w:left="1134" w:right="1134"/>
        <w:jc w:val="both"/>
        <w:rPr>
          <w:sz w:val="20"/>
          <w:szCs w:val="20"/>
        </w:rPr>
      </w:pPr>
    </w:p>
    <w:p w14:paraId="6559F9B8" w14:textId="51EC557C" w:rsidR="002B0535" w:rsidRDefault="002B0535" w:rsidP="002B0535">
      <w:pPr>
        <w:pStyle w:val="NormalWeb"/>
        <w:ind w:left="1134" w:right="1134"/>
        <w:jc w:val="both"/>
        <w:rPr>
          <w:color w:val="000000" w:themeColor="text1"/>
          <w:sz w:val="20"/>
          <w:szCs w:val="20"/>
        </w:rPr>
      </w:pPr>
      <w:proofErr w:type="spellStart"/>
      <w:r>
        <w:rPr>
          <w:color w:val="000000" w:themeColor="text1"/>
          <w:sz w:val="20"/>
          <w:szCs w:val="20"/>
        </w:rPr>
        <w:t>Cairde’s</w:t>
      </w:r>
      <w:proofErr w:type="spellEnd"/>
      <w:r w:rsidRPr="00C5657A">
        <w:rPr>
          <w:color w:val="000000" w:themeColor="text1"/>
          <w:sz w:val="20"/>
          <w:szCs w:val="20"/>
        </w:rPr>
        <w:t xml:space="preserve"> </w:t>
      </w:r>
      <w:r>
        <w:rPr>
          <w:color w:val="000000" w:themeColor="text1"/>
          <w:sz w:val="20"/>
          <w:szCs w:val="20"/>
        </w:rPr>
        <w:t>Roma education project</w:t>
      </w:r>
      <w:r w:rsidRPr="00C5657A">
        <w:rPr>
          <w:color w:val="000000" w:themeColor="text1"/>
          <w:sz w:val="20"/>
          <w:szCs w:val="20"/>
        </w:rPr>
        <w:t xml:space="preserve"> consists of English language and literacy classes, computer classes, and health and social issues. Female participants also have the option to attend a weekly yoga and mindfulness class. The programme has become an inclusive space for the participants, all of whom are parents, and many of whom are single mothers and/or are living in emergency accommodation. The high attendance rate and dedication to the classes may be attributed to the flexibility and convenience of online classes. </w:t>
      </w:r>
    </w:p>
    <w:p w14:paraId="47CE02CD" w14:textId="77777777" w:rsidR="002B0535" w:rsidRPr="00C5657A" w:rsidRDefault="002B0535" w:rsidP="002B0535">
      <w:pPr>
        <w:pStyle w:val="NormalWeb"/>
        <w:ind w:left="1134" w:right="1134"/>
        <w:jc w:val="both"/>
        <w:rPr>
          <w:color w:val="000000" w:themeColor="text1"/>
          <w:sz w:val="20"/>
          <w:szCs w:val="20"/>
        </w:rPr>
      </w:pPr>
    </w:p>
    <w:p w14:paraId="454E4F16" w14:textId="77777777" w:rsidR="002B0535" w:rsidRPr="00C5657A" w:rsidRDefault="002B0535" w:rsidP="002B0535">
      <w:pPr>
        <w:pStyle w:val="SingleTxtG"/>
        <w:spacing w:after="0"/>
        <w:rPr>
          <w:b/>
        </w:rPr>
      </w:pPr>
      <w:r w:rsidRPr="00C5657A">
        <w:rPr>
          <w:color w:val="000000" w:themeColor="text1"/>
        </w:rPr>
        <w:t>From 2019, all organisations in receipt of DCEDIY funding are now contractually obliged to provide progress reports which include recording data on male/female participation.</w:t>
      </w:r>
    </w:p>
    <w:p w14:paraId="5DAB4C5D" w14:textId="77777777" w:rsidR="002B0535" w:rsidRPr="00C5657A" w:rsidRDefault="002B0535" w:rsidP="005B52EA">
      <w:pPr>
        <w:spacing w:line="240" w:lineRule="atLeast"/>
        <w:ind w:left="1134" w:right="1134"/>
        <w:jc w:val="both"/>
        <w:rPr>
          <w:sz w:val="20"/>
          <w:szCs w:val="20"/>
        </w:rPr>
      </w:pPr>
    </w:p>
    <w:p w14:paraId="3BF4FC3A" w14:textId="6986214F" w:rsidR="00723276" w:rsidRPr="002B0535" w:rsidRDefault="002B0535" w:rsidP="005B52EA">
      <w:pPr>
        <w:spacing w:line="240" w:lineRule="atLeast"/>
        <w:ind w:left="567" w:firstLine="567"/>
        <w:jc w:val="both"/>
        <w:rPr>
          <w:sz w:val="20"/>
          <w:szCs w:val="20"/>
          <w:u w:val="single"/>
        </w:rPr>
      </w:pPr>
      <w:r>
        <w:rPr>
          <w:sz w:val="20"/>
          <w:szCs w:val="20"/>
          <w:u w:val="single"/>
        </w:rPr>
        <w:t>Gender pay gap</w:t>
      </w:r>
    </w:p>
    <w:p w14:paraId="3BEB204C" w14:textId="6021F7CD" w:rsidR="00AE5A09" w:rsidRPr="00C5657A" w:rsidRDefault="00AE5A09" w:rsidP="005B52EA">
      <w:pPr>
        <w:spacing w:line="240" w:lineRule="atLeast"/>
        <w:ind w:left="1134" w:right="1134"/>
        <w:jc w:val="both"/>
        <w:rPr>
          <w:sz w:val="20"/>
          <w:szCs w:val="20"/>
        </w:rPr>
      </w:pPr>
      <w:r w:rsidRPr="00C5657A">
        <w:rPr>
          <w:sz w:val="20"/>
          <w:szCs w:val="20"/>
        </w:rPr>
        <w:t xml:space="preserve">The first gender pay gap reports by employers with over 250 employees were published in December 2022. </w:t>
      </w:r>
      <w:r w:rsidR="00723276" w:rsidRPr="00C5657A">
        <w:rPr>
          <w:sz w:val="20"/>
          <w:szCs w:val="20"/>
        </w:rPr>
        <w:t xml:space="preserve">Analysis of the reports indicates that the gender pay gap varies across occupations and is greatest among higher earners and those with children. </w:t>
      </w:r>
      <w:r w:rsidRPr="00C5657A">
        <w:rPr>
          <w:sz w:val="20"/>
          <w:szCs w:val="20"/>
        </w:rPr>
        <w:t>It is planned to extend the reporting requirement to organisations with 50 or more employees by 2025, on a phased basis.</w:t>
      </w:r>
    </w:p>
    <w:p w14:paraId="494CA1DC" w14:textId="77777777" w:rsidR="00CD0054" w:rsidRPr="00C5657A" w:rsidRDefault="00CD0054" w:rsidP="005B52EA">
      <w:pPr>
        <w:spacing w:line="240" w:lineRule="atLeast"/>
        <w:ind w:left="1134" w:right="1134"/>
        <w:jc w:val="both"/>
        <w:rPr>
          <w:sz w:val="20"/>
          <w:szCs w:val="20"/>
        </w:rPr>
      </w:pPr>
    </w:p>
    <w:p w14:paraId="4642D0DC" w14:textId="77777777" w:rsidR="00AE5A09" w:rsidRPr="00C5657A" w:rsidRDefault="00AE5A09" w:rsidP="005B52EA">
      <w:pPr>
        <w:spacing w:line="240" w:lineRule="atLeast"/>
        <w:ind w:left="1134" w:right="1134"/>
        <w:jc w:val="both"/>
        <w:rPr>
          <w:sz w:val="20"/>
          <w:szCs w:val="20"/>
        </w:rPr>
      </w:pPr>
      <w:r w:rsidRPr="00C5657A">
        <w:rPr>
          <w:sz w:val="20"/>
          <w:szCs w:val="20"/>
        </w:rPr>
        <w:t xml:space="preserve">Factors that contribute to the gender pay gap are being addressed through measures to support </w:t>
      </w:r>
      <w:r w:rsidR="00723276" w:rsidRPr="00C5657A">
        <w:rPr>
          <w:sz w:val="20"/>
          <w:szCs w:val="20"/>
        </w:rPr>
        <w:t>a</w:t>
      </w:r>
      <w:r w:rsidRPr="00C5657A">
        <w:rPr>
          <w:sz w:val="20"/>
          <w:szCs w:val="20"/>
        </w:rPr>
        <w:t xml:space="preserve"> balance</w:t>
      </w:r>
      <w:r w:rsidR="00723276" w:rsidRPr="00C5657A">
        <w:rPr>
          <w:sz w:val="20"/>
          <w:szCs w:val="20"/>
        </w:rPr>
        <w:t xml:space="preserve"> between care and paid work. For example: ac</w:t>
      </w:r>
      <w:r w:rsidRPr="00C5657A">
        <w:rPr>
          <w:sz w:val="20"/>
          <w:szCs w:val="20"/>
        </w:rPr>
        <w:t>cess to affordable quali</w:t>
      </w:r>
      <w:r w:rsidR="00723276" w:rsidRPr="00C5657A">
        <w:rPr>
          <w:sz w:val="20"/>
          <w:szCs w:val="20"/>
        </w:rPr>
        <w:t>ty childcare has been increased; a</w:t>
      </w:r>
      <w:r w:rsidRPr="00C5657A">
        <w:rPr>
          <w:sz w:val="20"/>
          <w:szCs w:val="20"/>
        </w:rPr>
        <w:t xml:space="preserve"> right to request flexible working and remote working has been introduced in the </w:t>
      </w:r>
      <w:r w:rsidRPr="00C5657A">
        <w:rPr>
          <w:i/>
          <w:sz w:val="20"/>
          <w:szCs w:val="20"/>
        </w:rPr>
        <w:t>Work-life Balance (Miscellaneous Provisions) Act 2023</w:t>
      </w:r>
      <w:r w:rsidR="00723276" w:rsidRPr="00C5657A">
        <w:rPr>
          <w:sz w:val="20"/>
          <w:szCs w:val="20"/>
        </w:rPr>
        <w:t>; t</w:t>
      </w:r>
      <w:r w:rsidRPr="00C5657A">
        <w:rPr>
          <w:sz w:val="20"/>
          <w:szCs w:val="20"/>
        </w:rPr>
        <w:t>he suite of family leave available to working parents has been extended, including through introduction of Parents’ Leave for parents of children un</w:t>
      </w:r>
      <w:r w:rsidR="00723276" w:rsidRPr="00C5657A">
        <w:rPr>
          <w:sz w:val="20"/>
          <w:szCs w:val="20"/>
        </w:rPr>
        <w:t>der two</w:t>
      </w:r>
      <w:r w:rsidRPr="00C5657A">
        <w:rPr>
          <w:sz w:val="20"/>
          <w:szCs w:val="20"/>
        </w:rPr>
        <w:t xml:space="preserve"> years </w:t>
      </w:r>
      <w:r w:rsidR="00723276" w:rsidRPr="00C5657A">
        <w:rPr>
          <w:sz w:val="20"/>
          <w:szCs w:val="20"/>
        </w:rPr>
        <w:t>(</w:t>
      </w:r>
      <w:r w:rsidRPr="00C5657A">
        <w:rPr>
          <w:sz w:val="20"/>
          <w:szCs w:val="20"/>
        </w:rPr>
        <w:t>with an associated benefit</w:t>
      </w:r>
      <w:r w:rsidR="00723276" w:rsidRPr="00C5657A">
        <w:rPr>
          <w:sz w:val="20"/>
          <w:szCs w:val="20"/>
        </w:rPr>
        <w:t>), and five</w:t>
      </w:r>
      <w:r w:rsidRPr="00C5657A">
        <w:rPr>
          <w:sz w:val="20"/>
          <w:szCs w:val="20"/>
        </w:rPr>
        <w:t xml:space="preserve"> days leave per annum for serious medical care purposes.</w:t>
      </w:r>
    </w:p>
    <w:p w14:paraId="0C536C2E" w14:textId="77777777" w:rsidR="00AE5A09" w:rsidRPr="00C5657A" w:rsidRDefault="00AE5A09" w:rsidP="005B52EA">
      <w:pPr>
        <w:spacing w:line="240" w:lineRule="atLeast"/>
        <w:ind w:left="1134"/>
        <w:jc w:val="both"/>
        <w:rPr>
          <w:sz w:val="20"/>
          <w:szCs w:val="20"/>
        </w:rPr>
      </w:pPr>
    </w:p>
    <w:p w14:paraId="71E79461" w14:textId="7552C421" w:rsidR="002B0535" w:rsidRPr="002B0535" w:rsidRDefault="002B0535" w:rsidP="005B52EA">
      <w:pPr>
        <w:spacing w:line="240" w:lineRule="atLeast"/>
        <w:ind w:left="1134" w:right="1134"/>
        <w:jc w:val="both"/>
        <w:rPr>
          <w:sz w:val="20"/>
          <w:szCs w:val="20"/>
          <w:u w:val="single"/>
        </w:rPr>
      </w:pPr>
      <w:r w:rsidRPr="002B0535">
        <w:rPr>
          <w:sz w:val="20"/>
          <w:szCs w:val="20"/>
          <w:u w:val="single"/>
        </w:rPr>
        <w:t>Representation of women in public and political life and in decision-making roles in the private sector</w:t>
      </w:r>
    </w:p>
    <w:p w14:paraId="068BC3F0" w14:textId="5E26083A" w:rsidR="00420C3F" w:rsidRPr="00C5657A" w:rsidRDefault="00420C3F" w:rsidP="005B52EA">
      <w:pPr>
        <w:spacing w:line="240" w:lineRule="atLeast"/>
        <w:ind w:left="1134" w:right="1134"/>
        <w:jc w:val="both"/>
        <w:rPr>
          <w:bCs/>
          <w:sz w:val="20"/>
          <w:szCs w:val="20"/>
        </w:rPr>
      </w:pPr>
      <w:r w:rsidRPr="00C5657A">
        <w:rPr>
          <w:sz w:val="20"/>
          <w:szCs w:val="20"/>
        </w:rPr>
        <w:t xml:space="preserve">In its first report (May 2019), </w:t>
      </w:r>
      <w:r w:rsidRPr="00C5657A">
        <w:rPr>
          <w:bCs/>
          <w:sz w:val="20"/>
          <w:szCs w:val="20"/>
        </w:rPr>
        <w:t xml:space="preserve">the </w:t>
      </w:r>
      <w:r w:rsidR="002B0535" w:rsidRPr="003060C9">
        <w:rPr>
          <w:i/>
          <w:sz w:val="20"/>
          <w:szCs w:val="20"/>
        </w:rPr>
        <w:t>Balance for Better</w:t>
      </w:r>
      <w:r w:rsidR="002B0535" w:rsidRPr="00263F45">
        <w:rPr>
          <w:i/>
          <w:sz w:val="20"/>
          <w:szCs w:val="20"/>
        </w:rPr>
        <w:t xml:space="preserve"> Business</w:t>
      </w:r>
      <w:r w:rsidR="002B0535" w:rsidRPr="003060C9">
        <w:rPr>
          <w:sz w:val="20"/>
          <w:szCs w:val="20"/>
        </w:rPr>
        <w:t xml:space="preserve"> </w:t>
      </w:r>
      <w:r w:rsidRPr="00C5657A">
        <w:rPr>
          <w:bCs/>
          <w:sz w:val="20"/>
          <w:szCs w:val="20"/>
        </w:rPr>
        <w:t xml:space="preserve">Review Group set actionable and progressive targets for gender balance on listed companies in Ireland. It has since issued four further reports (2019, 2020, 2021, 2022) and set additional targets for the senior </w:t>
      </w:r>
      <w:r w:rsidRPr="00C5657A">
        <w:rPr>
          <w:bCs/>
          <w:sz w:val="20"/>
          <w:szCs w:val="20"/>
        </w:rPr>
        <w:lastRenderedPageBreak/>
        <w:t xml:space="preserve">leadership teams of listed companies, large Irish-owned private companies, and large multinational companies with operations in Ireland, along with board targets for large Irish-owned private companies. </w:t>
      </w:r>
    </w:p>
    <w:p w14:paraId="5AAC6A34" w14:textId="77777777" w:rsidR="00CD0054" w:rsidRPr="00C5657A" w:rsidRDefault="00CD0054" w:rsidP="005B52EA">
      <w:pPr>
        <w:spacing w:line="240" w:lineRule="atLeast"/>
        <w:ind w:left="1134" w:right="1134"/>
        <w:jc w:val="both"/>
        <w:rPr>
          <w:sz w:val="20"/>
          <w:szCs w:val="20"/>
        </w:rPr>
      </w:pPr>
    </w:p>
    <w:p w14:paraId="7DAF53F0" w14:textId="06467258" w:rsidR="00420C3F" w:rsidRPr="00C5657A" w:rsidRDefault="001B079D" w:rsidP="002B0535">
      <w:pPr>
        <w:spacing w:line="240" w:lineRule="atLeast"/>
        <w:ind w:left="1134" w:right="1134"/>
        <w:jc w:val="both"/>
        <w:rPr>
          <w:sz w:val="20"/>
          <w:szCs w:val="20"/>
        </w:rPr>
      </w:pPr>
      <w:r w:rsidRPr="00C5657A">
        <w:rPr>
          <w:sz w:val="20"/>
          <w:szCs w:val="20"/>
        </w:rPr>
        <w:t>Government-led initiatives are in place to increase the number of women in senior roles in specific sectors of the economy, including ICT and Financial Services.</w:t>
      </w:r>
      <w:r w:rsidR="002B0535">
        <w:rPr>
          <w:sz w:val="20"/>
          <w:szCs w:val="20"/>
        </w:rPr>
        <w:t xml:space="preserve"> </w:t>
      </w:r>
      <w:r w:rsidR="00420C3F" w:rsidRPr="00C5657A">
        <w:rPr>
          <w:sz w:val="20"/>
          <w:szCs w:val="20"/>
        </w:rPr>
        <w:t>Enterprise Ireland launched a six-year Action Plan for Women in Business in January 2020, which included as four core objectives to increase the number of women-led companies growing on international markets, increase the number of women in senior management and leadership roles in Irish companies, increase the number of women becoming entrepreneurs, and increase the number of High Potential Start Ups founded by women.</w:t>
      </w:r>
    </w:p>
    <w:p w14:paraId="27E712B7" w14:textId="77777777" w:rsidR="00AE5A09" w:rsidRPr="00C5657A" w:rsidRDefault="00AE5A09" w:rsidP="005B52EA">
      <w:pPr>
        <w:pStyle w:val="H1G"/>
        <w:spacing w:after="0" w:line="240" w:lineRule="atLeast"/>
        <w:jc w:val="both"/>
        <w:rPr>
          <w:color w:val="0070C0"/>
          <w:sz w:val="20"/>
        </w:rPr>
      </w:pPr>
      <w:r w:rsidRPr="00C5657A">
        <w:rPr>
          <w:sz w:val="20"/>
        </w:rPr>
        <w:tab/>
        <w:t>C.</w:t>
      </w:r>
      <w:r w:rsidRPr="00C5657A">
        <w:rPr>
          <w:sz w:val="20"/>
        </w:rPr>
        <w:tab/>
        <w:t xml:space="preserve">Reply to paragraphs 10 – 29 </w:t>
      </w:r>
      <w:r w:rsidR="00ED399D" w:rsidRPr="00C5657A">
        <w:rPr>
          <w:sz w:val="20"/>
        </w:rPr>
        <w:t>(Issues relating to specific provisions of the Covenant)</w:t>
      </w:r>
    </w:p>
    <w:p w14:paraId="66C5ACE0" w14:textId="25A63331" w:rsidR="00AE5A09" w:rsidRPr="00C5657A" w:rsidRDefault="00AE5A09" w:rsidP="005B52EA">
      <w:pPr>
        <w:pStyle w:val="SingleTxtG"/>
        <w:spacing w:after="0"/>
        <w:rPr>
          <w:b/>
        </w:rPr>
      </w:pPr>
      <w:r w:rsidRPr="00C5657A">
        <w:rPr>
          <w:b/>
        </w:rPr>
        <w:t>Right to work (art. 6)</w:t>
      </w:r>
    </w:p>
    <w:p w14:paraId="74069CFD" w14:textId="77777777" w:rsidR="00CD0054" w:rsidRPr="00C5657A" w:rsidRDefault="00CD0054" w:rsidP="005B52EA">
      <w:pPr>
        <w:pStyle w:val="SingleTxtG"/>
        <w:spacing w:after="0"/>
        <w:rPr>
          <w:b/>
        </w:rPr>
      </w:pPr>
    </w:p>
    <w:p w14:paraId="69F4FF21" w14:textId="0EEA4382" w:rsidR="00CD0054" w:rsidRPr="00C5657A" w:rsidRDefault="00572AF3" w:rsidP="00572AF3">
      <w:pPr>
        <w:pStyle w:val="SingleTxtG"/>
        <w:spacing w:after="0"/>
        <w:rPr>
          <w:b/>
        </w:rPr>
      </w:pPr>
      <w:r w:rsidRPr="00C5657A">
        <w:rPr>
          <w:b/>
        </w:rPr>
        <w:t>Reply to paragraph 10</w:t>
      </w:r>
    </w:p>
    <w:p w14:paraId="6F4F70EE" w14:textId="15196E4E" w:rsidR="00B53CE4" w:rsidRPr="00C5657A" w:rsidRDefault="00B53CE4" w:rsidP="005B52EA">
      <w:pPr>
        <w:pStyle w:val="SingleTxtG"/>
        <w:spacing w:after="0"/>
        <w:rPr>
          <w:bCs/>
        </w:rPr>
      </w:pPr>
      <w:r w:rsidRPr="00C5657A">
        <w:rPr>
          <w:bCs/>
        </w:rPr>
        <w:t>Notably, part-time employment has increased at a faster rate than full-</w:t>
      </w:r>
      <w:r w:rsidR="00153A75">
        <w:rPr>
          <w:bCs/>
        </w:rPr>
        <w:t xml:space="preserve">time employment since Q4 2019. </w:t>
      </w:r>
      <w:r w:rsidRPr="00C5657A">
        <w:rPr>
          <w:bCs/>
        </w:rPr>
        <w:t>As a result, the share of part-time employees in overall employment increased from 20.8% in Q4 2019 to 21.5% in Q4 2022; however, the number of involuntary part-time workers declined.</w:t>
      </w:r>
    </w:p>
    <w:p w14:paraId="47FA45FD" w14:textId="77777777" w:rsidR="00CD0054" w:rsidRPr="00C5657A" w:rsidRDefault="00CD0054" w:rsidP="005B52EA">
      <w:pPr>
        <w:pStyle w:val="SingleTxtG"/>
        <w:spacing w:after="0"/>
        <w:rPr>
          <w:bCs/>
        </w:rPr>
      </w:pPr>
    </w:p>
    <w:p w14:paraId="55AC521F" w14:textId="3FAA3779" w:rsidR="00B53CE4" w:rsidRPr="00C5657A" w:rsidRDefault="00B53CE4" w:rsidP="005B52EA">
      <w:pPr>
        <w:pStyle w:val="SingleTxtG"/>
        <w:spacing w:after="0"/>
        <w:rPr>
          <w:bCs/>
        </w:rPr>
      </w:pPr>
      <w:r w:rsidRPr="00C5657A">
        <w:rPr>
          <w:bCs/>
        </w:rPr>
        <w:t xml:space="preserve">The seasonally-adjusted labour force participation rate fell for a third consecutive quarter in Q4 2022. Seasonally-adjusted participation rates declined from 64.7 % in Q3 2022 to 64.5% in Q4 2022. This represents a fall of 0.6% points from the post-COVID peak of 65.1% observed in Q1 2022, suggesting that the growth in participation following reopening has peaked. However, current participation remains significantly higher than the pre-pandemic participation rate. Seasonally-adjusted participation in Q1 2020 was 62.6%. </w:t>
      </w:r>
    </w:p>
    <w:p w14:paraId="001F05C9" w14:textId="77777777" w:rsidR="00CD0054" w:rsidRPr="00C5657A" w:rsidRDefault="00CD0054" w:rsidP="005B52EA">
      <w:pPr>
        <w:pStyle w:val="SingleTxtG"/>
        <w:spacing w:after="0"/>
        <w:rPr>
          <w:bCs/>
        </w:rPr>
      </w:pPr>
    </w:p>
    <w:p w14:paraId="4ED74C3F" w14:textId="6F349D98" w:rsidR="00B53CE4" w:rsidRPr="00C5657A" w:rsidRDefault="00B53CE4" w:rsidP="005B52EA">
      <w:pPr>
        <w:pStyle w:val="SingleTxtG"/>
        <w:spacing w:after="0"/>
        <w:rPr>
          <w:bCs/>
          <w:lang w:val="en-IE"/>
        </w:rPr>
      </w:pPr>
      <w:r w:rsidRPr="00C5657A">
        <w:rPr>
          <w:bCs/>
          <w:lang w:val="en-IE"/>
        </w:rPr>
        <w:t>The potential additional labour force (PALF)</w:t>
      </w:r>
      <w:r w:rsidRPr="00C5657A">
        <w:rPr>
          <w:bCs/>
          <w:vertAlign w:val="superscript"/>
          <w:lang w:val="en-IE"/>
        </w:rPr>
        <w:footnoteReference w:id="5"/>
      </w:r>
      <w:r w:rsidRPr="00C5657A">
        <w:rPr>
          <w:bCs/>
          <w:vertAlign w:val="superscript"/>
          <w:lang w:val="en-IE"/>
        </w:rPr>
        <w:t>,</w:t>
      </w:r>
      <w:r w:rsidRPr="00C5657A">
        <w:rPr>
          <w:bCs/>
          <w:vertAlign w:val="superscript"/>
          <w:lang w:val="en-IE"/>
        </w:rPr>
        <w:footnoteReference w:id="6"/>
      </w:r>
      <w:r w:rsidRPr="00C5657A">
        <w:rPr>
          <w:bCs/>
          <w:lang w:val="en-IE"/>
        </w:rPr>
        <w:t xml:space="preserve"> declined further in Q4 2022 to reach a new low of 59,900 people. This is the lowest estimate since new definitions were agreed in Q3 2017. The majority of the PALF (80%) are available to work but not currently seeking work. Of this group, most are not seeking work for reasons other than feeling discouraged (that is, for a variety of family and personal circumstances). In fact, discouraged workers make up just over 23% of this category and 19 % of the overall PALF. Moreover, the number of people categorised as available but not seeking due to being discouraged, declined between Q3 and Q4 2022, from 16,000 to 11,000.</w:t>
      </w:r>
    </w:p>
    <w:p w14:paraId="508ECF73" w14:textId="77777777" w:rsidR="00CD0054" w:rsidRPr="00C5657A" w:rsidRDefault="00CD0054" w:rsidP="005B52EA">
      <w:pPr>
        <w:pStyle w:val="SingleTxtG"/>
        <w:spacing w:after="0"/>
        <w:rPr>
          <w:bCs/>
          <w:lang w:val="en-IE"/>
        </w:rPr>
      </w:pPr>
    </w:p>
    <w:p w14:paraId="3494F6B0" w14:textId="64763199" w:rsidR="00B53CE4" w:rsidRPr="00C5657A" w:rsidRDefault="00B53CE4" w:rsidP="005B52EA">
      <w:pPr>
        <w:pStyle w:val="SingleTxtG"/>
        <w:spacing w:after="0"/>
        <w:rPr>
          <w:bCs/>
        </w:rPr>
      </w:pPr>
      <w:r w:rsidRPr="00C5657A">
        <w:rPr>
          <w:bCs/>
        </w:rPr>
        <w:t>Since the abatement of the 2008 financial crisis, and with the exception of the COVID-19 period, the NEET rate has been falling steadily. As a result, it is now at the lowest level recorded in the LFS, standing at 7.2 % and 9.2 % for 15 – 24 years old and 15 – 29-year-olds in Q4 2022 respectively.</w:t>
      </w:r>
    </w:p>
    <w:p w14:paraId="2559A535" w14:textId="77777777" w:rsidR="00CD0054" w:rsidRPr="00C5657A" w:rsidRDefault="00CD0054" w:rsidP="005B52EA">
      <w:pPr>
        <w:pStyle w:val="SingleTxtG"/>
        <w:spacing w:after="0"/>
        <w:rPr>
          <w:bCs/>
        </w:rPr>
      </w:pPr>
    </w:p>
    <w:p w14:paraId="71DAEC4F" w14:textId="2C0634C9" w:rsidR="00153A75" w:rsidRPr="00153A75" w:rsidRDefault="00153A75" w:rsidP="005B52EA">
      <w:pPr>
        <w:pStyle w:val="SingleTxtG"/>
        <w:spacing w:after="0"/>
        <w:rPr>
          <w:u w:val="single"/>
          <w:lang w:val="en"/>
        </w:rPr>
      </w:pPr>
      <w:r>
        <w:rPr>
          <w:u w:val="single"/>
          <w:lang w:val="en"/>
        </w:rPr>
        <w:t>Persons with disabilities</w:t>
      </w:r>
    </w:p>
    <w:p w14:paraId="56602D4B" w14:textId="2A2F40EF" w:rsidR="00AE5A09" w:rsidRPr="00C5657A" w:rsidRDefault="00153A75" w:rsidP="005B52EA">
      <w:pPr>
        <w:pStyle w:val="SingleTxtG"/>
        <w:spacing w:after="0"/>
        <w:rPr>
          <w:lang w:val="en-IE"/>
        </w:rPr>
      </w:pPr>
      <w:r>
        <w:rPr>
          <w:lang w:val="en"/>
        </w:rPr>
        <w:t>S</w:t>
      </w:r>
      <w:r w:rsidR="00040464" w:rsidRPr="00C5657A">
        <w:rPr>
          <w:lang w:val="en"/>
        </w:rPr>
        <w:t>ince September 2021, an employment measure has been in place to support</w:t>
      </w:r>
      <w:r w:rsidR="00AE5A09" w:rsidRPr="00C5657A">
        <w:rPr>
          <w:lang w:val="en"/>
        </w:rPr>
        <w:t xml:space="preserve"> people with disabilities to access employment</w:t>
      </w:r>
      <w:r w:rsidR="00040464" w:rsidRPr="00C5657A">
        <w:rPr>
          <w:lang w:val="en"/>
        </w:rPr>
        <w:t>, including</w:t>
      </w:r>
      <w:r w:rsidR="00AE5A09" w:rsidRPr="00C5657A">
        <w:rPr>
          <w:lang w:val="en"/>
        </w:rPr>
        <w:t xml:space="preserve"> through improving ca</w:t>
      </w:r>
      <w:r w:rsidR="00040464" w:rsidRPr="00C5657A">
        <w:rPr>
          <w:lang w:val="en"/>
        </w:rPr>
        <w:t xml:space="preserve">reer progression opportunities and </w:t>
      </w:r>
      <w:r w:rsidR="00040464" w:rsidRPr="00C5657A">
        <w:rPr>
          <w:lang w:val="en-IE"/>
        </w:rPr>
        <w:t>supporting</w:t>
      </w:r>
      <w:r w:rsidR="00AE5A09" w:rsidRPr="00C5657A">
        <w:rPr>
          <w:lang w:val="en-IE"/>
        </w:rPr>
        <w:t xml:space="preserve"> potential employers </w:t>
      </w:r>
      <w:r w:rsidR="00040464" w:rsidRPr="00C5657A">
        <w:rPr>
          <w:lang w:val="en-IE"/>
        </w:rPr>
        <w:t>to provide employment for persons with a disabilit</w:t>
      </w:r>
      <w:r w:rsidR="002A1AA0" w:rsidRPr="00C5657A">
        <w:rPr>
          <w:lang w:val="en-IE"/>
        </w:rPr>
        <w:t>y</w:t>
      </w:r>
      <w:r w:rsidR="00AE5A09" w:rsidRPr="00C5657A">
        <w:rPr>
          <w:lang w:val="en-IE"/>
        </w:rPr>
        <w:t>.</w:t>
      </w:r>
      <w:r w:rsidR="00040464" w:rsidRPr="00C5657A">
        <w:rPr>
          <w:lang w:val="en-IE"/>
        </w:rPr>
        <w:t xml:space="preserve"> </w:t>
      </w:r>
      <w:proofErr w:type="spellStart"/>
      <w:r w:rsidR="00040464" w:rsidRPr="00C5657A">
        <w:rPr>
          <w:lang w:val="en-IE"/>
        </w:rPr>
        <w:t>Intreo</w:t>
      </w:r>
      <w:proofErr w:type="spellEnd"/>
      <w:r w:rsidR="00040464" w:rsidRPr="00C5657A">
        <w:rPr>
          <w:lang w:val="en-IE"/>
        </w:rPr>
        <w:t xml:space="preserve">, the public employment service, also operates an early engagement process to assist young persons with disabilities, on a voluntary basis, with realising their employment ambitions. </w:t>
      </w:r>
    </w:p>
    <w:p w14:paraId="718F37E9" w14:textId="50A6D1C2" w:rsidR="00CD0054" w:rsidRDefault="00CD0054" w:rsidP="005B52EA">
      <w:pPr>
        <w:pStyle w:val="SingleTxtG"/>
        <w:spacing w:after="0"/>
        <w:rPr>
          <w:lang w:val="en-IE"/>
        </w:rPr>
      </w:pPr>
    </w:p>
    <w:p w14:paraId="2AC9D86B" w14:textId="68C21462" w:rsidR="00153A75" w:rsidRPr="00153A75" w:rsidRDefault="00153A75" w:rsidP="005B52EA">
      <w:pPr>
        <w:pStyle w:val="SingleTxtG"/>
        <w:spacing w:after="0"/>
        <w:rPr>
          <w:u w:val="single"/>
          <w:lang w:val="en-IE"/>
        </w:rPr>
      </w:pPr>
      <w:r>
        <w:rPr>
          <w:u w:val="single"/>
          <w:lang w:val="en-IE"/>
        </w:rPr>
        <w:t>Traveller and Roma communities</w:t>
      </w:r>
    </w:p>
    <w:p w14:paraId="04B8F1F4" w14:textId="77777777" w:rsidR="00153A75" w:rsidRPr="00C5657A" w:rsidRDefault="00153A75" w:rsidP="00153A75">
      <w:pPr>
        <w:pStyle w:val="SingleTxtG"/>
        <w:spacing w:after="0"/>
        <w:rPr>
          <w:lang w:val="en-IE"/>
        </w:rPr>
      </w:pPr>
      <w:r w:rsidRPr="00C5657A">
        <w:rPr>
          <w:i/>
          <w:lang w:val="en-IE"/>
        </w:rPr>
        <w:t>NTRIS</w:t>
      </w:r>
      <w:r w:rsidRPr="00C5657A">
        <w:rPr>
          <w:lang w:val="en-IE"/>
        </w:rPr>
        <w:t xml:space="preserve"> provides the national policy framework of actions designed to improve the economic and employment opportunities of the Traveller and Roma communities in Ireland. </w:t>
      </w:r>
    </w:p>
    <w:p w14:paraId="60519591" w14:textId="77777777" w:rsidR="00153A75" w:rsidRDefault="00153A75" w:rsidP="005B52EA">
      <w:pPr>
        <w:pStyle w:val="SingleTxtG"/>
        <w:spacing w:after="0"/>
        <w:rPr>
          <w:lang w:val="en-IE"/>
        </w:rPr>
      </w:pPr>
    </w:p>
    <w:p w14:paraId="42B6721C" w14:textId="2812479A" w:rsidR="00AE5A09" w:rsidRPr="00C5657A" w:rsidRDefault="00AE5A09" w:rsidP="005B52EA">
      <w:pPr>
        <w:pStyle w:val="SingleTxtG"/>
        <w:spacing w:after="0"/>
        <w:rPr>
          <w:lang w:val="en-IE"/>
        </w:rPr>
      </w:pPr>
      <w:r w:rsidRPr="00C5657A">
        <w:rPr>
          <w:lang w:val="en-IE"/>
        </w:rPr>
        <w:lastRenderedPageBreak/>
        <w:t>To increase engagement w</w:t>
      </w:r>
      <w:r w:rsidR="009204F4" w:rsidRPr="00C5657A">
        <w:rPr>
          <w:lang w:val="en-IE"/>
        </w:rPr>
        <w:t>ith State employment programmes</w:t>
      </w:r>
      <w:r w:rsidRPr="00C5657A">
        <w:rPr>
          <w:lang w:val="en-IE"/>
        </w:rPr>
        <w:t xml:space="preserve">, </w:t>
      </w:r>
      <w:r w:rsidR="009204F4" w:rsidRPr="00C5657A">
        <w:rPr>
          <w:lang w:val="en-IE"/>
        </w:rPr>
        <w:t xml:space="preserve">a consultative forum and </w:t>
      </w:r>
      <w:r w:rsidRPr="00C5657A">
        <w:rPr>
          <w:lang w:val="en-IE"/>
        </w:rPr>
        <w:t>four stakeholder meetings were held with Traveller and Roma organisations</w:t>
      </w:r>
      <w:r w:rsidR="009204F4" w:rsidRPr="00C5657A">
        <w:rPr>
          <w:lang w:val="en-IE"/>
        </w:rPr>
        <w:t xml:space="preserve"> in 2022, on the subject of developing specific employment and service engagement tools. </w:t>
      </w:r>
    </w:p>
    <w:p w14:paraId="555650F0" w14:textId="77777777" w:rsidR="00CD0054" w:rsidRPr="00C5657A" w:rsidRDefault="00CD0054" w:rsidP="005B52EA">
      <w:pPr>
        <w:pStyle w:val="SingleTxtG"/>
        <w:spacing w:after="0"/>
        <w:rPr>
          <w:lang w:val="en-IE"/>
        </w:rPr>
      </w:pPr>
    </w:p>
    <w:p w14:paraId="29C3B294" w14:textId="08264B7A" w:rsidR="00B53CE4" w:rsidRPr="00C5657A" w:rsidRDefault="00D00CFE" w:rsidP="005B52EA">
      <w:pPr>
        <w:pStyle w:val="SingleTxtG"/>
        <w:spacing w:after="0"/>
        <w:rPr>
          <w:lang w:val="en-IE"/>
        </w:rPr>
      </w:pPr>
      <w:r w:rsidRPr="00C5657A">
        <w:rPr>
          <w:lang w:val="en-IE"/>
        </w:rPr>
        <w:t xml:space="preserve">Community employment schemes have less stringent acceptance criteria for members of the Traveller and Roma communities, and an onus has been placed on employers to accept referred candidates. </w:t>
      </w:r>
      <w:r w:rsidR="00AE5A09" w:rsidRPr="00C5657A">
        <w:rPr>
          <w:lang w:val="en-IE"/>
        </w:rPr>
        <w:t xml:space="preserve">Financial incentives are an important means of encouraging employers to hire jobseekers from groups under-represented in the labour market. As part of Budget 2023, membership of Traveller and Roma communities was included as an eligible category for the </w:t>
      </w:r>
      <w:proofErr w:type="spellStart"/>
      <w:r w:rsidR="00AE5A09" w:rsidRPr="00C5657A">
        <w:rPr>
          <w:lang w:val="en-IE"/>
        </w:rPr>
        <w:t>JobsPlus</w:t>
      </w:r>
      <w:proofErr w:type="spellEnd"/>
      <w:r w:rsidR="00AE5A09" w:rsidRPr="00C5657A">
        <w:rPr>
          <w:lang w:val="en-IE"/>
        </w:rPr>
        <w:t xml:space="preserve"> subsidy</w:t>
      </w:r>
      <w:r w:rsidRPr="00C5657A">
        <w:rPr>
          <w:rStyle w:val="CommentReference"/>
          <w:sz w:val="20"/>
          <w:szCs w:val="20"/>
        </w:rPr>
        <w:t xml:space="preserve">, </w:t>
      </w:r>
      <w:r w:rsidR="00B53CE4" w:rsidRPr="00C5657A">
        <w:t>a financial incentive to encourage employers to hire people who are long-term unemployed, or who face particular disadvantage in securing and sustaining quality employment.</w:t>
      </w:r>
      <w:r w:rsidR="00AE5A09" w:rsidRPr="00C5657A">
        <w:rPr>
          <w:lang w:val="en-IE"/>
        </w:rPr>
        <w:t xml:space="preserve"> </w:t>
      </w:r>
    </w:p>
    <w:p w14:paraId="2EE5E8B7" w14:textId="77777777" w:rsidR="00B53CE4" w:rsidRPr="00C5657A" w:rsidRDefault="00B53CE4" w:rsidP="005B52EA">
      <w:pPr>
        <w:pStyle w:val="SingleTxtG"/>
        <w:spacing w:after="0"/>
        <w:ind w:left="0"/>
        <w:rPr>
          <w:lang w:val="en-IE"/>
        </w:rPr>
      </w:pPr>
    </w:p>
    <w:p w14:paraId="2959DE4F" w14:textId="36781E8B" w:rsidR="00AE5A09" w:rsidRPr="00C5657A" w:rsidRDefault="00AE5A09" w:rsidP="005B52EA">
      <w:pPr>
        <w:pStyle w:val="SingleTxtG"/>
        <w:spacing w:after="0"/>
        <w:rPr>
          <w:lang w:val="en-IE"/>
        </w:rPr>
      </w:pPr>
      <w:r w:rsidRPr="00C5657A">
        <w:rPr>
          <w:lang w:val="en-IE"/>
        </w:rPr>
        <w:t xml:space="preserve">In 2022, €410,800 was allocated to </w:t>
      </w:r>
      <w:r w:rsidR="00153A75" w:rsidRPr="003060C9">
        <w:rPr>
          <w:lang w:val="en-IE"/>
        </w:rPr>
        <w:t>Special Initiative for Travellers</w:t>
      </w:r>
      <w:r w:rsidR="00153A75">
        <w:rPr>
          <w:lang w:val="en-IE"/>
        </w:rPr>
        <w:t xml:space="preserve"> (SIT)</w:t>
      </w:r>
      <w:r w:rsidR="00153A75" w:rsidRPr="003060C9">
        <w:rPr>
          <w:lang w:val="en-IE"/>
        </w:rPr>
        <w:t xml:space="preserve"> </w:t>
      </w:r>
      <w:r w:rsidRPr="00C5657A">
        <w:rPr>
          <w:lang w:val="en-IE"/>
        </w:rPr>
        <w:t xml:space="preserve">organisations. </w:t>
      </w:r>
      <w:r w:rsidR="00ED399D" w:rsidRPr="00C5657A">
        <w:rPr>
          <w:lang w:val="en-IE"/>
        </w:rPr>
        <w:t>I</w:t>
      </w:r>
      <w:r w:rsidRPr="00C5657A">
        <w:rPr>
          <w:lang w:val="en-IE"/>
        </w:rPr>
        <w:t>n 2022</w:t>
      </w:r>
      <w:r w:rsidR="00ED399D" w:rsidRPr="00C5657A">
        <w:rPr>
          <w:lang w:val="en-IE"/>
        </w:rPr>
        <w:t>,</w:t>
      </w:r>
      <w:r w:rsidRPr="00C5657A">
        <w:rPr>
          <w:lang w:val="en-IE"/>
        </w:rPr>
        <w:t xml:space="preserve"> additional funding of €427,386 was allocated to support six Roma employment initiatives.</w:t>
      </w:r>
    </w:p>
    <w:p w14:paraId="77E2264C" w14:textId="77777777" w:rsidR="00CD0054" w:rsidRPr="00C5657A" w:rsidRDefault="00CD0054" w:rsidP="005B52EA">
      <w:pPr>
        <w:pStyle w:val="SingleTxtG"/>
        <w:spacing w:after="0"/>
        <w:rPr>
          <w:lang w:val="en-IE"/>
        </w:rPr>
      </w:pPr>
    </w:p>
    <w:p w14:paraId="77B239EA" w14:textId="76F0C952" w:rsidR="00AE5A09" w:rsidRPr="00C5657A" w:rsidRDefault="00AE5A09" w:rsidP="005B52EA">
      <w:pPr>
        <w:pStyle w:val="SingleTxtG"/>
        <w:spacing w:after="0"/>
        <w:rPr>
          <w:lang w:val="en-IE"/>
        </w:rPr>
      </w:pPr>
      <w:r w:rsidRPr="00C5657A">
        <w:rPr>
          <w:lang w:val="en-IE"/>
        </w:rPr>
        <w:t>The Department of Rural and Community Development is currently consulting with all target groups on the f</w:t>
      </w:r>
      <w:r w:rsidR="00ED399D" w:rsidRPr="00C5657A">
        <w:rPr>
          <w:lang w:val="en-IE"/>
        </w:rPr>
        <w:t xml:space="preserve">uture development of the </w:t>
      </w:r>
      <w:r w:rsidR="00153A75" w:rsidRPr="003060C9">
        <w:rPr>
          <w:lang w:val="en-IE"/>
        </w:rPr>
        <w:t>Social Inclusion and Community Activation Programme (SICAP)</w:t>
      </w:r>
      <w:r w:rsidR="00ED399D" w:rsidRPr="00C5657A">
        <w:rPr>
          <w:lang w:val="en-IE"/>
        </w:rPr>
        <w:t>.</w:t>
      </w:r>
    </w:p>
    <w:p w14:paraId="6AB82119" w14:textId="77777777" w:rsidR="00CD0054" w:rsidRPr="00C5657A" w:rsidRDefault="00CD0054" w:rsidP="005B52EA">
      <w:pPr>
        <w:pStyle w:val="SingleTxtG"/>
        <w:spacing w:after="0"/>
        <w:rPr>
          <w:lang w:val="en-IE"/>
        </w:rPr>
      </w:pPr>
    </w:p>
    <w:p w14:paraId="0B64C637" w14:textId="0191D6C5" w:rsidR="00ED399D" w:rsidRPr="00C5657A" w:rsidRDefault="00ED399D" w:rsidP="005B52EA">
      <w:pPr>
        <w:pStyle w:val="SingleTxtG"/>
        <w:spacing w:after="0"/>
      </w:pPr>
      <w:r w:rsidRPr="00C5657A">
        <w:rPr>
          <w:lang w:val="en-IE"/>
        </w:rPr>
        <w:t xml:space="preserve">In 2023, €1 million is available to support social enterprises and community/voluntary organisations, with a strand focusing on circular economy projects that are either Traveller-led or will primarily employ members of the Traveller community. </w:t>
      </w:r>
    </w:p>
    <w:p w14:paraId="3414D75D" w14:textId="77777777" w:rsidR="00ED399D" w:rsidRPr="00C5657A" w:rsidRDefault="00ED399D" w:rsidP="005B52EA">
      <w:pPr>
        <w:pStyle w:val="SingleTxtG"/>
        <w:spacing w:after="0"/>
        <w:rPr>
          <w:lang w:val="en-IE"/>
        </w:rPr>
      </w:pPr>
    </w:p>
    <w:p w14:paraId="1E96EB25" w14:textId="77777777" w:rsidR="00AE5A09" w:rsidRPr="00C5657A" w:rsidRDefault="004E4CD5" w:rsidP="005B52EA">
      <w:pPr>
        <w:pStyle w:val="SingleTxtG"/>
        <w:spacing w:after="0"/>
        <w:rPr>
          <w:b/>
        </w:rPr>
      </w:pPr>
      <w:r w:rsidRPr="00C5657A">
        <w:rPr>
          <w:b/>
        </w:rPr>
        <w:t>R</w:t>
      </w:r>
      <w:r w:rsidR="00AE5A09" w:rsidRPr="00C5657A">
        <w:rPr>
          <w:b/>
        </w:rPr>
        <w:t>ight to just and favourable conditions of work (art. 7)</w:t>
      </w:r>
    </w:p>
    <w:p w14:paraId="0E86C879" w14:textId="77777777" w:rsidR="00153A75" w:rsidRDefault="00153A75" w:rsidP="005B52EA">
      <w:pPr>
        <w:pStyle w:val="SingleTxtG"/>
        <w:spacing w:after="0"/>
        <w:rPr>
          <w:b/>
        </w:rPr>
      </w:pPr>
    </w:p>
    <w:p w14:paraId="1EC7B48C" w14:textId="67D26C04" w:rsidR="00AE5A09" w:rsidRPr="00C5657A" w:rsidRDefault="00AE5A09" w:rsidP="005B52EA">
      <w:pPr>
        <w:pStyle w:val="SingleTxtG"/>
        <w:spacing w:after="0"/>
        <w:rPr>
          <w:b/>
        </w:rPr>
      </w:pPr>
      <w:r w:rsidRPr="00C5657A">
        <w:rPr>
          <w:b/>
        </w:rPr>
        <w:t>Reply to para</w:t>
      </w:r>
      <w:r w:rsidR="004E4CD5" w:rsidRPr="00C5657A">
        <w:rPr>
          <w:b/>
        </w:rPr>
        <w:t>graph</w:t>
      </w:r>
      <w:r w:rsidR="00572AF3" w:rsidRPr="00C5657A">
        <w:rPr>
          <w:b/>
        </w:rPr>
        <w:t xml:space="preserve"> 11</w:t>
      </w:r>
      <w:r w:rsidRPr="00C5657A">
        <w:rPr>
          <w:b/>
        </w:rPr>
        <w:tab/>
      </w:r>
    </w:p>
    <w:p w14:paraId="608BF45D" w14:textId="09FCA906" w:rsidR="00AE5A09" w:rsidRPr="00C5657A" w:rsidRDefault="00AE5A09" w:rsidP="005B52EA">
      <w:pPr>
        <w:pStyle w:val="SingleTxtG"/>
        <w:spacing w:after="0"/>
      </w:pPr>
      <w:r w:rsidRPr="00C5657A">
        <w:t xml:space="preserve">The Low Pay Commission is an independent body </w:t>
      </w:r>
      <w:r w:rsidR="00EF48FC" w:rsidRPr="00C5657A">
        <w:t xml:space="preserve">with </w:t>
      </w:r>
      <w:r w:rsidRPr="00C5657A">
        <w:t xml:space="preserve">the principal function to examine the national minimum hourly rate of pay </w:t>
      </w:r>
      <w:r w:rsidR="004E4CD5" w:rsidRPr="00C5657A">
        <w:t>on an annual basis and to make</w:t>
      </w:r>
      <w:r w:rsidRPr="00C5657A">
        <w:t xml:space="preserve"> recommendation</w:t>
      </w:r>
      <w:r w:rsidR="004E4CD5" w:rsidRPr="00C5657A">
        <w:t>s</w:t>
      </w:r>
      <w:r w:rsidRPr="00C5657A">
        <w:t xml:space="preserve"> to the Minister, ensuring that all decisions are evidence-based, fair and sustainable, and do not create significant adverse consequences for employment or competitiveness. </w:t>
      </w:r>
    </w:p>
    <w:p w14:paraId="0702C288" w14:textId="77777777" w:rsidR="00CD0054" w:rsidRPr="00C5657A" w:rsidRDefault="00CD0054" w:rsidP="005B52EA">
      <w:pPr>
        <w:pStyle w:val="SingleTxtG"/>
        <w:spacing w:after="0"/>
      </w:pPr>
    </w:p>
    <w:p w14:paraId="6D55BA07" w14:textId="02603BA1" w:rsidR="00CD0054" w:rsidRPr="00C5657A" w:rsidRDefault="00420C3F" w:rsidP="005B52EA">
      <w:pPr>
        <w:pStyle w:val="SingleTxtG"/>
        <w:spacing w:after="0"/>
      </w:pPr>
      <w:r w:rsidRPr="00C5657A">
        <w:t>The Commission takes many factors into account when considering its recommendations, including best available evidence, and views arising from public consultation and meetings with interested stakeholders The Commission is always mindful of the application of the minimum wage to all employees, including those with disabilities.</w:t>
      </w:r>
    </w:p>
    <w:p w14:paraId="3166A3A9" w14:textId="76E5EA2D" w:rsidR="00420C3F" w:rsidRPr="00C5657A" w:rsidRDefault="00420C3F" w:rsidP="005B52EA">
      <w:pPr>
        <w:pStyle w:val="SingleTxtG"/>
        <w:spacing w:after="0"/>
      </w:pPr>
    </w:p>
    <w:p w14:paraId="1E76B9DD" w14:textId="1EFACB34" w:rsidR="00AE5A09" w:rsidRPr="00C5657A" w:rsidRDefault="00AE5A09" w:rsidP="005B52EA">
      <w:pPr>
        <w:pStyle w:val="SingleTxtG"/>
        <w:spacing w:after="0"/>
      </w:pPr>
      <w:r w:rsidRPr="00C5657A">
        <w:t xml:space="preserve">The Commission comprises eight members and an independent Chairperson. Three members are appointed </w:t>
      </w:r>
      <w:r w:rsidR="009714E0" w:rsidRPr="00C5657A">
        <w:t>to represent the</w:t>
      </w:r>
      <w:r w:rsidRPr="00C5657A">
        <w:t xml:space="preserve"> interests of employers (particularly small to medium-sized employers and those operating in traditionally low paid sectors).  Three of the members are appointed </w:t>
      </w:r>
      <w:r w:rsidR="009714E0" w:rsidRPr="00C5657A">
        <w:t>to represent the</w:t>
      </w:r>
      <w:r w:rsidRPr="00C5657A">
        <w:t xml:space="preserve"> interests of employees, particularly </w:t>
      </w:r>
      <w:r w:rsidR="009714E0" w:rsidRPr="00C5657A">
        <w:t>from</w:t>
      </w:r>
      <w:r w:rsidRPr="00C5657A">
        <w:t xml:space="preserve"> sectors where low pay and minimum wage workers are concentrated. The remaining two members are appointed </w:t>
      </w:r>
      <w:r w:rsidR="009714E0" w:rsidRPr="00C5657A">
        <w:t>based on</w:t>
      </w:r>
      <w:r w:rsidRPr="00C5657A">
        <w:t xml:space="preserve"> particular knowledge and expertise in labour market economics. When vacancies</w:t>
      </w:r>
      <w:r w:rsidR="00C4667E" w:rsidRPr="00C5657A">
        <w:t xml:space="preserve"> arise</w:t>
      </w:r>
      <w:r w:rsidRPr="00C5657A">
        <w:t>, they are filled by open competition conducted by the Public Appointments Service.</w:t>
      </w:r>
    </w:p>
    <w:p w14:paraId="310B52DC" w14:textId="77777777" w:rsidR="00CD0054" w:rsidRPr="00C5657A" w:rsidRDefault="00CD0054" w:rsidP="005B52EA">
      <w:pPr>
        <w:pStyle w:val="SingleTxtG"/>
        <w:spacing w:after="0"/>
      </w:pPr>
    </w:p>
    <w:p w14:paraId="4BC51359" w14:textId="3B50EF2F" w:rsidR="00AE5A09" w:rsidRPr="00C5657A" w:rsidRDefault="00AE5A09" w:rsidP="005B52EA">
      <w:pPr>
        <w:pStyle w:val="SingleTxtG"/>
        <w:spacing w:after="0"/>
      </w:pPr>
      <w:r w:rsidRPr="00C5657A">
        <w:t>The Government is committed to a fair wage for all workers. The current Programme for Government makes the commitment to “progress to a living wage over the life</w:t>
      </w:r>
      <w:r w:rsidR="00153A75">
        <w:t xml:space="preserve">time of the Government”. </w:t>
      </w:r>
      <w:r w:rsidR="009714E0" w:rsidRPr="00C5657A">
        <w:t>In 2022</w:t>
      </w:r>
      <w:r w:rsidRPr="00C5657A">
        <w:t xml:space="preserve">, </w:t>
      </w:r>
      <w:r w:rsidR="004E4CD5" w:rsidRPr="00C5657A">
        <w:t xml:space="preserve">the Low Pay Commission </w:t>
      </w:r>
      <w:r w:rsidR="009714E0" w:rsidRPr="00C5657A">
        <w:t>prepared a report, including</w:t>
      </w:r>
      <w:r w:rsidRPr="00C5657A">
        <w:t xml:space="preserve"> recommendations</w:t>
      </w:r>
      <w:r w:rsidR="009714E0" w:rsidRPr="00C5657A">
        <w:t>,</w:t>
      </w:r>
      <w:r w:rsidRPr="00C5657A">
        <w:t xml:space="preserve"> on the best approach to achieving this commitment</w:t>
      </w:r>
      <w:r w:rsidR="009714E0" w:rsidRPr="00C5657A">
        <w:t xml:space="preserve">. </w:t>
      </w:r>
    </w:p>
    <w:p w14:paraId="390E421E" w14:textId="77777777" w:rsidR="00CD0054" w:rsidRPr="00C5657A" w:rsidRDefault="00CD0054" w:rsidP="005B52EA">
      <w:pPr>
        <w:pStyle w:val="SingleTxtG"/>
        <w:spacing w:after="0"/>
      </w:pPr>
    </w:p>
    <w:p w14:paraId="628422C8" w14:textId="4A2C01E7" w:rsidR="00AE5A09" w:rsidRPr="00C5657A" w:rsidRDefault="00AE5A09" w:rsidP="005B52EA">
      <w:pPr>
        <w:pStyle w:val="SingleTxtG"/>
        <w:spacing w:after="0"/>
      </w:pPr>
      <w:r w:rsidRPr="00C5657A">
        <w:t xml:space="preserve">The living wage will be achieved through incremental changes to the National Minimum Wage over a four-year period unless otherwise agreed by Government on the advice of the Low Pay Commission. The National Minimum Wage will be retitled to the National Living Wage when the threshold of 60% of median wage is reached. The current increase of 80 </w:t>
      </w:r>
      <w:proofErr w:type="gramStart"/>
      <w:r w:rsidRPr="00C5657A">
        <w:t>cent</w:t>
      </w:r>
      <w:proofErr w:type="gramEnd"/>
      <w:r w:rsidRPr="00C5657A">
        <w:t xml:space="preserve"> in the National Minimum Wage rate from 1 January 2023 can be considered the first year of the proposed four-year path towards reaching the living wage of 60% of the median wage. </w:t>
      </w:r>
    </w:p>
    <w:p w14:paraId="69A338C9" w14:textId="77777777" w:rsidR="00CD0054" w:rsidRPr="00C5657A" w:rsidRDefault="00CD0054" w:rsidP="005B52EA">
      <w:pPr>
        <w:pStyle w:val="SingleTxtG"/>
        <w:spacing w:after="0"/>
      </w:pPr>
    </w:p>
    <w:p w14:paraId="317037A0" w14:textId="77777777" w:rsidR="004B11AC" w:rsidRPr="00C5657A" w:rsidRDefault="004B11AC" w:rsidP="004B11AC">
      <w:pPr>
        <w:pStyle w:val="SingleTxtG"/>
        <w:spacing w:after="0"/>
      </w:pPr>
      <w:r>
        <w:lastRenderedPageBreak/>
        <w:t xml:space="preserve">The Low Pay Commission examined issues around subminimum rates in December 2017. </w:t>
      </w:r>
      <w:r w:rsidRPr="00C5657A">
        <w:t xml:space="preserve">On balance, the Commission felt that it was important to provide an incentive to employers to hire younger workers and that the rationale for subminimum rates is based on the recognition of the value of experience to employers. The Commission also concluded that abolishing youth rates could potentially act as an incentive for young people to leave education and take up employment, which could have a negative impact on their long-term prospects. </w:t>
      </w:r>
    </w:p>
    <w:p w14:paraId="3912BA22" w14:textId="77777777" w:rsidR="004B11AC" w:rsidRPr="00C5657A" w:rsidRDefault="004B11AC" w:rsidP="004B11AC">
      <w:pPr>
        <w:pStyle w:val="SingleTxtG"/>
        <w:spacing w:after="0"/>
      </w:pPr>
    </w:p>
    <w:p w14:paraId="1E7B8F5B" w14:textId="2164EB1B" w:rsidR="004B11AC" w:rsidRDefault="004B11AC" w:rsidP="004B11AC">
      <w:pPr>
        <w:pStyle w:val="SingleTxtG"/>
        <w:spacing w:after="0"/>
      </w:pPr>
      <w:r>
        <w:t>T</w:t>
      </w:r>
      <w:r w:rsidRPr="00C5657A">
        <w:t xml:space="preserve">here has been </w:t>
      </w:r>
      <w:r>
        <w:t>recent</w:t>
      </w:r>
      <w:r w:rsidRPr="00C5657A">
        <w:t xml:space="preserve"> discussion in Ireland relating to national minimum wage</w:t>
      </w:r>
      <w:r>
        <w:t xml:space="preserve"> subminimum rates and t</w:t>
      </w:r>
      <w:r w:rsidRPr="00C5657A">
        <w:t xml:space="preserve">he </w:t>
      </w:r>
      <w:r>
        <w:t xml:space="preserve">Minister has asked the </w:t>
      </w:r>
      <w:r w:rsidRPr="00C5657A">
        <w:t>Low Pay Commission to re-examine the issues around retaining or removing the</w:t>
      </w:r>
      <w:r>
        <w:t>se</w:t>
      </w:r>
      <w:r w:rsidRPr="00C5657A">
        <w:t xml:space="preserve"> rates.</w:t>
      </w:r>
      <w:r>
        <w:t xml:space="preserve"> </w:t>
      </w:r>
      <w:r w:rsidRPr="00C5657A">
        <w:t xml:space="preserve">The Commission’s report and recommendations </w:t>
      </w:r>
      <w:r>
        <w:t xml:space="preserve">on this subject </w:t>
      </w:r>
      <w:r w:rsidRPr="00C5657A">
        <w:t xml:space="preserve">are expected during </w:t>
      </w:r>
      <w:r>
        <w:t>2023.</w:t>
      </w:r>
    </w:p>
    <w:p w14:paraId="1D549EE5" w14:textId="77777777" w:rsidR="00F04914" w:rsidRPr="00C5657A" w:rsidRDefault="00F04914" w:rsidP="005B52EA">
      <w:pPr>
        <w:pStyle w:val="SingleTxtG"/>
        <w:spacing w:after="0"/>
      </w:pPr>
    </w:p>
    <w:p w14:paraId="63FECC12" w14:textId="7B3444A3" w:rsidR="00572AF3" w:rsidRPr="00C5657A" w:rsidRDefault="00AE5A09" w:rsidP="00A52400">
      <w:pPr>
        <w:pStyle w:val="SingleTxtG"/>
        <w:spacing w:after="0"/>
        <w:rPr>
          <w:b/>
        </w:rPr>
      </w:pPr>
      <w:r w:rsidRPr="00C5657A">
        <w:rPr>
          <w:b/>
        </w:rPr>
        <w:t>Reply to para</w:t>
      </w:r>
      <w:r w:rsidR="00DD50F4" w:rsidRPr="00C5657A">
        <w:rPr>
          <w:b/>
        </w:rPr>
        <w:t>graph</w:t>
      </w:r>
      <w:r w:rsidR="00A52400" w:rsidRPr="00C5657A">
        <w:rPr>
          <w:b/>
        </w:rPr>
        <w:t xml:space="preserve"> 13</w:t>
      </w:r>
    </w:p>
    <w:p w14:paraId="69F93C23" w14:textId="5ECFB897" w:rsidR="00EB0818" w:rsidRPr="00C5657A" w:rsidRDefault="00153A75" w:rsidP="00EB0818">
      <w:pPr>
        <w:pStyle w:val="SingleTxtG"/>
      </w:pPr>
      <w:r>
        <w:t>In 2017, t</w:t>
      </w:r>
      <w:r w:rsidR="00EB0818" w:rsidRPr="00C5657A">
        <w:t xml:space="preserve">he Ombudsman issued a report on the operation of the </w:t>
      </w:r>
      <w:r w:rsidRPr="00C5657A">
        <w:t xml:space="preserve">Ex Gratia Scheme </w:t>
      </w:r>
      <w:r w:rsidR="00EB0818" w:rsidRPr="00C5657A">
        <w:t>and made a number of recommendations, all of which were accepted by Government. Arising from one of the Ombudsman’s recommendations, in May 2018 the Government decided to apply the scheme to women who worked in the laundries in the 12 institutions but who were resident in one of the 14 adjoining institutions.</w:t>
      </w:r>
    </w:p>
    <w:p w14:paraId="1ABD7034" w14:textId="36381EDB" w:rsidR="00EB0818" w:rsidRPr="00C5657A" w:rsidRDefault="00EB0818" w:rsidP="00572AF3">
      <w:pPr>
        <w:pStyle w:val="SingleTxtG"/>
      </w:pPr>
      <w:r w:rsidRPr="00C5657A">
        <w:t>The Scheme is non-adversarial and is based on length of stay in a relevant institution. In relation to the Magdalen women, what needs to be established is that a person was admitted to a Magdalen Institution and worked there without pay for a period of time. In relation to the adjoining institutions, some evidence of working in the laundry of the Magdalen Institution is required i</w:t>
      </w:r>
      <w:r w:rsidR="00572AF3" w:rsidRPr="00C5657A">
        <w:t>n order to qualify.</w:t>
      </w:r>
    </w:p>
    <w:p w14:paraId="4F29F5C2" w14:textId="67B723AE" w:rsidR="00EB0818" w:rsidRPr="00C5657A" w:rsidRDefault="00EB0818" w:rsidP="00572AF3">
      <w:pPr>
        <w:pStyle w:val="SingleTxtG"/>
      </w:pPr>
      <w:r w:rsidRPr="00C5657A">
        <w:t xml:space="preserve">The </w:t>
      </w:r>
      <w:r w:rsidRPr="00153A75">
        <w:rPr>
          <w:i/>
        </w:rPr>
        <w:t>Redress for Women Resident in Certain Institutions Act 2015</w:t>
      </w:r>
      <w:r w:rsidRPr="00C5657A">
        <w:t xml:space="preserve"> makes provision for a range of primary and community health services in Ireland for women who qualify under the Restorative Justice Scheme. Eligibility for these services are identified by way of the 2015A card. There are currently 603 cardholders. A Redress Reimbursement Scheme is also available for persons who are eligible for a 2015A card but who reside outside the State. Eligible persons residing overseas can alternatively access equivalent primary and community health services abroad and subsequently s</w:t>
      </w:r>
      <w:r w:rsidR="00572AF3" w:rsidRPr="00C5657A">
        <w:t>eek reimbursement from the HSE.</w:t>
      </w:r>
    </w:p>
    <w:p w14:paraId="6E89BD0C" w14:textId="77777777" w:rsidR="001A32D6" w:rsidRPr="001A32D6" w:rsidRDefault="00EB0818" w:rsidP="001A32D6">
      <w:pPr>
        <w:pStyle w:val="SingleTxtG"/>
        <w:rPr>
          <w:u w:val="single"/>
        </w:rPr>
      </w:pPr>
      <w:r w:rsidRPr="001A32D6">
        <w:rPr>
          <w:u w:val="single"/>
        </w:rPr>
        <w:t>National Cent</w:t>
      </w:r>
      <w:r w:rsidR="001A32D6" w:rsidRPr="001A32D6">
        <w:rPr>
          <w:u w:val="single"/>
        </w:rPr>
        <w:t>re for Research and Remembrance</w:t>
      </w:r>
    </w:p>
    <w:p w14:paraId="349AC74A" w14:textId="05F27B68" w:rsidR="00EB0818" w:rsidRPr="00C5657A" w:rsidRDefault="00EB0818" w:rsidP="001A32D6">
      <w:pPr>
        <w:pStyle w:val="SingleTxtG"/>
      </w:pPr>
      <w:r w:rsidRPr="00C5657A">
        <w:t xml:space="preserve">Actions 7 and 15 of the Government </w:t>
      </w:r>
      <w:r w:rsidR="001A32D6">
        <w:t>‘</w:t>
      </w:r>
      <w:r w:rsidRPr="00C5657A">
        <w:t>Action Plan for Survivors and Former Residents of Mother and Baby and County Home Institutions</w:t>
      </w:r>
      <w:r w:rsidR="001A32D6">
        <w:t>’</w:t>
      </w:r>
      <w:r w:rsidRPr="00C5657A">
        <w:t xml:space="preserve"> commit to the development of a national memorial and records centre.</w:t>
      </w:r>
      <w:r w:rsidR="00572AF3" w:rsidRPr="00C5657A">
        <w:t xml:space="preserve"> </w:t>
      </w:r>
      <w:r w:rsidRPr="00C5657A">
        <w:t>The Centre will comprise of a number of distinct, yet interrelated, areas, including:</w:t>
      </w:r>
    </w:p>
    <w:p w14:paraId="30DC28FE" w14:textId="5103BE58" w:rsidR="00EB0818" w:rsidRPr="00C5657A" w:rsidRDefault="00EB0818" w:rsidP="00EC6275">
      <w:pPr>
        <w:pStyle w:val="SingleTxtG"/>
        <w:numPr>
          <w:ilvl w:val="0"/>
          <w:numId w:val="15"/>
        </w:numPr>
      </w:pPr>
      <w:r w:rsidRPr="00C5657A">
        <w:t>a museum and exhibition space, the development of which will be led by the National Museum of Ireland,</w:t>
      </w:r>
    </w:p>
    <w:p w14:paraId="091D5A37" w14:textId="6ECE01F7" w:rsidR="00EB0818" w:rsidRPr="00C5657A" w:rsidRDefault="00EB0818" w:rsidP="00EC6275">
      <w:pPr>
        <w:pStyle w:val="SingleTxtG"/>
        <w:numPr>
          <w:ilvl w:val="0"/>
          <w:numId w:val="15"/>
        </w:numPr>
      </w:pPr>
      <w:r w:rsidRPr="00C5657A">
        <w:t>a research centre and central repository of records related to institutional trauma in the 20</w:t>
      </w:r>
      <w:r w:rsidRPr="001A32D6">
        <w:rPr>
          <w:vertAlign w:val="superscript"/>
        </w:rPr>
        <w:t>th</w:t>
      </w:r>
      <w:r w:rsidR="001A32D6">
        <w:t xml:space="preserve"> </w:t>
      </w:r>
      <w:r w:rsidRPr="00C5657A">
        <w:t>century which will form part of the National Archives, and</w:t>
      </w:r>
    </w:p>
    <w:p w14:paraId="461A9D76" w14:textId="725B47CD" w:rsidR="00EB0818" w:rsidRPr="00C5657A" w:rsidRDefault="00EB0818" w:rsidP="00EC6275">
      <w:pPr>
        <w:pStyle w:val="SingleTxtG"/>
        <w:numPr>
          <w:ilvl w:val="0"/>
          <w:numId w:val="15"/>
        </w:numPr>
      </w:pPr>
      <w:r w:rsidRPr="00C5657A">
        <w:t>a place for reflection and remembrance.</w:t>
      </w:r>
    </w:p>
    <w:p w14:paraId="7E21F821" w14:textId="77777777" w:rsidR="00572AF3" w:rsidRPr="00C5657A" w:rsidRDefault="00EB0818" w:rsidP="00572AF3">
      <w:pPr>
        <w:pStyle w:val="SingleTxtG"/>
      </w:pPr>
      <w:r w:rsidRPr="00C5657A">
        <w:t>The Centre will also contribute to the social and economic development of the North East Inner City of Dublin through the inclusion of social housing and local community facilities, and an educational facility.</w:t>
      </w:r>
    </w:p>
    <w:p w14:paraId="77433A7C" w14:textId="42B6F313" w:rsidR="00572AF3" w:rsidRPr="00C5657A" w:rsidRDefault="001A32D6" w:rsidP="00572AF3">
      <w:pPr>
        <w:pStyle w:val="SingleTxtG"/>
      </w:pPr>
      <w:r>
        <w:t>The Centre is a significant</w:t>
      </w:r>
      <w:r w:rsidR="00572AF3" w:rsidRPr="00C5657A">
        <w:t xml:space="preserve"> multi-dimensional, multi-annual capital programme with a number of constituent projects that will be driven by respective project owners under the management of an overall programme plan. </w:t>
      </w:r>
    </w:p>
    <w:p w14:paraId="52B62D7C" w14:textId="556118B5" w:rsidR="00EB0818" w:rsidRPr="00C5657A" w:rsidRDefault="00EB0818" w:rsidP="00572AF3">
      <w:pPr>
        <w:pStyle w:val="SingleTxtG"/>
      </w:pPr>
      <w:r w:rsidRPr="00C5657A">
        <w:t>While the Centre will be a national institution, it will be designed to facilitate remote access to digital records and exhibits for all survivors, whether in other parts o</w:t>
      </w:r>
      <w:r w:rsidR="00572AF3" w:rsidRPr="00C5657A">
        <w:t xml:space="preserve">f Ireland or across the world. </w:t>
      </w:r>
      <w:r w:rsidRPr="00C5657A">
        <w:t xml:space="preserve">These initiatives will be progressed at local/national level in conjunction with local authorities and, at a more global level in conjunction with </w:t>
      </w:r>
      <w:r w:rsidR="001A32D6">
        <w:t>Ireland’s Embassy and Mission network</w:t>
      </w:r>
      <w:r w:rsidRPr="00C5657A">
        <w:t>.</w:t>
      </w:r>
    </w:p>
    <w:p w14:paraId="0DB5A45C" w14:textId="77777777" w:rsidR="00EB0818" w:rsidRPr="00C5657A" w:rsidRDefault="00EB0818" w:rsidP="00EB0818">
      <w:pPr>
        <w:pStyle w:val="SingleTxtG"/>
        <w:rPr>
          <w:u w:val="single"/>
        </w:rPr>
      </w:pPr>
      <w:r w:rsidRPr="00C5657A">
        <w:rPr>
          <w:u w:val="single"/>
        </w:rPr>
        <w:t>Mother and Baby Institutions Payment Scheme</w:t>
      </w:r>
    </w:p>
    <w:p w14:paraId="0C6F08F5" w14:textId="296C95E5" w:rsidR="00EB0818" w:rsidRPr="00C5657A" w:rsidRDefault="00EB0818" w:rsidP="00EB0818">
      <w:pPr>
        <w:pStyle w:val="SingleTxtG"/>
      </w:pPr>
      <w:r w:rsidRPr="00C5657A">
        <w:lastRenderedPageBreak/>
        <w:t>This Scheme is a key commitment in the Government’s response to the Final Report of the Commission of Investigati</w:t>
      </w:r>
      <w:r w:rsidR="001A32D6">
        <w:t xml:space="preserve">on into Mother and Baby Homes. </w:t>
      </w:r>
      <w:r w:rsidRPr="00C5657A">
        <w:t xml:space="preserve">The Government’s response is set out in the published ‘Action Plan for Survivors and Former Residents of Mother and Baby and County Home Institutions’. </w:t>
      </w:r>
    </w:p>
    <w:p w14:paraId="57F4775B" w14:textId="57300CC8" w:rsidR="00EB0818" w:rsidRPr="00C5657A" w:rsidRDefault="00EB0818" w:rsidP="00EB0818">
      <w:pPr>
        <w:pStyle w:val="SingleTxtG"/>
      </w:pPr>
      <w:r w:rsidRPr="00C5657A">
        <w:t xml:space="preserve">The Scheme will include financial payments and a form of enhanced medical card. There are two types of financial payment:  </w:t>
      </w:r>
    </w:p>
    <w:p w14:paraId="5893CDDA" w14:textId="67CD7D62" w:rsidR="00EB0818" w:rsidRPr="00C5657A" w:rsidRDefault="00EB0818" w:rsidP="001A32D6">
      <w:pPr>
        <w:pStyle w:val="SingleTxtG"/>
        <w:numPr>
          <w:ilvl w:val="0"/>
          <w:numId w:val="29"/>
        </w:numPr>
      </w:pPr>
      <w:r w:rsidRPr="00C5657A">
        <w:t xml:space="preserve">A general payment to recognise time spent in the institution, harsh conditions, emotional abuse and all other forms of mistreatment, stigma and trauma experienced while resident in a Mother and Baby or County Home Institution. </w:t>
      </w:r>
    </w:p>
    <w:p w14:paraId="394CFE56" w14:textId="31253C7E" w:rsidR="00EB0818" w:rsidRPr="00C5657A" w:rsidRDefault="00EB0818" w:rsidP="001A32D6">
      <w:pPr>
        <w:pStyle w:val="SingleTxtG"/>
        <w:numPr>
          <w:ilvl w:val="0"/>
          <w:numId w:val="29"/>
        </w:numPr>
      </w:pPr>
      <w:r w:rsidRPr="00C5657A">
        <w:t>A work-related payment.</w:t>
      </w:r>
    </w:p>
    <w:p w14:paraId="59C5F06C" w14:textId="27A38089" w:rsidR="00EB0818" w:rsidRPr="00C5657A" w:rsidRDefault="00EB0818" w:rsidP="00EB0818">
      <w:pPr>
        <w:pStyle w:val="SingleTxtG"/>
      </w:pPr>
      <w:r w:rsidRPr="00C5657A">
        <w:t xml:space="preserve">A person will be eligible for a general payment if they were either a pregnant or unmarried mother who was resident in a Mother and Baby or County Home Institution for any period of time, including when you were under 18 years of age at the time of being pregnant, or a person who was resident as a child in a Mother and Baby or County Home Institution for a period of 180 days or more. </w:t>
      </w:r>
    </w:p>
    <w:p w14:paraId="19A54E81" w14:textId="50759AC7" w:rsidR="00EB0818" w:rsidRPr="00C5657A" w:rsidRDefault="00EB0818" w:rsidP="00EB0818">
      <w:pPr>
        <w:pStyle w:val="SingleTxtG"/>
      </w:pPr>
      <w:r w:rsidRPr="00C5657A">
        <w:t xml:space="preserve">A person will be eligible for a work-related payment if they were a pregnant or unmarried mother who was resident in a County Home Institution, the </w:t>
      </w:r>
      <w:proofErr w:type="spellStart"/>
      <w:r w:rsidRPr="00C5657A">
        <w:t>Tuam</w:t>
      </w:r>
      <w:proofErr w:type="spellEnd"/>
      <w:r w:rsidRPr="00C5657A">
        <w:t xml:space="preserve"> Mother and Baby Home or Sean Ross Abbey Mother and Baby Home for more than 90 days.</w:t>
      </w:r>
    </w:p>
    <w:p w14:paraId="75C17A96" w14:textId="044B7D66" w:rsidR="00EB0818" w:rsidRPr="00C5657A" w:rsidRDefault="00EB0818" w:rsidP="00A52400">
      <w:pPr>
        <w:pStyle w:val="SingleTxtG"/>
      </w:pPr>
      <w:r w:rsidRPr="00C5657A">
        <w:t xml:space="preserve">The </w:t>
      </w:r>
      <w:r w:rsidRPr="001A32D6">
        <w:rPr>
          <w:i/>
        </w:rPr>
        <w:t xml:space="preserve">Mother and Baby Institutions Payment Scheme </w:t>
      </w:r>
      <w:r w:rsidR="001A32D6" w:rsidRPr="001A32D6">
        <w:rPr>
          <w:i/>
        </w:rPr>
        <w:t>Act</w:t>
      </w:r>
      <w:r w:rsidR="001A32D6">
        <w:t xml:space="preserve"> was enacted in July 2023.</w:t>
      </w:r>
    </w:p>
    <w:p w14:paraId="6EBBAE98" w14:textId="77777777" w:rsidR="001A32D6" w:rsidRDefault="001A32D6" w:rsidP="005B52EA">
      <w:pPr>
        <w:pStyle w:val="SingleTxtG"/>
        <w:spacing w:after="0"/>
        <w:rPr>
          <w:b/>
        </w:rPr>
      </w:pPr>
    </w:p>
    <w:p w14:paraId="74C24FD3" w14:textId="159ACD1E" w:rsidR="00AE5A09" w:rsidRPr="00C5657A" w:rsidRDefault="00AE5A09" w:rsidP="005B52EA">
      <w:pPr>
        <w:pStyle w:val="SingleTxtG"/>
        <w:spacing w:after="0"/>
        <w:rPr>
          <w:b/>
        </w:rPr>
      </w:pPr>
      <w:r w:rsidRPr="00C5657A">
        <w:rPr>
          <w:b/>
        </w:rPr>
        <w:t xml:space="preserve">Trade union rights (art. 8) </w:t>
      </w:r>
    </w:p>
    <w:p w14:paraId="4581E1AF" w14:textId="77777777" w:rsidR="001A32D6" w:rsidRDefault="001A32D6" w:rsidP="00A52400">
      <w:pPr>
        <w:pStyle w:val="SingleTxtG"/>
        <w:spacing w:after="0"/>
        <w:rPr>
          <w:b/>
        </w:rPr>
      </w:pPr>
    </w:p>
    <w:p w14:paraId="7DBDDBEC" w14:textId="247206F6" w:rsidR="00CD0054" w:rsidRPr="00C5657A" w:rsidRDefault="00A52400" w:rsidP="00A52400">
      <w:pPr>
        <w:pStyle w:val="SingleTxtG"/>
        <w:spacing w:after="0"/>
        <w:rPr>
          <w:b/>
        </w:rPr>
      </w:pPr>
      <w:r w:rsidRPr="00C5657A">
        <w:rPr>
          <w:b/>
        </w:rPr>
        <w:t>Reply to paragraph 14</w:t>
      </w:r>
    </w:p>
    <w:p w14:paraId="77E19F15" w14:textId="45AE4600" w:rsidR="000013C2" w:rsidRPr="00C5657A" w:rsidRDefault="001A32D6" w:rsidP="001A32D6">
      <w:pPr>
        <w:pStyle w:val="SingleTxtG"/>
        <w:spacing w:after="0"/>
      </w:pPr>
      <w:r>
        <w:t>T</w:t>
      </w:r>
      <w:r w:rsidR="00AE5A09" w:rsidRPr="00C5657A">
        <w:t>he final report of the High-Level Group on Collective Bargaining</w:t>
      </w:r>
      <w:r>
        <w:t xml:space="preserve"> (October 2022) is </w:t>
      </w:r>
      <w:r w:rsidR="000013C2" w:rsidRPr="00C5657A">
        <w:t>currently under consideration</w:t>
      </w:r>
      <w:r w:rsidR="00176616" w:rsidRPr="00C5657A">
        <w:t xml:space="preserve"> by the Department of Enterprise, Trade and Employment</w:t>
      </w:r>
      <w:r>
        <w:t xml:space="preserve">. The Department is also assessing </w:t>
      </w:r>
      <w:r w:rsidR="000013C2" w:rsidRPr="00C5657A">
        <w:t xml:space="preserve">an impending EU obligation on Ireland (Article 4 of the </w:t>
      </w:r>
      <w:r w:rsidR="000013C2" w:rsidRPr="00C5657A">
        <w:rPr>
          <w:i/>
        </w:rPr>
        <w:t>EU Directive on Minimum Wages</w:t>
      </w:r>
      <w:r w:rsidR="000013C2" w:rsidRPr="00C5657A">
        <w:t>) to develop an action plan encouraging collective bargai</w:t>
      </w:r>
      <w:r w:rsidR="00A52400" w:rsidRPr="00C5657A">
        <w:t xml:space="preserve">ning between social partners.  </w:t>
      </w:r>
    </w:p>
    <w:p w14:paraId="25A0E84F" w14:textId="77777777" w:rsidR="000013C2" w:rsidRPr="00C5657A" w:rsidRDefault="000013C2" w:rsidP="005B52EA">
      <w:pPr>
        <w:pStyle w:val="SingleTxtG"/>
        <w:spacing w:after="0"/>
        <w:rPr>
          <w:b/>
        </w:rPr>
      </w:pPr>
    </w:p>
    <w:p w14:paraId="28FCE5F5" w14:textId="77777777" w:rsidR="00AE5A09" w:rsidRPr="00C5657A" w:rsidRDefault="00AE5A09" w:rsidP="005B52EA">
      <w:pPr>
        <w:pStyle w:val="SingleTxtG"/>
        <w:spacing w:after="0"/>
        <w:rPr>
          <w:b/>
        </w:rPr>
      </w:pPr>
      <w:r w:rsidRPr="00C5657A">
        <w:rPr>
          <w:b/>
        </w:rPr>
        <w:t xml:space="preserve">Right to social security (art. 9) </w:t>
      </w:r>
    </w:p>
    <w:p w14:paraId="68EFBF07" w14:textId="77777777" w:rsidR="001A32D6" w:rsidRDefault="001A32D6" w:rsidP="005B52EA">
      <w:pPr>
        <w:pStyle w:val="SingleTxtG"/>
        <w:spacing w:after="0"/>
        <w:rPr>
          <w:b/>
        </w:rPr>
      </w:pPr>
    </w:p>
    <w:p w14:paraId="090EB7E2" w14:textId="31F396DF" w:rsidR="00AE5A09" w:rsidRPr="00C5657A" w:rsidRDefault="00AE5A09" w:rsidP="005B52EA">
      <w:pPr>
        <w:pStyle w:val="SingleTxtG"/>
        <w:spacing w:after="0"/>
        <w:rPr>
          <w:b/>
        </w:rPr>
      </w:pPr>
      <w:r w:rsidRPr="00C5657A">
        <w:rPr>
          <w:b/>
        </w:rPr>
        <w:t>Reply to para</w:t>
      </w:r>
      <w:r w:rsidR="003C7FA1" w:rsidRPr="00C5657A">
        <w:rPr>
          <w:b/>
        </w:rPr>
        <w:t>graph</w:t>
      </w:r>
      <w:r w:rsidRPr="00C5657A">
        <w:rPr>
          <w:b/>
        </w:rPr>
        <w:t xml:space="preserve"> 15</w:t>
      </w:r>
      <w:r w:rsidRPr="00C5657A">
        <w:rPr>
          <w:b/>
        </w:rPr>
        <w:tab/>
      </w:r>
    </w:p>
    <w:p w14:paraId="65A9A31B" w14:textId="77777777" w:rsidR="00200CEC" w:rsidRPr="00C5657A" w:rsidRDefault="00200CEC" w:rsidP="00200CEC">
      <w:pPr>
        <w:suppressAutoHyphens/>
        <w:spacing w:line="240" w:lineRule="atLeast"/>
        <w:ind w:left="1134" w:right="1134"/>
        <w:jc w:val="both"/>
        <w:rPr>
          <w:sz w:val="20"/>
          <w:szCs w:val="20"/>
        </w:rPr>
      </w:pPr>
      <w:r w:rsidRPr="00C5657A">
        <w:rPr>
          <w:bCs/>
          <w:sz w:val="20"/>
          <w:szCs w:val="20"/>
          <w:u w:val="single"/>
        </w:rPr>
        <w:t>SAFE registration and the Public Services Card</w:t>
      </w:r>
    </w:p>
    <w:p w14:paraId="37E31CE0" w14:textId="77777777" w:rsidR="00200CEC" w:rsidRPr="00C5657A" w:rsidRDefault="00200CEC" w:rsidP="00200CEC">
      <w:pPr>
        <w:suppressAutoHyphens/>
        <w:spacing w:line="240" w:lineRule="atLeast"/>
        <w:ind w:left="1134" w:right="1134"/>
        <w:jc w:val="both"/>
        <w:rPr>
          <w:sz w:val="20"/>
          <w:szCs w:val="20"/>
          <w:lang w:val="en-GB"/>
        </w:rPr>
      </w:pPr>
      <w:r w:rsidRPr="00C5657A">
        <w:rPr>
          <w:sz w:val="20"/>
          <w:szCs w:val="20"/>
          <w:lang w:val="en-GB"/>
        </w:rPr>
        <w:t>Everyone has a right to be recognised as a person before the law, as enshrined in Article 6 of the Universal Declaration of Human Rights and several human rights instruments.</w:t>
      </w:r>
    </w:p>
    <w:p w14:paraId="1ED77D97" w14:textId="77777777" w:rsidR="00200CEC" w:rsidRPr="00C5657A" w:rsidRDefault="00200CEC" w:rsidP="00200CEC">
      <w:pPr>
        <w:suppressAutoHyphens/>
        <w:spacing w:line="240" w:lineRule="atLeast"/>
        <w:ind w:left="1134" w:right="1134"/>
        <w:jc w:val="both"/>
        <w:rPr>
          <w:sz w:val="20"/>
          <w:szCs w:val="20"/>
          <w:lang w:val="en-GB"/>
        </w:rPr>
      </w:pPr>
    </w:p>
    <w:p w14:paraId="4BF9D6E2" w14:textId="092AFCA7" w:rsidR="00200CEC" w:rsidRPr="00C5657A" w:rsidRDefault="00200CEC" w:rsidP="00200CEC">
      <w:pPr>
        <w:suppressAutoHyphens/>
        <w:spacing w:line="240" w:lineRule="atLeast"/>
        <w:ind w:left="1134" w:right="1134"/>
        <w:jc w:val="both"/>
        <w:rPr>
          <w:sz w:val="20"/>
          <w:szCs w:val="20"/>
        </w:rPr>
      </w:pPr>
      <w:r w:rsidRPr="00C5657A">
        <w:rPr>
          <w:sz w:val="20"/>
          <w:szCs w:val="20"/>
        </w:rPr>
        <w:t xml:space="preserve">The United Nations Sustainable Development Goals recognise that a trusted form of public identity </w:t>
      </w:r>
      <w:r w:rsidR="001A32D6">
        <w:rPr>
          <w:sz w:val="20"/>
          <w:szCs w:val="20"/>
        </w:rPr>
        <w:t>for all people is key to advancing</w:t>
      </w:r>
      <w:r w:rsidRPr="00C5657A">
        <w:rPr>
          <w:sz w:val="20"/>
          <w:szCs w:val="20"/>
        </w:rPr>
        <w:t xml:space="preserve"> the 2030 Agenda commitment to “leave no</w:t>
      </w:r>
      <w:r w:rsidR="001A32D6">
        <w:rPr>
          <w:sz w:val="20"/>
          <w:szCs w:val="20"/>
        </w:rPr>
        <w:t xml:space="preserve"> one behind” – so much so that “</w:t>
      </w:r>
      <w:r w:rsidRPr="00C5657A">
        <w:rPr>
          <w:sz w:val="20"/>
          <w:szCs w:val="20"/>
        </w:rPr>
        <w:t>legal identity for all, including b</w:t>
      </w:r>
      <w:r w:rsidR="001A32D6">
        <w:rPr>
          <w:sz w:val="20"/>
          <w:szCs w:val="20"/>
        </w:rPr>
        <w:t>irth registration, by 2030” is a</w:t>
      </w:r>
      <w:r w:rsidRPr="00C5657A">
        <w:rPr>
          <w:sz w:val="20"/>
          <w:szCs w:val="20"/>
        </w:rPr>
        <w:t xml:space="preserve"> Sustainable Development Goal target (16.9). </w:t>
      </w:r>
    </w:p>
    <w:p w14:paraId="4AB56B73" w14:textId="77777777" w:rsidR="00200CEC" w:rsidRPr="00C5657A" w:rsidRDefault="00200CEC" w:rsidP="00200CEC">
      <w:pPr>
        <w:suppressAutoHyphens/>
        <w:spacing w:line="240" w:lineRule="atLeast"/>
        <w:ind w:left="1134" w:right="1134"/>
        <w:jc w:val="both"/>
        <w:rPr>
          <w:sz w:val="20"/>
          <w:szCs w:val="20"/>
        </w:rPr>
      </w:pPr>
    </w:p>
    <w:p w14:paraId="2CE80254" w14:textId="23746615" w:rsidR="00200CEC" w:rsidRPr="00C5657A" w:rsidRDefault="00200CEC" w:rsidP="00200CEC">
      <w:pPr>
        <w:suppressAutoHyphens/>
        <w:spacing w:line="240" w:lineRule="atLeast"/>
        <w:ind w:left="1134" w:right="1134"/>
        <w:jc w:val="both"/>
        <w:rPr>
          <w:sz w:val="20"/>
          <w:szCs w:val="20"/>
        </w:rPr>
      </w:pPr>
      <w:r w:rsidRPr="00C5657A">
        <w:rPr>
          <w:sz w:val="20"/>
          <w:szCs w:val="20"/>
        </w:rPr>
        <w:t>Moreover, the internationally endorsed Principles on Identification fo</w:t>
      </w:r>
      <w:r w:rsidR="001A32D6">
        <w:rPr>
          <w:sz w:val="20"/>
          <w:szCs w:val="20"/>
        </w:rPr>
        <w:t>r Sustainable Development state</w:t>
      </w:r>
      <w:r w:rsidRPr="00C5657A">
        <w:rPr>
          <w:sz w:val="20"/>
          <w:szCs w:val="20"/>
        </w:rPr>
        <w:t xml:space="preserve"> that “vulnerable and marginalized groups are often the least likely to have proof of their identity, but [are] also the most in need of the protection and services linked to identification. People who are unable to obtain or easily use identification are therefore at greater risk of being left behind when strict identification requirements must be met to access services. […] While these risks are present in any identification system, they may be amplified by digitization.”</w:t>
      </w:r>
    </w:p>
    <w:p w14:paraId="791E7AC6" w14:textId="77777777" w:rsidR="00A52400" w:rsidRPr="00C5657A" w:rsidRDefault="00A52400" w:rsidP="00200CEC">
      <w:pPr>
        <w:suppressAutoHyphens/>
        <w:spacing w:line="240" w:lineRule="atLeast"/>
        <w:ind w:left="1134" w:right="1134"/>
        <w:jc w:val="both"/>
        <w:rPr>
          <w:sz w:val="20"/>
          <w:szCs w:val="20"/>
        </w:rPr>
      </w:pPr>
    </w:p>
    <w:p w14:paraId="42601FE3" w14:textId="05E182C5" w:rsidR="00200CEC" w:rsidRPr="00C5657A" w:rsidRDefault="00200CEC" w:rsidP="00A52400">
      <w:pPr>
        <w:suppressAutoHyphens/>
        <w:spacing w:line="240" w:lineRule="atLeast"/>
        <w:ind w:left="1134" w:right="1134"/>
        <w:jc w:val="both"/>
        <w:rPr>
          <w:sz w:val="20"/>
          <w:szCs w:val="20"/>
          <w:lang w:val="en-GB"/>
        </w:rPr>
      </w:pPr>
      <w:r w:rsidRPr="00C5657A">
        <w:rPr>
          <w:sz w:val="20"/>
          <w:szCs w:val="20"/>
          <w:lang w:val="en-GB"/>
        </w:rPr>
        <w:t xml:space="preserve">The SAFE Registration identity management service deters and prevents identity fraud and enhances protection of a person’s personal data and privacy by ensuring that someone else cannot assume their identity. It also supports the purposes of both Article 17 of the International </w:t>
      </w:r>
      <w:r w:rsidR="001A32D6" w:rsidRPr="00C5657A">
        <w:rPr>
          <w:sz w:val="20"/>
          <w:szCs w:val="20"/>
          <w:lang w:val="en-GB"/>
        </w:rPr>
        <w:t>Covenant</w:t>
      </w:r>
      <w:r w:rsidRPr="00C5657A">
        <w:rPr>
          <w:sz w:val="20"/>
          <w:szCs w:val="20"/>
          <w:lang w:val="en-GB"/>
        </w:rPr>
        <w:t xml:space="preserve"> on Civil and Political Rights and Article 9 of the International Covenant on Economi</w:t>
      </w:r>
      <w:r w:rsidR="00A52400" w:rsidRPr="00C5657A">
        <w:rPr>
          <w:sz w:val="20"/>
          <w:szCs w:val="20"/>
          <w:lang w:val="en-GB"/>
        </w:rPr>
        <w:t xml:space="preserve">c, Social and Cultural Rights. </w:t>
      </w:r>
    </w:p>
    <w:p w14:paraId="65FBF40C" w14:textId="5D5ECB35" w:rsidR="003C7FA1" w:rsidRPr="00C5657A" w:rsidRDefault="003C7FA1" w:rsidP="00A52400">
      <w:pPr>
        <w:pStyle w:val="SingleTxtG"/>
        <w:spacing w:after="0"/>
        <w:ind w:left="0"/>
        <w:rPr>
          <w:b/>
        </w:rPr>
      </w:pPr>
    </w:p>
    <w:p w14:paraId="0DCE501F" w14:textId="77777777" w:rsidR="00AE5A09" w:rsidRPr="00C5657A" w:rsidRDefault="00AE5A09" w:rsidP="005B52EA">
      <w:pPr>
        <w:pStyle w:val="SingleTxtG"/>
        <w:spacing w:after="0"/>
        <w:rPr>
          <w:b/>
        </w:rPr>
      </w:pPr>
      <w:r w:rsidRPr="00C5657A">
        <w:rPr>
          <w:b/>
        </w:rPr>
        <w:lastRenderedPageBreak/>
        <w:t>Protection of the family and children (art. 10)</w:t>
      </w:r>
    </w:p>
    <w:p w14:paraId="04C80294" w14:textId="77777777" w:rsidR="001A32D6" w:rsidRDefault="001A32D6" w:rsidP="005B52EA">
      <w:pPr>
        <w:pStyle w:val="SingleTxtG"/>
        <w:spacing w:after="0"/>
        <w:rPr>
          <w:b/>
        </w:rPr>
      </w:pPr>
    </w:p>
    <w:p w14:paraId="3EE46DFC" w14:textId="7141CFA6" w:rsidR="00AE5A09" w:rsidRPr="00C5657A" w:rsidRDefault="00AE5A09" w:rsidP="005B52EA">
      <w:pPr>
        <w:pStyle w:val="SingleTxtG"/>
        <w:spacing w:after="0"/>
        <w:rPr>
          <w:color w:val="0070C0"/>
        </w:rPr>
      </w:pPr>
      <w:r w:rsidRPr="00C5657A">
        <w:rPr>
          <w:b/>
        </w:rPr>
        <w:t>Reply to para</w:t>
      </w:r>
      <w:r w:rsidR="003C7FA1" w:rsidRPr="00C5657A">
        <w:rPr>
          <w:b/>
        </w:rPr>
        <w:t>graph</w:t>
      </w:r>
      <w:r w:rsidRPr="00C5657A">
        <w:rPr>
          <w:b/>
        </w:rPr>
        <w:t xml:space="preserve"> 16</w:t>
      </w:r>
    </w:p>
    <w:p w14:paraId="1B8C52CC" w14:textId="62E0D765" w:rsidR="00A52400" w:rsidRPr="00C5657A" w:rsidRDefault="00AE5A09" w:rsidP="00A52400">
      <w:pPr>
        <w:pStyle w:val="SingleTxtG"/>
        <w:spacing w:after="0"/>
        <w:rPr>
          <w:lang w:val="en-IE"/>
        </w:rPr>
      </w:pPr>
      <w:r w:rsidRPr="00C5657A">
        <w:t>Statistical information is not available on the uptake of statutor</w:t>
      </w:r>
      <w:r w:rsidR="002477AE" w:rsidRPr="00C5657A">
        <w:t>y leave</w:t>
      </w:r>
      <w:r w:rsidRPr="00C5657A">
        <w:t xml:space="preserve">. However, indicative information is available </w:t>
      </w:r>
      <w:r w:rsidR="002477AE" w:rsidRPr="00C5657A">
        <w:t>on</w:t>
      </w:r>
      <w:r w:rsidRPr="00C5657A">
        <w:t xml:space="preserve"> the payment of accompanying benefits</w:t>
      </w:r>
      <w:r w:rsidR="002477AE" w:rsidRPr="00C5657A">
        <w:t xml:space="preserve">, showing that the take-up of </w:t>
      </w:r>
      <w:r w:rsidR="002477AE" w:rsidRPr="00C5657A">
        <w:rPr>
          <w:lang w:val="en-IE"/>
        </w:rPr>
        <w:t>parents’ b</w:t>
      </w:r>
      <w:r w:rsidRPr="00C5657A">
        <w:rPr>
          <w:lang w:val="en-IE"/>
        </w:rPr>
        <w:t>enefit has in</w:t>
      </w:r>
      <w:r w:rsidR="001A32D6">
        <w:rPr>
          <w:lang w:val="en-IE"/>
        </w:rPr>
        <w:t>creased year-on-year since 2020:</w:t>
      </w:r>
    </w:p>
    <w:p w14:paraId="191BDD7D" w14:textId="02F38A48" w:rsidR="00AE5A09" w:rsidRPr="00C5657A" w:rsidRDefault="00AE5A09" w:rsidP="001A32D6">
      <w:pPr>
        <w:pStyle w:val="SingleTxtG"/>
        <w:numPr>
          <w:ilvl w:val="0"/>
          <w:numId w:val="30"/>
        </w:numPr>
        <w:spacing w:after="0"/>
        <w:rPr>
          <w:lang w:val="en-IE"/>
        </w:rPr>
      </w:pPr>
      <w:r w:rsidRPr="00C5657A">
        <w:rPr>
          <w:lang w:val="en-IE"/>
        </w:rPr>
        <w:t>In 2021, a total of 5</w:t>
      </w:r>
      <w:r w:rsidR="002477AE" w:rsidRPr="00C5657A">
        <w:rPr>
          <w:lang w:val="en-IE"/>
        </w:rPr>
        <w:t xml:space="preserve">1,400 families were supported, </w:t>
      </w:r>
      <w:r w:rsidRPr="00C5657A">
        <w:rPr>
          <w:lang w:val="en-IE"/>
        </w:rPr>
        <w:t>compared to just 16,700 in 2020.</w:t>
      </w:r>
    </w:p>
    <w:p w14:paraId="5D0CBFD4" w14:textId="77777777" w:rsidR="00AE5A09" w:rsidRPr="00C5657A" w:rsidRDefault="00AE5A09" w:rsidP="001A32D6">
      <w:pPr>
        <w:pStyle w:val="SingleTxtG"/>
        <w:numPr>
          <w:ilvl w:val="0"/>
          <w:numId w:val="30"/>
        </w:numPr>
        <w:spacing w:after="0"/>
        <w:rPr>
          <w:lang w:val="en-IE"/>
        </w:rPr>
      </w:pPr>
      <w:r w:rsidRPr="00C5657A">
        <w:rPr>
          <w:lang w:val="en-IE"/>
        </w:rPr>
        <w:t>In 2022, the total number of applications awarded reached over 83,400.</w:t>
      </w:r>
    </w:p>
    <w:p w14:paraId="4D28036D" w14:textId="73816094" w:rsidR="00AE5A09" w:rsidRPr="00C5657A" w:rsidRDefault="001A32D6" w:rsidP="001A32D6">
      <w:pPr>
        <w:pStyle w:val="SingleTxtG"/>
        <w:numPr>
          <w:ilvl w:val="0"/>
          <w:numId w:val="30"/>
        </w:numPr>
        <w:spacing w:after="0"/>
      </w:pPr>
      <w:r>
        <w:rPr>
          <w:lang w:val="en-IE"/>
        </w:rPr>
        <w:t>I</w:t>
      </w:r>
      <w:r w:rsidR="00AE5A09" w:rsidRPr="00C5657A">
        <w:rPr>
          <w:lang w:val="en-IE"/>
        </w:rPr>
        <w:t>n the first quarter of 2023, over 20,500 applications were awarded. Of those, just over 7,000</w:t>
      </w:r>
      <w:r w:rsidR="00AE5A09" w:rsidRPr="00C5657A">
        <w:t xml:space="preserve"> were awarded to men, with over 13,500 awarded to women.</w:t>
      </w:r>
    </w:p>
    <w:p w14:paraId="4C7DAB3A" w14:textId="77777777" w:rsidR="001A32D6" w:rsidRDefault="001A32D6" w:rsidP="00CD0054">
      <w:pPr>
        <w:spacing w:line="240" w:lineRule="atLeast"/>
        <w:ind w:left="1134" w:right="1134"/>
        <w:jc w:val="both"/>
        <w:rPr>
          <w:sz w:val="20"/>
          <w:szCs w:val="20"/>
        </w:rPr>
      </w:pPr>
    </w:p>
    <w:p w14:paraId="28C86087" w14:textId="22666000" w:rsidR="002477AE" w:rsidRPr="00C5657A" w:rsidRDefault="002477AE" w:rsidP="00CD0054">
      <w:pPr>
        <w:spacing w:line="240" w:lineRule="atLeast"/>
        <w:ind w:left="1134" w:right="1134"/>
        <w:jc w:val="both"/>
        <w:rPr>
          <w:sz w:val="20"/>
          <w:szCs w:val="20"/>
        </w:rPr>
      </w:pPr>
      <w:r w:rsidRPr="00C5657A">
        <w:rPr>
          <w:sz w:val="20"/>
          <w:szCs w:val="20"/>
        </w:rPr>
        <w:t>It should be noted that, while all relevant parents are entitled to the leave, not all parents qualify for the benefit payments (or their employer may provide</w:t>
      </w:r>
      <w:r w:rsidR="00CD0054" w:rsidRPr="00C5657A">
        <w:rPr>
          <w:sz w:val="20"/>
          <w:szCs w:val="20"/>
        </w:rPr>
        <w:t xml:space="preserve"> payment for the leave period). </w:t>
      </w:r>
    </w:p>
    <w:p w14:paraId="2A2BF123" w14:textId="77777777" w:rsidR="002477AE" w:rsidRPr="00C5657A" w:rsidRDefault="00C418E1" w:rsidP="005B52EA">
      <w:pPr>
        <w:spacing w:line="240" w:lineRule="atLeast"/>
        <w:ind w:left="567" w:right="1134" w:firstLine="284"/>
        <w:contextualSpacing/>
        <w:jc w:val="both"/>
        <w:rPr>
          <w:sz w:val="20"/>
          <w:szCs w:val="20"/>
        </w:rPr>
      </w:pPr>
      <w:r w:rsidRPr="00C5657A">
        <w:rPr>
          <w:sz w:val="20"/>
          <w:szCs w:val="20"/>
        </w:rPr>
        <w:tab/>
      </w:r>
    </w:p>
    <w:p w14:paraId="7AE574EB" w14:textId="77777777" w:rsidR="0086349F" w:rsidRDefault="00AE5A09" w:rsidP="005B52EA">
      <w:pPr>
        <w:pStyle w:val="SingleTxtG"/>
        <w:spacing w:after="0"/>
        <w:rPr>
          <w:b/>
        </w:rPr>
      </w:pPr>
      <w:r w:rsidRPr="00C5657A">
        <w:rPr>
          <w:b/>
        </w:rPr>
        <w:t>Reply to para</w:t>
      </w:r>
      <w:r w:rsidR="002477AE" w:rsidRPr="00C5657A">
        <w:rPr>
          <w:b/>
        </w:rPr>
        <w:t>graph</w:t>
      </w:r>
      <w:r w:rsidRPr="00C5657A">
        <w:rPr>
          <w:b/>
        </w:rPr>
        <w:t xml:space="preserve"> 17</w:t>
      </w:r>
    </w:p>
    <w:p w14:paraId="298D663E" w14:textId="1700DF8F" w:rsidR="00AE5A09" w:rsidRPr="00C5657A" w:rsidRDefault="00B95FB6" w:rsidP="005B52EA">
      <w:pPr>
        <w:pStyle w:val="SingleTxtG"/>
        <w:spacing w:after="0"/>
        <w:rPr>
          <w:lang w:val="en-IE"/>
        </w:rPr>
      </w:pPr>
      <w:r w:rsidRPr="00C5657A">
        <w:rPr>
          <w:lang w:val="en-IE"/>
        </w:rPr>
        <w:t xml:space="preserve">The </w:t>
      </w:r>
      <w:r w:rsidR="001A32D6" w:rsidRPr="003060C9">
        <w:rPr>
          <w:i/>
          <w:lang w:val="en-IE"/>
        </w:rPr>
        <w:t>National Strategy on Dom</w:t>
      </w:r>
      <w:r w:rsidR="001A32D6">
        <w:rPr>
          <w:i/>
          <w:lang w:val="en-IE"/>
        </w:rPr>
        <w:t>estic, Sexual and Gender-based V</w:t>
      </w:r>
      <w:r w:rsidR="001A32D6" w:rsidRPr="003060C9">
        <w:rPr>
          <w:i/>
          <w:lang w:val="en-IE"/>
        </w:rPr>
        <w:t>iolence</w:t>
      </w:r>
      <w:r w:rsidR="001A32D6" w:rsidRPr="003060C9">
        <w:rPr>
          <w:lang w:val="en-IE"/>
        </w:rPr>
        <w:t xml:space="preserve"> </w:t>
      </w:r>
      <w:r w:rsidRPr="00C5657A">
        <w:rPr>
          <w:lang w:val="en-IE"/>
        </w:rPr>
        <w:t xml:space="preserve">takes </w:t>
      </w:r>
      <w:r w:rsidR="00AE5A09" w:rsidRPr="00C5657A">
        <w:rPr>
          <w:lang w:val="en-IE"/>
        </w:rPr>
        <w:t>a</w:t>
      </w:r>
      <w:r w:rsidRPr="00C5657A">
        <w:rPr>
          <w:lang w:val="en-IE"/>
        </w:rPr>
        <w:t xml:space="preserve"> whole-of-government and</w:t>
      </w:r>
      <w:r w:rsidR="00AE5A09" w:rsidRPr="00C5657A">
        <w:rPr>
          <w:lang w:val="en-IE"/>
        </w:rPr>
        <w:t xml:space="preserve"> whole-of-society</w:t>
      </w:r>
      <w:r w:rsidRPr="00C5657A">
        <w:rPr>
          <w:lang w:val="en-IE"/>
        </w:rPr>
        <w:t xml:space="preserve"> approach</w:t>
      </w:r>
      <w:r w:rsidR="00AE5A09" w:rsidRPr="00C5657A">
        <w:rPr>
          <w:lang w:val="en-IE"/>
        </w:rPr>
        <w:t xml:space="preserve">, </w:t>
      </w:r>
      <w:r w:rsidRPr="00C5657A">
        <w:rPr>
          <w:lang w:val="en-IE"/>
        </w:rPr>
        <w:t>in recognition of the fact DSGBV</w:t>
      </w:r>
      <w:r w:rsidR="00AE5A09" w:rsidRPr="00C5657A">
        <w:rPr>
          <w:lang w:val="en-IE"/>
        </w:rPr>
        <w:t xml:space="preserve"> cannot be treated sole</w:t>
      </w:r>
      <w:r w:rsidRPr="00C5657A">
        <w:rPr>
          <w:lang w:val="en-IE"/>
        </w:rPr>
        <w:t xml:space="preserve">ly as a criminal justice issue and the need to have a holistic, intersectional </w:t>
      </w:r>
      <w:r w:rsidR="005B3279" w:rsidRPr="00C5657A">
        <w:rPr>
          <w:lang w:val="en-IE"/>
        </w:rPr>
        <w:t>understanding of impacted</w:t>
      </w:r>
      <w:r w:rsidRPr="00C5657A">
        <w:rPr>
          <w:lang w:val="en-IE"/>
        </w:rPr>
        <w:t xml:space="preserve"> individual</w:t>
      </w:r>
      <w:r w:rsidR="005B3279" w:rsidRPr="00C5657A">
        <w:rPr>
          <w:lang w:val="en-IE"/>
        </w:rPr>
        <w:t>s</w:t>
      </w:r>
      <w:r w:rsidRPr="00C5657A">
        <w:rPr>
          <w:lang w:val="en-IE"/>
        </w:rPr>
        <w:t xml:space="preserve"> and their positioning in societal hierarchies. Government has approved a</w:t>
      </w:r>
      <w:r w:rsidR="00AE5A09" w:rsidRPr="00C5657A">
        <w:rPr>
          <w:lang w:val="en-IE"/>
        </w:rPr>
        <w:t>n impl</w:t>
      </w:r>
      <w:r w:rsidRPr="00C5657A">
        <w:rPr>
          <w:lang w:val="en-IE"/>
        </w:rPr>
        <w:t>ementation plan for the first eighteen</w:t>
      </w:r>
      <w:r w:rsidR="00AE5A09" w:rsidRPr="00C5657A">
        <w:rPr>
          <w:lang w:val="en-IE"/>
        </w:rPr>
        <w:t xml:space="preserve"> months of the Strategy</w:t>
      </w:r>
      <w:r w:rsidRPr="00C5657A">
        <w:rPr>
          <w:lang w:val="en-IE"/>
        </w:rPr>
        <w:t>, with a</w:t>
      </w:r>
      <w:r w:rsidR="00AE5A09" w:rsidRPr="00C5657A">
        <w:rPr>
          <w:lang w:val="en-IE"/>
        </w:rPr>
        <w:t xml:space="preserve">nnual action plans </w:t>
      </w:r>
      <w:r w:rsidRPr="00C5657A">
        <w:rPr>
          <w:lang w:val="en-IE"/>
        </w:rPr>
        <w:t>to</w:t>
      </w:r>
      <w:r w:rsidR="00AE5A09" w:rsidRPr="00C5657A">
        <w:rPr>
          <w:lang w:val="en-IE"/>
        </w:rPr>
        <w:t xml:space="preserve"> be published in each subsequent year.</w:t>
      </w:r>
    </w:p>
    <w:p w14:paraId="19A1AD80" w14:textId="60709B4F" w:rsidR="00CD0054" w:rsidRPr="00C5657A" w:rsidRDefault="00CD0054" w:rsidP="00A52400">
      <w:pPr>
        <w:pStyle w:val="SingleTxtG"/>
        <w:spacing w:after="0"/>
        <w:ind w:left="0"/>
        <w:rPr>
          <w:lang w:val="en-IE"/>
        </w:rPr>
      </w:pPr>
    </w:p>
    <w:p w14:paraId="5658B36B" w14:textId="48688A16" w:rsidR="00AE5A09" w:rsidRPr="00C5657A" w:rsidRDefault="003467FB" w:rsidP="005B52EA">
      <w:pPr>
        <w:pStyle w:val="SingleTxtG"/>
        <w:spacing w:after="0"/>
        <w:rPr>
          <w:lang w:val="en-IE"/>
        </w:rPr>
      </w:pPr>
      <w:r w:rsidRPr="00C5657A">
        <w:rPr>
          <w:lang w:val="en-IE"/>
        </w:rPr>
        <w:t>To reflect the</w:t>
      </w:r>
      <w:r w:rsidR="00AE5A09" w:rsidRPr="00C5657A">
        <w:rPr>
          <w:lang w:val="en-IE"/>
        </w:rPr>
        <w:t xml:space="preserve"> priority which Government </w:t>
      </w:r>
      <w:r w:rsidRPr="00C5657A">
        <w:rPr>
          <w:lang w:val="en-IE"/>
        </w:rPr>
        <w:t>attaches</w:t>
      </w:r>
      <w:r w:rsidR="00AE5A09" w:rsidRPr="00C5657A">
        <w:rPr>
          <w:lang w:val="en-IE"/>
        </w:rPr>
        <w:t xml:space="preserve"> to tackling DSGBV, the number of refuge spaces will be doubled ove</w:t>
      </w:r>
      <w:r w:rsidRPr="00C5657A">
        <w:rPr>
          <w:lang w:val="en-IE"/>
        </w:rPr>
        <w:t xml:space="preserve">r the lifetime of the Strategy (up </w:t>
      </w:r>
      <w:r w:rsidR="00AE5A09" w:rsidRPr="00C5657A">
        <w:rPr>
          <w:lang w:val="en-IE"/>
        </w:rPr>
        <w:t>to 280</w:t>
      </w:r>
      <w:r w:rsidRPr="00C5657A">
        <w:rPr>
          <w:lang w:val="en-IE"/>
        </w:rPr>
        <w:t xml:space="preserve"> places)</w:t>
      </w:r>
      <w:r w:rsidR="00AE5A09" w:rsidRPr="00C5657A">
        <w:rPr>
          <w:lang w:val="en-IE"/>
        </w:rPr>
        <w:t>. This will be the fastest ever expansion of refu</w:t>
      </w:r>
      <w:r w:rsidRPr="00C5657A">
        <w:rPr>
          <w:lang w:val="en-IE"/>
        </w:rPr>
        <w:t xml:space="preserve">ge spaces in Ireland’s history. </w:t>
      </w:r>
      <w:r w:rsidR="00AE5A09" w:rsidRPr="00C5657A">
        <w:rPr>
          <w:lang w:val="en-IE"/>
        </w:rPr>
        <w:t xml:space="preserve">The </w:t>
      </w:r>
      <w:r w:rsidRPr="00C5657A">
        <w:rPr>
          <w:lang w:val="en-IE"/>
        </w:rPr>
        <w:t xml:space="preserve">DSGBV </w:t>
      </w:r>
      <w:r w:rsidR="00AE5A09" w:rsidRPr="00C5657A">
        <w:rPr>
          <w:lang w:val="en-IE"/>
        </w:rPr>
        <w:t xml:space="preserve">Strategy also commits to examining </w:t>
      </w:r>
      <w:r w:rsidRPr="00C5657A">
        <w:rPr>
          <w:lang w:val="en-IE"/>
        </w:rPr>
        <w:t>diverse</w:t>
      </w:r>
      <w:r w:rsidR="00AE5A09" w:rsidRPr="00C5657A">
        <w:rPr>
          <w:lang w:val="en-IE"/>
        </w:rPr>
        <w:t xml:space="preserve"> options for victims of domestic violence, such as addressing barriers to remaining in the home if that is th</w:t>
      </w:r>
      <w:r w:rsidRPr="00C5657A">
        <w:rPr>
          <w:lang w:val="en-IE"/>
        </w:rPr>
        <w:t>e</w:t>
      </w:r>
      <w:r w:rsidR="00AE5A09" w:rsidRPr="00C5657A">
        <w:rPr>
          <w:lang w:val="en-IE"/>
        </w:rPr>
        <w:t xml:space="preserve"> preferred option. </w:t>
      </w:r>
    </w:p>
    <w:p w14:paraId="6D8653AB" w14:textId="77777777" w:rsidR="00CD0054" w:rsidRPr="00C5657A" w:rsidRDefault="00CD0054" w:rsidP="005B52EA">
      <w:pPr>
        <w:pStyle w:val="SingleTxtG"/>
        <w:spacing w:after="0"/>
        <w:rPr>
          <w:lang w:val="en-IE"/>
        </w:rPr>
      </w:pPr>
    </w:p>
    <w:p w14:paraId="23E7F0AE" w14:textId="47A6FCAA" w:rsidR="00AE5A09" w:rsidRPr="00C5657A" w:rsidRDefault="00AE5A09" w:rsidP="005B52EA">
      <w:pPr>
        <w:pStyle w:val="SingleTxtG"/>
        <w:spacing w:after="0"/>
        <w:rPr>
          <w:lang w:val="en-IE"/>
        </w:rPr>
      </w:pPr>
      <w:r w:rsidRPr="00C5657A">
        <w:rPr>
          <w:lang w:val="en-IE"/>
        </w:rPr>
        <w:t>Under the Strategy</w:t>
      </w:r>
      <w:r w:rsidR="003467FB" w:rsidRPr="00C5657A">
        <w:rPr>
          <w:lang w:val="en-IE"/>
        </w:rPr>
        <w:t>,</w:t>
      </w:r>
      <w:r w:rsidRPr="00C5657A">
        <w:rPr>
          <w:lang w:val="en-IE"/>
        </w:rPr>
        <w:t xml:space="preserve"> significant </w:t>
      </w:r>
      <w:r w:rsidR="003467FB" w:rsidRPr="00C5657A">
        <w:rPr>
          <w:lang w:val="en-IE"/>
        </w:rPr>
        <w:t>funding</w:t>
      </w:r>
      <w:r w:rsidRPr="00C5657A">
        <w:rPr>
          <w:lang w:val="en-IE"/>
        </w:rPr>
        <w:t xml:space="preserve"> will be allocated to raising awareness</w:t>
      </w:r>
      <w:r w:rsidR="003467FB" w:rsidRPr="00C5657A">
        <w:rPr>
          <w:lang w:val="en-IE"/>
        </w:rPr>
        <w:t xml:space="preserve"> of DSGBV</w:t>
      </w:r>
      <w:r w:rsidRPr="00C5657A">
        <w:rPr>
          <w:lang w:val="en-IE"/>
        </w:rPr>
        <w:t xml:space="preserve"> at a national and local level. Campaigns will challenge myths, misconceptions and established beliefs with inclusivity as a central feature. Some campaign messaging will focus on targeted groups, including minorities such as </w:t>
      </w:r>
      <w:r w:rsidR="003467FB" w:rsidRPr="00C5657A">
        <w:rPr>
          <w:lang w:val="en-IE"/>
        </w:rPr>
        <w:t xml:space="preserve">migrants and </w:t>
      </w:r>
      <w:r w:rsidRPr="00C5657A">
        <w:rPr>
          <w:lang w:val="en-IE"/>
        </w:rPr>
        <w:t>the T</w:t>
      </w:r>
      <w:r w:rsidR="003467FB" w:rsidRPr="00C5657A">
        <w:rPr>
          <w:lang w:val="en-IE"/>
        </w:rPr>
        <w:t>ravelling and Roma communities</w:t>
      </w:r>
      <w:r w:rsidRPr="00C5657A">
        <w:rPr>
          <w:lang w:val="en-IE"/>
        </w:rPr>
        <w:t>, while other messaging will be more generally applicable across society. </w:t>
      </w:r>
    </w:p>
    <w:p w14:paraId="6C37E8F6" w14:textId="77777777" w:rsidR="00CD0054" w:rsidRPr="00C5657A" w:rsidRDefault="00CD0054" w:rsidP="005B52EA">
      <w:pPr>
        <w:pStyle w:val="SingleTxtG"/>
        <w:spacing w:after="0"/>
        <w:rPr>
          <w:lang w:val="en-IE"/>
        </w:rPr>
      </w:pPr>
    </w:p>
    <w:p w14:paraId="3AD4E29B" w14:textId="77777777" w:rsidR="00AE5A09" w:rsidRPr="00C5657A" w:rsidRDefault="00AE5A09" w:rsidP="005B52EA">
      <w:pPr>
        <w:pStyle w:val="SingleTxtG"/>
        <w:spacing w:after="0"/>
        <w:rPr>
          <w:lang w:val="en-IE"/>
        </w:rPr>
      </w:pPr>
      <w:r w:rsidRPr="00C5657A">
        <w:rPr>
          <w:lang w:val="en-IE"/>
        </w:rPr>
        <w:t xml:space="preserve">Other </w:t>
      </w:r>
      <w:r w:rsidR="00C418E1" w:rsidRPr="00C5657A">
        <w:rPr>
          <w:lang w:val="en-IE"/>
        </w:rPr>
        <w:t xml:space="preserve">key </w:t>
      </w:r>
      <w:r w:rsidR="003467FB" w:rsidRPr="00C5657A">
        <w:rPr>
          <w:lang w:val="en-IE"/>
        </w:rPr>
        <w:t xml:space="preserve">actions to be delivered </w:t>
      </w:r>
      <w:r w:rsidR="00C418E1" w:rsidRPr="00C5657A">
        <w:rPr>
          <w:lang w:val="en-IE"/>
        </w:rPr>
        <w:t>under the Strategy include</w:t>
      </w:r>
      <w:r w:rsidRPr="00C5657A">
        <w:rPr>
          <w:lang w:val="en-IE"/>
        </w:rPr>
        <w:t>:</w:t>
      </w:r>
    </w:p>
    <w:p w14:paraId="14061F04" w14:textId="77777777" w:rsidR="00AE5A09" w:rsidRPr="00C5657A" w:rsidRDefault="00C418E1" w:rsidP="0086349F">
      <w:pPr>
        <w:pStyle w:val="SingleTxtG"/>
        <w:numPr>
          <w:ilvl w:val="0"/>
          <w:numId w:val="31"/>
        </w:numPr>
        <w:spacing w:after="0"/>
        <w:rPr>
          <w:lang w:val="en-IE"/>
        </w:rPr>
      </w:pPr>
      <w:r w:rsidRPr="00C5657A">
        <w:rPr>
          <w:lang w:val="en-IE"/>
        </w:rPr>
        <w:t>Int</w:t>
      </w:r>
      <w:r w:rsidR="00AE5A09" w:rsidRPr="00C5657A">
        <w:rPr>
          <w:lang w:val="en-IE"/>
        </w:rPr>
        <w:t>roduction of statutory domestic violence leave</w:t>
      </w:r>
      <w:r w:rsidR="003467FB" w:rsidRPr="00C5657A">
        <w:rPr>
          <w:lang w:val="en-IE"/>
        </w:rPr>
        <w:t>;</w:t>
      </w:r>
      <w:r w:rsidR="00AE5A09" w:rsidRPr="00C5657A">
        <w:rPr>
          <w:lang w:val="en-IE"/>
        </w:rPr>
        <w:t xml:space="preserve"> </w:t>
      </w:r>
    </w:p>
    <w:p w14:paraId="49E0939A" w14:textId="77777777" w:rsidR="00AE5A09" w:rsidRPr="00C5657A" w:rsidRDefault="00AE5A09" w:rsidP="0086349F">
      <w:pPr>
        <w:pStyle w:val="SingleTxtG"/>
        <w:numPr>
          <w:ilvl w:val="0"/>
          <w:numId w:val="31"/>
        </w:numPr>
        <w:spacing w:after="0"/>
        <w:rPr>
          <w:lang w:val="en-IE"/>
        </w:rPr>
      </w:pPr>
      <w:r w:rsidRPr="00C5657A">
        <w:rPr>
          <w:lang w:val="en-IE"/>
        </w:rPr>
        <w:t>Increase the maximum sentence from five years to ten years for assault causing harm – one of the most common charges in cases of domestic abuse</w:t>
      </w:r>
      <w:r w:rsidR="00C418E1" w:rsidRPr="00C5657A">
        <w:rPr>
          <w:lang w:val="en-IE"/>
        </w:rPr>
        <w:t>;</w:t>
      </w:r>
    </w:p>
    <w:p w14:paraId="478B48CC" w14:textId="77777777" w:rsidR="00AE5A09" w:rsidRPr="00C5657A" w:rsidRDefault="00AE5A09" w:rsidP="0086349F">
      <w:pPr>
        <w:pStyle w:val="SingleTxtG"/>
        <w:numPr>
          <w:ilvl w:val="0"/>
          <w:numId w:val="31"/>
        </w:numPr>
        <w:spacing w:after="0"/>
        <w:rPr>
          <w:lang w:val="en-IE"/>
        </w:rPr>
      </w:pPr>
      <w:r w:rsidRPr="00C5657A">
        <w:rPr>
          <w:lang w:val="en-IE"/>
        </w:rPr>
        <w:t>Begin engagement with the judiciary to consider the creation of specialised judges for domestic, sexual and gender based violence cases</w:t>
      </w:r>
      <w:r w:rsidR="00C418E1" w:rsidRPr="00C5657A">
        <w:rPr>
          <w:lang w:val="en-IE"/>
        </w:rPr>
        <w:t>;</w:t>
      </w:r>
    </w:p>
    <w:p w14:paraId="45748962" w14:textId="77777777" w:rsidR="00AE5A09" w:rsidRPr="00C5657A" w:rsidRDefault="00AE5A09" w:rsidP="0086349F">
      <w:pPr>
        <w:pStyle w:val="SingleTxtG"/>
        <w:numPr>
          <w:ilvl w:val="0"/>
          <w:numId w:val="31"/>
        </w:numPr>
        <w:spacing w:after="0"/>
        <w:rPr>
          <w:lang w:val="en-IE"/>
        </w:rPr>
      </w:pPr>
      <w:r w:rsidRPr="00C5657A">
        <w:rPr>
          <w:lang w:val="en-IE"/>
        </w:rPr>
        <w:t>Publish and implement the Family Justice Strategy and enact the Family Court Bill to make a more user friendly family court system</w:t>
      </w:r>
      <w:r w:rsidR="00C418E1" w:rsidRPr="00C5657A">
        <w:rPr>
          <w:lang w:val="en-IE"/>
        </w:rPr>
        <w:t>;</w:t>
      </w:r>
    </w:p>
    <w:p w14:paraId="22C75530" w14:textId="77777777" w:rsidR="00AE5A09" w:rsidRPr="00C5657A" w:rsidRDefault="00AE5A09" w:rsidP="0086349F">
      <w:pPr>
        <w:pStyle w:val="SingleTxtG"/>
        <w:numPr>
          <w:ilvl w:val="0"/>
          <w:numId w:val="31"/>
        </w:numPr>
        <w:spacing w:after="0"/>
        <w:rPr>
          <w:lang w:val="en-IE"/>
        </w:rPr>
      </w:pPr>
      <w:r w:rsidRPr="00C5657A">
        <w:rPr>
          <w:lang w:val="en-IE"/>
        </w:rPr>
        <w:t>Enact legislation to introduce stand-alone offences of stalking and non-fatal strangulation, as well as a new Sexual Offences Bill and the Hate Crime</w:t>
      </w:r>
      <w:r w:rsidR="00C418E1" w:rsidRPr="00C5657A">
        <w:rPr>
          <w:lang w:val="en-IE"/>
        </w:rPr>
        <w:t>s</w:t>
      </w:r>
      <w:r w:rsidRPr="00C5657A">
        <w:rPr>
          <w:lang w:val="en-IE"/>
        </w:rPr>
        <w:t xml:space="preserve"> Bill</w:t>
      </w:r>
      <w:r w:rsidR="00C418E1" w:rsidRPr="00C5657A">
        <w:rPr>
          <w:lang w:val="en-IE"/>
        </w:rPr>
        <w:t>;</w:t>
      </w:r>
    </w:p>
    <w:p w14:paraId="541BCB15" w14:textId="5133D1F6" w:rsidR="00AE5A09" w:rsidRPr="00C5657A" w:rsidRDefault="00AE5A09" w:rsidP="0086349F">
      <w:pPr>
        <w:pStyle w:val="SingleTxtG"/>
        <w:numPr>
          <w:ilvl w:val="0"/>
          <w:numId w:val="31"/>
        </w:numPr>
        <w:spacing w:after="0"/>
        <w:rPr>
          <w:lang w:val="en-IE"/>
        </w:rPr>
      </w:pPr>
      <w:r w:rsidRPr="00C5657A">
        <w:rPr>
          <w:lang w:val="en-IE"/>
        </w:rPr>
        <w:t>Updated secondary school curricula at junior and senior cycle to include consent, domestic violence, coercive control and safe use of the internet.</w:t>
      </w:r>
    </w:p>
    <w:p w14:paraId="4C0AA435" w14:textId="77777777" w:rsidR="00A52400" w:rsidRPr="00C5657A" w:rsidRDefault="00A52400" w:rsidP="00A52400">
      <w:pPr>
        <w:pStyle w:val="SingleTxtG"/>
        <w:spacing w:after="0"/>
        <w:ind w:left="1494"/>
        <w:rPr>
          <w:lang w:val="en-IE"/>
        </w:rPr>
      </w:pPr>
    </w:p>
    <w:p w14:paraId="494ACAC2" w14:textId="77777777" w:rsidR="00AE5A09" w:rsidRPr="00C5657A" w:rsidRDefault="00AE5A09" w:rsidP="005B52EA">
      <w:pPr>
        <w:pStyle w:val="SingleTxtG"/>
        <w:spacing w:after="0"/>
        <w:rPr>
          <w:lang w:val="en-IE"/>
        </w:rPr>
      </w:pPr>
      <w:r w:rsidRPr="00C5657A">
        <w:rPr>
          <w:lang w:val="en-IE"/>
        </w:rPr>
        <w:t>The overall cost of implementing the entire Strategy is estimate</w:t>
      </w:r>
      <w:r w:rsidR="00C418E1" w:rsidRPr="00C5657A">
        <w:rPr>
          <w:lang w:val="en-IE"/>
        </w:rPr>
        <w:t xml:space="preserve">d to be €363 million. </w:t>
      </w:r>
      <w:r w:rsidRPr="00C5657A">
        <w:rPr>
          <w:lang w:val="en-IE"/>
        </w:rPr>
        <w:t xml:space="preserve">The full Strategy and Implementation Plan can be found at </w:t>
      </w:r>
      <w:r w:rsidRPr="0086349F">
        <w:rPr>
          <w:u w:val="single"/>
          <w:lang w:val="en-IE"/>
        </w:rPr>
        <w:t>gov.ie/</w:t>
      </w:r>
      <w:proofErr w:type="spellStart"/>
      <w:r w:rsidRPr="0086349F">
        <w:rPr>
          <w:u w:val="single"/>
          <w:lang w:val="en-IE"/>
        </w:rPr>
        <w:t>zerotolerance</w:t>
      </w:r>
      <w:proofErr w:type="spellEnd"/>
      <w:r w:rsidR="00C418E1" w:rsidRPr="00C5657A">
        <w:rPr>
          <w:lang w:val="en-IE"/>
        </w:rPr>
        <w:t xml:space="preserve">. </w:t>
      </w:r>
      <w:r w:rsidRPr="00C5657A">
        <w:rPr>
          <w:lang w:val="en-IE"/>
        </w:rPr>
        <w:t xml:space="preserve">  </w:t>
      </w:r>
    </w:p>
    <w:p w14:paraId="55513E0E" w14:textId="77777777" w:rsidR="00991361" w:rsidRPr="00C5657A" w:rsidRDefault="00991361" w:rsidP="005B52EA">
      <w:pPr>
        <w:pStyle w:val="SingleTxtG"/>
        <w:spacing w:after="0"/>
        <w:rPr>
          <w:u w:val="single"/>
          <w:lang w:val="en-IE"/>
        </w:rPr>
      </w:pPr>
    </w:p>
    <w:p w14:paraId="28C6872A" w14:textId="77777777" w:rsidR="00991361" w:rsidRPr="00C5657A" w:rsidRDefault="00991361" w:rsidP="005B52EA">
      <w:pPr>
        <w:pStyle w:val="SingleTxtG"/>
        <w:spacing w:after="0"/>
        <w:rPr>
          <w:u w:val="single"/>
          <w:lang w:val="en-IE"/>
        </w:rPr>
      </w:pPr>
      <w:r w:rsidRPr="00C5657A">
        <w:rPr>
          <w:u w:val="single"/>
          <w:lang w:val="en-IE"/>
        </w:rPr>
        <w:t>No Safe Haven Conference</w:t>
      </w:r>
    </w:p>
    <w:p w14:paraId="633C1532" w14:textId="4C327C49" w:rsidR="00991361" w:rsidRPr="00C5657A" w:rsidRDefault="00991361" w:rsidP="005B52EA">
      <w:pPr>
        <w:pStyle w:val="SingleTxtG"/>
        <w:spacing w:after="0"/>
        <w:rPr>
          <w:lang w:val="en-IE"/>
        </w:rPr>
      </w:pPr>
      <w:r w:rsidRPr="00C5657A">
        <w:rPr>
          <w:lang w:val="en-IE"/>
        </w:rPr>
        <w:t>Between May an</w:t>
      </w:r>
      <w:r w:rsidR="00816F75" w:rsidRPr="00C5657A">
        <w:rPr>
          <w:lang w:val="en-IE"/>
        </w:rPr>
        <w:t>d November 2022, Ireland held</w:t>
      </w:r>
      <w:r w:rsidRPr="00C5657A">
        <w:rPr>
          <w:lang w:val="en-IE"/>
        </w:rPr>
        <w:t xml:space="preserve"> the Presidency of the Council of Europe.</w:t>
      </w:r>
      <w:r w:rsidR="002C3CB9" w:rsidRPr="00C5657A">
        <w:rPr>
          <w:lang w:val="en-IE"/>
        </w:rPr>
        <w:t xml:space="preserve"> One of cornerstone events of Ireland’s Presidency was hosting the ‘No Safe Haven Conference’ on integrated prevention measures to end DSGBV.</w:t>
      </w:r>
      <w:r w:rsidRPr="00C5657A">
        <w:rPr>
          <w:lang w:val="en-IE"/>
        </w:rPr>
        <w:t xml:space="preserve"> </w:t>
      </w:r>
      <w:r w:rsidR="002C3CB9" w:rsidRPr="00C5657A">
        <w:rPr>
          <w:lang w:val="en-IE"/>
        </w:rPr>
        <w:t>The Dublin Declaration on DSGBV was adopted at the end of the Conference, with 38 of the 46 Member States in attendance supporting the Declaration. </w:t>
      </w:r>
    </w:p>
    <w:p w14:paraId="47D6CD11" w14:textId="77777777" w:rsidR="00CD0054" w:rsidRPr="00C5657A" w:rsidRDefault="00CD0054" w:rsidP="005B52EA">
      <w:pPr>
        <w:pStyle w:val="SingleTxtG"/>
        <w:spacing w:after="0"/>
        <w:rPr>
          <w:lang w:val="en-IE"/>
        </w:rPr>
      </w:pPr>
    </w:p>
    <w:p w14:paraId="13060F2F" w14:textId="77777777" w:rsidR="00991361" w:rsidRPr="00C5657A" w:rsidRDefault="002C3CB9" w:rsidP="005B52EA">
      <w:pPr>
        <w:pStyle w:val="SingleTxtG"/>
        <w:spacing w:after="0"/>
        <w:rPr>
          <w:lang w:val="en-IE"/>
        </w:rPr>
      </w:pPr>
      <w:r w:rsidRPr="00C5657A">
        <w:rPr>
          <w:lang w:val="en-IE"/>
        </w:rPr>
        <w:lastRenderedPageBreak/>
        <w:t>I</w:t>
      </w:r>
      <w:r w:rsidR="00991361" w:rsidRPr="00C5657A">
        <w:rPr>
          <w:lang w:val="en-IE"/>
        </w:rPr>
        <w:t xml:space="preserve">t is the hope of the Irish Government that the Dublin Declaration will provide a platform to press for </w:t>
      </w:r>
      <w:proofErr w:type="gramStart"/>
      <w:r w:rsidR="00991361" w:rsidRPr="00C5657A">
        <w:rPr>
          <w:lang w:val="en-IE"/>
        </w:rPr>
        <w:t>pan</w:t>
      </w:r>
      <w:proofErr w:type="gramEnd"/>
      <w:r w:rsidR="00991361" w:rsidRPr="00C5657A">
        <w:rPr>
          <w:lang w:val="en-IE"/>
        </w:rPr>
        <w:t xml:space="preserve">-European consensus on ending the scourge of gender-based violence, while reaffirming our collective support for the Istanbul Convention. </w:t>
      </w:r>
    </w:p>
    <w:p w14:paraId="6A8146C1" w14:textId="77777777" w:rsidR="002C3CB9" w:rsidRPr="00C5657A" w:rsidRDefault="002C3CB9" w:rsidP="005B52EA">
      <w:pPr>
        <w:pStyle w:val="SingleTxtG"/>
        <w:spacing w:after="0"/>
        <w:rPr>
          <w:u w:val="single"/>
          <w:lang w:val="en-IE"/>
        </w:rPr>
      </w:pPr>
    </w:p>
    <w:p w14:paraId="30BE1675" w14:textId="77777777" w:rsidR="00AE5A09" w:rsidRPr="00C5657A" w:rsidRDefault="00AE5A09" w:rsidP="005B52EA">
      <w:pPr>
        <w:spacing w:line="240" w:lineRule="atLeast"/>
        <w:ind w:left="414" w:firstLine="720"/>
        <w:jc w:val="both"/>
        <w:rPr>
          <w:color w:val="000000" w:themeColor="text1"/>
          <w:sz w:val="20"/>
          <w:szCs w:val="20"/>
          <w:u w:val="single"/>
        </w:rPr>
      </w:pPr>
      <w:r w:rsidRPr="00C5657A">
        <w:rPr>
          <w:color w:val="000000" w:themeColor="text1"/>
          <w:sz w:val="20"/>
          <w:szCs w:val="20"/>
          <w:u w:val="single"/>
        </w:rPr>
        <w:t>Mother and Baby Homes</w:t>
      </w:r>
      <w:r w:rsidR="002C3CB9" w:rsidRPr="00C5657A">
        <w:rPr>
          <w:color w:val="000000" w:themeColor="text1"/>
          <w:sz w:val="20"/>
          <w:szCs w:val="20"/>
          <w:u w:val="single"/>
        </w:rPr>
        <w:t xml:space="preserve"> Commission</w:t>
      </w:r>
    </w:p>
    <w:p w14:paraId="07706358" w14:textId="4C25B6D5" w:rsidR="00AE5A09" w:rsidRPr="00C5657A" w:rsidRDefault="00AE5A09" w:rsidP="005B52EA">
      <w:pPr>
        <w:spacing w:line="240" w:lineRule="atLeast"/>
        <w:ind w:left="1134" w:right="1134"/>
        <w:jc w:val="both"/>
        <w:rPr>
          <w:sz w:val="20"/>
          <w:szCs w:val="20"/>
        </w:rPr>
      </w:pPr>
      <w:r w:rsidRPr="00C5657A">
        <w:rPr>
          <w:sz w:val="20"/>
          <w:szCs w:val="20"/>
        </w:rPr>
        <w:t xml:space="preserve">The Irish State takes the investigation of historical human rights abuses in institutional settings very seriously. The State recognises its responsibility to acknowledge difficult truths and make amends for these wrongs. In the context of Mother and Baby and County Home institutions, Ireland has recognised its failures, over many decades, to protect vulnerable citizens in these historical institutional settings and to uphold their fundamental rights. </w:t>
      </w:r>
    </w:p>
    <w:p w14:paraId="5DE3E251" w14:textId="77777777" w:rsidR="00A52400" w:rsidRPr="00C5657A" w:rsidRDefault="00A52400" w:rsidP="005B52EA">
      <w:pPr>
        <w:spacing w:line="240" w:lineRule="atLeast"/>
        <w:ind w:left="1134" w:right="1134"/>
        <w:jc w:val="both"/>
        <w:rPr>
          <w:sz w:val="20"/>
          <w:szCs w:val="20"/>
        </w:rPr>
      </w:pPr>
    </w:p>
    <w:p w14:paraId="7D9FDC77" w14:textId="18E654AC" w:rsidR="00AE5A09" w:rsidRPr="00C5657A" w:rsidRDefault="00AE5A09" w:rsidP="005B52EA">
      <w:pPr>
        <w:spacing w:line="240" w:lineRule="atLeast"/>
        <w:ind w:left="1134" w:right="1134"/>
        <w:jc w:val="both"/>
        <w:rPr>
          <w:sz w:val="20"/>
          <w:szCs w:val="20"/>
        </w:rPr>
      </w:pPr>
      <w:r w:rsidRPr="00C5657A">
        <w:rPr>
          <w:sz w:val="20"/>
          <w:szCs w:val="20"/>
        </w:rPr>
        <w:t xml:space="preserve">In January 2021, upon publication of the Final Report of the </w:t>
      </w:r>
      <w:r w:rsidRPr="00C5657A">
        <w:rPr>
          <w:i/>
          <w:sz w:val="20"/>
          <w:szCs w:val="20"/>
        </w:rPr>
        <w:t>Mother and Baby Homes Commission of Investigation</w:t>
      </w:r>
      <w:r w:rsidRPr="00C5657A">
        <w:rPr>
          <w:sz w:val="20"/>
          <w:szCs w:val="20"/>
        </w:rPr>
        <w:t xml:space="preserve">, the then Taoiseach Micheál Martin TD immediately offered a full and unequivocal State apology to all those who spent time in the institutions. This official State apology builds upon previous State apologies to those who experienced abuse in other institutional settings. The Commission’s Final Report, and the subsequent State apology, represented a starting point for the further restorative measures now being progressed. </w:t>
      </w:r>
    </w:p>
    <w:p w14:paraId="574B06CD" w14:textId="77777777" w:rsidR="00A52400" w:rsidRPr="00C5657A" w:rsidRDefault="00A52400" w:rsidP="005B52EA">
      <w:pPr>
        <w:spacing w:line="240" w:lineRule="atLeast"/>
        <w:ind w:left="1134" w:right="1134"/>
        <w:jc w:val="both"/>
        <w:rPr>
          <w:sz w:val="20"/>
          <w:szCs w:val="20"/>
        </w:rPr>
      </w:pPr>
    </w:p>
    <w:p w14:paraId="78D9B597" w14:textId="3858374F" w:rsidR="00AE5A09" w:rsidRPr="00C5657A" w:rsidRDefault="00AE5A09" w:rsidP="005B52EA">
      <w:pPr>
        <w:spacing w:line="240" w:lineRule="atLeast"/>
        <w:ind w:left="1134" w:right="1134"/>
        <w:jc w:val="both"/>
        <w:rPr>
          <w:sz w:val="20"/>
          <w:szCs w:val="20"/>
        </w:rPr>
      </w:pPr>
      <w:r w:rsidRPr="00C5657A">
        <w:rPr>
          <w:sz w:val="20"/>
          <w:szCs w:val="20"/>
        </w:rPr>
        <w:t>The Irish Government has made 22 commitments to survivors, intended to address the priorities of those who spent time in these institutions, and to respond to the findings and recommendations of the Commission of Investigation.  The</w:t>
      </w:r>
      <w:r w:rsidR="00CD0054" w:rsidRPr="00C5657A">
        <w:rPr>
          <w:sz w:val="20"/>
          <w:szCs w:val="20"/>
        </w:rPr>
        <w:t xml:space="preserve"> wide-ranging commitments span eight</w:t>
      </w:r>
      <w:r w:rsidRPr="00C5657A">
        <w:rPr>
          <w:sz w:val="20"/>
          <w:szCs w:val="20"/>
        </w:rPr>
        <w:t xml:space="preserve"> key themes: </w:t>
      </w:r>
    </w:p>
    <w:p w14:paraId="53186581"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A survivor-centred approach</w:t>
      </w:r>
    </w:p>
    <w:p w14:paraId="69FAE53F"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Apology</w:t>
      </w:r>
    </w:p>
    <w:p w14:paraId="5939847E"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Access to personal information</w:t>
      </w:r>
    </w:p>
    <w:p w14:paraId="0E9CB11D"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Archiving and databases</w:t>
      </w:r>
    </w:p>
    <w:p w14:paraId="2C43691F"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Education and research</w:t>
      </w:r>
    </w:p>
    <w:p w14:paraId="31249DF5"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Memorialisation</w:t>
      </w:r>
    </w:p>
    <w:p w14:paraId="64CC95B8" w14:textId="77777777"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Restorative recognition</w:t>
      </w:r>
    </w:p>
    <w:p w14:paraId="1798AC42" w14:textId="73F3D669" w:rsidR="00AE5A09" w:rsidRPr="00C5657A" w:rsidRDefault="00AE5A09" w:rsidP="00EC6275">
      <w:pPr>
        <w:numPr>
          <w:ilvl w:val="0"/>
          <w:numId w:val="6"/>
        </w:numPr>
        <w:spacing w:line="240" w:lineRule="atLeast"/>
        <w:ind w:left="1560" w:right="1134" w:firstLine="284"/>
        <w:jc w:val="both"/>
        <w:rPr>
          <w:sz w:val="20"/>
          <w:szCs w:val="20"/>
        </w:rPr>
      </w:pPr>
      <w:r w:rsidRPr="00C5657A">
        <w:rPr>
          <w:sz w:val="20"/>
          <w:szCs w:val="20"/>
        </w:rPr>
        <w:t>Dignified burial</w:t>
      </w:r>
    </w:p>
    <w:p w14:paraId="6C7563C1" w14:textId="77777777" w:rsidR="00CD0054" w:rsidRPr="00C5657A" w:rsidRDefault="00CD0054" w:rsidP="00CD0054">
      <w:pPr>
        <w:spacing w:line="240" w:lineRule="atLeast"/>
        <w:ind w:left="1844" w:right="1134"/>
        <w:jc w:val="both"/>
        <w:rPr>
          <w:sz w:val="20"/>
          <w:szCs w:val="20"/>
        </w:rPr>
      </w:pPr>
    </w:p>
    <w:p w14:paraId="57150F7B" w14:textId="7FA1E362" w:rsidR="00AE5A09" w:rsidRPr="00C5657A" w:rsidRDefault="002C3CB9" w:rsidP="005B52EA">
      <w:pPr>
        <w:spacing w:line="240" w:lineRule="atLeast"/>
        <w:ind w:left="1134" w:right="1134"/>
        <w:jc w:val="both"/>
        <w:rPr>
          <w:sz w:val="20"/>
          <w:szCs w:val="20"/>
        </w:rPr>
      </w:pPr>
      <w:r w:rsidRPr="00C5657A">
        <w:rPr>
          <w:sz w:val="20"/>
          <w:szCs w:val="20"/>
        </w:rPr>
        <w:t>Of the twenty-two a</w:t>
      </w:r>
      <w:r w:rsidR="00AE5A09" w:rsidRPr="00C5657A">
        <w:rPr>
          <w:sz w:val="20"/>
          <w:szCs w:val="20"/>
        </w:rPr>
        <w:t>ctions contained in the Action Plan</w:t>
      </w:r>
      <w:r w:rsidRPr="00C5657A">
        <w:rPr>
          <w:sz w:val="20"/>
          <w:szCs w:val="20"/>
        </w:rPr>
        <w:t xml:space="preserve">, nine </w:t>
      </w:r>
      <w:r w:rsidR="00AE5A09" w:rsidRPr="00C5657A">
        <w:rPr>
          <w:sz w:val="20"/>
          <w:szCs w:val="20"/>
        </w:rPr>
        <w:t>have been completed</w:t>
      </w:r>
      <w:r w:rsidRPr="00C5657A">
        <w:rPr>
          <w:sz w:val="20"/>
          <w:szCs w:val="20"/>
        </w:rPr>
        <w:t xml:space="preserve"> and eleven actions are </w:t>
      </w:r>
      <w:r w:rsidR="00AE5A09" w:rsidRPr="00C5657A">
        <w:rPr>
          <w:sz w:val="20"/>
          <w:szCs w:val="20"/>
        </w:rPr>
        <w:t xml:space="preserve">currently in progress. Work is ongoing across all thematic areas to ensure </w:t>
      </w:r>
      <w:r w:rsidRPr="00C5657A">
        <w:rPr>
          <w:sz w:val="20"/>
          <w:szCs w:val="20"/>
        </w:rPr>
        <w:t xml:space="preserve">that </w:t>
      </w:r>
      <w:r w:rsidR="00AE5A09" w:rsidRPr="00C5657A">
        <w:rPr>
          <w:sz w:val="20"/>
          <w:szCs w:val="20"/>
        </w:rPr>
        <w:t xml:space="preserve">survivors see tangible results as early as possible. </w:t>
      </w:r>
    </w:p>
    <w:p w14:paraId="76D05F81" w14:textId="4E97F932" w:rsidR="00CD0054" w:rsidRPr="00C5657A" w:rsidRDefault="00CD0054" w:rsidP="005B52EA">
      <w:pPr>
        <w:spacing w:line="240" w:lineRule="atLeast"/>
        <w:ind w:left="1134" w:right="1134"/>
        <w:jc w:val="both"/>
        <w:rPr>
          <w:sz w:val="20"/>
          <w:szCs w:val="20"/>
        </w:rPr>
      </w:pPr>
    </w:p>
    <w:p w14:paraId="772EA197" w14:textId="7393F954" w:rsidR="00CD0054" w:rsidRPr="00C5657A" w:rsidRDefault="00C32F0D" w:rsidP="00A52400">
      <w:pPr>
        <w:spacing w:line="240" w:lineRule="atLeast"/>
        <w:ind w:left="1134" w:right="1134"/>
        <w:jc w:val="both"/>
        <w:rPr>
          <w:sz w:val="20"/>
          <w:szCs w:val="20"/>
        </w:rPr>
      </w:pPr>
      <w:r w:rsidRPr="00C5657A">
        <w:rPr>
          <w:sz w:val="20"/>
          <w:szCs w:val="20"/>
        </w:rPr>
        <w:t>Following the enactment of the</w:t>
      </w:r>
      <w:r w:rsidR="00AE5A09" w:rsidRPr="00C5657A">
        <w:rPr>
          <w:sz w:val="20"/>
          <w:szCs w:val="20"/>
        </w:rPr>
        <w:t xml:space="preserve"> </w:t>
      </w:r>
      <w:r w:rsidR="00AE5A09" w:rsidRPr="00C5657A">
        <w:rPr>
          <w:i/>
          <w:sz w:val="20"/>
          <w:szCs w:val="20"/>
        </w:rPr>
        <w:t>Institutional Burials Act 2022</w:t>
      </w:r>
      <w:r w:rsidRPr="00C5657A">
        <w:rPr>
          <w:sz w:val="20"/>
          <w:szCs w:val="20"/>
        </w:rPr>
        <w:t xml:space="preserve">, Government </w:t>
      </w:r>
      <w:r w:rsidR="00AE5A09" w:rsidRPr="00C5657A">
        <w:rPr>
          <w:sz w:val="20"/>
          <w:szCs w:val="20"/>
        </w:rPr>
        <w:t>approved proposa</w:t>
      </w:r>
      <w:r w:rsidRPr="00C5657A">
        <w:rPr>
          <w:sz w:val="20"/>
          <w:szCs w:val="20"/>
        </w:rPr>
        <w:t>ls for an independent o</w:t>
      </w:r>
      <w:r w:rsidR="00AE5A09" w:rsidRPr="00C5657A">
        <w:rPr>
          <w:sz w:val="20"/>
          <w:szCs w:val="20"/>
        </w:rPr>
        <w:t>ffice to lead intervention</w:t>
      </w:r>
      <w:r w:rsidRPr="00C5657A">
        <w:rPr>
          <w:sz w:val="20"/>
          <w:szCs w:val="20"/>
        </w:rPr>
        <w:t>s</w:t>
      </w:r>
      <w:r w:rsidR="00AE5A09" w:rsidRPr="00C5657A">
        <w:rPr>
          <w:sz w:val="20"/>
          <w:szCs w:val="20"/>
        </w:rPr>
        <w:t xml:space="preserve"> at the site of the former Mother and Baby Institution in </w:t>
      </w:r>
      <w:proofErr w:type="spellStart"/>
      <w:r w:rsidR="00AE5A09" w:rsidRPr="00C5657A">
        <w:rPr>
          <w:sz w:val="20"/>
          <w:szCs w:val="20"/>
        </w:rPr>
        <w:t>Tuam</w:t>
      </w:r>
      <w:proofErr w:type="spellEnd"/>
      <w:r w:rsidR="00AE5A09" w:rsidRPr="00C5657A">
        <w:rPr>
          <w:sz w:val="20"/>
          <w:szCs w:val="20"/>
        </w:rPr>
        <w:t>, Co. Galway. This legislation provides a statutory basis for a full-scale forensic excavation of the site. The Irish Government hopes this process will deliver answers that can bring some solace to families who have been so deeply affect</w:t>
      </w:r>
      <w:r w:rsidR="00A52400" w:rsidRPr="00C5657A">
        <w:rPr>
          <w:sz w:val="20"/>
          <w:szCs w:val="20"/>
        </w:rPr>
        <w:t>ed by this abhorrent situation.</w:t>
      </w:r>
    </w:p>
    <w:p w14:paraId="0F5FC988" w14:textId="77777777" w:rsidR="00CD0054" w:rsidRPr="00C5657A" w:rsidRDefault="00CD0054" w:rsidP="001E1532">
      <w:pPr>
        <w:spacing w:line="240" w:lineRule="atLeast"/>
        <w:ind w:right="1134"/>
        <w:jc w:val="both"/>
        <w:rPr>
          <w:sz w:val="20"/>
          <w:szCs w:val="20"/>
        </w:rPr>
      </w:pPr>
    </w:p>
    <w:p w14:paraId="5CA86663" w14:textId="50B9DC76" w:rsidR="00AE5A09" w:rsidRDefault="00AE5A09" w:rsidP="005B52EA">
      <w:pPr>
        <w:shd w:val="clear" w:color="auto" w:fill="FFFFFF"/>
        <w:spacing w:line="240" w:lineRule="atLeast"/>
        <w:ind w:left="1134" w:right="1134"/>
        <w:jc w:val="both"/>
        <w:rPr>
          <w:sz w:val="20"/>
          <w:szCs w:val="20"/>
        </w:rPr>
      </w:pPr>
      <w:r w:rsidRPr="00C5657A">
        <w:rPr>
          <w:sz w:val="20"/>
          <w:szCs w:val="20"/>
        </w:rPr>
        <w:t>Counselling support</w:t>
      </w:r>
      <w:r w:rsidR="00C32F0D" w:rsidRPr="00C5657A">
        <w:rPr>
          <w:sz w:val="20"/>
          <w:szCs w:val="20"/>
        </w:rPr>
        <w:t>s continue</w:t>
      </w:r>
      <w:r w:rsidRPr="00C5657A">
        <w:rPr>
          <w:sz w:val="20"/>
          <w:szCs w:val="20"/>
        </w:rPr>
        <w:t xml:space="preserve"> to be available to survivors, free of charge, through the National Counselling Service.</w:t>
      </w:r>
    </w:p>
    <w:p w14:paraId="3DC61E92" w14:textId="1C8417FE" w:rsidR="0086349F" w:rsidRDefault="0086349F" w:rsidP="005B52EA">
      <w:pPr>
        <w:shd w:val="clear" w:color="auto" w:fill="FFFFFF"/>
        <w:spacing w:line="240" w:lineRule="atLeast"/>
        <w:ind w:left="1134" w:right="1134"/>
        <w:jc w:val="both"/>
        <w:rPr>
          <w:sz w:val="20"/>
          <w:szCs w:val="20"/>
        </w:rPr>
      </w:pPr>
    </w:p>
    <w:p w14:paraId="1299366E" w14:textId="3FC866DD" w:rsidR="0086349F" w:rsidRPr="0086349F" w:rsidRDefault="0086349F" w:rsidP="005B52EA">
      <w:pPr>
        <w:shd w:val="clear" w:color="auto" w:fill="FFFFFF"/>
        <w:spacing w:line="240" w:lineRule="atLeast"/>
        <w:ind w:left="1134" w:right="1134"/>
        <w:jc w:val="both"/>
        <w:rPr>
          <w:sz w:val="20"/>
          <w:szCs w:val="20"/>
          <w:u w:val="single"/>
        </w:rPr>
      </w:pPr>
      <w:r w:rsidRPr="0086349F">
        <w:rPr>
          <w:sz w:val="20"/>
          <w:szCs w:val="20"/>
          <w:u w:val="single"/>
        </w:rPr>
        <w:t>COVID-19</w:t>
      </w:r>
    </w:p>
    <w:p w14:paraId="401DF01F" w14:textId="3B9241F2" w:rsidR="0086349F" w:rsidRPr="00C5657A" w:rsidRDefault="0086349F" w:rsidP="0086349F">
      <w:pPr>
        <w:pStyle w:val="SingleTxtG"/>
        <w:spacing w:after="0"/>
        <w:rPr>
          <w:lang w:val="en-IE"/>
        </w:rPr>
      </w:pPr>
      <w:r w:rsidRPr="00C5657A">
        <w:rPr>
          <w:lang w:val="en-IE"/>
        </w:rPr>
        <w:t xml:space="preserve">From the start of the pandemic, An Garda Síochána attached the highest priority to domestic abuse incidents including through ‘Operation </w:t>
      </w:r>
      <w:proofErr w:type="spellStart"/>
      <w:r w:rsidRPr="00C5657A">
        <w:rPr>
          <w:lang w:val="en-IE"/>
        </w:rPr>
        <w:t>Faoiseamh</w:t>
      </w:r>
      <w:proofErr w:type="spellEnd"/>
      <w:r w:rsidRPr="00C5657A">
        <w:rPr>
          <w:lang w:val="en-IE"/>
        </w:rPr>
        <w:t>’.</w:t>
      </w:r>
      <w:r>
        <w:rPr>
          <w:lang w:val="en-IE"/>
        </w:rPr>
        <w:t xml:space="preserve"> </w:t>
      </w:r>
      <w:r w:rsidRPr="00C5657A">
        <w:rPr>
          <w:lang w:val="en-IE"/>
        </w:rPr>
        <w:t xml:space="preserve">This is an ongoing initiative designed to ensure that victims of domestic abuse are protected, with particular focus on arresting and bringing before the courts offenders who have breached domestic violence legislation, in particular Court Orders obtained under the provisions of the </w:t>
      </w:r>
      <w:r w:rsidRPr="00C5657A">
        <w:rPr>
          <w:i/>
          <w:lang w:val="en-IE"/>
        </w:rPr>
        <w:t>Domestic Violence Act 2018</w:t>
      </w:r>
      <w:r w:rsidRPr="00C5657A">
        <w:rPr>
          <w:lang w:val="en-IE"/>
        </w:rPr>
        <w:t>.</w:t>
      </w:r>
    </w:p>
    <w:p w14:paraId="5791A8E1" w14:textId="77777777" w:rsidR="0086349F" w:rsidRPr="00C5657A" w:rsidRDefault="0086349F" w:rsidP="0086349F">
      <w:pPr>
        <w:pStyle w:val="SingleTxtG"/>
        <w:spacing w:after="0"/>
        <w:rPr>
          <w:lang w:val="en-IE"/>
        </w:rPr>
      </w:pPr>
    </w:p>
    <w:p w14:paraId="0A08B4DB" w14:textId="77777777" w:rsidR="0086349F" w:rsidRPr="00C5657A" w:rsidRDefault="0086349F" w:rsidP="0086349F">
      <w:pPr>
        <w:pStyle w:val="SingleTxtG"/>
        <w:spacing w:after="0"/>
        <w:rPr>
          <w:lang w:val="en-IE"/>
        </w:rPr>
      </w:pPr>
      <w:r w:rsidRPr="00C5657A">
        <w:rPr>
          <w:lang w:val="en-IE"/>
        </w:rPr>
        <w:t xml:space="preserve">The Department of Justice initiated the ‘Still Here’ public awareness campaign in partnership with frontline services, to reassure victims that access to support services continued to be available throughout the pandemic and despite associated restrictions on movement. The Department coordinated with non-governmental organisations to maintain helplines and other supports for victims, including emergency funding to address the impact of the </w:t>
      </w:r>
      <w:r w:rsidRPr="00C5657A">
        <w:rPr>
          <w:lang w:val="en-IE"/>
        </w:rPr>
        <w:lastRenderedPageBreak/>
        <w:t xml:space="preserve">pandemic on domestic violence services and programmes. The ‘Still Here’ campaign was developed in April 2020 and ran up to January 2023. </w:t>
      </w:r>
    </w:p>
    <w:p w14:paraId="0B0EE55E" w14:textId="77777777" w:rsidR="0086349F" w:rsidRPr="00C5657A" w:rsidRDefault="0086349F" w:rsidP="0086349F">
      <w:pPr>
        <w:pStyle w:val="SingleTxtG"/>
        <w:spacing w:after="0"/>
        <w:rPr>
          <w:lang w:val="en-IE"/>
        </w:rPr>
      </w:pPr>
    </w:p>
    <w:p w14:paraId="5581F647" w14:textId="77777777" w:rsidR="0086349F" w:rsidRPr="00C5657A" w:rsidRDefault="0086349F" w:rsidP="0086349F">
      <w:pPr>
        <w:pStyle w:val="SingleTxtG"/>
        <w:spacing w:after="0"/>
        <w:rPr>
          <w:iCs/>
          <w:lang w:val="en-IE"/>
        </w:rPr>
      </w:pPr>
      <w:r w:rsidRPr="00C5657A">
        <w:rPr>
          <w:iCs/>
          <w:lang w:val="en-IE"/>
        </w:rPr>
        <w:t>During the pandemic, the Government removed the means test requirement for victims of domestic violence, to ensure ease of access to rent supplements. This change has now been made permanent.</w:t>
      </w:r>
    </w:p>
    <w:p w14:paraId="061F0527" w14:textId="77777777" w:rsidR="0086349F" w:rsidRPr="00C5657A" w:rsidRDefault="0086349F" w:rsidP="005B52EA">
      <w:pPr>
        <w:shd w:val="clear" w:color="auto" w:fill="FFFFFF"/>
        <w:spacing w:line="240" w:lineRule="atLeast"/>
        <w:ind w:left="1134" w:right="1134"/>
        <w:jc w:val="both"/>
        <w:rPr>
          <w:sz w:val="20"/>
          <w:szCs w:val="20"/>
        </w:rPr>
      </w:pPr>
    </w:p>
    <w:p w14:paraId="436CC4FF" w14:textId="77777777" w:rsidR="00AE5A09" w:rsidRPr="00C5657A" w:rsidRDefault="00AE5A09" w:rsidP="005B52EA">
      <w:pPr>
        <w:pStyle w:val="SingleTxtG"/>
        <w:spacing w:after="0"/>
        <w:rPr>
          <w:b/>
          <w:lang w:val="en-IE"/>
        </w:rPr>
      </w:pPr>
    </w:p>
    <w:p w14:paraId="3ECE4D18" w14:textId="77777777" w:rsidR="00AE5A09" w:rsidRPr="00C5657A" w:rsidRDefault="00AE5A09" w:rsidP="005B52EA">
      <w:pPr>
        <w:pStyle w:val="SingleTxtG"/>
        <w:spacing w:after="0"/>
        <w:rPr>
          <w:b/>
          <w:lang w:val="en-IE"/>
        </w:rPr>
      </w:pPr>
      <w:r w:rsidRPr="00C5657A">
        <w:rPr>
          <w:b/>
          <w:lang w:val="en-IE"/>
        </w:rPr>
        <w:t xml:space="preserve">Right to an adequate standard of living (art. 11) </w:t>
      </w:r>
    </w:p>
    <w:p w14:paraId="0B705F20" w14:textId="5847B66D" w:rsidR="00AE5A09" w:rsidRPr="00C5657A" w:rsidRDefault="00AE5A09" w:rsidP="005B52EA">
      <w:pPr>
        <w:pStyle w:val="SingleTxtG"/>
        <w:spacing w:after="0"/>
        <w:rPr>
          <w:b/>
          <w:lang w:val="en-IE"/>
        </w:rPr>
      </w:pPr>
      <w:r w:rsidRPr="00C5657A">
        <w:rPr>
          <w:b/>
          <w:lang w:val="en-IE"/>
        </w:rPr>
        <w:t>Reply to paragraph 18</w:t>
      </w:r>
    </w:p>
    <w:p w14:paraId="522E5740" w14:textId="77777777" w:rsidR="00A52400" w:rsidRPr="00C5657A" w:rsidRDefault="00A52400" w:rsidP="005B52EA">
      <w:pPr>
        <w:pStyle w:val="SingleTxtG"/>
        <w:spacing w:after="0"/>
        <w:rPr>
          <w:b/>
          <w:lang w:val="en-IE"/>
        </w:rPr>
      </w:pPr>
    </w:p>
    <w:p w14:paraId="70FDF416" w14:textId="3B792123" w:rsidR="00971CD0" w:rsidRPr="00C5657A" w:rsidRDefault="00971CD0" w:rsidP="005B52EA">
      <w:pPr>
        <w:spacing w:line="240" w:lineRule="atLeast"/>
        <w:ind w:left="1134" w:right="1134"/>
        <w:jc w:val="both"/>
        <w:rPr>
          <w:color w:val="000000" w:themeColor="text1"/>
          <w:sz w:val="20"/>
          <w:szCs w:val="20"/>
          <w:u w:val="single"/>
        </w:rPr>
      </w:pPr>
      <w:r w:rsidRPr="00C5657A">
        <w:rPr>
          <w:color w:val="000000" w:themeColor="text1"/>
          <w:sz w:val="20"/>
          <w:szCs w:val="20"/>
          <w:u w:val="single"/>
        </w:rPr>
        <w:t>Measures to address poverty and social exclusion</w:t>
      </w:r>
      <w:r w:rsidR="00B53CE4" w:rsidRPr="00C5657A">
        <w:rPr>
          <w:color w:val="000000" w:themeColor="text1"/>
          <w:sz w:val="20"/>
          <w:szCs w:val="20"/>
        </w:rPr>
        <w:t xml:space="preserve"> </w:t>
      </w:r>
    </w:p>
    <w:p w14:paraId="0F300AF8" w14:textId="77777777" w:rsidR="00B53CE4" w:rsidRPr="00C5657A" w:rsidRDefault="00B53CE4" w:rsidP="005B52EA">
      <w:pPr>
        <w:spacing w:line="240" w:lineRule="atLeast"/>
        <w:ind w:left="1134" w:right="1134"/>
        <w:jc w:val="both"/>
        <w:rPr>
          <w:color w:val="000000" w:themeColor="text1"/>
          <w:sz w:val="20"/>
          <w:szCs w:val="20"/>
        </w:rPr>
      </w:pPr>
      <w:r w:rsidRPr="00C5657A">
        <w:rPr>
          <w:color w:val="000000" w:themeColor="text1"/>
          <w:sz w:val="20"/>
          <w:szCs w:val="20"/>
        </w:rPr>
        <w:t>There are a number of secondary benefits available to those in receipt of the State Pension, subject to qualifying criteria:</w:t>
      </w:r>
    </w:p>
    <w:p w14:paraId="3B6A49C2"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color w:val="000000" w:themeColor="text1"/>
          <w:sz w:val="20"/>
          <w:szCs w:val="20"/>
        </w:rPr>
        <w:t xml:space="preserve">The </w:t>
      </w:r>
      <w:r w:rsidRPr="00C5657A">
        <w:rPr>
          <w:bCs/>
          <w:color w:val="000000" w:themeColor="text1"/>
          <w:sz w:val="20"/>
          <w:szCs w:val="20"/>
        </w:rPr>
        <w:t>Household Benefits Package</w:t>
      </w:r>
      <w:r w:rsidRPr="00C5657A">
        <w:rPr>
          <w:color w:val="000000" w:themeColor="text1"/>
          <w:sz w:val="20"/>
          <w:szCs w:val="20"/>
        </w:rPr>
        <w:t xml:space="preserve"> </w:t>
      </w:r>
    </w:p>
    <w:p w14:paraId="779C6373"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color w:val="000000" w:themeColor="text1"/>
          <w:sz w:val="20"/>
          <w:szCs w:val="20"/>
        </w:rPr>
        <w:t xml:space="preserve">The </w:t>
      </w:r>
      <w:r w:rsidRPr="00C5657A">
        <w:rPr>
          <w:bCs/>
          <w:color w:val="000000" w:themeColor="text1"/>
          <w:sz w:val="20"/>
          <w:szCs w:val="20"/>
        </w:rPr>
        <w:t>Telephone Support Allowance</w:t>
      </w:r>
    </w:p>
    <w:p w14:paraId="45A03A06"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bCs/>
          <w:color w:val="000000" w:themeColor="text1"/>
          <w:sz w:val="20"/>
          <w:szCs w:val="20"/>
        </w:rPr>
        <w:t>Living Alone Increase</w:t>
      </w:r>
    </w:p>
    <w:p w14:paraId="2EDECCC6"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bCs/>
          <w:color w:val="000000" w:themeColor="text1"/>
          <w:sz w:val="20"/>
          <w:szCs w:val="20"/>
        </w:rPr>
        <w:t>Fuel Allowance</w:t>
      </w:r>
    </w:p>
    <w:p w14:paraId="3462A48B"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color w:val="000000" w:themeColor="text1"/>
          <w:sz w:val="20"/>
          <w:szCs w:val="20"/>
        </w:rPr>
        <w:t xml:space="preserve">The </w:t>
      </w:r>
      <w:r w:rsidRPr="00C5657A">
        <w:rPr>
          <w:bCs/>
          <w:color w:val="000000" w:themeColor="text1"/>
          <w:sz w:val="20"/>
          <w:szCs w:val="20"/>
        </w:rPr>
        <w:t xml:space="preserve">Free Travel Scheme </w:t>
      </w:r>
    </w:p>
    <w:p w14:paraId="474F2F74"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bCs/>
          <w:color w:val="000000" w:themeColor="text1"/>
          <w:sz w:val="20"/>
          <w:szCs w:val="20"/>
        </w:rPr>
        <w:t>Increase for Living on an Island</w:t>
      </w:r>
    </w:p>
    <w:p w14:paraId="43DC4F81" w14:textId="77777777" w:rsidR="00B53CE4" w:rsidRPr="00C5657A" w:rsidRDefault="00B53CE4" w:rsidP="00EC6275">
      <w:pPr>
        <w:numPr>
          <w:ilvl w:val="0"/>
          <w:numId w:val="12"/>
        </w:numPr>
        <w:spacing w:line="240" w:lineRule="atLeast"/>
        <w:ind w:left="1843" w:right="1134"/>
        <w:jc w:val="both"/>
        <w:rPr>
          <w:color w:val="000000" w:themeColor="text1"/>
          <w:sz w:val="20"/>
          <w:szCs w:val="20"/>
        </w:rPr>
      </w:pPr>
      <w:r w:rsidRPr="00C5657A">
        <w:rPr>
          <w:bCs/>
          <w:color w:val="000000" w:themeColor="text1"/>
          <w:sz w:val="20"/>
          <w:szCs w:val="20"/>
        </w:rPr>
        <w:t>Over 80s Allowance</w:t>
      </w:r>
    </w:p>
    <w:p w14:paraId="73D1B87E" w14:textId="72D49990" w:rsidR="00CD0054" w:rsidRPr="00C5657A" w:rsidRDefault="00CD0054" w:rsidP="005B52EA">
      <w:pPr>
        <w:pStyle w:val="NormalWeb"/>
        <w:ind w:left="1134" w:right="1134"/>
        <w:jc w:val="both"/>
        <w:rPr>
          <w:color w:val="000000" w:themeColor="text1"/>
          <w:sz w:val="20"/>
          <w:szCs w:val="20"/>
        </w:rPr>
      </w:pPr>
    </w:p>
    <w:p w14:paraId="4BF716CD" w14:textId="1DDD6DBD" w:rsidR="0086349F" w:rsidRPr="0086349F" w:rsidRDefault="0086349F" w:rsidP="00CD0054">
      <w:pPr>
        <w:pStyle w:val="NormalWeb"/>
        <w:ind w:left="1134" w:right="1134"/>
        <w:jc w:val="both"/>
        <w:rPr>
          <w:color w:val="000000" w:themeColor="text1"/>
          <w:sz w:val="20"/>
          <w:szCs w:val="20"/>
          <w:u w:val="single"/>
        </w:rPr>
      </w:pPr>
      <w:r>
        <w:rPr>
          <w:color w:val="000000" w:themeColor="text1"/>
          <w:sz w:val="20"/>
          <w:szCs w:val="20"/>
          <w:u w:val="single"/>
        </w:rPr>
        <w:t>Persons with disabilities</w:t>
      </w:r>
    </w:p>
    <w:p w14:paraId="51D53BC1" w14:textId="20BDB303" w:rsidR="00A52400" w:rsidRPr="00C5657A" w:rsidRDefault="00AE5A09" w:rsidP="00CD0054">
      <w:pPr>
        <w:pStyle w:val="NormalWeb"/>
        <w:ind w:left="1134" w:right="1134"/>
        <w:jc w:val="both"/>
        <w:rPr>
          <w:color w:val="000000" w:themeColor="text1"/>
          <w:sz w:val="20"/>
          <w:szCs w:val="20"/>
        </w:rPr>
      </w:pPr>
      <w:r w:rsidRPr="00C5657A">
        <w:rPr>
          <w:color w:val="000000" w:themeColor="text1"/>
          <w:sz w:val="20"/>
          <w:szCs w:val="20"/>
        </w:rPr>
        <w:t xml:space="preserve">A key strategic priority within the </w:t>
      </w:r>
      <w:r w:rsidRPr="00C5657A">
        <w:rPr>
          <w:i/>
          <w:color w:val="000000" w:themeColor="text1"/>
          <w:sz w:val="20"/>
          <w:szCs w:val="20"/>
        </w:rPr>
        <w:t>Comprehensive Employment Strategy</w:t>
      </w:r>
      <w:r w:rsidRPr="00C5657A">
        <w:rPr>
          <w:color w:val="000000" w:themeColor="text1"/>
          <w:sz w:val="20"/>
          <w:szCs w:val="20"/>
        </w:rPr>
        <w:t xml:space="preserve"> is to ensure that work pays for people with disabilities who engage in employment. The </w:t>
      </w:r>
      <w:r w:rsidR="006E3435" w:rsidRPr="00C5657A">
        <w:rPr>
          <w:color w:val="000000" w:themeColor="text1"/>
          <w:sz w:val="20"/>
          <w:szCs w:val="20"/>
        </w:rPr>
        <w:t>DSP</w:t>
      </w:r>
      <w:r w:rsidRPr="00C5657A">
        <w:rPr>
          <w:color w:val="000000" w:themeColor="text1"/>
          <w:sz w:val="20"/>
          <w:szCs w:val="20"/>
        </w:rPr>
        <w:t xml:space="preserve"> established an interdepartmental expert group with an independent chair to examine the complex interact</w:t>
      </w:r>
      <w:r w:rsidR="00971CD0" w:rsidRPr="00C5657A">
        <w:rPr>
          <w:color w:val="000000" w:themeColor="text1"/>
          <w:sz w:val="20"/>
          <w:szCs w:val="20"/>
        </w:rPr>
        <w:t>ions between the benefit system</w:t>
      </w:r>
      <w:r w:rsidRPr="00C5657A">
        <w:rPr>
          <w:color w:val="000000" w:themeColor="text1"/>
          <w:sz w:val="20"/>
          <w:szCs w:val="20"/>
        </w:rPr>
        <w:t xml:space="preserve"> </w:t>
      </w:r>
      <w:r w:rsidR="00971CD0" w:rsidRPr="00C5657A">
        <w:rPr>
          <w:color w:val="000000" w:themeColor="text1"/>
          <w:sz w:val="20"/>
          <w:szCs w:val="20"/>
        </w:rPr>
        <w:t>(</w:t>
      </w:r>
      <w:r w:rsidRPr="00C5657A">
        <w:rPr>
          <w:color w:val="000000" w:themeColor="text1"/>
          <w:sz w:val="20"/>
          <w:szCs w:val="20"/>
        </w:rPr>
        <w:t>in particular the Medical Card</w:t>
      </w:r>
      <w:r w:rsidR="00971CD0" w:rsidRPr="00C5657A">
        <w:rPr>
          <w:color w:val="000000" w:themeColor="text1"/>
          <w:sz w:val="20"/>
          <w:szCs w:val="20"/>
        </w:rPr>
        <w:t>)</w:t>
      </w:r>
      <w:r w:rsidRPr="00C5657A">
        <w:rPr>
          <w:color w:val="000000" w:themeColor="text1"/>
          <w:sz w:val="20"/>
          <w:szCs w:val="20"/>
        </w:rPr>
        <w:t>, the additional costs of work associated with a disability, and the net income gains i</w:t>
      </w:r>
      <w:r w:rsidR="00971CD0" w:rsidRPr="00C5657A">
        <w:rPr>
          <w:color w:val="000000" w:themeColor="text1"/>
          <w:sz w:val="20"/>
          <w:szCs w:val="20"/>
        </w:rPr>
        <w:t xml:space="preserve">n employment. </w:t>
      </w:r>
    </w:p>
    <w:p w14:paraId="3361BF73" w14:textId="77777777" w:rsidR="00A52400" w:rsidRPr="00C5657A" w:rsidRDefault="00A52400" w:rsidP="00CD0054">
      <w:pPr>
        <w:pStyle w:val="NormalWeb"/>
        <w:ind w:left="1134" w:right="1134"/>
        <w:jc w:val="both"/>
        <w:rPr>
          <w:color w:val="000000" w:themeColor="text1"/>
          <w:sz w:val="20"/>
          <w:szCs w:val="20"/>
        </w:rPr>
      </w:pPr>
    </w:p>
    <w:p w14:paraId="0CE33737" w14:textId="5B179952" w:rsidR="00CD0054" w:rsidRPr="00C5657A" w:rsidRDefault="00971CD0" w:rsidP="00CD0054">
      <w:pPr>
        <w:pStyle w:val="NormalWeb"/>
        <w:ind w:left="1134" w:right="1134"/>
        <w:jc w:val="both"/>
        <w:rPr>
          <w:color w:val="000000" w:themeColor="text1"/>
          <w:sz w:val="20"/>
          <w:szCs w:val="20"/>
        </w:rPr>
      </w:pPr>
      <w:r w:rsidRPr="00C5657A">
        <w:rPr>
          <w:color w:val="000000" w:themeColor="text1"/>
          <w:sz w:val="20"/>
          <w:szCs w:val="20"/>
        </w:rPr>
        <w:t>In addition, the expert g</w:t>
      </w:r>
      <w:r w:rsidR="00AE5A09" w:rsidRPr="00C5657A">
        <w:rPr>
          <w:color w:val="000000" w:themeColor="text1"/>
          <w:sz w:val="20"/>
          <w:szCs w:val="20"/>
        </w:rPr>
        <w:t xml:space="preserve">roup </w:t>
      </w:r>
      <w:r w:rsidRPr="00C5657A">
        <w:rPr>
          <w:color w:val="000000" w:themeColor="text1"/>
          <w:sz w:val="20"/>
          <w:szCs w:val="20"/>
        </w:rPr>
        <w:t>considered</w:t>
      </w:r>
      <w:r w:rsidR="00AE5A09" w:rsidRPr="00C5657A">
        <w:rPr>
          <w:color w:val="000000" w:themeColor="text1"/>
          <w:sz w:val="20"/>
          <w:szCs w:val="20"/>
        </w:rPr>
        <w:t xml:space="preserve"> practical</w:t>
      </w:r>
      <w:r w:rsidRPr="00C5657A">
        <w:rPr>
          <w:color w:val="000000" w:themeColor="text1"/>
          <w:sz w:val="20"/>
          <w:szCs w:val="20"/>
        </w:rPr>
        <w:t xml:space="preserve"> solutions to ensure that persons</w:t>
      </w:r>
      <w:r w:rsidR="00AE5A09" w:rsidRPr="00C5657A">
        <w:rPr>
          <w:color w:val="000000" w:themeColor="text1"/>
          <w:sz w:val="20"/>
          <w:szCs w:val="20"/>
        </w:rPr>
        <w:t xml:space="preserve"> with disabilities who wish to work would not be disadvantaged in doing so compared to welfare entitlements, with benefits being seamlessly restored if employment cannot be continued.</w:t>
      </w:r>
    </w:p>
    <w:p w14:paraId="39841B65" w14:textId="377E1FC4" w:rsidR="00AE5A09" w:rsidRPr="00C5657A" w:rsidRDefault="00AE5A09" w:rsidP="005B52EA">
      <w:pPr>
        <w:pStyle w:val="NormalWeb"/>
        <w:ind w:left="1134" w:right="1134"/>
        <w:jc w:val="both"/>
        <w:rPr>
          <w:color w:val="000000" w:themeColor="text1"/>
          <w:sz w:val="20"/>
          <w:szCs w:val="20"/>
        </w:rPr>
      </w:pPr>
      <w:r w:rsidRPr="00C5657A">
        <w:rPr>
          <w:color w:val="000000" w:themeColor="text1"/>
          <w:sz w:val="20"/>
          <w:szCs w:val="20"/>
        </w:rPr>
        <w:t xml:space="preserve">Oversight of the implementation of recommendations set out in the Make Work Pay Report is coordinated through the </w:t>
      </w:r>
      <w:r w:rsidR="0086349F">
        <w:rPr>
          <w:color w:val="000000" w:themeColor="text1"/>
          <w:sz w:val="20"/>
          <w:szCs w:val="20"/>
        </w:rPr>
        <w:t>Strategy’s Implementation Group</w:t>
      </w:r>
      <w:r w:rsidRPr="00C5657A">
        <w:rPr>
          <w:color w:val="000000" w:themeColor="text1"/>
          <w:sz w:val="20"/>
          <w:szCs w:val="20"/>
        </w:rPr>
        <w:t xml:space="preserve">. </w:t>
      </w:r>
    </w:p>
    <w:p w14:paraId="0CF29313" w14:textId="77777777" w:rsidR="00CD0054" w:rsidRPr="00C5657A" w:rsidRDefault="00CD0054" w:rsidP="005B52EA">
      <w:pPr>
        <w:pStyle w:val="NormalWeb"/>
        <w:ind w:left="1134" w:right="1134"/>
        <w:jc w:val="both"/>
        <w:rPr>
          <w:color w:val="000000" w:themeColor="text1"/>
          <w:sz w:val="20"/>
          <w:szCs w:val="20"/>
        </w:rPr>
      </w:pPr>
    </w:p>
    <w:p w14:paraId="6EE8F6AD" w14:textId="4115F1BB" w:rsidR="00876A21" w:rsidRPr="00C5657A" w:rsidRDefault="00876A21" w:rsidP="005B52EA">
      <w:pPr>
        <w:spacing w:line="240" w:lineRule="atLeast"/>
        <w:ind w:left="1134" w:right="1134"/>
        <w:jc w:val="both"/>
        <w:rPr>
          <w:sz w:val="20"/>
          <w:szCs w:val="20"/>
        </w:rPr>
      </w:pPr>
      <w:r w:rsidRPr="00C5657A">
        <w:rPr>
          <w:sz w:val="20"/>
          <w:szCs w:val="20"/>
        </w:rPr>
        <w:t>The second joint </w:t>
      </w:r>
      <w:r w:rsidRPr="00C5657A">
        <w:rPr>
          <w:i/>
          <w:sz w:val="20"/>
          <w:szCs w:val="20"/>
        </w:rPr>
        <w:t>National Housing Strategy for Disabled People</w:t>
      </w:r>
      <w:r w:rsidRPr="00C5657A">
        <w:rPr>
          <w:sz w:val="20"/>
          <w:szCs w:val="20"/>
        </w:rPr>
        <w:t xml:space="preserve"> (NHSDP) 2022-2027, a joint strategy between the Department of Housing, the Department of Health and the Department of Children, Equality, Disability, Integration and Youth, was launched on 14 January 2022. The new Strategy is operating under the framework of </w:t>
      </w:r>
      <w:r w:rsidRPr="00C5657A">
        <w:rPr>
          <w:i/>
          <w:sz w:val="20"/>
          <w:szCs w:val="20"/>
        </w:rPr>
        <w:t>Housing for All – A New Housing Plan for Ireland</w:t>
      </w:r>
      <w:r w:rsidRPr="00C5657A">
        <w:rPr>
          <w:sz w:val="20"/>
          <w:szCs w:val="20"/>
        </w:rPr>
        <w:t xml:space="preserve">.  The strategy is committed to ensuring that affordable, quality housing, with an appropriate mix of housing design types, including universally designed units, is available to everyone in Irish society, including persons with disabilities. </w:t>
      </w:r>
    </w:p>
    <w:p w14:paraId="01E76309" w14:textId="77777777" w:rsidR="00CD0054" w:rsidRPr="00C5657A" w:rsidRDefault="00CD0054" w:rsidP="005B52EA">
      <w:pPr>
        <w:spacing w:line="240" w:lineRule="atLeast"/>
        <w:ind w:left="1134" w:right="1134"/>
        <w:jc w:val="both"/>
        <w:rPr>
          <w:sz w:val="20"/>
          <w:szCs w:val="20"/>
        </w:rPr>
      </w:pPr>
    </w:p>
    <w:p w14:paraId="6E4E1541" w14:textId="659F20D3" w:rsidR="00AE5A09" w:rsidRPr="00C5657A" w:rsidRDefault="00876A21" w:rsidP="005B52EA">
      <w:pPr>
        <w:spacing w:line="240" w:lineRule="atLeast"/>
        <w:ind w:left="1134" w:right="1134"/>
        <w:jc w:val="both"/>
        <w:rPr>
          <w:sz w:val="20"/>
          <w:szCs w:val="20"/>
        </w:rPr>
      </w:pPr>
      <w:r w:rsidRPr="00C5657A">
        <w:rPr>
          <w:sz w:val="20"/>
          <w:szCs w:val="20"/>
        </w:rPr>
        <w:t xml:space="preserve">Theme 3 of the strategy on ‘Affordability of Housing’ incorporates an action to ‘examine the findings from the Cost of Disability research and how they relate to housing for disabled people.’ The Department of Housing also collaborates with the Department of Social Protection on housing and disability issues through the </w:t>
      </w:r>
      <w:r w:rsidRPr="00C5657A">
        <w:rPr>
          <w:i/>
          <w:sz w:val="20"/>
          <w:szCs w:val="20"/>
        </w:rPr>
        <w:t>Roadmap for Social Inclusion</w:t>
      </w:r>
      <w:r w:rsidR="00A229C9" w:rsidRPr="00C5657A">
        <w:rPr>
          <w:sz w:val="20"/>
          <w:szCs w:val="20"/>
        </w:rPr>
        <w:t>.</w:t>
      </w:r>
    </w:p>
    <w:p w14:paraId="310317BD" w14:textId="77777777" w:rsidR="0086349F" w:rsidRDefault="0086349F" w:rsidP="002A3164">
      <w:pPr>
        <w:spacing w:line="240" w:lineRule="atLeast"/>
        <w:ind w:left="1134" w:right="1134"/>
        <w:jc w:val="both"/>
        <w:rPr>
          <w:sz w:val="20"/>
          <w:szCs w:val="20"/>
        </w:rPr>
      </w:pPr>
    </w:p>
    <w:p w14:paraId="048B95D9" w14:textId="77DA9C47" w:rsidR="0086349F" w:rsidRPr="0086349F" w:rsidRDefault="0086349F" w:rsidP="002A3164">
      <w:pPr>
        <w:spacing w:line="240" w:lineRule="atLeast"/>
        <w:ind w:left="1134" w:right="1134"/>
        <w:jc w:val="both"/>
        <w:rPr>
          <w:sz w:val="20"/>
          <w:szCs w:val="20"/>
          <w:u w:val="single"/>
        </w:rPr>
      </w:pPr>
      <w:r>
        <w:rPr>
          <w:sz w:val="20"/>
          <w:szCs w:val="20"/>
          <w:u w:val="single"/>
        </w:rPr>
        <w:t>Older persons</w:t>
      </w:r>
    </w:p>
    <w:p w14:paraId="40B7AAB2" w14:textId="1F0E90D4" w:rsidR="002A3164" w:rsidRPr="00C5657A" w:rsidRDefault="002A3164" w:rsidP="002A3164">
      <w:pPr>
        <w:spacing w:line="240" w:lineRule="atLeast"/>
        <w:ind w:left="1134" w:right="1134"/>
        <w:jc w:val="both"/>
        <w:rPr>
          <w:sz w:val="20"/>
          <w:szCs w:val="20"/>
        </w:rPr>
      </w:pPr>
      <w:r w:rsidRPr="00C5657A">
        <w:rPr>
          <w:sz w:val="20"/>
          <w:szCs w:val="20"/>
        </w:rPr>
        <w:t xml:space="preserve">Under </w:t>
      </w:r>
      <w:r w:rsidRPr="0086349F">
        <w:rPr>
          <w:i/>
          <w:sz w:val="20"/>
          <w:szCs w:val="20"/>
        </w:rPr>
        <w:t>Housing for All</w:t>
      </w:r>
      <w:r w:rsidRPr="00C5657A">
        <w:rPr>
          <w:sz w:val="20"/>
          <w:szCs w:val="20"/>
        </w:rPr>
        <w:t xml:space="preserve">, there is a policy objective to increase and improve housing options for older people to facilitate ageing in place with dignity and independence. </w:t>
      </w:r>
      <w:r w:rsidRPr="0086349F">
        <w:rPr>
          <w:i/>
          <w:sz w:val="20"/>
          <w:szCs w:val="20"/>
        </w:rPr>
        <w:t>Housing for All</w:t>
      </w:r>
      <w:r w:rsidRPr="00C5657A">
        <w:rPr>
          <w:sz w:val="20"/>
          <w:szCs w:val="20"/>
        </w:rPr>
        <w:t xml:space="preserve"> builds on and takes forward the ongoing actions in "Housing Options for Our Ageing Population" policy statement from 2019, published jointly by the Department of Housing and the Department of Health, which provides policy options in support of a range of housing and accommodation alternatives for older people. The actions include the development of a catalogue of housing options that provide a range of choices that meet the diverse need of an ageing population, spanning owner-occupier, private rental and social housing, whilst providing accessible care and the associated support needs. The Department of Housing, </w:t>
      </w:r>
      <w:r w:rsidRPr="00C5657A">
        <w:rPr>
          <w:sz w:val="20"/>
          <w:szCs w:val="20"/>
        </w:rPr>
        <w:lastRenderedPageBreak/>
        <w:t>together with the Local Authorities and the Approved Housing Bodies (AHBs), is successfully guiding and delivering age-friendly housing within this framework</w:t>
      </w:r>
      <w:r w:rsidR="0086349F">
        <w:rPr>
          <w:sz w:val="20"/>
          <w:szCs w:val="20"/>
        </w:rPr>
        <w:t>.</w:t>
      </w:r>
    </w:p>
    <w:p w14:paraId="44924065" w14:textId="77777777" w:rsidR="00AE5A09" w:rsidRPr="00C5657A" w:rsidRDefault="00AE5A09" w:rsidP="005B52EA">
      <w:pPr>
        <w:spacing w:line="240" w:lineRule="atLeast"/>
        <w:jc w:val="both"/>
        <w:rPr>
          <w:sz w:val="20"/>
          <w:szCs w:val="20"/>
        </w:rPr>
      </w:pPr>
    </w:p>
    <w:p w14:paraId="39BD3E2E" w14:textId="1CCD463D" w:rsidR="00AE5A09" w:rsidRPr="00C5657A" w:rsidRDefault="00AE5A09" w:rsidP="005B52EA">
      <w:pPr>
        <w:pStyle w:val="SingleTxtG"/>
        <w:spacing w:after="0"/>
        <w:rPr>
          <w:b/>
          <w:lang w:val="en-IE"/>
        </w:rPr>
      </w:pPr>
      <w:r w:rsidRPr="00C5657A">
        <w:rPr>
          <w:b/>
          <w:lang w:val="en-IE"/>
        </w:rPr>
        <w:t>Reply to para</w:t>
      </w:r>
      <w:r w:rsidR="001E6C1A" w:rsidRPr="00C5657A">
        <w:rPr>
          <w:b/>
          <w:lang w:val="en-IE"/>
        </w:rPr>
        <w:t>graph</w:t>
      </w:r>
      <w:r w:rsidRPr="00C5657A">
        <w:rPr>
          <w:b/>
          <w:lang w:val="en-IE"/>
        </w:rPr>
        <w:t xml:space="preserve"> 19 </w:t>
      </w:r>
    </w:p>
    <w:p w14:paraId="7608498F" w14:textId="3859CE4C" w:rsidR="002A3164" w:rsidRDefault="002A3164" w:rsidP="00A52400">
      <w:pPr>
        <w:spacing w:line="240" w:lineRule="atLeast"/>
        <w:ind w:left="1134" w:right="1134"/>
        <w:jc w:val="both"/>
        <w:rPr>
          <w:sz w:val="20"/>
          <w:szCs w:val="20"/>
        </w:rPr>
      </w:pPr>
      <w:r w:rsidRPr="0086349F">
        <w:rPr>
          <w:i/>
          <w:sz w:val="20"/>
          <w:szCs w:val="20"/>
        </w:rPr>
        <w:t xml:space="preserve">Housing for All – A New Housing Plan for Ireland </w:t>
      </w:r>
      <w:r w:rsidRPr="00C5657A">
        <w:rPr>
          <w:sz w:val="20"/>
          <w:szCs w:val="20"/>
        </w:rPr>
        <w:t xml:space="preserve">was launched in September 2021 and replaced </w:t>
      </w:r>
      <w:r w:rsidRPr="0086349F">
        <w:rPr>
          <w:i/>
          <w:sz w:val="20"/>
          <w:szCs w:val="20"/>
        </w:rPr>
        <w:t>Rebuilding Ireland</w:t>
      </w:r>
      <w:r w:rsidRPr="00C5657A">
        <w:rPr>
          <w:sz w:val="20"/>
          <w:szCs w:val="20"/>
        </w:rPr>
        <w:t xml:space="preserve"> as the Gov</w:t>
      </w:r>
      <w:r w:rsidR="00727E17">
        <w:rPr>
          <w:sz w:val="20"/>
          <w:szCs w:val="20"/>
        </w:rPr>
        <w:t xml:space="preserve">ernment’s housing plan to 2030. </w:t>
      </w:r>
      <w:r w:rsidRPr="00C5657A">
        <w:rPr>
          <w:sz w:val="20"/>
          <w:szCs w:val="20"/>
        </w:rPr>
        <w:t>Th</w:t>
      </w:r>
      <w:r w:rsidR="00727E17">
        <w:rPr>
          <w:sz w:val="20"/>
          <w:szCs w:val="20"/>
        </w:rPr>
        <w:t>e Plan is backed by investment</w:t>
      </w:r>
      <w:r w:rsidRPr="00C5657A">
        <w:rPr>
          <w:sz w:val="20"/>
          <w:szCs w:val="20"/>
        </w:rPr>
        <w:t xml:space="preserve"> in excess of €20bn through the Exchequer, the Land Development Agency and the Housing Finance Agency to 2026. </w:t>
      </w:r>
    </w:p>
    <w:p w14:paraId="6BA20AF2" w14:textId="77777777" w:rsidR="0086349F" w:rsidRPr="00C5657A" w:rsidRDefault="0086349F" w:rsidP="00A52400">
      <w:pPr>
        <w:spacing w:line="240" w:lineRule="atLeast"/>
        <w:ind w:left="1134" w:right="1134"/>
        <w:jc w:val="both"/>
        <w:rPr>
          <w:sz w:val="20"/>
          <w:szCs w:val="20"/>
        </w:rPr>
      </w:pPr>
    </w:p>
    <w:p w14:paraId="36FAE896" w14:textId="45E44F5E" w:rsidR="002A3164" w:rsidRPr="00C5657A" w:rsidRDefault="002A3164" w:rsidP="00A52400">
      <w:pPr>
        <w:spacing w:line="240" w:lineRule="atLeast"/>
        <w:ind w:left="1134" w:right="1134"/>
        <w:jc w:val="both"/>
        <w:rPr>
          <w:sz w:val="20"/>
          <w:szCs w:val="20"/>
        </w:rPr>
      </w:pPr>
      <w:r w:rsidRPr="00727E17">
        <w:rPr>
          <w:i/>
          <w:sz w:val="20"/>
          <w:szCs w:val="20"/>
        </w:rPr>
        <w:t>Housing for All</w:t>
      </w:r>
      <w:r w:rsidRPr="00C5657A">
        <w:rPr>
          <w:sz w:val="20"/>
          <w:szCs w:val="20"/>
        </w:rPr>
        <w:t xml:space="preserve"> provides for an optimal mix of social, affordable and private housing for sale and rent. The plan is underpinned by measures to support availability of the land, workforce, funding and capacity to enable both the public and private sectors to meet the targets. The core objective is that everyone in the State should have access to a home to purchase or rent at an affordable price, built to a high standard and in the right place, offering a high quality of life.</w:t>
      </w:r>
    </w:p>
    <w:p w14:paraId="62C5B44B" w14:textId="77777777" w:rsidR="00EB7D94" w:rsidRPr="00C5657A" w:rsidRDefault="00EB7D94" w:rsidP="00A52400">
      <w:pPr>
        <w:spacing w:line="240" w:lineRule="atLeast"/>
        <w:ind w:left="1134" w:right="1134"/>
        <w:jc w:val="both"/>
        <w:rPr>
          <w:sz w:val="20"/>
          <w:szCs w:val="20"/>
        </w:rPr>
      </w:pPr>
    </w:p>
    <w:p w14:paraId="52B9A339" w14:textId="77777777" w:rsidR="002A3164" w:rsidRPr="00C5657A" w:rsidRDefault="002A3164" w:rsidP="00A52400">
      <w:pPr>
        <w:spacing w:line="240" w:lineRule="atLeast"/>
        <w:ind w:left="1134" w:right="1134"/>
        <w:jc w:val="both"/>
        <w:rPr>
          <w:sz w:val="20"/>
          <w:szCs w:val="20"/>
        </w:rPr>
      </w:pPr>
      <w:r w:rsidRPr="00C5657A">
        <w:rPr>
          <w:sz w:val="20"/>
          <w:szCs w:val="20"/>
        </w:rPr>
        <w:t xml:space="preserve">The plan addresses the most pressing housing challenges facing the State and is set out across four pathways: </w:t>
      </w:r>
    </w:p>
    <w:p w14:paraId="36B7AEA7" w14:textId="77777777" w:rsidR="002A3164" w:rsidRPr="00C5657A" w:rsidRDefault="002A3164" w:rsidP="00EC6275">
      <w:pPr>
        <w:pStyle w:val="ListParagraph"/>
        <w:numPr>
          <w:ilvl w:val="0"/>
          <w:numId w:val="17"/>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Supporting home ownership and Increasing Affordability;</w:t>
      </w:r>
    </w:p>
    <w:p w14:paraId="3FB41A8E" w14:textId="77777777" w:rsidR="002A3164" w:rsidRPr="00C5657A" w:rsidRDefault="002A3164" w:rsidP="00EC6275">
      <w:pPr>
        <w:pStyle w:val="ListParagraph"/>
        <w:numPr>
          <w:ilvl w:val="0"/>
          <w:numId w:val="17"/>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Eradicating Homelessness, Increasing Social Housing Delivery and Supporting Social Inclusion;</w:t>
      </w:r>
    </w:p>
    <w:p w14:paraId="7B6B83E9" w14:textId="77777777" w:rsidR="002A3164" w:rsidRPr="00C5657A" w:rsidRDefault="002A3164" w:rsidP="00EC6275">
      <w:pPr>
        <w:pStyle w:val="ListParagraph"/>
        <w:numPr>
          <w:ilvl w:val="0"/>
          <w:numId w:val="17"/>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Increasing New Housing Supply;</w:t>
      </w:r>
    </w:p>
    <w:p w14:paraId="66B0890A" w14:textId="77777777" w:rsidR="002A3164" w:rsidRPr="00C5657A" w:rsidRDefault="002A3164" w:rsidP="00EC6275">
      <w:pPr>
        <w:pStyle w:val="ListParagraph"/>
        <w:numPr>
          <w:ilvl w:val="0"/>
          <w:numId w:val="17"/>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Addressing vacancy and Efficient Use of Existing Stock.</w:t>
      </w:r>
    </w:p>
    <w:p w14:paraId="1D86272A" w14:textId="77777777" w:rsidR="002A3164" w:rsidRPr="00C5657A" w:rsidRDefault="002A3164" w:rsidP="00A52400">
      <w:pPr>
        <w:spacing w:line="240" w:lineRule="atLeast"/>
        <w:ind w:left="1134" w:right="1134"/>
        <w:jc w:val="both"/>
        <w:rPr>
          <w:sz w:val="20"/>
          <w:szCs w:val="20"/>
        </w:rPr>
      </w:pPr>
    </w:p>
    <w:p w14:paraId="3E994AA1" w14:textId="308808BB" w:rsidR="002A3164" w:rsidRPr="00C5657A" w:rsidRDefault="002A3164" w:rsidP="00A52400">
      <w:pPr>
        <w:spacing w:line="240" w:lineRule="atLeast"/>
        <w:ind w:left="1134" w:right="1134"/>
        <w:jc w:val="both"/>
        <w:rPr>
          <w:sz w:val="20"/>
          <w:szCs w:val="20"/>
        </w:rPr>
      </w:pPr>
      <w:r w:rsidRPr="00727E17">
        <w:rPr>
          <w:i/>
          <w:sz w:val="20"/>
          <w:szCs w:val="20"/>
        </w:rPr>
        <w:t>Housing for All</w:t>
      </w:r>
      <w:r w:rsidRPr="00C5657A">
        <w:rPr>
          <w:sz w:val="20"/>
          <w:szCs w:val="20"/>
        </w:rPr>
        <w:t xml:space="preserve"> sets out a vision and a plan of action over a nine-year period. It has a built in annual review mechanism to respond to progress made in implementing the plan, to challenges in implementation, and to changes in the external environment. The first year of the plan saw some extraordinary challenges arising from the war in Ukraine, the energy crisis, and rising interest rates. </w:t>
      </w:r>
    </w:p>
    <w:p w14:paraId="6DC3B09E" w14:textId="77777777" w:rsidR="00EB7D94" w:rsidRPr="00C5657A" w:rsidRDefault="00EB7D94" w:rsidP="00A52400">
      <w:pPr>
        <w:spacing w:line="240" w:lineRule="atLeast"/>
        <w:ind w:left="1134" w:right="1134"/>
        <w:jc w:val="both"/>
        <w:rPr>
          <w:sz w:val="20"/>
          <w:szCs w:val="20"/>
        </w:rPr>
      </w:pPr>
    </w:p>
    <w:p w14:paraId="46C510CF" w14:textId="77777777" w:rsidR="00EB7D94" w:rsidRPr="00C5657A" w:rsidRDefault="002A3164" w:rsidP="00EB7D94">
      <w:pPr>
        <w:spacing w:line="240" w:lineRule="atLeast"/>
        <w:ind w:left="1134" w:right="1134"/>
        <w:jc w:val="both"/>
        <w:rPr>
          <w:sz w:val="20"/>
          <w:szCs w:val="20"/>
        </w:rPr>
      </w:pPr>
      <w:r w:rsidRPr="00C5657A">
        <w:rPr>
          <w:sz w:val="20"/>
          <w:szCs w:val="20"/>
        </w:rPr>
        <w:t>The first annual review sets out how the Government is responding to these changed circumstances and ensuring focus remains on delivery.</w:t>
      </w:r>
      <w:r w:rsidR="00EB7D94" w:rsidRPr="00C5657A">
        <w:rPr>
          <w:sz w:val="20"/>
          <w:szCs w:val="20"/>
        </w:rPr>
        <w:t xml:space="preserve"> </w:t>
      </w:r>
      <w:r w:rsidRPr="00C5657A">
        <w:rPr>
          <w:sz w:val="20"/>
          <w:szCs w:val="20"/>
        </w:rPr>
        <w:t>The review considered what additional actions were needed and what actions needed to be prioritised to deliver more housing in this challenging and changed economic environment.</w:t>
      </w:r>
    </w:p>
    <w:p w14:paraId="7B9E9513" w14:textId="77777777" w:rsidR="00EB7D94" w:rsidRPr="00C5657A" w:rsidRDefault="00EB7D94" w:rsidP="00EB7D94">
      <w:pPr>
        <w:spacing w:line="240" w:lineRule="atLeast"/>
        <w:ind w:left="1134" w:right="1134"/>
        <w:jc w:val="both"/>
        <w:rPr>
          <w:sz w:val="20"/>
          <w:szCs w:val="20"/>
        </w:rPr>
      </w:pPr>
    </w:p>
    <w:p w14:paraId="79E9B37B" w14:textId="651DBB6D" w:rsidR="002A3164" w:rsidRPr="00C5657A" w:rsidRDefault="002A3164" w:rsidP="00EB7D94">
      <w:pPr>
        <w:spacing w:line="240" w:lineRule="atLeast"/>
        <w:ind w:left="1134" w:right="1134"/>
        <w:jc w:val="both"/>
        <w:rPr>
          <w:sz w:val="20"/>
          <w:szCs w:val="20"/>
        </w:rPr>
      </w:pPr>
      <w:r w:rsidRPr="00C5657A">
        <w:rPr>
          <w:sz w:val="20"/>
          <w:szCs w:val="20"/>
        </w:rPr>
        <w:t xml:space="preserve">Following this review, the </w:t>
      </w:r>
      <w:r w:rsidRPr="00727E17">
        <w:rPr>
          <w:i/>
          <w:sz w:val="20"/>
          <w:szCs w:val="20"/>
        </w:rPr>
        <w:t>Housing for All: Action Plan Update</w:t>
      </w:r>
      <w:r w:rsidRPr="00C5657A">
        <w:rPr>
          <w:sz w:val="20"/>
          <w:szCs w:val="20"/>
        </w:rPr>
        <w:t xml:space="preserve"> </w:t>
      </w:r>
      <w:r w:rsidR="00727E17">
        <w:rPr>
          <w:sz w:val="20"/>
          <w:szCs w:val="20"/>
        </w:rPr>
        <w:t>was published in November 2022.</w:t>
      </w:r>
      <w:r w:rsidRPr="00C5657A">
        <w:rPr>
          <w:sz w:val="20"/>
          <w:szCs w:val="20"/>
        </w:rPr>
        <w:t xml:space="preserve"> The updated Action Plan ide</w:t>
      </w:r>
      <w:r w:rsidR="00EB7D94" w:rsidRPr="00C5657A">
        <w:rPr>
          <w:sz w:val="20"/>
          <w:szCs w:val="20"/>
        </w:rPr>
        <w:t>n</w:t>
      </w:r>
      <w:r w:rsidRPr="00C5657A">
        <w:rPr>
          <w:sz w:val="20"/>
          <w:szCs w:val="20"/>
        </w:rPr>
        <w:t xml:space="preserve">tified 33 high-priority actions to activate and accelerate the delivery of housing supply, whilst also continuing to deliver on the fundamental reforms set out in the Plan. </w:t>
      </w:r>
    </w:p>
    <w:p w14:paraId="791C34BD" w14:textId="77777777" w:rsidR="00EB7D94" w:rsidRPr="00C5657A" w:rsidRDefault="00EB7D94" w:rsidP="00EB7D94">
      <w:pPr>
        <w:spacing w:line="240" w:lineRule="atLeast"/>
        <w:ind w:left="1134" w:right="1134"/>
        <w:jc w:val="both"/>
        <w:rPr>
          <w:sz w:val="20"/>
          <w:szCs w:val="20"/>
        </w:rPr>
      </w:pPr>
    </w:p>
    <w:p w14:paraId="1597754A" w14:textId="77777777" w:rsidR="002A3164" w:rsidRPr="00C5657A" w:rsidRDefault="002A3164" w:rsidP="00A52400">
      <w:pPr>
        <w:spacing w:line="240" w:lineRule="atLeast"/>
        <w:ind w:left="1134" w:right="1134"/>
        <w:jc w:val="both"/>
        <w:rPr>
          <w:sz w:val="20"/>
          <w:szCs w:val="20"/>
        </w:rPr>
      </w:pPr>
      <w:r w:rsidRPr="00C5657A">
        <w:rPr>
          <w:sz w:val="20"/>
          <w:szCs w:val="20"/>
        </w:rPr>
        <w:t>The updated action plan focuses on the key areas of:</w:t>
      </w:r>
    </w:p>
    <w:p w14:paraId="6E7B583E"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Meeting challenges of viability, affordability &amp; sustainability</w:t>
      </w:r>
    </w:p>
    <w:p w14:paraId="0CF543DA"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Reforming the Planning System</w:t>
      </w:r>
    </w:p>
    <w:p w14:paraId="3838C974"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Delivering social and affordable homes</w:t>
      </w:r>
    </w:p>
    <w:p w14:paraId="75953703"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Boosting productivity</w:t>
      </w:r>
    </w:p>
    <w:p w14:paraId="786C600D"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Increasing construction sector capacity</w:t>
      </w:r>
    </w:p>
    <w:p w14:paraId="70ADDD90"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Revitalising our towns and villages</w:t>
      </w:r>
    </w:p>
    <w:p w14:paraId="5919CD7B" w14:textId="77777777"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Improving the rental market</w:t>
      </w:r>
    </w:p>
    <w:p w14:paraId="4DECBE60" w14:textId="3333AB2B" w:rsidR="002A3164" w:rsidRPr="00C5657A" w:rsidRDefault="002A3164" w:rsidP="00EC6275">
      <w:pPr>
        <w:pStyle w:val="ListParagraph"/>
        <w:numPr>
          <w:ilvl w:val="0"/>
          <w:numId w:val="18"/>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Planning for the future</w:t>
      </w:r>
    </w:p>
    <w:p w14:paraId="73768A62" w14:textId="77777777" w:rsidR="00EB7D94" w:rsidRPr="00C5657A" w:rsidRDefault="00EB7D94" w:rsidP="00A52400">
      <w:pPr>
        <w:spacing w:line="240" w:lineRule="atLeast"/>
        <w:ind w:left="1134" w:right="1134"/>
        <w:jc w:val="both"/>
        <w:rPr>
          <w:sz w:val="20"/>
          <w:szCs w:val="20"/>
        </w:rPr>
      </w:pPr>
    </w:p>
    <w:p w14:paraId="0E5048C9" w14:textId="77777777" w:rsidR="002A3164" w:rsidRPr="00C5657A" w:rsidRDefault="002A3164" w:rsidP="00A52400">
      <w:pPr>
        <w:spacing w:line="240" w:lineRule="atLeast"/>
        <w:ind w:left="1134" w:right="1134"/>
        <w:jc w:val="both"/>
        <w:rPr>
          <w:sz w:val="20"/>
          <w:szCs w:val="20"/>
        </w:rPr>
      </w:pPr>
      <w:r w:rsidRPr="00C5657A">
        <w:rPr>
          <w:sz w:val="20"/>
          <w:szCs w:val="20"/>
        </w:rPr>
        <w:t>The Plan is aimed at accelerating supply by making the planning system more transparent and user-friendly and making housing construction more economically viable (through controlling costs and greater innovation and capacity). By utilising existing housing opportunities, the Plan will revitalise our towns and villages. In addition, by reviewing housing need forecasts the Plan will ensure the right mix of homes are built in the right places.</w:t>
      </w:r>
    </w:p>
    <w:p w14:paraId="39050DAD" w14:textId="77777777" w:rsidR="002A3164" w:rsidRPr="00C5657A" w:rsidRDefault="002A3164" w:rsidP="00A52400">
      <w:pPr>
        <w:spacing w:line="240" w:lineRule="atLeast"/>
        <w:ind w:left="1134" w:right="1134"/>
        <w:jc w:val="both"/>
        <w:rPr>
          <w:sz w:val="20"/>
          <w:szCs w:val="20"/>
        </w:rPr>
      </w:pPr>
    </w:p>
    <w:p w14:paraId="11EA8AB4"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Housing Delivery</w:t>
      </w:r>
    </w:p>
    <w:p w14:paraId="1E3BDD29" w14:textId="77777777" w:rsidR="00343D34" w:rsidRPr="00343D34" w:rsidRDefault="00343D34" w:rsidP="00343D34">
      <w:pPr>
        <w:spacing w:line="240" w:lineRule="atLeast"/>
        <w:ind w:left="1134" w:right="1134"/>
        <w:jc w:val="both"/>
        <w:rPr>
          <w:sz w:val="20"/>
          <w:szCs w:val="20"/>
        </w:rPr>
      </w:pPr>
      <w:r w:rsidRPr="00C5657A">
        <w:rPr>
          <w:sz w:val="20"/>
          <w:szCs w:val="20"/>
        </w:rPr>
        <w:t xml:space="preserve">The conflict in Ukraine, challenging supply chain issues, and significant inflation on residential construction, has impacted housing delivery in Ireland over the last 12 months. </w:t>
      </w:r>
      <w:r w:rsidRPr="00C5657A">
        <w:rPr>
          <w:sz w:val="20"/>
          <w:szCs w:val="20"/>
        </w:rPr>
        <w:lastRenderedPageBreak/>
        <w:t xml:space="preserve">Notwithstanding, construction activity remains strong with a substantial uplift in housing </w:t>
      </w:r>
      <w:r w:rsidRPr="00343D34">
        <w:rPr>
          <w:sz w:val="20"/>
          <w:szCs w:val="20"/>
        </w:rPr>
        <w:t>supply in 2022 over previous years.</w:t>
      </w:r>
    </w:p>
    <w:p w14:paraId="79A04209" w14:textId="77777777" w:rsidR="00343D34" w:rsidRPr="00343D34" w:rsidRDefault="00343D34" w:rsidP="00343D34">
      <w:pPr>
        <w:spacing w:line="240" w:lineRule="atLeast"/>
        <w:ind w:left="1134" w:right="1134"/>
        <w:jc w:val="both"/>
        <w:rPr>
          <w:sz w:val="20"/>
          <w:szCs w:val="20"/>
        </w:rPr>
      </w:pPr>
    </w:p>
    <w:p w14:paraId="3591D631" w14:textId="1ADABCD4" w:rsidR="002A3164" w:rsidRPr="00727E17" w:rsidRDefault="002A3164" w:rsidP="00A52400">
      <w:pPr>
        <w:spacing w:line="240" w:lineRule="atLeast"/>
        <w:ind w:left="1134" w:right="1134"/>
        <w:jc w:val="both"/>
        <w:rPr>
          <w:i/>
          <w:sz w:val="20"/>
          <w:szCs w:val="20"/>
        </w:rPr>
      </w:pPr>
      <w:r w:rsidRPr="00727E17">
        <w:rPr>
          <w:i/>
          <w:sz w:val="20"/>
          <w:szCs w:val="20"/>
        </w:rPr>
        <w:t>New Dwelling Completions 2018 to 2022:</w:t>
      </w:r>
    </w:p>
    <w:p w14:paraId="548AE097" w14:textId="77777777" w:rsidR="00EB7D94" w:rsidRPr="00C5657A" w:rsidRDefault="00EB7D94" w:rsidP="00A52400">
      <w:pPr>
        <w:spacing w:line="240" w:lineRule="atLeast"/>
        <w:ind w:left="1134" w:right="1134"/>
        <w:jc w:val="both"/>
        <w:rPr>
          <w:sz w:val="20"/>
          <w:szCs w:val="20"/>
        </w:rPr>
      </w:pPr>
    </w:p>
    <w:p w14:paraId="36D2D724" w14:textId="77777777" w:rsidR="002A3164" w:rsidRPr="00C5657A" w:rsidRDefault="002A3164" w:rsidP="00A52400">
      <w:pPr>
        <w:spacing w:line="240" w:lineRule="atLeast"/>
        <w:ind w:left="1134" w:right="1134"/>
        <w:jc w:val="both"/>
        <w:rPr>
          <w:sz w:val="20"/>
          <w:szCs w:val="20"/>
        </w:rPr>
      </w:pPr>
      <w:r w:rsidRPr="00C5657A">
        <w:rPr>
          <w:noProof/>
          <w:sz w:val="20"/>
          <w:szCs w:val="20"/>
        </w:rPr>
        <w:drawing>
          <wp:inline distT="0" distB="0" distL="0" distR="0" wp14:anchorId="4D00A2BC" wp14:editId="4D719A13">
            <wp:extent cx="4548554" cy="2755900"/>
            <wp:effectExtent l="0" t="0" r="4445"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194428A" w14:textId="77777777" w:rsidR="002A3164" w:rsidRPr="00C5657A" w:rsidRDefault="002A3164" w:rsidP="00A52400">
      <w:pPr>
        <w:spacing w:line="240" w:lineRule="atLeast"/>
        <w:ind w:left="1134" w:right="1134"/>
        <w:jc w:val="both"/>
        <w:rPr>
          <w:sz w:val="20"/>
          <w:szCs w:val="20"/>
        </w:rPr>
      </w:pPr>
    </w:p>
    <w:p w14:paraId="3FC98665"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Housing Supply Targets</w:t>
      </w:r>
    </w:p>
    <w:p w14:paraId="31359780" w14:textId="49074722" w:rsidR="002A3164" w:rsidRPr="00C5657A" w:rsidRDefault="002A3164" w:rsidP="00A52400">
      <w:pPr>
        <w:spacing w:line="240" w:lineRule="atLeast"/>
        <w:ind w:left="1134" w:right="1134"/>
        <w:jc w:val="both"/>
        <w:rPr>
          <w:sz w:val="20"/>
          <w:szCs w:val="20"/>
        </w:rPr>
      </w:pPr>
      <w:r w:rsidRPr="00C5657A">
        <w:rPr>
          <w:sz w:val="20"/>
          <w:szCs w:val="20"/>
        </w:rPr>
        <w:t xml:space="preserve">National Policy Objective 37 of the </w:t>
      </w:r>
      <w:r w:rsidRPr="00727E17">
        <w:rPr>
          <w:i/>
          <w:sz w:val="20"/>
          <w:szCs w:val="20"/>
        </w:rPr>
        <w:t>National Planning Framework</w:t>
      </w:r>
      <w:r w:rsidRPr="00C5657A">
        <w:rPr>
          <w:sz w:val="20"/>
          <w:szCs w:val="20"/>
        </w:rPr>
        <w:t xml:space="preserve"> provides for a Housing Need and Demand Assessment (HNDA) to be undertaken in each local authority area to ensure long-term strategic housing needs are met.</w:t>
      </w:r>
    </w:p>
    <w:p w14:paraId="3740AFEE" w14:textId="77777777" w:rsidR="00EB7D94" w:rsidRPr="00C5657A" w:rsidRDefault="00EB7D94" w:rsidP="00A52400">
      <w:pPr>
        <w:spacing w:line="240" w:lineRule="atLeast"/>
        <w:ind w:left="1134" w:right="1134"/>
        <w:jc w:val="both"/>
        <w:rPr>
          <w:sz w:val="20"/>
          <w:szCs w:val="20"/>
        </w:rPr>
      </w:pPr>
    </w:p>
    <w:p w14:paraId="7001D5ED" w14:textId="59E4336B" w:rsidR="002A3164" w:rsidRPr="00C5657A" w:rsidRDefault="002A3164" w:rsidP="00A52400">
      <w:pPr>
        <w:spacing w:line="240" w:lineRule="atLeast"/>
        <w:ind w:left="1134" w:right="1134"/>
        <w:jc w:val="both"/>
        <w:rPr>
          <w:sz w:val="20"/>
          <w:szCs w:val="20"/>
        </w:rPr>
      </w:pPr>
      <w:r w:rsidRPr="00C5657A">
        <w:rPr>
          <w:sz w:val="20"/>
          <w:szCs w:val="20"/>
        </w:rPr>
        <w:t>The HNDA comprises a standardised methodology that can quantify the current and projected housing needs of a particular local authority area, including in relation to requirements for different tenures (owner occupier, private rented, social rent and affordability constraint). It is the central evidence-</w:t>
      </w:r>
      <w:r w:rsidR="00727E17">
        <w:rPr>
          <w:sz w:val="20"/>
          <w:szCs w:val="20"/>
        </w:rPr>
        <w:t>base informing local authority housing s</w:t>
      </w:r>
      <w:r w:rsidRPr="00C5657A">
        <w:rPr>
          <w:sz w:val="20"/>
          <w:szCs w:val="20"/>
        </w:rPr>
        <w:t>trategies (under s.94 of the Planning and Development Act 2000), which in turn inform the housing policies of the respective City or County Development Plan. The HNDA Framework and Tool were published in April 2021.</w:t>
      </w:r>
    </w:p>
    <w:p w14:paraId="04908B36" w14:textId="77777777" w:rsidR="00EB7D94" w:rsidRPr="00C5657A" w:rsidRDefault="00EB7D94" w:rsidP="00A52400">
      <w:pPr>
        <w:spacing w:line="240" w:lineRule="atLeast"/>
        <w:ind w:left="1134" w:right="1134"/>
        <w:jc w:val="both"/>
        <w:rPr>
          <w:sz w:val="20"/>
          <w:szCs w:val="20"/>
        </w:rPr>
      </w:pPr>
    </w:p>
    <w:p w14:paraId="1178C96E" w14:textId="3A4E17CD" w:rsidR="002A3164" w:rsidRPr="00C5657A" w:rsidRDefault="002A3164" w:rsidP="00A52400">
      <w:pPr>
        <w:spacing w:line="240" w:lineRule="atLeast"/>
        <w:ind w:left="1134" w:right="1134"/>
        <w:jc w:val="both"/>
        <w:rPr>
          <w:sz w:val="20"/>
          <w:szCs w:val="20"/>
        </w:rPr>
      </w:pPr>
      <w:r w:rsidRPr="00C5657A">
        <w:rPr>
          <w:sz w:val="20"/>
          <w:szCs w:val="20"/>
        </w:rPr>
        <w:t>Research by the Economic and Social Research Institute on Regional Demographics and Structural Housing Demand at a County Level, published in December 2020, provides a robust, up-to-date and independently developed housing demand projection to inform policy and investment regarding housing at national and local levels. The research underpins structural housing demand within the HNDA Tool, forming the basis of national housing supply targets to 2030, and informing Housing Strategy and City and County Development Plan processes at local authority level.</w:t>
      </w:r>
    </w:p>
    <w:p w14:paraId="60F3D64F" w14:textId="77777777" w:rsidR="00EB7D94" w:rsidRPr="00C5657A" w:rsidRDefault="00EB7D94" w:rsidP="00A52400">
      <w:pPr>
        <w:spacing w:line="240" w:lineRule="atLeast"/>
        <w:ind w:left="1134" w:right="1134"/>
        <w:jc w:val="both"/>
        <w:rPr>
          <w:sz w:val="20"/>
          <w:szCs w:val="20"/>
        </w:rPr>
      </w:pPr>
    </w:p>
    <w:p w14:paraId="6D8E1F94" w14:textId="2AA42801" w:rsidR="00343D34" w:rsidRPr="00C5657A" w:rsidRDefault="00343D34" w:rsidP="00343D34">
      <w:pPr>
        <w:spacing w:line="240" w:lineRule="atLeast"/>
        <w:ind w:left="1134" w:right="1134"/>
        <w:jc w:val="both"/>
        <w:rPr>
          <w:sz w:val="20"/>
          <w:szCs w:val="20"/>
        </w:rPr>
      </w:pPr>
      <w:r w:rsidRPr="00343D34">
        <w:rPr>
          <w:sz w:val="20"/>
          <w:szCs w:val="20"/>
        </w:rPr>
        <w:t>It is intended to review the Housing Need and Demand Assessment (HNDA) framework, including the tool and underlying demographic, income, house and rental price scenarios and assumptions following publication of the detailed Census data throughout 2023. As a critical element of this work, the Economic and Social Research Institute will update its research on structural housing demand.</w:t>
      </w:r>
    </w:p>
    <w:p w14:paraId="28E6A375" w14:textId="77777777" w:rsidR="00EB7D94" w:rsidRPr="00C5657A" w:rsidRDefault="00EB7D94" w:rsidP="00A52400">
      <w:pPr>
        <w:spacing w:line="240" w:lineRule="atLeast"/>
        <w:ind w:left="1134" w:right="1134"/>
        <w:jc w:val="both"/>
        <w:rPr>
          <w:sz w:val="20"/>
          <w:szCs w:val="20"/>
        </w:rPr>
      </w:pPr>
    </w:p>
    <w:p w14:paraId="5E86BC90" w14:textId="4FC5DC23" w:rsidR="002A3164" w:rsidRPr="00C5657A" w:rsidRDefault="002A3164" w:rsidP="00727E17">
      <w:pPr>
        <w:spacing w:line="240" w:lineRule="atLeast"/>
        <w:ind w:left="1134" w:right="1134"/>
        <w:jc w:val="both"/>
        <w:rPr>
          <w:sz w:val="20"/>
          <w:szCs w:val="20"/>
        </w:rPr>
      </w:pPr>
      <w:r w:rsidRPr="00C5657A">
        <w:rPr>
          <w:sz w:val="20"/>
          <w:szCs w:val="20"/>
        </w:rPr>
        <w:t xml:space="preserve">This will inform a refresh of the </w:t>
      </w:r>
      <w:r w:rsidRPr="005325A8">
        <w:rPr>
          <w:i/>
          <w:sz w:val="20"/>
          <w:szCs w:val="20"/>
        </w:rPr>
        <w:t>Housing for All</w:t>
      </w:r>
      <w:r w:rsidRPr="00C5657A">
        <w:rPr>
          <w:sz w:val="20"/>
          <w:szCs w:val="20"/>
        </w:rPr>
        <w:t xml:space="preserve"> targets to 2030 as per the approach set out in the </w:t>
      </w:r>
      <w:r w:rsidRPr="005325A8">
        <w:rPr>
          <w:i/>
          <w:sz w:val="20"/>
          <w:szCs w:val="20"/>
        </w:rPr>
        <w:t>Housing for All</w:t>
      </w:r>
      <w:r w:rsidRPr="00C5657A">
        <w:rPr>
          <w:sz w:val="20"/>
          <w:szCs w:val="20"/>
        </w:rPr>
        <w:t xml:space="preserve"> Action Plan Update published in November 2022. The current targets and projections will be reviewed, with a refresh of the overall national housing targets and the subsets of social, affordable and market delivery, having regard to progress already made, and ensuring overall housing need is met in line with the original vision of </w:t>
      </w:r>
      <w:r w:rsidRPr="00727E17">
        <w:rPr>
          <w:i/>
          <w:sz w:val="20"/>
          <w:szCs w:val="20"/>
        </w:rPr>
        <w:t>Housing for All</w:t>
      </w:r>
      <w:r w:rsidR="00727E17">
        <w:rPr>
          <w:sz w:val="20"/>
          <w:szCs w:val="20"/>
        </w:rPr>
        <w:t xml:space="preserve">. </w:t>
      </w:r>
      <w:r w:rsidRPr="00C5657A">
        <w:rPr>
          <w:sz w:val="20"/>
          <w:szCs w:val="20"/>
        </w:rPr>
        <w:t>Among other things, the refresh will take account of actual population increases reflected in the Census 2022 data above the extant projections or scenarios in the HNDA tool, as well as projected population increases in coming years, including from net inward migration.</w:t>
      </w:r>
    </w:p>
    <w:p w14:paraId="779F187E" w14:textId="52F5494B" w:rsidR="002A3164" w:rsidRPr="00C5657A" w:rsidRDefault="002A3164" w:rsidP="00EB7D94">
      <w:pPr>
        <w:spacing w:line="240" w:lineRule="atLeast"/>
        <w:ind w:left="1134" w:right="1134"/>
        <w:jc w:val="both"/>
        <w:rPr>
          <w:sz w:val="20"/>
          <w:szCs w:val="20"/>
        </w:rPr>
      </w:pPr>
      <w:r w:rsidRPr="00C5657A">
        <w:rPr>
          <w:sz w:val="20"/>
          <w:szCs w:val="20"/>
        </w:rPr>
        <w:lastRenderedPageBreak/>
        <w:t xml:space="preserve">Modern Methods of Construction </w:t>
      </w:r>
      <w:r w:rsidR="00727E17">
        <w:rPr>
          <w:sz w:val="20"/>
          <w:szCs w:val="20"/>
        </w:rPr>
        <w:t xml:space="preserve">(MMC) </w:t>
      </w:r>
      <w:r w:rsidRPr="00C5657A">
        <w:rPr>
          <w:sz w:val="20"/>
          <w:szCs w:val="20"/>
        </w:rPr>
        <w:t>has been identified as a key measure to address the different housing needs in Ireland</w:t>
      </w:r>
      <w:r w:rsidR="00727E17">
        <w:rPr>
          <w:sz w:val="20"/>
          <w:szCs w:val="20"/>
        </w:rPr>
        <w:t xml:space="preserve">.  In 2022, the Department of Enterprise, Trade and Employment established </w:t>
      </w:r>
      <w:r w:rsidRPr="00C5657A">
        <w:rPr>
          <w:sz w:val="20"/>
          <w:szCs w:val="20"/>
        </w:rPr>
        <w:t>an interdepartmental MMC Leadership and Integration Group.</w:t>
      </w:r>
      <w:r w:rsidR="00EB7D94" w:rsidRPr="00C5657A">
        <w:rPr>
          <w:sz w:val="20"/>
          <w:szCs w:val="20"/>
        </w:rPr>
        <w:t xml:space="preserve"> </w:t>
      </w:r>
      <w:r w:rsidRPr="00C5657A">
        <w:rPr>
          <w:sz w:val="20"/>
          <w:szCs w:val="20"/>
        </w:rPr>
        <w:t>This Group will ensure the cohesive integration and coordination of the various government supp</w:t>
      </w:r>
      <w:r w:rsidR="00727E17">
        <w:rPr>
          <w:sz w:val="20"/>
          <w:szCs w:val="20"/>
        </w:rPr>
        <w:t>orted MMC-relevant initiatives to</w:t>
      </w:r>
      <w:r w:rsidRPr="00C5657A">
        <w:rPr>
          <w:sz w:val="20"/>
          <w:szCs w:val="20"/>
        </w:rPr>
        <w:t xml:space="preserve"> support innovation in the construction industry.  </w:t>
      </w:r>
    </w:p>
    <w:p w14:paraId="127A816A" w14:textId="00BF9B4C" w:rsidR="002A3164" w:rsidRPr="00C5657A" w:rsidRDefault="002A3164" w:rsidP="00EB7D94">
      <w:pPr>
        <w:spacing w:line="240" w:lineRule="atLeast"/>
        <w:ind w:right="1134"/>
        <w:jc w:val="both"/>
        <w:rPr>
          <w:sz w:val="20"/>
          <w:szCs w:val="20"/>
          <w:u w:val="single"/>
        </w:rPr>
      </w:pPr>
    </w:p>
    <w:p w14:paraId="00C36BF2"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Social Housing</w:t>
      </w:r>
    </w:p>
    <w:p w14:paraId="1F71C3DF" w14:textId="77777777" w:rsidR="00EB7D94" w:rsidRPr="00C5657A" w:rsidRDefault="002A3164" w:rsidP="00A52400">
      <w:pPr>
        <w:spacing w:line="240" w:lineRule="atLeast"/>
        <w:ind w:left="1134" w:right="1134"/>
        <w:jc w:val="both"/>
        <w:rPr>
          <w:sz w:val="20"/>
          <w:szCs w:val="20"/>
        </w:rPr>
      </w:pPr>
      <w:r w:rsidRPr="00C5657A">
        <w:rPr>
          <w:sz w:val="20"/>
          <w:szCs w:val="20"/>
        </w:rPr>
        <w:t xml:space="preserve">The focus of the social housing programme is to increase the number of new-build homes, with a target to reach delivery of more than 9,500 new-build homes on average each year years to 2026. </w:t>
      </w:r>
    </w:p>
    <w:p w14:paraId="1EBB806D" w14:textId="77777777" w:rsidR="00EB7D94" w:rsidRPr="00C5657A" w:rsidRDefault="00EB7D94" w:rsidP="00A52400">
      <w:pPr>
        <w:spacing w:line="240" w:lineRule="atLeast"/>
        <w:ind w:left="1134" w:right="1134"/>
        <w:jc w:val="both"/>
        <w:rPr>
          <w:sz w:val="20"/>
          <w:szCs w:val="20"/>
        </w:rPr>
      </w:pPr>
    </w:p>
    <w:p w14:paraId="6410CB60" w14:textId="1C3F0E47" w:rsidR="002A3164" w:rsidRPr="00C5657A" w:rsidRDefault="002A3164" w:rsidP="007074F3">
      <w:pPr>
        <w:spacing w:line="240" w:lineRule="atLeast"/>
        <w:ind w:left="1134" w:right="1134"/>
        <w:jc w:val="both"/>
        <w:rPr>
          <w:sz w:val="20"/>
          <w:szCs w:val="20"/>
        </w:rPr>
      </w:pPr>
      <w:r w:rsidRPr="00C5657A">
        <w:rPr>
          <w:sz w:val="20"/>
          <w:szCs w:val="20"/>
        </w:rPr>
        <w:t>In 2023, local authorities and Approved Housing Bodies (AHBs) will deliver 13,130 social homes through build, acquisition and leasing programmes, including 9,100 new build homes</w:t>
      </w:r>
      <w:r w:rsidR="007074F3">
        <w:rPr>
          <w:sz w:val="20"/>
          <w:szCs w:val="20"/>
        </w:rPr>
        <w:t xml:space="preserve"> and </w:t>
      </w:r>
      <w:r w:rsidR="007074F3" w:rsidRPr="00C5657A">
        <w:rPr>
          <w:sz w:val="20"/>
          <w:szCs w:val="20"/>
        </w:rPr>
        <w:t>9,600 new tenancies under the Housing Assistance Payment Scheme (HAP) and the Ren</w:t>
      </w:r>
      <w:r w:rsidR="007074F3">
        <w:rPr>
          <w:sz w:val="20"/>
          <w:szCs w:val="20"/>
        </w:rPr>
        <w:t xml:space="preserve">tal Accommodation Scheme (RAS). </w:t>
      </w:r>
      <w:r w:rsidRPr="00C5657A">
        <w:rPr>
          <w:sz w:val="20"/>
          <w:szCs w:val="20"/>
        </w:rPr>
        <w:t xml:space="preserve">More than 90,000 social homes </w:t>
      </w:r>
      <w:r w:rsidR="007074F3">
        <w:rPr>
          <w:sz w:val="20"/>
          <w:szCs w:val="20"/>
        </w:rPr>
        <w:t>will</w:t>
      </w:r>
      <w:r w:rsidRPr="00C5657A">
        <w:rPr>
          <w:sz w:val="20"/>
          <w:szCs w:val="20"/>
        </w:rPr>
        <w:t xml:space="preserve"> be delivered between 2022 and 2030. </w:t>
      </w:r>
    </w:p>
    <w:p w14:paraId="4E3D974B" w14:textId="77777777" w:rsidR="00EB7D94" w:rsidRPr="00C5657A" w:rsidRDefault="00EB7D94" w:rsidP="00A52400">
      <w:pPr>
        <w:spacing w:line="240" w:lineRule="atLeast"/>
        <w:ind w:left="1134" w:right="1134"/>
        <w:jc w:val="both"/>
        <w:rPr>
          <w:sz w:val="20"/>
          <w:szCs w:val="20"/>
        </w:rPr>
      </w:pPr>
    </w:p>
    <w:p w14:paraId="6B81F2EC" w14:textId="385E7E8C" w:rsidR="002A3164" w:rsidRPr="00C5657A" w:rsidRDefault="002A3164" w:rsidP="00A52400">
      <w:pPr>
        <w:spacing w:line="240" w:lineRule="atLeast"/>
        <w:ind w:left="1134" w:right="1134"/>
        <w:jc w:val="both"/>
        <w:rPr>
          <w:sz w:val="20"/>
          <w:szCs w:val="20"/>
        </w:rPr>
      </w:pPr>
      <w:r w:rsidRPr="00C5657A">
        <w:rPr>
          <w:sz w:val="20"/>
          <w:szCs w:val="20"/>
        </w:rPr>
        <w:t xml:space="preserve">A key action of </w:t>
      </w:r>
      <w:r w:rsidRPr="007074F3">
        <w:rPr>
          <w:i/>
          <w:sz w:val="20"/>
          <w:szCs w:val="20"/>
        </w:rPr>
        <w:t>Housing for All</w:t>
      </w:r>
      <w:r w:rsidR="007074F3">
        <w:rPr>
          <w:sz w:val="20"/>
          <w:szCs w:val="20"/>
        </w:rPr>
        <w:t xml:space="preserve"> requires</w:t>
      </w:r>
      <w:r w:rsidRPr="00C5657A">
        <w:rPr>
          <w:sz w:val="20"/>
          <w:szCs w:val="20"/>
        </w:rPr>
        <w:t xml:space="preserve"> local authorities to develop Housing Delivery Action Plans to include details of social and affordable housing delivery. The Plans set out details of both social and affordable housing delivery as approp</w:t>
      </w:r>
      <w:r w:rsidR="007074F3">
        <w:rPr>
          <w:sz w:val="20"/>
          <w:szCs w:val="20"/>
        </w:rPr>
        <w:t>riate over the period 2022-2026</w:t>
      </w:r>
      <w:r w:rsidRPr="00C5657A">
        <w:rPr>
          <w:sz w:val="20"/>
          <w:szCs w:val="20"/>
        </w:rPr>
        <w:t>. The Plans also include details of the locations and delivery streams for social housing schemes. Local authorities published the Plans on their websites in 2022.</w:t>
      </w:r>
    </w:p>
    <w:p w14:paraId="3B3A9CBE" w14:textId="77777777" w:rsidR="00EB7D94" w:rsidRPr="00C5657A" w:rsidRDefault="00EB7D94" w:rsidP="00A52400">
      <w:pPr>
        <w:spacing w:line="240" w:lineRule="atLeast"/>
        <w:ind w:left="1134" w:right="1134"/>
        <w:jc w:val="both"/>
        <w:rPr>
          <w:sz w:val="20"/>
          <w:szCs w:val="20"/>
        </w:rPr>
      </w:pPr>
    </w:p>
    <w:p w14:paraId="10921051" w14:textId="29DD2FB3" w:rsidR="002A3164" w:rsidRPr="007074F3" w:rsidRDefault="002A3164" w:rsidP="00EB7D94">
      <w:pPr>
        <w:spacing w:after="160" w:line="259" w:lineRule="auto"/>
        <w:ind w:left="414" w:firstLine="720"/>
        <w:jc w:val="both"/>
        <w:rPr>
          <w:rFonts w:eastAsiaTheme="minorHAnsi"/>
          <w:i/>
          <w:sz w:val="20"/>
          <w:szCs w:val="20"/>
          <w:lang w:eastAsia="en-US"/>
        </w:rPr>
      </w:pPr>
      <w:r w:rsidRPr="007074F3">
        <w:rPr>
          <w:rFonts w:eastAsiaTheme="minorHAnsi"/>
          <w:i/>
          <w:sz w:val="20"/>
          <w:szCs w:val="20"/>
          <w:lang w:eastAsia="en-US"/>
        </w:rPr>
        <w:t>Social housing delivery 2018 to 2021:</w:t>
      </w:r>
    </w:p>
    <w:p w14:paraId="4E88AD32" w14:textId="257BAEB6" w:rsidR="002A3164" w:rsidRPr="00C5657A" w:rsidRDefault="00EB7D94" w:rsidP="003C4F60">
      <w:pPr>
        <w:spacing w:after="160" w:line="259" w:lineRule="auto"/>
        <w:jc w:val="both"/>
        <w:rPr>
          <w:rFonts w:eastAsiaTheme="minorHAnsi"/>
          <w:sz w:val="20"/>
          <w:szCs w:val="20"/>
          <w:lang w:eastAsia="en-US"/>
        </w:rPr>
      </w:pPr>
      <w:r w:rsidRPr="00C5657A">
        <w:rPr>
          <w:rFonts w:eastAsiaTheme="minorHAnsi"/>
          <w:noProof/>
          <w:sz w:val="20"/>
          <w:szCs w:val="20"/>
        </w:rPr>
        <w:drawing>
          <wp:anchor distT="0" distB="0" distL="114300" distR="114300" simplePos="0" relativeHeight="251658240" behindDoc="1" locked="0" layoutInCell="1" allowOverlap="1" wp14:anchorId="105413BD" wp14:editId="1043C85F">
            <wp:simplePos x="0" y="0"/>
            <wp:positionH relativeFrom="margin">
              <wp:align>center</wp:align>
            </wp:positionH>
            <wp:positionV relativeFrom="paragraph">
              <wp:posOffset>6887</wp:posOffset>
            </wp:positionV>
            <wp:extent cx="4542155" cy="2635250"/>
            <wp:effectExtent l="0" t="0" r="10795" b="12700"/>
            <wp:wrapTight wrapText="bothSides">
              <wp:wrapPolygon edited="0">
                <wp:start x="0" y="0"/>
                <wp:lineTo x="0" y="21548"/>
                <wp:lineTo x="21561" y="21548"/>
                <wp:lineTo x="21561"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anchor>
        </w:drawing>
      </w:r>
    </w:p>
    <w:p w14:paraId="6C6932B9" w14:textId="77777777" w:rsidR="002A3164" w:rsidRPr="00C5657A" w:rsidRDefault="002A3164" w:rsidP="003C4F60">
      <w:pPr>
        <w:spacing w:after="160" w:line="259" w:lineRule="auto"/>
        <w:jc w:val="both"/>
        <w:rPr>
          <w:rFonts w:eastAsiaTheme="minorHAnsi"/>
          <w:sz w:val="20"/>
          <w:szCs w:val="20"/>
          <w:lang w:eastAsia="en-US"/>
        </w:rPr>
      </w:pPr>
    </w:p>
    <w:p w14:paraId="550F8EC2" w14:textId="77777777" w:rsidR="00EB7D94" w:rsidRPr="00C5657A" w:rsidRDefault="00EB7D94" w:rsidP="003C4F60">
      <w:pPr>
        <w:spacing w:after="160" w:line="259" w:lineRule="auto"/>
        <w:jc w:val="both"/>
        <w:rPr>
          <w:rFonts w:eastAsiaTheme="minorHAnsi"/>
          <w:b/>
          <w:sz w:val="20"/>
          <w:szCs w:val="20"/>
          <w:lang w:eastAsia="en-US"/>
        </w:rPr>
      </w:pPr>
    </w:p>
    <w:p w14:paraId="1140F561" w14:textId="77777777" w:rsidR="00EB7D94" w:rsidRPr="00C5657A" w:rsidRDefault="00EB7D94" w:rsidP="003C4F60">
      <w:pPr>
        <w:spacing w:after="160" w:line="259" w:lineRule="auto"/>
        <w:jc w:val="both"/>
        <w:rPr>
          <w:rFonts w:eastAsiaTheme="minorHAnsi"/>
          <w:b/>
          <w:sz w:val="20"/>
          <w:szCs w:val="20"/>
          <w:lang w:eastAsia="en-US"/>
        </w:rPr>
      </w:pPr>
    </w:p>
    <w:p w14:paraId="4889B1F6" w14:textId="77777777" w:rsidR="00EB7D94" w:rsidRPr="00C5657A" w:rsidRDefault="00EB7D94" w:rsidP="003C4F60">
      <w:pPr>
        <w:spacing w:after="160" w:line="259" w:lineRule="auto"/>
        <w:jc w:val="both"/>
        <w:rPr>
          <w:rFonts w:eastAsiaTheme="minorHAnsi"/>
          <w:b/>
          <w:sz w:val="20"/>
          <w:szCs w:val="20"/>
          <w:lang w:eastAsia="en-US"/>
        </w:rPr>
      </w:pPr>
    </w:p>
    <w:p w14:paraId="0B6E3981" w14:textId="77777777" w:rsidR="00EB7D94" w:rsidRPr="00C5657A" w:rsidRDefault="00EB7D94" w:rsidP="003C4F60">
      <w:pPr>
        <w:spacing w:after="160" w:line="259" w:lineRule="auto"/>
        <w:jc w:val="both"/>
        <w:rPr>
          <w:rFonts w:eastAsiaTheme="minorHAnsi"/>
          <w:b/>
          <w:sz w:val="20"/>
          <w:szCs w:val="20"/>
          <w:lang w:eastAsia="en-US"/>
        </w:rPr>
      </w:pPr>
    </w:p>
    <w:p w14:paraId="02BFAB3A" w14:textId="77777777" w:rsidR="00EB7D94" w:rsidRPr="00C5657A" w:rsidRDefault="00EB7D94" w:rsidP="003C4F60">
      <w:pPr>
        <w:spacing w:after="160" w:line="259" w:lineRule="auto"/>
        <w:jc w:val="both"/>
        <w:rPr>
          <w:rFonts w:eastAsiaTheme="minorHAnsi"/>
          <w:b/>
          <w:sz w:val="20"/>
          <w:szCs w:val="20"/>
          <w:lang w:eastAsia="en-US"/>
        </w:rPr>
      </w:pPr>
    </w:p>
    <w:p w14:paraId="1FC7A3F9" w14:textId="77777777" w:rsidR="00EB7D94" w:rsidRPr="00C5657A" w:rsidRDefault="00EB7D94" w:rsidP="003C4F60">
      <w:pPr>
        <w:spacing w:after="160" w:line="259" w:lineRule="auto"/>
        <w:jc w:val="both"/>
        <w:rPr>
          <w:rFonts w:eastAsiaTheme="minorHAnsi"/>
          <w:b/>
          <w:sz w:val="20"/>
          <w:szCs w:val="20"/>
          <w:lang w:eastAsia="en-US"/>
        </w:rPr>
      </w:pPr>
    </w:p>
    <w:p w14:paraId="6B0346EE" w14:textId="77777777" w:rsidR="00EB7D94" w:rsidRPr="00C5657A" w:rsidRDefault="00EB7D94" w:rsidP="003C4F60">
      <w:pPr>
        <w:spacing w:after="160" w:line="259" w:lineRule="auto"/>
        <w:jc w:val="both"/>
        <w:rPr>
          <w:rFonts w:eastAsiaTheme="minorHAnsi"/>
          <w:b/>
          <w:sz w:val="20"/>
          <w:szCs w:val="20"/>
          <w:lang w:eastAsia="en-US"/>
        </w:rPr>
      </w:pPr>
    </w:p>
    <w:p w14:paraId="3FCBDA53" w14:textId="77777777" w:rsidR="00EB7D94" w:rsidRPr="00C5657A" w:rsidRDefault="00EB7D94" w:rsidP="003C4F60">
      <w:pPr>
        <w:spacing w:after="160" w:line="259" w:lineRule="auto"/>
        <w:jc w:val="both"/>
        <w:rPr>
          <w:rFonts w:eastAsiaTheme="minorHAnsi"/>
          <w:b/>
          <w:sz w:val="20"/>
          <w:szCs w:val="20"/>
          <w:lang w:eastAsia="en-US"/>
        </w:rPr>
      </w:pPr>
    </w:p>
    <w:p w14:paraId="5A2F6BBA" w14:textId="56A10065" w:rsidR="00EB7D94" w:rsidRDefault="00EB7D94" w:rsidP="003C4F60">
      <w:pPr>
        <w:spacing w:after="160" w:line="259" w:lineRule="auto"/>
        <w:jc w:val="both"/>
        <w:rPr>
          <w:rFonts w:eastAsiaTheme="minorHAnsi"/>
          <w:b/>
          <w:sz w:val="20"/>
          <w:szCs w:val="20"/>
          <w:lang w:eastAsia="en-US"/>
        </w:rPr>
      </w:pPr>
    </w:p>
    <w:p w14:paraId="79990153" w14:textId="20314EB1" w:rsidR="007074F3" w:rsidRDefault="007074F3" w:rsidP="003C4F60">
      <w:pPr>
        <w:spacing w:after="160" w:line="259" w:lineRule="auto"/>
        <w:jc w:val="both"/>
        <w:rPr>
          <w:rFonts w:eastAsiaTheme="minorHAnsi"/>
          <w:b/>
          <w:sz w:val="20"/>
          <w:szCs w:val="20"/>
          <w:lang w:eastAsia="en-US"/>
        </w:rPr>
      </w:pPr>
    </w:p>
    <w:p w14:paraId="1EA4A2A9" w14:textId="7CC6B9B9" w:rsidR="007074F3" w:rsidRDefault="007074F3" w:rsidP="003C4F60">
      <w:pPr>
        <w:spacing w:after="160" w:line="259" w:lineRule="auto"/>
        <w:jc w:val="both"/>
        <w:rPr>
          <w:rFonts w:eastAsiaTheme="minorHAnsi"/>
          <w:b/>
          <w:sz w:val="20"/>
          <w:szCs w:val="20"/>
          <w:lang w:eastAsia="en-US"/>
        </w:rPr>
      </w:pPr>
    </w:p>
    <w:p w14:paraId="6ECFEBDC" w14:textId="6FC385BA" w:rsidR="007074F3" w:rsidRDefault="007074F3" w:rsidP="003C4F60">
      <w:pPr>
        <w:spacing w:after="160" w:line="259" w:lineRule="auto"/>
        <w:jc w:val="both"/>
        <w:rPr>
          <w:rFonts w:eastAsiaTheme="minorHAnsi"/>
          <w:b/>
          <w:sz w:val="20"/>
          <w:szCs w:val="20"/>
          <w:lang w:eastAsia="en-US"/>
        </w:rPr>
      </w:pPr>
    </w:p>
    <w:p w14:paraId="3AEE2948" w14:textId="7D4DB12A" w:rsidR="007074F3" w:rsidRDefault="007074F3" w:rsidP="003C4F60">
      <w:pPr>
        <w:spacing w:after="160" w:line="259" w:lineRule="auto"/>
        <w:jc w:val="both"/>
        <w:rPr>
          <w:rFonts w:eastAsiaTheme="minorHAnsi"/>
          <w:b/>
          <w:sz w:val="20"/>
          <w:szCs w:val="20"/>
          <w:lang w:eastAsia="en-US"/>
        </w:rPr>
      </w:pPr>
    </w:p>
    <w:p w14:paraId="2892941E" w14:textId="4357D7C3" w:rsidR="007074F3" w:rsidRDefault="007074F3" w:rsidP="003C4F60">
      <w:pPr>
        <w:spacing w:after="160" w:line="259" w:lineRule="auto"/>
        <w:jc w:val="both"/>
        <w:rPr>
          <w:rFonts w:eastAsiaTheme="minorHAnsi"/>
          <w:b/>
          <w:sz w:val="20"/>
          <w:szCs w:val="20"/>
          <w:lang w:eastAsia="en-US"/>
        </w:rPr>
      </w:pPr>
    </w:p>
    <w:p w14:paraId="1BFD1DA6" w14:textId="6913191C" w:rsidR="007074F3" w:rsidRDefault="007074F3" w:rsidP="003C4F60">
      <w:pPr>
        <w:spacing w:after="160" w:line="259" w:lineRule="auto"/>
        <w:jc w:val="both"/>
        <w:rPr>
          <w:rFonts w:eastAsiaTheme="minorHAnsi"/>
          <w:b/>
          <w:sz w:val="20"/>
          <w:szCs w:val="20"/>
          <w:lang w:eastAsia="en-US"/>
        </w:rPr>
      </w:pPr>
    </w:p>
    <w:p w14:paraId="1CB73D30" w14:textId="785FFD9A" w:rsidR="007074F3" w:rsidRDefault="007074F3" w:rsidP="003C4F60">
      <w:pPr>
        <w:spacing w:after="160" w:line="259" w:lineRule="auto"/>
        <w:jc w:val="both"/>
        <w:rPr>
          <w:rFonts w:eastAsiaTheme="minorHAnsi"/>
          <w:b/>
          <w:sz w:val="20"/>
          <w:szCs w:val="20"/>
          <w:lang w:eastAsia="en-US"/>
        </w:rPr>
      </w:pPr>
    </w:p>
    <w:p w14:paraId="1590EB9E" w14:textId="50CE7EC8" w:rsidR="007074F3" w:rsidRDefault="007074F3" w:rsidP="003C4F60">
      <w:pPr>
        <w:spacing w:after="160" w:line="259" w:lineRule="auto"/>
        <w:jc w:val="both"/>
        <w:rPr>
          <w:rFonts w:eastAsiaTheme="minorHAnsi"/>
          <w:b/>
          <w:sz w:val="20"/>
          <w:szCs w:val="20"/>
          <w:lang w:eastAsia="en-US"/>
        </w:rPr>
      </w:pPr>
    </w:p>
    <w:p w14:paraId="1CE2A28A" w14:textId="77777777" w:rsidR="007074F3" w:rsidRPr="00C5657A" w:rsidRDefault="007074F3" w:rsidP="003C4F60">
      <w:pPr>
        <w:spacing w:after="160" w:line="259" w:lineRule="auto"/>
        <w:jc w:val="both"/>
        <w:rPr>
          <w:rFonts w:eastAsiaTheme="minorHAnsi"/>
          <w:b/>
          <w:sz w:val="20"/>
          <w:szCs w:val="20"/>
          <w:lang w:eastAsia="en-US"/>
        </w:rPr>
      </w:pPr>
    </w:p>
    <w:p w14:paraId="1ACBE210" w14:textId="5D612D4D" w:rsidR="002A3164" w:rsidRPr="007074F3" w:rsidRDefault="00EB7D94" w:rsidP="00EB7D94">
      <w:pPr>
        <w:spacing w:after="160" w:line="259" w:lineRule="auto"/>
        <w:ind w:left="720"/>
        <w:jc w:val="both"/>
        <w:rPr>
          <w:rFonts w:eastAsiaTheme="minorHAnsi"/>
          <w:i/>
          <w:sz w:val="20"/>
          <w:szCs w:val="20"/>
          <w:lang w:eastAsia="en-US"/>
        </w:rPr>
      </w:pPr>
      <w:r w:rsidRPr="00C5657A">
        <w:rPr>
          <w:rFonts w:eastAsiaTheme="minorHAnsi"/>
          <w:sz w:val="20"/>
          <w:szCs w:val="20"/>
          <w:lang w:eastAsia="en-US"/>
        </w:rPr>
        <w:lastRenderedPageBreak/>
        <w:t xml:space="preserve">       </w:t>
      </w:r>
      <w:r w:rsidR="002A3164" w:rsidRPr="007074F3">
        <w:rPr>
          <w:rFonts w:eastAsiaTheme="minorHAnsi"/>
          <w:i/>
          <w:sz w:val="20"/>
          <w:szCs w:val="20"/>
          <w:lang w:eastAsia="en-US"/>
        </w:rPr>
        <w:t>Breakdown of social housing delivery by programme:</w:t>
      </w:r>
    </w:p>
    <w:tbl>
      <w:tblPr>
        <w:tblStyle w:val="TableGrid1"/>
        <w:tblpPr w:leftFromText="180" w:rightFromText="180" w:vertAnchor="page" w:horzAnchor="page" w:tblpX="2244" w:tblpY="1884"/>
        <w:tblW w:w="0" w:type="auto"/>
        <w:tblLook w:val="04A0" w:firstRow="1" w:lastRow="0" w:firstColumn="1" w:lastColumn="0" w:noHBand="0" w:noVBand="1"/>
      </w:tblPr>
      <w:tblGrid>
        <w:gridCol w:w="1241"/>
        <w:gridCol w:w="886"/>
        <w:gridCol w:w="992"/>
        <w:gridCol w:w="992"/>
        <w:gridCol w:w="992"/>
      </w:tblGrid>
      <w:tr w:rsidR="00EB7D94" w:rsidRPr="00C5657A" w14:paraId="0F46D1AF" w14:textId="77777777" w:rsidTr="00EB7D94">
        <w:tc>
          <w:tcPr>
            <w:tcW w:w="1241" w:type="dxa"/>
          </w:tcPr>
          <w:p w14:paraId="56A06EAB" w14:textId="77777777" w:rsidR="00EB7D94" w:rsidRPr="00C5657A" w:rsidRDefault="00EB7D94" w:rsidP="00EB7D94">
            <w:pPr>
              <w:spacing w:after="160" w:line="259" w:lineRule="auto"/>
              <w:jc w:val="both"/>
              <w:rPr>
                <w:rFonts w:eastAsiaTheme="minorHAnsi"/>
                <w:b/>
                <w:sz w:val="20"/>
                <w:szCs w:val="20"/>
                <w:lang w:eastAsia="en-US"/>
              </w:rPr>
            </w:pPr>
            <w:r w:rsidRPr="00C5657A">
              <w:rPr>
                <w:rFonts w:eastAsiaTheme="minorHAnsi"/>
                <w:b/>
                <w:sz w:val="20"/>
                <w:szCs w:val="20"/>
                <w:lang w:eastAsia="en-US"/>
              </w:rPr>
              <w:t>Year</w:t>
            </w:r>
          </w:p>
        </w:tc>
        <w:tc>
          <w:tcPr>
            <w:tcW w:w="886" w:type="dxa"/>
          </w:tcPr>
          <w:p w14:paraId="63C27C2C" w14:textId="77777777" w:rsidR="00EB7D94" w:rsidRPr="00C5657A" w:rsidRDefault="00EB7D94" w:rsidP="00EB7D94">
            <w:pPr>
              <w:spacing w:after="160" w:line="259" w:lineRule="auto"/>
              <w:jc w:val="both"/>
              <w:rPr>
                <w:rFonts w:eastAsiaTheme="minorHAnsi"/>
                <w:b/>
                <w:sz w:val="20"/>
                <w:szCs w:val="20"/>
                <w:lang w:eastAsia="en-US"/>
              </w:rPr>
            </w:pPr>
            <w:r w:rsidRPr="00C5657A">
              <w:rPr>
                <w:rFonts w:eastAsiaTheme="minorHAnsi"/>
                <w:b/>
                <w:sz w:val="20"/>
                <w:szCs w:val="20"/>
                <w:lang w:eastAsia="en-US"/>
              </w:rPr>
              <w:t>2018</w:t>
            </w:r>
          </w:p>
        </w:tc>
        <w:tc>
          <w:tcPr>
            <w:tcW w:w="992" w:type="dxa"/>
          </w:tcPr>
          <w:p w14:paraId="37228CF6" w14:textId="77777777" w:rsidR="00EB7D94" w:rsidRPr="00C5657A" w:rsidRDefault="00EB7D94" w:rsidP="00EB7D94">
            <w:pPr>
              <w:spacing w:after="160" w:line="259" w:lineRule="auto"/>
              <w:jc w:val="both"/>
              <w:rPr>
                <w:rFonts w:eastAsiaTheme="minorHAnsi"/>
                <w:b/>
                <w:sz w:val="20"/>
                <w:szCs w:val="20"/>
                <w:lang w:eastAsia="en-US"/>
              </w:rPr>
            </w:pPr>
            <w:r w:rsidRPr="00C5657A">
              <w:rPr>
                <w:rFonts w:eastAsiaTheme="minorHAnsi"/>
                <w:b/>
                <w:sz w:val="20"/>
                <w:szCs w:val="20"/>
                <w:lang w:eastAsia="en-US"/>
              </w:rPr>
              <w:t>2019</w:t>
            </w:r>
          </w:p>
        </w:tc>
        <w:tc>
          <w:tcPr>
            <w:tcW w:w="992" w:type="dxa"/>
          </w:tcPr>
          <w:p w14:paraId="43867F33" w14:textId="77777777" w:rsidR="00EB7D94" w:rsidRPr="00C5657A" w:rsidRDefault="00EB7D94" w:rsidP="00EB7D94">
            <w:pPr>
              <w:spacing w:after="160" w:line="259" w:lineRule="auto"/>
              <w:jc w:val="both"/>
              <w:rPr>
                <w:rFonts w:eastAsiaTheme="minorHAnsi"/>
                <w:b/>
                <w:sz w:val="20"/>
                <w:szCs w:val="20"/>
                <w:lang w:eastAsia="en-US"/>
              </w:rPr>
            </w:pPr>
            <w:r w:rsidRPr="00C5657A">
              <w:rPr>
                <w:rFonts w:eastAsiaTheme="minorHAnsi"/>
                <w:b/>
                <w:sz w:val="20"/>
                <w:szCs w:val="20"/>
                <w:lang w:eastAsia="en-US"/>
              </w:rPr>
              <w:t>2020</w:t>
            </w:r>
          </w:p>
        </w:tc>
        <w:tc>
          <w:tcPr>
            <w:tcW w:w="992" w:type="dxa"/>
          </w:tcPr>
          <w:p w14:paraId="19CAAC75" w14:textId="77777777" w:rsidR="00EB7D94" w:rsidRPr="00C5657A" w:rsidRDefault="00EB7D94" w:rsidP="00EB7D94">
            <w:pPr>
              <w:spacing w:after="160" w:line="259" w:lineRule="auto"/>
              <w:jc w:val="both"/>
              <w:rPr>
                <w:rFonts w:eastAsiaTheme="minorHAnsi"/>
                <w:b/>
                <w:sz w:val="20"/>
                <w:szCs w:val="20"/>
                <w:lang w:eastAsia="en-US"/>
              </w:rPr>
            </w:pPr>
            <w:r w:rsidRPr="00C5657A">
              <w:rPr>
                <w:rFonts w:eastAsiaTheme="minorHAnsi"/>
                <w:b/>
                <w:sz w:val="20"/>
                <w:szCs w:val="20"/>
                <w:lang w:eastAsia="en-US"/>
              </w:rPr>
              <w:t>2021</w:t>
            </w:r>
          </w:p>
        </w:tc>
      </w:tr>
      <w:tr w:rsidR="00EB7D94" w:rsidRPr="00C5657A" w14:paraId="0FB1CEC8" w14:textId="77777777" w:rsidTr="00EB7D94">
        <w:tc>
          <w:tcPr>
            <w:tcW w:w="1241" w:type="dxa"/>
          </w:tcPr>
          <w:p w14:paraId="2AE6DD80" w14:textId="77777777" w:rsidR="00EB7D94" w:rsidRPr="007074F3" w:rsidRDefault="00EB7D94" w:rsidP="00EB7D94">
            <w:pPr>
              <w:spacing w:after="160" w:line="259" w:lineRule="auto"/>
              <w:jc w:val="both"/>
              <w:rPr>
                <w:rFonts w:eastAsiaTheme="minorHAnsi"/>
                <w:b/>
                <w:sz w:val="20"/>
                <w:szCs w:val="20"/>
                <w:lang w:eastAsia="en-US"/>
              </w:rPr>
            </w:pPr>
            <w:r w:rsidRPr="007074F3">
              <w:rPr>
                <w:rFonts w:eastAsiaTheme="minorHAnsi"/>
                <w:b/>
                <w:sz w:val="20"/>
                <w:szCs w:val="20"/>
                <w:lang w:eastAsia="en-US"/>
              </w:rPr>
              <w:t>Build</w:t>
            </w:r>
          </w:p>
        </w:tc>
        <w:tc>
          <w:tcPr>
            <w:tcW w:w="886" w:type="dxa"/>
          </w:tcPr>
          <w:p w14:paraId="75CC3071"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4,794</w:t>
            </w:r>
          </w:p>
        </w:tc>
        <w:tc>
          <w:tcPr>
            <w:tcW w:w="992" w:type="dxa"/>
          </w:tcPr>
          <w:p w14:paraId="356B610D"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6,074</w:t>
            </w:r>
          </w:p>
        </w:tc>
        <w:tc>
          <w:tcPr>
            <w:tcW w:w="992" w:type="dxa"/>
          </w:tcPr>
          <w:p w14:paraId="73770F41"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5,070</w:t>
            </w:r>
          </w:p>
        </w:tc>
        <w:tc>
          <w:tcPr>
            <w:tcW w:w="992" w:type="dxa"/>
          </w:tcPr>
          <w:p w14:paraId="39912128"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5,196</w:t>
            </w:r>
          </w:p>
        </w:tc>
      </w:tr>
      <w:tr w:rsidR="00EB7D94" w:rsidRPr="00C5657A" w14:paraId="70C70114" w14:textId="77777777" w:rsidTr="00EB7D94">
        <w:tc>
          <w:tcPr>
            <w:tcW w:w="1241" w:type="dxa"/>
          </w:tcPr>
          <w:p w14:paraId="33567A91" w14:textId="77777777" w:rsidR="00EB7D94" w:rsidRPr="007074F3" w:rsidRDefault="00EB7D94" w:rsidP="00EB7D94">
            <w:pPr>
              <w:spacing w:after="160" w:line="259" w:lineRule="auto"/>
              <w:jc w:val="both"/>
              <w:rPr>
                <w:rFonts w:eastAsiaTheme="minorHAnsi"/>
                <w:b/>
                <w:sz w:val="20"/>
                <w:szCs w:val="20"/>
                <w:lang w:eastAsia="en-US"/>
              </w:rPr>
            </w:pPr>
            <w:r w:rsidRPr="007074F3">
              <w:rPr>
                <w:rFonts w:eastAsiaTheme="minorHAnsi"/>
                <w:b/>
                <w:sz w:val="20"/>
                <w:szCs w:val="20"/>
                <w:lang w:eastAsia="en-US"/>
              </w:rPr>
              <w:t>Acquisition</w:t>
            </w:r>
          </w:p>
        </w:tc>
        <w:tc>
          <w:tcPr>
            <w:tcW w:w="886" w:type="dxa"/>
          </w:tcPr>
          <w:p w14:paraId="17A8D117"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2,610</w:t>
            </w:r>
          </w:p>
        </w:tc>
        <w:tc>
          <w:tcPr>
            <w:tcW w:w="992" w:type="dxa"/>
          </w:tcPr>
          <w:p w14:paraId="426A0C9D"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2,769</w:t>
            </w:r>
          </w:p>
        </w:tc>
        <w:tc>
          <w:tcPr>
            <w:tcW w:w="992" w:type="dxa"/>
          </w:tcPr>
          <w:p w14:paraId="7972B1C8"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1,314</w:t>
            </w:r>
          </w:p>
        </w:tc>
        <w:tc>
          <w:tcPr>
            <w:tcW w:w="992" w:type="dxa"/>
          </w:tcPr>
          <w:p w14:paraId="401B4230"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1,262</w:t>
            </w:r>
          </w:p>
        </w:tc>
      </w:tr>
      <w:tr w:rsidR="00EB7D94" w:rsidRPr="00C5657A" w14:paraId="5629C223" w14:textId="77777777" w:rsidTr="00EB7D94">
        <w:tc>
          <w:tcPr>
            <w:tcW w:w="1241" w:type="dxa"/>
          </w:tcPr>
          <w:p w14:paraId="1D814DB6" w14:textId="77777777" w:rsidR="00EB7D94" w:rsidRPr="007074F3" w:rsidRDefault="00EB7D94" w:rsidP="00EB7D94">
            <w:pPr>
              <w:spacing w:after="160" w:line="259" w:lineRule="auto"/>
              <w:jc w:val="both"/>
              <w:rPr>
                <w:rFonts w:eastAsiaTheme="minorHAnsi"/>
                <w:b/>
                <w:sz w:val="20"/>
                <w:szCs w:val="20"/>
                <w:lang w:eastAsia="en-US"/>
              </w:rPr>
            </w:pPr>
            <w:r w:rsidRPr="007074F3">
              <w:rPr>
                <w:rFonts w:eastAsiaTheme="minorHAnsi"/>
                <w:b/>
                <w:sz w:val="20"/>
                <w:szCs w:val="20"/>
                <w:lang w:eastAsia="en-US"/>
              </w:rPr>
              <w:t>Lease</w:t>
            </w:r>
          </w:p>
        </w:tc>
        <w:tc>
          <w:tcPr>
            <w:tcW w:w="886" w:type="dxa"/>
          </w:tcPr>
          <w:p w14:paraId="048EF2E6"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1,001</w:t>
            </w:r>
          </w:p>
        </w:tc>
        <w:tc>
          <w:tcPr>
            <w:tcW w:w="992" w:type="dxa"/>
          </w:tcPr>
          <w:p w14:paraId="7B09025F"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1,161</w:t>
            </w:r>
          </w:p>
        </w:tc>
        <w:tc>
          <w:tcPr>
            <w:tcW w:w="992" w:type="dxa"/>
          </w:tcPr>
          <w:p w14:paraId="23ACE5C8"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1,440</w:t>
            </w:r>
          </w:p>
        </w:tc>
        <w:tc>
          <w:tcPr>
            <w:tcW w:w="992" w:type="dxa"/>
          </w:tcPr>
          <w:p w14:paraId="3AF7F975" w14:textId="77777777" w:rsidR="00EB7D94" w:rsidRPr="00C5657A" w:rsidRDefault="00EB7D94" w:rsidP="00EB7D94">
            <w:pPr>
              <w:spacing w:after="160" w:line="259" w:lineRule="auto"/>
              <w:jc w:val="both"/>
              <w:rPr>
                <w:rFonts w:eastAsiaTheme="minorHAnsi"/>
                <w:sz w:val="20"/>
                <w:szCs w:val="20"/>
                <w:lang w:eastAsia="en-US"/>
              </w:rPr>
            </w:pPr>
            <w:r w:rsidRPr="00C5657A">
              <w:rPr>
                <w:rFonts w:eastAsiaTheme="minorHAnsi"/>
                <w:sz w:val="20"/>
                <w:szCs w:val="20"/>
                <w:lang w:eastAsia="en-US"/>
              </w:rPr>
              <w:t>2,711</w:t>
            </w:r>
          </w:p>
        </w:tc>
      </w:tr>
      <w:tr w:rsidR="00EB7D94" w:rsidRPr="00C5657A" w14:paraId="05A82422" w14:textId="77777777" w:rsidTr="00EB7D94">
        <w:tc>
          <w:tcPr>
            <w:tcW w:w="1241" w:type="dxa"/>
          </w:tcPr>
          <w:p w14:paraId="1B09A13E" w14:textId="77777777" w:rsidR="00EB7D94" w:rsidRPr="007074F3" w:rsidRDefault="00EB7D94" w:rsidP="00EB7D94">
            <w:pPr>
              <w:spacing w:after="160" w:line="259" w:lineRule="auto"/>
              <w:jc w:val="both"/>
              <w:rPr>
                <w:rFonts w:eastAsiaTheme="minorHAnsi"/>
                <w:i/>
                <w:sz w:val="20"/>
                <w:szCs w:val="20"/>
                <w:lang w:eastAsia="en-US"/>
              </w:rPr>
            </w:pPr>
            <w:r w:rsidRPr="007074F3">
              <w:rPr>
                <w:rFonts w:eastAsiaTheme="minorHAnsi"/>
                <w:i/>
                <w:sz w:val="20"/>
                <w:szCs w:val="20"/>
                <w:lang w:eastAsia="en-US"/>
              </w:rPr>
              <w:t>Total</w:t>
            </w:r>
          </w:p>
        </w:tc>
        <w:tc>
          <w:tcPr>
            <w:tcW w:w="886" w:type="dxa"/>
          </w:tcPr>
          <w:p w14:paraId="5B7B89E9" w14:textId="77777777" w:rsidR="00EB7D94" w:rsidRPr="007074F3" w:rsidRDefault="00EB7D94" w:rsidP="00EB7D94">
            <w:pPr>
              <w:spacing w:after="160" w:line="259" w:lineRule="auto"/>
              <w:jc w:val="both"/>
              <w:rPr>
                <w:rFonts w:eastAsiaTheme="minorHAnsi"/>
                <w:i/>
                <w:sz w:val="20"/>
                <w:szCs w:val="20"/>
                <w:lang w:eastAsia="en-US"/>
              </w:rPr>
            </w:pPr>
            <w:r w:rsidRPr="007074F3">
              <w:rPr>
                <w:rFonts w:eastAsiaTheme="minorHAnsi"/>
                <w:i/>
                <w:sz w:val="20"/>
                <w:szCs w:val="20"/>
                <w:lang w:eastAsia="en-US"/>
              </w:rPr>
              <w:t>8,405</w:t>
            </w:r>
          </w:p>
        </w:tc>
        <w:tc>
          <w:tcPr>
            <w:tcW w:w="992" w:type="dxa"/>
          </w:tcPr>
          <w:p w14:paraId="2D6686F0" w14:textId="77777777" w:rsidR="00EB7D94" w:rsidRPr="007074F3" w:rsidRDefault="00EB7D94" w:rsidP="00EB7D94">
            <w:pPr>
              <w:spacing w:after="160" w:line="259" w:lineRule="auto"/>
              <w:jc w:val="both"/>
              <w:rPr>
                <w:rFonts w:eastAsiaTheme="minorHAnsi"/>
                <w:i/>
                <w:sz w:val="20"/>
                <w:szCs w:val="20"/>
                <w:lang w:eastAsia="en-US"/>
              </w:rPr>
            </w:pPr>
            <w:r w:rsidRPr="007074F3">
              <w:rPr>
                <w:rFonts w:eastAsiaTheme="minorHAnsi"/>
                <w:i/>
                <w:sz w:val="20"/>
                <w:szCs w:val="20"/>
                <w:lang w:eastAsia="en-US"/>
              </w:rPr>
              <w:t>10,004</w:t>
            </w:r>
          </w:p>
        </w:tc>
        <w:tc>
          <w:tcPr>
            <w:tcW w:w="992" w:type="dxa"/>
          </w:tcPr>
          <w:p w14:paraId="5153701D" w14:textId="77777777" w:rsidR="00EB7D94" w:rsidRPr="007074F3" w:rsidRDefault="00EB7D94" w:rsidP="00EB7D94">
            <w:pPr>
              <w:spacing w:after="160" w:line="259" w:lineRule="auto"/>
              <w:jc w:val="both"/>
              <w:rPr>
                <w:rFonts w:eastAsiaTheme="minorHAnsi"/>
                <w:i/>
                <w:sz w:val="20"/>
                <w:szCs w:val="20"/>
                <w:lang w:eastAsia="en-US"/>
              </w:rPr>
            </w:pPr>
            <w:r w:rsidRPr="007074F3">
              <w:rPr>
                <w:rFonts w:eastAsiaTheme="minorHAnsi"/>
                <w:i/>
                <w:sz w:val="20"/>
                <w:szCs w:val="20"/>
                <w:lang w:eastAsia="en-US"/>
              </w:rPr>
              <w:t>7,824</w:t>
            </w:r>
          </w:p>
        </w:tc>
        <w:tc>
          <w:tcPr>
            <w:tcW w:w="992" w:type="dxa"/>
          </w:tcPr>
          <w:p w14:paraId="0900FAF4" w14:textId="77777777" w:rsidR="00EB7D94" w:rsidRPr="007074F3" w:rsidRDefault="00EB7D94" w:rsidP="00EB7D94">
            <w:pPr>
              <w:spacing w:after="160" w:line="259" w:lineRule="auto"/>
              <w:jc w:val="both"/>
              <w:rPr>
                <w:rFonts w:eastAsiaTheme="minorHAnsi"/>
                <w:i/>
                <w:sz w:val="20"/>
                <w:szCs w:val="20"/>
                <w:lang w:eastAsia="en-US"/>
              </w:rPr>
            </w:pPr>
            <w:r w:rsidRPr="007074F3">
              <w:rPr>
                <w:rFonts w:eastAsiaTheme="minorHAnsi"/>
                <w:i/>
                <w:sz w:val="20"/>
                <w:szCs w:val="20"/>
                <w:lang w:eastAsia="en-US"/>
              </w:rPr>
              <w:t>9,169</w:t>
            </w:r>
          </w:p>
        </w:tc>
      </w:tr>
    </w:tbl>
    <w:p w14:paraId="331857A8" w14:textId="32E39F1E" w:rsidR="00EB7D94" w:rsidRPr="00C5657A" w:rsidRDefault="00EB7D94" w:rsidP="00A52400">
      <w:pPr>
        <w:spacing w:after="160" w:line="259" w:lineRule="auto"/>
        <w:ind w:left="414" w:firstLine="720"/>
        <w:jc w:val="both"/>
        <w:rPr>
          <w:rFonts w:eastAsiaTheme="minorHAnsi"/>
          <w:sz w:val="20"/>
          <w:szCs w:val="20"/>
          <w:u w:val="single"/>
          <w:lang w:eastAsia="en-US"/>
        </w:rPr>
      </w:pPr>
    </w:p>
    <w:p w14:paraId="615C0F13" w14:textId="77777777" w:rsidR="00EB7D94" w:rsidRPr="00C5657A" w:rsidRDefault="00EB7D94" w:rsidP="00A52400">
      <w:pPr>
        <w:spacing w:after="160" w:line="259" w:lineRule="auto"/>
        <w:ind w:left="414" w:firstLine="720"/>
        <w:jc w:val="both"/>
        <w:rPr>
          <w:rFonts w:eastAsiaTheme="minorHAnsi"/>
          <w:sz w:val="20"/>
          <w:szCs w:val="20"/>
          <w:u w:val="single"/>
          <w:lang w:eastAsia="en-US"/>
        </w:rPr>
      </w:pPr>
    </w:p>
    <w:p w14:paraId="01D6FF15" w14:textId="77777777" w:rsidR="00EB7D94" w:rsidRPr="00C5657A" w:rsidRDefault="00EB7D94" w:rsidP="00A52400">
      <w:pPr>
        <w:spacing w:after="160" w:line="259" w:lineRule="auto"/>
        <w:ind w:left="414" w:firstLine="720"/>
        <w:jc w:val="both"/>
        <w:rPr>
          <w:rFonts w:eastAsiaTheme="minorHAnsi"/>
          <w:sz w:val="20"/>
          <w:szCs w:val="20"/>
          <w:u w:val="single"/>
          <w:lang w:eastAsia="en-US"/>
        </w:rPr>
      </w:pPr>
    </w:p>
    <w:p w14:paraId="706E276D" w14:textId="77777777" w:rsidR="00EB7D94" w:rsidRPr="00C5657A" w:rsidRDefault="00EB7D94" w:rsidP="00A52400">
      <w:pPr>
        <w:spacing w:after="160" w:line="259" w:lineRule="auto"/>
        <w:ind w:left="414" w:firstLine="720"/>
        <w:jc w:val="both"/>
        <w:rPr>
          <w:rFonts w:eastAsiaTheme="minorHAnsi"/>
          <w:sz w:val="20"/>
          <w:szCs w:val="20"/>
          <w:u w:val="single"/>
          <w:lang w:eastAsia="en-US"/>
        </w:rPr>
      </w:pPr>
    </w:p>
    <w:p w14:paraId="18CE212C" w14:textId="77777777" w:rsidR="00EB7D94" w:rsidRPr="00C5657A" w:rsidRDefault="00EB7D94" w:rsidP="00A52400">
      <w:pPr>
        <w:spacing w:after="160" w:line="259" w:lineRule="auto"/>
        <w:ind w:left="414" w:firstLine="720"/>
        <w:jc w:val="both"/>
        <w:rPr>
          <w:rFonts w:eastAsiaTheme="minorHAnsi"/>
          <w:sz w:val="20"/>
          <w:szCs w:val="20"/>
          <w:u w:val="single"/>
          <w:lang w:eastAsia="en-US"/>
        </w:rPr>
      </w:pPr>
    </w:p>
    <w:p w14:paraId="61E6411D" w14:textId="4DADB8A5" w:rsidR="00EB7D94" w:rsidRPr="00C5657A" w:rsidRDefault="00EB7D94" w:rsidP="00A52400">
      <w:pPr>
        <w:spacing w:after="160" w:line="259" w:lineRule="auto"/>
        <w:ind w:left="414" w:firstLine="720"/>
        <w:jc w:val="both"/>
        <w:rPr>
          <w:rFonts w:eastAsiaTheme="minorHAnsi"/>
          <w:sz w:val="20"/>
          <w:szCs w:val="20"/>
          <w:u w:val="single"/>
          <w:lang w:eastAsia="en-US"/>
        </w:rPr>
      </w:pPr>
    </w:p>
    <w:p w14:paraId="449D1ADB" w14:textId="279D8AE5" w:rsidR="002A3164" w:rsidRPr="00C5657A" w:rsidRDefault="002A3164" w:rsidP="00A52400">
      <w:pPr>
        <w:spacing w:after="160" w:line="259" w:lineRule="auto"/>
        <w:ind w:left="414" w:firstLine="720"/>
        <w:jc w:val="both"/>
        <w:rPr>
          <w:rFonts w:eastAsiaTheme="minorHAnsi"/>
          <w:sz w:val="20"/>
          <w:szCs w:val="20"/>
          <w:u w:val="single"/>
          <w:lang w:eastAsia="en-US"/>
        </w:rPr>
      </w:pPr>
      <w:r w:rsidRPr="00C5657A">
        <w:rPr>
          <w:rFonts w:eastAsiaTheme="minorHAnsi"/>
          <w:sz w:val="20"/>
          <w:szCs w:val="20"/>
          <w:u w:val="single"/>
          <w:lang w:eastAsia="en-US"/>
        </w:rPr>
        <w:t>Summary of Social Housing Assessments</w:t>
      </w:r>
    </w:p>
    <w:p w14:paraId="5A1C0B30" w14:textId="2D50F4F1" w:rsidR="002A3164" w:rsidRPr="00C5657A" w:rsidRDefault="002A3164" w:rsidP="00A52400">
      <w:pPr>
        <w:spacing w:line="240" w:lineRule="atLeast"/>
        <w:ind w:left="1134" w:right="1134"/>
        <w:jc w:val="both"/>
        <w:rPr>
          <w:sz w:val="20"/>
          <w:szCs w:val="20"/>
        </w:rPr>
      </w:pPr>
      <w:r w:rsidRPr="00C5657A">
        <w:rPr>
          <w:sz w:val="20"/>
          <w:szCs w:val="20"/>
        </w:rPr>
        <w:t xml:space="preserve">The annual statutory Summary of Social Housing Assessments captures the number of households qualified for social housing support across the country whose social housing need is not being met. </w:t>
      </w:r>
    </w:p>
    <w:p w14:paraId="15D1885C" w14:textId="77777777" w:rsidR="00EB7D94" w:rsidRPr="00C5657A" w:rsidRDefault="00EB7D94" w:rsidP="00A52400">
      <w:pPr>
        <w:spacing w:line="240" w:lineRule="atLeast"/>
        <w:ind w:left="1134" w:right="1134"/>
        <w:jc w:val="both"/>
        <w:rPr>
          <w:sz w:val="20"/>
          <w:szCs w:val="20"/>
        </w:rPr>
      </w:pPr>
    </w:p>
    <w:p w14:paraId="00E62328" w14:textId="5854F4A8" w:rsidR="002A3164" w:rsidRPr="00C5657A" w:rsidRDefault="002A3164" w:rsidP="00A52400">
      <w:pPr>
        <w:spacing w:line="240" w:lineRule="atLeast"/>
        <w:ind w:left="1134" w:right="1134"/>
        <w:jc w:val="both"/>
        <w:rPr>
          <w:sz w:val="20"/>
          <w:szCs w:val="20"/>
        </w:rPr>
      </w:pPr>
      <w:r w:rsidRPr="00C5657A">
        <w:rPr>
          <w:sz w:val="20"/>
          <w:szCs w:val="20"/>
        </w:rPr>
        <w:t xml:space="preserve">The most recent Summary, conducted in November 2022, showed that 57,842 households </w:t>
      </w:r>
      <w:r w:rsidR="007074F3">
        <w:rPr>
          <w:sz w:val="20"/>
          <w:szCs w:val="20"/>
        </w:rPr>
        <w:t>qualified for and needed</w:t>
      </w:r>
      <w:r w:rsidRPr="00C5657A">
        <w:rPr>
          <w:sz w:val="20"/>
          <w:szCs w:val="20"/>
        </w:rPr>
        <w:t xml:space="preserve"> social housing support – a decrease of 1,405 households, or 2.4%, on the assessment in November 2021. Since 2016, the numbers have decreased from 91,600 to 57,842, a reduction of 36.8%. </w:t>
      </w:r>
    </w:p>
    <w:p w14:paraId="3A2F2A0F" w14:textId="77777777" w:rsidR="00EB7D94" w:rsidRPr="00C5657A" w:rsidRDefault="00EB7D94" w:rsidP="00A52400">
      <w:pPr>
        <w:spacing w:line="240" w:lineRule="atLeast"/>
        <w:ind w:left="1134" w:right="1134"/>
        <w:jc w:val="both"/>
        <w:rPr>
          <w:sz w:val="20"/>
          <w:szCs w:val="20"/>
        </w:rPr>
      </w:pPr>
    </w:p>
    <w:p w14:paraId="17DF6C88" w14:textId="7BED851A" w:rsidR="002A3164" w:rsidRPr="00C5657A" w:rsidRDefault="002A3164" w:rsidP="00A52400">
      <w:pPr>
        <w:spacing w:line="240" w:lineRule="atLeast"/>
        <w:ind w:left="1134" w:right="1134"/>
        <w:jc w:val="both"/>
        <w:rPr>
          <w:sz w:val="20"/>
          <w:szCs w:val="20"/>
        </w:rPr>
      </w:pPr>
      <w:r w:rsidRPr="00C5657A">
        <w:rPr>
          <w:sz w:val="20"/>
          <w:szCs w:val="20"/>
        </w:rPr>
        <w:t>The Summary includes breakdowns by local authority across a range of categories, including the ‘Household Size’ which provides a granular level of detail regarding the number of persons in each household type, allowing local authorities to plan for the size of dwellings required to meet social housing demand.</w:t>
      </w:r>
    </w:p>
    <w:p w14:paraId="62182C61" w14:textId="77777777" w:rsidR="00EB7D94" w:rsidRPr="00C5657A" w:rsidRDefault="00EB7D94" w:rsidP="00A52400">
      <w:pPr>
        <w:spacing w:line="240" w:lineRule="atLeast"/>
        <w:ind w:left="1134" w:right="1134"/>
        <w:jc w:val="both"/>
        <w:rPr>
          <w:sz w:val="20"/>
          <w:szCs w:val="20"/>
        </w:rPr>
      </w:pPr>
    </w:p>
    <w:p w14:paraId="71535D52" w14:textId="77777777" w:rsidR="002A3164" w:rsidRPr="00C5657A" w:rsidRDefault="002A3164" w:rsidP="00A52400">
      <w:pPr>
        <w:spacing w:line="240" w:lineRule="atLeast"/>
        <w:ind w:left="1134" w:right="1134"/>
        <w:jc w:val="both"/>
        <w:rPr>
          <w:sz w:val="20"/>
          <w:szCs w:val="20"/>
        </w:rPr>
      </w:pPr>
      <w:r w:rsidRPr="00C5657A">
        <w:rPr>
          <w:sz w:val="20"/>
          <w:szCs w:val="20"/>
        </w:rPr>
        <w:t xml:space="preserve">The Summary output helps to inform policy and provides an appropriate and objective basis for setting targets for social housing delivery under </w:t>
      </w:r>
      <w:r w:rsidRPr="007074F3">
        <w:rPr>
          <w:i/>
          <w:sz w:val="20"/>
          <w:szCs w:val="20"/>
        </w:rPr>
        <w:t>Housing for All</w:t>
      </w:r>
      <w:r w:rsidRPr="00C5657A">
        <w:rPr>
          <w:sz w:val="20"/>
          <w:szCs w:val="20"/>
        </w:rPr>
        <w:t>, ensuring the right houses are built, for the right people, in the right places in the coming years.</w:t>
      </w:r>
    </w:p>
    <w:p w14:paraId="262FF5CF" w14:textId="77777777" w:rsidR="002A3164" w:rsidRPr="00C5657A" w:rsidRDefault="002A3164" w:rsidP="00A52400">
      <w:pPr>
        <w:spacing w:line="240" w:lineRule="atLeast"/>
        <w:ind w:left="1134" w:right="1134"/>
        <w:jc w:val="both"/>
        <w:rPr>
          <w:sz w:val="20"/>
          <w:szCs w:val="20"/>
          <w:u w:val="single"/>
        </w:rPr>
      </w:pPr>
    </w:p>
    <w:p w14:paraId="18F5CE5C"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Social housing income eligibility</w:t>
      </w:r>
    </w:p>
    <w:p w14:paraId="25D53888" w14:textId="59C7F4D1" w:rsidR="002A3164" w:rsidRPr="00C5657A" w:rsidRDefault="002A3164" w:rsidP="007074F3">
      <w:pPr>
        <w:spacing w:line="240" w:lineRule="atLeast"/>
        <w:ind w:left="1134" w:right="1134"/>
        <w:jc w:val="both"/>
        <w:rPr>
          <w:sz w:val="20"/>
          <w:szCs w:val="20"/>
        </w:rPr>
      </w:pPr>
      <w:r w:rsidRPr="00C5657A">
        <w:rPr>
          <w:sz w:val="20"/>
          <w:szCs w:val="20"/>
        </w:rPr>
        <w:t>The overarching principle of social housing policy in Ireland is to provide adequate housing support to households unable to provide accommod</w:t>
      </w:r>
      <w:r w:rsidR="007074F3">
        <w:rPr>
          <w:sz w:val="20"/>
          <w:szCs w:val="20"/>
        </w:rPr>
        <w:t xml:space="preserve">ation from their own resources. </w:t>
      </w:r>
      <w:r w:rsidRPr="007074F3">
        <w:rPr>
          <w:i/>
          <w:sz w:val="20"/>
          <w:szCs w:val="20"/>
        </w:rPr>
        <w:t>Housing for All</w:t>
      </w:r>
      <w:r w:rsidRPr="00C5657A">
        <w:rPr>
          <w:sz w:val="20"/>
          <w:szCs w:val="20"/>
        </w:rPr>
        <w:t xml:space="preserve"> committed to reviewing income eligibility for social housing. This review was completed and its recommendations were approved for implementation in mid-2022.</w:t>
      </w:r>
    </w:p>
    <w:p w14:paraId="5223E8D1" w14:textId="08C12229" w:rsidR="00EB7D94" w:rsidRPr="00C5657A" w:rsidRDefault="00EB7D94" w:rsidP="00A52400">
      <w:pPr>
        <w:spacing w:line="240" w:lineRule="atLeast"/>
        <w:ind w:left="1134" w:right="1134"/>
        <w:jc w:val="both"/>
        <w:rPr>
          <w:sz w:val="20"/>
          <w:szCs w:val="20"/>
        </w:rPr>
      </w:pPr>
    </w:p>
    <w:p w14:paraId="482DB1C7" w14:textId="56FFBDA8" w:rsidR="002A3164" w:rsidRPr="00C5657A" w:rsidRDefault="002A3164" w:rsidP="007074F3">
      <w:pPr>
        <w:spacing w:line="240" w:lineRule="atLeast"/>
        <w:ind w:left="1134" w:right="1134"/>
        <w:jc w:val="both"/>
        <w:rPr>
          <w:sz w:val="20"/>
          <w:szCs w:val="20"/>
        </w:rPr>
      </w:pPr>
      <w:r w:rsidRPr="00C5657A">
        <w:rPr>
          <w:sz w:val="20"/>
          <w:szCs w:val="20"/>
        </w:rPr>
        <w:t>On foot of the review, the baseline income eligibility thresholds for five local authorities - Carlow, Clare, Galway County, Laois and Westmeath - were increased from €25,</w:t>
      </w:r>
      <w:r w:rsidR="007074F3">
        <w:rPr>
          <w:sz w:val="20"/>
          <w:szCs w:val="20"/>
        </w:rPr>
        <w:t xml:space="preserve">000 to €30,000 in October 2022. </w:t>
      </w:r>
      <w:r w:rsidRPr="00C5657A">
        <w:rPr>
          <w:sz w:val="20"/>
          <w:szCs w:val="20"/>
        </w:rPr>
        <w:t>A further increase to the baseline thresholds was approved for all local authority areas with effect from 1 January 2023. The thresholds increased by €5,000 to €40,000, €35,000 and €30,000 for bands 1, 2 and 3 respectively.</w:t>
      </w:r>
    </w:p>
    <w:p w14:paraId="4C53C697" w14:textId="77777777" w:rsidR="00EB7D94" w:rsidRPr="00C5657A" w:rsidRDefault="00EB7D94" w:rsidP="00A52400">
      <w:pPr>
        <w:spacing w:line="240" w:lineRule="atLeast"/>
        <w:ind w:left="1134" w:right="1134"/>
        <w:jc w:val="both"/>
        <w:rPr>
          <w:sz w:val="20"/>
          <w:szCs w:val="20"/>
        </w:rPr>
      </w:pPr>
    </w:p>
    <w:p w14:paraId="1C0A086B" w14:textId="29A743C9" w:rsidR="002A3164" w:rsidRPr="00C5657A" w:rsidRDefault="002A3164" w:rsidP="00A52400">
      <w:pPr>
        <w:spacing w:line="240" w:lineRule="atLeast"/>
        <w:ind w:left="1134" w:right="1134"/>
        <w:jc w:val="both"/>
        <w:rPr>
          <w:sz w:val="20"/>
          <w:szCs w:val="20"/>
        </w:rPr>
      </w:pPr>
      <w:r w:rsidRPr="00C5657A">
        <w:rPr>
          <w:sz w:val="20"/>
          <w:szCs w:val="20"/>
        </w:rPr>
        <w:t>Work also commenced to scope options for a new social housing income eligibility model and it is expected that proposals for a new model will be s</w:t>
      </w:r>
      <w:r w:rsidR="00343D34">
        <w:rPr>
          <w:sz w:val="20"/>
          <w:szCs w:val="20"/>
        </w:rPr>
        <w:t>ubmitted for consideration in Q3</w:t>
      </w:r>
      <w:r w:rsidRPr="00C5657A">
        <w:rPr>
          <w:sz w:val="20"/>
          <w:szCs w:val="20"/>
        </w:rPr>
        <w:t xml:space="preserve"> 2023.</w:t>
      </w:r>
    </w:p>
    <w:p w14:paraId="37283DE3" w14:textId="77777777" w:rsidR="00EB7D94" w:rsidRPr="00C5657A" w:rsidRDefault="00EB7D94" w:rsidP="00A52400">
      <w:pPr>
        <w:spacing w:line="240" w:lineRule="atLeast"/>
        <w:ind w:left="1134" w:right="1134"/>
        <w:jc w:val="both"/>
        <w:rPr>
          <w:sz w:val="20"/>
          <w:szCs w:val="20"/>
          <w:u w:val="single"/>
        </w:rPr>
      </w:pPr>
    </w:p>
    <w:p w14:paraId="47F1C4A4" w14:textId="77777777" w:rsidR="002A3164" w:rsidRPr="00C5657A" w:rsidRDefault="002A3164" w:rsidP="00A52400">
      <w:pPr>
        <w:spacing w:line="240" w:lineRule="atLeast"/>
        <w:ind w:left="1134" w:right="1134"/>
        <w:jc w:val="both"/>
        <w:rPr>
          <w:sz w:val="20"/>
          <w:szCs w:val="20"/>
          <w:u w:val="single"/>
        </w:rPr>
      </w:pPr>
      <w:r w:rsidRPr="005325A8">
        <w:rPr>
          <w:i/>
          <w:sz w:val="20"/>
          <w:szCs w:val="20"/>
          <w:u w:val="single"/>
        </w:rPr>
        <w:t>Housing for All</w:t>
      </w:r>
      <w:r w:rsidRPr="00C5657A">
        <w:rPr>
          <w:sz w:val="20"/>
          <w:szCs w:val="20"/>
          <w:u w:val="single"/>
        </w:rPr>
        <w:t xml:space="preserve"> initiatives in support of social housing</w:t>
      </w:r>
    </w:p>
    <w:p w14:paraId="2111A444" w14:textId="15AB702F" w:rsidR="002A3164" w:rsidRPr="00C5657A" w:rsidRDefault="002A3164" w:rsidP="00A52400">
      <w:pPr>
        <w:spacing w:line="240" w:lineRule="atLeast"/>
        <w:ind w:left="1134" w:right="1134"/>
        <w:jc w:val="both"/>
        <w:rPr>
          <w:sz w:val="20"/>
          <w:szCs w:val="20"/>
        </w:rPr>
      </w:pPr>
      <w:r w:rsidRPr="00C5657A">
        <w:rPr>
          <w:sz w:val="20"/>
          <w:szCs w:val="20"/>
        </w:rPr>
        <w:t>Local authorities have mapped land banks available for social and affordable housing</w:t>
      </w:r>
      <w:r w:rsidR="00EB7D94" w:rsidRPr="00C5657A">
        <w:rPr>
          <w:sz w:val="20"/>
          <w:szCs w:val="20"/>
        </w:rPr>
        <w:t xml:space="preserve"> in their local authority area.</w:t>
      </w:r>
      <w:r w:rsidRPr="00C5657A">
        <w:rPr>
          <w:sz w:val="20"/>
          <w:szCs w:val="20"/>
        </w:rPr>
        <w:t xml:space="preserve"> The</w:t>
      </w:r>
      <w:r w:rsidR="007074F3">
        <w:rPr>
          <w:sz w:val="20"/>
          <w:szCs w:val="20"/>
        </w:rPr>
        <w:t xml:space="preserve"> Housing Delivery Action Plans </w:t>
      </w:r>
      <w:r w:rsidRPr="00C5657A">
        <w:rPr>
          <w:sz w:val="20"/>
          <w:szCs w:val="20"/>
        </w:rPr>
        <w:t>include details of the land required to delivery social and affordable housing in the period 2022-2026. The data from these Plans has identified a significant requirement for additional land to meet housing delivery targets. Land requirements will be reviewed on a regular basis having regard to local authority Housing Delivery Action Plans, new land acquisition and the progression of social and affordable housing projects.</w:t>
      </w:r>
    </w:p>
    <w:p w14:paraId="4F7C78F1" w14:textId="77777777" w:rsidR="00EB7D94" w:rsidRPr="00C5657A" w:rsidRDefault="00EB7D94" w:rsidP="00A52400">
      <w:pPr>
        <w:spacing w:line="240" w:lineRule="atLeast"/>
        <w:ind w:left="1134" w:right="1134"/>
        <w:jc w:val="both"/>
        <w:rPr>
          <w:sz w:val="20"/>
          <w:szCs w:val="20"/>
        </w:rPr>
      </w:pPr>
    </w:p>
    <w:p w14:paraId="3CD792A1" w14:textId="71725BDA" w:rsidR="002A3164" w:rsidRPr="00C5657A" w:rsidRDefault="002A3164" w:rsidP="00A52400">
      <w:pPr>
        <w:spacing w:line="240" w:lineRule="atLeast"/>
        <w:ind w:left="1134" w:right="1134"/>
        <w:jc w:val="both"/>
        <w:rPr>
          <w:sz w:val="20"/>
          <w:szCs w:val="20"/>
        </w:rPr>
      </w:pPr>
      <w:r w:rsidRPr="00C5657A">
        <w:rPr>
          <w:sz w:val="20"/>
          <w:szCs w:val="20"/>
        </w:rPr>
        <w:t xml:space="preserve">The Department of Housing, Local Government and Heritage (DHLGH) is progressing a number of proposals that will assist local authorities and Approved Housing Bodies (AHBs) </w:t>
      </w:r>
      <w:r w:rsidRPr="00C5657A">
        <w:rPr>
          <w:sz w:val="20"/>
          <w:szCs w:val="20"/>
        </w:rPr>
        <w:lastRenderedPageBreak/>
        <w:t>in identifying and acquiring suitable land banks. One key initiative is the establishment of a €125m dedicated Land Fund to support local authorities to purchase land required for housing projects. The Housing Agency will be responsible for the day-to-day operation of the Fund. The management of the Fund will be overseen by DHLGH.</w:t>
      </w:r>
    </w:p>
    <w:p w14:paraId="4B3AB574" w14:textId="77777777" w:rsidR="00EB7D94" w:rsidRPr="00C5657A" w:rsidRDefault="00EB7D94" w:rsidP="00A52400">
      <w:pPr>
        <w:spacing w:line="240" w:lineRule="atLeast"/>
        <w:ind w:left="1134" w:right="1134"/>
        <w:jc w:val="both"/>
        <w:rPr>
          <w:sz w:val="20"/>
          <w:szCs w:val="20"/>
        </w:rPr>
      </w:pPr>
    </w:p>
    <w:p w14:paraId="352100BB" w14:textId="703C31AC" w:rsidR="002A3164" w:rsidRPr="00C5657A" w:rsidRDefault="002A3164" w:rsidP="00A52400">
      <w:pPr>
        <w:spacing w:line="240" w:lineRule="atLeast"/>
        <w:ind w:left="1134" w:right="1134"/>
        <w:jc w:val="both"/>
        <w:rPr>
          <w:sz w:val="20"/>
          <w:szCs w:val="20"/>
        </w:rPr>
      </w:pPr>
      <w:r w:rsidRPr="00C5657A">
        <w:rPr>
          <w:sz w:val="20"/>
          <w:szCs w:val="20"/>
        </w:rPr>
        <w:t>Funding of €94m was provided to local authorities to address legacy land debts in December 2022. The provision of this funding was linked to the immediate development of a housing proposal, a commitment to use Modern Methods of Construction (MMC) and to commence construction in 2023 or no later than 2024. Overall, over 30 sites have been identified for accelerated delivery, involving over 1,500 new social homes.</w:t>
      </w:r>
    </w:p>
    <w:p w14:paraId="504A90C4" w14:textId="77777777" w:rsidR="00EB7D94" w:rsidRPr="00C5657A" w:rsidRDefault="00EB7D94" w:rsidP="00A52400">
      <w:pPr>
        <w:spacing w:line="240" w:lineRule="atLeast"/>
        <w:ind w:left="1134" w:right="1134"/>
        <w:jc w:val="both"/>
        <w:rPr>
          <w:sz w:val="20"/>
          <w:szCs w:val="20"/>
        </w:rPr>
      </w:pPr>
    </w:p>
    <w:p w14:paraId="4E25E265" w14:textId="77777777" w:rsidR="002A3164" w:rsidRPr="00C5657A" w:rsidRDefault="002A3164" w:rsidP="00A52400">
      <w:pPr>
        <w:spacing w:line="240" w:lineRule="atLeast"/>
        <w:ind w:left="1134" w:right="1134"/>
        <w:jc w:val="both"/>
        <w:rPr>
          <w:sz w:val="20"/>
          <w:szCs w:val="20"/>
        </w:rPr>
      </w:pPr>
      <w:r w:rsidRPr="00C5657A">
        <w:rPr>
          <w:sz w:val="20"/>
          <w:szCs w:val="20"/>
        </w:rPr>
        <w:t>In December 2022, legislation was introduced to provide for a temporary time-bound measure to allow for accelerated delivery of social and affordable housing on zoned local authority owned land or State land (The Planning and Development and Foreshore (Amendment) Act 2022).</w:t>
      </w:r>
    </w:p>
    <w:p w14:paraId="1E6B1C14" w14:textId="77777777" w:rsidR="002A3164" w:rsidRPr="00C5657A" w:rsidRDefault="002A3164" w:rsidP="00A52400">
      <w:pPr>
        <w:spacing w:line="240" w:lineRule="atLeast"/>
        <w:ind w:left="1134" w:right="1134"/>
        <w:jc w:val="both"/>
        <w:rPr>
          <w:sz w:val="20"/>
          <w:szCs w:val="20"/>
        </w:rPr>
      </w:pPr>
    </w:p>
    <w:p w14:paraId="0E20E783"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Affordable Housing</w:t>
      </w:r>
    </w:p>
    <w:p w14:paraId="1F5E4191" w14:textId="48A9451A" w:rsidR="002A3164" w:rsidRDefault="002A3164" w:rsidP="00A52400">
      <w:pPr>
        <w:spacing w:line="240" w:lineRule="atLeast"/>
        <w:ind w:left="1134" w:right="1134"/>
        <w:jc w:val="both"/>
        <w:rPr>
          <w:sz w:val="20"/>
          <w:szCs w:val="20"/>
        </w:rPr>
      </w:pPr>
      <w:r w:rsidRPr="007074F3">
        <w:rPr>
          <w:i/>
          <w:sz w:val="20"/>
          <w:szCs w:val="20"/>
        </w:rPr>
        <w:t>Housing for All</w:t>
      </w:r>
      <w:r w:rsidRPr="00C5657A">
        <w:rPr>
          <w:sz w:val="20"/>
          <w:szCs w:val="20"/>
        </w:rPr>
        <w:t xml:space="preserve"> aims to increase the supply of private, social and affordable homes to improve affordability for First-time Buyers and renters, as well as expanding social housing. Of the 54,000 total Affordable Homes targeted for delivery up to 2030, 36,000 are Affordable Purchase and 18,000 are Cost Rental. </w:t>
      </w:r>
    </w:p>
    <w:p w14:paraId="20CCD156" w14:textId="77777777" w:rsidR="007074F3" w:rsidRPr="00C5657A" w:rsidRDefault="007074F3" w:rsidP="00A52400">
      <w:pPr>
        <w:spacing w:line="240" w:lineRule="atLeast"/>
        <w:ind w:left="1134" w:right="1134"/>
        <w:jc w:val="both"/>
        <w:rPr>
          <w:sz w:val="20"/>
          <w:szCs w:val="20"/>
        </w:rPr>
      </w:pPr>
    </w:p>
    <w:p w14:paraId="7E061B42" w14:textId="77777777" w:rsidR="002A3164" w:rsidRPr="00C5657A" w:rsidRDefault="002A3164" w:rsidP="00A52400">
      <w:pPr>
        <w:spacing w:line="240" w:lineRule="atLeast"/>
        <w:ind w:left="1134" w:right="1134"/>
        <w:jc w:val="both"/>
        <w:rPr>
          <w:sz w:val="20"/>
          <w:szCs w:val="20"/>
        </w:rPr>
      </w:pPr>
      <w:r w:rsidRPr="00C5657A">
        <w:rPr>
          <w:sz w:val="20"/>
          <w:szCs w:val="20"/>
        </w:rPr>
        <w:t xml:space="preserve">In line with Priority 3.8 of Ireland’s </w:t>
      </w:r>
      <w:r w:rsidRPr="007074F3">
        <w:rPr>
          <w:i/>
          <w:sz w:val="20"/>
          <w:szCs w:val="20"/>
        </w:rPr>
        <w:t>National Recovery and Resilience Plan</w:t>
      </w:r>
      <w:r w:rsidRPr="00C5657A">
        <w:rPr>
          <w:sz w:val="20"/>
          <w:szCs w:val="20"/>
        </w:rPr>
        <w:t xml:space="preserve">, affordable housing supply is a key focus of </w:t>
      </w:r>
      <w:r w:rsidRPr="007074F3">
        <w:rPr>
          <w:i/>
          <w:sz w:val="20"/>
          <w:szCs w:val="20"/>
        </w:rPr>
        <w:t>Housing for All</w:t>
      </w:r>
      <w:r w:rsidRPr="00C5657A">
        <w:rPr>
          <w:sz w:val="20"/>
          <w:szCs w:val="20"/>
        </w:rPr>
        <w:t xml:space="preserve">. The </w:t>
      </w:r>
      <w:r w:rsidRPr="007074F3">
        <w:rPr>
          <w:i/>
          <w:sz w:val="20"/>
          <w:szCs w:val="20"/>
        </w:rPr>
        <w:t>Affordable Housing Act 2021</w:t>
      </w:r>
      <w:r w:rsidRPr="00C5657A">
        <w:rPr>
          <w:sz w:val="20"/>
          <w:szCs w:val="20"/>
        </w:rPr>
        <w:t xml:space="preserve"> and the </w:t>
      </w:r>
      <w:r w:rsidRPr="007074F3">
        <w:rPr>
          <w:i/>
          <w:sz w:val="20"/>
          <w:szCs w:val="20"/>
        </w:rPr>
        <w:t>Land Development Agency Act 2021</w:t>
      </w:r>
      <w:r w:rsidRPr="00C5657A">
        <w:rPr>
          <w:sz w:val="20"/>
          <w:szCs w:val="20"/>
        </w:rPr>
        <w:t xml:space="preserve"> are two important foundations that will enable the delivery of affordable housing. </w:t>
      </w:r>
    </w:p>
    <w:p w14:paraId="4F4126D4" w14:textId="16B046A0" w:rsidR="002A3164" w:rsidRPr="00C5657A" w:rsidRDefault="002A3164" w:rsidP="00EB7D94">
      <w:pPr>
        <w:spacing w:line="240" w:lineRule="atLeast"/>
        <w:ind w:right="1134"/>
        <w:jc w:val="both"/>
        <w:rPr>
          <w:sz w:val="20"/>
          <w:szCs w:val="20"/>
        </w:rPr>
      </w:pPr>
    </w:p>
    <w:p w14:paraId="117B64C4" w14:textId="77777777" w:rsidR="002A3164" w:rsidRPr="00C5657A" w:rsidRDefault="002A3164" w:rsidP="00A52400">
      <w:pPr>
        <w:spacing w:line="240" w:lineRule="atLeast"/>
        <w:ind w:left="1134" w:right="1134"/>
        <w:jc w:val="both"/>
        <w:rPr>
          <w:sz w:val="20"/>
          <w:szCs w:val="20"/>
        </w:rPr>
      </w:pPr>
      <w:r w:rsidRPr="00C5657A">
        <w:rPr>
          <w:sz w:val="20"/>
          <w:szCs w:val="20"/>
        </w:rPr>
        <w:t xml:space="preserve">The </w:t>
      </w:r>
      <w:r w:rsidRPr="007074F3">
        <w:rPr>
          <w:i/>
          <w:sz w:val="20"/>
          <w:szCs w:val="20"/>
        </w:rPr>
        <w:t>Affordable Housing 2021 Act</w:t>
      </w:r>
      <w:r w:rsidRPr="00C5657A">
        <w:rPr>
          <w:sz w:val="20"/>
          <w:szCs w:val="20"/>
        </w:rPr>
        <w:t xml:space="preserve"> provided for:</w:t>
      </w:r>
    </w:p>
    <w:p w14:paraId="45D56D33" w14:textId="100CB143"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The Local Author</w:t>
      </w:r>
      <w:r w:rsidR="007074F3">
        <w:rPr>
          <w:rFonts w:ascii="Times New Roman" w:hAnsi="Times New Roman" w:cs="Times New Roman"/>
          <w:sz w:val="20"/>
          <w:szCs w:val="20"/>
        </w:rPr>
        <w:t>ity Affordable Purchase Scheme:</w:t>
      </w:r>
      <w:r w:rsidRPr="00C5657A">
        <w:rPr>
          <w:rFonts w:ascii="Times New Roman" w:hAnsi="Times New Roman" w:cs="Times New Roman"/>
          <w:sz w:val="20"/>
          <w:szCs w:val="20"/>
        </w:rPr>
        <w:t xml:space="preserve"> to implement a shared equity model to support affordability constrained First-time Buyer households purchasing newly constructed houses on publicly owned lands.</w:t>
      </w:r>
    </w:p>
    <w:p w14:paraId="27CB07A2" w14:textId="68212168"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The F</w:t>
      </w:r>
      <w:r w:rsidR="007074F3">
        <w:rPr>
          <w:rFonts w:ascii="Times New Roman" w:hAnsi="Times New Roman" w:cs="Times New Roman"/>
          <w:sz w:val="20"/>
          <w:szCs w:val="20"/>
        </w:rPr>
        <w:t>irst Home shared equity scheme:</w:t>
      </w:r>
      <w:r w:rsidRPr="00C5657A">
        <w:rPr>
          <w:rFonts w:ascii="Times New Roman" w:hAnsi="Times New Roman" w:cs="Times New Roman"/>
          <w:sz w:val="20"/>
          <w:szCs w:val="20"/>
        </w:rPr>
        <w:t xml:space="preserve"> a strategic partnership with participating retail banks funded on a 50:50 </w:t>
      </w:r>
      <w:proofErr w:type="gramStart"/>
      <w:r w:rsidRPr="00C5657A">
        <w:rPr>
          <w:rFonts w:ascii="Times New Roman" w:hAnsi="Times New Roman" w:cs="Times New Roman"/>
          <w:sz w:val="20"/>
          <w:szCs w:val="20"/>
        </w:rPr>
        <w:t>basis</w:t>
      </w:r>
      <w:proofErr w:type="gramEnd"/>
      <w:r w:rsidRPr="00C5657A">
        <w:rPr>
          <w:rFonts w:ascii="Times New Roman" w:hAnsi="Times New Roman" w:cs="Times New Roman"/>
          <w:sz w:val="20"/>
          <w:szCs w:val="20"/>
        </w:rPr>
        <w:t xml:space="preserve">, to support 8,000 new homes purchased on the private market. </w:t>
      </w:r>
    </w:p>
    <w:p w14:paraId="32F09DFB" w14:textId="2792A0F3"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Cost</w:t>
      </w:r>
      <w:r w:rsidR="007074F3">
        <w:rPr>
          <w:rFonts w:ascii="Times New Roman" w:hAnsi="Times New Roman" w:cs="Times New Roman"/>
          <w:sz w:val="20"/>
          <w:szCs w:val="20"/>
        </w:rPr>
        <w:t xml:space="preserve"> Rental </w:t>
      </w:r>
      <w:proofErr w:type="gramStart"/>
      <w:r w:rsidR="007074F3">
        <w:rPr>
          <w:rFonts w:ascii="Times New Roman" w:hAnsi="Times New Roman" w:cs="Times New Roman"/>
          <w:sz w:val="20"/>
          <w:szCs w:val="20"/>
        </w:rPr>
        <w:t>tenancies:</w:t>
      </w:r>
      <w:r w:rsidRPr="00C5657A">
        <w:rPr>
          <w:rFonts w:ascii="Times New Roman" w:hAnsi="Times New Roman" w:cs="Times New Roman"/>
          <w:sz w:val="20"/>
          <w:szCs w:val="20"/>
        </w:rPr>
        <w:t>-</w:t>
      </w:r>
      <w:proofErr w:type="gramEnd"/>
      <w:r w:rsidRPr="00C5657A">
        <w:rPr>
          <w:rFonts w:ascii="Times New Roman" w:hAnsi="Times New Roman" w:cs="Times New Roman"/>
          <w:sz w:val="20"/>
          <w:szCs w:val="20"/>
        </w:rPr>
        <w:t xml:space="preserve"> providing lower-cost, more secure renting options to affordability-constrained households that earn too much to be eligible for social housing (max Net Income of €53,000).</w:t>
      </w:r>
    </w:p>
    <w:p w14:paraId="53E96EA3" w14:textId="77777777"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A higher required contribution of the land value gain from residential zoning (described as higher Part V requirements). Specifically, 10% of the value gain from residential land zoning must be used to provide social housing and 10% must be used to provide affordable homes.</w:t>
      </w:r>
    </w:p>
    <w:p w14:paraId="40182C15" w14:textId="77777777" w:rsidR="007074F3" w:rsidRPr="007074F3" w:rsidRDefault="007074F3" w:rsidP="007074F3">
      <w:pPr>
        <w:spacing w:line="240" w:lineRule="atLeast"/>
        <w:ind w:left="1134" w:right="1134"/>
        <w:jc w:val="both"/>
        <w:rPr>
          <w:sz w:val="20"/>
          <w:szCs w:val="20"/>
          <w:u w:val="single"/>
        </w:rPr>
      </w:pPr>
    </w:p>
    <w:p w14:paraId="3D4655DB" w14:textId="65ECC0E2" w:rsidR="002A3164" w:rsidRPr="007074F3" w:rsidRDefault="002A3164" w:rsidP="007074F3">
      <w:pPr>
        <w:spacing w:line="240" w:lineRule="atLeast"/>
        <w:ind w:left="1134" w:right="1134"/>
        <w:jc w:val="both"/>
        <w:rPr>
          <w:sz w:val="20"/>
          <w:szCs w:val="20"/>
        </w:rPr>
      </w:pPr>
      <w:r w:rsidRPr="007074F3">
        <w:rPr>
          <w:sz w:val="20"/>
          <w:szCs w:val="20"/>
        </w:rPr>
        <w:t>The Land Development Agency was established as a C</w:t>
      </w:r>
      <w:r w:rsidR="007074F3" w:rsidRPr="007074F3">
        <w:rPr>
          <w:sz w:val="20"/>
          <w:szCs w:val="20"/>
        </w:rPr>
        <w:t xml:space="preserve">ommercial State-owned Body for, </w:t>
      </w:r>
      <w:r w:rsidRPr="007074F3">
        <w:rPr>
          <w:sz w:val="20"/>
          <w:szCs w:val="20"/>
        </w:rPr>
        <w:t xml:space="preserve">among other things, the following housing affordability purposes: </w:t>
      </w:r>
    </w:p>
    <w:p w14:paraId="4E5888F3" w14:textId="77777777"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to enable urgent measures to be taken to increase the supply of housing in the State and in particular, affordable and social housing;</w:t>
      </w:r>
    </w:p>
    <w:p w14:paraId="358ABCAD" w14:textId="77777777"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to ensure that public land which is not being utilised or is under-utilised is made available for housing in the State; and</w:t>
      </w:r>
    </w:p>
    <w:p w14:paraId="26750FFE" w14:textId="77777777" w:rsidR="002A3164" w:rsidRPr="00C5657A" w:rsidRDefault="002A3164" w:rsidP="00EC6275">
      <w:pPr>
        <w:pStyle w:val="ListParagraph"/>
        <w:numPr>
          <w:ilvl w:val="0"/>
          <w:numId w:val="19"/>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to combat the long-term housing shortage and to increase access to housing in the State.</w:t>
      </w:r>
    </w:p>
    <w:p w14:paraId="73F34043" w14:textId="77777777" w:rsidR="002A3164" w:rsidRPr="00C5657A" w:rsidRDefault="002A3164" w:rsidP="00A52400">
      <w:pPr>
        <w:spacing w:line="240" w:lineRule="atLeast"/>
        <w:ind w:left="1134" w:right="1134"/>
        <w:jc w:val="both"/>
        <w:rPr>
          <w:sz w:val="20"/>
          <w:szCs w:val="20"/>
          <w:u w:val="single"/>
        </w:rPr>
      </w:pPr>
    </w:p>
    <w:p w14:paraId="55F544FF"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Progress on Delivery of Affordable Homes</w:t>
      </w:r>
    </w:p>
    <w:p w14:paraId="14FC8334" w14:textId="5956C32B" w:rsidR="002A3164" w:rsidRPr="00C5657A" w:rsidRDefault="002A3164" w:rsidP="00A52400">
      <w:pPr>
        <w:spacing w:line="240" w:lineRule="atLeast"/>
        <w:ind w:left="1134" w:right="1134"/>
        <w:jc w:val="both"/>
        <w:rPr>
          <w:sz w:val="20"/>
          <w:szCs w:val="20"/>
        </w:rPr>
      </w:pPr>
      <w:r w:rsidRPr="00C5657A">
        <w:rPr>
          <w:sz w:val="20"/>
          <w:szCs w:val="20"/>
        </w:rPr>
        <w:t xml:space="preserve">As of 2022 year-end, local authorities have advertised 471 affordable purchase homes in 11 different schemes in Waterford, Westmeath, Wicklow, South Dublin, Fingal, Cork City and Cork County. </w:t>
      </w:r>
    </w:p>
    <w:p w14:paraId="43055CDE" w14:textId="77777777" w:rsidR="00EB7D94" w:rsidRPr="00C5657A" w:rsidRDefault="00EB7D94" w:rsidP="00A52400">
      <w:pPr>
        <w:spacing w:line="240" w:lineRule="atLeast"/>
        <w:ind w:left="1134" w:right="1134"/>
        <w:jc w:val="both"/>
        <w:rPr>
          <w:sz w:val="20"/>
          <w:szCs w:val="20"/>
        </w:rPr>
      </w:pPr>
    </w:p>
    <w:p w14:paraId="36422614" w14:textId="77777777" w:rsidR="002A3164" w:rsidRPr="00C5657A" w:rsidRDefault="002A3164" w:rsidP="00A52400">
      <w:pPr>
        <w:spacing w:line="240" w:lineRule="atLeast"/>
        <w:ind w:left="1134" w:right="1134"/>
        <w:jc w:val="both"/>
        <w:rPr>
          <w:sz w:val="20"/>
          <w:szCs w:val="20"/>
        </w:rPr>
      </w:pPr>
      <w:r w:rsidRPr="00C5657A">
        <w:rPr>
          <w:sz w:val="20"/>
          <w:szCs w:val="20"/>
        </w:rPr>
        <w:t xml:space="preserve">Part 4 of the Affordable Housing Act 2021 provides the basis for the establishment of the First Home shared equity scheme.  This scheme was launched on 7 July 2022 and, as of the end of 2022, 1,004 completed applications were submitted, 750 applications had been </w:t>
      </w:r>
      <w:r w:rsidRPr="00C5657A">
        <w:rPr>
          <w:sz w:val="20"/>
          <w:szCs w:val="20"/>
        </w:rPr>
        <w:lastRenderedPageBreak/>
        <w:t>approved, and 137 drawdowns of funds had been made. Circa 8,000 equity supports through this scheme are targeted by 2025.</w:t>
      </w:r>
    </w:p>
    <w:p w14:paraId="22BB8BFC" w14:textId="77777777" w:rsidR="002A3164" w:rsidRPr="00C5657A" w:rsidRDefault="002A3164" w:rsidP="00A52400">
      <w:pPr>
        <w:spacing w:line="240" w:lineRule="atLeast"/>
        <w:ind w:left="1134" w:right="1134"/>
        <w:jc w:val="both"/>
        <w:rPr>
          <w:sz w:val="20"/>
          <w:szCs w:val="20"/>
          <w:u w:val="single"/>
        </w:rPr>
      </w:pPr>
    </w:p>
    <w:p w14:paraId="0FF5F74D" w14:textId="77777777" w:rsidR="002A3164" w:rsidRPr="00C5657A" w:rsidRDefault="002A3164" w:rsidP="00A52400">
      <w:pPr>
        <w:spacing w:line="240" w:lineRule="atLeast"/>
        <w:ind w:left="1134" w:right="1134"/>
        <w:jc w:val="both"/>
        <w:rPr>
          <w:sz w:val="20"/>
          <w:szCs w:val="20"/>
          <w:u w:val="single"/>
        </w:rPr>
      </w:pPr>
      <w:r w:rsidRPr="007074F3">
        <w:rPr>
          <w:i/>
          <w:sz w:val="20"/>
          <w:szCs w:val="20"/>
          <w:u w:val="single"/>
        </w:rPr>
        <w:t>Housing for All</w:t>
      </w:r>
      <w:r w:rsidRPr="00C5657A">
        <w:rPr>
          <w:sz w:val="20"/>
          <w:szCs w:val="20"/>
          <w:u w:val="single"/>
        </w:rPr>
        <w:t xml:space="preserve"> initiatives in support of affordable housing</w:t>
      </w:r>
    </w:p>
    <w:p w14:paraId="6A1CF3A7" w14:textId="401E0B92" w:rsidR="002A3164" w:rsidRPr="00C5657A" w:rsidRDefault="002A3164" w:rsidP="00A52400">
      <w:pPr>
        <w:spacing w:line="240" w:lineRule="atLeast"/>
        <w:ind w:left="1134" w:right="1134"/>
        <w:jc w:val="both"/>
        <w:rPr>
          <w:sz w:val="20"/>
          <w:szCs w:val="20"/>
        </w:rPr>
      </w:pPr>
      <w:r w:rsidRPr="00C5657A">
        <w:rPr>
          <w:sz w:val="20"/>
          <w:szCs w:val="20"/>
        </w:rPr>
        <w:t xml:space="preserve">The Government has recently approved funding increases under the Cost Rental Equity Loan for AHBs (from max 30% of costs to sliding scale 45%) and the Affordable Housing Fund for local authorities (from €100,000 to €150,000) to help address viability challenges caused by increasing interest rates and construction costs. </w:t>
      </w:r>
    </w:p>
    <w:p w14:paraId="5BAEA57F" w14:textId="77777777" w:rsidR="00EB7D94" w:rsidRPr="00C5657A" w:rsidRDefault="00EB7D94" w:rsidP="00A52400">
      <w:pPr>
        <w:spacing w:line="240" w:lineRule="atLeast"/>
        <w:ind w:left="1134" w:right="1134"/>
        <w:jc w:val="both"/>
        <w:rPr>
          <w:sz w:val="20"/>
          <w:szCs w:val="20"/>
        </w:rPr>
      </w:pPr>
    </w:p>
    <w:p w14:paraId="73BC2DB9" w14:textId="3F7878A0" w:rsidR="002A3164" w:rsidRPr="00C5657A" w:rsidRDefault="002A3164" w:rsidP="00A52400">
      <w:pPr>
        <w:spacing w:line="240" w:lineRule="atLeast"/>
        <w:ind w:left="1134" w:right="1134"/>
        <w:jc w:val="both"/>
        <w:rPr>
          <w:sz w:val="20"/>
          <w:szCs w:val="20"/>
        </w:rPr>
      </w:pPr>
      <w:r w:rsidRPr="00C5657A">
        <w:rPr>
          <w:sz w:val="20"/>
          <w:szCs w:val="20"/>
        </w:rPr>
        <w:t>New regional price ceilings were introduced for the First Home shared equity scheme, effective from 1 January 2023, which are primarily intended to make the scheme more relevant in rural local authority areas.</w:t>
      </w:r>
    </w:p>
    <w:p w14:paraId="0BB85B1C" w14:textId="77777777" w:rsidR="00EB7D94" w:rsidRPr="00C5657A" w:rsidRDefault="00EB7D94" w:rsidP="00A52400">
      <w:pPr>
        <w:spacing w:line="240" w:lineRule="atLeast"/>
        <w:ind w:left="1134" w:right="1134"/>
        <w:jc w:val="both"/>
        <w:rPr>
          <w:sz w:val="20"/>
          <w:szCs w:val="20"/>
        </w:rPr>
      </w:pPr>
    </w:p>
    <w:p w14:paraId="15330D2B" w14:textId="77777777" w:rsidR="002A3164" w:rsidRPr="00C5657A" w:rsidRDefault="002A3164" w:rsidP="00A52400">
      <w:pPr>
        <w:spacing w:line="240" w:lineRule="atLeast"/>
        <w:ind w:left="1134" w:right="1134"/>
        <w:jc w:val="both"/>
        <w:rPr>
          <w:sz w:val="20"/>
          <w:szCs w:val="20"/>
        </w:rPr>
      </w:pPr>
      <w:r w:rsidRPr="00C5657A">
        <w:rPr>
          <w:sz w:val="20"/>
          <w:szCs w:val="20"/>
        </w:rPr>
        <w:t>Higher income limits of €70,000 gross per annum for single applicants and €85,000 gross per annum for joint applicants have been incorporated into the Local Authority Home Loan from 1 March 2023. This scheme primarily supports households that cannot secure sufficient mortgages from commercial banks when purchasing new or previously-owned homes.</w:t>
      </w:r>
    </w:p>
    <w:p w14:paraId="628CE0F1" w14:textId="77777777" w:rsidR="002A3164" w:rsidRPr="00C5657A" w:rsidRDefault="002A3164" w:rsidP="00A52400">
      <w:pPr>
        <w:spacing w:line="240" w:lineRule="atLeast"/>
        <w:ind w:left="1134" w:right="1134"/>
        <w:jc w:val="both"/>
        <w:rPr>
          <w:sz w:val="20"/>
          <w:szCs w:val="20"/>
        </w:rPr>
      </w:pPr>
    </w:p>
    <w:p w14:paraId="519E71D7"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Housing Supports</w:t>
      </w:r>
    </w:p>
    <w:p w14:paraId="086001CC" w14:textId="77777777" w:rsidR="002A3164" w:rsidRPr="00C5657A" w:rsidRDefault="002A3164" w:rsidP="00A52400">
      <w:pPr>
        <w:spacing w:line="240" w:lineRule="atLeast"/>
        <w:ind w:left="1134" w:right="1134"/>
        <w:jc w:val="both"/>
        <w:rPr>
          <w:sz w:val="20"/>
          <w:szCs w:val="20"/>
        </w:rPr>
      </w:pPr>
      <w:r w:rsidRPr="00C5657A">
        <w:rPr>
          <w:sz w:val="20"/>
          <w:szCs w:val="20"/>
        </w:rPr>
        <w:t>The Housing Assistance Payment (HAP) scheme is a flexible and immediate housing support that is available to all eligible households with a long-term housing need. At end Q3 2022, over 106,700 HAP tenancies have been set-up since the scheme commenced, with almost 59,700 active tenancies being supported under the HAP Scheme.</w:t>
      </w:r>
    </w:p>
    <w:p w14:paraId="6631A821" w14:textId="77777777" w:rsidR="002A3164" w:rsidRPr="00C5657A" w:rsidRDefault="002A3164" w:rsidP="00A52400">
      <w:pPr>
        <w:spacing w:line="240" w:lineRule="atLeast"/>
        <w:ind w:left="1134" w:right="1134"/>
        <w:jc w:val="both"/>
        <w:rPr>
          <w:sz w:val="20"/>
          <w:szCs w:val="20"/>
        </w:rPr>
      </w:pPr>
    </w:p>
    <w:p w14:paraId="1A0BDC99" w14:textId="07D86FE4" w:rsidR="002A3164" w:rsidRPr="00C5657A" w:rsidRDefault="007074F3" w:rsidP="00A52400">
      <w:pPr>
        <w:spacing w:line="240" w:lineRule="atLeast"/>
        <w:ind w:left="1134" w:right="1134"/>
        <w:jc w:val="both"/>
        <w:rPr>
          <w:sz w:val="20"/>
          <w:szCs w:val="20"/>
          <w:u w:val="single"/>
        </w:rPr>
      </w:pPr>
      <w:r>
        <w:rPr>
          <w:sz w:val="20"/>
          <w:szCs w:val="20"/>
          <w:u w:val="single"/>
        </w:rPr>
        <w:t>Homeless HAP</w:t>
      </w:r>
    </w:p>
    <w:p w14:paraId="541A8E8E" w14:textId="77777777" w:rsidR="002A3164" w:rsidRPr="00C5657A" w:rsidRDefault="002A3164" w:rsidP="00A52400">
      <w:pPr>
        <w:spacing w:line="240" w:lineRule="atLeast"/>
        <w:ind w:left="1134" w:right="1134"/>
        <w:jc w:val="both"/>
        <w:rPr>
          <w:sz w:val="20"/>
          <w:szCs w:val="20"/>
        </w:rPr>
      </w:pPr>
      <w:r w:rsidRPr="00C5657A">
        <w:rPr>
          <w:sz w:val="20"/>
          <w:szCs w:val="20"/>
        </w:rPr>
        <w:t>The Homeless HAP Place Finder Service is a targeted support for homeless households or households who are at risk of homelessness, and who are finding it difficult to secure HAP tenancies. Households are supported to identify and secure a tenancy in private rented accommodation, including through the payment of deposits and up to two months’ rent, where necessary.</w:t>
      </w:r>
    </w:p>
    <w:p w14:paraId="19DBC78A" w14:textId="77777777" w:rsidR="002A3164" w:rsidRPr="00C5657A" w:rsidRDefault="002A3164" w:rsidP="00A52400">
      <w:pPr>
        <w:spacing w:line="240" w:lineRule="atLeast"/>
        <w:ind w:left="1134" w:right="1134"/>
        <w:jc w:val="both"/>
        <w:rPr>
          <w:sz w:val="20"/>
          <w:szCs w:val="20"/>
        </w:rPr>
      </w:pPr>
    </w:p>
    <w:p w14:paraId="1F82A677"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Increased HAP Discretion</w:t>
      </w:r>
    </w:p>
    <w:p w14:paraId="7238F8F2" w14:textId="6098F2A2" w:rsidR="002A3164" w:rsidRPr="00C5657A" w:rsidRDefault="002A3164" w:rsidP="00A52400">
      <w:pPr>
        <w:spacing w:line="240" w:lineRule="atLeast"/>
        <w:ind w:left="1134" w:right="1134"/>
        <w:jc w:val="both"/>
        <w:rPr>
          <w:sz w:val="20"/>
          <w:szCs w:val="20"/>
        </w:rPr>
      </w:pPr>
      <w:r w:rsidRPr="00C5657A">
        <w:rPr>
          <w:sz w:val="20"/>
          <w:szCs w:val="20"/>
        </w:rPr>
        <w:t xml:space="preserve">Each local authority now has statutory discretion to agree to a HAP payment up to 35% (in place since 11 July 2022) above the prescribed maximum rent limit to secure appropriate accommodation for a household that requires it, or up to 50% in the case of homeless households in the Dublin region.  The additional discretion available to homeless households recognises the difficulty this cohort of households </w:t>
      </w:r>
      <w:proofErr w:type="gramStart"/>
      <w:r w:rsidRPr="00C5657A">
        <w:rPr>
          <w:sz w:val="20"/>
          <w:szCs w:val="20"/>
        </w:rPr>
        <w:t>face</w:t>
      </w:r>
      <w:proofErr w:type="gramEnd"/>
      <w:r w:rsidRPr="00C5657A">
        <w:rPr>
          <w:sz w:val="20"/>
          <w:szCs w:val="20"/>
        </w:rPr>
        <w:t xml:space="preserve"> in sourcing and securing properties in a highly competitive rental market. Local authorities can also apply a couple rate to a single person household for new tenancies, where required, in recognition of the shared one-bed need.</w:t>
      </w:r>
    </w:p>
    <w:p w14:paraId="66A11913" w14:textId="77777777" w:rsidR="00EB7D94" w:rsidRPr="00C5657A" w:rsidRDefault="00EB7D94" w:rsidP="00A52400">
      <w:pPr>
        <w:spacing w:line="240" w:lineRule="atLeast"/>
        <w:ind w:left="1134" w:right="1134"/>
        <w:jc w:val="both"/>
        <w:rPr>
          <w:sz w:val="20"/>
          <w:szCs w:val="20"/>
        </w:rPr>
      </w:pPr>
    </w:p>
    <w:p w14:paraId="0EB35454" w14:textId="687E8878" w:rsidR="002A3164" w:rsidRPr="00C5657A" w:rsidRDefault="002A3164" w:rsidP="00A52400">
      <w:pPr>
        <w:spacing w:line="240" w:lineRule="atLeast"/>
        <w:ind w:left="1134" w:right="1134"/>
        <w:jc w:val="both"/>
        <w:rPr>
          <w:sz w:val="20"/>
          <w:szCs w:val="20"/>
        </w:rPr>
      </w:pPr>
      <w:r w:rsidRPr="00C5657A">
        <w:rPr>
          <w:sz w:val="20"/>
          <w:szCs w:val="20"/>
        </w:rPr>
        <w:t>At the end of Q3 2022, approximately 61.8% of the total number of households supported by HAP were benefiting from the additional flexibility to exceed the maximum rent limits. When the additional discretion available to homeless households in the Dublin Region is disregarded, 56.0% of households nationally were benefiting from the additional flexibility. In those cases, the average rate of discretionary payment used was 19.1% above rent limits provided.</w:t>
      </w:r>
    </w:p>
    <w:p w14:paraId="5946429A" w14:textId="77777777" w:rsidR="00EB7D94" w:rsidRPr="00C5657A" w:rsidRDefault="00EB7D94" w:rsidP="00A52400">
      <w:pPr>
        <w:spacing w:line="240" w:lineRule="atLeast"/>
        <w:ind w:left="1134" w:right="1134"/>
        <w:jc w:val="both"/>
        <w:rPr>
          <w:sz w:val="20"/>
          <w:szCs w:val="20"/>
        </w:rPr>
      </w:pPr>
    </w:p>
    <w:p w14:paraId="10B6CA19" w14:textId="6CC7E1DD" w:rsidR="002A3164" w:rsidRPr="00C5657A" w:rsidRDefault="002A3164" w:rsidP="00A52400">
      <w:pPr>
        <w:spacing w:line="240" w:lineRule="atLeast"/>
        <w:ind w:left="1134" w:right="1134"/>
        <w:jc w:val="both"/>
        <w:rPr>
          <w:sz w:val="20"/>
          <w:szCs w:val="20"/>
          <w:u w:val="single"/>
        </w:rPr>
      </w:pPr>
      <w:r w:rsidRPr="00C5657A">
        <w:rPr>
          <w:sz w:val="20"/>
          <w:szCs w:val="20"/>
          <w:u w:val="single"/>
        </w:rPr>
        <w:t>HAP Debt Management Process and C</w:t>
      </w:r>
      <w:r w:rsidR="00FE1614">
        <w:rPr>
          <w:sz w:val="20"/>
          <w:szCs w:val="20"/>
          <w:u w:val="single"/>
        </w:rPr>
        <w:t>OVID-19</w:t>
      </w:r>
    </w:p>
    <w:p w14:paraId="4F73E1AB" w14:textId="183973D0" w:rsidR="002A3164" w:rsidRPr="00C5657A" w:rsidRDefault="002A3164" w:rsidP="00A52400">
      <w:pPr>
        <w:spacing w:line="240" w:lineRule="atLeast"/>
        <w:ind w:left="1134" w:right="1134"/>
        <w:jc w:val="both"/>
        <w:rPr>
          <w:sz w:val="20"/>
          <w:szCs w:val="20"/>
        </w:rPr>
      </w:pPr>
      <w:r w:rsidRPr="00C5657A">
        <w:rPr>
          <w:sz w:val="20"/>
          <w:szCs w:val="20"/>
        </w:rPr>
        <w:t xml:space="preserve">Tenants in the HAP scheme are required to sign a rent contribution agreement to pay a weekly rental contribution to the relevant local authority, in line with the local authority’s differential rent scheme. As set out in the rent contribution agreement, this weekly rental contribution must be paid so that they remain eligible for the HAP scheme. </w:t>
      </w:r>
    </w:p>
    <w:p w14:paraId="6F1CB70B" w14:textId="77777777" w:rsidR="00EB7D94" w:rsidRPr="00C5657A" w:rsidRDefault="00EB7D94" w:rsidP="00A52400">
      <w:pPr>
        <w:spacing w:line="240" w:lineRule="atLeast"/>
        <w:ind w:left="1134" w:right="1134"/>
        <w:jc w:val="both"/>
        <w:rPr>
          <w:sz w:val="20"/>
          <w:szCs w:val="20"/>
        </w:rPr>
      </w:pPr>
    </w:p>
    <w:p w14:paraId="2BA54CFE" w14:textId="015DDDD3" w:rsidR="002A3164" w:rsidRPr="00C5657A" w:rsidRDefault="002A3164" w:rsidP="00A52400">
      <w:pPr>
        <w:spacing w:line="240" w:lineRule="atLeast"/>
        <w:ind w:left="1134" w:right="1134"/>
        <w:jc w:val="both"/>
        <w:rPr>
          <w:sz w:val="20"/>
          <w:szCs w:val="20"/>
        </w:rPr>
      </w:pPr>
      <w:r w:rsidRPr="00C5657A">
        <w:rPr>
          <w:sz w:val="20"/>
          <w:szCs w:val="20"/>
        </w:rPr>
        <w:t xml:space="preserve">Limerick City and County Council provides a highly effective HAP transactional shared service on behalf of all local authorities. This HAP Shared Services Centre (SSC) manages all HAP-related rental transactions for the tenant, local authority and landlord. </w:t>
      </w:r>
    </w:p>
    <w:p w14:paraId="09138D6B" w14:textId="77777777" w:rsidR="00EB7D94" w:rsidRPr="00C5657A" w:rsidRDefault="00EB7D94" w:rsidP="00A52400">
      <w:pPr>
        <w:spacing w:line="240" w:lineRule="atLeast"/>
        <w:ind w:left="1134" w:right="1134"/>
        <w:jc w:val="both"/>
        <w:rPr>
          <w:sz w:val="20"/>
          <w:szCs w:val="20"/>
        </w:rPr>
      </w:pPr>
    </w:p>
    <w:p w14:paraId="7F876703" w14:textId="0BDC217E" w:rsidR="002A3164" w:rsidRPr="00C5657A" w:rsidRDefault="002A3164" w:rsidP="00A52400">
      <w:pPr>
        <w:spacing w:line="240" w:lineRule="atLeast"/>
        <w:ind w:left="1134" w:right="1134"/>
        <w:jc w:val="both"/>
        <w:rPr>
          <w:sz w:val="20"/>
          <w:szCs w:val="20"/>
        </w:rPr>
      </w:pPr>
      <w:r w:rsidRPr="00C5657A">
        <w:rPr>
          <w:sz w:val="20"/>
          <w:szCs w:val="20"/>
        </w:rPr>
        <w:lastRenderedPageBreak/>
        <w:t>The approach taken by the HAP SSC has been very effective with minimal levels of rent arrears arising for tenants. At Q3 2022, the scheme had a 99% differential rent collection rate. Therefore, only a very small number of tenants have fallen into difficulty with their differential rent.</w:t>
      </w:r>
    </w:p>
    <w:p w14:paraId="16FD9C4B" w14:textId="77777777" w:rsidR="00EB7D94" w:rsidRPr="00C5657A" w:rsidRDefault="00EB7D94" w:rsidP="00A52400">
      <w:pPr>
        <w:spacing w:line="240" w:lineRule="atLeast"/>
        <w:ind w:left="1134" w:right="1134"/>
        <w:jc w:val="both"/>
        <w:rPr>
          <w:sz w:val="20"/>
          <w:szCs w:val="20"/>
        </w:rPr>
      </w:pPr>
    </w:p>
    <w:p w14:paraId="61BD9A17" w14:textId="27D75463" w:rsidR="002A3164" w:rsidRPr="00C5657A" w:rsidRDefault="002A3164" w:rsidP="00FE1614">
      <w:pPr>
        <w:spacing w:line="240" w:lineRule="atLeast"/>
        <w:ind w:left="1134" w:right="1134"/>
        <w:jc w:val="both"/>
        <w:rPr>
          <w:sz w:val="20"/>
          <w:szCs w:val="20"/>
        </w:rPr>
      </w:pPr>
      <w:r w:rsidRPr="00C5657A">
        <w:rPr>
          <w:sz w:val="20"/>
          <w:szCs w:val="20"/>
        </w:rPr>
        <w:t xml:space="preserve">During the </w:t>
      </w:r>
      <w:r w:rsidR="00FE1614">
        <w:rPr>
          <w:sz w:val="20"/>
          <w:szCs w:val="20"/>
        </w:rPr>
        <w:t>COVID pandemic</w:t>
      </w:r>
      <w:r w:rsidRPr="00C5657A">
        <w:rPr>
          <w:sz w:val="20"/>
          <w:szCs w:val="20"/>
        </w:rPr>
        <w:t xml:space="preserve">, the HAP Debt Management Process (DMP) was suspended from March 2020. It partially re-commenced in October 2020. This meant non-payment of differential rent by a tenant during that time did not affect payments to HAP landlords. Tenants were, however, expected to continue to pay their rent with supports available for those financially impacted by </w:t>
      </w:r>
      <w:r w:rsidR="00FE1614">
        <w:rPr>
          <w:sz w:val="20"/>
          <w:szCs w:val="20"/>
        </w:rPr>
        <w:t xml:space="preserve">COVID. </w:t>
      </w:r>
      <w:r w:rsidRPr="00C5657A">
        <w:rPr>
          <w:sz w:val="20"/>
          <w:szCs w:val="20"/>
        </w:rPr>
        <w:t>Following the successful roll out of the</w:t>
      </w:r>
      <w:r w:rsidR="00FE1614">
        <w:rPr>
          <w:sz w:val="20"/>
          <w:szCs w:val="20"/>
        </w:rPr>
        <w:t xml:space="preserve"> COVID</w:t>
      </w:r>
      <w:r w:rsidRPr="00C5657A">
        <w:rPr>
          <w:sz w:val="20"/>
          <w:szCs w:val="20"/>
        </w:rPr>
        <w:t xml:space="preserve"> vaccine programme and the reopening of society, the normal DMP was reinstated from 6 September 2021.</w:t>
      </w:r>
    </w:p>
    <w:p w14:paraId="3A6ECCC9" w14:textId="77777777" w:rsidR="00EB7D94" w:rsidRPr="00C5657A" w:rsidRDefault="00EB7D94" w:rsidP="00A52400">
      <w:pPr>
        <w:spacing w:line="240" w:lineRule="atLeast"/>
        <w:ind w:left="1134" w:right="1134"/>
        <w:jc w:val="both"/>
        <w:rPr>
          <w:sz w:val="20"/>
          <w:szCs w:val="20"/>
        </w:rPr>
      </w:pPr>
    </w:p>
    <w:p w14:paraId="41CD5DE4" w14:textId="1ACA1624" w:rsidR="002A3164" w:rsidRPr="00C5657A" w:rsidRDefault="002A3164" w:rsidP="00A52400">
      <w:pPr>
        <w:spacing w:line="240" w:lineRule="atLeast"/>
        <w:ind w:left="1134" w:right="1134"/>
        <w:jc w:val="both"/>
        <w:rPr>
          <w:sz w:val="20"/>
          <w:szCs w:val="20"/>
        </w:rPr>
      </w:pPr>
      <w:r w:rsidRPr="00C5657A">
        <w:rPr>
          <w:sz w:val="20"/>
          <w:szCs w:val="20"/>
        </w:rPr>
        <w:t xml:space="preserve">Tenants that incurred arrears during </w:t>
      </w:r>
      <w:r w:rsidR="00FE1614">
        <w:rPr>
          <w:sz w:val="20"/>
          <w:szCs w:val="20"/>
        </w:rPr>
        <w:t>COVID pandemic</w:t>
      </w:r>
      <w:r w:rsidRPr="00C5657A">
        <w:rPr>
          <w:sz w:val="20"/>
          <w:szCs w:val="20"/>
        </w:rPr>
        <w:t xml:space="preserve"> were given additional time to engage with the HAP Debt Management Unit to clear their arrears, as well as access to payment plans as a specific C</w:t>
      </w:r>
      <w:r w:rsidR="00FE1614">
        <w:rPr>
          <w:sz w:val="20"/>
          <w:szCs w:val="20"/>
        </w:rPr>
        <w:t>OVID</w:t>
      </w:r>
      <w:r w:rsidRPr="00C5657A">
        <w:rPr>
          <w:sz w:val="20"/>
          <w:szCs w:val="20"/>
        </w:rPr>
        <w:t xml:space="preserve"> measure. Under the normal HAP DMP payment plans are not offered or available to tenants at this stage of the process. The HAP SSC has now resumed the standard debt management process.</w:t>
      </w:r>
    </w:p>
    <w:p w14:paraId="41508422" w14:textId="77777777" w:rsidR="00EB7D94" w:rsidRPr="00C5657A" w:rsidRDefault="00EB7D94" w:rsidP="00A52400">
      <w:pPr>
        <w:spacing w:line="240" w:lineRule="atLeast"/>
        <w:ind w:left="1134" w:right="1134"/>
        <w:jc w:val="both"/>
        <w:rPr>
          <w:sz w:val="20"/>
          <w:szCs w:val="20"/>
        </w:rPr>
      </w:pPr>
    </w:p>
    <w:p w14:paraId="5E76E422" w14:textId="77777777" w:rsidR="00343D34" w:rsidRPr="00FE1614" w:rsidRDefault="00343D34" w:rsidP="00343D34">
      <w:pPr>
        <w:spacing w:line="240" w:lineRule="atLeast"/>
        <w:ind w:left="1134" w:right="1134"/>
        <w:jc w:val="both"/>
        <w:rPr>
          <w:sz w:val="20"/>
          <w:szCs w:val="20"/>
          <w:u w:val="single"/>
        </w:rPr>
      </w:pPr>
      <w:r w:rsidRPr="00FE1614">
        <w:rPr>
          <w:sz w:val="20"/>
          <w:szCs w:val="20"/>
          <w:u w:val="single"/>
        </w:rPr>
        <w:t>HAP Debt Management Process and the Winter Eviction Ban</w:t>
      </w:r>
    </w:p>
    <w:p w14:paraId="121AD854" w14:textId="77777777" w:rsidR="00343D34" w:rsidRPr="00FE1614" w:rsidRDefault="00343D34" w:rsidP="00343D34">
      <w:pPr>
        <w:spacing w:line="240" w:lineRule="atLeast"/>
        <w:ind w:left="1134" w:right="1134"/>
        <w:jc w:val="both"/>
        <w:rPr>
          <w:sz w:val="20"/>
          <w:szCs w:val="20"/>
        </w:rPr>
      </w:pPr>
      <w:r w:rsidRPr="00FE1614">
        <w:rPr>
          <w:sz w:val="20"/>
          <w:szCs w:val="20"/>
        </w:rPr>
        <w:t>The Residential Tenancies (Deferment of Termination Dates of Certain Tenancies) Act 2022 was signed into law on 29 October 2022. The Act made emergency provision to defer the termination dates of certain residential tenancies that fell during the period beginning on 30 October 2022 and ending on 31 March 2023 in order to mitigate the risk that persons whose tenancies would otherwise be terminated during that period would be unable to obtain alternative accommodation.</w:t>
      </w:r>
    </w:p>
    <w:p w14:paraId="2AE9B82D" w14:textId="77777777" w:rsidR="00343D34" w:rsidRPr="00FE1614" w:rsidRDefault="00343D34" w:rsidP="00343D34">
      <w:pPr>
        <w:spacing w:line="240" w:lineRule="atLeast"/>
        <w:ind w:left="1134" w:right="1134"/>
        <w:jc w:val="both"/>
        <w:rPr>
          <w:sz w:val="20"/>
          <w:szCs w:val="20"/>
        </w:rPr>
      </w:pPr>
    </w:p>
    <w:p w14:paraId="634B6FE3" w14:textId="598A2F90" w:rsidR="00343D34" w:rsidRPr="00FE1614" w:rsidRDefault="00343D34" w:rsidP="00343D34">
      <w:pPr>
        <w:spacing w:line="240" w:lineRule="atLeast"/>
        <w:ind w:left="1134" w:right="1134"/>
        <w:jc w:val="both"/>
        <w:rPr>
          <w:sz w:val="20"/>
          <w:szCs w:val="20"/>
        </w:rPr>
      </w:pPr>
      <w:r w:rsidRPr="00FE1614">
        <w:rPr>
          <w:sz w:val="20"/>
          <w:szCs w:val="20"/>
        </w:rPr>
        <w:t xml:space="preserve">To assist households who may have fallen into difficulties with the payment of their differential rent, the Department introduced an extension to the debt management process for the duration of </w:t>
      </w:r>
      <w:r w:rsidR="00FE1614" w:rsidRPr="00FE1614">
        <w:rPr>
          <w:sz w:val="20"/>
          <w:szCs w:val="20"/>
        </w:rPr>
        <w:t xml:space="preserve">the winter emergency provision. </w:t>
      </w:r>
      <w:r w:rsidRPr="00FE1614">
        <w:rPr>
          <w:sz w:val="20"/>
          <w:szCs w:val="20"/>
        </w:rPr>
        <w:t>This extension was made to assist in preventing exits from HAP for the non-payment of rent.</w:t>
      </w:r>
    </w:p>
    <w:p w14:paraId="601033A0" w14:textId="77777777" w:rsidR="00343D34" w:rsidRPr="00FE1614" w:rsidRDefault="00343D34" w:rsidP="00343D34">
      <w:pPr>
        <w:spacing w:line="240" w:lineRule="atLeast"/>
        <w:ind w:left="1134" w:right="1134"/>
        <w:jc w:val="both"/>
        <w:rPr>
          <w:sz w:val="20"/>
          <w:szCs w:val="20"/>
        </w:rPr>
      </w:pPr>
    </w:p>
    <w:p w14:paraId="68996AFF" w14:textId="77777777" w:rsidR="00343D34" w:rsidRPr="00FE1614" w:rsidRDefault="00343D34" w:rsidP="00343D34">
      <w:pPr>
        <w:spacing w:line="240" w:lineRule="atLeast"/>
        <w:ind w:left="1134" w:right="1134"/>
        <w:jc w:val="both"/>
        <w:rPr>
          <w:sz w:val="20"/>
          <w:szCs w:val="20"/>
          <w:u w:val="single"/>
        </w:rPr>
      </w:pPr>
      <w:r w:rsidRPr="00FE1614">
        <w:rPr>
          <w:sz w:val="20"/>
          <w:szCs w:val="20"/>
          <w:u w:val="single"/>
        </w:rPr>
        <w:t>Landlord Payment Guarantee</w:t>
      </w:r>
    </w:p>
    <w:p w14:paraId="60AAABBA" w14:textId="77777777" w:rsidR="00343D34" w:rsidRPr="00FE1614" w:rsidRDefault="00343D34" w:rsidP="00343D34">
      <w:pPr>
        <w:spacing w:line="240" w:lineRule="atLeast"/>
        <w:ind w:left="1134" w:right="1134"/>
        <w:jc w:val="both"/>
        <w:rPr>
          <w:sz w:val="20"/>
          <w:szCs w:val="20"/>
        </w:rPr>
      </w:pPr>
      <w:r w:rsidRPr="00FE1614">
        <w:rPr>
          <w:sz w:val="20"/>
          <w:szCs w:val="20"/>
        </w:rPr>
        <w:t xml:space="preserve">The Department of Housing, Local Government and Heritage, working with the HAP Shared Services Centre, put in the place the systems and processes needed for implementation of a Landlord Payment Guarantee. </w:t>
      </w:r>
    </w:p>
    <w:p w14:paraId="0E8AD86A" w14:textId="77777777" w:rsidR="00343D34" w:rsidRPr="00FE1614" w:rsidRDefault="00343D34" w:rsidP="00343D34">
      <w:pPr>
        <w:spacing w:line="240" w:lineRule="atLeast"/>
        <w:ind w:left="1134" w:right="1134"/>
        <w:jc w:val="both"/>
        <w:rPr>
          <w:sz w:val="20"/>
          <w:szCs w:val="20"/>
        </w:rPr>
      </w:pPr>
    </w:p>
    <w:p w14:paraId="7F9D05D0" w14:textId="646E30F6" w:rsidR="00343D34" w:rsidRPr="00FE1614" w:rsidRDefault="00343D34" w:rsidP="00343D34">
      <w:pPr>
        <w:spacing w:line="240" w:lineRule="atLeast"/>
        <w:ind w:left="1134" w:right="1134"/>
        <w:jc w:val="both"/>
        <w:rPr>
          <w:sz w:val="20"/>
          <w:szCs w:val="20"/>
        </w:rPr>
      </w:pPr>
      <w:r w:rsidRPr="00FE1614">
        <w:rPr>
          <w:sz w:val="20"/>
          <w:szCs w:val="20"/>
        </w:rPr>
        <w:t xml:space="preserve">From 1 May 2023, if a tenant defaults on payment of differential rent under the Landlord Payment Guarantee the HAP payment to the landlord will be guaranteed for a </w:t>
      </w:r>
      <w:r w:rsidR="00FE1614" w:rsidRPr="00FE1614">
        <w:rPr>
          <w:sz w:val="20"/>
          <w:szCs w:val="20"/>
        </w:rPr>
        <w:t>12-month</w:t>
      </w:r>
      <w:r w:rsidRPr="00FE1614">
        <w:rPr>
          <w:sz w:val="20"/>
          <w:szCs w:val="20"/>
        </w:rPr>
        <w:t xml:space="preserve"> period, or earlier if the tenancy ends prior to that date. The HAP debt management process (DMP) will continue to operate as normal up to suspension stage, with the addition of payment plans to assist tenants in maintaining their tenancies. </w:t>
      </w:r>
    </w:p>
    <w:p w14:paraId="45F4FC51" w14:textId="77777777" w:rsidR="00343D34" w:rsidRPr="00FE1614" w:rsidRDefault="00343D34" w:rsidP="00343D34">
      <w:pPr>
        <w:spacing w:line="240" w:lineRule="atLeast"/>
        <w:ind w:left="1134" w:right="1134"/>
        <w:jc w:val="both"/>
        <w:rPr>
          <w:sz w:val="20"/>
          <w:szCs w:val="20"/>
        </w:rPr>
      </w:pPr>
    </w:p>
    <w:p w14:paraId="62807DB9" w14:textId="72E03B98" w:rsidR="00343D34" w:rsidRPr="00C5657A" w:rsidRDefault="00343D34" w:rsidP="00343D34">
      <w:pPr>
        <w:spacing w:line="240" w:lineRule="atLeast"/>
        <w:ind w:left="1134" w:right="1134"/>
        <w:jc w:val="both"/>
        <w:rPr>
          <w:sz w:val="20"/>
          <w:szCs w:val="20"/>
        </w:rPr>
      </w:pPr>
      <w:r w:rsidRPr="00FE1614">
        <w:rPr>
          <w:sz w:val="20"/>
          <w:szCs w:val="20"/>
        </w:rPr>
        <w:t>The Landlord Guarantee will be applicable to tenancies reaching suspension stage of the HAP debt manageme</w:t>
      </w:r>
      <w:r w:rsidR="00FE1614" w:rsidRPr="00FE1614">
        <w:rPr>
          <w:sz w:val="20"/>
          <w:szCs w:val="20"/>
        </w:rPr>
        <w:t>nt process from the 1 May 2023.</w:t>
      </w:r>
      <w:r w:rsidRPr="00FE1614">
        <w:rPr>
          <w:sz w:val="20"/>
          <w:szCs w:val="20"/>
        </w:rPr>
        <w:t xml:space="preserve"> Tenants reaching that point prior to the effective date will continue to be managed under the old debt management process. The operation of this guarantee will be the subject of a review in 12 months.</w:t>
      </w:r>
    </w:p>
    <w:p w14:paraId="6BD07D05" w14:textId="5E02FA03" w:rsidR="002A3164" w:rsidRPr="00C5657A" w:rsidRDefault="002A3164" w:rsidP="00EB7D94">
      <w:pPr>
        <w:spacing w:line="240" w:lineRule="atLeast"/>
        <w:ind w:right="1134"/>
        <w:jc w:val="both"/>
        <w:rPr>
          <w:sz w:val="20"/>
          <w:szCs w:val="20"/>
          <w:u w:val="single"/>
        </w:rPr>
      </w:pPr>
    </w:p>
    <w:p w14:paraId="3859214D"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Homelessness</w:t>
      </w:r>
    </w:p>
    <w:p w14:paraId="4E5F63CF" w14:textId="410E8319" w:rsidR="002A3164" w:rsidRPr="00C5657A" w:rsidRDefault="002A3164" w:rsidP="00A52400">
      <w:pPr>
        <w:spacing w:line="240" w:lineRule="atLeast"/>
        <w:ind w:left="1134" w:right="1134"/>
        <w:jc w:val="both"/>
        <w:rPr>
          <w:sz w:val="20"/>
          <w:szCs w:val="20"/>
        </w:rPr>
      </w:pPr>
      <w:r w:rsidRPr="00FE1614">
        <w:rPr>
          <w:i/>
          <w:sz w:val="20"/>
          <w:szCs w:val="20"/>
        </w:rPr>
        <w:t>Housing for All</w:t>
      </w:r>
      <w:r w:rsidRPr="00C5657A">
        <w:rPr>
          <w:sz w:val="20"/>
          <w:szCs w:val="20"/>
        </w:rPr>
        <w:t xml:space="preserve"> has four pathways, one of which is to eradicate homelessness, increase social housing delivery and support social inclusion. </w:t>
      </w:r>
      <w:r w:rsidRPr="00FE1614">
        <w:rPr>
          <w:i/>
          <w:sz w:val="20"/>
          <w:szCs w:val="20"/>
        </w:rPr>
        <w:t>Housing for All</w:t>
      </w:r>
      <w:r w:rsidRPr="00C5657A">
        <w:rPr>
          <w:sz w:val="20"/>
          <w:szCs w:val="20"/>
        </w:rPr>
        <w:t xml:space="preserve"> contains 213 actions, which will deliver a range of housing options for ind</w:t>
      </w:r>
      <w:r w:rsidR="00FE1614">
        <w:rPr>
          <w:sz w:val="20"/>
          <w:szCs w:val="20"/>
        </w:rPr>
        <w:t xml:space="preserve">ividuals, couples and families; </w:t>
      </w:r>
      <w:r w:rsidRPr="00C5657A">
        <w:rPr>
          <w:sz w:val="20"/>
          <w:szCs w:val="20"/>
        </w:rPr>
        <w:t xml:space="preserve">18 of these actions relate to homelessness. Since the launch of </w:t>
      </w:r>
      <w:r w:rsidRPr="005325A8">
        <w:rPr>
          <w:i/>
          <w:sz w:val="20"/>
          <w:szCs w:val="20"/>
        </w:rPr>
        <w:t>Housing for All</w:t>
      </w:r>
      <w:r w:rsidR="005325A8">
        <w:rPr>
          <w:i/>
          <w:sz w:val="20"/>
          <w:szCs w:val="20"/>
        </w:rPr>
        <w:t>,</w:t>
      </w:r>
      <w:r w:rsidRPr="00C5657A">
        <w:rPr>
          <w:sz w:val="20"/>
          <w:szCs w:val="20"/>
        </w:rPr>
        <w:t xml:space="preserve"> the Department</w:t>
      </w:r>
      <w:r w:rsidR="00EB7D94" w:rsidRPr="00C5657A">
        <w:rPr>
          <w:sz w:val="20"/>
          <w:szCs w:val="20"/>
        </w:rPr>
        <w:t xml:space="preserve"> of Housing</w:t>
      </w:r>
      <w:r w:rsidR="00FE1614">
        <w:rPr>
          <w:sz w:val="20"/>
          <w:szCs w:val="20"/>
        </w:rPr>
        <w:t>, Local Government and Heritage</w:t>
      </w:r>
      <w:r w:rsidRPr="00C5657A">
        <w:rPr>
          <w:sz w:val="20"/>
          <w:szCs w:val="20"/>
        </w:rPr>
        <w:t xml:space="preserve"> has:</w:t>
      </w:r>
    </w:p>
    <w:p w14:paraId="3C84D810"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Actively participated through the newly established European Platform on Combatting Homelessness to advance the Lisbon Declaration on Combatting Homelessness signed in June 2021;</w:t>
      </w:r>
    </w:p>
    <w:p w14:paraId="4F61ABD0"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Established the National Homeless Action Committee;</w:t>
      </w:r>
    </w:p>
    <w:p w14:paraId="710927C5"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Publish a new Housing First National Implementation Plan;</w:t>
      </w:r>
    </w:p>
    <w:p w14:paraId="0747AF46"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lastRenderedPageBreak/>
        <w:t>Targeted 1,319 new Housing First tenancies from 2022 to 2026</w:t>
      </w:r>
    </w:p>
    <w:p w14:paraId="641BC9E6"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Provided €250m of funding to further support families and individuals experiencing homelessness;</w:t>
      </w:r>
    </w:p>
    <w:p w14:paraId="191D629C"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Prepared and published guidelines with standards for the development and refurbishment of emergency accommodation;</w:t>
      </w:r>
    </w:p>
    <w:p w14:paraId="175CBD49"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 xml:space="preserve">Issued guidance to Local Authorities on their Homeless Action Plans to ensure that these Plans link directly with, and are informed by, </w:t>
      </w:r>
      <w:r w:rsidRPr="005325A8">
        <w:rPr>
          <w:rFonts w:ascii="Times New Roman" w:hAnsi="Times New Roman" w:cs="Times New Roman"/>
          <w:i/>
          <w:sz w:val="20"/>
          <w:szCs w:val="20"/>
        </w:rPr>
        <w:t xml:space="preserve">Housing for All </w:t>
      </w:r>
      <w:r w:rsidRPr="00C5657A">
        <w:rPr>
          <w:rFonts w:ascii="Times New Roman" w:hAnsi="Times New Roman" w:cs="Times New Roman"/>
          <w:sz w:val="20"/>
          <w:szCs w:val="20"/>
        </w:rPr>
        <w:t>and reflect current policy and actions;</w:t>
      </w:r>
    </w:p>
    <w:p w14:paraId="5BD65F5A"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Supported the DRHE to pilot a scheme to convert Local Authority and AHB owned emergency accommodation facilities to own-door permanent social housing tenancies;</w:t>
      </w:r>
    </w:p>
    <w:p w14:paraId="4A14E4A0"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Developed a Youth Homelessness Strategy;</w:t>
      </w:r>
    </w:p>
    <w:p w14:paraId="1E939B4E"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Identified and provided enhanced tenancy sustainment supports to families experiencing long-term homelessness to help them exit from homelessness and maintain their homes.</w:t>
      </w:r>
    </w:p>
    <w:p w14:paraId="1FB9B643"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 xml:space="preserve">Further to this, the Department of Health, as part of </w:t>
      </w:r>
      <w:r w:rsidRPr="005325A8">
        <w:rPr>
          <w:rFonts w:ascii="Times New Roman" w:hAnsi="Times New Roman" w:cs="Times New Roman"/>
          <w:i/>
          <w:sz w:val="20"/>
          <w:szCs w:val="20"/>
        </w:rPr>
        <w:t>Housing for All</w:t>
      </w:r>
      <w:r w:rsidRPr="00C5657A">
        <w:rPr>
          <w:rFonts w:ascii="Times New Roman" w:hAnsi="Times New Roman" w:cs="Times New Roman"/>
          <w:sz w:val="20"/>
          <w:szCs w:val="20"/>
        </w:rPr>
        <w:t>, has:</w:t>
      </w:r>
    </w:p>
    <w:p w14:paraId="3291E149" w14:textId="77777777" w:rsidR="002A3164" w:rsidRPr="00C5657A" w:rsidRDefault="002A3164" w:rsidP="00EC6275">
      <w:pPr>
        <w:pStyle w:val="ListParagraph"/>
        <w:numPr>
          <w:ilvl w:val="0"/>
          <w:numId w:val="20"/>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continued to increase access to health supports and protections for homeless individuals,</w:t>
      </w:r>
    </w:p>
    <w:p w14:paraId="217C8929" w14:textId="1720ED50" w:rsidR="002A3164" w:rsidRPr="00C5657A" w:rsidRDefault="00FE1614" w:rsidP="00EC6275">
      <w:pPr>
        <w:pStyle w:val="ListParagraph"/>
        <w:numPr>
          <w:ilvl w:val="0"/>
          <w:numId w:val="20"/>
        </w:numPr>
        <w:spacing w:line="240" w:lineRule="atLeast"/>
        <w:ind w:right="1134"/>
        <w:jc w:val="both"/>
        <w:rPr>
          <w:rFonts w:ascii="Times New Roman" w:hAnsi="Times New Roman" w:cs="Times New Roman"/>
          <w:sz w:val="20"/>
          <w:szCs w:val="20"/>
        </w:rPr>
      </w:pPr>
      <w:r>
        <w:rPr>
          <w:rFonts w:ascii="Times New Roman" w:hAnsi="Times New Roman" w:cs="Times New Roman"/>
          <w:sz w:val="20"/>
          <w:szCs w:val="20"/>
        </w:rPr>
        <w:t>D</w:t>
      </w:r>
      <w:r w:rsidR="002A3164" w:rsidRPr="00C5657A">
        <w:rPr>
          <w:rFonts w:ascii="Times New Roman" w:hAnsi="Times New Roman" w:cs="Times New Roman"/>
          <w:sz w:val="20"/>
          <w:szCs w:val="20"/>
        </w:rPr>
        <w:t>eveloped a Housing First Health Monitoring Tool;</w:t>
      </w:r>
    </w:p>
    <w:p w14:paraId="41A6A2FD" w14:textId="3B6077BD" w:rsidR="002A3164" w:rsidRPr="00C5657A" w:rsidRDefault="00FE1614" w:rsidP="00EC6275">
      <w:pPr>
        <w:pStyle w:val="ListParagraph"/>
        <w:numPr>
          <w:ilvl w:val="0"/>
          <w:numId w:val="20"/>
        </w:numPr>
        <w:spacing w:line="240" w:lineRule="atLeast"/>
        <w:ind w:right="1134"/>
        <w:jc w:val="both"/>
        <w:rPr>
          <w:rFonts w:ascii="Times New Roman" w:hAnsi="Times New Roman" w:cs="Times New Roman"/>
          <w:sz w:val="20"/>
          <w:szCs w:val="20"/>
        </w:rPr>
      </w:pPr>
      <w:r>
        <w:rPr>
          <w:rFonts w:ascii="Times New Roman" w:hAnsi="Times New Roman" w:cs="Times New Roman"/>
          <w:sz w:val="20"/>
          <w:szCs w:val="20"/>
        </w:rPr>
        <w:t>S</w:t>
      </w:r>
      <w:r w:rsidR="002A3164" w:rsidRPr="00C5657A">
        <w:rPr>
          <w:rFonts w:ascii="Times New Roman" w:hAnsi="Times New Roman" w:cs="Times New Roman"/>
          <w:sz w:val="20"/>
          <w:szCs w:val="20"/>
        </w:rPr>
        <w:t>trengthened integrated care pathways for people who are homeless with chronic health needs based on an inclusion health model</w:t>
      </w:r>
    </w:p>
    <w:p w14:paraId="30C7AD7C" w14:textId="462C741A" w:rsidR="002A3164" w:rsidRPr="00C5657A" w:rsidRDefault="00FE1614" w:rsidP="00EC6275">
      <w:pPr>
        <w:pStyle w:val="ListParagraph"/>
        <w:numPr>
          <w:ilvl w:val="0"/>
          <w:numId w:val="20"/>
        </w:numPr>
        <w:spacing w:line="240" w:lineRule="atLeast"/>
        <w:ind w:right="1134"/>
        <w:jc w:val="both"/>
        <w:rPr>
          <w:rFonts w:ascii="Times New Roman" w:hAnsi="Times New Roman" w:cs="Times New Roman"/>
          <w:sz w:val="20"/>
          <w:szCs w:val="20"/>
        </w:rPr>
      </w:pPr>
      <w:r>
        <w:rPr>
          <w:rFonts w:ascii="Times New Roman" w:hAnsi="Times New Roman" w:cs="Times New Roman"/>
          <w:sz w:val="20"/>
          <w:szCs w:val="20"/>
        </w:rPr>
        <w:t>E</w:t>
      </w:r>
      <w:r w:rsidR="002A3164" w:rsidRPr="00C5657A">
        <w:rPr>
          <w:rFonts w:ascii="Times New Roman" w:hAnsi="Times New Roman" w:cs="Times New Roman"/>
          <w:sz w:val="20"/>
          <w:szCs w:val="20"/>
        </w:rPr>
        <w:t>xpanded the case management approach for homeless people living with drug or alcohol addiction and enhance treatment options;</w:t>
      </w:r>
    </w:p>
    <w:p w14:paraId="77574543" w14:textId="77777777" w:rsidR="002A3164" w:rsidRPr="00C5657A" w:rsidRDefault="002A3164" w:rsidP="00A52400">
      <w:pPr>
        <w:spacing w:line="240" w:lineRule="atLeast"/>
        <w:ind w:left="1134" w:right="1134"/>
        <w:jc w:val="both"/>
        <w:rPr>
          <w:sz w:val="20"/>
          <w:szCs w:val="20"/>
          <w:u w:val="single"/>
        </w:rPr>
      </w:pPr>
    </w:p>
    <w:p w14:paraId="6A0905A9"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Scale of Homelessness</w:t>
      </w:r>
    </w:p>
    <w:p w14:paraId="349F3702" w14:textId="77777777" w:rsidR="00343D34" w:rsidRPr="00C5657A" w:rsidRDefault="00343D34" w:rsidP="00343D34">
      <w:pPr>
        <w:spacing w:line="240" w:lineRule="atLeast"/>
        <w:ind w:left="1134" w:right="1134"/>
        <w:jc w:val="both"/>
        <w:rPr>
          <w:sz w:val="20"/>
          <w:szCs w:val="20"/>
        </w:rPr>
      </w:pPr>
      <w:r w:rsidRPr="00FE1614">
        <w:rPr>
          <w:sz w:val="20"/>
          <w:szCs w:val="20"/>
        </w:rPr>
        <w:t>In May 2023, there were 8,742 adults accessing emergency accommodation nationally - 5,838 of these adults were single. There were 1,770 families (including 2,904 of the aforementioned adults) and 3,699 dependants accessing emergency accommodation nationally. The total number of those accessing emergency accommodation, including dependents, was 12,441.</w:t>
      </w:r>
      <w:r w:rsidRPr="00C5657A">
        <w:rPr>
          <w:sz w:val="20"/>
          <w:szCs w:val="20"/>
        </w:rPr>
        <w:t xml:space="preserve"> </w:t>
      </w:r>
    </w:p>
    <w:p w14:paraId="4BB7E3CF" w14:textId="77777777" w:rsidR="002A3164" w:rsidRPr="00C5657A" w:rsidRDefault="002A3164" w:rsidP="00A52400">
      <w:pPr>
        <w:spacing w:line="240" w:lineRule="atLeast"/>
        <w:ind w:left="1134" w:right="1134"/>
        <w:jc w:val="both"/>
        <w:rPr>
          <w:sz w:val="20"/>
          <w:szCs w:val="20"/>
        </w:rPr>
      </w:pPr>
    </w:p>
    <w:p w14:paraId="68AB4C25"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Family Hubs</w:t>
      </w:r>
    </w:p>
    <w:p w14:paraId="0E952061" w14:textId="77777777" w:rsidR="002A3164" w:rsidRPr="00C5657A" w:rsidRDefault="002A3164" w:rsidP="00A52400">
      <w:pPr>
        <w:spacing w:line="240" w:lineRule="atLeast"/>
        <w:ind w:left="1134" w:right="1134"/>
        <w:jc w:val="both"/>
        <w:rPr>
          <w:sz w:val="20"/>
          <w:szCs w:val="20"/>
        </w:rPr>
      </w:pPr>
      <w:r w:rsidRPr="00C5657A">
        <w:rPr>
          <w:sz w:val="20"/>
          <w:szCs w:val="20"/>
        </w:rPr>
        <w:t>There are currently 36 family hubs nationally offering 860 units of accommodation, with over €60m in capital funding provided since 2018 to allow for development of further homeless facilities including Family Hubs.</w:t>
      </w:r>
    </w:p>
    <w:p w14:paraId="0A07E329" w14:textId="77777777" w:rsidR="002A3164" w:rsidRPr="00C5657A" w:rsidRDefault="002A3164" w:rsidP="00A52400">
      <w:pPr>
        <w:spacing w:line="240" w:lineRule="atLeast"/>
        <w:ind w:left="1134" w:right="1134"/>
        <w:jc w:val="both"/>
        <w:rPr>
          <w:sz w:val="20"/>
          <w:szCs w:val="20"/>
        </w:rPr>
      </w:pPr>
    </w:p>
    <w:p w14:paraId="6BA25F07"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 xml:space="preserve">National Quality Standards Framework </w:t>
      </w:r>
    </w:p>
    <w:p w14:paraId="4F248627" w14:textId="469E51F1" w:rsidR="002A3164" w:rsidRPr="00C5657A" w:rsidRDefault="002A3164" w:rsidP="00A52400">
      <w:pPr>
        <w:spacing w:line="240" w:lineRule="atLeast"/>
        <w:ind w:left="1134" w:right="1134"/>
        <w:jc w:val="both"/>
        <w:rPr>
          <w:sz w:val="20"/>
          <w:szCs w:val="20"/>
        </w:rPr>
      </w:pPr>
      <w:r w:rsidRPr="00C5657A">
        <w:rPr>
          <w:sz w:val="20"/>
          <w:szCs w:val="20"/>
        </w:rPr>
        <w:t>A National Quality Standards Framework (NQSF) was developed by the Dublin Regional Homeless Executive (DRHE) in partnership with the NGO Sector, the HSE, and other key stakeholders. The Health Information and Quality Authority (HIQA) lent support to the development process and in drafting the NQSF. The process from development to implementation of the standards framework ran from 2013 to 2019. The standards framework is now in place nationally for all local authority and NGO services. The DRHE have also adapted the NQSF standards to apply their provisions to private emergency accommodation (PEA). The draft standards for PEA were approved in 2021 and a developmental approach is being taken with the roll out.</w:t>
      </w:r>
    </w:p>
    <w:p w14:paraId="42BA765F" w14:textId="77777777" w:rsidR="00EB7D94" w:rsidRPr="00C5657A" w:rsidRDefault="00EB7D94" w:rsidP="00A52400">
      <w:pPr>
        <w:spacing w:line="240" w:lineRule="atLeast"/>
        <w:ind w:left="1134" w:right="1134"/>
        <w:jc w:val="both"/>
        <w:rPr>
          <w:sz w:val="20"/>
          <w:szCs w:val="20"/>
        </w:rPr>
      </w:pPr>
    </w:p>
    <w:p w14:paraId="473B74B0"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Youth Homelessness/Homeless prevention</w:t>
      </w:r>
    </w:p>
    <w:p w14:paraId="4EF85AB4" w14:textId="4F7E5CE3" w:rsidR="002A3164" w:rsidRPr="00C5657A" w:rsidRDefault="002A3164" w:rsidP="00A52400">
      <w:pPr>
        <w:spacing w:line="240" w:lineRule="atLeast"/>
        <w:ind w:left="1134" w:right="1134"/>
        <w:jc w:val="both"/>
        <w:rPr>
          <w:sz w:val="20"/>
          <w:szCs w:val="20"/>
        </w:rPr>
      </w:pPr>
      <w:r w:rsidRPr="00C5657A">
        <w:rPr>
          <w:sz w:val="20"/>
          <w:szCs w:val="20"/>
        </w:rPr>
        <w:t xml:space="preserve">As part of a commitment under </w:t>
      </w:r>
      <w:r w:rsidRPr="005325A8">
        <w:rPr>
          <w:i/>
          <w:sz w:val="20"/>
          <w:szCs w:val="20"/>
        </w:rPr>
        <w:t>Housing for All</w:t>
      </w:r>
      <w:r w:rsidRPr="00C5657A">
        <w:rPr>
          <w:sz w:val="20"/>
          <w:szCs w:val="20"/>
        </w:rPr>
        <w:t xml:space="preserve">, a National Homelessness Action Committee (NHAC) was established at the end of 2021. One of the top priorities of the National Homeless Action Committee (NHAC) was the development of a new Youth Homelessness Strategy. The new Strategy was launched on 9 November 2022. The first Youth Homelessness Strategy in two decades, it sets out 27 distinct actions to prevent young people entering homelessness, to improve the experiences of young people in emergency accommodation and to assist young people to exit homelessness. A Steering Group has been established under the auspices of NHAC to drive the delivery of actions set out in this Strategy and to monitor progress. Key actions in the prevention of youth homelessness include the development of information campaigns on housing rights and available supports; piloting the use of social housing as shared accommodation for young people and the </w:t>
      </w:r>
      <w:r w:rsidRPr="00C5657A">
        <w:rPr>
          <w:sz w:val="20"/>
          <w:szCs w:val="20"/>
        </w:rPr>
        <w:lastRenderedPageBreak/>
        <w:t xml:space="preserve">development of a pilot model of a housing-led intervention for young people: Supported Housing </w:t>
      </w:r>
      <w:r w:rsidR="00FE1614">
        <w:rPr>
          <w:sz w:val="20"/>
          <w:szCs w:val="20"/>
        </w:rPr>
        <w:t>for Youth</w:t>
      </w:r>
      <w:r w:rsidRPr="00C5657A">
        <w:rPr>
          <w:sz w:val="20"/>
          <w:szCs w:val="20"/>
        </w:rPr>
        <w:t>.</w:t>
      </w:r>
    </w:p>
    <w:p w14:paraId="28BC9245" w14:textId="77777777" w:rsidR="002A3164" w:rsidRPr="00C5657A" w:rsidRDefault="002A3164" w:rsidP="00A52400">
      <w:pPr>
        <w:spacing w:line="240" w:lineRule="atLeast"/>
        <w:ind w:left="1134" w:right="1134"/>
        <w:jc w:val="both"/>
        <w:rPr>
          <w:sz w:val="20"/>
          <w:szCs w:val="20"/>
        </w:rPr>
      </w:pPr>
    </w:p>
    <w:p w14:paraId="0216B02D" w14:textId="5BEF77CF" w:rsidR="002A3164" w:rsidRPr="00C5657A" w:rsidRDefault="002A3164" w:rsidP="00EB7D94">
      <w:pPr>
        <w:spacing w:line="240" w:lineRule="atLeast"/>
        <w:ind w:left="1134" w:right="1134"/>
        <w:jc w:val="both"/>
        <w:rPr>
          <w:sz w:val="20"/>
          <w:szCs w:val="20"/>
        </w:rPr>
      </w:pPr>
      <w:r w:rsidRPr="00C5657A">
        <w:rPr>
          <w:sz w:val="20"/>
          <w:szCs w:val="20"/>
        </w:rPr>
        <w:t xml:space="preserve">A further commitment of NHAC was to examine measures to prevent homelessness. A number of measures have been identified and are now being advanced. Three subgroups were also established to examine specific measures. The subgroups presented </w:t>
      </w:r>
      <w:r w:rsidR="00FE1614">
        <w:rPr>
          <w:sz w:val="20"/>
          <w:szCs w:val="20"/>
        </w:rPr>
        <w:t>their recommendations at the Q4 20</w:t>
      </w:r>
      <w:r w:rsidRPr="00C5657A">
        <w:rPr>
          <w:sz w:val="20"/>
          <w:szCs w:val="20"/>
        </w:rPr>
        <w:t>22 meeting of NHAC. Progress on prevention measures are di</w:t>
      </w:r>
      <w:r w:rsidR="00EB7D94" w:rsidRPr="00C5657A">
        <w:rPr>
          <w:sz w:val="20"/>
          <w:szCs w:val="20"/>
        </w:rPr>
        <w:t>scussed at each meeting of NHAC.</w:t>
      </w:r>
    </w:p>
    <w:p w14:paraId="3B717109" w14:textId="77777777" w:rsidR="002A3164" w:rsidRPr="00C5657A" w:rsidRDefault="002A3164" w:rsidP="00A52400">
      <w:pPr>
        <w:spacing w:line="240" w:lineRule="atLeast"/>
        <w:ind w:left="1134" w:right="1134"/>
        <w:jc w:val="both"/>
        <w:rPr>
          <w:sz w:val="20"/>
          <w:szCs w:val="20"/>
        </w:rPr>
      </w:pPr>
    </w:p>
    <w:p w14:paraId="42A9DC63" w14:textId="77777777" w:rsidR="00FE1614" w:rsidRDefault="002A3164" w:rsidP="00FE1614">
      <w:pPr>
        <w:spacing w:line="240" w:lineRule="atLeast"/>
        <w:ind w:left="1134" w:right="1134"/>
        <w:rPr>
          <w:sz w:val="20"/>
          <w:szCs w:val="20"/>
        </w:rPr>
      </w:pPr>
      <w:r w:rsidRPr="00C5657A">
        <w:rPr>
          <w:sz w:val="20"/>
          <w:szCs w:val="20"/>
          <w:u w:val="single"/>
        </w:rPr>
        <w:t>Housing First</w:t>
      </w:r>
      <w:r w:rsidRPr="00C5657A">
        <w:rPr>
          <w:sz w:val="20"/>
          <w:szCs w:val="20"/>
        </w:rPr>
        <w:br/>
      </w:r>
    </w:p>
    <w:p w14:paraId="02AB02EB" w14:textId="77777777" w:rsidR="002B4C32" w:rsidRDefault="00FE1614" w:rsidP="002B4C32">
      <w:pPr>
        <w:spacing w:line="240" w:lineRule="atLeast"/>
        <w:ind w:left="1134" w:right="1134"/>
        <w:jc w:val="both"/>
        <w:rPr>
          <w:sz w:val="20"/>
          <w:szCs w:val="20"/>
        </w:rPr>
      </w:pPr>
      <w:r>
        <w:rPr>
          <w:sz w:val="20"/>
          <w:szCs w:val="20"/>
        </w:rPr>
        <w:t>The</w:t>
      </w:r>
      <w:r w:rsidR="002A3164" w:rsidRPr="00C5657A">
        <w:rPr>
          <w:sz w:val="20"/>
          <w:szCs w:val="20"/>
        </w:rPr>
        <w:t xml:space="preserve"> </w:t>
      </w:r>
      <w:r w:rsidR="002A3164" w:rsidRPr="00FE1614">
        <w:rPr>
          <w:i/>
          <w:sz w:val="20"/>
          <w:szCs w:val="20"/>
        </w:rPr>
        <w:t>Housing First</w:t>
      </w:r>
      <w:r w:rsidR="002A3164" w:rsidRPr="00C5657A">
        <w:rPr>
          <w:sz w:val="20"/>
          <w:szCs w:val="20"/>
        </w:rPr>
        <w:t xml:space="preserve"> National Implementation Plan covered the period 2018-2021. A total of 756 tenancies were created during this period. This exceeded the 663 tenanc</w:t>
      </w:r>
      <w:r w:rsidR="002B4C32">
        <w:rPr>
          <w:sz w:val="20"/>
          <w:szCs w:val="20"/>
        </w:rPr>
        <w:t xml:space="preserve">ies target set out in the Plan. </w:t>
      </w:r>
    </w:p>
    <w:p w14:paraId="38AE385B" w14:textId="77777777" w:rsidR="002B4C32" w:rsidRDefault="002B4C32" w:rsidP="002B4C32">
      <w:pPr>
        <w:spacing w:line="240" w:lineRule="atLeast"/>
        <w:ind w:left="1134" w:right="1134"/>
        <w:jc w:val="both"/>
        <w:rPr>
          <w:sz w:val="20"/>
          <w:szCs w:val="20"/>
        </w:rPr>
      </w:pPr>
    </w:p>
    <w:p w14:paraId="39B00E2E" w14:textId="0DD4D2F8" w:rsidR="002A3164" w:rsidRPr="002B4C32" w:rsidRDefault="002A3164" w:rsidP="002B4C32">
      <w:pPr>
        <w:spacing w:line="240" w:lineRule="atLeast"/>
        <w:ind w:left="1134" w:right="1134"/>
        <w:jc w:val="both"/>
        <w:rPr>
          <w:sz w:val="20"/>
          <w:szCs w:val="20"/>
        </w:rPr>
      </w:pPr>
      <w:r w:rsidRPr="00C5657A">
        <w:rPr>
          <w:sz w:val="20"/>
          <w:szCs w:val="20"/>
        </w:rPr>
        <w:t xml:space="preserve">The Housing First National Implementation Plan 2022-2026 was launched in December 2021. This programme is one of the key responses in ending long-term homelessness among those with complex health and mental health needs. It provides the most vulnerable of our homeless population with a home for life as well as key wraparound health and social supports. Under the plan, an additional 1,319 supported tenancies are to be delivered nationally over the next five years. It will involve an average of 264 new tenancies per annum, with </w:t>
      </w:r>
      <w:r w:rsidRPr="002B4C32">
        <w:rPr>
          <w:sz w:val="20"/>
          <w:szCs w:val="20"/>
        </w:rPr>
        <w:t xml:space="preserve">the specific annual targets for each region now set out in the plan. </w:t>
      </w:r>
    </w:p>
    <w:p w14:paraId="1E2E0899" w14:textId="77777777" w:rsidR="00EB7D94" w:rsidRPr="002B4C32" w:rsidRDefault="00EB7D94" w:rsidP="00A52400">
      <w:pPr>
        <w:spacing w:line="240" w:lineRule="atLeast"/>
        <w:ind w:left="1134" w:right="1134"/>
        <w:jc w:val="both"/>
        <w:rPr>
          <w:sz w:val="20"/>
          <w:szCs w:val="20"/>
        </w:rPr>
      </w:pPr>
    </w:p>
    <w:p w14:paraId="2A0CD7C5" w14:textId="5D900E46" w:rsidR="00343D34" w:rsidRPr="00C5657A" w:rsidRDefault="00343D34" w:rsidP="00343D34">
      <w:pPr>
        <w:spacing w:line="240" w:lineRule="atLeast"/>
        <w:ind w:left="1134" w:right="1134"/>
        <w:jc w:val="both"/>
        <w:rPr>
          <w:sz w:val="20"/>
          <w:szCs w:val="20"/>
        </w:rPr>
      </w:pPr>
      <w:r w:rsidRPr="002B4C32">
        <w:rPr>
          <w:sz w:val="20"/>
          <w:szCs w:val="20"/>
        </w:rPr>
        <w:t xml:space="preserve">Data on the number of Housing First tenancies created are published every three months as part of the Department's Homeless Quarterly Progress Reports. At the end of Quarter 4 2022, a total of 240 Housing First tenancies had been created since the beginning of 2022 against a target of 282. The targets set out each year form part of an overall five-year plan and any shortfall in the delivery of tenancies are carried forward and will be delivered as part of the overall </w:t>
      </w:r>
      <w:r w:rsidR="002B4C32" w:rsidRPr="002B4C32">
        <w:rPr>
          <w:sz w:val="20"/>
          <w:szCs w:val="20"/>
        </w:rPr>
        <w:t>five-year</w:t>
      </w:r>
      <w:r w:rsidRPr="002B4C32">
        <w:rPr>
          <w:sz w:val="20"/>
          <w:szCs w:val="20"/>
        </w:rPr>
        <w:t xml:space="preserve"> target. There were a total of 871 individuals in a Housing First tenancy at the end of Q1 2023.</w:t>
      </w:r>
    </w:p>
    <w:p w14:paraId="43FDAC62" w14:textId="1A1E74FB" w:rsidR="002A3164" w:rsidRPr="00C5657A" w:rsidRDefault="002A3164" w:rsidP="00EB7D94">
      <w:pPr>
        <w:spacing w:line="240" w:lineRule="atLeast"/>
        <w:ind w:right="1134"/>
        <w:jc w:val="both"/>
        <w:rPr>
          <w:sz w:val="20"/>
          <w:szCs w:val="20"/>
        </w:rPr>
      </w:pPr>
    </w:p>
    <w:p w14:paraId="75CAFA80"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 xml:space="preserve">Rental Market </w:t>
      </w:r>
    </w:p>
    <w:p w14:paraId="06F8E49C" w14:textId="645BDB51" w:rsidR="002A3164" w:rsidRPr="00C5657A" w:rsidRDefault="002A3164" w:rsidP="00A52400">
      <w:pPr>
        <w:spacing w:line="240" w:lineRule="atLeast"/>
        <w:ind w:left="1134" w:right="1134"/>
        <w:jc w:val="both"/>
        <w:rPr>
          <w:sz w:val="20"/>
          <w:szCs w:val="20"/>
        </w:rPr>
      </w:pPr>
      <w:r w:rsidRPr="00C5657A">
        <w:rPr>
          <w:sz w:val="20"/>
          <w:szCs w:val="20"/>
        </w:rPr>
        <w:t xml:space="preserve">The private rental sector in Ireland delivers housing services across Irish society, including many of the most vulnerable and disadvantaged households. It continues to face challenges due to a demand for rental accommodation outstripping a restricted supply, which can place upward pressure on rents. Over recent years, there has been considerable change in the demographic profile of households renting in the private market, which is increasingly similar to those in homeownership. Balancing policy in the interests of landlords and tenants in a measured way continues to be challenging. </w:t>
      </w:r>
    </w:p>
    <w:p w14:paraId="32F9957B" w14:textId="77777777" w:rsidR="00EB7D94" w:rsidRPr="00C5657A" w:rsidRDefault="00EB7D94" w:rsidP="00A52400">
      <w:pPr>
        <w:spacing w:line="240" w:lineRule="atLeast"/>
        <w:ind w:left="1134" w:right="1134"/>
        <w:jc w:val="both"/>
        <w:rPr>
          <w:sz w:val="20"/>
          <w:szCs w:val="20"/>
          <w:u w:val="single"/>
        </w:rPr>
      </w:pPr>
    </w:p>
    <w:p w14:paraId="1566DB90"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Recent Legislative Changes</w:t>
      </w:r>
    </w:p>
    <w:p w14:paraId="2601E135" w14:textId="32A039E5" w:rsidR="002A3164" w:rsidRPr="00C5657A" w:rsidRDefault="002A3164" w:rsidP="00A52400">
      <w:pPr>
        <w:spacing w:line="240" w:lineRule="atLeast"/>
        <w:ind w:left="1134" w:right="1134"/>
        <w:jc w:val="both"/>
        <w:rPr>
          <w:sz w:val="20"/>
          <w:szCs w:val="20"/>
        </w:rPr>
      </w:pPr>
      <w:r w:rsidRPr="00C5657A">
        <w:rPr>
          <w:sz w:val="20"/>
          <w:szCs w:val="20"/>
        </w:rPr>
        <w:t xml:space="preserve">Significant legislative changes </w:t>
      </w:r>
      <w:r w:rsidR="002B4C32" w:rsidRPr="00C5657A">
        <w:rPr>
          <w:sz w:val="20"/>
          <w:szCs w:val="20"/>
        </w:rPr>
        <w:t>have</w:t>
      </w:r>
      <w:r w:rsidRPr="00C5657A">
        <w:rPr>
          <w:sz w:val="20"/>
          <w:szCs w:val="20"/>
        </w:rPr>
        <w:t xml:space="preserve"> occurred in the Rental Market Sector over the past 6 years with the </w:t>
      </w:r>
      <w:r w:rsidRPr="002B4C32">
        <w:rPr>
          <w:i/>
          <w:sz w:val="20"/>
          <w:szCs w:val="20"/>
        </w:rPr>
        <w:t>Residential Tenancies Act 2004</w:t>
      </w:r>
      <w:r w:rsidRPr="00C5657A">
        <w:rPr>
          <w:sz w:val="20"/>
          <w:szCs w:val="20"/>
        </w:rPr>
        <w:t xml:space="preserve"> (RTA) being modified 10 times from 2016 to 2022. Half of these bills were enacted between March 2020 and March 2021, to give temporary protection for tenants during the </w:t>
      </w:r>
      <w:r w:rsidR="002B4C32">
        <w:rPr>
          <w:sz w:val="20"/>
          <w:szCs w:val="20"/>
        </w:rPr>
        <w:t>COVID</w:t>
      </w:r>
      <w:r w:rsidRPr="00C5657A">
        <w:rPr>
          <w:sz w:val="20"/>
          <w:szCs w:val="20"/>
        </w:rPr>
        <w:t xml:space="preserve"> pandemic, a measure that has since been reversed. </w:t>
      </w:r>
    </w:p>
    <w:p w14:paraId="4D16616E" w14:textId="77777777" w:rsidR="00C5657A" w:rsidRPr="00C5657A" w:rsidRDefault="00C5657A" w:rsidP="00A52400">
      <w:pPr>
        <w:spacing w:line="240" w:lineRule="atLeast"/>
        <w:ind w:left="1134" w:right="1134"/>
        <w:jc w:val="both"/>
        <w:rPr>
          <w:sz w:val="20"/>
          <w:szCs w:val="20"/>
        </w:rPr>
      </w:pPr>
    </w:p>
    <w:p w14:paraId="31296314" w14:textId="77777777" w:rsidR="002A3164" w:rsidRPr="00C5657A" w:rsidRDefault="002A3164" w:rsidP="00A52400">
      <w:pPr>
        <w:spacing w:line="240" w:lineRule="atLeast"/>
        <w:ind w:left="1134" w:right="1134"/>
        <w:jc w:val="both"/>
        <w:rPr>
          <w:sz w:val="20"/>
          <w:szCs w:val="20"/>
        </w:rPr>
      </w:pPr>
      <w:r w:rsidRPr="00C5657A">
        <w:rPr>
          <w:sz w:val="20"/>
          <w:szCs w:val="20"/>
        </w:rPr>
        <w:t>Enduring changes include:</w:t>
      </w:r>
    </w:p>
    <w:p w14:paraId="1BCAD248" w14:textId="64C11ED8"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Rent predictability measures to limit rent increases in R</w:t>
      </w:r>
      <w:r w:rsidR="00C5657A" w:rsidRPr="00C5657A">
        <w:rPr>
          <w:rFonts w:ascii="Times New Roman" w:hAnsi="Times New Roman" w:cs="Times New Roman"/>
          <w:sz w:val="20"/>
          <w:szCs w:val="20"/>
        </w:rPr>
        <w:t xml:space="preserve">ent </w:t>
      </w:r>
      <w:r w:rsidRPr="00C5657A">
        <w:rPr>
          <w:rFonts w:ascii="Times New Roman" w:hAnsi="Times New Roman" w:cs="Times New Roman"/>
          <w:sz w:val="20"/>
          <w:szCs w:val="20"/>
        </w:rPr>
        <w:t>P</w:t>
      </w:r>
      <w:r w:rsidR="00C5657A" w:rsidRPr="00C5657A">
        <w:rPr>
          <w:rFonts w:ascii="Times New Roman" w:hAnsi="Times New Roman" w:cs="Times New Roman"/>
          <w:sz w:val="20"/>
          <w:szCs w:val="20"/>
        </w:rPr>
        <w:t xml:space="preserve">ressure </w:t>
      </w:r>
      <w:r w:rsidRPr="00C5657A">
        <w:rPr>
          <w:rFonts w:ascii="Times New Roman" w:hAnsi="Times New Roman" w:cs="Times New Roman"/>
          <w:sz w:val="20"/>
          <w:szCs w:val="20"/>
        </w:rPr>
        <w:t>Z</w:t>
      </w:r>
      <w:r w:rsidR="00C5657A" w:rsidRPr="00C5657A">
        <w:rPr>
          <w:rFonts w:ascii="Times New Roman" w:hAnsi="Times New Roman" w:cs="Times New Roman"/>
          <w:sz w:val="20"/>
          <w:szCs w:val="20"/>
        </w:rPr>
        <w:t>ones (current RPZ</w:t>
      </w:r>
      <w:r w:rsidRPr="00C5657A">
        <w:rPr>
          <w:rFonts w:ascii="Times New Roman" w:hAnsi="Times New Roman" w:cs="Times New Roman"/>
          <w:sz w:val="20"/>
          <w:szCs w:val="20"/>
        </w:rPr>
        <w:t>s will be operational until December 31st 2024)</w:t>
      </w:r>
    </w:p>
    <w:p w14:paraId="4EF1C9BB"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Conditional sales for landlord wishing to sell 10 or more properties in a single development at the same time (tenants can remain in situ)</w:t>
      </w:r>
    </w:p>
    <w:p w14:paraId="2CD4DFE7"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New procedures to be followed in the context of rent arrears warnings and associated tenancy terminations.</w:t>
      </w:r>
    </w:p>
    <w:p w14:paraId="7D9E7A01" w14:textId="309B9B98" w:rsidR="002A3164" w:rsidRPr="00C5657A" w:rsidRDefault="002B4C32" w:rsidP="00EC6275">
      <w:pPr>
        <w:pStyle w:val="ListParagraph"/>
        <w:numPr>
          <w:ilvl w:val="0"/>
          <w:numId w:val="21"/>
        </w:numPr>
        <w:spacing w:line="240" w:lineRule="atLeast"/>
        <w:ind w:right="1134"/>
        <w:jc w:val="both"/>
        <w:rPr>
          <w:rFonts w:ascii="Times New Roman" w:hAnsi="Times New Roman" w:cs="Times New Roman"/>
          <w:sz w:val="20"/>
          <w:szCs w:val="20"/>
        </w:rPr>
      </w:pPr>
      <w:r>
        <w:rPr>
          <w:rFonts w:ascii="Times New Roman" w:hAnsi="Times New Roman" w:cs="Times New Roman"/>
          <w:sz w:val="20"/>
          <w:szCs w:val="20"/>
        </w:rPr>
        <w:t>The Residential Tenancies Board</w:t>
      </w:r>
      <w:r w:rsidR="002A3164" w:rsidRPr="00C5657A">
        <w:rPr>
          <w:rFonts w:ascii="Times New Roman" w:hAnsi="Times New Roman" w:cs="Times New Roman"/>
          <w:sz w:val="20"/>
          <w:szCs w:val="20"/>
        </w:rPr>
        <w:t xml:space="preserve"> is empowered to investigate improper conduct by landlords and to impose sanctions, where appropriate, with effect from 1 July 2019.</w:t>
      </w:r>
    </w:p>
    <w:p w14:paraId="43BB7771"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Annual Registration of tenancies from 4 April 2022, with temporary registration waiver fee for certain ‘further Part 4’ tenancies already in place on that date.</w:t>
      </w:r>
    </w:p>
    <w:p w14:paraId="09E2064B"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lastRenderedPageBreak/>
        <w:t>Relevant obligations and rights under residential tenancies legislation to apply to tenancy and licence agreements in student-specific accommodation.</w:t>
      </w:r>
    </w:p>
    <w:p w14:paraId="3F180F5D"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RPZ rent review capped at 2% per year on a pro rata basis, where HICP inflation is higher.</w:t>
      </w:r>
    </w:p>
    <w:p w14:paraId="19122B65"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 xml:space="preserve">New tenancies after 11 June 2022 become Tenancies of Unlimited Duration once the tenancy has lasted 6 months or more. </w:t>
      </w:r>
    </w:p>
    <w:p w14:paraId="6917758A" w14:textId="77777777" w:rsidR="002A3164" w:rsidRPr="00C5657A"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Notice of Termination periods extended for all tenancies, with reviews build in, where there has been no breach of tenant obligation.</w:t>
      </w:r>
    </w:p>
    <w:p w14:paraId="440523A5" w14:textId="716ED339" w:rsidR="002A3164" w:rsidRDefault="002A3164" w:rsidP="00EC6275">
      <w:pPr>
        <w:pStyle w:val="ListParagraph"/>
        <w:numPr>
          <w:ilvl w:val="0"/>
          <w:numId w:val="21"/>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Landlords must make “re-let” in certain cases when they have ended tenancies.</w:t>
      </w:r>
    </w:p>
    <w:p w14:paraId="43AA3129" w14:textId="77777777" w:rsidR="00343D34" w:rsidRPr="00C5657A" w:rsidRDefault="00343D34" w:rsidP="00343D34">
      <w:pPr>
        <w:pStyle w:val="ListParagraph"/>
        <w:spacing w:line="240" w:lineRule="atLeast"/>
        <w:ind w:left="1854" w:right="1134"/>
        <w:jc w:val="both"/>
        <w:rPr>
          <w:rFonts w:ascii="Times New Roman" w:hAnsi="Times New Roman" w:cs="Times New Roman"/>
          <w:sz w:val="20"/>
          <w:szCs w:val="20"/>
        </w:rPr>
      </w:pPr>
    </w:p>
    <w:p w14:paraId="75469B21" w14:textId="08D766D8" w:rsidR="00343D34" w:rsidRPr="00C5657A" w:rsidRDefault="002A3164" w:rsidP="002B4C32">
      <w:pPr>
        <w:spacing w:line="240" w:lineRule="atLeast"/>
        <w:ind w:left="1134" w:right="1134"/>
        <w:jc w:val="both"/>
        <w:rPr>
          <w:sz w:val="20"/>
          <w:szCs w:val="20"/>
        </w:rPr>
      </w:pPr>
      <w:r w:rsidRPr="00C5657A">
        <w:rPr>
          <w:sz w:val="20"/>
          <w:szCs w:val="20"/>
        </w:rPr>
        <w:t xml:space="preserve">More recently, the Government introduced </w:t>
      </w:r>
      <w:r w:rsidRPr="002B4C32">
        <w:rPr>
          <w:i/>
          <w:sz w:val="20"/>
          <w:szCs w:val="20"/>
        </w:rPr>
        <w:t>Residential Tenancies (Deferment of Termination Dates of Certain Tenanci</w:t>
      </w:r>
      <w:r w:rsidR="00343D34" w:rsidRPr="002B4C32">
        <w:rPr>
          <w:i/>
          <w:sz w:val="20"/>
          <w:szCs w:val="20"/>
        </w:rPr>
        <w:t>es) Act 2022</w:t>
      </w:r>
      <w:r w:rsidR="00343D34">
        <w:rPr>
          <w:sz w:val="20"/>
          <w:szCs w:val="20"/>
        </w:rPr>
        <w:t>, the aim of which wa</w:t>
      </w:r>
      <w:r w:rsidRPr="00C5657A">
        <w:rPr>
          <w:sz w:val="20"/>
          <w:szCs w:val="20"/>
        </w:rPr>
        <w:t>s to afford time for housing supply to increase and to reduce the burden on homelessness services and the pressure on tenants and the residential tenancies market dur</w:t>
      </w:r>
      <w:r w:rsidR="002B4C32">
        <w:rPr>
          <w:sz w:val="20"/>
          <w:szCs w:val="20"/>
        </w:rPr>
        <w:t xml:space="preserve">ing the period 30 October 2022 to 31 March 2023. </w:t>
      </w:r>
      <w:r w:rsidR="00343D34" w:rsidRPr="002B4C32">
        <w:rPr>
          <w:sz w:val="20"/>
          <w:szCs w:val="20"/>
        </w:rPr>
        <w:t xml:space="preserve">The eviction moratorium was brought in as a short term measure and ended as originally planned on 31 March. There is no cliff edge end to the moratorium period and it will be phased out to 18 June.  </w:t>
      </w:r>
    </w:p>
    <w:p w14:paraId="0BEA55ED" w14:textId="77777777" w:rsidR="00C5657A" w:rsidRPr="00C5657A" w:rsidRDefault="00C5657A" w:rsidP="00A52400">
      <w:pPr>
        <w:spacing w:line="240" w:lineRule="atLeast"/>
        <w:ind w:left="1134" w:right="1134"/>
        <w:jc w:val="both"/>
        <w:rPr>
          <w:sz w:val="20"/>
          <w:szCs w:val="20"/>
        </w:rPr>
      </w:pPr>
    </w:p>
    <w:p w14:paraId="40A378A6" w14:textId="6A5FC07A" w:rsidR="002A3164" w:rsidRPr="00C5657A" w:rsidRDefault="002A3164" w:rsidP="00A52400">
      <w:pPr>
        <w:spacing w:line="240" w:lineRule="atLeast"/>
        <w:ind w:left="1134" w:right="1134"/>
        <w:jc w:val="both"/>
        <w:rPr>
          <w:sz w:val="20"/>
          <w:szCs w:val="20"/>
        </w:rPr>
      </w:pPr>
      <w:r w:rsidRPr="00C5657A">
        <w:rPr>
          <w:sz w:val="20"/>
          <w:szCs w:val="20"/>
        </w:rPr>
        <w:t xml:space="preserve">Ultimately, increased supply across all tenures is key to eradicating homelessness. Housing supply is increasing under </w:t>
      </w:r>
      <w:r w:rsidRPr="005325A8">
        <w:rPr>
          <w:i/>
          <w:sz w:val="20"/>
          <w:szCs w:val="20"/>
        </w:rPr>
        <w:t>Housing for All</w:t>
      </w:r>
      <w:r w:rsidRPr="00C5657A">
        <w:rPr>
          <w:sz w:val="20"/>
          <w:szCs w:val="20"/>
        </w:rPr>
        <w:t>. Record State investment of €4.5bn will be made available in 2023 to support the largest State home building programme ever</w:t>
      </w:r>
      <w:r w:rsidR="002B4C32">
        <w:rPr>
          <w:sz w:val="20"/>
          <w:szCs w:val="20"/>
        </w:rPr>
        <w:t>.</w:t>
      </w:r>
    </w:p>
    <w:p w14:paraId="5A585058" w14:textId="77777777" w:rsidR="002A3164" w:rsidRPr="00C5657A" w:rsidRDefault="002A3164" w:rsidP="00A52400">
      <w:pPr>
        <w:spacing w:line="240" w:lineRule="atLeast"/>
        <w:ind w:left="1134" w:right="1134"/>
        <w:jc w:val="both"/>
        <w:rPr>
          <w:sz w:val="20"/>
          <w:szCs w:val="20"/>
        </w:rPr>
      </w:pPr>
    </w:p>
    <w:p w14:paraId="090F2A39"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Mortgage to Rent</w:t>
      </w:r>
    </w:p>
    <w:p w14:paraId="25D36F8D" w14:textId="0E75FEFF" w:rsidR="002A3164" w:rsidRDefault="002A3164" w:rsidP="00A52400">
      <w:pPr>
        <w:spacing w:line="240" w:lineRule="atLeast"/>
        <w:ind w:left="1134" w:right="1134"/>
        <w:jc w:val="both"/>
        <w:rPr>
          <w:sz w:val="20"/>
          <w:szCs w:val="20"/>
        </w:rPr>
      </w:pPr>
      <w:r w:rsidRPr="00C5657A">
        <w:rPr>
          <w:sz w:val="20"/>
          <w:szCs w:val="20"/>
        </w:rPr>
        <w:t>Since the inception of the Mortgage to Rent (MTR) scheme in 2012 up to the end of 2022, 2,114 households with unsustainable private mortgages have completed the MTR process and 534 cases are being processed. Just under 50% of the successful cases have been completed by the private entity Home for Life. A total of 6,078 individuals are benefitting from the scheme, which comprises of 3,350 adults and 2,728 children. </w:t>
      </w:r>
    </w:p>
    <w:p w14:paraId="5FC4337C" w14:textId="77777777" w:rsidR="002B4C32" w:rsidRPr="00C5657A" w:rsidRDefault="002B4C32" w:rsidP="00A52400">
      <w:pPr>
        <w:spacing w:line="240" w:lineRule="atLeast"/>
        <w:ind w:left="1134" w:right="1134"/>
        <w:jc w:val="both"/>
        <w:rPr>
          <w:sz w:val="20"/>
          <w:szCs w:val="20"/>
        </w:rPr>
      </w:pPr>
    </w:p>
    <w:p w14:paraId="3B6B3975" w14:textId="77777777" w:rsidR="002A3164" w:rsidRPr="00C5657A" w:rsidRDefault="002A3164" w:rsidP="00A52400">
      <w:pPr>
        <w:spacing w:line="240" w:lineRule="atLeast"/>
        <w:ind w:left="1134" w:right="1134"/>
        <w:jc w:val="both"/>
        <w:rPr>
          <w:sz w:val="20"/>
          <w:szCs w:val="20"/>
        </w:rPr>
      </w:pPr>
      <w:r w:rsidRPr="00C5657A">
        <w:rPr>
          <w:sz w:val="20"/>
          <w:szCs w:val="20"/>
        </w:rPr>
        <w:t>A review of the MTR scheme was undertaken in 2021 and published in January 2022. 2021 was the most successful year of the scheme with 32% of all cases being completed in that year. A further 20% of all cases were completed in 2022. Mortgage to Rent is a demand led scheme and relies heavily on both borrower engagement and the lender putting the case forward if the borrower meets the criteria for the scheme, including being eligible for social housing.</w:t>
      </w:r>
    </w:p>
    <w:p w14:paraId="4E02E781" w14:textId="7339EDFA" w:rsidR="002A3164" w:rsidRPr="00C5657A" w:rsidRDefault="002A3164" w:rsidP="00C5657A">
      <w:pPr>
        <w:spacing w:line="240" w:lineRule="atLeast"/>
        <w:ind w:right="1134"/>
        <w:jc w:val="both"/>
        <w:rPr>
          <w:sz w:val="20"/>
          <w:szCs w:val="20"/>
          <w:u w:val="single"/>
        </w:rPr>
      </w:pPr>
    </w:p>
    <w:p w14:paraId="60781A26" w14:textId="77777777" w:rsidR="002A3164" w:rsidRPr="00C5657A" w:rsidRDefault="002A3164" w:rsidP="00A52400">
      <w:pPr>
        <w:spacing w:line="240" w:lineRule="atLeast"/>
        <w:ind w:left="1134" w:right="1134"/>
        <w:jc w:val="both"/>
        <w:rPr>
          <w:sz w:val="20"/>
          <w:szCs w:val="20"/>
          <w:u w:val="single"/>
        </w:rPr>
      </w:pPr>
      <w:r w:rsidRPr="00C5657A">
        <w:rPr>
          <w:sz w:val="20"/>
          <w:szCs w:val="20"/>
          <w:u w:val="single"/>
        </w:rPr>
        <w:t>Referendum on Housing</w:t>
      </w:r>
    </w:p>
    <w:p w14:paraId="7A901F49" w14:textId="4937130B" w:rsidR="002A3164" w:rsidRPr="00C5657A" w:rsidRDefault="002A3164" w:rsidP="00A52400">
      <w:pPr>
        <w:spacing w:line="240" w:lineRule="atLeast"/>
        <w:ind w:left="1134" w:right="1134"/>
        <w:jc w:val="both"/>
        <w:rPr>
          <w:sz w:val="20"/>
          <w:szCs w:val="20"/>
        </w:rPr>
      </w:pPr>
      <w:r w:rsidRPr="00C5657A">
        <w:rPr>
          <w:sz w:val="20"/>
          <w:szCs w:val="20"/>
        </w:rPr>
        <w:t xml:space="preserve">In line with commitments in the Programme for Government and </w:t>
      </w:r>
      <w:r w:rsidRPr="002B4C32">
        <w:rPr>
          <w:i/>
          <w:sz w:val="20"/>
          <w:szCs w:val="20"/>
        </w:rPr>
        <w:t>Housing for All</w:t>
      </w:r>
      <w:r w:rsidRPr="00C5657A">
        <w:rPr>
          <w:sz w:val="20"/>
          <w:szCs w:val="20"/>
        </w:rPr>
        <w:t>, the Housing Commission was established by Government in December 2021 to independently examine and review the housing system in Ireland. The Commission’s Terms of Reference cover a wide range of issues connected to housing, one of which is to consider the complex constitutional issues arising in this area and to propose appropriate wording for a referendum on housing.</w:t>
      </w:r>
    </w:p>
    <w:p w14:paraId="30EC0D25" w14:textId="77777777" w:rsidR="00C5657A" w:rsidRPr="00C5657A" w:rsidRDefault="00C5657A" w:rsidP="00A52400">
      <w:pPr>
        <w:spacing w:line="240" w:lineRule="atLeast"/>
        <w:ind w:left="1134" w:right="1134"/>
        <w:jc w:val="both"/>
        <w:rPr>
          <w:sz w:val="20"/>
          <w:szCs w:val="20"/>
        </w:rPr>
      </w:pPr>
    </w:p>
    <w:p w14:paraId="3FC03D68" w14:textId="186C77FE" w:rsidR="002A3164" w:rsidRPr="00C5657A" w:rsidRDefault="002A3164" w:rsidP="002B4C32">
      <w:pPr>
        <w:spacing w:line="240" w:lineRule="atLeast"/>
        <w:ind w:left="1134" w:right="1134"/>
        <w:jc w:val="both"/>
        <w:rPr>
          <w:sz w:val="20"/>
          <w:szCs w:val="20"/>
        </w:rPr>
      </w:pPr>
      <w:r w:rsidRPr="00C5657A">
        <w:rPr>
          <w:sz w:val="20"/>
          <w:szCs w:val="20"/>
        </w:rPr>
        <w:t>The proposed timeline for a referendum on housing will be a matter for Government to consider following receipt of the propos</w:t>
      </w:r>
      <w:r w:rsidR="002B4C32">
        <w:rPr>
          <w:sz w:val="20"/>
          <w:szCs w:val="20"/>
        </w:rPr>
        <w:t xml:space="preserve">ed wording from the Commission. </w:t>
      </w:r>
      <w:r w:rsidRPr="00C5657A">
        <w:rPr>
          <w:sz w:val="20"/>
          <w:szCs w:val="20"/>
        </w:rPr>
        <w:t>It should be noted that the Commission on Housing is independent from the Department</w:t>
      </w:r>
      <w:r w:rsidR="002B4C32">
        <w:rPr>
          <w:sz w:val="20"/>
          <w:szCs w:val="20"/>
        </w:rPr>
        <w:t xml:space="preserve"> of Housing, Local Government and Heritage</w:t>
      </w:r>
      <w:r w:rsidRPr="00C5657A">
        <w:rPr>
          <w:sz w:val="20"/>
          <w:szCs w:val="20"/>
        </w:rPr>
        <w:t>. The Commission will regularly be publishing information on its website</w:t>
      </w:r>
      <w:r w:rsidR="00C5657A" w:rsidRPr="00C5657A">
        <w:rPr>
          <w:sz w:val="20"/>
          <w:szCs w:val="20"/>
        </w:rPr>
        <w:t>:</w:t>
      </w:r>
      <w:r w:rsidRPr="00C5657A">
        <w:rPr>
          <w:sz w:val="20"/>
          <w:szCs w:val="20"/>
        </w:rPr>
        <w:t xml:space="preserve"> </w:t>
      </w:r>
      <w:r w:rsidRPr="002B4C32">
        <w:rPr>
          <w:sz w:val="20"/>
          <w:szCs w:val="20"/>
          <w:u w:val="single"/>
        </w:rPr>
        <w:t>https://www.gov.ie/housingcommission/</w:t>
      </w:r>
      <w:r w:rsidR="00C5657A" w:rsidRPr="00C5657A">
        <w:rPr>
          <w:sz w:val="20"/>
          <w:szCs w:val="20"/>
        </w:rPr>
        <w:t xml:space="preserve"> </w:t>
      </w:r>
    </w:p>
    <w:p w14:paraId="22FF145B" w14:textId="41ABAB5F" w:rsidR="002A3164" w:rsidRPr="00C5657A" w:rsidRDefault="002A3164" w:rsidP="00C5657A">
      <w:pPr>
        <w:pStyle w:val="SingleTxtG"/>
        <w:spacing w:after="0"/>
        <w:ind w:left="0"/>
        <w:rPr>
          <w:b/>
          <w:lang w:val="en-IE"/>
        </w:rPr>
      </w:pPr>
    </w:p>
    <w:p w14:paraId="1836F55C" w14:textId="77777777" w:rsidR="00AE5A09" w:rsidRPr="00C5657A" w:rsidRDefault="00AE5A09" w:rsidP="005B52EA">
      <w:pPr>
        <w:pStyle w:val="SingleTxtG"/>
        <w:spacing w:after="0"/>
        <w:rPr>
          <w:b/>
          <w:color w:val="0070C0"/>
        </w:rPr>
      </w:pPr>
      <w:r w:rsidRPr="00C5657A">
        <w:rPr>
          <w:b/>
        </w:rPr>
        <w:t>Reply to para</w:t>
      </w:r>
      <w:r w:rsidR="001E6C1A" w:rsidRPr="00C5657A">
        <w:rPr>
          <w:b/>
        </w:rPr>
        <w:t>graph</w:t>
      </w:r>
      <w:r w:rsidRPr="00C5657A">
        <w:rPr>
          <w:b/>
        </w:rPr>
        <w:t xml:space="preserve"> 20</w:t>
      </w:r>
      <w:r w:rsidRPr="00C5657A">
        <w:rPr>
          <w:b/>
        </w:rPr>
        <w:tab/>
      </w:r>
    </w:p>
    <w:p w14:paraId="0B5A5EE5" w14:textId="3E2FC161" w:rsidR="002A3164" w:rsidRPr="00C5657A" w:rsidRDefault="002A3164" w:rsidP="00C5657A">
      <w:pPr>
        <w:spacing w:line="240" w:lineRule="atLeast"/>
        <w:ind w:left="1134" w:right="1134"/>
        <w:jc w:val="both"/>
        <w:rPr>
          <w:rFonts w:eastAsiaTheme="minorHAnsi"/>
          <w:color w:val="000000"/>
          <w:sz w:val="20"/>
          <w:szCs w:val="20"/>
          <w:lang w:eastAsia="en-US"/>
        </w:rPr>
      </w:pPr>
      <w:r w:rsidRPr="00C5657A">
        <w:rPr>
          <w:sz w:val="20"/>
          <w:szCs w:val="20"/>
        </w:rPr>
        <w:t>The</w:t>
      </w:r>
      <w:r w:rsidR="002B4C32">
        <w:rPr>
          <w:sz w:val="20"/>
          <w:szCs w:val="20"/>
        </w:rPr>
        <w:t xml:space="preserve"> </w:t>
      </w:r>
      <w:r w:rsidR="002B4C32">
        <w:rPr>
          <w:i/>
          <w:sz w:val="20"/>
          <w:szCs w:val="20"/>
        </w:rPr>
        <w:t>National Housing Strategy for Disabled People 2022-2027</w:t>
      </w:r>
      <w:r w:rsidR="002B4C32">
        <w:rPr>
          <w:sz w:val="20"/>
          <w:szCs w:val="20"/>
        </w:rPr>
        <w:t xml:space="preserve"> operates wi</w:t>
      </w:r>
      <w:r w:rsidRPr="00C5657A">
        <w:rPr>
          <w:sz w:val="20"/>
          <w:szCs w:val="20"/>
        </w:rPr>
        <w:t xml:space="preserve">thin the framework of </w:t>
      </w:r>
      <w:r w:rsidRPr="002B4C32">
        <w:rPr>
          <w:i/>
          <w:sz w:val="20"/>
          <w:szCs w:val="20"/>
        </w:rPr>
        <w:t>Housing for All</w:t>
      </w:r>
      <w:r w:rsidRPr="00C5657A">
        <w:rPr>
          <w:sz w:val="20"/>
          <w:szCs w:val="20"/>
        </w:rPr>
        <w:t>, which is committed to ensuring that affordable, quality</w:t>
      </w:r>
      <w:r w:rsidRPr="00C5657A">
        <w:rPr>
          <w:rFonts w:eastAsiaTheme="minorHAnsi"/>
          <w:color w:val="000000"/>
          <w:sz w:val="20"/>
          <w:szCs w:val="20"/>
          <w:lang w:eastAsia="en-US"/>
        </w:rPr>
        <w:t xml:space="preserve"> housing, including universally designed units, is available to everyone in Irish society, including people with disabilities. </w:t>
      </w:r>
      <w:r w:rsidRPr="002B4C32">
        <w:rPr>
          <w:rFonts w:eastAsiaTheme="minorHAnsi"/>
          <w:i/>
          <w:color w:val="000000"/>
          <w:sz w:val="20"/>
          <w:szCs w:val="20"/>
          <w:lang w:eastAsia="en-US"/>
        </w:rPr>
        <w:t>Housing for All</w:t>
      </w:r>
      <w:r w:rsidRPr="00C5657A">
        <w:rPr>
          <w:rFonts w:eastAsiaTheme="minorHAnsi"/>
          <w:color w:val="000000"/>
          <w:sz w:val="20"/>
          <w:szCs w:val="20"/>
          <w:lang w:eastAsia="en-US"/>
        </w:rPr>
        <w:t xml:space="preserve"> contains a range of actions to support the provision of housing for disabled people. </w:t>
      </w:r>
    </w:p>
    <w:p w14:paraId="69074BEC" w14:textId="77777777" w:rsidR="00C5657A" w:rsidRPr="00C5657A" w:rsidRDefault="00C5657A" w:rsidP="00C5657A">
      <w:pPr>
        <w:spacing w:line="240" w:lineRule="atLeast"/>
        <w:ind w:left="1134" w:right="1134"/>
        <w:jc w:val="both"/>
        <w:rPr>
          <w:rFonts w:eastAsiaTheme="minorHAnsi"/>
          <w:color w:val="000000"/>
          <w:sz w:val="20"/>
          <w:szCs w:val="20"/>
          <w:lang w:eastAsia="en-US"/>
        </w:rPr>
      </w:pPr>
    </w:p>
    <w:p w14:paraId="24F71DDB" w14:textId="5AD1852C" w:rsidR="002A3164" w:rsidRPr="00C5657A" w:rsidRDefault="002A3164" w:rsidP="00C5657A">
      <w:pPr>
        <w:spacing w:line="240" w:lineRule="atLeast"/>
        <w:ind w:left="1134" w:right="1134"/>
        <w:jc w:val="both"/>
        <w:rPr>
          <w:sz w:val="20"/>
          <w:szCs w:val="20"/>
        </w:rPr>
      </w:pPr>
      <w:r w:rsidRPr="00C5657A">
        <w:rPr>
          <w:sz w:val="20"/>
          <w:szCs w:val="20"/>
        </w:rPr>
        <w:t>The actions listed are either ongoing or completed:</w:t>
      </w:r>
    </w:p>
    <w:p w14:paraId="32EED7BB" w14:textId="77777777" w:rsidR="00C5657A" w:rsidRPr="00C5657A" w:rsidRDefault="00C5657A" w:rsidP="00C5657A">
      <w:pPr>
        <w:spacing w:line="240" w:lineRule="atLeast"/>
        <w:ind w:left="1134" w:right="1134"/>
        <w:jc w:val="both"/>
        <w:rPr>
          <w:sz w:val="20"/>
          <w:szCs w:val="20"/>
        </w:rPr>
      </w:pPr>
    </w:p>
    <w:p w14:paraId="374129E9" w14:textId="0C5DAC08" w:rsidR="002A3164" w:rsidRPr="00C5657A" w:rsidRDefault="002A3164" w:rsidP="00EC6275">
      <w:pPr>
        <w:pStyle w:val="ListParagraph"/>
        <w:numPr>
          <w:ilvl w:val="0"/>
          <w:numId w:val="22"/>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lastRenderedPageBreak/>
        <w:t xml:space="preserve">Deliver a new </w:t>
      </w:r>
      <w:r w:rsidRPr="002B4C32">
        <w:rPr>
          <w:rFonts w:ascii="Times New Roman" w:hAnsi="Times New Roman" w:cs="Times New Roman"/>
          <w:i/>
          <w:sz w:val="20"/>
          <w:szCs w:val="20"/>
        </w:rPr>
        <w:t xml:space="preserve">National Housing Strategy for </w:t>
      </w:r>
      <w:r w:rsidR="00343D34" w:rsidRPr="002B4C32">
        <w:rPr>
          <w:rFonts w:ascii="Times New Roman" w:hAnsi="Times New Roman" w:cs="Times New Roman"/>
          <w:i/>
          <w:sz w:val="20"/>
          <w:szCs w:val="20"/>
        </w:rPr>
        <w:t xml:space="preserve">Disabled People </w:t>
      </w:r>
      <w:r w:rsidR="002B4C32">
        <w:rPr>
          <w:rFonts w:ascii="Times New Roman" w:hAnsi="Times New Roman" w:cs="Times New Roman"/>
          <w:i/>
          <w:sz w:val="20"/>
          <w:szCs w:val="20"/>
        </w:rPr>
        <w:t>(2022-</w:t>
      </w:r>
      <w:r w:rsidRPr="002B4C32">
        <w:rPr>
          <w:rFonts w:ascii="Times New Roman" w:hAnsi="Times New Roman" w:cs="Times New Roman"/>
          <w:i/>
          <w:sz w:val="20"/>
          <w:szCs w:val="20"/>
        </w:rPr>
        <w:t>2027)</w:t>
      </w:r>
      <w:r w:rsidRPr="00C5657A">
        <w:rPr>
          <w:rFonts w:ascii="Times New Roman" w:hAnsi="Times New Roman" w:cs="Times New Roman"/>
          <w:sz w:val="20"/>
          <w:szCs w:val="20"/>
        </w:rPr>
        <w:t xml:space="preserve"> following stakeholder and consultation and with a range of actions that will detail co-ordination and alignment of housing, health and community supports.</w:t>
      </w:r>
    </w:p>
    <w:p w14:paraId="59F190D5" w14:textId="77777777" w:rsidR="002A3164" w:rsidRPr="00C5657A" w:rsidRDefault="002A3164" w:rsidP="00EC6275">
      <w:pPr>
        <w:pStyle w:val="ListParagraph"/>
        <w:numPr>
          <w:ilvl w:val="0"/>
          <w:numId w:val="22"/>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Local Authority Housing Delivery Action Plans will set out how dedicated social housing provision appropriate to the needs of people with a disability will be delivered matching the scale and extent of housing need identified for people with a disability.</w:t>
      </w:r>
    </w:p>
    <w:p w14:paraId="234E1645" w14:textId="77777777" w:rsidR="002A3164" w:rsidRPr="00C5657A" w:rsidRDefault="002A3164" w:rsidP="00EC6275">
      <w:pPr>
        <w:pStyle w:val="ListParagraph"/>
        <w:numPr>
          <w:ilvl w:val="0"/>
          <w:numId w:val="22"/>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 xml:space="preserve">Local Authorities will consider the housing needs of people with a disability through the Housing Need and Demand Assessment Framework and feed that into their Housing Strategies as part of their Development Plan process. </w:t>
      </w:r>
    </w:p>
    <w:p w14:paraId="05B91535" w14:textId="77777777" w:rsidR="002A3164" w:rsidRPr="00C5657A" w:rsidRDefault="002A3164" w:rsidP="00EC6275">
      <w:pPr>
        <w:pStyle w:val="ListParagraph"/>
        <w:numPr>
          <w:ilvl w:val="0"/>
          <w:numId w:val="22"/>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Review the range of housing grants available to assist with meeting specific housing needs, including the Housing Adaptation Grant for People with a Disability, and implement relevant changes.</w:t>
      </w:r>
    </w:p>
    <w:p w14:paraId="286F5850" w14:textId="77777777" w:rsidR="002A3164" w:rsidRPr="00C5657A" w:rsidRDefault="002A3164" w:rsidP="00EC6275">
      <w:pPr>
        <w:pStyle w:val="ListParagraph"/>
        <w:numPr>
          <w:ilvl w:val="0"/>
          <w:numId w:val="22"/>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 xml:space="preserve">Nominate Disability Friendly Housing Technical Advisors in each Local Authority. </w:t>
      </w:r>
    </w:p>
    <w:p w14:paraId="529BC888" w14:textId="77777777" w:rsidR="002A3164" w:rsidRPr="00C5657A" w:rsidRDefault="002A3164" w:rsidP="00EC6275">
      <w:pPr>
        <w:pStyle w:val="ListParagraph"/>
        <w:numPr>
          <w:ilvl w:val="0"/>
          <w:numId w:val="22"/>
        </w:numPr>
        <w:spacing w:line="240" w:lineRule="atLeast"/>
        <w:ind w:right="1134"/>
        <w:jc w:val="both"/>
        <w:rPr>
          <w:rFonts w:ascii="Times New Roman" w:hAnsi="Times New Roman" w:cs="Times New Roman"/>
          <w:sz w:val="20"/>
          <w:szCs w:val="20"/>
        </w:rPr>
      </w:pPr>
      <w:r w:rsidRPr="00C5657A">
        <w:rPr>
          <w:rFonts w:ascii="Times New Roman" w:hAnsi="Times New Roman" w:cs="Times New Roman"/>
          <w:sz w:val="20"/>
          <w:szCs w:val="20"/>
        </w:rPr>
        <w:t xml:space="preserve">Housing and Disability Steering Groups will report quarterly on the implementation of their local strategic plans regarding housing for people with a disability to the Chief Executive and the Strategic Policy Committee. </w:t>
      </w:r>
    </w:p>
    <w:p w14:paraId="3AB3E9E6" w14:textId="77777777" w:rsidR="002B4C32" w:rsidRDefault="002B4C32" w:rsidP="00C5657A">
      <w:pPr>
        <w:spacing w:line="240" w:lineRule="atLeast"/>
        <w:ind w:left="1134" w:right="1134"/>
        <w:jc w:val="both"/>
        <w:rPr>
          <w:rFonts w:eastAsiaTheme="minorHAnsi"/>
          <w:color w:val="000000"/>
          <w:sz w:val="20"/>
          <w:szCs w:val="20"/>
          <w:u w:val="single"/>
          <w:lang w:eastAsia="en-US"/>
        </w:rPr>
      </w:pPr>
    </w:p>
    <w:p w14:paraId="7DE26289" w14:textId="34B5BA2C" w:rsidR="002A3164" w:rsidRPr="00C5657A" w:rsidRDefault="002A3164" w:rsidP="00C5657A">
      <w:pPr>
        <w:spacing w:line="240" w:lineRule="atLeast"/>
        <w:ind w:left="1134" w:right="1134"/>
        <w:jc w:val="both"/>
        <w:rPr>
          <w:rFonts w:eastAsiaTheme="minorHAnsi"/>
          <w:color w:val="000000"/>
          <w:sz w:val="20"/>
          <w:szCs w:val="20"/>
          <w:lang w:eastAsia="en-US"/>
        </w:rPr>
      </w:pPr>
      <w:r w:rsidRPr="00C5657A">
        <w:rPr>
          <w:rFonts w:eastAsiaTheme="minorHAnsi"/>
          <w:color w:val="000000"/>
          <w:sz w:val="20"/>
          <w:szCs w:val="20"/>
          <w:u w:val="single"/>
          <w:lang w:eastAsia="en-US"/>
        </w:rPr>
        <w:t>Transition of Disabled People from Congregated Settings</w:t>
      </w:r>
    </w:p>
    <w:p w14:paraId="06BFA800" w14:textId="4E116A32" w:rsidR="002A3164" w:rsidRPr="00C5657A" w:rsidRDefault="002A3164" w:rsidP="002B4C32">
      <w:pPr>
        <w:spacing w:line="240" w:lineRule="atLeast"/>
        <w:ind w:left="1134" w:right="1134"/>
        <w:jc w:val="both"/>
        <w:rPr>
          <w:rFonts w:eastAsiaTheme="minorHAnsi"/>
          <w:color w:val="000000"/>
          <w:sz w:val="20"/>
          <w:szCs w:val="20"/>
          <w:lang w:eastAsia="en-US"/>
        </w:rPr>
      </w:pPr>
      <w:r w:rsidRPr="00C5657A">
        <w:rPr>
          <w:rFonts w:eastAsiaTheme="minorHAnsi"/>
          <w:color w:val="000000"/>
          <w:sz w:val="20"/>
          <w:szCs w:val="20"/>
          <w:lang w:eastAsia="en-US"/>
        </w:rPr>
        <w:t xml:space="preserve">In Ireland for the purposes of public policy, a congregated setting is defined as ‘living arrangements where ten or more people share a single living unit or where the living </w:t>
      </w:r>
      <w:r w:rsidR="002B4C32">
        <w:rPr>
          <w:rFonts w:eastAsiaTheme="minorHAnsi"/>
          <w:color w:val="000000"/>
          <w:sz w:val="20"/>
          <w:szCs w:val="20"/>
          <w:lang w:eastAsia="en-US"/>
        </w:rPr>
        <w:t xml:space="preserve">arrangements are campus‐based’. </w:t>
      </w:r>
      <w:r w:rsidRPr="00C5657A">
        <w:rPr>
          <w:rFonts w:eastAsiaTheme="minorHAnsi"/>
          <w:color w:val="000000"/>
          <w:sz w:val="20"/>
          <w:szCs w:val="20"/>
          <w:lang w:eastAsia="en-US"/>
        </w:rPr>
        <w:t xml:space="preserve">Government policy on the </w:t>
      </w:r>
      <w:proofErr w:type="spellStart"/>
      <w:r w:rsidRPr="00C5657A">
        <w:rPr>
          <w:rFonts w:eastAsiaTheme="minorHAnsi"/>
          <w:color w:val="000000"/>
          <w:sz w:val="20"/>
          <w:szCs w:val="20"/>
          <w:lang w:eastAsia="en-US"/>
        </w:rPr>
        <w:t>decongregation</w:t>
      </w:r>
      <w:proofErr w:type="spellEnd"/>
      <w:r w:rsidRPr="00C5657A">
        <w:rPr>
          <w:rFonts w:eastAsiaTheme="minorHAnsi"/>
          <w:color w:val="000000"/>
          <w:sz w:val="20"/>
          <w:szCs w:val="20"/>
          <w:lang w:eastAsia="en-US"/>
        </w:rPr>
        <w:t xml:space="preserve"> of residential institutions for persons with intellectual</w:t>
      </w:r>
      <w:r w:rsidR="002B4C32">
        <w:rPr>
          <w:rFonts w:eastAsiaTheme="minorHAnsi"/>
          <w:color w:val="000000"/>
          <w:sz w:val="20"/>
          <w:szCs w:val="20"/>
          <w:lang w:eastAsia="en-US"/>
        </w:rPr>
        <w:t xml:space="preserve"> disabilities</w:t>
      </w:r>
      <w:r w:rsidRPr="00C5657A">
        <w:rPr>
          <w:rFonts w:eastAsiaTheme="minorHAnsi"/>
          <w:color w:val="000000"/>
          <w:sz w:val="20"/>
          <w:szCs w:val="20"/>
          <w:lang w:eastAsia="en-US"/>
        </w:rPr>
        <w:t xml:space="preserve"> is a matter for the Department of Health, but is supported by the </w:t>
      </w:r>
      <w:r w:rsidRPr="002B4C32">
        <w:rPr>
          <w:rFonts w:eastAsiaTheme="minorHAnsi"/>
          <w:i/>
          <w:color w:val="000000"/>
          <w:sz w:val="20"/>
          <w:szCs w:val="20"/>
          <w:lang w:eastAsia="en-US"/>
        </w:rPr>
        <w:t>National Housing Strategy for Disabled People</w:t>
      </w:r>
      <w:r w:rsidRPr="00C5657A">
        <w:rPr>
          <w:rFonts w:eastAsiaTheme="minorHAnsi"/>
          <w:color w:val="000000"/>
          <w:sz w:val="20"/>
          <w:szCs w:val="20"/>
          <w:lang w:eastAsia="en-US"/>
        </w:rPr>
        <w:t xml:space="preserve"> and its predecessor the </w:t>
      </w:r>
      <w:r w:rsidRPr="002B4C32">
        <w:rPr>
          <w:rFonts w:eastAsiaTheme="minorHAnsi"/>
          <w:i/>
          <w:color w:val="000000"/>
          <w:sz w:val="20"/>
          <w:szCs w:val="20"/>
          <w:lang w:eastAsia="en-US"/>
        </w:rPr>
        <w:t>National Housing Strategy for People with Disabilities</w:t>
      </w:r>
      <w:r w:rsidR="002B4C32">
        <w:rPr>
          <w:rFonts w:eastAsiaTheme="minorHAnsi"/>
          <w:i/>
          <w:color w:val="000000"/>
          <w:sz w:val="20"/>
          <w:szCs w:val="20"/>
          <w:lang w:eastAsia="en-US"/>
        </w:rPr>
        <w:t xml:space="preserve"> </w:t>
      </w:r>
      <w:r w:rsidRPr="002B4C32">
        <w:rPr>
          <w:rFonts w:eastAsiaTheme="minorHAnsi"/>
          <w:i/>
          <w:color w:val="000000"/>
          <w:sz w:val="20"/>
          <w:szCs w:val="20"/>
          <w:lang w:eastAsia="en-US"/>
        </w:rPr>
        <w:t>2011-2021</w:t>
      </w:r>
      <w:r w:rsidRPr="00C5657A">
        <w:rPr>
          <w:rFonts w:eastAsiaTheme="minorHAnsi"/>
          <w:color w:val="000000"/>
          <w:sz w:val="20"/>
          <w:szCs w:val="20"/>
          <w:lang w:eastAsia="en-US"/>
        </w:rPr>
        <w:t xml:space="preserve">. </w:t>
      </w:r>
    </w:p>
    <w:p w14:paraId="6AF490C0" w14:textId="77777777" w:rsidR="00C5657A" w:rsidRPr="00C5657A" w:rsidRDefault="00C5657A" w:rsidP="00C5657A">
      <w:pPr>
        <w:spacing w:line="240" w:lineRule="atLeast"/>
        <w:ind w:left="1134" w:right="1134"/>
        <w:jc w:val="both"/>
        <w:rPr>
          <w:rFonts w:eastAsiaTheme="minorHAnsi"/>
          <w:color w:val="000000"/>
          <w:sz w:val="20"/>
          <w:szCs w:val="20"/>
          <w:lang w:eastAsia="en-US"/>
        </w:rPr>
      </w:pPr>
    </w:p>
    <w:p w14:paraId="019CCDC3" w14:textId="51CFB4B1" w:rsidR="002A3164" w:rsidRPr="00C5657A" w:rsidRDefault="002A3164" w:rsidP="00C5657A">
      <w:pPr>
        <w:spacing w:line="240" w:lineRule="atLeast"/>
        <w:ind w:left="1134" w:right="1134"/>
        <w:jc w:val="both"/>
        <w:rPr>
          <w:rFonts w:eastAsiaTheme="minorHAnsi"/>
          <w:color w:val="000000"/>
          <w:sz w:val="20"/>
          <w:szCs w:val="20"/>
          <w:lang w:eastAsia="en-US"/>
        </w:rPr>
      </w:pPr>
      <w:r w:rsidRPr="00C5657A">
        <w:rPr>
          <w:rFonts w:eastAsiaTheme="minorHAnsi"/>
          <w:color w:val="000000"/>
          <w:sz w:val="20"/>
          <w:szCs w:val="20"/>
          <w:lang w:eastAsia="en-US"/>
        </w:rPr>
        <w:t>A framework for collaboration was established at national and local level to drive housing delivery for this group</w:t>
      </w:r>
      <w:r w:rsidR="002B4C32">
        <w:rPr>
          <w:rFonts w:eastAsiaTheme="minorHAnsi"/>
          <w:color w:val="000000"/>
          <w:sz w:val="20"/>
          <w:szCs w:val="20"/>
          <w:lang w:eastAsia="en-US"/>
        </w:rPr>
        <w:t>,</w:t>
      </w:r>
      <w:r w:rsidRPr="00C5657A">
        <w:rPr>
          <w:rFonts w:eastAsiaTheme="minorHAnsi"/>
          <w:color w:val="000000"/>
          <w:sz w:val="20"/>
          <w:szCs w:val="20"/>
          <w:lang w:eastAsia="en-US"/>
        </w:rPr>
        <w:t xml:space="preserve"> with both Departments being represented at national level and </w:t>
      </w:r>
      <w:r w:rsidR="002B4C32">
        <w:rPr>
          <w:rFonts w:eastAsiaTheme="minorHAnsi"/>
          <w:color w:val="000000"/>
          <w:sz w:val="20"/>
          <w:szCs w:val="20"/>
          <w:lang w:eastAsia="en-US"/>
        </w:rPr>
        <w:t>by</w:t>
      </w:r>
      <w:r w:rsidRPr="00C5657A">
        <w:rPr>
          <w:rFonts w:eastAsiaTheme="minorHAnsi"/>
          <w:color w:val="000000"/>
          <w:sz w:val="20"/>
          <w:szCs w:val="20"/>
          <w:lang w:eastAsia="en-US"/>
        </w:rPr>
        <w:t xml:space="preserve"> local governm</w:t>
      </w:r>
      <w:r w:rsidR="002B4C32">
        <w:rPr>
          <w:rFonts w:eastAsiaTheme="minorHAnsi"/>
          <w:color w:val="000000"/>
          <w:sz w:val="20"/>
          <w:szCs w:val="20"/>
          <w:lang w:eastAsia="en-US"/>
        </w:rPr>
        <w:t xml:space="preserve">ent and local health services </w:t>
      </w:r>
      <w:r w:rsidRPr="00C5657A">
        <w:rPr>
          <w:rFonts w:eastAsiaTheme="minorHAnsi"/>
          <w:color w:val="000000"/>
          <w:sz w:val="20"/>
          <w:szCs w:val="20"/>
          <w:lang w:eastAsia="en-US"/>
        </w:rPr>
        <w:t>to ensure that the housing and support needs of people with intellectual disabilities are met.</w:t>
      </w:r>
    </w:p>
    <w:p w14:paraId="2D6FBEFD" w14:textId="06C6DFEF" w:rsidR="002A3164" w:rsidRPr="00C5657A" w:rsidRDefault="002A3164" w:rsidP="002B4C32">
      <w:pPr>
        <w:spacing w:line="240" w:lineRule="atLeast"/>
        <w:ind w:right="1134"/>
        <w:jc w:val="both"/>
        <w:rPr>
          <w:rFonts w:eastAsiaTheme="minorHAnsi"/>
          <w:color w:val="000000"/>
          <w:sz w:val="20"/>
          <w:szCs w:val="20"/>
          <w:u w:val="single"/>
          <w:lang w:eastAsia="en-US"/>
        </w:rPr>
      </w:pPr>
    </w:p>
    <w:p w14:paraId="5B507822" w14:textId="578F99D5" w:rsidR="00C5657A" w:rsidRPr="00C5657A" w:rsidRDefault="00C5657A" w:rsidP="00C5657A">
      <w:pPr>
        <w:spacing w:line="240" w:lineRule="atLeast"/>
        <w:ind w:left="1134" w:right="1134"/>
        <w:jc w:val="both"/>
        <w:rPr>
          <w:rFonts w:eastAsiaTheme="minorHAnsi"/>
          <w:color w:val="000000"/>
          <w:sz w:val="20"/>
          <w:szCs w:val="20"/>
          <w:u w:val="single"/>
          <w:lang w:eastAsia="en-US"/>
        </w:rPr>
      </w:pPr>
      <w:r w:rsidRPr="00C5657A">
        <w:rPr>
          <w:rFonts w:eastAsiaTheme="minorHAnsi"/>
          <w:color w:val="000000"/>
          <w:sz w:val="20"/>
          <w:szCs w:val="20"/>
          <w:u w:val="single"/>
          <w:lang w:eastAsia="en-US"/>
        </w:rPr>
        <w:t xml:space="preserve">Traveller Accommodation </w:t>
      </w:r>
    </w:p>
    <w:p w14:paraId="70024549" w14:textId="3B36A251" w:rsidR="002A3164" w:rsidRDefault="002A3164" w:rsidP="00C5657A">
      <w:pPr>
        <w:spacing w:line="240" w:lineRule="atLeast"/>
        <w:ind w:left="1134" w:right="1134"/>
        <w:jc w:val="both"/>
        <w:rPr>
          <w:rFonts w:eastAsiaTheme="minorHAnsi"/>
          <w:color w:val="000000"/>
          <w:sz w:val="20"/>
          <w:szCs w:val="20"/>
          <w:lang w:eastAsia="en-US"/>
        </w:rPr>
      </w:pPr>
      <w:r w:rsidRPr="00C5657A">
        <w:rPr>
          <w:rFonts w:eastAsiaTheme="minorHAnsi"/>
          <w:color w:val="000000"/>
          <w:sz w:val="20"/>
          <w:szCs w:val="20"/>
          <w:lang w:eastAsia="en-US"/>
        </w:rPr>
        <w:t xml:space="preserve">Local Authorities are required to identify the accommodation needs of Travellers across a range of accommodation options including standard and group housing, permanent residential sites for caravans and transient sites. To identify need, they must ensure that they consult widely with all stakeholders, including the Traveller community, Traveller representative groups, relevant public </w:t>
      </w:r>
      <w:r w:rsidR="005728FD">
        <w:rPr>
          <w:rFonts w:eastAsiaTheme="minorHAnsi"/>
          <w:color w:val="000000"/>
          <w:sz w:val="20"/>
          <w:szCs w:val="20"/>
          <w:lang w:eastAsia="en-US"/>
        </w:rPr>
        <w:t xml:space="preserve">bodies and the general public. </w:t>
      </w:r>
      <w:r w:rsidRPr="00C5657A">
        <w:rPr>
          <w:rFonts w:eastAsiaTheme="minorHAnsi"/>
          <w:color w:val="000000"/>
          <w:sz w:val="20"/>
          <w:szCs w:val="20"/>
          <w:lang w:eastAsia="en-US"/>
        </w:rPr>
        <w:t xml:space="preserve">The Programmes must contain annual targets, which are monitored by the Department of Housing, Planning and Local Government on an on-going basis. These Programmes provide a road map for Local Authority investment priorities over the period of the Programme and form the basis for the allocation of </w:t>
      </w:r>
      <w:r w:rsidRPr="005728FD">
        <w:rPr>
          <w:rFonts w:eastAsiaTheme="minorHAnsi"/>
          <w:color w:val="000000"/>
          <w:sz w:val="20"/>
          <w:szCs w:val="20"/>
          <w:lang w:eastAsia="en-US"/>
        </w:rPr>
        <w:t>funding</w:t>
      </w:r>
      <w:r w:rsidR="00343D34" w:rsidRPr="005728FD">
        <w:rPr>
          <w:rFonts w:eastAsiaTheme="minorHAnsi"/>
          <w:color w:val="000000"/>
          <w:sz w:val="20"/>
          <w:szCs w:val="20"/>
          <w:lang w:eastAsia="en-US"/>
        </w:rPr>
        <w:t>.</w:t>
      </w:r>
    </w:p>
    <w:p w14:paraId="39FDE1AE" w14:textId="741D6364" w:rsidR="005728FD" w:rsidRDefault="005728FD" w:rsidP="00C5657A">
      <w:pPr>
        <w:spacing w:line="240" w:lineRule="atLeast"/>
        <w:ind w:left="1134" w:right="1134"/>
        <w:jc w:val="both"/>
        <w:rPr>
          <w:rFonts w:eastAsiaTheme="minorHAnsi"/>
          <w:color w:val="000000"/>
          <w:sz w:val="20"/>
          <w:szCs w:val="20"/>
          <w:lang w:eastAsia="en-US"/>
        </w:rPr>
      </w:pPr>
    </w:p>
    <w:p w14:paraId="26E1A7FD" w14:textId="0720BC64" w:rsidR="005728FD" w:rsidRPr="00C5657A" w:rsidRDefault="005728FD" w:rsidP="005728FD">
      <w:pPr>
        <w:spacing w:line="240" w:lineRule="atLeast"/>
        <w:ind w:left="1134" w:right="1134"/>
        <w:jc w:val="both"/>
        <w:rPr>
          <w:color w:val="000000"/>
          <w:sz w:val="20"/>
          <w:szCs w:val="20"/>
        </w:rPr>
      </w:pPr>
      <w:r w:rsidRPr="00C5657A">
        <w:rPr>
          <w:color w:val="000000"/>
          <w:sz w:val="20"/>
          <w:szCs w:val="20"/>
        </w:rPr>
        <w:t>A statutory Local Traveller Accommodation Consultative Committee is appointed in each local authority to advise on the provision and management of accommodation for Travellers</w:t>
      </w:r>
      <w:r>
        <w:rPr>
          <w:color w:val="000000"/>
          <w:sz w:val="20"/>
          <w:szCs w:val="20"/>
        </w:rPr>
        <w:t>,</w:t>
      </w:r>
      <w:r w:rsidRPr="00C5657A">
        <w:rPr>
          <w:color w:val="000000"/>
          <w:sz w:val="20"/>
          <w:szCs w:val="20"/>
        </w:rPr>
        <w:t xml:space="preserve"> in line with the Traveller Accommodation Programme prepared and implemented by the local authority. The </w:t>
      </w:r>
      <w:r>
        <w:rPr>
          <w:color w:val="000000"/>
          <w:sz w:val="20"/>
          <w:szCs w:val="20"/>
        </w:rPr>
        <w:t xml:space="preserve">relevant </w:t>
      </w:r>
      <w:r w:rsidRPr="00C5657A">
        <w:rPr>
          <w:color w:val="000000"/>
          <w:sz w:val="20"/>
          <w:szCs w:val="20"/>
        </w:rPr>
        <w:t xml:space="preserve">Department monitors spending under the programme and engages directly with local authorities with regard to progress on their plans.  </w:t>
      </w:r>
    </w:p>
    <w:p w14:paraId="6EDD7D54" w14:textId="77777777" w:rsidR="00C5657A" w:rsidRPr="00C5657A" w:rsidRDefault="00C5657A" w:rsidP="00C5657A">
      <w:pPr>
        <w:spacing w:line="240" w:lineRule="atLeast"/>
        <w:ind w:left="1134" w:right="1134"/>
        <w:jc w:val="both"/>
        <w:rPr>
          <w:rFonts w:eastAsiaTheme="minorHAnsi"/>
          <w:color w:val="000000"/>
          <w:sz w:val="20"/>
          <w:szCs w:val="20"/>
          <w:lang w:eastAsia="en-US"/>
        </w:rPr>
      </w:pPr>
    </w:p>
    <w:p w14:paraId="1FF18F36" w14:textId="5F299FE8" w:rsidR="002A3164" w:rsidRDefault="002A3164" w:rsidP="00C5657A">
      <w:pPr>
        <w:spacing w:after="160" w:line="259" w:lineRule="auto"/>
        <w:ind w:left="414" w:firstLine="720"/>
        <w:rPr>
          <w:rFonts w:eastAsiaTheme="minorHAnsi"/>
          <w:i/>
          <w:sz w:val="20"/>
          <w:szCs w:val="20"/>
          <w:lang w:eastAsia="en-US"/>
        </w:rPr>
      </w:pPr>
      <w:r w:rsidRPr="005728FD">
        <w:rPr>
          <w:rFonts w:eastAsiaTheme="minorHAnsi"/>
          <w:i/>
          <w:sz w:val="20"/>
          <w:szCs w:val="20"/>
          <w:lang w:eastAsia="en-US"/>
        </w:rPr>
        <w:t>Capital Expenditure on Traveller-Specific Accommodation 2018-2022</w:t>
      </w:r>
    </w:p>
    <w:tbl>
      <w:tblPr>
        <w:tblStyle w:val="TableGrid"/>
        <w:tblW w:w="0" w:type="auto"/>
        <w:tblInd w:w="1129" w:type="dxa"/>
        <w:tblLook w:val="04A0" w:firstRow="1" w:lastRow="0" w:firstColumn="1" w:lastColumn="0" w:noHBand="0" w:noVBand="1"/>
      </w:tblPr>
      <w:tblGrid>
        <w:gridCol w:w="1474"/>
        <w:gridCol w:w="1474"/>
        <w:gridCol w:w="1474"/>
        <w:gridCol w:w="1474"/>
        <w:gridCol w:w="1475"/>
      </w:tblGrid>
      <w:tr w:rsidR="005728FD" w14:paraId="6EE28F67" w14:textId="77777777" w:rsidTr="0030514D">
        <w:tc>
          <w:tcPr>
            <w:tcW w:w="1474" w:type="dxa"/>
            <w:vAlign w:val="center"/>
          </w:tcPr>
          <w:p w14:paraId="2AE34479" w14:textId="688D13B6"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 xml:space="preserve">2018 </w:t>
            </w:r>
            <w:proofErr w:type="spellStart"/>
            <w:r>
              <w:rPr>
                <w:rFonts w:eastAsiaTheme="minorHAnsi"/>
                <w:bCs/>
                <w:sz w:val="20"/>
                <w:szCs w:val="20"/>
                <w:lang w:eastAsia="en-US"/>
              </w:rPr>
              <w:t>d</w:t>
            </w:r>
            <w:r w:rsidRPr="005728FD">
              <w:rPr>
                <w:rFonts w:eastAsiaTheme="minorHAnsi"/>
                <w:bCs/>
                <w:sz w:val="20"/>
                <w:szCs w:val="20"/>
                <w:lang w:eastAsia="en-US"/>
              </w:rPr>
              <w:t>rawdown</w:t>
            </w:r>
            <w:proofErr w:type="spellEnd"/>
          </w:p>
        </w:tc>
        <w:tc>
          <w:tcPr>
            <w:tcW w:w="1474" w:type="dxa"/>
            <w:vAlign w:val="center"/>
          </w:tcPr>
          <w:p w14:paraId="6BC6B14B" w14:textId="041435D8"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 xml:space="preserve">2019 </w:t>
            </w:r>
            <w:proofErr w:type="spellStart"/>
            <w:r>
              <w:rPr>
                <w:rFonts w:eastAsiaTheme="minorHAnsi"/>
                <w:bCs/>
                <w:sz w:val="20"/>
                <w:szCs w:val="20"/>
                <w:lang w:eastAsia="en-US"/>
              </w:rPr>
              <w:t>d</w:t>
            </w:r>
            <w:r w:rsidRPr="005728FD">
              <w:rPr>
                <w:rFonts w:eastAsiaTheme="minorHAnsi"/>
                <w:bCs/>
                <w:sz w:val="20"/>
                <w:szCs w:val="20"/>
                <w:lang w:eastAsia="en-US"/>
              </w:rPr>
              <w:t>rawdown</w:t>
            </w:r>
            <w:proofErr w:type="spellEnd"/>
          </w:p>
        </w:tc>
        <w:tc>
          <w:tcPr>
            <w:tcW w:w="1474" w:type="dxa"/>
            <w:vAlign w:val="center"/>
          </w:tcPr>
          <w:p w14:paraId="408C7432" w14:textId="1BCDF2C7"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 xml:space="preserve">2020 </w:t>
            </w:r>
            <w:proofErr w:type="spellStart"/>
            <w:r>
              <w:rPr>
                <w:rFonts w:eastAsiaTheme="minorHAnsi"/>
                <w:bCs/>
                <w:sz w:val="20"/>
                <w:szCs w:val="20"/>
                <w:lang w:eastAsia="en-US"/>
              </w:rPr>
              <w:t>d</w:t>
            </w:r>
            <w:r w:rsidRPr="005728FD">
              <w:rPr>
                <w:rFonts w:eastAsiaTheme="minorHAnsi"/>
                <w:bCs/>
                <w:sz w:val="20"/>
                <w:szCs w:val="20"/>
                <w:lang w:eastAsia="en-US"/>
              </w:rPr>
              <w:t>rawdown</w:t>
            </w:r>
            <w:proofErr w:type="spellEnd"/>
          </w:p>
        </w:tc>
        <w:tc>
          <w:tcPr>
            <w:tcW w:w="1474" w:type="dxa"/>
            <w:vAlign w:val="center"/>
          </w:tcPr>
          <w:p w14:paraId="67527602" w14:textId="086DE162"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 xml:space="preserve">2021 </w:t>
            </w:r>
            <w:proofErr w:type="spellStart"/>
            <w:r>
              <w:rPr>
                <w:rFonts w:eastAsiaTheme="minorHAnsi"/>
                <w:bCs/>
                <w:sz w:val="20"/>
                <w:szCs w:val="20"/>
                <w:lang w:eastAsia="en-US"/>
              </w:rPr>
              <w:t>d</w:t>
            </w:r>
            <w:r w:rsidRPr="005728FD">
              <w:rPr>
                <w:rFonts w:eastAsiaTheme="minorHAnsi"/>
                <w:bCs/>
                <w:sz w:val="20"/>
                <w:szCs w:val="20"/>
                <w:lang w:eastAsia="en-US"/>
              </w:rPr>
              <w:t>rawdown</w:t>
            </w:r>
            <w:proofErr w:type="spellEnd"/>
          </w:p>
        </w:tc>
        <w:tc>
          <w:tcPr>
            <w:tcW w:w="1475" w:type="dxa"/>
            <w:vAlign w:val="center"/>
          </w:tcPr>
          <w:p w14:paraId="61860E61" w14:textId="30987C47"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 xml:space="preserve">2022 </w:t>
            </w:r>
            <w:proofErr w:type="spellStart"/>
            <w:r>
              <w:rPr>
                <w:rFonts w:eastAsiaTheme="minorHAnsi"/>
                <w:bCs/>
                <w:sz w:val="20"/>
                <w:szCs w:val="20"/>
                <w:lang w:eastAsia="en-US"/>
              </w:rPr>
              <w:t>d</w:t>
            </w:r>
            <w:r w:rsidRPr="005728FD">
              <w:rPr>
                <w:rFonts w:eastAsiaTheme="minorHAnsi"/>
                <w:bCs/>
                <w:sz w:val="20"/>
                <w:szCs w:val="20"/>
                <w:lang w:eastAsia="en-US"/>
              </w:rPr>
              <w:t>rawdown</w:t>
            </w:r>
            <w:proofErr w:type="spellEnd"/>
          </w:p>
        </w:tc>
      </w:tr>
      <w:tr w:rsidR="005728FD" w14:paraId="1FDCD4BB" w14:textId="77777777" w:rsidTr="0030514D">
        <w:tc>
          <w:tcPr>
            <w:tcW w:w="1474" w:type="dxa"/>
            <w:vAlign w:val="bottom"/>
          </w:tcPr>
          <w:p w14:paraId="04A45F67" w14:textId="6F5494A8"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€6,264,345</w:t>
            </w:r>
          </w:p>
        </w:tc>
        <w:tc>
          <w:tcPr>
            <w:tcW w:w="1474" w:type="dxa"/>
            <w:vAlign w:val="bottom"/>
          </w:tcPr>
          <w:p w14:paraId="30ECA4FF" w14:textId="692EBDE4"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€8,657,652</w:t>
            </w:r>
          </w:p>
        </w:tc>
        <w:tc>
          <w:tcPr>
            <w:tcW w:w="1474" w:type="dxa"/>
            <w:vAlign w:val="bottom"/>
          </w:tcPr>
          <w:p w14:paraId="0182956B" w14:textId="11085F8B"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€14,497,654</w:t>
            </w:r>
          </w:p>
        </w:tc>
        <w:tc>
          <w:tcPr>
            <w:tcW w:w="1474" w:type="dxa"/>
            <w:vAlign w:val="bottom"/>
          </w:tcPr>
          <w:p w14:paraId="09AAE7FE" w14:textId="62D17994"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€15,499,963</w:t>
            </w:r>
          </w:p>
        </w:tc>
        <w:tc>
          <w:tcPr>
            <w:tcW w:w="1475" w:type="dxa"/>
            <w:vAlign w:val="bottom"/>
          </w:tcPr>
          <w:p w14:paraId="7C929EA3" w14:textId="316C0D2D" w:rsidR="005728FD" w:rsidRPr="005728FD" w:rsidRDefault="005728FD" w:rsidP="005728FD">
            <w:pPr>
              <w:spacing w:after="160" w:line="259" w:lineRule="auto"/>
              <w:jc w:val="center"/>
              <w:rPr>
                <w:rFonts w:eastAsiaTheme="minorHAnsi"/>
                <w:i/>
                <w:sz w:val="20"/>
                <w:szCs w:val="20"/>
                <w:lang w:eastAsia="en-US"/>
              </w:rPr>
            </w:pPr>
            <w:r w:rsidRPr="005728FD">
              <w:rPr>
                <w:rFonts w:eastAsiaTheme="minorHAnsi"/>
                <w:bCs/>
                <w:sz w:val="20"/>
                <w:szCs w:val="20"/>
                <w:lang w:eastAsia="en-US"/>
              </w:rPr>
              <w:t>€20,599,647</w:t>
            </w:r>
          </w:p>
        </w:tc>
      </w:tr>
    </w:tbl>
    <w:p w14:paraId="3688B30E" w14:textId="77777777" w:rsidR="005728FD" w:rsidRDefault="005728FD" w:rsidP="005728FD">
      <w:pPr>
        <w:spacing w:line="240" w:lineRule="atLeast"/>
        <w:ind w:right="1134"/>
        <w:jc w:val="both"/>
        <w:rPr>
          <w:rFonts w:eastAsiaTheme="minorHAnsi"/>
          <w:i/>
          <w:sz w:val="20"/>
          <w:szCs w:val="20"/>
          <w:lang w:eastAsia="en-US"/>
        </w:rPr>
      </w:pPr>
    </w:p>
    <w:p w14:paraId="7A43808B" w14:textId="547DE584" w:rsidR="002A3164" w:rsidRPr="00C5657A" w:rsidRDefault="002A3164" w:rsidP="005728FD">
      <w:pPr>
        <w:spacing w:line="240" w:lineRule="atLeast"/>
        <w:ind w:left="1134" w:right="1134"/>
        <w:jc w:val="both"/>
        <w:rPr>
          <w:rFonts w:eastAsiaTheme="minorHAnsi"/>
          <w:color w:val="000000"/>
          <w:sz w:val="20"/>
          <w:szCs w:val="20"/>
          <w:lang w:eastAsia="en-US"/>
        </w:rPr>
      </w:pPr>
      <w:r w:rsidRPr="00C5657A">
        <w:rPr>
          <w:rFonts w:eastAsiaTheme="minorHAnsi"/>
          <w:color w:val="000000"/>
          <w:sz w:val="20"/>
          <w:szCs w:val="20"/>
          <w:lang w:eastAsia="en-US"/>
        </w:rPr>
        <w:t>Following on from a review by an Independent Expert Review Group</w:t>
      </w:r>
      <w:r w:rsidR="005728FD">
        <w:rPr>
          <w:rFonts w:eastAsiaTheme="minorHAnsi"/>
          <w:color w:val="000000"/>
          <w:sz w:val="20"/>
          <w:szCs w:val="20"/>
          <w:lang w:eastAsia="en-US"/>
        </w:rPr>
        <w:t>,</w:t>
      </w:r>
      <w:r w:rsidRPr="00C5657A">
        <w:rPr>
          <w:rFonts w:eastAsiaTheme="minorHAnsi"/>
          <w:color w:val="000000"/>
          <w:sz w:val="20"/>
          <w:szCs w:val="20"/>
          <w:lang w:eastAsia="en-US"/>
        </w:rPr>
        <w:t xml:space="preserve"> a report was completed in July 2019 with recommendations on improving the delivery of Traveller accommodation nationally and ensuring that full use is made of the increasing level of funding available for investment in Traveller accommodation.</w:t>
      </w:r>
      <w:r w:rsidR="005728FD">
        <w:rPr>
          <w:rFonts w:eastAsiaTheme="minorHAnsi"/>
          <w:color w:val="000000"/>
          <w:sz w:val="20"/>
          <w:szCs w:val="20"/>
          <w:lang w:eastAsia="en-US"/>
        </w:rPr>
        <w:t xml:space="preserve"> </w:t>
      </w:r>
      <w:r w:rsidRPr="00C5657A">
        <w:rPr>
          <w:rFonts w:eastAsiaTheme="minorHAnsi"/>
          <w:color w:val="000000"/>
          <w:sz w:val="20"/>
          <w:szCs w:val="20"/>
          <w:lang w:eastAsia="en-US"/>
        </w:rPr>
        <w:t xml:space="preserve">A Programme Board was established in 2021 to </w:t>
      </w:r>
      <w:r w:rsidRPr="00C5657A">
        <w:rPr>
          <w:rFonts w:eastAsiaTheme="minorHAnsi"/>
          <w:color w:val="000000"/>
          <w:sz w:val="20"/>
          <w:szCs w:val="20"/>
          <w:lang w:eastAsia="en-US"/>
        </w:rPr>
        <w:lastRenderedPageBreak/>
        <w:t>oversee the implementation of recommendations of the Expert Group and a work programme is underway.</w:t>
      </w:r>
    </w:p>
    <w:p w14:paraId="0AA7451E" w14:textId="77777777" w:rsidR="002A3164" w:rsidRPr="00C5657A" w:rsidRDefault="002A3164" w:rsidP="00C5657A">
      <w:pPr>
        <w:spacing w:line="240" w:lineRule="atLeast"/>
        <w:ind w:left="1134" w:right="1134"/>
        <w:jc w:val="both"/>
        <w:rPr>
          <w:rFonts w:eastAsiaTheme="minorHAnsi"/>
          <w:color w:val="000000"/>
          <w:sz w:val="20"/>
          <w:szCs w:val="20"/>
          <w:lang w:eastAsia="en-US"/>
        </w:rPr>
      </w:pPr>
    </w:p>
    <w:p w14:paraId="358A599A" w14:textId="6C7FCEC6" w:rsidR="001E6C1A" w:rsidRPr="005728FD" w:rsidRDefault="002A3164" w:rsidP="005728FD">
      <w:pPr>
        <w:spacing w:line="240" w:lineRule="atLeast"/>
        <w:ind w:left="1134" w:right="1134"/>
        <w:jc w:val="both"/>
        <w:rPr>
          <w:rFonts w:eastAsiaTheme="minorHAnsi"/>
          <w:color w:val="000000"/>
          <w:sz w:val="20"/>
          <w:szCs w:val="20"/>
          <w:lang w:eastAsia="en-US"/>
        </w:rPr>
      </w:pPr>
      <w:r w:rsidRPr="00C5657A">
        <w:rPr>
          <w:rFonts w:eastAsiaTheme="minorHAnsi"/>
          <w:color w:val="000000"/>
          <w:sz w:val="20"/>
          <w:szCs w:val="20"/>
          <w:lang w:eastAsia="en-US"/>
        </w:rPr>
        <w:t>The Board has agreed to publish progress on consideration and implementation of the recommendations on the Department’s website and regular progress updates are available on the website (mo</w:t>
      </w:r>
      <w:r w:rsidR="00C5657A">
        <w:rPr>
          <w:rFonts w:eastAsiaTheme="minorHAnsi"/>
          <w:color w:val="000000"/>
          <w:sz w:val="20"/>
          <w:szCs w:val="20"/>
          <w:lang w:eastAsia="en-US"/>
        </w:rPr>
        <w:t xml:space="preserve">st recent dated </w:t>
      </w:r>
      <w:r w:rsidR="00343D34">
        <w:rPr>
          <w:rFonts w:eastAsiaTheme="minorHAnsi"/>
          <w:color w:val="000000"/>
          <w:sz w:val="20"/>
          <w:szCs w:val="20"/>
          <w:lang w:eastAsia="en-US"/>
        </w:rPr>
        <w:t>April</w:t>
      </w:r>
      <w:r w:rsidR="00C5657A">
        <w:rPr>
          <w:rFonts w:eastAsiaTheme="minorHAnsi"/>
          <w:color w:val="000000"/>
          <w:sz w:val="20"/>
          <w:szCs w:val="20"/>
          <w:lang w:eastAsia="en-US"/>
        </w:rPr>
        <w:t xml:space="preserve"> 2023): </w:t>
      </w:r>
      <w:hyperlink r:id="rId17" w:tgtFrame="_blank" w:history="1">
        <w:r w:rsidRPr="00C5657A">
          <w:rPr>
            <w:rFonts w:eastAsiaTheme="minorHAnsi"/>
            <w:color w:val="0563C1" w:themeColor="hyperlink"/>
            <w:sz w:val="20"/>
            <w:szCs w:val="20"/>
            <w:u w:val="single"/>
            <w:lang w:eastAsia="en-US"/>
          </w:rPr>
          <w:t>https://www.gov.ie/en/publication/37910-traveller-accommodation-expert-review-programme-board-update/</w:t>
        </w:r>
      </w:hyperlink>
    </w:p>
    <w:p w14:paraId="408B621B" w14:textId="77777777" w:rsidR="005728FD" w:rsidRDefault="005728FD" w:rsidP="005B52EA">
      <w:pPr>
        <w:pStyle w:val="SingleTxtG"/>
        <w:spacing w:after="0"/>
        <w:rPr>
          <w:b/>
        </w:rPr>
      </w:pPr>
    </w:p>
    <w:p w14:paraId="179C2710" w14:textId="74461B1F" w:rsidR="00AE5A09" w:rsidRPr="00C5657A" w:rsidRDefault="00AE5A09" w:rsidP="005B52EA">
      <w:pPr>
        <w:pStyle w:val="SingleTxtG"/>
        <w:spacing w:after="0"/>
        <w:rPr>
          <w:b/>
        </w:rPr>
      </w:pPr>
      <w:r w:rsidRPr="00C5657A">
        <w:rPr>
          <w:b/>
        </w:rPr>
        <w:t xml:space="preserve">Right to physical and mental health (art. 12) </w:t>
      </w:r>
    </w:p>
    <w:p w14:paraId="4693F449" w14:textId="77777777" w:rsidR="005728FD" w:rsidRDefault="005728FD" w:rsidP="005B52EA">
      <w:pPr>
        <w:pStyle w:val="SingleTxtG"/>
        <w:spacing w:after="0"/>
        <w:rPr>
          <w:b/>
          <w:bCs/>
        </w:rPr>
      </w:pPr>
    </w:p>
    <w:p w14:paraId="46EE6D44" w14:textId="12078C09" w:rsidR="00C25A7D" w:rsidRPr="00C5657A" w:rsidRDefault="00AE5A09" w:rsidP="005B52EA">
      <w:pPr>
        <w:pStyle w:val="SingleTxtG"/>
        <w:spacing w:after="0"/>
        <w:rPr>
          <w:b/>
          <w:bCs/>
        </w:rPr>
      </w:pPr>
      <w:r w:rsidRPr="00C5657A">
        <w:rPr>
          <w:b/>
          <w:bCs/>
        </w:rPr>
        <w:t>Reply to paragraph 21</w:t>
      </w:r>
    </w:p>
    <w:p w14:paraId="43E2B1B4" w14:textId="77777777" w:rsidR="00C25A7D" w:rsidRPr="00C5657A" w:rsidRDefault="00C25A7D" w:rsidP="005B52EA">
      <w:pPr>
        <w:pStyle w:val="SingleTxtG"/>
        <w:spacing w:after="0"/>
        <w:rPr>
          <w:bCs/>
          <w:u w:val="single"/>
        </w:rPr>
      </w:pPr>
      <w:proofErr w:type="spellStart"/>
      <w:r w:rsidRPr="00C5657A">
        <w:rPr>
          <w:bCs/>
          <w:u w:val="single"/>
        </w:rPr>
        <w:t>Sláintecare</w:t>
      </w:r>
      <w:proofErr w:type="spellEnd"/>
      <w:r w:rsidRPr="00C5657A">
        <w:rPr>
          <w:bCs/>
          <w:u w:val="single"/>
        </w:rPr>
        <w:t xml:space="preserve"> Healthy Communities Programme</w:t>
      </w:r>
    </w:p>
    <w:p w14:paraId="6AC824B9" w14:textId="09E3D979" w:rsidR="00C25A7D" w:rsidRPr="00C5657A" w:rsidRDefault="00C25A7D" w:rsidP="005B52EA">
      <w:pPr>
        <w:pStyle w:val="SingleTxtG"/>
        <w:spacing w:after="0"/>
      </w:pPr>
      <w:r w:rsidRPr="00C5657A">
        <w:t>In Ireland, there is a strong link between poverty, socio-economic status, and health. The 2017 Healthy Ireland Survey showed significant differences in self-reported health between deprived and affluent areas, especially in higher age cohorts.</w:t>
      </w:r>
    </w:p>
    <w:p w14:paraId="051A9D19" w14:textId="77777777" w:rsidR="00CD0054" w:rsidRPr="00C5657A" w:rsidRDefault="00CD0054" w:rsidP="005B52EA">
      <w:pPr>
        <w:pStyle w:val="SingleTxtG"/>
        <w:spacing w:after="0"/>
      </w:pPr>
    </w:p>
    <w:p w14:paraId="2DA32BDB" w14:textId="3C08A93C" w:rsidR="00816F75" w:rsidRPr="00C5657A" w:rsidRDefault="00816F75" w:rsidP="005B52EA">
      <w:pPr>
        <w:pStyle w:val="SingleTxtG"/>
        <w:spacing w:after="0"/>
      </w:pPr>
      <w:r w:rsidRPr="00C5657A">
        <w:t>Successive Healthy Ireland Surveys have note that those with a Leaving Certificate education or higher are significantly more likely to report being in good health than those who did not attain a Leaving Certificate (87% and 69% respectively). Employment status is also indicative of self-reported health, those who are employed (90%) or are students (91%) are significantly more likely to report good health than those who are unemployed (76%).  These findings have been broadly replicated in successive HI Surveys, including the most recent in 2022.</w:t>
      </w:r>
    </w:p>
    <w:p w14:paraId="78473BC9" w14:textId="5B94C1B5" w:rsidR="00C25A7D" w:rsidRPr="00C5657A" w:rsidRDefault="00C25A7D" w:rsidP="005B52EA">
      <w:pPr>
        <w:pStyle w:val="SingleTxtG"/>
        <w:spacing w:after="0"/>
        <w:rPr>
          <w:bCs/>
          <w:u w:val="single"/>
        </w:rPr>
      </w:pPr>
    </w:p>
    <w:p w14:paraId="5FCD80A9" w14:textId="3A1ABF9B" w:rsidR="006E415A" w:rsidRPr="00C5657A" w:rsidRDefault="00DF1E41" w:rsidP="005B52EA">
      <w:pPr>
        <w:pStyle w:val="SingleTxtG"/>
        <w:spacing w:after="0"/>
        <w:rPr>
          <w:bCs/>
          <w:u w:val="single"/>
        </w:rPr>
      </w:pPr>
      <w:r w:rsidRPr="00C5657A">
        <w:rPr>
          <w:bCs/>
          <w:u w:val="single"/>
          <w:lang w:val="en-IE"/>
        </w:rPr>
        <w:t xml:space="preserve">People who experience homelessness </w:t>
      </w:r>
    </w:p>
    <w:p w14:paraId="69CDA9EF" w14:textId="5D4CECB9" w:rsidR="00AE5A09" w:rsidRPr="00C5657A" w:rsidRDefault="00457495" w:rsidP="005B52EA">
      <w:pPr>
        <w:pStyle w:val="SingleTxtG"/>
        <w:spacing w:after="0"/>
      </w:pPr>
      <w:r w:rsidRPr="00C5657A">
        <w:t>T</w:t>
      </w:r>
      <w:r w:rsidR="00AE5A09" w:rsidRPr="00C5657A">
        <w:t xml:space="preserve">he Department of Health provided €11 million to enhance health services for </w:t>
      </w:r>
      <w:r w:rsidR="00357F02" w:rsidRPr="00C5657A">
        <w:t xml:space="preserve">homeless persons in light of the COVID-19 pandemic, with a further €10 million allocated in 2022. </w:t>
      </w:r>
      <w:r w:rsidR="00AE5A09" w:rsidRPr="00C5657A">
        <w:t>Overall, the Department of Health’s expenditure for homeless</w:t>
      </w:r>
      <w:r w:rsidR="0007315D" w:rsidRPr="00C5657A">
        <w:t xml:space="preserve"> services delivered by the HSE from 2013, until March 2023 has been</w:t>
      </w:r>
      <w:r w:rsidR="00AE5A09" w:rsidRPr="00C5657A">
        <w:t xml:space="preserve"> </w:t>
      </w:r>
    </w:p>
    <w:p w14:paraId="53E68690" w14:textId="63056F33" w:rsidR="0007315D" w:rsidRPr="00C5657A" w:rsidRDefault="0007315D" w:rsidP="005B52EA">
      <w:pPr>
        <w:pStyle w:val="SingleTxtG"/>
        <w:spacing w:after="0"/>
      </w:pPr>
    </w:p>
    <w:p w14:paraId="41B26950"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lang w:val="en-GB"/>
        </w:rPr>
        <w:t xml:space="preserve">2013 - </w:t>
      </w:r>
      <w:r w:rsidRPr="00C5657A">
        <w:rPr>
          <w:sz w:val="20"/>
          <w:szCs w:val="20"/>
        </w:rPr>
        <w:t>€33m</w:t>
      </w:r>
    </w:p>
    <w:p w14:paraId="747EFB26"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rPr>
        <w:t>2014 - €29.9m</w:t>
      </w:r>
    </w:p>
    <w:p w14:paraId="4675DFE2"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rPr>
        <w:t>2015 - €30.9m</w:t>
      </w:r>
    </w:p>
    <w:p w14:paraId="331ABD57"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rPr>
        <w:t xml:space="preserve">2016 - </w:t>
      </w:r>
      <w:r w:rsidRPr="00C5657A">
        <w:rPr>
          <w:sz w:val="20"/>
          <w:szCs w:val="20"/>
          <w:lang w:val="en-GB"/>
        </w:rPr>
        <w:t>€31.5m</w:t>
      </w:r>
    </w:p>
    <w:p w14:paraId="23DE7D16"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lang w:val="en-GB"/>
        </w:rPr>
        <w:t xml:space="preserve">2017 - </w:t>
      </w:r>
      <w:r w:rsidRPr="00C5657A">
        <w:rPr>
          <w:sz w:val="20"/>
          <w:szCs w:val="20"/>
        </w:rPr>
        <w:t>€32.6m</w:t>
      </w:r>
    </w:p>
    <w:p w14:paraId="29717D99"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lang w:val="en-GB"/>
        </w:rPr>
        <w:t xml:space="preserve">2018 - </w:t>
      </w:r>
      <w:r w:rsidRPr="00C5657A">
        <w:rPr>
          <w:sz w:val="20"/>
          <w:szCs w:val="20"/>
        </w:rPr>
        <w:t>€36m</w:t>
      </w:r>
    </w:p>
    <w:p w14:paraId="01EC30CD"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rPr>
        <w:t>2019 - €36m</w:t>
      </w:r>
    </w:p>
    <w:p w14:paraId="5D18D042"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rPr>
        <w:t>2020 - €36m</w:t>
      </w:r>
    </w:p>
    <w:p w14:paraId="1BFA5F21"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rPr>
        <w:t xml:space="preserve">2021 - </w:t>
      </w:r>
      <w:r w:rsidRPr="00C5657A">
        <w:rPr>
          <w:sz w:val="20"/>
          <w:szCs w:val="20"/>
          <w:lang w:val="en-GB"/>
        </w:rPr>
        <w:t>€45m</w:t>
      </w:r>
    </w:p>
    <w:p w14:paraId="6F2035B9" w14:textId="77777777"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lang w:val="en-GB"/>
        </w:rPr>
        <w:t>2022 - €50m</w:t>
      </w:r>
    </w:p>
    <w:p w14:paraId="41B9F803" w14:textId="7F1D473A" w:rsidR="00F15789" w:rsidRPr="00C5657A" w:rsidRDefault="00F15789" w:rsidP="00EC6275">
      <w:pPr>
        <w:numPr>
          <w:ilvl w:val="0"/>
          <w:numId w:val="14"/>
        </w:numPr>
        <w:suppressAutoHyphens/>
        <w:spacing w:line="240" w:lineRule="atLeast"/>
        <w:ind w:right="1134"/>
        <w:jc w:val="both"/>
        <w:rPr>
          <w:sz w:val="20"/>
          <w:szCs w:val="20"/>
          <w:lang w:val="en-GB"/>
        </w:rPr>
      </w:pPr>
      <w:r w:rsidRPr="00C5657A">
        <w:rPr>
          <w:sz w:val="20"/>
          <w:szCs w:val="20"/>
          <w:lang w:val="en-GB"/>
        </w:rPr>
        <w:t>2023 (</w:t>
      </w:r>
      <w:r w:rsidR="00C5657A">
        <w:rPr>
          <w:sz w:val="20"/>
          <w:szCs w:val="20"/>
          <w:lang w:val="en-GB"/>
        </w:rPr>
        <w:t xml:space="preserve">until </w:t>
      </w:r>
      <w:r w:rsidRPr="00C5657A">
        <w:rPr>
          <w:sz w:val="20"/>
          <w:szCs w:val="20"/>
          <w:lang w:val="en-GB"/>
        </w:rPr>
        <w:t>March) - €7.1m</w:t>
      </w:r>
    </w:p>
    <w:p w14:paraId="1FE32E96" w14:textId="32B5708F" w:rsidR="00CD0054" w:rsidRPr="00C5657A" w:rsidRDefault="00CD0054" w:rsidP="005B52EA">
      <w:pPr>
        <w:pStyle w:val="SingleTxtG"/>
        <w:spacing w:after="0"/>
      </w:pPr>
    </w:p>
    <w:p w14:paraId="38E0A9CB" w14:textId="30EB7738" w:rsidR="00AE5A09" w:rsidRPr="00C5657A" w:rsidRDefault="00AE5A09" w:rsidP="005B52EA">
      <w:pPr>
        <w:pStyle w:val="SingleTxtG"/>
        <w:spacing w:after="0"/>
      </w:pPr>
      <w:r w:rsidRPr="00C5657A">
        <w:t xml:space="preserve">Ireland is committed to strengthening integrated care pathways for </w:t>
      </w:r>
      <w:r w:rsidR="00357F02" w:rsidRPr="00C5657A">
        <w:t>homeless persons</w:t>
      </w:r>
      <w:r w:rsidRPr="00C5657A">
        <w:t xml:space="preserve"> with chronic health needs, to achieve better health outcomes and reduce premature death. A single integrated case management model in Dublin </w:t>
      </w:r>
      <w:r w:rsidR="00357F02" w:rsidRPr="00C5657A">
        <w:t>was launched in</w:t>
      </w:r>
      <w:r w:rsidRPr="00C5657A">
        <w:t xml:space="preserve"> 2022. </w:t>
      </w:r>
      <w:r w:rsidR="00357F02" w:rsidRPr="00C5657A">
        <w:t>To date, over</w:t>
      </w:r>
      <w:r w:rsidRPr="00C5657A">
        <w:t xml:space="preserve"> 1,400 clients in private emergency accommodation have had their initial health and wellbeing assessed. </w:t>
      </w:r>
    </w:p>
    <w:p w14:paraId="54497463" w14:textId="07D95CD6" w:rsidR="00CD0054" w:rsidRDefault="00CD0054" w:rsidP="005B52EA">
      <w:pPr>
        <w:pStyle w:val="SingleTxtG"/>
        <w:spacing w:after="0"/>
      </w:pPr>
    </w:p>
    <w:p w14:paraId="38CB3CC2" w14:textId="4D7A7E9A" w:rsidR="005728FD" w:rsidRPr="005728FD" w:rsidRDefault="005728FD" w:rsidP="005B52EA">
      <w:pPr>
        <w:pStyle w:val="SingleTxtG"/>
        <w:spacing w:after="0"/>
        <w:rPr>
          <w:u w:val="single"/>
        </w:rPr>
      </w:pPr>
      <w:r w:rsidRPr="005728FD">
        <w:rPr>
          <w:u w:val="single"/>
        </w:rPr>
        <w:t>Traveller</w:t>
      </w:r>
      <w:r>
        <w:rPr>
          <w:u w:val="single"/>
        </w:rPr>
        <w:t xml:space="preserve"> and Roma</w:t>
      </w:r>
      <w:r w:rsidRPr="005728FD">
        <w:rPr>
          <w:u w:val="single"/>
        </w:rPr>
        <w:t xml:space="preserve"> communities</w:t>
      </w:r>
    </w:p>
    <w:p w14:paraId="5364B8CF" w14:textId="3F8BABCE" w:rsidR="0058440E" w:rsidRPr="00C5657A" w:rsidRDefault="005728FD" w:rsidP="0058440E">
      <w:pPr>
        <w:pStyle w:val="SingleTxtG"/>
        <w:rPr>
          <w:bCs/>
        </w:rPr>
      </w:pPr>
      <w:r>
        <w:rPr>
          <w:bCs/>
        </w:rPr>
        <w:t>T</w:t>
      </w:r>
      <w:r w:rsidR="0058440E" w:rsidRPr="00C5657A">
        <w:rPr>
          <w:bCs/>
        </w:rPr>
        <w:t>he Traveller Health Action Plan contains seven mental health actions, which are supported by additional funding of €300,000. This ring</w:t>
      </w:r>
      <w:r>
        <w:rPr>
          <w:bCs/>
        </w:rPr>
        <w:t>-</w:t>
      </w:r>
      <w:r w:rsidR="0058440E" w:rsidRPr="00C5657A">
        <w:rPr>
          <w:bCs/>
        </w:rPr>
        <w:t>fenced funding builds on previous staff recruitment and funding for Travelle</w:t>
      </w:r>
      <w:r>
        <w:rPr>
          <w:bCs/>
        </w:rPr>
        <w:t>r mental health:</w:t>
      </w:r>
      <w:r w:rsidR="0058440E" w:rsidRPr="00C5657A">
        <w:rPr>
          <w:bCs/>
        </w:rPr>
        <w:t xml:space="preserve"> nine Traveller mental health coordinators (2017) and €365,000 for Traveller mental health engagement (2022). Further funding of €55,000 was awarded for a peer-led research project to develop a Traveller mental wellness continuum framework (also in 2022). </w:t>
      </w:r>
    </w:p>
    <w:p w14:paraId="4D3D5F8A" w14:textId="7D87E30F" w:rsidR="00CD0054" w:rsidRPr="00C5657A" w:rsidRDefault="0058440E" w:rsidP="00C5657A">
      <w:pPr>
        <w:pStyle w:val="SingleTxtG"/>
        <w:rPr>
          <w:bCs/>
          <w:lang w:val="en-IE"/>
        </w:rPr>
      </w:pPr>
      <w:r w:rsidRPr="00C5657A">
        <w:rPr>
          <w:bCs/>
        </w:rPr>
        <w:t xml:space="preserve">To further support the implementation of the Action Plan, two initiatives on Traveller health have been developed. The first initiative will address the social determinants of Traveller health in conjunction with the </w:t>
      </w:r>
      <w:proofErr w:type="spellStart"/>
      <w:r w:rsidRPr="00C5657A">
        <w:rPr>
          <w:bCs/>
        </w:rPr>
        <w:t>Sláintecare</w:t>
      </w:r>
      <w:proofErr w:type="spellEnd"/>
      <w:r w:rsidRPr="00C5657A">
        <w:rPr>
          <w:bCs/>
        </w:rPr>
        <w:t xml:space="preserve"> Healthy Communities programme with a fund of </w:t>
      </w:r>
      <w:r w:rsidRPr="00C5657A">
        <w:rPr>
          <w:bCs/>
        </w:rPr>
        <w:lastRenderedPageBreak/>
        <w:t>€710,000. The second initiative will provide healthcare supports for Traveller women who experience homelessness, as part of the Department’s women’s health Action Plan, with a fund of €500,000. These initiatives tailor mainstream health policy to take account of the specif</w:t>
      </w:r>
      <w:r w:rsidR="00C5657A">
        <w:rPr>
          <w:bCs/>
        </w:rPr>
        <w:t xml:space="preserve">ic health needs of Travellers. </w:t>
      </w:r>
    </w:p>
    <w:p w14:paraId="6531E5AB" w14:textId="57B2D864" w:rsidR="00AE5A09" w:rsidRPr="00C5657A" w:rsidRDefault="00AE5A09" w:rsidP="005B52EA">
      <w:pPr>
        <w:pStyle w:val="SingleTxtG"/>
        <w:spacing w:after="0"/>
      </w:pPr>
      <w:r w:rsidRPr="00C5657A">
        <w:t>The HSE support</w:t>
      </w:r>
      <w:r w:rsidR="00C14114" w:rsidRPr="00C5657A">
        <w:t>s</w:t>
      </w:r>
      <w:r w:rsidRPr="00C5657A">
        <w:t xml:space="preserve"> </w:t>
      </w:r>
      <w:r w:rsidR="00C14114" w:rsidRPr="00C5657A">
        <w:t xml:space="preserve">twenty-seven Traveller Primary Health Centre Projects (TPHCP) across Ireland, </w:t>
      </w:r>
      <w:r w:rsidR="00C25A7D" w:rsidRPr="00C5657A">
        <w:t xml:space="preserve">which operate </w:t>
      </w:r>
      <w:r w:rsidR="00C14114" w:rsidRPr="00C5657A">
        <w:t xml:space="preserve">under the remit of eight Traveller Health Units (THUs). </w:t>
      </w:r>
      <w:r w:rsidR="003E0B03" w:rsidRPr="00C5657A">
        <w:rPr>
          <w:bCs/>
          <w:lang w:val="en-IE"/>
        </w:rPr>
        <w:t xml:space="preserve">The primary healthcare projects are an example of a peer-led model that trains Travellers as Community Health Workers. These projects ensure the provision of services in a culturally sensitive manner and are </w:t>
      </w:r>
      <w:r w:rsidR="00C14114" w:rsidRPr="00C5657A">
        <w:t xml:space="preserve">a key means building trust between Traveller communities and health professionals. </w:t>
      </w:r>
      <w:r w:rsidRPr="00C5657A">
        <w:t xml:space="preserve">The model comprises a partnership of health professionals, including General Practitioners, dedicated Nurse Specialists, Public Health Nurses and Traveller peer workers. </w:t>
      </w:r>
    </w:p>
    <w:p w14:paraId="5D619A4D" w14:textId="77777777" w:rsidR="00CD0054" w:rsidRPr="00C5657A" w:rsidRDefault="00CD0054" w:rsidP="005B52EA">
      <w:pPr>
        <w:pStyle w:val="SingleTxtG"/>
        <w:spacing w:after="0"/>
      </w:pPr>
    </w:p>
    <w:p w14:paraId="38F9A7FB" w14:textId="28F8510B" w:rsidR="00FD7962" w:rsidRPr="00C5657A" w:rsidRDefault="00AE5A09" w:rsidP="00C5657A">
      <w:pPr>
        <w:pStyle w:val="SingleTxtG"/>
        <w:spacing w:after="0"/>
      </w:pPr>
      <w:r w:rsidRPr="00C5657A">
        <w:t>Roma Health Advocacy Projects in Tipperary, Wexford and Waterford provide support in navigating the health system, including applying for</w:t>
      </w:r>
      <w:r w:rsidR="00C14114" w:rsidRPr="00C5657A">
        <w:t xml:space="preserve"> and renewing</w:t>
      </w:r>
      <w:r w:rsidRPr="00C5657A">
        <w:t xml:space="preserve"> medical cards, making and attending medical appointments, health information, general health advocacy and provision of cu</w:t>
      </w:r>
      <w:r w:rsidR="00C5657A">
        <w:t xml:space="preserve">ltural expertise to HSE staff. </w:t>
      </w:r>
    </w:p>
    <w:p w14:paraId="1E9411D5" w14:textId="77777777" w:rsidR="00CD0054" w:rsidRPr="00C5657A" w:rsidRDefault="00CD0054" w:rsidP="005B52EA">
      <w:pPr>
        <w:pStyle w:val="SingleTxtG"/>
        <w:spacing w:after="0"/>
      </w:pPr>
    </w:p>
    <w:p w14:paraId="65A51D32" w14:textId="69FC68AB" w:rsidR="00B27D47" w:rsidRPr="00C5657A" w:rsidRDefault="00B27D47" w:rsidP="005B52EA">
      <w:pPr>
        <w:pStyle w:val="SingleTxtG"/>
        <w:spacing w:after="0"/>
        <w:rPr>
          <w:u w:val="single"/>
        </w:rPr>
      </w:pPr>
      <w:r w:rsidRPr="00C5657A">
        <w:rPr>
          <w:u w:val="single"/>
        </w:rPr>
        <w:t>Period poverty and menstrual health</w:t>
      </w:r>
    </w:p>
    <w:p w14:paraId="4643F71F" w14:textId="66F78CE9" w:rsidR="00B27D47" w:rsidRPr="00C5657A" w:rsidRDefault="00B27D47" w:rsidP="005B52EA">
      <w:pPr>
        <w:pStyle w:val="SingleTxtG"/>
        <w:spacing w:after="0"/>
        <w:rPr>
          <w:lang w:val="en-US"/>
        </w:rPr>
      </w:pPr>
      <w:r w:rsidRPr="00C5657A">
        <w:rPr>
          <w:lang w:val="en-US"/>
        </w:rPr>
        <w:t>Period poverty refers to inadequate access to menstrual hygiene, period products (e.g. sanitary towels and tampons), washing, waste management facilities and education, with significant negative impacts on women’s lives and health. The Healthy Ireland Survey 2022 found that 24% of women have experienced period poverty and 51% reported exclusion from daily life on occasion, resulting from period symptoms.</w:t>
      </w:r>
    </w:p>
    <w:p w14:paraId="21E03830" w14:textId="2DB3A38B" w:rsidR="00B27D47" w:rsidRPr="00C5657A" w:rsidRDefault="00B27D47" w:rsidP="005728FD">
      <w:pPr>
        <w:pStyle w:val="SingleTxtG"/>
        <w:spacing w:after="0"/>
        <w:ind w:left="0"/>
        <w:rPr>
          <w:b/>
        </w:rPr>
      </w:pPr>
    </w:p>
    <w:p w14:paraId="16FFEF74" w14:textId="066C7636" w:rsidR="00CD0054" w:rsidRPr="00C5657A" w:rsidRDefault="00C5657A" w:rsidP="00C5657A">
      <w:pPr>
        <w:pStyle w:val="SingleTxtG"/>
        <w:spacing w:after="0"/>
        <w:rPr>
          <w:b/>
        </w:rPr>
      </w:pPr>
      <w:r>
        <w:rPr>
          <w:b/>
        </w:rPr>
        <w:t>Reply to paragraph 22</w:t>
      </w:r>
    </w:p>
    <w:p w14:paraId="01AF30B9" w14:textId="77777777" w:rsidR="003663B6" w:rsidRPr="00C5657A" w:rsidRDefault="003663B6" w:rsidP="005B52EA">
      <w:pPr>
        <w:pStyle w:val="SingleTxtG"/>
        <w:spacing w:after="0"/>
        <w:rPr>
          <w:u w:val="single"/>
        </w:rPr>
      </w:pPr>
      <w:r w:rsidRPr="00C5657A">
        <w:rPr>
          <w:u w:val="single"/>
        </w:rPr>
        <w:t>Impact of COVID-19 on the health of disadvantaged and marginalised groups</w:t>
      </w:r>
    </w:p>
    <w:p w14:paraId="38ECC801" w14:textId="68F872A0" w:rsidR="00AE5A09" w:rsidRPr="00C5657A" w:rsidRDefault="003663B6" w:rsidP="005B52EA">
      <w:pPr>
        <w:pStyle w:val="SingleTxtG"/>
        <w:spacing w:after="0"/>
      </w:pPr>
      <w:r w:rsidRPr="00C5657A">
        <w:t>T</w:t>
      </w:r>
      <w:r w:rsidR="00AE5A09" w:rsidRPr="00C5657A">
        <w:t xml:space="preserve">he HSE published guidance for preventing and managing the spread of </w:t>
      </w:r>
      <w:r w:rsidRPr="00C5657A">
        <w:t>COVID-19</w:t>
      </w:r>
      <w:r w:rsidR="00AE5A09" w:rsidRPr="00C5657A">
        <w:t xml:space="preserve"> in </w:t>
      </w:r>
      <w:r w:rsidRPr="00C5657A">
        <w:t xml:space="preserve">congregated settings, which applied </w:t>
      </w:r>
      <w:r w:rsidRPr="00C5657A">
        <w:rPr>
          <w:i/>
        </w:rPr>
        <w:t xml:space="preserve">inter alia </w:t>
      </w:r>
      <w:r w:rsidRPr="00C5657A">
        <w:t xml:space="preserve">to homeless services </w:t>
      </w:r>
      <w:r w:rsidR="00AE5A09" w:rsidRPr="00C5657A">
        <w:t xml:space="preserve">and direct provision centres. The guidance set out measures to prevent the spread of </w:t>
      </w:r>
      <w:r w:rsidRPr="00C5657A">
        <w:t>COVID-19, including cocooning for</w:t>
      </w:r>
      <w:r w:rsidR="00AE5A09" w:rsidRPr="00C5657A">
        <w:t xml:space="preserve"> medically vulnerable</w:t>
      </w:r>
      <w:r w:rsidRPr="00C5657A">
        <w:t xml:space="preserve"> individuals</w:t>
      </w:r>
      <w:r w:rsidR="00AE5A09" w:rsidRPr="00C5657A">
        <w:t>, and outbreak response.</w:t>
      </w:r>
    </w:p>
    <w:p w14:paraId="531064BA" w14:textId="51DE5C66" w:rsidR="00CD0054" w:rsidRPr="00C5657A" w:rsidRDefault="00CD0054" w:rsidP="005B52EA">
      <w:pPr>
        <w:pStyle w:val="SingleTxtG"/>
        <w:spacing w:after="0"/>
      </w:pPr>
    </w:p>
    <w:p w14:paraId="391B06D0" w14:textId="3BDA85BC" w:rsidR="005728FD" w:rsidRDefault="00C9273D" w:rsidP="00C9273D">
      <w:pPr>
        <w:spacing w:line="240" w:lineRule="atLeast"/>
        <w:ind w:left="1134" w:right="1134"/>
        <w:jc w:val="both"/>
        <w:rPr>
          <w:rFonts w:eastAsiaTheme="minorHAnsi"/>
          <w:color w:val="000000"/>
          <w:sz w:val="20"/>
          <w:szCs w:val="20"/>
          <w:lang w:eastAsia="en-US"/>
        </w:rPr>
      </w:pPr>
      <w:r>
        <w:rPr>
          <w:rFonts w:eastAsiaTheme="minorHAnsi"/>
          <w:color w:val="000000"/>
          <w:sz w:val="20"/>
          <w:szCs w:val="20"/>
          <w:lang w:eastAsia="en-US"/>
        </w:rPr>
        <w:t xml:space="preserve">From </w:t>
      </w:r>
      <w:r w:rsidR="005728FD" w:rsidRPr="00C5657A">
        <w:rPr>
          <w:rFonts w:eastAsiaTheme="minorHAnsi"/>
          <w:color w:val="000000"/>
          <w:sz w:val="20"/>
          <w:szCs w:val="20"/>
          <w:lang w:eastAsia="en-US"/>
        </w:rPr>
        <w:t xml:space="preserve">the start of the </w:t>
      </w:r>
      <w:r w:rsidR="005728FD">
        <w:rPr>
          <w:rFonts w:eastAsiaTheme="minorHAnsi"/>
          <w:color w:val="000000"/>
          <w:sz w:val="20"/>
          <w:szCs w:val="20"/>
          <w:lang w:eastAsia="en-US"/>
        </w:rPr>
        <w:t>COVID pandemic</w:t>
      </w:r>
      <w:r>
        <w:rPr>
          <w:rFonts w:eastAsiaTheme="minorHAnsi"/>
          <w:color w:val="000000"/>
          <w:sz w:val="20"/>
          <w:szCs w:val="20"/>
          <w:lang w:eastAsia="en-US"/>
        </w:rPr>
        <w:t>, the Department</w:t>
      </w:r>
      <w:r w:rsidR="005728FD" w:rsidRPr="00C5657A">
        <w:rPr>
          <w:rFonts w:eastAsiaTheme="minorHAnsi"/>
          <w:color w:val="000000"/>
          <w:sz w:val="20"/>
          <w:szCs w:val="20"/>
          <w:lang w:eastAsia="en-US"/>
        </w:rPr>
        <w:t xml:space="preserve"> worked closely with Local Authorities in an effort to implement preventative measures on all Traveller sites, both official and un-official, regardless of their designation. In doing so, Local Authorities put a number of ar</w:t>
      </w:r>
      <w:r>
        <w:rPr>
          <w:rFonts w:eastAsiaTheme="minorHAnsi"/>
          <w:color w:val="000000"/>
          <w:sz w:val="20"/>
          <w:szCs w:val="20"/>
          <w:lang w:eastAsia="en-US"/>
        </w:rPr>
        <w:t xml:space="preserve">rangements in place to provide </w:t>
      </w:r>
      <w:r w:rsidR="005728FD" w:rsidRPr="00C5657A">
        <w:rPr>
          <w:rFonts w:eastAsiaTheme="minorHAnsi"/>
          <w:color w:val="000000"/>
          <w:sz w:val="20"/>
          <w:szCs w:val="20"/>
          <w:lang w:eastAsia="en-US"/>
        </w:rPr>
        <w:t xml:space="preserve">services to previously un-serviced sites </w:t>
      </w:r>
      <w:r>
        <w:rPr>
          <w:rFonts w:eastAsiaTheme="minorHAnsi"/>
          <w:color w:val="000000"/>
          <w:sz w:val="20"/>
          <w:szCs w:val="20"/>
          <w:lang w:eastAsia="en-US"/>
        </w:rPr>
        <w:t xml:space="preserve">to </w:t>
      </w:r>
      <w:r w:rsidR="005728FD" w:rsidRPr="00C5657A">
        <w:rPr>
          <w:rFonts w:eastAsiaTheme="minorHAnsi"/>
          <w:color w:val="000000"/>
          <w:sz w:val="20"/>
          <w:szCs w:val="20"/>
          <w:lang w:eastAsia="en-US"/>
        </w:rPr>
        <w:t xml:space="preserve">will facilitate better sanitation and social distancing. From 2020 to 2022, €7.2 million was spent on </w:t>
      </w:r>
      <w:r>
        <w:rPr>
          <w:rFonts w:eastAsiaTheme="minorHAnsi"/>
          <w:color w:val="000000"/>
          <w:sz w:val="20"/>
          <w:szCs w:val="20"/>
          <w:lang w:eastAsia="en-US"/>
        </w:rPr>
        <w:t xml:space="preserve">COVID </w:t>
      </w:r>
      <w:r w:rsidR="005728FD" w:rsidRPr="00C5657A">
        <w:rPr>
          <w:rFonts w:eastAsiaTheme="minorHAnsi"/>
          <w:color w:val="000000"/>
          <w:sz w:val="20"/>
          <w:szCs w:val="20"/>
          <w:lang w:eastAsia="en-US"/>
        </w:rPr>
        <w:t>prevention measures in Traveller specific accommodati</w:t>
      </w:r>
      <w:r>
        <w:rPr>
          <w:rFonts w:eastAsiaTheme="minorHAnsi"/>
          <w:color w:val="000000"/>
          <w:sz w:val="20"/>
          <w:szCs w:val="20"/>
          <w:lang w:eastAsia="en-US"/>
        </w:rPr>
        <w:t>on including unauthorised sites</w:t>
      </w:r>
      <w:r w:rsidR="005728FD" w:rsidRPr="00C5657A">
        <w:rPr>
          <w:rFonts w:eastAsiaTheme="minorHAnsi"/>
          <w:color w:val="000000"/>
          <w:sz w:val="20"/>
          <w:szCs w:val="20"/>
          <w:lang w:eastAsia="en-US"/>
        </w:rPr>
        <w:t xml:space="preserve"> (€4,415,958 in 2020; €1,336,842 in 2022; €1,418,062 in 2022). </w:t>
      </w:r>
    </w:p>
    <w:p w14:paraId="5CE139B2" w14:textId="77777777" w:rsidR="005728FD" w:rsidRPr="00C5657A" w:rsidRDefault="005728FD" w:rsidP="005728FD">
      <w:pPr>
        <w:spacing w:line="240" w:lineRule="atLeast"/>
        <w:ind w:right="1134"/>
        <w:jc w:val="both"/>
        <w:rPr>
          <w:color w:val="000000"/>
          <w:sz w:val="20"/>
          <w:szCs w:val="20"/>
        </w:rPr>
      </w:pPr>
    </w:p>
    <w:p w14:paraId="476F3D3A" w14:textId="74C98D10" w:rsidR="005728FD" w:rsidRPr="00C5657A" w:rsidRDefault="005728FD" w:rsidP="005728FD">
      <w:pPr>
        <w:spacing w:line="240" w:lineRule="atLeast"/>
        <w:ind w:left="1134" w:right="1134"/>
        <w:jc w:val="both"/>
        <w:rPr>
          <w:color w:val="000000"/>
          <w:sz w:val="20"/>
          <w:szCs w:val="20"/>
        </w:rPr>
      </w:pPr>
      <w:r w:rsidRPr="00C5657A">
        <w:rPr>
          <w:color w:val="000000"/>
          <w:sz w:val="20"/>
          <w:szCs w:val="20"/>
        </w:rPr>
        <w:t xml:space="preserve">In addition to the above measures, the Department of Housing, Local Government and Heritage, Health Service Executive and local authorities </w:t>
      </w:r>
      <w:r w:rsidR="00C9273D">
        <w:rPr>
          <w:color w:val="000000"/>
          <w:sz w:val="20"/>
          <w:szCs w:val="20"/>
        </w:rPr>
        <w:t>developed a COVID preparedness checklist</w:t>
      </w:r>
      <w:r w:rsidRPr="00C5657A">
        <w:rPr>
          <w:color w:val="000000"/>
          <w:sz w:val="20"/>
          <w:szCs w:val="20"/>
        </w:rPr>
        <w:t>. Just over 250 halting sites were audited for COVID-19 preparedness and this resulted in an investment of over €4.4 million in improvements to site conditions in 2020.</w:t>
      </w:r>
    </w:p>
    <w:p w14:paraId="2FEE64F6" w14:textId="77777777" w:rsidR="005728FD" w:rsidRPr="00C5657A" w:rsidRDefault="005728FD" w:rsidP="00C5657A">
      <w:pPr>
        <w:pStyle w:val="SingleTxtG"/>
        <w:spacing w:after="0"/>
        <w:ind w:left="0"/>
        <w:rPr>
          <w:b/>
        </w:rPr>
      </w:pPr>
    </w:p>
    <w:p w14:paraId="78EF9E1C" w14:textId="08055E31" w:rsidR="00CD0054" w:rsidRPr="00C5657A" w:rsidRDefault="00C5657A" w:rsidP="00C5657A">
      <w:pPr>
        <w:pStyle w:val="SingleTxtG"/>
        <w:spacing w:after="0"/>
        <w:rPr>
          <w:b/>
        </w:rPr>
      </w:pPr>
      <w:r>
        <w:rPr>
          <w:b/>
        </w:rPr>
        <w:t>Reply to paragraph 23</w:t>
      </w:r>
      <w:r>
        <w:rPr>
          <w:b/>
        </w:rPr>
        <w:tab/>
      </w:r>
    </w:p>
    <w:p w14:paraId="512F9E17" w14:textId="5A1A7E8F" w:rsidR="00785DDD" w:rsidRDefault="00C9273D" w:rsidP="005B52EA">
      <w:pPr>
        <w:pStyle w:val="SingleTxtG"/>
        <w:spacing w:after="0"/>
        <w:rPr>
          <w:lang w:val="en-IE"/>
        </w:rPr>
      </w:pPr>
      <w:r>
        <w:rPr>
          <w:lang w:val="en-IE"/>
        </w:rPr>
        <w:t xml:space="preserve">With regard to the free contraception scheme, the initial 17-25 year-old age </w:t>
      </w:r>
      <w:r w:rsidR="00785DDD" w:rsidRPr="00C5657A">
        <w:rPr>
          <w:lang w:val="en-IE"/>
        </w:rPr>
        <w:t>range represented the most vulnerable age cohort, as those least likely to have independent means and those most at risk of crisis pregnancy.</w:t>
      </w:r>
      <w:r w:rsidR="00785DDD" w:rsidRPr="00C5657A">
        <w:rPr>
          <w:vertAlign w:val="superscript"/>
          <w:lang w:val="en-IE"/>
        </w:rPr>
        <w:footnoteReference w:id="7"/>
      </w:r>
      <w:r w:rsidR="00785DDD" w:rsidRPr="00C5657A">
        <w:rPr>
          <w:lang w:val="en-IE"/>
        </w:rPr>
        <w:t> </w:t>
      </w:r>
    </w:p>
    <w:p w14:paraId="45760B9E" w14:textId="77777777" w:rsidR="00C9273D" w:rsidRPr="00C5657A" w:rsidRDefault="00C9273D" w:rsidP="005B52EA">
      <w:pPr>
        <w:pStyle w:val="SingleTxtG"/>
        <w:spacing w:after="0"/>
        <w:rPr>
          <w:lang w:val="en-IE"/>
        </w:rPr>
      </w:pPr>
    </w:p>
    <w:p w14:paraId="73AD2A10" w14:textId="081514A2" w:rsidR="005950E3" w:rsidRPr="00C5657A" w:rsidRDefault="005950E3" w:rsidP="005B52EA">
      <w:pPr>
        <w:pStyle w:val="SingleTxtG"/>
        <w:spacing w:after="0"/>
      </w:pPr>
      <w:r w:rsidRPr="00C5657A">
        <w:rPr>
          <w:lang w:val="en-IE"/>
        </w:rPr>
        <w:t>Access to contraception, free of charge, is also enabled through the National Condom Distribution Service (NCDS), which distributes through the STI clinics, NGOs working with high-risk groups</w:t>
      </w:r>
      <w:r w:rsidR="00785DDD" w:rsidRPr="00C5657A">
        <w:rPr>
          <w:lang w:val="en-IE"/>
        </w:rPr>
        <w:t xml:space="preserve"> and</w:t>
      </w:r>
      <w:r w:rsidRPr="00C5657A">
        <w:rPr>
          <w:lang w:val="en-IE"/>
        </w:rPr>
        <w:t xml:space="preserve"> participating higher education institutions</w:t>
      </w:r>
      <w:r w:rsidR="00785DDD" w:rsidRPr="00C5657A">
        <w:rPr>
          <w:lang w:val="en-IE"/>
        </w:rPr>
        <w:t>.</w:t>
      </w:r>
      <w:r w:rsidRPr="00C5657A">
        <w:t xml:space="preserve"> </w:t>
      </w:r>
    </w:p>
    <w:p w14:paraId="11C33AB9" w14:textId="6B355DB2" w:rsidR="005950E3" w:rsidRPr="00C5657A" w:rsidRDefault="005950E3" w:rsidP="005B52EA">
      <w:pPr>
        <w:pStyle w:val="SingleTxtG"/>
        <w:spacing w:after="0"/>
        <w:ind w:left="0"/>
        <w:rPr>
          <w:b/>
        </w:rPr>
      </w:pPr>
    </w:p>
    <w:p w14:paraId="61B41643" w14:textId="54EFE223" w:rsidR="00AE5A09" w:rsidRPr="00C5657A" w:rsidRDefault="00AE5A09" w:rsidP="005B52EA">
      <w:pPr>
        <w:pStyle w:val="SingleTxtG"/>
        <w:spacing w:after="0"/>
        <w:rPr>
          <w:b/>
        </w:rPr>
      </w:pPr>
      <w:r w:rsidRPr="00C5657A">
        <w:rPr>
          <w:b/>
        </w:rPr>
        <w:t>Reply to paragraph 24</w:t>
      </w:r>
      <w:r w:rsidRPr="00C5657A">
        <w:rPr>
          <w:b/>
        </w:rPr>
        <w:tab/>
      </w:r>
    </w:p>
    <w:p w14:paraId="244C26E6" w14:textId="458DC75F" w:rsidR="00C5657A" w:rsidRDefault="00503AFA" w:rsidP="005B52EA">
      <w:pPr>
        <w:pStyle w:val="SingleTxtG"/>
        <w:spacing w:after="0"/>
        <w:rPr>
          <w:rStyle w:val="xcontentpasted1"/>
          <w:color w:val="000000"/>
        </w:rPr>
      </w:pPr>
      <w:r w:rsidRPr="00C5657A">
        <w:rPr>
          <w:rStyle w:val="xcontentpasted1"/>
          <w:i/>
          <w:iCs/>
          <w:color w:val="000000"/>
        </w:rPr>
        <w:t>Sharing the Vision</w:t>
      </w:r>
      <w:r w:rsidRPr="00C5657A">
        <w:rPr>
          <w:rStyle w:val="xcontentpasted1"/>
          <w:color w:val="000000"/>
        </w:rPr>
        <w:t xml:space="preserve"> aims to enhance the provision of mental health services and supports across a broad continuum, from mental health promotion, prevention, and early intervention </w:t>
      </w:r>
      <w:r w:rsidRPr="00C5657A">
        <w:rPr>
          <w:rStyle w:val="xcontentpasted1"/>
          <w:color w:val="000000"/>
        </w:rPr>
        <w:lastRenderedPageBreak/>
        <w:t>to acute and specialist mental health service delivery, during the period 2020-2030. Good progress is being made on implementation of this policy</w:t>
      </w:r>
      <w:r w:rsidR="00E92CD2" w:rsidRPr="00C5657A">
        <w:rPr>
          <w:rStyle w:val="xcontentpasted1"/>
          <w:color w:val="000000"/>
        </w:rPr>
        <w:t>, which is overseen and driven by a National Implementation</w:t>
      </w:r>
      <w:r w:rsidR="00C9273D">
        <w:rPr>
          <w:rStyle w:val="xcontentpasted1"/>
          <w:color w:val="000000"/>
        </w:rPr>
        <w:t xml:space="preserve"> and Monitoring Committee</w:t>
      </w:r>
      <w:r w:rsidRPr="00C5657A">
        <w:rPr>
          <w:rStyle w:val="xcontentpasted1"/>
          <w:color w:val="000000"/>
        </w:rPr>
        <w:t xml:space="preserve">. </w:t>
      </w:r>
    </w:p>
    <w:p w14:paraId="491E3221" w14:textId="77777777" w:rsidR="00C5657A" w:rsidRDefault="00C5657A" w:rsidP="005B52EA">
      <w:pPr>
        <w:pStyle w:val="SingleTxtG"/>
        <w:spacing w:after="0"/>
        <w:rPr>
          <w:color w:val="000000"/>
          <w:shd w:val="clear" w:color="auto" w:fill="FFFFFF"/>
        </w:rPr>
      </w:pPr>
    </w:p>
    <w:p w14:paraId="314A0D18" w14:textId="3D5C8DC3" w:rsidR="00503AFA" w:rsidRPr="00C5657A" w:rsidRDefault="00503AFA" w:rsidP="005B52EA">
      <w:pPr>
        <w:pStyle w:val="SingleTxtG"/>
        <w:spacing w:after="0"/>
        <w:rPr>
          <w:color w:val="000000"/>
          <w:shd w:val="clear" w:color="auto" w:fill="FFFFFF"/>
        </w:rPr>
      </w:pPr>
      <w:r w:rsidRPr="00C5657A">
        <w:rPr>
          <w:color w:val="000000"/>
          <w:shd w:val="clear" w:color="auto" w:fill="FFFFFF"/>
        </w:rPr>
        <w:t>As of Q1 2023, 94 o</w:t>
      </w:r>
      <w:r w:rsidR="00C9273D">
        <w:rPr>
          <w:color w:val="000000"/>
          <w:shd w:val="clear" w:color="auto" w:fill="FFFFFF"/>
        </w:rPr>
        <w:t>f the 100 recommendations are at</w:t>
      </w:r>
      <w:r w:rsidRPr="00C5657A">
        <w:rPr>
          <w:color w:val="000000"/>
          <w:shd w:val="clear" w:color="auto" w:fill="FFFFFF"/>
        </w:rPr>
        <w:t xml:space="preserve"> implementation</w:t>
      </w:r>
      <w:r w:rsidR="00C9273D">
        <w:rPr>
          <w:color w:val="000000"/>
          <w:shd w:val="clear" w:color="auto" w:fill="FFFFFF"/>
        </w:rPr>
        <w:t xml:space="preserve"> stage</w:t>
      </w:r>
      <w:r w:rsidRPr="00C5657A">
        <w:rPr>
          <w:color w:val="000000"/>
          <w:shd w:val="clear" w:color="auto" w:fill="FFFFFF"/>
        </w:rPr>
        <w:t xml:space="preserve">, with 82 marked as </w:t>
      </w:r>
      <w:r w:rsidR="00C9273D">
        <w:rPr>
          <w:color w:val="000000"/>
          <w:shd w:val="clear" w:color="auto" w:fill="FFFFFF"/>
        </w:rPr>
        <w:t>‘</w:t>
      </w:r>
      <w:r w:rsidRPr="00C5657A">
        <w:rPr>
          <w:color w:val="000000"/>
          <w:shd w:val="clear" w:color="auto" w:fill="FFFFFF"/>
        </w:rPr>
        <w:t>on track</w:t>
      </w:r>
      <w:r w:rsidR="00C9273D">
        <w:rPr>
          <w:color w:val="000000"/>
          <w:shd w:val="clear" w:color="auto" w:fill="FFFFFF"/>
        </w:rPr>
        <w:t>’</w:t>
      </w:r>
      <w:r w:rsidRPr="00C5657A">
        <w:rPr>
          <w:color w:val="000000"/>
          <w:shd w:val="clear" w:color="auto" w:fill="FFFFFF"/>
        </w:rPr>
        <w:t xml:space="preserve"> or facing a minor delivery issue.</w:t>
      </w:r>
      <w:r w:rsidR="00E92CD2" w:rsidRPr="00C5657A">
        <w:t xml:space="preserve"> </w:t>
      </w:r>
      <w:r w:rsidR="00E92CD2" w:rsidRPr="00C5657A">
        <w:rPr>
          <w:color w:val="000000"/>
          <w:shd w:val="clear" w:color="auto" w:fill="FFFFFF"/>
        </w:rPr>
        <w:t xml:space="preserve">There is a significant emphasis in </w:t>
      </w:r>
      <w:r w:rsidR="00E92CD2" w:rsidRPr="00C9273D">
        <w:rPr>
          <w:i/>
          <w:color w:val="000000"/>
          <w:shd w:val="clear" w:color="auto" w:fill="FFFFFF"/>
        </w:rPr>
        <w:t>Sharing the Vision</w:t>
      </w:r>
      <w:r w:rsidR="00E92CD2" w:rsidRPr="00C5657A">
        <w:rPr>
          <w:color w:val="000000"/>
          <w:shd w:val="clear" w:color="auto" w:fill="FFFFFF"/>
        </w:rPr>
        <w:t xml:space="preserve"> on informing and aligning recommendations and their implementation with international best practice. In addition, a number of recommendations with a focus on the development of community-based mental health supports are in the process of being implemented.</w:t>
      </w:r>
    </w:p>
    <w:p w14:paraId="4ED62DF5" w14:textId="77777777" w:rsidR="00CD0054" w:rsidRPr="00C5657A" w:rsidRDefault="00CD0054" w:rsidP="005B52EA">
      <w:pPr>
        <w:pStyle w:val="SingleTxtG"/>
        <w:spacing w:after="0"/>
        <w:rPr>
          <w:color w:val="000000"/>
        </w:rPr>
      </w:pPr>
    </w:p>
    <w:p w14:paraId="6D66EA4D" w14:textId="55A6D710" w:rsidR="00AE5A09" w:rsidRPr="00C5657A" w:rsidRDefault="00AE5A09" w:rsidP="005B52EA">
      <w:pPr>
        <w:pStyle w:val="xsingletxtg"/>
        <w:shd w:val="clear" w:color="auto" w:fill="FFFFFF"/>
        <w:spacing w:line="240" w:lineRule="atLeast"/>
        <w:ind w:left="1134" w:right="1134"/>
        <w:jc w:val="both"/>
        <w:rPr>
          <w:rFonts w:ascii="Times New Roman" w:hAnsi="Times New Roman" w:cs="Times New Roman"/>
          <w:color w:val="000000"/>
          <w:sz w:val="20"/>
          <w:szCs w:val="20"/>
        </w:rPr>
      </w:pPr>
      <w:r w:rsidRPr="00C5657A">
        <w:rPr>
          <w:rFonts w:ascii="Times New Roman" w:hAnsi="Times New Roman" w:cs="Times New Roman"/>
          <w:i/>
          <w:iCs/>
          <w:color w:val="000000"/>
          <w:sz w:val="20"/>
          <w:szCs w:val="20"/>
        </w:rPr>
        <w:t xml:space="preserve">Connecting for Life 2015-2024, </w:t>
      </w:r>
      <w:r w:rsidRPr="00C5657A">
        <w:rPr>
          <w:rFonts w:ascii="Times New Roman" w:hAnsi="Times New Roman" w:cs="Times New Roman"/>
          <w:color w:val="000000"/>
          <w:sz w:val="20"/>
          <w:szCs w:val="20"/>
        </w:rPr>
        <w:t xml:space="preserve">is a whole-of-society strategy to co-ordinate national efforts to reduce the loss of life by suicide. </w:t>
      </w:r>
      <w:r w:rsidR="00BB140F" w:rsidRPr="00C5657A">
        <w:rPr>
          <w:rFonts w:ascii="Times New Roman" w:hAnsi="Times New Roman" w:cs="Times New Roman"/>
          <w:color w:val="000000"/>
          <w:sz w:val="20"/>
          <w:szCs w:val="20"/>
        </w:rPr>
        <w:t>T</w:t>
      </w:r>
      <w:r w:rsidRPr="00C5657A">
        <w:rPr>
          <w:rFonts w:ascii="Times New Roman" w:hAnsi="Times New Roman" w:cs="Times New Roman"/>
          <w:color w:val="000000"/>
          <w:sz w:val="20"/>
          <w:szCs w:val="20"/>
        </w:rPr>
        <w:t xml:space="preserve">ackling risk factors for suicide and self-harm is central to this policy, and, as part of this, it includes actions which focus on </w:t>
      </w:r>
      <w:r w:rsidR="00BB140F" w:rsidRPr="00C5657A">
        <w:rPr>
          <w:rFonts w:ascii="Times New Roman" w:hAnsi="Times New Roman" w:cs="Times New Roman"/>
          <w:color w:val="000000"/>
          <w:sz w:val="20"/>
          <w:szCs w:val="20"/>
        </w:rPr>
        <w:t xml:space="preserve">data collection and </w:t>
      </w:r>
      <w:r w:rsidRPr="00C5657A">
        <w:rPr>
          <w:rFonts w:ascii="Times New Roman" w:hAnsi="Times New Roman" w:cs="Times New Roman"/>
          <w:color w:val="000000"/>
          <w:sz w:val="20"/>
          <w:szCs w:val="20"/>
        </w:rPr>
        <w:t xml:space="preserve">the reduction of access to means of suicide. </w:t>
      </w:r>
      <w:r w:rsidRPr="00C5657A">
        <w:rPr>
          <w:rFonts w:ascii="Times New Roman" w:hAnsi="Times New Roman" w:cs="Times New Roman"/>
          <w:i/>
          <w:iCs/>
          <w:color w:val="000000"/>
          <w:sz w:val="20"/>
          <w:szCs w:val="20"/>
        </w:rPr>
        <w:t>Connecting for Life</w:t>
      </w:r>
      <w:r w:rsidRPr="00C5657A">
        <w:rPr>
          <w:rFonts w:ascii="Times New Roman" w:hAnsi="Times New Roman" w:cs="Times New Roman"/>
          <w:color w:val="000000"/>
          <w:sz w:val="20"/>
          <w:szCs w:val="20"/>
        </w:rPr>
        <w:t xml:space="preserve"> is in the final two years of its lifespan and its implementation is progressing steadily. </w:t>
      </w:r>
    </w:p>
    <w:p w14:paraId="0020F999" w14:textId="77777777" w:rsidR="00CD0054" w:rsidRPr="00C5657A" w:rsidRDefault="00CD0054" w:rsidP="005B52EA">
      <w:pPr>
        <w:pStyle w:val="xsingletxtg"/>
        <w:shd w:val="clear" w:color="auto" w:fill="FFFFFF"/>
        <w:spacing w:line="240" w:lineRule="atLeast"/>
        <w:ind w:left="1134" w:right="1134"/>
        <w:jc w:val="both"/>
        <w:rPr>
          <w:rFonts w:ascii="Times New Roman" w:hAnsi="Times New Roman" w:cs="Times New Roman"/>
          <w:color w:val="000000"/>
          <w:sz w:val="20"/>
          <w:szCs w:val="20"/>
        </w:rPr>
      </w:pPr>
    </w:p>
    <w:p w14:paraId="3FFB0298" w14:textId="77777777" w:rsidR="00786777" w:rsidRPr="00C5657A" w:rsidRDefault="00786777" w:rsidP="005B52EA">
      <w:pPr>
        <w:pStyle w:val="xsingletxtg"/>
        <w:shd w:val="clear" w:color="auto" w:fill="FFFFFF"/>
        <w:spacing w:line="240" w:lineRule="atLeast"/>
        <w:ind w:left="1134" w:right="1134"/>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All admissions of young people (under the age of 18) to adult units are notified to the Mental Health Commission in accordance with strict operating guidelines.</w:t>
      </w:r>
      <w:r w:rsidRPr="00C5657A">
        <w:rPr>
          <w:rStyle w:val="xxcontentpasted0"/>
          <w:rFonts w:ascii="Times New Roman" w:hAnsi="Times New Roman" w:cs="Times New Roman"/>
          <w:color w:val="000000"/>
          <w:sz w:val="20"/>
          <w:szCs w:val="20"/>
        </w:rPr>
        <w:t> </w:t>
      </w:r>
      <w:r w:rsidRPr="00C5657A">
        <w:rPr>
          <w:rFonts w:ascii="Times New Roman" w:hAnsi="Times New Roman" w:cs="Times New Roman"/>
          <w:color w:val="000000"/>
          <w:sz w:val="20"/>
          <w:szCs w:val="20"/>
        </w:rPr>
        <w:t>All such admissions are notified to a National CAMHS Lead Manager within the National Mental Health office. Admissions will only occur when it is</w:t>
      </w:r>
      <w:r w:rsidRPr="00C5657A">
        <w:rPr>
          <w:rStyle w:val="contentpasted0"/>
          <w:rFonts w:ascii="Times New Roman" w:hAnsi="Times New Roman" w:cs="Times New Roman"/>
          <w:color w:val="000000"/>
          <w:sz w:val="20"/>
          <w:szCs w:val="20"/>
        </w:rPr>
        <w:t> </w:t>
      </w:r>
      <w:r w:rsidRPr="00C5657A">
        <w:rPr>
          <w:rFonts w:ascii="Times New Roman" w:hAnsi="Times New Roman" w:cs="Times New Roman"/>
          <w:color w:val="000000"/>
          <w:sz w:val="20"/>
          <w:szCs w:val="20"/>
        </w:rPr>
        <w:t>in the best interest of the young person. The goal in such circumstances is to reduce the length of such admissions, either by discharge to Community CAMHS, CAMHS inpatient unit or other appropriate service. </w:t>
      </w:r>
    </w:p>
    <w:p w14:paraId="4AAAD0BC" w14:textId="77777777" w:rsidR="00786777" w:rsidRPr="00C5657A" w:rsidRDefault="00786777" w:rsidP="005B52EA">
      <w:pPr>
        <w:pStyle w:val="SingleTxtG"/>
        <w:spacing w:after="0"/>
      </w:pPr>
    </w:p>
    <w:p w14:paraId="16168FB2" w14:textId="77777777" w:rsidR="00AE5A09" w:rsidRPr="00C5657A" w:rsidRDefault="00AE5A09" w:rsidP="005B52EA">
      <w:pPr>
        <w:pStyle w:val="SingleTxtG"/>
        <w:spacing w:after="0"/>
        <w:rPr>
          <w:b/>
        </w:rPr>
      </w:pPr>
      <w:r w:rsidRPr="00C5657A">
        <w:rPr>
          <w:b/>
        </w:rPr>
        <w:t>Right to Education (articles 13 – 14)</w:t>
      </w:r>
    </w:p>
    <w:p w14:paraId="12626C49" w14:textId="77777777" w:rsidR="00C9273D" w:rsidRDefault="00C9273D" w:rsidP="005B52EA">
      <w:pPr>
        <w:pStyle w:val="SingleTxtG"/>
        <w:spacing w:after="0"/>
        <w:ind w:left="414" w:firstLine="720"/>
        <w:rPr>
          <w:b/>
        </w:rPr>
      </w:pPr>
    </w:p>
    <w:p w14:paraId="1967004E" w14:textId="071D8420" w:rsidR="003D5309" w:rsidRPr="00C5657A" w:rsidRDefault="00730DCB" w:rsidP="005B52EA">
      <w:pPr>
        <w:pStyle w:val="SingleTxtG"/>
        <w:spacing w:after="0"/>
        <w:ind w:left="414" w:firstLine="720"/>
        <w:rPr>
          <w:b/>
        </w:rPr>
      </w:pPr>
      <w:r w:rsidRPr="00C5657A">
        <w:rPr>
          <w:b/>
        </w:rPr>
        <w:t>Reply to paragraph 26</w:t>
      </w:r>
    </w:p>
    <w:p w14:paraId="68371C03" w14:textId="1BF6348A"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Work is currently being undertaken that will consider how all schools a</w:t>
      </w:r>
      <w:r w:rsidR="00C9273D">
        <w:rPr>
          <w:rFonts w:ascii="Times New Roman" w:hAnsi="Times New Roman" w:cs="Times New Roman"/>
          <w:color w:val="000000"/>
          <w:sz w:val="20"/>
          <w:szCs w:val="20"/>
        </w:rPr>
        <w:t xml:space="preserve">re resourced to ensure that </w:t>
      </w:r>
      <w:r w:rsidRPr="00C5657A">
        <w:rPr>
          <w:rFonts w:ascii="Times New Roman" w:hAnsi="Times New Roman" w:cs="Times New Roman"/>
          <w:color w:val="000000"/>
          <w:sz w:val="20"/>
          <w:szCs w:val="20"/>
        </w:rPr>
        <w:t>students at risk of educational disadvantage are supported to achieve their potential through education.</w:t>
      </w:r>
    </w:p>
    <w:p w14:paraId="253A9315"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532946FF" w14:textId="2E933681"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Among the key supports under the DEIS programme are </w:t>
      </w:r>
      <w:proofErr w:type="spellStart"/>
      <w:r w:rsidRPr="00C5657A">
        <w:rPr>
          <w:rFonts w:ascii="Times New Roman" w:hAnsi="Times New Roman" w:cs="Times New Roman"/>
          <w:color w:val="000000"/>
          <w:sz w:val="20"/>
          <w:szCs w:val="20"/>
        </w:rPr>
        <w:t>Tusla’s</w:t>
      </w:r>
      <w:proofErr w:type="spellEnd"/>
      <w:r w:rsidRPr="00C5657A">
        <w:rPr>
          <w:rFonts w:ascii="Times New Roman" w:hAnsi="Times New Roman" w:cs="Times New Roman"/>
          <w:color w:val="000000"/>
          <w:sz w:val="20"/>
          <w:szCs w:val="20"/>
        </w:rPr>
        <w:t xml:space="preserve"> Education Support Service (TESS), comprising the statutory Education Welfare Service, the School Completion Programme (SCP) and the Home School Community Liaison (HSCL) scheme. The three TESS strands work together collaboratively with schools, families and other relevant services t</w:t>
      </w:r>
      <w:r w:rsidR="00C9273D">
        <w:rPr>
          <w:rFonts w:ascii="Times New Roman" w:hAnsi="Times New Roman" w:cs="Times New Roman"/>
          <w:color w:val="000000"/>
          <w:sz w:val="20"/>
          <w:szCs w:val="20"/>
        </w:rPr>
        <w:t>o</w:t>
      </w:r>
      <w:r w:rsidRPr="00C5657A">
        <w:rPr>
          <w:rFonts w:ascii="Times New Roman" w:hAnsi="Times New Roman" w:cs="Times New Roman"/>
          <w:color w:val="000000"/>
          <w:sz w:val="20"/>
          <w:szCs w:val="20"/>
        </w:rPr>
        <w:t xml:space="preserve"> improve</w:t>
      </w:r>
      <w:r>
        <w:rPr>
          <w:rFonts w:ascii="Times New Roman" w:hAnsi="Times New Roman" w:cs="Times New Roman"/>
          <w:color w:val="000000"/>
          <w:sz w:val="20"/>
          <w:szCs w:val="20"/>
        </w:rPr>
        <w:t xml:space="preserve"> </w:t>
      </w:r>
      <w:r w:rsidRPr="00C5657A">
        <w:rPr>
          <w:rFonts w:ascii="Times New Roman" w:hAnsi="Times New Roman" w:cs="Times New Roman"/>
          <w:color w:val="000000"/>
          <w:sz w:val="20"/>
          <w:szCs w:val="20"/>
        </w:rPr>
        <w:t>attendance, participation and retention.</w:t>
      </w:r>
    </w:p>
    <w:p w14:paraId="71959194" w14:textId="77777777" w:rsidR="00784053" w:rsidRPr="00C5657A"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rPr>
      </w:pPr>
    </w:p>
    <w:p w14:paraId="11FEDF04" w14:textId="7E8C40BC"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Since the introduction of the DEIS programme, retention rates to Leaving Certificate for participating schools have increased from 68.2% (for the 2001 entry cohort) to 86.1% (for the 2015 entry cohort). </w:t>
      </w:r>
      <w:r w:rsidR="00C9273D">
        <w:rPr>
          <w:rFonts w:ascii="Times New Roman" w:hAnsi="Times New Roman" w:cs="Times New Roman"/>
          <w:color w:val="000000"/>
          <w:sz w:val="20"/>
          <w:szCs w:val="20"/>
        </w:rPr>
        <w:t>The latter is a 1.3 percent</w:t>
      </w:r>
      <w:r w:rsidRPr="00C5657A">
        <w:rPr>
          <w:rFonts w:ascii="Times New Roman" w:hAnsi="Times New Roman" w:cs="Times New Roman"/>
          <w:color w:val="000000"/>
          <w:sz w:val="20"/>
          <w:szCs w:val="20"/>
        </w:rPr>
        <w:t>age point increase on the 2014 cohort, which stood at 84.8%. The gap in retention rates between DEIS and non-DEIS schoo</w:t>
      </w:r>
      <w:r w:rsidR="00C9273D">
        <w:rPr>
          <w:rFonts w:ascii="Times New Roman" w:hAnsi="Times New Roman" w:cs="Times New Roman"/>
          <w:color w:val="000000"/>
          <w:sz w:val="20"/>
          <w:szCs w:val="20"/>
        </w:rPr>
        <w:t>ls for the 2015 cohort was 7.6 percent</w:t>
      </w:r>
      <w:r w:rsidRPr="00C5657A">
        <w:rPr>
          <w:rFonts w:ascii="Times New Roman" w:hAnsi="Times New Roman" w:cs="Times New Roman"/>
          <w:color w:val="000000"/>
          <w:sz w:val="20"/>
          <w:szCs w:val="20"/>
        </w:rPr>
        <w:t>age points, an improvement on the 20</w:t>
      </w:r>
      <w:r w:rsidR="00C9273D">
        <w:rPr>
          <w:rFonts w:ascii="Times New Roman" w:hAnsi="Times New Roman" w:cs="Times New Roman"/>
          <w:color w:val="000000"/>
          <w:sz w:val="20"/>
          <w:szCs w:val="20"/>
        </w:rPr>
        <w:t>14 cohort when it stood at 8.6 percent</w:t>
      </w:r>
      <w:r w:rsidRPr="00C5657A">
        <w:rPr>
          <w:rFonts w:ascii="Times New Roman" w:hAnsi="Times New Roman" w:cs="Times New Roman"/>
          <w:color w:val="000000"/>
          <w:sz w:val="20"/>
          <w:szCs w:val="20"/>
        </w:rPr>
        <w:t>age points.</w:t>
      </w:r>
    </w:p>
    <w:p w14:paraId="79BE66DB"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187CC790"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u w:val="single"/>
        </w:rPr>
      </w:pPr>
      <w:r w:rsidRPr="00C5657A">
        <w:rPr>
          <w:rFonts w:ascii="Times New Roman" w:hAnsi="Times New Roman" w:cs="Times New Roman"/>
          <w:color w:val="000000"/>
          <w:sz w:val="20"/>
          <w:szCs w:val="20"/>
          <w:u w:val="single"/>
        </w:rPr>
        <w:t xml:space="preserve">Free primary school books scheme </w:t>
      </w:r>
    </w:p>
    <w:p w14:paraId="213EB5B7" w14:textId="7ED147DA" w:rsidR="00784053" w:rsidRPr="00C5657A" w:rsidRDefault="00784053" w:rsidP="00C9273D">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Over €50 million has been allocated to provide free books to primary school pupils within the free education scheme from September 2023. This eliminates the cost to families for all school books, workbooks and copybooks in primary and special schools. This is an extension from</w:t>
      </w:r>
      <w:r w:rsidR="00C9273D">
        <w:rPr>
          <w:rFonts w:ascii="Times New Roman" w:hAnsi="Times New Roman" w:cs="Times New Roman"/>
          <w:color w:val="000000"/>
          <w:sz w:val="20"/>
          <w:szCs w:val="20"/>
        </w:rPr>
        <w:t xml:space="preserve"> a</w:t>
      </w:r>
      <w:r w:rsidRPr="00C5657A">
        <w:rPr>
          <w:rFonts w:ascii="Times New Roman" w:hAnsi="Times New Roman" w:cs="Times New Roman"/>
          <w:color w:val="000000"/>
          <w:sz w:val="20"/>
          <w:szCs w:val="20"/>
        </w:rPr>
        <w:t xml:space="preserve"> free school book pilot, involving over 100 DEIS</w:t>
      </w:r>
      <w:r w:rsidR="00C9273D">
        <w:rPr>
          <w:rFonts w:ascii="Times New Roman" w:hAnsi="Times New Roman" w:cs="Times New Roman"/>
          <w:color w:val="000000"/>
          <w:sz w:val="20"/>
          <w:szCs w:val="20"/>
        </w:rPr>
        <w:t xml:space="preserve"> primary schools over 3 years. The</w:t>
      </w:r>
      <w:r w:rsidRPr="00C5657A">
        <w:rPr>
          <w:rFonts w:ascii="Times New Roman" w:hAnsi="Times New Roman" w:cs="Times New Roman"/>
          <w:color w:val="000000"/>
          <w:sz w:val="20"/>
          <w:szCs w:val="20"/>
        </w:rPr>
        <w:t xml:space="preserve"> free primary school books scheme will benefit over 558,000 pupils in approximately 3,230 recognised primary schools, including over 130 special schools. </w:t>
      </w:r>
    </w:p>
    <w:p w14:paraId="7DCDE5C0" w14:textId="2B21D844" w:rsidR="00784053"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rPr>
      </w:pPr>
    </w:p>
    <w:p w14:paraId="4C726ED6" w14:textId="2D36019C" w:rsidR="0030514D" w:rsidRPr="0030514D" w:rsidRDefault="0030514D" w:rsidP="0030514D">
      <w:pPr>
        <w:pStyle w:val="xsingletxtg"/>
        <w:shd w:val="clear" w:color="auto" w:fill="FFFFFF"/>
        <w:spacing w:line="240" w:lineRule="atLeast"/>
        <w:ind w:left="414" w:right="1134" w:firstLine="720"/>
        <w:contextualSpacing/>
        <w:jc w:val="both"/>
        <w:rPr>
          <w:rFonts w:ascii="Times New Roman" w:hAnsi="Times New Roman" w:cs="Times New Roman"/>
          <w:color w:val="000000"/>
          <w:sz w:val="20"/>
          <w:szCs w:val="20"/>
          <w:u w:val="single"/>
        </w:rPr>
      </w:pPr>
      <w:r w:rsidRPr="0030514D">
        <w:rPr>
          <w:rFonts w:ascii="Times New Roman" w:hAnsi="Times New Roman" w:cs="Times New Roman"/>
          <w:color w:val="000000"/>
          <w:sz w:val="20"/>
          <w:szCs w:val="20"/>
          <w:u w:val="single"/>
        </w:rPr>
        <w:t>Traveller and Roma communities</w:t>
      </w:r>
    </w:p>
    <w:p w14:paraId="5EF3E066" w14:textId="43C099D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Travellers and Roma </w:t>
      </w:r>
      <w:r w:rsidR="00C9273D">
        <w:rPr>
          <w:rFonts w:ascii="Times New Roman" w:hAnsi="Times New Roman" w:cs="Times New Roman"/>
          <w:color w:val="000000"/>
          <w:sz w:val="20"/>
          <w:szCs w:val="20"/>
        </w:rPr>
        <w:t xml:space="preserve">students </w:t>
      </w:r>
      <w:r w:rsidRPr="00C5657A">
        <w:rPr>
          <w:rFonts w:ascii="Times New Roman" w:hAnsi="Times New Roman" w:cs="Times New Roman"/>
          <w:color w:val="000000"/>
          <w:sz w:val="20"/>
          <w:szCs w:val="20"/>
        </w:rPr>
        <w:t>that enrol in a school have the option to self-identify on the basis of their ethnicity. Written consent from a parent/guardian is required. As not all Travellers and Roma may choose to self-identify as such, it is possible that the numbers of Travellers and Roma in schools are underestimated. Based on 2021/22 school enrolment data, there are:</w:t>
      </w:r>
    </w:p>
    <w:p w14:paraId="4CF48764" w14:textId="473CB4FA" w:rsidR="00784053" w:rsidRPr="00C5657A" w:rsidRDefault="00784053" w:rsidP="00C9273D">
      <w:pPr>
        <w:pStyle w:val="xsingletxtg"/>
        <w:numPr>
          <w:ilvl w:val="0"/>
          <w:numId w:val="32"/>
        </w:numPr>
        <w:shd w:val="clear" w:color="auto" w:fill="FFFFFF"/>
        <w:spacing w:line="240" w:lineRule="atLeast"/>
        <w:ind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8,470 Travellers in Irish primary schools (circa 1.5% of overall primary cohort)</w:t>
      </w:r>
      <w:r w:rsidR="00C9273D">
        <w:rPr>
          <w:rFonts w:ascii="Times New Roman" w:hAnsi="Times New Roman" w:cs="Times New Roman"/>
          <w:color w:val="000000"/>
          <w:sz w:val="20"/>
          <w:szCs w:val="20"/>
        </w:rPr>
        <w:t>;</w:t>
      </w:r>
      <w:r w:rsidRPr="00C5657A">
        <w:rPr>
          <w:rFonts w:ascii="Times New Roman" w:hAnsi="Times New Roman" w:cs="Times New Roman"/>
          <w:color w:val="000000"/>
          <w:sz w:val="20"/>
          <w:szCs w:val="20"/>
        </w:rPr>
        <w:t xml:space="preserve"> </w:t>
      </w:r>
    </w:p>
    <w:p w14:paraId="5BFAD51A" w14:textId="77777777" w:rsidR="00784053" w:rsidRPr="00C5657A" w:rsidRDefault="00784053" w:rsidP="00C9273D">
      <w:pPr>
        <w:pStyle w:val="xsingletxtg"/>
        <w:numPr>
          <w:ilvl w:val="0"/>
          <w:numId w:val="32"/>
        </w:numPr>
        <w:shd w:val="clear" w:color="auto" w:fill="FFFFFF"/>
        <w:spacing w:line="240" w:lineRule="atLeast"/>
        <w:ind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lastRenderedPageBreak/>
        <w:t xml:space="preserve">3,437 enrolled at post-primary level (circa 0.9% of overall post-primary cohort). </w:t>
      </w:r>
    </w:p>
    <w:p w14:paraId="40CE351D"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296FC8CC"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Traveller pupils attend schools in the DEIS programme in greater numbers compared to non-DEIS schools. Following the 2022 extension of the DEIS programme, approximately 66% of Traveller and Roma students attend DEIS schools. This compares to an overall proportion of 25% of students in DEIS schools nationally. </w:t>
      </w:r>
    </w:p>
    <w:p w14:paraId="4076FD65" w14:textId="77777777" w:rsidR="00784053" w:rsidRPr="00C5657A"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rPr>
      </w:pPr>
    </w:p>
    <w:p w14:paraId="55901C94" w14:textId="64696825" w:rsidR="00784053"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Currently, actions to advance Traveller education outcomes form part of the </w:t>
      </w:r>
      <w:r w:rsidRPr="0030514D">
        <w:rPr>
          <w:rFonts w:ascii="Times New Roman" w:hAnsi="Times New Roman" w:cs="Times New Roman"/>
          <w:i/>
          <w:color w:val="000000"/>
          <w:sz w:val="20"/>
          <w:szCs w:val="20"/>
        </w:rPr>
        <w:t>National Traveller and Roma Inclusion Strategy</w:t>
      </w:r>
      <w:r w:rsidRPr="00C5657A">
        <w:rPr>
          <w:rFonts w:ascii="Times New Roman" w:hAnsi="Times New Roman" w:cs="Times New Roman"/>
          <w:color w:val="000000"/>
          <w:sz w:val="20"/>
          <w:szCs w:val="20"/>
        </w:rPr>
        <w:t xml:space="preserve">, including the aims of achieving equality of education outcomes, supporting an inclusive school community, and promoting a positive culture of respect and protection for the cultural identity of Travellers and Roma in education. </w:t>
      </w:r>
    </w:p>
    <w:p w14:paraId="3ACD3752" w14:textId="77777777" w:rsidR="0030514D" w:rsidRPr="00C5657A" w:rsidRDefault="0030514D"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14A52A51" w14:textId="1EBF6D2B"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There is also a Programme for Government commitment to develop a Traveller </w:t>
      </w:r>
      <w:r>
        <w:rPr>
          <w:rFonts w:ascii="Times New Roman" w:hAnsi="Times New Roman" w:cs="Times New Roman"/>
          <w:color w:val="000000"/>
          <w:sz w:val="20"/>
          <w:szCs w:val="20"/>
        </w:rPr>
        <w:t xml:space="preserve">and Roma </w:t>
      </w:r>
      <w:r w:rsidRPr="00C5657A">
        <w:rPr>
          <w:rFonts w:ascii="Times New Roman" w:hAnsi="Times New Roman" w:cs="Times New Roman"/>
          <w:color w:val="000000"/>
          <w:sz w:val="20"/>
          <w:szCs w:val="20"/>
        </w:rPr>
        <w:t xml:space="preserve">Education Strategy and work is progressing on this. Officials from the Department of Education, </w:t>
      </w:r>
      <w:r w:rsidR="0030514D">
        <w:rPr>
          <w:rFonts w:ascii="Times New Roman" w:hAnsi="Times New Roman" w:cs="Times New Roman"/>
          <w:color w:val="000000"/>
          <w:sz w:val="20"/>
          <w:szCs w:val="20"/>
        </w:rPr>
        <w:t>DCEDIY</w:t>
      </w:r>
      <w:r w:rsidRPr="00C5657A">
        <w:rPr>
          <w:rFonts w:ascii="Times New Roman" w:hAnsi="Times New Roman" w:cs="Times New Roman"/>
          <w:color w:val="000000"/>
          <w:sz w:val="20"/>
          <w:szCs w:val="20"/>
        </w:rPr>
        <w:t xml:space="preserve"> and the Department of Further and Higher Education, Research, Innovation and Science, engage with Traveller representative organisations as part of the National Traveller and Roma Inclusion Strategy (NTRIS) education subcommittee. This engagement will continue in the context of the development of the Traveller </w:t>
      </w:r>
      <w:r>
        <w:rPr>
          <w:rFonts w:ascii="Times New Roman" w:hAnsi="Times New Roman" w:cs="Times New Roman"/>
          <w:color w:val="000000"/>
          <w:sz w:val="20"/>
          <w:szCs w:val="20"/>
        </w:rPr>
        <w:t xml:space="preserve">and Roma </w:t>
      </w:r>
      <w:r w:rsidRPr="00C5657A">
        <w:rPr>
          <w:rFonts w:ascii="Times New Roman" w:hAnsi="Times New Roman" w:cs="Times New Roman"/>
          <w:color w:val="000000"/>
          <w:sz w:val="20"/>
          <w:szCs w:val="20"/>
        </w:rPr>
        <w:t>Education Strategy.</w:t>
      </w:r>
    </w:p>
    <w:p w14:paraId="1F552305"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202D3622" w14:textId="07976B55"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The development of the Strategy will be informed by</w:t>
      </w:r>
      <w:r>
        <w:rPr>
          <w:rFonts w:ascii="Times New Roman" w:hAnsi="Times New Roman" w:cs="Times New Roman"/>
          <w:color w:val="000000"/>
          <w:sz w:val="20"/>
          <w:szCs w:val="20"/>
        </w:rPr>
        <w:t xml:space="preserve"> </w:t>
      </w:r>
      <w:r w:rsidRPr="00C5657A">
        <w:rPr>
          <w:rFonts w:ascii="Times New Roman" w:hAnsi="Times New Roman" w:cs="Times New Roman"/>
          <w:color w:val="000000"/>
          <w:sz w:val="20"/>
          <w:szCs w:val="20"/>
        </w:rPr>
        <w:t>an expert group to advise on Traveller culture and history.</w:t>
      </w:r>
      <w:r>
        <w:rPr>
          <w:rFonts w:ascii="Times New Roman" w:hAnsi="Times New Roman" w:cs="Times New Roman"/>
          <w:color w:val="000000"/>
          <w:sz w:val="20"/>
          <w:szCs w:val="20"/>
        </w:rPr>
        <w:t xml:space="preserve"> </w:t>
      </w:r>
      <w:r w:rsidRPr="00C5657A">
        <w:rPr>
          <w:rFonts w:ascii="Times New Roman" w:hAnsi="Times New Roman" w:cs="Times New Roman"/>
          <w:color w:val="000000"/>
          <w:sz w:val="20"/>
          <w:szCs w:val="20"/>
        </w:rPr>
        <w:t xml:space="preserve">Additionally, the Supporting Traveller and Roma (STAR) pilot project will receive an independent evaluation with a view to informing </w:t>
      </w:r>
      <w:r w:rsidR="0030514D">
        <w:rPr>
          <w:rFonts w:ascii="Times New Roman" w:hAnsi="Times New Roman" w:cs="Times New Roman"/>
          <w:color w:val="000000"/>
          <w:sz w:val="20"/>
          <w:szCs w:val="20"/>
        </w:rPr>
        <w:t>policy. Alongside this, the National Council for Curriculum and Assessment</w:t>
      </w:r>
      <w:r w:rsidRPr="00C5657A">
        <w:rPr>
          <w:rFonts w:ascii="Times New Roman" w:hAnsi="Times New Roman" w:cs="Times New Roman"/>
          <w:color w:val="000000"/>
          <w:sz w:val="20"/>
          <w:szCs w:val="20"/>
        </w:rPr>
        <w:t xml:space="preserve"> has commenced a review of the Intercultural Guidelines for primary and post-primary schools in order to support the further integration of intercultural education in the curriculum;</w:t>
      </w:r>
    </w:p>
    <w:p w14:paraId="01827C7D" w14:textId="77777777" w:rsidR="00784053" w:rsidRPr="00C5657A"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rPr>
      </w:pPr>
    </w:p>
    <w:p w14:paraId="05EE7B7D"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u w:val="single"/>
        </w:rPr>
      </w:pPr>
      <w:r w:rsidRPr="00C5657A">
        <w:rPr>
          <w:rFonts w:ascii="Times New Roman" w:hAnsi="Times New Roman" w:cs="Times New Roman"/>
          <w:color w:val="000000"/>
          <w:sz w:val="20"/>
          <w:szCs w:val="20"/>
          <w:u w:val="single"/>
        </w:rPr>
        <w:t>Access to education: Children with disabilities and Special Education</w:t>
      </w:r>
    </w:p>
    <w:p w14:paraId="4006E2F2" w14:textId="77777777" w:rsidR="00E92C0F" w:rsidRDefault="00784053" w:rsidP="00E92C0F">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The policy of the Department of Education is to ensure that all children with special educational needs can be provided with an educati</w:t>
      </w:r>
      <w:r>
        <w:rPr>
          <w:rFonts w:ascii="Times New Roman" w:hAnsi="Times New Roman" w:cs="Times New Roman"/>
          <w:color w:val="000000"/>
          <w:sz w:val="20"/>
          <w:szCs w:val="20"/>
        </w:rPr>
        <w:t xml:space="preserve">on appropriate to their needs. </w:t>
      </w:r>
      <w:r w:rsidRPr="00C5657A">
        <w:rPr>
          <w:rFonts w:ascii="Times New Roman" w:hAnsi="Times New Roman" w:cs="Times New Roman"/>
          <w:color w:val="000000"/>
          <w:sz w:val="20"/>
          <w:szCs w:val="20"/>
        </w:rPr>
        <w:t xml:space="preserve">Where possible, children with special educational needs are included in mainstream placements with additional supports provided. </w:t>
      </w:r>
    </w:p>
    <w:p w14:paraId="2EE4E2BC" w14:textId="77777777" w:rsidR="00E92C0F" w:rsidRDefault="00E92C0F" w:rsidP="00E92C0F">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3CD23ADB" w14:textId="3EDFE870" w:rsidR="00E92C0F" w:rsidRPr="003060C9" w:rsidRDefault="00E92C0F" w:rsidP="00E92C0F">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673B6D">
        <w:rPr>
          <w:rFonts w:ascii="Times New Roman" w:hAnsi="Times New Roman" w:cs="Times New Roman"/>
          <w:color w:val="000000"/>
          <w:sz w:val="20"/>
          <w:szCs w:val="20"/>
        </w:rPr>
        <w:t xml:space="preserve">In December 2021, a review of the </w:t>
      </w:r>
      <w:r w:rsidRPr="00E92C0F">
        <w:rPr>
          <w:rFonts w:ascii="Times New Roman" w:hAnsi="Times New Roman" w:cs="Times New Roman"/>
          <w:i/>
          <w:color w:val="000000"/>
          <w:sz w:val="20"/>
          <w:szCs w:val="20"/>
        </w:rPr>
        <w:t>Education for Persons with Special Educational Needs Act 2004</w:t>
      </w:r>
      <w:r w:rsidRPr="00E92C0F">
        <w:rPr>
          <w:rFonts w:ascii="Times New Roman" w:hAnsi="Times New Roman" w:cs="Times New Roman"/>
          <w:color w:val="000000"/>
          <w:sz w:val="20"/>
          <w:szCs w:val="20"/>
        </w:rPr>
        <w:t xml:space="preserve"> was announced in order to ensure</w:t>
      </w:r>
      <w:r w:rsidRPr="00673B6D">
        <w:rPr>
          <w:rFonts w:ascii="Times New Roman" w:hAnsi="Times New Roman" w:cs="Times New Roman"/>
          <w:color w:val="000000"/>
          <w:sz w:val="20"/>
          <w:szCs w:val="20"/>
        </w:rPr>
        <w:t xml:space="preserve"> legislation is up-to-date, fully operational, and reflective of the lived experiences of students and families. This includes those sections of the Act relating to individual education plans. Open collaboration and consultation are at the heart of the review which has engaged a variety of stakeholders, including parents, educators, and advocacy groups. Online surveys closed in March 2023 and the 28,000 responses received are being analysed. The review will conclude in 2023.</w:t>
      </w:r>
    </w:p>
    <w:p w14:paraId="4D0B89CC"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4EB23F99"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The numbers of special classes, special education teachers and Special Needs Assistants are at unprecedented levels. Education for children with special educational needs continues to be a priority for investment, with in excess of €2 billion in funding provided in 2022, representing over a quarter of the Department’s entire current expenditure budget. Within 2022, some 1,165 additional special needs assistants (SNAs) were allocated, bringing the total numbers to almost 19,200.</w:t>
      </w:r>
    </w:p>
    <w:p w14:paraId="273EA2B5"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28F4B03A" w14:textId="266621DF" w:rsidR="00784053" w:rsidRPr="00882C37" w:rsidRDefault="0030514D" w:rsidP="00784053">
      <w:pPr>
        <w:pStyle w:val="NoSpacing"/>
        <w:ind w:left="1134" w:right="1134"/>
        <w:jc w:val="both"/>
        <w:rPr>
          <w:rFonts w:ascii="Times New Roman" w:hAnsi="Times New Roman" w:cs="Times New Roman"/>
          <w:color w:val="0D0D0D"/>
          <w:sz w:val="20"/>
          <w:szCs w:val="20"/>
          <w:lang w:val="en"/>
        </w:rPr>
      </w:pPr>
      <w:r>
        <w:rPr>
          <w:rFonts w:ascii="Times New Roman" w:hAnsi="Times New Roman" w:cs="Times New Roman"/>
          <w:color w:val="000000"/>
          <w:sz w:val="20"/>
          <w:szCs w:val="20"/>
        </w:rPr>
        <w:t>The total cost of the School Transport S</w:t>
      </w:r>
      <w:r w:rsidR="00784053" w:rsidRPr="00882C37">
        <w:rPr>
          <w:rFonts w:ascii="Times New Roman" w:hAnsi="Times New Roman" w:cs="Times New Roman"/>
          <w:color w:val="000000"/>
          <w:sz w:val="20"/>
          <w:szCs w:val="20"/>
        </w:rPr>
        <w:t xml:space="preserve">cheme in 2022 was €338.9m.  Of this total cost, over 50% was for the provision of transport for children </w:t>
      </w:r>
      <w:r>
        <w:rPr>
          <w:rFonts w:ascii="Times New Roman" w:hAnsi="Times New Roman" w:cs="Times New Roman"/>
          <w:color w:val="000000"/>
          <w:sz w:val="20"/>
          <w:szCs w:val="20"/>
        </w:rPr>
        <w:t xml:space="preserve">with special educational needs. </w:t>
      </w:r>
      <w:r w:rsidR="00784053" w:rsidRPr="00882C37">
        <w:rPr>
          <w:rFonts w:ascii="Times New Roman" w:hAnsi="Times New Roman" w:cs="Times New Roman"/>
          <w:color w:val="0D0D0D"/>
          <w:sz w:val="20"/>
          <w:szCs w:val="20"/>
        </w:rPr>
        <w:t xml:space="preserve">The </w:t>
      </w:r>
      <w:r w:rsidR="00784053" w:rsidRPr="00882C37">
        <w:rPr>
          <w:rFonts w:ascii="Times New Roman" w:hAnsi="Times New Roman" w:cs="Times New Roman"/>
          <w:color w:val="0D0D0D"/>
          <w:sz w:val="20"/>
          <w:szCs w:val="20"/>
          <w:lang w:val="en"/>
        </w:rPr>
        <w:t xml:space="preserve">scheme provides free school transport to children with diagnosed disabilities who meet the eligibility criteria.  </w:t>
      </w:r>
      <w:r w:rsidR="00784053" w:rsidRPr="00882C37">
        <w:rPr>
          <w:rFonts w:ascii="Times New Roman" w:hAnsi="Times New Roman" w:cs="Times New Roman"/>
          <w:color w:val="0D0D0D"/>
          <w:sz w:val="20"/>
          <w:szCs w:val="20"/>
        </w:rPr>
        <w:t xml:space="preserve">Due to the specialised nature of school transport for children with Special Educational Needs, these services generally </w:t>
      </w:r>
      <w:r>
        <w:rPr>
          <w:rFonts w:ascii="Times New Roman" w:hAnsi="Times New Roman" w:cs="Times New Roman"/>
          <w:color w:val="0D0D0D"/>
          <w:sz w:val="20"/>
          <w:szCs w:val="20"/>
        </w:rPr>
        <w:t>operate on a door-to-door basis and</w:t>
      </w:r>
      <w:r w:rsidR="00784053" w:rsidRPr="00882C37">
        <w:rPr>
          <w:rFonts w:ascii="Times New Roman" w:hAnsi="Times New Roman" w:cs="Times New Roman"/>
          <w:color w:val="0D0D0D"/>
          <w:sz w:val="20"/>
          <w:szCs w:val="20"/>
        </w:rPr>
        <w:t xml:space="preserve"> individual services </w:t>
      </w:r>
      <w:r>
        <w:rPr>
          <w:rFonts w:ascii="Times New Roman" w:hAnsi="Times New Roman" w:cs="Times New Roman"/>
          <w:color w:val="0D0D0D"/>
          <w:sz w:val="20"/>
          <w:szCs w:val="20"/>
        </w:rPr>
        <w:t xml:space="preserve">are often be required, such as </w:t>
      </w:r>
      <w:r w:rsidR="00784053" w:rsidRPr="00882C37">
        <w:rPr>
          <w:rFonts w:ascii="Times New Roman" w:hAnsi="Times New Roman" w:cs="Times New Roman"/>
          <w:color w:val="0D0D0D"/>
          <w:sz w:val="20"/>
          <w:szCs w:val="20"/>
        </w:rPr>
        <w:t>the support of a school bus escort</w:t>
      </w:r>
      <w:r>
        <w:rPr>
          <w:rFonts w:ascii="Times New Roman" w:hAnsi="Times New Roman" w:cs="Times New Roman"/>
          <w:color w:val="0D0D0D"/>
          <w:sz w:val="20"/>
          <w:szCs w:val="20"/>
        </w:rPr>
        <w:t xml:space="preserve"> and/or</w:t>
      </w:r>
      <w:r w:rsidR="00784053" w:rsidRPr="00882C37">
        <w:rPr>
          <w:rFonts w:ascii="Times New Roman" w:hAnsi="Times New Roman" w:cs="Times New Roman"/>
          <w:color w:val="0D0D0D"/>
          <w:sz w:val="20"/>
          <w:szCs w:val="20"/>
        </w:rPr>
        <w:t xml:space="preserve"> specialised vehicles</w:t>
      </w:r>
      <w:r>
        <w:rPr>
          <w:rFonts w:ascii="Times New Roman" w:hAnsi="Times New Roman" w:cs="Times New Roman"/>
          <w:color w:val="0D0D0D"/>
          <w:sz w:val="20"/>
          <w:szCs w:val="20"/>
        </w:rPr>
        <w:t>.</w:t>
      </w:r>
      <w:r w:rsidR="00784053" w:rsidRPr="00882C37">
        <w:rPr>
          <w:rFonts w:ascii="Times New Roman" w:hAnsi="Times New Roman" w:cs="Times New Roman"/>
          <w:color w:val="0D0D0D"/>
          <w:sz w:val="20"/>
          <w:szCs w:val="20"/>
        </w:rPr>
        <w:t xml:space="preserve"> </w:t>
      </w:r>
    </w:p>
    <w:p w14:paraId="7DE336FB" w14:textId="77777777" w:rsidR="0030514D" w:rsidRDefault="0030514D"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57CA1FA0" w14:textId="6B50B73D"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The Assistive Technology Grant enables schools to purchase specialist </w:t>
      </w:r>
      <w:r w:rsidR="0030514D">
        <w:rPr>
          <w:rFonts w:ascii="Times New Roman" w:hAnsi="Times New Roman" w:cs="Times New Roman"/>
          <w:color w:val="000000"/>
          <w:sz w:val="20"/>
          <w:szCs w:val="20"/>
        </w:rPr>
        <w:t>equipment recommended by the National Council for Special Education</w:t>
      </w:r>
      <w:r w:rsidRPr="00C5657A">
        <w:rPr>
          <w:rFonts w:ascii="Times New Roman" w:hAnsi="Times New Roman" w:cs="Times New Roman"/>
          <w:color w:val="000000"/>
          <w:sz w:val="20"/>
          <w:szCs w:val="20"/>
        </w:rPr>
        <w:t xml:space="preserve">. Over €3.7m was provided to schools in 2022 through this scheme, to support individual pupils. An additional €2 million </w:t>
      </w:r>
      <w:r w:rsidR="0030514D">
        <w:rPr>
          <w:rFonts w:ascii="Times New Roman" w:hAnsi="Times New Roman" w:cs="Times New Roman"/>
          <w:color w:val="000000"/>
          <w:sz w:val="20"/>
          <w:szCs w:val="20"/>
        </w:rPr>
        <w:lastRenderedPageBreak/>
        <w:t xml:space="preserve">in </w:t>
      </w:r>
      <w:r w:rsidRPr="00C5657A">
        <w:rPr>
          <w:rFonts w:ascii="Times New Roman" w:hAnsi="Times New Roman" w:cs="Times New Roman"/>
          <w:color w:val="000000"/>
          <w:sz w:val="20"/>
          <w:szCs w:val="20"/>
        </w:rPr>
        <w:t>funding has been secured in Budget 2023; an increase of almost 60%. The</w:t>
      </w:r>
      <w:r w:rsidR="0030514D">
        <w:rPr>
          <w:rFonts w:ascii="Times New Roman" w:hAnsi="Times New Roman" w:cs="Times New Roman"/>
          <w:color w:val="000000"/>
          <w:sz w:val="20"/>
          <w:szCs w:val="20"/>
        </w:rPr>
        <w:t xml:space="preserve"> relevant</w:t>
      </w:r>
      <w:r w:rsidRPr="00C5657A">
        <w:rPr>
          <w:rFonts w:ascii="Times New Roman" w:hAnsi="Times New Roman" w:cs="Times New Roman"/>
          <w:color w:val="000000"/>
          <w:sz w:val="20"/>
          <w:szCs w:val="20"/>
        </w:rPr>
        <w:t xml:space="preserve"> Department is curren</w:t>
      </w:r>
      <w:r w:rsidR="0030514D">
        <w:rPr>
          <w:rFonts w:ascii="Times New Roman" w:hAnsi="Times New Roman" w:cs="Times New Roman"/>
          <w:color w:val="000000"/>
          <w:sz w:val="20"/>
          <w:szCs w:val="20"/>
        </w:rPr>
        <w:t>tly reviewing this scheme (</w:t>
      </w:r>
      <w:r w:rsidRPr="00C5657A">
        <w:rPr>
          <w:rFonts w:ascii="Times New Roman" w:hAnsi="Times New Roman" w:cs="Times New Roman"/>
          <w:color w:val="000000"/>
          <w:sz w:val="20"/>
          <w:szCs w:val="20"/>
        </w:rPr>
        <w:t>expected to complete by mid-2023</w:t>
      </w:r>
      <w:r w:rsidR="0030514D">
        <w:rPr>
          <w:rFonts w:ascii="Times New Roman" w:hAnsi="Times New Roman" w:cs="Times New Roman"/>
          <w:color w:val="000000"/>
          <w:sz w:val="20"/>
          <w:szCs w:val="20"/>
        </w:rPr>
        <w:t>)</w:t>
      </w:r>
      <w:r w:rsidRPr="00C5657A">
        <w:rPr>
          <w:rFonts w:ascii="Times New Roman" w:hAnsi="Times New Roman" w:cs="Times New Roman"/>
          <w:color w:val="000000"/>
          <w:sz w:val="20"/>
          <w:szCs w:val="20"/>
        </w:rPr>
        <w:t>.</w:t>
      </w:r>
    </w:p>
    <w:p w14:paraId="30792D36" w14:textId="77777777" w:rsidR="0030514D" w:rsidRDefault="0030514D"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6B331F3D" w14:textId="77777777" w:rsidR="00E92C0F" w:rsidRDefault="00784053" w:rsidP="00E92C0F">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Specially trained visiting teachers for children who are deaf/hard of hearing or blind/visually impaired provide referrals to childr</w:t>
      </w:r>
      <w:r>
        <w:rPr>
          <w:rFonts w:ascii="Times New Roman" w:hAnsi="Times New Roman" w:cs="Times New Roman"/>
          <w:color w:val="000000"/>
          <w:sz w:val="20"/>
          <w:szCs w:val="20"/>
        </w:rPr>
        <w:t>en for assistive accommodations.</w:t>
      </w:r>
      <w:r w:rsidRPr="00C5657A">
        <w:rPr>
          <w:rFonts w:ascii="Times New Roman" w:hAnsi="Times New Roman" w:cs="Times New Roman"/>
          <w:color w:val="000000"/>
          <w:sz w:val="20"/>
          <w:szCs w:val="20"/>
        </w:rPr>
        <w:t xml:space="preserve"> </w:t>
      </w:r>
    </w:p>
    <w:p w14:paraId="795717FE" w14:textId="77777777" w:rsidR="00E92C0F" w:rsidRDefault="00E92C0F" w:rsidP="00E92C0F">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65181607" w14:textId="204E5D1E" w:rsidR="00E92C0F" w:rsidRPr="003060C9" w:rsidRDefault="00E92C0F" w:rsidP="00E92C0F">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3060C9">
        <w:rPr>
          <w:rFonts w:ascii="Times New Roman" w:hAnsi="Times New Roman" w:cs="Times New Roman"/>
          <w:color w:val="000000"/>
          <w:sz w:val="20"/>
          <w:szCs w:val="20"/>
        </w:rPr>
        <w:t>Since 2018, a new School Inclusion Model pilot project has been testing a model of tailored therapeutic supports by providing speech and language and occupational therapy within educational settings. This pilot was extended to recruit up to 31 speech and language</w:t>
      </w:r>
      <w:r>
        <w:rPr>
          <w:rFonts w:ascii="Times New Roman" w:hAnsi="Times New Roman" w:cs="Times New Roman"/>
          <w:color w:val="000000"/>
          <w:sz w:val="20"/>
          <w:szCs w:val="20"/>
        </w:rPr>
        <w:t xml:space="preserve"> </w:t>
      </w:r>
      <w:r w:rsidRPr="003060C9">
        <w:rPr>
          <w:rFonts w:ascii="Times New Roman" w:hAnsi="Times New Roman" w:cs="Times New Roman"/>
          <w:color w:val="000000"/>
          <w:sz w:val="20"/>
          <w:szCs w:val="20"/>
        </w:rPr>
        <w:t xml:space="preserve">and occupational therapists. </w:t>
      </w:r>
    </w:p>
    <w:p w14:paraId="4F1C74D4"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11BACCAD"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u w:val="single"/>
        </w:rPr>
      </w:pPr>
      <w:bookmarkStart w:id="3" w:name="_Toc125123330"/>
      <w:bookmarkStart w:id="4" w:name="_Toc133418278"/>
      <w:bookmarkStart w:id="5" w:name="_Toc125123328"/>
      <w:bookmarkStart w:id="6" w:name="_Toc133418276"/>
      <w:r w:rsidRPr="00C5657A">
        <w:rPr>
          <w:rFonts w:ascii="Times New Roman" w:hAnsi="Times New Roman" w:cs="Times New Roman"/>
          <w:color w:val="000000"/>
          <w:sz w:val="20"/>
          <w:szCs w:val="20"/>
          <w:u w:val="single"/>
        </w:rPr>
        <w:t>Summer Programme</w:t>
      </w:r>
      <w:bookmarkEnd w:id="3"/>
      <w:bookmarkEnd w:id="4"/>
      <w:r w:rsidRPr="00C5657A">
        <w:rPr>
          <w:rFonts w:ascii="Times New Roman" w:hAnsi="Times New Roman" w:cs="Times New Roman"/>
          <w:color w:val="000000"/>
          <w:sz w:val="20"/>
          <w:szCs w:val="20"/>
          <w:u w:val="single"/>
        </w:rPr>
        <w:t xml:space="preserve"> </w:t>
      </w:r>
    </w:p>
    <w:p w14:paraId="3D32E1CC"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This year’s Summer Programme allowed all primary and post-primary schools to offer a summer programme for students with complex special educational needs (SEN) and those at greatest risk of educational disadvantage. In line with last year, the total funding available to provide summer programmes this year was up to €40 million. </w:t>
      </w:r>
    </w:p>
    <w:p w14:paraId="640D28DF"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67E5E414"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In 2021 nearly 38,000 children availed of the summer programme, an increase of 60% from the previous year. For 2022, over 41,000 students and over 1,000 schools took part. The programme has helped over 1,300 Ukrainian children to integrate into their new learning environments through the inclusion programme.</w:t>
      </w:r>
    </w:p>
    <w:bookmarkEnd w:id="5"/>
    <w:bookmarkEnd w:id="6"/>
    <w:p w14:paraId="796BB0C6" w14:textId="77777777" w:rsidR="00784053" w:rsidRPr="00C5657A"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rPr>
      </w:pPr>
    </w:p>
    <w:p w14:paraId="33699025" w14:textId="77777777" w:rsidR="00784053"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u w:val="single"/>
        </w:rPr>
      </w:pPr>
      <w:r w:rsidRPr="00C5657A">
        <w:rPr>
          <w:rFonts w:ascii="Times New Roman" w:hAnsi="Times New Roman" w:cs="Times New Roman"/>
          <w:color w:val="000000"/>
          <w:sz w:val="20"/>
          <w:szCs w:val="20"/>
          <w:u w:val="single"/>
        </w:rPr>
        <w:t>Sta</w:t>
      </w:r>
      <w:r>
        <w:rPr>
          <w:rFonts w:ascii="Times New Roman" w:hAnsi="Times New Roman" w:cs="Times New Roman"/>
          <w:color w:val="000000"/>
          <w:sz w:val="20"/>
          <w:szCs w:val="20"/>
          <w:u w:val="single"/>
        </w:rPr>
        <w:t>tistics</w:t>
      </w:r>
    </w:p>
    <w:p w14:paraId="6763EEEF" w14:textId="63CECD82"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u w:val="single"/>
        </w:rPr>
      </w:pPr>
      <w:r w:rsidRPr="00C70D2E">
        <w:rPr>
          <w:rFonts w:ascii="Times New Roman" w:hAnsi="Times New Roman" w:cs="Times New Roman"/>
          <w:color w:val="000000"/>
          <w:sz w:val="20"/>
          <w:szCs w:val="20"/>
        </w:rPr>
        <w:t xml:space="preserve">The Education Indicators for Ireland provides a comprehensive set of educational indicators for the education system in Ireland. The most recent report published in February 2023 is available </w:t>
      </w:r>
      <w:hyperlink r:id="rId18" w:anchor="page=null" w:history="1">
        <w:r w:rsidRPr="0030514D">
          <w:rPr>
            <w:rStyle w:val="Hyperlink"/>
            <w:rFonts w:ascii="Times New Roman" w:hAnsi="Times New Roman" w:cs="Times New Roman"/>
            <w:sz w:val="20"/>
            <w:szCs w:val="20"/>
            <w:u w:val="single"/>
          </w:rPr>
          <w:t>here</w:t>
        </w:r>
      </w:hyperlink>
      <w:r w:rsidRPr="00C70D2E">
        <w:rPr>
          <w:rFonts w:ascii="Times New Roman" w:hAnsi="Times New Roman" w:cs="Times New Roman"/>
          <w:color w:val="000000"/>
          <w:sz w:val="20"/>
          <w:szCs w:val="20"/>
        </w:rPr>
        <w:t>.</w:t>
      </w:r>
    </w:p>
    <w:p w14:paraId="7FD221DC"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u w:val="single"/>
        </w:rPr>
      </w:pPr>
    </w:p>
    <w:p w14:paraId="3B69E95C" w14:textId="77777777" w:rsidR="00784053" w:rsidRPr="00C70D2E" w:rsidRDefault="00784053" w:rsidP="00784053">
      <w:pPr>
        <w:ind w:left="1134" w:right="1134"/>
        <w:jc w:val="both"/>
        <w:rPr>
          <w:color w:val="000000"/>
          <w:sz w:val="20"/>
          <w:szCs w:val="20"/>
        </w:rPr>
      </w:pPr>
      <w:proofErr w:type="spellStart"/>
      <w:r w:rsidRPr="00C70D2E">
        <w:rPr>
          <w:color w:val="000000"/>
          <w:sz w:val="20"/>
          <w:szCs w:val="20"/>
        </w:rPr>
        <w:t>Tusla</w:t>
      </w:r>
      <w:proofErr w:type="spellEnd"/>
      <w:r w:rsidRPr="00C70D2E">
        <w:rPr>
          <w:color w:val="000000"/>
          <w:sz w:val="20"/>
          <w:szCs w:val="20"/>
        </w:rPr>
        <w:t xml:space="preserve"> Education Support Service (TESS) publish data on school attendance rates and student non-attendance in primary and post-primary schools. The latest available data, published in June 2023, relating to the 2019-2022 period </w:t>
      </w:r>
      <w:r w:rsidRPr="00C70D2E">
        <w:rPr>
          <w:sz w:val="20"/>
          <w:szCs w:val="20"/>
        </w:rPr>
        <w:t xml:space="preserve">is </w:t>
      </w:r>
      <w:r w:rsidRPr="0030514D">
        <w:rPr>
          <w:sz w:val="20"/>
          <w:szCs w:val="20"/>
        </w:rPr>
        <w:t xml:space="preserve">available </w:t>
      </w:r>
      <w:hyperlink r:id="rId19" w:history="1">
        <w:r w:rsidRPr="0030514D">
          <w:rPr>
            <w:rStyle w:val="Hyperlink"/>
            <w:sz w:val="20"/>
            <w:szCs w:val="20"/>
            <w:u w:val="single"/>
          </w:rPr>
          <w:t>here</w:t>
        </w:r>
      </w:hyperlink>
      <w:r w:rsidRPr="0030514D">
        <w:rPr>
          <w:rStyle w:val="Hyperlink"/>
          <w:sz w:val="20"/>
          <w:szCs w:val="20"/>
          <w:u w:val="single"/>
        </w:rPr>
        <w:t>.</w:t>
      </w:r>
    </w:p>
    <w:p w14:paraId="692A52C0"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17B571E9"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70D2E">
        <w:rPr>
          <w:rFonts w:ascii="Times New Roman" w:hAnsi="Times New Roman" w:cs="Times New Roman"/>
          <w:color w:val="000000"/>
          <w:sz w:val="20"/>
          <w:szCs w:val="20"/>
        </w:rPr>
        <w:t xml:space="preserve">The most recent report on retention rates of pupils in second level schools in Ireland relating to the 2015 entry cohort, was published in January 2023 and is available </w:t>
      </w:r>
      <w:hyperlink r:id="rId20" w:anchor="page=null" w:history="1">
        <w:r w:rsidRPr="0030514D">
          <w:rPr>
            <w:rStyle w:val="Hyperlink"/>
            <w:rFonts w:ascii="Times New Roman" w:hAnsi="Times New Roman" w:cs="Times New Roman"/>
            <w:sz w:val="20"/>
            <w:szCs w:val="20"/>
            <w:u w:val="single"/>
          </w:rPr>
          <w:t>here</w:t>
        </w:r>
      </w:hyperlink>
      <w:r w:rsidRPr="0030514D">
        <w:rPr>
          <w:rFonts w:ascii="Times New Roman" w:hAnsi="Times New Roman" w:cs="Times New Roman"/>
          <w:color w:val="000000"/>
          <w:sz w:val="20"/>
          <w:szCs w:val="20"/>
          <w:u w:val="single"/>
        </w:rPr>
        <w:t>.</w:t>
      </w:r>
    </w:p>
    <w:p w14:paraId="26DFA92D" w14:textId="77777777" w:rsidR="00784053" w:rsidRPr="00C70D2E"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highlight w:val="yellow"/>
        </w:rPr>
      </w:pPr>
    </w:p>
    <w:p w14:paraId="6D69D94B"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70D2E">
        <w:rPr>
          <w:rFonts w:ascii="Times New Roman" w:hAnsi="Times New Roman" w:cs="Times New Roman"/>
          <w:color w:val="000000"/>
          <w:sz w:val="20"/>
          <w:szCs w:val="20"/>
        </w:rPr>
        <w:t xml:space="preserve">The State Examination Commission (SEC) publishes data on examination attainment by subject, gender and region. SEC statistical examination reports are available </w:t>
      </w:r>
      <w:hyperlink r:id="rId21" w:history="1">
        <w:r w:rsidRPr="0030514D">
          <w:rPr>
            <w:rStyle w:val="Hyperlink"/>
            <w:rFonts w:ascii="Times New Roman" w:hAnsi="Times New Roman" w:cs="Times New Roman"/>
            <w:sz w:val="20"/>
            <w:szCs w:val="20"/>
            <w:u w:val="single"/>
          </w:rPr>
          <w:t>here.</w:t>
        </w:r>
      </w:hyperlink>
      <w:r w:rsidRPr="00C70D2E">
        <w:rPr>
          <w:rFonts w:ascii="Times New Roman" w:hAnsi="Times New Roman" w:cs="Times New Roman"/>
          <w:color w:val="000000"/>
          <w:sz w:val="20"/>
          <w:szCs w:val="20"/>
        </w:rPr>
        <w:t xml:space="preserve">  </w:t>
      </w:r>
    </w:p>
    <w:p w14:paraId="10C20A0F" w14:textId="77777777" w:rsidR="00784053" w:rsidRPr="00C70D2E"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highlight w:val="yellow"/>
        </w:rPr>
      </w:pPr>
    </w:p>
    <w:p w14:paraId="7F08A601"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70D2E">
        <w:rPr>
          <w:rFonts w:ascii="Times New Roman" w:hAnsi="Times New Roman" w:cs="Times New Roman"/>
          <w:color w:val="000000"/>
          <w:sz w:val="20"/>
          <w:szCs w:val="20"/>
        </w:rPr>
        <w:t xml:space="preserve">For disaggregation, age group can be calculated for a particular group but is not immediately available, as class year is used as a proxy for age. </w:t>
      </w:r>
    </w:p>
    <w:p w14:paraId="09D57C49" w14:textId="77777777" w:rsidR="00784053" w:rsidRPr="00C70D2E" w:rsidRDefault="00784053" w:rsidP="00784053">
      <w:pPr>
        <w:pStyle w:val="xsingletxtg"/>
        <w:shd w:val="clear" w:color="auto" w:fill="FFFFFF"/>
        <w:spacing w:line="240" w:lineRule="atLeast"/>
        <w:ind w:right="1134"/>
        <w:contextualSpacing/>
        <w:jc w:val="both"/>
        <w:rPr>
          <w:rFonts w:ascii="Times New Roman" w:hAnsi="Times New Roman" w:cs="Times New Roman"/>
          <w:color w:val="000000"/>
          <w:sz w:val="20"/>
          <w:szCs w:val="20"/>
          <w:highlight w:val="yellow"/>
        </w:rPr>
      </w:pPr>
    </w:p>
    <w:p w14:paraId="5E0DC32D"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70D2E">
        <w:rPr>
          <w:rFonts w:ascii="Times New Roman" w:hAnsi="Times New Roman" w:cs="Times New Roman"/>
          <w:color w:val="000000"/>
          <w:sz w:val="20"/>
          <w:szCs w:val="20"/>
        </w:rPr>
        <w:t>Data on school attendance, participation and retention by pupils from the Traveller Community is published by the Department of Education. The second report relating to the period 2016-2020 was published in May 2023 and is available</w:t>
      </w:r>
      <w:r w:rsidRPr="0030514D">
        <w:rPr>
          <w:rFonts w:ascii="Times New Roman" w:hAnsi="Times New Roman" w:cs="Times New Roman"/>
          <w:color w:val="000000"/>
          <w:sz w:val="20"/>
          <w:szCs w:val="20"/>
        </w:rPr>
        <w:t xml:space="preserve"> </w:t>
      </w:r>
      <w:hyperlink r:id="rId22" w:anchor="page=null" w:history="1">
        <w:r w:rsidRPr="0030514D">
          <w:rPr>
            <w:rStyle w:val="Hyperlink"/>
            <w:rFonts w:ascii="Times New Roman" w:hAnsi="Times New Roman" w:cs="Times New Roman"/>
            <w:sz w:val="20"/>
            <w:szCs w:val="20"/>
            <w:u w:val="single"/>
          </w:rPr>
          <w:t>here</w:t>
        </w:r>
      </w:hyperlink>
      <w:r w:rsidRPr="00C70D2E">
        <w:rPr>
          <w:rFonts w:ascii="Times New Roman" w:hAnsi="Times New Roman" w:cs="Times New Roman"/>
          <w:color w:val="000000"/>
          <w:sz w:val="20"/>
          <w:szCs w:val="20"/>
        </w:rPr>
        <w:t xml:space="preserve">. </w:t>
      </w:r>
    </w:p>
    <w:p w14:paraId="51057A33"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highlight w:val="yellow"/>
        </w:rPr>
      </w:pPr>
    </w:p>
    <w:p w14:paraId="5A2DE319" w14:textId="78D4E9EF" w:rsidR="00784053"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70D2E">
        <w:rPr>
          <w:rFonts w:ascii="Times New Roman" w:hAnsi="Times New Roman" w:cs="Times New Roman"/>
          <w:color w:val="000000"/>
          <w:sz w:val="20"/>
          <w:szCs w:val="20"/>
        </w:rPr>
        <w:t>For socioeconomic status, a measure of disadvantage is available for individual pupils, but no statistics are published in this format. Information on DEIS (</w:t>
      </w:r>
      <w:r w:rsidRPr="00C70D2E">
        <w:rPr>
          <w:rFonts w:ascii="Times New Roman" w:hAnsi="Times New Roman" w:cs="Times New Roman"/>
          <w:i/>
          <w:color w:val="000000"/>
          <w:sz w:val="20"/>
          <w:szCs w:val="20"/>
        </w:rPr>
        <w:t>Delivering Equality of Opportunity in Schools)</w:t>
      </w:r>
      <w:r w:rsidRPr="00C70D2E">
        <w:rPr>
          <w:rFonts w:ascii="Times New Roman" w:hAnsi="Times New Roman" w:cs="Times New Roman"/>
          <w:color w:val="000000"/>
          <w:sz w:val="20"/>
          <w:szCs w:val="20"/>
        </w:rPr>
        <w:t xml:space="preserve"> schools would be the closest and is available </w:t>
      </w:r>
      <w:hyperlink r:id="rId23" w:history="1">
        <w:r w:rsidRPr="0030514D">
          <w:rPr>
            <w:rStyle w:val="Hyperlink"/>
            <w:rFonts w:ascii="Times New Roman" w:hAnsi="Times New Roman" w:cs="Times New Roman"/>
            <w:sz w:val="20"/>
            <w:szCs w:val="20"/>
            <w:u w:val="single"/>
          </w:rPr>
          <w:t>here</w:t>
        </w:r>
      </w:hyperlink>
      <w:r w:rsidR="0030514D">
        <w:rPr>
          <w:rFonts w:ascii="Times New Roman" w:hAnsi="Times New Roman" w:cs="Times New Roman"/>
          <w:color w:val="000000"/>
          <w:sz w:val="20"/>
          <w:szCs w:val="20"/>
        </w:rPr>
        <w:t xml:space="preserve">. </w:t>
      </w:r>
      <w:r w:rsidRPr="00C70D2E">
        <w:rPr>
          <w:rFonts w:ascii="Times New Roman" w:hAnsi="Times New Roman" w:cs="Times New Roman"/>
          <w:color w:val="000000"/>
          <w:sz w:val="20"/>
          <w:szCs w:val="20"/>
        </w:rPr>
        <w:t>It is important to note that these schools also include students from backgrounds other than disadvantaged.</w:t>
      </w:r>
    </w:p>
    <w:p w14:paraId="2D6E177E" w14:textId="77777777" w:rsidR="00784053" w:rsidRPr="00C70D2E" w:rsidRDefault="00784053" w:rsidP="00784053">
      <w:pPr>
        <w:pStyle w:val="xsingletxtg"/>
        <w:shd w:val="clear" w:color="auto" w:fill="FFFFFF"/>
        <w:spacing w:line="240" w:lineRule="atLeast"/>
        <w:ind w:left="1134" w:right="1134"/>
        <w:contextualSpacing/>
        <w:jc w:val="both"/>
        <w:rPr>
          <w:rFonts w:ascii="Times New Roman" w:hAnsi="Times New Roman" w:cs="Times New Roman"/>
          <w:i/>
          <w:color w:val="000000"/>
          <w:sz w:val="20"/>
          <w:szCs w:val="20"/>
          <w:u w:val="single"/>
        </w:rPr>
      </w:pPr>
    </w:p>
    <w:p w14:paraId="7387F557"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i/>
          <w:color w:val="000000"/>
          <w:sz w:val="20"/>
          <w:szCs w:val="20"/>
          <w:u w:val="single"/>
        </w:rPr>
      </w:pPr>
      <w:r w:rsidRPr="00C5657A">
        <w:rPr>
          <w:rFonts w:ascii="Times New Roman" w:hAnsi="Times New Roman" w:cs="Times New Roman"/>
          <w:i/>
          <w:color w:val="000000"/>
          <w:sz w:val="20"/>
          <w:szCs w:val="20"/>
          <w:u w:val="single"/>
        </w:rPr>
        <w:t>Education (Admissions to Schools) Act 2018</w:t>
      </w:r>
    </w:p>
    <w:p w14:paraId="41DC1021"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32638FD7" w14:textId="0666EBE1"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 xml:space="preserve">The </w:t>
      </w:r>
      <w:r w:rsidRPr="0030514D">
        <w:rPr>
          <w:rFonts w:ascii="Times New Roman" w:hAnsi="Times New Roman" w:cs="Times New Roman"/>
          <w:i/>
          <w:color w:val="000000"/>
          <w:sz w:val="20"/>
          <w:szCs w:val="20"/>
        </w:rPr>
        <w:t>Education</w:t>
      </w:r>
      <w:r w:rsidR="0030514D">
        <w:rPr>
          <w:rFonts w:ascii="Times New Roman" w:hAnsi="Times New Roman" w:cs="Times New Roman"/>
          <w:i/>
          <w:color w:val="000000"/>
          <w:sz w:val="20"/>
          <w:szCs w:val="20"/>
        </w:rPr>
        <w:t xml:space="preserve"> (Admission to Schools) Act 2018</w:t>
      </w:r>
      <w:r w:rsidRPr="00C5657A">
        <w:rPr>
          <w:rFonts w:ascii="Times New Roman" w:hAnsi="Times New Roman" w:cs="Times New Roman"/>
          <w:color w:val="000000"/>
          <w:sz w:val="20"/>
          <w:szCs w:val="20"/>
        </w:rPr>
        <w:t xml:space="preserve"> is an important piece of legislation which has introduced a more parent-friendly, equitable and consistent approach to how school admissions policy operates.</w:t>
      </w:r>
    </w:p>
    <w:p w14:paraId="3091FA62"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6B3F3BD2" w14:textId="0B890235"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The A</w:t>
      </w:r>
      <w:r w:rsidRPr="00C5657A">
        <w:rPr>
          <w:rFonts w:ascii="Times New Roman" w:hAnsi="Times New Roman" w:cs="Times New Roman"/>
          <w:color w:val="000000"/>
          <w:sz w:val="20"/>
          <w:szCs w:val="20"/>
        </w:rPr>
        <w:t>ct is designed to make it easier for parents to access local schools and to enrol their children in a scho</w:t>
      </w:r>
      <w:r w:rsidR="0030514D">
        <w:rPr>
          <w:rFonts w:ascii="Times New Roman" w:hAnsi="Times New Roman" w:cs="Times New Roman"/>
          <w:color w:val="000000"/>
          <w:sz w:val="20"/>
          <w:szCs w:val="20"/>
        </w:rPr>
        <w:t>ol that meets their needs. The A</w:t>
      </w:r>
      <w:r w:rsidRPr="00C5657A">
        <w:rPr>
          <w:rFonts w:ascii="Times New Roman" w:hAnsi="Times New Roman" w:cs="Times New Roman"/>
          <w:color w:val="000000"/>
          <w:sz w:val="20"/>
          <w:szCs w:val="20"/>
        </w:rPr>
        <w:t xml:space="preserve">ct increases the transparency and fairness of school admissions. It makes clear that every school must be welcoming of every young </w:t>
      </w:r>
      <w:r w:rsidR="0030514D">
        <w:rPr>
          <w:rFonts w:ascii="Times New Roman" w:hAnsi="Times New Roman" w:cs="Times New Roman"/>
          <w:color w:val="000000"/>
          <w:sz w:val="20"/>
          <w:szCs w:val="20"/>
        </w:rPr>
        <w:t>person regardless of their race</w:t>
      </w:r>
      <w:r w:rsidRPr="00C5657A">
        <w:rPr>
          <w:rFonts w:ascii="Times New Roman" w:hAnsi="Times New Roman" w:cs="Times New Roman"/>
          <w:color w:val="000000"/>
          <w:sz w:val="20"/>
          <w:szCs w:val="20"/>
        </w:rPr>
        <w:t xml:space="preserve">, their background, their nationality, their abilities or </w:t>
      </w:r>
      <w:r w:rsidRPr="00C5657A">
        <w:rPr>
          <w:rFonts w:ascii="Times New Roman" w:hAnsi="Times New Roman" w:cs="Times New Roman"/>
          <w:color w:val="000000"/>
          <w:sz w:val="20"/>
          <w:szCs w:val="20"/>
        </w:rPr>
        <w:lastRenderedPageBreak/>
        <w:t>disabilities. Parents have the right to choose which school to apply to and</w:t>
      </w:r>
      <w:r w:rsidR="0030514D">
        <w:rPr>
          <w:rFonts w:ascii="Times New Roman" w:hAnsi="Times New Roman" w:cs="Times New Roman"/>
          <w:color w:val="000000"/>
          <w:sz w:val="20"/>
          <w:szCs w:val="20"/>
        </w:rPr>
        <w:t>,</w:t>
      </w:r>
      <w:r w:rsidRPr="00C5657A">
        <w:rPr>
          <w:rFonts w:ascii="Times New Roman" w:hAnsi="Times New Roman" w:cs="Times New Roman"/>
          <w:color w:val="000000"/>
          <w:sz w:val="20"/>
          <w:szCs w:val="20"/>
        </w:rPr>
        <w:t xml:space="preserve"> where the school has places</w:t>
      </w:r>
      <w:r w:rsidR="0030514D">
        <w:rPr>
          <w:rFonts w:ascii="Times New Roman" w:hAnsi="Times New Roman" w:cs="Times New Roman"/>
          <w:color w:val="000000"/>
          <w:sz w:val="20"/>
          <w:szCs w:val="20"/>
        </w:rPr>
        <w:t>,</w:t>
      </w:r>
      <w:r w:rsidRPr="00C5657A">
        <w:rPr>
          <w:rFonts w:ascii="Times New Roman" w:hAnsi="Times New Roman" w:cs="Times New Roman"/>
          <w:color w:val="000000"/>
          <w:sz w:val="20"/>
          <w:szCs w:val="20"/>
        </w:rPr>
        <w:t xml:space="preserve"> available the pupil should be admitted.</w:t>
      </w:r>
    </w:p>
    <w:p w14:paraId="73E6C64C" w14:textId="77777777"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p>
    <w:p w14:paraId="775237BC" w14:textId="2BD24F98" w:rsidR="00784053" w:rsidRPr="00C5657A" w:rsidRDefault="00784053" w:rsidP="00784053">
      <w:pPr>
        <w:pStyle w:val="xsingletxtg"/>
        <w:shd w:val="clear" w:color="auto" w:fill="FFFFFF"/>
        <w:spacing w:line="240" w:lineRule="atLeast"/>
        <w:ind w:left="1134" w:right="1134"/>
        <w:contextualSpacing/>
        <w:jc w:val="both"/>
        <w:rPr>
          <w:rFonts w:ascii="Times New Roman" w:hAnsi="Times New Roman" w:cs="Times New Roman"/>
          <w:color w:val="000000"/>
          <w:sz w:val="20"/>
          <w:szCs w:val="20"/>
        </w:rPr>
      </w:pPr>
      <w:r w:rsidRPr="00C5657A">
        <w:rPr>
          <w:rFonts w:ascii="Times New Roman" w:hAnsi="Times New Roman" w:cs="Times New Roman"/>
          <w:color w:val="000000"/>
          <w:sz w:val="20"/>
          <w:szCs w:val="20"/>
        </w:rPr>
        <w:t>However, in schools where there are more applicants than places available</w:t>
      </w:r>
      <w:r w:rsidR="0030514D">
        <w:rPr>
          <w:rFonts w:ascii="Times New Roman" w:hAnsi="Times New Roman" w:cs="Times New Roman"/>
          <w:color w:val="000000"/>
          <w:sz w:val="20"/>
          <w:szCs w:val="20"/>
        </w:rPr>
        <w:t>,</w:t>
      </w:r>
      <w:r w:rsidRPr="00C5657A">
        <w:rPr>
          <w:rFonts w:ascii="Times New Roman" w:hAnsi="Times New Roman" w:cs="Times New Roman"/>
          <w:color w:val="000000"/>
          <w:sz w:val="20"/>
          <w:szCs w:val="20"/>
        </w:rPr>
        <w:t xml:space="preserve"> a selection process may be necessar</w:t>
      </w:r>
      <w:r w:rsidR="0030514D">
        <w:rPr>
          <w:rFonts w:ascii="Times New Roman" w:hAnsi="Times New Roman" w:cs="Times New Roman"/>
          <w:color w:val="000000"/>
          <w:sz w:val="20"/>
          <w:szCs w:val="20"/>
        </w:rPr>
        <w:t xml:space="preserve">y which </w:t>
      </w:r>
      <w:r w:rsidRPr="00C5657A">
        <w:rPr>
          <w:rFonts w:ascii="Times New Roman" w:hAnsi="Times New Roman" w:cs="Times New Roman"/>
          <w:color w:val="000000"/>
          <w:sz w:val="20"/>
          <w:szCs w:val="20"/>
        </w:rPr>
        <w:t>may result in some pupils not obtaining a place i</w:t>
      </w:r>
      <w:r w:rsidR="0030514D">
        <w:rPr>
          <w:rFonts w:ascii="Times New Roman" w:hAnsi="Times New Roman" w:cs="Times New Roman"/>
          <w:color w:val="000000"/>
          <w:sz w:val="20"/>
          <w:szCs w:val="20"/>
        </w:rPr>
        <w:t>n their school of first choice.</w:t>
      </w:r>
      <w:r w:rsidRPr="00C5657A">
        <w:rPr>
          <w:rFonts w:ascii="Times New Roman" w:hAnsi="Times New Roman" w:cs="Times New Roman"/>
          <w:color w:val="000000"/>
          <w:sz w:val="20"/>
          <w:szCs w:val="20"/>
        </w:rPr>
        <w:t xml:space="preserve"> Schools have discretion in relation to their admission criteria and how they are applied once they are non-discriminatory and fair. </w:t>
      </w:r>
    </w:p>
    <w:p w14:paraId="28311751" w14:textId="77777777" w:rsidR="00784053" w:rsidRPr="00C5657A" w:rsidRDefault="00784053" w:rsidP="00784053">
      <w:pPr>
        <w:pStyle w:val="SingleTxtG"/>
        <w:spacing w:after="0"/>
        <w:rPr>
          <w:u w:val="single"/>
        </w:rPr>
      </w:pPr>
    </w:p>
    <w:p w14:paraId="7E58472D" w14:textId="77777777" w:rsidR="00784053" w:rsidRPr="00C5657A" w:rsidRDefault="00784053" w:rsidP="00784053">
      <w:pPr>
        <w:pStyle w:val="SingleTxtG"/>
        <w:spacing w:after="0"/>
        <w:rPr>
          <w:lang w:val="en-IE"/>
        </w:rPr>
      </w:pPr>
      <w:r w:rsidRPr="00C5657A">
        <w:rPr>
          <w:lang w:val="en-IE"/>
        </w:rPr>
        <w:t xml:space="preserve">Funding has been allocated to support access and progression through higher education for members of the Traveller and Roma communities, for persons with intellectual disabilities, as well as to develop measures that support universal design in higher education. </w:t>
      </w:r>
    </w:p>
    <w:p w14:paraId="1BAF97DD" w14:textId="77777777" w:rsidR="00784053" w:rsidRPr="00C5657A" w:rsidRDefault="00784053" w:rsidP="00784053">
      <w:pPr>
        <w:pStyle w:val="SingleTxtG"/>
        <w:spacing w:after="0"/>
        <w:rPr>
          <w:u w:val="single"/>
          <w:lang w:val="en-IE"/>
        </w:rPr>
      </w:pPr>
    </w:p>
    <w:p w14:paraId="3A61BF58" w14:textId="77777777" w:rsidR="00784053" w:rsidRPr="00C5657A" w:rsidRDefault="00784053" w:rsidP="00784053">
      <w:pPr>
        <w:pStyle w:val="SingleTxtG"/>
        <w:spacing w:after="0"/>
        <w:rPr>
          <w:u w:val="single"/>
          <w:lang w:val="en-IE"/>
        </w:rPr>
      </w:pPr>
      <w:r w:rsidRPr="00C5657A">
        <w:rPr>
          <w:u w:val="single"/>
          <w:lang w:val="en-IE"/>
        </w:rPr>
        <w:t>Technical and Vocational Education</w:t>
      </w:r>
    </w:p>
    <w:p w14:paraId="52F66670" w14:textId="6684BCB7" w:rsidR="00784053" w:rsidRPr="00256796" w:rsidRDefault="00784053" w:rsidP="00256796">
      <w:pPr>
        <w:pStyle w:val="Heading1"/>
        <w:spacing w:after="53"/>
        <w:textAlignment w:val="baseline"/>
        <w:rPr>
          <w:rFonts w:ascii="Raleway" w:hAnsi="Raleway"/>
          <w:color w:val="010000"/>
          <w:sz w:val="48"/>
          <w:szCs w:val="48"/>
        </w:rPr>
      </w:pPr>
      <w:r w:rsidRPr="00C5657A">
        <w:rPr>
          <w:lang w:val="en-IE"/>
        </w:rPr>
        <w:t>The latest data from SOLAS</w:t>
      </w:r>
      <w:r w:rsidR="00256796">
        <w:rPr>
          <w:lang w:val="en-IE"/>
        </w:rPr>
        <w:t>,</w:t>
      </w:r>
      <w:r w:rsidR="00256796" w:rsidRPr="00256796">
        <w:rPr>
          <w:rStyle w:val="FootnoteReference"/>
          <w:sz w:val="20"/>
          <w:lang w:val="en-IE"/>
        </w:rPr>
        <w:t xml:space="preserve"> </w:t>
      </w:r>
      <w:r w:rsidR="00256796" w:rsidRPr="00C5657A">
        <w:rPr>
          <w:rStyle w:val="FootnoteReference"/>
          <w:sz w:val="20"/>
          <w:lang w:val="en-IE"/>
        </w:rPr>
        <w:footnoteReference w:id="8"/>
      </w:r>
      <w:r w:rsidR="00256796">
        <w:rPr>
          <w:lang w:val="en-IE"/>
        </w:rPr>
        <w:t xml:space="preserve"> </w:t>
      </w:r>
      <w:r w:rsidR="00256796" w:rsidRPr="00256796">
        <w:rPr>
          <w:rFonts w:ascii="Raleway" w:hAnsi="Raleway"/>
          <w:bCs/>
          <w:color w:val="010000"/>
        </w:rPr>
        <w:t>the State agency that oversees the building of a</w:t>
      </w:r>
      <w:r w:rsidR="00256796">
        <w:rPr>
          <w:rFonts w:ascii="Raleway" w:hAnsi="Raleway"/>
          <w:bCs/>
          <w:color w:val="010000"/>
        </w:rPr>
        <w:t xml:space="preserve"> world class Further Education and</w:t>
      </w:r>
      <w:r w:rsidR="00256796" w:rsidRPr="00256796">
        <w:rPr>
          <w:rFonts w:ascii="Raleway" w:hAnsi="Raleway"/>
          <w:bCs/>
          <w:color w:val="010000"/>
        </w:rPr>
        <w:t xml:space="preserve"> Training (FET) sector in Ireland,</w:t>
      </w:r>
      <w:r w:rsidRPr="00256796">
        <w:rPr>
          <w:lang w:val="en-IE"/>
        </w:rPr>
        <w:t xml:space="preserve"> indicates that:</w:t>
      </w:r>
    </w:p>
    <w:p w14:paraId="51C4BDDD" w14:textId="2831411F" w:rsidR="00784053" w:rsidRPr="00C5657A" w:rsidRDefault="00784053" w:rsidP="00784053">
      <w:pPr>
        <w:pStyle w:val="SingleTxtG"/>
        <w:numPr>
          <w:ilvl w:val="0"/>
          <w:numId w:val="7"/>
        </w:numPr>
        <w:spacing w:after="0"/>
        <w:rPr>
          <w:lang w:val="en-IE"/>
        </w:rPr>
      </w:pPr>
      <w:r w:rsidRPr="00C5657A">
        <w:rPr>
          <w:lang w:val="en-IE"/>
        </w:rPr>
        <w:t xml:space="preserve">186,740 unique learners were enrolled in FET courses in 2022. </w:t>
      </w:r>
    </w:p>
    <w:p w14:paraId="03B4A5B3" w14:textId="77777777" w:rsidR="00784053" w:rsidRPr="00C5657A" w:rsidRDefault="00784053" w:rsidP="00784053">
      <w:pPr>
        <w:pStyle w:val="SingleTxtG"/>
        <w:numPr>
          <w:ilvl w:val="0"/>
          <w:numId w:val="7"/>
        </w:numPr>
        <w:spacing w:after="0"/>
        <w:rPr>
          <w:lang w:val="en-IE"/>
        </w:rPr>
      </w:pPr>
      <w:r w:rsidRPr="00C5657A">
        <w:rPr>
          <w:lang w:val="en-IE"/>
        </w:rPr>
        <w:t xml:space="preserve">37.9% of these enrolments were male and 62.1% were female. </w:t>
      </w:r>
    </w:p>
    <w:p w14:paraId="44457268" w14:textId="77777777" w:rsidR="00784053" w:rsidRPr="00C5657A" w:rsidRDefault="00784053" w:rsidP="00784053">
      <w:pPr>
        <w:pStyle w:val="SingleTxtG"/>
        <w:numPr>
          <w:ilvl w:val="0"/>
          <w:numId w:val="7"/>
        </w:numPr>
        <w:spacing w:after="0"/>
        <w:rPr>
          <w:lang w:val="en-IE"/>
        </w:rPr>
      </w:pPr>
      <w:r w:rsidRPr="00C5657A">
        <w:rPr>
          <w:lang w:val="en-IE"/>
        </w:rPr>
        <w:t xml:space="preserve">30.5% were aged 25 or under (30.5%). Remaining enrolments were spread across age groups: 25-34 years (15.7%), 35-44 (19.2%), 45-54 (14.6%), 55-64+ (20.1%). </w:t>
      </w:r>
    </w:p>
    <w:p w14:paraId="3742EA55" w14:textId="77777777" w:rsidR="00784053" w:rsidRPr="00C5657A" w:rsidRDefault="00784053" w:rsidP="00784053">
      <w:pPr>
        <w:pStyle w:val="SingleTxtG"/>
        <w:numPr>
          <w:ilvl w:val="0"/>
          <w:numId w:val="7"/>
        </w:numPr>
        <w:spacing w:after="0"/>
        <w:rPr>
          <w:lang w:val="en-IE"/>
        </w:rPr>
      </w:pPr>
      <w:r w:rsidRPr="00C5657A">
        <w:rPr>
          <w:lang w:val="en-IE"/>
        </w:rPr>
        <w:t xml:space="preserve">The latest available data regarding nationality is from 2021. Learners were largely Irish nationals (78.5%). Overall, unique learner enrolments were predominantly nationals of European countries (91.0%). Remaining enrolments: Africa (3.3%), Asia (3.6%), the Americas (2.0%) and Oceania (0.1%). </w:t>
      </w:r>
    </w:p>
    <w:p w14:paraId="1D247D99" w14:textId="77777777" w:rsidR="00784053" w:rsidRPr="00C5657A" w:rsidRDefault="00784053" w:rsidP="00784053">
      <w:pPr>
        <w:pStyle w:val="SingleTxtG"/>
        <w:numPr>
          <w:ilvl w:val="0"/>
          <w:numId w:val="7"/>
        </w:numPr>
        <w:spacing w:after="0"/>
        <w:rPr>
          <w:lang w:val="en-IE"/>
        </w:rPr>
      </w:pPr>
      <w:r w:rsidRPr="00C5657A">
        <w:rPr>
          <w:lang w:val="en-IE"/>
        </w:rPr>
        <w:t>Data concerning ethnicity is published only for Traveller and Roma communities. In 2020, the total number of Traveller enrolments was 1,139, while the total number of Roma enrolments was 305.</w:t>
      </w:r>
    </w:p>
    <w:p w14:paraId="1BF30B56" w14:textId="77777777" w:rsidR="00784053" w:rsidRPr="00C5657A" w:rsidRDefault="00784053" w:rsidP="00784053">
      <w:pPr>
        <w:pStyle w:val="SingleTxtG"/>
        <w:numPr>
          <w:ilvl w:val="0"/>
          <w:numId w:val="7"/>
        </w:numPr>
        <w:spacing w:after="0"/>
        <w:rPr>
          <w:lang w:val="en-IE"/>
        </w:rPr>
      </w:pPr>
      <w:r w:rsidRPr="00C5657A">
        <w:rPr>
          <w:lang w:val="en-IE"/>
        </w:rPr>
        <w:t xml:space="preserve">The latest published data for disability prevalence in FET is for the year 2020, when 11,376 learners (7.5% of all learners) reported having at least one type of disability. </w:t>
      </w:r>
    </w:p>
    <w:p w14:paraId="560690EC" w14:textId="77777777" w:rsidR="00784053" w:rsidRPr="00C5657A" w:rsidRDefault="00784053" w:rsidP="00784053">
      <w:pPr>
        <w:pStyle w:val="SingleTxtG"/>
        <w:spacing w:after="0"/>
        <w:ind w:left="1901"/>
        <w:rPr>
          <w:lang w:val="en-IE"/>
        </w:rPr>
      </w:pPr>
    </w:p>
    <w:p w14:paraId="54F28DCB" w14:textId="77777777" w:rsidR="00784053" w:rsidRPr="00C5657A" w:rsidRDefault="00784053" w:rsidP="00784053">
      <w:pPr>
        <w:pStyle w:val="SingleTxtG"/>
        <w:spacing w:after="0"/>
        <w:rPr>
          <w:u w:val="single"/>
          <w:lang w:val="en-IE"/>
        </w:rPr>
      </w:pPr>
      <w:r w:rsidRPr="00C5657A">
        <w:rPr>
          <w:u w:val="single"/>
          <w:lang w:val="en-IE"/>
        </w:rPr>
        <w:t>Higher Education</w:t>
      </w:r>
    </w:p>
    <w:p w14:paraId="78367956" w14:textId="77777777" w:rsidR="00784053" w:rsidRPr="00C5657A" w:rsidRDefault="00784053" w:rsidP="00784053">
      <w:pPr>
        <w:pStyle w:val="SingleTxtG"/>
        <w:spacing w:after="0"/>
        <w:rPr>
          <w:lang w:val="en-IE"/>
        </w:rPr>
      </w:pPr>
      <w:r w:rsidRPr="00C5657A">
        <w:rPr>
          <w:lang w:val="en-IE"/>
        </w:rPr>
        <w:t xml:space="preserve">Data from the Higher Education Authority (HEA) indicates that in the academic year 2021/22, there were 246,299 enrolments. </w:t>
      </w:r>
    </w:p>
    <w:p w14:paraId="5CD9DB37" w14:textId="77777777" w:rsidR="00784053" w:rsidRPr="00C5657A" w:rsidRDefault="00784053" w:rsidP="00784053">
      <w:pPr>
        <w:pStyle w:val="SingleTxtG"/>
        <w:numPr>
          <w:ilvl w:val="0"/>
          <w:numId w:val="8"/>
        </w:numPr>
        <w:spacing w:after="0"/>
        <w:rPr>
          <w:lang w:val="en-IE"/>
        </w:rPr>
      </w:pPr>
      <w:r w:rsidRPr="00C5657A">
        <w:rPr>
          <w:lang w:val="en-IE"/>
        </w:rPr>
        <w:t xml:space="preserve">45.3% of these were male and 54.7% were female. </w:t>
      </w:r>
    </w:p>
    <w:p w14:paraId="2CBBBA4D" w14:textId="77777777" w:rsidR="00784053" w:rsidRPr="00C5657A" w:rsidRDefault="00784053" w:rsidP="00784053">
      <w:pPr>
        <w:pStyle w:val="SingleTxtG"/>
        <w:numPr>
          <w:ilvl w:val="0"/>
          <w:numId w:val="8"/>
        </w:numPr>
        <w:spacing w:after="0"/>
        <w:rPr>
          <w:lang w:val="en-IE"/>
        </w:rPr>
      </w:pPr>
      <w:r w:rsidRPr="00C5657A">
        <w:rPr>
          <w:lang w:val="en-IE"/>
        </w:rPr>
        <w:t xml:space="preserve">69.1% were aged 24 years or below, 16.3% aged between 25-34 years, 8.3% between 35-44 years, 4.7% between 45-54 years, and 1.5% were 55 years or older. </w:t>
      </w:r>
    </w:p>
    <w:p w14:paraId="38E6F656" w14:textId="1F15AA82" w:rsidR="00784053" w:rsidRDefault="00784053" w:rsidP="00784053">
      <w:pPr>
        <w:pStyle w:val="SingleTxtG"/>
        <w:numPr>
          <w:ilvl w:val="0"/>
          <w:numId w:val="8"/>
        </w:numPr>
        <w:spacing w:after="0"/>
        <w:rPr>
          <w:lang w:val="en-IE"/>
        </w:rPr>
      </w:pPr>
      <w:r w:rsidRPr="00C5657A">
        <w:rPr>
          <w:lang w:val="en-IE"/>
        </w:rPr>
        <w:t xml:space="preserve">The majority of enrolments were from Ireland (87.6%), with the remainder of enrolments deriving from non-EU countries (8.9%), other EU countries (2.2%), Great Britain (0.5%), and Northern Ireland (0.7%). </w:t>
      </w:r>
    </w:p>
    <w:p w14:paraId="1D3AF401" w14:textId="77777777" w:rsidR="00256796" w:rsidRPr="00C5657A" w:rsidRDefault="00256796" w:rsidP="00256796">
      <w:pPr>
        <w:pStyle w:val="SingleTxtG"/>
        <w:spacing w:after="0"/>
        <w:ind w:left="1854"/>
        <w:rPr>
          <w:lang w:val="en-IE"/>
        </w:rPr>
      </w:pPr>
    </w:p>
    <w:p w14:paraId="0F851D55" w14:textId="77777777" w:rsidR="00784053" w:rsidRPr="00C5657A" w:rsidRDefault="00784053" w:rsidP="00784053">
      <w:pPr>
        <w:pStyle w:val="SingleTxtG"/>
        <w:spacing w:after="0"/>
        <w:rPr>
          <w:lang w:val="en-IE"/>
        </w:rPr>
      </w:pPr>
      <w:r w:rsidRPr="00C5657A">
        <w:rPr>
          <w:lang w:val="en-IE"/>
        </w:rPr>
        <w:t>According to a voluntary survey of new entrants to higher education in 2021/22:</w:t>
      </w:r>
    </w:p>
    <w:p w14:paraId="00C3026D" w14:textId="77777777" w:rsidR="00784053" w:rsidRPr="00C5657A" w:rsidRDefault="00784053" w:rsidP="00784053">
      <w:pPr>
        <w:pStyle w:val="SingleTxtG"/>
        <w:numPr>
          <w:ilvl w:val="0"/>
          <w:numId w:val="9"/>
        </w:numPr>
        <w:spacing w:after="0"/>
        <w:rPr>
          <w:lang w:val="en-IE"/>
        </w:rPr>
      </w:pPr>
      <w:r w:rsidRPr="00C5657A">
        <w:rPr>
          <w:lang w:val="en-IE"/>
        </w:rPr>
        <w:t xml:space="preserve">77.4% of new entrants reported their ethnicity as “White: Irish” </w:t>
      </w:r>
    </w:p>
    <w:p w14:paraId="5440BA15" w14:textId="77777777" w:rsidR="00784053" w:rsidRPr="00C5657A" w:rsidRDefault="00784053" w:rsidP="00784053">
      <w:pPr>
        <w:pStyle w:val="SingleTxtG"/>
        <w:numPr>
          <w:ilvl w:val="0"/>
          <w:numId w:val="9"/>
        </w:numPr>
        <w:spacing w:after="0"/>
        <w:rPr>
          <w:lang w:val="en-IE"/>
        </w:rPr>
      </w:pPr>
      <w:r w:rsidRPr="00C5657A">
        <w:rPr>
          <w:lang w:val="en-IE"/>
        </w:rPr>
        <w:t xml:space="preserve">9.7% as “White: Any other White background” </w:t>
      </w:r>
    </w:p>
    <w:p w14:paraId="522F9118" w14:textId="77777777" w:rsidR="00784053" w:rsidRPr="00C5657A" w:rsidRDefault="00784053" w:rsidP="00784053">
      <w:pPr>
        <w:pStyle w:val="SingleTxtG"/>
        <w:numPr>
          <w:ilvl w:val="0"/>
          <w:numId w:val="9"/>
        </w:numPr>
        <w:spacing w:after="0"/>
        <w:rPr>
          <w:lang w:val="en-IE"/>
        </w:rPr>
      </w:pPr>
      <w:r w:rsidRPr="00C5657A">
        <w:rPr>
          <w:lang w:val="en-IE"/>
        </w:rPr>
        <w:t>4.6% as “Black or Black Irish: African”</w:t>
      </w:r>
    </w:p>
    <w:p w14:paraId="05DE2661" w14:textId="77777777" w:rsidR="00784053" w:rsidRPr="00C5657A" w:rsidRDefault="00784053" w:rsidP="00784053">
      <w:pPr>
        <w:pStyle w:val="SingleTxtG"/>
        <w:numPr>
          <w:ilvl w:val="0"/>
          <w:numId w:val="9"/>
        </w:numPr>
        <w:spacing w:after="0"/>
        <w:rPr>
          <w:lang w:val="en-IE"/>
        </w:rPr>
      </w:pPr>
      <w:r w:rsidRPr="00C5657A">
        <w:rPr>
          <w:lang w:val="en-IE"/>
        </w:rPr>
        <w:t xml:space="preserve">1.9% as “Asian or Asian Irish: Indian/Pakistani/Bangladeshi” </w:t>
      </w:r>
    </w:p>
    <w:p w14:paraId="367316DA" w14:textId="77777777" w:rsidR="00784053" w:rsidRPr="00C5657A" w:rsidRDefault="00784053" w:rsidP="00784053">
      <w:pPr>
        <w:pStyle w:val="SingleTxtG"/>
        <w:numPr>
          <w:ilvl w:val="0"/>
          <w:numId w:val="9"/>
        </w:numPr>
        <w:spacing w:after="0"/>
        <w:rPr>
          <w:lang w:val="en-IE"/>
        </w:rPr>
      </w:pPr>
      <w:r w:rsidRPr="00C5657A">
        <w:rPr>
          <w:lang w:val="en-IE"/>
        </w:rPr>
        <w:t>1.7% as “Asian or Asian Irish: Any other Asian background”</w:t>
      </w:r>
    </w:p>
    <w:p w14:paraId="78408B33" w14:textId="77777777" w:rsidR="00784053" w:rsidRPr="00C5657A" w:rsidRDefault="00784053" w:rsidP="00784053">
      <w:pPr>
        <w:pStyle w:val="SingleTxtG"/>
        <w:numPr>
          <w:ilvl w:val="0"/>
          <w:numId w:val="9"/>
        </w:numPr>
        <w:spacing w:after="0"/>
        <w:rPr>
          <w:lang w:val="en-IE"/>
        </w:rPr>
      </w:pPr>
      <w:r w:rsidRPr="00C5657A">
        <w:rPr>
          <w:lang w:val="en-IE"/>
        </w:rPr>
        <w:t>1.4% as “Asian or Asian Irish: Chinese”</w:t>
      </w:r>
    </w:p>
    <w:p w14:paraId="5F2913D8" w14:textId="77777777" w:rsidR="00784053" w:rsidRPr="00C5657A" w:rsidRDefault="00784053" w:rsidP="00784053">
      <w:pPr>
        <w:pStyle w:val="SingleTxtG"/>
        <w:numPr>
          <w:ilvl w:val="0"/>
          <w:numId w:val="9"/>
        </w:numPr>
        <w:spacing w:after="0"/>
        <w:rPr>
          <w:lang w:val="en-IE"/>
        </w:rPr>
      </w:pPr>
      <w:r w:rsidRPr="00C5657A">
        <w:rPr>
          <w:lang w:val="en-IE"/>
        </w:rPr>
        <w:t xml:space="preserve">1.1% as “Other including mixed group/background: Mixed background” </w:t>
      </w:r>
    </w:p>
    <w:p w14:paraId="45EB2A19" w14:textId="77777777" w:rsidR="00784053" w:rsidRPr="00C5657A" w:rsidRDefault="00784053" w:rsidP="00784053">
      <w:pPr>
        <w:pStyle w:val="SingleTxtG"/>
        <w:numPr>
          <w:ilvl w:val="0"/>
          <w:numId w:val="9"/>
        </w:numPr>
        <w:spacing w:after="0"/>
        <w:rPr>
          <w:lang w:val="en-IE"/>
        </w:rPr>
      </w:pPr>
      <w:r w:rsidRPr="00C5657A">
        <w:rPr>
          <w:lang w:val="en-IE"/>
        </w:rPr>
        <w:t xml:space="preserve">1.0% as “Other including mixed group/background: Arabic” </w:t>
      </w:r>
    </w:p>
    <w:p w14:paraId="69BAD8BF" w14:textId="77777777" w:rsidR="00784053" w:rsidRPr="00C5657A" w:rsidRDefault="00784053" w:rsidP="00784053">
      <w:pPr>
        <w:pStyle w:val="SingleTxtG"/>
        <w:numPr>
          <w:ilvl w:val="0"/>
          <w:numId w:val="9"/>
        </w:numPr>
        <w:spacing w:after="0"/>
        <w:rPr>
          <w:lang w:val="en-IE"/>
        </w:rPr>
      </w:pPr>
      <w:r w:rsidRPr="00C5657A">
        <w:rPr>
          <w:lang w:val="en-IE"/>
        </w:rPr>
        <w:t xml:space="preserve">0.6% as “Other including mixed group/background: Other” </w:t>
      </w:r>
    </w:p>
    <w:p w14:paraId="401A0528" w14:textId="77777777" w:rsidR="00784053" w:rsidRPr="00C5657A" w:rsidRDefault="00784053" w:rsidP="00784053">
      <w:pPr>
        <w:pStyle w:val="SingleTxtG"/>
        <w:numPr>
          <w:ilvl w:val="0"/>
          <w:numId w:val="9"/>
        </w:numPr>
        <w:spacing w:after="0"/>
        <w:rPr>
          <w:lang w:val="en-IE"/>
        </w:rPr>
      </w:pPr>
      <w:r w:rsidRPr="00C5657A">
        <w:rPr>
          <w:lang w:val="en-IE"/>
        </w:rPr>
        <w:t xml:space="preserve">0.3% as “Black or Black Irish: Any other Black background” </w:t>
      </w:r>
    </w:p>
    <w:p w14:paraId="4144AD57" w14:textId="77777777" w:rsidR="00784053" w:rsidRPr="00C5657A" w:rsidRDefault="00784053" w:rsidP="00784053">
      <w:pPr>
        <w:pStyle w:val="SingleTxtG"/>
        <w:numPr>
          <w:ilvl w:val="0"/>
          <w:numId w:val="9"/>
        </w:numPr>
        <w:spacing w:after="0"/>
        <w:rPr>
          <w:lang w:val="en-IE"/>
        </w:rPr>
      </w:pPr>
      <w:r w:rsidRPr="00C5657A">
        <w:rPr>
          <w:lang w:val="en-IE"/>
        </w:rPr>
        <w:t xml:space="preserve">0.2% as “White Irish: Traveller” </w:t>
      </w:r>
    </w:p>
    <w:p w14:paraId="02BACC55" w14:textId="77777777" w:rsidR="00784053" w:rsidRPr="00C5657A" w:rsidRDefault="00784053" w:rsidP="00784053">
      <w:pPr>
        <w:pStyle w:val="SingleTxtG"/>
        <w:numPr>
          <w:ilvl w:val="0"/>
          <w:numId w:val="9"/>
        </w:numPr>
        <w:spacing w:after="0"/>
        <w:rPr>
          <w:lang w:val="en-IE"/>
        </w:rPr>
      </w:pPr>
      <w:r w:rsidRPr="00C5657A">
        <w:rPr>
          <w:lang w:val="en-IE"/>
        </w:rPr>
        <w:t>0.2% as “White: Roma”</w:t>
      </w:r>
    </w:p>
    <w:p w14:paraId="533D97AB" w14:textId="77777777" w:rsidR="00784053" w:rsidRPr="00C5657A" w:rsidRDefault="00784053" w:rsidP="00784053">
      <w:pPr>
        <w:pStyle w:val="SingleTxtG"/>
        <w:spacing w:after="0"/>
        <w:ind w:left="1854"/>
        <w:rPr>
          <w:lang w:val="en-IE"/>
        </w:rPr>
      </w:pPr>
    </w:p>
    <w:p w14:paraId="7CF05D34" w14:textId="49A3ADF2" w:rsidR="00784053" w:rsidRDefault="00784053" w:rsidP="00784053">
      <w:pPr>
        <w:pStyle w:val="SingleTxtG"/>
        <w:spacing w:after="0"/>
        <w:rPr>
          <w:lang w:val="en-IE"/>
        </w:rPr>
      </w:pPr>
      <w:r w:rsidRPr="00C5657A">
        <w:rPr>
          <w:lang w:val="en-IE"/>
        </w:rPr>
        <w:t xml:space="preserve">In the same year, 17.8% of respondents reported a disability. Although data on socio-economic status is not directly captured, a deprivation index score is calculated by the HEA by combining student address with Census data. In academic year 2020/21, 10% of </w:t>
      </w:r>
      <w:r w:rsidRPr="00C5657A">
        <w:rPr>
          <w:lang w:val="en-IE"/>
        </w:rPr>
        <w:lastRenderedPageBreak/>
        <w:t xml:space="preserve">enrolments were from ‘Disadvantaged’ areas, 29% were from ‘Marginally Below Average’ areas, 42% from ‘Marginally Above Average’ areas, and 20% from ‘Affluent’ areas. </w:t>
      </w:r>
    </w:p>
    <w:p w14:paraId="2C347BD1" w14:textId="77777777" w:rsidR="00784053" w:rsidRPr="00C5657A" w:rsidRDefault="00784053" w:rsidP="00784053">
      <w:pPr>
        <w:pStyle w:val="SingleTxtG"/>
        <w:spacing w:after="0"/>
        <w:rPr>
          <w:lang w:val="en-IE"/>
        </w:rPr>
      </w:pPr>
    </w:p>
    <w:p w14:paraId="747ED85D" w14:textId="77777777" w:rsidR="00784053" w:rsidRPr="00C5657A" w:rsidRDefault="00784053" w:rsidP="00784053">
      <w:pPr>
        <w:pStyle w:val="SingleTxtG"/>
        <w:spacing w:after="0"/>
        <w:rPr>
          <w:lang w:val="en-IE"/>
        </w:rPr>
      </w:pPr>
      <w:r w:rsidRPr="00C5657A">
        <w:rPr>
          <w:lang w:val="en-IE"/>
        </w:rPr>
        <w:t>Regarding completion rates,</w:t>
      </w:r>
      <w:r w:rsidRPr="00C5657A">
        <w:rPr>
          <w:vertAlign w:val="superscript"/>
          <w:lang w:val="en-IE"/>
        </w:rPr>
        <w:footnoteReference w:id="9"/>
      </w:r>
      <w:r w:rsidRPr="00C5657A">
        <w:rPr>
          <w:lang w:val="en-IE"/>
        </w:rPr>
        <w:t xml:space="preserve"> HEA data reported 88,638 graduates in 2020/21. Progression rates are assessed as the number of individuals remaining at an institution in the year following their entry. In academic year 2020/21, the overall non-progression rate was 12%. In the latest available data, the graduation rate (75%) was calculated as the proportion of individuals entering as full-time undergraduates in 2016/2017 who earned an award between the years 2017 to 2022.</w:t>
      </w:r>
    </w:p>
    <w:p w14:paraId="413F6703" w14:textId="77777777" w:rsidR="00784053" w:rsidRPr="00C5657A" w:rsidRDefault="00784053" w:rsidP="00784053">
      <w:pPr>
        <w:pStyle w:val="SingleTxtG"/>
        <w:spacing w:after="0"/>
        <w:rPr>
          <w:b/>
        </w:rPr>
      </w:pPr>
    </w:p>
    <w:p w14:paraId="385FC86A" w14:textId="77777777" w:rsidR="00784053" w:rsidRPr="00C5657A" w:rsidRDefault="00784053" w:rsidP="00784053">
      <w:pPr>
        <w:pStyle w:val="SingleTxtG"/>
        <w:spacing w:after="0"/>
        <w:rPr>
          <w:b/>
        </w:rPr>
      </w:pPr>
      <w:r w:rsidRPr="00C5657A">
        <w:rPr>
          <w:b/>
        </w:rPr>
        <w:t>Reply to paragraph 27</w:t>
      </w:r>
    </w:p>
    <w:p w14:paraId="4D985AAE" w14:textId="77777777" w:rsidR="00784053" w:rsidRPr="00C5657A" w:rsidRDefault="00784053" w:rsidP="00784053">
      <w:pPr>
        <w:pStyle w:val="SingleTxtG"/>
        <w:spacing w:after="0"/>
        <w:rPr>
          <w:u w:val="single"/>
        </w:rPr>
      </w:pPr>
      <w:proofErr w:type="spellStart"/>
      <w:r w:rsidRPr="00C5657A">
        <w:rPr>
          <w:u w:val="single"/>
        </w:rPr>
        <w:t>Oberstown</w:t>
      </w:r>
      <w:proofErr w:type="spellEnd"/>
      <w:r w:rsidRPr="00C5657A">
        <w:rPr>
          <w:u w:val="single"/>
        </w:rPr>
        <w:t xml:space="preserve"> Children Detention Campus</w:t>
      </w:r>
    </w:p>
    <w:p w14:paraId="7E54C813" w14:textId="77777777" w:rsidR="00BE1DE3" w:rsidRPr="00F7692E" w:rsidRDefault="00BE1DE3" w:rsidP="00BE1DE3">
      <w:pPr>
        <w:pStyle w:val="SingleTxtG"/>
        <w:rPr>
          <w:lang w:val="en-IE"/>
        </w:rPr>
      </w:pPr>
      <w:proofErr w:type="spellStart"/>
      <w:r w:rsidRPr="00F7692E">
        <w:rPr>
          <w:lang w:val="en-IE"/>
        </w:rPr>
        <w:t>Oberstown</w:t>
      </w:r>
      <w:proofErr w:type="spellEnd"/>
      <w:r w:rsidRPr="00F7692E">
        <w:rPr>
          <w:lang w:val="en-IE"/>
        </w:rPr>
        <w:t xml:space="preserve"> is governed by a Board of Management appointed by the Minister for Children, Equality, Disability, Integration and Youth. The Board has 12 members plus a Chairperson</w:t>
      </w:r>
      <w:r>
        <w:rPr>
          <w:lang w:val="en-IE"/>
        </w:rPr>
        <w:t>. M</w:t>
      </w:r>
      <w:r w:rsidRPr="00F7692E">
        <w:rPr>
          <w:lang w:val="en-IE"/>
        </w:rPr>
        <w:t xml:space="preserve">embership includes representatives of the Minister’s Department, the Department of Education, </w:t>
      </w:r>
      <w:proofErr w:type="spellStart"/>
      <w:r w:rsidRPr="00F7692E">
        <w:rPr>
          <w:lang w:val="en-IE"/>
        </w:rPr>
        <w:t>Túsla</w:t>
      </w:r>
      <w:proofErr w:type="spellEnd"/>
      <w:r w:rsidRPr="00F7692E">
        <w:rPr>
          <w:lang w:val="en-IE"/>
        </w:rPr>
        <w:t>, two representatives from the local community, two staff members, with five members appointed via the St</w:t>
      </w:r>
      <w:r>
        <w:rPr>
          <w:lang w:val="en-IE"/>
        </w:rPr>
        <w:t>ate Boards appointment process.</w:t>
      </w:r>
      <w:r w:rsidRPr="00F7692E">
        <w:rPr>
          <w:lang w:val="en-IE"/>
        </w:rPr>
        <w:t xml:space="preserve"> Members are appointed for up to four years. The Board’s authority is set out in the </w:t>
      </w:r>
      <w:r w:rsidRPr="00DC0FEB">
        <w:rPr>
          <w:i/>
          <w:lang w:val="en-IE"/>
        </w:rPr>
        <w:t>2001 Children’s Act</w:t>
      </w:r>
      <w:r w:rsidRPr="00F7692E">
        <w:rPr>
          <w:lang w:val="en-IE"/>
        </w:rPr>
        <w:t xml:space="preserve">.  </w:t>
      </w:r>
    </w:p>
    <w:p w14:paraId="37335C3B" w14:textId="6D021E15" w:rsidR="00B27D47" w:rsidRPr="00C5657A" w:rsidRDefault="00B27D47" w:rsidP="005B52EA">
      <w:pPr>
        <w:pStyle w:val="SingleTxtG"/>
        <w:spacing w:after="0"/>
        <w:rPr>
          <w:b/>
        </w:rPr>
      </w:pPr>
    </w:p>
    <w:p w14:paraId="7C435BB1" w14:textId="7FC20975" w:rsidR="00AE5A09" w:rsidRDefault="00AE5A09" w:rsidP="005B52EA">
      <w:pPr>
        <w:pStyle w:val="SingleTxtG"/>
        <w:spacing w:after="0"/>
        <w:rPr>
          <w:b/>
        </w:rPr>
      </w:pPr>
      <w:r w:rsidRPr="00C5657A">
        <w:rPr>
          <w:b/>
        </w:rPr>
        <w:t>Cultural Rights (art.15)</w:t>
      </w:r>
    </w:p>
    <w:p w14:paraId="51F1DB6B" w14:textId="77777777" w:rsidR="00256796" w:rsidRPr="00C5657A" w:rsidRDefault="00256796" w:rsidP="005B52EA">
      <w:pPr>
        <w:pStyle w:val="SingleTxtG"/>
        <w:spacing w:after="0"/>
        <w:rPr>
          <w:b/>
        </w:rPr>
      </w:pPr>
    </w:p>
    <w:p w14:paraId="1929896C" w14:textId="6833F1B8" w:rsidR="005B52EA" w:rsidRPr="00C5657A" w:rsidRDefault="00FE6D71" w:rsidP="00FE6D71">
      <w:pPr>
        <w:pStyle w:val="SingleTxtG"/>
        <w:spacing w:after="0"/>
        <w:rPr>
          <w:color w:val="000000" w:themeColor="text1"/>
        </w:rPr>
      </w:pPr>
      <w:r>
        <w:rPr>
          <w:b/>
        </w:rPr>
        <w:t>Reply to paragraph 28</w:t>
      </w:r>
      <w:r>
        <w:rPr>
          <w:b/>
        </w:rPr>
        <w:tab/>
      </w:r>
    </w:p>
    <w:p w14:paraId="02DDFACF" w14:textId="19BBB9B8" w:rsidR="00955B79" w:rsidRPr="003060C9" w:rsidRDefault="00955B79" w:rsidP="00955B79">
      <w:pPr>
        <w:spacing w:line="240" w:lineRule="atLeast"/>
        <w:ind w:left="1134" w:right="1134"/>
        <w:jc w:val="both"/>
        <w:rPr>
          <w:sz w:val="20"/>
          <w:szCs w:val="20"/>
        </w:rPr>
      </w:pPr>
      <w:r>
        <w:rPr>
          <w:sz w:val="20"/>
          <w:szCs w:val="20"/>
        </w:rPr>
        <w:t>In line with NTRIS, DCEDIY has supported national awareness of Traveller and Roma culture and heritage through the following (non-exhaustive measures)</w:t>
      </w:r>
      <w:r w:rsidRPr="003060C9">
        <w:rPr>
          <w:sz w:val="20"/>
          <w:szCs w:val="20"/>
        </w:rPr>
        <w:t>:</w:t>
      </w:r>
    </w:p>
    <w:p w14:paraId="18EB8236" w14:textId="77777777" w:rsidR="00955B79" w:rsidRPr="003060C9" w:rsidRDefault="00955B79" w:rsidP="00955B79">
      <w:pPr>
        <w:pStyle w:val="ListParagraph"/>
        <w:numPr>
          <w:ilvl w:val="0"/>
          <w:numId w:val="33"/>
        </w:numPr>
        <w:spacing w:line="240" w:lineRule="atLeast"/>
        <w:ind w:right="1134"/>
        <w:jc w:val="both"/>
        <w:rPr>
          <w:rFonts w:ascii="Times New Roman" w:hAnsi="Times New Roman" w:cs="Times New Roman"/>
          <w:color w:val="000000" w:themeColor="text1"/>
          <w:sz w:val="20"/>
          <w:szCs w:val="20"/>
        </w:rPr>
      </w:pPr>
      <w:r w:rsidRPr="003060C9">
        <w:rPr>
          <w:rFonts w:ascii="Times New Roman" w:hAnsi="Times New Roman" w:cs="Times New Roman"/>
          <w:color w:val="000000" w:themeColor="text1"/>
          <w:sz w:val="20"/>
          <w:szCs w:val="20"/>
        </w:rPr>
        <w:t>Funding a publishing company which works directly with Traveller authors to develop and publish literature related to Traveller culture and experience;</w:t>
      </w:r>
    </w:p>
    <w:p w14:paraId="1DEF0F23" w14:textId="77777777" w:rsidR="00955B79" w:rsidRPr="003060C9" w:rsidRDefault="00955B79" w:rsidP="00955B79">
      <w:pPr>
        <w:pStyle w:val="ListParagraph"/>
        <w:numPr>
          <w:ilvl w:val="0"/>
          <w:numId w:val="33"/>
        </w:numPr>
        <w:spacing w:line="240" w:lineRule="atLeast"/>
        <w:ind w:right="1134"/>
        <w:jc w:val="both"/>
        <w:rPr>
          <w:rFonts w:ascii="Times New Roman" w:hAnsi="Times New Roman" w:cs="Times New Roman"/>
          <w:color w:val="000000" w:themeColor="text1"/>
          <w:sz w:val="20"/>
          <w:szCs w:val="20"/>
        </w:rPr>
      </w:pPr>
      <w:r w:rsidRPr="003060C9">
        <w:rPr>
          <w:rFonts w:ascii="Times New Roman" w:hAnsi="Times New Roman" w:cs="Times New Roman"/>
          <w:color w:val="000000" w:themeColor="text1"/>
          <w:sz w:val="20"/>
          <w:szCs w:val="20"/>
        </w:rPr>
        <w:t xml:space="preserve">Working with the National Museum of Ireland to bring greater visibility to its Traveller culture collections; </w:t>
      </w:r>
    </w:p>
    <w:p w14:paraId="77248110" w14:textId="77777777" w:rsidR="00955B79" w:rsidRPr="003060C9" w:rsidRDefault="00955B79" w:rsidP="00955B79">
      <w:pPr>
        <w:pStyle w:val="ListParagraph"/>
        <w:numPr>
          <w:ilvl w:val="0"/>
          <w:numId w:val="33"/>
        </w:numPr>
        <w:spacing w:line="240" w:lineRule="atLeast"/>
        <w:ind w:right="1134"/>
        <w:jc w:val="both"/>
        <w:rPr>
          <w:rFonts w:ascii="Times New Roman" w:hAnsi="Times New Roman" w:cs="Times New Roman"/>
          <w:color w:val="000000" w:themeColor="text1"/>
          <w:sz w:val="20"/>
          <w:szCs w:val="20"/>
        </w:rPr>
      </w:pPr>
      <w:r w:rsidRPr="003060C9">
        <w:rPr>
          <w:rFonts w:ascii="Times New Roman" w:hAnsi="Times New Roman" w:cs="Times New Roman"/>
          <w:color w:val="000000" w:themeColor="text1"/>
          <w:sz w:val="20"/>
          <w:szCs w:val="20"/>
        </w:rPr>
        <w:t xml:space="preserve">Funding </w:t>
      </w:r>
      <w:proofErr w:type="spellStart"/>
      <w:r w:rsidRPr="003060C9">
        <w:rPr>
          <w:rFonts w:ascii="Times New Roman" w:hAnsi="Times New Roman" w:cs="Times New Roman"/>
          <w:color w:val="000000" w:themeColor="text1"/>
          <w:sz w:val="20"/>
          <w:szCs w:val="20"/>
        </w:rPr>
        <w:t>Musicantia</w:t>
      </w:r>
      <w:proofErr w:type="spellEnd"/>
      <w:r w:rsidRPr="003060C9">
        <w:rPr>
          <w:rFonts w:ascii="Times New Roman" w:hAnsi="Times New Roman" w:cs="Times New Roman"/>
          <w:color w:val="000000" w:themeColor="text1"/>
          <w:sz w:val="20"/>
          <w:szCs w:val="20"/>
        </w:rPr>
        <w:t xml:space="preserve">, a Roma-led group of volunteer musicians who work with Roma and other young people to sustain and promote the Roma musical tradition in Ireland. </w:t>
      </w:r>
    </w:p>
    <w:p w14:paraId="2CAAA0C8" w14:textId="77777777" w:rsidR="00955B79" w:rsidRDefault="00955B79" w:rsidP="00256796">
      <w:pPr>
        <w:spacing w:line="240" w:lineRule="atLeast"/>
        <w:ind w:left="1134" w:right="1134"/>
        <w:jc w:val="both"/>
        <w:rPr>
          <w:color w:val="000000" w:themeColor="text1"/>
          <w:sz w:val="20"/>
          <w:szCs w:val="20"/>
        </w:rPr>
      </w:pPr>
    </w:p>
    <w:p w14:paraId="4130659E" w14:textId="22F72B23" w:rsidR="006C7FC2" w:rsidRDefault="006C7FC2" w:rsidP="00256796">
      <w:pPr>
        <w:spacing w:line="240" w:lineRule="atLeast"/>
        <w:ind w:left="1134" w:right="1134"/>
        <w:jc w:val="both"/>
        <w:rPr>
          <w:color w:val="000000" w:themeColor="text1"/>
          <w:sz w:val="20"/>
          <w:szCs w:val="20"/>
        </w:rPr>
      </w:pPr>
      <w:r w:rsidRPr="00C5657A">
        <w:rPr>
          <w:color w:val="000000" w:themeColor="text1"/>
          <w:sz w:val="20"/>
          <w:szCs w:val="20"/>
        </w:rPr>
        <w:t>The Asylum, Migration and Integration Fund (AMIF) supports national and EU initiatives that promote the efficient management of migration flows and the implementation, strengthening and development of a common Union approach to asylum, migration and integration. One of the objectives of the AMIF 2014-2020 national programme is promoting and contributing to the effective integration and social inclus</w:t>
      </w:r>
      <w:r w:rsidR="00256796">
        <w:rPr>
          <w:color w:val="000000" w:themeColor="text1"/>
          <w:sz w:val="20"/>
          <w:szCs w:val="20"/>
        </w:rPr>
        <w:t xml:space="preserve">ion of third-country nationals. </w:t>
      </w:r>
      <w:r w:rsidRPr="00C5657A">
        <w:rPr>
          <w:color w:val="000000" w:themeColor="text1"/>
          <w:sz w:val="20"/>
          <w:szCs w:val="20"/>
        </w:rPr>
        <w:t>Ireland’s AMIF funding is distributed in a number of ways in order to help Ireland meet these objectives in the 2014-2020 national programme:</w:t>
      </w:r>
    </w:p>
    <w:p w14:paraId="40333C0C" w14:textId="77777777" w:rsidR="00256796" w:rsidRPr="00C5657A" w:rsidRDefault="00256796" w:rsidP="005B52EA">
      <w:pPr>
        <w:spacing w:line="240" w:lineRule="atLeast"/>
        <w:ind w:left="1134" w:right="1134"/>
        <w:jc w:val="both"/>
        <w:rPr>
          <w:color w:val="000000" w:themeColor="text1"/>
          <w:sz w:val="20"/>
          <w:szCs w:val="20"/>
        </w:rPr>
      </w:pPr>
    </w:p>
    <w:p w14:paraId="78B73AEF" w14:textId="77777777" w:rsidR="006C7FC2" w:rsidRPr="00C5657A" w:rsidRDefault="006C7FC2" w:rsidP="00EC6275">
      <w:pPr>
        <w:pStyle w:val="ListParagraph"/>
        <w:numPr>
          <w:ilvl w:val="0"/>
          <w:numId w:val="13"/>
        </w:numPr>
        <w:spacing w:line="240" w:lineRule="atLeast"/>
        <w:ind w:right="1134"/>
        <w:jc w:val="both"/>
        <w:rPr>
          <w:rFonts w:ascii="Times New Roman" w:hAnsi="Times New Roman" w:cs="Times New Roman"/>
          <w:color w:val="000000" w:themeColor="text1"/>
          <w:sz w:val="20"/>
          <w:szCs w:val="20"/>
        </w:rPr>
      </w:pPr>
      <w:r w:rsidRPr="00C5657A">
        <w:rPr>
          <w:rFonts w:ascii="Times New Roman" w:hAnsi="Times New Roman" w:cs="Times New Roman"/>
          <w:color w:val="000000" w:themeColor="text1"/>
          <w:sz w:val="20"/>
          <w:szCs w:val="20"/>
        </w:rPr>
        <w:t>‘Open Calls’ for proposals provided €8.2m of grant funding to approximately 30 successful non-governmental organisations.</w:t>
      </w:r>
    </w:p>
    <w:p w14:paraId="285CC92E" w14:textId="5DBCA33E" w:rsidR="006C7FC2" w:rsidRDefault="006C7FC2" w:rsidP="00EC6275">
      <w:pPr>
        <w:pStyle w:val="ListParagraph"/>
        <w:numPr>
          <w:ilvl w:val="0"/>
          <w:numId w:val="13"/>
        </w:numPr>
        <w:spacing w:line="240" w:lineRule="atLeast"/>
        <w:ind w:right="1134"/>
        <w:jc w:val="both"/>
        <w:rPr>
          <w:rFonts w:ascii="Times New Roman" w:hAnsi="Times New Roman" w:cs="Times New Roman"/>
          <w:color w:val="000000" w:themeColor="text1"/>
          <w:sz w:val="20"/>
          <w:szCs w:val="20"/>
        </w:rPr>
      </w:pPr>
      <w:r w:rsidRPr="00C5657A">
        <w:rPr>
          <w:rFonts w:ascii="Times New Roman" w:hAnsi="Times New Roman" w:cs="Times New Roman"/>
          <w:color w:val="000000" w:themeColor="text1"/>
          <w:sz w:val="20"/>
          <w:szCs w:val="20"/>
        </w:rPr>
        <w:t>‘Direct Awards’ provided €4.9m of grant funding to public bodies that provide specific integration measures.</w:t>
      </w:r>
    </w:p>
    <w:p w14:paraId="28CF60FC" w14:textId="77777777" w:rsidR="00FE6D71" w:rsidRPr="00C5657A" w:rsidRDefault="00FE6D71" w:rsidP="00FE6D71">
      <w:pPr>
        <w:pStyle w:val="ListParagraph"/>
        <w:spacing w:line="240" w:lineRule="atLeast"/>
        <w:ind w:left="1854" w:right="1134"/>
        <w:jc w:val="both"/>
        <w:rPr>
          <w:rFonts w:ascii="Times New Roman" w:hAnsi="Times New Roman" w:cs="Times New Roman"/>
          <w:color w:val="000000" w:themeColor="text1"/>
          <w:sz w:val="20"/>
          <w:szCs w:val="20"/>
        </w:rPr>
      </w:pPr>
    </w:p>
    <w:p w14:paraId="0A9EA1FC" w14:textId="5DA14560" w:rsidR="006C7FC2" w:rsidRPr="00C5657A" w:rsidRDefault="006C7FC2" w:rsidP="005B52EA">
      <w:pPr>
        <w:spacing w:line="240" w:lineRule="atLeast"/>
        <w:ind w:left="1134" w:right="1134"/>
        <w:jc w:val="both"/>
        <w:rPr>
          <w:color w:val="000000" w:themeColor="text1"/>
          <w:sz w:val="20"/>
          <w:szCs w:val="20"/>
        </w:rPr>
      </w:pPr>
      <w:r w:rsidRPr="00C5657A">
        <w:rPr>
          <w:color w:val="000000" w:themeColor="text1"/>
          <w:sz w:val="20"/>
          <w:szCs w:val="20"/>
        </w:rPr>
        <w:t>In response to the arrival of refugees fleeing the conflict in Ukraine, the EU agreed to extend the AMIF 2014-2020 programme, bringing the effective programme end-date to June 2024.</w:t>
      </w:r>
    </w:p>
    <w:p w14:paraId="3DD2CF9F" w14:textId="57B371F3" w:rsidR="006C7FC2" w:rsidRDefault="006C7FC2" w:rsidP="005B52EA">
      <w:pPr>
        <w:spacing w:line="240" w:lineRule="atLeast"/>
        <w:ind w:left="1134" w:right="1134"/>
        <w:jc w:val="both"/>
        <w:rPr>
          <w:color w:val="000000" w:themeColor="text1"/>
          <w:sz w:val="20"/>
          <w:szCs w:val="20"/>
        </w:rPr>
      </w:pPr>
    </w:p>
    <w:p w14:paraId="1A276700" w14:textId="165D45A9" w:rsidR="00B82D97" w:rsidRPr="00C5657A" w:rsidRDefault="00B82D97" w:rsidP="005B52EA">
      <w:pPr>
        <w:spacing w:line="240" w:lineRule="atLeast"/>
        <w:ind w:left="1134" w:right="1134"/>
        <w:jc w:val="both"/>
        <w:rPr>
          <w:color w:val="000000" w:themeColor="text1"/>
          <w:sz w:val="20"/>
          <w:szCs w:val="20"/>
        </w:rPr>
      </w:pPr>
      <w:r>
        <w:rPr>
          <w:color w:val="000000" w:themeColor="text1"/>
          <w:sz w:val="20"/>
          <w:szCs w:val="20"/>
        </w:rPr>
        <w:t>I</w:t>
      </w:r>
      <w:r w:rsidRPr="00B82D97">
        <w:rPr>
          <w:color w:val="000000" w:themeColor="text1"/>
          <w:sz w:val="20"/>
          <w:szCs w:val="20"/>
        </w:rPr>
        <w:t>reland has continued to invest in culture infrastructure to facilitate on-going access to cultural and artistic institutions.  From 2011–2018, over €242 million was invested in cultural infrastructure and over €86m in infrastructure to protect and promote the Irish language.</w:t>
      </w:r>
    </w:p>
    <w:p w14:paraId="2129F36C" w14:textId="77777777" w:rsidR="006E3435" w:rsidRPr="00C5657A" w:rsidRDefault="006E3435" w:rsidP="005B52EA">
      <w:pPr>
        <w:spacing w:line="240" w:lineRule="atLeast"/>
        <w:ind w:right="1134"/>
        <w:jc w:val="both"/>
        <w:rPr>
          <w:color w:val="000000" w:themeColor="text1"/>
          <w:sz w:val="20"/>
          <w:szCs w:val="20"/>
        </w:rPr>
      </w:pPr>
    </w:p>
    <w:p w14:paraId="48A26E1D" w14:textId="2C5D9727" w:rsidR="005609E5" w:rsidRPr="00FE6D71" w:rsidRDefault="00FE6D71" w:rsidP="00FE6D71">
      <w:pPr>
        <w:pStyle w:val="SingleTxtG"/>
        <w:spacing w:after="0"/>
        <w:rPr>
          <w:b/>
        </w:rPr>
      </w:pPr>
      <w:r>
        <w:rPr>
          <w:b/>
        </w:rPr>
        <w:t>Reply to paragraph 29</w:t>
      </w:r>
    </w:p>
    <w:p w14:paraId="0A4ACFD0" w14:textId="617A59AF" w:rsidR="004B11AC" w:rsidRPr="004B11AC" w:rsidRDefault="00256796" w:rsidP="004B11AC">
      <w:pPr>
        <w:spacing w:line="240" w:lineRule="atLeast"/>
        <w:ind w:left="1134" w:right="1134"/>
        <w:jc w:val="both"/>
        <w:rPr>
          <w:color w:val="000000" w:themeColor="text1"/>
          <w:sz w:val="20"/>
          <w:szCs w:val="20"/>
        </w:rPr>
      </w:pPr>
      <w:r>
        <w:rPr>
          <w:color w:val="000000" w:themeColor="text1"/>
          <w:sz w:val="20"/>
          <w:szCs w:val="20"/>
        </w:rPr>
        <w:t>I</w:t>
      </w:r>
      <w:r w:rsidR="004B11AC" w:rsidRPr="004B11AC">
        <w:rPr>
          <w:color w:val="000000" w:themeColor="text1"/>
          <w:sz w:val="20"/>
          <w:szCs w:val="20"/>
        </w:rPr>
        <w:t xml:space="preserve">n conjunction with the National Regulatory Authority, </w:t>
      </w:r>
      <w:proofErr w:type="spellStart"/>
      <w:r w:rsidR="004B11AC" w:rsidRPr="004B11AC">
        <w:rPr>
          <w:color w:val="000000" w:themeColor="text1"/>
          <w:sz w:val="20"/>
          <w:szCs w:val="20"/>
        </w:rPr>
        <w:t>ComReg</w:t>
      </w:r>
      <w:proofErr w:type="spellEnd"/>
      <w:r w:rsidR="004B11AC" w:rsidRPr="004B11AC">
        <w:rPr>
          <w:color w:val="000000" w:themeColor="text1"/>
          <w:sz w:val="20"/>
          <w:szCs w:val="20"/>
        </w:rPr>
        <w:t xml:space="preserve">, broadband affordability </w:t>
      </w:r>
      <w:r>
        <w:rPr>
          <w:color w:val="000000" w:themeColor="text1"/>
          <w:sz w:val="20"/>
          <w:szCs w:val="20"/>
        </w:rPr>
        <w:t xml:space="preserve">will be reviewed </w:t>
      </w:r>
      <w:r w:rsidR="004B11AC" w:rsidRPr="004B11AC">
        <w:rPr>
          <w:color w:val="000000" w:themeColor="text1"/>
          <w:sz w:val="20"/>
          <w:szCs w:val="20"/>
        </w:rPr>
        <w:t>under the new requirements of the European Electronic Communications Code where there is now a legal requiremen</w:t>
      </w:r>
      <w:r w:rsidR="004B11AC">
        <w:rPr>
          <w:color w:val="000000" w:themeColor="text1"/>
          <w:sz w:val="20"/>
          <w:szCs w:val="20"/>
        </w:rPr>
        <w:t>t on EU Member States</w:t>
      </w:r>
      <w:r w:rsidR="004B11AC" w:rsidRPr="004B11AC">
        <w:rPr>
          <w:color w:val="000000" w:themeColor="text1"/>
          <w:sz w:val="20"/>
          <w:szCs w:val="20"/>
        </w:rPr>
        <w:t xml:space="preserve"> to assess what adequate </w:t>
      </w:r>
      <w:r w:rsidR="004B11AC" w:rsidRPr="004B11AC">
        <w:rPr>
          <w:color w:val="000000" w:themeColor="text1"/>
          <w:sz w:val="20"/>
          <w:szCs w:val="20"/>
        </w:rPr>
        <w:lastRenderedPageBreak/>
        <w:t>broadband means and how the State can ensure such adequate broadband is affordable. This review will involve full engagement with relevant stakeholders and public consultation.</w:t>
      </w:r>
    </w:p>
    <w:p w14:paraId="1006BCDA" w14:textId="7F8BB6A2" w:rsidR="00AE5A09" w:rsidRPr="00FE6D71" w:rsidRDefault="00FE6D71" w:rsidP="00FE6D71">
      <w:pPr>
        <w:pStyle w:val="SingleTxtG"/>
        <w:spacing w:before="240" w:after="0"/>
        <w:rPr>
          <w:u w:val="single"/>
        </w:rPr>
      </w:pPr>
      <w:r>
        <w:rPr>
          <w:u w:val="single"/>
        </w:rPr>
        <w:tab/>
      </w:r>
      <w:r>
        <w:rPr>
          <w:u w:val="single"/>
        </w:rPr>
        <w:tab/>
      </w:r>
    </w:p>
    <w:sectPr w:rsidR="00AE5A09" w:rsidRPr="00FE6D71" w:rsidSect="00AE5A09">
      <w:headerReference w:type="even" r:id="rId24"/>
      <w:headerReference w:type="default" r:id="rId25"/>
      <w:footerReference w:type="even" r:id="rId26"/>
      <w:footerReference w:type="default" r:id="rId27"/>
      <w:headerReference w:type="first" r:id="rId28"/>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59356" w14:textId="77777777" w:rsidR="00BA3258" w:rsidRDefault="00BA3258" w:rsidP="00AE5A09">
      <w:r>
        <w:separator/>
      </w:r>
    </w:p>
  </w:endnote>
  <w:endnote w:type="continuationSeparator" w:id="0">
    <w:p w14:paraId="5D0FFFCF" w14:textId="77777777" w:rsidR="00BA3258" w:rsidRDefault="00BA3258" w:rsidP="00AE5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49807" w14:textId="77777777" w:rsidR="0030514D" w:rsidRPr="001D4EF8" w:rsidRDefault="0030514D" w:rsidP="00AE5A09">
    <w:pPr>
      <w:pStyle w:val="Footer"/>
      <w:tabs>
        <w:tab w:val="right" w:pos="9638"/>
      </w:tabs>
      <w:rPr>
        <w:sz w:val="18"/>
      </w:rPr>
    </w:pPr>
    <w:r w:rsidRPr="001D4EF8">
      <w:rPr>
        <w:b/>
        <w:sz w:val="18"/>
      </w:rPr>
      <w:fldChar w:fldCharType="begin"/>
    </w:r>
    <w:r w:rsidRPr="001D4EF8">
      <w:rPr>
        <w:b/>
        <w:sz w:val="18"/>
      </w:rPr>
      <w:instrText xml:space="preserve"> PAGE  \* MERGEFORMAT </w:instrText>
    </w:r>
    <w:r w:rsidRPr="001D4EF8">
      <w:rPr>
        <w:b/>
        <w:sz w:val="18"/>
      </w:rPr>
      <w:fldChar w:fldCharType="separate"/>
    </w:r>
    <w:r>
      <w:rPr>
        <w:b/>
        <w:noProof/>
        <w:sz w:val="18"/>
      </w:rPr>
      <w:t>46</w:t>
    </w:r>
    <w:r w:rsidRPr="001D4EF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D7A03" w14:textId="67D977A7" w:rsidR="0030514D" w:rsidRPr="001D4EF8" w:rsidRDefault="0030514D" w:rsidP="00AE5A09">
    <w:pPr>
      <w:pStyle w:val="Footer"/>
      <w:tabs>
        <w:tab w:val="right" w:pos="9638"/>
      </w:tabs>
      <w:rPr>
        <w:b/>
        <w:sz w:val="18"/>
      </w:rPr>
    </w:pPr>
    <w:r>
      <w:tab/>
    </w:r>
    <w:r w:rsidRPr="001D4EF8">
      <w:rPr>
        <w:b/>
        <w:sz w:val="18"/>
      </w:rPr>
      <w:fldChar w:fldCharType="begin"/>
    </w:r>
    <w:r w:rsidRPr="001D4EF8">
      <w:rPr>
        <w:b/>
        <w:sz w:val="18"/>
      </w:rPr>
      <w:instrText xml:space="preserve"> PAGE  \* MERGEFORMAT </w:instrText>
    </w:r>
    <w:r w:rsidRPr="001D4EF8">
      <w:rPr>
        <w:b/>
        <w:sz w:val="18"/>
      </w:rPr>
      <w:fldChar w:fldCharType="separate"/>
    </w:r>
    <w:r w:rsidR="00782475">
      <w:rPr>
        <w:b/>
        <w:noProof/>
        <w:sz w:val="18"/>
      </w:rPr>
      <w:t>6</w:t>
    </w:r>
    <w:r w:rsidRPr="001D4EF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DEC7A8" w14:textId="77777777" w:rsidR="00BA3258" w:rsidRDefault="00BA3258" w:rsidP="00AE5A09">
      <w:r>
        <w:separator/>
      </w:r>
    </w:p>
  </w:footnote>
  <w:footnote w:type="continuationSeparator" w:id="0">
    <w:p w14:paraId="24C122D9" w14:textId="77777777" w:rsidR="00BA3258" w:rsidRDefault="00BA3258" w:rsidP="00AE5A09">
      <w:r>
        <w:continuationSeparator/>
      </w:r>
    </w:p>
  </w:footnote>
  <w:footnote w:id="1">
    <w:p w14:paraId="23CC2D5D" w14:textId="34EDDD79" w:rsidR="0030514D" w:rsidRPr="0060142A" w:rsidRDefault="0030514D">
      <w:pPr>
        <w:pStyle w:val="FootnoteText"/>
        <w:rPr>
          <w:lang w:val="en-IE"/>
        </w:rPr>
      </w:pPr>
      <w:r>
        <w:tab/>
      </w:r>
      <w:r>
        <w:rPr>
          <w:rStyle w:val="FootnoteReference"/>
        </w:rPr>
        <w:footnoteRef/>
      </w:r>
      <w:r>
        <w:t xml:space="preserve"> </w:t>
      </w:r>
      <w:r>
        <w:tab/>
      </w:r>
      <w:r w:rsidRPr="00200CEC">
        <w:t>The Community and Voluntary Pillar consists of organisations, including Disability Federation Ireland, invited by Government to provide voice and representation for vulnerable people and communities in developing Ireland’s social and economic policies.</w:t>
      </w:r>
    </w:p>
  </w:footnote>
  <w:footnote w:id="2">
    <w:p w14:paraId="1D385C06" w14:textId="77777777" w:rsidR="0030514D" w:rsidRDefault="0030514D" w:rsidP="004B11AC">
      <w:pPr>
        <w:pStyle w:val="FootnoteText"/>
      </w:pPr>
      <w:r>
        <w:rPr>
          <w:rStyle w:val="FootnoteReference"/>
        </w:rPr>
        <w:footnoteRef/>
      </w:r>
      <w:r>
        <w:t xml:space="preserve"> </w:t>
      </w:r>
      <w:hyperlink r:id="rId1" w:history="1">
        <w:r>
          <w:rPr>
            <w:rStyle w:val="Hyperlink"/>
          </w:rPr>
          <w:t>https://www.gov.ie/en/publication/fbe331-national-adaptation-framework/</w:t>
        </w:r>
      </w:hyperlink>
      <w:r>
        <w:t xml:space="preserve"> </w:t>
      </w:r>
    </w:p>
  </w:footnote>
  <w:footnote w:id="3">
    <w:p w14:paraId="162F140B" w14:textId="77777777" w:rsidR="0030514D" w:rsidRDefault="0030514D" w:rsidP="004B11AC">
      <w:pPr>
        <w:pStyle w:val="FootnoteText"/>
      </w:pPr>
      <w:r>
        <w:rPr>
          <w:rStyle w:val="FootnoteReference"/>
        </w:rPr>
        <w:footnoteRef/>
      </w:r>
      <w:r>
        <w:t xml:space="preserve"> </w:t>
      </w:r>
      <w:hyperlink r:id="rId2" w:history="1">
        <w:r>
          <w:rPr>
            <w:rStyle w:val="Hyperlink"/>
          </w:rPr>
          <w:t>https://www.gov.ie/en/publication/4bf2c-national-dialogue-on-climate-action-ndca/</w:t>
        </w:r>
      </w:hyperlink>
    </w:p>
  </w:footnote>
  <w:footnote w:id="4">
    <w:p w14:paraId="7FD0EF96" w14:textId="4B12C295" w:rsidR="0030514D" w:rsidRPr="00CF16DC" w:rsidRDefault="0030514D">
      <w:pPr>
        <w:pStyle w:val="FootnoteText"/>
        <w:rPr>
          <w:lang w:val="en-IE"/>
        </w:rPr>
      </w:pPr>
      <w:r>
        <w:rPr>
          <w:rStyle w:val="FootnoteReference"/>
        </w:rPr>
        <w:footnoteRef/>
      </w:r>
      <w:r>
        <w:t xml:space="preserve"> </w:t>
      </w:r>
      <w:hyperlink r:id="rId3" w:history="1">
        <w:r w:rsidRPr="00443705">
          <w:rPr>
            <w:rStyle w:val="Hyperlink"/>
          </w:rPr>
          <w:t>https://www.oireachtas.ie/en/bills/bill/2021/82/?tab=debates</w:t>
        </w:r>
      </w:hyperlink>
      <w:r>
        <w:rPr>
          <w:rStyle w:val="Hyperlink"/>
        </w:rPr>
        <w:t xml:space="preserve"> </w:t>
      </w:r>
    </w:p>
  </w:footnote>
  <w:footnote w:id="5">
    <w:p w14:paraId="51C883B2" w14:textId="0C1AA5F5" w:rsidR="0030514D" w:rsidRDefault="0030514D" w:rsidP="00153A75">
      <w:pPr>
        <w:pStyle w:val="FootnoteText"/>
        <w:tabs>
          <w:tab w:val="clear" w:pos="1021"/>
          <w:tab w:val="right" w:pos="284"/>
        </w:tabs>
        <w:spacing w:line="240" w:lineRule="auto"/>
        <w:ind w:hanging="142"/>
      </w:pPr>
      <w:r>
        <w:tab/>
      </w:r>
      <w:r>
        <w:rPr>
          <w:rStyle w:val="FootnoteReference"/>
        </w:rPr>
        <w:footnoteRef/>
      </w:r>
      <w:r>
        <w:t xml:space="preserve"> The PALF is the sum of two</w:t>
      </w:r>
      <w:r w:rsidRPr="00534B17">
        <w:t xml:space="preserve"> group</w:t>
      </w:r>
      <w:r>
        <w:t>s</w:t>
      </w:r>
      <w:r w:rsidRPr="00534B17">
        <w:t>:</w:t>
      </w:r>
      <w:r>
        <w:t xml:space="preserve"> </w:t>
      </w:r>
      <w:r w:rsidRPr="00665594">
        <w:t>Those ‘Seeking work but not immediately available’ and those ‘Available for work but not seeking work’.</w:t>
      </w:r>
      <w:r w:rsidRPr="00534B17">
        <w:t xml:space="preserve"> </w:t>
      </w:r>
    </w:p>
  </w:footnote>
  <w:footnote w:id="6">
    <w:p w14:paraId="147121A1" w14:textId="58B89CBB" w:rsidR="0030514D" w:rsidRDefault="0030514D" w:rsidP="00B53CE4">
      <w:pPr>
        <w:pStyle w:val="FootnoteText"/>
      </w:pPr>
      <w:r>
        <w:tab/>
      </w:r>
      <w:r>
        <w:tab/>
      </w:r>
      <w:r>
        <w:rPr>
          <w:rStyle w:val="FootnoteReference"/>
        </w:rPr>
        <w:footnoteRef/>
      </w:r>
      <w:r>
        <w:t xml:space="preserve"> </w:t>
      </w:r>
      <w:hyperlink r:id="rId4" w:history="1">
        <w:r>
          <w:rPr>
            <w:rStyle w:val="Hyperlink"/>
          </w:rPr>
          <w:t>New measures of labour market attachment - Eurostat (europa.eu)</w:t>
        </w:r>
      </w:hyperlink>
    </w:p>
  </w:footnote>
  <w:footnote w:id="7">
    <w:p w14:paraId="2AD0BCD6" w14:textId="77777777" w:rsidR="0030514D" w:rsidRDefault="0030514D" w:rsidP="00785DDD">
      <w:pPr>
        <w:pStyle w:val="FootnoteText"/>
        <w:rPr>
          <w:szCs w:val="18"/>
        </w:rPr>
      </w:pPr>
      <w:r>
        <w:rPr>
          <w:rStyle w:val="FootnoteReference"/>
          <w:szCs w:val="18"/>
        </w:rPr>
        <w:footnoteRef/>
      </w:r>
      <w:r>
        <w:rPr>
          <w:szCs w:val="18"/>
        </w:rPr>
        <w:t xml:space="preserve"> </w:t>
      </w:r>
      <w:hyperlink r:id="rId5" w:history="1">
        <w:r>
          <w:rPr>
            <w:rStyle w:val="Hyperlink"/>
            <w:szCs w:val="18"/>
          </w:rPr>
          <w:t>https://assets.gov.ie/38063/89059243e750415ebf7e96247a4225ae.pdf</w:t>
        </w:r>
      </w:hyperlink>
      <w:r>
        <w:rPr>
          <w:szCs w:val="18"/>
        </w:rPr>
        <w:t xml:space="preserve"> </w:t>
      </w:r>
    </w:p>
  </w:footnote>
  <w:footnote w:id="8">
    <w:p w14:paraId="216656D5" w14:textId="77777777" w:rsidR="00256796" w:rsidRPr="00CC59EA" w:rsidRDefault="00256796" w:rsidP="00256796">
      <w:pPr>
        <w:pStyle w:val="FootnoteText"/>
        <w:ind w:left="0" w:firstLine="0"/>
        <w:rPr>
          <w:lang w:val="en-IE"/>
        </w:rPr>
      </w:pPr>
    </w:p>
  </w:footnote>
  <w:footnote w:id="9">
    <w:p w14:paraId="36251191" w14:textId="77777777" w:rsidR="0030514D" w:rsidRPr="00A427F4" w:rsidRDefault="0030514D" w:rsidP="00784053">
      <w:pPr>
        <w:pStyle w:val="FootnoteText"/>
      </w:pPr>
      <w:r>
        <w:rPr>
          <w:rStyle w:val="FootnoteReference"/>
        </w:rPr>
        <w:footnoteRef/>
      </w:r>
      <w:r>
        <w:t xml:space="preserve">  </w:t>
      </w:r>
      <w:r w:rsidRPr="00FE6D71">
        <w:rPr>
          <w:szCs w:val="18"/>
          <w:lang w:val="en-IE"/>
        </w:rPr>
        <w:t>Progression and completion rates are calculated as opposed to ‘dropout rates’.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082B5" w14:textId="32DF6AA3" w:rsidR="0030514D" w:rsidRPr="001D4EF8" w:rsidRDefault="00BA3258">
    <w:pPr>
      <w:pStyle w:val="Header"/>
    </w:pPr>
    <w:r>
      <w:fldChar w:fldCharType="begin"/>
    </w:r>
    <w:r>
      <w:instrText xml:space="preserve"> TITLE  \* MERGEFORMAT </w:instrTex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A4024" w14:textId="400ACD8D" w:rsidR="0030514D" w:rsidRPr="001D4EF8" w:rsidRDefault="00BA3258" w:rsidP="00AE5A09">
    <w:pPr>
      <w:pStyle w:val="Header"/>
      <w:jc w:val="right"/>
    </w:pPr>
    <w:r>
      <w:fldChar w:fldCharType="begin"/>
    </w:r>
    <w:r>
      <w:instrText xml:space="preserve"> TITLE  \* MERGEFORMAT </w:instrTex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30A7B" w14:textId="797C67FF" w:rsidR="0030514D" w:rsidRPr="001D4EF8" w:rsidRDefault="0030514D" w:rsidP="00AE5A09">
    <w:pPr>
      <w:pStyle w:val="Header"/>
      <w:jc w:val="center"/>
    </w:pPr>
    <w:r>
      <w:rPr>
        <w:sz w:val="22"/>
      </w:rPr>
      <w:t xml:space="preserve">Supplementary information to reply to list of issues in relation to the fourth periodic report of Ireland </w:t>
    </w:r>
    <w:r w:rsidR="00BA3258">
      <w:fldChar w:fldCharType="begin"/>
    </w:r>
    <w:r w:rsidR="00BA3258">
      <w:instrText xml:space="preserve"> TITLE  \* MERGEFORMAT </w:instrText>
    </w:r>
    <w:r w:rsidR="00BA3258">
      <w:fldChar w:fldCharType="end"/>
    </w:r>
  </w:p>
  <w:p w14:paraId="0645FDDC" w14:textId="77777777" w:rsidR="0030514D" w:rsidRPr="000B74A3" w:rsidRDefault="0030514D" w:rsidP="00AE5A09">
    <w:pPr>
      <w:pStyle w:val="Header"/>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2694"/>
        </w:tabs>
        <w:ind w:left="2694" w:hanging="170"/>
      </w:pPr>
      <w:rPr>
        <w:rFonts w:ascii="Times New Roman" w:hAnsi="Times New Roman" w:cs="Times New Roman" w:hint="default"/>
      </w:rPr>
    </w:lvl>
    <w:lvl w:ilvl="1" w:tplc="040C0003" w:tentative="1">
      <w:start w:val="1"/>
      <w:numFmt w:val="bullet"/>
      <w:lvlText w:val="o"/>
      <w:lvlJc w:val="left"/>
      <w:pPr>
        <w:tabs>
          <w:tab w:val="num" w:pos="2433"/>
        </w:tabs>
        <w:ind w:left="2433" w:hanging="360"/>
      </w:pPr>
      <w:rPr>
        <w:rFonts w:ascii="Courier New" w:hAnsi="Courier New" w:cs="Courier New" w:hint="default"/>
      </w:rPr>
    </w:lvl>
    <w:lvl w:ilvl="2" w:tplc="040C0005" w:tentative="1">
      <w:start w:val="1"/>
      <w:numFmt w:val="bullet"/>
      <w:lvlText w:val=""/>
      <w:lvlJc w:val="left"/>
      <w:pPr>
        <w:tabs>
          <w:tab w:val="num" w:pos="3153"/>
        </w:tabs>
        <w:ind w:left="3153" w:hanging="360"/>
      </w:pPr>
      <w:rPr>
        <w:rFonts w:ascii="Wingdings" w:hAnsi="Wingdings" w:hint="default"/>
      </w:rPr>
    </w:lvl>
    <w:lvl w:ilvl="3" w:tplc="040C0001" w:tentative="1">
      <w:start w:val="1"/>
      <w:numFmt w:val="bullet"/>
      <w:lvlText w:val=""/>
      <w:lvlJc w:val="left"/>
      <w:pPr>
        <w:tabs>
          <w:tab w:val="num" w:pos="3873"/>
        </w:tabs>
        <w:ind w:left="3873" w:hanging="360"/>
      </w:pPr>
      <w:rPr>
        <w:rFonts w:ascii="Symbol" w:hAnsi="Symbol" w:hint="default"/>
      </w:rPr>
    </w:lvl>
    <w:lvl w:ilvl="4" w:tplc="040C0003" w:tentative="1">
      <w:start w:val="1"/>
      <w:numFmt w:val="bullet"/>
      <w:lvlText w:val="o"/>
      <w:lvlJc w:val="left"/>
      <w:pPr>
        <w:tabs>
          <w:tab w:val="num" w:pos="4593"/>
        </w:tabs>
        <w:ind w:left="4593" w:hanging="360"/>
      </w:pPr>
      <w:rPr>
        <w:rFonts w:ascii="Courier New" w:hAnsi="Courier New" w:cs="Courier New" w:hint="default"/>
      </w:rPr>
    </w:lvl>
    <w:lvl w:ilvl="5" w:tplc="040C0005" w:tentative="1">
      <w:start w:val="1"/>
      <w:numFmt w:val="bullet"/>
      <w:lvlText w:val=""/>
      <w:lvlJc w:val="left"/>
      <w:pPr>
        <w:tabs>
          <w:tab w:val="num" w:pos="5313"/>
        </w:tabs>
        <w:ind w:left="5313" w:hanging="360"/>
      </w:pPr>
      <w:rPr>
        <w:rFonts w:ascii="Wingdings" w:hAnsi="Wingdings" w:hint="default"/>
      </w:rPr>
    </w:lvl>
    <w:lvl w:ilvl="6" w:tplc="040C0001" w:tentative="1">
      <w:start w:val="1"/>
      <w:numFmt w:val="bullet"/>
      <w:lvlText w:val=""/>
      <w:lvlJc w:val="left"/>
      <w:pPr>
        <w:tabs>
          <w:tab w:val="num" w:pos="6033"/>
        </w:tabs>
        <w:ind w:left="6033" w:hanging="360"/>
      </w:pPr>
      <w:rPr>
        <w:rFonts w:ascii="Symbol" w:hAnsi="Symbol" w:hint="default"/>
      </w:rPr>
    </w:lvl>
    <w:lvl w:ilvl="7" w:tplc="040C0003" w:tentative="1">
      <w:start w:val="1"/>
      <w:numFmt w:val="bullet"/>
      <w:lvlText w:val="o"/>
      <w:lvlJc w:val="left"/>
      <w:pPr>
        <w:tabs>
          <w:tab w:val="num" w:pos="6753"/>
        </w:tabs>
        <w:ind w:left="6753" w:hanging="360"/>
      </w:pPr>
      <w:rPr>
        <w:rFonts w:ascii="Courier New" w:hAnsi="Courier New" w:cs="Courier New" w:hint="default"/>
      </w:rPr>
    </w:lvl>
    <w:lvl w:ilvl="8" w:tplc="040C0005" w:tentative="1">
      <w:start w:val="1"/>
      <w:numFmt w:val="bullet"/>
      <w:lvlText w:val=""/>
      <w:lvlJc w:val="left"/>
      <w:pPr>
        <w:tabs>
          <w:tab w:val="num" w:pos="7473"/>
        </w:tabs>
        <w:ind w:left="7473" w:hanging="360"/>
      </w:pPr>
      <w:rPr>
        <w:rFonts w:ascii="Wingdings" w:hAnsi="Wingdings" w:hint="default"/>
      </w:rPr>
    </w:lvl>
  </w:abstractNum>
  <w:abstractNum w:abstractNumId="1" w15:restartNumberingAfterBreak="0">
    <w:nsid w:val="0499242B"/>
    <w:multiLevelType w:val="hybridMultilevel"/>
    <w:tmpl w:val="9A24F22E"/>
    <w:lvl w:ilvl="0" w:tplc="5EAA20BE">
      <w:numFmt w:val="bullet"/>
      <w:lvlText w:val="•"/>
      <w:lvlJc w:val="left"/>
      <w:pPr>
        <w:ind w:left="1854" w:hanging="360"/>
      </w:pPr>
      <w:rPr>
        <w:rFonts w:ascii="Times New Roman" w:eastAsia="Times New Roman" w:hAnsi="Times New Roman" w:cs="Times New Roman"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7281612"/>
    <w:multiLevelType w:val="hybridMultilevel"/>
    <w:tmpl w:val="F7D66CC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4" w15:restartNumberingAfterBreak="0">
    <w:nsid w:val="182751C3"/>
    <w:multiLevelType w:val="hybridMultilevel"/>
    <w:tmpl w:val="B58AE2CE"/>
    <w:lvl w:ilvl="0" w:tplc="18090001">
      <w:start w:val="1"/>
      <w:numFmt w:val="bullet"/>
      <w:lvlText w:val=""/>
      <w:lvlJc w:val="left"/>
      <w:pPr>
        <w:ind w:left="1287" w:hanging="360"/>
      </w:pPr>
      <w:rPr>
        <w:rFonts w:ascii="Symbol" w:hAnsi="Symbol" w:hint="default"/>
      </w:rPr>
    </w:lvl>
    <w:lvl w:ilvl="1" w:tplc="18090003" w:tentative="1">
      <w:start w:val="1"/>
      <w:numFmt w:val="bullet"/>
      <w:lvlText w:val="o"/>
      <w:lvlJc w:val="left"/>
      <w:pPr>
        <w:ind w:left="2007" w:hanging="360"/>
      </w:pPr>
      <w:rPr>
        <w:rFonts w:ascii="Courier New" w:hAnsi="Courier New" w:cs="Courier New" w:hint="default"/>
      </w:rPr>
    </w:lvl>
    <w:lvl w:ilvl="2" w:tplc="18090005" w:tentative="1">
      <w:start w:val="1"/>
      <w:numFmt w:val="bullet"/>
      <w:lvlText w:val=""/>
      <w:lvlJc w:val="left"/>
      <w:pPr>
        <w:ind w:left="2727" w:hanging="360"/>
      </w:pPr>
      <w:rPr>
        <w:rFonts w:ascii="Wingdings" w:hAnsi="Wingdings" w:hint="default"/>
      </w:rPr>
    </w:lvl>
    <w:lvl w:ilvl="3" w:tplc="18090001" w:tentative="1">
      <w:start w:val="1"/>
      <w:numFmt w:val="bullet"/>
      <w:lvlText w:val=""/>
      <w:lvlJc w:val="left"/>
      <w:pPr>
        <w:ind w:left="3447" w:hanging="360"/>
      </w:pPr>
      <w:rPr>
        <w:rFonts w:ascii="Symbol" w:hAnsi="Symbol" w:hint="default"/>
      </w:rPr>
    </w:lvl>
    <w:lvl w:ilvl="4" w:tplc="18090003" w:tentative="1">
      <w:start w:val="1"/>
      <w:numFmt w:val="bullet"/>
      <w:lvlText w:val="o"/>
      <w:lvlJc w:val="left"/>
      <w:pPr>
        <w:ind w:left="4167" w:hanging="360"/>
      </w:pPr>
      <w:rPr>
        <w:rFonts w:ascii="Courier New" w:hAnsi="Courier New" w:cs="Courier New" w:hint="default"/>
      </w:rPr>
    </w:lvl>
    <w:lvl w:ilvl="5" w:tplc="18090005" w:tentative="1">
      <w:start w:val="1"/>
      <w:numFmt w:val="bullet"/>
      <w:lvlText w:val=""/>
      <w:lvlJc w:val="left"/>
      <w:pPr>
        <w:ind w:left="4887" w:hanging="360"/>
      </w:pPr>
      <w:rPr>
        <w:rFonts w:ascii="Wingdings" w:hAnsi="Wingdings" w:hint="default"/>
      </w:rPr>
    </w:lvl>
    <w:lvl w:ilvl="6" w:tplc="18090001" w:tentative="1">
      <w:start w:val="1"/>
      <w:numFmt w:val="bullet"/>
      <w:lvlText w:val=""/>
      <w:lvlJc w:val="left"/>
      <w:pPr>
        <w:ind w:left="5607" w:hanging="360"/>
      </w:pPr>
      <w:rPr>
        <w:rFonts w:ascii="Symbol" w:hAnsi="Symbol" w:hint="default"/>
      </w:rPr>
    </w:lvl>
    <w:lvl w:ilvl="7" w:tplc="18090003" w:tentative="1">
      <w:start w:val="1"/>
      <w:numFmt w:val="bullet"/>
      <w:lvlText w:val="o"/>
      <w:lvlJc w:val="left"/>
      <w:pPr>
        <w:ind w:left="6327" w:hanging="360"/>
      </w:pPr>
      <w:rPr>
        <w:rFonts w:ascii="Courier New" w:hAnsi="Courier New" w:cs="Courier New" w:hint="default"/>
      </w:rPr>
    </w:lvl>
    <w:lvl w:ilvl="8" w:tplc="18090005" w:tentative="1">
      <w:start w:val="1"/>
      <w:numFmt w:val="bullet"/>
      <w:lvlText w:val=""/>
      <w:lvlJc w:val="left"/>
      <w:pPr>
        <w:ind w:left="7047" w:hanging="360"/>
      </w:pPr>
      <w:rPr>
        <w:rFonts w:ascii="Wingdings" w:hAnsi="Wingdings" w:hint="default"/>
      </w:rPr>
    </w:lvl>
  </w:abstractNum>
  <w:abstractNum w:abstractNumId="5" w15:restartNumberingAfterBreak="0">
    <w:nsid w:val="23C920E8"/>
    <w:multiLevelType w:val="hybridMultilevel"/>
    <w:tmpl w:val="3762081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 w15:restartNumberingAfterBreak="0">
    <w:nsid w:val="258E614D"/>
    <w:multiLevelType w:val="hybridMultilevel"/>
    <w:tmpl w:val="27F2D1C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5B37258"/>
    <w:multiLevelType w:val="hybridMultilevel"/>
    <w:tmpl w:val="F95260BA"/>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8" w15:restartNumberingAfterBreak="0">
    <w:nsid w:val="2927051D"/>
    <w:multiLevelType w:val="hybridMultilevel"/>
    <w:tmpl w:val="BF98CFFC"/>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9" w15:restartNumberingAfterBreak="0">
    <w:nsid w:val="29E025B3"/>
    <w:multiLevelType w:val="hybridMultilevel"/>
    <w:tmpl w:val="03680A5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57454EC"/>
    <w:multiLevelType w:val="hybridMultilevel"/>
    <w:tmpl w:val="6A585242"/>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1" w15:restartNumberingAfterBreak="0">
    <w:nsid w:val="3B805261"/>
    <w:multiLevelType w:val="hybridMultilevel"/>
    <w:tmpl w:val="29E6ACEC"/>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2" w15:restartNumberingAfterBreak="0">
    <w:nsid w:val="3BA454E0"/>
    <w:multiLevelType w:val="hybridMultilevel"/>
    <w:tmpl w:val="CEB82650"/>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3" w15:restartNumberingAfterBreak="0">
    <w:nsid w:val="46AB47BC"/>
    <w:multiLevelType w:val="hybridMultilevel"/>
    <w:tmpl w:val="0F4408C2"/>
    <w:lvl w:ilvl="0" w:tplc="18090001">
      <w:start w:val="1"/>
      <w:numFmt w:val="bullet"/>
      <w:lvlText w:val=""/>
      <w:lvlJc w:val="left"/>
      <w:pPr>
        <w:ind w:left="1901" w:hanging="360"/>
      </w:pPr>
      <w:rPr>
        <w:rFonts w:ascii="Symbol" w:hAnsi="Symbol" w:hint="default"/>
        <w:sz w:val="16"/>
      </w:rPr>
    </w:lvl>
    <w:lvl w:ilvl="1" w:tplc="18090003" w:tentative="1">
      <w:start w:val="1"/>
      <w:numFmt w:val="bullet"/>
      <w:lvlText w:val="o"/>
      <w:lvlJc w:val="left"/>
      <w:pPr>
        <w:ind w:left="2621" w:hanging="360"/>
      </w:pPr>
      <w:rPr>
        <w:rFonts w:ascii="Courier New" w:hAnsi="Courier New" w:cs="Courier New" w:hint="default"/>
      </w:rPr>
    </w:lvl>
    <w:lvl w:ilvl="2" w:tplc="18090005" w:tentative="1">
      <w:start w:val="1"/>
      <w:numFmt w:val="bullet"/>
      <w:lvlText w:val=""/>
      <w:lvlJc w:val="left"/>
      <w:pPr>
        <w:ind w:left="3341" w:hanging="360"/>
      </w:pPr>
      <w:rPr>
        <w:rFonts w:ascii="Wingdings" w:hAnsi="Wingdings" w:hint="default"/>
      </w:rPr>
    </w:lvl>
    <w:lvl w:ilvl="3" w:tplc="18090001" w:tentative="1">
      <w:start w:val="1"/>
      <w:numFmt w:val="bullet"/>
      <w:lvlText w:val=""/>
      <w:lvlJc w:val="left"/>
      <w:pPr>
        <w:ind w:left="4061" w:hanging="360"/>
      </w:pPr>
      <w:rPr>
        <w:rFonts w:ascii="Symbol" w:hAnsi="Symbol" w:hint="default"/>
      </w:rPr>
    </w:lvl>
    <w:lvl w:ilvl="4" w:tplc="18090003" w:tentative="1">
      <w:start w:val="1"/>
      <w:numFmt w:val="bullet"/>
      <w:lvlText w:val="o"/>
      <w:lvlJc w:val="left"/>
      <w:pPr>
        <w:ind w:left="4781" w:hanging="360"/>
      </w:pPr>
      <w:rPr>
        <w:rFonts w:ascii="Courier New" w:hAnsi="Courier New" w:cs="Courier New" w:hint="default"/>
      </w:rPr>
    </w:lvl>
    <w:lvl w:ilvl="5" w:tplc="18090005" w:tentative="1">
      <w:start w:val="1"/>
      <w:numFmt w:val="bullet"/>
      <w:lvlText w:val=""/>
      <w:lvlJc w:val="left"/>
      <w:pPr>
        <w:ind w:left="5501" w:hanging="360"/>
      </w:pPr>
      <w:rPr>
        <w:rFonts w:ascii="Wingdings" w:hAnsi="Wingdings" w:hint="default"/>
      </w:rPr>
    </w:lvl>
    <w:lvl w:ilvl="6" w:tplc="18090001" w:tentative="1">
      <w:start w:val="1"/>
      <w:numFmt w:val="bullet"/>
      <w:lvlText w:val=""/>
      <w:lvlJc w:val="left"/>
      <w:pPr>
        <w:ind w:left="6221" w:hanging="360"/>
      </w:pPr>
      <w:rPr>
        <w:rFonts w:ascii="Symbol" w:hAnsi="Symbol" w:hint="default"/>
      </w:rPr>
    </w:lvl>
    <w:lvl w:ilvl="7" w:tplc="18090003" w:tentative="1">
      <w:start w:val="1"/>
      <w:numFmt w:val="bullet"/>
      <w:lvlText w:val="o"/>
      <w:lvlJc w:val="left"/>
      <w:pPr>
        <w:ind w:left="6941" w:hanging="360"/>
      </w:pPr>
      <w:rPr>
        <w:rFonts w:ascii="Courier New" w:hAnsi="Courier New" w:cs="Courier New" w:hint="default"/>
      </w:rPr>
    </w:lvl>
    <w:lvl w:ilvl="8" w:tplc="18090005" w:tentative="1">
      <w:start w:val="1"/>
      <w:numFmt w:val="bullet"/>
      <w:lvlText w:val=""/>
      <w:lvlJc w:val="left"/>
      <w:pPr>
        <w:ind w:left="7661" w:hanging="360"/>
      </w:pPr>
      <w:rPr>
        <w:rFonts w:ascii="Wingdings" w:hAnsi="Wingdings" w:hint="default"/>
      </w:rPr>
    </w:lvl>
  </w:abstractNum>
  <w:abstractNum w:abstractNumId="14" w15:restartNumberingAfterBreak="0">
    <w:nsid w:val="49F50748"/>
    <w:multiLevelType w:val="hybridMultilevel"/>
    <w:tmpl w:val="0690015A"/>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5" w15:restartNumberingAfterBreak="0">
    <w:nsid w:val="50214197"/>
    <w:multiLevelType w:val="hybridMultilevel"/>
    <w:tmpl w:val="EA545148"/>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6" w15:restartNumberingAfterBreak="0">
    <w:nsid w:val="50422E08"/>
    <w:multiLevelType w:val="hybridMultilevel"/>
    <w:tmpl w:val="6FF8DD2C"/>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7" w15:restartNumberingAfterBreak="0">
    <w:nsid w:val="592D5696"/>
    <w:multiLevelType w:val="hybridMultilevel"/>
    <w:tmpl w:val="E0DE1FA8"/>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18" w15:restartNumberingAfterBreak="0">
    <w:nsid w:val="5BBE4AA6"/>
    <w:multiLevelType w:val="hybridMultilevel"/>
    <w:tmpl w:val="1D2694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C7F3C62"/>
    <w:multiLevelType w:val="hybridMultilevel"/>
    <w:tmpl w:val="98DCA396"/>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0" w15:restartNumberingAfterBreak="0">
    <w:nsid w:val="5F6027EF"/>
    <w:multiLevelType w:val="hybridMultilevel"/>
    <w:tmpl w:val="500C632A"/>
    <w:lvl w:ilvl="0" w:tplc="5EAA20BE">
      <w:numFmt w:val="bullet"/>
      <w:lvlText w:val="•"/>
      <w:lvlJc w:val="left"/>
      <w:pPr>
        <w:ind w:left="1854" w:hanging="360"/>
      </w:pPr>
      <w:rPr>
        <w:rFonts w:ascii="Times New Roman" w:eastAsia="Times New Roman" w:hAnsi="Times New Roman" w:cs="Times New Roman"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1" w15:restartNumberingAfterBreak="0">
    <w:nsid w:val="60207CF1"/>
    <w:multiLevelType w:val="hybridMultilevel"/>
    <w:tmpl w:val="F8987B5A"/>
    <w:lvl w:ilvl="0" w:tplc="18090001">
      <w:start w:val="1"/>
      <w:numFmt w:val="bullet"/>
      <w:lvlText w:val=""/>
      <w:lvlJc w:val="left"/>
      <w:pPr>
        <w:ind w:left="1494" w:hanging="360"/>
      </w:pPr>
      <w:rPr>
        <w:rFonts w:ascii="Symbol" w:hAnsi="Symbol" w:hint="default"/>
      </w:rPr>
    </w:lvl>
    <w:lvl w:ilvl="1" w:tplc="18090003" w:tentative="1">
      <w:start w:val="1"/>
      <w:numFmt w:val="bullet"/>
      <w:lvlText w:val="o"/>
      <w:lvlJc w:val="left"/>
      <w:pPr>
        <w:ind w:left="2214" w:hanging="360"/>
      </w:pPr>
      <w:rPr>
        <w:rFonts w:ascii="Courier New" w:hAnsi="Courier New" w:cs="Courier New" w:hint="default"/>
      </w:rPr>
    </w:lvl>
    <w:lvl w:ilvl="2" w:tplc="18090005" w:tentative="1">
      <w:start w:val="1"/>
      <w:numFmt w:val="bullet"/>
      <w:lvlText w:val=""/>
      <w:lvlJc w:val="left"/>
      <w:pPr>
        <w:ind w:left="2934" w:hanging="360"/>
      </w:pPr>
      <w:rPr>
        <w:rFonts w:ascii="Wingdings" w:hAnsi="Wingdings" w:hint="default"/>
      </w:rPr>
    </w:lvl>
    <w:lvl w:ilvl="3" w:tplc="18090001" w:tentative="1">
      <w:start w:val="1"/>
      <w:numFmt w:val="bullet"/>
      <w:lvlText w:val=""/>
      <w:lvlJc w:val="left"/>
      <w:pPr>
        <w:ind w:left="3654" w:hanging="360"/>
      </w:pPr>
      <w:rPr>
        <w:rFonts w:ascii="Symbol" w:hAnsi="Symbol" w:hint="default"/>
      </w:rPr>
    </w:lvl>
    <w:lvl w:ilvl="4" w:tplc="18090003" w:tentative="1">
      <w:start w:val="1"/>
      <w:numFmt w:val="bullet"/>
      <w:lvlText w:val="o"/>
      <w:lvlJc w:val="left"/>
      <w:pPr>
        <w:ind w:left="4374" w:hanging="360"/>
      </w:pPr>
      <w:rPr>
        <w:rFonts w:ascii="Courier New" w:hAnsi="Courier New" w:cs="Courier New" w:hint="default"/>
      </w:rPr>
    </w:lvl>
    <w:lvl w:ilvl="5" w:tplc="18090005" w:tentative="1">
      <w:start w:val="1"/>
      <w:numFmt w:val="bullet"/>
      <w:lvlText w:val=""/>
      <w:lvlJc w:val="left"/>
      <w:pPr>
        <w:ind w:left="5094" w:hanging="360"/>
      </w:pPr>
      <w:rPr>
        <w:rFonts w:ascii="Wingdings" w:hAnsi="Wingdings" w:hint="default"/>
      </w:rPr>
    </w:lvl>
    <w:lvl w:ilvl="6" w:tplc="18090001" w:tentative="1">
      <w:start w:val="1"/>
      <w:numFmt w:val="bullet"/>
      <w:lvlText w:val=""/>
      <w:lvlJc w:val="left"/>
      <w:pPr>
        <w:ind w:left="5814" w:hanging="360"/>
      </w:pPr>
      <w:rPr>
        <w:rFonts w:ascii="Symbol" w:hAnsi="Symbol" w:hint="default"/>
      </w:rPr>
    </w:lvl>
    <w:lvl w:ilvl="7" w:tplc="18090003" w:tentative="1">
      <w:start w:val="1"/>
      <w:numFmt w:val="bullet"/>
      <w:lvlText w:val="o"/>
      <w:lvlJc w:val="left"/>
      <w:pPr>
        <w:ind w:left="6534" w:hanging="360"/>
      </w:pPr>
      <w:rPr>
        <w:rFonts w:ascii="Courier New" w:hAnsi="Courier New" w:cs="Courier New" w:hint="default"/>
      </w:rPr>
    </w:lvl>
    <w:lvl w:ilvl="8" w:tplc="18090005" w:tentative="1">
      <w:start w:val="1"/>
      <w:numFmt w:val="bullet"/>
      <w:lvlText w:val=""/>
      <w:lvlJc w:val="left"/>
      <w:pPr>
        <w:ind w:left="7254" w:hanging="360"/>
      </w:pPr>
      <w:rPr>
        <w:rFonts w:ascii="Wingdings" w:hAnsi="Wingdings" w:hint="default"/>
      </w:rPr>
    </w:lvl>
  </w:abstractNum>
  <w:abstractNum w:abstractNumId="22" w15:restartNumberingAfterBreak="0">
    <w:nsid w:val="61140F3E"/>
    <w:multiLevelType w:val="hybridMultilevel"/>
    <w:tmpl w:val="BA5021BC"/>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BB1E49"/>
    <w:multiLevelType w:val="hybridMultilevel"/>
    <w:tmpl w:val="20A0DBA0"/>
    <w:lvl w:ilvl="0" w:tplc="5EAA20BE">
      <w:numFmt w:val="bullet"/>
      <w:lvlText w:val="•"/>
      <w:lvlJc w:val="left"/>
      <w:pPr>
        <w:ind w:left="1854" w:hanging="360"/>
      </w:pPr>
      <w:rPr>
        <w:rFonts w:ascii="Times New Roman" w:eastAsia="Times New Roman" w:hAnsi="Times New Roman" w:cs="Times New Roman"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5" w15:restartNumberingAfterBreak="0">
    <w:nsid w:val="6FB968A0"/>
    <w:multiLevelType w:val="hybridMultilevel"/>
    <w:tmpl w:val="237E2498"/>
    <w:lvl w:ilvl="0" w:tplc="5EAA20BE">
      <w:numFmt w:val="bullet"/>
      <w:lvlText w:val="•"/>
      <w:lvlJc w:val="left"/>
      <w:pPr>
        <w:ind w:left="1778" w:hanging="360"/>
      </w:pPr>
      <w:rPr>
        <w:rFonts w:ascii="Times New Roman" w:eastAsia="Times New Roman" w:hAnsi="Times New Roman" w:cs="Times New Roman"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26" w15:restartNumberingAfterBreak="0">
    <w:nsid w:val="71673A4C"/>
    <w:multiLevelType w:val="hybridMultilevel"/>
    <w:tmpl w:val="6464D382"/>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7" w15:restartNumberingAfterBreak="0">
    <w:nsid w:val="746D5D8B"/>
    <w:multiLevelType w:val="hybridMultilevel"/>
    <w:tmpl w:val="DBCA76FC"/>
    <w:lvl w:ilvl="0" w:tplc="5EAA20BE">
      <w:numFmt w:val="bullet"/>
      <w:lvlText w:val="•"/>
      <w:lvlJc w:val="left"/>
      <w:pPr>
        <w:ind w:left="1854" w:hanging="360"/>
      </w:pPr>
      <w:rPr>
        <w:rFonts w:ascii="Times New Roman" w:eastAsia="Times New Roman" w:hAnsi="Times New Roman" w:cs="Times New Roman"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8" w15:restartNumberingAfterBreak="0">
    <w:nsid w:val="79FC184C"/>
    <w:multiLevelType w:val="hybridMultilevel"/>
    <w:tmpl w:val="7DC20ADA"/>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29" w15:restartNumberingAfterBreak="0">
    <w:nsid w:val="7AB82D22"/>
    <w:multiLevelType w:val="hybridMultilevel"/>
    <w:tmpl w:val="69822690"/>
    <w:lvl w:ilvl="0" w:tplc="5EAA20BE">
      <w:numFmt w:val="bullet"/>
      <w:lvlText w:val="•"/>
      <w:lvlJc w:val="left"/>
      <w:pPr>
        <w:ind w:left="1854" w:hanging="360"/>
      </w:pPr>
      <w:rPr>
        <w:rFonts w:ascii="Times New Roman" w:eastAsia="Times New Roman" w:hAnsi="Times New Roman" w:cs="Times New Roman"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30" w15:restartNumberingAfterBreak="0">
    <w:nsid w:val="7D450B47"/>
    <w:multiLevelType w:val="hybridMultilevel"/>
    <w:tmpl w:val="C4B6ED8A"/>
    <w:lvl w:ilvl="0" w:tplc="5EAA20BE">
      <w:numFmt w:val="bullet"/>
      <w:lvlText w:val="•"/>
      <w:lvlJc w:val="left"/>
      <w:pPr>
        <w:ind w:left="1854" w:hanging="360"/>
      </w:pPr>
      <w:rPr>
        <w:rFonts w:ascii="Times New Roman" w:eastAsia="Times New Roman" w:hAnsi="Times New Roman" w:cs="Times New Roman"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31" w15:restartNumberingAfterBreak="0">
    <w:nsid w:val="7DDF1E3E"/>
    <w:multiLevelType w:val="hybridMultilevel"/>
    <w:tmpl w:val="AED0EB94"/>
    <w:lvl w:ilvl="0" w:tplc="603EB686">
      <w:start w:val="1"/>
      <w:numFmt w:val="lowerLetter"/>
      <w:lvlText w:val="(%1)"/>
      <w:lvlJc w:val="left"/>
      <w:pPr>
        <w:ind w:left="1494" w:hanging="360"/>
      </w:pPr>
      <w:rPr>
        <w:rFonts w:hint="default"/>
      </w:rPr>
    </w:lvl>
    <w:lvl w:ilvl="1" w:tplc="18090019" w:tentative="1">
      <w:start w:val="1"/>
      <w:numFmt w:val="lowerLetter"/>
      <w:lvlText w:val="%2."/>
      <w:lvlJc w:val="left"/>
      <w:pPr>
        <w:ind w:left="2214" w:hanging="360"/>
      </w:pPr>
    </w:lvl>
    <w:lvl w:ilvl="2" w:tplc="1809001B" w:tentative="1">
      <w:start w:val="1"/>
      <w:numFmt w:val="lowerRoman"/>
      <w:lvlText w:val="%3."/>
      <w:lvlJc w:val="right"/>
      <w:pPr>
        <w:ind w:left="2934" w:hanging="180"/>
      </w:pPr>
    </w:lvl>
    <w:lvl w:ilvl="3" w:tplc="1809000F" w:tentative="1">
      <w:start w:val="1"/>
      <w:numFmt w:val="decimal"/>
      <w:lvlText w:val="%4."/>
      <w:lvlJc w:val="left"/>
      <w:pPr>
        <w:ind w:left="3654" w:hanging="360"/>
      </w:pPr>
    </w:lvl>
    <w:lvl w:ilvl="4" w:tplc="18090019" w:tentative="1">
      <w:start w:val="1"/>
      <w:numFmt w:val="lowerLetter"/>
      <w:lvlText w:val="%5."/>
      <w:lvlJc w:val="left"/>
      <w:pPr>
        <w:ind w:left="4374" w:hanging="360"/>
      </w:pPr>
    </w:lvl>
    <w:lvl w:ilvl="5" w:tplc="1809001B" w:tentative="1">
      <w:start w:val="1"/>
      <w:numFmt w:val="lowerRoman"/>
      <w:lvlText w:val="%6."/>
      <w:lvlJc w:val="right"/>
      <w:pPr>
        <w:ind w:left="5094" w:hanging="180"/>
      </w:pPr>
    </w:lvl>
    <w:lvl w:ilvl="6" w:tplc="1809000F" w:tentative="1">
      <w:start w:val="1"/>
      <w:numFmt w:val="decimal"/>
      <w:lvlText w:val="%7."/>
      <w:lvlJc w:val="left"/>
      <w:pPr>
        <w:ind w:left="5814" w:hanging="360"/>
      </w:pPr>
    </w:lvl>
    <w:lvl w:ilvl="7" w:tplc="18090019" w:tentative="1">
      <w:start w:val="1"/>
      <w:numFmt w:val="lowerLetter"/>
      <w:lvlText w:val="%8."/>
      <w:lvlJc w:val="left"/>
      <w:pPr>
        <w:ind w:left="6534" w:hanging="360"/>
      </w:pPr>
    </w:lvl>
    <w:lvl w:ilvl="8" w:tplc="1809001B" w:tentative="1">
      <w:start w:val="1"/>
      <w:numFmt w:val="lowerRoman"/>
      <w:lvlText w:val="%9."/>
      <w:lvlJc w:val="right"/>
      <w:pPr>
        <w:ind w:left="7254" w:hanging="180"/>
      </w:pPr>
    </w:lvl>
  </w:abstractNum>
  <w:num w:numId="1">
    <w:abstractNumId w:val="0"/>
  </w:num>
  <w:num w:numId="2">
    <w:abstractNumId w:val="23"/>
  </w:num>
  <w:num w:numId="3">
    <w:abstractNumId w:val="2"/>
  </w:num>
  <w:num w:numId="4">
    <w:abstractNumId w:val="21"/>
  </w:num>
  <w:num w:numId="5">
    <w:abstractNumId w:val="4"/>
  </w:num>
  <w:num w:numId="6">
    <w:abstractNumId w:val="5"/>
  </w:num>
  <w:num w:numId="7">
    <w:abstractNumId w:val="13"/>
  </w:num>
  <w:num w:numId="8">
    <w:abstractNumId w:val="16"/>
  </w:num>
  <w:num w:numId="9">
    <w:abstractNumId w:val="11"/>
  </w:num>
  <w:num w:numId="10">
    <w:abstractNumId w:val="18"/>
  </w:num>
  <w:num w:numId="11">
    <w:abstractNumId w:val="6"/>
  </w:num>
  <w:num w:numId="12">
    <w:abstractNumId w:val="3"/>
  </w:num>
  <w:num w:numId="13">
    <w:abstractNumId w:val="15"/>
  </w:num>
  <w:num w:numId="14">
    <w:abstractNumId w:val="8"/>
  </w:num>
  <w:num w:numId="15">
    <w:abstractNumId w:val="12"/>
  </w:num>
  <w:num w:numId="16">
    <w:abstractNumId w:val="25"/>
  </w:num>
  <w:num w:numId="17">
    <w:abstractNumId w:val="29"/>
  </w:num>
  <w:num w:numId="18">
    <w:abstractNumId w:val="27"/>
  </w:num>
  <w:num w:numId="19">
    <w:abstractNumId w:val="20"/>
  </w:num>
  <w:num w:numId="20">
    <w:abstractNumId w:val="30"/>
  </w:num>
  <w:num w:numId="21">
    <w:abstractNumId w:val="1"/>
  </w:num>
  <w:num w:numId="22">
    <w:abstractNumId w:val="24"/>
  </w:num>
  <w:num w:numId="23">
    <w:abstractNumId w:val="25"/>
  </w:num>
  <w:num w:numId="24">
    <w:abstractNumId w:val="19"/>
  </w:num>
  <w:num w:numId="25">
    <w:abstractNumId w:val="31"/>
  </w:num>
  <w:num w:numId="26">
    <w:abstractNumId w:val="22"/>
  </w:num>
  <w:num w:numId="27">
    <w:abstractNumId w:val="9"/>
  </w:num>
  <w:num w:numId="28">
    <w:abstractNumId w:val="28"/>
  </w:num>
  <w:num w:numId="29">
    <w:abstractNumId w:val="14"/>
  </w:num>
  <w:num w:numId="30">
    <w:abstractNumId w:val="7"/>
  </w:num>
  <w:num w:numId="31">
    <w:abstractNumId w:val="10"/>
  </w:num>
  <w:num w:numId="32">
    <w:abstractNumId w:val="26"/>
  </w:num>
  <w:num w:numId="33">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A09"/>
    <w:rsid w:val="000013C2"/>
    <w:rsid w:val="00004F02"/>
    <w:rsid w:val="00007CD0"/>
    <w:rsid w:val="000231A6"/>
    <w:rsid w:val="00023FE8"/>
    <w:rsid w:val="00024E88"/>
    <w:rsid w:val="00025EA2"/>
    <w:rsid w:val="000274DC"/>
    <w:rsid w:val="00040464"/>
    <w:rsid w:val="00044CB1"/>
    <w:rsid w:val="000522C5"/>
    <w:rsid w:val="00054267"/>
    <w:rsid w:val="0005597F"/>
    <w:rsid w:val="00056F2A"/>
    <w:rsid w:val="0006295F"/>
    <w:rsid w:val="00071D6B"/>
    <w:rsid w:val="0007315D"/>
    <w:rsid w:val="000800B9"/>
    <w:rsid w:val="000810BB"/>
    <w:rsid w:val="00081231"/>
    <w:rsid w:val="00086E77"/>
    <w:rsid w:val="000A136F"/>
    <w:rsid w:val="000B6EB7"/>
    <w:rsid w:val="000C1015"/>
    <w:rsid w:val="000C1BA7"/>
    <w:rsid w:val="000C1E93"/>
    <w:rsid w:val="000C2052"/>
    <w:rsid w:val="000C7158"/>
    <w:rsid w:val="000D3BFC"/>
    <w:rsid w:val="000D6C96"/>
    <w:rsid w:val="000E65A3"/>
    <w:rsid w:val="000F17D7"/>
    <w:rsid w:val="000F2FE9"/>
    <w:rsid w:val="0010190A"/>
    <w:rsid w:val="00111663"/>
    <w:rsid w:val="00126090"/>
    <w:rsid w:val="00132A99"/>
    <w:rsid w:val="001331BC"/>
    <w:rsid w:val="0014029D"/>
    <w:rsid w:val="00143F6E"/>
    <w:rsid w:val="00153A75"/>
    <w:rsid w:val="00156A50"/>
    <w:rsid w:val="00173A23"/>
    <w:rsid w:val="00174D75"/>
    <w:rsid w:val="00176616"/>
    <w:rsid w:val="00192798"/>
    <w:rsid w:val="001A32D6"/>
    <w:rsid w:val="001B038F"/>
    <w:rsid w:val="001B079D"/>
    <w:rsid w:val="001B149B"/>
    <w:rsid w:val="001B736F"/>
    <w:rsid w:val="001B77D2"/>
    <w:rsid w:val="001C16BF"/>
    <w:rsid w:val="001E0677"/>
    <w:rsid w:val="001E1532"/>
    <w:rsid w:val="001E6C1A"/>
    <w:rsid w:val="00200CEC"/>
    <w:rsid w:val="00201433"/>
    <w:rsid w:val="00217D48"/>
    <w:rsid w:val="002209A8"/>
    <w:rsid w:val="00224E90"/>
    <w:rsid w:val="0022543A"/>
    <w:rsid w:val="0022583E"/>
    <w:rsid w:val="0023056D"/>
    <w:rsid w:val="00233351"/>
    <w:rsid w:val="002414C5"/>
    <w:rsid w:val="00241891"/>
    <w:rsid w:val="002477AE"/>
    <w:rsid w:val="00256796"/>
    <w:rsid w:val="00263E05"/>
    <w:rsid w:val="0026460C"/>
    <w:rsid w:val="002651E9"/>
    <w:rsid w:val="0027653C"/>
    <w:rsid w:val="002810AB"/>
    <w:rsid w:val="00281C5D"/>
    <w:rsid w:val="0029012C"/>
    <w:rsid w:val="00293C7B"/>
    <w:rsid w:val="00294DF5"/>
    <w:rsid w:val="002A1AA0"/>
    <w:rsid w:val="002A2276"/>
    <w:rsid w:val="002A3164"/>
    <w:rsid w:val="002B0535"/>
    <w:rsid w:val="002B1DB5"/>
    <w:rsid w:val="002B4C32"/>
    <w:rsid w:val="002C23D5"/>
    <w:rsid w:val="002C3CB9"/>
    <w:rsid w:val="002D24EE"/>
    <w:rsid w:val="002F3A62"/>
    <w:rsid w:val="002F3B0B"/>
    <w:rsid w:val="0030514D"/>
    <w:rsid w:val="00310558"/>
    <w:rsid w:val="00317CAA"/>
    <w:rsid w:val="00321BB8"/>
    <w:rsid w:val="00326ABC"/>
    <w:rsid w:val="00340014"/>
    <w:rsid w:val="00343D34"/>
    <w:rsid w:val="0034447D"/>
    <w:rsid w:val="00345B0A"/>
    <w:rsid w:val="003467FB"/>
    <w:rsid w:val="00354CE8"/>
    <w:rsid w:val="00357F02"/>
    <w:rsid w:val="003663B6"/>
    <w:rsid w:val="00367345"/>
    <w:rsid w:val="003675BB"/>
    <w:rsid w:val="00367829"/>
    <w:rsid w:val="00371FDA"/>
    <w:rsid w:val="00381F09"/>
    <w:rsid w:val="00386B94"/>
    <w:rsid w:val="003934E8"/>
    <w:rsid w:val="003940DA"/>
    <w:rsid w:val="00394790"/>
    <w:rsid w:val="003A1435"/>
    <w:rsid w:val="003A343E"/>
    <w:rsid w:val="003A541F"/>
    <w:rsid w:val="003A6E8F"/>
    <w:rsid w:val="003B40FA"/>
    <w:rsid w:val="003C4F60"/>
    <w:rsid w:val="003C5A9E"/>
    <w:rsid w:val="003C7FA1"/>
    <w:rsid w:val="003D1A41"/>
    <w:rsid w:val="003D3D14"/>
    <w:rsid w:val="003D5309"/>
    <w:rsid w:val="003D624E"/>
    <w:rsid w:val="003E0B03"/>
    <w:rsid w:val="003E1015"/>
    <w:rsid w:val="003F2A37"/>
    <w:rsid w:val="003F6F57"/>
    <w:rsid w:val="00404587"/>
    <w:rsid w:val="00413A51"/>
    <w:rsid w:val="004149F4"/>
    <w:rsid w:val="00417AAE"/>
    <w:rsid w:val="00420C3F"/>
    <w:rsid w:val="00422942"/>
    <w:rsid w:val="00425BF0"/>
    <w:rsid w:val="004325F3"/>
    <w:rsid w:val="00441994"/>
    <w:rsid w:val="004516AA"/>
    <w:rsid w:val="004516D0"/>
    <w:rsid w:val="00457495"/>
    <w:rsid w:val="0046381D"/>
    <w:rsid w:val="004728B9"/>
    <w:rsid w:val="00481936"/>
    <w:rsid w:val="00481C8A"/>
    <w:rsid w:val="00486E59"/>
    <w:rsid w:val="004A7FDC"/>
    <w:rsid w:val="004B11AC"/>
    <w:rsid w:val="004B6430"/>
    <w:rsid w:val="004C04F0"/>
    <w:rsid w:val="004C57CD"/>
    <w:rsid w:val="004C64F1"/>
    <w:rsid w:val="004C6727"/>
    <w:rsid w:val="004D313B"/>
    <w:rsid w:val="004E4CD5"/>
    <w:rsid w:val="004E7FD3"/>
    <w:rsid w:val="004F075D"/>
    <w:rsid w:val="004F3F62"/>
    <w:rsid w:val="0050037C"/>
    <w:rsid w:val="005014CF"/>
    <w:rsid w:val="0050167A"/>
    <w:rsid w:val="00503AFA"/>
    <w:rsid w:val="00504547"/>
    <w:rsid w:val="00504AE4"/>
    <w:rsid w:val="0051248D"/>
    <w:rsid w:val="0052725A"/>
    <w:rsid w:val="005325A8"/>
    <w:rsid w:val="00532EDC"/>
    <w:rsid w:val="00542FD4"/>
    <w:rsid w:val="00552AA8"/>
    <w:rsid w:val="00555824"/>
    <w:rsid w:val="005609E5"/>
    <w:rsid w:val="00561F51"/>
    <w:rsid w:val="005663AB"/>
    <w:rsid w:val="00567057"/>
    <w:rsid w:val="00567371"/>
    <w:rsid w:val="00570CE3"/>
    <w:rsid w:val="005716F2"/>
    <w:rsid w:val="005728FD"/>
    <w:rsid w:val="00572AF3"/>
    <w:rsid w:val="0058440E"/>
    <w:rsid w:val="005920A6"/>
    <w:rsid w:val="00593635"/>
    <w:rsid w:val="005950E3"/>
    <w:rsid w:val="005A1907"/>
    <w:rsid w:val="005A5518"/>
    <w:rsid w:val="005A5547"/>
    <w:rsid w:val="005B3279"/>
    <w:rsid w:val="005B40D1"/>
    <w:rsid w:val="005B52EA"/>
    <w:rsid w:val="005D37DD"/>
    <w:rsid w:val="005E512D"/>
    <w:rsid w:val="005E7E1C"/>
    <w:rsid w:val="005F2929"/>
    <w:rsid w:val="005F551A"/>
    <w:rsid w:val="005F60ED"/>
    <w:rsid w:val="005F6361"/>
    <w:rsid w:val="0060142A"/>
    <w:rsid w:val="00604CA3"/>
    <w:rsid w:val="00605B28"/>
    <w:rsid w:val="00605C13"/>
    <w:rsid w:val="00607E1A"/>
    <w:rsid w:val="00616EAB"/>
    <w:rsid w:val="00617C4E"/>
    <w:rsid w:val="00620388"/>
    <w:rsid w:val="00624B74"/>
    <w:rsid w:val="0062785A"/>
    <w:rsid w:val="00631B5E"/>
    <w:rsid w:val="0063456F"/>
    <w:rsid w:val="0065108D"/>
    <w:rsid w:val="00651985"/>
    <w:rsid w:val="00654C6C"/>
    <w:rsid w:val="006576B2"/>
    <w:rsid w:val="00666782"/>
    <w:rsid w:val="0067214B"/>
    <w:rsid w:val="00672705"/>
    <w:rsid w:val="006731C1"/>
    <w:rsid w:val="00674EC9"/>
    <w:rsid w:val="0067534B"/>
    <w:rsid w:val="00675E15"/>
    <w:rsid w:val="00681028"/>
    <w:rsid w:val="00681CD2"/>
    <w:rsid w:val="00687F86"/>
    <w:rsid w:val="00690B93"/>
    <w:rsid w:val="006A0D46"/>
    <w:rsid w:val="006A2E39"/>
    <w:rsid w:val="006A2F1D"/>
    <w:rsid w:val="006B762D"/>
    <w:rsid w:val="006C7ED7"/>
    <w:rsid w:val="006C7FC2"/>
    <w:rsid w:val="006D13C8"/>
    <w:rsid w:val="006D19BE"/>
    <w:rsid w:val="006D2838"/>
    <w:rsid w:val="006D5357"/>
    <w:rsid w:val="006D6421"/>
    <w:rsid w:val="006D702A"/>
    <w:rsid w:val="006E3435"/>
    <w:rsid w:val="006E415A"/>
    <w:rsid w:val="006F4ACA"/>
    <w:rsid w:val="007074F3"/>
    <w:rsid w:val="00712D43"/>
    <w:rsid w:val="00714C86"/>
    <w:rsid w:val="007154C1"/>
    <w:rsid w:val="00723276"/>
    <w:rsid w:val="007274FD"/>
    <w:rsid w:val="00727834"/>
    <w:rsid w:val="00727E17"/>
    <w:rsid w:val="00730DCB"/>
    <w:rsid w:val="00731FF5"/>
    <w:rsid w:val="00736755"/>
    <w:rsid w:val="007531C9"/>
    <w:rsid w:val="00757F82"/>
    <w:rsid w:val="0076038E"/>
    <w:rsid w:val="00767D76"/>
    <w:rsid w:val="007716EB"/>
    <w:rsid w:val="00782475"/>
    <w:rsid w:val="00784053"/>
    <w:rsid w:val="00784BB1"/>
    <w:rsid w:val="00785DDD"/>
    <w:rsid w:val="00786777"/>
    <w:rsid w:val="007A1A09"/>
    <w:rsid w:val="007A3271"/>
    <w:rsid w:val="007B0178"/>
    <w:rsid w:val="007B0699"/>
    <w:rsid w:val="007B58D9"/>
    <w:rsid w:val="007B5D9F"/>
    <w:rsid w:val="007D0DF9"/>
    <w:rsid w:val="007D2D81"/>
    <w:rsid w:val="007D2DF5"/>
    <w:rsid w:val="007D790B"/>
    <w:rsid w:val="007E4F95"/>
    <w:rsid w:val="007F53DC"/>
    <w:rsid w:val="00803BD0"/>
    <w:rsid w:val="00805576"/>
    <w:rsid w:val="008078A5"/>
    <w:rsid w:val="00816F75"/>
    <w:rsid w:val="008268DD"/>
    <w:rsid w:val="00826952"/>
    <w:rsid w:val="00830567"/>
    <w:rsid w:val="00831F7B"/>
    <w:rsid w:val="008353D3"/>
    <w:rsid w:val="00835C69"/>
    <w:rsid w:val="00843815"/>
    <w:rsid w:val="00845710"/>
    <w:rsid w:val="00846A56"/>
    <w:rsid w:val="00853CDA"/>
    <w:rsid w:val="00856DBC"/>
    <w:rsid w:val="0086349F"/>
    <w:rsid w:val="00864309"/>
    <w:rsid w:val="00865813"/>
    <w:rsid w:val="00875A7D"/>
    <w:rsid w:val="00876A21"/>
    <w:rsid w:val="008864C2"/>
    <w:rsid w:val="0089147A"/>
    <w:rsid w:val="00893C58"/>
    <w:rsid w:val="0089612A"/>
    <w:rsid w:val="008B59C7"/>
    <w:rsid w:val="008B59C9"/>
    <w:rsid w:val="008D77A5"/>
    <w:rsid w:val="00900918"/>
    <w:rsid w:val="00913882"/>
    <w:rsid w:val="009204F4"/>
    <w:rsid w:val="00921387"/>
    <w:rsid w:val="00921E1C"/>
    <w:rsid w:val="00923CD6"/>
    <w:rsid w:val="00923DAF"/>
    <w:rsid w:val="0092527C"/>
    <w:rsid w:val="0093466F"/>
    <w:rsid w:val="0095530F"/>
    <w:rsid w:val="00955B79"/>
    <w:rsid w:val="009714E0"/>
    <w:rsid w:val="00971CD0"/>
    <w:rsid w:val="00973321"/>
    <w:rsid w:val="009907A1"/>
    <w:rsid w:val="00990BA9"/>
    <w:rsid w:val="00991361"/>
    <w:rsid w:val="009A0C04"/>
    <w:rsid w:val="009A57DC"/>
    <w:rsid w:val="009B1FAC"/>
    <w:rsid w:val="009B2CE3"/>
    <w:rsid w:val="009B40E7"/>
    <w:rsid w:val="009C1A09"/>
    <w:rsid w:val="009C3C26"/>
    <w:rsid w:val="009D46ED"/>
    <w:rsid w:val="009E7C36"/>
    <w:rsid w:val="00A01BFD"/>
    <w:rsid w:val="00A027BB"/>
    <w:rsid w:val="00A13FCB"/>
    <w:rsid w:val="00A229C9"/>
    <w:rsid w:val="00A37CFE"/>
    <w:rsid w:val="00A4384A"/>
    <w:rsid w:val="00A4657B"/>
    <w:rsid w:val="00A52400"/>
    <w:rsid w:val="00A6511E"/>
    <w:rsid w:val="00A70CF8"/>
    <w:rsid w:val="00A75D85"/>
    <w:rsid w:val="00A8022E"/>
    <w:rsid w:val="00A802A1"/>
    <w:rsid w:val="00A8063F"/>
    <w:rsid w:val="00A8495A"/>
    <w:rsid w:val="00AB1C10"/>
    <w:rsid w:val="00AB36C0"/>
    <w:rsid w:val="00AC03A0"/>
    <w:rsid w:val="00AC72C1"/>
    <w:rsid w:val="00AE0C00"/>
    <w:rsid w:val="00AE5A09"/>
    <w:rsid w:val="00AE64BA"/>
    <w:rsid w:val="00B234BD"/>
    <w:rsid w:val="00B23DBF"/>
    <w:rsid w:val="00B25200"/>
    <w:rsid w:val="00B27D47"/>
    <w:rsid w:val="00B40F26"/>
    <w:rsid w:val="00B4318F"/>
    <w:rsid w:val="00B435A4"/>
    <w:rsid w:val="00B47C36"/>
    <w:rsid w:val="00B53CE4"/>
    <w:rsid w:val="00B54536"/>
    <w:rsid w:val="00B56A3E"/>
    <w:rsid w:val="00B662A4"/>
    <w:rsid w:val="00B764BD"/>
    <w:rsid w:val="00B77528"/>
    <w:rsid w:val="00B82D97"/>
    <w:rsid w:val="00B84412"/>
    <w:rsid w:val="00B85E01"/>
    <w:rsid w:val="00B9223B"/>
    <w:rsid w:val="00B95FB6"/>
    <w:rsid w:val="00BA04DB"/>
    <w:rsid w:val="00BA3258"/>
    <w:rsid w:val="00BA3C8E"/>
    <w:rsid w:val="00BA6F8D"/>
    <w:rsid w:val="00BA7CD8"/>
    <w:rsid w:val="00BB0F80"/>
    <w:rsid w:val="00BB140F"/>
    <w:rsid w:val="00BB3415"/>
    <w:rsid w:val="00BB5782"/>
    <w:rsid w:val="00BC49D9"/>
    <w:rsid w:val="00BC5CC0"/>
    <w:rsid w:val="00BD16DE"/>
    <w:rsid w:val="00BD302D"/>
    <w:rsid w:val="00BD5D51"/>
    <w:rsid w:val="00BE1DE3"/>
    <w:rsid w:val="00BE553D"/>
    <w:rsid w:val="00BF71F1"/>
    <w:rsid w:val="00C00231"/>
    <w:rsid w:val="00C01E56"/>
    <w:rsid w:val="00C04402"/>
    <w:rsid w:val="00C06E0A"/>
    <w:rsid w:val="00C14114"/>
    <w:rsid w:val="00C14846"/>
    <w:rsid w:val="00C16E7D"/>
    <w:rsid w:val="00C21F0C"/>
    <w:rsid w:val="00C25A7D"/>
    <w:rsid w:val="00C25B6E"/>
    <w:rsid w:val="00C32F0D"/>
    <w:rsid w:val="00C3414A"/>
    <w:rsid w:val="00C400A5"/>
    <w:rsid w:val="00C418E1"/>
    <w:rsid w:val="00C42D51"/>
    <w:rsid w:val="00C4667E"/>
    <w:rsid w:val="00C552A8"/>
    <w:rsid w:val="00C5657A"/>
    <w:rsid w:val="00C62CD4"/>
    <w:rsid w:val="00C63F3C"/>
    <w:rsid w:val="00C67E34"/>
    <w:rsid w:val="00C70679"/>
    <w:rsid w:val="00C81611"/>
    <w:rsid w:val="00C86BBD"/>
    <w:rsid w:val="00C912B1"/>
    <w:rsid w:val="00C926A0"/>
    <w:rsid w:val="00C9273D"/>
    <w:rsid w:val="00C94C7E"/>
    <w:rsid w:val="00C95460"/>
    <w:rsid w:val="00CA5918"/>
    <w:rsid w:val="00CA7FF5"/>
    <w:rsid w:val="00CB6CD6"/>
    <w:rsid w:val="00CC1F8C"/>
    <w:rsid w:val="00CC5B29"/>
    <w:rsid w:val="00CC6994"/>
    <w:rsid w:val="00CD0054"/>
    <w:rsid w:val="00CD77C3"/>
    <w:rsid w:val="00CE58B9"/>
    <w:rsid w:val="00CE66D7"/>
    <w:rsid w:val="00CF16DC"/>
    <w:rsid w:val="00D00CFE"/>
    <w:rsid w:val="00D01D08"/>
    <w:rsid w:val="00D036F8"/>
    <w:rsid w:val="00D06CA8"/>
    <w:rsid w:val="00D108EE"/>
    <w:rsid w:val="00D14800"/>
    <w:rsid w:val="00D26FAE"/>
    <w:rsid w:val="00D456B2"/>
    <w:rsid w:val="00D54C6E"/>
    <w:rsid w:val="00D63352"/>
    <w:rsid w:val="00D70D41"/>
    <w:rsid w:val="00D861D0"/>
    <w:rsid w:val="00D95531"/>
    <w:rsid w:val="00DB21A0"/>
    <w:rsid w:val="00DB3FA3"/>
    <w:rsid w:val="00DB4325"/>
    <w:rsid w:val="00DB597C"/>
    <w:rsid w:val="00DC0F69"/>
    <w:rsid w:val="00DD50F4"/>
    <w:rsid w:val="00DE7E9D"/>
    <w:rsid w:val="00DF1E41"/>
    <w:rsid w:val="00E00228"/>
    <w:rsid w:val="00E0394B"/>
    <w:rsid w:val="00E06250"/>
    <w:rsid w:val="00E14BA1"/>
    <w:rsid w:val="00E22246"/>
    <w:rsid w:val="00E22EEB"/>
    <w:rsid w:val="00E242F0"/>
    <w:rsid w:val="00E46618"/>
    <w:rsid w:val="00E47A86"/>
    <w:rsid w:val="00E60C00"/>
    <w:rsid w:val="00E642A6"/>
    <w:rsid w:val="00E6503D"/>
    <w:rsid w:val="00E6645E"/>
    <w:rsid w:val="00E70303"/>
    <w:rsid w:val="00E83487"/>
    <w:rsid w:val="00E853F8"/>
    <w:rsid w:val="00E914BF"/>
    <w:rsid w:val="00E925E3"/>
    <w:rsid w:val="00E92C0F"/>
    <w:rsid w:val="00E92CD2"/>
    <w:rsid w:val="00E932B2"/>
    <w:rsid w:val="00E963C9"/>
    <w:rsid w:val="00EA2FFF"/>
    <w:rsid w:val="00EA4D4D"/>
    <w:rsid w:val="00EB0818"/>
    <w:rsid w:val="00EB26B5"/>
    <w:rsid w:val="00EB78EE"/>
    <w:rsid w:val="00EB7D94"/>
    <w:rsid w:val="00EC26AF"/>
    <w:rsid w:val="00EC6275"/>
    <w:rsid w:val="00EC7246"/>
    <w:rsid w:val="00ED0CAB"/>
    <w:rsid w:val="00ED370A"/>
    <w:rsid w:val="00ED399D"/>
    <w:rsid w:val="00ED7106"/>
    <w:rsid w:val="00EE09D0"/>
    <w:rsid w:val="00EE3D0C"/>
    <w:rsid w:val="00EF2437"/>
    <w:rsid w:val="00EF29E4"/>
    <w:rsid w:val="00EF48FC"/>
    <w:rsid w:val="00F0061F"/>
    <w:rsid w:val="00F04914"/>
    <w:rsid w:val="00F14121"/>
    <w:rsid w:val="00F150F4"/>
    <w:rsid w:val="00F15789"/>
    <w:rsid w:val="00F16444"/>
    <w:rsid w:val="00F21FC8"/>
    <w:rsid w:val="00F41E95"/>
    <w:rsid w:val="00F430AC"/>
    <w:rsid w:val="00F47AB9"/>
    <w:rsid w:val="00F47CF5"/>
    <w:rsid w:val="00F50C54"/>
    <w:rsid w:val="00F50EF6"/>
    <w:rsid w:val="00F529FC"/>
    <w:rsid w:val="00F76E94"/>
    <w:rsid w:val="00F80975"/>
    <w:rsid w:val="00F8230A"/>
    <w:rsid w:val="00F84674"/>
    <w:rsid w:val="00F95AE1"/>
    <w:rsid w:val="00F95BDA"/>
    <w:rsid w:val="00F969AC"/>
    <w:rsid w:val="00F97E4F"/>
    <w:rsid w:val="00FA129F"/>
    <w:rsid w:val="00FA25F6"/>
    <w:rsid w:val="00FA61A4"/>
    <w:rsid w:val="00FC23FD"/>
    <w:rsid w:val="00FC3686"/>
    <w:rsid w:val="00FD207D"/>
    <w:rsid w:val="00FD380F"/>
    <w:rsid w:val="00FD59AE"/>
    <w:rsid w:val="00FD6C96"/>
    <w:rsid w:val="00FD7962"/>
    <w:rsid w:val="00FE1614"/>
    <w:rsid w:val="00FE61D5"/>
    <w:rsid w:val="00FE6D71"/>
    <w:rsid w:val="00FF0F6B"/>
    <w:rsid w:val="00FF4EB1"/>
    <w:rsid w:val="00FF70A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8939"/>
  <w15:chartTrackingRefBased/>
  <w15:docId w15:val="{F637B9B6-A2D1-46DC-AF10-5131EEA6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279"/>
    <w:pPr>
      <w:spacing w:after="0" w:line="240" w:lineRule="auto"/>
    </w:pPr>
    <w:rPr>
      <w:rFonts w:ascii="Times New Roman" w:eastAsia="Times New Roman" w:hAnsi="Times New Roman" w:cs="Times New Roman"/>
      <w:sz w:val="24"/>
      <w:szCs w:val="24"/>
      <w:lang w:eastAsia="en-IE"/>
    </w:rPr>
  </w:style>
  <w:style w:type="paragraph" w:styleId="Heading1">
    <w:name w:val="heading 1"/>
    <w:aliases w:val="Table_G"/>
    <w:basedOn w:val="SingleTxtG"/>
    <w:next w:val="SingleTxtG"/>
    <w:link w:val="Heading1Char"/>
    <w:qFormat/>
    <w:rsid w:val="00AE5A09"/>
    <w:pPr>
      <w:spacing w:after="0" w:line="240" w:lineRule="auto"/>
      <w:ind w:right="0"/>
      <w:jc w:val="left"/>
      <w:outlineLvl w:val="0"/>
    </w:pPr>
  </w:style>
  <w:style w:type="paragraph" w:styleId="Heading2">
    <w:name w:val="heading 2"/>
    <w:basedOn w:val="Normal"/>
    <w:next w:val="Normal"/>
    <w:link w:val="Heading2Char"/>
    <w:semiHidden/>
    <w:qFormat/>
    <w:rsid w:val="00AE5A09"/>
    <w:pPr>
      <w:suppressAutoHyphens/>
      <w:outlineLvl w:val="1"/>
    </w:pPr>
    <w:rPr>
      <w:sz w:val="20"/>
      <w:szCs w:val="20"/>
      <w:lang w:val="en-GB"/>
    </w:rPr>
  </w:style>
  <w:style w:type="paragraph" w:styleId="Heading3">
    <w:name w:val="heading 3"/>
    <w:basedOn w:val="Normal"/>
    <w:next w:val="Normal"/>
    <w:link w:val="Heading3Char"/>
    <w:semiHidden/>
    <w:qFormat/>
    <w:rsid w:val="00AE5A09"/>
    <w:pPr>
      <w:suppressAutoHyphens/>
      <w:outlineLvl w:val="2"/>
    </w:pPr>
    <w:rPr>
      <w:sz w:val="20"/>
      <w:szCs w:val="20"/>
      <w:lang w:val="en-GB"/>
    </w:rPr>
  </w:style>
  <w:style w:type="paragraph" w:styleId="Heading4">
    <w:name w:val="heading 4"/>
    <w:basedOn w:val="Normal"/>
    <w:next w:val="Normal"/>
    <w:link w:val="Heading4Char"/>
    <w:semiHidden/>
    <w:qFormat/>
    <w:rsid w:val="00AE5A09"/>
    <w:pPr>
      <w:suppressAutoHyphens/>
      <w:outlineLvl w:val="3"/>
    </w:pPr>
    <w:rPr>
      <w:sz w:val="20"/>
      <w:szCs w:val="20"/>
      <w:lang w:val="en-GB"/>
    </w:rPr>
  </w:style>
  <w:style w:type="paragraph" w:styleId="Heading5">
    <w:name w:val="heading 5"/>
    <w:basedOn w:val="Normal"/>
    <w:next w:val="Normal"/>
    <w:link w:val="Heading5Char"/>
    <w:semiHidden/>
    <w:qFormat/>
    <w:rsid w:val="00AE5A09"/>
    <w:pPr>
      <w:suppressAutoHyphens/>
      <w:outlineLvl w:val="4"/>
    </w:pPr>
    <w:rPr>
      <w:sz w:val="20"/>
      <w:szCs w:val="20"/>
      <w:lang w:val="en-GB"/>
    </w:rPr>
  </w:style>
  <w:style w:type="paragraph" w:styleId="Heading6">
    <w:name w:val="heading 6"/>
    <w:basedOn w:val="Normal"/>
    <w:next w:val="Normal"/>
    <w:link w:val="Heading6Char"/>
    <w:semiHidden/>
    <w:qFormat/>
    <w:rsid w:val="00AE5A09"/>
    <w:pPr>
      <w:suppressAutoHyphens/>
      <w:outlineLvl w:val="5"/>
    </w:pPr>
    <w:rPr>
      <w:sz w:val="20"/>
      <w:szCs w:val="20"/>
      <w:lang w:val="en-GB"/>
    </w:rPr>
  </w:style>
  <w:style w:type="paragraph" w:styleId="Heading7">
    <w:name w:val="heading 7"/>
    <w:basedOn w:val="Normal"/>
    <w:next w:val="Normal"/>
    <w:link w:val="Heading7Char"/>
    <w:semiHidden/>
    <w:qFormat/>
    <w:rsid w:val="00AE5A09"/>
    <w:pPr>
      <w:suppressAutoHyphens/>
      <w:outlineLvl w:val="6"/>
    </w:pPr>
    <w:rPr>
      <w:sz w:val="20"/>
      <w:szCs w:val="20"/>
      <w:lang w:val="en-GB"/>
    </w:rPr>
  </w:style>
  <w:style w:type="paragraph" w:styleId="Heading8">
    <w:name w:val="heading 8"/>
    <w:basedOn w:val="Normal"/>
    <w:next w:val="Normal"/>
    <w:link w:val="Heading8Char"/>
    <w:semiHidden/>
    <w:qFormat/>
    <w:rsid w:val="00AE5A09"/>
    <w:pPr>
      <w:suppressAutoHyphens/>
      <w:outlineLvl w:val="7"/>
    </w:pPr>
    <w:rPr>
      <w:sz w:val="20"/>
      <w:szCs w:val="20"/>
      <w:lang w:val="en-GB"/>
    </w:rPr>
  </w:style>
  <w:style w:type="paragraph" w:styleId="Heading9">
    <w:name w:val="heading 9"/>
    <w:basedOn w:val="Normal"/>
    <w:next w:val="Normal"/>
    <w:link w:val="Heading9Char"/>
    <w:semiHidden/>
    <w:qFormat/>
    <w:rsid w:val="00AE5A09"/>
    <w:pPr>
      <w:suppressAutoHyphens/>
      <w:outlineLvl w:val="8"/>
    </w:pPr>
    <w:rPr>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AE5A09"/>
    <w:rPr>
      <w:rFonts w:ascii="Times New Roman" w:eastAsia="Times New Roman" w:hAnsi="Times New Roman" w:cs="Times New Roman"/>
      <w:sz w:val="20"/>
      <w:szCs w:val="20"/>
      <w:lang w:val="en-GB"/>
    </w:rPr>
  </w:style>
  <w:style w:type="character" w:customStyle="1" w:styleId="Heading2Char">
    <w:name w:val="Heading 2 Char"/>
    <w:basedOn w:val="DefaultParagraphFont"/>
    <w:link w:val="Heading2"/>
    <w:semiHidden/>
    <w:rsid w:val="00AE5A09"/>
    <w:rPr>
      <w:rFonts w:ascii="Times New Roman" w:eastAsia="Times New Roman" w:hAnsi="Times New Roman" w:cs="Times New Roman"/>
      <w:sz w:val="20"/>
      <w:szCs w:val="20"/>
      <w:lang w:val="en-GB"/>
    </w:rPr>
  </w:style>
  <w:style w:type="character" w:customStyle="1" w:styleId="Heading3Char">
    <w:name w:val="Heading 3 Char"/>
    <w:basedOn w:val="DefaultParagraphFont"/>
    <w:link w:val="Heading3"/>
    <w:semiHidden/>
    <w:rsid w:val="00AE5A09"/>
    <w:rPr>
      <w:rFonts w:ascii="Times New Roman" w:eastAsia="Times New Roman" w:hAnsi="Times New Roman" w:cs="Times New Roman"/>
      <w:sz w:val="20"/>
      <w:szCs w:val="20"/>
      <w:lang w:val="en-GB"/>
    </w:rPr>
  </w:style>
  <w:style w:type="character" w:customStyle="1" w:styleId="Heading4Char">
    <w:name w:val="Heading 4 Char"/>
    <w:basedOn w:val="DefaultParagraphFont"/>
    <w:link w:val="Heading4"/>
    <w:semiHidden/>
    <w:rsid w:val="00AE5A09"/>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semiHidden/>
    <w:rsid w:val="00AE5A09"/>
    <w:rPr>
      <w:rFonts w:ascii="Times New Roman" w:eastAsia="Times New Roman" w:hAnsi="Times New Roman" w:cs="Times New Roman"/>
      <w:sz w:val="20"/>
      <w:szCs w:val="20"/>
      <w:lang w:val="en-GB"/>
    </w:rPr>
  </w:style>
  <w:style w:type="character" w:customStyle="1" w:styleId="Heading6Char">
    <w:name w:val="Heading 6 Char"/>
    <w:basedOn w:val="DefaultParagraphFont"/>
    <w:link w:val="Heading6"/>
    <w:semiHidden/>
    <w:rsid w:val="00AE5A09"/>
    <w:rPr>
      <w:rFonts w:ascii="Times New Roman" w:eastAsia="Times New Roman" w:hAnsi="Times New Roman" w:cs="Times New Roman"/>
      <w:sz w:val="20"/>
      <w:szCs w:val="20"/>
      <w:lang w:val="en-GB"/>
    </w:rPr>
  </w:style>
  <w:style w:type="character" w:customStyle="1" w:styleId="Heading7Char">
    <w:name w:val="Heading 7 Char"/>
    <w:basedOn w:val="DefaultParagraphFont"/>
    <w:link w:val="Heading7"/>
    <w:semiHidden/>
    <w:rsid w:val="00AE5A09"/>
    <w:rPr>
      <w:rFonts w:ascii="Times New Roman" w:eastAsia="Times New Roman" w:hAnsi="Times New Roman" w:cs="Times New Roman"/>
      <w:sz w:val="20"/>
      <w:szCs w:val="20"/>
      <w:lang w:val="en-GB"/>
    </w:rPr>
  </w:style>
  <w:style w:type="character" w:customStyle="1" w:styleId="Heading8Char">
    <w:name w:val="Heading 8 Char"/>
    <w:basedOn w:val="DefaultParagraphFont"/>
    <w:link w:val="Heading8"/>
    <w:semiHidden/>
    <w:rsid w:val="00AE5A09"/>
    <w:rPr>
      <w:rFonts w:ascii="Times New Roman" w:eastAsia="Times New Roman" w:hAnsi="Times New Roman" w:cs="Times New Roman"/>
      <w:sz w:val="20"/>
      <w:szCs w:val="20"/>
      <w:lang w:val="en-GB"/>
    </w:rPr>
  </w:style>
  <w:style w:type="character" w:customStyle="1" w:styleId="Heading9Char">
    <w:name w:val="Heading 9 Char"/>
    <w:basedOn w:val="DefaultParagraphFont"/>
    <w:link w:val="Heading9"/>
    <w:semiHidden/>
    <w:rsid w:val="00AE5A09"/>
    <w:rPr>
      <w:rFonts w:ascii="Times New Roman" w:eastAsia="Times New Roman" w:hAnsi="Times New Roman" w:cs="Times New Roman"/>
      <w:sz w:val="20"/>
      <w:szCs w:val="20"/>
      <w:lang w:val="en-GB"/>
    </w:rPr>
  </w:style>
  <w:style w:type="paragraph" w:customStyle="1" w:styleId="SingleTxtG">
    <w:name w:val="_ Single Txt_G"/>
    <w:basedOn w:val="Normal"/>
    <w:link w:val="SingleTxtGChar"/>
    <w:qFormat/>
    <w:rsid w:val="00AE5A09"/>
    <w:pPr>
      <w:suppressAutoHyphens/>
      <w:spacing w:after="120" w:line="240" w:lineRule="atLeast"/>
      <w:ind w:left="1134" w:right="1134"/>
      <w:jc w:val="both"/>
    </w:pPr>
    <w:rPr>
      <w:sz w:val="20"/>
      <w:szCs w:val="20"/>
      <w:lang w:val="en-GB"/>
    </w:rPr>
  </w:style>
  <w:style w:type="paragraph" w:customStyle="1" w:styleId="HMG">
    <w:name w:val="_ H __M_G"/>
    <w:basedOn w:val="Normal"/>
    <w:next w:val="Normal"/>
    <w:qFormat/>
    <w:rsid w:val="00AE5A09"/>
    <w:pPr>
      <w:keepNext/>
      <w:keepLines/>
      <w:tabs>
        <w:tab w:val="right" w:pos="851"/>
      </w:tabs>
      <w:suppressAutoHyphens/>
      <w:spacing w:before="240" w:after="240" w:line="360" w:lineRule="exact"/>
      <w:ind w:left="1134" w:right="1134" w:hanging="1134"/>
    </w:pPr>
    <w:rPr>
      <w:b/>
      <w:sz w:val="34"/>
      <w:szCs w:val="20"/>
      <w:lang w:val="en-GB"/>
    </w:rPr>
  </w:style>
  <w:style w:type="paragraph" w:customStyle="1" w:styleId="HChG">
    <w:name w:val="_ H _Ch_G"/>
    <w:basedOn w:val="Normal"/>
    <w:next w:val="Normal"/>
    <w:qFormat/>
    <w:rsid w:val="00AE5A09"/>
    <w:pPr>
      <w:keepNext/>
      <w:keepLines/>
      <w:tabs>
        <w:tab w:val="right" w:pos="851"/>
      </w:tabs>
      <w:suppressAutoHyphens/>
      <w:spacing w:before="360" w:after="240" w:line="300" w:lineRule="exact"/>
      <w:ind w:left="1134" w:right="1134" w:hanging="1134"/>
    </w:pPr>
    <w:rPr>
      <w:b/>
      <w:sz w:val="28"/>
      <w:szCs w:val="20"/>
      <w:lang w:val="en-GB"/>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basedOn w:val="DefaultParagraphFont"/>
    <w:uiPriority w:val="99"/>
    <w:qFormat/>
    <w:rsid w:val="00AE5A09"/>
    <w:rPr>
      <w:rFonts w:ascii="Times New Roman" w:hAnsi="Times New Roman"/>
      <w:sz w:val="18"/>
      <w:vertAlign w:val="superscript"/>
    </w:rPr>
  </w:style>
  <w:style w:type="character" w:styleId="EndnoteReference">
    <w:name w:val="endnote reference"/>
    <w:aliases w:val="1_G"/>
    <w:basedOn w:val="FootnoteReference"/>
    <w:qFormat/>
    <w:rsid w:val="00AE5A09"/>
    <w:rPr>
      <w:rFonts w:ascii="Times New Roman" w:hAnsi="Times New Roman"/>
      <w:sz w:val="18"/>
      <w:vertAlign w:val="superscript"/>
    </w:rPr>
  </w:style>
  <w:style w:type="paragraph" w:styleId="Header">
    <w:name w:val="header"/>
    <w:aliases w:val="6_G"/>
    <w:basedOn w:val="Normal"/>
    <w:link w:val="HeaderChar"/>
    <w:qFormat/>
    <w:rsid w:val="00AE5A09"/>
    <w:pPr>
      <w:pBdr>
        <w:bottom w:val="single" w:sz="4" w:space="4" w:color="auto"/>
      </w:pBdr>
      <w:suppressAutoHyphens/>
    </w:pPr>
    <w:rPr>
      <w:b/>
      <w:sz w:val="18"/>
      <w:szCs w:val="20"/>
      <w:lang w:val="en-GB"/>
    </w:rPr>
  </w:style>
  <w:style w:type="character" w:customStyle="1" w:styleId="HeaderChar">
    <w:name w:val="Header Char"/>
    <w:aliases w:val="6_G Char"/>
    <w:basedOn w:val="DefaultParagraphFont"/>
    <w:link w:val="Header"/>
    <w:rsid w:val="00AE5A09"/>
    <w:rPr>
      <w:rFonts w:ascii="Times New Roman" w:eastAsia="Times New Roman" w:hAnsi="Times New Roman" w:cs="Times New Roman"/>
      <w:b/>
      <w:sz w:val="18"/>
      <w:szCs w:val="20"/>
      <w:lang w:val="en-GB"/>
    </w:rPr>
  </w:style>
  <w:style w:type="table" w:styleId="TableGrid">
    <w:name w:val="Table Grid"/>
    <w:basedOn w:val="TableNormal"/>
    <w:uiPriority w:val="39"/>
    <w:rsid w:val="00AE5A0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AE5A09"/>
    <w:rPr>
      <w:color w:val="auto"/>
      <w:u w:val="none"/>
    </w:rPr>
  </w:style>
  <w:style w:type="character" w:styleId="FollowedHyperlink">
    <w:name w:val="FollowedHyperlink"/>
    <w:basedOn w:val="DefaultParagraphFont"/>
    <w:semiHidden/>
    <w:rsid w:val="00AE5A09"/>
    <w:rPr>
      <w:color w:val="auto"/>
      <w:u w:val="none"/>
    </w:rPr>
  </w:style>
  <w:style w:type="paragraph" w:customStyle="1" w:styleId="SMG">
    <w:name w:val="__S_M_G"/>
    <w:basedOn w:val="Normal"/>
    <w:next w:val="Normal"/>
    <w:rsid w:val="00AE5A09"/>
    <w:pPr>
      <w:keepNext/>
      <w:keepLines/>
      <w:suppressAutoHyphens/>
      <w:spacing w:before="240" w:after="240" w:line="420" w:lineRule="exact"/>
      <w:ind w:left="1134" w:right="1134"/>
    </w:pPr>
    <w:rPr>
      <w:b/>
      <w:sz w:val="40"/>
      <w:szCs w:val="20"/>
      <w:lang w:val="en-GB"/>
    </w:rPr>
  </w:style>
  <w:style w:type="paragraph" w:customStyle="1" w:styleId="SLG">
    <w:name w:val="__S_L_G"/>
    <w:basedOn w:val="Normal"/>
    <w:next w:val="Normal"/>
    <w:rsid w:val="00AE5A09"/>
    <w:pPr>
      <w:keepNext/>
      <w:keepLines/>
      <w:suppressAutoHyphens/>
      <w:spacing w:before="240" w:after="240" w:line="580" w:lineRule="exact"/>
      <w:ind w:left="1134" w:right="1134"/>
    </w:pPr>
    <w:rPr>
      <w:b/>
      <w:sz w:val="56"/>
      <w:szCs w:val="20"/>
      <w:lang w:val="en-GB"/>
    </w:rPr>
  </w:style>
  <w:style w:type="paragraph" w:customStyle="1" w:styleId="SSG">
    <w:name w:val="__S_S_G"/>
    <w:basedOn w:val="Normal"/>
    <w:next w:val="Normal"/>
    <w:rsid w:val="00AE5A09"/>
    <w:pPr>
      <w:keepNext/>
      <w:keepLines/>
      <w:suppressAutoHyphens/>
      <w:spacing w:before="240" w:after="240" w:line="300" w:lineRule="exact"/>
      <w:ind w:left="1134" w:right="1134"/>
    </w:pPr>
    <w:rPr>
      <w:b/>
      <w:sz w:val="28"/>
      <w:szCs w:val="20"/>
      <w:lang w:val="en-GB"/>
    </w:rPr>
  </w:style>
  <w:style w:type="paragraph" w:styleId="FootnoteText">
    <w:name w:val="footnote text"/>
    <w:aliases w:val="5_G"/>
    <w:basedOn w:val="Normal"/>
    <w:link w:val="FootnoteTextChar"/>
    <w:uiPriority w:val="99"/>
    <w:qFormat/>
    <w:rsid w:val="00AE5A09"/>
    <w:pPr>
      <w:tabs>
        <w:tab w:val="right" w:pos="1021"/>
      </w:tabs>
      <w:suppressAutoHyphens/>
      <w:spacing w:line="220" w:lineRule="exact"/>
      <w:ind w:left="1134" w:right="1134" w:hanging="1134"/>
    </w:pPr>
    <w:rPr>
      <w:sz w:val="18"/>
      <w:szCs w:val="20"/>
      <w:lang w:val="en-GB"/>
    </w:rPr>
  </w:style>
  <w:style w:type="character" w:customStyle="1" w:styleId="FootnoteTextChar">
    <w:name w:val="Footnote Text Char"/>
    <w:aliases w:val="5_G Char"/>
    <w:basedOn w:val="DefaultParagraphFont"/>
    <w:link w:val="FootnoteText"/>
    <w:uiPriority w:val="99"/>
    <w:rsid w:val="00AE5A09"/>
    <w:rPr>
      <w:rFonts w:ascii="Times New Roman" w:eastAsia="Times New Roman" w:hAnsi="Times New Roman" w:cs="Times New Roman"/>
      <w:sz w:val="18"/>
      <w:szCs w:val="20"/>
      <w:lang w:val="en-GB"/>
    </w:rPr>
  </w:style>
  <w:style w:type="paragraph" w:styleId="EndnoteText">
    <w:name w:val="endnote text"/>
    <w:aliases w:val="2_G"/>
    <w:basedOn w:val="FootnoteText"/>
    <w:link w:val="EndnoteTextChar"/>
    <w:qFormat/>
    <w:rsid w:val="00AE5A09"/>
  </w:style>
  <w:style w:type="character" w:customStyle="1" w:styleId="EndnoteTextChar">
    <w:name w:val="Endnote Text Char"/>
    <w:aliases w:val="2_G Char"/>
    <w:basedOn w:val="DefaultParagraphFont"/>
    <w:link w:val="EndnoteText"/>
    <w:rsid w:val="00AE5A09"/>
    <w:rPr>
      <w:rFonts w:ascii="Times New Roman" w:eastAsia="Times New Roman" w:hAnsi="Times New Roman" w:cs="Times New Roman"/>
      <w:sz w:val="18"/>
      <w:szCs w:val="20"/>
      <w:lang w:val="en-GB"/>
    </w:rPr>
  </w:style>
  <w:style w:type="character" w:styleId="PageNumber">
    <w:name w:val="page number"/>
    <w:aliases w:val="7_G"/>
    <w:basedOn w:val="DefaultParagraphFont"/>
    <w:qFormat/>
    <w:rsid w:val="00AE5A09"/>
    <w:rPr>
      <w:rFonts w:ascii="Times New Roman" w:hAnsi="Times New Roman"/>
      <w:b/>
      <w:sz w:val="18"/>
    </w:rPr>
  </w:style>
  <w:style w:type="paragraph" w:customStyle="1" w:styleId="XLargeG">
    <w:name w:val="__XLarge_G"/>
    <w:basedOn w:val="Normal"/>
    <w:next w:val="Normal"/>
    <w:rsid w:val="00AE5A09"/>
    <w:pPr>
      <w:keepNext/>
      <w:keepLines/>
      <w:suppressAutoHyphens/>
      <w:spacing w:before="240" w:after="240" w:line="420" w:lineRule="exact"/>
      <w:ind w:left="1134" w:right="1134"/>
    </w:pPr>
    <w:rPr>
      <w:b/>
      <w:sz w:val="40"/>
      <w:szCs w:val="20"/>
      <w:lang w:val="en-GB"/>
    </w:rPr>
  </w:style>
  <w:style w:type="paragraph" w:customStyle="1" w:styleId="Bullet1G">
    <w:name w:val="_Bullet 1_G"/>
    <w:basedOn w:val="Normal"/>
    <w:qFormat/>
    <w:rsid w:val="00AE5A09"/>
    <w:pPr>
      <w:numPr>
        <w:numId w:val="1"/>
      </w:numPr>
      <w:suppressAutoHyphens/>
      <w:spacing w:after="120" w:line="240" w:lineRule="atLeast"/>
      <w:ind w:right="1134"/>
      <w:jc w:val="both"/>
    </w:pPr>
    <w:rPr>
      <w:sz w:val="20"/>
      <w:szCs w:val="20"/>
      <w:lang w:val="en-GB"/>
    </w:rPr>
  </w:style>
  <w:style w:type="paragraph" w:styleId="Footer">
    <w:name w:val="footer"/>
    <w:aliases w:val="3_G"/>
    <w:basedOn w:val="Normal"/>
    <w:link w:val="FooterChar"/>
    <w:qFormat/>
    <w:rsid w:val="00AE5A09"/>
    <w:pPr>
      <w:suppressAutoHyphens/>
    </w:pPr>
    <w:rPr>
      <w:sz w:val="16"/>
      <w:szCs w:val="20"/>
      <w:lang w:val="en-GB"/>
    </w:rPr>
  </w:style>
  <w:style w:type="character" w:customStyle="1" w:styleId="FooterChar">
    <w:name w:val="Footer Char"/>
    <w:aliases w:val="3_G Char"/>
    <w:basedOn w:val="DefaultParagraphFont"/>
    <w:link w:val="Footer"/>
    <w:rsid w:val="00AE5A09"/>
    <w:rPr>
      <w:rFonts w:ascii="Times New Roman" w:eastAsia="Times New Roman" w:hAnsi="Times New Roman" w:cs="Times New Roman"/>
      <w:sz w:val="16"/>
      <w:szCs w:val="20"/>
      <w:lang w:val="en-GB"/>
    </w:rPr>
  </w:style>
  <w:style w:type="paragraph" w:customStyle="1" w:styleId="Bullet2G">
    <w:name w:val="_Bullet 2_G"/>
    <w:basedOn w:val="Normal"/>
    <w:qFormat/>
    <w:rsid w:val="00AE5A09"/>
    <w:pPr>
      <w:numPr>
        <w:numId w:val="2"/>
      </w:numPr>
      <w:suppressAutoHyphens/>
      <w:spacing w:after="120" w:line="240" w:lineRule="atLeast"/>
      <w:ind w:right="1134"/>
      <w:jc w:val="both"/>
    </w:pPr>
    <w:rPr>
      <w:sz w:val="20"/>
      <w:szCs w:val="20"/>
      <w:lang w:val="en-GB"/>
    </w:rPr>
  </w:style>
  <w:style w:type="paragraph" w:customStyle="1" w:styleId="H1G">
    <w:name w:val="_ H_1_G"/>
    <w:basedOn w:val="Normal"/>
    <w:next w:val="Normal"/>
    <w:qFormat/>
    <w:rsid w:val="00AE5A09"/>
    <w:pPr>
      <w:keepNext/>
      <w:keepLines/>
      <w:tabs>
        <w:tab w:val="right" w:pos="851"/>
      </w:tabs>
      <w:suppressAutoHyphens/>
      <w:spacing w:before="360" w:after="240" w:line="270" w:lineRule="exact"/>
      <w:ind w:left="1134" w:right="1134" w:hanging="1134"/>
    </w:pPr>
    <w:rPr>
      <w:b/>
      <w:szCs w:val="20"/>
      <w:lang w:val="en-GB"/>
    </w:rPr>
  </w:style>
  <w:style w:type="paragraph" w:customStyle="1" w:styleId="H23G">
    <w:name w:val="_ H_2/3_G"/>
    <w:basedOn w:val="Normal"/>
    <w:next w:val="Normal"/>
    <w:qFormat/>
    <w:rsid w:val="00AE5A09"/>
    <w:pPr>
      <w:keepNext/>
      <w:keepLines/>
      <w:tabs>
        <w:tab w:val="right" w:pos="851"/>
      </w:tabs>
      <w:suppressAutoHyphens/>
      <w:spacing w:before="240" w:after="120" w:line="240" w:lineRule="exact"/>
      <w:ind w:left="1134" w:right="1134" w:hanging="1134"/>
    </w:pPr>
    <w:rPr>
      <w:b/>
      <w:sz w:val="20"/>
      <w:szCs w:val="20"/>
      <w:lang w:val="en-GB"/>
    </w:rPr>
  </w:style>
  <w:style w:type="paragraph" w:customStyle="1" w:styleId="H4G">
    <w:name w:val="_ H_4_G"/>
    <w:basedOn w:val="Normal"/>
    <w:next w:val="Normal"/>
    <w:qFormat/>
    <w:rsid w:val="00AE5A09"/>
    <w:pPr>
      <w:keepNext/>
      <w:keepLines/>
      <w:tabs>
        <w:tab w:val="right" w:pos="851"/>
      </w:tabs>
      <w:suppressAutoHyphens/>
      <w:spacing w:before="240" w:after="120" w:line="240" w:lineRule="exact"/>
      <w:ind w:left="1134" w:right="1134" w:hanging="1134"/>
    </w:pPr>
    <w:rPr>
      <w:i/>
      <w:sz w:val="20"/>
      <w:szCs w:val="20"/>
      <w:lang w:val="en-GB"/>
    </w:rPr>
  </w:style>
  <w:style w:type="paragraph" w:customStyle="1" w:styleId="H56G">
    <w:name w:val="_ H_5/6_G"/>
    <w:basedOn w:val="Normal"/>
    <w:next w:val="Normal"/>
    <w:qFormat/>
    <w:rsid w:val="00AE5A09"/>
    <w:pPr>
      <w:keepNext/>
      <w:keepLines/>
      <w:tabs>
        <w:tab w:val="right" w:pos="851"/>
      </w:tabs>
      <w:suppressAutoHyphens/>
      <w:spacing w:before="240" w:after="120" w:line="240" w:lineRule="exact"/>
      <w:ind w:left="1134" w:right="1134" w:hanging="1134"/>
    </w:pPr>
    <w:rPr>
      <w:sz w:val="20"/>
      <w:szCs w:val="20"/>
      <w:lang w:val="en-GB"/>
    </w:rPr>
  </w:style>
  <w:style w:type="paragraph" w:customStyle="1" w:styleId="ParNoG">
    <w:name w:val="_ParNo_G"/>
    <w:basedOn w:val="SingleTxtG"/>
    <w:qFormat/>
    <w:rsid w:val="00AE5A09"/>
    <w:pPr>
      <w:numPr>
        <w:numId w:val="3"/>
      </w:numPr>
      <w:suppressAutoHyphens w:val="0"/>
      <w:spacing w:line="240" w:lineRule="auto"/>
    </w:pPr>
  </w:style>
  <w:style w:type="paragraph" w:styleId="BalloonText">
    <w:name w:val="Balloon Text"/>
    <w:basedOn w:val="Normal"/>
    <w:link w:val="BalloonTextChar"/>
    <w:semiHidden/>
    <w:unhideWhenUsed/>
    <w:rsid w:val="00AE5A09"/>
    <w:pPr>
      <w:suppressAutoHyphens/>
    </w:pPr>
    <w:rPr>
      <w:rFonts w:ascii="Segoe UI" w:hAnsi="Segoe UI" w:cs="Segoe UI"/>
      <w:sz w:val="18"/>
      <w:szCs w:val="18"/>
      <w:lang w:val="en-GB"/>
    </w:rPr>
  </w:style>
  <w:style w:type="character" w:customStyle="1" w:styleId="BalloonTextChar">
    <w:name w:val="Balloon Text Char"/>
    <w:basedOn w:val="DefaultParagraphFont"/>
    <w:link w:val="BalloonText"/>
    <w:semiHidden/>
    <w:rsid w:val="00AE5A09"/>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AE5A09"/>
    <w:rPr>
      <w:sz w:val="16"/>
      <w:szCs w:val="16"/>
    </w:rPr>
  </w:style>
  <w:style w:type="paragraph" w:styleId="CommentText">
    <w:name w:val="annotation text"/>
    <w:basedOn w:val="Normal"/>
    <w:link w:val="CommentTextChar"/>
    <w:uiPriority w:val="99"/>
    <w:unhideWhenUsed/>
    <w:rsid w:val="00AE5A09"/>
    <w:pPr>
      <w:suppressAutoHyphens/>
    </w:pPr>
    <w:rPr>
      <w:sz w:val="20"/>
      <w:szCs w:val="20"/>
      <w:lang w:val="en-GB"/>
    </w:rPr>
  </w:style>
  <w:style w:type="character" w:customStyle="1" w:styleId="CommentTextChar">
    <w:name w:val="Comment Text Char"/>
    <w:basedOn w:val="DefaultParagraphFont"/>
    <w:link w:val="CommentText"/>
    <w:uiPriority w:val="99"/>
    <w:rsid w:val="00AE5A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unhideWhenUsed/>
    <w:rsid w:val="00AE5A09"/>
    <w:rPr>
      <w:b/>
      <w:bCs/>
    </w:rPr>
  </w:style>
  <w:style w:type="character" w:customStyle="1" w:styleId="CommentSubjectChar">
    <w:name w:val="Comment Subject Char"/>
    <w:basedOn w:val="CommentTextChar"/>
    <w:link w:val="CommentSubject"/>
    <w:semiHidden/>
    <w:rsid w:val="00AE5A09"/>
    <w:rPr>
      <w:rFonts w:ascii="Times New Roman" w:eastAsia="Times New Roman" w:hAnsi="Times New Roman" w:cs="Times New Roman"/>
      <w:b/>
      <w:bCs/>
      <w:sz w:val="20"/>
      <w:szCs w:val="20"/>
      <w:lang w:val="en-GB"/>
    </w:rPr>
  </w:style>
  <w:style w:type="character" w:customStyle="1" w:styleId="SingleTxtGChar">
    <w:name w:val="_ Single Txt_G Char"/>
    <w:basedOn w:val="DefaultParagraphFont"/>
    <w:link w:val="SingleTxtG"/>
    <w:rsid w:val="00AE5A09"/>
    <w:rPr>
      <w:rFonts w:ascii="Times New Roman" w:eastAsia="Times New Roman" w:hAnsi="Times New Roman" w:cs="Times New Roman"/>
      <w:sz w:val="20"/>
      <w:szCs w:val="20"/>
      <w:lang w:val="en-GB"/>
    </w:rPr>
  </w:style>
  <w:style w:type="paragraph" w:customStyle="1" w:styleId="xsingletxtg">
    <w:name w:val="x_singletxtg"/>
    <w:basedOn w:val="Normal"/>
    <w:rsid w:val="00AE5A09"/>
    <w:rPr>
      <w:rFonts w:ascii="Calibri" w:hAnsi="Calibri" w:cs="Calibri"/>
    </w:rPr>
  </w:style>
  <w:style w:type="character" w:customStyle="1" w:styleId="xcontentpasted1">
    <w:name w:val="x_contentpasted1"/>
    <w:basedOn w:val="DefaultParagraphFont"/>
    <w:rsid w:val="00AE5A09"/>
  </w:style>
  <w:style w:type="character" w:customStyle="1" w:styleId="xxcontentpasted0">
    <w:name w:val="x_xcontentpasted0"/>
    <w:basedOn w:val="DefaultParagraphFont"/>
    <w:rsid w:val="00AE5A09"/>
  </w:style>
  <w:style w:type="character" w:customStyle="1" w:styleId="contentpasted0">
    <w:name w:val="contentpasted0"/>
    <w:basedOn w:val="DefaultParagraphFont"/>
    <w:rsid w:val="00AE5A09"/>
  </w:style>
  <w:style w:type="paragraph" w:styleId="NormalWeb">
    <w:name w:val="Normal (Web)"/>
    <w:basedOn w:val="Normal"/>
    <w:uiPriority w:val="99"/>
    <w:unhideWhenUsed/>
    <w:rsid w:val="00AE5A09"/>
    <w:pPr>
      <w:suppressAutoHyphens/>
      <w:spacing w:line="240" w:lineRule="atLeast"/>
    </w:pPr>
    <w:rPr>
      <w:lang w:val="en-GB"/>
    </w:rPr>
  </w:style>
  <w:style w:type="paragraph" w:styleId="ListParagraph">
    <w:name w:val="List Paragraph"/>
    <w:aliases w:val="body,Odsek zoznamu2,Heading3,Lista 1,Dot pt,No Spacing1,List Paragraph Char Char Char,Indicator Text,Numbered Para 1,List Paragraph1,Bullet Points,MAIN CONTENT,OBC Bullet,List Paragraph11,List Paragraph12,F5 List Paragraph,Bullet 1,3,L,b1"/>
    <w:basedOn w:val="Normal"/>
    <w:link w:val="ListParagraphChar"/>
    <w:uiPriority w:val="34"/>
    <w:qFormat/>
    <w:rsid w:val="00AE5A09"/>
    <w:pPr>
      <w:ind w:left="720"/>
    </w:pPr>
    <w:rPr>
      <w:rFonts w:ascii="Calibri" w:hAnsi="Calibri" w:cs="Calibri"/>
    </w:rPr>
  </w:style>
  <w:style w:type="character" w:customStyle="1" w:styleId="ListParagraphChar">
    <w:name w:val="List Paragraph Char"/>
    <w:aliases w:val="body Char,Odsek zoznamu2 Char,Heading3 Char,Lista 1 Char,Dot pt Char,No Spacing1 Char,List Paragraph Char Char Char Char,Indicator Text Char,Numbered Para 1 Char,List Paragraph1 Char,Bullet Points Char,MAIN CONTENT Char,Bullet 1 Char"/>
    <w:basedOn w:val="DefaultParagraphFont"/>
    <w:link w:val="ListParagraph"/>
    <w:uiPriority w:val="34"/>
    <w:qFormat/>
    <w:locked/>
    <w:rsid w:val="00AE5A09"/>
    <w:rPr>
      <w:rFonts w:ascii="Calibri" w:hAnsi="Calibri" w:cs="Calibri"/>
    </w:rPr>
  </w:style>
  <w:style w:type="character" w:customStyle="1" w:styleId="highlight">
    <w:name w:val="highlight"/>
    <w:basedOn w:val="DefaultParagraphFont"/>
    <w:rsid w:val="005B3279"/>
  </w:style>
  <w:style w:type="paragraph" w:customStyle="1" w:styleId="Default">
    <w:name w:val="Default"/>
    <w:rsid w:val="00805576"/>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1">
    <w:name w:val="Table Grid1"/>
    <w:basedOn w:val="TableNormal"/>
    <w:next w:val="TableGrid"/>
    <w:uiPriority w:val="39"/>
    <w:rsid w:val="002A3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784053"/>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33103">
      <w:bodyDiv w:val="1"/>
      <w:marLeft w:val="0"/>
      <w:marRight w:val="0"/>
      <w:marTop w:val="0"/>
      <w:marBottom w:val="0"/>
      <w:divBdr>
        <w:top w:val="none" w:sz="0" w:space="0" w:color="auto"/>
        <w:left w:val="none" w:sz="0" w:space="0" w:color="auto"/>
        <w:bottom w:val="none" w:sz="0" w:space="0" w:color="auto"/>
        <w:right w:val="none" w:sz="0" w:space="0" w:color="auto"/>
      </w:divBdr>
    </w:div>
    <w:div w:id="437988687">
      <w:bodyDiv w:val="1"/>
      <w:marLeft w:val="0"/>
      <w:marRight w:val="0"/>
      <w:marTop w:val="0"/>
      <w:marBottom w:val="0"/>
      <w:divBdr>
        <w:top w:val="none" w:sz="0" w:space="0" w:color="auto"/>
        <w:left w:val="none" w:sz="0" w:space="0" w:color="auto"/>
        <w:bottom w:val="none" w:sz="0" w:space="0" w:color="auto"/>
        <w:right w:val="none" w:sz="0" w:space="0" w:color="auto"/>
      </w:divBdr>
    </w:div>
    <w:div w:id="717896939">
      <w:bodyDiv w:val="1"/>
      <w:marLeft w:val="0"/>
      <w:marRight w:val="0"/>
      <w:marTop w:val="0"/>
      <w:marBottom w:val="0"/>
      <w:divBdr>
        <w:top w:val="none" w:sz="0" w:space="0" w:color="auto"/>
        <w:left w:val="none" w:sz="0" w:space="0" w:color="auto"/>
        <w:bottom w:val="none" w:sz="0" w:space="0" w:color="auto"/>
        <w:right w:val="none" w:sz="0" w:space="0" w:color="auto"/>
      </w:divBdr>
    </w:div>
    <w:div w:id="801465914">
      <w:bodyDiv w:val="1"/>
      <w:marLeft w:val="0"/>
      <w:marRight w:val="0"/>
      <w:marTop w:val="0"/>
      <w:marBottom w:val="0"/>
      <w:divBdr>
        <w:top w:val="none" w:sz="0" w:space="0" w:color="auto"/>
        <w:left w:val="none" w:sz="0" w:space="0" w:color="auto"/>
        <w:bottom w:val="none" w:sz="0" w:space="0" w:color="auto"/>
        <w:right w:val="none" w:sz="0" w:space="0" w:color="auto"/>
      </w:divBdr>
      <w:divsChild>
        <w:div w:id="234435511">
          <w:marLeft w:val="0"/>
          <w:marRight w:val="0"/>
          <w:marTop w:val="0"/>
          <w:marBottom w:val="0"/>
          <w:divBdr>
            <w:top w:val="none" w:sz="0" w:space="0" w:color="auto"/>
            <w:left w:val="none" w:sz="0" w:space="0" w:color="auto"/>
            <w:bottom w:val="none" w:sz="0" w:space="0" w:color="auto"/>
            <w:right w:val="none" w:sz="0" w:space="0" w:color="auto"/>
          </w:divBdr>
        </w:div>
        <w:div w:id="263268339">
          <w:marLeft w:val="0"/>
          <w:marRight w:val="0"/>
          <w:marTop w:val="0"/>
          <w:marBottom w:val="0"/>
          <w:divBdr>
            <w:top w:val="none" w:sz="0" w:space="0" w:color="auto"/>
            <w:left w:val="none" w:sz="0" w:space="0" w:color="auto"/>
            <w:bottom w:val="none" w:sz="0" w:space="0" w:color="auto"/>
            <w:right w:val="none" w:sz="0" w:space="0" w:color="auto"/>
          </w:divBdr>
        </w:div>
        <w:div w:id="328101373">
          <w:marLeft w:val="0"/>
          <w:marRight w:val="0"/>
          <w:marTop w:val="0"/>
          <w:marBottom w:val="0"/>
          <w:divBdr>
            <w:top w:val="none" w:sz="0" w:space="0" w:color="auto"/>
            <w:left w:val="none" w:sz="0" w:space="0" w:color="auto"/>
            <w:bottom w:val="none" w:sz="0" w:space="0" w:color="auto"/>
            <w:right w:val="none" w:sz="0" w:space="0" w:color="auto"/>
          </w:divBdr>
        </w:div>
        <w:div w:id="631909429">
          <w:marLeft w:val="0"/>
          <w:marRight w:val="0"/>
          <w:marTop w:val="0"/>
          <w:marBottom w:val="0"/>
          <w:divBdr>
            <w:top w:val="none" w:sz="0" w:space="0" w:color="auto"/>
            <w:left w:val="none" w:sz="0" w:space="0" w:color="auto"/>
            <w:bottom w:val="none" w:sz="0" w:space="0" w:color="auto"/>
            <w:right w:val="none" w:sz="0" w:space="0" w:color="auto"/>
          </w:divBdr>
        </w:div>
        <w:div w:id="895774283">
          <w:marLeft w:val="0"/>
          <w:marRight w:val="0"/>
          <w:marTop w:val="0"/>
          <w:marBottom w:val="0"/>
          <w:divBdr>
            <w:top w:val="none" w:sz="0" w:space="0" w:color="auto"/>
            <w:left w:val="none" w:sz="0" w:space="0" w:color="auto"/>
            <w:bottom w:val="none" w:sz="0" w:space="0" w:color="auto"/>
            <w:right w:val="none" w:sz="0" w:space="0" w:color="auto"/>
          </w:divBdr>
        </w:div>
        <w:div w:id="1033261720">
          <w:marLeft w:val="0"/>
          <w:marRight w:val="0"/>
          <w:marTop w:val="0"/>
          <w:marBottom w:val="0"/>
          <w:divBdr>
            <w:top w:val="none" w:sz="0" w:space="0" w:color="auto"/>
            <w:left w:val="none" w:sz="0" w:space="0" w:color="auto"/>
            <w:bottom w:val="none" w:sz="0" w:space="0" w:color="auto"/>
            <w:right w:val="none" w:sz="0" w:space="0" w:color="auto"/>
          </w:divBdr>
        </w:div>
        <w:div w:id="1543514639">
          <w:marLeft w:val="0"/>
          <w:marRight w:val="0"/>
          <w:marTop w:val="0"/>
          <w:marBottom w:val="0"/>
          <w:divBdr>
            <w:top w:val="none" w:sz="0" w:space="0" w:color="auto"/>
            <w:left w:val="none" w:sz="0" w:space="0" w:color="auto"/>
            <w:bottom w:val="none" w:sz="0" w:space="0" w:color="auto"/>
            <w:right w:val="none" w:sz="0" w:space="0" w:color="auto"/>
          </w:divBdr>
        </w:div>
        <w:div w:id="2023627953">
          <w:marLeft w:val="0"/>
          <w:marRight w:val="0"/>
          <w:marTop w:val="0"/>
          <w:marBottom w:val="0"/>
          <w:divBdr>
            <w:top w:val="none" w:sz="0" w:space="0" w:color="auto"/>
            <w:left w:val="none" w:sz="0" w:space="0" w:color="auto"/>
            <w:bottom w:val="none" w:sz="0" w:space="0" w:color="auto"/>
            <w:right w:val="none" w:sz="0" w:space="0" w:color="auto"/>
          </w:divBdr>
        </w:div>
      </w:divsChild>
    </w:div>
    <w:div w:id="979846019">
      <w:bodyDiv w:val="1"/>
      <w:marLeft w:val="0"/>
      <w:marRight w:val="0"/>
      <w:marTop w:val="0"/>
      <w:marBottom w:val="0"/>
      <w:divBdr>
        <w:top w:val="none" w:sz="0" w:space="0" w:color="auto"/>
        <w:left w:val="none" w:sz="0" w:space="0" w:color="auto"/>
        <w:bottom w:val="none" w:sz="0" w:space="0" w:color="auto"/>
        <w:right w:val="none" w:sz="0" w:space="0" w:color="auto"/>
      </w:divBdr>
    </w:div>
    <w:div w:id="1094592937">
      <w:bodyDiv w:val="1"/>
      <w:marLeft w:val="0"/>
      <w:marRight w:val="0"/>
      <w:marTop w:val="0"/>
      <w:marBottom w:val="0"/>
      <w:divBdr>
        <w:top w:val="none" w:sz="0" w:space="0" w:color="auto"/>
        <w:left w:val="none" w:sz="0" w:space="0" w:color="auto"/>
        <w:bottom w:val="none" w:sz="0" w:space="0" w:color="auto"/>
        <w:right w:val="none" w:sz="0" w:space="0" w:color="auto"/>
      </w:divBdr>
    </w:div>
    <w:div w:id="1432121963">
      <w:bodyDiv w:val="1"/>
      <w:marLeft w:val="0"/>
      <w:marRight w:val="0"/>
      <w:marTop w:val="0"/>
      <w:marBottom w:val="0"/>
      <w:divBdr>
        <w:top w:val="none" w:sz="0" w:space="0" w:color="auto"/>
        <w:left w:val="none" w:sz="0" w:space="0" w:color="auto"/>
        <w:bottom w:val="none" w:sz="0" w:space="0" w:color="auto"/>
        <w:right w:val="none" w:sz="0" w:space="0" w:color="auto"/>
      </w:divBdr>
    </w:div>
    <w:div w:id="1468475443">
      <w:bodyDiv w:val="1"/>
      <w:marLeft w:val="0"/>
      <w:marRight w:val="0"/>
      <w:marTop w:val="0"/>
      <w:marBottom w:val="0"/>
      <w:divBdr>
        <w:top w:val="none" w:sz="0" w:space="0" w:color="auto"/>
        <w:left w:val="none" w:sz="0" w:space="0" w:color="auto"/>
        <w:bottom w:val="none" w:sz="0" w:space="0" w:color="auto"/>
        <w:right w:val="none" w:sz="0" w:space="0" w:color="auto"/>
      </w:divBdr>
    </w:div>
    <w:div w:id="1713381554">
      <w:bodyDiv w:val="1"/>
      <w:marLeft w:val="0"/>
      <w:marRight w:val="0"/>
      <w:marTop w:val="0"/>
      <w:marBottom w:val="0"/>
      <w:divBdr>
        <w:top w:val="none" w:sz="0" w:space="0" w:color="auto"/>
        <w:left w:val="none" w:sz="0" w:space="0" w:color="auto"/>
        <w:bottom w:val="none" w:sz="0" w:space="0" w:color="auto"/>
        <w:right w:val="none" w:sz="0" w:space="0" w:color="auto"/>
      </w:divBdr>
    </w:div>
    <w:div w:id="1756514627">
      <w:bodyDiv w:val="1"/>
      <w:marLeft w:val="0"/>
      <w:marRight w:val="0"/>
      <w:marTop w:val="0"/>
      <w:marBottom w:val="0"/>
      <w:divBdr>
        <w:top w:val="none" w:sz="0" w:space="0" w:color="auto"/>
        <w:left w:val="none" w:sz="0" w:space="0" w:color="auto"/>
        <w:bottom w:val="none" w:sz="0" w:space="0" w:color="auto"/>
        <w:right w:val="none" w:sz="0" w:space="0" w:color="auto"/>
      </w:divBdr>
    </w:div>
    <w:div w:id="1982031778">
      <w:bodyDiv w:val="1"/>
      <w:marLeft w:val="0"/>
      <w:marRight w:val="0"/>
      <w:marTop w:val="0"/>
      <w:marBottom w:val="0"/>
      <w:divBdr>
        <w:top w:val="none" w:sz="0" w:space="0" w:color="auto"/>
        <w:left w:val="none" w:sz="0" w:space="0" w:color="auto"/>
        <w:bottom w:val="none" w:sz="0" w:space="0" w:color="auto"/>
        <w:right w:val="none" w:sz="0" w:space="0" w:color="auto"/>
      </w:divBdr>
    </w:div>
    <w:div w:id="200940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so.ie" TargetMode="External"/><Relationship Id="rId18" Type="http://schemas.openxmlformats.org/officeDocument/2006/relationships/hyperlink" Target="https://www.gov.ie/pdf/?file=https://assets.gov.ie/246552/96fc2eb5-b7c9-4a17-afbc-de288a471b3f.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xaminations.ie/statistics/" TargetMode="Externa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yperlink" Target="https://www.gov.ie/en/publication/37910-traveller-accommodation-expert-review-programme-board-updat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hyperlink" Target="https://www.gov.ie/pdf/?file=https://assets.gov.ie/245285/64e8651c-04e1-495a-8ddc-f4662f6fcd88.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hyperlink" Target="https://www.gov.ie/en/policy-information/4018ea-deis-delivering-equality-of-opportunity-in-schools/"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tusla.ie/uploads/content/AAR_SAR_2019_2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visedacts.lawreform.ie/eli/2014/act/14/front/revised/en/html" TargetMode="External"/><Relationship Id="rId22" Type="http://schemas.openxmlformats.org/officeDocument/2006/relationships/hyperlink" Target="https://www.gov.ie/pdf/?file=https://assets.gov.ie/258672/64703960-5409-4314-a829-5e6b6603018b.pdf" TargetMode="External"/><Relationship Id="rId27" Type="http://schemas.openxmlformats.org/officeDocument/2006/relationships/footer" Target="footer2.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ireachtas.ie/en/bills/bill/2021/82/?tab=debates" TargetMode="External"/><Relationship Id="rId2" Type="http://schemas.openxmlformats.org/officeDocument/2006/relationships/hyperlink" Target="https://www.gov.ie/en/publication/4bf2c-national-dialogue-on-climate-action-ndca/" TargetMode="External"/><Relationship Id="rId1" Type="http://schemas.openxmlformats.org/officeDocument/2006/relationships/hyperlink" Target="https://www.gov.ie/en/publication/fbe331-national-adaptation-framework/" TargetMode="External"/><Relationship Id="rId5" Type="http://schemas.openxmlformats.org/officeDocument/2006/relationships/hyperlink" Target="https://assets.gov.ie/38063/89059243e750415ebf7e96247a4225ae.pdf" TargetMode="External"/><Relationship Id="rId4" Type="http://schemas.openxmlformats.org/officeDocument/2006/relationships/hyperlink" Target="https://ec.europa.eu/eurostat/web/products-statistics-in-focus/-/KS-SF-11-057"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finance.cloud.gov.ie/apps/eDocs/s/F039/Files/F039-007-2023/230329_tax%20as%20a%20share%20of%20total%20revenue.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https://finance.cloud.gov.ie/apps/eDocs/s/F039/Files/F039-007-2023/230329_tax%20as%20a%20share%20of%20total%20revenu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1.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2.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9174464351024894E-2"/>
          <c:y val="0.14457831325301204"/>
          <c:w val="0.88288007529851575"/>
          <c:h val="0.76185737708236345"/>
        </c:manualLayout>
      </c:layout>
      <c:barChart>
        <c:barDir val="col"/>
        <c:grouping val="stacked"/>
        <c:varyColors val="0"/>
        <c:ser>
          <c:idx val="0"/>
          <c:order val="0"/>
          <c:tx>
            <c:v>tax</c:v>
          </c:tx>
          <c:spPr>
            <a:solidFill>
              <a:srgbClr val="005159"/>
            </a:solidFill>
            <a:ln>
              <a:noFill/>
            </a:ln>
            <a:effectLst/>
          </c:spPr>
          <c:invertIfNegative val="0"/>
          <c:cat>
            <c:numRef>
              <c:f>data!$B$5:$B$14</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'exchq chart'!$L$3:$L$12</c:f>
              <c:numCache>
                <c:formatCode>#,##0</c:formatCode>
                <c:ptCount val="10"/>
                <c:pt idx="0">
                  <c:v>37805876</c:v>
                </c:pt>
                <c:pt idx="1">
                  <c:v>41282021</c:v>
                </c:pt>
                <c:pt idx="2">
                  <c:v>45601494</c:v>
                </c:pt>
                <c:pt idx="3">
                  <c:v>47864486</c:v>
                </c:pt>
                <c:pt idx="4">
                  <c:v>50736543</c:v>
                </c:pt>
                <c:pt idx="5">
                  <c:v>55557493</c:v>
                </c:pt>
                <c:pt idx="6">
                  <c:v>59313620</c:v>
                </c:pt>
                <c:pt idx="7">
                  <c:v>57164922</c:v>
                </c:pt>
                <c:pt idx="8">
                  <c:v>68409973</c:v>
                </c:pt>
                <c:pt idx="9">
                  <c:v>83129541</c:v>
                </c:pt>
              </c:numCache>
            </c:numRef>
          </c:val>
          <c:extLst>
            <c:ext xmlns:c16="http://schemas.microsoft.com/office/drawing/2014/chart" uri="{C3380CC4-5D6E-409C-BE32-E72D297353CC}">
              <c16:uniqueId val="{00000000-14B8-4AAE-AF71-EB0CC57416F8}"/>
            </c:ext>
          </c:extLst>
        </c:ser>
        <c:ser>
          <c:idx val="1"/>
          <c:order val="1"/>
          <c:tx>
            <c:v>other</c:v>
          </c:tx>
          <c:spPr>
            <a:solidFill>
              <a:srgbClr val="A3915E"/>
            </a:solidFill>
            <a:ln>
              <a:noFill/>
            </a:ln>
            <a:effectLst/>
          </c:spPr>
          <c:invertIfNegative val="0"/>
          <c:cat>
            <c:numRef>
              <c:f>data!$B$5:$B$14</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'exchq chart'!$M$3:$M$12</c:f>
              <c:numCache>
                <c:formatCode>#,##0</c:formatCode>
                <c:ptCount val="10"/>
                <c:pt idx="0">
                  <c:v>6258410</c:v>
                </c:pt>
                <c:pt idx="1">
                  <c:v>8489071</c:v>
                </c:pt>
                <c:pt idx="2">
                  <c:v>12986231</c:v>
                </c:pt>
                <c:pt idx="3">
                  <c:v>7192656</c:v>
                </c:pt>
                <c:pt idx="4">
                  <c:v>7639829</c:v>
                </c:pt>
                <c:pt idx="5">
                  <c:v>4750847</c:v>
                </c:pt>
                <c:pt idx="6">
                  <c:v>5115825</c:v>
                </c:pt>
                <c:pt idx="7">
                  <c:v>7862804</c:v>
                </c:pt>
                <c:pt idx="8">
                  <c:v>13830158</c:v>
                </c:pt>
                <c:pt idx="9">
                  <c:v>7644210</c:v>
                </c:pt>
              </c:numCache>
            </c:numRef>
          </c:val>
          <c:extLst>
            <c:ext xmlns:c16="http://schemas.microsoft.com/office/drawing/2014/chart" uri="{C3380CC4-5D6E-409C-BE32-E72D297353CC}">
              <c16:uniqueId val="{00000001-14B8-4AAE-AF71-EB0CC57416F8}"/>
            </c:ext>
          </c:extLst>
        </c:ser>
        <c:dLbls>
          <c:showLegendKey val="0"/>
          <c:showVal val="0"/>
          <c:showCatName val="0"/>
          <c:showSerName val="0"/>
          <c:showPercent val="0"/>
          <c:showBubbleSize val="0"/>
        </c:dLbls>
        <c:gapWidth val="100"/>
        <c:overlap val="100"/>
        <c:axId val="590290512"/>
        <c:axId val="590292808"/>
      </c:barChart>
      <c:lineChart>
        <c:grouping val="standard"/>
        <c:varyColors val="0"/>
        <c:ser>
          <c:idx val="2"/>
          <c:order val="2"/>
          <c:tx>
            <c:v>total revenue</c:v>
          </c:tx>
          <c:spPr>
            <a:ln w="28575" cap="rnd">
              <a:solidFill>
                <a:srgbClr val="00B0F0"/>
              </a:solidFill>
              <a:round/>
            </a:ln>
            <a:effectLst/>
          </c:spPr>
          <c:marker>
            <c:symbol val="none"/>
          </c:marker>
          <c:cat>
            <c:numRef>
              <c:f>'exchq chart'!$K$3:$K$12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'exchq chart'!$N$3:$N$12</c:f>
              <c:numCache>
                <c:formatCode>[$-10409]#,##0;\(#,##0\)</c:formatCode>
                <c:ptCount val="10"/>
                <c:pt idx="0">
                  <c:v>44064286</c:v>
                </c:pt>
                <c:pt idx="1">
                  <c:v>49771092</c:v>
                </c:pt>
                <c:pt idx="2">
                  <c:v>58587725</c:v>
                </c:pt>
                <c:pt idx="3">
                  <c:v>55057142</c:v>
                </c:pt>
                <c:pt idx="4">
                  <c:v>58376372</c:v>
                </c:pt>
                <c:pt idx="5">
                  <c:v>60308340</c:v>
                </c:pt>
                <c:pt idx="6">
                  <c:v>64429445</c:v>
                </c:pt>
                <c:pt idx="7">
                  <c:v>65027726</c:v>
                </c:pt>
                <c:pt idx="8">
                  <c:v>82240131</c:v>
                </c:pt>
                <c:pt idx="9">
                  <c:v>90773751</c:v>
                </c:pt>
              </c:numCache>
            </c:numRef>
          </c:val>
          <c:smooth val="0"/>
          <c:extLst>
            <c:ext xmlns:c16="http://schemas.microsoft.com/office/drawing/2014/chart" uri="{C3380CC4-5D6E-409C-BE32-E72D297353CC}">
              <c16:uniqueId val="{00000002-14B8-4AAE-AF71-EB0CC57416F8}"/>
            </c:ext>
          </c:extLst>
        </c:ser>
        <c:dLbls>
          <c:showLegendKey val="0"/>
          <c:showVal val="0"/>
          <c:showCatName val="0"/>
          <c:showSerName val="0"/>
          <c:showPercent val="0"/>
          <c:showBubbleSize val="0"/>
        </c:dLbls>
        <c:marker val="1"/>
        <c:smooth val="0"/>
        <c:axId val="590290512"/>
        <c:axId val="590292808"/>
      </c:lineChart>
      <c:catAx>
        <c:axId val="590290512"/>
        <c:scaling>
          <c:orientation val="minMax"/>
        </c:scaling>
        <c:delete val="0"/>
        <c:axPos val="b"/>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rgbClr val="005951"/>
                </a:solidFill>
                <a:latin typeface="+mn-lt"/>
                <a:ea typeface="+mn-ea"/>
                <a:cs typeface="+mn-cs"/>
              </a:defRPr>
            </a:pPr>
            <a:endParaRPr lang="en-US"/>
          </a:p>
        </c:txPr>
        <c:crossAx val="590292808"/>
        <c:crossesAt val="0"/>
        <c:auto val="0"/>
        <c:lblAlgn val="ctr"/>
        <c:lblOffset val="100"/>
        <c:noMultiLvlLbl val="0"/>
      </c:catAx>
      <c:valAx>
        <c:axId val="590292808"/>
        <c:scaling>
          <c:orientation val="minMax"/>
        </c:scaling>
        <c:delete val="0"/>
        <c:axPos val="l"/>
        <c:majorGridlines>
          <c:spPr>
            <a:ln w="9525" cap="flat" cmpd="sng" algn="ctr">
              <a:solidFill>
                <a:schemeClr val="bg1">
                  <a:lumMod val="85000"/>
                </a:schemeClr>
              </a:solidFill>
              <a:prstDash val="dash"/>
              <a:round/>
            </a:ln>
            <a:effectLst/>
          </c:spPr>
        </c:majorGridlines>
        <c:numFmt formatCode="#,##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rgbClr val="005951"/>
                </a:solidFill>
                <a:latin typeface="+mn-lt"/>
                <a:ea typeface="+mn-ea"/>
                <a:cs typeface="+mn-cs"/>
              </a:defRPr>
            </a:pPr>
            <a:endParaRPr lang="en-US"/>
          </a:p>
        </c:txPr>
        <c:crossAx val="590290512"/>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solidFill>
            <a:schemeClr val="bg1"/>
          </a:solidFill>
          <a:prstDash val="dash"/>
        </a:ln>
        <a:effectLst/>
      </c:spPr>
    </c:plotArea>
    <c:legend>
      <c:legendPos val="t"/>
      <c:layout>
        <c:manualLayout>
          <c:xMode val="edge"/>
          <c:yMode val="edge"/>
          <c:x val="0.15704651082790325"/>
          <c:y val="0"/>
          <c:w val="0.84226439963572042"/>
          <c:h val="9.0362078234196633E-2"/>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174464351024894E-2"/>
          <c:y val="0.14457831325301204"/>
          <c:w val="0.88288007529851575"/>
          <c:h val="0.76185737708236345"/>
        </c:manualLayout>
      </c:layout>
      <c:barChart>
        <c:barDir val="col"/>
        <c:grouping val="stacked"/>
        <c:varyColors val="0"/>
        <c:ser>
          <c:idx val="0"/>
          <c:order val="0"/>
          <c:tx>
            <c:v>tax</c:v>
          </c:tx>
          <c:spPr>
            <a:solidFill>
              <a:srgbClr val="005159"/>
            </a:solidFill>
            <a:ln>
              <a:noFill/>
            </a:ln>
            <a:effectLst/>
          </c:spPr>
          <c:invertIfNegative val="0"/>
          <c:cat>
            <c:numRef>
              <c:f>'gg chart'!$H$3:$H$12</c:f>
              <c:numCache>
                <c:formatCode>General</c:formatCode>
                <c:ptCount val="10"/>
                <c:pt idx="0">
                  <c:v>2012</c:v>
                </c:pt>
                <c:pt idx="1">
                  <c:v>2013</c:v>
                </c:pt>
                <c:pt idx="2">
                  <c:v>2014</c:v>
                </c:pt>
                <c:pt idx="3">
                  <c:v>2015</c:v>
                </c:pt>
                <c:pt idx="4">
                  <c:v>2016</c:v>
                </c:pt>
                <c:pt idx="5">
                  <c:v>2017</c:v>
                </c:pt>
                <c:pt idx="6">
                  <c:v>2018</c:v>
                </c:pt>
                <c:pt idx="7">
                  <c:v>2019</c:v>
                </c:pt>
                <c:pt idx="8">
                  <c:v>2020</c:v>
                </c:pt>
                <c:pt idx="9">
                  <c:v>2021</c:v>
                </c:pt>
              </c:numCache>
            </c:numRef>
          </c:cat>
          <c:val>
            <c:numRef>
              <c:f>'gg chart'!$I$3:$I$12</c:f>
              <c:numCache>
                <c:formatCode>#,##0</c:formatCode>
                <c:ptCount val="10"/>
                <c:pt idx="0">
                  <c:v>40940000</c:v>
                </c:pt>
                <c:pt idx="1">
                  <c:v>42517000</c:v>
                </c:pt>
                <c:pt idx="2">
                  <c:v>46508000</c:v>
                </c:pt>
                <c:pt idx="3">
                  <c:v>50750000</c:v>
                </c:pt>
                <c:pt idx="4">
                  <c:v>52814000</c:v>
                </c:pt>
                <c:pt idx="5">
                  <c:v>55719000</c:v>
                </c:pt>
                <c:pt idx="6">
                  <c:v>60508000</c:v>
                </c:pt>
                <c:pt idx="7">
                  <c:v>64581000</c:v>
                </c:pt>
                <c:pt idx="8">
                  <c:v>61552000</c:v>
                </c:pt>
                <c:pt idx="9">
                  <c:v>75606000</c:v>
                </c:pt>
              </c:numCache>
            </c:numRef>
          </c:val>
          <c:extLst>
            <c:ext xmlns:c16="http://schemas.microsoft.com/office/drawing/2014/chart" uri="{C3380CC4-5D6E-409C-BE32-E72D297353CC}">
              <c16:uniqueId val="{00000000-F78B-474B-AA38-F3C615E092B5}"/>
            </c:ext>
          </c:extLst>
        </c:ser>
        <c:ser>
          <c:idx val="1"/>
          <c:order val="1"/>
          <c:tx>
            <c:v>other</c:v>
          </c:tx>
          <c:spPr>
            <a:solidFill>
              <a:srgbClr val="A3915E"/>
            </a:solidFill>
            <a:ln>
              <a:noFill/>
            </a:ln>
            <a:effectLst/>
          </c:spPr>
          <c:invertIfNegative val="0"/>
          <c:cat>
            <c:numRef>
              <c:f>'gg chart'!$H$3:$H$12</c:f>
              <c:numCache>
                <c:formatCode>General</c:formatCode>
                <c:ptCount val="10"/>
                <c:pt idx="0">
                  <c:v>2012</c:v>
                </c:pt>
                <c:pt idx="1">
                  <c:v>2013</c:v>
                </c:pt>
                <c:pt idx="2">
                  <c:v>2014</c:v>
                </c:pt>
                <c:pt idx="3">
                  <c:v>2015</c:v>
                </c:pt>
                <c:pt idx="4">
                  <c:v>2016</c:v>
                </c:pt>
                <c:pt idx="5">
                  <c:v>2017</c:v>
                </c:pt>
                <c:pt idx="6">
                  <c:v>2018</c:v>
                </c:pt>
                <c:pt idx="7">
                  <c:v>2019</c:v>
                </c:pt>
                <c:pt idx="8">
                  <c:v>2020</c:v>
                </c:pt>
                <c:pt idx="9">
                  <c:v>2021</c:v>
                </c:pt>
              </c:numCache>
            </c:numRef>
          </c:cat>
          <c:val>
            <c:numRef>
              <c:f>'gg chart'!$L$3:$L$12</c:f>
              <c:numCache>
                <c:formatCode>#,##0</c:formatCode>
                <c:ptCount val="10"/>
                <c:pt idx="0">
                  <c:v>18863000</c:v>
                </c:pt>
                <c:pt idx="1">
                  <c:v>18877000</c:v>
                </c:pt>
                <c:pt idx="2">
                  <c:v>19760000</c:v>
                </c:pt>
                <c:pt idx="3">
                  <c:v>20309000</c:v>
                </c:pt>
                <c:pt idx="4">
                  <c:v>21008000</c:v>
                </c:pt>
                <c:pt idx="5">
                  <c:v>21315000</c:v>
                </c:pt>
                <c:pt idx="6">
                  <c:v>22730000</c:v>
                </c:pt>
                <c:pt idx="7">
                  <c:v>23624000</c:v>
                </c:pt>
                <c:pt idx="8">
                  <c:v>21638000</c:v>
                </c:pt>
                <c:pt idx="9">
                  <c:v>23129000</c:v>
                </c:pt>
              </c:numCache>
            </c:numRef>
          </c:val>
          <c:extLst>
            <c:ext xmlns:c16="http://schemas.microsoft.com/office/drawing/2014/chart" uri="{C3380CC4-5D6E-409C-BE32-E72D297353CC}">
              <c16:uniqueId val="{00000001-F78B-474B-AA38-F3C615E092B5}"/>
            </c:ext>
          </c:extLst>
        </c:ser>
        <c:dLbls>
          <c:showLegendKey val="0"/>
          <c:showVal val="0"/>
          <c:showCatName val="0"/>
          <c:showSerName val="0"/>
          <c:showPercent val="0"/>
          <c:showBubbleSize val="0"/>
        </c:dLbls>
        <c:gapWidth val="100"/>
        <c:overlap val="100"/>
        <c:axId val="590290512"/>
        <c:axId val="590292808"/>
      </c:barChart>
      <c:lineChart>
        <c:grouping val="standard"/>
        <c:varyColors val="0"/>
        <c:ser>
          <c:idx val="2"/>
          <c:order val="2"/>
          <c:tx>
            <c:v>total revenue</c:v>
          </c:tx>
          <c:spPr>
            <a:ln w="28575" cap="rnd">
              <a:solidFill>
                <a:srgbClr val="00B0F0"/>
              </a:solidFill>
              <a:round/>
            </a:ln>
            <a:effectLst/>
          </c:spPr>
          <c:marker>
            <c:symbol val="none"/>
          </c:marker>
          <c:cat>
            <c:numRef>
              <c:f>'exchq chart'!$K$3:$K$12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'gg chart'!$J$3:$J$12</c:f>
              <c:numCache>
                <c:formatCode>#,##0</c:formatCode>
                <c:ptCount val="10"/>
                <c:pt idx="0">
                  <c:v>59803000</c:v>
                </c:pt>
                <c:pt idx="1">
                  <c:v>61394000</c:v>
                </c:pt>
                <c:pt idx="2">
                  <c:v>66268000</c:v>
                </c:pt>
                <c:pt idx="3">
                  <c:v>71059000</c:v>
                </c:pt>
                <c:pt idx="4">
                  <c:v>73822000</c:v>
                </c:pt>
                <c:pt idx="5">
                  <c:v>77034000</c:v>
                </c:pt>
                <c:pt idx="6">
                  <c:v>83238000</c:v>
                </c:pt>
                <c:pt idx="7">
                  <c:v>88205000</c:v>
                </c:pt>
                <c:pt idx="8">
                  <c:v>83190000</c:v>
                </c:pt>
                <c:pt idx="9">
                  <c:v>98735000</c:v>
                </c:pt>
              </c:numCache>
            </c:numRef>
          </c:val>
          <c:smooth val="0"/>
          <c:extLst>
            <c:ext xmlns:c16="http://schemas.microsoft.com/office/drawing/2014/chart" uri="{C3380CC4-5D6E-409C-BE32-E72D297353CC}">
              <c16:uniqueId val="{00000002-F78B-474B-AA38-F3C615E092B5}"/>
            </c:ext>
          </c:extLst>
        </c:ser>
        <c:dLbls>
          <c:showLegendKey val="0"/>
          <c:showVal val="0"/>
          <c:showCatName val="0"/>
          <c:showSerName val="0"/>
          <c:showPercent val="0"/>
          <c:showBubbleSize val="0"/>
        </c:dLbls>
        <c:marker val="1"/>
        <c:smooth val="0"/>
        <c:axId val="590290512"/>
        <c:axId val="590292808"/>
      </c:lineChart>
      <c:catAx>
        <c:axId val="590290512"/>
        <c:scaling>
          <c:orientation val="minMax"/>
        </c:scaling>
        <c:delete val="0"/>
        <c:axPos val="b"/>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rgbClr val="005951"/>
                </a:solidFill>
                <a:latin typeface="+mn-lt"/>
                <a:ea typeface="+mn-ea"/>
                <a:cs typeface="+mn-cs"/>
              </a:defRPr>
            </a:pPr>
            <a:endParaRPr lang="en-US"/>
          </a:p>
        </c:txPr>
        <c:crossAx val="590292808"/>
        <c:crossesAt val="0"/>
        <c:auto val="0"/>
        <c:lblAlgn val="ctr"/>
        <c:lblOffset val="100"/>
        <c:noMultiLvlLbl val="0"/>
      </c:catAx>
      <c:valAx>
        <c:axId val="590292808"/>
        <c:scaling>
          <c:orientation val="minMax"/>
        </c:scaling>
        <c:delete val="0"/>
        <c:axPos val="l"/>
        <c:majorGridlines>
          <c:spPr>
            <a:ln w="9525" cap="flat" cmpd="sng" algn="ctr">
              <a:solidFill>
                <a:schemeClr val="bg1">
                  <a:lumMod val="85000"/>
                </a:schemeClr>
              </a:solidFill>
              <a:prstDash val="dash"/>
              <a:round/>
            </a:ln>
            <a:effectLst/>
          </c:spPr>
        </c:majorGridlines>
        <c:numFmt formatCode="#,##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rgbClr val="005951"/>
                </a:solidFill>
                <a:latin typeface="+mn-lt"/>
                <a:ea typeface="+mn-ea"/>
                <a:cs typeface="+mn-cs"/>
              </a:defRPr>
            </a:pPr>
            <a:endParaRPr lang="en-US"/>
          </a:p>
        </c:txPr>
        <c:crossAx val="590290512"/>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solidFill>
            <a:schemeClr val="bg1"/>
          </a:solidFill>
          <a:prstDash val="dash"/>
        </a:ln>
        <a:effectLst/>
      </c:spPr>
    </c:plotArea>
    <c:legend>
      <c:legendPos val="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New Dwelling Completions</a:t>
            </a:r>
            <a:br>
              <a:rPr lang="en-US"/>
            </a:br>
            <a:r>
              <a:rPr lang="en-US" sz="1100"/>
              <a:t>Source: CSO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'NDA01.20230329T140327'!$B$1</c:f>
              <c:strCache>
                <c:ptCount val="1"/>
                <c:pt idx="0">
                  <c:v>New Dwelling Completions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'NDA01.20230329T140327'!$A$2:$A$6</c:f>
              <c:numCache>
                <c:formatCode>General</c:formatCode>
                <c:ptCount val="5"/>
                <c:pt idx="0">
                  <c:v>2018</c:v>
                </c:pt>
                <c:pt idx="1">
                  <c:v>2019</c:v>
                </c:pt>
                <c:pt idx="2">
                  <c:v>2020</c:v>
                </c:pt>
                <c:pt idx="3">
                  <c:v>2021</c:v>
                </c:pt>
                <c:pt idx="4">
                  <c:v>2022</c:v>
                </c:pt>
              </c:numCache>
            </c:numRef>
          </c:cat>
          <c:val>
            <c:numRef>
              <c:f>'NDA01.20230329T140327'!$B$2:$B$6</c:f>
              <c:numCache>
                <c:formatCode>#,##0</c:formatCode>
                <c:ptCount val="5"/>
                <c:pt idx="0">
                  <c:v>17881</c:v>
                </c:pt>
                <c:pt idx="1">
                  <c:v>21130</c:v>
                </c:pt>
                <c:pt idx="2">
                  <c:v>20575</c:v>
                </c:pt>
                <c:pt idx="3">
                  <c:v>20553</c:v>
                </c:pt>
                <c:pt idx="4">
                  <c:v>29851</c:v>
                </c:pt>
              </c:numCache>
            </c:numRef>
          </c:val>
          <c:extLst>
            <c:ext xmlns:c16="http://schemas.microsoft.com/office/drawing/2014/chart" uri="{C3380CC4-5D6E-409C-BE32-E72D297353CC}">
              <c16:uniqueId val="{00000000-A72D-4C69-839F-DBF4F0F241C7}"/>
            </c:ext>
          </c:extLst>
        </c:ser>
        <c:dLbls>
          <c:dLblPos val="outEnd"/>
          <c:showLegendKey val="0"/>
          <c:showVal val="1"/>
          <c:showCatName val="0"/>
          <c:showSerName val="0"/>
          <c:showPercent val="0"/>
          <c:showBubbleSize val="0"/>
        </c:dLbls>
        <c:gapWidth val="219"/>
        <c:overlap val="-27"/>
        <c:axId val="607647784"/>
        <c:axId val="607645160"/>
        <c:extLst>
          <c:ext xmlns:c15="http://schemas.microsoft.com/office/drawing/2012/chart" uri="{02D57815-91ED-43cb-92C2-25804820EDAC}">
            <c15:filteredBarSeries>
              <c15:ser>
                <c:idx val="0"/>
                <c:order val="0"/>
                <c:tx>
                  <c:strRef>
                    <c:extLst>
                      <c:ext uri="{02D57815-91ED-43cb-92C2-25804820EDAC}">
                        <c15:formulaRef>
                          <c15:sqref>'NDA01.20230329T140327'!$A$1</c15:sqref>
                        </c15:formulaRef>
                      </c:ext>
                    </c:extLst>
                    <c:strCache>
                      <c:ptCount val="1"/>
                      <c:pt idx="0">
                        <c:v>Year</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'NDA01.20230329T140327'!$A$2:$A$6</c15:sqref>
                        </c15:formulaRef>
                      </c:ext>
                    </c:extLst>
                    <c:numCache>
                      <c:formatCode>General</c:formatCode>
                      <c:ptCount val="5"/>
                      <c:pt idx="0">
                        <c:v>2018</c:v>
                      </c:pt>
                      <c:pt idx="1">
                        <c:v>2019</c:v>
                      </c:pt>
                      <c:pt idx="2">
                        <c:v>2020</c:v>
                      </c:pt>
                      <c:pt idx="3">
                        <c:v>2021</c:v>
                      </c:pt>
                      <c:pt idx="4">
                        <c:v>2022</c:v>
                      </c:pt>
                    </c:numCache>
                  </c:numRef>
                </c:cat>
                <c:val>
                  <c:numRef>
                    <c:extLst>
                      <c:ext uri="{02D57815-91ED-43cb-92C2-25804820EDAC}">
                        <c15:formulaRef>
                          <c15:sqref>'NDA01.20230329T140327'!$A$2:$A$6</c15:sqref>
                        </c15:formulaRef>
                      </c:ext>
                    </c:extLst>
                    <c:numCache>
                      <c:formatCode>General</c:formatCode>
                      <c:ptCount val="5"/>
                      <c:pt idx="0">
                        <c:v>2018</c:v>
                      </c:pt>
                      <c:pt idx="1">
                        <c:v>2019</c:v>
                      </c:pt>
                      <c:pt idx="2">
                        <c:v>2020</c:v>
                      </c:pt>
                      <c:pt idx="3">
                        <c:v>2021</c:v>
                      </c:pt>
                      <c:pt idx="4">
                        <c:v>2022</c:v>
                      </c:pt>
                    </c:numCache>
                  </c:numRef>
                </c:val>
                <c:extLst>
                  <c:ext xmlns:c16="http://schemas.microsoft.com/office/drawing/2014/chart" uri="{C3380CC4-5D6E-409C-BE32-E72D297353CC}">
                    <c16:uniqueId val="{00000001-A72D-4C69-839F-DBF4F0F241C7}"/>
                  </c:ext>
                </c:extLst>
              </c15:ser>
            </c15:filteredBarSeries>
          </c:ext>
        </c:extLst>
      </c:barChart>
      <c:catAx>
        <c:axId val="607647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645160"/>
        <c:crosses val="autoZero"/>
        <c:auto val="1"/>
        <c:lblAlgn val="ctr"/>
        <c:lblOffset val="100"/>
        <c:noMultiLvlLbl val="0"/>
      </c:catAx>
      <c:valAx>
        <c:axId val="607645160"/>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647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1"/>
          <c:order val="1"/>
          <c:tx>
            <c:v>Total Social Housing Delivery</c:v>
          </c:tx>
          <c:spPr>
            <a:solidFill>
              <a:schemeClr val="accent5"/>
            </a:solidFill>
            <a:ln>
              <a:noFill/>
            </a:ln>
            <a:effectLst/>
          </c:spPr>
          <c:invertIfNegative val="0"/>
          <c:dLbls>
            <c:dLbl>
              <c:idx val="0"/>
              <c:layout>
                <c:manualLayout>
                  <c:x val="0"/>
                  <c:y val="-0.2524442257217848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DD7-4E6C-9486-0124949CC4FE}"/>
                </c:ext>
              </c:extLst>
            </c:dLbl>
            <c:dLbl>
              <c:idx val="1"/>
              <c:layout>
                <c:manualLayout>
                  <c:x val="-1.0185067526415994E-16"/>
                  <c:y val="-0.2980471711869349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D7-4E6C-9486-0124949CC4FE}"/>
                </c:ext>
              </c:extLst>
            </c:dLbl>
            <c:dLbl>
              <c:idx val="2"/>
              <c:layout>
                <c:manualLayout>
                  <c:x val="0"/>
                  <c:y val="-0.2421861329833770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D7-4E6C-9486-0124949CC4FE}"/>
                </c:ext>
              </c:extLst>
            </c:dLbl>
            <c:dLbl>
              <c:idx val="3"/>
              <c:layout>
                <c:manualLayout>
                  <c:x val="0"/>
                  <c:y val="-0.2766509915427238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D7-4E6C-9486-0124949CC4F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Sheet1!$B$11:$E$11</c:f>
              <c:numCache>
                <c:formatCode>General</c:formatCode>
                <c:ptCount val="4"/>
                <c:pt idx="0">
                  <c:v>2018</c:v>
                </c:pt>
                <c:pt idx="1">
                  <c:v>2019</c:v>
                </c:pt>
                <c:pt idx="2">
                  <c:v>2020</c:v>
                </c:pt>
                <c:pt idx="3">
                  <c:v>2021</c:v>
                </c:pt>
              </c:numCache>
            </c:numRef>
          </c:cat>
          <c:val>
            <c:numRef>
              <c:f>Sheet1!$B$12:$E$12</c:f>
              <c:numCache>
                <c:formatCode>#,##0</c:formatCode>
                <c:ptCount val="4"/>
                <c:pt idx="0">
                  <c:v>8405</c:v>
                </c:pt>
                <c:pt idx="1">
                  <c:v>10004</c:v>
                </c:pt>
                <c:pt idx="2">
                  <c:v>7824</c:v>
                </c:pt>
                <c:pt idx="3">
                  <c:v>9169</c:v>
                </c:pt>
              </c:numCache>
            </c:numRef>
          </c:val>
          <c:extLst>
            <c:ext xmlns:c16="http://schemas.microsoft.com/office/drawing/2014/chart" uri="{C3380CC4-5D6E-409C-BE32-E72D297353CC}">
              <c16:uniqueId val="{00000004-4DD7-4E6C-9486-0124949CC4FE}"/>
            </c:ext>
          </c:extLst>
        </c:ser>
        <c:dLbls>
          <c:dLblPos val="ctr"/>
          <c:showLegendKey val="0"/>
          <c:showVal val="1"/>
          <c:showCatName val="0"/>
          <c:showSerName val="0"/>
          <c:showPercent val="0"/>
          <c:showBubbleSize val="0"/>
        </c:dLbls>
        <c:gapWidth val="150"/>
        <c:overlap val="100"/>
        <c:axId val="610198304"/>
        <c:axId val="716494904"/>
        <c:extLst>
          <c:ext xmlns:c15="http://schemas.microsoft.com/office/drawing/2012/chart" uri="{02D57815-91ED-43cb-92C2-25804820EDAC}">
            <c15:filteredBarSeries>
              <c15:ser>
                <c:idx val="0"/>
                <c:order val="0"/>
                <c:tx>
                  <c:strRef>
                    <c:extLst>
                      <c:ext uri="{02D57815-91ED-43cb-92C2-25804820EDAC}">
                        <c15:formulaRef>
                          <c15:sqref>Sheet1!$A$11</c15:sqref>
                        </c15:formulaRef>
                      </c:ext>
                    </c:extLst>
                    <c:strCache>
                      <c:ptCount val="1"/>
                      <c:pt idx="0">
                        <c:v>Year</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Sheet1!$B$11:$E$11</c15:sqref>
                        </c15:formulaRef>
                      </c:ext>
                    </c:extLst>
                    <c:numCache>
                      <c:formatCode>General</c:formatCode>
                      <c:ptCount val="4"/>
                      <c:pt idx="0">
                        <c:v>2018</c:v>
                      </c:pt>
                      <c:pt idx="1">
                        <c:v>2019</c:v>
                      </c:pt>
                      <c:pt idx="2">
                        <c:v>2020</c:v>
                      </c:pt>
                      <c:pt idx="3">
                        <c:v>2021</c:v>
                      </c:pt>
                    </c:numCache>
                  </c:numRef>
                </c:cat>
                <c:val>
                  <c:numRef>
                    <c:extLst>
                      <c:ext uri="{02D57815-91ED-43cb-92C2-25804820EDAC}">
                        <c15:formulaRef>
                          <c15:sqref>Sheet1!$B$11:$E$11</c15:sqref>
                        </c15:formulaRef>
                      </c:ext>
                    </c:extLst>
                    <c:numCache>
                      <c:formatCode>General</c:formatCode>
                      <c:ptCount val="4"/>
                      <c:pt idx="0">
                        <c:v>2018</c:v>
                      </c:pt>
                      <c:pt idx="1">
                        <c:v>2019</c:v>
                      </c:pt>
                      <c:pt idx="2">
                        <c:v>2020</c:v>
                      </c:pt>
                      <c:pt idx="3">
                        <c:v>2021</c:v>
                      </c:pt>
                    </c:numCache>
                  </c:numRef>
                </c:val>
                <c:extLst>
                  <c:ext xmlns:c16="http://schemas.microsoft.com/office/drawing/2014/chart" uri="{C3380CC4-5D6E-409C-BE32-E72D297353CC}">
                    <c16:uniqueId val="{00000005-4DD7-4E6C-9486-0124949CC4FE}"/>
                  </c:ext>
                </c:extLst>
              </c15:ser>
            </c15:filteredBarSeries>
          </c:ext>
        </c:extLst>
      </c:barChart>
      <c:catAx>
        <c:axId val="610198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6494904"/>
        <c:crosses val="autoZero"/>
        <c:auto val="1"/>
        <c:lblAlgn val="ctr"/>
        <c:lblOffset val="100"/>
        <c:noMultiLvlLbl val="0"/>
      </c:catAx>
      <c:valAx>
        <c:axId val="71649490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19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Document" ma:contentTypeID="0x0101000BC94875665D404BB1351B53C41FD2C000D5E804706A51FB4981609FCFE7A89F4F" ma:contentTypeVersion="4" ma:contentTypeDescription="Create a new document for eDocs" ma:contentTypeScope="" ma:versionID="d98e112488b0e335b59b46b391a0e15b">
  <xsd:schema xmlns:xsd="http://www.w3.org/2001/XMLSchema" xmlns:xs="http://www.w3.org/2001/XMLSchema" xmlns:p="http://schemas.microsoft.com/office/2006/metadata/properties" xmlns:ns1="http://schemas.microsoft.com/sharepoint/v3" xmlns:ns2="eb3de93f-be4f-4118-a25b-ff6cfae161d4" xmlns:ns3="6c87e702-29a6-462a-9cf9-17fde3c3c34f" targetNamespace="http://schemas.microsoft.com/office/2006/metadata/properties" ma:root="true" ma:fieldsID="2717fd393f918b76b89f7142e0ae5307" ns1:_="" ns2:_="" ns3:_="">
    <xsd:import namespace="http://schemas.microsoft.com/sharepoint/v3"/>
    <xsd:import namespace="eb3de93f-be4f-4118-a25b-ff6cfae161d4"/>
    <xsd:import namespace="6c87e702-29a6-462a-9cf9-17fde3c3c34f"/>
    <xsd:element name="properties">
      <xsd:complexType>
        <xsd:sequence>
          <xsd:element name="documentManagement">
            <xsd:complexType>
              <xsd:all>
                <xsd:element ref="ns2:eDocs_DocumentTopicsTaxHTField0" minOccurs="0"/>
                <xsd:element ref="ns1:_vti_ItemDeclaredRecord" minOccurs="0"/>
                <xsd:element ref="ns3:TaxCatchAll" minOccurs="0"/>
                <xsd:element ref="ns2:eDocs_YearTaxHTField0" minOccurs="0"/>
                <xsd:element ref="ns1:eDocs_FileStatus"/>
                <xsd:element ref="ns2:eDocs_SeriesSubSeriesTaxHTField0" minOccurs="0"/>
                <xsd:element ref="ns2:eDocs_FileTopicsTaxHTField0" minOccurs="0"/>
                <xsd:element ref="ns1:eDocs_FileName" minOccurs="0"/>
                <xsd:element ref="ns2:eDocs_SecurityClassification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0" nillable="true" ma:displayName="Declared Record" ma:hidden="true" ma:internalName="_vti_ItemDeclaredRecord" ma:readOnly="true">
      <xsd:simpleType>
        <xsd:restriction base="dms:DateTime"/>
      </xsd:simpleType>
    </xsd:element>
    <xsd:element name="eDocs_FileStatus" ma:index="14" ma:displayName="Status" ma:default="Live" ma:description="Current Status of the File. This is set to Live, Archived or sent to National Archives" ma:format="Dropdown" ma:indexed="true" ma:internalName="eDocs_FileStatus">
      <xsd:simpleType>
        <xsd:restriction base="dms:Choice">
          <xsd:enumeration value="Live"/>
          <xsd:enumeration value="Archived"/>
          <xsd:enumeration value="Cancelled"/>
          <xsd:enumeration value="Sent to National Archives"/>
        </xsd:restriction>
      </xsd:simpleType>
    </xsd:element>
    <xsd:element name="eDocs_FileName" ma:index="19" nillable="true" ma:displayName="File Name" ma:default="0" ma:description="File Number" ma:indexed="true" ma:internalName="eDocs_FileNam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eb3de93f-be4f-4118-a25b-ff6cfae161d4" elementFormDefault="qualified">
    <xsd:import namespace="http://schemas.microsoft.com/office/2006/documentManagement/types"/>
    <xsd:import namespace="http://schemas.microsoft.com/office/infopath/2007/PartnerControls"/>
    <xsd:element name="eDocs_DocumentTopicsTaxHTField0" ma:index="9" nillable="true" ma:taxonomy="true" ma:internalName="eDocs_DocumentTopicsTaxHTField0" ma:taxonomyFieldName="eDocs_DocumentTopics" ma:displayName="Document Topics" ma:fieldId="{fbaa881f-c4ae-443f-9fda-fbdd527793df}" ma:taxonomyMulti="true" ma:sspId="9c9905c5-6069-4127-ab72-86ca0861185a" ma:termSetId="3bfd233e-e4b5-4528-8241-afa9e55df15b" ma:anchorId="00000000-0000-0000-0000-000000000000" ma:open="false" ma:isKeyword="false">
      <xsd:complexType>
        <xsd:sequence>
          <xsd:element ref="pc:Terms" minOccurs="0" maxOccurs="1"/>
        </xsd:sequence>
      </xsd:complexType>
    </xsd:element>
    <xsd:element name="eDocs_YearTaxHTField0" ma:index="12" nillable="true" ma:taxonomy="true" ma:internalName="eDocs_YearTaxHTField0" ma:taxonomyFieldName="eDocs_Year" ma:displayName="Year" ma:indexed="true" ma:fieldId="{7b1b8a72-8553-41e1-8dd7-5ce464e281f2}" ma:sspId="9c9905c5-6069-4127-ab72-86ca0861185a" ma:termSetId="6e832c83-050b-48dc-ad1c-9a00fb71e296" ma:anchorId="00000000-0000-0000-0000-000000000000" ma:open="false" ma:isKeyword="false">
      <xsd:complexType>
        <xsd:sequence>
          <xsd:element ref="pc:Terms" minOccurs="0" maxOccurs="1"/>
        </xsd:sequence>
      </xsd:complexType>
    </xsd:element>
    <xsd:element name="eDocs_SeriesSubSeriesTaxHTField0" ma:index="15" nillable="true" ma:taxonomy="true" ma:internalName="eDocs_SeriesSubSeriesTaxHTField0" ma:taxonomyFieldName="eDocs_SeriesSubSeries" ma:displayName="Sub Series" ma:fieldId="{11f8bb48-43d6-459a-8b80-9123185593c7}" ma:sspId="9c9905c5-6069-4127-ab72-86ca0861185a" ma:termSetId="90efb4c6-9db8-4ab8-b5d0-a64d06b76fd3" ma:anchorId="00000000-0000-0000-0000-000000000000" ma:open="false" ma:isKeyword="false">
      <xsd:complexType>
        <xsd:sequence>
          <xsd:element ref="pc:Terms" minOccurs="0" maxOccurs="1"/>
        </xsd:sequence>
      </xsd:complexType>
    </xsd:element>
    <xsd:element name="eDocs_FileTopicsTaxHTField0" ma:index="17" nillable="true" ma:taxonomy="true" ma:internalName="eDocs_FileTopicsTaxHTField0" ma:taxonomyFieldName="eDocs_FileTopics" ma:displayName="File Topics" ma:fieldId="{602c691f-3efa-402d-ab5c-baa8c240a9e7}" ma:taxonomyMulti="true" ma:sspId="9c9905c5-6069-4127-ab72-86ca0861185a" ma:termSetId="3bfd233e-e4b5-4528-8241-afa9e55df15b" ma:anchorId="00000000-0000-0000-0000-000000000000" ma:open="false" ma:isKeyword="false">
      <xsd:complexType>
        <xsd:sequence>
          <xsd:element ref="pc:Terms" minOccurs="0" maxOccurs="1"/>
        </xsd:sequence>
      </xsd:complexType>
    </xsd:element>
    <xsd:element name="eDocs_SecurityClassificationTaxHTField0" ma:index="20" nillable="true" ma:taxonomy="true" ma:internalName="eDocs_SecurityClassificationTaxHTField0" ma:taxonomyFieldName="eDocs_SecurityClassification" ma:displayName="Security Classification" ma:default="1;#Unclassified|48e59aef-4941-49be-a09f-d6143239bb71" ma:fieldId="{6bbd3faf-a5ab-4e5e-b8a6-a5e099cef439}" ma:sspId="9c9905c5-6069-4127-ab72-86ca0861185a" ma:termSetId="cfde435d-7c98-4272-8b5d-5c47f89107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87e702-29a6-462a-9cf9-17fde3c3c34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3e9c5835-3938-4f9c-95f3-b084e3eb1f05}" ma:internalName="TaxCatchAll" ma:showField="CatchAllData" ma:web="6c87e702-29a6-462a-9cf9-17fde3c3c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Docs_YearTaxHTField0 xmlns="eb3de93f-be4f-4118-a25b-ff6cfae161d4">
      <Terms xmlns="http://schemas.microsoft.com/office/infopath/2007/PartnerControls">
        <TermInfo xmlns="http://schemas.microsoft.com/office/infopath/2007/PartnerControls">
          <TermName xmlns="http://schemas.microsoft.com/office/infopath/2007/PartnerControls">2023</TermName>
          <TermId xmlns="http://schemas.microsoft.com/office/infopath/2007/PartnerControls">245773f1-4a3d-4496-a6a7-a263fbb116d4</TermId>
        </TermInfo>
      </Terms>
    </eDocs_YearTaxHTField0>
    <eDocs_SeriesSubSeriesTaxHTField0 xmlns="eb3de93f-be4f-4118-a25b-ff6cfae161d4">
      <Terms xmlns="http://schemas.microsoft.com/office/infopath/2007/PartnerControls">
        <TermInfo xmlns="http://schemas.microsoft.com/office/infopath/2007/PartnerControls">
          <TermName xmlns="http://schemas.microsoft.com/office/infopath/2007/PartnerControls">469</TermName>
          <TermId xmlns="http://schemas.microsoft.com/office/infopath/2007/PartnerControls">98230b97-e2c4-483b-8494-dfc1ffd5772b</TermId>
        </TermInfo>
      </Terms>
    </eDocs_SeriesSubSeriesTaxHTField0>
    <eDocs_FileTopicsTaxHTField0 xmlns="eb3de93f-be4f-4118-a25b-ff6cfae161d4">
      <Terms xmlns="http://schemas.microsoft.com/office/infopath/2007/PartnerControls">
        <TermInfo xmlns="http://schemas.microsoft.com/office/infopath/2007/PartnerControls">
          <TermName xmlns="http://schemas.microsoft.com/office/infopath/2007/PartnerControls">Human Rights</TermName>
          <TermId xmlns="http://schemas.microsoft.com/office/infopath/2007/PartnerControls">7bf58855-4265-44c9-9c9b-6ef14bf565a0</TermId>
        </TermInfo>
        <TermInfo xmlns="http://schemas.microsoft.com/office/infopath/2007/PartnerControls">
          <TermName xmlns="http://schemas.microsoft.com/office/infopath/2007/PartnerControls">Reports</TermName>
          <TermId xmlns="http://schemas.microsoft.com/office/infopath/2007/PartnerControls">ce64185f-9d58-4d7f-af2d-5130fa14b28a</TermId>
        </TermInfo>
        <TermInfo xmlns="http://schemas.microsoft.com/office/infopath/2007/PartnerControls">
          <TermName xmlns="http://schemas.microsoft.com/office/infopath/2007/PartnerControls">Policy</TermName>
          <TermId xmlns="http://schemas.microsoft.com/office/infopath/2007/PartnerControls">b4ee64c2-e0e1-44a2-abb9-b38af85aafd1</TermId>
        </TermInfo>
        <TermInfo xmlns="http://schemas.microsoft.com/office/infopath/2007/PartnerControls">
          <TermName xmlns="http://schemas.microsoft.com/office/infopath/2007/PartnerControls">Information</TermName>
          <TermId xmlns="http://schemas.microsoft.com/office/infopath/2007/PartnerControls">1a9a1a80-b644-4bea-bfc5-35c7dd46e14b</TermId>
        </TermInfo>
      </Terms>
    </eDocs_FileTopicsTaxHTField0>
    <eDocs_FileStatus xmlns="http://schemas.microsoft.com/sharepoint/v3">Live</eDocs_FileStatus>
    <eDocs_DocumentTopicsTaxHTField0 xmlns="eb3de93f-be4f-4118-a25b-ff6cfae161d4">
      <Terms xmlns="http://schemas.microsoft.com/office/infopath/2007/PartnerControls"/>
    </eDocs_DocumentTopicsTaxHTField0>
    <TaxCatchAll xmlns="6c87e702-29a6-462a-9cf9-17fde3c3c34f">
      <Value>7</Value>
      <Value>6</Value>
      <Value>5</Value>
      <Value>4</Value>
      <Value>3</Value>
      <Value>2</Value>
      <Value>1</Value>
    </TaxCatchAll>
    <eDocs_SecurityClassificationTaxHTField0 xmlns="eb3de93f-be4f-4118-a25b-ff6cfae161d4">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48e59aef-4941-49be-a09f-d6143239bb71</TermId>
        </TermInfo>
      </Terms>
    </eDocs_SecurityClassificationTaxHTField0>
    <eDocs_FileName xmlns="http://schemas.microsoft.com/sharepoint/v3">DFA469-001-2023</eDocs_FileNam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BE575-ECBE-493C-B8FC-E59E4007BC42}">
  <ds:schemaRefs>
    <ds:schemaRef ds:uri="http://schemas.microsoft.com/sharepoint/v3/contenttype/forms"/>
  </ds:schemaRefs>
</ds:datastoreItem>
</file>

<file path=customXml/itemProps2.xml><?xml version="1.0" encoding="utf-8"?>
<ds:datastoreItem xmlns:ds="http://schemas.openxmlformats.org/officeDocument/2006/customXml" ds:itemID="{F7C0A5AE-F249-4B33-8874-AD32BABF5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3de93f-be4f-4118-a25b-ff6cfae161d4"/>
    <ds:schemaRef ds:uri="6c87e702-29a6-462a-9cf9-17fde3c3c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4C2FFB-FBBE-4AA4-A252-41E24F2AA059}">
  <ds:schemaRefs>
    <ds:schemaRef ds:uri="http://schemas.microsoft.com/office/2006/metadata/properties"/>
    <ds:schemaRef ds:uri="http://schemas.microsoft.com/office/infopath/2007/PartnerControls"/>
    <ds:schemaRef ds:uri="eb3de93f-be4f-4118-a25b-ff6cfae161d4"/>
    <ds:schemaRef ds:uri="http://schemas.microsoft.com/sharepoint/v3"/>
    <ds:schemaRef ds:uri="6c87e702-29a6-462a-9cf9-17fde3c3c34f"/>
  </ds:schemaRefs>
</ds:datastoreItem>
</file>

<file path=customXml/itemProps4.xml><?xml version="1.0" encoding="utf-8"?>
<ds:datastoreItem xmlns:ds="http://schemas.openxmlformats.org/officeDocument/2006/customXml" ds:itemID="{C6955392-ACBD-434B-8AFD-7EDE4C29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16355</Words>
  <Characters>93229</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Dept of Foreign Affairs &amp; Trade</Company>
  <LinksUpToDate>false</LinksUpToDate>
  <CharactersWithSpaces>109366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Roisin ADDIS ABABA EM</dc:creator>
  <cp:keywords/>
  <dc:description/>
  <cp:lastModifiedBy>DFA - Human Rights Unit</cp:lastModifiedBy>
  <cp:revision>7</cp:revision>
  <cp:lastPrinted>2023-08-02T13:02:00Z</cp:lastPrinted>
  <dcterms:created xsi:type="dcterms:W3CDTF">2023-08-02T10:58:00Z</dcterms:created>
  <dcterms:modified xsi:type="dcterms:W3CDTF">2023-08-02T13:02:00Z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0x0101000BC94875665D404BB1351B53C41FD2C000D5E804706A51FB4981609FCFE7A89F4F</vt:lpwstr>
  </property>
  <property fmtid="{D5CDD505-2E9C-101B-9397-08002B2CF9AE}" pid="3" name="eDocs_SecurityClassification">
    <vt:lpwstr>1;#Unclassified|48e59aef-4941-49be-a09f-d6143239bb71</vt:lpwstr>
  </property>
  <property fmtid="{D5CDD505-2E9C-101B-9397-08002B2CF9AE}" pid="4" name="eDocs_Year">
    <vt:lpwstr>6;#2023|245773f1-4a3d-4496-a6a7-a263fbb116d4</vt:lpwstr>
  </property>
  <property fmtid="{D5CDD505-2E9C-101B-9397-08002B2CF9AE}" pid="5" name="eDocs_SeriesSubSeries">
    <vt:lpwstr>7;#469|98230b97-e2c4-483b-8494-dfc1ffd5772b</vt:lpwstr>
  </property>
  <property fmtid="{D5CDD505-2E9C-101B-9397-08002B2CF9AE}" pid="6" name="eDocs_FileTopics">
    <vt:lpwstr>2;#Human Rights|7bf58855-4265-44c9-9c9b-6ef14bf565a0;#3;#Reports|ce64185f-9d58-4d7f-af2d-5130fa14b28a;#4;#Policy|b4ee64c2-e0e1-44a2-abb9-b38af85aafd1;#5;#Information|1a9a1a80-b644-4bea-bfc5-35c7dd46e14b</vt:lpwstr>
  </property>
  <property fmtid="{D5CDD505-2E9C-101B-9397-08002B2CF9AE}" pid="7" name="eDocs_DocumentTopics">
    <vt:lpwstr/>
  </property>
</Properties>
</file>