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155E2" w14:textId="718A79AF" w:rsidR="00BE37BF" w:rsidRPr="00DF42D1" w:rsidRDefault="007F7529" w:rsidP="007F7529">
      <w:pPr>
        <w:spacing w:after="120"/>
        <w:rPr>
          <w:rFonts w:asciiTheme="majorHAnsi" w:hAnsiTheme="majorHAnsi" w:cstheme="majorHAnsi"/>
          <w:b/>
          <w:sz w:val="28"/>
          <w:szCs w:val="28"/>
          <w:u w:val="single"/>
        </w:rPr>
      </w:pPr>
      <w:bookmarkStart w:id="0" w:name="_GoBack"/>
      <w:bookmarkEnd w:id="0"/>
      <w:r w:rsidRPr="00DF42D1">
        <w:rPr>
          <w:rFonts w:asciiTheme="majorHAnsi" w:hAnsiTheme="majorHAnsi" w:cstheme="majorHAnsi"/>
          <w:b/>
          <w:noProof/>
          <w:sz w:val="28"/>
          <w:szCs w:val="28"/>
        </w:rPr>
        <w:drawing>
          <wp:anchor distT="0" distB="0" distL="114300" distR="114300" simplePos="0" relativeHeight="251657216" behindDoc="0" locked="0" layoutInCell="1" allowOverlap="1" wp14:anchorId="28BCFCDB" wp14:editId="6FC3F55D">
            <wp:simplePos x="0" y="0"/>
            <wp:positionH relativeFrom="margin">
              <wp:posOffset>4634865</wp:posOffset>
            </wp:positionH>
            <wp:positionV relativeFrom="margin">
              <wp:posOffset>-109220</wp:posOffset>
            </wp:positionV>
            <wp:extent cx="1555765" cy="14503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lobal logo.jpg"/>
                    <pic:cNvPicPr/>
                  </pic:nvPicPr>
                  <pic:blipFill>
                    <a:blip r:embed="rId13">
                      <a:extLst>
                        <a:ext uri="{28A0092B-C50C-407E-A947-70E740481C1C}">
                          <a14:useLocalDpi xmlns:a14="http://schemas.microsoft.com/office/drawing/2010/main" val="0"/>
                        </a:ext>
                      </a:extLst>
                    </a:blip>
                    <a:stretch>
                      <a:fillRect/>
                    </a:stretch>
                  </pic:blipFill>
                  <pic:spPr>
                    <a:xfrm>
                      <a:off x="0" y="0"/>
                      <a:ext cx="1555765" cy="1450340"/>
                    </a:xfrm>
                    <a:prstGeom prst="rect">
                      <a:avLst/>
                    </a:prstGeom>
                  </pic:spPr>
                </pic:pic>
              </a:graphicData>
            </a:graphic>
          </wp:anchor>
        </w:drawing>
      </w:r>
      <w:r w:rsidR="00767639" w:rsidRPr="00DF42D1">
        <w:rPr>
          <w:rFonts w:asciiTheme="majorHAnsi" w:hAnsiTheme="majorHAnsi" w:cstheme="majorHAnsi"/>
          <w:b/>
          <w:sz w:val="34"/>
          <w:szCs w:val="34"/>
        </w:rPr>
        <w:t>B</w:t>
      </w:r>
      <w:r w:rsidR="00BE37BF" w:rsidRPr="00DF42D1">
        <w:rPr>
          <w:rFonts w:asciiTheme="majorHAnsi" w:hAnsiTheme="majorHAnsi" w:cstheme="majorHAnsi"/>
          <w:b/>
          <w:sz w:val="34"/>
          <w:szCs w:val="34"/>
        </w:rPr>
        <w:t>riefing on</w:t>
      </w:r>
      <w:r w:rsidR="00E4774B" w:rsidRPr="00DF42D1">
        <w:rPr>
          <w:rFonts w:asciiTheme="majorHAnsi" w:hAnsiTheme="majorHAnsi" w:cstheme="majorHAnsi"/>
          <w:b/>
          <w:sz w:val="34"/>
          <w:szCs w:val="34"/>
        </w:rPr>
        <w:t xml:space="preserve"> </w:t>
      </w:r>
      <w:r w:rsidR="00CB457A">
        <w:rPr>
          <w:rFonts w:asciiTheme="majorHAnsi" w:hAnsiTheme="majorHAnsi" w:cstheme="majorHAnsi"/>
          <w:b/>
          <w:sz w:val="34"/>
          <w:szCs w:val="34"/>
          <w:u w:val="single"/>
        </w:rPr>
        <w:t>Seychelles</w:t>
      </w:r>
      <w:r w:rsidR="00BE37BF" w:rsidRPr="00DF42D1">
        <w:rPr>
          <w:rFonts w:asciiTheme="majorHAnsi" w:hAnsiTheme="majorHAnsi" w:cstheme="majorHAnsi"/>
          <w:b/>
          <w:sz w:val="34"/>
          <w:szCs w:val="34"/>
        </w:rPr>
        <w:t xml:space="preserve"> for the Committee on the Rights of Persons with Disabilities,</w:t>
      </w:r>
      <w:r w:rsidR="00C84FBA" w:rsidRPr="00DF42D1">
        <w:rPr>
          <w:rFonts w:asciiTheme="majorHAnsi" w:hAnsiTheme="majorHAnsi" w:cstheme="majorHAnsi"/>
          <w:b/>
          <w:sz w:val="34"/>
          <w:szCs w:val="34"/>
        </w:rPr>
        <w:t xml:space="preserve"> </w:t>
      </w:r>
      <w:r w:rsidR="001F05A0" w:rsidRPr="00DF42D1">
        <w:rPr>
          <w:rFonts w:asciiTheme="majorHAnsi" w:hAnsiTheme="majorHAnsi" w:cstheme="majorHAnsi"/>
          <w:b/>
          <w:sz w:val="34"/>
          <w:szCs w:val="34"/>
        </w:rPr>
        <w:t>8</w:t>
      </w:r>
      <w:r w:rsidR="00C84FBA" w:rsidRPr="00DF42D1">
        <w:rPr>
          <w:rFonts w:asciiTheme="majorHAnsi" w:hAnsiTheme="majorHAnsi" w:cstheme="majorHAnsi"/>
          <w:b/>
          <w:sz w:val="34"/>
          <w:szCs w:val="34"/>
        </w:rPr>
        <w:t>th Pre-Sessional Working Group,</w:t>
      </w:r>
      <w:r w:rsidR="00BE37BF" w:rsidRPr="00DF42D1">
        <w:rPr>
          <w:rFonts w:asciiTheme="majorHAnsi" w:hAnsiTheme="majorHAnsi" w:cstheme="majorHAnsi"/>
          <w:b/>
          <w:sz w:val="34"/>
          <w:szCs w:val="34"/>
        </w:rPr>
        <w:t xml:space="preserve"> </w:t>
      </w:r>
      <w:r w:rsidR="001F05A0" w:rsidRPr="00DF42D1">
        <w:rPr>
          <w:rFonts w:asciiTheme="majorHAnsi" w:hAnsiTheme="majorHAnsi" w:cstheme="majorHAnsi"/>
          <w:b/>
          <w:sz w:val="34"/>
          <w:szCs w:val="34"/>
        </w:rPr>
        <w:t>September</w:t>
      </w:r>
      <w:r w:rsidR="00A53A7A" w:rsidRPr="00DF42D1">
        <w:rPr>
          <w:rFonts w:asciiTheme="majorHAnsi" w:hAnsiTheme="majorHAnsi" w:cstheme="majorHAnsi"/>
          <w:b/>
          <w:sz w:val="34"/>
          <w:szCs w:val="34"/>
        </w:rPr>
        <w:t xml:space="preserve"> 2017</w:t>
      </w:r>
    </w:p>
    <w:p w14:paraId="4508A740" w14:textId="4BD4A0C5" w:rsidR="00767639" w:rsidRPr="00DF42D1" w:rsidRDefault="00767639" w:rsidP="007F7529">
      <w:pPr>
        <w:spacing w:after="120"/>
        <w:rPr>
          <w:rFonts w:asciiTheme="majorHAnsi" w:hAnsiTheme="majorHAnsi" w:cstheme="majorHAnsi"/>
        </w:rPr>
      </w:pPr>
      <w:r w:rsidRPr="00DF42D1">
        <w:rPr>
          <w:rFonts w:asciiTheme="majorHAnsi" w:hAnsiTheme="majorHAnsi" w:cstheme="majorHAnsi"/>
        </w:rPr>
        <w:t xml:space="preserve">From </w:t>
      </w:r>
      <w:r w:rsidR="00A53A7A" w:rsidRPr="00DF42D1">
        <w:rPr>
          <w:rFonts w:asciiTheme="majorHAnsi" w:hAnsiTheme="majorHAnsi" w:cstheme="majorHAnsi"/>
        </w:rPr>
        <w:t>the</w:t>
      </w:r>
      <w:r w:rsidR="005B5315" w:rsidRPr="00DF42D1">
        <w:rPr>
          <w:rFonts w:asciiTheme="majorHAnsi" w:hAnsiTheme="majorHAnsi" w:cstheme="majorHAnsi"/>
        </w:rPr>
        <w:t xml:space="preserve"> </w:t>
      </w:r>
      <w:r w:rsidRPr="00DF42D1">
        <w:rPr>
          <w:rFonts w:asciiTheme="majorHAnsi" w:hAnsiTheme="majorHAnsi" w:cstheme="majorHAnsi"/>
        </w:rPr>
        <w:t>Global Initiative</w:t>
      </w:r>
      <w:r w:rsidR="00633745" w:rsidRPr="00DF42D1">
        <w:rPr>
          <w:rFonts w:asciiTheme="majorHAnsi" w:hAnsiTheme="majorHAnsi" w:cstheme="majorHAnsi"/>
        </w:rPr>
        <w:t xml:space="preserve"> to End All Corporal Punishment </w:t>
      </w:r>
      <w:r w:rsidR="00106569" w:rsidRPr="00DF42D1">
        <w:rPr>
          <w:rFonts w:asciiTheme="majorHAnsi" w:hAnsiTheme="majorHAnsi" w:cstheme="majorHAnsi"/>
        </w:rPr>
        <w:br/>
      </w:r>
      <w:r w:rsidR="00633745" w:rsidRPr="00DF42D1">
        <w:rPr>
          <w:rFonts w:asciiTheme="majorHAnsi" w:hAnsiTheme="majorHAnsi" w:cstheme="majorHAnsi"/>
        </w:rPr>
        <w:t>of Children,</w:t>
      </w:r>
      <w:r w:rsidR="00E9361C" w:rsidRPr="00DF42D1">
        <w:rPr>
          <w:rFonts w:asciiTheme="majorHAnsi" w:hAnsiTheme="majorHAnsi" w:cstheme="majorHAnsi"/>
        </w:rPr>
        <w:t xml:space="preserve"> </w:t>
      </w:r>
      <w:r w:rsidR="001F05A0" w:rsidRPr="00DF42D1">
        <w:rPr>
          <w:rFonts w:asciiTheme="majorHAnsi" w:hAnsiTheme="majorHAnsi" w:cstheme="majorHAnsi"/>
        </w:rPr>
        <w:t>Ju</w:t>
      </w:r>
      <w:r w:rsidR="003757DE">
        <w:rPr>
          <w:rFonts w:asciiTheme="majorHAnsi" w:hAnsiTheme="majorHAnsi" w:cstheme="majorHAnsi"/>
        </w:rPr>
        <w:t>ly</w:t>
      </w:r>
      <w:r w:rsidR="00E9361C" w:rsidRPr="00DF42D1">
        <w:rPr>
          <w:rFonts w:asciiTheme="majorHAnsi" w:hAnsiTheme="majorHAnsi" w:cstheme="majorHAnsi"/>
        </w:rPr>
        <w:t xml:space="preserve"> 2017</w:t>
      </w:r>
      <w:r w:rsidR="00A53A7A" w:rsidRPr="00DF42D1">
        <w:rPr>
          <w:rFonts w:asciiTheme="majorHAnsi" w:hAnsiTheme="majorHAnsi" w:cstheme="majorHAnsi"/>
        </w:rPr>
        <w:t xml:space="preserve"> </w:t>
      </w:r>
      <w:r w:rsidR="00BE37BF" w:rsidRPr="00DF42D1">
        <w:rPr>
          <w:rFonts w:asciiTheme="majorHAnsi" w:hAnsiTheme="majorHAnsi" w:cstheme="majorHAnsi"/>
        </w:rPr>
        <w:br/>
      </w:r>
    </w:p>
    <w:p w14:paraId="4855D333" w14:textId="77777777" w:rsidR="00142366" w:rsidRPr="00DF42D1" w:rsidRDefault="00142366" w:rsidP="00716B5D">
      <w:pPr>
        <w:spacing w:after="120"/>
        <w:rPr>
          <w:rFonts w:asciiTheme="majorHAnsi" w:hAnsiTheme="majorHAnsi" w:cstheme="majorHAnsi"/>
        </w:rPr>
      </w:pPr>
    </w:p>
    <w:p w14:paraId="78052E85" w14:textId="33415951" w:rsidR="004D7A67" w:rsidRPr="00DF42D1" w:rsidRDefault="00142366" w:rsidP="00716B5D">
      <w:pPr>
        <w:spacing w:after="120"/>
        <w:rPr>
          <w:rFonts w:asciiTheme="majorHAnsi" w:hAnsiTheme="majorHAnsi" w:cstheme="majorHAnsi"/>
          <w:b/>
          <w:sz w:val="26"/>
          <w:szCs w:val="26"/>
        </w:rPr>
      </w:pPr>
      <w:r w:rsidRPr="00DF42D1">
        <w:rPr>
          <w:rFonts w:asciiTheme="majorHAnsi" w:hAnsiTheme="majorHAnsi" w:cstheme="majorHAnsi"/>
          <w:b/>
          <w:sz w:val="26"/>
          <w:szCs w:val="26"/>
        </w:rPr>
        <w:t xml:space="preserve">(a) </w:t>
      </w:r>
      <w:r w:rsidR="00716B5D" w:rsidRPr="00DF42D1">
        <w:rPr>
          <w:rFonts w:asciiTheme="majorHAnsi" w:hAnsiTheme="majorHAnsi" w:cstheme="majorHAnsi"/>
          <w:b/>
          <w:sz w:val="26"/>
          <w:szCs w:val="26"/>
        </w:rPr>
        <w:t>About the Global Initiative</w:t>
      </w:r>
      <w:r w:rsidR="00106569" w:rsidRPr="00DF42D1">
        <w:rPr>
          <w:rFonts w:asciiTheme="majorHAnsi" w:hAnsiTheme="majorHAnsi" w:cstheme="majorHAnsi"/>
          <w:b/>
          <w:sz w:val="26"/>
          <w:szCs w:val="26"/>
        </w:rPr>
        <w:t xml:space="preserve"> to End All Corporal Punishment of Children</w:t>
      </w:r>
    </w:p>
    <w:p w14:paraId="3190CD76" w14:textId="78DB8F29" w:rsidR="00716B5D" w:rsidRPr="00DF42D1" w:rsidRDefault="00833827" w:rsidP="00716B5D">
      <w:pPr>
        <w:spacing w:after="120"/>
        <w:rPr>
          <w:rFonts w:asciiTheme="majorHAnsi" w:hAnsiTheme="majorHAnsi" w:cstheme="majorHAnsi"/>
        </w:rPr>
      </w:pPr>
      <w:r w:rsidRPr="00DF42D1">
        <w:rPr>
          <w:rFonts w:asciiTheme="majorHAnsi" w:hAnsiTheme="majorHAnsi" w:cstheme="majorHAnsi"/>
        </w:rPr>
        <w:t xml:space="preserve">1. </w:t>
      </w:r>
      <w:r w:rsidR="00716B5D" w:rsidRPr="00DF42D1">
        <w:rPr>
          <w:rFonts w:asciiTheme="majorHAnsi" w:hAnsiTheme="majorHAnsi" w:cstheme="majorHAnsi"/>
        </w:rPr>
        <w:t>The Global Initiative (</w:t>
      </w:r>
      <w:hyperlink r:id="rId14" w:history="1">
        <w:r w:rsidR="00716B5D" w:rsidRPr="00DF42D1">
          <w:rPr>
            <w:rStyle w:val="Hyperlink"/>
            <w:rFonts w:asciiTheme="majorHAnsi" w:hAnsiTheme="majorHAnsi" w:cstheme="majorHAnsi"/>
          </w:rPr>
          <w:t>www.endcorporalpunishment.org</w:t>
        </w:r>
        <w:r w:rsidR="00716B5D" w:rsidRPr="00DF42D1">
          <w:rPr>
            <w:rStyle w:val="Hyperlink"/>
            <w:rFonts w:asciiTheme="majorHAnsi" w:hAnsiTheme="majorHAnsi" w:cstheme="majorHAnsi"/>
            <w:u w:val="none"/>
          </w:rPr>
          <w:t>)</w:t>
        </w:r>
      </w:hyperlink>
      <w:r w:rsidR="00716B5D" w:rsidRPr="00DF42D1">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DF42D1">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DF42D1" w:rsidRDefault="00716B5D" w:rsidP="00716B5D">
      <w:pPr>
        <w:spacing w:after="120"/>
        <w:rPr>
          <w:rFonts w:asciiTheme="majorHAnsi" w:hAnsiTheme="majorHAnsi" w:cstheme="majorHAnsi"/>
        </w:rPr>
      </w:pPr>
    </w:p>
    <w:p w14:paraId="02EFC191" w14:textId="49D05158" w:rsidR="00142366" w:rsidRPr="00DF42D1" w:rsidRDefault="00142366" w:rsidP="00716B5D">
      <w:pPr>
        <w:spacing w:after="120"/>
        <w:rPr>
          <w:rFonts w:asciiTheme="majorHAnsi" w:hAnsiTheme="majorHAnsi" w:cstheme="majorHAnsi"/>
          <w:b/>
          <w:sz w:val="26"/>
          <w:szCs w:val="26"/>
        </w:rPr>
      </w:pPr>
      <w:r w:rsidRPr="00DF42D1">
        <w:rPr>
          <w:rFonts w:asciiTheme="majorHAnsi" w:hAnsiTheme="majorHAnsi" w:cstheme="majorHAnsi"/>
          <w:b/>
          <w:sz w:val="26"/>
          <w:szCs w:val="26"/>
        </w:rPr>
        <w:t xml:space="preserve">(b) </w:t>
      </w:r>
      <w:r w:rsidR="00106569" w:rsidRPr="00DF42D1">
        <w:rPr>
          <w:rFonts w:asciiTheme="majorHAnsi" w:hAnsiTheme="majorHAnsi" w:cstheme="majorHAnsi"/>
          <w:b/>
          <w:sz w:val="26"/>
          <w:szCs w:val="26"/>
        </w:rPr>
        <w:t>S</w:t>
      </w:r>
      <w:r w:rsidRPr="00DF42D1">
        <w:rPr>
          <w:rFonts w:asciiTheme="majorHAnsi" w:hAnsiTheme="majorHAnsi" w:cstheme="majorHAnsi"/>
          <w:b/>
          <w:sz w:val="26"/>
          <w:szCs w:val="26"/>
        </w:rPr>
        <w:t>ummary</w:t>
      </w:r>
    </w:p>
    <w:p w14:paraId="57CD7F46" w14:textId="71E2636C" w:rsidR="00106569" w:rsidRPr="00DF42D1" w:rsidRDefault="00833827" w:rsidP="007A21C3">
      <w:pPr>
        <w:spacing w:after="120"/>
        <w:rPr>
          <w:rFonts w:asciiTheme="majorHAnsi" w:hAnsiTheme="majorHAnsi" w:cstheme="majorHAnsi"/>
        </w:rPr>
      </w:pPr>
      <w:r w:rsidRPr="00DF42D1">
        <w:rPr>
          <w:rFonts w:asciiTheme="majorHAnsi" w:hAnsiTheme="majorHAnsi" w:cstheme="majorHAnsi"/>
        </w:rPr>
        <w:t xml:space="preserve">2. </w:t>
      </w:r>
      <w:r w:rsidR="00106569" w:rsidRPr="00DF42D1">
        <w:rPr>
          <w:rFonts w:asciiTheme="majorHAnsi" w:hAnsiTheme="majorHAnsi" w:cstheme="majorHAnsi"/>
        </w:rPr>
        <w:t>C</w:t>
      </w:r>
      <w:r w:rsidR="004D7A67" w:rsidRPr="00DF42D1">
        <w:rPr>
          <w:rFonts w:asciiTheme="majorHAnsi" w:hAnsiTheme="majorHAnsi" w:cstheme="majorHAnsi"/>
        </w:rPr>
        <w:t xml:space="preserve">orporal punishment of children in </w:t>
      </w:r>
      <w:r w:rsidR="00B05968">
        <w:rPr>
          <w:rFonts w:asciiTheme="majorHAnsi" w:hAnsiTheme="majorHAnsi" w:cstheme="majorHAnsi"/>
        </w:rPr>
        <w:t>Seychelles</w:t>
      </w:r>
      <w:r w:rsidR="005D45A4" w:rsidRPr="00DF42D1">
        <w:rPr>
          <w:rFonts w:asciiTheme="majorHAnsi" w:hAnsiTheme="majorHAnsi" w:cstheme="majorHAnsi"/>
        </w:rPr>
        <w:t xml:space="preserve"> </w:t>
      </w:r>
      <w:r w:rsidR="00106569" w:rsidRPr="00DF42D1">
        <w:rPr>
          <w:rFonts w:asciiTheme="majorHAnsi" w:hAnsiTheme="majorHAnsi" w:cstheme="majorHAnsi"/>
        </w:rPr>
        <w:t xml:space="preserve">is unlawful </w:t>
      </w:r>
      <w:r w:rsidR="00B05968">
        <w:rPr>
          <w:rFonts w:asciiTheme="majorHAnsi" w:hAnsiTheme="majorHAnsi" w:cstheme="majorHAnsi"/>
        </w:rPr>
        <w:t>as a sentence for a crime</w:t>
      </w:r>
      <w:r w:rsidR="00106569" w:rsidRPr="00DF42D1">
        <w:rPr>
          <w:rFonts w:asciiTheme="majorHAnsi" w:hAnsiTheme="majorHAnsi" w:cstheme="majorHAnsi"/>
        </w:rPr>
        <w:t xml:space="preserve">, but it is not yet prohibited </w:t>
      </w:r>
      <w:r w:rsidR="00B05968">
        <w:rPr>
          <w:rFonts w:asciiTheme="majorHAnsi" w:hAnsiTheme="majorHAnsi" w:cstheme="majorHAnsi"/>
        </w:rPr>
        <w:t>in the home, in alternative care and day care settings, in schools and in penal institutions</w:t>
      </w:r>
      <w:r w:rsidR="001947F2" w:rsidRPr="00DF42D1">
        <w:rPr>
          <w:rFonts w:asciiTheme="majorHAnsi" w:hAnsiTheme="majorHAnsi" w:cstheme="majorHAnsi"/>
        </w:rPr>
        <w:t>,</w:t>
      </w:r>
      <w:r w:rsidR="00E511FD" w:rsidRPr="00DF42D1">
        <w:rPr>
          <w:rFonts w:asciiTheme="majorHAnsi" w:hAnsiTheme="majorHAnsi" w:cstheme="majorHAnsi"/>
        </w:rPr>
        <w:t xml:space="preserve"> </w:t>
      </w:r>
      <w:r w:rsidR="004D7A67" w:rsidRPr="00DF42D1">
        <w:rPr>
          <w:rFonts w:asciiTheme="majorHAnsi" w:hAnsiTheme="majorHAnsi" w:cstheme="majorHAnsi"/>
        </w:rPr>
        <w:t xml:space="preserve">in violation of </w:t>
      </w:r>
      <w:r w:rsidR="00181FAC" w:rsidRPr="00DF42D1">
        <w:rPr>
          <w:rFonts w:asciiTheme="majorHAnsi" w:hAnsiTheme="majorHAnsi" w:cstheme="majorHAnsi"/>
        </w:rPr>
        <w:t xml:space="preserve">the </w:t>
      </w:r>
      <w:r w:rsidR="00E511FD" w:rsidRPr="00DF42D1">
        <w:rPr>
          <w:rFonts w:asciiTheme="majorHAnsi" w:hAnsiTheme="majorHAnsi" w:cstheme="majorHAnsi"/>
        </w:rPr>
        <w:t xml:space="preserve">fundamental </w:t>
      </w:r>
      <w:r w:rsidR="00181FAC" w:rsidRPr="00DF42D1">
        <w:rPr>
          <w:rFonts w:asciiTheme="majorHAnsi" w:hAnsiTheme="majorHAnsi" w:cstheme="majorHAnsi"/>
        </w:rPr>
        <w:t>right of all children</w:t>
      </w:r>
      <w:r w:rsidR="004D7A67" w:rsidRPr="00DF42D1">
        <w:rPr>
          <w:rFonts w:asciiTheme="majorHAnsi" w:hAnsiTheme="majorHAnsi" w:cstheme="majorHAnsi"/>
        </w:rPr>
        <w:t xml:space="preserve"> to protection from corporal punishment and other cruel or degrading forms of punishment. </w:t>
      </w:r>
    </w:p>
    <w:p w14:paraId="79D69036" w14:textId="75095961" w:rsidR="004D7A67" w:rsidRPr="00DF42D1" w:rsidRDefault="00833827" w:rsidP="007A21C3">
      <w:pPr>
        <w:spacing w:after="120"/>
        <w:rPr>
          <w:rFonts w:asciiTheme="majorHAnsi" w:hAnsiTheme="majorHAnsi" w:cstheme="majorHAnsi"/>
        </w:rPr>
      </w:pPr>
      <w:r w:rsidRPr="00DF42D1">
        <w:rPr>
          <w:rFonts w:asciiTheme="majorHAnsi" w:hAnsiTheme="majorHAnsi" w:cstheme="majorHAnsi"/>
        </w:rPr>
        <w:t xml:space="preserve">3. </w:t>
      </w:r>
      <w:r w:rsidR="00181FAC" w:rsidRPr="00DF42D1">
        <w:rPr>
          <w:rFonts w:asciiTheme="majorHAnsi" w:hAnsiTheme="majorHAnsi" w:cstheme="majorHAnsi"/>
        </w:rPr>
        <w:t xml:space="preserve">With reference to </w:t>
      </w:r>
      <w:r w:rsidR="00181FAC" w:rsidRPr="00DF42D1">
        <w:rPr>
          <w:rFonts w:asciiTheme="majorHAnsi" w:hAnsiTheme="majorHAnsi" w:cstheme="majorHAnsi"/>
          <w:b/>
        </w:rPr>
        <w:t>articles 7, 15, 16 and 17</w:t>
      </w:r>
      <w:r w:rsidR="00181FAC" w:rsidRPr="00DF42D1">
        <w:rPr>
          <w:rFonts w:asciiTheme="majorHAnsi" w:hAnsiTheme="majorHAnsi" w:cstheme="majorHAnsi"/>
        </w:rPr>
        <w:t xml:space="preserve"> of the Convention on the Rights of Persons with Disabilities, and i</w:t>
      </w:r>
      <w:r w:rsidR="004D7A67" w:rsidRPr="00DF42D1">
        <w:rPr>
          <w:rFonts w:asciiTheme="majorHAnsi" w:hAnsiTheme="majorHAnsi" w:cstheme="majorHAnsi"/>
        </w:rPr>
        <w:t>n light of the particular vulnerability of children with disabilities to</w:t>
      </w:r>
      <w:r w:rsidR="00181FAC" w:rsidRPr="00DF42D1">
        <w:rPr>
          <w:rFonts w:asciiTheme="majorHAnsi" w:hAnsiTheme="majorHAnsi" w:cstheme="majorHAnsi"/>
        </w:rPr>
        <w:t xml:space="preserve"> corporal punishment by adults, </w:t>
      </w:r>
      <w:r w:rsidR="004D7A67" w:rsidRPr="00DF42D1">
        <w:rPr>
          <w:rFonts w:asciiTheme="majorHAnsi" w:hAnsiTheme="majorHAnsi" w:cstheme="majorHAnsi"/>
        </w:rPr>
        <w:t>the jurisp</w:t>
      </w:r>
      <w:r w:rsidR="00181FAC" w:rsidRPr="00DF42D1">
        <w:rPr>
          <w:rFonts w:asciiTheme="majorHAnsi" w:hAnsiTheme="majorHAnsi" w:cstheme="majorHAnsi"/>
        </w:rPr>
        <w:t>rudence of the UN treaty bodies</w:t>
      </w:r>
      <w:r w:rsidR="00E4774B" w:rsidRPr="00DF42D1">
        <w:rPr>
          <w:rFonts w:asciiTheme="majorHAnsi" w:hAnsiTheme="majorHAnsi" w:cstheme="majorHAnsi"/>
        </w:rPr>
        <w:t>,</w:t>
      </w:r>
      <w:r w:rsidR="004D7A67" w:rsidRPr="00DF42D1">
        <w:rPr>
          <w:rFonts w:asciiTheme="majorHAnsi" w:hAnsiTheme="majorHAnsi" w:cstheme="majorHAnsi"/>
        </w:rPr>
        <w:t xml:space="preserve"> the </w:t>
      </w:r>
      <w:r w:rsidR="00106569" w:rsidRPr="00DF42D1">
        <w:rPr>
          <w:rFonts w:asciiTheme="majorHAnsi" w:hAnsiTheme="majorHAnsi" w:cstheme="majorHAnsi"/>
        </w:rPr>
        <w:t>emphasis on</w:t>
      </w:r>
      <w:r w:rsidR="004D7A67" w:rsidRPr="00DF42D1">
        <w:rPr>
          <w:rFonts w:asciiTheme="majorHAnsi" w:hAnsiTheme="majorHAnsi" w:cstheme="majorHAnsi"/>
        </w:rPr>
        <w:t xml:space="preserve"> eradicating this form of violence given by the UN Secretary General’s Study on Violence against Children</w:t>
      </w:r>
      <w:r w:rsidR="00E4774B" w:rsidRPr="00DF42D1">
        <w:rPr>
          <w:rFonts w:asciiTheme="majorHAnsi" w:hAnsiTheme="majorHAnsi" w:cstheme="majorHAnsi"/>
        </w:rPr>
        <w:t xml:space="preserve"> and </w:t>
      </w:r>
      <w:r w:rsidR="00106569" w:rsidRPr="00DF42D1">
        <w:rPr>
          <w:rFonts w:asciiTheme="majorHAnsi" w:hAnsiTheme="majorHAnsi" w:cstheme="majorHAnsi"/>
        </w:rPr>
        <w:t xml:space="preserve">the importance of the issue to achieving target 16.2 on ending violence against children in the 2030 Sustainable Development Goals, </w:t>
      </w:r>
      <w:r w:rsidR="004D7A67" w:rsidRPr="00DF42D1">
        <w:rPr>
          <w:rFonts w:asciiTheme="majorHAnsi" w:hAnsiTheme="majorHAnsi" w:cstheme="majorHAnsi"/>
        </w:rPr>
        <w:t>w</w:t>
      </w:r>
      <w:r w:rsidR="004D7A67" w:rsidRPr="00DF42D1">
        <w:rPr>
          <w:rFonts w:asciiTheme="majorHAnsi" w:hAnsiTheme="majorHAnsi" w:cstheme="majorHAnsi"/>
          <w:iCs/>
        </w:rPr>
        <w:t>e hope the Committee on the Rights of Persons with Disabilities will:</w:t>
      </w:r>
    </w:p>
    <w:p w14:paraId="7B48E400" w14:textId="13A4292C" w:rsidR="007F7529" w:rsidRPr="00DF42D1" w:rsidRDefault="007F7529" w:rsidP="007A21C3">
      <w:pPr>
        <w:numPr>
          <w:ilvl w:val="0"/>
          <w:numId w:val="6"/>
        </w:numPr>
        <w:spacing w:after="120"/>
        <w:rPr>
          <w:rFonts w:asciiTheme="majorHAnsi" w:hAnsiTheme="majorHAnsi" w:cstheme="majorHAnsi"/>
          <w:iCs/>
        </w:rPr>
      </w:pPr>
      <w:r w:rsidRPr="00DF42D1">
        <w:rPr>
          <w:rFonts w:asciiTheme="majorHAnsi" w:hAnsiTheme="majorHAnsi" w:cstheme="majorHAnsi"/>
          <w:iCs/>
        </w:rPr>
        <w:t>include the issue of corporal puni</w:t>
      </w:r>
      <w:r w:rsidR="00B05968">
        <w:rPr>
          <w:rFonts w:asciiTheme="majorHAnsi" w:hAnsiTheme="majorHAnsi" w:cstheme="majorHAnsi"/>
          <w:iCs/>
        </w:rPr>
        <w:t>shment in its List of Issues</w:t>
      </w:r>
      <w:r w:rsidR="005F2E16">
        <w:rPr>
          <w:rFonts w:asciiTheme="majorHAnsi" w:hAnsiTheme="majorHAnsi" w:cstheme="majorHAnsi"/>
          <w:iCs/>
        </w:rPr>
        <w:t xml:space="preserve"> for</w:t>
      </w:r>
      <w:r w:rsidR="00B05968">
        <w:rPr>
          <w:rFonts w:asciiTheme="majorHAnsi" w:hAnsiTheme="majorHAnsi" w:cstheme="majorHAnsi"/>
          <w:iCs/>
        </w:rPr>
        <w:t xml:space="preserve"> Seychelles</w:t>
      </w:r>
      <w:r w:rsidRPr="00DF42D1">
        <w:rPr>
          <w:rFonts w:asciiTheme="majorHAnsi" w:hAnsiTheme="majorHAnsi" w:cstheme="majorHAnsi"/>
          <w:iCs/>
        </w:rPr>
        <w:t>, in particular asking</w:t>
      </w:r>
      <w:r w:rsidR="00DC20AE" w:rsidRPr="00DF42D1">
        <w:rPr>
          <w:rFonts w:asciiTheme="majorHAnsi" w:hAnsiTheme="majorHAnsi" w:cstheme="majorHAnsi"/>
          <w:iCs/>
        </w:rPr>
        <w:t>:</w:t>
      </w:r>
      <w:r w:rsidRPr="00DF42D1">
        <w:rPr>
          <w:rFonts w:asciiTheme="majorHAnsi" w:hAnsiTheme="majorHAnsi" w:cstheme="majorHAnsi"/>
          <w:iCs/>
        </w:rPr>
        <w:t xml:space="preserve"> </w:t>
      </w:r>
      <w:r w:rsidR="00DC20AE" w:rsidRPr="00DF42D1">
        <w:rPr>
          <w:rFonts w:asciiTheme="majorHAnsi" w:hAnsiTheme="majorHAnsi" w:cstheme="majorHAnsi"/>
          <w:iCs/>
        </w:rPr>
        <w:t>“</w:t>
      </w:r>
      <w:r w:rsidRPr="00DF42D1">
        <w:rPr>
          <w:rFonts w:asciiTheme="majorHAnsi" w:hAnsiTheme="majorHAnsi" w:cstheme="majorHAnsi"/>
          <w:b/>
          <w:iCs/>
        </w:rPr>
        <w:t>what steps</w:t>
      </w:r>
      <w:r w:rsidR="00833827" w:rsidRPr="00DF42D1">
        <w:rPr>
          <w:rFonts w:asciiTheme="majorHAnsi" w:hAnsiTheme="majorHAnsi" w:cstheme="majorHAnsi"/>
          <w:b/>
          <w:iCs/>
        </w:rPr>
        <w:t xml:space="preserve"> have been taken to ensure </w:t>
      </w:r>
      <w:r w:rsidR="00833827" w:rsidRPr="00DF42D1">
        <w:rPr>
          <w:rFonts w:asciiTheme="majorHAnsi" w:hAnsiTheme="majorHAnsi" w:cstheme="majorHAnsi"/>
          <w:b/>
        </w:rPr>
        <w:t xml:space="preserve">that </w:t>
      </w:r>
      <w:r w:rsidR="002E2D70">
        <w:rPr>
          <w:rFonts w:asciiTheme="majorHAnsi" w:hAnsiTheme="majorHAnsi" w:cstheme="majorHAnsi"/>
          <w:b/>
        </w:rPr>
        <w:t>domestic</w:t>
      </w:r>
      <w:r w:rsidR="00833827" w:rsidRPr="00DF42D1">
        <w:rPr>
          <w:rFonts w:asciiTheme="majorHAnsi" w:hAnsiTheme="majorHAnsi" w:cstheme="majorHAnsi"/>
          <w:b/>
        </w:rPr>
        <w:t xml:space="preserve"> legislation in </w:t>
      </w:r>
      <w:r w:rsidR="00B05968">
        <w:rPr>
          <w:rFonts w:asciiTheme="majorHAnsi" w:hAnsiTheme="majorHAnsi" w:cstheme="majorHAnsi"/>
          <w:b/>
        </w:rPr>
        <w:t>Seychelles</w:t>
      </w:r>
      <w:r w:rsidR="00833827" w:rsidRPr="00DF42D1">
        <w:rPr>
          <w:rFonts w:asciiTheme="majorHAnsi" w:hAnsiTheme="majorHAnsi" w:cstheme="majorHAnsi"/>
          <w:b/>
        </w:rPr>
        <w:t xml:space="preserve"> </w:t>
      </w:r>
      <w:r w:rsidR="002E2D70">
        <w:rPr>
          <w:rFonts w:asciiTheme="majorHAnsi" w:hAnsiTheme="majorHAnsi" w:cstheme="majorHAnsi"/>
          <w:b/>
        </w:rPr>
        <w:t>fully protects all child</w:t>
      </w:r>
      <w:r w:rsidR="00B05968">
        <w:rPr>
          <w:rFonts w:asciiTheme="majorHAnsi" w:hAnsiTheme="majorHAnsi" w:cstheme="majorHAnsi"/>
          <w:b/>
        </w:rPr>
        <w:t xml:space="preserve">ren from violent punishment, explicitly </w:t>
      </w:r>
      <w:r w:rsidR="002E2D70">
        <w:rPr>
          <w:rFonts w:asciiTheme="majorHAnsi" w:hAnsiTheme="majorHAnsi" w:cstheme="majorHAnsi"/>
          <w:b/>
        </w:rPr>
        <w:t>prohibit</w:t>
      </w:r>
      <w:r w:rsidR="003757DE">
        <w:rPr>
          <w:rFonts w:asciiTheme="majorHAnsi" w:hAnsiTheme="majorHAnsi" w:cstheme="majorHAnsi"/>
          <w:b/>
        </w:rPr>
        <w:t>s</w:t>
      </w:r>
      <w:r w:rsidR="002E2D70">
        <w:rPr>
          <w:rFonts w:asciiTheme="majorHAnsi" w:hAnsiTheme="majorHAnsi" w:cstheme="majorHAnsi"/>
          <w:b/>
        </w:rPr>
        <w:t xml:space="preserve"> its use in all settings </w:t>
      </w:r>
      <w:r w:rsidR="00B05968">
        <w:rPr>
          <w:rFonts w:asciiTheme="majorHAnsi" w:hAnsiTheme="majorHAnsi" w:cstheme="majorHAnsi"/>
          <w:b/>
        </w:rPr>
        <w:t>and repeal</w:t>
      </w:r>
      <w:r w:rsidR="003757DE">
        <w:rPr>
          <w:rFonts w:asciiTheme="majorHAnsi" w:hAnsiTheme="majorHAnsi" w:cstheme="majorHAnsi"/>
          <w:b/>
        </w:rPr>
        <w:t>s</w:t>
      </w:r>
      <w:r w:rsidR="00B05968">
        <w:rPr>
          <w:rFonts w:asciiTheme="majorHAnsi" w:hAnsiTheme="majorHAnsi" w:cstheme="majorHAnsi"/>
          <w:b/>
        </w:rPr>
        <w:t xml:space="preserve"> the right to inflict “reasonable chastisement”</w:t>
      </w:r>
      <w:r w:rsidR="00DF56D0" w:rsidRPr="00DF42D1">
        <w:rPr>
          <w:rFonts w:asciiTheme="majorHAnsi" w:hAnsiTheme="majorHAnsi" w:cstheme="majorHAnsi"/>
          <w:b/>
        </w:rPr>
        <w:t>?</w:t>
      </w:r>
      <w:r w:rsidR="00DC20AE" w:rsidRPr="00DF42D1">
        <w:rPr>
          <w:rFonts w:asciiTheme="majorHAnsi" w:hAnsiTheme="majorHAnsi" w:cstheme="majorHAnsi"/>
        </w:rPr>
        <w:t>”</w:t>
      </w:r>
      <w:r w:rsidRPr="00DF42D1">
        <w:rPr>
          <w:rFonts w:asciiTheme="majorHAnsi" w:hAnsiTheme="majorHAnsi" w:cstheme="majorHAnsi"/>
          <w:iCs/>
        </w:rPr>
        <w:t>;</w:t>
      </w:r>
    </w:p>
    <w:p w14:paraId="4FA79421" w14:textId="0C194635" w:rsidR="00E4774B" w:rsidRPr="00DF42D1" w:rsidRDefault="00E4774B" w:rsidP="007A21C3">
      <w:pPr>
        <w:numPr>
          <w:ilvl w:val="0"/>
          <w:numId w:val="6"/>
        </w:numPr>
        <w:spacing w:after="120"/>
        <w:rPr>
          <w:rFonts w:asciiTheme="majorHAnsi" w:hAnsiTheme="majorHAnsi" w:cstheme="majorHAnsi"/>
          <w:iCs/>
        </w:rPr>
      </w:pPr>
      <w:r w:rsidRPr="00DF42D1">
        <w:rPr>
          <w:rFonts w:asciiTheme="majorHAnsi" w:hAnsiTheme="majorHAnsi" w:cstheme="majorHAnsi"/>
          <w:iCs/>
        </w:rPr>
        <w:t>recommend t</w:t>
      </w:r>
      <w:r w:rsidR="00B05968">
        <w:rPr>
          <w:rFonts w:asciiTheme="majorHAnsi" w:hAnsiTheme="majorHAnsi" w:cstheme="majorHAnsi"/>
          <w:iCs/>
        </w:rPr>
        <w:t>o the Government of Seychelles</w:t>
      </w:r>
      <w:r w:rsidR="007F7529" w:rsidRPr="00DF42D1">
        <w:rPr>
          <w:rFonts w:asciiTheme="majorHAnsi" w:hAnsiTheme="majorHAnsi" w:cstheme="majorHAnsi"/>
          <w:iCs/>
        </w:rPr>
        <w:t xml:space="preserve">, in the Committee’s concluding observations on the </w:t>
      </w:r>
      <w:r w:rsidR="00BC6C90" w:rsidRPr="00DF42D1">
        <w:rPr>
          <w:rFonts w:asciiTheme="majorHAnsi" w:hAnsiTheme="majorHAnsi" w:cstheme="majorHAnsi"/>
          <w:iCs/>
        </w:rPr>
        <w:t>initial</w:t>
      </w:r>
      <w:r w:rsidR="00833827" w:rsidRPr="00DF42D1">
        <w:rPr>
          <w:rFonts w:asciiTheme="majorHAnsi" w:hAnsiTheme="majorHAnsi" w:cstheme="majorHAnsi"/>
          <w:iCs/>
        </w:rPr>
        <w:t xml:space="preserve"> report, that </w:t>
      </w:r>
      <w:r w:rsidR="00DC20AE" w:rsidRPr="00DF42D1">
        <w:rPr>
          <w:rFonts w:asciiTheme="majorHAnsi" w:hAnsiTheme="majorHAnsi" w:cstheme="majorHAnsi"/>
          <w:iCs/>
        </w:rPr>
        <w:t>“</w:t>
      </w:r>
      <w:r w:rsidR="00591DBA" w:rsidRPr="00591DBA">
        <w:rPr>
          <w:rFonts w:asciiTheme="majorHAnsi" w:hAnsiTheme="majorHAnsi" w:cstheme="majorHAnsi"/>
          <w:b/>
          <w:iCs/>
        </w:rPr>
        <w:t>legislation</w:t>
      </w:r>
      <w:r w:rsidR="00591DBA">
        <w:rPr>
          <w:rFonts w:asciiTheme="majorHAnsi" w:hAnsiTheme="majorHAnsi" w:cstheme="majorHAnsi"/>
          <w:iCs/>
        </w:rPr>
        <w:t xml:space="preserve"> </w:t>
      </w:r>
      <w:r w:rsidR="00DF42D1" w:rsidRPr="00DF42D1">
        <w:rPr>
          <w:rFonts w:asciiTheme="majorHAnsi" w:hAnsiTheme="majorHAnsi" w:cstheme="majorHAnsi"/>
          <w:b/>
          <w:iCs/>
        </w:rPr>
        <w:t>prohibiti</w:t>
      </w:r>
      <w:r w:rsidR="00591DBA">
        <w:rPr>
          <w:rFonts w:asciiTheme="majorHAnsi" w:hAnsiTheme="majorHAnsi" w:cstheme="majorHAnsi"/>
          <w:b/>
          <w:iCs/>
        </w:rPr>
        <w:t>ng</w:t>
      </w:r>
      <w:r w:rsidR="00DF42D1" w:rsidRPr="00DF42D1">
        <w:rPr>
          <w:rFonts w:asciiTheme="majorHAnsi" w:hAnsiTheme="majorHAnsi" w:cstheme="majorHAnsi"/>
          <w:b/>
          <w:iCs/>
        </w:rPr>
        <w:t xml:space="preserve"> corporal punishment of children in all settings</w:t>
      </w:r>
      <w:r w:rsidR="00B05968">
        <w:rPr>
          <w:rFonts w:asciiTheme="majorHAnsi" w:hAnsiTheme="majorHAnsi" w:cstheme="majorHAnsi"/>
          <w:b/>
          <w:iCs/>
        </w:rPr>
        <w:t xml:space="preserve"> and repeal</w:t>
      </w:r>
      <w:r w:rsidR="00591DBA">
        <w:rPr>
          <w:rFonts w:asciiTheme="majorHAnsi" w:hAnsiTheme="majorHAnsi" w:cstheme="majorHAnsi"/>
          <w:b/>
          <w:iCs/>
        </w:rPr>
        <w:t>ing</w:t>
      </w:r>
      <w:r w:rsidR="00B05968">
        <w:rPr>
          <w:rFonts w:asciiTheme="majorHAnsi" w:hAnsiTheme="majorHAnsi" w:cstheme="majorHAnsi"/>
          <w:b/>
          <w:iCs/>
        </w:rPr>
        <w:t xml:space="preserve"> the right to inflict “reasonable chastisement”</w:t>
      </w:r>
      <w:r w:rsidR="00DF42D1" w:rsidRPr="00DF42D1">
        <w:rPr>
          <w:rFonts w:asciiTheme="majorHAnsi" w:hAnsiTheme="majorHAnsi" w:cstheme="majorHAnsi"/>
          <w:b/>
          <w:iCs/>
        </w:rPr>
        <w:t xml:space="preserve"> is </w:t>
      </w:r>
      <w:r w:rsidR="002E2D70">
        <w:rPr>
          <w:rFonts w:asciiTheme="majorHAnsi" w:hAnsiTheme="majorHAnsi" w:cstheme="majorHAnsi"/>
          <w:b/>
          <w:iCs/>
        </w:rPr>
        <w:t>drafted and enacted as a matter of priority</w:t>
      </w:r>
      <w:r w:rsidR="00DF42D1" w:rsidRPr="00DF42D1">
        <w:rPr>
          <w:rFonts w:asciiTheme="majorHAnsi" w:hAnsiTheme="majorHAnsi" w:cstheme="majorHAnsi"/>
          <w:b/>
          <w:iCs/>
        </w:rPr>
        <w:t xml:space="preserve"> </w:t>
      </w:r>
      <w:r w:rsidR="00963238" w:rsidRPr="00DF42D1">
        <w:rPr>
          <w:rFonts w:asciiTheme="majorHAnsi" w:hAnsiTheme="majorHAnsi" w:cstheme="majorHAnsi"/>
          <w:b/>
        </w:rPr>
        <w:t xml:space="preserve">and that measures are put in place to ensure the </w:t>
      </w:r>
      <w:r w:rsidR="002E2D70">
        <w:rPr>
          <w:rFonts w:asciiTheme="majorHAnsi" w:hAnsiTheme="majorHAnsi" w:cstheme="majorHAnsi"/>
          <w:b/>
        </w:rPr>
        <w:t>law</w:t>
      </w:r>
      <w:r w:rsidR="00963238" w:rsidRPr="00DF42D1">
        <w:rPr>
          <w:rFonts w:asciiTheme="majorHAnsi" w:hAnsiTheme="majorHAnsi" w:cstheme="majorHAnsi"/>
          <w:b/>
        </w:rPr>
        <w:t xml:space="preserve"> is properly implemented</w:t>
      </w:r>
      <w:r w:rsidR="00DC20AE" w:rsidRPr="00DF42D1">
        <w:rPr>
          <w:rFonts w:asciiTheme="majorHAnsi" w:hAnsiTheme="majorHAnsi" w:cstheme="majorHAnsi"/>
        </w:rPr>
        <w:t>”</w:t>
      </w:r>
      <w:r w:rsidR="00833827" w:rsidRPr="00DF42D1">
        <w:rPr>
          <w:rFonts w:asciiTheme="majorHAnsi" w:hAnsiTheme="majorHAnsi" w:cstheme="majorHAnsi"/>
        </w:rPr>
        <w:t>.</w:t>
      </w:r>
    </w:p>
    <w:p w14:paraId="3FBF531E" w14:textId="77777777" w:rsidR="009D6E71" w:rsidRPr="00DF42D1" w:rsidRDefault="009D6E71" w:rsidP="007F7529">
      <w:pPr>
        <w:spacing w:after="120"/>
        <w:rPr>
          <w:rFonts w:asciiTheme="majorHAnsi" w:hAnsiTheme="majorHAnsi" w:cstheme="majorHAnsi"/>
        </w:rPr>
      </w:pPr>
    </w:p>
    <w:p w14:paraId="2E512E2A" w14:textId="77777777" w:rsidR="00106569" w:rsidRPr="00DF42D1" w:rsidRDefault="00106569">
      <w:pPr>
        <w:rPr>
          <w:rFonts w:asciiTheme="majorHAnsi" w:hAnsiTheme="majorHAnsi" w:cstheme="majorHAnsi"/>
          <w:b/>
          <w:sz w:val="26"/>
          <w:szCs w:val="26"/>
        </w:rPr>
      </w:pPr>
      <w:r w:rsidRPr="00DF42D1">
        <w:rPr>
          <w:rFonts w:asciiTheme="majorHAnsi" w:hAnsiTheme="majorHAnsi" w:cstheme="majorHAnsi"/>
          <w:b/>
          <w:sz w:val="26"/>
          <w:szCs w:val="26"/>
        </w:rPr>
        <w:br w:type="page"/>
      </w:r>
    </w:p>
    <w:p w14:paraId="1983D09B" w14:textId="28BE79BE" w:rsidR="007F7529" w:rsidRPr="00DF42D1" w:rsidRDefault="007F7529" w:rsidP="007F7529">
      <w:pPr>
        <w:spacing w:after="120"/>
        <w:rPr>
          <w:rFonts w:asciiTheme="majorHAnsi" w:hAnsiTheme="majorHAnsi" w:cstheme="majorHAnsi"/>
          <w:b/>
          <w:sz w:val="26"/>
          <w:szCs w:val="26"/>
        </w:rPr>
      </w:pPr>
      <w:r w:rsidRPr="00DF42D1">
        <w:rPr>
          <w:rFonts w:asciiTheme="majorHAnsi" w:hAnsiTheme="majorHAnsi" w:cstheme="majorHAnsi"/>
          <w:b/>
          <w:sz w:val="26"/>
          <w:szCs w:val="26"/>
        </w:rPr>
        <w:lastRenderedPageBreak/>
        <w:t>(c) Detailed briefing</w:t>
      </w:r>
    </w:p>
    <w:p w14:paraId="69A1F232" w14:textId="5815296A" w:rsidR="007F7529" w:rsidRPr="00DF42D1" w:rsidRDefault="007F7529" w:rsidP="007F7529">
      <w:pPr>
        <w:spacing w:after="120"/>
        <w:rPr>
          <w:rFonts w:asciiTheme="majorHAnsi" w:hAnsiTheme="majorHAnsi" w:cstheme="majorHAnsi"/>
          <w:b/>
          <w:sz w:val="26"/>
          <w:szCs w:val="26"/>
        </w:rPr>
      </w:pPr>
      <w:r w:rsidRPr="00DF42D1">
        <w:rPr>
          <w:rFonts w:asciiTheme="majorHAnsi" w:hAnsiTheme="majorHAnsi" w:cstheme="majorHAnsi"/>
          <w:b/>
          <w:sz w:val="26"/>
          <w:szCs w:val="26"/>
        </w:rPr>
        <w:t>The right of children with disabilities not to be subjected to corporal punishment</w:t>
      </w:r>
    </w:p>
    <w:p w14:paraId="6370E703" w14:textId="4A96C6F0" w:rsidR="007F7529" w:rsidRPr="00DF42D1" w:rsidRDefault="00833827" w:rsidP="00E511FD">
      <w:pPr>
        <w:spacing w:after="120"/>
        <w:rPr>
          <w:rFonts w:asciiTheme="majorHAnsi" w:hAnsiTheme="majorHAnsi" w:cstheme="majorHAnsi"/>
        </w:rPr>
      </w:pPr>
      <w:r w:rsidRPr="00DF42D1">
        <w:rPr>
          <w:rFonts w:asciiTheme="majorHAnsi" w:hAnsiTheme="majorHAnsi" w:cstheme="majorHAnsi"/>
        </w:rPr>
        <w:t>4</w:t>
      </w:r>
      <w:r w:rsidR="00E511FD" w:rsidRPr="00DF42D1">
        <w:rPr>
          <w:rFonts w:asciiTheme="majorHAnsi" w:hAnsiTheme="majorHAnsi" w:cstheme="majorHAnsi"/>
        </w:rPr>
        <w:t xml:space="preserve">. </w:t>
      </w:r>
      <w:r w:rsidR="007F7529" w:rsidRPr="00DF42D1">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w:t>
      </w:r>
      <w:r w:rsidR="007F7529" w:rsidRPr="002B20D3">
        <w:rPr>
          <w:rFonts w:asciiTheme="majorHAnsi" w:hAnsiTheme="majorHAnsi" w:cstheme="majorHAnsi"/>
        </w:rPr>
        <w:t xml:space="preserve">parties to prohibit and eliminate all corporal punishment of children, including within the family. </w:t>
      </w:r>
      <w:r w:rsidR="00804DE0">
        <w:rPr>
          <w:rFonts w:asciiTheme="majorHAnsi" w:hAnsiTheme="majorHAnsi" w:cstheme="majorHAnsi"/>
        </w:rPr>
        <w:t>However</w:t>
      </w:r>
      <w:r w:rsidR="003757DE">
        <w:rPr>
          <w:rFonts w:asciiTheme="majorHAnsi" w:hAnsiTheme="majorHAnsi" w:cstheme="majorHAnsi"/>
        </w:rPr>
        <w:t>,</w:t>
      </w:r>
      <w:r w:rsidR="00804DE0">
        <w:rPr>
          <w:rFonts w:asciiTheme="majorHAnsi" w:hAnsiTheme="majorHAnsi" w:cstheme="majorHAnsi"/>
        </w:rPr>
        <w:t xml:space="preserve"> Seychelles’ state report does not address </w:t>
      </w:r>
      <w:r w:rsidR="00B05968">
        <w:rPr>
          <w:rFonts w:asciiTheme="majorHAnsi" w:hAnsiTheme="majorHAnsi" w:cstheme="majorHAnsi"/>
        </w:rPr>
        <w:t>this obligation and does not mention corporal punishment.</w:t>
      </w:r>
    </w:p>
    <w:p w14:paraId="7D5B40EB" w14:textId="39FEEE47" w:rsidR="007F7529" w:rsidRPr="00DF42D1" w:rsidRDefault="00833827" w:rsidP="00E511FD">
      <w:pPr>
        <w:spacing w:after="120"/>
        <w:rPr>
          <w:rFonts w:asciiTheme="majorHAnsi" w:hAnsiTheme="majorHAnsi" w:cstheme="majorHAnsi"/>
        </w:rPr>
      </w:pPr>
      <w:r w:rsidRPr="00DF42D1">
        <w:rPr>
          <w:rFonts w:asciiTheme="majorHAnsi" w:hAnsiTheme="majorHAnsi" w:cstheme="majorHAnsi"/>
        </w:rPr>
        <w:t>5</w:t>
      </w:r>
      <w:r w:rsidR="00E511FD" w:rsidRPr="00DF42D1">
        <w:rPr>
          <w:rFonts w:asciiTheme="majorHAnsi" w:hAnsiTheme="majorHAnsi" w:cstheme="majorHAnsi"/>
        </w:rPr>
        <w:t xml:space="preserve">. </w:t>
      </w:r>
      <w:r w:rsidR="007F7529" w:rsidRPr="00DF42D1">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DF42D1">
        <w:rPr>
          <w:rStyle w:val="FootnoteReference"/>
          <w:rFonts w:asciiTheme="majorHAnsi" w:hAnsiTheme="majorHAnsi" w:cstheme="majorHAnsi"/>
        </w:rPr>
        <w:footnoteReference w:id="1"/>
      </w:r>
      <w:r w:rsidR="007F7529" w:rsidRPr="00DF42D1">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DF42D1">
        <w:rPr>
          <w:rFonts w:asciiTheme="majorHAnsi" w:hAnsiTheme="majorHAnsi" w:cstheme="majorHAnsi"/>
        </w:rPr>
        <w:t>violence</w:t>
      </w:r>
      <w:r w:rsidR="007F7529" w:rsidRPr="00DF42D1">
        <w:rPr>
          <w:rFonts w:asciiTheme="majorHAnsi" w:hAnsiTheme="majorHAnsi" w:cstheme="majorHAnsi"/>
        </w:rPr>
        <w:t xml:space="preserve"> in the same way as, for example, sexual and other socially unacceptable forms of </w:t>
      </w:r>
      <w:r w:rsidR="00E511FD" w:rsidRPr="00DF42D1">
        <w:rPr>
          <w:rFonts w:asciiTheme="majorHAnsi" w:hAnsiTheme="majorHAnsi" w:cstheme="majorHAnsi"/>
        </w:rPr>
        <w:t>violence.</w:t>
      </w:r>
    </w:p>
    <w:p w14:paraId="111ED3CA" w14:textId="70852634" w:rsidR="005B31F1" w:rsidRPr="00DF42D1" w:rsidRDefault="00833827" w:rsidP="00E511FD">
      <w:pPr>
        <w:spacing w:after="120"/>
        <w:rPr>
          <w:rFonts w:asciiTheme="majorHAnsi" w:hAnsiTheme="majorHAnsi" w:cstheme="majorHAnsi"/>
        </w:rPr>
      </w:pPr>
      <w:r w:rsidRPr="00DF42D1">
        <w:rPr>
          <w:rFonts w:asciiTheme="majorHAnsi" w:hAnsiTheme="majorHAnsi" w:cstheme="majorHAnsi"/>
        </w:rPr>
        <w:t>6</w:t>
      </w:r>
      <w:r w:rsidR="00E511FD" w:rsidRPr="00DF42D1">
        <w:rPr>
          <w:rFonts w:asciiTheme="majorHAnsi" w:hAnsiTheme="majorHAnsi" w:cstheme="majorHAnsi"/>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Pr="00DF42D1">
        <w:rPr>
          <w:rFonts w:asciiTheme="majorHAnsi" w:hAnsiTheme="majorHAnsi" w:cstheme="majorHAnsi"/>
        </w:rPr>
        <w:t>legislation</w:t>
      </w:r>
      <w:r w:rsidR="00E511FD" w:rsidRPr="00DF42D1">
        <w:rPr>
          <w:rFonts w:asciiTheme="majorHAnsi" w:hAnsiTheme="majorHAnsi" w:cstheme="majorHAnsi"/>
        </w:rPr>
        <w:t xml:space="preserve"> prohibiting it in all settings including the home is critical. </w:t>
      </w:r>
    </w:p>
    <w:p w14:paraId="7CCE9FC2" w14:textId="77777777" w:rsidR="007F7529" w:rsidRPr="00DF42D1" w:rsidRDefault="007F7529" w:rsidP="007F7529">
      <w:pPr>
        <w:autoSpaceDE w:val="0"/>
        <w:autoSpaceDN w:val="0"/>
        <w:adjustRightInd w:val="0"/>
        <w:spacing w:after="120"/>
        <w:rPr>
          <w:rFonts w:asciiTheme="majorHAnsi" w:hAnsiTheme="majorHAnsi" w:cstheme="majorHAnsi"/>
          <w:b/>
          <w:sz w:val="26"/>
          <w:szCs w:val="26"/>
        </w:rPr>
      </w:pPr>
    </w:p>
    <w:p w14:paraId="1DD3CA84" w14:textId="2B9B1F10" w:rsidR="007F7529" w:rsidRPr="00DF42D1" w:rsidRDefault="00683188" w:rsidP="007F7529">
      <w:pPr>
        <w:pStyle w:val="Heading2"/>
        <w:spacing w:after="120"/>
        <w:rPr>
          <w:rFonts w:asciiTheme="majorHAnsi" w:hAnsiTheme="majorHAnsi" w:cstheme="majorHAnsi"/>
          <w:sz w:val="26"/>
          <w:szCs w:val="26"/>
          <w:lang w:val="en-GB"/>
        </w:rPr>
      </w:pPr>
      <w:r w:rsidRPr="00DF42D1">
        <w:rPr>
          <w:rFonts w:asciiTheme="majorHAnsi" w:hAnsiTheme="majorHAnsi" w:cstheme="majorHAnsi"/>
          <w:sz w:val="26"/>
          <w:szCs w:val="26"/>
        </w:rPr>
        <w:t>The l</w:t>
      </w:r>
      <w:r w:rsidR="007F7529" w:rsidRPr="00DF42D1">
        <w:rPr>
          <w:rFonts w:asciiTheme="majorHAnsi" w:hAnsiTheme="majorHAnsi" w:cstheme="majorHAnsi"/>
          <w:sz w:val="26"/>
          <w:szCs w:val="26"/>
        </w:rPr>
        <w:t xml:space="preserve">egality of corporal punishment of children with disabilities in </w:t>
      </w:r>
      <w:r w:rsidR="00655927">
        <w:rPr>
          <w:rFonts w:asciiTheme="majorHAnsi" w:hAnsiTheme="majorHAnsi" w:cstheme="majorHAnsi"/>
          <w:sz w:val="26"/>
          <w:szCs w:val="26"/>
          <w:lang w:val="en-GB"/>
        </w:rPr>
        <w:t>Seychelles</w:t>
      </w:r>
    </w:p>
    <w:p w14:paraId="610CF94D" w14:textId="777A9557" w:rsidR="007F7529" w:rsidRPr="00DF42D1" w:rsidRDefault="00833827" w:rsidP="00BC6C90">
      <w:pPr>
        <w:autoSpaceDE w:val="0"/>
        <w:autoSpaceDN w:val="0"/>
        <w:adjustRightInd w:val="0"/>
        <w:spacing w:after="120"/>
        <w:rPr>
          <w:rFonts w:asciiTheme="majorHAnsi" w:hAnsiTheme="majorHAnsi" w:cstheme="majorHAnsi"/>
        </w:rPr>
      </w:pPr>
      <w:r w:rsidRPr="00DF42D1">
        <w:rPr>
          <w:rFonts w:asciiTheme="majorHAnsi" w:hAnsiTheme="majorHAnsi" w:cstheme="majorHAnsi"/>
        </w:rPr>
        <w:t>7</w:t>
      </w:r>
      <w:r w:rsidR="00BC6C90" w:rsidRPr="00DF42D1">
        <w:rPr>
          <w:rFonts w:asciiTheme="majorHAnsi" w:hAnsiTheme="majorHAnsi" w:cstheme="majorHAnsi"/>
        </w:rPr>
        <w:t xml:space="preserve">. </w:t>
      </w:r>
      <w:r w:rsidR="00126D81">
        <w:rPr>
          <w:rFonts w:asciiTheme="majorHAnsi" w:hAnsiTheme="majorHAnsi" w:cstheme="majorHAnsi"/>
        </w:rPr>
        <w:t xml:space="preserve">In </w:t>
      </w:r>
      <w:r w:rsidR="00655927">
        <w:rPr>
          <w:rFonts w:asciiTheme="majorHAnsi" w:hAnsiTheme="majorHAnsi" w:cstheme="majorHAnsi"/>
        </w:rPr>
        <w:t>Seychelles</w:t>
      </w:r>
      <w:r w:rsidR="00126D81">
        <w:rPr>
          <w:rFonts w:asciiTheme="majorHAnsi" w:hAnsiTheme="majorHAnsi" w:cstheme="majorHAnsi"/>
        </w:rPr>
        <w:t>, c</w:t>
      </w:r>
      <w:r w:rsidR="007F7529" w:rsidRPr="00DF42D1">
        <w:rPr>
          <w:rFonts w:asciiTheme="majorHAnsi" w:hAnsiTheme="majorHAnsi" w:cstheme="majorHAnsi"/>
        </w:rPr>
        <w:t xml:space="preserve">orporal punishment of children is unlawful </w:t>
      </w:r>
      <w:r w:rsidR="00655927">
        <w:rPr>
          <w:rFonts w:asciiTheme="majorHAnsi" w:hAnsiTheme="majorHAnsi" w:cstheme="majorHAnsi"/>
        </w:rPr>
        <w:t>as a sentence for a crime</w:t>
      </w:r>
      <w:r w:rsidR="008730E0" w:rsidRPr="00DF42D1">
        <w:rPr>
          <w:rFonts w:asciiTheme="majorHAnsi" w:hAnsiTheme="majorHAnsi" w:cstheme="majorHAnsi"/>
        </w:rPr>
        <w:t>, but children with disabilities may lawfully be subject</w:t>
      </w:r>
      <w:r w:rsidRPr="00DF42D1">
        <w:rPr>
          <w:rFonts w:asciiTheme="majorHAnsi" w:hAnsiTheme="majorHAnsi" w:cstheme="majorHAnsi"/>
        </w:rPr>
        <w:t>ed</w:t>
      </w:r>
      <w:r w:rsidR="008730E0" w:rsidRPr="00DF42D1">
        <w:rPr>
          <w:rFonts w:asciiTheme="majorHAnsi" w:hAnsiTheme="majorHAnsi" w:cstheme="majorHAnsi"/>
        </w:rPr>
        <w:t xml:space="preserve"> to physical punishment in</w:t>
      </w:r>
      <w:r w:rsidR="00655927">
        <w:rPr>
          <w:rFonts w:asciiTheme="majorHAnsi" w:hAnsiTheme="majorHAnsi" w:cstheme="majorHAnsi"/>
        </w:rPr>
        <w:t xml:space="preserve"> all other settings:</w:t>
      </w:r>
      <w:r w:rsidR="008730E0" w:rsidRPr="00DF42D1">
        <w:rPr>
          <w:rFonts w:asciiTheme="majorHAnsi" w:hAnsiTheme="majorHAnsi" w:cstheme="majorHAnsi"/>
        </w:rPr>
        <w:t xml:space="preserve"> the home, alternative care</w:t>
      </w:r>
      <w:r w:rsidR="001947F2" w:rsidRPr="00DF42D1">
        <w:rPr>
          <w:rFonts w:asciiTheme="majorHAnsi" w:hAnsiTheme="majorHAnsi" w:cstheme="majorHAnsi"/>
        </w:rPr>
        <w:t>,</w:t>
      </w:r>
      <w:r w:rsidR="00126D81">
        <w:rPr>
          <w:rFonts w:asciiTheme="majorHAnsi" w:hAnsiTheme="majorHAnsi" w:cstheme="majorHAnsi"/>
        </w:rPr>
        <w:t xml:space="preserve"> </w:t>
      </w:r>
      <w:r w:rsidR="008730E0" w:rsidRPr="00DF42D1">
        <w:rPr>
          <w:rFonts w:asciiTheme="majorHAnsi" w:hAnsiTheme="majorHAnsi" w:cstheme="majorHAnsi"/>
        </w:rPr>
        <w:t>day care</w:t>
      </w:r>
      <w:r w:rsidR="00655927">
        <w:rPr>
          <w:rFonts w:asciiTheme="majorHAnsi" w:hAnsiTheme="majorHAnsi" w:cstheme="majorHAnsi"/>
        </w:rPr>
        <w:t>, schools and penal institutions</w:t>
      </w:r>
      <w:r w:rsidR="00591A1C" w:rsidRPr="00DF42D1">
        <w:rPr>
          <w:rFonts w:asciiTheme="majorHAnsi" w:hAnsiTheme="majorHAnsi" w:cstheme="majorHAnsi"/>
        </w:rPr>
        <w:t>.</w:t>
      </w:r>
    </w:p>
    <w:p w14:paraId="74D69EA1" w14:textId="77777777" w:rsidR="00CB457A" w:rsidRDefault="00620321" w:rsidP="00CB457A">
      <w:pPr>
        <w:autoSpaceDE w:val="0"/>
        <w:autoSpaceDN w:val="0"/>
        <w:adjustRightInd w:val="0"/>
        <w:spacing w:after="120"/>
        <w:rPr>
          <w:rFonts w:asciiTheme="majorHAnsi" w:hAnsiTheme="majorHAnsi" w:cstheme="majorHAnsi"/>
          <w:iCs/>
        </w:rPr>
      </w:pPr>
      <w:r w:rsidRPr="00DF42D1">
        <w:rPr>
          <w:rFonts w:asciiTheme="majorHAnsi" w:hAnsiTheme="majorHAnsi" w:cstheme="majorHAnsi"/>
        </w:rPr>
        <w:t xml:space="preserve">8. </w:t>
      </w:r>
      <w:r w:rsidRPr="00DF42D1">
        <w:rPr>
          <w:rFonts w:asciiTheme="majorHAnsi" w:hAnsiTheme="majorHAnsi" w:cstheme="majorHAnsi"/>
          <w:i/>
        </w:rPr>
        <w:t>Corporal punishment is lawful in the home</w:t>
      </w:r>
      <w:r w:rsidR="00CB457A" w:rsidRPr="00CB457A">
        <w:rPr>
          <w:rFonts w:asciiTheme="majorHAnsi" w:hAnsiTheme="majorHAnsi" w:cstheme="majorHAnsi"/>
          <w:iCs/>
        </w:rPr>
        <w:t xml:space="preserve"> under the common law right to inflict “reasonable chastisement” on children. Article 70 of the Children Act 1982 prohibits cruelty to children, but states: “(7) Nothing in this section affects the right of a parent, guardian, teacher or other person having the lawful control or charge of a child to administer proper punishment to him if that punishment does not contravene subsection (1).” Subsection (1) prohibits assault and ill-treatment which causes or is likely to cause “unnecessary suffering, moral danger or injury to health” but does not prohibit all corporal punishment in childrearing. Provisions against violence and abuse in the Family Violence (Protection of Victims) Act 2000, the Penal Code 1955 and the Constitution 1993 are not interpreted as prohibiting corporal punishment in childrearing.</w:t>
      </w:r>
    </w:p>
    <w:p w14:paraId="12607B9B" w14:textId="4D407D51" w:rsidR="00CB457A" w:rsidRPr="00CB457A" w:rsidRDefault="00CB457A" w:rsidP="00CB457A">
      <w:pPr>
        <w:autoSpaceDE w:val="0"/>
        <w:autoSpaceDN w:val="0"/>
        <w:adjustRightInd w:val="0"/>
        <w:spacing w:after="120"/>
        <w:rPr>
          <w:rFonts w:asciiTheme="majorHAnsi" w:hAnsiTheme="majorHAnsi" w:cstheme="majorHAnsi"/>
        </w:rPr>
      </w:pPr>
      <w:r>
        <w:rPr>
          <w:rFonts w:asciiTheme="majorHAnsi" w:hAnsiTheme="majorHAnsi" w:cstheme="majorHAnsi"/>
        </w:rPr>
        <w:t>9</w:t>
      </w:r>
      <w:r w:rsidR="00620321" w:rsidRPr="00DF42D1">
        <w:rPr>
          <w:rFonts w:asciiTheme="majorHAnsi" w:hAnsiTheme="majorHAnsi" w:cstheme="majorHAnsi"/>
        </w:rPr>
        <w:t xml:space="preserve">. </w:t>
      </w:r>
      <w:r w:rsidR="00620321" w:rsidRPr="00DF42D1">
        <w:rPr>
          <w:rFonts w:asciiTheme="majorHAnsi" w:hAnsiTheme="majorHAnsi" w:cstheme="majorHAnsi"/>
          <w:i/>
        </w:rPr>
        <w:t>Corporal punishment is lawful in alternative care settings</w:t>
      </w:r>
      <w:r>
        <w:rPr>
          <w:rFonts w:asciiTheme="majorHAnsi" w:hAnsiTheme="majorHAnsi" w:cstheme="majorHAnsi"/>
          <w:i/>
        </w:rPr>
        <w:t xml:space="preserve"> </w:t>
      </w:r>
      <w:r w:rsidRPr="00CB457A">
        <w:rPr>
          <w:rFonts w:asciiTheme="majorHAnsi" w:hAnsiTheme="majorHAnsi" w:cstheme="majorHAnsi"/>
        </w:rPr>
        <w:t xml:space="preserve">under the right “to administer proper punishment” in the Children Act 1982 (art. 70). Establishments provided and maintained under the Children Act include children’s homes for initial or temporary care of children under 16 and </w:t>
      </w:r>
      <w:r w:rsidRPr="00CB457A">
        <w:rPr>
          <w:rFonts w:asciiTheme="majorHAnsi" w:hAnsiTheme="majorHAnsi" w:cstheme="majorHAnsi"/>
        </w:rPr>
        <w:lastRenderedPageBreak/>
        <w:t>children’s homes for children who are orphaned or abandoned (art. 100). The Act provides for the Minister to make regulations for “the conduct of residential and other establishments and for securing the welfare of persons residing or accommodated in them, including … (iii) specifying the occasions on which corporal punishment may be given to children in those establishments and the persons who may give it” (art. 107). We do not know if such regulations have been adopted.</w:t>
      </w:r>
      <w:r>
        <w:rPr>
          <w:rFonts w:asciiTheme="majorHAnsi" w:hAnsiTheme="majorHAnsi" w:cstheme="majorHAnsi"/>
        </w:rPr>
        <w:t xml:space="preserve"> </w:t>
      </w:r>
      <w:r w:rsidRPr="00CB457A">
        <w:rPr>
          <w:rFonts w:asciiTheme="majorHAnsi" w:hAnsiTheme="majorHAnsi" w:cstheme="majorHAnsi"/>
        </w:rPr>
        <w:t>The Children (Adoption) Rules and the Children Act (Foster Care) Regulations do not provide for corporal punishment, but they do not explicitly prohibit it.</w:t>
      </w:r>
    </w:p>
    <w:p w14:paraId="58548563" w14:textId="76B33723" w:rsidR="00CB457A" w:rsidRPr="00CB457A" w:rsidRDefault="00D63AA6" w:rsidP="00CB457A">
      <w:pPr>
        <w:autoSpaceDE w:val="0"/>
        <w:autoSpaceDN w:val="0"/>
        <w:adjustRightInd w:val="0"/>
        <w:spacing w:after="120"/>
        <w:rPr>
          <w:rFonts w:asciiTheme="majorHAnsi" w:hAnsiTheme="majorHAnsi" w:cstheme="majorHAnsi"/>
        </w:rPr>
      </w:pPr>
      <w:r w:rsidRPr="00DF42D1">
        <w:rPr>
          <w:rFonts w:asciiTheme="majorHAnsi" w:hAnsiTheme="majorHAnsi" w:cstheme="majorHAnsi"/>
        </w:rPr>
        <w:t>1</w:t>
      </w:r>
      <w:r w:rsidR="00655927">
        <w:rPr>
          <w:rFonts w:asciiTheme="majorHAnsi" w:hAnsiTheme="majorHAnsi" w:cstheme="majorHAnsi"/>
        </w:rPr>
        <w:t>0</w:t>
      </w:r>
      <w:r w:rsidRPr="00DF42D1">
        <w:rPr>
          <w:rFonts w:asciiTheme="majorHAnsi" w:hAnsiTheme="majorHAnsi" w:cstheme="majorHAnsi"/>
        </w:rPr>
        <w:t xml:space="preserve">. </w:t>
      </w:r>
      <w:r w:rsidRPr="00DF42D1">
        <w:rPr>
          <w:rFonts w:asciiTheme="majorHAnsi" w:hAnsiTheme="majorHAnsi" w:cstheme="majorHAnsi"/>
          <w:i/>
        </w:rPr>
        <w:t>Corporal punishment is</w:t>
      </w:r>
      <w:r w:rsidR="005869E5" w:rsidRPr="00DF42D1">
        <w:rPr>
          <w:rFonts w:asciiTheme="majorHAnsi" w:hAnsiTheme="majorHAnsi" w:cstheme="majorHAnsi"/>
          <w:i/>
        </w:rPr>
        <w:t xml:space="preserve"> </w:t>
      </w:r>
      <w:r w:rsidRPr="00DF42D1">
        <w:rPr>
          <w:rFonts w:asciiTheme="majorHAnsi" w:hAnsiTheme="majorHAnsi" w:cstheme="majorHAnsi"/>
          <w:i/>
        </w:rPr>
        <w:t>lawful in</w:t>
      </w:r>
      <w:r w:rsidR="005C34D5" w:rsidRPr="00DF42D1">
        <w:rPr>
          <w:rFonts w:asciiTheme="majorHAnsi" w:hAnsiTheme="majorHAnsi" w:cstheme="majorHAnsi"/>
          <w:i/>
        </w:rPr>
        <w:t xml:space="preserve"> </w:t>
      </w:r>
      <w:r w:rsidRPr="00DF42D1">
        <w:rPr>
          <w:rFonts w:asciiTheme="majorHAnsi" w:hAnsiTheme="majorHAnsi" w:cstheme="majorHAnsi"/>
          <w:i/>
        </w:rPr>
        <w:t>early childhood care and in</w:t>
      </w:r>
      <w:r w:rsidR="005C34D5" w:rsidRPr="00DF42D1">
        <w:rPr>
          <w:rFonts w:asciiTheme="majorHAnsi" w:hAnsiTheme="majorHAnsi" w:cstheme="majorHAnsi"/>
          <w:i/>
        </w:rPr>
        <w:t xml:space="preserve"> </w:t>
      </w:r>
      <w:r w:rsidRPr="00DF42D1">
        <w:rPr>
          <w:rFonts w:asciiTheme="majorHAnsi" w:hAnsiTheme="majorHAnsi" w:cstheme="majorHAnsi"/>
          <w:i/>
        </w:rPr>
        <w:t>day care for older children, including for children with disabilities</w:t>
      </w:r>
      <w:r w:rsidR="00CB457A">
        <w:rPr>
          <w:rFonts w:asciiTheme="majorHAnsi" w:hAnsiTheme="majorHAnsi" w:cstheme="majorHAnsi"/>
          <w:i/>
        </w:rPr>
        <w:t xml:space="preserve"> </w:t>
      </w:r>
      <w:r w:rsidR="00CB457A" w:rsidRPr="00CB457A">
        <w:rPr>
          <w:rFonts w:asciiTheme="majorHAnsi" w:hAnsiTheme="majorHAnsi" w:cstheme="majorHAnsi"/>
        </w:rPr>
        <w:t>under the right “to administer proper punishment” in the Children Act 1982 (art. 70). Establishments provided and maintained under the Children Act include day care for children under 4 (art. 100). The Act provides for the Minister to make regulations on corporal punishment (art. 107). We do not know if such regulations have been adopted.</w:t>
      </w:r>
    </w:p>
    <w:p w14:paraId="120164D5" w14:textId="3C871060" w:rsidR="00CB457A" w:rsidRPr="00CB457A" w:rsidRDefault="00D63AA6" w:rsidP="00CB457A">
      <w:pPr>
        <w:autoSpaceDE w:val="0"/>
        <w:autoSpaceDN w:val="0"/>
        <w:adjustRightInd w:val="0"/>
        <w:spacing w:after="120"/>
        <w:rPr>
          <w:rFonts w:asciiTheme="majorHAnsi" w:hAnsiTheme="majorHAnsi" w:cstheme="majorHAnsi"/>
        </w:rPr>
      </w:pPr>
      <w:r w:rsidRPr="00DF42D1">
        <w:rPr>
          <w:rFonts w:asciiTheme="majorHAnsi" w:hAnsiTheme="majorHAnsi" w:cstheme="majorHAnsi"/>
        </w:rPr>
        <w:t>1</w:t>
      </w:r>
      <w:r w:rsidR="00655927">
        <w:rPr>
          <w:rFonts w:asciiTheme="majorHAnsi" w:hAnsiTheme="majorHAnsi" w:cstheme="majorHAnsi"/>
        </w:rPr>
        <w:t>1</w:t>
      </w:r>
      <w:r w:rsidRPr="00DF42D1">
        <w:rPr>
          <w:rFonts w:asciiTheme="majorHAnsi" w:hAnsiTheme="majorHAnsi" w:cstheme="majorHAnsi"/>
        </w:rPr>
        <w:t xml:space="preserve">. </w:t>
      </w:r>
      <w:bookmarkStart w:id="1" w:name="OLE_LINK44"/>
      <w:bookmarkStart w:id="2" w:name="OLE_LINK45"/>
      <w:r w:rsidRPr="00DF42D1">
        <w:rPr>
          <w:rFonts w:asciiTheme="majorHAnsi" w:hAnsiTheme="majorHAnsi" w:cstheme="majorHAnsi"/>
          <w:i/>
        </w:rPr>
        <w:t>Corporal punishment is lawful in schools</w:t>
      </w:r>
      <w:bookmarkEnd w:id="1"/>
      <w:bookmarkEnd w:id="2"/>
      <w:r w:rsidR="00CB457A">
        <w:rPr>
          <w:rFonts w:asciiTheme="majorHAnsi" w:hAnsiTheme="majorHAnsi" w:cstheme="majorHAnsi"/>
          <w:i/>
        </w:rPr>
        <w:t>.</w:t>
      </w:r>
      <w:r w:rsidR="004F7EF9" w:rsidRPr="004F7EF9">
        <w:rPr>
          <w:rFonts w:asciiTheme="majorHAnsi" w:hAnsiTheme="majorHAnsi" w:cstheme="majorHAnsi"/>
        </w:rPr>
        <w:t xml:space="preserve"> </w:t>
      </w:r>
      <w:r w:rsidR="00CB457A" w:rsidRPr="00CB457A">
        <w:rPr>
          <w:rFonts w:asciiTheme="majorHAnsi" w:hAnsiTheme="majorHAnsi" w:cstheme="majorHAnsi"/>
        </w:rPr>
        <w:t>The Government has stated that corporal punishment is prohibited in schools in the Children Act 1982.</w:t>
      </w:r>
      <w:r w:rsidR="00CB457A" w:rsidRPr="00CB457A">
        <w:rPr>
          <w:rFonts w:asciiTheme="majorHAnsi" w:hAnsiTheme="majorHAnsi" w:cstheme="majorHAnsi"/>
          <w:vertAlign w:val="superscript"/>
        </w:rPr>
        <w:footnoteReference w:id="2"/>
      </w:r>
      <w:r w:rsidR="00CB457A" w:rsidRPr="00CB457A">
        <w:rPr>
          <w:rFonts w:asciiTheme="majorHAnsi" w:hAnsiTheme="majorHAnsi" w:cstheme="majorHAnsi"/>
        </w:rPr>
        <w:t xml:space="preserve"> However, the Act does not explicitly prohibit corporal punishment; rather it provides for the right of teachers “to administer proper punishment” (art. 70). The Education (Amended) Bill 2015 includes prohibition of corporal punishment. The Bill had been expected to be enacted in 2015;</w:t>
      </w:r>
      <w:r w:rsidR="00CB457A" w:rsidRPr="00CB457A">
        <w:rPr>
          <w:rFonts w:asciiTheme="majorHAnsi" w:hAnsiTheme="majorHAnsi" w:cstheme="majorHAnsi"/>
          <w:vertAlign w:val="superscript"/>
        </w:rPr>
        <w:footnoteReference w:id="3"/>
      </w:r>
      <w:r w:rsidR="00CB457A" w:rsidRPr="00CB457A">
        <w:rPr>
          <w:rFonts w:asciiTheme="majorHAnsi" w:hAnsiTheme="majorHAnsi" w:cstheme="majorHAnsi"/>
        </w:rPr>
        <w:t xml:space="preserve"> in reporting to the Universal Periodic Review in 2016, the Government confirmed that the amendment of the Education Act has not yet been achieved but that the revised Act would include prohibition of corporal punishment.</w:t>
      </w:r>
      <w:r w:rsidR="00CB457A" w:rsidRPr="00CB457A">
        <w:rPr>
          <w:rFonts w:asciiTheme="majorHAnsi" w:hAnsiTheme="majorHAnsi" w:cstheme="majorHAnsi"/>
          <w:vertAlign w:val="superscript"/>
        </w:rPr>
        <w:footnoteReference w:id="4"/>
      </w:r>
      <w:r w:rsidR="00CB457A" w:rsidRPr="00CB457A">
        <w:rPr>
          <w:rFonts w:asciiTheme="majorHAnsi" w:hAnsiTheme="majorHAnsi" w:cstheme="majorHAnsi"/>
        </w:rPr>
        <w:t xml:space="preserve"> We have yet to </w:t>
      </w:r>
      <w:r w:rsidR="00485994">
        <w:rPr>
          <w:rFonts w:asciiTheme="majorHAnsi" w:hAnsiTheme="majorHAnsi" w:cstheme="majorHAnsi"/>
        </w:rPr>
        <w:t>establish whether or not the Bi</w:t>
      </w:r>
      <w:r w:rsidR="00CB457A">
        <w:rPr>
          <w:rFonts w:asciiTheme="majorHAnsi" w:hAnsiTheme="majorHAnsi" w:cstheme="majorHAnsi"/>
        </w:rPr>
        <w:t>ll</w:t>
      </w:r>
      <w:r w:rsidR="00CB457A" w:rsidRPr="00CB457A">
        <w:rPr>
          <w:rFonts w:asciiTheme="majorHAnsi" w:hAnsiTheme="majorHAnsi" w:cstheme="majorHAnsi"/>
        </w:rPr>
        <w:t xml:space="preserve"> repeals the right of teachers to “administer proper punishment</w:t>
      </w:r>
      <w:r w:rsidR="00CB457A">
        <w:rPr>
          <w:rFonts w:asciiTheme="majorHAnsi" w:hAnsiTheme="majorHAnsi" w:cstheme="majorHAnsi"/>
        </w:rPr>
        <w:t>”</w:t>
      </w:r>
      <w:r w:rsidR="00CB457A" w:rsidRPr="00CB457A">
        <w:rPr>
          <w:rFonts w:asciiTheme="majorHAnsi" w:hAnsiTheme="majorHAnsi" w:cstheme="majorHAnsi"/>
        </w:rPr>
        <w:t>.</w:t>
      </w:r>
    </w:p>
    <w:p w14:paraId="51D6AC46" w14:textId="00F0A4B6" w:rsidR="00CB457A" w:rsidRPr="00CB457A" w:rsidRDefault="00D63AA6" w:rsidP="00CB457A">
      <w:pPr>
        <w:autoSpaceDE w:val="0"/>
        <w:autoSpaceDN w:val="0"/>
        <w:adjustRightInd w:val="0"/>
        <w:spacing w:after="120"/>
        <w:rPr>
          <w:rFonts w:asciiTheme="majorHAnsi" w:hAnsiTheme="majorHAnsi" w:cstheme="majorHAnsi"/>
        </w:rPr>
      </w:pPr>
      <w:r w:rsidRPr="00DF42D1">
        <w:rPr>
          <w:rFonts w:asciiTheme="majorHAnsi" w:hAnsiTheme="majorHAnsi" w:cstheme="majorHAnsi"/>
        </w:rPr>
        <w:t>1</w:t>
      </w:r>
      <w:r w:rsidR="00655927">
        <w:rPr>
          <w:rFonts w:asciiTheme="majorHAnsi" w:hAnsiTheme="majorHAnsi" w:cstheme="majorHAnsi"/>
        </w:rPr>
        <w:t>2</w:t>
      </w:r>
      <w:r w:rsidRPr="00DF42D1">
        <w:rPr>
          <w:rFonts w:asciiTheme="majorHAnsi" w:hAnsiTheme="majorHAnsi" w:cstheme="majorHAnsi"/>
        </w:rPr>
        <w:t xml:space="preserve">. </w:t>
      </w:r>
      <w:r w:rsidR="00591A1C" w:rsidRPr="00DF42D1">
        <w:rPr>
          <w:rFonts w:asciiTheme="majorHAnsi" w:hAnsiTheme="majorHAnsi" w:cstheme="majorHAnsi"/>
          <w:i/>
        </w:rPr>
        <w:t>Corporal punishment is</w:t>
      </w:r>
      <w:r w:rsidR="004F7EF9">
        <w:rPr>
          <w:rFonts w:asciiTheme="majorHAnsi" w:hAnsiTheme="majorHAnsi" w:cstheme="majorHAnsi"/>
          <w:i/>
        </w:rPr>
        <w:t xml:space="preserve"> </w:t>
      </w:r>
      <w:r w:rsidR="00CB457A">
        <w:rPr>
          <w:rFonts w:asciiTheme="majorHAnsi" w:hAnsiTheme="majorHAnsi" w:cstheme="majorHAnsi"/>
          <w:i/>
        </w:rPr>
        <w:t>l</w:t>
      </w:r>
      <w:r w:rsidRPr="00DF42D1">
        <w:rPr>
          <w:rFonts w:asciiTheme="majorHAnsi" w:hAnsiTheme="majorHAnsi" w:cstheme="majorHAnsi"/>
          <w:i/>
        </w:rPr>
        <w:t>awful as a disciplinary measure in penal institutions</w:t>
      </w:r>
      <w:r w:rsidR="004F7EF9" w:rsidRPr="004F7EF9">
        <w:rPr>
          <w:rFonts w:asciiTheme="majorHAnsi" w:hAnsiTheme="majorHAnsi" w:cstheme="majorHAnsi"/>
        </w:rPr>
        <w:t xml:space="preserve"> </w:t>
      </w:r>
      <w:r w:rsidR="00CB457A" w:rsidRPr="00CB457A">
        <w:rPr>
          <w:rFonts w:asciiTheme="majorHAnsi" w:hAnsiTheme="majorHAnsi" w:cstheme="majorHAnsi"/>
        </w:rPr>
        <w:t xml:space="preserve">under the right “to administer proper punishment” in the Children Act 1982 (art. 70). Establishments provided and maintained under the Children Act include juvenile centres (residential training establishments, attendance centres, residential re-orientation centres and youth residential treatment centres) (art. 100). </w:t>
      </w:r>
      <w:r w:rsidR="00CB457A">
        <w:rPr>
          <w:rFonts w:asciiTheme="majorHAnsi" w:hAnsiTheme="majorHAnsi" w:cstheme="majorHAnsi"/>
        </w:rPr>
        <w:t xml:space="preserve">Article </w:t>
      </w:r>
      <w:r w:rsidR="00655927">
        <w:rPr>
          <w:rFonts w:asciiTheme="majorHAnsi" w:hAnsiTheme="majorHAnsi" w:cstheme="majorHAnsi"/>
        </w:rPr>
        <w:t xml:space="preserve">107 of the Children Act authorises the use of corporal punishment under certain regulatory conditions (see above). </w:t>
      </w:r>
      <w:r w:rsidR="00CB457A" w:rsidRPr="00CB457A">
        <w:rPr>
          <w:rFonts w:asciiTheme="majorHAnsi" w:hAnsiTheme="majorHAnsi" w:cstheme="majorHAnsi"/>
        </w:rPr>
        <w:t>The Children Act (Juvenile Court) Rules do not provide for corporal punishment, but they do not prohibit it. There is no prohibition of corporal punishment in the Prisons Act 1991.</w:t>
      </w:r>
    </w:p>
    <w:p w14:paraId="1ADA1FF6" w14:textId="090E1A06" w:rsidR="00CB457A" w:rsidRDefault="00D63AA6" w:rsidP="00CB457A">
      <w:pPr>
        <w:spacing w:after="120"/>
        <w:rPr>
          <w:rFonts w:asciiTheme="majorHAnsi" w:hAnsiTheme="majorHAnsi" w:cstheme="majorHAnsi"/>
        </w:rPr>
      </w:pPr>
      <w:r w:rsidRPr="00DF42D1">
        <w:rPr>
          <w:rFonts w:asciiTheme="majorHAnsi" w:hAnsiTheme="majorHAnsi" w:cstheme="majorHAnsi"/>
        </w:rPr>
        <w:t>1</w:t>
      </w:r>
      <w:r w:rsidR="00655927">
        <w:rPr>
          <w:rFonts w:asciiTheme="majorHAnsi" w:hAnsiTheme="majorHAnsi" w:cstheme="majorHAnsi"/>
        </w:rPr>
        <w:t>3</w:t>
      </w:r>
      <w:r w:rsidRPr="00DF42D1">
        <w:rPr>
          <w:rFonts w:asciiTheme="majorHAnsi" w:hAnsiTheme="majorHAnsi" w:cstheme="majorHAnsi"/>
        </w:rPr>
        <w:t xml:space="preserve">. </w:t>
      </w:r>
      <w:r w:rsidRPr="00DF42D1">
        <w:rPr>
          <w:rFonts w:asciiTheme="majorHAnsi" w:hAnsiTheme="majorHAnsi" w:cstheme="majorHAnsi"/>
          <w:i/>
        </w:rPr>
        <w:t>Corporal punishment is unlawful as a sentence for crime</w:t>
      </w:r>
      <w:r w:rsidR="00E82131" w:rsidRPr="00DF42D1">
        <w:rPr>
          <w:rFonts w:asciiTheme="majorHAnsi" w:hAnsiTheme="majorHAnsi" w:cstheme="majorHAnsi"/>
          <w:i/>
        </w:rPr>
        <w:t>.</w:t>
      </w:r>
      <w:r w:rsidR="001947F2" w:rsidRPr="00DF42D1">
        <w:rPr>
          <w:rFonts w:asciiTheme="majorHAnsi" w:hAnsiTheme="majorHAnsi" w:cstheme="majorHAnsi"/>
          <w:i/>
        </w:rPr>
        <w:t xml:space="preserve"> </w:t>
      </w:r>
      <w:r w:rsidR="00CB457A" w:rsidRPr="00CB457A">
        <w:rPr>
          <w:rFonts w:asciiTheme="majorHAnsi" w:hAnsiTheme="majorHAnsi" w:cstheme="majorHAnsi"/>
        </w:rPr>
        <w:t>It is not among the permitted sanctions in the Children Act 1982 (art. 95) or the Penal Code 1955 (art. 25), though it is not explicitly prohibited. The Constitution 1993 prohibits torture and cruel, inhuman or degrading treatment or punishment (art. 16).</w:t>
      </w:r>
    </w:p>
    <w:p w14:paraId="6BD84F6A" w14:textId="72651F23" w:rsidR="00CB457A" w:rsidRPr="00655927" w:rsidRDefault="00CB457A" w:rsidP="00655927">
      <w:pPr>
        <w:autoSpaceDE w:val="0"/>
        <w:autoSpaceDN w:val="0"/>
        <w:adjustRightInd w:val="0"/>
        <w:spacing w:after="120"/>
        <w:rPr>
          <w:rFonts w:asciiTheme="majorHAnsi" w:hAnsiTheme="majorHAnsi" w:cstheme="majorHAnsi"/>
          <w:iCs/>
        </w:rPr>
      </w:pPr>
      <w:r>
        <w:rPr>
          <w:rFonts w:asciiTheme="majorHAnsi" w:hAnsiTheme="majorHAnsi" w:cstheme="majorHAnsi"/>
        </w:rPr>
        <w:t>1</w:t>
      </w:r>
      <w:r w:rsidR="00655927">
        <w:rPr>
          <w:rFonts w:asciiTheme="majorHAnsi" w:hAnsiTheme="majorHAnsi" w:cstheme="majorHAnsi"/>
        </w:rPr>
        <w:t>4</w:t>
      </w:r>
      <w:r w:rsidRPr="00CB457A">
        <w:rPr>
          <w:rFonts w:asciiTheme="majorHAnsi" w:hAnsiTheme="majorHAnsi" w:cstheme="majorHAnsi"/>
        </w:rPr>
        <w:t>.</w:t>
      </w:r>
      <w:r w:rsidRPr="00CB457A">
        <w:rPr>
          <w:rFonts w:asciiTheme="majorHAnsi" w:hAnsiTheme="majorHAnsi" w:cstheme="majorHAnsi"/>
          <w:i/>
        </w:rPr>
        <w:t xml:space="preserve"> Opportunities for achieving prohibition of corporal punishment.</w:t>
      </w:r>
      <w:r>
        <w:rPr>
          <w:rFonts w:asciiTheme="majorHAnsi" w:hAnsiTheme="majorHAnsi" w:cstheme="majorHAnsi"/>
        </w:rPr>
        <w:t xml:space="preserve"> </w:t>
      </w:r>
      <w:r w:rsidR="00655927" w:rsidRPr="00CB457A">
        <w:rPr>
          <w:rFonts w:asciiTheme="majorHAnsi" w:hAnsiTheme="majorHAnsi" w:cstheme="majorHAnsi"/>
          <w:iCs/>
        </w:rPr>
        <w:t>In 2016, the Government accepted recommendations made during the Universal Periodic Review of the Seychelles to prohibit corporal punishment of children, including through repealing the right “to administer proper punishment” in the Children Act 1982.</w:t>
      </w:r>
      <w:r w:rsidR="00655927" w:rsidRPr="00CB457A">
        <w:rPr>
          <w:rFonts w:asciiTheme="majorHAnsi" w:hAnsiTheme="majorHAnsi" w:cstheme="majorHAnsi"/>
          <w:iCs/>
          <w:vertAlign w:val="superscript"/>
        </w:rPr>
        <w:footnoteReference w:id="5"/>
      </w:r>
      <w:r w:rsidR="00655927" w:rsidRPr="00CB457A">
        <w:rPr>
          <w:rFonts w:asciiTheme="majorHAnsi" w:hAnsiTheme="majorHAnsi" w:cstheme="majorHAnsi"/>
          <w:iCs/>
        </w:rPr>
        <w:t xml:space="preserve"> In accepting the recommendations, the Government stated that the rights of the child is the highest priority in the national agenda and it is in this light that the recommendations on corporal punishment were accepted.</w:t>
      </w:r>
      <w:r w:rsidR="00655927" w:rsidRPr="00CB457A">
        <w:rPr>
          <w:rFonts w:asciiTheme="majorHAnsi" w:hAnsiTheme="majorHAnsi" w:cstheme="majorHAnsi"/>
          <w:iCs/>
          <w:vertAlign w:val="superscript"/>
        </w:rPr>
        <w:footnoteReference w:id="6"/>
      </w:r>
      <w:r w:rsidR="00655927">
        <w:rPr>
          <w:rFonts w:asciiTheme="majorHAnsi" w:hAnsiTheme="majorHAnsi" w:cstheme="majorHAnsi"/>
          <w:iCs/>
        </w:rPr>
        <w:t xml:space="preserve"> </w:t>
      </w:r>
      <w:r w:rsidRPr="00CB457A">
        <w:rPr>
          <w:rFonts w:asciiTheme="majorHAnsi" w:hAnsiTheme="majorHAnsi" w:cstheme="majorHAnsi"/>
          <w:iCs/>
        </w:rPr>
        <w:t>The Civil Code and the Penal Code are be</w:t>
      </w:r>
      <w:r w:rsidR="00655927">
        <w:rPr>
          <w:rFonts w:asciiTheme="majorHAnsi" w:hAnsiTheme="majorHAnsi" w:cstheme="majorHAnsi"/>
          <w:iCs/>
        </w:rPr>
        <w:t xml:space="preserve">ing reviewed, and </w:t>
      </w:r>
      <w:r w:rsidRPr="00CB457A">
        <w:rPr>
          <w:rFonts w:asciiTheme="majorHAnsi" w:hAnsiTheme="majorHAnsi" w:cstheme="majorHAnsi"/>
          <w:iCs/>
        </w:rPr>
        <w:t>the Ministry of Social Affairs has drafted a Domestic Violence Bill and amendments to the Children Act 1982 which are pending in the Attorney General’s office.</w:t>
      </w:r>
      <w:r w:rsidRPr="00CB457A">
        <w:rPr>
          <w:rFonts w:asciiTheme="majorHAnsi" w:hAnsiTheme="majorHAnsi" w:cstheme="majorHAnsi"/>
          <w:iCs/>
          <w:vertAlign w:val="superscript"/>
        </w:rPr>
        <w:footnoteReference w:id="7"/>
      </w:r>
    </w:p>
    <w:p w14:paraId="6327BBC2" w14:textId="77777777" w:rsidR="004F7EF9" w:rsidRPr="00DF42D1" w:rsidRDefault="004F7EF9" w:rsidP="001947F2">
      <w:pPr>
        <w:spacing w:after="120"/>
        <w:rPr>
          <w:rFonts w:asciiTheme="majorHAnsi" w:hAnsiTheme="majorHAnsi" w:cstheme="majorHAnsi"/>
        </w:rPr>
      </w:pPr>
    </w:p>
    <w:p w14:paraId="0632C366" w14:textId="1F0A26DD" w:rsidR="007F7529" w:rsidRPr="00DF42D1" w:rsidRDefault="007F7529" w:rsidP="007F7529">
      <w:pPr>
        <w:pStyle w:val="Heading2"/>
        <w:spacing w:after="120"/>
        <w:rPr>
          <w:rFonts w:asciiTheme="majorHAnsi" w:hAnsiTheme="majorHAnsi" w:cstheme="majorHAnsi"/>
          <w:b w:val="0"/>
          <w:sz w:val="26"/>
          <w:szCs w:val="26"/>
        </w:rPr>
      </w:pPr>
      <w:r w:rsidRPr="00DF42D1">
        <w:rPr>
          <w:rFonts w:asciiTheme="majorHAnsi" w:hAnsiTheme="majorHAnsi" w:cstheme="majorHAnsi"/>
          <w:sz w:val="26"/>
          <w:szCs w:val="26"/>
        </w:rPr>
        <w:t>Recommendations by human rights treaty monitoring bodies</w:t>
      </w:r>
      <w:r w:rsidR="008730E0" w:rsidRPr="00DF42D1">
        <w:rPr>
          <w:rFonts w:asciiTheme="majorHAnsi" w:hAnsiTheme="majorHAnsi" w:cstheme="majorHAnsi"/>
          <w:sz w:val="26"/>
          <w:szCs w:val="26"/>
        </w:rPr>
        <w:t xml:space="preserve"> and during the UPR</w:t>
      </w:r>
    </w:p>
    <w:p w14:paraId="01D6FB49" w14:textId="56549063" w:rsidR="00F67CC5" w:rsidRPr="00DF42D1" w:rsidRDefault="00F67CC5" w:rsidP="00F67CC5">
      <w:pPr>
        <w:spacing w:after="240"/>
        <w:rPr>
          <w:rFonts w:asciiTheme="majorHAnsi" w:hAnsiTheme="majorHAnsi" w:cstheme="majorHAnsi"/>
          <w:bCs/>
        </w:rPr>
      </w:pPr>
      <w:r w:rsidRPr="00DF42D1">
        <w:rPr>
          <w:rFonts w:asciiTheme="majorHAnsi" w:hAnsiTheme="majorHAnsi" w:cstheme="majorHAnsi"/>
        </w:rPr>
        <w:t>1</w:t>
      </w:r>
      <w:r w:rsidR="00126D81">
        <w:rPr>
          <w:rFonts w:asciiTheme="majorHAnsi" w:hAnsiTheme="majorHAnsi" w:cstheme="majorHAnsi"/>
        </w:rPr>
        <w:t>5</w:t>
      </w:r>
      <w:r w:rsidRPr="00DF42D1">
        <w:rPr>
          <w:rFonts w:asciiTheme="majorHAnsi" w:hAnsiTheme="majorHAnsi" w:cstheme="majorHAnsi"/>
        </w:rPr>
        <w:t xml:space="preserve">. </w:t>
      </w:r>
      <w:r w:rsidR="00CB457A" w:rsidRPr="00CB457A">
        <w:rPr>
          <w:rFonts w:asciiTheme="majorHAnsi" w:hAnsiTheme="majorHAnsi" w:cstheme="majorHAnsi"/>
          <w:bCs/>
        </w:rPr>
        <w:t xml:space="preserve">In examining the initial report of the Seychelles in 2002, the </w:t>
      </w:r>
      <w:r w:rsidR="00CB457A" w:rsidRPr="00DF42D1">
        <w:rPr>
          <w:rFonts w:asciiTheme="majorHAnsi" w:hAnsiTheme="majorHAnsi" w:cstheme="majorHAnsi"/>
          <w:bCs/>
          <w:i/>
        </w:rPr>
        <w:t>Committee on the Rights of the Child</w:t>
      </w:r>
      <w:r w:rsidR="00CB457A" w:rsidRPr="00DF42D1">
        <w:rPr>
          <w:rFonts w:asciiTheme="majorHAnsi" w:hAnsiTheme="majorHAnsi" w:cstheme="majorHAnsi"/>
          <w:bCs/>
        </w:rPr>
        <w:t xml:space="preserve"> </w:t>
      </w:r>
      <w:r w:rsidR="00CB457A" w:rsidRPr="00CB457A">
        <w:rPr>
          <w:rFonts w:asciiTheme="majorHAnsi" w:hAnsiTheme="majorHAnsi" w:cstheme="majorHAnsi"/>
          <w:bCs/>
        </w:rPr>
        <w:t>was led to believe that corporal punishment was prohibited: the Committee went on to express concern at the widespread use of corporal punishment and recommend proper implementation of the prohibition.</w:t>
      </w:r>
      <w:r w:rsidR="00CB457A" w:rsidRPr="00CB457A">
        <w:rPr>
          <w:rFonts w:asciiTheme="majorHAnsi" w:hAnsiTheme="majorHAnsi" w:cstheme="majorHAnsi"/>
          <w:bCs/>
          <w:vertAlign w:val="superscript"/>
        </w:rPr>
        <w:footnoteReference w:id="8"/>
      </w:r>
      <w:r w:rsidR="00CB457A" w:rsidRPr="00CB457A">
        <w:rPr>
          <w:rFonts w:asciiTheme="majorHAnsi" w:hAnsiTheme="majorHAnsi" w:cstheme="majorHAnsi"/>
          <w:bCs/>
        </w:rPr>
        <w:t xml:space="preserve"> Following re-examination of the state party in 2012, the Committee noted the absence of explicit prohibition of corporal punishment in law and the existence of the right to inflict “reasonable chastisement” on children, and recommended that corporal punishment be prohibited in law in the home and other settings.</w:t>
      </w:r>
      <w:r w:rsidR="00CB457A" w:rsidRPr="00CB457A">
        <w:rPr>
          <w:rFonts w:asciiTheme="majorHAnsi" w:hAnsiTheme="majorHAnsi" w:cstheme="majorHAnsi"/>
          <w:bCs/>
          <w:vertAlign w:val="superscript"/>
        </w:rPr>
        <w:footnoteReference w:id="9"/>
      </w:r>
    </w:p>
    <w:p w14:paraId="61E936A8" w14:textId="223C4B2F" w:rsidR="004F7EF9" w:rsidRPr="004F7EF9" w:rsidRDefault="00F67CC5" w:rsidP="004F7EF9">
      <w:pPr>
        <w:spacing w:after="240"/>
        <w:rPr>
          <w:rFonts w:asciiTheme="majorHAnsi" w:hAnsiTheme="majorHAnsi" w:cstheme="majorHAnsi"/>
          <w:bCs/>
        </w:rPr>
      </w:pPr>
      <w:r w:rsidRPr="00DF42D1">
        <w:rPr>
          <w:rFonts w:asciiTheme="majorHAnsi" w:hAnsiTheme="majorHAnsi" w:cstheme="majorHAnsi"/>
          <w:bCs/>
        </w:rPr>
        <w:t>1</w:t>
      </w:r>
      <w:r w:rsidR="00126D81">
        <w:rPr>
          <w:rFonts w:asciiTheme="majorHAnsi" w:hAnsiTheme="majorHAnsi" w:cstheme="majorHAnsi"/>
          <w:bCs/>
        </w:rPr>
        <w:t>6</w:t>
      </w:r>
      <w:r w:rsidRPr="00DF42D1">
        <w:rPr>
          <w:rFonts w:asciiTheme="majorHAnsi" w:hAnsiTheme="majorHAnsi" w:cstheme="majorHAnsi"/>
          <w:bCs/>
        </w:rPr>
        <w:t xml:space="preserve">. </w:t>
      </w:r>
      <w:r w:rsidR="00CB457A" w:rsidRPr="00CB457A">
        <w:rPr>
          <w:rFonts w:asciiTheme="majorHAnsi" w:hAnsiTheme="majorHAnsi" w:cstheme="majorHAnsi"/>
          <w:bCs/>
        </w:rPr>
        <w:t xml:space="preserve">At the first cycle </w:t>
      </w:r>
      <w:r w:rsidR="00CB457A" w:rsidRPr="00CB457A">
        <w:rPr>
          <w:rFonts w:asciiTheme="majorHAnsi" w:hAnsiTheme="majorHAnsi" w:cstheme="majorHAnsi"/>
          <w:bCs/>
          <w:i/>
        </w:rPr>
        <w:t>Universal Periodic Review</w:t>
      </w:r>
      <w:r w:rsidR="00CB457A" w:rsidRPr="00CB457A">
        <w:rPr>
          <w:rFonts w:asciiTheme="majorHAnsi" w:hAnsiTheme="majorHAnsi" w:cstheme="majorHAnsi"/>
          <w:bCs/>
        </w:rPr>
        <w:t xml:space="preserve"> in 2011, the recommendation to establish a de jure moratorium on the use of corporal punishment was made to the Seychelles.</w:t>
      </w:r>
      <w:r w:rsidR="00CB457A" w:rsidRPr="00CB457A">
        <w:rPr>
          <w:rFonts w:asciiTheme="majorHAnsi" w:hAnsiTheme="majorHAnsi" w:cstheme="majorHAnsi"/>
          <w:bCs/>
          <w:vertAlign w:val="superscript"/>
        </w:rPr>
        <w:footnoteReference w:id="10"/>
      </w:r>
      <w:r w:rsidR="00CB457A" w:rsidRPr="00CB457A">
        <w:rPr>
          <w:rFonts w:asciiTheme="majorHAnsi" w:hAnsiTheme="majorHAnsi" w:cstheme="majorHAnsi"/>
          <w:bCs/>
        </w:rPr>
        <w:t xml:space="preserve"> The Government appeared to have accepted the recommendation in its general acceptance of recommendations concerning protection of children.</w:t>
      </w:r>
      <w:r w:rsidR="00CB457A" w:rsidRPr="00CB457A">
        <w:rPr>
          <w:rFonts w:asciiTheme="majorHAnsi" w:hAnsiTheme="majorHAnsi" w:cstheme="majorHAnsi"/>
          <w:bCs/>
          <w:vertAlign w:val="superscript"/>
        </w:rPr>
        <w:footnoteReference w:id="11"/>
      </w:r>
      <w:r w:rsidR="00CB457A" w:rsidRPr="00CB457A">
        <w:rPr>
          <w:rFonts w:asciiTheme="majorHAnsi" w:hAnsiTheme="majorHAnsi" w:cstheme="majorHAnsi"/>
          <w:bCs/>
        </w:rPr>
        <w:t xml:space="preserve"> In 2016, the Government accepted recommendations made during the Universal Periodic Review of the Seychelles to prohibit corporal punishment of children, including through repealing the right “to administer proper punishment” in the Children Act 1982.</w:t>
      </w:r>
      <w:r w:rsidR="00CB457A" w:rsidRPr="00CB457A">
        <w:rPr>
          <w:rFonts w:asciiTheme="majorHAnsi" w:hAnsiTheme="majorHAnsi" w:cstheme="majorHAnsi"/>
          <w:bCs/>
          <w:vertAlign w:val="superscript"/>
        </w:rPr>
        <w:footnoteReference w:id="12"/>
      </w:r>
    </w:p>
    <w:p w14:paraId="2F72CECD" w14:textId="72B697C4" w:rsidR="00F67CC5" w:rsidRPr="00DF42D1" w:rsidRDefault="00F67CC5" w:rsidP="00F67CC5">
      <w:pPr>
        <w:spacing w:after="240"/>
        <w:rPr>
          <w:rFonts w:asciiTheme="majorHAnsi" w:hAnsiTheme="majorHAnsi" w:cstheme="majorHAnsi"/>
          <w:bCs/>
        </w:rPr>
      </w:pPr>
    </w:p>
    <w:p w14:paraId="5C2DD584" w14:textId="77777777" w:rsidR="00F67CC5" w:rsidRPr="00DF42D1" w:rsidRDefault="00F67CC5" w:rsidP="00F67CC5">
      <w:pPr>
        <w:rPr>
          <w:rFonts w:asciiTheme="majorHAnsi" w:hAnsiTheme="majorHAnsi" w:cstheme="majorHAnsi"/>
        </w:rPr>
      </w:pPr>
    </w:p>
    <w:p w14:paraId="73A734C1" w14:textId="77777777" w:rsidR="009C24BF" w:rsidRPr="00DF42D1" w:rsidRDefault="00482BF9" w:rsidP="007A21C3">
      <w:pPr>
        <w:rPr>
          <w:rFonts w:asciiTheme="majorHAnsi" w:hAnsiTheme="majorHAnsi" w:cstheme="majorHAnsi"/>
          <w:i/>
          <w:iCs/>
        </w:rPr>
      </w:pPr>
      <w:r w:rsidRPr="00DF42D1">
        <w:rPr>
          <w:rFonts w:asciiTheme="majorHAnsi" w:hAnsiTheme="majorHAnsi" w:cstheme="majorHAnsi"/>
          <w:i/>
          <w:iCs/>
        </w:rPr>
        <w:t>B</w:t>
      </w:r>
      <w:r w:rsidR="009C24BF" w:rsidRPr="00DF42D1">
        <w:rPr>
          <w:rFonts w:asciiTheme="majorHAnsi" w:hAnsiTheme="majorHAnsi" w:cstheme="majorHAnsi"/>
          <w:i/>
          <w:iCs/>
        </w:rPr>
        <w:t>riefing prepared by the Global Initiative to End All Corporal Punishment of Children</w:t>
      </w:r>
    </w:p>
    <w:p w14:paraId="3B3EA53F" w14:textId="4DBF834A" w:rsidR="008D6D66" w:rsidRPr="00DF42D1" w:rsidRDefault="003B40A2" w:rsidP="007A21C3">
      <w:pPr>
        <w:rPr>
          <w:rFonts w:asciiTheme="majorHAnsi" w:hAnsiTheme="majorHAnsi" w:cstheme="majorHAnsi"/>
          <w:i/>
          <w:iCs/>
        </w:rPr>
      </w:pPr>
      <w:hyperlink r:id="rId15" w:history="1">
        <w:r w:rsidR="009C24BF" w:rsidRPr="00DF42D1">
          <w:rPr>
            <w:rStyle w:val="Hyperlink"/>
            <w:rFonts w:asciiTheme="majorHAnsi" w:hAnsiTheme="majorHAnsi" w:cstheme="majorHAnsi"/>
            <w:i/>
            <w:iCs/>
          </w:rPr>
          <w:t>www.endcorporalpunishment.org</w:t>
        </w:r>
      </w:hyperlink>
      <w:r w:rsidR="009C24BF" w:rsidRPr="00DF42D1">
        <w:rPr>
          <w:rFonts w:asciiTheme="majorHAnsi" w:hAnsiTheme="majorHAnsi" w:cstheme="majorHAnsi"/>
          <w:i/>
          <w:iCs/>
        </w:rPr>
        <w:t xml:space="preserve">; </w:t>
      </w:r>
      <w:hyperlink r:id="rId16" w:history="1">
        <w:r w:rsidR="009C24BF" w:rsidRPr="00DF42D1">
          <w:rPr>
            <w:rStyle w:val="Hyperlink"/>
            <w:rFonts w:asciiTheme="majorHAnsi" w:hAnsiTheme="majorHAnsi" w:cstheme="majorHAnsi"/>
            <w:i/>
            <w:iCs/>
          </w:rPr>
          <w:t>info@endcorporalpunishment.org</w:t>
        </w:r>
      </w:hyperlink>
    </w:p>
    <w:sectPr w:rsidR="008D6D66" w:rsidRPr="00DF42D1" w:rsidSect="00BE37BF">
      <w:footerReference w:type="even" r:id="rId17"/>
      <w:footerReference w:type="default" r:id="rId18"/>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EB6BF8" w14:textId="77777777" w:rsidR="00347EAC" w:rsidRDefault="00347EAC">
      <w:r>
        <w:separator/>
      </w:r>
    </w:p>
  </w:endnote>
  <w:endnote w:type="continuationSeparator" w:id="0">
    <w:p w14:paraId="29AEE4F6" w14:textId="77777777" w:rsidR="00347EAC" w:rsidRDefault="00347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3F54C" w14:textId="2BC71504"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3B40A2">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384FE7" w14:textId="77777777" w:rsidR="00347EAC" w:rsidRDefault="00347EAC">
      <w:r>
        <w:separator/>
      </w:r>
    </w:p>
  </w:footnote>
  <w:footnote w:type="continuationSeparator" w:id="0">
    <w:p w14:paraId="51F6CAFD" w14:textId="77777777" w:rsidR="00347EAC" w:rsidRDefault="00347EAC">
      <w:r>
        <w:continuationSeparator/>
      </w:r>
    </w:p>
  </w:footnote>
  <w:footnote w:id="1">
    <w:p w14:paraId="7306DD3C" w14:textId="3EA8A1D4" w:rsidR="007F7529" w:rsidRPr="00655927" w:rsidRDefault="007F7529" w:rsidP="007F7529">
      <w:pPr>
        <w:pStyle w:val="FootnoteText"/>
        <w:rPr>
          <w:rFonts w:asciiTheme="majorHAnsi" w:hAnsiTheme="majorHAnsi" w:cstheme="majorHAnsi"/>
        </w:rPr>
      </w:pPr>
      <w:r w:rsidRPr="00655927">
        <w:rPr>
          <w:rStyle w:val="FootnoteReference"/>
          <w:rFonts w:asciiTheme="majorHAnsi" w:hAnsiTheme="majorHAnsi" w:cstheme="majorHAnsi"/>
        </w:rPr>
        <w:footnoteRef/>
      </w:r>
      <w:r w:rsidRPr="00655927">
        <w:rPr>
          <w:rFonts w:asciiTheme="majorHAnsi" w:hAnsiTheme="majorHAnsi" w:cstheme="majorHAnsi"/>
        </w:rPr>
        <w:t xml:space="preserve"> Pinheiro, P. S. (2006), </w:t>
      </w:r>
      <w:r w:rsidRPr="00655927">
        <w:rPr>
          <w:rFonts w:asciiTheme="majorHAnsi" w:hAnsiTheme="majorHAnsi" w:cstheme="majorHAnsi"/>
          <w:i/>
        </w:rPr>
        <w:t>World Report on Violence against Children</w:t>
      </w:r>
      <w:r w:rsidRPr="00655927">
        <w:rPr>
          <w:rFonts w:asciiTheme="majorHAnsi" w:hAnsiTheme="majorHAnsi" w:cstheme="majorHAnsi"/>
        </w:rPr>
        <w:t>, Geneva: United Nations. See also Krug E. G. et al (eds) (2002),</w:t>
      </w:r>
      <w:r w:rsidRPr="00655927">
        <w:rPr>
          <w:rFonts w:asciiTheme="majorHAnsi" w:hAnsiTheme="majorHAnsi" w:cstheme="majorHAnsi"/>
          <w:i/>
          <w:iCs/>
        </w:rPr>
        <w:t xml:space="preserve"> World Report on Violence and Health, </w:t>
      </w:r>
      <w:r w:rsidRPr="00655927">
        <w:rPr>
          <w:rFonts w:asciiTheme="majorHAnsi" w:hAnsiTheme="majorHAnsi" w:cstheme="majorHAnsi"/>
        </w:rPr>
        <w:t>Geneva: World Health Organisation</w:t>
      </w:r>
    </w:p>
  </w:footnote>
  <w:footnote w:id="2">
    <w:p w14:paraId="5A85FBEB" w14:textId="77777777" w:rsidR="00CB457A" w:rsidRPr="00655927" w:rsidRDefault="00CB457A" w:rsidP="00CB457A">
      <w:pPr>
        <w:pStyle w:val="FootnoteText"/>
        <w:rPr>
          <w:rFonts w:asciiTheme="majorHAnsi" w:hAnsiTheme="majorHAnsi" w:cstheme="majorHAnsi"/>
          <w:color w:val="000000" w:themeColor="text1"/>
          <w:lang w:val="en-US"/>
        </w:rPr>
      </w:pPr>
      <w:r w:rsidRPr="00655927">
        <w:rPr>
          <w:rStyle w:val="FootnoteReference"/>
          <w:rFonts w:asciiTheme="majorHAnsi" w:hAnsiTheme="majorHAnsi" w:cstheme="majorHAnsi"/>
          <w:color w:val="000000" w:themeColor="text1"/>
        </w:rPr>
        <w:footnoteRef/>
      </w:r>
      <w:r w:rsidRPr="00655927">
        <w:rPr>
          <w:rFonts w:asciiTheme="majorHAnsi" w:hAnsiTheme="majorHAnsi" w:cstheme="majorHAnsi"/>
          <w:color w:val="000000" w:themeColor="text1"/>
        </w:rPr>
        <w:t xml:space="preserve"> 2 March 2011, A/HRC/WG.6/11/SYC/1, National report to the UPR, para. 59</w:t>
      </w:r>
    </w:p>
  </w:footnote>
  <w:footnote w:id="3">
    <w:p w14:paraId="611E5D95" w14:textId="77777777" w:rsidR="00CB457A" w:rsidRPr="00655927" w:rsidRDefault="00CB457A" w:rsidP="00CB457A">
      <w:pPr>
        <w:pStyle w:val="FootnoteText"/>
        <w:rPr>
          <w:rFonts w:asciiTheme="majorHAnsi" w:hAnsiTheme="majorHAnsi" w:cstheme="majorHAnsi"/>
          <w:color w:val="000000" w:themeColor="text1"/>
          <w:lang w:val="en-US"/>
        </w:rPr>
      </w:pPr>
      <w:r w:rsidRPr="00655927">
        <w:rPr>
          <w:rStyle w:val="FootnoteReference"/>
          <w:rFonts w:asciiTheme="majorHAnsi" w:hAnsiTheme="majorHAnsi" w:cstheme="majorHAnsi"/>
          <w:color w:val="000000" w:themeColor="text1"/>
        </w:rPr>
        <w:footnoteRef/>
      </w:r>
      <w:r w:rsidRPr="00655927">
        <w:rPr>
          <w:rFonts w:asciiTheme="majorHAnsi" w:hAnsiTheme="majorHAnsi" w:cstheme="majorHAnsi"/>
          <w:color w:val="000000" w:themeColor="text1"/>
        </w:rPr>
        <w:t xml:space="preserve"> </w:t>
      </w:r>
      <w:r w:rsidRPr="00655927">
        <w:rPr>
          <w:rFonts w:asciiTheme="majorHAnsi" w:hAnsiTheme="majorHAnsi" w:cstheme="majorHAnsi"/>
          <w:color w:val="000000" w:themeColor="text1"/>
          <w:lang w:val="en-US"/>
        </w:rPr>
        <w:t xml:space="preserve">National Council for Children, correspondence with the Global Initiative, 1 September 2015; see also </w:t>
      </w:r>
      <w:r w:rsidRPr="00655927">
        <w:rPr>
          <w:rFonts w:asciiTheme="majorHAnsi" w:eastAsia="Calibri" w:hAnsiTheme="majorHAnsi" w:cstheme="majorHAnsi"/>
          <w:color w:val="000000" w:themeColor="text1"/>
          <w:lang w:val="en-US"/>
        </w:rPr>
        <w:t xml:space="preserve">16 December 2015, A/HRC/WG.6/24/SYC/1, National report to the UPR, para. 30; </w:t>
      </w:r>
      <w:r w:rsidRPr="00655927">
        <w:rPr>
          <w:rFonts w:asciiTheme="majorHAnsi" w:hAnsiTheme="majorHAnsi" w:cstheme="majorHAnsi"/>
          <w:color w:val="000000" w:themeColor="text1"/>
        </w:rPr>
        <w:t>8 April 2016, A/HRC/32/13, Report of the working group</w:t>
      </w:r>
      <w:r w:rsidRPr="00655927">
        <w:rPr>
          <w:rFonts w:asciiTheme="majorHAnsi" w:eastAsia="Calibri" w:hAnsiTheme="majorHAnsi" w:cstheme="majorHAnsi"/>
          <w:color w:val="000000" w:themeColor="text1"/>
          <w:lang w:val="en-US"/>
        </w:rPr>
        <w:t>, paras. 29 and 82</w:t>
      </w:r>
    </w:p>
  </w:footnote>
  <w:footnote w:id="4">
    <w:p w14:paraId="64F8F697" w14:textId="77777777" w:rsidR="00CB457A" w:rsidRPr="00655927" w:rsidRDefault="00CB457A" w:rsidP="00CB457A">
      <w:pPr>
        <w:pStyle w:val="BodyText"/>
        <w:kinsoku w:val="0"/>
        <w:overflowPunct w:val="0"/>
        <w:rPr>
          <w:rFonts w:asciiTheme="majorHAnsi" w:hAnsiTheme="majorHAnsi" w:cstheme="majorHAnsi"/>
          <w:color w:val="000000" w:themeColor="text1"/>
          <w:sz w:val="20"/>
          <w:szCs w:val="20"/>
        </w:rPr>
      </w:pPr>
      <w:r w:rsidRPr="00655927">
        <w:rPr>
          <w:rStyle w:val="FootnoteReference"/>
          <w:rFonts w:asciiTheme="majorHAnsi" w:hAnsiTheme="majorHAnsi" w:cstheme="majorHAnsi"/>
          <w:color w:val="000000" w:themeColor="text1"/>
          <w:sz w:val="20"/>
          <w:szCs w:val="20"/>
        </w:rPr>
        <w:footnoteRef/>
      </w:r>
      <w:r w:rsidRPr="00655927">
        <w:rPr>
          <w:rFonts w:asciiTheme="majorHAnsi" w:hAnsiTheme="majorHAnsi" w:cstheme="majorHAnsi"/>
          <w:color w:val="000000" w:themeColor="text1"/>
          <w:sz w:val="20"/>
          <w:szCs w:val="20"/>
        </w:rPr>
        <w:t xml:space="preserve"> 9 June 2016, A/HRC/32/13/Add.1, Report of the working group: Addendum</w:t>
      </w:r>
    </w:p>
  </w:footnote>
  <w:footnote w:id="5">
    <w:p w14:paraId="05C1CE25" w14:textId="77777777" w:rsidR="00655927" w:rsidRPr="00655927" w:rsidRDefault="00655927" w:rsidP="00655927">
      <w:pPr>
        <w:pStyle w:val="FootnoteText"/>
        <w:rPr>
          <w:rFonts w:asciiTheme="majorHAnsi" w:eastAsia="Calibri" w:hAnsiTheme="majorHAnsi" w:cstheme="majorHAnsi"/>
          <w:color w:val="000000" w:themeColor="text1"/>
          <w:lang w:val="en-US"/>
        </w:rPr>
      </w:pPr>
      <w:r w:rsidRPr="00655927">
        <w:rPr>
          <w:rStyle w:val="FootnoteReference"/>
          <w:rFonts w:asciiTheme="majorHAnsi" w:hAnsiTheme="majorHAnsi" w:cstheme="majorHAnsi"/>
          <w:color w:val="000000" w:themeColor="text1"/>
        </w:rPr>
        <w:footnoteRef/>
      </w:r>
      <w:r w:rsidRPr="00655927">
        <w:rPr>
          <w:rFonts w:asciiTheme="majorHAnsi" w:hAnsiTheme="majorHAnsi" w:cstheme="majorHAnsi"/>
          <w:color w:val="000000" w:themeColor="text1"/>
        </w:rPr>
        <w:t xml:space="preserve"> </w:t>
      </w:r>
      <w:r w:rsidRPr="00655927">
        <w:rPr>
          <w:rFonts w:asciiTheme="majorHAnsi" w:eastAsia="Calibri" w:hAnsiTheme="majorHAnsi" w:cstheme="majorHAnsi"/>
          <w:color w:val="000000" w:themeColor="text1"/>
          <w:lang w:val="en-US"/>
        </w:rPr>
        <w:t>8 April 2016, A/HRC/32/13, Report of the working group, paras. 120(42) and 120(43); 9 June 2016, A/HRC/32/13/Add.1, Report of the working group: Addendum</w:t>
      </w:r>
    </w:p>
  </w:footnote>
  <w:footnote w:id="6">
    <w:p w14:paraId="770E06C1" w14:textId="77777777" w:rsidR="00655927" w:rsidRPr="00655927" w:rsidRDefault="00655927" w:rsidP="00655927">
      <w:pPr>
        <w:pStyle w:val="FootnoteText"/>
        <w:rPr>
          <w:rFonts w:asciiTheme="majorHAnsi" w:eastAsia="Calibri" w:hAnsiTheme="majorHAnsi" w:cstheme="majorHAnsi"/>
          <w:color w:val="000000" w:themeColor="text1"/>
          <w:lang w:val="en-US"/>
        </w:rPr>
      </w:pPr>
      <w:r w:rsidRPr="00655927">
        <w:rPr>
          <w:rStyle w:val="FootnoteReference"/>
          <w:rFonts w:asciiTheme="majorHAnsi" w:hAnsiTheme="majorHAnsi" w:cstheme="majorHAnsi"/>
        </w:rPr>
        <w:footnoteRef/>
      </w:r>
      <w:r w:rsidRPr="00655927">
        <w:rPr>
          <w:rFonts w:asciiTheme="majorHAnsi" w:eastAsia="Calibri" w:hAnsiTheme="majorHAnsi" w:cstheme="majorHAnsi"/>
          <w:color w:val="000000" w:themeColor="text1"/>
          <w:lang w:val="en-US"/>
        </w:rPr>
        <w:t xml:space="preserve"> 8 April 2016, A/HRC/32/13, Report of the working group, paras. 29, 64, 82, 108, 120(42) and 120(43)</w:t>
      </w:r>
    </w:p>
  </w:footnote>
  <w:footnote w:id="7">
    <w:p w14:paraId="155FCC9F" w14:textId="77777777" w:rsidR="00CB457A" w:rsidRPr="00655927" w:rsidRDefault="00CB457A" w:rsidP="00CB457A">
      <w:pPr>
        <w:pStyle w:val="FootnoteText"/>
        <w:rPr>
          <w:rFonts w:asciiTheme="majorHAnsi" w:hAnsiTheme="majorHAnsi" w:cstheme="majorHAnsi"/>
          <w:color w:val="000000" w:themeColor="text1"/>
          <w:lang w:val="en-US"/>
        </w:rPr>
      </w:pPr>
      <w:r w:rsidRPr="00655927">
        <w:rPr>
          <w:rStyle w:val="FootnoteReference"/>
          <w:rFonts w:asciiTheme="majorHAnsi" w:hAnsiTheme="majorHAnsi" w:cstheme="majorHAnsi"/>
        </w:rPr>
        <w:footnoteRef/>
      </w:r>
      <w:r w:rsidRPr="00655927">
        <w:rPr>
          <w:rFonts w:asciiTheme="majorHAnsi" w:eastAsia="Calibri" w:hAnsiTheme="majorHAnsi" w:cstheme="majorHAnsi"/>
          <w:color w:val="000000" w:themeColor="text1"/>
          <w:lang w:val="en-US"/>
        </w:rPr>
        <w:t xml:space="preserve"> National Council for Children</w:t>
      </w:r>
      <w:r w:rsidRPr="00655927">
        <w:rPr>
          <w:rFonts w:asciiTheme="majorHAnsi" w:hAnsiTheme="majorHAnsi" w:cstheme="majorHAnsi"/>
          <w:color w:val="000000" w:themeColor="text1"/>
          <w:lang w:val="en-US"/>
        </w:rPr>
        <w:t xml:space="preserve">, correspondence with the Global Initiative, 1 September 2015; see also 1 September 2015; see also </w:t>
      </w:r>
      <w:r w:rsidRPr="00655927">
        <w:rPr>
          <w:rFonts w:asciiTheme="majorHAnsi" w:eastAsia="Calibri" w:hAnsiTheme="majorHAnsi" w:cstheme="majorHAnsi"/>
          <w:color w:val="000000" w:themeColor="text1"/>
          <w:lang w:val="en-US"/>
        </w:rPr>
        <w:t>16 December 2015, A/HRC/WG.6/24/SYC/1, National report to the UPR, paras. 41 and 158</w:t>
      </w:r>
    </w:p>
  </w:footnote>
  <w:footnote w:id="8">
    <w:p w14:paraId="234146F9" w14:textId="77777777" w:rsidR="00CB457A" w:rsidRPr="00655927" w:rsidRDefault="00CB457A" w:rsidP="00CB457A">
      <w:pPr>
        <w:pStyle w:val="FootnoteText"/>
        <w:rPr>
          <w:rFonts w:asciiTheme="majorHAnsi" w:hAnsiTheme="majorHAnsi" w:cstheme="majorHAnsi"/>
          <w:lang w:val="en-US" w:eastAsia="en-US"/>
        </w:rPr>
      </w:pPr>
      <w:r w:rsidRPr="00655927">
        <w:rPr>
          <w:rStyle w:val="FootnoteReference"/>
          <w:rFonts w:asciiTheme="majorHAnsi" w:hAnsiTheme="majorHAnsi" w:cstheme="majorHAnsi"/>
        </w:rPr>
        <w:footnoteRef/>
      </w:r>
      <w:r w:rsidRPr="00655927">
        <w:rPr>
          <w:rFonts w:asciiTheme="majorHAnsi" w:hAnsiTheme="majorHAnsi" w:cstheme="majorHAnsi"/>
        </w:rPr>
        <w:t xml:space="preserve"> 30 October 2002, CRC/C/15/Add.189, Concluding observations on initial report, paras. 5, 32 and 33</w:t>
      </w:r>
    </w:p>
  </w:footnote>
  <w:footnote w:id="9">
    <w:p w14:paraId="1A4C783B" w14:textId="77777777" w:rsidR="00CB457A" w:rsidRPr="00655927" w:rsidRDefault="00CB457A" w:rsidP="00CB457A">
      <w:pPr>
        <w:pStyle w:val="FootnoteText"/>
        <w:rPr>
          <w:rFonts w:asciiTheme="majorHAnsi" w:hAnsiTheme="majorHAnsi" w:cstheme="majorHAnsi"/>
          <w:lang w:val="en-US"/>
        </w:rPr>
      </w:pPr>
      <w:r w:rsidRPr="00655927">
        <w:rPr>
          <w:rStyle w:val="FootnoteReference"/>
          <w:rFonts w:asciiTheme="majorHAnsi" w:hAnsiTheme="majorHAnsi" w:cstheme="majorHAnsi"/>
        </w:rPr>
        <w:footnoteRef/>
      </w:r>
      <w:r w:rsidRPr="00655927">
        <w:rPr>
          <w:rFonts w:asciiTheme="majorHAnsi" w:hAnsiTheme="majorHAnsi" w:cstheme="majorHAnsi"/>
        </w:rPr>
        <w:t xml:space="preserve"> 23 January 2012, CRC/C/SYC/CO/2-4, Concluding observations on second to fourth report, paras. 42 and 43</w:t>
      </w:r>
    </w:p>
  </w:footnote>
  <w:footnote w:id="10">
    <w:p w14:paraId="3986FBB8" w14:textId="77777777" w:rsidR="00CB457A" w:rsidRPr="00655927" w:rsidRDefault="00CB457A" w:rsidP="00CB457A">
      <w:pPr>
        <w:pStyle w:val="FootnoteText"/>
        <w:rPr>
          <w:rFonts w:asciiTheme="majorHAnsi" w:hAnsiTheme="majorHAnsi" w:cstheme="majorHAnsi"/>
          <w:color w:val="000000" w:themeColor="text1"/>
          <w:lang w:val="en-US"/>
        </w:rPr>
      </w:pPr>
      <w:r w:rsidRPr="00655927">
        <w:rPr>
          <w:rStyle w:val="FootnoteReference"/>
          <w:rFonts w:asciiTheme="majorHAnsi" w:hAnsiTheme="majorHAnsi" w:cstheme="majorHAnsi"/>
          <w:color w:val="000000" w:themeColor="text1"/>
        </w:rPr>
        <w:footnoteRef/>
      </w:r>
      <w:r w:rsidRPr="00655927">
        <w:rPr>
          <w:rFonts w:asciiTheme="majorHAnsi" w:hAnsiTheme="majorHAnsi" w:cstheme="majorHAnsi"/>
          <w:color w:val="000000" w:themeColor="text1"/>
        </w:rPr>
        <w:t xml:space="preserve"> 11 July 2011, A/HRC/18/7, Report of the working group, para. 100(49)</w:t>
      </w:r>
    </w:p>
  </w:footnote>
  <w:footnote w:id="11">
    <w:p w14:paraId="0A73947E" w14:textId="77777777" w:rsidR="00CB457A" w:rsidRPr="00655927" w:rsidRDefault="00CB457A" w:rsidP="00CB457A">
      <w:pPr>
        <w:pStyle w:val="FootnoteText"/>
        <w:rPr>
          <w:rFonts w:asciiTheme="majorHAnsi" w:hAnsiTheme="majorHAnsi" w:cstheme="majorHAnsi"/>
        </w:rPr>
      </w:pPr>
      <w:r w:rsidRPr="00655927">
        <w:rPr>
          <w:rStyle w:val="FootnoteReference"/>
          <w:rFonts w:asciiTheme="majorHAnsi" w:hAnsiTheme="majorHAnsi" w:cstheme="majorHAnsi"/>
          <w:color w:val="000000" w:themeColor="text1"/>
        </w:rPr>
        <w:footnoteRef/>
      </w:r>
      <w:r w:rsidRPr="00655927">
        <w:rPr>
          <w:rFonts w:asciiTheme="majorHAnsi" w:hAnsiTheme="majorHAnsi" w:cstheme="majorHAnsi"/>
          <w:color w:val="000000" w:themeColor="text1"/>
        </w:rPr>
        <w:t xml:space="preserve"> 18 </w:t>
      </w:r>
      <w:r w:rsidRPr="00655927">
        <w:rPr>
          <w:rFonts w:asciiTheme="majorHAnsi" w:hAnsiTheme="majorHAnsi" w:cstheme="majorHAnsi"/>
        </w:rPr>
        <w:t>November 2011, A/HRC/18/2, Report of the Human Rights Council on its eighteenth session, para. 339</w:t>
      </w:r>
    </w:p>
  </w:footnote>
  <w:footnote w:id="12">
    <w:p w14:paraId="0F1466AA" w14:textId="77777777" w:rsidR="00CB457A" w:rsidRPr="00655927" w:rsidRDefault="00CB457A" w:rsidP="00CB457A">
      <w:pPr>
        <w:pStyle w:val="FootnoteText"/>
        <w:rPr>
          <w:rFonts w:asciiTheme="majorHAnsi" w:hAnsiTheme="majorHAnsi" w:cstheme="majorHAnsi"/>
        </w:rPr>
      </w:pPr>
      <w:r w:rsidRPr="00655927">
        <w:rPr>
          <w:rStyle w:val="FootnoteReference"/>
          <w:rFonts w:asciiTheme="majorHAnsi" w:hAnsiTheme="majorHAnsi" w:cstheme="majorHAnsi"/>
          <w:color w:val="000000" w:themeColor="text1"/>
        </w:rPr>
        <w:footnoteRef/>
      </w:r>
      <w:r w:rsidRPr="00655927">
        <w:rPr>
          <w:rFonts w:asciiTheme="majorHAnsi" w:hAnsiTheme="majorHAnsi" w:cstheme="majorHAnsi"/>
        </w:rPr>
        <w:t xml:space="preserve"> 8 April 2016, A/HRC/32/13, Report of the working group, paras. 120(42) and 120(43); 9 June 2016, A/HRC/32/13/Add.1, Report of the working group: Addendum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2252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4C5"/>
    <w:rsid w:val="000217BF"/>
    <w:rsid w:val="000217FB"/>
    <w:rsid w:val="0002547D"/>
    <w:rsid w:val="000265D6"/>
    <w:rsid w:val="00030FED"/>
    <w:rsid w:val="000338A8"/>
    <w:rsid w:val="000533A7"/>
    <w:rsid w:val="00075396"/>
    <w:rsid w:val="000859C9"/>
    <w:rsid w:val="0008612D"/>
    <w:rsid w:val="000932B3"/>
    <w:rsid w:val="000A3923"/>
    <w:rsid w:val="000D7F80"/>
    <w:rsid w:val="000E558E"/>
    <w:rsid w:val="00106569"/>
    <w:rsid w:val="00126D81"/>
    <w:rsid w:val="0014131F"/>
    <w:rsid w:val="00142366"/>
    <w:rsid w:val="00143759"/>
    <w:rsid w:val="00147F85"/>
    <w:rsid w:val="00150855"/>
    <w:rsid w:val="00162F5A"/>
    <w:rsid w:val="001768A1"/>
    <w:rsid w:val="00181FAC"/>
    <w:rsid w:val="001847FF"/>
    <w:rsid w:val="00186788"/>
    <w:rsid w:val="001919DD"/>
    <w:rsid w:val="001947F2"/>
    <w:rsid w:val="001B43AF"/>
    <w:rsid w:val="001C55D9"/>
    <w:rsid w:val="001D1655"/>
    <w:rsid w:val="001D56D4"/>
    <w:rsid w:val="001E140B"/>
    <w:rsid w:val="001E2769"/>
    <w:rsid w:val="001F05A0"/>
    <w:rsid w:val="001F68F0"/>
    <w:rsid w:val="00205A1A"/>
    <w:rsid w:val="00215035"/>
    <w:rsid w:val="002230EE"/>
    <w:rsid w:val="00224BD1"/>
    <w:rsid w:val="00237875"/>
    <w:rsid w:val="00242520"/>
    <w:rsid w:val="00250C7D"/>
    <w:rsid w:val="00251489"/>
    <w:rsid w:val="002638C7"/>
    <w:rsid w:val="00264AF9"/>
    <w:rsid w:val="00272F68"/>
    <w:rsid w:val="002748BD"/>
    <w:rsid w:val="00285A47"/>
    <w:rsid w:val="002A01E3"/>
    <w:rsid w:val="002A06FC"/>
    <w:rsid w:val="002A3229"/>
    <w:rsid w:val="002A7206"/>
    <w:rsid w:val="002B20D3"/>
    <w:rsid w:val="002D6FD4"/>
    <w:rsid w:val="002E09C9"/>
    <w:rsid w:val="002E2D70"/>
    <w:rsid w:val="002E4E5B"/>
    <w:rsid w:val="002E61CE"/>
    <w:rsid w:val="00306C1D"/>
    <w:rsid w:val="00307A90"/>
    <w:rsid w:val="00315F04"/>
    <w:rsid w:val="00316151"/>
    <w:rsid w:val="00322E14"/>
    <w:rsid w:val="00327C1C"/>
    <w:rsid w:val="00347EAC"/>
    <w:rsid w:val="00353CF1"/>
    <w:rsid w:val="00353EF8"/>
    <w:rsid w:val="00361051"/>
    <w:rsid w:val="0036194C"/>
    <w:rsid w:val="003653BB"/>
    <w:rsid w:val="00373271"/>
    <w:rsid w:val="003757DE"/>
    <w:rsid w:val="003764A5"/>
    <w:rsid w:val="003942F0"/>
    <w:rsid w:val="003A1FDA"/>
    <w:rsid w:val="003A2D7A"/>
    <w:rsid w:val="003B1533"/>
    <w:rsid w:val="003B40A2"/>
    <w:rsid w:val="003C2A68"/>
    <w:rsid w:val="003D4B76"/>
    <w:rsid w:val="003D6A85"/>
    <w:rsid w:val="003E1F72"/>
    <w:rsid w:val="003F1015"/>
    <w:rsid w:val="00414428"/>
    <w:rsid w:val="0041473A"/>
    <w:rsid w:val="0041659A"/>
    <w:rsid w:val="00424AF4"/>
    <w:rsid w:val="00425F3B"/>
    <w:rsid w:val="00435577"/>
    <w:rsid w:val="00437B2C"/>
    <w:rsid w:val="00457AD2"/>
    <w:rsid w:val="00460F41"/>
    <w:rsid w:val="00463C10"/>
    <w:rsid w:val="004737EE"/>
    <w:rsid w:val="00482BF9"/>
    <w:rsid w:val="00485994"/>
    <w:rsid w:val="00490379"/>
    <w:rsid w:val="004B3464"/>
    <w:rsid w:val="004B5EB3"/>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14929"/>
    <w:rsid w:val="00520D79"/>
    <w:rsid w:val="005223A5"/>
    <w:rsid w:val="00526077"/>
    <w:rsid w:val="00543B9A"/>
    <w:rsid w:val="0055414A"/>
    <w:rsid w:val="0057626F"/>
    <w:rsid w:val="00581B3E"/>
    <w:rsid w:val="00581D48"/>
    <w:rsid w:val="005869E5"/>
    <w:rsid w:val="00591A1C"/>
    <w:rsid w:val="00591DBA"/>
    <w:rsid w:val="0059593D"/>
    <w:rsid w:val="00597780"/>
    <w:rsid w:val="005A212D"/>
    <w:rsid w:val="005A66D2"/>
    <w:rsid w:val="005A7272"/>
    <w:rsid w:val="005B31F1"/>
    <w:rsid w:val="005B5315"/>
    <w:rsid w:val="005C28E4"/>
    <w:rsid w:val="005C34D5"/>
    <w:rsid w:val="005C4DDD"/>
    <w:rsid w:val="005D1998"/>
    <w:rsid w:val="005D45A4"/>
    <w:rsid w:val="005E0F62"/>
    <w:rsid w:val="005E224B"/>
    <w:rsid w:val="005E2DC2"/>
    <w:rsid w:val="005F292A"/>
    <w:rsid w:val="005F2E16"/>
    <w:rsid w:val="0060486A"/>
    <w:rsid w:val="00605D18"/>
    <w:rsid w:val="006101B1"/>
    <w:rsid w:val="0061376B"/>
    <w:rsid w:val="00620321"/>
    <w:rsid w:val="00620FAB"/>
    <w:rsid w:val="00623A0A"/>
    <w:rsid w:val="0062663B"/>
    <w:rsid w:val="00633745"/>
    <w:rsid w:val="006460B8"/>
    <w:rsid w:val="00655927"/>
    <w:rsid w:val="00655F1A"/>
    <w:rsid w:val="00667DAE"/>
    <w:rsid w:val="00681915"/>
    <w:rsid w:val="00683188"/>
    <w:rsid w:val="00683622"/>
    <w:rsid w:val="006969BA"/>
    <w:rsid w:val="00697EC0"/>
    <w:rsid w:val="006B237E"/>
    <w:rsid w:val="006B7454"/>
    <w:rsid w:val="006B76CE"/>
    <w:rsid w:val="006C6EBB"/>
    <w:rsid w:val="006E3A2C"/>
    <w:rsid w:val="0070646C"/>
    <w:rsid w:val="00716B5D"/>
    <w:rsid w:val="0072294E"/>
    <w:rsid w:val="00725D25"/>
    <w:rsid w:val="00741FF7"/>
    <w:rsid w:val="00751244"/>
    <w:rsid w:val="00752380"/>
    <w:rsid w:val="007604D4"/>
    <w:rsid w:val="00766D98"/>
    <w:rsid w:val="00767639"/>
    <w:rsid w:val="007731FE"/>
    <w:rsid w:val="00785749"/>
    <w:rsid w:val="007915BB"/>
    <w:rsid w:val="00797BE0"/>
    <w:rsid w:val="00797CC8"/>
    <w:rsid w:val="007A21C3"/>
    <w:rsid w:val="007B15F5"/>
    <w:rsid w:val="007B398A"/>
    <w:rsid w:val="007B4603"/>
    <w:rsid w:val="007B540F"/>
    <w:rsid w:val="007C22B7"/>
    <w:rsid w:val="007C397C"/>
    <w:rsid w:val="007D2F31"/>
    <w:rsid w:val="007F25EE"/>
    <w:rsid w:val="007F5F26"/>
    <w:rsid w:val="007F709A"/>
    <w:rsid w:val="007F7529"/>
    <w:rsid w:val="007F791E"/>
    <w:rsid w:val="00804DE0"/>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7147"/>
    <w:rsid w:val="00921E92"/>
    <w:rsid w:val="00923377"/>
    <w:rsid w:val="009242B2"/>
    <w:rsid w:val="00937F66"/>
    <w:rsid w:val="0094061F"/>
    <w:rsid w:val="00955525"/>
    <w:rsid w:val="00963238"/>
    <w:rsid w:val="00963DD6"/>
    <w:rsid w:val="0098296F"/>
    <w:rsid w:val="00986253"/>
    <w:rsid w:val="00990A46"/>
    <w:rsid w:val="00994D13"/>
    <w:rsid w:val="009A2D05"/>
    <w:rsid w:val="009A464A"/>
    <w:rsid w:val="009C24BF"/>
    <w:rsid w:val="009C25E9"/>
    <w:rsid w:val="009C687E"/>
    <w:rsid w:val="009C7037"/>
    <w:rsid w:val="009D6E71"/>
    <w:rsid w:val="009E0C08"/>
    <w:rsid w:val="009E2C0A"/>
    <w:rsid w:val="009F5901"/>
    <w:rsid w:val="009F5C73"/>
    <w:rsid w:val="00A1392E"/>
    <w:rsid w:val="00A20DE1"/>
    <w:rsid w:val="00A26D5D"/>
    <w:rsid w:val="00A34229"/>
    <w:rsid w:val="00A400C3"/>
    <w:rsid w:val="00A52185"/>
    <w:rsid w:val="00A52BB4"/>
    <w:rsid w:val="00A53A7A"/>
    <w:rsid w:val="00A61F7B"/>
    <w:rsid w:val="00A647F9"/>
    <w:rsid w:val="00A64F13"/>
    <w:rsid w:val="00A72C9A"/>
    <w:rsid w:val="00A76356"/>
    <w:rsid w:val="00AA6CB9"/>
    <w:rsid w:val="00AA6FA5"/>
    <w:rsid w:val="00AB131E"/>
    <w:rsid w:val="00AB1753"/>
    <w:rsid w:val="00AC46B1"/>
    <w:rsid w:val="00AD2590"/>
    <w:rsid w:val="00AF314F"/>
    <w:rsid w:val="00B05968"/>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68F4"/>
    <w:rsid w:val="00BC6C90"/>
    <w:rsid w:val="00BD259A"/>
    <w:rsid w:val="00BE0FA6"/>
    <w:rsid w:val="00BE37BF"/>
    <w:rsid w:val="00BF1402"/>
    <w:rsid w:val="00C004A4"/>
    <w:rsid w:val="00C17385"/>
    <w:rsid w:val="00C237B1"/>
    <w:rsid w:val="00C252DE"/>
    <w:rsid w:val="00C278E1"/>
    <w:rsid w:val="00C37622"/>
    <w:rsid w:val="00C518E3"/>
    <w:rsid w:val="00C63547"/>
    <w:rsid w:val="00C64EA1"/>
    <w:rsid w:val="00C82792"/>
    <w:rsid w:val="00C84FBA"/>
    <w:rsid w:val="00C91BB2"/>
    <w:rsid w:val="00C96E68"/>
    <w:rsid w:val="00C973D3"/>
    <w:rsid w:val="00C97A90"/>
    <w:rsid w:val="00C97C42"/>
    <w:rsid w:val="00CB457A"/>
    <w:rsid w:val="00CB7DD5"/>
    <w:rsid w:val="00CC09E1"/>
    <w:rsid w:val="00CD349E"/>
    <w:rsid w:val="00CE015B"/>
    <w:rsid w:val="00CF1491"/>
    <w:rsid w:val="00CF1D97"/>
    <w:rsid w:val="00CF3C9D"/>
    <w:rsid w:val="00CF6F86"/>
    <w:rsid w:val="00D04D81"/>
    <w:rsid w:val="00D14AE4"/>
    <w:rsid w:val="00D25FCE"/>
    <w:rsid w:val="00D36C44"/>
    <w:rsid w:val="00D46AF1"/>
    <w:rsid w:val="00D5594E"/>
    <w:rsid w:val="00D63AA6"/>
    <w:rsid w:val="00D64999"/>
    <w:rsid w:val="00D67B66"/>
    <w:rsid w:val="00D90209"/>
    <w:rsid w:val="00D91C58"/>
    <w:rsid w:val="00DA17C8"/>
    <w:rsid w:val="00DB0F27"/>
    <w:rsid w:val="00DC20AE"/>
    <w:rsid w:val="00DE4FD8"/>
    <w:rsid w:val="00DF2A6A"/>
    <w:rsid w:val="00DF42D1"/>
    <w:rsid w:val="00DF56D0"/>
    <w:rsid w:val="00DF6FBF"/>
    <w:rsid w:val="00DF749A"/>
    <w:rsid w:val="00E066AC"/>
    <w:rsid w:val="00E120C8"/>
    <w:rsid w:val="00E218F1"/>
    <w:rsid w:val="00E262BB"/>
    <w:rsid w:val="00E33299"/>
    <w:rsid w:val="00E348D1"/>
    <w:rsid w:val="00E37399"/>
    <w:rsid w:val="00E439B3"/>
    <w:rsid w:val="00E4774B"/>
    <w:rsid w:val="00E511FD"/>
    <w:rsid w:val="00E5715B"/>
    <w:rsid w:val="00E745E0"/>
    <w:rsid w:val="00E74E94"/>
    <w:rsid w:val="00E82131"/>
    <w:rsid w:val="00E90F1D"/>
    <w:rsid w:val="00E91687"/>
    <w:rsid w:val="00E9361C"/>
    <w:rsid w:val="00E97452"/>
    <w:rsid w:val="00EA123E"/>
    <w:rsid w:val="00EA3676"/>
    <w:rsid w:val="00EB16D4"/>
    <w:rsid w:val="00EC3476"/>
    <w:rsid w:val="00ED3374"/>
    <w:rsid w:val="00EE5770"/>
    <w:rsid w:val="00EF577B"/>
    <w:rsid w:val="00EF6D99"/>
    <w:rsid w:val="00F03CDA"/>
    <w:rsid w:val="00F238AE"/>
    <w:rsid w:val="00F27919"/>
    <w:rsid w:val="00F325F7"/>
    <w:rsid w:val="00F401E2"/>
    <w:rsid w:val="00F51705"/>
    <w:rsid w:val="00F63112"/>
    <w:rsid w:val="00F67CC5"/>
    <w:rsid w:val="00F7085F"/>
    <w:rsid w:val="00F70EFA"/>
    <w:rsid w:val="00F72865"/>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1AFC9D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fo@endcorporalpunishment.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endcorporalpunishment.org"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49A6C1-B204-4DFF-AE0A-CE584482A27E}"/>
</file>

<file path=customXml/itemProps2.xml><?xml version="1.0" encoding="utf-8"?>
<ds:datastoreItem xmlns:ds="http://schemas.openxmlformats.org/officeDocument/2006/customXml" ds:itemID="{101527D1-71F8-455B-B6D9-EFEB835EF6CB}"/>
</file>

<file path=customXml/itemProps3.xml><?xml version="1.0" encoding="utf-8"?>
<ds:datastoreItem xmlns:ds="http://schemas.openxmlformats.org/officeDocument/2006/customXml" ds:itemID="{CD458E77-4ECF-4667-B6F7-7996F83A0473}"/>
</file>

<file path=customXml/itemProps4.xml><?xml version="1.0" encoding="utf-8"?>
<ds:datastoreItem xmlns:ds="http://schemas.openxmlformats.org/officeDocument/2006/customXml" ds:itemID="{3DD13130-FFA9-431E-AAE6-6EDA9A061335}"/>
</file>

<file path=customXml/itemProps5.xml><?xml version="1.0" encoding="utf-8"?>
<ds:datastoreItem xmlns:ds="http://schemas.openxmlformats.org/officeDocument/2006/customXml" ds:itemID="{57A574D5-768C-42B9-B145-84C143D00D3D}"/>
</file>

<file path=docProps/app.xml><?xml version="1.0" encoding="utf-8"?>
<Properties xmlns="http://schemas.openxmlformats.org/officeDocument/2006/extended-properties" xmlns:vt="http://schemas.openxmlformats.org/officeDocument/2006/docPropsVTypes">
  <Template>Normal.dotm</Template>
  <TotalTime>0</TotalTime>
  <Pages>4</Pages>
  <Words>1739</Words>
  <Characters>9913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11629</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 - Azerbaijan</dc:title>
  <dc:creator>Sharon Owen</dc:creator>
  <cp:lastModifiedBy>Jorge ARAYA</cp:lastModifiedBy>
  <cp:revision>2</cp:revision>
  <cp:lastPrinted>2005-01-04T10:45:00Z</cp:lastPrinted>
  <dcterms:created xsi:type="dcterms:W3CDTF">2017-07-31T12:56:00Z</dcterms:created>
  <dcterms:modified xsi:type="dcterms:W3CDTF">2017-07-31T12:56:00Z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