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F4F85" w14:textId="77777777" w:rsidR="00D225B5" w:rsidRDefault="00D225B5">
      <w:pPr>
        <w:pStyle w:val="Title"/>
        <w:spacing w:afterLines="100" w:after="326"/>
      </w:pPr>
    </w:p>
    <w:p w14:paraId="329A9442" w14:textId="77777777" w:rsidR="00D225B5" w:rsidRDefault="00035667">
      <w:pPr>
        <w:pStyle w:val="Title"/>
        <w:rPr>
          <w:sz w:val="40"/>
          <w:szCs w:val="22"/>
        </w:rPr>
      </w:pPr>
      <w:r>
        <w:rPr>
          <w:rFonts w:hint="eastAsia"/>
          <w:sz w:val="40"/>
          <w:szCs w:val="22"/>
        </w:rPr>
        <w:t>No</w:t>
      </w:r>
      <w:r>
        <w:rPr>
          <w:sz w:val="40"/>
          <w:szCs w:val="22"/>
        </w:rPr>
        <w:t xml:space="preserve">n-Governmental Report on China's Performance </w:t>
      </w:r>
      <w:r>
        <w:rPr>
          <w:sz w:val="40"/>
          <w:szCs w:val="22"/>
        </w:rPr>
        <w:br/>
      </w:r>
      <w:r>
        <w:rPr>
          <w:spacing w:val="-20"/>
          <w:sz w:val="40"/>
          <w:szCs w:val="22"/>
        </w:rPr>
        <w:t xml:space="preserve">to the UN Economic, Social and Cultural Rights Committee </w:t>
      </w:r>
      <w:r>
        <w:rPr>
          <w:spacing w:val="-20"/>
          <w:sz w:val="40"/>
          <w:szCs w:val="22"/>
        </w:rPr>
        <w:br/>
      </w:r>
      <w:r>
        <w:rPr>
          <w:sz w:val="40"/>
          <w:szCs w:val="22"/>
        </w:rPr>
        <w:t>by Nanjing World Youth Development Service Center</w:t>
      </w:r>
    </w:p>
    <w:p w14:paraId="6F3673E0" w14:textId="77777777" w:rsidR="00D225B5" w:rsidRDefault="00D225B5"/>
    <w:p w14:paraId="170858A8" w14:textId="361ED973" w:rsidR="00D225B5" w:rsidRDefault="00035667">
      <w:pPr>
        <w:spacing w:line="540" w:lineRule="exact"/>
        <w:ind w:firstLineChars="200" w:firstLine="560"/>
      </w:pPr>
      <w:r>
        <w:rPr>
          <w:rFonts w:hint="eastAsia"/>
        </w:rPr>
        <w:t>Re</w:t>
      </w:r>
      <w:r>
        <w:t xml:space="preserve">gistered in Nov. of 2016, Nanjing World Youth Development Service Center is a private non-enterprise, social service institution. We are also known as Hi China International Youth Development Alliance. We are entitled as special consultative status of the United Nations Economic and Social Council in 2022. Hi China International Youth Development Alliance has created "President X", "Insight China Tour (Harvard China Tour)", "Future Sculptor", "Youth Global Competency Course", "Youth World Tour" and many other activities. We would like to submit the following report to the General Assembly on the China-related situation observed by Nanjing World Youth Development Service Center in </w:t>
      </w:r>
      <w:r>
        <w:rPr>
          <w:rFonts w:hint="eastAsia"/>
        </w:rPr>
        <w:t>our</w:t>
      </w:r>
      <w:r>
        <w:t xml:space="preserve"> activities and daily operations.</w:t>
      </w:r>
    </w:p>
    <w:p w14:paraId="363DD74F" w14:textId="77777777" w:rsidR="00D225B5" w:rsidRDefault="00D225B5">
      <w:pPr>
        <w:spacing w:line="540" w:lineRule="exact"/>
        <w:ind w:firstLineChars="200" w:firstLine="560"/>
      </w:pPr>
    </w:p>
    <w:p w14:paraId="7D79C6F7" w14:textId="53315599" w:rsidR="00D225B5" w:rsidRDefault="00035667">
      <w:pPr>
        <w:spacing w:line="540" w:lineRule="exact"/>
        <w:ind w:firstLineChars="200" w:firstLine="560"/>
      </w:pPr>
      <w:r>
        <w:t xml:space="preserve">1. In </w:t>
      </w:r>
      <w:r>
        <w:rPr>
          <w:rFonts w:hint="eastAsia"/>
        </w:rPr>
        <w:t>the</w:t>
      </w:r>
      <w:r>
        <w:t xml:space="preserve"> daily operations and </w:t>
      </w:r>
      <w:r>
        <w:rPr>
          <w:rFonts w:hint="eastAsia"/>
        </w:rPr>
        <w:t>lives</w:t>
      </w:r>
      <w:r>
        <w:t xml:space="preserve"> of our staff, we are able to feel that Chinese citizens enjoy all rights equally, realize the basic </w:t>
      </w:r>
      <w:r>
        <w:rPr>
          <w:rFonts w:hint="eastAsia"/>
        </w:rPr>
        <w:t>national</w:t>
      </w:r>
      <w:r>
        <w:t xml:space="preserve"> policy of gender equality, and guarantee equal rights for women in accordance with the law. At the same time, we enjoy the principle provisions of the Constitution on the protection of workers' rights and interests, as well a</w:t>
      </w:r>
      <w:r>
        <w:rPr>
          <w:rFonts w:hint="eastAsia"/>
        </w:rPr>
        <w:t>s the measures in</w:t>
      </w:r>
      <w:r>
        <w:t xml:space="preserve"> the Labor Law, the Labor Contract Law, the Work Safety Law, the Workers’ </w:t>
      </w:r>
      <w:r>
        <w:lastRenderedPageBreak/>
        <w:t>Union Law, the Employment Promotion Law, and the Law on the Protection of Women's Rights and Interests</w:t>
      </w:r>
      <w:r>
        <w:rPr>
          <w:rFonts w:hint="eastAsia"/>
        </w:rPr>
        <w:t xml:space="preserve"> that</w:t>
      </w:r>
      <w:r>
        <w:t xml:space="preserve"> clarify and </w:t>
      </w:r>
      <w:r>
        <w:rPr>
          <w:rFonts w:hint="eastAsia"/>
        </w:rPr>
        <w:t>detail</w:t>
      </w:r>
      <w:r>
        <w:t xml:space="preserve"> the relevant rights. In our daily operation and activities, we deeply feel that the Chinese government </w:t>
      </w:r>
      <w:r>
        <w:rPr>
          <w:rFonts w:hint="eastAsia"/>
        </w:rPr>
        <w:t>ensure</w:t>
      </w:r>
      <w:r>
        <w:t xml:space="preserve">s </w:t>
      </w:r>
      <w:r>
        <w:rPr>
          <w:rFonts w:hint="eastAsia"/>
        </w:rPr>
        <w:t>people</w:t>
      </w:r>
      <w:r>
        <w:t>’</w:t>
      </w:r>
      <w:r>
        <w:rPr>
          <w:rFonts w:hint="eastAsia"/>
        </w:rPr>
        <w:t>s</w:t>
      </w:r>
      <w:r>
        <w:t xml:space="preserve"> constitutional right </w:t>
      </w:r>
      <w:r w:rsidR="00F22B23">
        <w:rPr>
          <w:rFonts w:hint="eastAsia"/>
        </w:rPr>
        <w:t xml:space="preserve"> </w:t>
      </w:r>
      <w:r>
        <w:rPr>
          <w:rFonts w:hint="eastAsia"/>
        </w:rPr>
        <w:t>of</w:t>
      </w:r>
      <w:r>
        <w:t xml:space="preserve"> receiv</w:t>
      </w:r>
      <w:r>
        <w:rPr>
          <w:rFonts w:hint="eastAsia"/>
        </w:rPr>
        <w:t>ing</w:t>
      </w:r>
      <w:r>
        <w:t xml:space="preserve"> assistance from the state and society </w:t>
      </w:r>
      <w:r>
        <w:rPr>
          <w:rFonts w:hint="eastAsia"/>
        </w:rPr>
        <w:t>through</w:t>
      </w:r>
      <w:r>
        <w:t xml:space="preserve"> documents as the Social Insurance Law, the Law on the Protection of Persons with Disabilities, the Regulations on Natural Disaster Relief, and the Provisional Measures on Social Assistance.</w:t>
      </w:r>
    </w:p>
    <w:p w14:paraId="43D2E6B2" w14:textId="77777777" w:rsidR="00D225B5" w:rsidRDefault="00D225B5">
      <w:pPr>
        <w:spacing w:line="540" w:lineRule="exact"/>
        <w:ind w:firstLineChars="200" w:firstLine="560"/>
      </w:pPr>
    </w:p>
    <w:p w14:paraId="0CE902F9" w14:textId="77777777" w:rsidR="00D225B5" w:rsidRDefault="00035667">
      <w:pPr>
        <w:spacing w:line="540" w:lineRule="exact"/>
        <w:ind w:firstLineChars="200" w:firstLine="560"/>
        <w:rPr>
          <w:rFonts w:eastAsia="方正楷体_GBK"/>
          <w:lang w:val="en"/>
        </w:rPr>
      </w:pPr>
      <w:r>
        <w:rPr>
          <w:rFonts w:eastAsia="方正楷体_GBK" w:hint="eastAsia"/>
        </w:rPr>
        <w:t>2.</w:t>
      </w:r>
      <w:r>
        <w:rPr>
          <w:rFonts w:eastAsia="方正楷体_GBK" w:hint="eastAsia"/>
          <w:lang w:val="en"/>
        </w:rPr>
        <w:t xml:space="preserve"> </w:t>
      </w:r>
      <w:r>
        <w:rPr>
          <w:rFonts w:eastAsia="方正楷体_GBK"/>
          <w:lang w:val="en"/>
        </w:rPr>
        <w:t>According to public data, China added 11.86 million jobs in urban areas in 2020, with a registered unemployment rate of 4.2% at the end of the year. 12.69 million jobs were added in urban areas in 2021, with a registered unemployment rate of 3.96% at the end of the year. China's rural poor have all been lifted out of poverty by the current standard, and the national per capita disposable income was 35,128 yuan in 2021.</w:t>
      </w:r>
    </w:p>
    <w:p w14:paraId="6223C8CC" w14:textId="4DA4C4B3" w:rsidR="00D225B5" w:rsidRDefault="00035667">
      <w:pPr>
        <w:spacing w:line="540" w:lineRule="exact"/>
        <w:ind w:firstLineChars="200" w:firstLine="560"/>
      </w:pPr>
      <w:r>
        <w:t>Take Nanjing, the city where our organization is located, as an example. According to the data published by the Nanjing Bureau of Statistics, Nanjing has a resident population of 9,319,700 in 2020, with a year-end registered unemployment rate of 1.71%</w:t>
      </w:r>
      <w:r>
        <w:rPr>
          <w:rFonts w:hint="eastAsia"/>
        </w:rPr>
        <w:t>. C</w:t>
      </w:r>
      <w:r>
        <w:t>ompared with the national year-end registered unemployment rate of 4.2% for the same period, Nanjing's employment rate remains at a</w:t>
      </w:r>
      <w:r>
        <w:rPr>
          <w:rFonts w:hint="eastAsia"/>
        </w:rPr>
        <w:t xml:space="preserve"> relatively</w:t>
      </w:r>
      <w:r>
        <w:t xml:space="preserve"> </w:t>
      </w:r>
      <w:r>
        <w:rPr>
          <w:rFonts w:hint="eastAsia"/>
        </w:rPr>
        <w:t>low</w:t>
      </w:r>
      <w:r>
        <w:t xml:space="preserve"> level. According to public reports, we can learn that in 2020, all 39,000 households and 77,000 rural low-income people in Nanjing had been lifted out of poverty, which specifically means that they no</w:t>
      </w:r>
      <w:r>
        <w:rPr>
          <w:rFonts w:hint="eastAsia"/>
        </w:rPr>
        <w:t xml:space="preserve"> longer</w:t>
      </w:r>
      <w:r>
        <w:t xml:space="preserve"> worry about food and clothing, and </w:t>
      </w:r>
      <w:r>
        <w:rPr>
          <w:rFonts w:hint="eastAsia"/>
        </w:rPr>
        <w:t>are able to enjoy</w:t>
      </w:r>
      <w:r>
        <w:t xml:space="preserve"> compulsory education, basic medical care, and housing security.</w:t>
      </w:r>
    </w:p>
    <w:p w14:paraId="11DB18BF" w14:textId="77777777" w:rsidR="00D225B5" w:rsidRDefault="00D225B5">
      <w:pPr>
        <w:spacing w:line="540" w:lineRule="exact"/>
        <w:ind w:firstLineChars="200" w:firstLine="560"/>
      </w:pPr>
    </w:p>
    <w:p w14:paraId="1D511AAD" w14:textId="41000C2D" w:rsidR="00D225B5" w:rsidRDefault="00035667">
      <w:pPr>
        <w:spacing w:line="540" w:lineRule="exact"/>
        <w:ind w:firstLineChars="200" w:firstLine="560"/>
      </w:pPr>
      <w:r>
        <w:rPr>
          <w:rFonts w:eastAsia="方正楷体_GBK"/>
        </w:rPr>
        <w:t>3.</w:t>
      </w:r>
      <w:r>
        <w:t xml:space="preserve"> We believe that the</w:t>
      </w:r>
      <w:r>
        <w:rPr>
          <w:rFonts w:hint="eastAsia"/>
        </w:rPr>
        <w:t xml:space="preserve"> joint contribution to</w:t>
      </w:r>
      <w:r>
        <w:t xml:space="preserve"> the </w:t>
      </w:r>
      <w:r>
        <w:rPr>
          <w:i/>
          <w:iCs/>
        </w:rPr>
        <w:t>Belt and Road</w:t>
      </w:r>
      <w:r>
        <w:t xml:space="preserve"> </w:t>
      </w:r>
      <w:r>
        <w:rPr>
          <w:rFonts w:hint="eastAsia"/>
          <w:i/>
          <w:iCs/>
        </w:rPr>
        <w:t xml:space="preserve">Initiative (BRI) </w:t>
      </w:r>
      <w:r>
        <w:t>follows the historical trend of economic globalization and</w:t>
      </w:r>
      <w:r>
        <w:rPr>
          <w:rFonts w:hint="eastAsia"/>
        </w:rPr>
        <w:t xml:space="preserve"> accords with</w:t>
      </w:r>
      <w:r>
        <w:t xml:space="preserve"> the aspirations of all countries, especially the majority of developing countries, to promote peace and development. Promoting the </w:t>
      </w:r>
      <w:r>
        <w:rPr>
          <w:rFonts w:hint="eastAsia"/>
          <w:i/>
          <w:iCs/>
        </w:rPr>
        <w:t>BRI</w:t>
      </w:r>
      <w:r>
        <w:t xml:space="preserve"> is </w:t>
      </w:r>
      <w:r>
        <w:rPr>
          <w:rFonts w:hint="eastAsia"/>
        </w:rPr>
        <w:t xml:space="preserve">vital </w:t>
      </w:r>
      <w:r>
        <w:t xml:space="preserve">not only </w:t>
      </w:r>
      <w:r>
        <w:rPr>
          <w:rFonts w:hint="eastAsia"/>
        </w:rPr>
        <w:t xml:space="preserve">to </w:t>
      </w:r>
      <w:r>
        <w:t>China</w:t>
      </w:r>
      <w:r>
        <w:rPr>
          <w:rFonts w:hint="eastAsia"/>
        </w:rPr>
        <w:t xml:space="preserve">'s further </w:t>
      </w:r>
      <w:r>
        <w:t>opening</w:t>
      </w:r>
      <w:r>
        <w:rPr>
          <w:rFonts w:hint="eastAsia"/>
        </w:rPr>
        <w:t>-up</w:t>
      </w:r>
      <w:r>
        <w:t>, but also to strengthen</w:t>
      </w:r>
      <w:r w:rsidR="00F22B23">
        <w:rPr>
          <w:rFonts w:hint="eastAsia"/>
        </w:rPr>
        <w:t>ing</w:t>
      </w:r>
      <w:r>
        <w:t xml:space="preserve"> mutually beneficial cooperation with Asia, Europe, Africa and other countries. In this regard, as an organization promoting international youth cooperation, we have been carrying out the series activities of</w:t>
      </w:r>
      <w:r>
        <w:rPr>
          <w:rFonts w:hint="eastAsia"/>
        </w:rPr>
        <w:t xml:space="preserve"> </w:t>
      </w:r>
      <w:r>
        <w:t>"President X", and the scale, quality and scope of the activities have been constantly increasing.</w:t>
      </w:r>
    </w:p>
    <w:p w14:paraId="4B7916AB" w14:textId="13A19724" w:rsidR="00D225B5" w:rsidRDefault="00035667">
      <w:pPr>
        <w:spacing w:line="540" w:lineRule="exact"/>
        <w:ind w:firstLineChars="200" w:firstLine="560"/>
      </w:pPr>
      <w:r>
        <w:t xml:space="preserve">Besides organizing our own activities, we also participated in Nanjing's </w:t>
      </w:r>
      <w:r>
        <w:rPr>
          <w:rFonts w:hint="eastAsia"/>
          <w:i/>
          <w:iCs/>
        </w:rPr>
        <w:t>BRI</w:t>
      </w:r>
      <w:r>
        <w:t xml:space="preserve"> related activities. Through those activities, we learned that Nanjing has  carr</w:t>
      </w:r>
      <w:r>
        <w:rPr>
          <w:rFonts w:hint="eastAsia"/>
        </w:rPr>
        <w:t>ied</w:t>
      </w:r>
      <w:r>
        <w:t xml:space="preserve"> out practical cooperation with </w:t>
      </w:r>
      <w:r>
        <w:rPr>
          <w:rFonts w:hint="eastAsia"/>
        </w:rPr>
        <w:t>sister</w:t>
      </w:r>
      <w:r>
        <w:t xml:space="preserve"> cities, strengthen</w:t>
      </w:r>
      <w:r>
        <w:rPr>
          <w:rFonts w:hint="eastAsia"/>
        </w:rPr>
        <w:t>ed</w:t>
      </w:r>
      <w:r>
        <w:t xml:space="preserve"> </w:t>
      </w:r>
      <w:r>
        <w:rPr>
          <w:rFonts w:hint="eastAsia"/>
        </w:rPr>
        <w:t>people-to-people</w:t>
      </w:r>
      <w:r>
        <w:t xml:space="preserve"> exchange programs, </w:t>
      </w:r>
      <w:r>
        <w:rPr>
          <w:rFonts w:hint="eastAsia"/>
        </w:rPr>
        <w:t>become a bridge and bond that links the world</w:t>
      </w:r>
      <w:r>
        <w:t>, and strengthen</w:t>
      </w:r>
      <w:r>
        <w:rPr>
          <w:rFonts w:hint="eastAsia"/>
        </w:rPr>
        <w:t>ed</w:t>
      </w:r>
      <w:r>
        <w:t xml:space="preserve"> </w:t>
      </w:r>
      <w:r>
        <w:rPr>
          <w:rFonts w:hint="eastAsia"/>
        </w:rPr>
        <w:t>international</w:t>
      </w:r>
      <w:r>
        <w:t xml:space="preserve"> communication capacity. Nanjing has </w:t>
      </w:r>
      <w:r>
        <w:rPr>
          <w:rFonts w:hint="eastAsia"/>
        </w:rPr>
        <w:t>developed</w:t>
      </w:r>
      <w:r>
        <w:t xml:space="preserve"> </w:t>
      </w:r>
      <w:r>
        <w:rPr>
          <w:rFonts w:hint="eastAsia"/>
        </w:rPr>
        <w:t>sister</w:t>
      </w:r>
      <w:r>
        <w:t xml:space="preserve"> cit</w:t>
      </w:r>
      <w:r>
        <w:rPr>
          <w:rFonts w:hint="eastAsia"/>
        </w:rPr>
        <w:t>y relationship</w:t>
      </w:r>
      <w:r>
        <w:t xml:space="preserve"> with </w:t>
      </w:r>
      <w:r>
        <w:rPr>
          <w:rFonts w:hint="eastAsia"/>
        </w:rPr>
        <w:t xml:space="preserve">45 cities </w:t>
      </w:r>
      <w:r>
        <w:t xml:space="preserve">along the </w:t>
      </w:r>
      <w:r>
        <w:rPr>
          <w:rFonts w:hint="eastAsia"/>
          <w:i/>
          <w:iCs/>
        </w:rPr>
        <w:t xml:space="preserve">Belt and Road </w:t>
      </w:r>
      <w:r w:rsidRPr="009E40BC">
        <w:t>route</w:t>
      </w:r>
      <w:r>
        <w:t xml:space="preserve">. </w:t>
      </w:r>
      <w:r>
        <w:rPr>
          <w:rFonts w:hint="eastAsia"/>
        </w:rPr>
        <w:t>The</w:t>
      </w:r>
      <w:r>
        <w:t xml:space="preserve"> city has held </w:t>
      </w:r>
      <w:r>
        <w:rPr>
          <w:rFonts w:hint="eastAsia"/>
        </w:rPr>
        <w:t>the E</w:t>
      </w:r>
      <w:r>
        <w:t>conomic and</w:t>
      </w:r>
      <w:r>
        <w:rPr>
          <w:rFonts w:hint="eastAsia"/>
        </w:rPr>
        <w:t xml:space="preserve"> T</w:t>
      </w:r>
      <w:r>
        <w:t xml:space="preserve">rade </w:t>
      </w:r>
      <w:r>
        <w:rPr>
          <w:rFonts w:hint="eastAsia"/>
        </w:rPr>
        <w:t>C</w:t>
      </w:r>
      <w:r>
        <w:t xml:space="preserve">ooperation </w:t>
      </w:r>
      <w:r>
        <w:rPr>
          <w:rFonts w:hint="eastAsia"/>
        </w:rPr>
        <w:t>Conference</w:t>
      </w:r>
      <w:r>
        <w:t xml:space="preserve"> </w:t>
      </w:r>
      <w:r>
        <w:rPr>
          <w:rFonts w:hint="eastAsia"/>
        </w:rPr>
        <w:t>on</w:t>
      </w:r>
      <w:r>
        <w:t xml:space="preserve"> the </w:t>
      </w:r>
      <w:r>
        <w:rPr>
          <w:rFonts w:hint="eastAsia"/>
        </w:rPr>
        <w:t>Development of BRI I</w:t>
      </w:r>
      <w:r>
        <w:t>ntersection for eight consecutive years, and  effectively improved the exchange and cooperation with related countries</w:t>
      </w:r>
      <w:r>
        <w:rPr>
          <w:rFonts w:hint="eastAsia"/>
        </w:rPr>
        <w:t xml:space="preserve"> </w:t>
      </w:r>
      <w:r>
        <w:t xml:space="preserve">through a series of "small </w:t>
      </w:r>
      <w:r>
        <w:rPr>
          <w:rFonts w:hint="eastAsia"/>
        </w:rPr>
        <w:t>yet smart</w:t>
      </w:r>
      <w:r>
        <w:t xml:space="preserve">" </w:t>
      </w:r>
      <w:r w:rsidR="00F22B23">
        <w:rPr>
          <w:rFonts w:hint="eastAsia"/>
        </w:rPr>
        <w:t>programs</w:t>
      </w:r>
      <w:r>
        <w:t>.</w:t>
      </w:r>
    </w:p>
    <w:p w14:paraId="7F678452" w14:textId="77777777" w:rsidR="00D225B5" w:rsidRDefault="00D225B5">
      <w:pPr>
        <w:spacing w:line="540" w:lineRule="exact"/>
        <w:ind w:firstLineChars="200" w:firstLine="560"/>
      </w:pPr>
    </w:p>
    <w:p w14:paraId="414C34B3" w14:textId="77777777" w:rsidR="00D225B5" w:rsidRDefault="00035667">
      <w:pPr>
        <w:spacing w:line="540" w:lineRule="exact"/>
        <w:ind w:firstLineChars="200" w:firstLine="560"/>
      </w:pPr>
      <w:r>
        <w:rPr>
          <w:rFonts w:eastAsia="方正楷体_GBK"/>
        </w:rPr>
        <w:t>4.</w:t>
      </w:r>
      <w:r>
        <w:rPr>
          <w:rFonts w:eastAsia="方正楷体_GBK"/>
        </w:rPr>
        <w:tab/>
      </w:r>
      <w:r>
        <w:t xml:space="preserve">We noticed that in December 2020, the Information Office of the State Council released the white paper on China's Energy Development in the New Era, which clearly described China's roadmap for achieving carbon </w:t>
      </w:r>
      <w:r>
        <w:lastRenderedPageBreak/>
        <w:t>neutrality by 2060. We believe that the goal of carbon neutrality is China's action in response to global climate change, which demonstrates China's responsibility, and is of great significance to global sustainable development. From the perspective of the implementation stage of the carbon neutral goal, starting from the 14th Five-Year Plan, China needs overall planning for gradually guiding investment to zero-carbon and negative carbon fields, and formulating clear reduction targets in the next stage of five-year plans. And these measurements should be supported by corresponding emission reduction policies.</w:t>
      </w:r>
    </w:p>
    <w:p w14:paraId="238E9B0F" w14:textId="36088A19" w:rsidR="00D225B5" w:rsidRDefault="00035667">
      <w:pPr>
        <w:spacing w:line="540" w:lineRule="exact"/>
        <w:ind w:firstLineChars="200" w:firstLine="560"/>
      </w:pPr>
      <w:r>
        <w:t xml:space="preserve">Through our visits and talks to relevant persons and departments, we learned that in May 2022, Nanjing announced the </w:t>
      </w:r>
      <w:r>
        <w:rPr>
          <w:rFonts w:hint="eastAsia"/>
        </w:rPr>
        <w:t>Opinions on Promoting</w:t>
      </w:r>
      <w:r>
        <w:t xml:space="preserve"> High-Quality Development</w:t>
      </w:r>
      <w:r>
        <w:rPr>
          <w:rFonts w:hint="eastAsia"/>
        </w:rPr>
        <w:t xml:space="preserve"> and Realizing </w:t>
      </w:r>
      <w:r>
        <w:t>Carbon Peak and Neutralization, adher</w:t>
      </w:r>
      <w:r>
        <w:rPr>
          <w:rFonts w:hint="eastAsia"/>
        </w:rPr>
        <w:t>ed</w:t>
      </w:r>
      <w:r>
        <w:t xml:space="preserve"> to </w:t>
      </w:r>
      <w:r>
        <w:rPr>
          <w:rFonts w:hint="eastAsia"/>
        </w:rPr>
        <w:t xml:space="preserve">the </w:t>
      </w:r>
      <w:r>
        <w:t>working principle</w:t>
      </w:r>
      <w:r>
        <w:rPr>
          <w:rFonts w:hint="eastAsia"/>
        </w:rPr>
        <w:t xml:space="preserve"> of </w:t>
      </w:r>
      <w:r>
        <w:t>“overall planning, priority for saving, two-motivation driven, stable and orderly”, and accelerate</w:t>
      </w:r>
      <w:r>
        <w:rPr>
          <w:rFonts w:hint="eastAsia"/>
        </w:rPr>
        <w:t>d</w:t>
      </w:r>
      <w:r>
        <w:t xml:space="preserve"> the transformation of industrial structure, energy structure, spatial pattern, production and lifestyle that save resources and protect the environment. By establishing green and low-carbon transformation and development, cultivating green and low-carbon modern industries, building low-carbon and safe energy utilization, building green and low-carbon transportation, creating low-carbon urban and rural construction and development, forming innovative applications of low-carbon technologies, and building ecological carbon accumulation, the city has built many new systems to support and strengthen the carbon peak and neutralization work. Also, by strengthening organizational leadership, establishing policy systems, strengthening </w:t>
      </w:r>
      <w:r>
        <w:lastRenderedPageBreak/>
        <w:t>promotion and implementation, and strict supervision and assessment, the city is dedicated to accomplish its goals of carbon peaking in 2030 and carbon neutrality in 2060.</w:t>
      </w:r>
    </w:p>
    <w:p w14:paraId="30DF54BC" w14:textId="77777777" w:rsidR="00D225B5" w:rsidRDefault="00D225B5">
      <w:pPr>
        <w:spacing w:line="540" w:lineRule="exact"/>
        <w:ind w:firstLineChars="200" w:firstLine="560"/>
      </w:pPr>
    </w:p>
    <w:p w14:paraId="02C27250" w14:textId="4FBB742D" w:rsidR="00D225B5" w:rsidRDefault="00035667">
      <w:pPr>
        <w:spacing w:line="540" w:lineRule="exact"/>
        <w:ind w:firstLineChars="200" w:firstLine="560"/>
      </w:pPr>
      <w:r>
        <w:rPr>
          <w:rFonts w:eastAsia="方正楷体_GBK" w:hint="eastAsia"/>
          <w:lang w:val="en"/>
        </w:rPr>
        <w:t>5</w:t>
      </w:r>
      <w:r>
        <w:rPr>
          <w:rFonts w:eastAsia="方正楷体_GBK"/>
          <w:lang w:val="en"/>
        </w:rPr>
        <w:t>.</w:t>
      </w:r>
      <w:r>
        <w:t xml:space="preserve"> We have observed that Chinese governments at all levels are actively working to protect citizens' rights and promote progress in people's livelihood. A good example of this is the renovation of the </w:t>
      </w:r>
      <w:r>
        <w:rPr>
          <w:rFonts w:hint="eastAsia"/>
        </w:rPr>
        <w:t>Xiaoxihu Block (</w:t>
      </w:r>
      <w:r>
        <w:rPr>
          <w:szCs w:val="44"/>
        </w:rPr>
        <w:t xml:space="preserve">Small West Lake </w:t>
      </w:r>
      <w:r>
        <w:rPr>
          <w:rFonts w:hint="eastAsia"/>
          <w:szCs w:val="44"/>
        </w:rPr>
        <w:t>Block</w:t>
      </w:r>
      <w:r>
        <w:rPr>
          <w:rFonts w:hint="eastAsia"/>
        </w:rPr>
        <w:t>)</w:t>
      </w:r>
      <w:r>
        <w:t xml:space="preserve"> in Nanjing, which </w:t>
      </w:r>
      <w:r>
        <w:rPr>
          <w:rFonts w:hint="eastAsia"/>
        </w:rPr>
        <w:t>won</w:t>
      </w:r>
      <w:r>
        <w:t xml:space="preserve"> UNESCO Asia-Pacific Heritage Awards for Innovative Design Projects for Cultural Heritage Conservation in 2022. The </w:t>
      </w:r>
      <w:r>
        <w:rPr>
          <w:rFonts w:hint="eastAsia"/>
        </w:rPr>
        <w:t>Xiaoxihu Block</w:t>
      </w:r>
      <w:r>
        <w:t xml:space="preserve"> is located in the eastern part of </w:t>
      </w:r>
      <w:r w:rsidR="0019616A">
        <w:rPr>
          <w:rFonts w:hint="eastAsia"/>
        </w:rPr>
        <w:t>the</w:t>
      </w:r>
      <w:r>
        <w:t xml:space="preserve"> southern</w:t>
      </w:r>
      <w:r>
        <w:rPr>
          <w:rFonts w:hint="eastAsia"/>
        </w:rPr>
        <w:t xml:space="preserve"> </w:t>
      </w:r>
      <w:r>
        <w:t>historic district in Nanjing, and is one of the few remaining residential neighborhoods that retain the spatial form and social structure of traditional neighborhoods, as well as a residential neighborhood which maintain the construct</w:t>
      </w:r>
      <w:r>
        <w:rPr>
          <w:rFonts w:hint="eastAsia"/>
        </w:rPr>
        <w:t>ion</w:t>
      </w:r>
      <w:r>
        <w:t xml:space="preserve"> style of Ming and Qing dynasty. In 2010, the neighborhood was enlisted of Nanjing's Historic Landscape District and became an official historical protection object. Before the renovation, the </w:t>
      </w:r>
      <w:r>
        <w:rPr>
          <w:rFonts w:hint="eastAsia"/>
        </w:rPr>
        <w:t>Xiaoxihu Block</w:t>
      </w:r>
      <w:r>
        <w:t xml:space="preserve"> was a typical shantytown</w:t>
      </w:r>
      <w:r>
        <w:rPr>
          <w:rFonts w:hint="eastAsia"/>
        </w:rPr>
        <w:t>. It was</w:t>
      </w:r>
      <w:r>
        <w:t xml:space="preserve"> densely populated with dilapidated and backward architectural spaces</w:t>
      </w:r>
      <w:r>
        <w:rPr>
          <w:rFonts w:hint="eastAsia"/>
        </w:rPr>
        <w:t>. Although</w:t>
      </w:r>
      <w:r>
        <w:t xml:space="preserve"> located around the bustling Mendong Area, </w:t>
      </w:r>
      <w:r>
        <w:rPr>
          <w:rFonts w:hint="eastAsia"/>
        </w:rPr>
        <w:t xml:space="preserve">it </w:t>
      </w:r>
      <w:r>
        <w:t>look</w:t>
      </w:r>
      <w:r>
        <w:rPr>
          <w:rFonts w:hint="eastAsia"/>
        </w:rPr>
        <w:t>ed</w:t>
      </w:r>
      <w:r>
        <w:t xml:space="preserve"> shabby, with some historical heritage buildings submerged in high and low residential buildings and factories</w:t>
      </w:r>
      <w:r>
        <w:rPr>
          <w:rFonts w:hint="eastAsia"/>
        </w:rPr>
        <w:t xml:space="preserve"> and</w:t>
      </w:r>
      <w:r>
        <w:t xml:space="preserve"> most of the houses in disrepair. Each resident only shares 12 square meters of living space in average, and serious</w:t>
      </w:r>
      <w:r>
        <w:rPr>
          <w:rFonts w:hint="eastAsia"/>
        </w:rPr>
        <w:t>ly</w:t>
      </w:r>
      <w:r>
        <w:t xml:space="preserve"> lack municipal utilities. In the year of 2015, Nanjing initiated a volunteer program by graduate students in 3 universities in the city to explore the tactics of protection and rebirth of </w:t>
      </w:r>
      <w:r>
        <w:rPr>
          <w:rFonts w:hint="eastAsia"/>
        </w:rPr>
        <w:lastRenderedPageBreak/>
        <w:t>Xiaoxihu Block</w:t>
      </w:r>
      <w:r>
        <w:t xml:space="preserve">. The program appointed a team led by Professor Han Dongqing from Architecture College of Southeast University take charge of the planning and design, and Nanjing Historic District Protection and Construction Group take charge of the project implementation. By the joint efforts of government, designing team, and working staff, they listened fully to the opinions of each household to explore a new conservation path of "self-renewal, organic renewal and continuous renewal" for the renovation of </w:t>
      </w:r>
      <w:r>
        <w:rPr>
          <w:rFonts w:hint="eastAsia"/>
        </w:rPr>
        <w:t>Xiaoxihu Block</w:t>
      </w:r>
      <w:r>
        <w:t xml:space="preserve">. In the relocation stage of </w:t>
      </w:r>
      <w:r>
        <w:rPr>
          <w:rFonts w:hint="eastAsia"/>
        </w:rPr>
        <w:t>Xiaoxihu Block</w:t>
      </w:r>
      <w:r>
        <w:t>, the renovation team proposed a voluntary and gradual model, taking courtyard or block as the unit for relocation and repair, fully respecting public opinion, and starting the renovation step by step after all the residents of the whole courtyard or block had signed the contract to hand over their houses. Local government subsidized 60% of the cost, and the local residents paid the rest 40%, which effectively improves the quality of life of the residents while reducing their financial burden. In the small-scale, progressive urban renewal, the</w:t>
      </w:r>
      <w:r w:rsidR="0019616A">
        <w:rPr>
          <w:rFonts w:hint="eastAsia"/>
        </w:rPr>
        <w:t xml:space="preserve"> renovation of</w:t>
      </w:r>
      <w:r>
        <w:t xml:space="preserve"> </w:t>
      </w:r>
      <w:r>
        <w:rPr>
          <w:rFonts w:hint="eastAsia"/>
        </w:rPr>
        <w:t>Xiaoxihu Block</w:t>
      </w:r>
      <w:r>
        <w:t xml:space="preserve"> has </w:t>
      </w:r>
      <w:r w:rsidR="0019616A">
        <w:rPr>
          <w:rFonts w:hint="eastAsia"/>
        </w:rPr>
        <w:t>provided</w:t>
      </w:r>
      <w:r w:rsidR="0019616A">
        <w:t xml:space="preserve"> </w:t>
      </w:r>
      <w:r>
        <w:t xml:space="preserve">a different </w:t>
      </w:r>
      <w:r w:rsidR="0019616A">
        <w:rPr>
          <w:rFonts w:hint="eastAsia"/>
        </w:rPr>
        <w:t>way</w:t>
      </w:r>
      <w:r w:rsidR="0019616A">
        <w:t xml:space="preserve"> </w:t>
      </w:r>
      <w:r>
        <w:t xml:space="preserve">to build a happy home in old district, which not only preserves the historical appearance of the Ming and Qing dynasties, but also nourishes new vitality, and improves the living conditions for the local residents. </w:t>
      </w:r>
      <w:r>
        <w:rPr>
          <w:rFonts w:hint="eastAsia"/>
        </w:rPr>
        <w:t>Every</w:t>
      </w:r>
      <w:r>
        <w:t xml:space="preserve"> renovation site in the </w:t>
      </w:r>
      <w:r w:rsidR="0019616A">
        <w:rPr>
          <w:rFonts w:hint="eastAsia"/>
        </w:rPr>
        <w:t>block</w:t>
      </w:r>
      <w:r w:rsidR="0019616A">
        <w:t xml:space="preserve"> </w:t>
      </w:r>
      <w:r>
        <w:t xml:space="preserve">reveals  </w:t>
      </w:r>
      <w:r>
        <w:rPr>
          <w:rFonts w:hint="eastAsia"/>
        </w:rPr>
        <w:t>care</w:t>
      </w:r>
      <w:r>
        <w:t xml:space="preserve"> and warmth, by respecting local residents and preserving traditional neighborhood culture.</w:t>
      </w:r>
    </w:p>
    <w:p w14:paraId="78A81B82" w14:textId="77777777" w:rsidR="00D225B5" w:rsidRDefault="00D225B5">
      <w:pPr>
        <w:spacing w:line="540" w:lineRule="exact"/>
        <w:ind w:firstLineChars="200" w:firstLine="560"/>
      </w:pPr>
    </w:p>
    <w:p w14:paraId="64345020" w14:textId="254BCFF9" w:rsidR="00D225B5" w:rsidRDefault="00035667">
      <w:pPr>
        <w:spacing w:line="540" w:lineRule="exact"/>
        <w:ind w:firstLineChars="200" w:firstLine="560"/>
        <w:rPr>
          <w:rFonts w:eastAsia="方正楷体_GBK"/>
          <w:lang w:val="en"/>
        </w:rPr>
      </w:pPr>
      <w:r>
        <w:rPr>
          <w:rFonts w:eastAsia="方正楷体_GBK"/>
          <w:lang w:val="en"/>
        </w:rPr>
        <w:t>6.</w:t>
      </w:r>
      <w:r>
        <w:rPr>
          <w:rFonts w:hint="eastAsia"/>
        </w:rPr>
        <w:t xml:space="preserve"> </w:t>
      </w:r>
      <w:r>
        <w:rPr>
          <w:rFonts w:eastAsia="方正楷体_GBK"/>
          <w:lang w:val="en"/>
        </w:rPr>
        <w:t>We not</w:t>
      </w:r>
      <w:r>
        <w:rPr>
          <w:rFonts w:eastAsia="方正楷体_GBK" w:hint="eastAsia"/>
          <w:lang w:val="en"/>
        </w:rPr>
        <w:t>ic</w:t>
      </w:r>
      <w:r>
        <w:rPr>
          <w:rFonts w:eastAsia="方正楷体_GBK"/>
          <w:lang w:val="en"/>
        </w:rPr>
        <w:t xml:space="preserve">ed that China is actively promoting priority access to basic public services and orderly citizenship for the rural poor who have </w:t>
      </w:r>
      <w:r>
        <w:rPr>
          <w:rFonts w:eastAsia="方正楷体_GBK" w:hint="eastAsia"/>
        </w:rPr>
        <w:t>migrated</w:t>
      </w:r>
      <w:r>
        <w:rPr>
          <w:rFonts w:eastAsia="方正楷体_GBK"/>
          <w:lang w:val="en"/>
        </w:rPr>
        <w:t xml:space="preserve"> </w:t>
      </w:r>
      <w:r>
        <w:rPr>
          <w:rFonts w:eastAsia="方正楷体_GBK"/>
          <w:lang w:val="en"/>
        </w:rPr>
        <w:lastRenderedPageBreak/>
        <w:t xml:space="preserve">to cities. It has established unified basic pension and medical insurance for residents in urban and rural areas. By 2021, direct settlement of inpatient expenses and outpatient expenses for medical treatment across provinces exceeded 13 million cases. A basic public health services system that covers all urban and rural resident population has been set up. China will promote the improvement of the housing security system, mainly </w:t>
      </w:r>
      <w:r>
        <w:rPr>
          <w:rFonts w:eastAsia="方正楷体_GBK" w:hint="eastAsia"/>
          <w:lang w:val="en"/>
        </w:rPr>
        <w:t>by</w:t>
      </w:r>
      <w:r>
        <w:rPr>
          <w:rFonts w:eastAsia="方正楷体_GBK"/>
          <w:lang w:val="en"/>
        </w:rPr>
        <w:t xml:space="preserve"> public rental housing, </w:t>
      </w:r>
      <w:r>
        <w:rPr>
          <w:rFonts w:eastAsia="方正楷体_GBK" w:hint="eastAsia"/>
        </w:rPr>
        <w:t>affordable</w:t>
      </w:r>
      <w:r>
        <w:rPr>
          <w:rFonts w:eastAsia="方正楷体_GBK"/>
          <w:lang w:val="en"/>
        </w:rPr>
        <w:t xml:space="preserve"> rental housing and shared ownership housing, to alleviate the housing difficulties of the masses, including people </w:t>
      </w:r>
      <w:r>
        <w:rPr>
          <w:rFonts w:eastAsia="方正楷体_GBK" w:hint="eastAsia"/>
        </w:rPr>
        <w:t>of</w:t>
      </w:r>
      <w:r>
        <w:rPr>
          <w:rFonts w:eastAsia="方正楷体_GBK"/>
          <w:lang w:val="en"/>
        </w:rPr>
        <w:t xml:space="preserve"> rural households. By 2021, 13.724 million children of migrant workers were enrolled in public schools and 90.9% will have access to private school </w:t>
      </w:r>
      <w:r>
        <w:rPr>
          <w:rFonts w:eastAsia="方正楷体_GBK" w:hint="eastAsia"/>
        </w:rPr>
        <w:t>seat</w:t>
      </w:r>
      <w:r>
        <w:rPr>
          <w:rFonts w:eastAsia="方正楷体_GBK"/>
          <w:lang w:val="en"/>
        </w:rPr>
        <w:t>s purchased by the government.</w:t>
      </w:r>
    </w:p>
    <w:p w14:paraId="45F2BCCF" w14:textId="77777777" w:rsidR="00D225B5" w:rsidRDefault="00035667">
      <w:pPr>
        <w:spacing w:line="540" w:lineRule="exact"/>
        <w:ind w:firstLineChars="200" w:firstLine="560"/>
        <w:rPr>
          <w:rFonts w:eastAsia="方正楷体_GBK"/>
          <w:lang w:val="en"/>
        </w:rPr>
      </w:pPr>
      <w:r>
        <w:rPr>
          <w:rFonts w:eastAsia="方正楷体_GBK"/>
          <w:lang w:val="en"/>
        </w:rPr>
        <w:t>Take Nanjing, the city where our organization is located, as an example. As we observed, since the introduction of point-based household registration policy in 2016, it has provided a channel to facilitate settlement for ordinary workers who have been employed and living in Nanjing. Those who have paid urban employees' social insurance in Jiangsu Province, Zhejiang Province, Anhui Province, and City of Shanghai are included in the calculation and assignment of points for the number of years of payment in Nanjing. The years of residence in the place of mutual recognition will be cumulatively recognized and assigned points. The application adopts the mode of "one window application" in public security department which is very convenient for everyone.</w:t>
      </w:r>
    </w:p>
    <w:p w14:paraId="0C421B3B" w14:textId="030DC37A" w:rsidR="00D225B5" w:rsidRDefault="00035667">
      <w:pPr>
        <w:spacing w:line="540" w:lineRule="exact"/>
        <w:ind w:firstLineChars="200" w:firstLine="560"/>
        <w:rPr>
          <w:rFonts w:eastAsia="方正楷体_GBK"/>
          <w:lang w:val="en"/>
        </w:rPr>
      </w:pPr>
      <w:r>
        <w:rPr>
          <w:rFonts w:eastAsia="方正楷体_GBK"/>
          <w:lang w:val="en"/>
        </w:rPr>
        <w:t>We also observed that</w:t>
      </w:r>
      <w:r>
        <w:rPr>
          <w:rFonts w:eastAsia="方正楷体_GBK" w:hint="eastAsia"/>
        </w:rPr>
        <w:t xml:space="preserve"> Nanjing focused on</w:t>
      </w:r>
      <w:r>
        <w:rPr>
          <w:rFonts w:eastAsia="方正楷体_GBK"/>
          <w:lang w:val="en"/>
        </w:rPr>
        <w:t xml:space="preserve"> nine key areas </w:t>
      </w:r>
      <w:r>
        <w:rPr>
          <w:rFonts w:eastAsia="方正楷体_GBK" w:hint="eastAsia"/>
        </w:rPr>
        <w:t>to develop</w:t>
      </w:r>
      <w:r>
        <w:rPr>
          <w:rFonts w:eastAsia="方正楷体_GBK"/>
          <w:lang w:val="en"/>
        </w:rPr>
        <w:t xml:space="preserve"> </w:t>
      </w:r>
      <w:r>
        <w:rPr>
          <w:rFonts w:eastAsia="方正楷体_GBK" w:hint="eastAsia"/>
        </w:rPr>
        <w:t>the</w:t>
      </w:r>
      <w:r>
        <w:rPr>
          <w:rFonts w:eastAsia="方正楷体_GBK"/>
          <w:lang w:val="en"/>
        </w:rPr>
        <w:t xml:space="preserve"> metropolitan area</w:t>
      </w:r>
      <w:r>
        <w:rPr>
          <w:rFonts w:eastAsia="方正楷体_GBK" w:hint="eastAsia"/>
        </w:rPr>
        <w:t xml:space="preserve"> </w:t>
      </w:r>
      <w:r>
        <w:rPr>
          <w:rFonts w:eastAsia="方正楷体_GBK"/>
          <w:lang w:val="en"/>
        </w:rPr>
        <w:t xml:space="preserve">in 2022, including enhancing infrastructure </w:t>
      </w:r>
      <w:r>
        <w:rPr>
          <w:rFonts w:eastAsia="方正楷体_GBK"/>
          <w:lang w:val="en"/>
        </w:rPr>
        <w:lastRenderedPageBreak/>
        <w:t xml:space="preserve">interconnection, promoting synergistic innovation in the metropolitan area, promoting industrial division and collaboration among cities, promoting higher levels of openness and cooperation, accelerating the construction of </w:t>
      </w:r>
      <w:r w:rsidR="00D06604">
        <w:rPr>
          <w:rFonts w:eastAsia="方正楷体_GBK"/>
          <w:lang w:val="en"/>
        </w:rPr>
        <w:t>an</w:t>
      </w:r>
      <w:r>
        <w:rPr>
          <w:rFonts w:eastAsia="方正楷体_GBK"/>
          <w:lang w:val="en"/>
        </w:rPr>
        <w:t xml:space="preserve"> </w:t>
      </w:r>
      <w:r>
        <w:rPr>
          <w:rFonts w:eastAsia="方正楷体_GBK" w:hint="eastAsia"/>
        </w:rPr>
        <w:t>integrated</w:t>
      </w:r>
      <w:r>
        <w:rPr>
          <w:rFonts w:eastAsia="方正楷体_GBK"/>
          <w:lang w:val="en"/>
        </w:rPr>
        <w:t xml:space="preserve"> market, promoting convenient sharing of public services, strengthening common protection and joint management of the ecological environment, taking the lead in integrated urban-rural development, and improving institutional mechanisms for co-city development.</w:t>
      </w:r>
    </w:p>
    <w:p w14:paraId="5F1B6B97" w14:textId="50C2C5E2" w:rsidR="00D225B5" w:rsidRDefault="00035667">
      <w:pPr>
        <w:spacing w:line="540" w:lineRule="exact"/>
        <w:ind w:firstLineChars="200" w:firstLine="560"/>
        <w:rPr>
          <w:lang w:val="en"/>
        </w:rPr>
      </w:pPr>
      <w:r>
        <w:rPr>
          <w:lang w:val="en"/>
        </w:rPr>
        <w:t xml:space="preserve">It is also noticed that in terms of housing security, according to public media reports, Nanjing has </w:t>
      </w:r>
      <w:r>
        <w:rPr>
          <w:rFonts w:hint="eastAsia"/>
        </w:rPr>
        <w:t>launched projects to renovate</w:t>
      </w:r>
      <w:r>
        <w:rPr>
          <w:lang w:val="en"/>
        </w:rPr>
        <w:t xml:space="preserve"> </w:t>
      </w:r>
      <w:bookmarkStart w:id="0" w:name="OLE_LINK1"/>
      <w:r>
        <w:rPr>
          <w:rFonts w:hint="eastAsia"/>
        </w:rPr>
        <w:t>shabby</w:t>
      </w:r>
      <w:bookmarkEnd w:id="0"/>
      <w:r>
        <w:rPr>
          <w:lang w:val="en"/>
        </w:rPr>
        <w:t xml:space="preserve"> neighborhoods. Since 2016, </w:t>
      </w:r>
      <w:r>
        <w:rPr>
          <w:rFonts w:hint="eastAsia"/>
        </w:rPr>
        <w:t xml:space="preserve">the </w:t>
      </w:r>
      <w:r>
        <w:rPr>
          <w:lang w:val="en"/>
        </w:rPr>
        <w:t xml:space="preserve">local government </w:t>
      </w:r>
      <w:r>
        <w:rPr>
          <w:rFonts w:hint="eastAsia"/>
        </w:rPr>
        <w:t xml:space="preserve">has </w:t>
      </w:r>
      <w:r>
        <w:rPr>
          <w:lang w:val="en"/>
        </w:rPr>
        <w:t>accelerate</w:t>
      </w:r>
      <w:r>
        <w:rPr>
          <w:rFonts w:hint="eastAsia"/>
        </w:rPr>
        <w:t>d</w:t>
      </w:r>
      <w:r>
        <w:rPr>
          <w:lang w:val="en"/>
        </w:rPr>
        <w:t xml:space="preserve"> the renovation work of 936 old neighborhoods built before the year of 2000, which cover 16.85 million square meters. The work is </w:t>
      </w:r>
      <w:r>
        <w:rPr>
          <w:rFonts w:hint="eastAsia"/>
        </w:rPr>
        <w:t>speeding up with the requirement of finishing basic renovation</w:t>
      </w:r>
      <w:r>
        <w:rPr>
          <w:lang w:val="en"/>
        </w:rPr>
        <w:t xml:space="preserve"> in three years, and </w:t>
      </w:r>
      <w:r>
        <w:rPr>
          <w:rFonts w:hint="eastAsia"/>
        </w:rPr>
        <w:t xml:space="preserve">accomplishing </w:t>
      </w:r>
      <w:r w:rsidR="00A711E4">
        <w:t>renovation</w:t>
      </w:r>
      <w:r>
        <w:rPr>
          <w:lang w:val="en"/>
        </w:rPr>
        <w:t xml:space="preserve"> in five years. By the end of 2021, a total of 1,390 old neighborhoods </w:t>
      </w:r>
      <w:r>
        <w:rPr>
          <w:rFonts w:hint="eastAsia"/>
          <w:lang w:val="en"/>
        </w:rPr>
        <w:t>ha</w:t>
      </w:r>
      <w:r>
        <w:rPr>
          <w:lang w:val="en"/>
        </w:rPr>
        <w:t>ve been renovated, benefiting more than 400,000 households. The government also improv</w:t>
      </w:r>
      <w:r>
        <w:rPr>
          <w:rFonts w:hint="eastAsia"/>
        </w:rPr>
        <w:t>ed</w:t>
      </w:r>
      <w:r>
        <w:rPr>
          <w:lang w:val="en"/>
        </w:rPr>
        <w:t xml:space="preserve"> policies to </w:t>
      </w:r>
      <w:r w:rsidR="00A711E4">
        <w:rPr>
          <w:rFonts w:hint="eastAsia"/>
        </w:rPr>
        <w:t xml:space="preserve"> </w:t>
      </w:r>
      <w:r>
        <w:rPr>
          <w:rFonts w:hint="eastAsia"/>
        </w:rPr>
        <w:t>install</w:t>
      </w:r>
      <w:r>
        <w:rPr>
          <w:lang w:val="en"/>
        </w:rPr>
        <w:t xml:space="preserve"> elevators</w:t>
      </w:r>
      <w:r>
        <w:rPr>
          <w:rFonts w:hint="eastAsia"/>
        </w:rPr>
        <w:t xml:space="preserve"> in </w:t>
      </w:r>
      <w:r>
        <w:rPr>
          <w:lang w:val="en"/>
        </w:rPr>
        <w:t>old neighborhoods</w:t>
      </w:r>
      <w:r>
        <w:rPr>
          <w:rFonts w:hint="eastAsia"/>
        </w:rPr>
        <w:t xml:space="preserve"> and created the model</w:t>
      </w:r>
      <w:r>
        <w:rPr>
          <w:lang w:val="en"/>
        </w:rPr>
        <w:t xml:space="preserve"> of owner-led, government-guiding, professional counseling, market operation. According to statistics, about 1</w:t>
      </w:r>
      <w:r w:rsidR="003C18BE">
        <w:rPr>
          <w:rFonts w:hint="eastAsia"/>
          <w:lang w:val="en"/>
        </w:rPr>
        <w:t>,</w:t>
      </w:r>
      <w:r>
        <w:rPr>
          <w:lang w:val="en"/>
        </w:rPr>
        <w:t xml:space="preserve">491 elevators </w:t>
      </w:r>
      <w:r w:rsidR="003C18BE">
        <w:rPr>
          <w:rFonts w:hint="eastAsia"/>
          <w:lang w:val="en"/>
        </w:rPr>
        <w:t>ha</w:t>
      </w:r>
      <w:r>
        <w:rPr>
          <w:rFonts w:hint="eastAsia"/>
        </w:rPr>
        <w:t>ve</w:t>
      </w:r>
      <w:r>
        <w:rPr>
          <w:lang w:val="en"/>
        </w:rPr>
        <w:t xml:space="preserve"> been </w:t>
      </w:r>
      <w:r>
        <w:rPr>
          <w:rFonts w:hint="eastAsia"/>
        </w:rPr>
        <w:t>intall</w:t>
      </w:r>
      <w:r>
        <w:rPr>
          <w:lang w:val="en"/>
        </w:rPr>
        <w:t>ed in old neighborhoods in the city.</w:t>
      </w:r>
    </w:p>
    <w:sectPr w:rsidR="00D225B5">
      <w:headerReference w:type="default" r:id="rId7"/>
      <w:footerReference w:type="default" r:id="rId8"/>
      <w:headerReference w:type="first" r:id="rId9"/>
      <w:footerReference w:type="first" r:id="rId10"/>
      <w:endnotePr>
        <w:numFmt w:val="decimal"/>
      </w:endnotePr>
      <w:pgSz w:w="11906" w:h="16838"/>
      <w:pgMar w:top="2098" w:right="1587" w:bottom="1701" w:left="1587"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76B2A" w14:textId="77777777" w:rsidR="00AE7F9F" w:rsidRDefault="00AE7F9F">
      <w:pPr>
        <w:spacing w:line="240" w:lineRule="auto"/>
      </w:pPr>
      <w:r>
        <w:separator/>
      </w:r>
    </w:p>
  </w:endnote>
  <w:endnote w:type="continuationSeparator" w:id="0">
    <w:p w14:paraId="4560A558" w14:textId="77777777" w:rsidR="00AE7F9F" w:rsidRDefault="00AE7F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方正仿宋_GBK">
    <w:altName w:val="Microsoft YaHei"/>
    <w:charset w:val="86"/>
    <w:family w:val="script"/>
    <w:pitch w:val="fixed"/>
    <w:sig w:usb0="00000001" w:usb1="080E0000" w:usb2="00000010" w:usb3="00000000" w:csb0="00040000" w:csb1="00000000"/>
  </w:font>
  <w:font w:name="方正黑体_GBK">
    <w:charset w:val="86"/>
    <w:family w:val="script"/>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方正楷体_GBK">
    <w:altName w:val="Microsoft YaHei"/>
    <w:charset w:val="86"/>
    <w:family w:val="script"/>
    <w:pitch w:val="fixed"/>
    <w:sig w:usb0="00000001" w:usb1="080E0000" w:usb2="00000010" w:usb3="00000000" w:csb0="00040000" w:csb1="00000000"/>
  </w:font>
  <w:font w:name="方正小标宋_GBK">
    <w:altName w:val="Microsoft YaHei"/>
    <w:charset w:val="86"/>
    <w:family w:val="script"/>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D09B8" w14:textId="77777777" w:rsidR="00D225B5" w:rsidRDefault="00035667">
    <w:pPr>
      <w:pStyle w:val="Footer"/>
      <w:tabs>
        <w:tab w:val="clear" w:pos="4153"/>
        <w:tab w:val="clear" w:pos="8306"/>
        <w:tab w:val="right" w:pos="9638"/>
      </w:tabs>
      <w:rPr>
        <w:rStyle w:val="PageNumber"/>
      </w:rPr>
    </w:pPr>
    <w:r>
      <w:rPr>
        <w:noProof/>
        <w:sz w:val="18"/>
      </w:rPr>
      <mc:AlternateContent>
        <mc:Choice Requires="wps">
          <w:drawing>
            <wp:anchor distT="0" distB="0" distL="114300" distR="114300" simplePos="0" relativeHeight="251659264" behindDoc="0" locked="0" layoutInCell="1" allowOverlap="1" wp14:anchorId="433B2009" wp14:editId="4E48D08F">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789441" w14:textId="77777777" w:rsidR="00D225B5" w:rsidRDefault="00035667">
                          <w:pPr>
                            <w:pStyle w:val="Footer"/>
                            <w:rPr>
                              <w:sz w:val="24"/>
                              <w:szCs w:val="18"/>
                            </w:rPr>
                          </w:pPr>
                          <w:r>
                            <w:rPr>
                              <w:sz w:val="24"/>
                              <w:szCs w:val="18"/>
                            </w:rPr>
                            <w:t xml:space="preserve">— </w:t>
                          </w:r>
                          <w:r>
                            <w:rPr>
                              <w:sz w:val="24"/>
                              <w:szCs w:val="18"/>
                            </w:rPr>
                            <w:fldChar w:fldCharType="begin"/>
                          </w:r>
                          <w:r>
                            <w:rPr>
                              <w:sz w:val="24"/>
                              <w:szCs w:val="18"/>
                            </w:rPr>
                            <w:instrText xml:space="preserve"> PAGE  \* MERGEFORMAT </w:instrText>
                          </w:r>
                          <w:r>
                            <w:rPr>
                              <w:sz w:val="24"/>
                              <w:szCs w:val="18"/>
                            </w:rPr>
                            <w:fldChar w:fldCharType="separate"/>
                          </w:r>
                          <w:r w:rsidR="003C18BE">
                            <w:rPr>
                              <w:noProof/>
                              <w:sz w:val="24"/>
                              <w:szCs w:val="18"/>
                            </w:rPr>
                            <w:t>9</w:t>
                          </w:r>
                          <w:r>
                            <w:rPr>
                              <w:sz w:val="24"/>
                              <w:szCs w:val="18"/>
                            </w:rPr>
                            <w:fldChar w:fldCharType="end"/>
                          </w:r>
                          <w:r>
                            <w:rPr>
                              <w:sz w:val="24"/>
                              <w:szCs w:val="1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33B2009" id="_x0000_t202" coordsize="21600,21600" o:spt="202" path="m,l,21600r21600,l21600,xe">
              <v:stroke joinstyle="miter"/>
              <v:path gradientshapeok="t" o:connecttype="rect"/>
            </v:shapetype>
            <v:shape id="文本框 1" o:spid="_x0000_s1026" type="#_x0000_t202" style="position:absolute;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22789441" w14:textId="77777777" w:rsidR="00D225B5" w:rsidRDefault="00035667">
                    <w:pPr>
                      <w:pStyle w:val="Footer"/>
                      <w:rPr>
                        <w:sz w:val="24"/>
                        <w:szCs w:val="18"/>
                      </w:rPr>
                    </w:pPr>
                    <w:r>
                      <w:rPr>
                        <w:sz w:val="24"/>
                        <w:szCs w:val="18"/>
                      </w:rPr>
                      <w:t xml:space="preserve">— </w:t>
                    </w:r>
                    <w:r>
                      <w:rPr>
                        <w:sz w:val="24"/>
                        <w:szCs w:val="18"/>
                      </w:rPr>
                      <w:fldChar w:fldCharType="begin"/>
                    </w:r>
                    <w:r>
                      <w:rPr>
                        <w:sz w:val="24"/>
                        <w:szCs w:val="18"/>
                      </w:rPr>
                      <w:instrText xml:space="preserve"> PAGE  \* MERGEFORMAT </w:instrText>
                    </w:r>
                    <w:r>
                      <w:rPr>
                        <w:sz w:val="24"/>
                        <w:szCs w:val="18"/>
                      </w:rPr>
                      <w:fldChar w:fldCharType="separate"/>
                    </w:r>
                    <w:r w:rsidR="003C18BE">
                      <w:rPr>
                        <w:noProof/>
                        <w:sz w:val="24"/>
                        <w:szCs w:val="18"/>
                      </w:rPr>
                      <w:t>9</w:t>
                    </w:r>
                    <w:r>
                      <w:rPr>
                        <w:sz w:val="24"/>
                        <w:szCs w:val="18"/>
                      </w:rPr>
                      <w:fldChar w:fldCharType="end"/>
                    </w:r>
                    <w:r>
                      <w:rPr>
                        <w:sz w:val="24"/>
                        <w:szCs w:val="18"/>
                      </w:rPr>
                      <w:t xml:space="preserve"> —</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9C025" w14:textId="77777777" w:rsidR="00D225B5" w:rsidRDefault="00035667">
    <w:pPr>
      <w:pStyle w:val="Footer"/>
    </w:pPr>
    <w:r>
      <w:rPr>
        <w:noProof/>
      </w:rPr>
      <mc:AlternateContent>
        <mc:Choice Requires="wps">
          <w:drawing>
            <wp:anchor distT="0" distB="0" distL="114300" distR="114300" simplePos="0" relativeHeight="251660288" behindDoc="0" locked="0" layoutInCell="1" allowOverlap="1" wp14:anchorId="5A75EF3D" wp14:editId="7967E993">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48D2D9" w14:textId="77777777" w:rsidR="00D225B5" w:rsidRDefault="00035667">
                          <w:pPr>
                            <w:pStyle w:val="Footer"/>
                          </w:pPr>
                          <w:r>
                            <w:t xml:space="preserve">— </w:t>
                          </w:r>
                          <w:r>
                            <w:fldChar w:fldCharType="begin"/>
                          </w:r>
                          <w:r>
                            <w:instrText xml:space="preserve"> PAGE  \* MERGEFORMAT </w:instrText>
                          </w:r>
                          <w:r>
                            <w:fldChar w:fldCharType="separate"/>
                          </w:r>
                          <w:r w:rsidR="0019616A">
                            <w:rPr>
                              <w:noProof/>
                            </w:rP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A75EF3D" id="_x0000_t202" coordsize="21600,21600" o:spt="202" path="m,l,21600r21600,l21600,xe">
              <v:stroke joinstyle="miter"/>
              <v:path gradientshapeok="t" o:connecttype="rect"/>
            </v:shapetype>
            <v:shape id="文本框 2" o:spid="_x0000_s1027" type="#_x0000_t202" style="position:absolute;margin-left:92.8pt;margin-top:0;width:2in;height:2in;z-index:251660288;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4D48D2D9" w14:textId="77777777" w:rsidR="00D225B5" w:rsidRDefault="00035667">
                    <w:pPr>
                      <w:pStyle w:val="Footer"/>
                    </w:pPr>
                    <w:r>
                      <w:t xml:space="preserve">— </w:t>
                    </w:r>
                    <w:r>
                      <w:fldChar w:fldCharType="begin"/>
                    </w:r>
                    <w:r>
                      <w:instrText xml:space="preserve"> PAGE  \* MERGEFORMAT </w:instrText>
                    </w:r>
                    <w:r>
                      <w:fldChar w:fldCharType="separate"/>
                    </w:r>
                    <w:r w:rsidR="0019616A">
                      <w:rPr>
                        <w:noProof/>
                      </w:rPr>
                      <w:t>1</w:t>
                    </w:r>
                    <w:r>
                      <w:fldChar w:fldCharType="end"/>
                    </w:r>
                    <w:r>
                      <w:t xml:space="preserve"> —</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D2AA7" w14:textId="77777777" w:rsidR="00AE7F9F" w:rsidRDefault="00AE7F9F">
      <w:pPr>
        <w:spacing w:line="240" w:lineRule="auto"/>
      </w:pPr>
      <w:r>
        <w:separator/>
      </w:r>
    </w:p>
  </w:footnote>
  <w:footnote w:type="continuationSeparator" w:id="0">
    <w:p w14:paraId="47A2AF2D" w14:textId="77777777" w:rsidR="00AE7F9F" w:rsidRDefault="00AE7F9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7B40D" w14:textId="77777777" w:rsidR="00D225B5" w:rsidRDefault="00D225B5">
    <w:pPr>
      <w:pStyle w:val="Header"/>
      <w:pBdr>
        <w:bottom w:val="none" w:sz="0" w:space="4"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61D0C" w14:textId="77777777" w:rsidR="00D225B5" w:rsidRDefault="00D225B5">
    <w:pPr>
      <w:pStyle w:val="Header"/>
      <w:pBdr>
        <w:bottom w:val="none" w:sz="0" w:space="4" w:color="auto"/>
      </w:pBdr>
      <w:tabs>
        <w:tab w:val="clear" w:pos="431"/>
        <w:tab w:val="clear" w:pos="5772"/>
        <w:tab w:val="clear" w:pos="7144"/>
        <w:tab w:val="clear" w:pos="8165"/>
      </w:tabs>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VerticalSpacing w:val="156"/>
  <w:noPunctuationKerning/>
  <w:characterSpacingControl w:val="compressPunctuation"/>
  <w:hdrShapeDefaults>
    <o:shapedefaults v:ext="edit" spidmax="4097"/>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WI5ZTViMmRlMjY3NjY5NTU0MzJjM2I0YWEzNGFhMTIifQ=="/>
  </w:docVars>
  <w:rsids>
    <w:rsidRoot w:val="1E321858"/>
    <w:rsid w:val="00035667"/>
    <w:rsid w:val="000D5A60"/>
    <w:rsid w:val="00101907"/>
    <w:rsid w:val="00150077"/>
    <w:rsid w:val="001944F5"/>
    <w:rsid w:val="0019616A"/>
    <w:rsid w:val="001A4F75"/>
    <w:rsid w:val="001B62A3"/>
    <w:rsid w:val="002302F2"/>
    <w:rsid w:val="002471BA"/>
    <w:rsid w:val="00335909"/>
    <w:rsid w:val="00375533"/>
    <w:rsid w:val="003A7C7B"/>
    <w:rsid w:val="003C18BE"/>
    <w:rsid w:val="00453F6D"/>
    <w:rsid w:val="004D293A"/>
    <w:rsid w:val="005E0C72"/>
    <w:rsid w:val="006459DA"/>
    <w:rsid w:val="00695877"/>
    <w:rsid w:val="00733B4C"/>
    <w:rsid w:val="007921FC"/>
    <w:rsid w:val="0083486A"/>
    <w:rsid w:val="008736E0"/>
    <w:rsid w:val="00930ADF"/>
    <w:rsid w:val="009E40BC"/>
    <w:rsid w:val="00A05AAF"/>
    <w:rsid w:val="00A711E4"/>
    <w:rsid w:val="00AE7F9F"/>
    <w:rsid w:val="00B0764E"/>
    <w:rsid w:val="00B26184"/>
    <w:rsid w:val="00B50893"/>
    <w:rsid w:val="00B8082A"/>
    <w:rsid w:val="00C906DE"/>
    <w:rsid w:val="00C95EAE"/>
    <w:rsid w:val="00CE0DF7"/>
    <w:rsid w:val="00D06604"/>
    <w:rsid w:val="00D225B5"/>
    <w:rsid w:val="00D2610E"/>
    <w:rsid w:val="00DC14FE"/>
    <w:rsid w:val="00E56BDF"/>
    <w:rsid w:val="00E759DE"/>
    <w:rsid w:val="00EA480D"/>
    <w:rsid w:val="00F22B23"/>
    <w:rsid w:val="023E5B8A"/>
    <w:rsid w:val="05A81BF6"/>
    <w:rsid w:val="05CC5821"/>
    <w:rsid w:val="06FE3F26"/>
    <w:rsid w:val="0C780579"/>
    <w:rsid w:val="0D67138B"/>
    <w:rsid w:val="143637BF"/>
    <w:rsid w:val="153E563A"/>
    <w:rsid w:val="175E6378"/>
    <w:rsid w:val="1E321858"/>
    <w:rsid w:val="1F99298B"/>
    <w:rsid w:val="26662AB5"/>
    <w:rsid w:val="2A033338"/>
    <w:rsid w:val="2C5E3620"/>
    <w:rsid w:val="31CC4226"/>
    <w:rsid w:val="329D0354"/>
    <w:rsid w:val="33E60755"/>
    <w:rsid w:val="33EF2644"/>
    <w:rsid w:val="3472184B"/>
    <w:rsid w:val="37D9450E"/>
    <w:rsid w:val="38D11BA6"/>
    <w:rsid w:val="3AB476B5"/>
    <w:rsid w:val="3E0047CB"/>
    <w:rsid w:val="3EFA3BC6"/>
    <w:rsid w:val="400319D2"/>
    <w:rsid w:val="41E9552E"/>
    <w:rsid w:val="42064342"/>
    <w:rsid w:val="42717449"/>
    <w:rsid w:val="44764D98"/>
    <w:rsid w:val="464D5D2F"/>
    <w:rsid w:val="46AA7AA8"/>
    <w:rsid w:val="48090835"/>
    <w:rsid w:val="48A36E9B"/>
    <w:rsid w:val="49CE6C8A"/>
    <w:rsid w:val="4ACA45F4"/>
    <w:rsid w:val="4B740660"/>
    <w:rsid w:val="4F0F6A07"/>
    <w:rsid w:val="4F655A12"/>
    <w:rsid w:val="50904BA1"/>
    <w:rsid w:val="52160F2E"/>
    <w:rsid w:val="52242264"/>
    <w:rsid w:val="5B99579F"/>
    <w:rsid w:val="5BBB1E89"/>
    <w:rsid w:val="5CC11E1A"/>
    <w:rsid w:val="5FD66499"/>
    <w:rsid w:val="62CB2DCB"/>
    <w:rsid w:val="639F4964"/>
    <w:rsid w:val="652F5A0D"/>
    <w:rsid w:val="67171AC4"/>
    <w:rsid w:val="6B460BD4"/>
    <w:rsid w:val="6C862F75"/>
    <w:rsid w:val="6E077955"/>
    <w:rsid w:val="70B45C48"/>
    <w:rsid w:val="71BF043B"/>
    <w:rsid w:val="72D44D5B"/>
    <w:rsid w:val="74C216E8"/>
    <w:rsid w:val="74EF5CD0"/>
    <w:rsid w:val="7610256F"/>
    <w:rsid w:val="77C857D1"/>
    <w:rsid w:val="7897678D"/>
    <w:rsid w:val="7A3D5E8F"/>
    <w:rsid w:val="7AD76DA5"/>
    <w:rsid w:val="7CFF0D1F"/>
    <w:rsid w:val="7E783E37"/>
    <w:rsid w:val="7F9E6F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5D56700"/>
  <w15:docId w15:val="{7B893C60-35F7-4355-B1A2-80FEAC6CF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431"/>
      </w:tabs>
      <w:overflowPunct w:val="0"/>
      <w:adjustRightInd w:val="0"/>
      <w:snapToGrid w:val="0"/>
      <w:spacing w:line="320" w:lineRule="exact"/>
      <w:jc w:val="both"/>
    </w:pPr>
    <w:rPr>
      <w:rFonts w:eastAsia="方正仿宋_GBK"/>
      <w:snapToGrid w:val="0"/>
      <w:sz w:val="28"/>
    </w:rPr>
  </w:style>
  <w:style w:type="paragraph" w:styleId="Heading1">
    <w:name w:val="heading 1"/>
    <w:basedOn w:val="Normal"/>
    <w:next w:val="Normal"/>
    <w:qFormat/>
    <w:pPr>
      <w:keepNext/>
      <w:keepLines/>
      <w:spacing w:line="560" w:lineRule="exact"/>
      <w:ind w:firstLineChars="200" w:firstLine="864"/>
      <w:outlineLvl w:val="0"/>
    </w:pPr>
    <w:rPr>
      <w:rFonts w:eastAsia="方正黑体_GBK" w:cs="Arial"/>
      <w:kern w:val="44"/>
      <w:szCs w:val="32"/>
    </w:rPr>
  </w:style>
  <w:style w:type="paragraph" w:styleId="Heading2">
    <w:name w:val="heading 2"/>
    <w:basedOn w:val="Normal"/>
    <w:next w:val="Normal"/>
    <w:unhideWhenUsed/>
    <w:qFormat/>
    <w:pPr>
      <w:keepNext/>
      <w:keepLines/>
      <w:spacing w:line="560" w:lineRule="exact"/>
      <w:outlineLvl w:val="1"/>
    </w:pPr>
    <w:rPr>
      <w:rFonts w:eastAsia="方正楷体_GBK"/>
    </w:rPr>
  </w:style>
  <w:style w:type="paragraph" w:styleId="Heading3">
    <w:name w:val="heading 3"/>
    <w:basedOn w:val="Normal"/>
    <w:next w:val="Normal"/>
    <w:semiHidden/>
    <w:unhideWhenUsed/>
    <w:qFormat/>
    <w:pPr>
      <w:keepNext/>
      <w:keepLines/>
      <w:spacing w:line="560" w:lineRule="exact"/>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lear" w:pos="431"/>
        <w:tab w:val="center" w:pos="4153"/>
        <w:tab w:val="right" w:pos="8306"/>
      </w:tabs>
      <w:spacing w:line="560" w:lineRule="exact"/>
      <w:jc w:val="left"/>
    </w:pPr>
  </w:style>
  <w:style w:type="paragraph" w:styleId="Header">
    <w:name w:val="header"/>
    <w:basedOn w:val="Normal"/>
    <w:qFormat/>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styleId="Subtitle">
    <w:name w:val="Subtitle"/>
    <w:basedOn w:val="Title"/>
    <w:next w:val="Normal"/>
    <w:qFormat/>
    <w:pPr>
      <w:outlineLvl w:val="9"/>
    </w:pPr>
    <w:rPr>
      <w:rFonts w:eastAsia="方正楷体_GBK"/>
      <w:kern w:val="28"/>
      <w:sz w:val="32"/>
    </w:rPr>
  </w:style>
  <w:style w:type="paragraph" w:styleId="Title">
    <w:name w:val="Title"/>
    <w:basedOn w:val="Normal"/>
    <w:next w:val="Normal"/>
    <w:qFormat/>
    <w:pPr>
      <w:spacing w:line="640" w:lineRule="exact"/>
      <w:jc w:val="center"/>
      <w:outlineLvl w:val="0"/>
    </w:pPr>
    <w:rPr>
      <w:rFonts w:eastAsia="方正小标宋_GBK" w:cstheme="minorBidi"/>
      <w:kern w:val="2"/>
      <w:sz w:val="44"/>
      <w:szCs w:val="24"/>
    </w:rPr>
  </w:style>
  <w:style w:type="paragraph" w:styleId="NormalWeb">
    <w:name w:val="Normal (Web)"/>
    <w:basedOn w:val="Normal"/>
    <w:qFormat/>
    <w:pPr>
      <w:spacing w:beforeAutospacing="1" w:afterAutospacing="1"/>
      <w:jc w:val="left"/>
    </w:pPr>
    <w:rPr>
      <w:sz w:val="24"/>
    </w:rPr>
  </w:style>
  <w:style w:type="character" w:styleId="Strong">
    <w:name w:val="Strong"/>
    <w:basedOn w:val="DefaultParagraphFont"/>
    <w:qFormat/>
    <w:rPr>
      <w:b/>
    </w:rPr>
  </w:style>
  <w:style w:type="character" w:styleId="PageNumber">
    <w:name w:val="page number"/>
    <w:basedOn w:val="DefaultParagraphFont"/>
    <w:qFormat/>
    <w:rPr>
      <w:rFonts w:ascii="Times New Roman" w:hAnsi="Times New Roman"/>
      <w:b/>
      <w:snapToGrid w:val="0"/>
      <w:spacing w:val="0"/>
      <w:kern w:val="0"/>
      <w:sz w:val="18"/>
    </w:rPr>
  </w:style>
  <w:style w:type="character" w:styleId="Emphasis">
    <w:name w:val="Emphasis"/>
    <w:basedOn w:val="DefaultParagraphFont"/>
    <w:qFormat/>
    <w:rPr>
      <w:i/>
    </w:rPr>
  </w:style>
  <w:style w:type="paragraph" w:styleId="BalloonText">
    <w:name w:val="Balloon Text"/>
    <w:basedOn w:val="Normal"/>
    <w:link w:val="BalloonTextChar"/>
    <w:semiHidden/>
    <w:unhideWhenUsed/>
    <w:rsid w:val="00F22B23"/>
    <w:pPr>
      <w:spacing w:line="240" w:lineRule="auto"/>
    </w:pPr>
    <w:rPr>
      <w:sz w:val="18"/>
      <w:szCs w:val="18"/>
    </w:rPr>
  </w:style>
  <w:style w:type="character" w:customStyle="1" w:styleId="BalloonTextChar">
    <w:name w:val="Balloon Text Char"/>
    <w:basedOn w:val="DefaultParagraphFont"/>
    <w:link w:val="BalloonText"/>
    <w:semiHidden/>
    <w:rsid w:val="00F22B23"/>
    <w:rPr>
      <w:rFonts w:eastAsia="方正仿宋_GBK"/>
      <w:snapToGrid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1887</Words>
  <Characters>10759</Characters>
  <Application>Microsoft Office Word</Application>
  <DocSecurity>0</DocSecurity>
  <Lines>89</Lines>
  <Paragraphs>25</Paragraphs>
  <ScaleCrop>false</ScaleCrop>
  <Company>Lenovo</Company>
  <LinksUpToDate>false</LinksUpToDate>
  <CharactersWithSpaces>12621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Celine Reynaud</cp:lastModifiedBy>
  <cp:revision>2</cp:revision>
  <cp:lastPrinted>2022-12-06T06:34:00Z</cp:lastPrinted>
  <dcterms:created xsi:type="dcterms:W3CDTF">2023-01-13T09:55:00Z</dcterms:created>
  <dcterms:modified xsi:type="dcterms:W3CDTF">2023-01-13T09:55:00Z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E1F1DC21AE084ED888EDC7D81708A56F</vt:lpwstr>
  </property>
</Properties>
</file>