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ECC33F" w14:textId="208BF3FA" w:rsidR="00D83FAA" w:rsidRPr="00502B7D" w:rsidRDefault="00D83FAA" w:rsidP="003878DD">
      <w:pPr>
        <w:rPr>
          <w:rFonts w:ascii="Times New Roman" w:eastAsia="Times New Roman" w:hAnsi="Times New Roman" w:cs="Times New Roman"/>
          <w:color w:val="17365D"/>
          <w:spacing w:val="5"/>
          <w:kern w:val="28"/>
          <w:sz w:val="50"/>
          <w:szCs w:val="50"/>
        </w:rPr>
      </w:pPr>
      <w:bookmarkStart w:id="0" w:name="_GoBack"/>
      <w:bookmarkEnd w:id="0"/>
      <w:r w:rsidRPr="00502B7D">
        <w:rPr>
          <w:rFonts w:ascii="Times New Roman" w:eastAsia="Times New Roman" w:hAnsi="Times New Roman" w:cs="Times New Roman"/>
          <w:color w:val="17365D"/>
          <w:spacing w:val="5"/>
          <w:kern w:val="28"/>
          <w:sz w:val="50"/>
          <w:szCs w:val="50"/>
        </w:rPr>
        <w:t>European Union</w:t>
      </w:r>
      <w:r w:rsidR="00B85EBC">
        <w:rPr>
          <w:rFonts w:ascii="Times New Roman" w:eastAsia="Times New Roman" w:hAnsi="Times New Roman" w:cs="Times New Roman"/>
          <w:color w:val="17365D"/>
          <w:spacing w:val="5"/>
          <w:kern w:val="28"/>
          <w:sz w:val="50"/>
          <w:szCs w:val="50"/>
        </w:rPr>
        <w:t xml:space="preserve"> Agency for Fundamental Rights, </w:t>
      </w:r>
      <w:r w:rsidR="00F956F0" w:rsidRPr="00502B7D">
        <w:rPr>
          <w:rFonts w:ascii="Times New Roman" w:eastAsia="Times New Roman" w:hAnsi="Times New Roman" w:cs="Times New Roman"/>
          <w:color w:val="17365D"/>
          <w:spacing w:val="5"/>
          <w:kern w:val="28"/>
          <w:sz w:val="50"/>
          <w:szCs w:val="50"/>
        </w:rPr>
        <w:t>select</w:t>
      </w:r>
      <w:r w:rsidR="00F956F0">
        <w:rPr>
          <w:rFonts w:ascii="Times New Roman" w:eastAsia="Times New Roman" w:hAnsi="Times New Roman" w:cs="Times New Roman"/>
          <w:color w:val="17365D"/>
          <w:spacing w:val="5"/>
          <w:kern w:val="28"/>
          <w:sz w:val="50"/>
          <w:szCs w:val="50"/>
        </w:rPr>
        <w:t>ed</w:t>
      </w:r>
      <w:r w:rsidR="00F956F0" w:rsidRPr="00502B7D">
        <w:rPr>
          <w:rFonts w:ascii="Times New Roman" w:eastAsia="Times New Roman" w:hAnsi="Times New Roman" w:cs="Times New Roman"/>
          <w:color w:val="17365D"/>
          <w:spacing w:val="5"/>
          <w:kern w:val="28"/>
          <w:sz w:val="50"/>
          <w:szCs w:val="50"/>
        </w:rPr>
        <w:t xml:space="preserve"> </w:t>
      </w:r>
      <w:r w:rsidR="00F956F0">
        <w:rPr>
          <w:rFonts w:ascii="Times New Roman" w:eastAsia="Times New Roman" w:hAnsi="Times New Roman" w:cs="Times New Roman"/>
          <w:color w:val="17365D"/>
          <w:spacing w:val="5"/>
          <w:kern w:val="28"/>
          <w:sz w:val="50"/>
          <w:szCs w:val="50"/>
        </w:rPr>
        <w:t>passages on the</w:t>
      </w:r>
      <w:r w:rsidRPr="00502B7D">
        <w:rPr>
          <w:rFonts w:ascii="Times New Roman" w:eastAsia="Times New Roman" w:hAnsi="Times New Roman" w:cs="Times New Roman"/>
          <w:color w:val="17365D"/>
          <w:spacing w:val="5"/>
          <w:kern w:val="28"/>
          <w:sz w:val="50"/>
          <w:szCs w:val="50"/>
        </w:rPr>
        <w:t xml:space="preserve"> </w:t>
      </w:r>
      <w:r w:rsidR="00DE0651" w:rsidRPr="00502B7D">
        <w:rPr>
          <w:rFonts w:ascii="Times New Roman" w:eastAsia="Times New Roman" w:hAnsi="Times New Roman" w:cs="Times New Roman"/>
          <w:color w:val="17365D"/>
          <w:spacing w:val="5"/>
          <w:kern w:val="28"/>
          <w:sz w:val="50"/>
          <w:szCs w:val="50"/>
        </w:rPr>
        <w:t xml:space="preserve">rights of </w:t>
      </w:r>
      <w:r w:rsidR="00F956F0">
        <w:rPr>
          <w:rFonts w:ascii="Times New Roman" w:eastAsia="Times New Roman" w:hAnsi="Times New Roman" w:cs="Times New Roman"/>
          <w:color w:val="17365D"/>
          <w:spacing w:val="5"/>
          <w:kern w:val="28"/>
          <w:sz w:val="50"/>
          <w:szCs w:val="50"/>
        </w:rPr>
        <w:t xml:space="preserve">persons </w:t>
      </w:r>
      <w:r w:rsidR="00551C6F">
        <w:rPr>
          <w:rFonts w:ascii="Times New Roman" w:eastAsia="Times New Roman" w:hAnsi="Times New Roman" w:cs="Times New Roman"/>
          <w:color w:val="17365D"/>
          <w:spacing w:val="5"/>
          <w:kern w:val="28"/>
          <w:sz w:val="50"/>
          <w:szCs w:val="50"/>
        </w:rPr>
        <w:t>with disabilities</w:t>
      </w:r>
      <w:r w:rsidR="00DE0651" w:rsidRPr="00502B7D">
        <w:rPr>
          <w:rFonts w:ascii="Times New Roman" w:eastAsia="Times New Roman" w:hAnsi="Times New Roman" w:cs="Times New Roman"/>
          <w:color w:val="17365D"/>
          <w:spacing w:val="5"/>
          <w:kern w:val="28"/>
          <w:sz w:val="50"/>
          <w:szCs w:val="50"/>
        </w:rPr>
        <w:t xml:space="preserve"> </w:t>
      </w:r>
      <w:r w:rsidRPr="00502B7D">
        <w:rPr>
          <w:rFonts w:ascii="Times New Roman" w:eastAsia="Times New Roman" w:hAnsi="Times New Roman" w:cs="Times New Roman"/>
          <w:color w:val="17365D"/>
          <w:spacing w:val="5"/>
          <w:kern w:val="28"/>
          <w:sz w:val="50"/>
          <w:szCs w:val="50"/>
        </w:rPr>
        <w:t>from pub</w:t>
      </w:r>
      <w:r w:rsidR="00551C6F">
        <w:rPr>
          <w:rFonts w:ascii="Times New Roman" w:eastAsia="Times New Roman" w:hAnsi="Times New Roman" w:cs="Times New Roman"/>
          <w:color w:val="17365D"/>
          <w:spacing w:val="5"/>
          <w:kern w:val="28"/>
          <w:sz w:val="50"/>
          <w:szCs w:val="50"/>
        </w:rPr>
        <w:t xml:space="preserve">lished reports related to </w:t>
      </w:r>
      <w:r w:rsidR="00E0115F">
        <w:rPr>
          <w:rFonts w:ascii="Times New Roman" w:eastAsia="Times New Roman" w:hAnsi="Times New Roman" w:cs="Times New Roman"/>
          <w:color w:val="17365D"/>
          <w:spacing w:val="5"/>
          <w:kern w:val="28"/>
          <w:sz w:val="50"/>
          <w:szCs w:val="50"/>
        </w:rPr>
        <w:t>Slovenia</w:t>
      </w:r>
    </w:p>
    <w:p w14:paraId="4AECC340" w14:textId="77777777" w:rsidR="00D83FAA" w:rsidRPr="00502B7D" w:rsidRDefault="00D83FAA" w:rsidP="003878DD">
      <w:pPr>
        <w:pBdr>
          <w:bottom w:val="single" w:sz="8" w:space="4" w:color="4F81BD"/>
        </w:pBdr>
        <w:spacing w:after="300" w:line="240" w:lineRule="auto"/>
        <w:contextualSpacing/>
        <w:rPr>
          <w:rFonts w:ascii="Times New Roman" w:eastAsia="Times New Roman" w:hAnsi="Times New Roman" w:cs="Times New Roman"/>
          <w:color w:val="17365D"/>
          <w:spacing w:val="5"/>
          <w:kern w:val="28"/>
          <w:sz w:val="50"/>
          <w:szCs w:val="50"/>
        </w:rPr>
      </w:pPr>
      <w:r w:rsidRPr="00502B7D">
        <w:rPr>
          <w:rFonts w:ascii="Times New Roman" w:eastAsia="Times New Roman" w:hAnsi="Times New Roman" w:cs="Times New Roman"/>
          <w:color w:val="17365D"/>
          <w:spacing w:val="5"/>
          <w:kern w:val="28"/>
          <w:sz w:val="50"/>
          <w:szCs w:val="50"/>
        </w:rPr>
        <w:t>fra.europa.eu</w:t>
      </w:r>
    </w:p>
    <w:p w14:paraId="4AECC341" w14:textId="5638E0B3" w:rsidR="00392DA1" w:rsidRPr="00502B7D" w:rsidRDefault="00392DA1" w:rsidP="003878DD"/>
    <w:p w14:paraId="4BB653B1" w14:textId="0602FF2A" w:rsidR="00EA5BD7" w:rsidRPr="00502B7D" w:rsidRDefault="00551C6F" w:rsidP="003878DD">
      <w:pPr>
        <w:rPr>
          <w:i/>
        </w:rPr>
      </w:pPr>
      <w:r>
        <w:rPr>
          <w:i/>
        </w:rPr>
        <w:t xml:space="preserve"> </w:t>
      </w:r>
      <w:r w:rsidR="00E170FF">
        <w:rPr>
          <w:i/>
        </w:rPr>
        <w:t>February</w:t>
      </w:r>
      <w:r>
        <w:rPr>
          <w:i/>
        </w:rPr>
        <w:t xml:space="preserve"> 2017</w:t>
      </w:r>
      <w:r w:rsidR="00EA5BD7" w:rsidRPr="00502B7D">
        <w:rPr>
          <w:i/>
        </w:rPr>
        <w:t>, Vienna</w:t>
      </w:r>
    </w:p>
    <w:sdt>
      <w:sdtPr>
        <w:rPr>
          <w:rFonts w:eastAsiaTheme="minorHAnsi" w:cstheme="minorBidi"/>
          <w:color w:val="auto"/>
          <w:sz w:val="22"/>
          <w:szCs w:val="22"/>
          <w:lang w:val="en-IE"/>
        </w:rPr>
        <w:id w:val="1229737705"/>
        <w:docPartObj>
          <w:docPartGallery w:val="Table of Contents"/>
          <w:docPartUnique/>
        </w:docPartObj>
      </w:sdtPr>
      <w:sdtEndPr>
        <w:rPr>
          <w:b/>
          <w:bCs/>
          <w:noProof/>
        </w:rPr>
      </w:sdtEndPr>
      <w:sdtContent>
        <w:p w14:paraId="2B071B0D" w14:textId="7D64F20C" w:rsidR="00EA5BD7" w:rsidRPr="00F83F6A" w:rsidRDefault="00EA5BD7" w:rsidP="003878DD">
          <w:pPr>
            <w:pStyle w:val="TOCHeading"/>
            <w:rPr>
              <w:lang w:val="en-IE"/>
            </w:rPr>
          </w:pPr>
          <w:r w:rsidRPr="00F83F6A">
            <w:rPr>
              <w:lang w:val="en-IE"/>
            </w:rPr>
            <w:t>Contents</w:t>
          </w:r>
        </w:p>
        <w:p w14:paraId="27FAC847" w14:textId="77777777" w:rsidR="00644CDA" w:rsidRDefault="00EA5BD7">
          <w:pPr>
            <w:pStyle w:val="TOC1"/>
            <w:rPr>
              <w:rFonts w:eastAsiaTheme="minorEastAsia"/>
              <w:noProof/>
              <w:lang w:eastAsia="en-IE"/>
            </w:rPr>
          </w:pPr>
          <w:r w:rsidRPr="00F83F6A">
            <w:fldChar w:fldCharType="begin"/>
          </w:r>
          <w:r w:rsidRPr="00502B7D">
            <w:instrText xml:space="preserve"> TOC \o "1-3" \h \z \u </w:instrText>
          </w:r>
          <w:r w:rsidRPr="00F83F6A">
            <w:fldChar w:fldCharType="separate"/>
          </w:r>
          <w:hyperlink w:anchor="_Toc475024602" w:history="1">
            <w:r w:rsidR="00644CDA" w:rsidRPr="00107734">
              <w:rPr>
                <w:rStyle w:val="Hyperlink"/>
                <w:noProof/>
              </w:rPr>
              <w:t>1</w:t>
            </w:r>
            <w:r w:rsidR="00644CDA">
              <w:rPr>
                <w:rFonts w:eastAsiaTheme="minorEastAsia"/>
                <w:noProof/>
                <w:lang w:eastAsia="en-IE"/>
              </w:rPr>
              <w:tab/>
            </w:r>
            <w:r w:rsidR="00644CDA" w:rsidRPr="00107734">
              <w:rPr>
                <w:rStyle w:val="Hyperlink"/>
                <w:noProof/>
              </w:rPr>
              <w:t>Annual reports</w:t>
            </w:r>
            <w:r w:rsidR="00644CDA">
              <w:rPr>
                <w:noProof/>
                <w:webHidden/>
              </w:rPr>
              <w:tab/>
            </w:r>
            <w:r w:rsidR="00644CDA">
              <w:rPr>
                <w:noProof/>
                <w:webHidden/>
              </w:rPr>
              <w:fldChar w:fldCharType="begin"/>
            </w:r>
            <w:r w:rsidR="00644CDA">
              <w:rPr>
                <w:noProof/>
                <w:webHidden/>
              </w:rPr>
              <w:instrText xml:space="preserve"> PAGEREF _Toc475024602 \h </w:instrText>
            </w:r>
            <w:r w:rsidR="00644CDA">
              <w:rPr>
                <w:noProof/>
                <w:webHidden/>
              </w:rPr>
            </w:r>
            <w:r w:rsidR="00644CDA">
              <w:rPr>
                <w:noProof/>
                <w:webHidden/>
              </w:rPr>
              <w:fldChar w:fldCharType="separate"/>
            </w:r>
            <w:r w:rsidR="00E170FF">
              <w:rPr>
                <w:noProof/>
                <w:webHidden/>
              </w:rPr>
              <w:t>2</w:t>
            </w:r>
            <w:r w:rsidR="00644CDA">
              <w:rPr>
                <w:noProof/>
                <w:webHidden/>
              </w:rPr>
              <w:fldChar w:fldCharType="end"/>
            </w:r>
          </w:hyperlink>
        </w:p>
        <w:p w14:paraId="5AE20EB4" w14:textId="2239D411" w:rsidR="00644CDA" w:rsidRDefault="00582E44" w:rsidP="002A1944">
          <w:pPr>
            <w:pStyle w:val="TOC2"/>
            <w:tabs>
              <w:tab w:val="left" w:pos="880"/>
              <w:tab w:val="right" w:leader="dot" w:pos="9016"/>
            </w:tabs>
            <w:rPr>
              <w:rFonts w:eastAsiaTheme="minorEastAsia"/>
              <w:noProof/>
              <w:lang w:eastAsia="en-IE"/>
            </w:rPr>
          </w:pPr>
          <w:hyperlink w:anchor="_Toc475024603" w:history="1">
            <w:r w:rsidR="00644CDA" w:rsidRPr="00107734">
              <w:rPr>
                <w:rStyle w:val="Hyperlink"/>
                <w:noProof/>
              </w:rPr>
              <w:t>1.1</w:t>
            </w:r>
            <w:r w:rsidR="002A1944">
              <w:rPr>
                <w:rFonts w:eastAsiaTheme="minorEastAsia"/>
                <w:noProof/>
                <w:lang w:eastAsia="en-IE"/>
              </w:rPr>
              <w:t xml:space="preserve">     </w:t>
            </w:r>
            <w:r w:rsidR="00644CDA" w:rsidRPr="00107734">
              <w:rPr>
                <w:rStyle w:val="Hyperlink"/>
                <w:noProof/>
              </w:rPr>
              <w:t>Fundamental Rights Report 2016</w:t>
            </w:r>
            <w:r w:rsidR="00644CDA">
              <w:rPr>
                <w:noProof/>
                <w:webHidden/>
              </w:rPr>
              <w:tab/>
            </w:r>
            <w:r w:rsidR="00644CDA">
              <w:rPr>
                <w:noProof/>
                <w:webHidden/>
              </w:rPr>
              <w:fldChar w:fldCharType="begin"/>
            </w:r>
            <w:r w:rsidR="00644CDA">
              <w:rPr>
                <w:noProof/>
                <w:webHidden/>
              </w:rPr>
              <w:instrText xml:space="preserve"> PAGEREF _Toc475024603 \h </w:instrText>
            </w:r>
            <w:r w:rsidR="00644CDA">
              <w:rPr>
                <w:noProof/>
                <w:webHidden/>
              </w:rPr>
            </w:r>
            <w:r w:rsidR="00644CDA">
              <w:rPr>
                <w:noProof/>
                <w:webHidden/>
              </w:rPr>
              <w:fldChar w:fldCharType="separate"/>
            </w:r>
            <w:r w:rsidR="00E170FF">
              <w:rPr>
                <w:noProof/>
                <w:webHidden/>
              </w:rPr>
              <w:t>2</w:t>
            </w:r>
            <w:r w:rsidR="00644CDA">
              <w:rPr>
                <w:noProof/>
                <w:webHidden/>
              </w:rPr>
              <w:fldChar w:fldCharType="end"/>
            </w:r>
          </w:hyperlink>
        </w:p>
        <w:p w14:paraId="2D5AF119" w14:textId="77777777" w:rsidR="00644CDA" w:rsidRDefault="00582E44">
          <w:pPr>
            <w:pStyle w:val="TOC1"/>
            <w:rPr>
              <w:rFonts w:eastAsiaTheme="minorEastAsia"/>
              <w:noProof/>
              <w:lang w:eastAsia="en-IE"/>
            </w:rPr>
          </w:pPr>
          <w:hyperlink w:anchor="_Toc475024604" w:history="1">
            <w:r w:rsidR="00644CDA" w:rsidRPr="00107734">
              <w:rPr>
                <w:rStyle w:val="Hyperlink"/>
                <w:noProof/>
              </w:rPr>
              <w:t>2</w:t>
            </w:r>
            <w:r w:rsidR="00644CDA">
              <w:rPr>
                <w:rFonts w:eastAsiaTheme="minorEastAsia"/>
                <w:noProof/>
                <w:lang w:eastAsia="en-IE"/>
              </w:rPr>
              <w:tab/>
            </w:r>
            <w:r w:rsidR="00644CDA" w:rsidRPr="00107734">
              <w:rPr>
                <w:rStyle w:val="Hyperlink"/>
                <w:noProof/>
              </w:rPr>
              <w:t>Thematic reports on the rights of persons with disabilities</w:t>
            </w:r>
            <w:r w:rsidR="00644CDA">
              <w:rPr>
                <w:noProof/>
                <w:webHidden/>
              </w:rPr>
              <w:tab/>
            </w:r>
            <w:r w:rsidR="00644CDA">
              <w:rPr>
                <w:noProof/>
                <w:webHidden/>
              </w:rPr>
              <w:fldChar w:fldCharType="begin"/>
            </w:r>
            <w:r w:rsidR="00644CDA">
              <w:rPr>
                <w:noProof/>
                <w:webHidden/>
              </w:rPr>
              <w:instrText xml:space="preserve"> PAGEREF _Toc475024604 \h </w:instrText>
            </w:r>
            <w:r w:rsidR="00644CDA">
              <w:rPr>
                <w:noProof/>
                <w:webHidden/>
              </w:rPr>
            </w:r>
            <w:r w:rsidR="00644CDA">
              <w:rPr>
                <w:noProof/>
                <w:webHidden/>
              </w:rPr>
              <w:fldChar w:fldCharType="separate"/>
            </w:r>
            <w:r w:rsidR="00E170FF">
              <w:rPr>
                <w:noProof/>
                <w:webHidden/>
              </w:rPr>
              <w:t>2</w:t>
            </w:r>
            <w:r w:rsidR="00644CDA">
              <w:rPr>
                <w:noProof/>
                <w:webHidden/>
              </w:rPr>
              <w:fldChar w:fldCharType="end"/>
            </w:r>
          </w:hyperlink>
        </w:p>
        <w:p w14:paraId="14E02087" w14:textId="77777777" w:rsidR="00644CDA" w:rsidRDefault="00582E44" w:rsidP="00644CDA">
          <w:pPr>
            <w:pStyle w:val="TOC2"/>
            <w:tabs>
              <w:tab w:val="left" w:pos="880"/>
              <w:tab w:val="right" w:leader="dot" w:pos="9016"/>
            </w:tabs>
            <w:ind w:left="720" w:hanging="500"/>
            <w:rPr>
              <w:rFonts w:eastAsiaTheme="minorEastAsia"/>
              <w:noProof/>
              <w:lang w:eastAsia="en-IE"/>
            </w:rPr>
          </w:pPr>
          <w:hyperlink w:anchor="_Toc475024605" w:history="1">
            <w:r w:rsidR="00644CDA" w:rsidRPr="00107734">
              <w:rPr>
                <w:rStyle w:val="Hyperlink"/>
                <w:noProof/>
              </w:rPr>
              <w:t>2.1</w:t>
            </w:r>
            <w:r w:rsidR="00644CDA">
              <w:rPr>
                <w:rFonts w:eastAsiaTheme="minorEastAsia"/>
                <w:noProof/>
                <w:lang w:eastAsia="en-IE"/>
              </w:rPr>
              <w:tab/>
            </w:r>
            <w:r w:rsidR="00644CDA" w:rsidRPr="00107734">
              <w:rPr>
                <w:rStyle w:val="Hyperlink"/>
                <w:noProof/>
              </w:rPr>
              <w:t>Violence against children with disabilities: legislation, policies and programmes in the EU report (2015)</w:t>
            </w:r>
            <w:r w:rsidR="00644CDA">
              <w:rPr>
                <w:noProof/>
                <w:webHidden/>
              </w:rPr>
              <w:tab/>
            </w:r>
            <w:r w:rsidR="00644CDA">
              <w:rPr>
                <w:noProof/>
                <w:webHidden/>
              </w:rPr>
              <w:fldChar w:fldCharType="begin"/>
            </w:r>
            <w:r w:rsidR="00644CDA">
              <w:rPr>
                <w:noProof/>
                <w:webHidden/>
              </w:rPr>
              <w:instrText xml:space="preserve"> PAGEREF _Toc475024605 \h </w:instrText>
            </w:r>
            <w:r w:rsidR="00644CDA">
              <w:rPr>
                <w:noProof/>
                <w:webHidden/>
              </w:rPr>
            </w:r>
            <w:r w:rsidR="00644CDA">
              <w:rPr>
                <w:noProof/>
                <w:webHidden/>
              </w:rPr>
              <w:fldChar w:fldCharType="separate"/>
            </w:r>
            <w:r w:rsidR="00E170FF">
              <w:rPr>
                <w:noProof/>
                <w:webHidden/>
              </w:rPr>
              <w:t>2</w:t>
            </w:r>
            <w:r w:rsidR="00644CDA">
              <w:rPr>
                <w:noProof/>
                <w:webHidden/>
              </w:rPr>
              <w:fldChar w:fldCharType="end"/>
            </w:r>
          </w:hyperlink>
        </w:p>
        <w:p w14:paraId="754CA9B7" w14:textId="191881A7" w:rsidR="00644CDA" w:rsidRDefault="00582E44">
          <w:pPr>
            <w:pStyle w:val="TOC2"/>
            <w:tabs>
              <w:tab w:val="left" w:pos="880"/>
              <w:tab w:val="right" w:leader="dot" w:pos="9016"/>
            </w:tabs>
            <w:rPr>
              <w:rFonts w:eastAsiaTheme="minorEastAsia"/>
              <w:noProof/>
              <w:lang w:eastAsia="en-IE"/>
            </w:rPr>
          </w:pPr>
          <w:hyperlink w:anchor="_Toc475024606" w:history="1">
            <w:r w:rsidR="00644CDA" w:rsidRPr="00107734">
              <w:rPr>
                <w:rStyle w:val="Hyperlink"/>
                <w:noProof/>
              </w:rPr>
              <w:t>2.2</w:t>
            </w:r>
            <w:r w:rsidR="002A1944">
              <w:rPr>
                <w:rFonts w:eastAsiaTheme="minorEastAsia"/>
                <w:noProof/>
                <w:lang w:eastAsia="en-IE"/>
              </w:rPr>
              <w:t xml:space="preserve">     </w:t>
            </w:r>
            <w:r w:rsidR="00644CDA" w:rsidRPr="00107734">
              <w:rPr>
                <w:rStyle w:val="Hyperlink"/>
                <w:noProof/>
              </w:rPr>
              <w:t>Implementing the UN CRPD: An overview of legal reforms in EU Member States (2015)</w:t>
            </w:r>
            <w:r w:rsidR="00644CDA">
              <w:rPr>
                <w:noProof/>
                <w:webHidden/>
              </w:rPr>
              <w:tab/>
            </w:r>
            <w:r w:rsidR="00644CDA">
              <w:rPr>
                <w:noProof/>
                <w:webHidden/>
              </w:rPr>
              <w:fldChar w:fldCharType="begin"/>
            </w:r>
            <w:r w:rsidR="00644CDA">
              <w:rPr>
                <w:noProof/>
                <w:webHidden/>
              </w:rPr>
              <w:instrText xml:space="preserve"> PAGEREF _Toc475024606 \h </w:instrText>
            </w:r>
            <w:r w:rsidR="00644CDA">
              <w:rPr>
                <w:noProof/>
                <w:webHidden/>
              </w:rPr>
            </w:r>
            <w:r w:rsidR="00644CDA">
              <w:rPr>
                <w:noProof/>
                <w:webHidden/>
              </w:rPr>
              <w:fldChar w:fldCharType="separate"/>
            </w:r>
            <w:r w:rsidR="00E170FF">
              <w:rPr>
                <w:noProof/>
                <w:webHidden/>
              </w:rPr>
              <w:t>6</w:t>
            </w:r>
            <w:r w:rsidR="00644CDA">
              <w:rPr>
                <w:noProof/>
                <w:webHidden/>
              </w:rPr>
              <w:fldChar w:fldCharType="end"/>
            </w:r>
          </w:hyperlink>
        </w:p>
        <w:p w14:paraId="1917C70C" w14:textId="665AC381" w:rsidR="00644CDA" w:rsidRDefault="00582E44" w:rsidP="00644CDA">
          <w:pPr>
            <w:pStyle w:val="TOC2"/>
            <w:tabs>
              <w:tab w:val="left" w:pos="880"/>
              <w:tab w:val="right" w:leader="dot" w:pos="9016"/>
            </w:tabs>
            <w:ind w:left="720" w:hanging="500"/>
            <w:rPr>
              <w:rFonts w:eastAsiaTheme="minorEastAsia"/>
              <w:noProof/>
              <w:lang w:eastAsia="en-IE"/>
            </w:rPr>
          </w:pPr>
          <w:hyperlink w:anchor="_Toc475024607" w:history="1">
            <w:r w:rsidR="00644CDA" w:rsidRPr="00107734">
              <w:rPr>
                <w:rStyle w:val="Hyperlink"/>
                <w:noProof/>
              </w:rPr>
              <w:t>2.3</w:t>
            </w:r>
            <w:r w:rsidR="00644CDA">
              <w:rPr>
                <w:rFonts w:eastAsiaTheme="minorEastAsia"/>
                <w:noProof/>
                <w:lang w:eastAsia="en-IE"/>
              </w:rPr>
              <w:tab/>
            </w:r>
            <w:r w:rsidR="00644CDA" w:rsidRPr="00107734">
              <w:rPr>
                <w:rStyle w:val="Hyperlink"/>
                <w:noProof/>
              </w:rPr>
              <w:t xml:space="preserve">The right to political participation for persons with disabilities: human rights indicators </w:t>
            </w:r>
            <w:r w:rsidR="00644CDA">
              <w:rPr>
                <w:rStyle w:val="Hyperlink"/>
                <w:noProof/>
              </w:rPr>
              <w:t xml:space="preserve">    </w:t>
            </w:r>
            <w:r w:rsidR="00644CDA" w:rsidRPr="00107734">
              <w:rPr>
                <w:rStyle w:val="Hyperlink"/>
                <w:noProof/>
              </w:rPr>
              <w:t>(2014)</w:t>
            </w:r>
            <w:r w:rsidR="00644CDA">
              <w:rPr>
                <w:rStyle w:val="Hyperlink"/>
                <w:noProof/>
              </w:rPr>
              <w:tab/>
            </w:r>
            <w:r w:rsidR="00644CDA">
              <w:rPr>
                <w:noProof/>
                <w:webHidden/>
              </w:rPr>
              <w:fldChar w:fldCharType="begin"/>
            </w:r>
            <w:r w:rsidR="00644CDA">
              <w:rPr>
                <w:noProof/>
                <w:webHidden/>
              </w:rPr>
              <w:instrText xml:space="preserve"> PAGEREF _Toc475024607 \h </w:instrText>
            </w:r>
            <w:r w:rsidR="00644CDA">
              <w:rPr>
                <w:noProof/>
                <w:webHidden/>
              </w:rPr>
            </w:r>
            <w:r w:rsidR="00644CDA">
              <w:rPr>
                <w:noProof/>
                <w:webHidden/>
              </w:rPr>
              <w:fldChar w:fldCharType="separate"/>
            </w:r>
            <w:r w:rsidR="00E170FF">
              <w:rPr>
                <w:noProof/>
                <w:webHidden/>
              </w:rPr>
              <w:t>7</w:t>
            </w:r>
            <w:r w:rsidR="00644CDA">
              <w:rPr>
                <w:noProof/>
                <w:webHidden/>
              </w:rPr>
              <w:fldChar w:fldCharType="end"/>
            </w:r>
          </w:hyperlink>
        </w:p>
        <w:p w14:paraId="403BCAB0" w14:textId="77777777" w:rsidR="00644CDA" w:rsidRDefault="00582E44" w:rsidP="00644CDA">
          <w:pPr>
            <w:pStyle w:val="TOC2"/>
            <w:tabs>
              <w:tab w:val="left" w:pos="880"/>
              <w:tab w:val="right" w:leader="dot" w:pos="9016"/>
            </w:tabs>
            <w:ind w:left="720" w:hanging="500"/>
            <w:rPr>
              <w:rFonts w:eastAsiaTheme="minorEastAsia"/>
              <w:noProof/>
              <w:lang w:eastAsia="en-IE"/>
            </w:rPr>
          </w:pPr>
          <w:hyperlink w:anchor="_Toc475024608" w:history="1">
            <w:r w:rsidR="00644CDA" w:rsidRPr="00107734">
              <w:rPr>
                <w:rStyle w:val="Hyperlink"/>
                <w:noProof/>
              </w:rPr>
              <w:t>2.4</w:t>
            </w:r>
            <w:r w:rsidR="00644CDA">
              <w:rPr>
                <w:rFonts w:eastAsiaTheme="minorEastAsia"/>
                <w:noProof/>
                <w:lang w:eastAsia="en-IE"/>
              </w:rPr>
              <w:tab/>
            </w:r>
            <w:r w:rsidR="00644CDA" w:rsidRPr="00107734">
              <w:rPr>
                <w:rStyle w:val="Hyperlink"/>
                <w:noProof/>
              </w:rPr>
              <w:t>Legal capacity of persons with intellectual disabilities and persons with mental health problems (2013)</w:t>
            </w:r>
            <w:r w:rsidR="00644CDA">
              <w:rPr>
                <w:noProof/>
                <w:webHidden/>
              </w:rPr>
              <w:tab/>
            </w:r>
            <w:r w:rsidR="00644CDA">
              <w:rPr>
                <w:noProof/>
                <w:webHidden/>
              </w:rPr>
              <w:fldChar w:fldCharType="begin"/>
            </w:r>
            <w:r w:rsidR="00644CDA">
              <w:rPr>
                <w:noProof/>
                <w:webHidden/>
              </w:rPr>
              <w:instrText xml:space="preserve"> PAGEREF _Toc475024608 \h </w:instrText>
            </w:r>
            <w:r w:rsidR="00644CDA">
              <w:rPr>
                <w:noProof/>
                <w:webHidden/>
              </w:rPr>
            </w:r>
            <w:r w:rsidR="00644CDA">
              <w:rPr>
                <w:noProof/>
                <w:webHidden/>
              </w:rPr>
              <w:fldChar w:fldCharType="separate"/>
            </w:r>
            <w:r w:rsidR="00E170FF">
              <w:rPr>
                <w:noProof/>
                <w:webHidden/>
              </w:rPr>
              <w:t>9</w:t>
            </w:r>
            <w:r w:rsidR="00644CDA">
              <w:rPr>
                <w:noProof/>
                <w:webHidden/>
              </w:rPr>
              <w:fldChar w:fldCharType="end"/>
            </w:r>
          </w:hyperlink>
        </w:p>
        <w:p w14:paraId="50DB85AC" w14:textId="77777777" w:rsidR="00644CDA" w:rsidRDefault="00582E44" w:rsidP="00644CDA">
          <w:pPr>
            <w:pStyle w:val="TOC2"/>
            <w:tabs>
              <w:tab w:val="left" w:pos="880"/>
              <w:tab w:val="right" w:leader="dot" w:pos="9016"/>
            </w:tabs>
            <w:ind w:left="720" w:hanging="500"/>
            <w:rPr>
              <w:rFonts w:eastAsiaTheme="minorEastAsia"/>
              <w:noProof/>
              <w:lang w:eastAsia="en-IE"/>
            </w:rPr>
          </w:pPr>
          <w:hyperlink w:anchor="_Toc475024609" w:history="1">
            <w:r w:rsidR="00644CDA" w:rsidRPr="00107734">
              <w:rPr>
                <w:rStyle w:val="Hyperlink"/>
                <w:noProof/>
              </w:rPr>
              <w:t>2.5</w:t>
            </w:r>
            <w:r w:rsidR="00644CDA">
              <w:rPr>
                <w:rFonts w:eastAsiaTheme="minorEastAsia"/>
                <w:noProof/>
                <w:lang w:eastAsia="en-IE"/>
              </w:rPr>
              <w:tab/>
            </w:r>
            <w:r w:rsidR="00644CDA" w:rsidRPr="00107734">
              <w:rPr>
                <w:rStyle w:val="Hyperlink"/>
                <w:noProof/>
              </w:rPr>
              <w:t>Involuntary placement and involuntary treatment of persons with mental health problems (2012)</w:t>
            </w:r>
            <w:r w:rsidR="00644CDA">
              <w:rPr>
                <w:noProof/>
                <w:webHidden/>
              </w:rPr>
              <w:tab/>
            </w:r>
            <w:r w:rsidR="00644CDA">
              <w:rPr>
                <w:noProof/>
                <w:webHidden/>
              </w:rPr>
              <w:fldChar w:fldCharType="begin"/>
            </w:r>
            <w:r w:rsidR="00644CDA">
              <w:rPr>
                <w:noProof/>
                <w:webHidden/>
              </w:rPr>
              <w:instrText xml:space="preserve"> PAGEREF _Toc475024609 \h </w:instrText>
            </w:r>
            <w:r w:rsidR="00644CDA">
              <w:rPr>
                <w:noProof/>
                <w:webHidden/>
              </w:rPr>
            </w:r>
            <w:r w:rsidR="00644CDA">
              <w:rPr>
                <w:noProof/>
                <w:webHidden/>
              </w:rPr>
              <w:fldChar w:fldCharType="separate"/>
            </w:r>
            <w:r w:rsidR="00E170FF">
              <w:rPr>
                <w:noProof/>
                <w:webHidden/>
              </w:rPr>
              <w:t>10</w:t>
            </w:r>
            <w:r w:rsidR="00644CDA">
              <w:rPr>
                <w:noProof/>
                <w:webHidden/>
              </w:rPr>
              <w:fldChar w:fldCharType="end"/>
            </w:r>
          </w:hyperlink>
        </w:p>
        <w:p w14:paraId="10A3F91F" w14:textId="77777777" w:rsidR="00644CDA" w:rsidRDefault="00582E44" w:rsidP="00644CDA">
          <w:pPr>
            <w:pStyle w:val="TOC2"/>
            <w:tabs>
              <w:tab w:val="left" w:pos="880"/>
              <w:tab w:val="right" w:leader="dot" w:pos="9016"/>
            </w:tabs>
            <w:ind w:left="720" w:hanging="500"/>
            <w:rPr>
              <w:rFonts w:eastAsiaTheme="minorEastAsia"/>
              <w:noProof/>
              <w:lang w:eastAsia="en-IE"/>
            </w:rPr>
          </w:pPr>
          <w:hyperlink w:anchor="_Toc475024610" w:history="1">
            <w:r w:rsidR="00644CDA" w:rsidRPr="00107734">
              <w:rPr>
                <w:rStyle w:val="Hyperlink"/>
                <w:noProof/>
              </w:rPr>
              <w:t>2.6</w:t>
            </w:r>
            <w:r w:rsidR="00644CDA">
              <w:rPr>
                <w:rFonts w:eastAsiaTheme="minorEastAsia"/>
                <w:noProof/>
                <w:lang w:eastAsia="en-IE"/>
              </w:rPr>
              <w:tab/>
            </w:r>
            <w:r w:rsidR="00644CDA" w:rsidRPr="00107734">
              <w:rPr>
                <w:rStyle w:val="Hyperlink"/>
                <w:noProof/>
              </w:rPr>
              <w:t>The legal protection of persons with mental health problems under non-discrimination law (2011)</w:t>
            </w:r>
            <w:r w:rsidR="00644CDA">
              <w:rPr>
                <w:noProof/>
                <w:webHidden/>
              </w:rPr>
              <w:tab/>
            </w:r>
            <w:r w:rsidR="00644CDA">
              <w:rPr>
                <w:noProof/>
                <w:webHidden/>
              </w:rPr>
              <w:fldChar w:fldCharType="begin"/>
            </w:r>
            <w:r w:rsidR="00644CDA">
              <w:rPr>
                <w:noProof/>
                <w:webHidden/>
              </w:rPr>
              <w:instrText xml:space="preserve"> PAGEREF _Toc475024610 \h </w:instrText>
            </w:r>
            <w:r w:rsidR="00644CDA">
              <w:rPr>
                <w:noProof/>
                <w:webHidden/>
              </w:rPr>
            </w:r>
            <w:r w:rsidR="00644CDA">
              <w:rPr>
                <w:noProof/>
                <w:webHidden/>
              </w:rPr>
              <w:fldChar w:fldCharType="separate"/>
            </w:r>
            <w:r w:rsidR="00E170FF">
              <w:rPr>
                <w:noProof/>
                <w:webHidden/>
              </w:rPr>
              <w:t>10</w:t>
            </w:r>
            <w:r w:rsidR="00644CDA">
              <w:rPr>
                <w:noProof/>
                <w:webHidden/>
              </w:rPr>
              <w:fldChar w:fldCharType="end"/>
            </w:r>
          </w:hyperlink>
        </w:p>
        <w:p w14:paraId="7D98C15F" w14:textId="77777777" w:rsidR="00644CDA" w:rsidRDefault="00582E44" w:rsidP="00644CDA">
          <w:pPr>
            <w:pStyle w:val="TOC2"/>
            <w:tabs>
              <w:tab w:val="left" w:pos="880"/>
              <w:tab w:val="right" w:leader="dot" w:pos="9016"/>
            </w:tabs>
            <w:ind w:left="720" w:hanging="500"/>
            <w:rPr>
              <w:rFonts w:eastAsiaTheme="minorEastAsia"/>
              <w:noProof/>
              <w:lang w:eastAsia="en-IE"/>
            </w:rPr>
          </w:pPr>
          <w:hyperlink w:anchor="_Toc475024611" w:history="1">
            <w:r w:rsidR="00644CDA" w:rsidRPr="00107734">
              <w:rPr>
                <w:rStyle w:val="Hyperlink"/>
                <w:noProof/>
              </w:rPr>
              <w:t>2.7</w:t>
            </w:r>
            <w:r w:rsidR="00644CDA">
              <w:rPr>
                <w:rFonts w:eastAsiaTheme="minorEastAsia"/>
                <w:noProof/>
                <w:lang w:eastAsia="en-IE"/>
              </w:rPr>
              <w:tab/>
            </w:r>
            <w:r w:rsidR="00644CDA" w:rsidRPr="00107734">
              <w:rPr>
                <w:rStyle w:val="Hyperlink"/>
                <w:noProof/>
              </w:rPr>
              <w:t>The right to political participation of persons with mental health problems and persons with intellectual disabilities (2010)</w:t>
            </w:r>
            <w:r w:rsidR="00644CDA">
              <w:rPr>
                <w:noProof/>
                <w:webHidden/>
              </w:rPr>
              <w:tab/>
            </w:r>
            <w:r w:rsidR="00644CDA">
              <w:rPr>
                <w:noProof/>
                <w:webHidden/>
              </w:rPr>
              <w:fldChar w:fldCharType="begin"/>
            </w:r>
            <w:r w:rsidR="00644CDA">
              <w:rPr>
                <w:noProof/>
                <w:webHidden/>
              </w:rPr>
              <w:instrText xml:space="preserve"> PAGEREF _Toc475024611 \h </w:instrText>
            </w:r>
            <w:r w:rsidR="00644CDA">
              <w:rPr>
                <w:noProof/>
                <w:webHidden/>
              </w:rPr>
            </w:r>
            <w:r w:rsidR="00644CDA">
              <w:rPr>
                <w:noProof/>
                <w:webHidden/>
              </w:rPr>
              <w:fldChar w:fldCharType="separate"/>
            </w:r>
            <w:r w:rsidR="00E170FF">
              <w:rPr>
                <w:noProof/>
                <w:webHidden/>
              </w:rPr>
              <w:t>11</w:t>
            </w:r>
            <w:r w:rsidR="00644CDA">
              <w:rPr>
                <w:noProof/>
                <w:webHidden/>
              </w:rPr>
              <w:fldChar w:fldCharType="end"/>
            </w:r>
          </w:hyperlink>
        </w:p>
        <w:p w14:paraId="7398FFBE" w14:textId="77777777" w:rsidR="002A1944" w:rsidRDefault="00EA5BD7" w:rsidP="002A1944">
          <w:pPr>
            <w:rPr>
              <w:b/>
              <w:bCs/>
              <w:noProof/>
            </w:rPr>
          </w:pPr>
          <w:r w:rsidRPr="00F83F6A">
            <w:rPr>
              <w:b/>
              <w:bCs/>
              <w:noProof/>
            </w:rPr>
            <w:fldChar w:fldCharType="end"/>
          </w:r>
        </w:p>
        <w:p w14:paraId="564D6765" w14:textId="4F981CD3" w:rsidR="002A1944" w:rsidRPr="002A1944" w:rsidRDefault="00582E44" w:rsidP="002A1944">
          <w:pPr>
            <w:rPr>
              <w:b/>
              <w:bCs/>
              <w:noProof/>
            </w:rPr>
          </w:pPr>
        </w:p>
      </w:sdtContent>
    </w:sdt>
    <w:bookmarkStart w:id="1" w:name="_Toc437340013" w:displacedByCustomXml="prev"/>
    <w:bookmarkEnd w:id="1" w:displacedByCustomXml="prev"/>
    <w:bookmarkStart w:id="2" w:name="_Toc437340012" w:displacedByCustomXml="prev"/>
    <w:bookmarkEnd w:id="2" w:displacedByCustomXml="prev"/>
    <w:bookmarkStart w:id="3" w:name="_Toc437340011" w:displacedByCustomXml="prev"/>
    <w:bookmarkEnd w:id="3" w:displacedByCustomXml="prev"/>
    <w:bookmarkStart w:id="4" w:name="_Toc437340010" w:displacedByCustomXml="prev"/>
    <w:bookmarkEnd w:id="4" w:displacedByCustomXml="prev"/>
    <w:bookmarkStart w:id="5" w:name="_Toc475024602" w:displacedByCustomXml="prev"/>
    <w:p w14:paraId="385CB49F" w14:textId="55ECAC40" w:rsidR="002A1944" w:rsidRDefault="002A1944" w:rsidP="002A1944">
      <w:pPr>
        <w:pStyle w:val="Heading1"/>
      </w:pPr>
      <w:r w:rsidRPr="001A2786">
        <w:lastRenderedPageBreak/>
        <w:t>Annual reports</w:t>
      </w:r>
    </w:p>
    <w:p w14:paraId="122B9222" w14:textId="019C464F" w:rsidR="00DC58E1" w:rsidRDefault="00DC58E1" w:rsidP="003878DD">
      <w:pPr>
        <w:pStyle w:val="Heading2"/>
      </w:pPr>
      <w:bookmarkStart w:id="6" w:name="_Toc437340026"/>
      <w:bookmarkStart w:id="7" w:name="_Toc475024603"/>
      <w:bookmarkEnd w:id="6"/>
      <w:bookmarkEnd w:id="5"/>
      <w:r w:rsidRPr="004C24D1">
        <w:t>Fundamental Rights Report 2016</w:t>
      </w:r>
      <w:bookmarkEnd w:id="7"/>
    </w:p>
    <w:p w14:paraId="27B8F0D3" w14:textId="3F47A260" w:rsidR="00DC58E1" w:rsidRDefault="00DC58E1" w:rsidP="00EA2F7A">
      <w:pPr>
        <w:rPr>
          <w:sz w:val="24"/>
          <w:szCs w:val="24"/>
        </w:rPr>
      </w:pPr>
      <w:r w:rsidRPr="00E673AD">
        <w:rPr>
          <w:sz w:val="24"/>
          <w:szCs w:val="24"/>
        </w:rPr>
        <w:t xml:space="preserve">For more detailed information: </w:t>
      </w:r>
      <w:hyperlink r:id="rId9" w:history="1">
        <w:r w:rsidRPr="00E673AD">
          <w:rPr>
            <w:rStyle w:val="Hyperlink"/>
            <w:sz w:val="24"/>
            <w:szCs w:val="24"/>
          </w:rPr>
          <w:t>http://fra.europa.eu/en/publications-and-resources/publications/annual-reports/fundamental-rights-2016</w:t>
        </w:r>
      </w:hyperlink>
      <w:r w:rsidR="008152A5" w:rsidRPr="004F43C9">
        <w:rPr>
          <w:rStyle w:val="Hyperlink"/>
          <w:color w:val="auto"/>
          <w:sz w:val="24"/>
          <w:szCs w:val="24"/>
          <w:u w:val="none"/>
        </w:rPr>
        <w:t>.</w:t>
      </w:r>
      <w:r w:rsidRPr="004F43C9">
        <w:rPr>
          <w:sz w:val="24"/>
          <w:szCs w:val="24"/>
        </w:rPr>
        <w:t xml:space="preserve"> </w:t>
      </w:r>
    </w:p>
    <w:p w14:paraId="604EC076" w14:textId="183D0713" w:rsidR="00624FB3" w:rsidRDefault="001F3F8F" w:rsidP="00EA2F7A">
      <w:pPr>
        <w:rPr>
          <w:rFonts w:cs="DaxlinePro-Regular"/>
          <w:color w:val="000000"/>
          <w:sz w:val="24"/>
          <w:szCs w:val="24"/>
        </w:rPr>
      </w:pPr>
      <w:r w:rsidRPr="006A0640">
        <w:rPr>
          <w:rFonts w:cs="DaxlinePro-Regular"/>
          <w:color w:val="000000"/>
          <w:sz w:val="24"/>
          <w:szCs w:val="24"/>
        </w:rPr>
        <w:t>“</w:t>
      </w:r>
      <w:r w:rsidR="00624FB3" w:rsidRPr="006A0640">
        <w:rPr>
          <w:rFonts w:cs="DaxlinePro-Regular"/>
          <w:color w:val="000000"/>
          <w:sz w:val="24"/>
          <w:szCs w:val="24"/>
        </w:rPr>
        <w:t xml:space="preserve">For example, the job of the Secretary of the Council for Persons with Disabilities, the </w:t>
      </w:r>
      <w:r w:rsidR="00624FB3" w:rsidRPr="006A0640">
        <w:rPr>
          <w:rFonts w:cs="DaxlinePro-Bold"/>
          <w:b/>
          <w:bCs/>
          <w:color w:val="000000"/>
          <w:sz w:val="24"/>
          <w:szCs w:val="24"/>
        </w:rPr>
        <w:t xml:space="preserve">Slovenian </w:t>
      </w:r>
      <w:r w:rsidR="00624FB3" w:rsidRPr="006A0640">
        <w:rPr>
          <w:rFonts w:cs="DaxlinePro-Regular"/>
          <w:color w:val="000000"/>
          <w:sz w:val="24"/>
          <w:szCs w:val="24"/>
        </w:rPr>
        <w:t>Article 33(2) body, is performed as an additional task by an official working full time at the Ministry of Labour, Family, Social Affairs and Equal Opportunities. An initiative to set aside further resources to carry out this task has received widespread support – including from the President, the President of the National Assembly, and most ministries</w:t>
      </w:r>
      <w:r w:rsidR="00624FB3" w:rsidRPr="006A0640">
        <w:rPr>
          <w:rStyle w:val="A9"/>
          <w:sz w:val="24"/>
          <w:szCs w:val="24"/>
        </w:rPr>
        <w:t xml:space="preserve"> </w:t>
      </w:r>
      <w:r w:rsidR="00624FB3" w:rsidRPr="006A0640">
        <w:rPr>
          <w:rFonts w:cs="DaxlinePro-Regular"/>
          <w:color w:val="000000"/>
          <w:sz w:val="24"/>
          <w:szCs w:val="24"/>
        </w:rPr>
        <w:t>– but the allocation of further resources will be determined only</w:t>
      </w:r>
      <w:r w:rsidRPr="006A0640">
        <w:rPr>
          <w:rFonts w:cs="DaxlinePro-Regular"/>
          <w:color w:val="000000"/>
          <w:sz w:val="24"/>
          <w:szCs w:val="24"/>
        </w:rPr>
        <w:t xml:space="preserve"> during the next budget period.” (p.193)</w:t>
      </w:r>
    </w:p>
    <w:p w14:paraId="6E6025C2" w14:textId="08F519D4" w:rsidR="001B79F3" w:rsidRPr="001B79F3" w:rsidRDefault="007E19AF" w:rsidP="001B79F3">
      <w:pPr>
        <w:pStyle w:val="Heading1"/>
      </w:pPr>
      <w:bookmarkStart w:id="8" w:name="_Toc437340032"/>
      <w:bookmarkStart w:id="9" w:name="_Toc475024604"/>
      <w:bookmarkEnd w:id="8"/>
      <w:r w:rsidRPr="001B79F3">
        <w:t>Thematic</w:t>
      </w:r>
      <w:r w:rsidR="00EF36C3" w:rsidRPr="001B79F3">
        <w:t xml:space="preserve"> reports on the rights of persons with disabilities</w:t>
      </w:r>
      <w:bookmarkEnd w:id="9"/>
    </w:p>
    <w:p w14:paraId="3C7E58F4" w14:textId="41FF7DFC" w:rsidR="008152A5" w:rsidRDefault="00281962" w:rsidP="00644CDA">
      <w:pPr>
        <w:pStyle w:val="Heading2"/>
      </w:pPr>
      <w:bookmarkStart w:id="10" w:name="_Toc475024605"/>
      <w:r w:rsidRPr="001B79F3">
        <w:t>Violence against children with disabilities: legislation, policies and programmes in the EU report (2015)</w:t>
      </w:r>
      <w:bookmarkEnd w:id="10"/>
    </w:p>
    <w:p w14:paraId="2DEF8130" w14:textId="57B19C2D" w:rsidR="00281962" w:rsidRPr="006A0640" w:rsidRDefault="00281962" w:rsidP="00FA36D5">
      <w:pPr>
        <w:rPr>
          <w:rStyle w:val="Hyperlink"/>
          <w:sz w:val="24"/>
          <w:szCs w:val="24"/>
          <w:u w:val="none"/>
        </w:rPr>
      </w:pPr>
      <w:r w:rsidRPr="006A0640">
        <w:rPr>
          <w:color w:val="000000" w:themeColor="text1"/>
          <w:sz w:val="24"/>
          <w:szCs w:val="24"/>
        </w:rPr>
        <w:t xml:space="preserve">The report includes extensive information regarding </w:t>
      </w:r>
      <w:proofErr w:type="gramStart"/>
      <w:r w:rsidR="00F07D58" w:rsidRPr="006A0640">
        <w:rPr>
          <w:color w:val="000000" w:themeColor="text1"/>
          <w:sz w:val="24"/>
          <w:szCs w:val="24"/>
        </w:rPr>
        <w:t>Slovenia</w:t>
      </w:r>
      <w:r w:rsidRPr="006A0640">
        <w:rPr>
          <w:color w:val="000000" w:themeColor="text1"/>
          <w:sz w:val="24"/>
          <w:szCs w:val="24"/>
        </w:rPr>
        <w:t>,</w:t>
      </w:r>
      <w:proofErr w:type="gramEnd"/>
      <w:r w:rsidRPr="006A0640">
        <w:rPr>
          <w:color w:val="000000" w:themeColor="text1"/>
          <w:sz w:val="24"/>
          <w:szCs w:val="24"/>
        </w:rPr>
        <w:t xml:space="preserve"> these excerpts are just a selection.</w:t>
      </w:r>
      <w:r w:rsidR="00FE5A96" w:rsidRPr="006A0640">
        <w:rPr>
          <w:color w:val="000000" w:themeColor="text1"/>
          <w:sz w:val="24"/>
          <w:szCs w:val="24"/>
        </w:rPr>
        <w:t xml:space="preserve"> </w:t>
      </w:r>
      <w:r w:rsidRPr="006A0640">
        <w:rPr>
          <w:color w:val="000000" w:themeColor="text1"/>
          <w:sz w:val="24"/>
          <w:szCs w:val="24"/>
        </w:rPr>
        <w:t>For more detailed information:</w:t>
      </w:r>
      <w:r w:rsidRPr="006A0640">
        <w:rPr>
          <w:sz w:val="24"/>
          <w:szCs w:val="24"/>
        </w:rPr>
        <w:t xml:space="preserve"> </w:t>
      </w:r>
      <w:hyperlink r:id="rId10" w:history="1">
        <w:r w:rsidRPr="006A0640">
          <w:rPr>
            <w:rStyle w:val="Hyperlink"/>
            <w:sz w:val="24"/>
            <w:szCs w:val="24"/>
          </w:rPr>
          <w:t>http://fra.europa.eu/en/publication/2015/children-disabilities-violence</w:t>
        </w:r>
      </w:hyperlink>
      <w:r w:rsidR="008152A5" w:rsidRPr="006A0640">
        <w:rPr>
          <w:rStyle w:val="Hyperlink"/>
          <w:sz w:val="24"/>
          <w:szCs w:val="24"/>
          <w:u w:val="none"/>
        </w:rPr>
        <w:t xml:space="preserve">. </w:t>
      </w:r>
      <w:r w:rsidR="008152A5" w:rsidRPr="006A0640">
        <w:rPr>
          <w:rFonts w:cs="DaxlinePro-RegularItalic"/>
          <w:iCs/>
          <w:sz w:val="24"/>
          <w:szCs w:val="24"/>
        </w:rPr>
        <w:t xml:space="preserve">Also available in easy-to-read: </w:t>
      </w:r>
      <w:hyperlink r:id="rId11" w:history="1">
        <w:r w:rsidR="008152A5" w:rsidRPr="006A0640">
          <w:rPr>
            <w:rStyle w:val="Hyperlink"/>
            <w:rFonts w:cs="DaxlinePro-RegularItalic"/>
            <w:iCs/>
            <w:sz w:val="24"/>
            <w:szCs w:val="24"/>
          </w:rPr>
          <w:t>http://fra.europa.eu/en/publication/2015/violence-against-children-disabilities</w:t>
        </w:r>
      </w:hyperlink>
      <w:r w:rsidR="008152A5" w:rsidRPr="006A0640">
        <w:rPr>
          <w:rFonts w:cs="DaxlinePro-RegularItalic"/>
          <w:iCs/>
          <w:sz w:val="24"/>
          <w:szCs w:val="24"/>
        </w:rPr>
        <w:t>.</w:t>
      </w:r>
      <w:r w:rsidR="00FE5A96" w:rsidRPr="006A0640">
        <w:rPr>
          <w:rFonts w:cs="DaxlinePro-RegularItalic"/>
          <w:i/>
          <w:iCs/>
          <w:sz w:val="24"/>
          <w:szCs w:val="24"/>
        </w:rPr>
        <w:t xml:space="preserve">  </w:t>
      </w:r>
    </w:p>
    <w:p w14:paraId="1D5CD47E" w14:textId="056A6683" w:rsidR="00281962" w:rsidRPr="006A0640" w:rsidRDefault="00644CDA" w:rsidP="00826507">
      <w:pPr>
        <w:pStyle w:val="Pa13"/>
        <w:spacing w:after="240"/>
        <w:rPr>
          <w:rFonts w:asciiTheme="minorHAnsi" w:hAnsiTheme="minorHAnsi"/>
        </w:rPr>
      </w:pPr>
      <w:r w:rsidRPr="00644CDA">
        <w:rPr>
          <w:rFonts w:asciiTheme="minorHAnsi" w:hAnsiTheme="minorHAnsi" w:cs="DaxlinePro-RegularItalic"/>
          <w:iCs/>
        </w:rPr>
        <w:t>“</w:t>
      </w:r>
      <w:r w:rsidR="004A3025" w:rsidRPr="006A0640">
        <w:rPr>
          <w:rFonts w:asciiTheme="minorHAnsi" w:hAnsiTheme="minorHAnsi" w:cs="DaxlinePro-Regular"/>
          <w:color w:val="000000"/>
        </w:rPr>
        <w:t>Not all Member States prohibit corporal punishment in all settings.</w:t>
      </w:r>
      <w:r w:rsidR="004A3025" w:rsidRPr="006A0640">
        <w:rPr>
          <w:rStyle w:val="A13"/>
          <w:rFonts w:asciiTheme="minorHAnsi" w:hAnsiTheme="minorHAnsi"/>
          <w:sz w:val="24"/>
          <w:szCs w:val="24"/>
        </w:rPr>
        <w:t xml:space="preserve"> </w:t>
      </w:r>
      <w:r w:rsidR="004A3025" w:rsidRPr="006A0640">
        <w:rPr>
          <w:rFonts w:asciiTheme="minorHAnsi" w:hAnsiTheme="minorHAnsi" w:cs="DaxlinePro-Regular"/>
          <w:color w:val="000000"/>
        </w:rPr>
        <w:t>The European Committee of Social Rights has received complaints regarding corpo</w:t>
      </w:r>
      <w:r w:rsidR="004A3025" w:rsidRPr="006A0640">
        <w:rPr>
          <w:rFonts w:asciiTheme="minorHAnsi" w:hAnsiTheme="minorHAnsi" w:cs="DaxlinePro-Regular"/>
          <w:color w:val="000000"/>
        </w:rPr>
        <w:softHyphen/>
        <w:t xml:space="preserve">ral punishment in Belgium, the Czech Republic, France, Italy, Ireland and </w:t>
      </w:r>
      <w:r w:rsidR="004A3025" w:rsidRPr="004F43C9">
        <w:rPr>
          <w:rFonts w:asciiTheme="minorHAnsi" w:hAnsiTheme="minorHAnsi" w:cs="DaxlinePro-Regular"/>
          <w:b/>
          <w:color w:val="000000"/>
        </w:rPr>
        <w:t>Slovenia</w:t>
      </w:r>
      <w:r w:rsidR="004A3025" w:rsidRPr="006A0640">
        <w:rPr>
          <w:rFonts w:asciiTheme="minorHAnsi" w:hAnsiTheme="minorHAnsi" w:cs="DaxlinePro-Regular"/>
          <w:color w:val="000000"/>
        </w:rPr>
        <w:t>.</w:t>
      </w:r>
      <w:r>
        <w:rPr>
          <w:rFonts w:asciiTheme="minorHAnsi" w:hAnsiTheme="minorHAnsi" w:cs="DaxlinePro-Regular"/>
          <w:color w:val="000000"/>
        </w:rPr>
        <w:t>”</w:t>
      </w:r>
      <w:r w:rsidR="004A3025" w:rsidRPr="006A0640">
        <w:rPr>
          <w:rFonts w:asciiTheme="minorHAnsi" w:hAnsiTheme="minorHAnsi" w:cs="DaxlinePro-Regular"/>
          <w:color w:val="000000"/>
        </w:rPr>
        <w:t xml:space="preserve"> (p.35)</w:t>
      </w:r>
    </w:p>
    <w:p w14:paraId="198CE6D6" w14:textId="75A5511B" w:rsidR="009A6731" w:rsidRPr="006A0640" w:rsidRDefault="00644CDA" w:rsidP="00826507">
      <w:pPr>
        <w:pStyle w:val="Pa13"/>
        <w:spacing w:before="120" w:after="120"/>
        <w:rPr>
          <w:rFonts w:asciiTheme="minorHAnsi" w:hAnsiTheme="minorHAnsi" w:cs="DaxlinePro-Regular"/>
          <w:color w:val="000000"/>
        </w:rPr>
      </w:pPr>
      <w:r>
        <w:rPr>
          <w:rFonts w:asciiTheme="minorHAnsi" w:hAnsiTheme="minorHAnsi" w:cs="DaxlinePro-Regular"/>
          <w:color w:val="000000"/>
        </w:rPr>
        <w:t>“</w:t>
      </w:r>
      <w:r w:rsidR="004A3025" w:rsidRPr="006A0640">
        <w:rPr>
          <w:rFonts w:asciiTheme="minorHAnsi" w:hAnsiTheme="minorHAnsi" w:cs="DaxlinePro-Regular"/>
          <w:color w:val="000000"/>
        </w:rPr>
        <w:t>Some EU Member States include a victim’s disability as a ground for criminalising a hate crime. As of Octo</w:t>
      </w:r>
      <w:r w:rsidR="004A3025" w:rsidRPr="006A0640">
        <w:rPr>
          <w:rFonts w:asciiTheme="minorHAnsi" w:hAnsiTheme="minorHAnsi" w:cs="DaxlinePro-Regular"/>
          <w:color w:val="000000"/>
        </w:rPr>
        <w:softHyphen/>
        <w:t>ber 2014, 13 EU Member States explicitly recognise, in one form or another, a disability</w:t>
      </w:r>
      <w:r w:rsidR="004A3025" w:rsidRPr="006A0640">
        <w:rPr>
          <w:rFonts w:asciiTheme="minorHAnsi" w:hAnsiTheme="minorHAnsi" w:cs="DaxlinePro-Regular"/>
          <w:color w:val="000000"/>
        </w:rPr>
        <w:noBreakHyphen/>
        <w:t xml:space="preserve">bias motivation in their criminal laws: Austria, Belgium, Croatia, Finland, France, Greece, Hungary, Lithuania, the Netherlands, Romania, </w:t>
      </w:r>
      <w:r w:rsidR="004A3025" w:rsidRPr="006A0640">
        <w:rPr>
          <w:rFonts w:asciiTheme="minorHAnsi" w:hAnsiTheme="minorHAnsi" w:cs="DaxlinePro-Regular"/>
          <w:b/>
          <w:color w:val="000000"/>
        </w:rPr>
        <w:t>Slovenia</w:t>
      </w:r>
      <w:r w:rsidR="004A3025" w:rsidRPr="006A0640">
        <w:rPr>
          <w:rFonts w:asciiTheme="minorHAnsi" w:hAnsiTheme="minorHAnsi" w:cs="DaxlinePro-Regular"/>
          <w:color w:val="000000"/>
        </w:rPr>
        <w:t>, Spain, and the United Kingdom.</w:t>
      </w:r>
      <w:r>
        <w:rPr>
          <w:rFonts w:asciiTheme="minorHAnsi" w:hAnsiTheme="minorHAnsi" w:cs="DaxlinePro-Regular"/>
          <w:color w:val="000000"/>
        </w:rPr>
        <w:t>”</w:t>
      </w:r>
      <w:r w:rsidR="004A3025" w:rsidRPr="006A0640">
        <w:rPr>
          <w:rFonts w:asciiTheme="minorHAnsi" w:hAnsiTheme="minorHAnsi" w:cs="DaxlinePro-Regular"/>
          <w:color w:val="000000"/>
        </w:rPr>
        <w:t xml:space="preserve"> (p.38)</w:t>
      </w:r>
    </w:p>
    <w:p w14:paraId="62029B13" w14:textId="76C63E1C" w:rsidR="004A3025" w:rsidRPr="006A0640" w:rsidRDefault="00644CDA" w:rsidP="00826507">
      <w:pPr>
        <w:rPr>
          <w:rFonts w:cs="DaxlinePro-Regular"/>
          <w:color w:val="000000"/>
          <w:sz w:val="24"/>
          <w:szCs w:val="24"/>
        </w:rPr>
      </w:pPr>
      <w:r>
        <w:rPr>
          <w:rFonts w:cs="DaxlinePro-Regular"/>
          <w:color w:val="000000"/>
          <w:sz w:val="24"/>
          <w:szCs w:val="24"/>
        </w:rPr>
        <w:t>“</w:t>
      </w:r>
      <w:r w:rsidR="004A3025" w:rsidRPr="006A0640">
        <w:rPr>
          <w:rFonts w:cs="DaxlinePro-Regular"/>
          <w:color w:val="000000"/>
          <w:sz w:val="24"/>
          <w:szCs w:val="24"/>
        </w:rPr>
        <w:t>Turning to the responses of the stakeholders inter</w:t>
      </w:r>
      <w:r w:rsidR="004A3025" w:rsidRPr="006A0640">
        <w:rPr>
          <w:rFonts w:cs="DaxlinePro-Regular"/>
          <w:color w:val="000000"/>
          <w:sz w:val="24"/>
          <w:szCs w:val="24"/>
        </w:rPr>
        <w:softHyphen/>
        <w:t xml:space="preserve">viewed for this research, it is worth mentioning that only respondents from five countries – Denmark, the Netherlands, Sweden, </w:t>
      </w:r>
      <w:r w:rsidR="004A3025" w:rsidRPr="004F43C9">
        <w:rPr>
          <w:rFonts w:cs="DaxlinePro-Regular"/>
          <w:b/>
          <w:color w:val="000000"/>
          <w:sz w:val="24"/>
          <w:szCs w:val="24"/>
        </w:rPr>
        <w:t>Slovenia</w:t>
      </w:r>
      <w:r w:rsidR="004A3025" w:rsidRPr="006A0640">
        <w:rPr>
          <w:rFonts w:cs="DaxlinePro-Regular"/>
          <w:color w:val="000000"/>
          <w:sz w:val="24"/>
          <w:szCs w:val="24"/>
        </w:rPr>
        <w:t xml:space="preserve"> and the United King</w:t>
      </w:r>
      <w:r w:rsidR="004A3025" w:rsidRPr="006A0640">
        <w:rPr>
          <w:rFonts w:cs="DaxlinePro-Regular"/>
          <w:color w:val="000000"/>
          <w:sz w:val="24"/>
          <w:szCs w:val="24"/>
        </w:rPr>
        <w:softHyphen/>
        <w:t>dom – raised the issue of hate crime and its link to violence against children with disabilities.</w:t>
      </w:r>
      <w:r>
        <w:rPr>
          <w:rFonts w:cs="DaxlinePro-Regular"/>
          <w:color w:val="000000"/>
          <w:sz w:val="24"/>
          <w:szCs w:val="24"/>
        </w:rPr>
        <w:t>”</w:t>
      </w:r>
      <w:r w:rsidR="004A3025" w:rsidRPr="006A0640">
        <w:rPr>
          <w:rFonts w:cs="DaxlinePro-Regular"/>
          <w:color w:val="000000"/>
          <w:sz w:val="24"/>
          <w:szCs w:val="24"/>
        </w:rPr>
        <w:t xml:space="preserve"> (p.39)</w:t>
      </w:r>
    </w:p>
    <w:p w14:paraId="1904068A" w14:textId="34B92F25" w:rsidR="004A3025" w:rsidRPr="006A0640" w:rsidRDefault="004A3025" w:rsidP="00826507">
      <w:pPr>
        <w:autoSpaceDE w:val="0"/>
        <w:autoSpaceDN w:val="0"/>
        <w:adjustRightInd w:val="0"/>
        <w:spacing w:after="100" w:line="185" w:lineRule="atLeast"/>
        <w:rPr>
          <w:rFonts w:eastAsia="DaxlinePro-Regular" w:cs="DaxlinePro-Regular"/>
          <w:color w:val="000000"/>
          <w:sz w:val="24"/>
          <w:szCs w:val="24"/>
        </w:rPr>
      </w:pPr>
      <w:r w:rsidRPr="006A0640">
        <w:rPr>
          <w:rFonts w:eastAsia="DaxlinePro-RegularItalic" w:cs="DaxlinePro-RegularItalic"/>
          <w:i/>
          <w:iCs/>
          <w:color w:val="000000"/>
          <w:sz w:val="24"/>
          <w:szCs w:val="24"/>
        </w:rPr>
        <w:t xml:space="preserve">”[I]f we talk about the Criminal Code, it is a general norm on considering all of the circumstances, also subjective ones, motive and so on of the offender when determining the sentence. And here we lack a provision determining that if the purpose, the motive is hostility or discrimination, the sanction has to be more aggravating. Now, there is a space for judges to do this, but it’s not necessary that they will.” </w:t>
      </w:r>
      <w:r w:rsidRPr="006A0640">
        <w:rPr>
          <w:rFonts w:eastAsia="DaxlinePro-Regular" w:cs="DaxlinePro-Regular"/>
          <w:color w:val="000000"/>
          <w:sz w:val="24"/>
          <w:szCs w:val="24"/>
        </w:rPr>
        <w:t xml:space="preserve">(NHRB member, </w:t>
      </w:r>
      <w:r w:rsidRPr="006A0640">
        <w:rPr>
          <w:rFonts w:eastAsia="DaxlinePro-Regular" w:cs="DaxlinePro-Regular"/>
          <w:b/>
          <w:color w:val="000000"/>
          <w:sz w:val="24"/>
          <w:szCs w:val="24"/>
        </w:rPr>
        <w:t>Slovenia</w:t>
      </w:r>
      <w:r w:rsidRPr="006A0640">
        <w:rPr>
          <w:rFonts w:eastAsia="DaxlinePro-Regular" w:cs="DaxlinePro-Regular"/>
          <w:color w:val="000000"/>
          <w:sz w:val="24"/>
          <w:szCs w:val="24"/>
        </w:rPr>
        <w:t>)(p.39)</w:t>
      </w:r>
    </w:p>
    <w:p w14:paraId="4447D708" w14:textId="72A2C222" w:rsidR="004A3025" w:rsidRPr="006A0640" w:rsidRDefault="004A3025" w:rsidP="00826507">
      <w:pPr>
        <w:rPr>
          <w:rFonts w:cs="DaxlinePro-Regular"/>
          <w:color w:val="000000"/>
          <w:sz w:val="24"/>
          <w:szCs w:val="24"/>
        </w:rPr>
      </w:pPr>
      <w:r w:rsidRPr="006A0640">
        <w:rPr>
          <w:rFonts w:cs="DaxlinePro-Regular"/>
          <w:color w:val="000000"/>
          <w:sz w:val="24"/>
          <w:szCs w:val="24"/>
        </w:rPr>
        <w:lastRenderedPageBreak/>
        <w:t>“FRA research</w:t>
      </w:r>
      <w:r w:rsidRPr="006A0640">
        <w:rPr>
          <w:rStyle w:val="A13"/>
          <w:sz w:val="24"/>
          <w:szCs w:val="24"/>
        </w:rPr>
        <w:t xml:space="preserve"> </w:t>
      </w:r>
      <w:r w:rsidRPr="006A0640">
        <w:rPr>
          <w:rFonts w:cs="DaxlinePro-Regular"/>
          <w:color w:val="000000"/>
          <w:sz w:val="24"/>
          <w:szCs w:val="24"/>
        </w:rPr>
        <w:t>reveals that all Member States except for Germany, Malta and the Netherlands have legisla</w:t>
      </w:r>
      <w:r w:rsidRPr="006A0640">
        <w:rPr>
          <w:rFonts w:cs="DaxlinePro-Regular"/>
          <w:color w:val="000000"/>
          <w:sz w:val="24"/>
          <w:szCs w:val="24"/>
        </w:rPr>
        <w:softHyphen/>
        <w:t xml:space="preserve">tion obliging professionals who work with children to report child abuse, neglect and violence […] Only 15 of the 25 Member States who have such a reporting obligation impose it on all professionals (Bulgaria, Croatia, Denmark, Estonia, France, Hungary, Ireland, Lithuania, Luxembourg, Poland, Romania, </w:t>
      </w:r>
      <w:r w:rsidRPr="006A0640">
        <w:rPr>
          <w:rFonts w:cs="DaxlinePro-Regular"/>
          <w:b/>
          <w:color w:val="000000"/>
          <w:sz w:val="24"/>
          <w:szCs w:val="24"/>
        </w:rPr>
        <w:t>Slo</w:t>
      </w:r>
      <w:r w:rsidRPr="006A0640">
        <w:rPr>
          <w:rFonts w:cs="DaxlinePro-Regular"/>
          <w:b/>
          <w:color w:val="000000"/>
          <w:sz w:val="24"/>
          <w:szCs w:val="24"/>
        </w:rPr>
        <w:softHyphen/>
        <w:t>venia</w:t>
      </w:r>
      <w:r w:rsidRPr="006A0640">
        <w:rPr>
          <w:rFonts w:cs="DaxlinePro-Regular"/>
          <w:color w:val="000000"/>
          <w:sz w:val="24"/>
          <w:szCs w:val="24"/>
        </w:rPr>
        <w:t>, Spain, Sweden and the United Kingdom).” (p.40)</w:t>
      </w:r>
    </w:p>
    <w:p w14:paraId="73C0D307" w14:textId="68D1F4BA" w:rsidR="004A3025" w:rsidRPr="006A0640" w:rsidRDefault="002B366E" w:rsidP="00826507">
      <w:pPr>
        <w:rPr>
          <w:rFonts w:cs="DaxlinePro-Regular"/>
          <w:color w:val="000000"/>
          <w:sz w:val="24"/>
          <w:szCs w:val="24"/>
        </w:rPr>
      </w:pPr>
      <w:r w:rsidRPr="006A0640">
        <w:rPr>
          <w:noProof/>
          <w:sz w:val="24"/>
          <w:szCs w:val="24"/>
          <w:lang w:val="en-GB" w:eastAsia="en-GB"/>
        </w:rPr>
        <w:drawing>
          <wp:inline distT="0" distB="0" distL="0" distR="0" wp14:anchorId="59A67AC8" wp14:editId="37421065">
            <wp:extent cx="4754418" cy="202882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8223" t="62041" r="23222" b="16558"/>
                    <a:stretch/>
                  </pic:blipFill>
                  <pic:spPr bwMode="auto">
                    <a:xfrm>
                      <a:off x="0" y="0"/>
                      <a:ext cx="4764068" cy="2032943"/>
                    </a:xfrm>
                    <a:prstGeom prst="rect">
                      <a:avLst/>
                    </a:prstGeom>
                    <a:ln>
                      <a:noFill/>
                    </a:ln>
                    <a:extLst>
                      <a:ext uri="{53640926-AAD7-44D8-BBD7-CCE9431645EC}">
                        <a14:shadowObscured xmlns:a14="http://schemas.microsoft.com/office/drawing/2010/main"/>
                      </a:ext>
                    </a:extLst>
                  </pic:spPr>
                </pic:pic>
              </a:graphicData>
            </a:graphic>
          </wp:inline>
        </w:drawing>
      </w:r>
      <w:r w:rsidRPr="006A0640">
        <w:rPr>
          <w:rFonts w:cs="DaxlinePro-Regular"/>
          <w:color w:val="000000"/>
          <w:sz w:val="24"/>
          <w:szCs w:val="24"/>
        </w:rPr>
        <w:t xml:space="preserve"> </w:t>
      </w:r>
      <w:r w:rsidR="004A3025" w:rsidRPr="006A0640">
        <w:rPr>
          <w:rFonts w:cs="DaxlinePro-Regular"/>
          <w:color w:val="000000"/>
          <w:sz w:val="24"/>
          <w:szCs w:val="24"/>
        </w:rPr>
        <w:t>(p.41)</w:t>
      </w:r>
    </w:p>
    <w:p w14:paraId="7C7BD6B8" w14:textId="1C0990CA" w:rsidR="002B366E" w:rsidRPr="006A0640" w:rsidRDefault="00644CDA" w:rsidP="00826507">
      <w:pPr>
        <w:rPr>
          <w:rFonts w:cs="DaxlinePro-Regular"/>
          <w:color w:val="000000"/>
          <w:sz w:val="24"/>
          <w:szCs w:val="24"/>
        </w:rPr>
      </w:pPr>
      <w:r>
        <w:rPr>
          <w:rFonts w:cs="DaxlinePro-Regular"/>
          <w:color w:val="000000"/>
          <w:sz w:val="24"/>
          <w:szCs w:val="24"/>
        </w:rPr>
        <w:t>“</w:t>
      </w:r>
      <w:r w:rsidR="002B366E" w:rsidRPr="006A0640">
        <w:rPr>
          <w:rFonts w:cs="DaxlinePro-Regular"/>
          <w:color w:val="000000"/>
          <w:sz w:val="24"/>
          <w:szCs w:val="24"/>
        </w:rPr>
        <w:t>A second group of Member States, which includes Bul</w:t>
      </w:r>
      <w:r w:rsidR="002B366E" w:rsidRPr="006A0640">
        <w:rPr>
          <w:rFonts w:cs="DaxlinePro-Regular"/>
          <w:color w:val="000000"/>
          <w:sz w:val="24"/>
          <w:szCs w:val="24"/>
        </w:rPr>
        <w:softHyphen/>
        <w:t xml:space="preserve">garia, Germany, the </w:t>
      </w:r>
      <w:r w:rsidR="00826507" w:rsidRPr="006A0640">
        <w:rPr>
          <w:rFonts w:cs="DaxlinePro-Regular"/>
          <w:color w:val="000000"/>
          <w:sz w:val="24"/>
          <w:szCs w:val="24"/>
        </w:rPr>
        <w:t>Netherlands</w:t>
      </w:r>
      <w:r w:rsidR="00826507" w:rsidRPr="006A0640">
        <w:rPr>
          <w:rStyle w:val="A13"/>
          <w:sz w:val="24"/>
          <w:szCs w:val="24"/>
        </w:rPr>
        <w:t xml:space="preserve"> and</w:t>
      </w:r>
      <w:r w:rsidR="002B366E" w:rsidRPr="006A0640">
        <w:rPr>
          <w:rFonts w:cs="DaxlinePro-Regular"/>
          <w:color w:val="000000"/>
          <w:sz w:val="24"/>
          <w:szCs w:val="24"/>
        </w:rPr>
        <w:t xml:space="preserve"> </w:t>
      </w:r>
      <w:r w:rsidR="002B366E" w:rsidRPr="006A0640">
        <w:rPr>
          <w:rFonts w:cs="DaxlinePro-Regular"/>
          <w:b/>
          <w:color w:val="000000"/>
          <w:sz w:val="24"/>
          <w:szCs w:val="24"/>
        </w:rPr>
        <w:t>Slovenia</w:t>
      </w:r>
      <w:r w:rsidR="002B366E" w:rsidRPr="006A0640">
        <w:rPr>
          <w:rFonts w:cs="DaxlinePro-Regular"/>
          <w:color w:val="000000"/>
          <w:sz w:val="24"/>
          <w:szCs w:val="24"/>
        </w:rPr>
        <w:t>,</w:t>
      </w:r>
      <w:r w:rsidR="002B366E" w:rsidRPr="006A0640">
        <w:rPr>
          <w:rStyle w:val="A13"/>
          <w:sz w:val="24"/>
          <w:szCs w:val="24"/>
        </w:rPr>
        <w:t xml:space="preserve"> </w:t>
      </w:r>
      <w:r w:rsidR="002B366E" w:rsidRPr="006A0640">
        <w:rPr>
          <w:rFonts w:cs="DaxlinePro-Regular"/>
          <w:color w:val="000000"/>
          <w:sz w:val="24"/>
          <w:szCs w:val="24"/>
        </w:rPr>
        <w:t>has policies addressing the protection of children from vio</w:t>
      </w:r>
      <w:r w:rsidR="002B366E" w:rsidRPr="006A0640">
        <w:rPr>
          <w:rFonts w:cs="DaxlinePro-Regular"/>
          <w:color w:val="000000"/>
          <w:sz w:val="24"/>
          <w:szCs w:val="24"/>
        </w:rPr>
        <w:softHyphen/>
        <w:t>lence that refer generally to children with disabilities, some of them recognising their particular vulnerabil</w:t>
      </w:r>
      <w:r w:rsidR="002B366E" w:rsidRPr="006A0640">
        <w:rPr>
          <w:rFonts w:cs="DaxlinePro-Regular"/>
          <w:color w:val="000000"/>
          <w:sz w:val="24"/>
          <w:szCs w:val="24"/>
        </w:rPr>
        <w:softHyphen/>
        <w:t>ity. However, they do not contain specific measures addressing violence against children with disabilities in particular.</w:t>
      </w:r>
      <w:r>
        <w:rPr>
          <w:rFonts w:cs="DaxlinePro-Regular"/>
          <w:color w:val="000000"/>
          <w:sz w:val="24"/>
          <w:szCs w:val="24"/>
        </w:rPr>
        <w:t>”</w:t>
      </w:r>
      <w:r w:rsidR="002B366E" w:rsidRPr="006A0640">
        <w:rPr>
          <w:rFonts w:cs="DaxlinePro-Regular"/>
          <w:color w:val="000000"/>
          <w:sz w:val="24"/>
          <w:szCs w:val="24"/>
        </w:rPr>
        <w:t xml:space="preserve"> (p.42)</w:t>
      </w:r>
    </w:p>
    <w:p w14:paraId="1CEABBA9" w14:textId="2CD3F6F1" w:rsidR="002B366E" w:rsidRPr="00826507" w:rsidRDefault="002B366E" w:rsidP="00826507">
      <w:pPr>
        <w:rPr>
          <w:rFonts w:cs="DaxlinePro-Regular"/>
          <w:color w:val="000000"/>
          <w:sz w:val="24"/>
          <w:szCs w:val="24"/>
        </w:rPr>
      </w:pPr>
      <w:r w:rsidRPr="00826507">
        <w:rPr>
          <w:noProof/>
          <w:sz w:val="24"/>
          <w:szCs w:val="24"/>
          <w:lang w:val="en-GB" w:eastAsia="en-GB"/>
        </w:rPr>
        <w:drawing>
          <wp:inline distT="0" distB="0" distL="0" distR="0" wp14:anchorId="6632E712" wp14:editId="6A90EC1A">
            <wp:extent cx="5048250" cy="2280569"/>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1048" t="59663" r="21061" b="18072"/>
                    <a:stretch/>
                  </pic:blipFill>
                  <pic:spPr bwMode="auto">
                    <a:xfrm>
                      <a:off x="0" y="0"/>
                      <a:ext cx="5065443" cy="2288336"/>
                    </a:xfrm>
                    <a:prstGeom prst="rect">
                      <a:avLst/>
                    </a:prstGeom>
                    <a:ln>
                      <a:noFill/>
                    </a:ln>
                    <a:extLst>
                      <a:ext uri="{53640926-AAD7-44D8-BBD7-CCE9431645EC}">
                        <a14:shadowObscured xmlns:a14="http://schemas.microsoft.com/office/drawing/2010/main"/>
                      </a:ext>
                    </a:extLst>
                  </pic:spPr>
                </pic:pic>
              </a:graphicData>
            </a:graphic>
          </wp:inline>
        </w:drawing>
      </w:r>
      <w:r w:rsidRPr="00826507">
        <w:rPr>
          <w:rFonts w:cs="DaxlinePro-Regular"/>
          <w:color w:val="000000"/>
          <w:sz w:val="24"/>
          <w:szCs w:val="24"/>
        </w:rPr>
        <w:t>(p.42)</w:t>
      </w:r>
    </w:p>
    <w:p w14:paraId="08FF8179" w14:textId="16B16F4A" w:rsidR="002B366E" w:rsidRPr="00826507" w:rsidRDefault="00644CDA" w:rsidP="00826507">
      <w:pPr>
        <w:rPr>
          <w:rFonts w:cs="DaxlinePro-Regular"/>
          <w:color w:val="000000"/>
          <w:sz w:val="24"/>
          <w:szCs w:val="24"/>
        </w:rPr>
      </w:pPr>
      <w:r>
        <w:rPr>
          <w:rFonts w:cs="DaxlinePro-Regular"/>
          <w:color w:val="000000"/>
          <w:sz w:val="24"/>
          <w:szCs w:val="24"/>
        </w:rPr>
        <w:t>“</w:t>
      </w:r>
      <w:r w:rsidR="002B366E" w:rsidRPr="00826507">
        <w:rPr>
          <w:rFonts w:cs="DaxlinePro-Regular"/>
          <w:color w:val="000000"/>
          <w:sz w:val="24"/>
          <w:szCs w:val="24"/>
        </w:rPr>
        <w:t>A number of Member States have policies addressing the rights of persons with disabilities and their protec</w:t>
      </w:r>
      <w:r w:rsidR="002B366E" w:rsidRPr="00826507">
        <w:rPr>
          <w:rFonts w:cs="DaxlinePro-Regular"/>
          <w:color w:val="000000"/>
          <w:sz w:val="24"/>
          <w:szCs w:val="24"/>
        </w:rPr>
        <w:softHyphen/>
        <w:t xml:space="preserve">tion from violence: Austria, the Czech Republic, Finland, Germany, Italy, Portugal, </w:t>
      </w:r>
      <w:r w:rsidR="002B366E" w:rsidRPr="00826507">
        <w:rPr>
          <w:rFonts w:cs="DaxlinePro-Regular"/>
          <w:b/>
          <w:color w:val="000000"/>
          <w:sz w:val="24"/>
          <w:szCs w:val="24"/>
        </w:rPr>
        <w:t xml:space="preserve">Slovenia </w:t>
      </w:r>
      <w:r w:rsidR="002B366E" w:rsidRPr="00826507">
        <w:rPr>
          <w:rFonts w:cs="DaxlinePro-Regular"/>
          <w:color w:val="000000"/>
          <w:sz w:val="24"/>
          <w:szCs w:val="24"/>
        </w:rPr>
        <w:t>and Spain.</w:t>
      </w:r>
      <w:r>
        <w:rPr>
          <w:rFonts w:cs="DaxlinePro-Regular"/>
          <w:color w:val="000000"/>
          <w:sz w:val="24"/>
          <w:szCs w:val="24"/>
        </w:rPr>
        <w:t>”</w:t>
      </w:r>
      <w:r w:rsidR="002B366E" w:rsidRPr="00826507">
        <w:rPr>
          <w:rFonts w:cs="DaxlinePro-Regular"/>
          <w:color w:val="000000"/>
          <w:sz w:val="24"/>
          <w:szCs w:val="24"/>
        </w:rPr>
        <w:t xml:space="preserve"> (p.43)</w:t>
      </w:r>
    </w:p>
    <w:p w14:paraId="7FF235CD" w14:textId="56A4B888" w:rsidR="002B366E" w:rsidRPr="00826507" w:rsidRDefault="00191672" w:rsidP="00826507">
      <w:pPr>
        <w:rPr>
          <w:rFonts w:cs="DaxlinePro-Regular"/>
          <w:color w:val="000000"/>
          <w:sz w:val="24"/>
          <w:szCs w:val="24"/>
        </w:rPr>
      </w:pPr>
      <w:r w:rsidRPr="00826507">
        <w:rPr>
          <w:rFonts w:cs="DaxlinePro-Regular"/>
          <w:color w:val="000000"/>
          <w:sz w:val="24"/>
          <w:szCs w:val="24"/>
        </w:rPr>
        <w:t>“</w:t>
      </w:r>
      <w:r w:rsidR="002B366E" w:rsidRPr="00826507">
        <w:rPr>
          <w:rFonts w:cs="DaxlinePro-Regular"/>
          <w:color w:val="000000"/>
          <w:sz w:val="24"/>
          <w:szCs w:val="24"/>
        </w:rPr>
        <w:t xml:space="preserve">Some EU </w:t>
      </w:r>
      <w:r w:rsidRPr="00826507">
        <w:rPr>
          <w:rFonts w:cs="DaxlinePro-Regular"/>
          <w:color w:val="000000"/>
          <w:sz w:val="24"/>
          <w:szCs w:val="24"/>
        </w:rPr>
        <w:t xml:space="preserve">Member States – such as Austria, </w:t>
      </w:r>
      <w:r w:rsidR="002B366E" w:rsidRPr="00826507">
        <w:rPr>
          <w:rStyle w:val="A13"/>
          <w:sz w:val="24"/>
          <w:szCs w:val="24"/>
        </w:rPr>
        <w:t xml:space="preserve"> </w:t>
      </w:r>
      <w:r w:rsidR="002B366E" w:rsidRPr="00826507">
        <w:rPr>
          <w:rFonts w:cs="DaxlinePro-Regular"/>
          <w:color w:val="000000"/>
          <w:sz w:val="24"/>
          <w:szCs w:val="24"/>
        </w:rPr>
        <w:t>the Czech Republic,</w:t>
      </w:r>
      <w:r w:rsidR="002B366E" w:rsidRPr="00826507">
        <w:rPr>
          <w:rStyle w:val="A13"/>
          <w:sz w:val="24"/>
          <w:szCs w:val="24"/>
        </w:rPr>
        <w:t xml:space="preserve"> </w:t>
      </w:r>
      <w:r w:rsidR="002B366E" w:rsidRPr="00826507">
        <w:rPr>
          <w:rFonts w:cs="DaxlinePro-Regular"/>
          <w:color w:val="000000"/>
          <w:sz w:val="24"/>
          <w:szCs w:val="24"/>
        </w:rPr>
        <w:t xml:space="preserve">Germany, </w:t>
      </w:r>
      <w:r w:rsidR="002B366E" w:rsidRPr="006A0640">
        <w:rPr>
          <w:rFonts w:cs="DaxlinePro-Regular"/>
          <w:b/>
          <w:color w:val="000000"/>
          <w:sz w:val="24"/>
          <w:szCs w:val="24"/>
        </w:rPr>
        <w:t>Slovenia</w:t>
      </w:r>
      <w:r w:rsidR="002B366E" w:rsidRPr="00826507">
        <w:rPr>
          <w:rFonts w:cs="DaxlinePro-Regular"/>
          <w:color w:val="000000"/>
          <w:sz w:val="24"/>
          <w:szCs w:val="24"/>
        </w:rPr>
        <w:t xml:space="preserve"> and Spain</w:t>
      </w:r>
      <w:r w:rsidR="002B366E" w:rsidRPr="00826507">
        <w:rPr>
          <w:rStyle w:val="A13"/>
          <w:sz w:val="24"/>
          <w:szCs w:val="24"/>
        </w:rPr>
        <w:t xml:space="preserve"> </w:t>
      </w:r>
      <w:r w:rsidR="002B366E" w:rsidRPr="00826507">
        <w:rPr>
          <w:rFonts w:cs="DaxlinePro-Regular"/>
          <w:color w:val="000000"/>
          <w:sz w:val="24"/>
          <w:szCs w:val="24"/>
        </w:rPr>
        <w:t>– have disability policies or action plans that set out</w:t>
      </w:r>
      <w:r w:rsidRPr="00826507">
        <w:rPr>
          <w:rFonts w:cs="DaxlinePro-Regular"/>
          <w:color w:val="000000"/>
          <w:sz w:val="24"/>
          <w:szCs w:val="24"/>
        </w:rPr>
        <w:t xml:space="preserve"> […] </w:t>
      </w:r>
      <w:r w:rsidR="002B366E" w:rsidRPr="00826507">
        <w:rPr>
          <w:rFonts w:cs="DaxlinePro-Regular"/>
          <w:color w:val="000000"/>
          <w:sz w:val="24"/>
          <w:szCs w:val="24"/>
        </w:rPr>
        <w:t xml:space="preserve">The </w:t>
      </w:r>
      <w:r w:rsidR="002B366E" w:rsidRPr="004F43C9">
        <w:rPr>
          <w:rFonts w:cs="DaxlinePro-Regular"/>
          <w:b/>
          <w:color w:val="000000"/>
          <w:sz w:val="24"/>
          <w:szCs w:val="24"/>
        </w:rPr>
        <w:t>Slovenian</w:t>
      </w:r>
      <w:r w:rsidR="002B366E" w:rsidRPr="00826507">
        <w:rPr>
          <w:rFonts w:cs="DaxlinePro-Regular"/>
          <w:color w:val="000000"/>
          <w:sz w:val="24"/>
          <w:szCs w:val="24"/>
        </w:rPr>
        <w:t xml:space="preserve"> ‘Action programme for persons with dis</w:t>
      </w:r>
      <w:r w:rsidR="002B366E" w:rsidRPr="00826507">
        <w:rPr>
          <w:rFonts w:cs="DaxlinePro-Regular"/>
          <w:color w:val="000000"/>
          <w:sz w:val="24"/>
          <w:szCs w:val="24"/>
        </w:rPr>
        <w:softHyphen/>
        <w:t>abilities 2014–2021’,</w:t>
      </w:r>
      <w:r w:rsidR="002B366E" w:rsidRPr="00826507">
        <w:rPr>
          <w:rStyle w:val="A13"/>
          <w:sz w:val="24"/>
          <w:szCs w:val="24"/>
        </w:rPr>
        <w:t xml:space="preserve"> </w:t>
      </w:r>
      <w:r w:rsidR="002B366E" w:rsidRPr="00826507">
        <w:rPr>
          <w:rFonts w:cs="DaxlinePro-Regular"/>
          <w:color w:val="000000"/>
          <w:sz w:val="24"/>
          <w:szCs w:val="24"/>
        </w:rPr>
        <w:t>aims to raise awareness about vio</w:t>
      </w:r>
      <w:r w:rsidR="002B366E" w:rsidRPr="00826507">
        <w:rPr>
          <w:rFonts w:cs="DaxlinePro-Regular"/>
          <w:color w:val="000000"/>
          <w:sz w:val="24"/>
          <w:szCs w:val="24"/>
        </w:rPr>
        <w:softHyphen/>
      </w:r>
      <w:r w:rsidR="002B366E" w:rsidRPr="00826507">
        <w:rPr>
          <w:rFonts w:cs="DaxlinePro-Regular"/>
          <w:color w:val="000000"/>
          <w:sz w:val="24"/>
          <w:szCs w:val="24"/>
        </w:rPr>
        <w:lastRenderedPageBreak/>
        <w:t>lence against children with disabilities, collect statistical data, and provide assistance to persons with disabilities to detect, resolve and prevent violence. Children with dis</w:t>
      </w:r>
      <w:r w:rsidR="002B366E" w:rsidRPr="00826507">
        <w:rPr>
          <w:rFonts w:cs="DaxlinePro-Regular"/>
          <w:color w:val="000000"/>
          <w:sz w:val="24"/>
          <w:szCs w:val="24"/>
        </w:rPr>
        <w:softHyphen/>
        <w:t>abilities are identified as a particularly vulnerable group, along with women and elderly persons with disabilities.</w:t>
      </w:r>
      <w:r w:rsidRPr="00826507">
        <w:rPr>
          <w:rFonts w:cs="DaxlinePro-Regular"/>
          <w:color w:val="000000"/>
          <w:sz w:val="24"/>
          <w:szCs w:val="24"/>
        </w:rPr>
        <w:t>”</w:t>
      </w:r>
      <w:r w:rsidR="002B366E" w:rsidRPr="00826507">
        <w:rPr>
          <w:rFonts w:cs="DaxlinePro-Regular"/>
          <w:color w:val="000000"/>
          <w:sz w:val="24"/>
          <w:szCs w:val="24"/>
        </w:rPr>
        <w:t xml:space="preserve"> (p.43)</w:t>
      </w:r>
    </w:p>
    <w:p w14:paraId="6B1F99A3" w14:textId="7BCC56D1" w:rsidR="002B366E" w:rsidRPr="00826507" w:rsidRDefault="002B366E" w:rsidP="00826507">
      <w:pPr>
        <w:rPr>
          <w:rFonts w:cs="DaxlinePro-Regular"/>
          <w:color w:val="000000"/>
          <w:sz w:val="24"/>
          <w:szCs w:val="24"/>
        </w:rPr>
      </w:pPr>
      <w:r w:rsidRPr="00826507">
        <w:rPr>
          <w:noProof/>
          <w:sz w:val="24"/>
          <w:szCs w:val="24"/>
          <w:lang w:val="en-GB" w:eastAsia="en-GB"/>
        </w:rPr>
        <w:drawing>
          <wp:inline distT="0" distB="0" distL="0" distR="0" wp14:anchorId="169454AC" wp14:editId="3C6C4A18">
            <wp:extent cx="4876800" cy="2108311"/>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8721" t="57069" r="23222" b="21530"/>
                    <a:stretch/>
                  </pic:blipFill>
                  <pic:spPr bwMode="auto">
                    <a:xfrm>
                      <a:off x="0" y="0"/>
                      <a:ext cx="4892387" cy="2115049"/>
                    </a:xfrm>
                    <a:prstGeom prst="rect">
                      <a:avLst/>
                    </a:prstGeom>
                    <a:ln>
                      <a:noFill/>
                    </a:ln>
                    <a:extLst>
                      <a:ext uri="{53640926-AAD7-44D8-BBD7-CCE9431645EC}">
                        <a14:shadowObscured xmlns:a14="http://schemas.microsoft.com/office/drawing/2010/main"/>
                      </a:ext>
                    </a:extLst>
                  </pic:spPr>
                </pic:pic>
              </a:graphicData>
            </a:graphic>
          </wp:inline>
        </w:drawing>
      </w:r>
      <w:r w:rsidRPr="00826507">
        <w:rPr>
          <w:rFonts w:cs="DaxlinePro-Regular"/>
          <w:color w:val="000000"/>
          <w:sz w:val="24"/>
          <w:szCs w:val="24"/>
        </w:rPr>
        <w:t>(p.43)</w:t>
      </w:r>
    </w:p>
    <w:p w14:paraId="4781ABB0" w14:textId="0768EA3A" w:rsidR="002B366E" w:rsidRPr="00826507" w:rsidRDefault="00191672" w:rsidP="00826507">
      <w:pPr>
        <w:rPr>
          <w:rFonts w:cs="DaxlinePro-Regular"/>
          <w:color w:val="000000"/>
          <w:sz w:val="24"/>
          <w:szCs w:val="24"/>
        </w:rPr>
      </w:pPr>
      <w:r w:rsidRPr="00826507">
        <w:rPr>
          <w:rFonts w:cs="DaxlinePro-Regular"/>
          <w:color w:val="000000"/>
          <w:sz w:val="24"/>
          <w:szCs w:val="24"/>
        </w:rPr>
        <w:t>“Several EU Member States, such as Finland, the Nether</w:t>
      </w:r>
      <w:r w:rsidRPr="00826507">
        <w:rPr>
          <w:rFonts w:cs="DaxlinePro-Regular"/>
          <w:color w:val="000000"/>
          <w:sz w:val="24"/>
          <w:szCs w:val="24"/>
        </w:rPr>
        <w:softHyphen/>
        <w:t xml:space="preserve">lands and </w:t>
      </w:r>
      <w:r w:rsidRPr="00826507">
        <w:rPr>
          <w:rFonts w:cs="DaxlinePro-Regular"/>
          <w:b/>
          <w:color w:val="000000"/>
          <w:sz w:val="24"/>
          <w:szCs w:val="24"/>
        </w:rPr>
        <w:t>Slovenia</w:t>
      </w:r>
      <w:r w:rsidRPr="00826507">
        <w:rPr>
          <w:rFonts w:cs="DaxlinePro-Regular"/>
          <w:color w:val="000000"/>
          <w:sz w:val="24"/>
          <w:szCs w:val="24"/>
        </w:rPr>
        <w:t xml:space="preserve">, have adopted policies that address violence in different settings, such as family or care institutions, and refer to persons or children with disabilities. The </w:t>
      </w:r>
      <w:r w:rsidRPr="00826507">
        <w:rPr>
          <w:rFonts w:cs="DaxlinePro-Regular"/>
          <w:b/>
          <w:color w:val="000000"/>
          <w:sz w:val="24"/>
          <w:szCs w:val="24"/>
        </w:rPr>
        <w:t>Slovenian</w:t>
      </w:r>
      <w:r w:rsidRPr="00826507">
        <w:rPr>
          <w:rFonts w:cs="DaxlinePro-Regular"/>
          <w:color w:val="000000"/>
          <w:sz w:val="24"/>
          <w:szCs w:val="24"/>
        </w:rPr>
        <w:t xml:space="preserve"> ‘National program for preventing family violence 2009–2014’</w:t>
      </w:r>
      <w:r w:rsidRPr="00826507">
        <w:rPr>
          <w:rStyle w:val="A13"/>
          <w:sz w:val="24"/>
          <w:szCs w:val="24"/>
        </w:rPr>
        <w:t xml:space="preserve"> </w:t>
      </w:r>
      <w:r w:rsidRPr="00826507">
        <w:rPr>
          <w:rFonts w:cs="DaxlinePro-Regular"/>
          <w:color w:val="000000"/>
          <w:sz w:val="24"/>
          <w:szCs w:val="24"/>
        </w:rPr>
        <w:t>recognises that special pro</w:t>
      </w:r>
      <w:r w:rsidRPr="00826507">
        <w:rPr>
          <w:rFonts w:cs="DaxlinePro-Regular"/>
          <w:color w:val="000000"/>
          <w:sz w:val="24"/>
          <w:szCs w:val="24"/>
        </w:rPr>
        <w:softHyphen/>
        <w:t>grammes to support and assist persons with disabili</w:t>
      </w:r>
      <w:r w:rsidRPr="00826507">
        <w:rPr>
          <w:rFonts w:cs="DaxlinePro-Regular"/>
          <w:color w:val="000000"/>
          <w:sz w:val="24"/>
          <w:szCs w:val="24"/>
        </w:rPr>
        <w:softHyphen/>
        <w:t>ties who are victims of family violence have to be set up. Similarly, the ‘Resolution on a national plan on the prevention and combating of crime 2012–2016’ also rec</w:t>
      </w:r>
      <w:r w:rsidRPr="00826507">
        <w:rPr>
          <w:rFonts w:cs="DaxlinePro-Regular"/>
          <w:color w:val="000000"/>
          <w:sz w:val="24"/>
          <w:szCs w:val="24"/>
        </w:rPr>
        <w:softHyphen/>
        <w:t>ognises that special attention should be given to setting up support networks for persons with physical disabili</w:t>
      </w:r>
      <w:r w:rsidRPr="00826507">
        <w:rPr>
          <w:rFonts w:cs="DaxlinePro-Regular"/>
          <w:color w:val="000000"/>
          <w:sz w:val="24"/>
          <w:szCs w:val="24"/>
        </w:rPr>
        <w:softHyphen/>
        <w:t xml:space="preserve">ties and “persons with special needs” who are victims of family violence.” (p.44) </w:t>
      </w:r>
    </w:p>
    <w:p w14:paraId="0848230F" w14:textId="1A9A3938" w:rsidR="00191672" w:rsidRPr="00644CDA" w:rsidRDefault="00191672" w:rsidP="00826507">
      <w:pPr>
        <w:autoSpaceDE w:val="0"/>
        <w:autoSpaceDN w:val="0"/>
        <w:adjustRightInd w:val="0"/>
        <w:spacing w:after="100" w:line="185" w:lineRule="atLeast"/>
        <w:rPr>
          <w:rFonts w:eastAsia="DaxlinePro-Regular" w:cs="DaxlinePro-Regular"/>
          <w:color w:val="000000"/>
          <w:sz w:val="24"/>
          <w:szCs w:val="24"/>
        </w:rPr>
      </w:pPr>
      <w:r w:rsidRPr="00191672">
        <w:rPr>
          <w:rFonts w:eastAsia="DaxlinePro-RegularItalic" w:cs="DaxlinePro-RegularItalic"/>
          <w:i/>
          <w:iCs/>
          <w:color w:val="000000"/>
          <w:sz w:val="24"/>
          <w:szCs w:val="24"/>
        </w:rPr>
        <w:t xml:space="preserve">“For these children in </w:t>
      </w:r>
      <w:r w:rsidRPr="006A0640">
        <w:rPr>
          <w:rFonts w:eastAsia="DaxlinePro-RegularItalic" w:cs="DaxlinePro-RegularItalic"/>
          <w:b/>
          <w:i/>
          <w:iCs/>
          <w:color w:val="000000"/>
          <w:sz w:val="24"/>
          <w:szCs w:val="24"/>
        </w:rPr>
        <w:t>Slovenia</w:t>
      </w:r>
      <w:r w:rsidRPr="00191672">
        <w:rPr>
          <w:rFonts w:eastAsia="DaxlinePro-RegularItalic" w:cs="DaxlinePro-RegularItalic"/>
          <w:i/>
          <w:iCs/>
          <w:color w:val="000000"/>
          <w:sz w:val="24"/>
          <w:szCs w:val="24"/>
        </w:rPr>
        <w:t xml:space="preserve">, I’d say, you do not have professionals to be able to conduct interviews with them, which </w:t>
      </w:r>
      <w:proofErr w:type="gramStart"/>
      <w:r w:rsidRPr="00191672">
        <w:rPr>
          <w:rFonts w:eastAsia="DaxlinePro-RegularItalic" w:cs="DaxlinePro-RegularItalic"/>
          <w:i/>
          <w:iCs/>
          <w:color w:val="000000"/>
          <w:sz w:val="24"/>
          <w:szCs w:val="24"/>
        </w:rPr>
        <w:t>is</w:t>
      </w:r>
      <w:proofErr w:type="gramEnd"/>
      <w:r w:rsidRPr="00191672">
        <w:rPr>
          <w:rFonts w:eastAsia="DaxlinePro-RegularItalic" w:cs="DaxlinePro-RegularItalic"/>
          <w:i/>
          <w:iCs/>
          <w:color w:val="000000"/>
          <w:sz w:val="24"/>
          <w:szCs w:val="24"/>
        </w:rPr>
        <w:t xml:space="preserve"> the most important thing in recognising abuse. […] You know, sadly it’s going in two extreme directions. One extreme occurring lately is that in some cases they do not carry out an interview at all, they won’t work with such a young child. But you will not hear that, they do not say this out loud. And the other extreme is that of course they report on how they are equipped to conduct an interview with a three year old. You know, I was there myself and I know what it means.” </w:t>
      </w:r>
      <w:r w:rsidRPr="00826507">
        <w:rPr>
          <w:rFonts w:eastAsia="DaxlinePro-RegularItalic" w:cs="DaxlinePro-RegularItalic"/>
          <w:color w:val="000000"/>
          <w:sz w:val="24"/>
          <w:szCs w:val="24"/>
        </w:rPr>
        <w:t xml:space="preserve"> </w:t>
      </w:r>
      <w:r w:rsidRPr="00191672">
        <w:rPr>
          <w:rFonts w:eastAsia="DaxlinePro-Regular" w:cs="DaxlinePro-Regular"/>
          <w:color w:val="000000"/>
          <w:sz w:val="24"/>
          <w:szCs w:val="24"/>
        </w:rPr>
        <w:t xml:space="preserve">(NGO representative, </w:t>
      </w:r>
      <w:r w:rsidRPr="00191672">
        <w:rPr>
          <w:rFonts w:eastAsia="DaxlinePro-Regular" w:cs="DaxlinePro-Regular"/>
          <w:b/>
          <w:color w:val="000000"/>
          <w:sz w:val="24"/>
          <w:szCs w:val="24"/>
        </w:rPr>
        <w:t>Slovenia</w:t>
      </w:r>
      <w:r w:rsidRPr="00191672">
        <w:rPr>
          <w:rFonts w:eastAsia="DaxlinePro-Regular" w:cs="DaxlinePro-Regular"/>
          <w:color w:val="000000"/>
          <w:sz w:val="24"/>
          <w:szCs w:val="24"/>
        </w:rPr>
        <w:t>)</w:t>
      </w:r>
      <w:r w:rsidRPr="00826507">
        <w:rPr>
          <w:rFonts w:eastAsia="DaxlinePro-Regular" w:cs="DaxlinePro-Regular"/>
          <w:color w:val="000000"/>
          <w:sz w:val="24"/>
          <w:szCs w:val="24"/>
        </w:rPr>
        <w:t xml:space="preserve"> (p.47)</w:t>
      </w:r>
    </w:p>
    <w:p w14:paraId="232662B6" w14:textId="5A879469" w:rsidR="00281962" w:rsidRPr="00826507" w:rsidRDefault="006A0640" w:rsidP="00826507">
      <w:pPr>
        <w:pStyle w:val="Pa13"/>
        <w:spacing w:after="240"/>
        <w:rPr>
          <w:rFonts w:asciiTheme="minorHAnsi" w:hAnsiTheme="minorHAnsi" w:cs="DaxlinePro-Regular"/>
          <w:color w:val="000000"/>
        </w:rPr>
      </w:pPr>
      <w:r>
        <w:rPr>
          <w:rFonts w:asciiTheme="minorHAnsi" w:hAnsiTheme="minorHAnsi" w:cs="DaxlinePro-Regular"/>
          <w:color w:val="000000"/>
        </w:rPr>
        <w:t>“</w:t>
      </w:r>
      <w:r w:rsidR="00191672" w:rsidRPr="00826507">
        <w:rPr>
          <w:rFonts w:asciiTheme="minorHAnsi" w:hAnsiTheme="minorHAnsi" w:cs="DaxlinePro-Regular"/>
          <w:color w:val="000000"/>
        </w:rPr>
        <w:t xml:space="preserve">A </w:t>
      </w:r>
      <w:r w:rsidR="00191672" w:rsidRPr="00826507">
        <w:rPr>
          <w:rFonts w:asciiTheme="minorHAnsi" w:hAnsiTheme="minorHAnsi" w:cs="DaxlinePro-Regular"/>
          <w:b/>
          <w:color w:val="000000"/>
        </w:rPr>
        <w:t>Slovenian</w:t>
      </w:r>
      <w:r w:rsidR="00191672" w:rsidRPr="00826507">
        <w:rPr>
          <w:rFonts w:asciiTheme="minorHAnsi" w:hAnsiTheme="minorHAnsi" w:cs="DaxlinePro-Regular"/>
          <w:color w:val="000000"/>
        </w:rPr>
        <w:t xml:space="preserve"> NGO representative drew particular attention to mothers, who are often most overburdened with care and cannot devote any attention to other family members. This can lead to different forms of family violence, for example, hostile reactions by the mother towards the child with disability, violence by the father towards the mother, or neglect of the siblings because there is a child with disability in the family.</w:t>
      </w:r>
      <w:r>
        <w:rPr>
          <w:rFonts w:asciiTheme="minorHAnsi" w:hAnsiTheme="minorHAnsi" w:cs="DaxlinePro-Regular"/>
          <w:color w:val="000000"/>
        </w:rPr>
        <w:t>”</w:t>
      </w:r>
      <w:r w:rsidR="00191672" w:rsidRPr="00826507">
        <w:rPr>
          <w:rFonts w:asciiTheme="minorHAnsi" w:hAnsiTheme="minorHAnsi" w:cs="DaxlinePro-Regular"/>
          <w:i/>
          <w:iCs/>
          <w:color w:val="000000"/>
        </w:rPr>
        <w:t xml:space="preserve"> </w:t>
      </w:r>
      <w:r w:rsidR="00821FCD" w:rsidRPr="00826507">
        <w:rPr>
          <w:rFonts w:asciiTheme="minorHAnsi" w:hAnsiTheme="minorHAnsi" w:cs="DaxlinePro-Regular"/>
          <w:i/>
          <w:iCs/>
          <w:color w:val="000000"/>
        </w:rPr>
        <w:t>(p.67)</w:t>
      </w:r>
    </w:p>
    <w:p w14:paraId="44834345" w14:textId="640E9B1F" w:rsidR="00821FCD" w:rsidRPr="00826507" w:rsidRDefault="006A0640" w:rsidP="00826507">
      <w:pPr>
        <w:pStyle w:val="Pa13"/>
        <w:spacing w:after="240"/>
        <w:rPr>
          <w:rFonts w:asciiTheme="minorHAnsi" w:hAnsiTheme="minorHAnsi" w:cs="DaxlinePro-RegularItalic"/>
          <w:i/>
          <w:iCs/>
          <w:color w:val="000000"/>
        </w:rPr>
      </w:pPr>
      <w:r>
        <w:rPr>
          <w:rFonts w:asciiTheme="minorHAnsi" w:hAnsiTheme="minorHAnsi" w:cs="DaxlinePro-Regular"/>
          <w:color w:val="000000"/>
        </w:rPr>
        <w:t>“</w:t>
      </w:r>
      <w:r w:rsidR="00821FCD" w:rsidRPr="00826507">
        <w:rPr>
          <w:rFonts w:asciiTheme="minorHAnsi" w:hAnsiTheme="minorHAnsi" w:cs="DaxlinePro-Regular"/>
          <w:color w:val="000000"/>
        </w:rPr>
        <w:t xml:space="preserve">Some stakeholders, notably in Bulgaria, Lithuania and </w:t>
      </w:r>
      <w:r w:rsidR="00821FCD" w:rsidRPr="006A0640">
        <w:rPr>
          <w:rFonts w:asciiTheme="minorHAnsi" w:hAnsiTheme="minorHAnsi" w:cs="DaxlinePro-Regular"/>
          <w:b/>
          <w:color w:val="000000"/>
        </w:rPr>
        <w:t>Slovenia</w:t>
      </w:r>
      <w:r w:rsidR="00821FCD" w:rsidRPr="00826507">
        <w:rPr>
          <w:rFonts w:asciiTheme="minorHAnsi" w:hAnsiTheme="minorHAnsi" w:cs="DaxlinePro-Regular"/>
          <w:color w:val="000000"/>
        </w:rPr>
        <w:t>, identified the isolation of children with dis</w:t>
      </w:r>
      <w:r w:rsidR="00821FCD" w:rsidRPr="00826507">
        <w:rPr>
          <w:rFonts w:asciiTheme="minorHAnsi" w:hAnsiTheme="minorHAnsi" w:cs="DaxlinePro-Regular"/>
          <w:color w:val="000000"/>
        </w:rPr>
        <w:softHyphen/>
        <w:t>abilities in institutional care as a form of violence. They further indicated that there is a general lack of aware</w:t>
      </w:r>
      <w:r w:rsidR="00821FCD" w:rsidRPr="00826507">
        <w:rPr>
          <w:rFonts w:asciiTheme="minorHAnsi" w:hAnsiTheme="minorHAnsi" w:cs="DaxlinePro-Regular"/>
          <w:color w:val="000000"/>
        </w:rPr>
        <w:softHyphen/>
        <w:t xml:space="preserve">ness about certain forms of violence and neglect, such </w:t>
      </w:r>
      <w:r w:rsidR="00821FCD" w:rsidRPr="00826507">
        <w:rPr>
          <w:rFonts w:asciiTheme="minorHAnsi" w:hAnsiTheme="minorHAnsi" w:cs="DaxlinePro-Regular"/>
          <w:color w:val="000000"/>
        </w:rPr>
        <w:lastRenderedPageBreak/>
        <w:t>as segregation and refusal of care, which also signifi</w:t>
      </w:r>
      <w:r w:rsidR="00821FCD" w:rsidRPr="00826507">
        <w:rPr>
          <w:rFonts w:asciiTheme="minorHAnsi" w:hAnsiTheme="minorHAnsi" w:cs="DaxlinePro-Regular"/>
          <w:color w:val="000000"/>
        </w:rPr>
        <w:softHyphen/>
        <w:t>cantly affect children’s development.</w:t>
      </w:r>
      <w:r>
        <w:rPr>
          <w:rFonts w:asciiTheme="minorHAnsi" w:hAnsiTheme="minorHAnsi" w:cs="DaxlinePro-Regular"/>
          <w:color w:val="000000"/>
        </w:rPr>
        <w:t xml:space="preserve">” </w:t>
      </w:r>
      <w:r w:rsidR="00821FCD" w:rsidRPr="00826507">
        <w:rPr>
          <w:rFonts w:asciiTheme="minorHAnsi" w:hAnsiTheme="minorHAnsi" w:cs="DaxlinePro-Regular"/>
          <w:color w:val="000000"/>
        </w:rPr>
        <w:t>(p.76)</w:t>
      </w:r>
    </w:p>
    <w:p w14:paraId="3FB62175" w14:textId="7BB48E3A" w:rsidR="0039102D" w:rsidRPr="00826507" w:rsidRDefault="00821FCD" w:rsidP="00826507">
      <w:pPr>
        <w:rPr>
          <w:rFonts w:cs="DaxlinePro-Regular"/>
          <w:color w:val="000000"/>
          <w:sz w:val="24"/>
          <w:szCs w:val="24"/>
        </w:rPr>
      </w:pPr>
      <w:r w:rsidRPr="00826507">
        <w:rPr>
          <w:rFonts w:cs="DaxlinePro-Regular"/>
          <w:color w:val="000000"/>
          <w:sz w:val="24"/>
          <w:szCs w:val="24"/>
        </w:rPr>
        <w:t xml:space="preserve">“Respondents – notably in Austria, the Czech Republic, Italy, </w:t>
      </w:r>
      <w:r w:rsidRPr="004F43C9">
        <w:rPr>
          <w:rFonts w:cs="DaxlinePro-Regular"/>
          <w:b/>
          <w:color w:val="000000"/>
          <w:sz w:val="24"/>
          <w:szCs w:val="24"/>
        </w:rPr>
        <w:t>Slovenia</w:t>
      </w:r>
      <w:r w:rsidRPr="00826507">
        <w:rPr>
          <w:rFonts w:cs="DaxlinePro-Regular"/>
          <w:color w:val="000000"/>
          <w:sz w:val="24"/>
          <w:szCs w:val="24"/>
        </w:rPr>
        <w:t xml:space="preserve"> and Poland – argued that inspections of facilities for children with disabilities are often a mere formality, and do not adequately focus on monitoring the quality of care and on preventing abuse […]A public authority representative from </w:t>
      </w:r>
      <w:r w:rsidRPr="00826507">
        <w:rPr>
          <w:rFonts w:cs="DaxlinePro-Regular"/>
          <w:b/>
          <w:color w:val="000000"/>
          <w:sz w:val="24"/>
          <w:szCs w:val="24"/>
        </w:rPr>
        <w:t xml:space="preserve">Slovenia </w:t>
      </w:r>
      <w:r w:rsidRPr="00826507">
        <w:rPr>
          <w:rFonts w:cs="DaxlinePro-Regular"/>
          <w:color w:val="000000"/>
          <w:sz w:val="24"/>
          <w:szCs w:val="24"/>
        </w:rPr>
        <w:t>raised similar concerns, noting that inspections predomi</w:t>
      </w:r>
      <w:r w:rsidRPr="00826507">
        <w:rPr>
          <w:rFonts w:cs="DaxlinePro-Regular"/>
          <w:color w:val="000000"/>
          <w:sz w:val="24"/>
          <w:szCs w:val="24"/>
        </w:rPr>
        <w:softHyphen/>
        <w:t>nantly focus on bureaucracy.” (p.77)</w:t>
      </w:r>
    </w:p>
    <w:p w14:paraId="492E608B" w14:textId="637FBF62" w:rsidR="0039102D" w:rsidRPr="00826507" w:rsidRDefault="006A0640" w:rsidP="00826507">
      <w:pPr>
        <w:rPr>
          <w:rFonts w:cs="DaxlinePro-Regular"/>
          <w:color w:val="000000"/>
          <w:sz w:val="24"/>
          <w:szCs w:val="24"/>
        </w:rPr>
      </w:pPr>
      <w:r>
        <w:rPr>
          <w:rFonts w:cs="DaxlinePro-Regular"/>
          <w:color w:val="000000"/>
          <w:sz w:val="24"/>
          <w:szCs w:val="24"/>
        </w:rPr>
        <w:t>“</w:t>
      </w:r>
      <w:r w:rsidR="0039102D" w:rsidRPr="00826507">
        <w:rPr>
          <w:rFonts w:cs="DaxlinePro-Regular"/>
          <w:color w:val="000000"/>
          <w:sz w:val="24"/>
          <w:szCs w:val="24"/>
        </w:rPr>
        <w:t>Finally, some respondents pointed out that the monitor</w:t>
      </w:r>
      <w:r w:rsidR="0039102D" w:rsidRPr="00826507">
        <w:rPr>
          <w:rFonts w:cs="DaxlinePro-Regular"/>
          <w:color w:val="000000"/>
          <w:sz w:val="24"/>
          <w:szCs w:val="24"/>
        </w:rPr>
        <w:softHyphen/>
        <w:t>ing mechanisms lack independence, and fall short of ful</w:t>
      </w:r>
      <w:r w:rsidR="0039102D" w:rsidRPr="00826507">
        <w:rPr>
          <w:rFonts w:cs="DaxlinePro-Regular"/>
          <w:color w:val="000000"/>
          <w:sz w:val="24"/>
          <w:szCs w:val="24"/>
        </w:rPr>
        <w:softHyphen/>
        <w:t xml:space="preserve">filling their obligation to provide effective monitoring by independent institutions. For example, a representative from </w:t>
      </w:r>
      <w:r w:rsidR="0039102D" w:rsidRPr="00826507">
        <w:rPr>
          <w:rFonts w:cs="DaxlinePro-Regular"/>
          <w:b/>
          <w:color w:val="000000"/>
          <w:sz w:val="24"/>
          <w:szCs w:val="24"/>
        </w:rPr>
        <w:t>Slovenia</w:t>
      </w:r>
      <w:r w:rsidR="0039102D" w:rsidRPr="00826507">
        <w:rPr>
          <w:rFonts w:cs="DaxlinePro-Regular"/>
          <w:color w:val="000000"/>
          <w:sz w:val="24"/>
          <w:szCs w:val="24"/>
        </w:rPr>
        <w:t xml:space="preserve"> pointed out that the national inspector</w:t>
      </w:r>
      <w:r w:rsidR="0039102D" w:rsidRPr="00826507">
        <w:rPr>
          <w:rFonts w:cs="DaxlinePro-Regular"/>
          <w:color w:val="000000"/>
          <w:sz w:val="24"/>
          <w:szCs w:val="24"/>
        </w:rPr>
        <w:softHyphen/>
        <w:t xml:space="preserve">ates tasked with monitoring institutions in the country operate under the auspices of a ministry. “None of the inspectorates are independent. Also, on the appellate level, if they build some sort of measures and a person, institution or anyone appeals, the measure can be repealed by the ministry.” (NHRB representative, </w:t>
      </w:r>
      <w:r w:rsidR="0039102D" w:rsidRPr="00826507">
        <w:rPr>
          <w:rFonts w:cs="DaxlinePro-Regular"/>
          <w:b/>
          <w:color w:val="000000"/>
          <w:sz w:val="24"/>
          <w:szCs w:val="24"/>
        </w:rPr>
        <w:t>Slovenia</w:t>
      </w:r>
      <w:r w:rsidR="0039102D" w:rsidRPr="00826507">
        <w:rPr>
          <w:rFonts w:cs="DaxlinePro-Regular"/>
          <w:color w:val="000000"/>
          <w:sz w:val="24"/>
          <w:szCs w:val="24"/>
        </w:rPr>
        <w:t>) (p.78)</w:t>
      </w:r>
    </w:p>
    <w:p w14:paraId="578307FA" w14:textId="7A0B3E27" w:rsidR="0039102D" w:rsidRDefault="0039102D" w:rsidP="00826507">
      <w:pPr>
        <w:rPr>
          <w:rStyle w:val="A7"/>
          <w:sz w:val="24"/>
          <w:szCs w:val="24"/>
        </w:rPr>
      </w:pPr>
      <w:r w:rsidRPr="00826507">
        <w:rPr>
          <w:rStyle w:val="A7"/>
          <w:sz w:val="24"/>
          <w:szCs w:val="24"/>
        </w:rPr>
        <w:t xml:space="preserve">“Many respondents, notably from Austria, Denmark, Italy, the Netherlands, </w:t>
      </w:r>
      <w:r w:rsidRPr="006A0640">
        <w:rPr>
          <w:rStyle w:val="A7"/>
          <w:b/>
          <w:sz w:val="24"/>
          <w:szCs w:val="24"/>
        </w:rPr>
        <w:t>Slovenia</w:t>
      </w:r>
      <w:r w:rsidRPr="00826507">
        <w:rPr>
          <w:rStyle w:val="A7"/>
          <w:sz w:val="24"/>
          <w:szCs w:val="24"/>
        </w:rPr>
        <w:t>, Sweden and the United Kingdom, identified gender as an important factor increasing the vulnerability of children with disabilities and their risk of violence. Specifically, respondents noted that girls with intellectual or psychosocial disabilities are at risk of becoming victims of sexual abuse.” (p.83)</w:t>
      </w:r>
    </w:p>
    <w:p w14:paraId="2F849344" w14:textId="178D18FA" w:rsidR="0039102D" w:rsidRPr="00826507" w:rsidRDefault="0039102D" w:rsidP="00826507">
      <w:pPr>
        <w:rPr>
          <w:rStyle w:val="A7"/>
          <w:sz w:val="24"/>
          <w:szCs w:val="24"/>
        </w:rPr>
      </w:pPr>
      <w:r w:rsidRPr="00826507">
        <w:rPr>
          <w:rStyle w:val="SubtleEmphasis"/>
          <w:sz w:val="24"/>
          <w:szCs w:val="24"/>
        </w:rPr>
        <w:t>Table 3: Examples of awareness</w:t>
      </w:r>
      <w:r w:rsidRPr="00826507">
        <w:rPr>
          <w:rStyle w:val="SubtleEmphasis"/>
          <w:rFonts w:ascii="Cambria Math" w:hAnsi="Cambria Math" w:cs="Cambria Math"/>
          <w:sz w:val="24"/>
          <w:szCs w:val="24"/>
        </w:rPr>
        <w:t>‑</w:t>
      </w:r>
      <w:r w:rsidRPr="00826507">
        <w:rPr>
          <w:rStyle w:val="SubtleEmphasis"/>
          <w:sz w:val="24"/>
          <w:szCs w:val="24"/>
        </w:rPr>
        <w:t>raising programmes, projects and campaigns</w:t>
      </w:r>
    </w:p>
    <w:tbl>
      <w:tblPr>
        <w:tblStyle w:val="TableGrid"/>
        <w:tblW w:w="0" w:type="auto"/>
        <w:tblInd w:w="-147" w:type="dxa"/>
        <w:tblLook w:val="04A0" w:firstRow="1" w:lastRow="0" w:firstColumn="1" w:lastColumn="0" w:noHBand="0" w:noVBand="1"/>
      </w:tblPr>
      <w:tblGrid>
        <w:gridCol w:w="2410"/>
        <w:gridCol w:w="3747"/>
        <w:gridCol w:w="3006"/>
      </w:tblGrid>
      <w:tr w:rsidR="0039102D" w:rsidRPr="00826507" w14:paraId="3E2ECC42" w14:textId="77777777" w:rsidTr="00644CDA">
        <w:tc>
          <w:tcPr>
            <w:tcW w:w="2410" w:type="dxa"/>
          </w:tcPr>
          <w:p w14:paraId="3F5D06EF" w14:textId="646D1CE8" w:rsidR="0039102D" w:rsidRPr="00644CDA" w:rsidRDefault="0039102D" w:rsidP="00826507">
            <w:pPr>
              <w:spacing w:after="240"/>
              <w:jc w:val="center"/>
              <w:rPr>
                <w:rStyle w:val="A7"/>
                <w:b/>
                <w:sz w:val="24"/>
                <w:szCs w:val="24"/>
              </w:rPr>
            </w:pPr>
            <w:r w:rsidRPr="00644CDA">
              <w:rPr>
                <w:rStyle w:val="A7"/>
                <w:b/>
                <w:sz w:val="24"/>
                <w:szCs w:val="24"/>
              </w:rPr>
              <w:t>Name of programme</w:t>
            </w:r>
          </w:p>
        </w:tc>
        <w:tc>
          <w:tcPr>
            <w:tcW w:w="3747" w:type="dxa"/>
          </w:tcPr>
          <w:p w14:paraId="6EDFE134" w14:textId="48FAEBD6" w:rsidR="0039102D" w:rsidRPr="00644CDA" w:rsidRDefault="0039102D" w:rsidP="00826507">
            <w:pPr>
              <w:spacing w:after="240"/>
              <w:jc w:val="center"/>
              <w:rPr>
                <w:rStyle w:val="A7"/>
                <w:b/>
                <w:sz w:val="24"/>
                <w:szCs w:val="24"/>
              </w:rPr>
            </w:pPr>
            <w:r w:rsidRPr="00644CDA">
              <w:rPr>
                <w:rStyle w:val="A7"/>
                <w:b/>
                <w:sz w:val="24"/>
                <w:szCs w:val="24"/>
              </w:rPr>
              <w:t>Description</w:t>
            </w:r>
          </w:p>
        </w:tc>
        <w:tc>
          <w:tcPr>
            <w:tcW w:w="3006" w:type="dxa"/>
          </w:tcPr>
          <w:p w14:paraId="1DCF8BB1" w14:textId="5D365EBC" w:rsidR="0039102D" w:rsidRPr="00644CDA" w:rsidRDefault="0039102D" w:rsidP="00826507">
            <w:pPr>
              <w:spacing w:after="240"/>
              <w:jc w:val="center"/>
              <w:rPr>
                <w:rStyle w:val="A7"/>
                <w:b/>
                <w:sz w:val="24"/>
                <w:szCs w:val="24"/>
              </w:rPr>
            </w:pPr>
            <w:r w:rsidRPr="00644CDA">
              <w:rPr>
                <w:rStyle w:val="A7"/>
                <w:b/>
                <w:sz w:val="24"/>
                <w:szCs w:val="24"/>
              </w:rPr>
              <w:t>Reference and link</w:t>
            </w:r>
          </w:p>
        </w:tc>
      </w:tr>
      <w:tr w:rsidR="0039102D" w:rsidRPr="00826507" w14:paraId="108BF61B" w14:textId="77777777" w:rsidTr="00644CDA">
        <w:tc>
          <w:tcPr>
            <w:tcW w:w="2410" w:type="dxa"/>
          </w:tcPr>
          <w:p w14:paraId="245EDA58" w14:textId="6D061350" w:rsidR="0039102D" w:rsidRPr="00826507" w:rsidRDefault="0039102D" w:rsidP="00826507">
            <w:pPr>
              <w:spacing w:after="240"/>
              <w:rPr>
                <w:rStyle w:val="A7"/>
                <w:sz w:val="24"/>
                <w:szCs w:val="24"/>
              </w:rPr>
            </w:pPr>
            <w:r w:rsidRPr="00826507">
              <w:rPr>
                <w:rStyle w:val="A7"/>
                <w:sz w:val="24"/>
                <w:szCs w:val="24"/>
              </w:rPr>
              <w:t>Tackling stereotypes and prejudice against people with disabilities in schools</w:t>
            </w:r>
          </w:p>
        </w:tc>
        <w:tc>
          <w:tcPr>
            <w:tcW w:w="3747" w:type="dxa"/>
          </w:tcPr>
          <w:p w14:paraId="71206EEA" w14:textId="77777777" w:rsidR="0039102D" w:rsidRPr="00826507" w:rsidRDefault="0039102D" w:rsidP="00826507">
            <w:pPr>
              <w:spacing w:after="240"/>
              <w:rPr>
                <w:rStyle w:val="A7"/>
                <w:sz w:val="24"/>
                <w:szCs w:val="24"/>
              </w:rPr>
            </w:pPr>
            <w:r w:rsidRPr="00826507">
              <w:rPr>
                <w:rStyle w:val="A7"/>
                <w:sz w:val="24"/>
                <w:szCs w:val="24"/>
              </w:rPr>
              <w:t xml:space="preserve">The Slovenian DPO ‘Association for the Theory and Culture of Handicap’ carried out an awareness raising campaign in schools and kindergartens, promoting diversity and mutual respect from early age and countering stereotypes and prejudice against people with disabilities. </w:t>
            </w:r>
          </w:p>
          <w:p w14:paraId="65EB17B1" w14:textId="044BEB91" w:rsidR="0039102D" w:rsidRPr="00826507" w:rsidRDefault="0039102D" w:rsidP="00826507">
            <w:pPr>
              <w:spacing w:after="240"/>
              <w:rPr>
                <w:rStyle w:val="A7"/>
                <w:sz w:val="24"/>
                <w:szCs w:val="24"/>
              </w:rPr>
            </w:pPr>
            <w:r w:rsidRPr="00826507">
              <w:rPr>
                <w:rStyle w:val="A7"/>
                <w:sz w:val="24"/>
                <w:szCs w:val="24"/>
              </w:rPr>
              <w:t xml:space="preserve">Trainers with disabilities carried out workshops, drawing on their personal experiences with discrimination, stereotypes and prejudice. In their evaluations, teachers indicated that, for many of the children, this was their first </w:t>
            </w:r>
            <w:r w:rsidRPr="00826507">
              <w:rPr>
                <w:rStyle w:val="A7"/>
                <w:sz w:val="24"/>
                <w:szCs w:val="24"/>
              </w:rPr>
              <w:lastRenderedPageBreak/>
              <w:t>contact with a person with disability and noted that such activities foster understanding of disability.</w:t>
            </w:r>
          </w:p>
        </w:tc>
        <w:tc>
          <w:tcPr>
            <w:tcW w:w="3006" w:type="dxa"/>
          </w:tcPr>
          <w:p w14:paraId="44EF4655" w14:textId="3D94EEC1" w:rsidR="0039102D" w:rsidRPr="00826507" w:rsidRDefault="0039102D" w:rsidP="00826507">
            <w:pPr>
              <w:spacing w:after="240"/>
              <w:rPr>
                <w:rStyle w:val="A7"/>
                <w:sz w:val="24"/>
                <w:szCs w:val="24"/>
              </w:rPr>
            </w:pPr>
            <w:r w:rsidRPr="00826507">
              <w:rPr>
                <w:rStyle w:val="A7"/>
                <w:sz w:val="24"/>
                <w:szCs w:val="24"/>
              </w:rPr>
              <w:lastRenderedPageBreak/>
              <w:t xml:space="preserve">Slovenia, Association for the Theory and Culture of Handicap (Društvo za teroijo in kulturo hendikepa), campaign ‘Botonček’ (Bontonček), see: </w:t>
            </w:r>
            <w:hyperlink r:id="rId15" w:history="1">
              <w:r w:rsidRPr="00826507">
                <w:rPr>
                  <w:rStyle w:val="Hyperlink"/>
                  <w:rFonts w:cs="DaxlinePro-Regular"/>
                  <w:sz w:val="24"/>
                  <w:szCs w:val="24"/>
                </w:rPr>
                <w:t>http://www.yhd-drustvo.si/bontoncek-166.html</w:t>
              </w:r>
            </w:hyperlink>
            <w:r w:rsidRPr="00826507">
              <w:rPr>
                <w:rStyle w:val="A7"/>
                <w:sz w:val="24"/>
                <w:szCs w:val="24"/>
              </w:rPr>
              <w:t xml:space="preserve">. (p.87)    </w:t>
            </w:r>
          </w:p>
          <w:p w14:paraId="06F8C436" w14:textId="409699D4" w:rsidR="0039102D" w:rsidRPr="00826507" w:rsidRDefault="0039102D" w:rsidP="00826507">
            <w:pPr>
              <w:spacing w:after="240"/>
              <w:rPr>
                <w:rStyle w:val="A7"/>
                <w:sz w:val="24"/>
                <w:szCs w:val="24"/>
              </w:rPr>
            </w:pPr>
          </w:p>
        </w:tc>
      </w:tr>
    </w:tbl>
    <w:p w14:paraId="20670D54" w14:textId="50681CA4" w:rsidR="0039102D" w:rsidRPr="00826507" w:rsidRDefault="0039102D" w:rsidP="00826507">
      <w:pPr>
        <w:rPr>
          <w:rStyle w:val="A7"/>
          <w:sz w:val="24"/>
          <w:szCs w:val="24"/>
        </w:rPr>
      </w:pPr>
      <w:r w:rsidRPr="00826507">
        <w:rPr>
          <w:rFonts w:cs="DaxlinePro-Regular"/>
          <w:color w:val="000000"/>
          <w:sz w:val="24"/>
          <w:szCs w:val="24"/>
        </w:rPr>
        <w:lastRenderedPageBreak/>
        <w:t>“Respondents – in the Czech Republic, Denmark, Lith</w:t>
      </w:r>
      <w:r w:rsidRPr="00826507">
        <w:rPr>
          <w:rFonts w:cs="DaxlinePro-Regular"/>
          <w:color w:val="000000"/>
          <w:sz w:val="24"/>
          <w:szCs w:val="24"/>
        </w:rPr>
        <w:softHyphen/>
        <w:t xml:space="preserve">uania, the Netherlands, Poland, Portugal, </w:t>
      </w:r>
      <w:r w:rsidRPr="00826507">
        <w:rPr>
          <w:rFonts w:cs="DaxlinePro-Regular"/>
          <w:b/>
          <w:color w:val="000000"/>
          <w:sz w:val="24"/>
          <w:szCs w:val="24"/>
        </w:rPr>
        <w:t>Slovenia</w:t>
      </w:r>
      <w:r w:rsidRPr="00826507">
        <w:rPr>
          <w:rFonts w:cs="DaxlinePro-Regular"/>
          <w:color w:val="000000"/>
          <w:sz w:val="24"/>
          <w:szCs w:val="24"/>
        </w:rPr>
        <w:t>, Sweden and the United Kingdom, for example – iden</w:t>
      </w:r>
      <w:r w:rsidRPr="00826507">
        <w:rPr>
          <w:rFonts w:cs="DaxlinePro-Regular"/>
          <w:color w:val="000000"/>
          <w:sz w:val="24"/>
          <w:szCs w:val="24"/>
        </w:rPr>
        <w:softHyphen/>
        <w:t>tified child helplines as a common form of help and support service.” (p.91)</w:t>
      </w:r>
    </w:p>
    <w:p w14:paraId="1C5C4832" w14:textId="69782B7E" w:rsidR="0039102D" w:rsidRPr="00826507" w:rsidRDefault="0039102D" w:rsidP="00826507">
      <w:pPr>
        <w:rPr>
          <w:rStyle w:val="SubtleEmphasis"/>
          <w:sz w:val="24"/>
          <w:szCs w:val="24"/>
        </w:rPr>
      </w:pPr>
      <w:r w:rsidRPr="00826507">
        <w:rPr>
          <w:rStyle w:val="SubtleEmphasis"/>
          <w:sz w:val="24"/>
          <w:szCs w:val="24"/>
        </w:rPr>
        <w:t xml:space="preserve">Table 6: Family support </w:t>
      </w:r>
      <w:r w:rsidR="00221FCC" w:rsidRPr="00826507">
        <w:rPr>
          <w:rStyle w:val="SubtleEmphasis"/>
          <w:sz w:val="24"/>
          <w:szCs w:val="24"/>
        </w:rPr>
        <w:t>program</w:t>
      </w:r>
      <w:r w:rsidRPr="00826507">
        <w:rPr>
          <w:rStyle w:val="SubtleEmphasis"/>
          <w:sz w:val="24"/>
          <w:szCs w:val="24"/>
        </w:rPr>
        <w:t>mes</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3848"/>
        <w:gridCol w:w="2973"/>
      </w:tblGrid>
      <w:tr w:rsidR="007F0772" w:rsidRPr="00826507" w14:paraId="54945A6B" w14:textId="77777777" w:rsidTr="00221FCC">
        <w:trPr>
          <w:trHeight w:val="734"/>
        </w:trPr>
        <w:tc>
          <w:tcPr>
            <w:tcW w:w="2088" w:type="dxa"/>
          </w:tcPr>
          <w:p w14:paraId="5D923D2A" w14:textId="3A6ACD66" w:rsidR="007F0772" w:rsidRPr="00826507" w:rsidRDefault="007F0772" w:rsidP="00826507">
            <w:pPr>
              <w:autoSpaceDE w:val="0"/>
              <w:autoSpaceDN w:val="0"/>
              <w:adjustRightInd w:val="0"/>
              <w:spacing w:before="120" w:after="120" w:line="185" w:lineRule="atLeast"/>
              <w:jc w:val="center"/>
              <w:rPr>
                <w:rFonts w:cs="DaxlinePro-Bold"/>
                <w:b/>
                <w:bCs/>
                <w:color w:val="000000"/>
                <w:sz w:val="24"/>
                <w:szCs w:val="24"/>
              </w:rPr>
            </w:pPr>
            <w:r w:rsidRPr="00826507">
              <w:rPr>
                <w:rStyle w:val="A20"/>
                <w:b w:val="0"/>
                <w:sz w:val="24"/>
                <w:szCs w:val="24"/>
              </w:rPr>
              <w:t>Name</w:t>
            </w:r>
          </w:p>
        </w:tc>
        <w:tc>
          <w:tcPr>
            <w:tcW w:w="3848" w:type="dxa"/>
          </w:tcPr>
          <w:p w14:paraId="4E416207" w14:textId="2E56884C" w:rsidR="007F0772" w:rsidRPr="00826507" w:rsidRDefault="007F0772" w:rsidP="00826507">
            <w:pPr>
              <w:autoSpaceDE w:val="0"/>
              <w:autoSpaceDN w:val="0"/>
              <w:adjustRightInd w:val="0"/>
              <w:spacing w:before="120" w:after="120" w:line="185" w:lineRule="atLeast"/>
              <w:jc w:val="center"/>
              <w:rPr>
                <w:rFonts w:eastAsia="DaxlinePro-Regular" w:cs="DaxlinePro-Regular"/>
                <w:b/>
                <w:color w:val="000000"/>
                <w:sz w:val="24"/>
                <w:szCs w:val="24"/>
              </w:rPr>
            </w:pPr>
            <w:r w:rsidRPr="00826507">
              <w:rPr>
                <w:rStyle w:val="A20"/>
                <w:b w:val="0"/>
                <w:sz w:val="24"/>
                <w:szCs w:val="24"/>
              </w:rPr>
              <w:t>Description</w:t>
            </w:r>
          </w:p>
        </w:tc>
        <w:tc>
          <w:tcPr>
            <w:tcW w:w="2973" w:type="dxa"/>
          </w:tcPr>
          <w:p w14:paraId="3D5A845B" w14:textId="48B795B7" w:rsidR="007F0772" w:rsidRPr="00826507" w:rsidRDefault="007F0772" w:rsidP="00826507">
            <w:pPr>
              <w:autoSpaceDE w:val="0"/>
              <w:autoSpaceDN w:val="0"/>
              <w:adjustRightInd w:val="0"/>
              <w:spacing w:before="120" w:after="120" w:line="185" w:lineRule="atLeast"/>
              <w:jc w:val="center"/>
              <w:rPr>
                <w:rFonts w:eastAsia="DaxlinePro-Regular" w:cs="DaxlinePro-Regular"/>
                <w:b/>
                <w:color w:val="000000"/>
                <w:sz w:val="24"/>
                <w:szCs w:val="24"/>
              </w:rPr>
            </w:pPr>
            <w:r w:rsidRPr="00826507">
              <w:rPr>
                <w:rStyle w:val="A20"/>
                <w:b w:val="0"/>
                <w:sz w:val="24"/>
                <w:szCs w:val="24"/>
              </w:rPr>
              <w:t>Reference and link</w:t>
            </w:r>
          </w:p>
        </w:tc>
      </w:tr>
      <w:tr w:rsidR="007F0772" w:rsidRPr="00826507" w14:paraId="500965CA" w14:textId="77777777" w:rsidTr="00221FCC">
        <w:trPr>
          <w:trHeight w:val="841"/>
        </w:trPr>
        <w:tc>
          <w:tcPr>
            <w:tcW w:w="2088" w:type="dxa"/>
          </w:tcPr>
          <w:p w14:paraId="2313D725" w14:textId="77777777" w:rsidR="007F0772" w:rsidRPr="00826507" w:rsidRDefault="007F0772" w:rsidP="00826507">
            <w:pPr>
              <w:autoSpaceDE w:val="0"/>
              <w:autoSpaceDN w:val="0"/>
              <w:adjustRightInd w:val="0"/>
              <w:spacing w:before="120" w:after="120" w:line="185" w:lineRule="atLeast"/>
              <w:rPr>
                <w:rFonts w:cs="DaxlinePro-Bold"/>
                <w:b/>
                <w:bCs/>
                <w:color w:val="000000"/>
                <w:sz w:val="24"/>
                <w:szCs w:val="24"/>
              </w:rPr>
            </w:pPr>
            <w:r w:rsidRPr="00826507">
              <w:rPr>
                <w:rFonts w:cs="DaxlinePro-Bold"/>
                <w:b/>
                <w:bCs/>
                <w:color w:val="000000"/>
                <w:sz w:val="24"/>
                <w:szCs w:val="24"/>
              </w:rPr>
              <w:t>House of Trust</w:t>
            </w:r>
          </w:p>
          <w:p w14:paraId="4B3168AD" w14:textId="77777777" w:rsidR="007F0772" w:rsidRPr="00826507" w:rsidRDefault="007F0772" w:rsidP="00826507">
            <w:pPr>
              <w:autoSpaceDE w:val="0"/>
              <w:autoSpaceDN w:val="0"/>
              <w:adjustRightInd w:val="0"/>
              <w:spacing w:before="120" w:after="120" w:line="185" w:lineRule="atLeast"/>
              <w:rPr>
                <w:rFonts w:cs="DaxlinePro-Bold"/>
                <w:b/>
                <w:bCs/>
                <w:color w:val="000000"/>
                <w:sz w:val="24"/>
                <w:szCs w:val="24"/>
              </w:rPr>
            </w:pPr>
            <w:r w:rsidRPr="00826507">
              <w:rPr>
                <w:rFonts w:cs="DaxlinePro-Bold"/>
                <w:b/>
                <w:bCs/>
                <w:color w:val="000000"/>
                <w:sz w:val="24"/>
                <w:szCs w:val="24"/>
              </w:rPr>
              <w:t>victims of</w:t>
            </w:r>
          </w:p>
          <w:p w14:paraId="6ECC6A48" w14:textId="4189A491" w:rsidR="007F0772" w:rsidRPr="00826507" w:rsidRDefault="007F0772" w:rsidP="00826507">
            <w:pPr>
              <w:autoSpaceDE w:val="0"/>
              <w:autoSpaceDN w:val="0"/>
              <w:adjustRightInd w:val="0"/>
              <w:spacing w:before="120" w:after="120" w:line="185" w:lineRule="atLeast"/>
              <w:rPr>
                <w:rFonts w:cs="DaxlinePro-Bold"/>
                <w:b/>
                <w:bCs/>
                <w:color w:val="000000"/>
                <w:sz w:val="24"/>
                <w:szCs w:val="24"/>
              </w:rPr>
            </w:pPr>
            <w:r w:rsidRPr="00826507">
              <w:rPr>
                <w:rFonts w:cs="DaxlinePro-Bold"/>
                <w:b/>
                <w:bCs/>
                <w:color w:val="000000"/>
                <w:sz w:val="24"/>
                <w:szCs w:val="24"/>
              </w:rPr>
              <w:t>violence</w:t>
            </w:r>
          </w:p>
        </w:tc>
        <w:tc>
          <w:tcPr>
            <w:tcW w:w="3848" w:type="dxa"/>
          </w:tcPr>
          <w:p w14:paraId="331630F0" w14:textId="33C5D189" w:rsidR="007F0772" w:rsidRPr="00826507" w:rsidRDefault="007F0772" w:rsidP="00826507">
            <w:pPr>
              <w:autoSpaceDE w:val="0"/>
              <w:autoSpaceDN w:val="0"/>
              <w:adjustRightInd w:val="0"/>
              <w:spacing w:before="120" w:after="120" w:line="185" w:lineRule="atLeast"/>
              <w:rPr>
                <w:rFonts w:eastAsia="DaxlinePro-Regular" w:cs="DaxlinePro-Regular"/>
                <w:color w:val="000000"/>
                <w:sz w:val="24"/>
                <w:szCs w:val="24"/>
              </w:rPr>
            </w:pPr>
            <w:r w:rsidRPr="00826507">
              <w:rPr>
                <w:rFonts w:eastAsia="DaxlinePro-Regular" w:cs="DaxlinePro-Regular"/>
                <w:color w:val="000000"/>
                <w:sz w:val="24"/>
                <w:szCs w:val="24"/>
              </w:rPr>
              <w:t>This programme offers protection to women with disabilities who are victims of (family) violence and carries out awareness</w:t>
            </w:r>
            <w:r w:rsidRPr="00826507">
              <w:rPr>
                <w:rFonts w:ascii="Cambria Math" w:eastAsia="DaxlinePro-Regular" w:hAnsi="Cambria Math" w:cs="Cambria Math"/>
                <w:color w:val="000000"/>
                <w:sz w:val="24"/>
                <w:szCs w:val="24"/>
              </w:rPr>
              <w:t>‑</w:t>
            </w:r>
            <w:r w:rsidRPr="00826507">
              <w:rPr>
                <w:rFonts w:eastAsia="DaxlinePro-Regular" w:cs="DaxlinePro-Regular"/>
                <w:color w:val="000000"/>
                <w:sz w:val="24"/>
                <w:szCs w:val="24"/>
              </w:rPr>
              <w:t>raising activities relating to violence against persons with disabilities. ‘House of Trust’ is the only provider offering services specifically tailored to the needs of women with disabilities who are victims of family violence.</w:t>
            </w:r>
          </w:p>
        </w:tc>
        <w:tc>
          <w:tcPr>
            <w:tcW w:w="2973" w:type="dxa"/>
          </w:tcPr>
          <w:p w14:paraId="311A10F5" w14:textId="74FDDD81" w:rsidR="007F0772" w:rsidRPr="00826507" w:rsidRDefault="007F0772" w:rsidP="00826507">
            <w:pPr>
              <w:autoSpaceDE w:val="0"/>
              <w:autoSpaceDN w:val="0"/>
              <w:adjustRightInd w:val="0"/>
              <w:spacing w:before="120" w:after="120" w:line="185" w:lineRule="atLeast"/>
              <w:rPr>
                <w:rFonts w:eastAsia="DaxlinePro-Regular" w:cs="DaxlinePro-Regular"/>
                <w:color w:val="000000"/>
                <w:sz w:val="24"/>
                <w:szCs w:val="24"/>
              </w:rPr>
            </w:pPr>
            <w:r w:rsidRPr="00826507">
              <w:rPr>
                <w:rFonts w:eastAsia="DaxlinePro-Regular" w:cs="DaxlinePro-Regular"/>
                <w:color w:val="000000"/>
                <w:sz w:val="24"/>
                <w:szCs w:val="24"/>
              </w:rPr>
              <w:t>Slovenia, Association of Persons with movement impairments of Slovenia -Vizija (</w:t>
            </w:r>
            <w:r w:rsidRPr="00826507">
              <w:rPr>
                <w:rFonts w:eastAsia="DaxlinePro-Regular" w:cs="DaxlinePro-Regular"/>
                <w:i/>
                <w:color w:val="000000"/>
                <w:sz w:val="24"/>
                <w:szCs w:val="24"/>
              </w:rPr>
              <w:t>Društvo oseb s fizičnimi ovirami Slovenije – Vizija</w:t>
            </w:r>
            <w:r w:rsidRPr="00826507">
              <w:rPr>
                <w:rFonts w:eastAsia="DaxlinePro-Regular" w:cs="DaxlinePro-Regular"/>
                <w:color w:val="000000"/>
                <w:sz w:val="24"/>
                <w:szCs w:val="24"/>
              </w:rPr>
              <w:t xml:space="preserve">), see: </w:t>
            </w:r>
            <w:hyperlink r:id="rId16" w:history="1">
              <w:r w:rsidR="00221FCC" w:rsidRPr="00826507">
                <w:rPr>
                  <w:rStyle w:val="Hyperlink"/>
                  <w:rFonts w:eastAsia="DaxlinePro-Regular" w:cs="DaxlinePro-Regular"/>
                  <w:sz w:val="24"/>
                  <w:szCs w:val="24"/>
                </w:rPr>
                <w:t>http://drustvo-vizija.si/</w:t>
              </w:r>
            </w:hyperlink>
            <w:r w:rsidR="00221FCC" w:rsidRPr="00826507">
              <w:rPr>
                <w:rFonts w:eastAsia="DaxlinePro-Regular" w:cs="DaxlinePro-Regular"/>
                <w:color w:val="000000"/>
                <w:sz w:val="24"/>
                <w:szCs w:val="24"/>
              </w:rPr>
              <w:t xml:space="preserve">. (p.93) </w:t>
            </w:r>
          </w:p>
        </w:tc>
      </w:tr>
    </w:tbl>
    <w:p w14:paraId="4D8225C7" w14:textId="5D65DD9B" w:rsidR="00221FCC" w:rsidRPr="00826507" w:rsidRDefault="00221FCC" w:rsidP="00826507">
      <w:pPr>
        <w:autoSpaceDE w:val="0"/>
        <w:autoSpaceDN w:val="0"/>
        <w:adjustRightInd w:val="0"/>
        <w:spacing w:line="240" w:lineRule="auto"/>
        <w:rPr>
          <w:rFonts w:cs="DaxlinePro-Regular"/>
          <w:color w:val="000000"/>
          <w:sz w:val="24"/>
          <w:szCs w:val="24"/>
        </w:rPr>
      </w:pPr>
      <w:r w:rsidRPr="00826507">
        <w:rPr>
          <w:rFonts w:cs="DaxlinePro-Regular"/>
          <w:color w:val="000000"/>
          <w:sz w:val="24"/>
          <w:szCs w:val="24"/>
        </w:rPr>
        <w:t>“</w:t>
      </w:r>
      <w:r w:rsidRPr="00826507">
        <w:rPr>
          <w:rFonts w:cs="DaxlinePro-Regular"/>
          <w:i/>
          <w:color w:val="000000"/>
          <w:sz w:val="24"/>
          <w:szCs w:val="24"/>
        </w:rPr>
        <w:t>[Children with disabilities] often do not have anyone else except a teacher or a doctor outside family to turn to. And if these [professionals] do not know what they are authorised for and what their duties are and where to turn, who to call immediately, then this is just another unnecessary burden.</w:t>
      </w:r>
      <w:r w:rsidRPr="00826507">
        <w:rPr>
          <w:rFonts w:cs="DaxlinePro-Regular"/>
          <w:color w:val="000000"/>
          <w:sz w:val="24"/>
          <w:szCs w:val="24"/>
        </w:rPr>
        <w:t>”</w:t>
      </w:r>
      <w:r w:rsidRPr="00826507">
        <w:rPr>
          <w:rFonts w:cs="DaxlinePro-Regular"/>
          <w:i/>
          <w:color w:val="000000"/>
          <w:sz w:val="24"/>
          <w:szCs w:val="24"/>
        </w:rPr>
        <w:t xml:space="preserve"> </w:t>
      </w:r>
      <w:proofErr w:type="gramStart"/>
      <w:r w:rsidRPr="00826507">
        <w:rPr>
          <w:rFonts w:cs="DaxlinePro-Regular"/>
          <w:color w:val="000000"/>
          <w:sz w:val="24"/>
          <w:szCs w:val="24"/>
        </w:rPr>
        <w:t xml:space="preserve">(Public authority representative, </w:t>
      </w:r>
      <w:r w:rsidRPr="00826507">
        <w:rPr>
          <w:rFonts w:cs="DaxlinePro-Regular"/>
          <w:b/>
          <w:color w:val="000000"/>
          <w:sz w:val="24"/>
          <w:szCs w:val="24"/>
        </w:rPr>
        <w:t>Slovenia</w:t>
      </w:r>
      <w:r w:rsidRPr="00826507">
        <w:rPr>
          <w:rFonts w:cs="DaxlinePro-Regular"/>
          <w:color w:val="000000"/>
          <w:sz w:val="24"/>
          <w:szCs w:val="24"/>
        </w:rPr>
        <w:t>).</w:t>
      </w:r>
      <w:proofErr w:type="gramEnd"/>
      <w:r w:rsidRPr="00826507">
        <w:rPr>
          <w:rFonts w:cs="DaxlinePro-Regular"/>
          <w:color w:val="000000"/>
          <w:sz w:val="24"/>
          <w:szCs w:val="24"/>
        </w:rPr>
        <w:t xml:space="preserve"> (p.96)</w:t>
      </w:r>
    </w:p>
    <w:p w14:paraId="14F012DF" w14:textId="6C2F8646" w:rsidR="00221FCC" w:rsidRPr="00826507" w:rsidRDefault="00221FCC" w:rsidP="00826507">
      <w:pPr>
        <w:autoSpaceDE w:val="0"/>
        <w:autoSpaceDN w:val="0"/>
        <w:adjustRightInd w:val="0"/>
        <w:spacing w:line="240" w:lineRule="auto"/>
        <w:rPr>
          <w:rFonts w:cs="DaxlinePro-Regular"/>
          <w:color w:val="000000"/>
          <w:sz w:val="24"/>
          <w:szCs w:val="24"/>
        </w:rPr>
      </w:pPr>
      <w:r w:rsidRPr="00826507">
        <w:rPr>
          <w:rFonts w:cs="DaxlinePro-Regular"/>
          <w:color w:val="000000"/>
          <w:sz w:val="24"/>
          <w:szCs w:val="24"/>
        </w:rPr>
        <w:t xml:space="preserve">“Aside from formalised cooperation efforts between different actors, respondents – in Austria, Bulgaria, Croatia, the Czech Republic, Italy, Lithuania, </w:t>
      </w:r>
      <w:r w:rsidRPr="00826507">
        <w:rPr>
          <w:rFonts w:cs="DaxlinePro-Regular"/>
          <w:b/>
          <w:color w:val="000000"/>
          <w:sz w:val="24"/>
          <w:szCs w:val="24"/>
        </w:rPr>
        <w:t>Slovenia</w:t>
      </w:r>
      <w:r w:rsidRPr="00826507">
        <w:rPr>
          <w:rFonts w:cs="DaxlinePro-Regular"/>
          <w:color w:val="000000"/>
          <w:sz w:val="24"/>
          <w:szCs w:val="24"/>
        </w:rPr>
        <w:t xml:space="preserve"> and Sweden, for example – raised concerns about the lack of coordination and cooperation among different institutions and bodies involved in child protection.” (p.98)</w:t>
      </w:r>
    </w:p>
    <w:p w14:paraId="763F15FA" w14:textId="7A67B97B" w:rsidR="00221FCC" w:rsidRPr="00826507" w:rsidRDefault="00221FCC" w:rsidP="00826507">
      <w:pPr>
        <w:autoSpaceDE w:val="0"/>
        <w:autoSpaceDN w:val="0"/>
        <w:adjustRightInd w:val="0"/>
        <w:spacing w:line="240" w:lineRule="auto"/>
        <w:rPr>
          <w:rFonts w:cs="DaxlinePro-Regular"/>
          <w:color w:val="000000"/>
          <w:sz w:val="24"/>
          <w:szCs w:val="24"/>
        </w:rPr>
      </w:pPr>
      <w:r w:rsidRPr="00826507">
        <w:rPr>
          <w:rFonts w:cs="DaxlinePro-Regular"/>
          <w:color w:val="000000"/>
          <w:sz w:val="24"/>
          <w:szCs w:val="24"/>
        </w:rPr>
        <w:t>“Educational counsellors and counselling for both children and parents are avail</w:t>
      </w:r>
      <w:r w:rsidRPr="00826507">
        <w:rPr>
          <w:rFonts w:cs="DaxlinePro-Regular"/>
          <w:color w:val="000000"/>
          <w:sz w:val="24"/>
          <w:szCs w:val="24"/>
        </w:rPr>
        <w:softHyphen/>
        <w:t xml:space="preserve">able in Croatia, Denmark, the Czech Republic, Lithuania, Poland, </w:t>
      </w:r>
      <w:r w:rsidRPr="00826507">
        <w:rPr>
          <w:rFonts w:cs="DaxlinePro-Regular"/>
          <w:b/>
          <w:color w:val="000000"/>
          <w:sz w:val="24"/>
          <w:szCs w:val="24"/>
        </w:rPr>
        <w:t>Slovenia</w:t>
      </w:r>
      <w:r w:rsidRPr="00826507">
        <w:rPr>
          <w:rFonts w:cs="DaxlinePro-Regular"/>
          <w:color w:val="000000"/>
          <w:sz w:val="24"/>
          <w:szCs w:val="24"/>
        </w:rPr>
        <w:t xml:space="preserve"> and Sweden.” (p.101)</w:t>
      </w:r>
    </w:p>
    <w:p w14:paraId="78438EAE" w14:textId="35AD6A41" w:rsidR="00221FCC" w:rsidRPr="00826507" w:rsidRDefault="00221FCC" w:rsidP="00826507">
      <w:pPr>
        <w:autoSpaceDE w:val="0"/>
        <w:autoSpaceDN w:val="0"/>
        <w:adjustRightInd w:val="0"/>
        <w:spacing w:line="240" w:lineRule="auto"/>
        <w:rPr>
          <w:rFonts w:cs="DaxlinePro-Regular"/>
          <w:color w:val="000000"/>
          <w:sz w:val="24"/>
          <w:szCs w:val="24"/>
        </w:rPr>
      </w:pPr>
      <w:r w:rsidRPr="00826507">
        <w:rPr>
          <w:rFonts w:cs="DaxlinePro-Regular"/>
          <w:color w:val="000000"/>
          <w:sz w:val="24"/>
          <w:szCs w:val="24"/>
        </w:rPr>
        <w:t xml:space="preserve">“Respondents in Bulgaria, Croatia, the Czech Republic, Lithuania, Poland and </w:t>
      </w:r>
      <w:r w:rsidRPr="00826507">
        <w:rPr>
          <w:rFonts w:cs="DaxlinePro-Regular"/>
          <w:b/>
          <w:color w:val="000000"/>
          <w:sz w:val="24"/>
          <w:szCs w:val="24"/>
        </w:rPr>
        <w:t>Slovenia</w:t>
      </w:r>
      <w:r w:rsidRPr="00826507">
        <w:rPr>
          <w:rFonts w:cs="DaxlinePro-Regular"/>
          <w:color w:val="000000"/>
          <w:sz w:val="24"/>
          <w:szCs w:val="24"/>
        </w:rPr>
        <w:t xml:space="preserve"> often mentioned NGOs as the main providers of support and help services to children.” (p.101)</w:t>
      </w:r>
    </w:p>
    <w:p w14:paraId="5910A4BD" w14:textId="7ECE85D0" w:rsidR="00221FCC" w:rsidRDefault="00221FCC" w:rsidP="001114EE">
      <w:pPr>
        <w:autoSpaceDE w:val="0"/>
        <w:autoSpaceDN w:val="0"/>
        <w:adjustRightInd w:val="0"/>
        <w:spacing w:line="240" w:lineRule="auto"/>
        <w:rPr>
          <w:rFonts w:cs="DaxlinePro-Regular"/>
          <w:color w:val="000000"/>
          <w:sz w:val="24"/>
          <w:szCs w:val="24"/>
        </w:rPr>
      </w:pPr>
      <w:r w:rsidRPr="00826507">
        <w:rPr>
          <w:rFonts w:cs="DaxlinePro-Regular"/>
          <w:color w:val="000000"/>
          <w:sz w:val="24"/>
          <w:szCs w:val="24"/>
        </w:rPr>
        <w:t xml:space="preserve">“Respondents also noted that social services provide support services for children with disabilities and their families – in Austria, Croatia, Denmark, Italy, Lithuania, the Netherlands, Poland, </w:t>
      </w:r>
      <w:r w:rsidRPr="00826507">
        <w:rPr>
          <w:rFonts w:cs="DaxlinePro-Regular"/>
          <w:b/>
          <w:color w:val="000000"/>
          <w:sz w:val="24"/>
          <w:szCs w:val="24"/>
        </w:rPr>
        <w:t>Slovenia</w:t>
      </w:r>
      <w:r w:rsidRPr="00826507">
        <w:rPr>
          <w:rFonts w:cs="DaxlinePro-Regular"/>
          <w:color w:val="000000"/>
          <w:sz w:val="24"/>
          <w:szCs w:val="24"/>
        </w:rPr>
        <w:t>, Sweden and the United Kingdom.” (p.101)</w:t>
      </w:r>
    </w:p>
    <w:p w14:paraId="52599D57" w14:textId="77777777" w:rsidR="00281962" w:rsidRPr="004C24D1" w:rsidRDefault="00281962" w:rsidP="001F3F8F">
      <w:pPr>
        <w:pStyle w:val="Heading2"/>
      </w:pPr>
      <w:bookmarkStart w:id="11" w:name="_Toc475024606"/>
      <w:r w:rsidRPr="004C24D1">
        <w:lastRenderedPageBreak/>
        <w:t>Implementing the UN CRPD: An overview of legal reforms in EU Member States (2015)</w:t>
      </w:r>
      <w:bookmarkEnd w:id="11"/>
      <w:r w:rsidRPr="004C24D1">
        <w:t xml:space="preserve"> </w:t>
      </w:r>
    </w:p>
    <w:p w14:paraId="431D1950" w14:textId="6F02EED1" w:rsidR="00281962" w:rsidRPr="001B79F3" w:rsidRDefault="00281962" w:rsidP="001114EE">
      <w:pPr>
        <w:rPr>
          <w:rStyle w:val="Hyperlink"/>
          <w:sz w:val="24"/>
          <w:szCs w:val="24"/>
        </w:rPr>
      </w:pPr>
      <w:r w:rsidRPr="001B79F3">
        <w:rPr>
          <w:color w:val="000000" w:themeColor="text1"/>
          <w:sz w:val="24"/>
          <w:szCs w:val="24"/>
        </w:rPr>
        <w:t xml:space="preserve">The report includes extensive information </w:t>
      </w:r>
      <w:r w:rsidR="00F07D58">
        <w:rPr>
          <w:color w:val="000000" w:themeColor="text1"/>
          <w:sz w:val="24"/>
          <w:szCs w:val="24"/>
        </w:rPr>
        <w:t xml:space="preserve">regarding </w:t>
      </w:r>
      <w:proofErr w:type="gramStart"/>
      <w:r w:rsidR="00F07D58">
        <w:rPr>
          <w:color w:val="000000" w:themeColor="text1"/>
          <w:sz w:val="24"/>
          <w:szCs w:val="24"/>
        </w:rPr>
        <w:t>Slovenia</w:t>
      </w:r>
      <w:r w:rsidRPr="001B79F3">
        <w:rPr>
          <w:color w:val="000000" w:themeColor="text1"/>
          <w:sz w:val="24"/>
          <w:szCs w:val="24"/>
        </w:rPr>
        <w:t>,</w:t>
      </w:r>
      <w:proofErr w:type="gramEnd"/>
      <w:r w:rsidRPr="001B79F3">
        <w:rPr>
          <w:color w:val="000000" w:themeColor="text1"/>
          <w:sz w:val="24"/>
          <w:szCs w:val="24"/>
        </w:rPr>
        <w:t xml:space="preserve"> these excerpts are just a selection.</w:t>
      </w:r>
      <w:r w:rsidR="00FE5A96">
        <w:rPr>
          <w:color w:val="000000" w:themeColor="text1"/>
          <w:sz w:val="24"/>
          <w:szCs w:val="24"/>
        </w:rPr>
        <w:t xml:space="preserve"> </w:t>
      </w:r>
      <w:r w:rsidRPr="001B79F3">
        <w:rPr>
          <w:color w:val="000000" w:themeColor="text1"/>
          <w:sz w:val="24"/>
          <w:szCs w:val="24"/>
        </w:rPr>
        <w:t>For more detailed information</w:t>
      </w:r>
      <w:r w:rsidRPr="001B79F3">
        <w:rPr>
          <w:sz w:val="24"/>
          <w:szCs w:val="24"/>
        </w:rPr>
        <w:t xml:space="preserve">: </w:t>
      </w:r>
      <w:hyperlink r:id="rId17" w:history="1">
        <w:r w:rsidRPr="001B79F3">
          <w:rPr>
            <w:rStyle w:val="Hyperlink"/>
            <w:sz w:val="24"/>
            <w:szCs w:val="24"/>
          </w:rPr>
          <w:t>http://fra.europa.eu/sites/default/files/fra-2015-focus-05-2015-crpd_en.pdf</w:t>
        </w:r>
      </w:hyperlink>
      <w:r w:rsidR="00B939BD" w:rsidRPr="00B939BD">
        <w:rPr>
          <w:rStyle w:val="Hyperlink"/>
          <w:sz w:val="24"/>
          <w:szCs w:val="24"/>
          <w:u w:val="none"/>
        </w:rPr>
        <w:t>.</w:t>
      </w:r>
      <w:r w:rsidRPr="00B939BD">
        <w:rPr>
          <w:sz w:val="24"/>
          <w:szCs w:val="24"/>
        </w:rPr>
        <w:t xml:space="preserve"> </w:t>
      </w:r>
    </w:p>
    <w:p w14:paraId="61683E93" w14:textId="71642B82" w:rsidR="00376E84" w:rsidRPr="00644CDA" w:rsidRDefault="00F07D58" w:rsidP="00281962">
      <w:pPr>
        <w:rPr>
          <w:sz w:val="24"/>
          <w:szCs w:val="24"/>
        </w:rPr>
      </w:pPr>
      <w:r w:rsidRPr="00644CDA">
        <w:rPr>
          <w:sz w:val="24"/>
          <w:szCs w:val="24"/>
        </w:rPr>
        <w:t xml:space="preserve">“The National Assembly of </w:t>
      </w:r>
      <w:r w:rsidRPr="00644CDA">
        <w:rPr>
          <w:b/>
          <w:bCs/>
          <w:sz w:val="24"/>
          <w:szCs w:val="24"/>
        </w:rPr>
        <w:t>Slovenia</w:t>
      </w:r>
      <w:r w:rsidRPr="00644CDA">
        <w:rPr>
          <w:sz w:val="24"/>
          <w:szCs w:val="24"/>
        </w:rPr>
        <w:t>, for example, adopted in 2010 the Act on equal opportunities for people with disabilities, which prohibits discrimination in access to goods and services available to the public. It also sets out the obligation to provide appropriate accommodations and to remove physical, information and communication barriers that prevent access by people with disabilities to goods and services.” (p.8)</w:t>
      </w:r>
    </w:p>
    <w:p w14:paraId="3713DBDC" w14:textId="5E3F7142" w:rsidR="00F07D58" w:rsidRPr="00644CDA" w:rsidRDefault="00644CDA" w:rsidP="00281962">
      <w:pPr>
        <w:rPr>
          <w:rStyle w:val="A9"/>
          <w:rFonts w:cstheme="minorBidi"/>
          <w:color w:val="auto"/>
          <w:sz w:val="24"/>
          <w:szCs w:val="24"/>
        </w:rPr>
      </w:pPr>
      <w:r>
        <w:rPr>
          <w:sz w:val="24"/>
          <w:szCs w:val="24"/>
        </w:rPr>
        <w:t>“</w:t>
      </w:r>
      <w:r w:rsidR="00F07D58" w:rsidRPr="00644CDA">
        <w:rPr>
          <w:sz w:val="24"/>
          <w:szCs w:val="24"/>
        </w:rPr>
        <w:t xml:space="preserve">Other Member States have introduced mandatory quotas for employees with disabilities. […] </w:t>
      </w:r>
      <w:r w:rsidR="00F07D58" w:rsidRPr="00B939BD">
        <w:rPr>
          <w:bCs/>
          <w:sz w:val="24"/>
          <w:szCs w:val="24"/>
        </w:rPr>
        <w:t>Bulgaria</w:t>
      </w:r>
      <w:r w:rsidR="00F07D58" w:rsidRPr="00B939BD">
        <w:rPr>
          <w:sz w:val="24"/>
          <w:szCs w:val="24"/>
        </w:rPr>
        <w:t xml:space="preserve">, </w:t>
      </w:r>
      <w:r w:rsidR="00F07D58" w:rsidRPr="00B939BD">
        <w:rPr>
          <w:bCs/>
          <w:sz w:val="24"/>
          <w:szCs w:val="24"/>
        </w:rPr>
        <w:t xml:space="preserve">Hungary </w:t>
      </w:r>
      <w:r w:rsidR="00F07D58" w:rsidRPr="00B939BD">
        <w:rPr>
          <w:sz w:val="24"/>
          <w:szCs w:val="24"/>
        </w:rPr>
        <w:t>and</w:t>
      </w:r>
      <w:r w:rsidR="00F07D58" w:rsidRPr="00644CDA">
        <w:rPr>
          <w:sz w:val="24"/>
          <w:szCs w:val="24"/>
        </w:rPr>
        <w:t xml:space="preserve"> </w:t>
      </w:r>
      <w:r w:rsidR="00F07D58" w:rsidRPr="00644CDA">
        <w:rPr>
          <w:b/>
          <w:bCs/>
          <w:sz w:val="24"/>
          <w:szCs w:val="24"/>
        </w:rPr>
        <w:t>Slovenia</w:t>
      </w:r>
      <w:r w:rsidR="00F07D58" w:rsidRPr="00644CDA">
        <w:rPr>
          <w:sz w:val="24"/>
          <w:szCs w:val="24"/>
        </w:rPr>
        <w:t>105 introduced similar quota systems which apply to all companies which have at least 50, 25 and 20 employees respectively.</w:t>
      </w:r>
      <w:r>
        <w:rPr>
          <w:sz w:val="24"/>
          <w:szCs w:val="24"/>
        </w:rPr>
        <w:t>”</w:t>
      </w:r>
      <w:r w:rsidR="00F07D58" w:rsidRPr="00644CDA">
        <w:rPr>
          <w:sz w:val="24"/>
          <w:szCs w:val="24"/>
        </w:rPr>
        <w:t xml:space="preserve"> (</w:t>
      </w:r>
      <w:proofErr w:type="gramStart"/>
      <w:r w:rsidR="00F07D58" w:rsidRPr="00644CDA">
        <w:rPr>
          <w:sz w:val="24"/>
          <w:szCs w:val="24"/>
        </w:rPr>
        <w:t>p.12-13</w:t>
      </w:r>
      <w:proofErr w:type="gramEnd"/>
      <w:r w:rsidR="00F07D58" w:rsidRPr="00644CDA">
        <w:rPr>
          <w:sz w:val="24"/>
          <w:szCs w:val="24"/>
        </w:rPr>
        <w:t>)</w:t>
      </w:r>
    </w:p>
    <w:p w14:paraId="423BDD22" w14:textId="77777777" w:rsidR="00281962" w:rsidRPr="001B79F3" w:rsidRDefault="00281962" w:rsidP="001F3F8F">
      <w:pPr>
        <w:pStyle w:val="Heading2"/>
      </w:pPr>
      <w:bookmarkStart w:id="12" w:name="_Toc475024607"/>
      <w:r w:rsidRPr="001B79F3">
        <w:t>The right to political participation for persons with disabilities: human rights indicators (2014)</w:t>
      </w:r>
      <w:bookmarkEnd w:id="12"/>
    </w:p>
    <w:p w14:paraId="2B1D4A9A" w14:textId="45CF30BE" w:rsidR="00281962" w:rsidRPr="00644CDA" w:rsidRDefault="00281962" w:rsidP="00782C1C">
      <w:pPr>
        <w:rPr>
          <w:sz w:val="24"/>
          <w:szCs w:val="24"/>
        </w:rPr>
      </w:pPr>
      <w:r w:rsidRPr="00644CDA">
        <w:rPr>
          <w:color w:val="000000" w:themeColor="text1"/>
          <w:sz w:val="24"/>
          <w:szCs w:val="24"/>
        </w:rPr>
        <w:t xml:space="preserve">The report includes extensive information </w:t>
      </w:r>
      <w:r w:rsidR="00F07D58" w:rsidRPr="00644CDA">
        <w:rPr>
          <w:color w:val="000000" w:themeColor="text1"/>
          <w:sz w:val="24"/>
          <w:szCs w:val="24"/>
        </w:rPr>
        <w:t xml:space="preserve">regarding </w:t>
      </w:r>
      <w:proofErr w:type="gramStart"/>
      <w:r w:rsidR="00F07D58" w:rsidRPr="00644CDA">
        <w:rPr>
          <w:color w:val="000000" w:themeColor="text1"/>
          <w:sz w:val="24"/>
          <w:szCs w:val="24"/>
        </w:rPr>
        <w:t>Slovenia</w:t>
      </w:r>
      <w:r w:rsidRPr="00644CDA">
        <w:rPr>
          <w:color w:val="000000" w:themeColor="text1"/>
          <w:sz w:val="24"/>
          <w:szCs w:val="24"/>
        </w:rPr>
        <w:t>,</w:t>
      </w:r>
      <w:proofErr w:type="gramEnd"/>
      <w:r w:rsidRPr="00644CDA">
        <w:rPr>
          <w:color w:val="000000" w:themeColor="text1"/>
          <w:sz w:val="24"/>
          <w:szCs w:val="24"/>
        </w:rPr>
        <w:t xml:space="preserve"> these excerpts are just a selection. For more detailed information: </w:t>
      </w:r>
      <w:hyperlink r:id="rId18" w:history="1">
        <w:r w:rsidRPr="00644CDA">
          <w:rPr>
            <w:rStyle w:val="Hyperlink"/>
            <w:sz w:val="24"/>
            <w:szCs w:val="24"/>
          </w:rPr>
          <w:t>http://fra.europa.eu/en/publication/2014/right-political-participation-persons-disabilities-human-rights-indicators</w:t>
        </w:r>
      </w:hyperlink>
      <w:r w:rsidR="006F4931" w:rsidRPr="00644CDA">
        <w:rPr>
          <w:rStyle w:val="Hyperlink"/>
          <w:color w:val="auto"/>
          <w:sz w:val="24"/>
          <w:szCs w:val="24"/>
          <w:u w:val="none"/>
        </w:rPr>
        <w:t>.</w:t>
      </w:r>
      <w:r w:rsidR="00FE5A96" w:rsidRPr="00644CDA">
        <w:rPr>
          <w:sz w:val="24"/>
          <w:szCs w:val="24"/>
        </w:rPr>
        <w:t xml:space="preserve"> </w:t>
      </w:r>
      <w:r w:rsidRPr="00644CDA">
        <w:rPr>
          <w:sz w:val="24"/>
          <w:szCs w:val="24"/>
        </w:rPr>
        <w:t xml:space="preserve"> </w:t>
      </w:r>
    </w:p>
    <w:p w14:paraId="13956FB0" w14:textId="77777777" w:rsidR="00644CDA" w:rsidRDefault="00281962" w:rsidP="00644CDA">
      <w:pPr>
        <w:autoSpaceDE w:val="0"/>
        <w:autoSpaceDN w:val="0"/>
        <w:adjustRightInd w:val="0"/>
        <w:spacing w:after="0" w:line="240" w:lineRule="auto"/>
        <w:rPr>
          <w:rFonts w:eastAsia="DaxlinePro-Regular" w:cs="DaxlinePro-Regular"/>
          <w:sz w:val="24"/>
          <w:szCs w:val="24"/>
        </w:rPr>
      </w:pPr>
      <w:r w:rsidRPr="00644CDA">
        <w:rPr>
          <w:rFonts w:eastAsia="DaxlinePro-Regular" w:cs="DaxlinePro-Regular"/>
          <w:sz w:val="24"/>
          <w:szCs w:val="24"/>
        </w:rPr>
        <w:t>“</w:t>
      </w:r>
      <w:r w:rsidR="00264C56" w:rsidRPr="00644CDA">
        <w:rPr>
          <w:rFonts w:eastAsia="DaxlinePro-Regular" w:cs="DaxlinePro-Regular"/>
          <w:sz w:val="24"/>
          <w:szCs w:val="24"/>
        </w:rPr>
        <w:t xml:space="preserve">Finally, the analysis indicates that in a further four EU Member States, </w:t>
      </w:r>
      <w:r w:rsidR="00264C56" w:rsidRPr="00644CDA">
        <w:rPr>
          <w:rFonts w:eastAsia="DaxlinePro-Regular" w:cs="DaxlinePro-Bold"/>
          <w:bCs/>
          <w:sz w:val="24"/>
          <w:szCs w:val="24"/>
        </w:rPr>
        <w:t xml:space="preserve">Greece, </w:t>
      </w:r>
      <w:r w:rsidR="00264C56" w:rsidRPr="00644CDA">
        <w:rPr>
          <w:rFonts w:eastAsia="DaxlinePro-Regular" w:cs="DaxlinePro-Regular"/>
          <w:sz w:val="24"/>
          <w:szCs w:val="24"/>
        </w:rPr>
        <w:t xml:space="preserve">the </w:t>
      </w:r>
      <w:r w:rsidR="00264C56" w:rsidRPr="00644CDA">
        <w:rPr>
          <w:rFonts w:eastAsia="DaxlinePro-Regular" w:cs="DaxlinePro-Bold"/>
          <w:bCs/>
          <w:sz w:val="24"/>
          <w:szCs w:val="24"/>
        </w:rPr>
        <w:t>Netherlands</w:t>
      </w:r>
      <w:r w:rsidR="00264C56" w:rsidRPr="00644CDA">
        <w:rPr>
          <w:rFonts w:eastAsia="DaxlinePro-Regular" w:cs="DaxlinePro-Regular"/>
          <w:sz w:val="24"/>
          <w:szCs w:val="24"/>
        </w:rPr>
        <w:t xml:space="preserve">, </w:t>
      </w:r>
      <w:r w:rsidR="00264C56" w:rsidRPr="00644CDA">
        <w:rPr>
          <w:rFonts w:eastAsia="DaxlinePro-Regular" w:cs="DaxlinePro-Bold"/>
          <w:bCs/>
          <w:sz w:val="24"/>
          <w:szCs w:val="24"/>
        </w:rPr>
        <w:t>Poland</w:t>
      </w:r>
      <w:r w:rsidR="00264C56" w:rsidRPr="00644CDA">
        <w:rPr>
          <w:rFonts w:eastAsia="DaxlinePro-Regular" w:cs="DaxlinePro-Bold"/>
          <w:b/>
          <w:bCs/>
          <w:sz w:val="24"/>
          <w:szCs w:val="24"/>
        </w:rPr>
        <w:t xml:space="preserve"> </w:t>
      </w:r>
      <w:r w:rsidR="00264C56" w:rsidRPr="00644CDA">
        <w:rPr>
          <w:rFonts w:eastAsia="DaxlinePro-Regular" w:cs="DaxlinePro-Regular"/>
          <w:sz w:val="24"/>
          <w:szCs w:val="24"/>
        </w:rPr>
        <w:t xml:space="preserve">and </w:t>
      </w:r>
      <w:r w:rsidR="00264C56" w:rsidRPr="00644CDA">
        <w:rPr>
          <w:rFonts w:eastAsia="DaxlinePro-Regular" w:cs="DaxlinePro-Bold"/>
          <w:b/>
          <w:bCs/>
          <w:sz w:val="24"/>
          <w:szCs w:val="24"/>
        </w:rPr>
        <w:t>Slovenia</w:t>
      </w:r>
      <w:r w:rsidR="00264C56" w:rsidRPr="00644CDA">
        <w:rPr>
          <w:rFonts w:eastAsia="DaxlinePro-Regular" w:cs="DaxlinePro-Regular"/>
          <w:sz w:val="24"/>
          <w:szCs w:val="24"/>
        </w:rPr>
        <w:t>, there is no national disability action plan or strategy.”(p.39</w:t>
      </w:r>
      <w:r w:rsidR="00782C1C" w:rsidRPr="00644CDA">
        <w:rPr>
          <w:rFonts w:eastAsia="DaxlinePro-Regular" w:cs="DaxlinePro-Regular"/>
          <w:sz w:val="24"/>
          <w:szCs w:val="24"/>
        </w:rPr>
        <w:t>)</w:t>
      </w:r>
    </w:p>
    <w:p w14:paraId="3580A5E2" w14:textId="66EA6643" w:rsidR="00281962" w:rsidRPr="00644CDA" w:rsidRDefault="00281962" w:rsidP="00644CDA">
      <w:pPr>
        <w:autoSpaceDE w:val="0"/>
        <w:autoSpaceDN w:val="0"/>
        <w:adjustRightInd w:val="0"/>
        <w:spacing w:after="0" w:line="240" w:lineRule="auto"/>
        <w:rPr>
          <w:rFonts w:eastAsia="DaxlinePro-Regular" w:cs="DaxlinePro-Regular"/>
          <w:sz w:val="24"/>
          <w:szCs w:val="24"/>
        </w:rPr>
      </w:pPr>
      <w:r w:rsidRPr="00644CDA">
        <w:rPr>
          <w:sz w:val="24"/>
          <w:szCs w:val="24"/>
        </w:rPr>
        <w:t>“</w:t>
      </w:r>
      <w:r w:rsidR="00264C56" w:rsidRPr="00644CDA">
        <w:rPr>
          <w:sz w:val="24"/>
          <w:szCs w:val="24"/>
        </w:rPr>
        <w:t xml:space="preserve">In </w:t>
      </w:r>
      <w:r w:rsidR="00264C56" w:rsidRPr="00644CDA">
        <w:rPr>
          <w:b/>
          <w:sz w:val="24"/>
          <w:szCs w:val="24"/>
        </w:rPr>
        <w:t>Slovenia</w:t>
      </w:r>
      <w:r w:rsidR="00264C56" w:rsidRPr="00644CDA">
        <w:rPr>
          <w:sz w:val="24"/>
          <w:szCs w:val="24"/>
        </w:rPr>
        <w:t>, the legal test for judges deciding whether to restrict the right to vote is whether the person with a disability is capable of understanding the meaning, purpose and effect of elections.” (p.41</w:t>
      </w:r>
      <w:r w:rsidRPr="00644CDA">
        <w:rPr>
          <w:sz w:val="24"/>
          <w:szCs w:val="24"/>
        </w:rPr>
        <w:t>)</w:t>
      </w:r>
    </w:p>
    <w:p w14:paraId="2368AC8A" w14:textId="77777777" w:rsidR="00281962" w:rsidRPr="00644CDA" w:rsidRDefault="00281962" w:rsidP="00782C1C">
      <w:pPr>
        <w:spacing w:line="240" w:lineRule="auto"/>
        <w:contextualSpacing/>
        <w:rPr>
          <w:color w:val="333333"/>
          <w:sz w:val="24"/>
          <w:szCs w:val="24"/>
        </w:rPr>
      </w:pPr>
    </w:p>
    <w:p w14:paraId="0329D685" w14:textId="2F4C16DD" w:rsidR="00281962" w:rsidRPr="00644CDA" w:rsidRDefault="00281962" w:rsidP="00025F5D">
      <w:pPr>
        <w:autoSpaceDE w:val="0"/>
        <w:autoSpaceDN w:val="0"/>
        <w:adjustRightInd w:val="0"/>
        <w:spacing w:line="240" w:lineRule="auto"/>
        <w:rPr>
          <w:rFonts w:eastAsia="DaxlinePro-Regular" w:cs="DaxlinePro-Regular"/>
          <w:sz w:val="24"/>
          <w:szCs w:val="24"/>
        </w:rPr>
      </w:pPr>
      <w:r w:rsidRPr="00644CDA">
        <w:rPr>
          <w:rFonts w:eastAsia="DaxlinePro-Regular" w:cs="DaxlinePro-Regular"/>
          <w:sz w:val="24"/>
          <w:szCs w:val="24"/>
        </w:rPr>
        <w:t>“</w:t>
      </w:r>
      <w:r w:rsidR="00264C56" w:rsidRPr="00644CDA">
        <w:rPr>
          <w:rFonts w:eastAsia="DaxlinePro-Regular" w:cs="DaxlinePro-Regular"/>
          <w:sz w:val="24"/>
          <w:szCs w:val="24"/>
        </w:rPr>
        <w:t xml:space="preserve">Hungary, Latvia, Lithuania, Slovakia and </w:t>
      </w:r>
      <w:r w:rsidR="00264C56" w:rsidRPr="00644CDA">
        <w:rPr>
          <w:rFonts w:eastAsia="DaxlinePro-Regular" w:cs="DaxlinePro-Regular"/>
          <w:b/>
          <w:sz w:val="24"/>
          <w:szCs w:val="24"/>
        </w:rPr>
        <w:t>Slovenia</w:t>
      </w:r>
      <w:r w:rsidR="00264C56" w:rsidRPr="00644CDA">
        <w:rPr>
          <w:rFonts w:eastAsia="DaxlinePro-Regular" w:cs="DaxlinePro-Regular"/>
          <w:sz w:val="24"/>
          <w:szCs w:val="24"/>
        </w:rPr>
        <w:t xml:space="preserve"> also provide for polling stations at long-term institutions but require an individual application or notification to use such a polling station in advance, which could act as a barrier to exercising the right to vote</w:t>
      </w:r>
      <w:r w:rsidR="006C1A56" w:rsidRPr="00644CDA">
        <w:rPr>
          <w:rFonts w:eastAsia="DaxlinePro-Regular" w:cs="DaxlinePro-Regular"/>
          <w:sz w:val="24"/>
          <w:szCs w:val="24"/>
        </w:rPr>
        <w:t>.” (p</w:t>
      </w:r>
      <w:r w:rsidR="00264C56" w:rsidRPr="00644CDA">
        <w:rPr>
          <w:rFonts w:eastAsia="DaxlinePro-Regular" w:cs="DaxlinePro-Regular"/>
          <w:sz w:val="24"/>
          <w:szCs w:val="24"/>
        </w:rPr>
        <w:t>.44</w:t>
      </w:r>
      <w:r w:rsidR="006C1A56" w:rsidRPr="00644CDA">
        <w:rPr>
          <w:rFonts w:eastAsia="DaxlinePro-Regular" w:cs="DaxlinePro-Regular"/>
          <w:sz w:val="24"/>
          <w:szCs w:val="24"/>
        </w:rPr>
        <w:t>)</w:t>
      </w:r>
    </w:p>
    <w:p w14:paraId="771758F8" w14:textId="77777777" w:rsidR="00281962" w:rsidRPr="00644CDA" w:rsidRDefault="00281962" w:rsidP="00782C1C">
      <w:pPr>
        <w:spacing w:line="240" w:lineRule="auto"/>
        <w:contextualSpacing/>
        <w:rPr>
          <w:sz w:val="24"/>
          <w:szCs w:val="24"/>
        </w:rPr>
      </w:pPr>
      <w:r w:rsidRPr="00644CDA">
        <w:rPr>
          <w:sz w:val="24"/>
          <w:szCs w:val="24"/>
        </w:rPr>
        <w:t xml:space="preserve">“In a further seven Member States – Bulgaria, Croatia, the Czech Republic, Denmark, Italy, </w:t>
      </w:r>
      <w:r w:rsidRPr="00644CDA">
        <w:rPr>
          <w:b/>
          <w:sz w:val="24"/>
          <w:szCs w:val="24"/>
        </w:rPr>
        <w:t xml:space="preserve">Slovenia </w:t>
      </w:r>
      <w:r w:rsidRPr="00644CDA">
        <w:rPr>
          <w:sz w:val="24"/>
          <w:szCs w:val="24"/>
        </w:rPr>
        <w:t>and the United Kingdom – only public media providers are obliged to ensure that their broadcasts are accessible to persons with disabilities.” (p.47)</w:t>
      </w:r>
    </w:p>
    <w:p w14:paraId="0C189E49" w14:textId="77777777" w:rsidR="00281962" w:rsidRPr="00644CDA" w:rsidRDefault="00281962" w:rsidP="00782C1C">
      <w:pPr>
        <w:spacing w:line="240" w:lineRule="auto"/>
        <w:contextualSpacing/>
        <w:rPr>
          <w:sz w:val="24"/>
          <w:szCs w:val="24"/>
        </w:rPr>
      </w:pPr>
    </w:p>
    <w:p w14:paraId="2BC8AFD8" w14:textId="4926867E" w:rsidR="00025F5D" w:rsidRPr="00644CDA" w:rsidRDefault="00025F5D" w:rsidP="00782C1C">
      <w:pPr>
        <w:spacing w:line="240" w:lineRule="auto"/>
        <w:contextualSpacing/>
        <w:rPr>
          <w:sz w:val="24"/>
          <w:szCs w:val="24"/>
        </w:rPr>
      </w:pPr>
      <w:r w:rsidRPr="00644CDA">
        <w:rPr>
          <w:sz w:val="24"/>
          <w:szCs w:val="24"/>
        </w:rPr>
        <w:t xml:space="preserve">“No information was given in the report on accessibility standards in force for new and existing buildings in </w:t>
      </w:r>
      <w:r w:rsidRPr="00644CDA">
        <w:rPr>
          <w:b/>
          <w:sz w:val="24"/>
          <w:szCs w:val="24"/>
        </w:rPr>
        <w:t>Slovenia</w:t>
      </w:r>
      <w:r w:rsidRPr="00644CDA">
        <w:rPr>
          <w:sz w:val="24"/>
          <w:szCs w:val="24"/>
        </w:rPr>
        <w:t>, and there were no rapporteurs or national experts identified to provide information for Bulgaria, Croatia, Estonia and Latvia.” (p.49)</w:t>
      </w:r>
    </w:p>
    <w:p w14:paraId="66025D9F" w14:textId="77777777" w:rsidR="00025F5D" w:rsidRPr="00644CDA" w:rsidRDefault="00025F5D" w:rsidP="00782C1C">
      <w:pPr>
        <w:spacing w:line="240" w:lineRule="auto"/>
        <w:contextualSpacing/>
        <w:rPr>
          <w:sz w:val="24"/>
          <w:szCs w:val="24"/>
        </w:rPr>
      </w:pPr>
    </w:p>
    <w:p w14:paraId="03CE9267" w14:textId="0D2B2266" w:rsidR="00025F5D" w:rsidRDefault="00025F5D" w:rsidP="00025F5D">
      <w:pPr>
        <w:spacing w:line="240" w:lineRule="auto"/>
        <w:contextualSpacing/>
        <w:rPr>
          <w:sz w:val="24"/>
          <w:szCs w:val="24"/>
        </w:rPr>
      </w:pPr>
      <w:r>
        <w:rPr>
          <w:sz w:val="24"/>
          <w:szCs w:val="24"/>
        </w:rPr>
        <w:lastRenderedPageBreak/>
        <w:t>“Similarly, in Austria</w:t>
      </w:r>
      <w:r w:rsidRPr="00025F5D">
        <w:rPr>
          <w:sz w:val="24"/>
          <w:szCs w:val="24"/>
        </w:rPr>
        <w:t xml:space="preserve"> and </w:t>
      </w:r>
      <w:r w:rsidRPr="004F43C9">
        <w:rPr>
          <w:b/>
          <w:sz w:val="24"/>
          <w:szCs w:val="24"/>
        </w:rPr>
        <w:t>Slovenia</w:t>
      </w:r>
      <w:r w:rsidRPr="00025F5D">
        <w:rPr>
          <w:sz w:val="24"/>
          <w:szCs w:val="24"/>
        </w:rPr>
        <w:t>,</w:t>
      </w:r>
      <w:r>
        <w:rPr>
          <w:sz w:val="24"/>
          <w:szCs w:val="24"/>
        </w:rPr>
        <w:t xml:space="preserve"> electoral law requires that </w:t>
      </w:r>
      <w:r w:rsidRPr="00025F5D">
        <w:rPr>
          <w:sz w:val="24"/>
          <w:szCs w:val="24"/>
        </w:rPr>
        <w:t>each municipality or vot</w:t>
      </w:r>
      <w:r>
        <w:rPr>
          <w:sz w:val="24"/>
          <w:szCs w:val="24"/>
        </w:rPr>
        <w:t xml:space="preserve">ing district must have at least </w:t>
      </w:r>
      <w:r w:rsidRPr="00025F5D">
        <w:rPr>
          <w:sz w:val="24"/>
          <w:szCs w:val="24"/>
        </w:rPr>
        <w:t>one accessible polling station.</w:t>
      </w:r>
      <w:r>
        <w:rPr>
          <w:sz w:val="24"/>
          <w:szCs w:val="24"/>
        </w:rPr>
        <w:t>” (p.50)</w:t>
      </w:r>
    </w:p>
    <w:p w14:paraId="48308EB0" w14:textId="77777777" w:rsidR="00025F5D" w:rsidRDefault="00025F5D" w:rsidP="00782C1C">
      <w:pPr>
        <w:spacing w:line="240" w:lineRule="auto"/>
        <w:contextualSpacing/>
        <w:rPr>
          <w:sz w:val="24"/>
          <w:szCs w:val="24"/>
        </w:rPr>
      </w:pPr>
    </w:p>
    <w:p w14:paraId="60010AE8" w14:textId="4D0EB487" w:rsidR="00281962" w:rsidRPr="001B79F3" w:rsidRDefault="00281962" w:rsidP="00782C1C">
      <w:pPr>
        <w:spacing w:line="240" w:lineRule="auto"/>
        <w:contextualSpacing/>
        <w:rPr>
          <w:sz w:val="24"/>
          <w:szCs w:val="24"/>
        </w:rPr>
      </w:pPr>
      <w:r w:rsidRPr="001B79F3">
        <w:rPr>
          <w:sz w:val="24"/>
          <w:szCs w:val="24"/>
        </w:rPr>
        <w:t xml:space="preserve">“In 15 EU Member States, Croatia, Cyprus, the Czech Republic, Denmark, Finland, Germany, Hungary, Ireland, Poland, Portugal, Slovakia, </w:t>
      </w:r>
      <w:r w:rsidRPr="00025F5D">
        <w:rPr>
          <w:b/>
          <w:sz w:val="24"/>
          <w:szCs w:val="24"/>
        </w:rPr>
        <w:t>Slovenia</w:t>
      </w:r>
      <w:r w:rsidRPr="001B79F3">
        <w:rPr>
          <w:sz w:val="24"/>
          <w:szCs w:val="24"/>
        </w:rPr>
        <w:t xml:space="preserve">, Sweden and the United Kingdom, assistance in voting </w:t>
      </w:r>
      <w:proofErr w:type="gramStart"/>
      <w:r w:rsidRPr="001B79F3">
        <w:rPr>
          <w:sz w:val="24"/>
          <w:szCs w:val="24"/>
        </w:rPr>
        <w:t>is</w:t>
      </w:r>
      <w:proofErr w:type="gramEnd"/>
      <w:r w:rsidRPr="001B79F3">
        <w:rPr>
          <w:sz w:val="24"/>
          <w:szCs w:val="24"/>
        </w:rPr>
        <w:t xml:space="preserve"> available to persons with physical, visual</w:t>
      </w:r>
      <w:r w:rsidR="006C1A56" w:rsidRPr="001B79F3">
        <w:rPr>
          <w:sz w:val="24"/>
          <w:szCs w:val="24"/>
        </w:rPr>
        <w:t xml:space="preserve"> and intellectual disabilities, </w:t>
      </w:r>
      <w:r w:rsidRPr="001B79F3">
        <w:rPr>
          <w:sz w:val="24"/>
          <w:szCs w:val="24"/>
        </w:rPr>
        <w:t>subject to the authorisation of the election authorities.” (p.50)</w:t>
      </w:r>
    </w:p>
    <w:p w14:paraId="230C52EE" w14:textId="77777777" w:rsidR="00281962" w:rsidRPr="001B79F3" w:rsidRDefault="00281962" w:rsidP="00782C1C">
      <w:pPr>
        <w:spacing w:line="240" w:lineRule="auto"/>
        <w:contextualSpacing/>
        <w:rPr>
          <w:sz w:val="24"/>
          <w:szCs w:val="24"/>
        </w:rPr>
      </w:pPr>
    </w:p>
    <w:p w14:paraId="2AD63679" w14:textId="77777777" w:rsidR="00281962" w:rsidRPr="001B79F3" w:rsidRDefault="00281962" w:rsidP="00782C1C">
      <w:pPr>
        <w:spacing w:line="240" w:lineRule="auto"/>
        <w:contextualSpacing/>
        <w:rPr>
          <w:sz w:val="24"/>
          <w:szCs w:val="24"/>
        </w:rPr>
      </w:pPr>
      <w:r w:rsidRPr="001B79F3">
        <w:rPr>
          <w:sz w:val="24"/>
          <w:szCs w:val="24"/>
        </w:rPr>
        <w:t xml:space="preserve">“In all other Member States training for election authorities and officials on these issues is not required by law. However, in 15 EU Member States – Belgium, Bulgaria, Cyprus, the Czech Republic, Finland, France, Germany, Greece, Ireland, Italy, Lithuania, Poland, </w:t>
      </w:r>
      <w:r w:rsidRPr="00025F5D">
        <w:rPr>
          <w:b/>
          <w:sz w:val="24"/>
          <w:szCs w:val="24"/>
        </w:rPr>
        <w:t>Slovenia</w:t>
      </w:r>
      <w:r w:rsidRPr="001B79F3">
        <w:rPr>
          <w:sz w:val="24"/>
          <w:szCs w:val="24"/>
        </w:rPr>
        <w:t>,</w:t>
      </w:r>
    </w:p>
    <w:p w14:paraId="1946C824" w14:textId="53896B44" w:rsidR="007D40E1" w:rsidRDefault="00281962" w:rsidP="007D40E1">
      <w:pPr>
        <w:spacing w:line="240" w:lineRule="auto"/>
        <w:contextualSpacing/>
        <w:rPr>
          <w:sz w:val="24"/>
          <w:szCs w:val="24"/>
        </w:rPr>
      </w:pPr>
      <w:r w:rsidRPr="001B79F3">
        <w:rPr>
          <w:sz w:val="24"/>
          <w:szCs w:val="24"/>
        </w:rPr>
        <w:t xml:space="preserve">Spain and the United Kingdom – the research indicates that training material or specific instructions on how to ensure non-discrimination on the ground of disability and accessibility in voting procedures is </w:t>
      </w:r>
      <w:r w:rsidR="007D40E1" w:rsidRPr="001B79F3">
        <w:rPr>
          <w:sz w:val="24"/>
          <w:szCs w:val="24"/>
        </w:rPr>
        <w:t>provided</w:t>
      </w:r>
      <w:r w:rsidR="007D40E1">
        <w:rPr>
          <w:sz w:val="24"/>
          <w:szCs w:val="24"/>
        </w:rPr>
        <w:t xml:space="preserve">. In </w:t>
      </w:r>
      <w:r w:rsidR="007D40E1" w:rsidRPr="007D40E1">
        <w:rPr>
          <w:sz w:val="24"/>
          <w:szCs w:val="24"/>
        </w:rPr>
        <w:t>Finland, the Ministry of</w:t>
      </w:r>
      <w:r w:rsidR="007D40E1">
        <w:rPr>
          <w:sz w:val="24"/>
          <w:szCs w:val="24"/>
        </w:rPr>
        <w:t xml:space="preserve"> Justice issues instructions to </w:t>
      </w:r>
      <w:r w:rsidR="007D40E1" w:rsidRPr="007D40E1">
        <w:rPr>
          <w:sz w:val="24"/>
          <w:szCs w:val="24"/>
        </w:rPr>
        <w:t>all election committ</w:t>
      </w:r>
      <w:r w:rsidR="007D40E1">
        <w:rPr>
          <w:sz w:val="24"/>
          <w:szCs w:val="24"/>
        </w:rPr>
        <w:t xml:space="preserve">ees that include information on </w:t>
      </w:r>
      <w:r w:rsidR="007D40E1" w:rsidRPr="007D40E1">
        <w:rPr>
          <w:sz w:val="24"/>
          <w:szCs w:val="24"/>
        </w:rPr>
        <w:t>accessibility, while in Lit</w:t>
      </w:r>
      <w:r w:rsidR="007D40E1">
        <w:rPr>
          <w:sz w:val="24"/>
          <w:szCs w:val="24"/>
        </w:rPr>
        <w:t xml:space="preserve">huania and </w:t>
      </w:r>
      <w:r w:rsidR="007D40E1" w:rsidRPr="007D40E1">
        <w:rPr>
          <w:b/>
          <w:sz w:val="24"/>
          <w:szCs w:val="24"/>
        </w:rPr>
        <w:t>Slovenia</w:t>
      </w:r>
      <w:r w:rsidR="007D40E1">
        <w:rPr>
          <w:sz w:val="24"/>
          <w:szCs w:val="24"/>
        </w:rPr>
        <w:t xml:space="preserve"> the central </w:t>
      </w:r>
      <w:r w:rsidR="007D40E1" w:rsidRPr="007D40E1">
        <w:rPr>
          <w:sz w:val="24"/>
          <w:szCs w:val="24"/>
        </w:rPr>
        <w:t>election authority pr</w:t>
      </w:r>
      <w:r w:rsidR="007D40E1">
        <w:rPr>
          <w:sz w:val="24"/>
          <w:szCs w:val="24"/>
        </w:rPr>
        <w:t xml:space="preserve">ovides training during election </w:t>
      </w:r>
      <w:r w:rsidR="007D40E1" w:rsidRPr="007D40E1">
        <w:rPr>
          <w:sz w:val="24"/>
          <w:szCs w:val="24"/>
        </w:rPr>
        <w:t>campaigns, where ele</w:t>
      </w:r>
      <w:r w:rsidR="007D40E1">
        <w:rPr>
          <w:sz w:val="24"/>
          <w:szCs w:val="24"/>
        </w:rPr>
        <w:t xml:space="preserve">ction rights, accessibility and </w:t>
      </w:r>
      <w:r w:rsidR="007D40E1" w:rsidRPr="007D40E1">
        <w:rPr>
          <w:sz w:val="24"/>
          <w:szCs w:val="24"/>
        </w:rPr>
        <w:t>necessary accommodation</w:t>
      </w:r>
      <w:r w:rsidR="007D40E1">
        <w:rPr>
          <w:sz w:val="24"/>
          <w:szCs w:val="24"/>
        </w:rPr>
        <w:t xml:space="preserve">s to exercise the right to vote </w:t>
      </w:r>
      <w:r w:rsidR="007D40E1" w:rsidRPr="007D40E1">
        <w:rPr>
          <w:sz w:val="24"/>
          <w:szCs w:val="24"/>
        </w:rPr>
        <w:t>for all, including persons with disabilities, are covered.</w:t>
      </w:r>
      <w:r w:rsidR="007D40E1">
        <w:rPr>
          <w:sz w:val="24"/>
          <w:szCs w:val="24"/>
        </w:rPr>
        <w:t>”</w:t>
      </w:r>
      <w:r w:rsidRPr="001B79F3">
        <w:rPr>
          <w:sz w:val="24"/>
          <w:szCs w:val="24"/>
        </w:rPr>
        <w:t xml:space="preserve"> (p.52)</w:t>
      </w:r>
    </w:p>
    <w:p w14:paraId="4B78CE0A" w14:textId="77777777" w:rsidR="007D40E1" w:rsidRDefault="007D40E1" w:rsidP="007D40E1">
      <w:pPr>
        <w:spacing w:line="240" w:lineRule="auto"/>
        <w:contextualSpacing/>
        <w:rPr>
          <w:sz w:val="24"/>
          <w:szCs w:val="24"/>
        </w:rPr>
      </w:pPr>
    </w:p>
    <w:p w14:paraId="748541FA" w14:textId="5B375FED" w:rsidR="007D40E1" w:rsidRDefault="007D40E1" w:rsidP="007D40E1">
      <w:pPr>
        <w:autoSpaceDE w:val="0"/>
        <w:autoSpaceDN w:val="0"/>
        <w:adjustRightInd w:val="0"/>
        <w:spacing w:after="0" w:line="240" w:lineRule="auto"/>
        <w:rPr>
          <w:rFonts w:eastAsia="DaxlinePro-Regular" w:cs="DaxlinePro-Regular"/>
          <w:sz w:val="24"/>
          <w:szCs w:val="24"/>
        </w:rPr>
      </w:pPr>
      <w:r w:rsidRPr="007D40E1">
        <w:rPr>
          <w:rFonts w:eastAsia="DaxlinePro-Regular" w:cs="DaxlinePro-Regular"/>
          <w:sz w:val="24"/>
          <w:szCs w:val="24"/>
        </w:rPr>
        <w:t xml:space="preserve">“In the first group of Member States, people who are prevented from voting because they have been deprived of their legal capacity are denied access to redress regarding problems experienced in the voting process. This is the case in </w:t>
      </w:r>
      <w:r w:rsidRPr="007D40E1">
        <w:rPr>
          <w:rFonts w:eastAsia="DaxlinePro-Regular" w:cs="DaxlinePro-Bold"/>
          <w:bCs/>
          <w:sz w:val="24"/>
          <w:szCs w:val="24"/>
        </w:rPr>
        <w:t>Denmark</w:t>
      </w:r>
      <w:r w:rsidRPr="007D40E1">
        <w:rPr>
          <w:rFonts w:eastAsia="DaxlinePro-Regular" w:cs="DaxlinePro-Regular"/>
          <w:sz w:val="24"/>
          <w:szCs w:val="24"/>
        </w:rPr>
        <w:t xml:space="preserve">, </w:t>
      </w:r>
      <w:r w:rsidRPr="007D40E1">
        <w:rPr>
          <w:rFonts w:eastAsia="DaxlinePro-Regular" w:cs="DaxlinePro-Bold"/>
          <w:bCs/>
          <w:sz w:val="24"/>
          <w:szCs w:val="24"/>
        </w:rPr>
        <w:t>Estonia</w:t>
      </w:r>
      <w:r w:rsidRPr="007D40E1">
        <w:rPr>
          <w:rFonts w:eastAsia="DaxlinePro-Regular" w:cs="DaxlinePro-Regular"/>
          <w:sz w:val="24"/>
          <w:szCs w:val="24"/>
        </w:rPr>
        <w:t xml:space="preserve">, </w:t>
      </w:r>
      <w:r w:rsidRPr="007D40E1">
        <w:rPr>
          <w:rFonts w:eastAsia="DaxlinePro-Regular" w:cs="DaxlinePro-Bold"/>
          <w:bCs/>
          <w:sz w:val="24"/>
          <w:szCs w:val="24"/>
        </w:rPr>
        <w:t>Greece</w:t>
      </w:r>
      <w:r w:rsidRPr="007D40E1">
        <w:rPr>
          <w:rFonts w:eastAsia="DaxlinePro-Regular" w:cs="DaxlinePro-Regular"/>
          <w:sz w:val="24"/>
          <w:szCs w:val="24"/>
        </w:rPr>
        <w:t xml:space="preserve">, </w:t>
      </w:r>
      <w:r w:rsidRPr="007D40E1">
        <w:rPr>
          <w:rFonts w:eastAsia="DaxlinePro-Regular" w:cs="DaxlinePro-Bold"/>
          <w:bCs/>
          <w:sz w:val="24"/>
          <w:szCs w:val="24"/>
        </w:rPr>
        <w:t>Ireland</w:t>
      </w:r>
      <w:r w:rsidRPr="007D40E1">
        <w:rPr>
          <w:rFonts w:eastAsia="DaxlinePro-Regular" w:cs="DaxlinePro-Regular"/>
          <w:sz w:val="24"/>
          <w:szCs w:val="24"/>
        </w:rPr>
        <w:t xml:space="preserve">, </w:t>
      </w:r>
      <w:r w:rsidRPr="007D40E1">
        <w:rPr>
          <w:rFonts w:eastAsia="DaxlinePro-Regular" w:cs="DaxlinePro-Bold"/>
          <w:bCs/>
          <w:sz w:val="24"/>
          <w:szCs w:val="24"/>
        </w:rPr>
        <w:t>Lithuania</w:t>
      </w:r>
      <w:r w:rsidRPr="007D40E1">
        <w:rPr>
          <w:rFonts w:eastAsia="DaxlinePro-Regular" w:cs="DaxlinePro-Regular"/>
          <w:sz w:val="24"/>
          <w:szCs w:val="24"/>
        </w:rPr>
        <w:t xml:space="preserve">, </w:t>
      </w:r>
      <w:r w:rsidRPr="007D40E1">
        <w:rPr>
          <w:rFonts w:eastAsia="DaxlinePro-Regular" w:cs="DaxlinePro-Bold"/>
          <w:bCs/>
          <w:sz w:val="24"/>
          <w:szCs w:val="24"/>
        </w:rPr>
        <w:t>Poland</w:t>
      </w:r>
      <w:r w:rsidRPr="007D40E1">
        <w:rPr>
          <w:rFonts w:eastAsia="DaxlinePro-Regular" w:cs="DaxlinePro-Regular"/>
          <w:sz w:val="24"/>
          <w:szCs w:val="24"/>
        </w:rPr>
        <w:t xml:space="preserve">, </w:t>
      </w:r>
      <w:r w:rsidRPr="007D40E1">
        <w:rPr>
          <w:rFonts w:eastAsia="DaxlinePro-Regular" w:cs="DaxlinePro-Bold"/>
          <w:b/>
          <w:bCs/>
          <w:sz w:val="24"/>
          <w:szCs w:val="24"/>
        </w:rPr>
        <w:t xml:space="preserve">Slovenia </w:t>
      </w:r>
      <w:r w:rsidRPr="007D40E1">
        <w:rPr>
          <w:rFonts w:eastAsia="DaxlinePro-Regular" w:cs="DaxlinePro-Regular"/>
          <w:sz w:val="24"/>
          <w:szCs w:val="24"/>
        </w:rPr>
        <w:t xml:space="preserve">and </w:t>
      </w:r>
      <w:r w:rsidRPr="007D40E1">
        <w:rPr>
          <w:rFonts w:eastAsia="DaxlinePro-Regular" w:cs="DaxlinePro-Bold"/>
          <w:bCs/>
          <w:sz w:val="24"/>
          <w:szCs w:val="24"/>
        </w:rPr>
        <w:t>Slovakia</w:t>
      </w:r>
      <w:r w:rsidRPr="007D40E1">
        <w:rPr>
          <w:rFonts w:eastAsia="DaxlinePro-Regular" w:cs="DaxlinePro-Regular"/>
          <w:sz w:val="24"/>
          <w:szCs w:val="24"/>
        </w:rPr>
        <w:t>. In these situations, the law requires that a person deprived of his or her legal capacity first challenge this decision. Only once his or her legal capacity is restored, can the person seek redress for being deprived of the right to vote.” (p.53)</w:t>
      </w:r>
    </w:p>
    <w:p w14:paraId="6B671797" w14:textId="7FD68A9A" w:rsidR="00281962" w:rsidRPr="001B79F3" w:rsidRDefault="007D40E1" w:rsidP="00782C1C">
      <w:pPr>
        <w:autoSpaceDE w:val="0"/>
        <w:autoSpaceDN w:val="0"/>
        <w:adjustRightInd w:val="0"/>
        <w:spacing w:line="240" w:lineRule="auto"/>
        <w:rPr>
          <w:rFonts w:eastAsia="DaxlinePro-Regular" w:cs="DaxlinePro-Regular"/>
          <w:sz w:val="24"/>
          <w:szCs w:val="24"/>
        </w:rPr>
      </w:pPr>
      <w:r w:rsidRPr="001B79F3">
        <w:rPr>
          <w:rFonts w:eastAsia="DaxlinePro-Regular" w:cs="DaxlinePro-Regular"/>
          <w:sz w:val="24"/>
          <w:szCs w:val="24"/>
        </w:rPr>
        <w:t xml:space="preserve"> </w:t>
      </w:r>
      <w:r w:rsidR="00281962" w:rsidRPr="001B79F3">
        <w:rPr>
          <w:rFonts w:eastAsia="DaxlinePro-Regular" w:cs="DaxlinePro-Regular"/>
          <w:sz w:val="24"/>
          <w:szCs w:val="24"/>
        </w:rPr>
        <w:t xml:space="preserve">“A second group of EU Member States, Austria, Belgium, Bulgaria, Finland, Hungary, Latvia, the Netherlands, Portugal, </w:t>
      </w:r>
      <w:r w:rsidR="00281962" w:rsidRPr="007D40E1">
        <w:rPr>
          <w:rFonts w:eastAsia="DaxlinePro-Regular" w:cs="DaxlinePro-Regular"/>
          <w:b/>
          <w:sz w:val="24"/>
          <w:szCs w:val="24"/>
        </w:rPr>
        <w:t>Slovenia</w:t>
      </w:r>
      <w:r w:rsidR="00281962" w:rsidRPr="001B79F3">
        <w:rPr>
          <w:rFonts w:eastAsia="DaxlinePro-Regular" w:cs="DaxlinePro-Regular"/>
          <w:sz w:val="24"/>
          <w:szCs w:val="24"/>
        </w:rPr>
        <w:t xml:space="preserve"> and the </w:t>
      </w:r>
      <w:r w:rsidR="00281962" w:rsidRPr="007D40E1">
        <w:rPr>
          <w:rFonts w:eastAsia="DaxlinePro-Regular" w:cs="DaxlinePro-Regular"/>
          <w:sz w:val="24"/>
          <w:szCs w:val="24"/>
        </w:rPr>
        <w:t>United Kingdom, provide</w:t>
      </w:r>
      <w:r w:rsidR="00281962" w:rsidRPr="001B79F3">
        <w:rPr>
          <w:rFonts w:eastAsia="DaxlinePro-Regular" w:cs="DaxlinePro-Regular"/>
          <w:sz w:val="24"/>
          <w:szCs w:val="24"/>
        </w:rPr>
        <w:t xml:space="preserve"> information on complaint procedures regarding political participation in a format that i</w:t>
      </w:r>
      <w:r w:rsidR="00782C1C" w:rsidRPr="001B79F3">
        <w:rPr>
          <w:rFonts w:eastAsia="DaxlinePro-Regular" w:cs="DaxlinePro-Regular"/>
          <w:sz w:val="24"/>
          <w:szCs w:val="24"/>
        </w:rPr>
        <w:t>s partially accessible.” (p.60)</w:t>
      </w:r>
    </w:p>
    <w:p w14:paraId="560CC8A6" w14:textId="57EA80DE" w:rsidR="00281962" w:rsidRDefault="00281962" w:rsidP="007D40E1">
      <w:pPr>
        <w:autoSpaceDE w:val="0"/>
        <w:autoSpaceDN w:val="0"/>
        <w:adjustRightInd w:val="0"/>
        <w:spacing w:line="240" w:lineRule="auto"/>
        <w:rPr>
          <w:rFonts w:eastAsia="DaxlinePro-Regular" w:cs="DaxlinePro-Regular"/>
          <w:sz w:val="24"/>
          <w:szCs w:val="24"/>
        </w:rPr>
      </w:pPr>
      <w:r w:rsidRPr="001B79F3">
        <w:rPr>
          <w:rFonts w:eastAsia="DaxlinePro-Regular" w:cs="DaxlinePro-Regular"/>
          <w:sz w:val="24"/>
          <w:szCs w:val="24"/>
        </w:rPr>
        <w:t>“</w:t>
      </w:r>
      <w:r w:rsidR="007D40E1" w:rsidRPr="007D40E1">
        <w:rPr>
          <w:rFonts w:eastAsia="DaxlinePro-Regular" w:cs="DaxlinePro-Regular"/>
          <w:sz w:val="24"/>
          <w:szCs w:val="24"/>
        </w:rPr>
        <w:t xml:space="preserve">In </w:t>
      </w:r>
      <w:r w:rsidR="007D40E1" w:rsidRPr="007D40E1">
        <w:rPr>
          <w:rFonts w:eastAsia="DaxlinePro-Regular" w:cs="DaxlinePro-Regular"/>
          <w:b/>
          <w:sz w:val="24"/>
          <w:szCs w:val="24"/>
        </w:rPr>
        <w:t>Slovenia</w:t>
      </w:r>
      <w:r w:rsidR="007D40E1" w:rsidRPr="007D40E1">
        <w:rPr>
          <w:rFonts w:eastAsia="DaxlinePro-Regular" w:cs="DaxlinePro-Regular"/>
          <w:sz w:val="24"/>
          <w:szCs w:val="24"/>
        </w:rPr>
        <w:t>, the Consti</w:t>
      </w:r>
      <w:r w:rsidR="007D40E1">
        <w:rPr>
          <w:rFonts w:eastAsia="DaxlinePro-Regular" w:cs="DaxlinePro-Regular"/>
          <w:sz w:val="24"/>
          <w:szCs w:val="24"/>
        </w:rPr>
        <w:t xml:space="preserve">tutional Court in 2010 rejected </w:t>
      </w:r>
      <w:r w:rsidR="007D40E1" w:rsidRPr="007D40E1">
        <w:rPr>
          <w:rFonts w:eastAsia="DaxlinePro-Regular" w:cs="DaxlinePro-Regular"/>
          <w:sz w:val="24"/>
          <w:szCs w:val="24"/>
        </w:rPr>
        <w:t>a complaint challenging the requ</w:t>
      </w:r>
      <w:r w:rsidR="007D40E1">
        <w:rPr>
          <w:rFonts w:eastAsia="DaxlinePro-Regular" w:cs="DaxlinePro-Regular"/>
          <w:sz w:val="24"/>
          <w:szCs w:val="24"/>
        </w:rPr>
        <w:t xml:space="preserve">irement to submit an </w:t>
      </w:r>
      <w:r w:rsidR="007D40E1" w:rsidRPr="007D40E1">
        <w:rPr>
          <w:rFonts w:eastAsia="DaxlinePro-Regular" w:cs="DaxlinePro-Regular"/>
          <w:sz w:val="24"/>
          <w:szCs w:val="24"/>
        </w:rPr>
        <w:t>application to use an access</w:t>
      </w:r>
      <w:r w:rsidR="007D40E1">
        <w:rPr>
          <w:rFonts w:eastAsia="DaxlinePro-Regular" w:cs="DaxlinePro-Regular"/>
          <w:sz w:val="24"/>
          <w:szCs w:val="24"/>
        </w:rPr>
        <w:t xml:space="preserve">ible polling station three days </w:t>
      </w:r>
      <w:r w:rsidR="007D40E1" w:rsidRPr="007D40E1">
        <w:rPr>
          <w:rFonts w:eastAsia="DaxlinePro-Regular" w:cs="DaxlinePro-Regular"/>
          <w:sz w:val="24"/>
          <w:szCs w:val="24"/>
        </w:rPr>
        <w:t>before elections as unfoun</w:t>
      </w:r>
      <w:r w:rsidR="007D40E1">
        <w:rPr>
          <w:rFonts w:eastAsia="DaxlinePro-Regular" w:cs="DaxlinePro-Regular"/>
          <w:sz w:val="24"/>
          <w:szCs w:val="24"/>
        </w:rPr>
        <w:t xml:space="preserve">ded. In his application, the </w:t>
      </w:r>
      <w:r w:rsidR="007D40E1" w:rsidRPr="007D40E1">
        <w:rPr>
          <w:rFonts w:eastAsia="DaxlinePro-Regular" w:cs="DaxlinePro-Regular"/>
          <w:sz w:val="24"/>
          <w:szCs w:val="24"/>
        </w:rPr>
        <w:t>claimant had specifically mentioned the</w:t>
      </w:r>
      <w:r w:rsidR="007D40E1">
        <w:rPr>
          <w:rFonts w:eastAsia="DaxlinePro-Regular" w:cs="DaxlinePro-Regular"/>
          <w:sz w:val="24"/>
          <w:szCs w:val="24"/>
        </w:rPr>
        <w:t xml:space="preserve"> principle of non-discrimination </w:t>
      </w:r>
      <w:r w:rsidR="007D40E1" w:rsidRPr="007D40E1">
        <w:rPr>
          <w:rFonts w:eastAsia="DaxlinePro-Regular" w:cs="DaxlinePro-Regular"/>
          <w:sz w:val="24"/>
          <w:szCs w:val="24"/>
        </w:rPr>
        <w:t>on the grou</w:t>
      </w:r>
      <w:r w:rsidR="007D40E1">
        <w:rPr>
          <w:rFonts w:eastAsia="DaxlinePro-Regular" w:cs="DaxlinePro-Regular"/>
          <w:sz w:val="24"/>
          <w:szCs w:val="24"/>
        </w:rPr>
        <w:t xml:space="preserve">nds of disability and the right </w:t>
      </w:r>
      <w:r w:rsidR="007D40E1" w:rsidRPr="007D40E1">
        <w:rPr>
          <w:rFonts w:eastAsia="DaxlinePro-Regular" w:cs="DaxlinePro-Regular"/>
          <w:sz w:val="24"/>
          <w:szCs w:val="24"/>
        </w:rPr>
        <w:t>to political participatio</w:t>
      </w:r>
      <w:r w:rsidR="007D40E1">
        <w:rPr>
          <w:rFonts w:eastAsia="DaxlinePro-Regular" w:cs="DaxlinePro-Regular"/>
          <w:sz w:val="24"/>
          <w:szCs w:val="24"/>
        </w:rPr>
        <w:t xml:space="preserve">n on an equal basis with others </w:t>
      </w:r>
      <w:r w:rsidR="007D40E1" w:rsidRPr="007D40E1">
        <w:rPr>
          <w:rFonts w:eastAsia="DaxlinePro-Regular" w:cs="DaxlinePro-Regular"/>
          <w:sz w:val="24"/>
          <w:szCs w:val="24"/>
        </w:rPr>
        <w:t>outlined in the CRPD.</w:t>
      </w:r>
      <w:r w:rsidR="007D40E1">
        <w:rPr>
          <w:rFonts w:eastAsia="DaxlinePro-Regular" w:cs="DaxlinePro-Regular"/>
          <w:sz w:val="24"/>
          <w:szCs w:val="24"/>
        </w:rPr>
        <w:t>” (p.62</w:t>
      </w:r>
      <w:r w:rsidR="00782C1C" w:rsidRPr="001B79F3">
        <w:rPr>
          <w:rFonts w:eastAsia="DaxlinePro-Regular" w:cs="DaxlinePro-Regular"/>
          <w:sz w:val="24"/>
          <w:szCs w:val="24"/>
        </w:rPr>
        <w:t>)</w:t>
      </w:r>
    </w:p>
    <w:p w14:paraId="0EC3C2DE" w14:textId="153E1F5A" w:rsidR="00281962" w:rsidRPr="001B79F3" w:rsidRDefault="007D40E1" w:rsidP="00782C1C">
      <w:pPr>
        <w:autoSpaceDE w:val="0"/>
        <w:autoSpaceDN w:val="0"/>
        <w:adjustRightInd w:val="0"/>
        <w:spacing w:line="240" w:lineRule="auto"/>
        <w:rPr>
          <w:rFonts w:eastAsia="DaxlinePro-Regular" w:cs="DaxlinePro-Regular"/>
          <w:sz w:val="24"/>
          <w:szCs w:val="24"/>
        </w:rPr>
      </w:pPr>
      <w:r w:rsidRPr="001B79F3">
        <w:rPr>
          <w:rFonts w:eastAsia="DaxlinePro-Regular" w:cs="DaxlinePro-Regular"/>
          <w:sz w:val="24"/>
          <w:szCs w:val="24"/>
        </w:rPr>
        <w:t xml:space="preserve"> </w:t>
      </w:r>
      <w:r w:rsidR="00281962" w:rsidRPr="001B79F3">
        <w:rPr>
          <w:rFonts w:eastAsia="DaxlinePro-Regular" w:cs="DaxlinePro-Regular"/>
          <w:sz w:val="24"/>
          <w:szCs w:val="24"/>
        </w:rPr>
        <w:t>“</w:t>
      </w:r>
      <w:r w:rsidRPr="007D40E1">
        <w:rPr>
          <w:rFonts w:eastAsia="DaxlinePro-Regular" w:cs="DaxlinePro-Regular"/>
          <w:sz w:val="24"/>
          <w:szCs w:val="24"/>
        </w:rPr>
        <w:t xml:space="preserve">In Malta, </w:t>
      </w:r>
      <w:r w:rsidRPr="00271B80">
        <w:rPr>
          <w:rFonts w:eastAsia="DaxlinePro-Regular" w:cs="DaxlinePro-Regular"/>
          <w:b/>
          <w:sz w:val="24"/>
          <w:szCs w:val="24"/>
        </w:rPr>
        <w:t>Slovenia</w:t>
      </w:r>
      <w:r w:rsidRPr="007D40E1">
        <w:rPr>
          <w:rFonts w:eastAsia="DaxlinePro-Regular" w:cs="DaxlinePro-Regular"/>
          <w:sz w:val="24"/>
          <w:szCs w:val="24"/>
        </w:rPr>
        <w:t xml:space="preserve"> and S</w:t>
      </w:r>
      <w:r>
        <w:rPr>
          <w:rFonts w:eastAsia="DaxlinePro-Regular" w:cs="DaxlinePro-Regular"/>
          <w:sz w:val="24"/>
          <w:szCs w:val="24"/>
        </w:rPr>
        <w:t xml:space="preserve">pain, this research found cases </w:t>
      </w:r>
      <w:r w:rsidRPr="007D40E1">
        <w:rPr>
          <w:rFonts w:eastAsia="DaxlinePro-Regular" w:cs="DaxlinePro-Regular"/>
          <w:sz w:val="24"/>
          <w:szCs w:val="24"/>
        </w:rPr>
        <w:t>linked to the accessibility of i</w:t>
      </w:r>
      <w:r>
        <w:rPr>
          <w:rFonts w:eastAsia="DaxlinePro-Regular" w:cs="DaxlinePro-Regular"/>
          <w:sz w:val="24"/>
          <w:szCs w:val="24"/>
        </w:rPr>
        <w:t xml:space="preserve">nformation regarding elections, </w:t>
      </w:r>
      <w:r w:rsidRPr="007D40E1">
        <w:rPr>
          <w:rFonts w:eastAsia="DaxlinePro-Regular" w:cs="DaxlinePro-Regular"/>
          <w:sz w:val="24"/>
          <w:szCs w:val="24"/>
        </w:rPr>
        <w:t xml:space="preserve">specifically for </w:t>
      </w:r>
      <w:r>
        <w:rPr>
          <w:rFonts w:eastAsia="DaxlinePro-Regular" w:cs="DaxlinePro-Regular"/>
          <w:sz w:val="24"/>
          <w:szCs w:val="24"/>
        </w:rPr>
        <w:t xml:space="preserve">persons with visual and hearing </w:t>
      </w:r>
      <w:r w:rsidRPr="007D40E1">
        <w:rPr>
          <w:rFonts w:eastAsia="DaxlinePro-Regular" w:cs="DaxlinePro-Regular"/>
          <w:sz w:val="24"/>
          <w:szCs w:val="24"/>
        </w:rPr>
        <w:t>impairments</w:t>
      </w:r>
      <w:r w:rsidR="00281962" w:rsidRPr="001B79F3">
        <w:rPr>
          <w:rFonts w:eastAsia="DaxlinePro-Regular" w:cs="DaxlinePro-Regular"/>
          <w:sz w:val="24"/>
          <w:szCs w:val="24"/>
        </w:rPr>
        <w:t>.</w:t>
      </w:r>
      <w:r w:rsidR="00271B80">
        <w:rPr>
          <w:rFonts w:eastAsia="DaxlinePro-Regular" w:cs="DaxlinePro-Regular"/>
          <w:sz w:val="24"/>
          <w:szCs w:val="24"/>
        </w:rPr>
        <w:t xml:space="preserve"> […]Following </w:t>
      </w:r>
      <w:r w:rsidR="00271B80" w:rsidRPr="00271B80">
        <w:rPr>
          <w:rFonts w:eastAsia="DaxlinePro-Regular" w:cs="DaxlinePro-Regular"/>
          <w:sz w:val="24"/>
          <w:szCs w:val="24"/>
        </w:rPr>
        <w:t>the 2011 parliamen</w:t>
      </w:r>
      <w:r w:rsidR="00271B80">
        <w:rPr>
          <w:rFonts w:eastAsia="DaxlinePro-Regular" w:cs="DaxlinePro-Regular"/>
          <w:sz w:val="24"/>
          <w:szCs w:val="24"/>
        </w:rPr>
        <w:t xml:space="preserve">tary elections in </w:t>
      </w:r>
      <w:r w:rsidR="00271B80" w:rsidRPr="00271B80">
        <w:rPr>
          <w:rFonts w:eastAsia="DaxlinePro-Regular" w:cs="DaxlinePro-Regular"/>
          <w:b/>
          <w:sz w:val="24"/>
          <w:szCs w:val="24"/>
        </w:rPr>
        <w:t>Slovenia</w:t>
      </w:r>
      <w:r w:rsidR="00271B80">
        <w:rPr>
          <w:rFonts w:eastAsia="DaxlinePro-Regular" w:cs="DaxlinePro-Regular"/>
          <w:sz w:val="24"/>
          <w:szCs w:val="24"/>
        </w:rPr>
        <w:t xml:space="preserve">, the </w:t>
      </w:r>
      <w:r w:rsidR="00271B80" w:rsidRPr="00271B80">
        <w:rPr>
          <w:rFonts w:eastAsia="DaxlinePro-Regular" w:cs="DaxlinePro-Regular"/>
          <w:sz w:val="24"/>
          <w:szCs w:val="24"/>
        </w:rPr>
        <w:t>Advocate of the Principle o</w:t>
      </w:r>
      <w:r w:rsidR="00271B80">
        <w:rPr>
          <w:rFonts w:eastAsia="DaxlinePro-Regular" w:cs="DaxlinePro-Regular"/>
          <w:sz w:val="24"/>
          <w:szCs w:val="24"/>
        </w:rPr>
        <w:t xml:space="preserve">f Equality received a complaint </w:t>
      </w:r>
      <w:r w:rsidR="00271B80" w:rsidRPr="00271B80">
        <w:rPr>
          <w:rFonts w:eastAsia="DaxlinePro-Regular" w:cs="DaxlinePro-Regular"/>
          <w:sz w:val="24"/>
          <w:szCs w:val="24"/>
        </w:rPr>
        <w:t>concerning the lack of information</w:t>
      </w:r>
      <w:r w:rsidR="00271B80">
        <w:rPr>
          <w:rFonts w:eastAsia="DaxlinePro-Regular" w:cs="DaxlinePro-Regular"/>
          <w:sz w:val="24"/>
          <w:szCs w:val="24"/>
        </w:rPr>
        <w:t xml:space="preserve"> provided by </w:t>
      </w:r>
      <w:r w:rsidR="00271B80" w:rsidRPr="00271B80">
        <w:rPr>
          <w:rFonts w:eastAsia="DaxlinePro-Regular" w:cs="DaxlinePro-Regular"/>
          <w:sz w:val="24"/>
          <w:szCs w:val="24"/>
        </w:rPr>
        <w:t>the National Electoral</w:t>
      </w:r>
      <w:r w:rsidR="00271B80">
        <w:rPr>
          <w:rFonts w:eastAsia="DaxlinePro-Regular" w:cs="DaxlinePro-Regular"/>
          <w:sz w:val="24"/>
          <w:szCs w:val="24"/>
        </w:rPr>
        <w:t xml:space="preserve"> Commission on how persons with </w:t>
      </w:r>
      <w:r w:rsidR="00271B80" w:rsidRPr="00271B80">
        <w:rPr>
          <w:rFonts w:eastAsia="DaxlinePro-Regular" w:cs="DaxlinePro-Regular"/>
          <w:sz w:val="24"/>
          <w:szCs w:val="24"/>
        </w:rPr>
        <w:t>disabilities could exercise</w:t>
      </w:r>
      <w:r w:rsidR="00271B80">
        <w:rPr>
          <w:rFonts w:eastAsia="DaxlinePro-Regular" w:cs="DaxlinePro-Regular"/>
          <w:sz w:val="24"/>
          <w:szCs w:val="24"/>
        </w:rPr>
        <w:t xml:space="preserve"> their right to vote. Following </w:t>
      </w:r>
      <w:r w:rsidR="00271B80" w:rsidRPr="00271B80">
        <w:rPr>
          <w:rFonts w:eastAsia="DaxlinePro-Regular" w:cs="DaxlinePro-Regular"/>
          <w:sz w:val="24"/>
          <w:szCs w:val="24"/>
        </w:rPr>
        <w:t>an investigation, t</w:t>
      </w:r>
      <w:r w:rsidR="00271B80">
        <w:rPr>
          <w:rFonts w:eastAsia="DaxlinePro-Regular" w:cs="DaxlinePro-Regular"/>
          <w:sz w:val="24"/>
          <w:szCs w:val="24"/>
        </w:rPr>
        <w:t xml:space="preserve">he advocate produced an opinion </w:t>
      </w:r>
      <w:r w:rsidR="00271B80" w:rsidRPr="00271B80">
        <w:rPr>
          <w:rFonts w:eastAsia="DaxlinePro-Regular" w:cs="DaxlinePro-Regular"/>
          <w:sz w:val="24"/>
          <w:szCs w:val="24"/>
        </w:rPr>
        <w:t>stating that the informa</w:t>
      </w:r>
      <w:r w:rsidR="00271B80">
        <w:rPr>
          <w:rFonts w:eastAsia="DaxlinePro-Regular" w:cs="DaxlinePro-Regular"/>
          <w:sz w:val="24"/>
          <w:szCs w:val="24"/>
        </w:rPr>
        <w:t xml:space="preserve">tion provided by the commission </w:t>
      </w:r>
      <w:r w:rsidR="00271B80" w:rsidRPr="00271B80">
        <w:rPr>
          <w:rFonts w:eastAsia="DaxlinePro-Regular" w:cs="DaxlinePro-Regular"/>
          <w:sz w:val="24"/>
          <w:szCs w:val="24"/>
        </w:rPr>
        <w:t>was not accessible to p</w:t>
      </w:r>
      <w:r w:rsidR="00271B80">
        <w:rPr>
          <w:rFonts w:eastAsia="DaxlinePro-Regular" w:cs="DaxlinePro-Regular"/>
          <w:sz w:val="24"/>
          <w:szCs w:val="24"/>
        </w:rPr>
        <w:t xml:space="preserve">eople with disabilities, which </w:t>
      </w:r>
      <w:r w:rsidR="00271B80" w:rsidRPr="00271B80">
        <w:rPr>
          <w:rFonts w:eastAsia="DaxlinePro-Regular" w:cs="DaxlinePro-Regular"/>
          <w:sz w:val="24"/>
          <w:szCs w:val="24"/>
        </w:rPr>
        <w:t xml:space="preserve">amounted to indirect </w:t>
      </w:r>
      <w:r w:rsidR="00271B80">
        <w:rPr>
          <w:rFonts w:eastAsia="DaxlinePro-Regular" w:cs="DaxlinePro-Regular"/>
          <w:sz w:val="24"/>
          <w:szCs w:val="24"/>
        </w:rPr>
        <w:t xml:space="preserve">discrimination on the ground of </w:t>
      </w:r>
      <w:r w:rsidR="00271B80" w:rsidRPr="00271B80">
        <w:rPr>
          <w:rFonts w:eastAsia="DaxlinePro-Regular" w:cs="DaxlinePro-Regular"/>
          <w:sz w:val="24"/>
          <w:szCs w:val="24"/>
        </w:rPr>
        <w:t>disability</w:t>
      </w:r>
      <w:r w:rsidR="00281962" w:rsidRPr="001B79F3">
        <w:rPr>
          <w:rFonts w:eastAsia="DaxlinePro-Regular" w:cs="DaxlinePro-Regular"/>
          <w:sz w:val="24"/>
          <w:szCs w:val="24"/>
        </w:rPr>
        <w:t>”</w:t>
      </w:r>
      <w:r w:rsidR="00271B80">
        <w:rPr>
          <w:rFonts w:eastAsia="DaxlinePro-Regular" w:cs="DaxlinePro-Regular"/>
          <w:sz w:val="24"/>
          <w:szCs w:val="24"/>
        </w:rPr>
        <w:t>. (p.63</w:t>
      </w:r>
      <w:r w:rsidR="00281962" w:rsidRPr="001B79F3">
        <w:rPr>
          <w:rFonts w:eastAsia="DaxlinePro-Regular" w:cs="DaxlinePro-Regular"/>
          <w:sz w:val="24"/>
          <w:szCs w:val="24"/>
        </w:rPr>
        <w:t>)</w:t>
      </w:r>
    </w:p>
    <w:p w14:paraId="6FE44F0B" w14:textId="3D317540" w:rsidR="00BC4D01" w:rsidRDefault="007D40E1" w:rsidP="00271B80">
      <w:pPr>
        <w:autoSpaceDE w:val="0"/>
        <w:autoSpaceDN w:val="0"/>
        <w:adjustRightInd w:val="0"/>
        <w:spacing w:line="240" w:lineRule="auto"/>
        <w:rPr>
          <w:rFonts w:eastAsia="DaxlinePro-Regular" w:cs="DaxlinePro-Regular"/>
          <w:sz w:val="24"/>
          <w:szCs w:val="24"/>
        </w:rPr>
      </w:pPr>
      <w:r w:rsidRPr="001B79F3">
        <w:rPr>
          <w:rFonts w:eastAsia="DaxlinePro-Regular" w:cs="DaxlinePro-Regular"/>
          <w:sz w:val="24"/>
          <w:szCs w:val="24"/>
        </w:rPr>
        <w:lastRenderedPageBreak/>
        <w:t xml:space="preserve"> </w:t>
      </w:r>
      <w:r w:rsidR="00281962" w:rsidRPr="001B79F3">
        <w:rPr>
          <w:rFonts w:eastAsia="DaxlinePro-Regular" w:cs="DaxlinePro-Regular"/>
          <w:sz w:val="24"/>
          <w:szCs w:val="24"/>
        </w:rPr>
        <w:t>“</w:t>
      </w:r>
      <w:r w:rsidR="00271B80" w:rsidRPr="00271B80">
        <w:rPr>
          <w:rFonts w:eastAsia="DaxlinePro-Regular" w:cs="DaxlinePro-Regular"/>
          <w:sz w:val="24"/>
          <w:szCs w:val="24"/>
        </w:rPr>
        <w:t>Th</w:t>
      </w:r>
      <w:r w:rsidR="00271B80">
        <w:rPr>
          <w:rFonts w:eastAsia="DaxlinePro-Regular" w:cs="DaxlinePro-Regular"/>
          <w:sz w:val="24"/>
          <w:szCs w:val="24"/>
        </w:rPr>
        <w:t xml:space="preserve">e National Electoral Commission </w:t>
      </w:r>
      <w:r w:rsidR="00271B80" w:rsidRPr="00271B80">
        <w:rPr>
          <w:rFonts w:eastAsia="DaxlinePro-Regular" w:cs="DaxlinePro-Regular"/>
          <w:sz w:val="24"/>
          <w:szCs w:val="24"/>
        </w:rPr>
        <w:t>(</w:t>
      </w:r>
      <w:r w:rsidR="00271B80" w:rsidRPr="00271B80">
        <w:rPr>
          <w:rFonts w:eastAsia="DaxlinePro-Regular" w:cs="DaxlinePro-Regular"/>
          <w:i/>
          <w:sz w:val="24"/>
          <w:szCs w:val="24"/>
        </w:rPr>
        <w:t>Državna volilna komisija</w:t>
      </w:r>
      <w:r w:rsidR="00271B80">
        <w:rPr>
          <w:rFonts w:eastAsia="DaxlinePro-Regular" w:cs="DaxlinePro-Regular"/>
          <w:sz w:val="24"/>
          <w:szCs w:val="24"/>
        </w:rPr>
        <w:t xml:space="preserve">) in </w:t>
      </w:r>
      <w:r w:rsidR="00271B80" w:rsidRPr="00C42C06">
        <w:rPr>
          <w:rFonts w:eastAsia="DaxlinePro-Regular" w:cs="DaxlinePro-Regular"/>
          <w:b/>
          <w:sz w:val="24"/>
          <w:szCs w:val="24"/>
        </w:rPr>
        <w:t>Slovenia</w:t>
      </w:r>
      <w:r w:rsidR="00271B80">
        <w:rPr>
          <w:rFonts w:eastAsia="DaxlinePro-Regular" w:cs="DaxlinePro-Regular"/>
          <w:sz w:val="24"/>
          <w:szCs w:val="24"/>
        </w:rPr>
        <w:t xml:space="preserve">, for example, </w:t>
      </w:r>
      <w:r w:rsidR="00271B80" w:rsidRPr="00271B80">
        <w:rPr>
          <w:rFonts w:eastAsia="DaxlinePro-Regular" w:cs="DaxlinePro-Regular"/>
          <w:sz w:val="24"/>
          <w:szCs w:val="24"/>
        </w:rPr>
        <w:t>provided FRA data indic</w:t>
      </w:r>
      <w:r w:rsidR="00271B80">
        <w:rPr>
          <w:rFonts w:eastAsia="DaxlinePro-Regular" w:cs="DaxlinePro-Regular"/>
          <w:sz w:val="24"/>
          <w:szCs w:val="24"/>
        </w:rPr>
        <w:t xml:space="preserve">ating that out of 3,337 polling </w:t>
      </w:r>
      <w:r w:rsidR="00271B80" w:rsidRPr="00271B80">
        <w:rPr>
          <w:rFonts w:eastAsia="DaxlinePro-Regular" w:cs="DaxlinePro-Regular"/>
          <w:sz w:val="24"/>
          <w:szCs w:val="24"/>
        </w:rPr>
        <w:t>stations for the 2012 pres</w:t>
      </w:r>
      <w:r w:rsidR="00271B80">
        <w:rPr>
          <w:rFonts w:eastAsia="DaxlinePro-Regular" w:cs="DaxlinePro-Regular"/>
          <w:sz w:val="24"/>
          <w:szCs w:val="24"/>
        </w:rPr>
        <w:t xml:space="preserve">idential elections, all polling </w:t>
      </w:r>
      <w:r w:rsidR="00271B80" w:rsidRPr="00271B80">
        <w:rPr>
          <w:rFonts w:eastAsia="DaxlinePro-Regular" w:cs="DaxlinePro-Regular"/>
          <w:sz w:val="24"/>
          <w:szCs w:val="24"/>
        </w:rPr>
        <w:t>stations had stencils a</w:t>
      </w:r>
      <w:r w:rsidR="00271B80">
        <w:rPr>
          <w:rFonts w:eastAsia="DaxlinePro-Regular" w:cs="DaxlinePro-Regular"/>
          <w:sz w:val="24"/>
          <w:szCs w:val="24"/>
        </w:rPr>
        <w:t xml:space="preserve">vailable to assist persons with </w:t>
      </w:r>
      <w:r w:rsidR="00271B80" w:rsidRPr="00271B80">
        <w:rPr>
          <w:rFonts w:eastAsia="DaxlinePro-Regular" w:cs="DaxlinePro-Regular"/>
          <w:sz w:val="24"/>
          <w:szCs w:val="24"/>
        </w:rPr>
        <w:t>visual impairments, 1,148 (34</w:t>
      </w:r>
      <w:r w:rsidR="00271B80">
        <w:rPr>
          <w:rFonts w:eastAsia="DaxlinePro-Regular" w:cs="DaxlinePro-Regular"/>
          <w:sz w:val="24"/>
          <w:szCs w:val="24"/>
        </w:rPr>
        <w:t xml:space="preserve"> %) were free of ‘architectural </w:t>
      </w:r>
      <w:r w:rsidR="00271B80" w:rsidRPr="00271B80">
        <w:rPr>
          <w:rFonts w:eastAsia="DaxlinePro-Regular" w:cs="DaxlinePro-Regular"/>
          <w:sz w:val="24"/>
          <w:szCs w:val="24"/>
        </w:rPr>
        <w:t>barriers’ pre</w:t>
      </w:r>
      <w:r w:rsidR="00271B80">
        <w:rPr>
          <w:rFonts w:eastAsia="DaxlinePro-Regular" w:cs="DaxlinePro-Regular"/>
          <w:sz w:val="24"/>
          <w:szCs w:val="24"/>
        </w:rPr>
        <w:t xml:space="preserve">venting access for persons with </w:t>
      </w:r>
      <w:r w:rsidR="00271B80" w:rsidRPr="00271B80">
        <w:rPr>
          <w:rFonts w:eastAsia="DaxlinePro-Regular" w:cs="DaxlinePro-Regular"/>
          <w:sz w:val="24"/>
          <w:szCs w:val="24"/>
        </w:rPr>
        <w:t>physical disabilities, and only 30 po</w:t>
      </w:r>
      <w:r w:rsidR="00271B80">
        <w:rPr>
          <w:rFonts w:eastAsia="DaxlinePro-Regular" w:cs="DaxlinePro-Regular"/>
          <w:sz w:val="24"/>
          <w:szCs w:val="24"/>
        </w:rPr>
        <w:t xml:space="preserve">lling stations were </w:t>
      </w:r>
      <w:r w:rsidR="00271B80" w:rsidRPr="00271B80">
        <w:rPr>
          <w:rFonts w:eastAsia="DaxlinePro-Regular" w:cs="DaxlinePro-Regular"/>
          <w:sz w:val="24"/>
          <w:szCs w:val="24"/>
        </w:rPr>
        <w:t>officially designated acc</w:t>
      </w:r>
      <w:r w:rsidR="00271B80">
        <w:rPr>
          <w:rFonts w:eastAsia="DaxlinePro-Regular" w:cs="DaxlinePro-Regular"/>
          <w:sz w:val="24"/>
          <w:szCs w:val="24"/>
        </w:rPr>
        <w:t xml:space="preserve">essible polling stations with a </w:t>
      </w:r>
      <w:r w:rsidR="00271B80" w:rsidRPr="00271B80">
        <w:rPr>
          <w:rFonts w:eastAsia="DaxlinePro-Regular" w:cs="DaxlinePro-Regular"/>
          <w:sz w:val="24"/>
          <w:szCs w:val="24"/>
        </w:rPr>
        <w:t>voting machine to assist persons with visual or physical</w:t>
      </w:r>
      <w:r w:rsidR="00271B80" w:rsidRPr="00271B80">
        <w:t xml:space="preserve"> </w:t>
      </w:r>
      <w:r w:rsidR="00271B80" w:rsidRPr="00271B80">
        <w:rPr>
          <w:rFonts w:eastAsia="DaxlinePro-Regular" w:cs="DaxlinePro-Regular"/>
          <w:sz w:val="24"/>
          <w:szCs w:val="24"/>
        </w:rPr>
        <w:t>disabilities</w:t>
      </w:r>
      <w:r w:rsidR="00271B80">
        <w:rPr>
          <w:rFonts w:eastAsia="DaxlinePro-Regular" w:cs="DaxlinePro-Regular"/>
          <w:sz w:val="24"/>
          <w:szCs w:val="24"/>
        </w:rPr>
        <w:t>.” (</w:t>
      </w:r>
      <w:proofErr w:type="gramStart"/>
      <w:r w:rsidR="00271B80">
        <w:rPr>
          <w:rFonts w:eastAsia="DaxlinePro-Regular" w:cs="DaxlinePro-Regular"/>
          <w:sz w:val="24"/>
          <w:szCs w:val="24"/>
        </w:rPr>
        <w:t>p.71-72</w:t>
      </w:r>
      <w:proofErr w:type="gramEnd"/>
      <w:r w:rsidR="00C42C06">
        <w:rPr>
          <w:rFonts w:eastAsia="DaxlinePro-Regular" w:cs="DaxlinePro-Regular"/>
          <w:sz w:val="24"/>
          <w:szCs w:val="24"/>
        </w:rPr>
        <w:t>)</w:t>
      </w:r>
    </w:p>
    <w:p w14:paraId="02B38CE9" w14:textId="03385162" w:rsidR="00C42C06" w:rsidRDefault="00C42C06" w:rsidP="00C42C06">
      <w:pPr>
        <w:autoSpaceDE w:val="0"/>
        <w:autoSpaceDN w:val="0"/>
        <w:adjustRightInd w:val="0"/>
        <w:spacing w:line="240" w:lineRule="auto"/>
        <w:rPr>
          <w:rFonts w:eastAsia="DaxlinePro-Regular" w:cs="DaxlinePro-Regular"/>
          <w:sz w:val="24"/>
          <w:szCs w:val="24"/>
        </w:rPr>
      </w:pPr>
      <w:r>
        <w:rPr>
          <w:rFonts w:eastAsia="DaxlinePro-Regular" w:cs="DaxlinePro-Regular"/>
          <w:sz w:val="24"/>
          <w:szCs w:val="24"/>
        </w:rPr>
        <w:t>“</w:t>
      </w:r>
      <w:r w:rsidRPr="00C42C06">
        <w:rPr>
          <w:rFonts w:eastAsia="DaxlinePro-Regular" w:cs="DaxlinePro-Regular"/>
          <w:sz w:val="24"/>
          <w:szCs w:val="24"/>
        </w:rPr>
        <w:t>In a second group of</w:t>
      </w:r>
      <w:r>
        <w:rPr>
          <w:rFonts w:eastAsia="DaxlinePro-Regular" w:cs="DaxlinePro-Regular"/>
          <w:sz w:val="24"/>
          <w:szCs w:val="24"/>
        </w:rPr>
        <w:t xml:space="preserve"> six EU Member States, Hungary, </w:t>
      </w:r>
      <w:r w:rsidRPr="00C42C06">
        <w:rPr>
          <w:rFonts w:eastAsia="DaxlinePro-Regular" w:cs="DaxlinePro-Regular"/>
          <w:sz w:val="24"/>
          <w:szCs w:val="24"/>
        </w:rPr>
        <w:t>Lithuania, Portugal</w:t>
      </w:r>
      <w:r>
        <w:rPr>
          <w:rFonts w:eastAsia="DaxlinePro-Regular" w:cs="DaxlinePro-Regular"/>
          <w:sz w:val="24"/>
          <w:szCs w:val="24"/>
        </w:rPr>
        <w:t xml:space="preserve">, Romania, </w:t>
      </w:r>
      <w:r w:rsidRPr="00C42C06">
        <w:rPr>
          <w:rFonts w:eastAsia="DaxlinePro-Regular" w:cs="DaxlinePro-Regular"/>
          <w:b/>
          <w:sz w:val="24"/>
          <w:szCs w:val="24"/>
        </w:rPr>
        <w:t>Slovenia</w:t>
      </w:r>
      <w:r>
        <w:rPr>
          <w:rFonts w:eastAsia="DaxlinePro-Regular" w:cs="DaxlinePro-Regular"/>
          <w:sz w:val="24"/>
          <w:szCs w:val="24"/>
        </w:rPr>
        <w:t xml:space="preserve"> and Sweden, </w:t>
      </w:r>
      <w:r w:rsidRPr="00C42C06">
        <w:rPr>
          <w:rFonts w:eastAsia="DaxlinePro-Regular" w:cs="DaxlinePro-Regular"/>
          <w:sz w:val="24"/>
          <w:szCs w:val="24"/>
        </w:rPr>
        <w:t>some data on the proportio</w:t>
      </w:r>
      <w:r>
        <w:rPr>
          <w:rFonts w:eastAsia="DaxlinePro-Regular" w:cs="DaxlinePro-Regular"/>
          <w:sz w:val="24"/>
          <w:szCs w:val="24"/>
        </w:rPr>
        <w:t xml:space="preserve">n of public authority buildings </w:t>
      </w:r>
      <w:r w:rsidRPr="00C42C06">
        <w:rPr>
          <w:rFonts w:eastAsia="DaxlinePro-Regular" w:cs="DaxlinePro-Regular"/>
          <w:sz w:val="24"/>
          <w:szCs w:val="24"/>
        </w:rPr>
        <w:t>that are accessibl</w:t>
      </w:r>
      <w:r>
        <w:rPr>
          <w:rFonts w:eastAsia="DaxlinePro-Regular" w:cs="DaxlinePro-Regular"/>
          <w:sz w:val="24"/>
          <w:szCs w:val="24"/>
        </w:rPr>
        <w:t xml:space="preserve">e for persons with disabilities </w:t>
      </w:r>
      <w:r w:rsidRPr="00C42C06">
        <w:rPr>
          <w:rFonts w:eastAsia="DaxlinePro-Regular" w:cs="DaxlinePro-Regular"/>
          <w:sz w:val="24"/>
          <w:szCs w:val="24"/>
        </w:rPr>
        <w:t>were found from unof</w:t>
      </w:r>
      <w:r>
        <w:rPr>
          <w:rFonts w:eastAsia="DaxlinePro-Regular" w:cs="DaxlinePro-Regular"/>
          <w:sz w:val="24"/>
          <w:szCs w:val="24"/>
        </w:rPr>
        <w:t xml:space="preserve">ficial sources such as research </w:t>
      </w:r>
      <w:r w:rsidRPr="00C42C06">
        <w:rPr>
          <w:rFonts w:eastAsia="DaxlinePro-Regular" w:cs="DaxlinePro-Regular"/>
          <w:sz w:val="24"/>
          <w:szCs w:val="24"/>
        </w:rPr>
        <w:t>undertaken by NGOs</w:t>
      </w:r>
      <w:r>
        <w:rPr>
          <w:rFonts w:eastAsia="DaxlinePro-Regular" w:cs="DaxlinePro-Regular"/>
          <w:sz w:val="24"/>
          <w:szCs w:val="24"/>
        </w:rPr>
        <w:t>.” (p.72)</w:t>
      </w:r>
    </w:p>
    <w:p w14:paraId="61B4101F" w14:textId="2DFED17E" w:rsidR="00281962" w:rsidRPr="001B79F3" w:rsidRDefault="00C42C06" w:rsidP="00782C1C">
      <w:pPr>
        <w:autoSpaceDE w:val="0"/>
        <w:autoSpaceDN w:val="0"/>
        <w:adjustRightInd w:val="0"/>
        <w:spacing w:line="240" w:lineRule="auto"/>
        <w:rPr>
          <w:rFonts w:eastAsia="DaxlinePro-Regular" w:cs="DaxlinePro-Regular"/>
          <w:sz w:val="24"/>
          <w:szCs w:val="24"/>
        </w:rPr>
      </w:pPr>
      <w:r>
        <w:rPr>
          <w:rFonts w:eastAsia="DaxlinePro-Regular" w:cs="DaxlinePro-Regular"/>
          <w:sz w:val="24"/>
          <w:szCs w:val="24"/>
        </w:rPr>
        <w:t>“</w:t>
      </w:r>
      <w:r w:rsidRPr="00C42C06">
        <w:rPr>
          <w:rFonts w:eastAsia="DaxlinePro-Regular" w:cs="DaxlinePro-Regular"/>
          <w:sz w:val="24"/>
          <w:szCs w:val="24"/>
        </w:rPr>
        <w:t>Data from Bulgaria, Croatia, Cy</w:t>
      </w:r>
      <w:r>
        <w:rPr>
          <w:rFonts w:eastAsia="DaxlinePro-Regular" w:cs="DaxlinePro-Regular"/>
          <w:sz w:val="24"/>
          <w:szCs w:val="24"/>
        </w:rPr>
        <w:t xml:space="preserve">prus, Greece, Italy, Lithuania, </w:t>
      </w:r>
      <w:r w:rsidRPr="00C42C06">
        <w:rPr>
          <w:rFonts w:eastAsia="DaxlinePro-Regular" w:cs="DaxlinePro-Regular"/>
          <w:sz w:val="24"/>
          <w:szCs w:val="24"/>
        </w:rPr>
        <w:t xml:space="preserve">Luxembourg, Poland and </w:t>
      </w:r>
      <w:r w:rsidRPr="00484EC1">
        <w:rPr>
          <w:rFonts w:eastAsia="DaxlinePro-Regular" w:cs="DaxlinePro-Regular"/>
          <w:b/>
          <w:sz w:val="24"/>
          <w:szCs w:val="24"/>
        </w:rPr>
        <w:t>Slovenia</w:t>
      </w:r>
      <w:r>
        <w:rPr>
          <w:rFonts w:eastAsia="DaxlinePro-Regular" w:cs="DaxlinePro-Regular"/>
          <w:sz w:val="24"/>
          <w:szCs w:val="24"/>
        </w:rPr>
        <w:t xml:space="preserve"> indicate that no </w:t>
      </w:r>
      <w:r w:rsidRPr="00C42C06">
        <w:rPr>
          <w:rFonts w:eastAsia="DaxlinePro-Regular" w:cs="DaxlinePro-Regular"/>
          <w:sz w:val="24"/>
          <w:szCs w:val="24"/>
        </w:rPr>
        <w:t>political parties produced</w:t>
      </w:r>
      <w:r>
        <w:rPr>
          <w:rFonts w:eastAsia="DaxlinePro-Regular" w:cs="DaxlinePro-Regular"/>
          <w:sz w:val="24"/>
          <w:szCs w:val="24"/>
        </w:rPr>
        <w:t xml:space="preserve"> their manifestos in accessible </w:t>
      </w:r>
      <w:r w:rsidRPr="00C42C06">
        <w:rPr>
          <w:rFonts w:eastAsia="DaxlinePro-Regular" w:cs="DaxlinePro-Regular"/>
          <w:sz w:val="24"/>
          <w:szCs w:val="24"/>
        </w:rPr>
        <w:t>formats for the last elections</w:t>
      </w:r>
      <w:r>
        <w:rPr>
          <w:rFonts w:eastAsia="DaxlinePro-Regular" w:cs="DaxlinePro-Regular"/>
          <w:sz w:val="24"/>
          <w:szCs w:val="24"/>
        </w:rPr>
        <w:t>.” (p.80)</w:t>
      </w:r>
    </w:p>
    <w:p w14:paraId="1F87A38A" w14:textId="77777777" w:rsidR="00281962" w:rsidRDefault="00281962" w:rsidP="001F3F8F">
      <w:pPr>
        <w:pStyle w:val="Heading2"/>
      </w:pPr>
      <w:bookmarkStart w:id="13" w:name="_Toc475024608"/>
      <w:r w:rsidRPr="004C24D1">
        <w:t>Legal capacity of persons with intellectual disabilities and persons with mental health problems (2013)</w:t>
      </w:r>
      <w:bookmarkEnd w:id="13"/>
    </w:p>
    <w:p w14:paraId="75B80A28" w14:textId="3353B49F" w:rsidR="00281962" w:rsidRPr="00E673AD" w:rsidRDefault="00281962" w:rsidP="00782C1C">
      <w:pPr>
        <w:rPr>
          <w:sz w:val="24"/>
          <w:szCs w:val="24"/>
          <w:lang w:val="en"/>
        </w:rPr>
      </w:pPr>
      <w:r w:rsidRPr="00E673AD">
        <w:rPr>
          <w:color w:val="000000" w:themeColor="text1"/>
          <w:sz w:val="24"/>
          <w:szCs w:val="24"/>
        </w:rPr>
        <w:t xml:space="preserve">The report includes extensive information </w:t>
      </w:r>
      <w:r w:rsidR="00F07D58">
        <w:rPr>
          <w:color w:val="000000" w:themeColor="text1"/>
          <w:sz w:val="24"/>
          <w:szCs w:val="24"/>
        </w:rPr>
        <w:t xml:space="preserve">regarding </w:t>
      </w:r>
      <w:proofErr w:type="gramStart"/>
      <w:r w:rsidR="00F07D58">
        <w:rPr>
          <w:color w:val="000000" w:themeColor="text1"/>
          <w:sz w:val="24"/>
          <w:szCs w:val="24"/>
        </w:rPr>
        <w:t>Slovenia</w:t>
      </w:r>
      <w:r w:rsidRPr="00E673AD">
        <w:rPr>
          <w:color w:val="000000" w:themeColor="text1"/>
          <w:sz w:val="24"/>
          <w:szCs w:val="24"/>
        </w:rPr>
        <w:t>,</w:t>
      </w:r>
      <w:proofErr w:type="gramEnd"/>
      <w:r w:rsidRPr="00E673AD">
        <w:rPr>
          <w:color w:val="000000" w:themeColor="text1"/>
          <w:sz w:val="24"/>
          <w:szCs w:val="24"/>
        </w:rPr>
        <w:t xml:space="preserve"> these excerpts are just a selection.</w:t>
      </w:r>
      <w:r w:rsidR="00FE5A96">
        <w:rPr>
          <w:color w:val="000000" w:themeColor="text1"/>
          <w:sz w:val="24"/>
          <w:szCs w:val="24"/>
        </w:rPr>
        <w:t xml:space="preserve"> </w:t>
      </w:r>
      <w:r w:rsidRPr="00E673AD">
        <w:rPr>
          <w:sz w:val="24"/>
          <w:szCs w:val="24"/>
          <w:lang w:val="en"/>
        </w:rPr>
        <w:t>For more information:</w:t>
      </w:r>
      <w:r w:rsidRPr="00E673AD">
        <w:rPr>
          <w:sz w:val="24"/>
          <w:szCs w:val="24"/>
        </w:rPr>
        <w:t xml:space="preserve"> </w:t>
      </w:r>
      <w:hyperlink r:id="rId19" w:history="1">
        <w:r w:rsidRPr="00E673AD">
          <w:rPr>
            <w:rStyle w:val="Hyperlink"/>
            <w:sz w:val="24"/>
            <w:szCs w:val="24"/>
            <w:lang w:val="en"/>
          </w:rPr>
          <w:t>http://fra.europa.eu/en/publication/2013/legal-capacity-persons-intellectual-disabilities-and-persons-mental-health-problems</w:t>
        </w:r>
      </w:hyperlink>
      <w:r w:rsidR="006F4931" w:rsidRPr="006F4931">
        <w:rPr>
          <w:rStyle w:val="Hyperlink"/>
          <w:color w:val="auto"/>
          <w:sz w:val="24"/>
          <w:szCs w:val="24"/>
          <w:u w:val="none"/>
          <w:lang w:val="en"/>
        </w:rPr>
        <w:t>.</w:t>
      </w:r>
      <w:r w:rsidR="00FE5A96">
        <w:rPr>
          <w:rStyle w:val="Hyperlink"/>
          <w:sz w:val="24"/>
          <w:szCs w:val="24"/>
          <w:u w:val="none"/>
          <w:lang w:val="en"/>
        </w:rPr>
        <w:t xml:space="preserve"> </w:t>
      </w:r>
      <w:r w:rsidR="006F4931">
        <w:rPr>
          <w:sz w:val="24"/>
          <w:szCs w:val="24"/>
          <w:lang w:val="en"/>
        </w:rPr>
        <w:t xml:space="preserve">Also available in easy-to-read: </w:t>
      </w:r>
      <w:hyperlink r:id="rId20" w:history="1">
        <w:r w:rsidR="006F4931" w:rsidRPr="00B82C70">
          <w:rPr>
            <w:rStyle w:val="Hyperlink"/>
            <w:sz w:val="24"/>
            <w:szCs w:val="24"/>
            <w:lang w:val="en"/>
          </w:rPr>
          <w:t>http://fra.europa.eu/en/publication/2013/laws-about-being-able-make-important-decisions-yourself</w:t>
        </w:r>
      </w:hyperlink>
      <w:r w:rsidR="006F4931">
        <w:rPr>
          <w:sz w:val="24"/>
          <w:szCs w:val="24"/>
          <w:lang w:val="en"/>
        </w:rPr>
        <w:t xml:space="preserve">. </w:t>
      </w:r>
    </w:p>
    <w:p w14:paraId="1ACB2BD4" w14:textId="36482EFD" w:rsidR="00BC4D01" w:rsidRDefault="00281962" w:rsidP="0003176B">
      <w:pPr>
        <w:rPr>
          <w:rFonts w:cs="DaxlinePro-Regular"/>
          <w:color w:val="000000"/>
          <w:sz w:val="24"/>
          <w:szCs w:val="24"/>
        </w:rPr>
      </w:pPr>
      <w:r>
        <w:rPr>
          <w:rFonts w:cs="DaxlinePro-Regular"/>
          <w:color w:val="000000"/>
          <w:sz w:val="24"/>
          <w:szCs w:val="24"/>
        </w:rPr>
        <w:t>“</w:t>
      </w:r>
      <w:r w:rsidR="0003176B">
        <w:rPr>
          <w:rFonts w:cs="DaxlinePro-Regular"/>
          <w:color w:val="000000"/>
          <w:sz w:val="24"/>
          <w:szCs w:val="24"/>
        </w:rPr>
        <w:t xml:space="preserve">Slovakia, </w:t>
      </w:r>
      <w:r w:rsidR="0003176B" w:rsidRPr="0003176B">
        <w:rPr>
          <w:rFonts w:cs="DaxlinePro-Regular"/>
          <w:b/>
          <w:color w:val="000000"/>
          <w:sz w:val="24"/>
          <w:szCs w:val="24"/>
        </w:rPr>
        <w:t>Slovenia</w:t>
      </w:r>
      <w:r w:rsidR="0003176B">
        <w:rPr>
          <w:rFonts w:cs="DaxlinePro-Regular"/>
          <w:color w:val="000000"/>
          <w:sz w:val="24"/>
          <w:szCs w:val="24"/>
        </w:rPr>
        <w:t xml:space="preserve"> and Poland have two degrees </w:t>
      </w:r>
      <w:r w:rsidR="0003176B" w:rsidRPr="0003176B">
        <w:rPr>
          <w:rFonts w:cs="DaxlinePro-Regular"/>
          <w:color w:val="000000"/>
          <w:sz w:val="24"/>
          <w:szCs w:val="24"/>
        </w:rPr>
        <w:t xml:space="preserve">of restriction – either for all legal acts or just </w:t>
      </w:r>
      <w:r w:rsidR="0003176B">
        <w:rPr>
          <w:rFonts w:cs="DaxlinePro-Regular"/>
          <w:color w:val="000000"/>
          <w:sz w:val="24"/>
          <w:szCs w:val="24"/>
        </w:rPr>
        <w:t xml:space="preserve">for certain </w:t>
      </w:r>
      <w:r w:rsidR="0003176B" w:rsidRPr="0003176B">
        <w:rPr>
          <w:rFonts w:cs="DaxlinePro-Regular"/>
          <w:color w:val="000000"/>
          <w:sz w:val="24"/>
          <w:szCs w:val="24"/>
        </w:rPr>
        <w:t>legal acts – which reflect the two models of guardianship</w:t>
      </w:r>
      <w:r>
        <w:rPr>
          <w:rFonts w:cs="DaxlinePro-Regular"/>
          <w:color w:val="000000"/>
          <w:sz w:val="24"/>
          <w:szCs w:val="24"/>
        </w:rPr>
        <w:t>.</w:t>
      </w:r>
      <w:r w:rsidR="00A64F6F">
        <w:rPr>
          <w:rFonts w:cs="DaxlinePro-Regular"/>
          <w:color w:val="000000"/>
          <w:sz w:val="24"/>
          <w:szCs w:val="24"/>
        </w:rPr>
        <w:t>” (p.30</w:t>
      </w:r>
      <w:r w:rsidR="00BC4D01">
        <w:rPr>
          <w:rFonts w:cs="DaxlinePro-Regular"/>
          <w:color w:val="000000"/>
          <w:sz w:val="24"/>
          <w:szCs w:val="24"/>
        </w:rPr>
        <w:t xml:space="preserve">) </w:t>
      </w:r>
      <w:r w:rsidR="00BC4D01">
        <w:rPr>
          <w:rFonts w:cs="DaxlinePro-Regular"/>
          <w:color w:val="000000"/>
          <w:sz w:val="24"/>
          <w:szCs w:val="24"/>
        </w:rPr>
        <w:tab/>
      </w:r>
      <w:r w:rsidR="00FE5A96">
        <w:rPr>
          <w:rFonts w:cs="DaxlinePro-Regular"/>
          <w:color w:val="000000"/>
          <w:sz w:val="24"/>
          <w:szCs w:val="24"/>
        </w:rPr>
        <w:t xml:space="preserve">        </w:t>
      </w:r>
    </w:p>
    <w:p w14:paraId="05F59A6D" w14:textId="41455FE1" w:rsidR="00281962" w:rsidRPr="00E673AD" w:rsidRDefault="00281962" w:rsidP="00761705">
      <w:pPr>
        <w:rPr>
          <w:rFonts w:cs="DaxlinePro-Regular"/>
          <w:color w:val="000000"/>
          <w:sz w:val="24"/>
          <w:szCs w:val="24"/>
        </w:rPr>
      </w:pPr>
      <w:r>
        <w:rPr>
          <w:rFonts w:cs="DaxlinePro-Regular"/>
          <w:color w:val="000000"/>
          <w:sz w:val="24"/>
          <w:szCs w:val="24"/>
        </w:rPr>
        <w:t>“</w:t>
      </w:r>
      <w:r w:rsidR="00761705" w:rsidRPr="00761705">
        <w:rPr>
          <w:rFonts w:cs="DaxlinePro-Regular"/>
          <w:color w:val="000000"/>
          <w:sz w:val="24"/>
          <w:szCs w:val="24"/>
        </w:rPr>
        <w:t xml:space="preserve">In Italy, Greece and </w:t>
      </w:r>
      <w:r w:rsidR="00761705" w:rsidRPr="00761705">
        <w:rPr>
          <w:rFonts w:cs="DaxlinePro-Regular"/>
          <w:b/>
          <w:color w:val="000000"/>
          <w:sz w:val="24"/>
          <w:szCs w:val="24"/>
        </w:rPr>
        <w:t>Slovenia</w:t>
      </w:r>
      <w:r w:rsidR="00761705">
        <w:rPr>
          <w:rFonts w:cs="DaxlinePro-Regular"/>
          <w:color w:val="000000"/>
          <w:sz w:val="24"/>
          <w:szCs w:val="24"/>
        </w:rPr>
        <w:t xml:space="preserve"> the court delivers a single </w:t>
      </w:r>
      <w:r w:rsidR="00761705" w:rsidRPr="00761705">
        <w:rPr>
          <w:rFonts w:cs="DaxlinePro-Regular"/>
          <w:color w:val="000000"/>
          <w:sz w:val="24"/>
          <w:szCs w:val="24"/>
        </w:rPr>
        <w:t>judgment, deciding that</w:t>
      </w:r>
      <w:r w:rsidR="00761705">
        <w:rPr>
          <w:rFonts w:cs="DaxlinePro-Regular"/>
          <w:color w:val="000000"/>
          <w:sz w:val="24"/>
          <w:szCs w:val="24"/>
        </w:rPr>
        <w:t xml:space="preserve"> the person’s legal capacity is </w:t>
      </w:r>
      <w:r w:rsidR="00761705" w:rsidRPr="00761705">
        <w:rPr>
          <w:rFonts w:cs="DaxlinePro-Regular"/>
          <w:color w:val="000000"/>
          <w:sz w:val="24"/>
          <w:szCs w:val="24"/>
        </w:rPr>
        <w:t>restricted and that he or she wi</w:t>
      </w:r>
      <w:r w:rsidR="00761705">
        <w:rPr>
          <w:rFonts w:cs="DaxlinePro-Regular"/>
          <w:color w:val="000000"/>
          <w:sz w:val="24"/>
          <w:szCs w:val="24"/>
        </w:rPr>
        <w:t xml:space="preserve">ll be placed under a protective </w:t>
      </w:r>
      <w:r w:rsidR="00761705" w:rsidRPr="00761705">
        <w:rPr>
          <w:rFonts w:cs="DaxlinePro-Regular"/>
          <w:color w:val="000000"/>
          <w:sz w:val="24"/>
          <w:szCs w:val="24"/>
        </w:rPr>
        <w:t>measure</w:t>
      </w:r>
      <w:r w:rsidRPr="00E673AD">
        <w:rPr>
          <w:rFonts w:cs="DaxlinePro-Regular"/>
          <w:color w:val="000000"/>
          <w:sz w:val="24"/>
          <w:szCs w:val="24"/>
        </w:rPr>
        <w:t>.</w:t>
      </w:r>
      <w:r>
        <w:rPr>
          <w:rFonts w:cs="DaxlinePro-Regular"/>
          <w:color w:val="000000"/>
          <w:sz w:val="24"/>
          <w:szCs w:val="24"/>
        </w:rPr>
        <w:t>”</w:t>
      </w:r>
      <w:r w:rsidR="00A64F6F">
        <w:rPr>
          <w:rFonts w:cs="DaxlinePro-Regular"/>
          <w:color w:val="000000"/>
          <w:sz w:val="24"/>
          <w:szCs w:val="24"/>
        </w:rPr>
        <w:t xml:space="preserve"> (p.33</w:t>
      </w:r>
      <w:r w:rsidRPr="00E673AD">
        <w:rPr>
          <w:rFonts w:cs="DaxlinePro-Regular"/>
          <w:color w:val="000000"/>
          <w:sz w:val="24"/>
          <w:szCs w:val="24"/>
        </w:rPr>
        <w:t>)</w:t>
      </w:r>
    </w:p>
    <w:p w14:paraId="3A32014B" w14:textId="49D765FC" w:rsidR="00281962" w:rsidRDefault="00281962" w:rsidP="00761705">
      <w:pPr>
        <w:rPr>
          <w:rFonts w:cs="DaxlinePro-Regular"/>
          <w:color w:val="000000"/>
          <w:sz w:val="24"/>
          <w:szCs w:val="24"/>
        </w:rPr>
      </w:pPr>
      <w:r w:rsidRPr="00E673AD">
        <w:rPr>
          <w:rFonts w:cs="DaxlinePro-Regular"/>
          <w:color w:val="000000"/>
          <w:sz w:val="24"/>
          <w:szCs w:val="24"/>
        </w:rPr>
        <w:t>“</w:t>
      </w:r>
      <w:r w:rsidR="00761705" w:rsidRPr="00761705">
        <w:rPr>
          <w:rFonts w:cs="DaxlinePro-Regular"/>
          <w:color w:val="000000"/>
          <w:sz w:val="24"/>
          <w:szCs w:val="24"/>
        </w:rPr>
        <w:t xml:space="preserve">In </w:t>
      </w:r>
      <w:r w:rsidR="00761705" w:rsidRPr="00761705">
        <w:rPr>
          <w:rFonts w:cs="DaxlinePro-Regular"/>
          <w:b/>
          <w:color w:val="000000"/>
          <w:sz w:val="24"/>
          <w:szCs w:val="24"/>
        </w:rPr>
        <w:t>Slovenia</w:t>
      </w:r>
      <w:r w:rsidR="00761705" w:rsidRPr="00761705">
        <w:rPr>
          <w:rFonts w:cs="DaxlinePro-Regular"/>
          <w:color w:val="000000"/>
          <w:sz w:val="24"/>
          <w:szCs w:val="24"/>
        </w:rPr>
        <w:t>,</w:t>
      </w:r>
      <w:r w:rsidR="00761705">
        <w:rPr>
          <w:rFonts w:cs="DaxlinePro-Regular"/>
          <w:color w:val="000000"/>
          <w:sz w:val="24"/>
          <w:szCs w:val="24"/>
        </w:rPr>
        <w:t xml:space="preserve"> a centre for social work or </w:t>
      </w:r>
      <w:r w:rsidR="00761705" w:rsidRPr="00761705">
        <w:rPr>
          <w:rFonts w:cs="DaxlinePro-Regular"/>
          <w:color w:val="000000"/>
          <w:sz w:val="24"/>
          <w:szCs w:val="24"/>
        </w:rPr>
        <w:t>a public attorney as wel</w:t>
      </w:r>
      <w:r w:rsidR="00761705">
        <w:rPr>
          <w:rFonts w:cs="DaxlinePro-Regular"/>
          <w:color w:val="000000"/>
          <w:sz w:val="24"/>
          <w:szCs w:val="24"/>
        </w:rPr>
        <w:t xml:space="preserve">l as the spouse, another person </w:t>
      </w:r>
      <w:r w:rsidR="00761705" w:rsidRPr="00761705">
        <w:rPr>
          <w:rFonts w:cs="DaxlinePro-Regular"/>
          <w:color w:val="000000"/>
          <w:sz w:val="24"/>
          <w:szCs w:val="24"/>
        </w:rPr>
        <w:t>who lives with the per</w:t>
      </w:r>
      <w:r w:rsidR="00761705">
        <w:rPr>
          <w:rFonts w:cs="DaxlinePro-Regular"/>
          <w:color w:val="000000"/>
          <w:sz w:val="24"/>
          <w:szCs w:val="24"/>
        </w:rPr>
        <w:t xml:space="preserve">son, a relative or close family </w:t>
      </w:r>
      <w:r w:rsidR="00761705" w:rsidRPr="00761705">
        <w:rPr>
          <w:rFonts w:cs="DaxlinePro-Regular"/>
          <w:color w:val="000000"/>
          <w:sz w:val="24"/>
          <w:szCs w:val="24"/>
        </w:rPr>
        <w:t>member can initiate the</w:t>
      </w:r>
      <w:r w:rsidR="00761705">
        <w:rPr>
          <w:rFonts w:cs="DaxlinePro-Regular"/>
          <w:color w:val="000000"/>
          <w:sz w:val="24"/>
          <w:szCs w:val="24"/>
        </w:rPr>
        <w:t xml:space="preserve"> procedure. The affected person </w:t>
      </w:r>
      <w:r w:rsidR="00761705" w:rsidRPr="00761705">
        <w:rPr>
          <w:rFonts w:cs="DaxlinePro-Regular"/>
          <w:color w:val="000000"/>
          <w:sz w:val="24"/>
          <w:szCs w:val="24"/>
        </w:rPr>
        <w:t>can also initiate the procedure if a court finds that</w:t>
      </w:r>
      <w:r w:rsidR="00761705">
        <w:rPr>
          <w:rFonts w:cs="DaxlinePro-Regular"/>
          <w:color w:val="000000"/>
          <w:sz w:val="24"/>
          <w:szCs w:val="24"/>
        </w:rPr>
        <w:t xml:space="preserve"> he </w:t>
      </w:r>
      <w:r w:rsidR="00761705" w:rsidRPr="00761705">
        <w:rPr>
          <w:rFonts w:cs="DaxlinePro-Regular"/>
          <w:color w:val="000000"/>
          <w:sz w:val="24"/>
          <w:szCs w:val="24"/>
        </w:rPr>
        <w:t>or she is able to understand its meaning and consequences.</w:t>
      </w:r>
      <w:r w:rsidRPr="00E673AD">
        <w:rPr>
          <w:rFonts w:cs="DaxlinePro-Regular"/>
          <w:color w:val="000000"/>
          <w:sz w:val="24"/>
          <w:szCs w:val="24"/>
        </w:rPr>
        <w:t>” (p.35)</w:t>
      </w:r>
    </w:p>
    <w:p w14:paraId="58039A16" w14:textId="3AB0AB23" w:rsidR="00761705" w:rsidRPr="00761705" w:rsidRDefault="00761705" w:rsidP="00761705">
      <w:pPr>
        <w:rPr>
          <w:rFonts w:cs="DaxlinePro-Regular"/>
          <w:color w:val="000000"/>
          <w:sz w:val="24"/>
          <w:szCs w:val="24"/>
        </w:rPr>
      </w:pPr>
      <w:r>
        <w:rPr>
          <w:rFonts w:cs="DaxlinePro-Regular"/>
          <w:color w:val="000000"/>
          <w:sz w:val="24"/>
          <w:szCs w:val="24"/>
        </w:rPr>
        <w:t>“</w:t>
      </w:r>
      <w:r w:rsidRPr="005B48DD">
        <w:rPr>
          <w:rFonts w:cs="DaxlinePro-Regular"/>
          <w:color w:val="000000"/>
          <w:sz w:val="24"/>
          <w:szCs w:val="24"/>
        </w:rPr>
        <w:t>About</w:t>
      </w:r>
      <w:r w:rsidRPr="00E673AD">
        <w:rPr>
          <w:rFonts w:cs="DaxlinePro-Regular"/>
          <w:color w:val="000000"/>
          <w:sz w:val="24"/>
          <w:szCs w:val="24"/>
        </w:rPr>
        <w:t xml:space="preserve"> half of EU Member States explicitly provide in their national legal frameworks for the person concerned to request a restriction of his or her legal capacity. This is the case in </w:t>
      </w:r>
      <w:r w:rsidRPr="00E673AD">
        <w:rPr>
          <w:rFonts w:cs="DaxlinePro-Bold"/>
          <w:bCs/>
          <w:color w:val="000000"/>
          <w:sz w:val="24"/>
          <w:szCs w:val="24"/>
        </w:rPr>
        <w:t>Austria</w:t>
      </w:r>
      <w:r w:rsidRPr="00E673AD">
        <w:rPr>
          <w:rFonts w:cs="DaxlinePro-Regular"/>
          <w:color w:val="000000"/>
          <w:sz w:val="24"/>
          <w:szCs w:val="24"/>
        </w:rPr>
        <w:t xml:space="preserve">, </w:t>
      </w:r>
      <w:r w:rsidRPr="00E673AD">
        <w:rPr>
          <w:rFonts w:cs="DaxlinePro-Bold"/>
          <w:bCs/>
          <w:color w:val="000000"/>
          <w:sz w:val="24"/>
          <w:szCs w:val="24"/>
        </w:rPr>
        <w:t>Denmark</w:t>
      </w:r>
      <w:r w:rsidRPr="00E673AD">
        <w:rPr>
          <w:rFonts w:cs="DaxlinePro-Regular"/>
          <w:color w:val="000000"/>
          <w:sz w:val="24"/>
          <w:szCs w:val="24"/>
        </w:rPr>
        <w:t xml:space="preserve">, </w:t>
      </w:r>
      <w:r w:rsidRPr="00E673AD">
        <w:rPr>
          <w:rFonts w:cs="DaxlinePro-Bold"/>
          <w:bCs/>
          <w:color w:val="000000"/>
          <w:sz w:val="24"/>
          <w:szCs w:val="24"/>
        </w:rPr>
        <w:t>Estonia</w:t>
      </w:r>
      <w:r w:rsidRPr="00E673AD">
        <w:rPr>
          <w:rFonts w:cs="DaxlinePro-Regular"/>
          <w:color w:val="000000"/>
          <w:sz w:val="24"/>
          <w:szCs w:val="24"/>
        </w:rPr>
        <w:t xml:space="preserve">, </w:t>
      </w:r>
      <w:r w:rsidRPr="00E673AD">
        <w:rPr>
          <w:rFonts w:cs="DaxlinePro-Bold"/>
          <w:bCs/>
          <w:color w:val="000000"/>
          <w:sz w:val="24"/>
          <w:szCs w:val="24"/>
        </w:rPr>
        <w:t>Finland</w:t>
      </w:r>
      <w:r w:rsidRPr="00E673AD">
        <w:rPr>
          <w:rFonts w:cs="DaxlinePro-Regular"/>
          <w:color w:val="000000"/>
          <w:sz w:val="24"/>
          <w:szCs w:val="24"/>
        </w:rPr>
        <w:t xml:space="preserve">, </w:t>
      </w:r>
      <w:r w:rsidRPr="00E673AD">
        <w:rPr>
          <w:rFonts w:cs="DaxlinePro-Bold"/>
          <w:bCs/>
          <w:color w:val="000000"/>
          <w:sz w:val="24"/>
          <w:szCs w:val="24"/>
        </w:rPr>
        <w:t>France</w:t>
      </w:r>
      <w:r w:rsidRPr="00E673AD">
        <w:rPr>
          <w:rFonts w:cs="DaxlinePro-Regular"/>
          <w:color w:val="000000"/>
          <w:sz w:val="24"/>
          <w:szCs w:val="24"/>
        </w:rPr>
        <w:t xml:space="preserve">, </w:t>
      </w:r>
      <w:r w:rsidRPr="00E673AD">
        <w:rPr>
          <w:rFonts w:cs="DaxlinePro-Bold"/>
          <w:bCs/>
          <w:color w:val="000000"/>
          <w:sz w:val="24"/>
          <w:szCs w:val="24"/>
        </w:rPr>
        <w:t>Germany</w:t>
      </w:r>
      <w:r w:rsidRPr="00E673AD">
        <w:rPr>
          <w:rFonts w:cs="DaxlinePro-Regular"/>
          <w:color w:val="000000"/>
          <w:sz w:val="24"/>
          <w:szCs w:val="24"/>
        </w:rPr>
        <w:t xml:space="preserve">, </w:t>
      </w:r>
      <w:r w:rsidRPr="00E673AD">
        <w:rPr>
          <w:rFonts w:cs="DaxlinePro-Bold"/>
          <w:bCs/>
          <w:color w:val="000000"/>
          <w:sz w:val="24"/>
          <w:szCs w:val="24"/>
        </w:rPr>
        <w:t>Greece</w:t>
      </w:r>
      <w:r w:rsidRPr="00E673AD">
        <w:rPr>
          <w:rFonts w:cs="DaxlinePro-Regular"/>
          <w:color w:val="000000"/>
          <w:sz w:val="24"/>
          <w:szCs w:val="24"/>
        </w:rPr>
        <w:t xml:space="preserve">, </w:t>
      </w:r>
      <w:r w:rsidRPr="00E673AD">
        <w:rPr>
          <w:rFonts w:cs="DaxlinePro-Bold"/>
          <w:bCs/>
          <w:color w:val="000000"/>
          <w:sz w:val="24"/>
          <w:szCs w:val="24"/>
        </w:rPr>
        <w:t>Italy</w:t>
      </w:r>
      <w:r w:rsidRPr="00E673AD">
        <w:rPr>
          <w:rFonts w:cs="DaxlinePro-Regular"/>
          <w:color w:val="000000"/>
          <w:sz w:val="24"/>
          <w:szCs w:val="24"/>
        </w:rPr>
        <w:t xml:space="preserve">, </w:t>
      </w:r>
      <w:r w:rsidRPr="00E673AD">
        <w:rPr>
          <w:rFonts w:cs="DaxlinePro-Bold"/>
          <w:bCs/>
          <w:color w:val="000000"/>
          <w:sz w:val="24"/>
          <w:szCs w:val="24"/>
        </w:rPr>
        <w:t>Luxembourg</w:t>
      </w:r>
      <w:r w:rsidRPr="00E673AD">
        <w:rPr>
          <w:rFonts w:cs="DaxlinePro-Regular"/>
          <w:color w:val="000000"/>
          <w:sz w:val="24"/>
          <w:szCs w:val="24"/>
        </w:rPr>
        <w:t xml:space="preserve">, </w:t>
      </w:r>
      <w:r w:rsidRPr="00E673AD">
        <w:rPr>
          <w:rFonts w:cs="DaxlinePro-Bold"/>
          <w:bCs/>
          <w:color w:val="000000"/>
          <w:sz w:val="24"/>
          <w:szCs w:val="24"/>
        </w:rPr>
        <w:t>Slovakia</w:t>
      </w:r>
      <w:r w:rsidRPr="00E673AD">
        <w:rPr>
          <w:rFonts w:cs="DaxlinePro-Regular"/>
          <w:color w:val="000000"/>
          <w:sz w:val="24"/>
          <w:szCs w:val="24"/>
        </w:rPr>
        <w:t xml:space="preserve">, </w:t>
      </w:r>
      <w:r w:rsidRPr="00761705">
        <w:rPr>
          <w:rFonts w:cs="DaxlinePro-Bold"/>
          <w:b/>
          <w:bCs/>
          <w:color w:val="000000"/>
          <w:sz w:val="24"/>
          <w:szCs w:val="24"/>
        </w:rPr>
        <w:t>Slove</w:t>
      </w:r>
      <w:r w:rsidRPr="00761705">
        <w:rPr>
          <w:rFonts w:cs="DaxlinePro-Bold"/>
          <w:b/>
          <w:bCs/>
          <w:color w:val="000000"/>
          <w:sz w:val="24"/>
          <w:szCs w:val="24"/>
        </w:rPr>
        <w:softHyphen/>
        <w:t>nia</w:t>
      </w:r>
      <w:r w:rsidRPr="00E673AD">
        <w:rPr>
          <w:rFonts w:cs="DaxlinePro-Regular"/>
          <w:color w:val="000000"/>
          <w:sz w:val="24"/>
          <w:szCs w:val="24"/>
        </w:rPr>
        <w:t xml:space="preserve">, </w:t>
      </w:r>
      <w:r w:rsidRPr="00E673AD">
        <w:rPr>
          <w:rFonts w:cs="DaxlinePro-Bold"/>
          <w:bCs/>
          <w:color w:val="000000"/>
          <w:sz w:val="24"/>
          <w:szCs w:val="24"/>
        </w:rPr>
        <w:t>Spain</w:t>
      </w:r>
      <w:r w:rsidRPr="00E673AD">
        <w:rPr>
          <w:rFonts w:cs="DaxlinePro-Regular"/>
          <w:color w:val="000000"/>
          <w:sz w:val="24"/>
          <w:szCs w:val="24"/>
        </w:rPr>
        <w:t xml:space="preserve">, </w:t>
      </w:r>
      <w:r w:rsidRPr="00E673AD">
        <w:rPr>
          <w:rFonts w:cs="DaxlinePro-Bold"/>
          <w:bCs/>
          <w:color w:val="000000"/>
          <w:sz w:val="24"/>
          <w:szCs w:val="24"/>
        </w:rPr>
        <w:t xml:space="preserve">Sweden </w:t>
      </w:r>
      <w:r w:rsidRPr="00E673AD">
        <w:rPr>
          <w:rFonts w:cs="DaxlinePro-Regular"/>
          <w:color w:val="000000"/>
          <w:sz w:val="24"/>
          <w:szCs w:val="24"/>
        </w:rPr>
        <w:t xml:space="preserve">and the </w:t>
      </w:r>
      <w:r w:rsidRPr="00761705">
        <w:rPr>
          <w:rFonts w:cs="DaxlinePro-Bold"/>
          <w:bCs/>
          <w:color w:val="000000"/>
          <w:sz w:val="24"/>
          <w:szCs w:val="24"/>
        </w:rPr>
        <w:t>United Kingdom</w:t>
      </w:r>
      <w:r>
        <w:rPr>
          <w:rFonts w:cs="DaxlinePro-Bold"/>
          <w:bCs/>
          <w:color w:val="000000"/>
          <w:sz w:val="24"/>
          <w:szCs w:val="24"/>
        </w:rPr>
        <w:t>.” (p.35)</w:t>
      </w:r>
    </w:p>
    <w:p w14:paraId="0FA0B34A" w14:textId="1E174A45" w:rsidR="006F4931" w:rsidRDefault="00281962" w:rsidP="00DC3DA0">
      <w:pPr>
        <w:rPr>
          <w:rFonts w:cs="DaxlinePro-Regular"/>
          <w:color w:val="000000"/>
          <w:sz w:val="24"/>
          <w:szCs w:val="24"/>
        </w:rPr>
      </w:pPr>
      <w:r w:rsidRPr="00E673AD">
        <w:rPr>
          <w:rFonts w:cs="DaxlinePro-Regular"/>
          <w:color w:val="000000"/>
          <w:sz w:val="24"/>
          <w:szCs w:val="24"/>
        </w:rPr>
        <w:t>“</w:t>
      </w:r>
      <w:r w:rsidR="00DC3DA0" w:rsidRPr="00DC3DA0">
        <w:rPr>
          <w:rFonts w:cs="DaxlinePro-Regular"/>
          <w:color w:val="000000"/>
          <w:sz w:val="24"/>
          <w:szCs w:val="24"/>
        </w:rPr>
        <w:t xml:space="preserve">Legislation in several </w:t>
      </w:r>
      <w:r w:rsidR="00DC3DA0">
        <w:rPr>
          <w:rFonts w:cs="DaxlinePro-Regular"/>
          <w:color w:val="000000"/>
          <w:sz w:val="24"/>
          <w:szCs w:val="24"/>
        </w:rPr>
        <w:t xml:space="preserve">other EU Member States does not </w:t>
      </w:r>
      <w:r w:rsidR="00DC3DA0" w:rsidRPr="00DC3DA0">
        <w:rPr>
          <w:rFonts w:cs="DaxlinePro-Regular"/>
          <w:color w:val="000000"/>
          <w:sz w:val="24"/>
          <w:szCs w:val="24"/>
        </w:rPr>
        <w:t xml:space="preserve">oblige the guardian </w:t>
      </w:r>
      <w:r w:rsidR="00DC3DA0">
        <w:rPr>
          <w:rFonts w:cs="DaxlinePro-Regular"/>
          <w:color w:val="000000"/>
          <w:sz w:val="24"/>
          <w:szCs w:val="24"/>
        </w:rPr>
        <w:t xml:space="preserve">to consider the person’s wishes </w:t>
      </w:r>
      <w:r w:rsidR="00DC3DA0" w:rsidRPr="00DC3DA0">
        <w:rPr>
          <w:rFonts w:cs="DaxlinePro-Regular"/>
          <w:color w:val="000000"/>
          <w:sz w:val="24"/>
          <w:szCs w:val="24"/>
        </w:rPr>
        <w:t>when taking decisions abou</w:t>
      </w:r>
      <w:r w:rsidR="00DC3DA0">
        <w:rPr>
          <w:rFonts w:cs="DaxlinePro-Regular"/>
          <w:color w:val="000000"/>
          <w:sz w:val="24"/>
          <w:szCs w:val="24"/>
        </w:rPr>
        <w:t xml:space="preserve">t his or her life. In </w:t>
      </w:r>
      <w:r w:rsidR="00DC3DA0" w:rsidRPr="00DC3DA0">
        <w:rPr>
          <w:rFonts w:cs="DaxlinePro-Regular"/>
          <w:b/>
          <w:color w:val="000000"/>
          <w:sz w:val="24"/>
          <w:szCs w:val="24"/>
        </w:rPr>
        <w:t>Slovenia</w:t>
      </w:r>
      <w:r w:rsidR="00DC3DA0">
        <w:rPr>
          <w:rFonts w:cs="DaxlinePro-Regular"/>
          <w:color w:val="000000"/>
          <w:sz w:val="24"/>
          <w:szCs w:val="24"/>
        </w:rPr>
        <w:t xml:space="preserve">, </w:t>
      </w:r>
      <w:r w:rsidR="00DC3DA0" w:rsidRPr="00DC3DA0">
        <w:rPr>
          <w:rFonts w:cs="DaxlinePro-Regular"/>
          <w:color w:val="000000"/>
          <w:sz w:val="24"/>
          <w:szCs w:val="24"/>
        </w:rPr>
        <w:t xml:space="preserve">decisions taken for a person </w:t>
      </w:r>
      <w:r w:rsidR="00DC3DA0">
        <w:rPr>
          <w:rFonts w:cs="DaxlinePro-Regular"/>
          <w:color w:val="000000"/>
          <w:sz w:val="24"/>
          <w:szCs w:val="24"/>
        </w:rPr>
        <w:t xml:space="preserve">under full guardianship </w:t>
      </w:r>
      <w:r w:rsidR="00DC3DA0" w:rsidRPr="00DC3DA0">
        <w:rPr>
          <w:rFonts w:cs="DaxlinePro-Regular"/>
          <w:color w:val="000000"/>
          <w:sz w:val="24"/>
          <w:szCs w:val="24"/>
        </w:rPr>
        <w:t>need not consider the adult’s wishes</w:t>
      </w:r>
      <w:r w:rsidRPr="00E673AD">
        <w:rPr>
          <w:rFonts w:cs="DaxlinePro-Regular"/>
          <w:color w:val="000000"/>
          <w:sz w:val="24"/>
          <w:szCs w:val="24"/>
        </w:rPr>
        <w:t>.”(p.36)</w:t>
      </w:r>
    </w:p>
    <w:p w14:paraId="45B8F10F" w14:textId="2C669C51" w:rsidR="00920299" w:rsidRDefault="00DC3DA0" w:rsidP="00A64F6F">
      <w:pPr>
        <w:rPr>
          <w:rFonts w:cs="DaxlinePro-Regular"/>
          <w:color w:val="000000"/>
          <w:sz w:val="24"/>
          <w:szCs w:val="24"/>
        </w:rPr>
      </w:pPr>
      <w:r>
        <w:rPr>
          <w:rFonts w:cs="DaxlinePro-Regular"/>
          <w:color w:val="000000"/>
          <w:sz w:val="24"/>
          <w:szCs w:val="24"/>
        </w:rPr>
        <w:lastRenderedPageBreak/>
        <w:t>“</w:t>
      </w:r>
      <w:r w:rsidR="00A64F6F" w:rsidRPr="00A64F6F">
        <w:rPr>
          <w:rFonts w:cs="DaxlinePro-Regular"/>
          <w:color w:val="000000"/>
          <w:sz w:val="24"/>
          <w:szCs w:val="24"/>
        </w:rPr>
        <w:t>The comparative analysi</w:t>
      </w:r>
      <w:r w:rsidR="00A64F6F">
        <w:rPr>
          <w:rFonts w:cs="DaxlinePro-Regular"/>
          <w:color w:val="000000"/>
          <w:sz w:val="24"/>
          <w:szCs w:val="24"/>
        </w:rPr>
        <w:t xml:space="preserve">s shows that in the majority of </w:t>
      </w:r>
      <w:r w:rsidR="00A64F6F" w:rsidRPr="00A64F6F">
        <w:rPr>
          <w:rFonts w:cs="DaxlinePro-Regular"/>
          <w:color w:val="000000"/>
          <w:sz w:val="24"/>
          <w:szCs w:val="24"/>
        </w:rPr>
        <w:t>EU Member States a guard</w:t>
      </w:r>
      <w:r w:rsidR="00A64F6F">
        <w:rPr>
          <w:rFonts w:cs="DaxlinePro-Regular"/>
          <w:color w:val="000000"/>
          <w:sz w:val="24"/>
          <w:szCs w:val="24"/>
        </w:rPr>
        <w:t xml:space="preserve">ianship measure is in principle </w:t>
      </w:r>
      <w:r w:rsidR="00A64F6F" w:rsidRPr="00A64F6F">
        <w:rPr>
          <w:rFonts w:cs="DaxlinePro-Regular"/>
          <w:color w:val="000000"/>
          <w:sz w:val="24"/>
          <w:szCs w:val="24"/>
        </w:rPr>
        <w:t>instituted for an unlimited pe</w:t>
      </w:r>
      <w:r w:rsidR="00A64F6F">
        <w:rPr>
          <w:rFonts w:cs="DaxlinePro-Regular"/>
          <w:color w:val="000000"/>
          <w:sz w:val="24"/>
          <w:szCs w:val="24"/>
        </w:rPr>
        <w:t xml:space="preserve">riod of time and is not subject </w:t>
      </w:r>
      <w:r w:rsidR="00A64F6F" w:rsidRPr="00A64F6F">
        <w:rPr>
          <w:rFonts w:cs="DaxlinePro-Regular"/>
          <w:color w:val="000000"/>
          <w:sz w:val="24"/>
          <w:szCs w:val="24"/>
        </w:rPr>
        <w:t>to periodic review</w:t>
      </w:r>
      <w:r w:rsidR="00A64F6F">
        <w:rPr>
          <w:rFonts w:cs="DaxlinePro-Regular"/>
          <w:color w:val="000000"/>
          <w:sz w:val="24"/>
          <w:szCs w:val="24"/>
        </w:rPr>
        <w:t xml:space="preserve">. […] </w:t>
      </w:r>
      <w:r>
        <w:rPr>
          <w:rFonts w:cs="DaxlinePro-Regular"/>
          <w:color w:val="000000"/>
          <w:sz w:val="24"/>
          <w:szCs w:val="24"/>
        </w:rPr>
        <w:t xml:space="preserve">Other Member States </w:t>
      </w:r>
      <w:r w:rsidRPr="00DC3DA0">
        <w:rPr>
          <w:rFonts w:cs="DaxlinePro-Regular"/>
          <w:color w:val="000000"/>
          <w:sz w:val="24"/>
          <w:szCs w:val="24"/>
        </w:rPr>
        <w:t>without a statutory ma</w:t>
      </w:r>
      <w:r>
        <w:rPr>
          <w:rFonts w:cs="DaxlinePro-Regular"/>
          <w:color w:val="000000"/>
          <w:sz w:val="24"/>
          <w:szCs w:val="24"/>
        </w:rPr>
        <w:t xml:space="preserve">ximum duration include Belgium, </w:t>
      </w:r>
      <w:r w:rsidRPr="00DC3DA0">
        <w:rPr>
          <w:rFonts w:cs="DaxlinePro-Regular"/>
          <w:color w:val="000000"/>
          <w:sz w:val="24"/>
          <w:szCs w:val="24"/>
        </w:rPr>
        <w:t>Cyprus, the Czech Republ</w:t>
      </w:r>
      <w:r>
        <w:rPr>
          <w:rFonts w:cs="DaxlinePro-Regular"/>
          <w:color w:val="000000"/>
          <w:sz w:val="24"/>
          <w:szCs w:val="24"/>
        </w:rPr>
        <w:t xml:space="preserve">ic, Greece, Ireland, Lithuania, </w:t>
      </w:r>
      <w:r w:rsidRPr="00DC3DA0">
        <w:rPr>
          <w:rFonts w:cs="DaxlinePro-Regular"/>
          <w:color w:val="000000"/>
          <w:sz w:val="24"/>
          <w:szCs w:val="24"/>
        </w:rPr>
        <w:t xml:space="preserve">the Netherlands, Poland, Portugal, </w:t>
      </w:r>
      <w:r w:rsidRPr="00DC3DA0">
        <w:rPr>
          <w:rFonts w:cs="DaxlinePro-Regular"/>
          <w:b/>
          <w:color w:val="000000"/>
          <w:sz w:val="24"/>
          <w:szCs w:val="24"/>
        </w:rPr>
        <w:t>Slovenia</w:t>
      </w:r>
      <w:r w:rsidRPr="00DC3DA0">
        <w:rPr>
          <w:rFonts w:cs="DaxlinePro-Regular"/>
          <w:color w:val="000000"/>
          <w:sz w:val="24"/>
          <w:szCs w:val="24"/>
        </w:rPr>
        <w:t xml:space="preserve"> and Spain.</w:t>
      </w:r>
      <w:r>
        <w:rPr>
          <w:rFonts w:cs="DaxlinePro-Regular"/>
          <w:color w:val="000000"/>
          <w:sz w:val="24"/>
          <w:szCs w:val="24"/>
        </w:rPr>
        <w:t>” (p.38)</w:t>
      </w:r>
    </w:p>
    <w:p w14:paraId="269AFAC5" w14:textId="77777777" w:rsidR="00281962" w:rsidRDefault="00281962" w:rsidP="001F3F8F">
      <w:pPr>
        <w:pStyle w:val="Heading2"/>
      </w:pPr>
      <w:bookmarkStart w:id="14" w:name="_Toc475024609"/>
      <w:r w:rsidRPr="004C24D1">
        <w:t>Involuntary placement and involuntary treatment of persons with mental health problems (2012)</w:t>
      </w:r>
      <w:bookmarkEnd w:id="14"/>
    </w:p>
    <w:p w14:paraId="01F84A2F" w14:textId="4985635F" w:rsidR="00281962" w:rsidRPr="00920299" w:rsidRDefault="00281962" w:rsidP="00782C1C">
      <w:pPr>
        <w:rPr>
          <w:sz w:val="24"/>
          <w:szCs w:val="24"/>
        </w:rPr>
      </w:pPr>
      <w:r w:rsidRPr="00E673AD">
        <w:rPr>
          <w:color w:val="000000" w:themeColor="text1"/>
          <w:sz w:val="24"/>
          <w:szCs w:val="24"/>
        </w:rPr>
        <w:t xml:space="preserve">The report includes extensive information </w:t>
      </w:r>
      <w:r w:rsidR="00F07D58">
        <w:rPr>
          <w:color w:val="000000" w:themeColor="text1"/>
          <w:sz w:val="24"/>
          <w:szCs w:val="24"/>
        </w:rPr>
        <w:t xml:space="preserve">regarding </w:t>
      </w:r>
      <w:proofErr w:type="gramStart"/>
      <w:r w:rsidR="00F07D58">
        <w:rPr>
          <w:color w:val="000000" w:themeColor="text1"/>
          <w:sz w:val="24"/>
          <w:szCs w:val="24"/>
        </w:rPr>
        <w:t>Slovenia</w:t>
      </w:r>
      <w:r w:rsidRPr="00E673AD">
        <w:rPr>
          <w:color w:val="000000" w:themeColor="text1"/>
          <w:sz w:val="24"/>
          <w:szCs w:val="24"/>
        </w:rPr>
        <w:t>,</w:t>
      </w:r>
      <w:proofErr w:type="gramEnd"/>
      <w:r w:rsidRPr="00E673AD">
        <w:rPr>
          <w:color w:val="000000" w:themeColor="text1"/>
          <w:sz w:val="24"/>
          <w:szCs w:val="24"/>
        </w:rPr>
        <w:t xml:space="preserve"> these excerpts are just a selection. </w:t>
      </w:r>
      <w:r w:rsidRPr="00E673AD">
        <w:rPr>
          <w:sz w:val="24"/>
          <w:szCs w:val="24"/>
          <w:lang w:val="en"/>
        </w:rPr>
        <w:t xml:space="preserve">For more information: </w:t>
      </w:r>
      <w:hyperlink r:id="rId21" w:history="1">
        <w:r w:rsidRPr="00E673AD">
          <w:rPr>
            <w:rStyle w:val="Hyperlink"/>
            <w:sz w:val="24"/>
            <w:szCs w:val="24"/>
          </w:rPr>
          <w:t>http://fra.europa.eu/en/publication/2012/involuntary-placement-and-involuntary-treatment-persons-mental-health-problems</w:t>
        </w:r>
      </w:hyperlink>
      <w:r w:rsidR="00920299" w:rsidRPr="00920299">
        <w:rPr>
          <w:rStyle w:val="Hyperlink"/>
          <w:color w:val="auto"/>
          <w:sz w:val="24"/>
          <w:szCs w:val="24"/>
          <w:u w:val="none"/>
        </w:rPr>
        <w:t xml:space="preserve">. </w:t>
      </w:r>
    </w:p>
    <w:p w14:paraId="5AD33D9D" w14:textId="046B79EB" w:rsidR="00281962" w:rsidRPr="00891093" w:rsidRDefault="00713B5E" w:rsidP="00782C1C">
      <w:pPr>
        <w:spacing w:line="240" w:lineRule="auto"/>
        <w:rPr>
          <w:rFonts w:cs="DaxlinePro-Regular"/>
          <w:color w:val="000000"/>
          <w:sz w:val="24"/>
          <w:szCs w:val="24"/>
        </w:rPr>
      </w:pPr>
      <w:r w:rsidRPr="00891093">
        <w:rPr>
          <w:rFonts w:cs="DaxlinePro-Regular"/>
          <w:color w:val="000000"/>
          <w:sz w:val="24"/>
          <w:szCs w:val="24"/>
        </w:rPr>
        <w:t xml:space="preserve"> </w:t>
      </w:r>
      <w:r w:rsidR="00281962" w:rsidRPr="00891093">
        <w:rPr>
          <w:rFonts w:cs="DaxlinePro-Regular"/>
          <w:color w:val="000000"/>
          <w:sz w:val="24"/>
          <w:szCs w:val="24"/>
        </w:rPr>
        <w:t xml:space="preserve">“In 13 Member States two criteria – the risk of harm </w:t>
      </w:r>
      <w:r w:rsidR="00281962" w:rsidRPr="00891093">
        <w:rPr>
          <w:rFonts w:cs="DaxlinePro-RegularItalic"/>
          <w:i/>
          <w:iCs/>
          <w:color w:val="000000"/>
          <w:sz w:val="24"/>
          <w:szCs w:val="24"/>
        </w:rPr>
        <w:t xml:space="preserve">and </w:t>
      </w:r>
      <w:r w:rsidR="00281962" w:rsidRPr="00891093">
        <w:rPr>
          <w:rFonts w:cs="DaxlinePro-Regular"/>
          <w:color w:val="000000"/>
          <w:sz w:val="24"/>
          <w:szCs w:val="24"/>
        </w:rPr>
        <w:t xml:space="preserve">the need for treatment – are listed alongside having a mental health problem. This is the case in </w:t>
      </w:r>
      <w:r w:rsidR="00281962" w:rsidRPr="00891093">
        <w:rPr>
          <w:rFonts w:cs="DaxlinePro-Bold"/>
          <w:bCs/>
          <w:color w:val="000000"/>
          <w:sz w:val="24"/>
          <w:szCs w:val="24"/>
        </w:rPr>
        <w:t xml:space="preserve">Denmark, Greece, Finland, France, Ireland, Latvia, Poland, Portugal, Romania, Slovakia, </w:t>
      </w:r>
      <w:r w:rsidR="00281962" w:rsidRPr="00891093">
        <w:rPr>
          <w:rFonts w:cs="DaxlinePro-Bold"/>
          <w:b/>
          <w:bCs/>
          <w:color w:val="000000"/>
          <w:sz w:val="24"/>
          <w:szCs w:val="24"/>
        </w:rPr>
        <w:t>Slovenia</w:t>
      </w:r>
      <w:r w:rsidR="00281962" w:rsidRPr="00891093">
        <w:rPr>
          <w:rFonts w:cs="DaxlinePro-Bold"/>
          <w:bCs/>
          <w:color w:val="000000"/>
          <w:sz w:val="24"/>
          <w:szCs w:val="24"/>
        </w:rPr>
        <w:t>, Sweden</w:t>
      </w:r>
      <w:r w:rsidR="00281962" w:rsidRPr="00891093">
        <w:rPr>
          <w:rFonts w:cs="DaxlinePro-Bold"/>
          <w:b/>
          <w:bCs/>
          <w:color w:val="000000"/>
          <w:sz w:val="24"/>
          <w:szCs w:val="24"/>
        </w:rPr>
        <w:t xml:space="preserve"> </w:t>
      </w:r>
      <w:r w:rsidR="00281962" w:rsidRPr="00891093">
        <w:rPr>
          <w:rFonts w:cs="DaxlinePro-Regular"/>
          <w:color w:val="000000"/>
          <w:sz w:val="24"/>
          <w:szCs w:val="24"/>
        </w:rPr>
        <w:t xml:space="preserve">and the </w:t>
      </w:r>
      <w:r w:rsidR="00281962" w:rsidRPr="00891093">
        <w:rPr>
          <w:rFonts w:cs="DaxlinePro-Bold"/>
          <w:bCs/>
          <w:color w:val="000000"/>
          <w:sz w:val="24"/>
          <w:szCs w:val="24"/>
        </w:rPr>
        <w:t>United Kingdom</w:t>
      </w:r>
      <w:r w:rsidR="00281962" w:rsidRPr="00891093">
        <w:rPr>
          <w:rFonts w:cs="DaxlinePro-Regular"/>
          <w:color w:val="000000"/>
          <w:sz w:val="24"/>
          <w:szCs w:val="24"/>
        </w:rPr>
        <w:t xml:space="preserve">.”(p.31) </w:t>
      </w:r>
    </w:p>
    <w:p w14:paraId="2A30EF95" w14:textId="19E371E1" w:rsidR="00713B5E" w:rsidRPr="00891093" w:rsidRDefault="00713B5E" w:rsidP="00713B5E">
      <w:pPr>
        <w:spacing w:line="240" w:lineRule="auto"/>
        <w:rPr>
          <w:rFonts w:cs="DaxlinePro-Regular"/>
          <w:color w:val="000000"/>
          <w:sz w:val="24"/>
          <w:szCs w:val="24"/>
        </w:rPr>
      </w:pPr>
      <w:r w:rsidRPr="00891093">
        <w:rPr>
          <w:rFonts w:cs="DaxlinePro-Regular"/>
          <w:color w:val="000000"/>
          <w:sz w:val="24"/>
          <w:szCs w:val="24"/>
        </w:rPr>
        <w:t xml:space="preserve">“Article 39 of the </w:t>
      </w:r>
      <w:r w:rsidRPr="00891093">
        <w:rPr>
          <w:rFonts w:cs="DaxlinePro-Regular"/>
          <w:b/>
          <w:color w:val="000000"/>
          <w:sz w:val="24"/>
          <w:szCs w:val="24"/>
        </w:rPr>
        <w:t>Slovenian</w:t>
      </w:r>
      <w:r w:rsidRPr="00891093">
        <w:rPr>
          <w:rFonts w:cs="DaxlinePro-Regular"/>
          <w:color w:val="000000"/>
          <w:sz w:val="24"/>
          <w:szCs w:val="24"/>
        </w:rPr>
        <w:t xml:space="preserve"> Mental Health Act allows for lawful detention if the described threats cannot be prevented by using other less intrusive means, such as: treatment in an open department of a psychiatric hospital, ambulant treatment or treatment under medical surveillance.” (p.33)</w:t>
      </w:r>
    </w:p>
    <w:p w14:paraId="74EFA273" w14:textId="455A251E" w:rsidR="00281962" w:rsidRPr="00891093" w:rsidRDefault="00281962" w:rsidP="00891093">
      <w:pPr>
        <w:spacing w:line="240" w:lineRule="auto"/>
        <w:rPr>
          <w:rFonts w:cs="DaxlinePro-Regular"/>
          <w:color w:val="000000"/>
          <w:sz w:val="24"/>
          <w:szCs w:val="24"/>
        </w:rPr>
      </w:pPr>
      <w:r w:rsidRPr="00891093">
        <w:rPr>
          <w:rFonts w:cs="DaxlinePro-Regular"/>
          <w:color w:val="000000"/>
          <w:sz w:val="24"/>
          <w:szCs w:val="24"/>
        </w:rPr>
        <w:t>“</w:t>
      </w:r>
      <w:r w:rsidR="00891093" w:rsidRPr="00891093">
        <w:rPr>
          <w:rFonts w:cs="DaxlinePro-Regular"/>
          <w:color w:val="000000"/>
          <w:sz w:val="24"/>
          <w:szCs w:val="24"/>
        </w:rPr>
        <w:t>Article 763 (4) of the Spanish Civil Procedure Act likewise regulates the termination of involuntary placement as a medical decision, which should immediately be notified to</w:t>
      </w:r>
      <w:r w:rsidR="00891093" w:rsidRPr="00891093">
        <w:rPr>
          <w:rStyle w:val="A9"/>
          <w:sz w:val="24"/>
          <w:szCs w:val="24"/>
        </w:rPr>
        <w:t xml:space="preserve"> </w:t>
      </w:r>
      <w:r w:rsidR="00891093" w:rsidRPr="00891093">
        <w:rPr>
          <w:rStyle w:val="A2"/>
          <w:sz w:val="24"/>
          <w:szCs w:val="24"/>
        </w:rPr>
        <w:t xml:space="preserve">the competent court. A similar provision is found in Article 99 (1) of the </w:t>
      </w:r>
      <w:r w:rsidR="00891093" w:rsidRPr="00891093">
        <w:rPr>
          <w:rStyle w:val="A2"/>
          <w:rFonts w:cs="DaxlinePro-Bold"/>
          <w:bCs/>
          <w:sz w:val="24"/>
          <w:szCs w:val="24"/>
        </w:rPr>
        <w:t>Greek</w:t>
      </w:r>
      <w:r w:rsidR="00891093" w:rsidRPr="00891093">
        <w:rPr>
          <w:rStyle w:val="A2"/>
          <w:rFonts w:cs="DaxlinePro-Bold"/>
          <w:b/>
          <w:bCs/>
          <w:sz w:val="24"/>
          <w:szCs w:val="24"/>
        </w:rPr>
        <w:t xml:space="preserve"> </w:t>
      </w:r>
      <w:r w:rsidR="00891093" w:rsidRPr="00891093">
        <w:rPr>
          <w:rStyle w:val="A2"/>
          <w:sz w:val="24"/>
          <w:szCs w:val="24"/>
        </w:rPr>
        <w:t xml:space="preserve">Law 2071/1992 and Article 71 of the </w:t>
      </w:r>
      <w:r w:rsidR="00891093" w:rsidRPr="00891093">
        <w:rPr>
          <w:rStyle w:val="A2"/>
          <w:rFonts w:cs="DaxlinePro-Bold"/>
          <w:b/>
          <w:bCs/>
          <w:sz w:val="24"/>
          <w:szCs w:val="24"/>
        </w:rPr>
        <w:t xml:space="preserve">Slovenian </w:t>
      </w:r>
      <w:r w:rsidR="00891093" w:rsidRPr="00891093">
        <w:rPr>
          <w:rStyle w:val="A2"/>
          <w:sz w:val="24"/>
          <w:szCs w:val="24"/>
        </w:rPr>
        <w:t>Mental Health Act 77/08.</w:t>
      </w:r>
      <w:r w:rsidR="00891093" w:rsidRPr="00891093">
        <w:rPr>
          <w:rFonts w:cs="DaxlinePro-Regular"/>
          <w:color w:val="000000"/>
          <w:sz w:val="24"/>
          <w:szCs w:val="24"/>
        </w:rPr>
        <w:t>” (p.38</w:t>
      </w:r>
      <w:r w:rsidRPr="00891093">
        <w:rPr>
          <w:rFonts w:cs="DaxlinePro-Regular"/>
          <w:color w:val="000000"/>
          <w:sz w:val="24"/>
          <w:szCs w:val="24"/>
        </w:rPr>
        <w:t>)</w:t>
      </w:r>
    </w:p>
    <w:p w14:paraId="338CD8E5" w14:textId="0D6C56C4" w:rsidR="00891093" w:rsidRPr="00891093" w:rsidRDefault="00891093" w:rsidP="00891093">
      <w:pPr>
        <w:spacing w:line="240" w:lineRule="auto"/>
        <w:rPr>
          <w:rFonts w:cs="DaxlinePro-Regular"/>
          <w:color w:val="000000"/>
          <w:sz w:val="24"/>
          <w:szCs w:val="24"/>
        </w:rPr>
      </w:pPr>
      <w:r w:rsidRPr="00891093">
        <w:rPr>
          <w:rFonts w:cs="DaxlinePro-Regular"/>
          <w:color w:val="000000"/>
          <w:sz w:val="24"/>
          <w:szCs w:val="24"/>
        </w:rPr>
        <w:t xml:space="preserve">“The FRA findings show that this requirement is reflected in the vast majority of EU Member States’ laws, which provide for free legal support either in certain circumstances or automatically. In addition, in several Member States, comprehensive legal aid provisions require that a lawyer be automatically appointed (see for example </w:t>
      </w:r>
      <w:r w:rsidRPr="00891093">
        <w:rPr>
          <w:rFonts w:cs="DaxlinePro-Bold"/>
          <w:bCs/>
          <w:color w:val="000000"/>
          <w:sz w:val="24"/>
          <w:szCs w:val="24"/>
        </w:rPr>
        <w:t>Belgium</w:t>
      </w:r>
      <w:r w:rsidRPr="00891093">
        <w:rPr>
          <w:rFonts w:cs="DaxlinePro-Regular"/>
          <w:color w:val="000000"/>
          <w:sz w:val="24"/>
          <w:szCs w:val="24"/>
        </w:rPr>
        <w:t xml:space="preserve">, </w:t>
      </w:r>
      <w:r w:rsidRPr="00891093">
        <w:rPr>
          <w:rFonts w:cs="DaxlinePro-Bold"/>
          <w:b/>
          <w:bCs/>
          <w:color w:val="000000"/>
          <w:sz w:val="24"/>
          <w:szCs w:val="24"/>
        </w:rPr>
        <w:t>Bulgaria</w:t>
      </w:r>
      <w:r w:rsidRPr="00891093">
        <w:rPr>
          <w:rFonts w:cs="DaxlinePro-Regular"/>
          <w:color w:val="000000"/>
          <w:sz w:val="24"/>
          <w:szCs w:val="24"/>
        </w:rPr>
        <w:t xml:space="preserve">, </w:t>
      </w:r>
      <w:r w:rsidRPr="00891093">
        <w:rPr>
          <w:rFonts w:cs="DaxlinePro-Bold"/>
          <w:bCs/>
          <w:color w:val="000000"/>
          <w:sz w:val="24"/>
          <w:szCs w:val="24"/>
        </w:rPr>
        <w:t>Hungary</w:t>
      </w:r>
      <w:r w:rsidRPr="00891093">
        <w:rPr>
          <w:rFonts w:cs="DaxlinePro-Regular"/>
          <w:color w:val="000000"/>
          <w:sz w:val="24"/>
          <w:szCs w:val="24"/>
        </w:rPr>
        <w:t xml:space="preserve">, the </w:t>
      </w:r>
      <w:r w:rsidRPr="00891093">
        <w:rPr>
          <w:rFonts w:cs="DaxlinePro-Bold"/>
          <w:bCs/>
          <w:color w:val="000000"/>
          <w:sz w:val="24"/>
          <w:szCs w:val="24"/>
        </w:rPr>
        <w:t xml:space="preserve">Netherlands </w:t>
      </w:r>
      <w:r w:rsidRPr="00891093">
        <w:rPr>
          <w:rFonts w:cs="DaxlinePro-Regular"/>
          <w:color w:val="000000"/>
          <w:sz w:val="24"/>
          <w:szCs w:val="24"/>
        </w:rPr>
        <w:t xml:space="preserve">or </w:t>
      </w:r>
      <w:r w:rsidRPr="00891093">
        <w:rPr>
          <w:rFonts w:cs="DaxlinePro-Bold"/>
          <w:b/>
          <w:bCs/>
          <w:color w:val="000000"/>
          <w:sz w:val="24"/>
          <w:szCs w:val="24"/>
        </w:rPr>
        <w:t>Slovenia</w:t>
      </w:r>
      <w:r w:rsidRPr="00891093">
        <w:rPr>
          <w:rFonts w:cs="DaxlinePro-Regular"/>
          <w:color w:val="000000"/>
          <w:sz w:val="24"/>
          <w:szCs w:val="24"/>
        </w:rPr>
        <w:t xml:space="preserve">).”(p.39) </w:t>
      </w:r>
    </w:p>
    <w:p w14:paraId="3D699BC3" w14:textId="72831C83" w:rsidR="00891093" w:rsidRPr="00891093" w:rsidRDefault="00644CDA" w:rsidP="00891093">
      <w:pPr>
        <w:spacing w:line="240" w:lineRule="auto"/>
        <w:rPr>
          <w:rFonts w:cs="DaxlinePro-Regular"/>
          <w:sz w:val="24"/>
          <w:szCs w:val="24"/>
        </w:rPr>
      </w:pPr>
      <w:r>
        <w:rPr>
          <w:rFonts w:cs="DaxlinePro-Regular"/>
          <w:color w:val="000000"/>
          <w:sz w:val="24"/>
          <w:szCs w:val="24"/>
        </w:rPr>
        <w:t>“</w:t>
      </w:r>
      <w:r w:rsidR="00891093" w:rsidRPr="00891093">
        <w:rPr>
          <w:rFonts w:cs="DaxlinePro-Regular"/>
          <w:color w:val="000000"/>
          <w:sz w:val="24"/>
          <w:szCs w:val="24"/>
        </w:rPr>
        <w:t>In some Member States regular reviews of placement measures take place every three months (</w:t>
      </w:r>
      <w:r w:rsidR="00891093" w:rsidRPr="00891093">
        <w:rPr>
          <w:rFonts w:cs="DaxlinePro-Bold"/>
          <w:bCs/>
          <w:color w:val="000000"/>
          <w:sz w:val="24"/>
          <w:szCs w:val="24"/>
        </w:rPr>
        <w:t>Bulgaria</w:t>
      </w:r>
      <w:r w:rsidR="00891093" w:rsidRPr="00891093">
        <w:rPr>
          <w:rFonts w:cs="DaxlinePro-Regular"/>
          <w:color w:val="000000"/>
          <w:sz w:val="24"/>
          <w:szCs w:val="24"/>
        </w:rPr>
        <w:t>,</w:t>
      </w:r>
      <w:r w:rsidR="00891093" w:rsidRPr="00891093">
        <w:rPr>
          <w:rStyle w:val="A8"/>
          <w:sz w:val="24"/>
          <w:szCs w:val="24"/>
        </w:rPr>
        <w:t xml:space="preserve">  </w:t>
      </w:r>
      <w:r w:rsidR="00891093" w:rsidRPr="00891093">
        <w:rPr>
          <w:rFonts w:cs="DaxlinePro-Bold"/>
          <w:bCs/>
          <w:color w:val="000000"/>
          <w:sz w:val="24"/>
          <w:szCs w:val="24"/>
        </w:rPr>
        <w:t>Portugal</w:t>
      </w:r>
      <w:r w:rsidR="00891093" w:rsidRPr="00891093">
        <w:rPr>
          <w:rFonts w:cs="DaxlinePro-Regular"/>
          <w:color w:val="000000"/>
          <w:sz w:val="24"/>
          <w:szCs w:val="24"/>
        </w:rPr>
        <w:t>), every six months (</w:t>
      </w:r>
      <w:r w:rsidR="00891093" w:rsidRPr="00891093">
        <w:rPr>
          <w:rFonts w:cs="DaxlinePro-Bold"/>
          <w:bCs/>
          <w:color w:val="000000"/>
          <w:sz w:val="24"/>
          <w:szCs w:val="24"/>
        </w:rPr>
        <w:t>Finland</w:t>
      </w:r>
      <w:r w:rsidR="00891093" w:rsidRPr="00891093">
        <w:rPr>
          <w:rFonts w:cs="DaxlinePro-Regular"/>
          <w:color w:val="000000"/>
          <w:sz w:val="24"/>
          <w:szCs w:val="24"/>
        </w:rPr>
        <w:t>,</w:t>
      </w:r>
      <w:r w:rsidR="00891093" w:rsidRPr="00891093">
        <w:rPr>
          <w:rStyle w:val="A8"/>
          <w:sz w:val="24"/>
          <w:szCs w:val="24"/>
        </w:rPr>
        <w:t xml:space="preserve"> </w:t>
      </w:r>
      <w:r w:rsidR="00891093" w:rsidRPr="00891093">
        <w:rPr>
          <w:rFonts w:cs="DaxlinePro-Bold"/>
          <w:bCs/>
          <w:color w:val="000000"/>
          <w:sz w:val="24"/>
          <w:szCs w:val="24"/>
        </w:rPr>
        <w:t>France</w:t>
      </w:r>
      <w:r w:rsidR="00891093" w:rsidRPr="00891093">
        <w:rPr>
          <w:rFonts w:cs="DaxlinePro-Regular"/>
          <w:color w:val="000000"/>
          <w:sz w:val="24"/>
          <w:szCs w:val="24"/>
        </w:rPr>
        <w:t>,</w:t>
      </w:r>
      <w:r w:rsidR="00891093" w:rsidRPr="00891093">
        <w:rPr>
          <w:rStyle w:val="A8"/>
          <w:sz w:val="24"/>
          <w:szCs w:val="24"/>
        </w:rPr>
        <w:t xml:space="preserve">  </w:t>
      </w:r>
      <w:r w:rsidR="00891093" w:rsidRPr="00891093">
        <w:rPr>
          <w:rFonts w:cs="DaxlinePro-Bold"/>
          <w:bCs/>
          <w:color w:val="000000"/>
          <w:sz w:val="24"/>
          <w:szCs w:val="24"/>
        </w:rPr>
        <w:t>Latvia</w:t>
      </w:r>
      <w:r w:rsidR="00891093" w:rsidRPr="00891093">
        <w:rPr>
          <w:rFonts w:cs="DaxlinePro-Regular"/>
          <w:color w:val="000000"/>
          <w:sz w:val="24"/>
          <w:szCs w:val="24"/>
        </w:rPr>
        <w:t>,</w:t>
      </w:r>
      <w:r w:rsidR="00891093" w:rsidRPr="00891093">
        <w:rPr>
          <w:rStyle w:val="A8"/>
          <w:sz w:val="24"/>
          <w:szCs w:val="24"/>
        </w:rPr>
        <w:t xml:space="preserve"> </w:t>
      </w:r>
      <w:r w:rsidR="00891093" w:rsidRPr="00891093">
        <w:rPr>
          <w:rFonts w:cs="DaxlinePro-Bold"/>
          <w:bCs/>
          <w:color w:val="000000"/>
          <w:sz w:val="24"/>
          <w:szCs w:val="24"/>
        </w:rPr>
        <w:t>Lithuania</w:t>
      </w:r>
      <w:r w:rsidR="00891093" w:rsidRPr="00891093">
        <w:rPr>
          <w:rFonts w:cs="DaxlinePro-Regular"/>
          <w:color w:val="000000"/>
          <w:sz w:val="24"/>
          <w:szCs w:val="24"/>
        </w:rPr>
        <w:t>), after one year (</w:t>
      </w:r>
      <w:r w:rsidR="00891093" w:rsidRPr="00891093">
        <w:rPr>
          <w:rFonts w:cs="DaxlinePro-Bold"/>
          <w:bCs/>
          <w:color w:val="000000"/>
          <w:sz w:val="24"/>
          <w:szCs w:val="24"/>
        </w:rPr>
        <w:t>Estonia</w:t>
      </w:r>
      <w:r w:rsidR="00891093" w:rsidRPr="00891093">
        <w:rPr>
          <w:rFonts w:cs="DaxlinePro-Regular"/>
          <w:color w:val="000000"/>
          <w:sz w:val="24"/>
          <w:szCs w:val="24"/>
        </w:rPr>
        <w:t>,</w:t>
      </w:r>
      <w:r w:rsidR="00891093" w:rsidRPr="00891093">
        <w:rPr>
          <w:rStyle w:val="A8"/>
          <w:sz w:val="24"/>
          <w:szCs w:val="24"/>
        </w:rPr>
        <w:t xml:space="preserve"> </w:t>
      </w:r>
      <w:r w:rsidR="00891093" w:rsidRPr="00891093">
        <w:rPr>
          <w:rFonts w:cs="DaxlinePro-Bold"/>
          <w:b/>
          <w:bCs/>
          <w:color w:val="000000"/>
          <w:sz w:val="24"/>
          <w:szCs w:val="24"/>
        </w:rPr>
        <w:t>Slovenia</w:t>
      </w:r>
      <w:r w:rsidR="00891093" w:rsidRPr="00891093">
        <w:rPr>
          <w:rFonts w:cs="DaxlinePro-Regular"/>
          <w:color w:val="000000"/>
          <w:sz w:val="24"/>
          <w:szCs w:val="24"/>
        </w:rPr>
        <w:t>), or after two years (</w:t>
      </w:r>
      <w:r w:rsidR="00891093" w:rsidRPr="00891093">
        <w:rPr>
          <w:rFonts w:cs="DaxlinePro-Bold"/>
          <w:bCs/>
          <w:color w:val="000000"/>
          <w:sz w:val="24"/>
          <w:szCs w:val="24"/>
        </w:rPr>
        <w:t>Belgium</w:t>
      </w:r>
      <w:r w:rsidR="00891093" w:rsidRPr="00891093">
        <w:rPr>
          <w:rFonts w:cs="DaxlinePro-Regular"/>
          <w:color w:val="000000"/>
          <w:sz w:val="24"/>
          <w:szCs w:val="24"/>
        </w:rPr>
        <w:t>,</w:t>
      </w:r>
      <w:r w:rsidR="00891093" w:rsidRPr="00891093">
        <w:rPr>
          <w:rStyle w:val="A8"/>
          <w:sz w:val="24"/>
          <w:szCs w:val="24"/>
        </w:rPr>
        <w:t xml:space="preserve"> </w:t>
      </w:r>
      <w:r w:rsidR="00891093" w:rsidRPr="00891093">
        <w:rPr>
          <w:rFonts w:cs="DaxlinePro-Bold"/>
          <w:bCs/>
          <w:color w:val="000000"/>
          <w:sz w:val="24"/>
          <w:szCs w:val="24"/>
        </w:rPr>
        <w:t>Luxembourg</w:t>
      </w:r>
      <w:r w:rsidR="00891093" w:rsidRPr="00891093">
        <w:rPr>
          <w:rFonts w:cs="DaxlinePro-Regular"/>
          <w:color w:val="000000"/>
          <w:sz w:val="24"/>
          <w:szCs w:val="24"/>
        </w:rPr>
        <w:t>)</w:t>
      </w:r>
      <w:r>
        <w:rPr>
          <w:rFonts w:cs="DaxlinePro-Regular"/>
          <w:color w:val="000000"/>
          <w:sz w:val="24"/>
          <w:szCs w:val="24"/>
        </w:rPr>
        <w:t>.”</w:t>
      </w:r>
      <w:r w:rsidR="00891093" w:rsidRPr="00891093">
        <w:rPr>
          <w:rFonts w:cs="DaxlinePro-Regular"/>
          <w:color w:val="000000"/>
          <w:sz w:val="24"/>
          <w:szCs w:val="24"/>
        </w:rPr>
        <w:t xml:space="preserve"> (p.40)</w:t>
      </w:r>
    </w:p>
    <w:p w14:paraId="35CB58D1" w14:textId="79A81095" w:rsidR="00281962" w:rsidRPr="008358FD" w:rsidRDefault="00281962" w:rsidP="001F3F8F">
      <w:pPr>
        <w:pStyle w:val="Heading2"/>
      </w:pPr>
      <w:bookmarkStart w:id="15" w:name="_Toc475024610"/>
      <w:r w:rsidRPr="004C24D1">
        <w:t>The legal protection of persons with mental health problems under non-discrimination law (2011)</w:t>
      </w:r>
      <w:bookmarkEnd w:id="15"/>
    </w:p>
    <w:p w14:paraId="551B0E2F" w14:textId="714DD0D8" w:rsidR="00281962" w:rsidRPr="00E673AD" w:rsidRDefault="00281962" w:rsidP="00782C1C">
      <w:pPr>
        <w:rPr>
          <w:sz w:val="24"/>
          <w:szCs w:val="24"/>
        </w:rPr>
      </w:pPr>
      <w:r w:rsidRPr="00E673AD">
        <w:rPr>
          <w:color w:val="000000" w:themeColor="text1"/>
          <w:sz w:val="24"/>
          <w:szCs w:val="24"/>
        </w:rPr>
        <w:t xml:space="preserve">The report includes extensive information </w:t>
      </w:r>
      <w:r w:rsidR="00F07D58">
        <w:rPr>
          <w:color w:val="000000" w:themeColor="text1"/>
          <w:sz w:val="24"/>
          <w:szCs w:val="24"/>
        </w:rPr>
        <w:t xml:space="preserve">regarding </w:t>
      </w:r>
      <w:proofErr w:type="gramStart"/>
      <w:r w:rsidR="00F07D58">
        <w:rPr>
          <w:color w:val="000000" w:themeColor="text1"/>
          <w:sz w:val="24"/>
          <w:szCs w:val="24"/>
        </w:rPr>
        <w:t>Slovenia</w:t>
      </w:r>
      <w:r w:rsidRPr="00E673AD">
        <w:rPr>
          <w:color w:val="000000" w:themeColor="text1"/>
          <w:sz w:val="24"/>
          <w:szCs w:val="24"/>
        </w:rPr>
        <w:t>,</w:t>
      </w:r>
      <w:proofErr w:type="gramEnd"/>
      <w:r w:rsidRPr="00E673AD">
        <w:rPr>
          <w:color w:val="000000" w:themeColor="text1"/>
          <w:sz w:val="24"/>
          <w:szCs w:val="24"/>
        </w:rPr>
        <w:t xml:space="preserve"> these excerpts are just a selection. For more detailed information:</w:t>
      </w:r>
      <w:r w:rsidRPr="00E673AD">
        <w:rPr>
          <w:sz w:val="24"/>
          <w:szCs w:val="24"/>
        </w:rPr>
        <w:t xml:space="preserve"> </w:t>
      </w:r>
      <w:hyperlink r:id="rId22" w:history="1">
        <w:r w:rsidRPr="00E673AD">
          <w:rPr>
            <w:rStyle w:val="Hyperlink"/>
            <w:sz w:val="24"/>
            <w:szCs w:val="24"/>
          </w:rPr>
          <w:t>http://fra.europa.eu/en/publication/2011/legal-protection-persons-mental-health-problems-under-non-discrimination-law</w:t>
        </w:r>
      </w:hyperlink>
      <w:r w:rsidR="00FA36D5" w:rsidRPr="00FA36D5">
        <w:rPr>
          <w:rStyle w:val="Hyperlink"/>
          <w:sz w:val="24"/>
          <w:szCs w:val="24"/>
          <w:u w:val="none"/>
        </w:rPr>
        <w:t>.</w:t>
      </w:r>
      <w:r w:rsidRPr="00FA36D5">
        <w:rPr>
          <w:sz w:val="24"/>
          <w:szCs w:val="24"/>
        </w:rPr>
        <w:t xml:space="preserve"> </w:t>
      </w:r>
    </w:p>
    <w:p w14:paraId="52818043" w14:textId="2DFB0313" w:rsidR="00546E2F" w:rsidRDefault="00546E2F" w:rsidP="00546E2F">
      <w:pPr>
        <w:autoSpaceDE w:val="0"/>
        <w:autoSpaceDN w:val="0"/>
        <w:adjustRightInd w:val="0"/>
        <w:spacing w:line="240" w:lineRule="auto"/>
        <w:rPr>
          <w:color w:val="000000"/>
          <w:sz w:val="24"/>
          <w:szCs w:val="24"/>
        </w:rPr>
      </w:pPr>
      <w:r w:rsidRPr="00546E2F">
        <w:rPr>
          <w:color w:val="000000"/>
          <w:sz w:val="24"/>
          <w:szCs w:val="24"/>
        </w:rPr>
        <w:lastRenderedPageBreak/>
        <w:t>“In another group of Member States where the transposing legislation provides no common understanding of the term disability, definitions can be found in other non-discrimination laws. In general, these definitions can be interpreted so as to include persons with mental health problems. This is the case for Bulgaria, Italy, Latvia, Luxembourg</w:t>
      </w:r>
      <w:r>
        <w:rPr>
          <w:color w:val="000000"/>
          <w:sz w:val="24"/>
          <w:szCs w:val="24"/>
        </w:rPr>
        <w:t xml:space="preserve">, Poland, Romania and </w:t>
      </w:r>
      <w:r w:rsidRPr="00546E2F">
        <w:rPr>
          <w:b/>
          <w:color w:val="000000"/>
          <w:sz w:val="24"/>
          <w:szCs w:val="24"/>
        </w:rPr>
        <w:t>Slovenia</w:t>
      </w:r>
      <w:r>
        <w:rPr>
          <w:color w:val="000000"/>
          <w:sz w:val="24"/>
          <w:szCs w:val="24"/>
        </w:rPr>
        <w:t xml:space="preserve">. […]The </w:t>
      </w:r>
      <w:r w:rsidRPr="00A404BE">
        <w:rPr>
          <w:b/>
          <w:color w:val="000000"/>
          <w:sz w:val="24"/>
          <w:szCs w:val="24"/>
        </w:rPr>
        <w:t>Slovenian</w:t>
      </w:r>
      <w:r>
        <w:rPr>
          <w:color w:val="000000"/>
          <w:sz w:val="24"/>
          <w:szCs w:val="24"/>
        </w:rPr>
        <w:t xml:space="preserve"> Act </w:t>
      </w:r>
      <w:r w:rsidRPr="00546E2F">
        <w:rPr>
          <w:color w:val="000000"/>
          <w:sz w:val="24"/>
          <w:szCs w:val="24"/>
        </w:rPr>
        <w:t>on equalisation of</w:t>
      </w:r>
      <w:r>
        <w:rPr>
          <w:color w:val="000000"/>
          <w:sz w:val="24"/>
          <w:szCs w:val="24"/>
        </w:rPr>
        <w:t xml:space="preserve"> opportunities for persons with </w:t>
      </w:r>
      <w:r w:rsidRPr="00546E2F">
        <w:rPr>
          <w:color w:val="000000"/>
          <w:sz w:val="24"/>
          <w:szCs w:val="24"/>
        </w:rPr>
        <w:t>disabilities uses the</w:t>
      </w:r>
      <w:r>
        <w:rPr>
          <w:color w:val="000000"/>
          <w:sz w:val="24"/>
          <w:szCs w:val="24"/>
        </w:rPr>
        <w:t xml:space="preserve"> following definition: “Persons </w:t>
      </w:r>
      <w:r w:rsidRPr="00546E2F">
        <w:rPr>
          <w:color w:val="000000"/>
          <w:sz w:val="24"/>
          <w:szCs w:val="24"/>
        </w:rPr>
        <w:t>with disabilities sha</w:t>
      </w:r>
      <w:r>
        <w:rPr>
          <w:color w:val="000000"/>
          <w:sz w:val="24"/>
          <w:szCs w:val="24"/>
        </w:rPr>
        <w:t>ll mean those who have long</w:t>
      </w:r>
      <w:r w:rsidR="00A404BE">
        <w:rPr>
          <w:color w:val="000000"/>
          <w:sz w:val="24"/>
          <w:szCs w:val="24"/>
        </w:rPr>
        <w:t>-</w:t>
      </w:r>
      <w:r>
        <w:rPr>
          <w:color w:val="000000"/>
          <w:sz w:val="24"/>
          <w:szCs w:val="24"/>
        </w:rPr>
        <w:t xml:space="preserve">term </w:t>
      </w:r>
      <w:r w:rsidRPr="00546E2F">
        <w:rPr>
          <w:color w:val="000000"/>
          <w:sz w:val="24"/>
          <w:szCs w:val="24"/>
        </w:rPr>
        <w:t>physical, men</w:t>
      </w:r>
      <w:r>
        <w:rPr>
          <w:color w:val="000000"/>
          <w:sz w:val="24"/>
          <w:szCs w:val="24"/>
        </w:rPr>
        <w:t xml:space="preserve">tal or sensory impairments that </w:t>
      </w:r>
      <w:r w:rsidRPr="00546E2F">
        <w:rPr>
          <w:color w:val="000000"/>
          <w:sz w:val="24"/>
          <w:szCs w:val="24"/>
        </w:rPr>
        <w:t>in interaction with various</w:t>
      </w:r>
      <w:r>
        <w:rPr>
          <w:color w:val="000000"/>
          <w:sz w:val="24"/>
          <w:szCs w:val="24"/>
        </w:rPr>
        <w:t xml:space="preserve"> barriers may hinder their </w:t>
      </w:r>
      <w:r w:rsidRPr="00546E2F">
        <w:rPr>
          <w:color w:val="000000"/>
          <w:sz w:val="24"/>
          <w:szCs w:val="24"/>
        </w:rPr>
        <w:t>full and effective parti</w:t>
      </w:r>
      <w:r>
        <w:rPr>
          <w:color w:val="000000"/>
          <w:sz w:val="24"/>
          <w:szCs w:val="24"/>
        </w:rPr>
        <w:t xml:space="preserve">cipation in society on an equal </w:t>
      </w:r>
      <w:r w:rsidRPr="00546E2F">
        <w:rPr>
          <w:color w:val="000000"/>
          <w:sz w:val="24"/>
          <w:szCs w:val="24"/>
        </w:rPr>
        <w:t xml:space="preserve">basis with others.”(p.24) </w:t>
      </w:r>
    </w:p>
    <w:p w14:paraId="1CEB1CEB" w14:textId="517AB44F" w:rsidR="00281962" w:rsidRPr="00E673AD" w:rsidRDefault="00281962" w:rsidP="00782C1C">
      <w:pPr>
        <w:autoSpaceDE w:val="0"/>
        <w:autoSpaceDN w:val="0"/>
        <w:adjustRightInd w:val="0"/>
        <w:spacing w:line="240" w:lineRule="auto"/>
        <w:rPr>
          <w:color w:val="000000"/>
          <w:sz w:val="24"/>
          <w:szCs w:val="24"/>
        </w:rPr>
      </w:pPr>
      <w:r w:rsidRPr="00E673AD">
        <w:rPr>
          <w:color w:val="000000"/>
          <w:sz w:val="24"/>
          <w:szCs w:val="24"/>
        </w:rPr>
        <w:t>“</w:t>
      </w:r>
      <w:r w:rsidR="00A404BE" w:rsidRPr="00A404BE">
        <w:rPr>
          <w:color w:val="000000"/>
          <w:sz w:val="24"/>
          <w:szCs w:val="24"/>
        </w:rPr>
        <w:t>In five EU Member St</w:t>
      </w:r>
      <w:r w:rsidR="00A404BE">
        <w:rPr>
          <w:color w:val="000000"/>
          <w:sz w:val="24"/>
          <w:szCs w:val="24"/>
        </w:rPr>
        <w:t xml:space="preserve">ates (France, Germany, Hungary, </w:t>
      </w:r>
      <w:r w:rsidR="00A404BE" w:rsidRPr="00A404BE">
        <w:rPr>
          <w:b/>
          <w:color w:val="000000"/>
          <w:sz w:val="24"/>
          <w:szCs w:val="24"/>
        </w:rPr>
        <w:t>Slovenia</w:t>
      </w:r>
      <w:r w:rsidR="00A404BE" w:rsidRPr="00A404BE">
        <w:rPr>
          <w:color w:val="000000"/>
          <w:sz w:val="24"/>
          <w:szCs w:val="24"/>
        </w:rPr>
        <w:t xml:space="preserve"> and Spain), t</w:t>
      </w:r>
      <w:r w:rsidR="00A404BE">
        <w:rPr>
          <w:color w:val="000000"/>
          <w:sz w:val="24"/>
          <w:szCs w:val="24"/>
        </w:rPr>
        <w:t xml:space="preserve">he scope of the duty to provide </w:t>
      </w:r>
      <w:r w:rsidR="00A404BE" w:rsidRPr="00A404BE">
        <w:rPr>
          <w:color w:val="000000"/>
          <w:sz w:val="24"/>
          <w:szCs w:val="24"/>
        </w:rPr>
        <w:t>reasonable accom</w:t>
      </w:r>
      <w:r w:rsidR="00A404BE">
        <w:rPr>
          <w:color w:val="000000"/>
          <w:sz w:val="24"/>
          <w:szCs w:val="24"/>
        </w:rPr>
        <w:t xml:space="preserve">modation is not the same as the </w:t>
      </w:r>
      <w:r w:rsidR="00A404BE" w:rsidRPr="00A404BE">
        <w:rPr>
          <w:color w:val="000000"/>
          <w:sz w:val="24"/>
          <w:szCs w:val="24"/>
        </w:rPr>
        <w:t>scope of the prohi</w:t>
      </w:r>
      <w:r w:rsidR="00A404BE">
        <w:rPr>
          <w:color w:val="000000"/>
          <w:sz w:val="24"/>
          <w:szCs w:val="24"/>
        </w:rPr>
        <w:t>bition of discrimination on the grounds of disability.” (p.26</w:t>
      </w:r>
      <w:r w:rsidR="001B79F3">
        <w:rPr>
          <w:color w:val="000000"/>
          <w:sz w:val="24"/>
          <w:szCs w:val="24"/>
        </w:rPr>
        <w:t>)</w:t>
      </w:r>
    </w:p>
    <w:p w14:paraId="248AB149" w14:textId="1C33E105" w:rsidR="00281962" w:rsidRPr="001B79F3" w:rsidRDefault="00281962" w:rsidP="001F3F8F">
      <w:pPr>
        <w:pStyle w:val="Heading2"/>
      </w:pPr>
      <w:bookmarkStart w:id="16" w:name="_Toc475024611"/>
      <w:r w:rsidRPr="004C24D1">
        <w:t>The right to political participation of persons with mental health problems and persons with intellectual disabilities (2010)</w:t>
      </w:r>
      <w:bookmarkEnd w:id="16"/>
    </w:p>
    <w:p w14:paraId="5AB7B151" w14:textId="301E5CED" w:rsidR="00281962" w:rsidRPr="00E673AD" w:rsidRDefault="00281962" w:rsidP="001B79F3">
      <w:pPr>
        <w:rPr>
          <w:sz w:val="24"/>
          <w:szCs w:val="24"/>
        </w:rPr>
      </w:pPr>
      <w:r w:rsidRPr="00E673AD">
        <w:rPr>
          <w:color w:val="000000" w:themeColor="text1"/>
          <w:sz w:val="24"/>
          <w:szCs w:val="24"/>
        </w:rPr>
        <w:t xml:space="preserve">The report includes extensive information regarding </w:t>
      </w:r>
      <w:proofErr w:type="gramStart"/>
      <w:r w:rsidRPr="00E673AD">
        <w:rPr>
          <w:color w:val="000000" w:themeColor="text1"/>
          <w:sz w:val="24"/>
          <w:szCs w:val="24"/>
        </w:rPr>
        <w:t>France,</w:t>
      </w:r>
      <w:proofErr w:type="gramEnd"/>
      <w:r w:rsidRPr="00E673AD">
        <w:rPr>
          <w:color w:val="000000" w:themeColor="text1"/>
          <w:sz w:val="24"/>
          <w:szCs w:val="24"/>
        </w:rPr>
        <w:t xml:space="preserve"> these excerpts are just a selection. For more detailed information:</w:t>
      </w:r>
      <w:r w:rsidR="00FE5A96">
        <w:rPr>
          <w:sz w:val="24"/>
          <w:szCs w:val="24"/>
        </w:rPr>
        <w:t xml:space="preserve"> </w:t>
      </w:r>
      <w:hyperlink r:id="rId23" w:history="1">
        <w:r w:rsidRPr="00E673AD">
          <w:rPr>
            <w:rStyle w:val="Hyperlink"/>
            <w:sz w:val="24"/>
            <w:szCs w:val="24"/>
          </w:rPr>
          <w:t>http://fra.europa.eu/en/publication/2010/right-political-participation-persons-mental-health-problems-and-persons</w:t>
        </w:r>
      </w:hyperlink>
      <w:r w:rsidR="001B79F3">
        <w:rPr>
          <w:sz w:val="24"/>
          <w:szCs w:val="24"/>
        </w:rPr>
        <w:t xml:space="preserve"> </w:t>
      </w:r>
    </w:p>
    <w:p w14:paraId="31FCE17F" w14:textId="6E334304" w:rsidR="001B79F3" w:rsidRPr="003922EC" w:rsidRDefault="00281962" w:rsidP="003922EC">
      <w:pPr>
        <w:pStyle w:val="Pa4"/>
        <w:spacing w:after="240"/>
        <w:rPr>
          <w:rFonts w:asciiTheme="minorHAnsi" w:cs="DaxlinePro-Regular"/>
          <w:color w:val="000000"/>
        </w:rPr>
      </w:pPr>
      <w:r w:rsidRPr="003922EC">
        <w:rPr>
          <w:rFonts w:asciiTheme="minorHAnsi" w:cs="DaxlinePro-Regular"/>
          <w:color w:val="000000"/>
        </w:rPr>
        <w:t>“</w:t>
      </w:r>
      <w:r w:rsidR="003922EC" w:rsidRPr="003922EC">
        <w:rPr>
          <w:rFonts w:asciiTheme="minorHAnsi" w:cs="DaxlinePro-Regular"/>
          <w:color w:val="000000"/>
        </w:rPr>
        <w:t xml:space="preserve">The situation in </w:t>
      </w:r>
      <w:r w:rsidR="003922EC" w:rsidRPr="003922EC">
        <w:rPr>
          <w:rFonts w:asciiTheme="minorHAnsi" w:cs="DaxlinePro-Bold"/>
          <w:b/>
          <w:bCs/>
          <w:color w:val="000000"/>
        </w:rPr>
        <w:t xml:space="preserve">Slovenia </w:t>
      </w:r>
      <w:r w:rsidR="003922EC" w:rsidRPr="003922EC">
        <w:rPr>
          <w:rFonts w:asciiTheme="minorHAnsi" w:cs="DaxlinePro-Regular"/>
          <w:color w:val="000000"/>
        </w:rPr>
        <w:t xml:space="preserve">is somewhat particular. National legislation used to proscribe participation in the electoral process by persons deprived of legal capacity. However, in 2003, the </w:t>
      </w:r>
      <w:r w:rsidR="003922EC" w:rsidRPr="003922EC">
        <w:rPr>
          <w:rFonts w:asciiTheme="minorHAnsi" w:cs="DaxlinePro-Regular"/>
          <w:b/>
          <w:color w:val="000000"/>
        </w:rPr>
        <w:t>Slovenian</w:t>
      </w:r>
      <w:r w:rsidR="003922EC" w:rsidRPr="003922EC">
        <w:rPr>
          <w:rFonts w:asciiTheme="minorHAnsi" w:cs="DaxlinePro-Regular"/>
          <w:color w:val="000000"/>
        </w:rPr>
        <w:t xml:space="preserve"> Constitutional Court found the relevant provisions unconstitutional. Accord</w:t>
      </w:r>
      <w:r w:rsidR="003922EC" w:rsidRPr="003922EC">
        <w:rPr>
          <w:rFonts w:asciiTheme="minorHAnsi" w:cs="DaxlinePro-Regular"/>
          <w:color w:val="000000"/>
        </w:rPr>
        <w:softHyphen/>
        <w:t xml:space="preserve">ing to the Court, capacity to vote should not be equated </w:t>
      </w:r>
      <w:r w:rsidR="003922EC" w:rsidRPr="003922EC">
        <w:rPr>
          <w:rFonts w:asciiTheme="minorHAnsi"/>
        </w:rPr>
        <w:t xml:space="preserve">with legal capacity. Parliament amended </w:t>
      </w:r>
      <w:r w:rsidR="003922EC">
        <w:rPr>
          <w:rFonts w:asciiTheme="minorHAnsi"/>
        </w:rPr>
        <w:t>the legisla</w:t>
      </w:r>
      <w:r w:rsidR="003922EC" w:rsidRPr="003922EC">
        <w:rPr>
          <w:rFonts w:asciiTheme="minorHAnsi"/>
        </w:rPr>
        <w:t xml:space="preserve">tion in 2006. According to the amended Act, in order to restrict the right to vote of an individual, a court needs 1) to decide on the prolongation of parental rights, which in </w:t>
      </w:r>
      <w:r w:rsidR="003922EC" w:rsidRPr="003922EC">
        <w:rPr>
          <w:rFonts w:asciiTheme="minorHAnsi"/>
          <w:b/>
        </w:rPr>
        <w:t>Slovenia</w:t>
      </w:r>
      <w:r w:rsidR="003922EC" w:rsidRPr="003922EC">
        <w:rPr>
          <w:rFonts w:asciiTheme="minorHAnsi"/>
        </w:rPr>
        <w:t xml:space="preserve"> is a specific form of guardianship, and 2) to confirm that the individual is unable to understand the meaning, purpose and effect of the elections</w:t>
      </w:r>
      <w:r w:rsidR="003922EC">
        <w:rPr>
          <w:rFonts w:asciiTheme="minorHAnsi" w:cs="DaxlinePro-RegularItalic"/>
          <w:i/>
          <w:iCs/>
          <w:color w:val="000000"/>
        </w:rPr>
        <w:t>.’” (p.18</w:t>
      </w:r>
      <w:r w:rsidRPr="003922EC">
        <w:rPr>
          <w:rFonts w:asciiTheme="minorHAnsi" w:cs="DaxlinePro-RegularItalic"/>
          <w:i/>
          <w:iCs/>
          <w:color w:val="000000"/>
        </w:rPr>
        <w:t>)</w:t>
      </w:r>
    </w:p>
    <w:p w14:paraId="3B0A00E3" w14:textId="0B0F5B3F" w:rsidR="008358FD" w:rsidRPr="008358FD" w:rsidRDefault="008358FD" w:rsidP="00782C1C">
      <w:pPr>
        <w:rPr>
          <w:rStyle w:val="SubtleEmphasis"/>
          <w:sz w:val="24"/>
          <w:szCs w:val="24"/>
        </w:rPr>
      </w:pPr>
      <w:r w:rsidRPr="008358FD">
        <w:rPr>
          <w:rStyle w:val="SubtleEmphasis"/>
          <w:sz w:val="24"/>
          <w:szCs w:val="24"/>
        </w:rPr>
        <w:t>Annex</w:t>
      </w:r>
    </w:p>
    <w:p w14:paraId="4EA8B89B" w14:textId="6881C886" w:rsidR="003922EC" w:rsidRDefault="003922EC" w:rsidP="00782C1C">
      <w:pPr>
        <w:rPr>
          <w:noProof/>
          <w:sz w:val="24"/>
          <w:szCs w:val="24"/>
          <w:lang w:eastAsia="en-IE"/>
        </w:rPr>
      </w:pPr>
      <w:r>
        <w:rPr>
          <w:noProof/>
          <w:lang w:val="en-GB" w:eastAsia="en-GB"/>
        </w:rPr>
        <w:drawing>
          <wp:inline distT="0" distB="0" distL="0" distR="0" wp14:anchorId="55F6AC79" wp14:editId="64AC6ED8">
            <wp:extent cx="4867273" cy="333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9053" t="22698" r="23580" b="73973"/>
                    <a:stretch/>
                  </pic:blipFill>
                  <pic:spPr bwMode="auto">
                    <a:xfrm>
                      <a:off x="0" y="0"/>
                      <a:ext cx="4945817" cy="338755"/>
                    </a:xfrm>
                    <a:prstGeom prst="rect">
                      <a:avLst/>
                    </a:prstGeom>
                    <a:ln>
                      <a:noFill/>
                    </a:ln>
                    <a:extLst>
                      <a:ext uri="{53640926-AAD7-44D8-BBD7-CCE9431645EC}">
                        <a14:shadowObscured xmlns:a14="http://schemas.microsoft.com/office/drawing/2010/main"/>
                      </a:ext>
                    </a:extLst>
                  </pic:spPr>
                </pic:pic>
              </a:graphicData>
            </a:graphic>
          </wp:inline>
        </w:drawing>
      </w:r>
    </w:p>
    <w:p w14:paraId="539FA68B" w14:textId="6925B693" w:rsidR="00281962" w:rsidRPr="003922EC" w:rsidRDefault="003922EC" w:rsidP="00782C1C">
      <w:pPr>
        <w:rPr>
          <w:noProof/>
          <w:sz w:val="24"/>
          <w:szCs w:val="24"/>
          <w:lang w:eastAsia="en-IE"/>
        </w:rPr>
      </w:pPr>
      <w:r>
        <w:rPr>
          <w:noProof/>
          <w:lang w:val="en-GB" w:eastAsia="en-GB"/>
        </w:rPr>
        <w:drawing>
          <wp:inline distT="0" distB="0" distL="0" distR="0" wp14:anchorId="02796854" wp14:editId="7489C3C2">
            <wp:extent cx="4882502" cy="266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41546" t="35400" r="21228" b="61929"/>
                    <a:stretch/>
                  </pic:blipFill>
                  <pic:spPr bwMode="auto">
                    <a:xfrm>
                      <a:off x="0" y="0"/>
                      <a:ext cx="4912694" cy="268349"/>
                    </a:xfrm>
                    <a:prstGeom prst="rect">
                      <a:avLst/>
                    </a:prstGeom>
                    <a:ln>
                      <a:noFill/>
                    </a:ln>
                    <a:extLst>
                      <a:ext uri="{53640926-AAD7-44D8-BBD7-CCE9431645EC}">
                        <a14:shadowObscured xmlns:a14="http://schemas.microsoft.com/office/drawing/2010/main"/>
                      </a:ext>
                    </a:extLst>
                  </pic:spPr>
                </pic:pic>
              </a:graphicData>
            </a:graphic>
          </wp:inline>
        </w:drawing>
      </w:r>
      <w:r>
        <w:rPr>
          <w:noProof/>
          <w:sz w:val="24"/>
          <w:szCs w:val="24"/>
          <w:lang w:eastAsia="en-IE"/>
        </w:rPr>
        <w:t xml:space="preserve"> </w:t>
      </w:r>
      <w:r w:rsidR="00281962">
        <w:rPr>
          <w:color w:val="333333"/>
          <w:sz w:val="24"/>
          <w:szCs w:val="24"/>
        </w:rPr>
        <w:t>(p.24)</w:t>
      </w:r>
    </w:p>
    <w:p w14:paraId="2EC4F239" w14:textId="77777777" w:rsidR="00281962" w:rsidRPr="00E673AD" w:rsidRDefault="00281962" w:rsidP="00782C1C">
      <w:pPr>
        <w:rPr>
          <w:color w:val="FF0000"/>
          <w:sz w:val="24"/>
          <w:szCs w:val="24"/>
        </w:rPr>
      </w:pPr>
      <w:bookmarkStart w:id="17" w:name="_Toc437340052"/>
      <w:bookmarkEnd w:id="17"/>
    </w:p>
    <w:sectPr w:rsidR="00281962" w:rsidRPr="00E673AD" w:rsidSect="00600164">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E1D19C" w14:textId="77777777" w:rsidR="007D6E2E" w:rsidRDefault="007D6E2E" w:rsidP="00965BA3">
      <w:pPr>
        <w:spacing w:after="0" w:line="240" w:lineRule="auto"/>
      </w:pPr>
      <w:r>
        <w:separator/>
      </w:r>
    </w:p>
  </w:endnote>
  <w:endnote w:type="continuationSeparator" w:id="0">
    <w:p w14:paraId="7E1E39AD" w14:textId="77777777" w:rsidR="007D6E2E" w:rsidRDefault="007D6E2E" w:rsidP="00965BA3">
      <w:pPr>
        <w:spacing w:after="0" w:line="240" w:lineRule="auto"/>
      </w:pPr>
      <w:r>
        <w:continuationSeparator/>
      </w:r>
    </w:p>
  </w:endnote>
  <w:endnote w:type="continuationNotice" w:id="1">
    <w:p w14:paraId="1AD7ADFE" w14:textId="77777777" w:rsidR="007D6E2E" w:rsidRDefault="007D6E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axlinePro-Regular">
    <w:altName w:val="Arial Unicode MS"/>
    <w:panose1 w:val="00000000000000000000"/>
    <w:charset w:val="00"/>
    <w:family w:val="modern"/>
    <w:notTrueType/>
    <w:pitch w:val="variable"/>
    <w:sig w:usb0="00000003" w:usb1="4807A4FB" w:usb2="00000010" w:usb3="00000000" w:csb0="0002009F" w:csb1="00000000"/>
  </w:font>
  <w:font w:name="Segoe UI">
    <w:panose1 w:val="020B0502040204020203"/>
    <w:charset w:val="00"/>
    <w:family w:val="swiss"/>
    <w:pitch w:val="variable"/>
    <w:sig w:usb0="E10022FF" w:usb1="C000E47F" w:usb2="00000029" w:usb3="00000000" w:csb0="000001DF" w:csb1="00000000"/>
  </w:font>
  <w:font w:name="DaxlinePro-RegularItalic">
    <w:altName w:val="MS Gothic"/>
    <w:panose1 w:val="00000000000000000000"/>
    <w:charset w:val="80"/>
    <w:family w:val="swiss"/>
    <w:notTrueType/>
    <w:pitch w:val="default"/>
    <w:sig w:usb0="00000000" w:usb1="08070000" w:usb2="00000010" w:usb3="00000000" w:csb0="00020007" w:csb1="00000000"/>
  </w:font>
  <w:font w:name="Daxline Offc Pro">
    <w:altName w:val="Segoe Script"/>
    <w:charset w:val="00"/>
    <w:family w:val="swiss"/>
    <w:pitch w:val="variable"/>
    <w:sig w:usb0="00000001" w:usb1="4000A4FB" w:usb2="00000000" w:usb3="00000000" w:csb0="0000009F" w:csb1="00000000"/>
  </w:font>
  <w:font w:name="DaxlinePro-Bold">
    <w:altName w:val="MS Gothic"/>
    <w:panose1 w:val="00000000000000000000"/>
    <w:charset w:val="00"/>
    <w:family w:val="swiss"/>
    <w:notTrueType/>
    <w:pitch w:val="default"/>
    <w:sig w:usb0="00000000" w:usb1="08070000" w:usb2="00000010" w:usb3="00000000" w:csb0="0002000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3068318"/>
      <w:docPartObj>
        <w:docPartGallery w:val="Page Numbers (Bottom of Page)"/>
        <w:docPartUnique/>
      </w:docPartObj>
    </w:sdtPr>
    <w:sdtEndPr>
      <w:rPr>
        <w:noProof/>
      </w:rPr>
    </w:sdtEndPr>
    <w:sdtContent>
      <w:p w14:paraId="004920C8" w14:textId="62A662BC" w:rsidR="00025F5D" w:rsidRDefault="00025F5D">
        <w:pPr>
          <w:pStyle w:val="Footer"/>
          <w:jc w:val="right"/>
        </w:pPr>
        <w:r>
          <w:fldChar w:fldCharType="begin"/>
        </w:r>
        <w:r>
          <w:instrText xml:space="preserve"> PAGE   \* MERGEFORMAT </w:instrText>
        </w:r>
        <w:r>
          <w:fldChar w:fldCharType="separate"/>
        </w:r>
        <w:r w:rsidR="00582E44">
          <w:rPr>
            <w:noProof/>
          </w:rPr>
          <w:t>11</w:t>
        </w:r>
        <w:r>
          <w:rPr>
            <w:noProof/>
          </w:rPr>
          <w:fldChar w:fldCharType="end"/>
        </w:r>
      </w:p>
    </w:sdtContent>
  </w:sdt>
  <w:p w14:paraId="611E7F29" w14:textId="77777777" w:rsidR="00025F5D" w:rsidRDefault="00025F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CBEB4C" w14:textId="77777777" w:rsidR="007D6E2E" w:rsidRDefault="007D6E2E" w:rsidP="00965BA3">
      <w:pPr>
        <w:spacing w:after="0" w:line="240" w:lineRule="auto"/>
      </w:pPr>
      <w:r>
        <w:separator/>
      </w:r>
    </w:p>
  </w:footnote>
  <w:footnote w:type="continuationSeparator" w:id="0">
    <w:p w14:paraId="3AAF1AD1" w14:textId="77777777" w:rsidR="007D6E2E" w:rsidRDefault="007D6E2E" w:rsidP="00965BA3">
      <w:pPr>
        <w:spacing w:after="0" w:line="240" w:lineRule="auto"/>
      </w:pPr>
      <w:r>
        <w:continuationSeparator/>
      </w:r>
    </w:p>
  </w:footnote>
  <w:footnote w:type="continuationNotice" w:id="1">
    <w:p w14:paraId="46904D88" w14:textId="77777777" w:rsidR="007D6E2E" w:rsidRDefault="007D6E2E">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87614"/>
    <w:multiLevelType w:val="hybridMultilevel"/>
    <w:tmpl w:val="A4E213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5846A7"/>
    <w:multiLevelType w:val="hybridMultilevel"/>
    <w:tmpl w:val="8C3C4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E20E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A867F2"/>
    <w:multiLevelType w:val="hybridMultilevel"/>
    <w:tmpl w:val="D92C1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325CF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nsid w:val="2EFD4BA6"/>
    <w:multiLevelType w:val="hybridMultilevel"/>
    <w:tmpl w:val="BAFE18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52A4F8B"/>
    <w:multiLevelType w:val="hybridMultilevel"/>
    <w:tmpl w:val="8C3C4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D843F30"/>
    <w:multiLevelType w:val="hybridMultilevel"/>
    <w:tmpl w:val="9E746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0832CE7"/>
    <w:multiLevelType w:val="hybridMultilevel"/>
    <w:tmpl w:val="ADBC7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83B3FCB"/>
    <w:multiLevelType w:val="multilevel"/>
    <w:tmpl w:val="5F98A73E"/>
    <w:lvl w:ilvl="0">
      <w:start w:val="1"/>
      <w:numFmt w:val="decimal"/>
      <w:lvlText w:val="%1"/>
      <w:lvlJc w:val="left"/>
      <w:pPr>
        <w:ind w:left="432" w:hanging="432"/>
      </w:pPr>
    </w:lvl>
    <w:lvl w:ilvl="1">
      <w:start w:val="1"/>
      <w:numFmt w:val="decimal"/>
      <w:lvlText w:val="%1.%2"/>
      <w:lvlJc w:val="left"/>
      <w:pPr>
        <w:ind w:left="860" w:hanging="576"/>
      </w:pPr>
      <w:rPr>
        <w:rFonts w:asciiTheme="minorHAnsi" w:hAnsiTheme="minorHAnsi"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4D6841DE"/>
    <w:multiLevelType w:val="hybridMultilevel"/>
    <w:tmpl w:val="9E746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5590B0C"/>
    <w:multiLevelType w:val="hybridMultilevel"/>
    <w:tmpl w:val="2EA02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F3A044A"/>
    <w:multiLevelType w:val="hybridMultilevel"/>
    <w:tmpl w:val="E8882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2E925C7"/>
    <w:multiLevelType w:val="hybridMultilevel"/>
    <w:tmpl w:val="01EE7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F291F70"/>
    <w:multiLevelType w:val="multilevel"/>
    <w:tmpl w:val="8C8432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2"/>
  </w:num>
  <w:num w:numId="2">
    <w:abstractNumId w:val="6"/>
  </w:num>
  <w:num w:numId="3">
    <w:abstractNumId w:val="1"/>
  </w:num>
  <w:num w:numId="4">
    <w:abstractNumId w:val="3"/>
  </w:num>
  <w:num w:numId="5">
    <w:abstractNumId w:val="14"/>
  </w:num>
  <w:num w:numId="6">
    <w:abstractNumId w:val="2"/>
  </w:num>
  <w:num w:numId="7">
    <w:abstractNumId w:val="5"/>
  </w:num>
  <w:num w:numId="8">
    <w:abstractNumId w:val="8"/>
  </w:num>
  <w:num w:numId="9">
    <w:abstractNumId w:val="13"/>
  </w:num>
  <w:num w:numId="10">
    <w:abstractNumId w:val="9"/>
  </w:num>
  <w:num w:numId="11">
    <w:abstractNumId w:val="0"/>
  </w:num>
  <w:num w:numId="12">
    <w:abstractNumId w:val="11"/>
  </w:num>
  <w:num w:numId="13">
    <w:abstractNumId w:val="10"/>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FAA"/>
    <w:rsid w:val="00025F5D"/>
    <w:rsid w:val="0003176B"/>
    <w:rsid w:val="00042065"/>
    <w:rsid w:val="00054F8C"/>
    <w:rsid w:val="00077123"/>
    <w:rsid w:val="00084AD9"/>
    <w:rsid w:val="00085181"/>
    <w:rsid w:val="00095A31"/>
    <w:rsid w:val="00097ADB"/>
    <w:rsid w:val="000A6661"/>
    <w:rsid w:val="000B2AF6"/>
    <w:rsid w:val="000B2E61"/>
    <w:rsid w:val="000B7126"/>
    <w:rsid w:val="000C05D5"/>
    <w:rsid w:val="000D23FE"/>
    <w:rsid w:val="000D7027"/>
    <w:rsid w:val="000F4194"/>
    <w:rsid w:val="000F7C63"/>
    <w:rsid w:val="00103312"/>
    <w:rsid w:val="001114EE"/>
    <w:rsid w:val="00116E00"/>
    <w:rsid w:val="0012027F"/>
    <w:rsid w:val="001308E6"/>
    <w:rsid w:val="001603EA"/>
    <w:rsid w:val="00161C83"/>
    <w:rsid w:val="00172A85"/>
    <w:rsid w:val="00191672"/>
    <w:rsid w:val="001A1196"/>
    <w:rsid w:val="001A2786"/>
    <w:rsid w:val="001B79F3"/>
    <w:rsid w:val="001B7A00"/>
    <w:rsid w:val="001C03A7"/>
    <w:rsid w:val="001C34B1"/>
    <w:rsid w:val="001D6F6A"/>
    <w:rsid w:val="001E2A54"/>
    <w:rsid w:val="001F003F"/>
    <w:rsid w:val="001F18DB"/>
    <w:rsid w:val="001F3F8F"/>
    <w:rsid w:val="001F48E9"/>
    <w:rsid w:val="0020630F"/>
    <w:rsid w:val="00221FCC"/>
    <w:rsid w:val="002431F6"/>
    <w:rsid w:val="00264C56"/>
    <w:rsid w:val="00271B80"/>
    <w:rsid w:val="00281962"/>
    <w:rsid w:val="00290D06"/>
    <w:rsid w:val="00292573"/>
    <w:rsid w:val="002A1944"/>
    <w:rsid w:val="002A31CD"/>
    <w:rsid w:val="002A3F72"/>
    <w:rsid w:val="002A4F35"/>
    <w:rsid w:val="002A6648"/>
    <w:rsid w:val="002B32EB"/>
    <w:rsid w:val="002B366E"/>
    <w:rsid w:val="002B63DB"/>
    <w:rsid w:val="002D2434"/>
    <w:rsid w:val="002D2A11"/>
    <w:rsid w:val="002D6C99"/>
    <w:rsid w:val="002E2E4A"/>
    <w:rsid w:val="002F654F"/>
    <w:rsid w:val="003100A5"/>
    <w:rsid w:val="00324FD0"/>
    <w:rsid w:val="0033302F"/>
    <w:rsid w:val="003331A0"/>
    <w:rsid w:val="00336068"/>
    <w:rsid w:val="0033695C"/>
    <w:rsid w:val="0036562B"/>
    <w:rsid w:val="003736F1"/>
    <w:rsid w:val="00374510"/>
    <w:rsid w:val="00376E84"/>
    <w:rsid w:val="00380471"/>
    <w:rsid w:val="00380FE9"/>
    <w:rsid w:val="003815E1"/>
    <w:rsid w:val="003878DD"/>
    <w:rsid w:val="0039102D"/>
    <w:rsid w:val="003922EC"/>
    <w:rsid w:val="00392DA1"/>
    <w:rsid w:val="003A1126"/>
    <w:rsid w:val="003C03EB"/>
    <w:rsid w:val="003E161E"/>
    <w:rsid w:val="003E2F60"/>
    <w:rsid w:val="003F591B"/>
    <w:rsid w:val="00401692"/>
    <w:rsid w:val="004111B9"/>
    <w:rsid w:val="00413D35"/>
    <w:rsid w:val="00435FEA"/>
    <w:rsid w:val="00437E3E"/>
    <w:rsid w:val="0045101D"/>
    <w:rsid w:val="00464CC5"/>
    <w:rsid w:val="00473A78"/>
    <w:rsid w:val="00473CF9"/>
    <w:rsid w:val="00482353"/>
    <w:rsid w:val="00484EC1"/>
    <w:rsid w:val="00490274"/>
    <w:rsid w:val="004A3025"/>
    <w:rsid w:val="004C24D1"/>
    <w:rsid w:val="004C2E1C"/>
    <w:rsid w:val="004C5ED3"/>
    <w:rsid w:val="004C76B3"/>
    <w:rsid w:val="004E2F2D"/>
    <w:rsid w:val="004F43C9"/>
    <w:rsid w:val="004F65D2"/>
    <w:rsid w:val="00501AD8"/>
    <w:rsid w:val="00502B7D"/>
    <w:rsid w:val="00505457"/>
    <w:rsid w:val="005166B9"/>
    <w:rsid w:val="00523654"/>
    <w:rsid w:val="0052734D"/>
    <w:rsid w:val="00527C5C"/>
    <w:rsid w:val="0053494C"/>
    <w:rsid w:val="00536146"/>
    <w:rsid w:val="00546E2F"/>
    <w:rsid w:val="00551C6F"/>
    <w:rsid w:val="00565D51"/>
    <w:rsid w:val="00572E10"/>
    <w:rsid w:val="0058187B"/>
    <w:rsid w:val="00582E44"/>
    <w:rsid w:val="00587004"/>
    <w:rsid w:val="005914D0"/>
    <w:rsid w:val="005B2460"/>
    <w:rsid w:val="005B48DD"/>
    <w:rsid w:val="005C624E"/>
    <w:rsid w:val="005D7B7A"/>
    <w:rsid w:val="005E073F"/>
    <w:rsid w:val="005F7ACC"/>
    <w:rsid w:val="00600164"/>
    <w:rsid w:val="00604345"/>
    <w:rsid w:val="00615700"/>
    <w:rsid w:val="00624FB3"/>
    <w:rsid w:val="00625CD3"/>
    <w:rsid w:val="00632135"/>
    <w:rsid w:val="00644CDA"/>
    <w:rsid w:val="00653906"/>
    <w:rsid w:val="00663115"/>
    <w:rsid w:val="006744DC"/>
    <w:rsid w:val="006A0640"/>
    <w:rsid w:val="006A2B54"/>
    <w:rsid w:val="006A56DA"/>
    <w:rsid w:val="006B7ED6"/>
    <w:rsid w:val="006C1A56"/>
    <w:rsid w:val="006E0C35"/>
    <w:rsid w:val="006F4931"/>
    <w:rsid w:val="006F6129"/>
    <w:rsid w:val="00713B5E"/>
    <w:rsid w:val="00732093"/>
    <w:rsid w:val="00733189"/>
    <w:rsid w:val="00737E81"/>
    <w:rsid w:val="00753796"/>
    <w:rsid w:val="00753828"/>
    <w:rsid w:val="00761705"/>
    <w:rsid w:val="007679D6"/>
    <w:rsid w:val="00773E39"/>
    <w:rsid w:val="00773F56"/>
    <w:rsid w:val="00782C1C"/>
    <w:rsid w:val="00785E7B"/>
    <w:rsid w:val="00787290"/>
    <w:rsid w:val="007A7767"/>
    <w:rsid w:val="007C6423"/>
    <w:rsid w:val="007D40E1"/>
    <w:rsid w:val="007D6E2E"/>
    <w:rsid w:val="007E19AF"/>
    <w:rsid w:val="007F0772"/>
    <w:rsid w:val="008152A5"/>
    <w:rsid w:val="00821FCD"/>
    <w:rsid w:val="00826507"/>
    <w:rsid w:val="008358FD"/>
    <w:rsid w:val="008467E0"/>
    <w:rsid w:val="00871DEB"/>
    <w:rsid w:val="00881E3E"/>
    <w:rsid w:val="008909CB"/>
    <w:rsid w:val="00891093"/>
    <w:rsid w:val="00897447"/>
    <w:rsid w:val="008977B8"/>
    <w:rsid w:val="008A7B3E"/>
    <w:rsid w:val="008B25C1"/>
    <w:rsid w:val="0090029C"/>
    <w:rsid w:val="00920299"/>
    <w:rsid w:val="00942DD1"/>
    <w:rsid w:val="00965BA3"/>
    <w:rsid w:val="00970E41"/>
    <w:rsid w:val="00982892"/>
    <w:rsid w:val="0098494E"/>
    <w:rsid w:val="00997506"/>
    <w:rsid w:val="009A0C73"/>
    <w:rsid w:val="009A6731"/>
    <w:rsid w:val="009B0584"/>
    <w:rsid w:val="009E7666"/>
    <w:rsid w:val="009F32DE"/>
    <w:rsid w:val="009F7D5A"/>
    <w:rsid w:val="00A034D5"/>
    <w:rsid w:val="00A0373F"/>
    <w:rsid w:val="00A13095"/>
    <w:rsid w:val="00A13172"/>
    <w:rsid w:val="00A21A71"/>
    <w:rsid w:val="00A36815"/>
    <w:rsid w:val="00A404BE"/>
    <w:rsid w:val="00A609A1"/>
    <w:rsid w:val="00A64F6F"/>
    <w:rsid w:val="00A833A2"/>
    <w:rsid w:val="00A8362E"/>
    <w:rsid w:val="00AA6458"/>
    <w:rsid w:val="00AA7190"/>
    <w:rsid w:val="00AB3B41"/>
    <w:rsid w:val="00AC0F19"/>
    <w:rsid w:val="00AD1326"/>
    <w:rsid w:val="00B044C8"/>
    <w:rsid w:val="00B076C9"/>
    <w:rsid w:val="00B0789D"/>
    <w:rsid w:val="00B11D11"/>
    <w:rsid w:val="00B176A3"/>
    <w:rsid w:val="00B220B7"/>
    <w:rsid w:val="00B2224B"/>
    <w:rsid w:val="00B33FCD"/>
    <w:rsid w:val="00B416FD"/>
    <w:rsid w:val="00B41ADB"/>
    <w:rsid w:val="00B43912"/>
    <w:rsid w:val="00B53E9E"/>
    <w:rsid w:val="00B562E3"/>
    <w:rsid w:val="00B609E2"/>
    <w:rsid w:val="00B623DF"/>
    <w:rsid w:val="00B62EB6"/>
    <w:rsid w:val="00B758EA"/>
    <w:rsid w:val="00B8485D"/>
    <w:rsid w:val="00B85EBC"/>
    <w:rsid w:val="00B939BD"/>
    <w:rsid w:val="00B95627"/>
    <w:rsid w:val="00BA4824"/>
    <w:rsid w:val="00BA5441"/>
    <w:rsid w:val="00BA726C"/>
    <w:rsid w:val="00BA7ACB"/>
    <w:rsid w:val="00BC019E"/>
    <w:rsid w:val="00BC4D01"/>
    <w:rsid w:val="00BE2BD6"/>
    <w:rsid w:val="00BF550F"/>
    <w:rsid w:val="00C0037B"/>
    <w:rsid w:val="00C1271F"/>
    <w:rsid w:val="00C2590F"/>
    <w:rsid w:val="00C4271C"/>
    <w:rsid w:val="00C42C06"/>
    <w:rsid w:val="00C450F6"/>
    <w:rsid w:val="00C46005"/>
    <w:rsid w:val="00C551EB"/>
    <w:rsid w:val="00C87080"/>
    <w:rsid w:val="00C95747"/>
    <w:rsid w:val="00CA2D10"/>
    <w:rsid w:val="00CD4639"/>
    <w:rsid w:val="00CD4C71"/>
    <w:rsid w:val="00CD6B96"/>
    <w:rsid w:val="00CE18CF"/>
    <w:rsid w:val="00CF0940"/>
    <w:rsid w:val="00CF1986"/>
    <w:rsid w:val="00CF419E"/>
    <w:rsid w:val="00D0097F"/>
    <w:rsid w:val="00D12E08"/>
    <w:rsid w:val="00D35A08"/>
    <w:rsid w:val="00D3636D"/>
    <w:rsid w:val="00D42671"/>
    <w:rsid w:val="00D655B9"/>
    <w:rsid w:val="00D73436"/>
    <w:rsid w:val="00D752B9"/>
    <w:rsid w:val="00D83FAA"/>
    <w:rsid w:val="00D92AF2"/>
    <w:rsid w:val="00DC0BF8"/>
    <w:rsid w:val="00DC0C16"/>
    <w:rsid w:val="00DC1EAB"/>
    <w:rsid w:val="00DC3DA0"/>
    <w:rsid w:val="00DC58E1"/>
    <w:rsid w:val="00DE0651"/>
    <w:rsid w:val="00DE5F8A"/>
    <w:rsid w:val="00E0115F"/>
    <w:rsid w:val="00E0137B"/>
    <w:rsid w:val="00E028AD"/>
    <w:rsid w:val="00E049D6"/>
    <w:rsid w:val="00E170FF"/>
    <w:rsid w:val="00E42EE7"/>
    <w:rsid w:val="00E45C7B"/>
    <w:rsid w:val="00E673AD"/>
    <w:rsid w:val="00E80FAD"/>
    <w:rsid w:val="00E87163"/>
    <w:rsid w:val="00E87794"/>
    <w:rsid w:val="00E904D7"/>
    <w:rsid w:val="00EA2F7A"/>
    <w:rsid w:val="00EA5BD7"/>
    <w:rsid w:val="00EF0CB7"/>
    <w:rsid w:val="00EF2E96"/>
    <w:rsid w:val="00EF36C3"/>
    <w:rsid w:val="00F07D58"/>
    <w:rsid w:val="00F21735"/>
    <w:rsid w:val="00F32237"/>
    <w:rsid w:val="00F3320B"/>
    <w:rsid w:val="00F36838"/>
    <w:rsid w:val="00F733E3"/>
    <w:rsid w:val="00F73EC5"/>
    <w:rsid w:val="00F83F6A"/>
    <w:rsid w:val="00F956F0"/>
    <w:rsid w:val="00FA04C6"/>
    <w:rsid w:val="00FA36D5"/>
    <w:rsid w:val="00FA63E2"/>
    <w:rsid w:val="00FB2053"/>
    <w:rsid w:val="00FB602B"/>
    <w:rsid w:val="00FE2420"/>
    <w:rsid w:val="00FE5A96"/>
    <w:rsid w:val="00FF2B27"/>
    <w:rsid w:val="00FF3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C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before="240" w:after="24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CDA"/>
    <w:rPr>
      <w:lang w:val="en-IE"/>
    </w:rPr>
  </w:style>
  <w:style w:type="paragraph" w:styleId="Heading1">
    <w:name w:val="heading 1"/>
    <w:basedOn w:val="Normal"/>
    <w:next w:val="Normal"/>
    <w:link w:val="Heading1Char"/>
    <w:uiPriority w:val="9"/>
    <w:qFormat/>
    <w:rsid w:val="00644CDA"/>
    <w:pPr>
      <w:keepNext/>
      <w:keepLines/>
      <w:numPr>
        <w:numId w:val="14"/>
      </w:numPr>
      <w:spacing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44CDA"/>
    <w:pPr>
      <w:keepNext/>
      <w:keepLines/>
      <w:numPr>
        <w:ilvl w:val="1"/>
        <w:numId w:val="14"/>
      </w:numPr>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2A3F72"/>
    <w:pPr>
      <w:keepNext/>
      <w:keepLines/>
      <w:numPr>
        <w:ilvl w:val="2"/>
        <w:numId w:val="1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A3F72"/>
    <w:pPr>
      <w:keepNext/>
      <w:keepLines/>
      <w:numPr>
        <w:ilvl w:val="3"/>
        <w:numId w:val="1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A3F72"/>
    <w:pPr>
      <w:keepNext/>
      <w:keepLines/>
      <w:numPr>
        <w:ilvl w:val="4"/>
        <w:numId w:val="1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A3F72"/>
    <w:pPr>
      <w:keepNext/>
      <w:keepLines/>
      <w:numPr>
        <w:ilvl w:val="5"/>
        <w:numId w:val="1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A3F72"/>
    <w:pPr>
      <w:keepNext/>
      <w:keepLines/>
      <w:numPr>
        <w:ilvl w:val="6"/>
        <w:numId w:val="1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A3F72"/>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A3F72"/>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2A11"/>
    <w:rPr>
      <w:color w:val="0563C1" w:themeColor="hyperlink"/>
      <w:u w:val="single"/>
    </w:rPr>
  </w:style>
  <w:style w:type="paragraph" w:styleId="ListParagraph">
    <w:name w:val="List Paragraph"/>
    <w:basedOn w:val="Normal"/>
    <w:uiPriority w:val="34"/>
    <w:qFormat/>
    <w:rsid w:val="002D2A11"/>
    <w:pPr>
      <w:ind w:left="720"/>
      <w:contextualSpacing/>
    </w:pPr>
  </w:style>
  <w:style w:type="character" w:customStyle="1" w:styleId="A9">
    <w:name w:val="A9"/>
    <w:uiPriority w:val="99"/>
    <w:rsid w:val="002D2A11"/>
    <w:rPr>
      <w:rFonts w:cs="DaxlinePro-Regular"/>
      <w:color w:val="000000"/>
      <w:sz w:val="10"/>
      <w:szCs w:val="10"/>
    </w:rPr>
  </w:style>
  <w:style w:type="paragraph" w:styleId="Header">
    <w:name w:val="header"/>
    <w:basedOn w:val="Normal"/>
    <w:link w:val="HeaderChar"/>
    <w:uiPriority w:val="99"/>
    <w:unhideWhenUsed/>
    <w:rsid w:val="00965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BA3"/>
    <w:rPr>
      <w:lang w:val="en-IE"/>
    </w:rPr>
  </w:style>
  <w:style w:type="paragraph" w:styleId="Footer">
    <w:name w:val="footer"/>
    <w:basedOn w:val="Normal"/>
    <w:link w:val="FooterChar"/>
    <w:uiPriority w:val="99"/>
    <w:unhideWhenUsed/>
    <w:rsid w:val="00965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BA3"/>
    <w:rPr>
      <w:lang w:val="en-IE"/>
    </w:rPr>
  </w:style>
  <w:style w:type="paragraph" w:customStyle="1" w:styleId="Pa47">
    <w:name w:val="Pa47"/>
    <w:basedOn w:val="Normal"/>
    <w:next w:val="Normal"/>
    <w:uiPriority w:val="99"/>
    <w:rsid w:val="00A13095"/>
    <w:pPr>
      <w:autoSpaceDE w:val="0"/>
      <w:autoSpaceDN w:val="0"/>
      <w:adjustRightInd w:val="0"/>
      <w:spacing w:after="0" w:line="185" w:lineRule="atLeast"/>
    </w:pPr>
    <w:rPr>
      <w:rFonts w:ascii="DaxlinePro-Regular" w:eastAsia="DaxlinePro-Regular"/>
      <w:sz w:val="24"/>
      <w:szCs w:val="24"/>
      <w:lang w:val="en-GB"/>
    </w:rPr>
  </w:style>
  <w:style w:type="character" w:customStyle="1" w:styleId="A4">
    <w:name w:val="A4"/>
    <w:uiPriority w:val="99"/>
    <w:rsid w:val="00D42671"/>
    <w:rPr>
      <w:rFonts w:cs="DaxlinePro-Regular"/>
      <w:color w:val="000000"/>
      <w:sz w:val="18"/>
      <w:szCs w:val="18"/>
    </w:rPr>
  </w:style>
  <w:style w:type="paragraph" w:customStyle="1" w:styleId="Pa31">
    <w:name w:val="Pa31"/>
    <w:basedOn w:val="Normal"/>
    <w:next w:val="Normal"/>
    <w:uiPriority w:val="99"/>
    <w:rsid w:val="00D42671"/>
    <w:pPr>
      <w:autoSpaceDE w:val="0"/>
      <w:autoSpaceDN w:val="0"/>
      <w:adjustRightInd w:val="0"/>
      <w:spacing w:after="0" w:line="185" w:lineRule="atLeast"/>
    </w:pPr>
    <w:rPr>
      <w:rFonts w:ascii="DaxlinePro-Regular" w:eastAsia="DaxlinePro-Regular"/>
      <w:sz w:val="24"/>
      <w:szCs w:val="24"/>
      <w:lang w:val="en-GB"/>
    </w:rPr>
  </w:style>
  <w:style w:type="character" w:customStyle="1" w:styleId="A7">
    <w:name w:val="A7"/>
    <w:uiPriority w:val="99"/>
    <w:rsid w:val="000B2AF6"/>
    <w:rPr>
      <w:rFonts w:cs="DaxlinePro-Regular"/>
      <w:color w:val="000000"/>
      <w:sz w:val="18"/>
      <w:szCs w:val="18"/>
    </w:rPr>
  </w:style>
  <w:style w:type="character" w:styleId="FollowedHyperlink">
    <w:name w:val="FollowedHyperlink"/>
    <w:basedOn w:val="DefaultParagraphFont"/>
    <w:uiPriority w:val="99"/>
    <w:semiHidden/>
    <w:unhideWhenUsed/>
    <w:rsid w:val="001308E6"/>
    <w:rPr>
      <w:color w:val="954F72" w:themeColor="followedHyperlink"/>
      <w:u w:val="single"/>
    </w:rPr>
  </w:style>
  <w:style w:type="character" w:customStyle="1" w:styleId="Heading1Char">
    <w:name w:val="Heading 1 Char"/>
    <w:basedOn w:val="DefaultParagraphFont"/>
    <w:link w:val="Heading1"/>
    <w:uiPriority w:val="9"/>
    <w:rsid w:val="00644CDA"/>
    <w:rPr>
      <w:rFonts w:eastAsiaTheme="majorEastAsia" w:cstheme="majorBidi"/>
      <w:color w:val="2E74B5" w:themeColor="accent1" w:themeShade="BF"/>
      <w:sz w:val="32"/>
      <w:szCs w:val="32"/>
      <w:lang w:val="en-IE"/>
    </w:rPr>
  </w:style>
  <w:style w:type="paragraph" w:styleId="TOCHeading">
    <w:name w:val="TOC Heading"/>
    <w:basedOn w:val="Heading1"/>
    <w:next w:val="Normal"/>
    <w:uiPriority w:val="39"/>
    <w:unhideWhenUsed/>
    <w:qFormat/>
    <w:rsid w:val="00EA5BD7"/>
    <w:pPr>
      <w:numPr>
        <w:numId w:val="0"/>
      </w:numPr>
      <w:outlineLvl w:val="9"/>
    </w:pPr>
    <w:rPr>
      <w:lang w:val="en-US"/>
    </w:rPr>
  </w:style>
  <w:style w:type="character" w:customStyle="1" w:styleId="Heading2Char">
    <w:name w:val="Heading 2 Char"/>
    <w:basedOn w:val="DefaultParagraphFont"/>
    <w:link w:val="Heading2"/>
    <w:uiPriority w:val="9"/>
    <w:rsid w:val="00644CDA"/>
    <w:rPr>
      <w:rFonts w:eastAsiaTheme="majorEastAsia" w:cstheme="majorBidi"/>
      <w:color w:val="2E74B5" w:themeColor="accent1" w:themeShade="BF"/>
      <w:sz w:val="28"/>
      <w:szCs w:val="26"/>
      <w:lang w:val="en-IE"/>
    </w:rPr>
  </w:style>
  <w:style w:type="paragraph" w:styleId="TOC1">
    <w:name w:val="toc 1"/>
    <w:basedOn w:val="Normal"/>
    <w:next w:val="Normal"/>
    <w:autoRedefine/>
    <w:uiPriority w:val="39"/>
    <w:unhideWhenUsed/>
    <w:rsid w:val="000D23FE"/>
    <w:pPr>
      <w:tabs>
        <w:tab w:val="left" w:pos="440"/>
        <w:tab w:val="right" w:leader="dot" w:pos="9016"/>
      </w:tabs>
      <w:spacing w:after="100"/>
    </w:pPr>
  </w:style>
  <w:style w:type="paragraph" w:styleId="TOC2">
    <w:name w:val="toc 2"/>
    <w:basedOn w:val="Normal"/>
    <w:next w:val="Normal"/>
    <w:autoRedefine/>
    <w:uiPriority w:val="39"/>
    <w:unhideWhenUsed/>
    <w:rsid w:val="00EA5BD7"/>
    <w:pPr>
      <w:spacing w:after="100"/>
      <w:ind w:left="220"/>
    </w:pPr>
  </w:style>
  <w:style w:type="character" w:styleId="CommentReference">
    <w:name w:val="annotation reference"/>
    <w:basedOn w:val="DefaultParagraphFont"/>
    <w:uiPriority w:val="99"/>
    <w:semiHidden/>
    <w:unhideWhenUsed/>
    <w:rsid w:val="000C05D5"/>
    <w:rPr>
      <w:sz w:val="16"/>
      <w:szCs w:val="16"/>
    </w:rPr>
  </w:style>
  <w:style w:type="paragraph" w:styleId="CommentText">
    <w:name w:val="annotation text"/>
    <w:basedOn w:val="Normal"/>
    <w:link w:val="CommentTextChar"/>
    <w:uiPriority w:val="99"/>
    <w:semiHidden/>
    <w:unhideWhenUsed/>
    <w:rsid w:val="000C05D5"/>
    <w:pPr>
      <w:spacing w:line="240" w:lineRule="auto"/>
    </w:pPr>
    <w:rPr>
      <w:sz w:val="20"/>
      <w:szCs w:val="20"/>
    </w:rPr>
  </w:style>
  <w:style w:type="character" w:customStyle="1" w:styleId="CommentTextChar">
    <w:name w:val="Comment Text Char"/>
    <w:basedOn w:val="DefaultParagraphFont"/>
    <w:link w:val="CommentText"/>
    <w:uiPriority w:val="99"/>
    <w:semiHidden/>
    <w:rsid w:val="000C05D5"/>
    <w:rPr>
      <w:sz w:val="20"/>
      <w:szCs w:val="20"/>
      <w:lang w:val="en-IE"/>
    </w:rPr>
  </w:style>
  <w:style w:type="paragraph" w:styleId="CommentSubject">
    <w:name w:val="annotation subject"/>
    <w:basedOn w:val="CommentText"/>
    <w:next w:val="CommentText"/>
    <w:link w:val="CommentSubjectChar"/>
    <w:uiPriority w:val="99"/>
    <w:semiHidden/>
    <w:unhideWhenUsed/>
    <w:rsid w:val="000C05D5"/>
    <w:rPr>
      <w:b/>
      <w:bCs/>
    </w:rPr>
  </w:style>
  <w:style w:type="character" w:customStyle="1" w:styleId="CommentSubjectChar">
    <w:name w:val="Comment Subject Char"/>
    <w:basedOn w:val="CommentTextChar"/>
    <w:link w:val="CommentSubject"/>
    <w:uiPriority w:val="99"/>
    <w:semiHidden/>
    <w:rsid w:val="000C05D5"/>
    <w:rPr>
      <w:b/>
      <w:bCs/>
      <w:sz w:val="20"/>
      <w:szCs w:val="20"/>
      <w:lang w:val="en-IE"/>
    </w:rPr>
  </w:style>
  <w:style w:type="paragraph" w:styleId="BalloonText">
    <w:name w:val="Balloon Text"/>
    <w:basedOn w:val="Normal"/>
    <w:link w:val="BalloonTextChar"/>
    <w:uiPriority w:val="99"/>
    <w:semiHidden/>
    <w:unhideWhenUsed/>
    <w:rsid w:val="000C05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5D5"/>
    <w:rPr>
      <w:rFonts w:ascii="Segoe UI" w:hAnsi="Segoe UI" w:cs="Segoe UI"/>
      <w:sz w:val="18"/>
      <w:szCs w:val="18"/>
      <w:lang w:val="en-IE"/>
    </w:rPr>
  </w:style>
  <w:style w:type="character" w:styleId="Strong">
    <w:name w:val="Strong"/>
    <w:basedOn w:val="DefaultParagraphFont"/>
    <w:uiPriority w:val="22"/>
    <w:qFormat/>
    <w:rsid w:val="00E42EE7"/>
    <w:rPr>
      <w:b/>
      <w:bCs/>
    </w:rPr>
  </w:style>
  <w:style w:type="paragraph" w:styleId="NormalWeb">
    <w:name w:val="Normal (Web)"/>
    <w:basedOn w:val="Normal"/>
    <w:uiPriority w:val="99"/>
    <w:semiHidden/>
    <w:unhideWhenUsed/>
    <w:rsid w:val="00E42EE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2D6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6C99"/>
    <w:rPr>
      <w:sz w:val="20"/>
      <w:szCs w:val="20"/>
      <w:lang w:val="en-IE"/>
    </w:rPr>
  </w:style>
  <w:style w:type="character" w:styleId="FootnoteReference">
    <w:name w:val="footnote reference"/>
    <w:aliases w:val="Footnote Refernece,callout,Footnotes refss,Appel note de bas de p.,Fn Ref,Footnote Reference Superscript,BVI fnr,Footnote Reference Number,Footnote Refernece + (Latein) Arial,10 pt,Blau,Fußnotenzeichen_Raxen,Footnote Refe,FR,..."/>
    <w:basedOn w:val="DefaultParagraphFont"/>
    <w:uiPriority w:val="99"/>
    <w:unhideWhenUsed/>
    <w:rsid w:val="002D6C99"/>
    <w:rPr>
      <w:vertAlign w:val="superscript"/>
    </w:rPr>
  </w:style>
  <w:style w:type="character" w:customStyle="1" w:styleId="Heading3Char">
    <w:name w:val="Heading 3 Char"/>
    <w:basedOn w:val="DefaultParagraphFont"/>
    <w:link w:val="Heading3"/>
    <w:uiPriority w:val="9"/>
    <w:rsid w:val="002A3F72"/>
    <w:rPr>
      <w:rFonts w:asciiTheme="majorHAnsi" w:eastAsiaTheme="majorEastAsia" w:hAnsiTheme="majorHAnsi" w:cstheme="majorBidi"/>
      <w:color w:val="1F4D78" w:themeColor="accent1" w:themeShade="7F"/>
      <w:sz w:val="24"/>
      <w:szCs w:val="24"/>
      <w:lang w:val="en-IE"/>
    </w:rPr>
  </w:style>
  <w:style w:type="character" w:customStyle="1" w:styleId="Heading4Char">
    <w:name w:val="Heading 4 Char"/>
    <w:basedOn w:val="DefaultParagraphFont"/>
    <w:link w:val="Heading4"/>
    <w:uiPriority w:val="9"/>
    <w:rsid w:val="002A3F72"/>
    <w:rPr>
      <w:rFonts w:asciiTheme="majorHAnsi" w:eastAsiaTheme="majorEastAsia" w:hAnsiTheme="majorHAnsi" w:cstheme="majorBidi"/>
      <w:i/>
      <w:iCs/>
      <w:color w:val="2E74B5" w:themeColor="accent1" w:themeShade="BF"/>
      <w:lang w:val="en-IE"/>
    </w:rPr>
  </w:style>
  <w:style w:type="character" w:customStyle="1" w:styleId="Heading5Char">
    <w:name w:val="Heading 5 Char"/>
    <w:basedOn w:val="DefaultParagraphFont"/>
    <w:link w:val="Heading5"/>
    <w:uiPriority w:val="9"/>
    <w:semiHidden/>
    <w:rsid w:val="002A3F72"/>
    <w:rPr>
      <w:rFonts w:asciiTheme="majorHAnsi" w:eastAsiaTheme="majorEastAsia" w:hAnsiTheme="majorHAnsi" w:cstheme="majorBidi"/>
      <w:color w:val="2E74B5" w:themeColor="accent1" w:themeShade="BF"/>
      <w:lang w:val="en-IE"/>
    </w:rPr>
  </w:style>
  <w:style w:type="character" w:customStyle="1" w:styleId="Heading6Char">
    <w:name w:val="Heading 6 Char"/>
    <w:basedOn w:val="DefaultParagraphFont"/>
    <w:link w:val="Heading6"/>
    <w:uiPriority w:val="9"/>
    <w:semiHidden/>
    <w:rsid w:val="002A3F72"/>
    <w:rPr>
      <w:rFonts w:asciiTheme="majorHAnsi" w:eastAsiaTheme="majorEastAsia" w:hAnsiTheme="majorHAnsi" w:cstheme="majorBidi"/>
      <w:color w:val="1F4D78" w:themeColor="accent1" w:themeShade="7F"/>
      <w:lang w:val="en-IE"/>
    </w:rPr>
  </w:style>
  <w:style w:type="character" w:customStyle="1" w:styleId="Heading7Char">
    <w:name w:val="Heading 7 Char"/>
    <w:basedOn w:val="DefaultParagraphFont"/>
    <w:link w:val="Heading7"/>
    <w:uiPriority w:val="9"/>
    <w:semiHidden/>
    <w:rsid w:val="002A3F72"/>
    <w:rPr>
      <w:rFonts w:asciiTheme="majorHAnsi" w:eastAsiaTheme="majorEastAsia" w:hAnsiTheme="majorHAnsi" w:cstheme="majorBidi"/>
      <w:i/>
      <w:iCs/>
      <w:color w:val="1F4D78" w:themeColor="accent1" w:themeShade="7F"/>
      <w:lang w:val="en-IE"/>
    </w:rPr>
  </w:style>
  <w:style w:type="character" w:customStyle="1" w:styleId="Heading8Char">
    <w:name w:val="Heading 8 Char"/>
    <w:basedOn w:val="DefaultParagraphFont"/>
    <w:link w:val="Heading8"/>
    <w:uiPriority w:val="9"/>
    <w:semiHidden/>
    <w:rsid w:val="002A3F72"/>
    <w:rPr>
      <w:rFonts w:asciiTheme="majorHAnsi" w:eastAsiaTheme="majorEastAsia" w:hAnsiTheme="majorHAnsi" w:cstheme="majorBidi"/>
      <w:color w:val="272727" w:themeColor="text1" w:themeTint="D8"/>
      <w:sz w:val="21"/>
      <w:szCs w:val="21"/>
      <w:lang w:val="en-IE"/>
    </w:rPr>
  </w:style>
  <w:style w:type="character" w:customStyle="1" w:styleId="Heading9Char">
    <w:name w:val="Heading 9 Char"/>
    <w:basedOn w:val="DefaultParagraphFont"/>
    <w:link w:val="Heading9"/>
    <w:uiPriority w:val="9"/>
    <w:semiHidden/>
    <w:rsid w:val="002A3F72"/>
    <w:rPr>
      <w:rFonts w:asciiTheme="majorHAnsi" w:eastAsiaTheme="majorEastAsia" w:hAnsiTheme="majorHAnsi" w:cstheme="majorBidi"/>
      <w:i/>
      <w:iCs/>
      <w:color w:val="272727" w:themeColor="text1" w:themeTint="D8"/>
      <w:sz w:val="21"/>
      <w:szCs w:val="21"/>
      <w:lang w:val="en-IE"/>
    </w:rPr>
  </w:style>
  <w:style w:type="character" w:customStyle="1" w:styleId="A13">
    <w:name w:val="A13"/>
    <w:uiPriority w:val="99"/>
    <w:rsid w:val="00502B7D"/>
    <w:rPr>
      <w:rFonts w:cs="DaxlinePro-Regular"/>
      <w:color w:val="000000"/>
      <w:sz w:val="10"/>
      <w:szCs w:val="10"/>
    </w:rPr>
  </w:style>
  <w:style w:type="paragraph" w:customStyle="1" w:styleId="Pa13">
    <w:name w:val="Pa13"/>
    <w:basedOn w:val="Normal"/>
    <w:next w:val="Normal"/>
    <w:uiPriority w:val="99"/>
    <w:rsid w:val="004E2F2D"/>
    <w:pPr>
      <w:autoSpaceDE w:val="0"/>
      <w:autoSpaceDN w:val="0"/>
      <w:adjustRightInd w:val="0"/>
      <w:spacing w:after="0" w:line="185" w:lineRule="atLeast"/>
    </w:pPr>
    <w:rPr>
      <w:rFonts w:ascii="DaxlinePro-RegularItalic" w:hAnsi="DaxlinePro-RegularItalic"/>
      <w:sz w:val="24"/>
      <w:szCs w:val="24"/>
    </w:rPr>
  </w:style>
  <w:style w:type="paragraph" w:customStyle="1" w:styleId="Pa17">
    <w:name w:val="Pa17"/>
    <w:basedOn w:val="Normal"/>
    <w:next w:val="Normal"/>
    <w:uiPriority w:val="99"/>
    <w:rsid w:val="004E2F2D"/>
    <w:pPr>
      <w:autoSpaceDE w:val="0"/>
      <w:autoSpaceDN w:val="0"/>
      <w:adjustRightInd w:val="0"/>
      <w:spacing w:after="0" w:line="161" w:lineRule="atLeast"/>
    </w:pPr>
    <w:rPr>
      <w:rFonts w:ascii="DaxlinePro-RegularItalic" w:hAnsi="DaxlinePro-RegularItalic"/>
      <w:sz w:val="24"/>
      <w:szCs w:val="24"/>
    </w:rPr>
  </w:style>
  <w:style w:type="paragraph" w:customStyle="1" w:styleId="Pa46">
    <w:name w:val="Pa46"/>
    <w:basedOn w:val="Normal"/>
    <w:next w:val="Normal"/>
    <w:uiPriority w:val="99"/>
    <w:rsid w:val="0012027F"/>
    <w:pPr>
      <w:autoSpaceDE w:val="0"/>
      <w:autoSpaceDN w:val="0"/>
      <w:adjustRightInd w:val="0"/>
      <w:spacing w:after="0" w:line="221" w:lineRule="atLeast"/>
    </w:pPr>
    <w:rPr>
      <w:rFonts w:ascii="DaxlinePro-Regular" w:eastAsia="DaxlinePro-Regular"/>
      <w:sz w:val="24"/>
      <w:szCs w:val="24"/>
    </w:rPr>
  </w:style>
  <w:style w:type="paragraph" w:customStyle="1" w:styleId="Pa44">
    <w:name w:val="Pa44"/>
    <w:basedOn w:val="Normal"/>
    <w:next w:val="Normal"/>
    <w:uiPriority w:val="99"/>
    <w:rsid w:val="0012027F"/>
    <w:pPr>
      <w:autoSpaceDE w:val="0"/>
      <w:autoSpaceDN w:val="0"/>
      <w:adjustRightInd w:val="0"/>
      <w:spacing w:after="0" w:line="241" w:lineRule="atLeast"/>
    </w:pPr>
    <w:rPr>
      <w:rFonts w:ascii="DaxlinePro-Regular" w:eastAsia="DaxlinePro-Regular"/>
      <w:sz w:val="24"/>
      <w:szCs w:val="24"/>
    </w:rPr>
  </w:style>
  <w:style w:type="paragraph" w:customStyle="1" w:styleId="Pa45">
    <w:name w:val="Pa45"/>
    <w:basedOn w:val="Normal"/>
    <w:next w:val="Normal"/>
    <w:uiPriority w:val="99"/>
    <w:rsid w:val="0012027F"/>
    <w:pPr>
      <w:autoSpaceDE w:val="0"/>
      <w:autoSpaceDN w:val="0"/>
      <w:adjustRightInd w:val="0"/>
      <w:spacing w:after="0" w:line="185" w:lineRule="atLeast"/>
    </w:pPr>
    <w:rPr>
      <w:rFonts w:ascii="DaxlinePro-Regular" w:eastAsia="DaxlinePro-Regular"/>
      <w:sz w:val="24"/>
      <w:szCs w:val="24"/>
    </w:rPr>
  </w:style>
  <w:style w:type="paragraph" w:customStyle="1" w:styleId="Pa9">
    <w:name w:val="Pa9"/>
    <w:basedOn w:val="Normal"/>
    <w:next w:val="Normal"/>
    <w:uiPriority w:val="99"/>
    <w:rsid w:val="0020630F"/>
    <w:pPr>
      <w:autoSpaceDE w:val="0"/>
      <w:autoSpaceDN w:val="0"/>
      <w:adjustRightInd w:val="0"/>
      <w:spacing w:after="0" w:line="185" w:lineRule="atLeast"/>
    </w:pPr>
    <w:rPr>
      <w:rFonts w:ascii="DaxlinePro-Regular" w:eastAsia="DaxlinePro-Regular"/>
      <w:sz w:val="24"/>
      <w:szCs w:val="24"/>
    </w:rPr>
  </w:style>
  <w:style w:type="paragraph" w:customStyle="1" w:styleId="Default">
    <w:name w:val="Default"/>
    <w:rsid w:val="00BC019E"/>
    <w:pPr>
      <w:autoSpaceDE w:val="0"/>
      <w:autoSpaceDN w:val="0"/>
      <w:adjustRightInd w:val="0"/>
      <w:spacing w:after="0" w:line="240" w:lineRule="auto"/>
    </w:pPr>
    <w:rPr>
      <w:rFonts w:ascii="Daxline Offc Pro" w:hAnsi="Daxline Offc Pro" w:cs="Daxline Offc Pro"/>
      <w:color w:val="000000"/>
      <w:sz w:val="24"/>
      <w:szCs w:val="24"/>
      <w:lang w:val="en-IE"/>
    </w:rPr>
  </w:style>
  <w:style w:type="character" w:customStyle="1" w:styleId="A5">
    <w:name w:val="A5"/>
    <w:uiPriority w:val="99"/>
    <w:rsid w:val="00604345"/>
    <w:rPr>
      <w:rFonts w:cs="DaxlinePro-Regular"/>
      <w:color w:val="000000"/>
      <w:sz w:val="18"/>
      <w:szCs w:val="18"/>
    </w:rPr>
  </w:style>
  <w:style w:type="character" w:customStyle="1" w:styleId="A6">
    <w:name w:val="A6"/>
    <w:uiPriority w:val="99"/>
    <w:rsid w:val="00604345"/>
    <w:rPr>
      <w:rFonts w:cs="DaxlinePro-Regular"/>
      <w:color w:val="000000"/>
      <w:sz w:val="10"/>
      <w:szCs w:val="10"/>
    </w:rPr>
  </w:style>
  <w:style w:type="paragraph" w:customStyle="1" w:styleId="Pa21">
    <w:name w:val="Pa21"/>
    <w:basedOn w:val="Default"/>
    <w:next w:val="Default"/>
    <w:uiPriority w:val="99"/>
    <w:rsid w:val="00653906"/>
    <w:pPr>
      <w:spacing w:line="185" w:lineRule="atLeast"/>
    </w:pPr>
    <w:rPr>
      <w:rFonts w:ascii="DaxlinePro-Bold" w:hAnsi="DaxlinePro-Bold" w:cstheme="minorBidi"/>
      <w:color w:val="auto"/>
    </w:rPr>
  </w:style>
  <w:style w:type="character" w:customStyle="1" w:styleId="A8">
    <w:name w:val="A8"/>
    <w:uiPriority w:val="99"/>
    <w:rsid w:val="003736F1"/>
    <w:rPr>
      <w:rFonts w:cs="DaxlinePro-Regular"/>
      <w:color w:val="000000"/>
      <w:sz w:val="10"/>
      <w:szCs w:val="10"/>
    </w:rPr>
  </w:style>
  <w:style w:type="character" w:customStyle="1" w:styleId="A2">
    <w:name w:val="A2"/>
    <w:uiPriority w:val="99"/>
    <w:rsid w:val="003736F1"/>
    <w:rPr>
      <w:rFonts w:cs="DaxlinePro-Regular"/>
      <w:color w:val="000000"/>
      <w:sz w:val="18"/>
      <w:szCs w:val="18"/>
    </w:rPr>
  </w:style>
  <w:style w:type="paragraph" w:customStyle="1" w:styleId="Pa4">
    <w:name w:val="Pa4"/>
    <w:basedOn w:val="Default"/>
    <w:next w:val="Default"/>
    <w:uiPriority w:val="99"/>
    <w:rsid w:val="00753796"/>
    <w:pPr>
      <w:spacing w:line="185" w:lineRule="atLeast"/>
    </w:pPr>
    <w:rPr>
      <w:rFonts w:ascii="DaxlinePro-Regular" w:eastAsia="DaxlinePro-Regular" w:hAnsiTheme="minorHAnsi" w:cstheme="minorBidi"/>
      <w:color w:val="auto"/>
    </w:rPr>
  </w:style>
  <w:style w:type="paragraph" w:customStyle="1" w:styleId="Pa23">
    <w:name w:val="Pa23"/>
    <w:basedOn w:val="Default"/>
    <w:next w:val="Default"/>
    <w:uiPriority w:val="99"/>
    <w:rsid w:val="00CD4639"/>
    <w:pPr>
      <w:spacing w:line="221" w:lineRule="atLeast"/>
    </w:pPr>
    <w:rPr>
      <w:rFonts w:ascii="DaxlinePro-Regular" w:eastAsia="DaxlinePro-Regular" w:hAnsiTheme="minorHAnsi" w:cstheme="minorBidi"/>
      <w:color w:val="auto"/>
    </w:rPr>
  </w:style>
  <w:style w:type="paragraph" w:customStyle="1" w:styleId="Pa24">
    <w:name w:val="Pa24"/>
    <w:basedOn w:val="Default"/>
    <w:next w:val="Default"/>
    <w:uiPriority w:val="99"/>
    <w:rsid w:val="00CD4639"/>
    <w:pPr>
      <w:spacing w:line="241" w:lineRule="atLeast"/>
    </w:pPr>
    <w:rPr>
      <w:rFonts w:ascii="DaxlinePro-Regular" w:eastAsia="DaxlinePro-Regular" w:hAnsiTheme="minorHAnsi" w:cstheme="minorBidi"/>
      <w:color w:val="auto"/>
    </w:rPr>
  </w:style>
  <w:style w:type="paragraph" w:customStyle="1" w:styleId="Pa25">
    <w:name w:val="Pa25"/>
    <w:basedOn w:val="Default"/>
    <w:next w:val="Default"/>
    <w:uiPriority w:val="99"/>
    <w:rsid w:val="00CD4639"/>
    <w:pPr>
      <w:spacing w:line="185" w:lineRule="atLeast"/>
    </w:pPr>
    <w:rPr>
      <w:rFonts w:ascii="DaxlinePro-Regular" w:eastAsia="DaxlinePro-Regular" w:hAnsiTheme="minorHAnsi" w:cstheme="minorBidi"/>
      <w:color w:val="auto"/>
    </w:rPr>
  </w:style>
  <w:style w:type="paragraph" w:customStyle="1" w:styleId="Pa26">
    <w:name w:val="Pa26"/>
    <w:basedOn w:val="Default"/>
    <w:next w:val="Default"/>
    <w:uiPriority w:val="99"/>
    <w:rsid w:val="00CD4639"/>
    <w:pPr>
      <w:spacing w:line="145" w:lineRule="atLeast"/>
    </w:pPr>
    <w:rPr>
      <w:rFonts w:ascii="DaxlinePro-Regular" w:eastAsia="DaxlinePro-Regular" w:hAnsiTheme="minorHAnsi" w:cstheme="minorBidi"/>
      <w:color w:val="auto"/>
    </w:rPr>
  </w:style>
  <w:style w:type="paragraph" w:styleId="TOC3">
    <w:name w:val="toc 3"/>
    <w:basedOn w:val="Normal"/>
    <w:next w:val="Normal"/>
    <w:autoRedefine/>
    <w:uiPriority w:val="39"/>
    <w:unhideWhenUsed/>
    <w:rsid w:val="009F7D5A"/>
    <w:pPr>
      <w:spacing w:after="100"/>
      <w:ind w:left="440"/>
    </w:pPr>
  </w:style>
  <w:style w:type="character" w:styleId="SubtleEmphasis">
    <w:name w:val="Subtle Emphasis"/>
    <w:basedOn w:val="DefaultParagraphFont"/>
    <w:uiPriority w:val="19"/>
    <w:qFormat/>
    <w:rsid w:val="00F956F0"/>
    <w:rPr>
      <w:i/>
      <w:iCs/>
      <w:color w:val="404040" w:themeColor="text1" w:themeTint="BF"/>
    </w:rPr>
  </w:style>
  <w:style w:type="paragraph" w:styleId="Subtitle">
    <w:name w:val="Subtitle"/>
    <w:basedOn w:val="Normal"/>
    <w:next w:val="Normal"/>
    <w:link w:val="SubtitleChar"/>
    <w:uiPriority w:val="11"/>
    <w:qFormat/>
    <w:rsid w:val="00EF36C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F36C3"/>
    <w:rPr>
      <w:rFonts w:eastAsiaTheme="minorEastAsia"/>
      <w:color w:val="5A5A5A" w:themeColor="text1" w:themeTint="A5"/>
      <w:spacing w:val="15"/>
      <w:lang w:val="en-IE"/>
    </w:rPr>
  </w:style>
  <w:style w:type="table" w:styleId="TableGrid">
    <w:name w:val="Table Grid"/>
    <w:basedOn w:val="TableNormal"/>
    <w:uiPriority w:val="39"/>
    <w:rsid w:val="00EF3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0">
    <w:name w:val="A20"/>
    <w:uiPriority w:val="99"/>
    <w:rsid w:val="000F7C63"/>
    <w:rPr>
      <w:rFonts w:cs="DaxlinePro-Bold"/>
      <w:b/>
      <w:bCs/>
      <w:color w:val="000000"/>
      <w:sz w:val="17"/>
      <w:szCs w:val="17"/>
    </w:rPr>
  </w:style>
  <w:style w:type="paragraph" w:customStyle="1" w:styleId="Pa10">
    <w:name w:val="Pa10"/>
    <w:basedOn w:val="Default"/>
    <w:next w:val="Default"/>
    <w:uiPriority w:val="99"/>
    <w:rsid w:val="000F7C63"/>
    <w:pPr>
      <w:spacing w:line="185" w:lineRule="atLeast"/>
    </w:pPr>
    <w:rPr>
      <w:rFonts w:ascii="DaxlinePro-Bold" w:hAnsi="DaxlinePro-Bold" w:cstheme="minorBidi"/>
      <w:color w:val="auto"/>
    </w:rPr>
  </w:style>
  <w:style w:type="paragraph" w:styleId="NoSpacing">
    <w:name w:val="No Spacing"/>
    <w:uiPriority w:val="1"/>
    <w:qFormat/>
    <w:rsid w:val="00782C1C"/>
    <w:pPr>
      <w:spacing w:after="0" w:line="240" w:lineRule="auto"/>
    </w:pPr>
    <w:rPr>
      <w:lang w:val="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before="240" w:after="24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CDA"/>
    <w:rPr>
      <w:lang w:val="en-IE"/>
    </w:rPr>
  </w:style>
  <w:style w:type="paragraph" w:styleId="Heading1">
    <w:name w:val="heading 1"/>
    <w:basedOn w:val="Normal"/>
    <w:next w:val="Normal"/>
    <w:link w:val="Heading1Char"/>
    <w:uiPriority w:val="9"/>
    <w:qFormat/>
    <w:rsid w:val="00644CDA"/>
    <w:pPr>
      <w:keepNext/>
      <w:keepLines/>
      <w:numPr>
        <w:numId w:val="14"/>
      </w:numPr>
      <w:spacing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44CDA"/>
    <w:pPr>
      <w:keepNext/>
      <w:keepLines/>
      <w:numPr>
        <w:ilvl w:val="1"/>
        <w:numId w:val="14"/>
      </w:numPr>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unhideWhenUsed/>
    <w:qFormat/>
    <w:rsid w:val="002A3F72"/>
    <w:pPr>
      <w:keepNext/>
      <w:keepLines/>
      <w:numPr>
        <w:ilvl w:val="2"/>
        <w:numId w:val="14"/>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A3F72"/>
    <w:pPr>
      <w:keepNext/>
      <w:keepLines/>
      <w:numPr>
        <w:ilvl w:val="3"/>
        <w:numId w:val="1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A3F72"/>
    <w:pPr>
      <w:keepNext/>
      <w:keepLines/>
      <w:numPr>
        <w:ilvl w:val="4"/>
        <w:numId w:val="1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A3F72"/>
    <w:pPr>
      <w:keepNext/>
      <w:keepLines/>
      <w:numPr>
        <w:ilvl w:val="5"/>
        <w:numId w:val="1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A3F72"/>
    <w:pPr>
      <w:keepNext/>
      <w:keepLines/>
      <w:numPr>
        <w:ilvl w:val="6"/>
        <w:numId w:val="1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A3F72"/>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A3F72"/>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2A11"/>
    <w:rPr>
      <w:color w:val="0563C1" w:themeColor="hyperlink"/>
      <w:u w:val="single"/>
    </w:rPr>
  </w:style>
  <w:style w:type="paragraph" w:styleId="ListParagraph">
    <w:name w:val="List Paragraph"/>
    <w:basedOn w:val="Normal"/>
    <w:uiPriority w:val="34"/>
    <w:qFormat/>
    <w:rsid w:val="002D2A11"/>
    <w:pPr>
      <w:ind w:left="720"/>
      <w:contextualSpacing/>
    </w:pPr>
  </w:style>
  <w:style w:type="character" w:customStyle="1" w:styleId="A9">
    <w:name w:val="A9"/>
    <w:uiPriority w:val="99"/>
    <w:rsid w:val="002D2A11"/>
    <w:rPr>
      <w:rFonts w:cs="DaxlinePro-Regular"/>
      <w:color w:val="000000"/>
      <w:sz w:val="10"/>
      <w:szCs w:val="10"/>
    </w:rPr>
  </w:style>
  <w:style w:type="paragraph" w:styleId="Header">
    <w:name w:val="header"/>
    <w:basedOn w:val="Normal"/>
    <w:link w:val="HeaderChar"/>
    <w:uiPriority w:val="99"/>
    <w:unhideWhenUsed/>
    <w:rsid w:val="00965B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BA3"/>
    <w:rPr>
      <w:lang w:val="en-IE"/>
    </w:rPr>
  </w:style>
  <w:style w:type="paragraph" w:styleId="Footer">
    <w:name w:val="footer"/>
    <w:basedOn w:val="Normal"/>
    <w:link w:val="FooterChar"/>
    <w:uiPriority w:val="99"/>
    <w:unhideWhenUsed/>
    <w:rsid w:val="00965B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BA3"/>
    <w:rPr>
      <w:lang w:val="en-IE"/>
    </w:rPr>
  </w:style>
  <w:style w:type="paragraph" w:customStyle="1" w:styleId="Pa47">
    <w:name w:val="Pa47"/>
    <w:basedOn w:val="Normal"/>
    <w:next w:val="Normal"/>
    <w:uiPriority w:val="99"/>
    <w:rsid w:val="00A13095"/>
    <w:pPr>
      <w:autoSpaceDE w:val="0"/>
      <w:autoSpaceDN w:val="0"/>
      <w:adjustRightInd w:val="0"/>
      <w:spacing w:after="0" w:line="185" w:lineRule="atLeast"/>
    </w:pPr>
    <w:rPr>
      <w:rFonts w:ascii="DaxlinePro-Regular" w:eastAsia="DaxlinePro-Regular"/>
      <w:sz w:val="24"/>
      <w:szCs w:val="24"/>
      <w:lang w:val="en-GB"/>
    </w:rPr>
  </w:style>
  <w:style w:type="character" w:customStyle="1" w:styleId="A4">
    <w:name w:val="A4"/>
    <w:uiPriority w:val="99"/>
    <w:rsid w:val="00D42671"/>
    <w:rPr>
      <w:rFonts w:cs="DaxlinePro-Regular"/>
      <w:color w:val="000000"/>
      <w:sz w:val="18"/>
      <w:szCs w:val="18"/>
    </w:rPr>
  </w:style>
  <w:style w:type="paragraph" w:customStyle="1" w:styleId="Pa31">
    <w:name w:val="Pa31"/>
    <w:basedOn w:val="Normal"/>
    <w:next w:val="Normal"/>
    <w:uiPriority w:val="99"/>
    <w:rsid w:val="00D42671"/>
    <w:pPr>
      <w:autoSpaceDE w:val="0"/>
      <w:autoSpaceDN w:val="0"/>
      <w:adjustRightInd w:val="0"/>
      <w:spacing w:after="0" w:line="185" w:lineRule="atLeast"/>
    </w:pPr>
    <w:rPr>
      <w:rFonts w:ascii="DaxlinePro-Regular" w:eastAsia="DaxlinePro-Regular"/>
      <w:sz w:val="24"/>
      <w:szCs w:val="24"/>
      <w:lang w:val="en-GB"/>
    </w:rPr>
  </w:style>
  <w:style w:type="character" w:customStyle="1" w:styleId="A7">
    <w:name w:val="A7"/>
    <w:uiPriority w:val="99"/>
    <w:rsid w:val="000B2AF6"/>
    <w:rPr>
      <w:rFonts w:cs="DaxlinePro-Regular"/>
      <w:color w:val="000000"/>
      <w:sz w:val="18"/>
      <w:szCs w:val="18"/>
    </w:rPr>
  </w:style>
  <w:style w:type="character" w:styleId="FollowedHyperlink">
    <w:name w:val="FollowedHyperlink"/>
    <w:basedOn w:val="DefaultParagraphFont"/>
    <w:uiPriority w:val="99"/>
    <w:semiHidden/>
    <w:unhideWhenUsed/>
    <w:rsid w:val="001308E6"/>
    <w:rPr>
      <w:color w:val="954F72" w:themeColor="followedHyperlink"/>
      <w:u w:val="single"/>
    </w:rPr>
  </w:style>
  <w:style w:type="character" w:customStyle="1" w:styleId="Heading1Char">
    <w:name w:val="Heading 1 Char"/>
    <w:basedOn w:val="DefaultParagraphFont"/>
    <w:link w:val="Heading1"/>
    <w:uiPriority w:val="9"/>
    <w:rsid w:val="00644CDA"/>
    <w:rPr>
      <w:rFonts w:eastAsiaTheme="majorEastAsia" w:cstheme="majorBidi"/>
      <w:color w:val="2E74B5" w:themeColor="accent1" w:themeShade="BF"/>
      <w:sz w:val="32"/>
      <w:szCs w:val="32"/>
      <w:lang w:val="en-IE"/>
    </w:rPr>
  </w:style>
  <w:style w:type="paragraph" w:styleId="TOCHeading">
    <w:name w:val="TOC Heading"/>
    <w:basedOn w:val="Heading1"/>
    <w:next w:val="Normal"/>
    <w:uiPriority w:val="39"/>
    <w:unhideWhenUsed/>
    <w:qFormat/>
    <w:rsid w:val="00EA5BD7"/>
    <w:pPr>
      <w:numPr>
        <w:numId w:val="0"/>
      </w:numPr>
      <w:outlineLvl w:val="9"/>
    </w:pPr>
    <w:rPr>
      <w:lang w:val="en-US"/>
    </w:rPr>
  </w:style>
  <w:style w:type="character" w:customStyle="1" w:styleId="Heading2Char">
    <w:name w:val="Heading 2 Char"/>
    <w:basedOn w:val="DefaultParagraphFont"/>
    <w:link w:val="Heading2"/>
    <w:uiPriority w:val="9"/>
    <w:rsid w:val="00644CDA"/>
    <w:rPr>
      <w:rFonts w:eastAsiaTheme="majorEastAsia" w:cstheme="majorBidi"/>
      <w:color w:val="2E74B5" w:themeColor="accent1" w:themeShade="BF"/>
      <w:sz w:val="28"/>
      <w:szCs w:val="26"/>
      <w:lang w:val="en-IE"/>
    </w:rPr>
  </w:style>
  <w:style w:type="paragraph" w:styleId="TOC1">
    <w:name w:val="toc 1"/>
    <w:basedOn w:val="Normal"/>
    <w:next w:val="Normal"/>
    <w:autoRedefine/>
    <w:uiPriority w:val="39"/>
    <w:unhideWhenUsed/>
    <w:rsid w:val="000D23FE"/>
    <w:pPr>
      <w:tabs>
        <w:tab w:val="left" w:pos="440"/>
        <w:tab w:val="right" w:leader="dot" w:pos="9016"/>
      </w:tabs>
      <w:spacing w:after="100"/>
    </w:pPr>
  </w:style>
  <w:style w:type="paragraph" w:styleId="TOC2">
    <w:name w:val="toc 2"/>
    <w:basedOn w:val="Normal"/>
    <w:next w:val="Normal"/>
    <w:autoRedefine/>
    <w:uiPriority w:val="39"/>
    <w:unhideWhenUsed/>
    <w:rsid w:val="00EA5BD7"/>
    <w:pPr>
      <w:spacing w:after="100"/>
      <w:ind w:left="220"/>
    </w:pPr>
  </w:style>
  <w:style w:type="character" w:styleId="CommentReference">
    <w:name w:val="annotation reference"/>
    <w:basedOn w:val="DefaultParagraphFont"/>
    <w:uiPriority w:val="99"/>
    <w:semiHidden/>
    <w:unhideWhenUsed/>
    <w:rsid w:val="000C05D5"/>
    <w:rPr>
      <w:sz w:val="16"/>
      <w:szCs w:val="16"/>
    </w:rPr>
  </w:style>
  <w:style w:type="paragraph" w:styleId="CommentText">
    <w:name w:val="annotation text"/>
    <w:basedOn w:val="Normal"/>
    <w:link w:val="CommentTextChar"/>
    <w:uiPriority w:val="99"/>
    <w:semiHidden/>
    <w:unhideWhenUsed/>
    <w:rsid w:val="000C05D5"/>
    <w:pPr>
      <w:spacing w:line="240" w:lineRule="auto"/>
    </w:pPr>
    <w:rPr>
      <w:sz w:val="20"/>
      <w:szCs w:val="20"/>
    </w:rPr>
  </w:style>
  <w:style w:type="character" w:customStyle="1" w:styleId="CommentTextChar">
    <w:name w:val="Comment Text Char"/>
    <w:basedOn w:val="DefaultParagraphFont"/>
    <w:link w:val="CommentText"/>
    <w:uiPriority w:val="99"/>
    <w:semiHidden/>
    <w:rsid w:val="000C05D5"/>
    <w:rPr>
      <w:sz w:val="20"/>
      <w:szCs w:val="20"/>
      <w:lang w:val="en-IE"/>
    </w:rPr>
  </w:style>
  <w:style w:type="paragraph" w:styleId="CommentSubject">
    <w:name w:val="annotation subject"/>
    <w:basedOn w:val="CommentText"/>
    <w:next w:val="CommentText"/>
    <w:link w:val="CommentSubjectChar"/>
    <w:uiPriority w:val="99"/>
    <w:semiHidden/>
    <w:unhideWhenUsed/>
    <w:rsid w:val="000C05D5"/>
    <w:rPr>
      <w:b/>
      <w:bCs/>
    </w:rPr>
  </w:style>
  <w:style w:type="character" w:customStyle="1" w:styleId="CommentSubjectChar">
    <w:name w:val="Comment Subject Char"/>
    <w:basedOn w:val="CommentTextChar"/>
    <w:link w:val="CommentSubject"/>
    <w:uiPriority w:val="99"/>
    <w:semiHidden/>
    <w:rsid w:val="000C05D5"/>
    <w:rPr>
      <w:b/>
      <w:bCs/>
      <w:sz w:val="20"/>
      <w:szCs w:val="20"/>
      <w:lang w:val="en-IE"/>
    </w:rPr>
  </w:style>
  <w:style w:type="paragraph" w:styleId="BalloonText">
    <w:name w:val="Balloon Text"/>
    <w:basedOn w:val="Normal"/>
    <w:link w:val="BalloonTextChar"/>
    <w:uiPriority w:val="99"/>
    <w:semiHidden/>
    <w:unhideWhenUsed/>
    <w:rsid w:val="000C05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05D5"/>
    <w:rPr>
      <w:rFonts w:ascii="Segoe UI" w:hAnsi="Segoe UI" w:cs="Segoe UI"/>
      <w:sz w:val="18"/>
      <w:szCs w:val="18"/>
      <w:lang w:val="en-IE"/>
    </w:rPr>
  </w:style>
  <w:style w:type="character" w:styleId="Strong">
    <w:name w:val="Strong"/>
    <w:basedOn w:val="DefaultParagraphFont"/>
    <w:uiPriority w:val="22"/>
    <w:qFormat/>
    <w:rsid w:val="00E42EE7"/>
    <w:rPr>
      <w:b/>
      <w:bCs/>
    </w:rPr>
  </w:style>
  <w:style w:type="paragraph" w:styleId="NormalWeb">
    <w:name w:val="Normal (Web)"/>
    <w:basedOn w:val="Normal"/>
    <w:uiPriority w:val="99"/>
    <w:semiHidden/>
    <w:unhideWhenUsed/>
    <w:rsid w:val="00E42EE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FootnoteText">
    <w:name w:val="footnote text"/>
    <w:basedOn w:val="Normal"/>
    <w:link w:val="FootnoteTextChar"/>
    <w:uiPriority w:val="99"/>
    <w:semiHidden/>
    <w:unhideWhenUsed/>
    <w:rsid w:val="002D6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6C99"/>
    <w:rPr>
      <w:sz w:val="20"/>
      <w:szCs w:val="20"/>
      <w:lang w:val="en-IE"/>
    </w:rPr>
  </w:style>
  <w:style w:type="character" w:styleId="FootnoteReference">
    <w:name w:val="footnote reference"/>
    <w:aliases w:val="Footnote Refernece,callout,Footnotes refss,Appel note de bas de p.,Fn Ref,Footnote Reference Superscript,BVI fnr,Footnote Reference Number,Footnote Refernece + (Latein) Arial,10 pt,Blau,Fußnotenzeichen_Raxen,Footnote Refe,FR,..."/>
    <w:basedOn w:val="DefaultParagraphFont"/>
    <w:uiPriority w:val="99"/>
    <w:unhideWhenUsed/>
    <w:rsid w:val="002D6C99"/>
    <w:rPr>
      <w:vertAlign w:val="superscript"/>
    </w:rPr>
  </w:style>
  <w:style w:type="character" w:customStyle="1" w:styleId="Heading3Char">
    <w:name w:val="Heading 3 Char"/>
    <w:basedOn w:val="DefaultParagraphFont"/>
    <w:link w:val="Heading3"/>
    <w:uiPriority w:val="9"/>
    <w:rsid w:val="002A3F72"/>
    <w:rPr>
      <w:rFonts w:asciiTheme="majorHAnsi" w:eastAsiaTheme="majorEastAsia" w:hAnsiTheme="majorHAnsi" w:cstheme="majorBidi"/>
      <w:color w:val="1F4D78" w:themeColor="accent1" w:themeShade="7F"/>
      <w:sz w:val="24"/>
      <w:szCs w:val="24"/>
      <w:lang w:val="en-IE"/>
    </w:rPr>
  </w:style>
  <w:style w:type="character" w:customStyle="1" w:styleId="Heading4Char">
    <w:name w:val="Heading 4 Char"/>
    <w:basedOn w:val="DefaultParagraphFont"/>
    <w:link w:val="Heading4"/>
    <w:uiPriority w:val="9"/>
    <w:rsid w:val="002A3F72"/>
    <w:rPr>
      <w:rFonts w:asciiTheme="majorHAnsi" w:eastAsiaTheme="majorEastAsia" w:hAnsiTheme="majorHAnsi" w:cstheme="majorBidi"/>
      <w:i/>
      <w:iCs/>
      <w:color w:val="2E74B5" w:themeColor="accent1" w:themeShade="BF"/>
      <w:lang w:val="en-IE"/>
    </w:rPr>
  </w:style>
  <w:style w:type="character" w:customStyle="1" w:styleId="Heading5Char">
    <w:name w:val="Heading 5 Char"/>
    <w:basedOn w:val="DefaultParagraphFont"/>
    <w:link w:val="Heading5"/>
    <w:uiPriority w:val="9"/>
    <w:semiHidden/>
    <w:rsid w:val="002A3F72"/>
    <w:rPr>
      <w:rFonts w:asciiTheme="majorHAnsi" w:eastAsiaTheme="majorEastAsia" w:hAnsiTheme="majorHAnsi" w:cstheme="majorBidi"/>
      <w:color w:val="2E74B5" w:themeColor="accent1" w:themeShade="BF"/>
      <w:lang w:val="en-IE"/>
    </w:rPr>
  </w:style>
  <w:style w:type="character" w:customStyle="1" w:styleId="Heading6Char">
    <w:name w:val="Heading 6 Char"/>
    <w:basedOn w:val="DefaultParagraphFont"/>
    <w:link w:val="Heading6"/>
    <w:uiPriority w:val="9"/>
    <w:semiHidden/>
    <w:rsid w:val="002A3F72"/>
    <w:rPr>
      <w:rFonts w:asciiTheme="majorHAnsi" w:eastAsiaTheme="majorEastAsia" w:hAnsiTheme="majorHAnsi" w:cstheme="majorBidi"/>
      <w:color w:val="1F4D78" w:themeColor="accent1" w:themeShade="7F"/>
      <w:lang w:val="en-IE"/>
    </w:rPr>
  </w:style>
  <w:style w:type="character" w:customStyle="1" w:styleId="Heading7Char">
    <w:name w:val="Heading 7 Char"/>
    <w:basedOn w:val="DefaultParagraphFont"/>
    <w:link w:val="Heading7"/>
    <w:uiPriority w:val="9"/>
    <w:semiHidden/>
    <w:rsid w:val="002A3F72"/>
    <w:rPr>
      <w:rFonts w:asciiTheme="majorHAnsi" w:eastAsiaTheme="majorEastAsia" w:hAnsiTheme="majorHAnsi" w:cstheme="majorBidi"/>
      <w:i/>
      <w:iCs/>
      <w:color w:val="1F4D78" w:themeColor="accent1" w:themeShade="7F"/>
      <w:lang w:val="en-IE"/>
    </w:rPr>
  </w:style>
  <w:style w:type="character" w:customStyle="1" w:styleId="Heading8Char">
    <w:name w:val="Heading 8 Char"/>
    <w:basedOn w:val="DefaultParagraphFont"/>
    <w:link w:val="Heading8"/>
    <w:uiPriority w:val="9"/>
    <w:semiHidden/>
    <w:rsid w:val="002A3F72"/>
    <w:rPr>
      <w:rFonts w:asciiTheme="majorHAnsi" w:eastAsiaTheme="majorEastAsia" w:hAnsiTheme="majorHAnsi" w:cstheme="majorBidi"/>
      <w:color w:val="272727" w:themeColor="text1" w:themeTint="D8"/>
      <w:sz w:val="21"/>
      <w:szCs w:val="21"/>
      <w:lang w:val="en-IE"/>
    </w:rPr>
  </w:style>
  <w:style w:type="character" w:customStyle="1" w:styleId="Heading9Char">
    <w:name w:val="Heading 9 Char"/>
    <w:basedOn w:val="DefaultParagraphFont"/>
    <w:link w:val="Heading9"/>
    <w:uiPriority w:val="9"/>
    <w:semiHidden/>
    <w:rsid w:val="002A3F72"/>
    <w:rPr>
      <w:rFonts w:asciiTheme="majorHAnsi" w:eastAsiaTheme="majorEastAsia" w:hAnsiTheme="majorHAnsi" w:cstheme="majorBidi"/>
      <w:i/>
      <w:iCs/>
      <w:color w:val="272727" w:themeColor="text1" w:themeTint="D8"/>
      <w:sz w:val="21"/>
      <w:szCs w:val="21"/>
      <w:lang w:val="en-IE"/>
    </w:rPr>
  </w:style>
  <w:style w:type="character" w:customStyle="1" w:styleId="A13">
    <w:name w:val="A13"/>
    <w:uiPriority w:val="99"/>
    <w:rsid w:val="00502B7D"/>
    <w:rPr>
      <w:rFonts w:cs="DaxlinePro-Regular"/>
      <w:color w:val="000000"/>
      <w:sz w:val="10"/>
      <w:szCs w:val="10"/>
    </w:rPr>
  </w:style>
  <w:style w:type="paragraph" w:customStyle="1" w:styleId="Pa13">
    <w:name w:val="Pa13"/>
    <w:basedOn w:val="Normal"/>
    <w:next w:val="Normal"/>
    <w:uiPriority w:val="99"/>
    <w:rsid w:val="004E2F2D"/>
    <w:pPr>
      <w:autoSpaceDE w:val="0"/>
      <w:autoSpaceDN w:val="0"/>
      <w:adjustRightInd w:val="0"/>
      <w:spacing w:after="0" w:line="185" w:lineRule="atLeast"/>
    </w:pPr>
    <w:rPr>
      <w:rFonts w:ascii="DaxlinePro-RegularItalic" w:hAnsi="DaxlinePro-RegularItalic"/>
      <w:sz w:val="24"/>
      <w:szCs w:val="24"/>
    </w:rPr>
  </w:style>
  <w:style w:type="paragraph" w:customStyle="1" w:styleId="Pa17">
    <w:name w:val="Pa17"/>
    <w:basedOn w:val="Normal"/>
    <w:next w:val="Normal"/>
    <w:uiPriority w:val="99"/>
    <w:rsid w:val="004E2F2D"/>
    <w:pPr>
      <w:autoSpaceDE w:val="0"/>
      <w:autoSpaceDN w:val="0"/>
      <w:adjustRightInd w:val="0"/>
      <w:spacing w:after="0" w:line="161" w:lineRule="atLeast"/>
    </w:pPr>
    <w:rPr>
      <w:rFonts w:ascii="DaxlinePro-RegularItalic" w:hAnsi="DaxlinePro-RegularItalic"/>
      <w:sz w:val="24"/>
      <w:szCs w:val="24"/>
    </w:rPr>
  </w:style>
  <w:style w:type="paragraph" w:customStyle="1" w:styleId="Pa46">
    <w:name w:val="Pa46"/>
    <w:basedOn w:val="Normal"/>
    <w:next w:val="Normal"/>
    <w:uiPriority w:val="99"/>
    <w:rsid w:val="0012027F"/>
    <w:pPr>
      <w:autoSpaceDE w:val="0"/>
      <w:autoSpaceDN w:val="0"/>
      <w:adjustRightInd w:val="0"/>
      <w:spacing w:after="0" w:line="221" w:lineRule="atLeast"/>
    </w:pPr>
    <w:rPr>
      <w:rFonts w:ascii="DaxlinePro-Regular" w:eastAsia="DaxlinePro-Regular"/>
      <w:sz w:val="24"/>
      <w:szCs w:val="24"/>
    </w:rPr>
  </w:style>
  <w:style w:type="paragraph" w:customStyle="1" w:styleId="Pa44">
    <w:name w:val="Pa44"/>
    <w:basedOn w:val="Normal"/>
    <w:next w:val="Normal"/>
    <w:uiPriority w:val="99"/>
    <w:rsid w:val="0012027F"/>
    <w:pPr>
      <w:autoSpaceDE w:val="0"/>
      <w:autoSpaceDN w:val="0"/>
      <w:adjustRightInd w:val="0"/>
      <w:spacing w:after="0" w:line="241" w:lineRule="atLeast"/>
    </w:pPr>
    <w:rPr>
      <w:rFonts w:ascii="DaxlinePro-Regular" w:eastAsia="DaxlinePro-Regular"/>
      <w:sz w:val="24"/>
      <w:szCs w:val="24"/>
    </w:rPr>
  </w:style>
  <w:style w:type="paragraph" w:customStyle="1" w:styleId="Pa45">
    <w:name w:val="Pa45"/>
    <w:basedOn w:val="Normal"/>
    <w:next w:val="Normal"/>
    <w:uiPriority w:val="99"/>
    <w:rsid w:val="0012027F"/>
    <w:pPr>
      <w:autoSpaceDE w:val="0"/>
      <w:autoSpaceDN w:val="0"/>
      <w:adjustRightInd w:val="0"/>
      <w:spacing w:after="0" w:line="185" w:lineRule="atLeast"/>
    </w:pPr>
    <w:rPr>
      <w:rFonts w:ascii="DaxlinePro-Regular" w:eastAsia="DaxlinePro-Regular"/>
      <w:sz w:val="24"/>
      <w:szCs w:val="24"/>
    </w:rPr>
  </w:style>
  <w:style w:type="paragraph" w:customStyle="1" w:styleId="Pa9">
    <w:name w:val="Pa9"/>
    <w:basedOn w:val="Normal"/>
    <w:next w:val="Normal"/>
    <w:uiPriority w:val="99"/>
    <w:rsid w:val="0020630F"/>
    <w:pPr>
      <w:autoSpaceDE w:val="0"/>
      <w:autoSpaceDN w:val="0"/>
      <w:adjustRightInd w:val="0"/>
      <w:spacing w:after="0" w:line="185" w:lineRule="atLeast"/>
    </w:pPr>
    <w:rPr>
      <w:rFonts w:ascii="DaxlinePro-Regular" w:eastAsia="DaxlinePro-Regular"/>
      <w:sz w:val="24"/>
      <w:szCs w:val="24"/>
    </w:rPr>
  </w:style>
  <w:style w:type="paragraph" w:customStyle="1" w:styleId="Default">
    <w:name w:val="Default"/>
    <w:rsid w:val="00BC019E"/>
    <w:pPr>
      <w:autoSpaceDE w:val="0"/>
      <w:autoSpaceDN w:val="0"/>
      <w:adjustRightInd w:val="0"/>
      <w:spacing w:after="0" w:line="240" w:lineRule="auto"/>
    </w:pPr>
    <w:rPr>
      <w:rFonts w:ascii="Daxline Offc Pro" w:hAnsi="Daxline Offc Pro" w:cs="Daxline Offc Pro"/>
      <w:color w:val="000000"/>
      <w:sz w:val="24"/>
      <w:szCs w:val="24"/>
      <w:lang w:val="en-IE"/>
    </w:rPr>
  </w:style>
  <w:style w:type="character" w:customStyle="1" w:styleId="A5">
    <w:name w:val="A5"/>
    <w:uiPriority w:val="99"/>
    <w:rsid w:val="00604345"/>
    <w:rPr>
      <w:rFonts w:cs="DaxlinePro-Regular"/>
      <w:color w:val="000000"/>
      <w:sz w:val="18"/>
      <w:szCs w:val="18"/>
    </w:rPr>
  </w:style>
  <w:style w:type="character" w:customStyle="1" w:styleId="A6">
    <w:name w:val="A6"/>
    <w:uiPriority w:val="99"/>
    <w:rsid w:val="00604345"/>
    <w:rPr>
      <w:rFonts w:cs="DaxlinePro-Regular"/>
      <w:color w:val="000000"/>
      <w:sz w:val="10"/>
      <w:szCs w:val="10"/>
    </w:rPr>
  </w:style>
  <w:style w:type="paragraph" w:customStyle="1" w:styleId="Pa21">
    <w:name w:val="Pa21"/>
    <w:basedOn w:val="Default"/>
    <w:next w:val="Default"/>
    <w:uiPriority w:val="99"/>
    <w:rsid w:val="00653906"/>
    <w:pPr>
      <w:spacing w:line="185" w:lineRule="atLeast"/>
    </w:pPr>
    <w:rPr>
      <w:rFonts w:ascii="DaxlinePro-Bold" w:hAnsi="DaxlinePro-Bold" w:cstheme="minorBidi"/>
      <w:color w:val="auto"/>
    </w:rPr>
  </w:style>
  <w:style w:type="character" w:customStyle="1" w:styleId="A8">
    <w:name w:val="A8"/>
    <w:uiPriority w:val="99"/>
    <w:rsid w:val="003736F1"/>
    <w:rPr>
      <w:rFonts w:cs="DaxlinePro-Regular"/>
      <w:color w:val="000000"/>
      <w:sz w:val="10"/>
      <w:szCs w:val="10"/>
    </w:rPr>
  </w:style>
  <w:style w:type="character" w:customStyle="1" w:styleId="A2">
    <w:name w:val="A2"/>
    <w:uiPriority w:val="99"/>
    <w:rsid w:val="003736F1"/>
    <w:rPr>
      <w:rFonts w:cs="DaxlinePro-Regular"/>
      <w:color w:val="000000"/>
      <w:sz w:val="18"/>
      <w:szCs w:val="18"/>
    </w:rPr>
  </w:style>
  <w:style w:type="paragraph" w:customStyle="1" w:styleId="Pa4">
    <w:name w:val="Pa4"/>
    <w:basedOn w:val="Default"/>
    <w:next w:val="Default"/>
    <w:uiPriority w:val="99"/>
    <w:rsid w:val="00753796"/>
    <w:pPr>
      <w:spacing w:line="185" w:lineRule="atLeast"/>
    </w:pPr>
    <w:rPr>
      <w:rFonts w:ascii="DaxlinePro-Regular" w:eastAsia="DaxlinePro-Regular" w:hAnsiTheme="minorHAnsi" w:cstheme="minorBidi"/>
      <w:color w:val="auto"/>
    </w:rPr>
  </w:style>
  <w:style w:type="paragraph" w:customStyle="1" w:styleId="Pa23">
    <w:name w:val="Pa23"/>
    <w:basedOn w:val="Default"/>
    <w:next w:val="Default"/>
    <w:uiPriority w:val="99"/>
    <w:rsid w:val="00CD4639"/>
    <w:pPr>
      <w:spacing w:line="221" w:lineRule="atLeast"/>
    </w:pPr>
    <w:rPr>
      <w:rFonts w:ascii="DaxlinePro-Regular" w:eastAsia="DaxlinePro-Regular" w:hAnsiTheme="minorHAnsi" w:cstheme="minorBidi"/>
      <w:color w:val="auto"/>
    </w:rPr>
  </w:style>
  <w:style w:type="paragraph" w:customStyle="1" w:styleId="Pa24">
    <w:name w:val="Pa24"/>
    <w:basedOn w:val="Default"/>
    <w:next w:val="Default"/>
    <w:uiPriority w:val="99"/>
    <w:rsid w:val="00CD4639"/>
    <w:pPr>
      <w:spacing w:line="241" w:lineRule="atLeast"/>
    </w:pPr>
    <w:rPr>
      <w:rFonts w:ascii="DaxlinePro-Regular" w:eastAsia="DaxlinePro-Regular" w:hAnsiTheme="minorHAnsi" w:cstheme="minorBidi"/>
      <w:color w:val="auto"/>
    </w:rPr>
  </w:style>
  <w:style w:type="paragraph" w:customStyle="1" w:styleId="Pa25">
    <w:name w:val="Pa25"/>
    <w:basedOn w:val="Default"/>
    <w:next w:val="Default"/>
    <w:uiPriority w:val="99"/>
    <w:rsid w:val="00CD4639"/>
    <w:pPr>
      <w:spacing w:line="185" w:lineRule="atLeast"/>
    </w:pPr>
    <w:rPr>
      <w:rFonts w:ascii="DaxlinePro-Regular" w:eastAsia="DaxlinePro-Regular" w:hAnsiTheme="minorHAnsi" w:cstheme="minorBidi"/>
      <w:color w:val="auto"/>
    </w:rPr>
  </w:style>
  <w:style w:type="paragraph" w:customStyle="1" w:styleId="Pa26">
    <w:name w:val="Pa26"/>
    <w:basedOn w:val="Default"/>
    <w:next w:val="Default"/>
    <w:uiPriority w:val="99"/>
    <w:rsid w:val="00CD4639"/>
    <w:pPr>
      <w:spacing w:line="145" w:lineRule="atLeast"/>
    </w:pPr>
    <w:rPr>
      <w:rFonts w:ascii="DaxlinePro-Regular" w:eastAsia="DaxlinePro-Regular" w:hAnsiTheme="minorHAnsi" w:cstheme="minorBidi"/>
      <w:color w:val="auto"/>
    </w:rPr>
  </w:style>
  <w:style w:type="paragraph" w:styleId="TOC3">
    <w:name w:val="toc 3"/>
    <w:basedOn w:val="Normal"/>
    <w:next w:val="Normal"/>
    <w:autoRedefine/>
    <w:uiPriority w:val="39"/>
    <w:unhideWhenUsed/>
    <w:rsid w:val="009F7D5A"/>
    <w:pPr>
      <w:spacing w:after="100"/>
      <w:ind w:left="440"/>
    </w:pPr>
  </w:style>
  <w:style w:type="character" w:styleId="SubtleEmphasis">
    <w:name w:val="Subtle Emphasis"/>
    <w:basedOn w:val="DefaultParagraphFont"/>
    <w:uiPriority w:val="19"/>
    <w:qFormat/>
    <w:rsid w:val="00F956F0"/>
    <w:rPr>
      <w:i/>
      <w:iCs/>
      <w:color w:val="404040" w:themeColor="text1" w:themeTint="BF"/>
    </w:rPr>
  </w:style>
  <w:style w:type="paragraph" w:styleId="Subtitle">
    <w:name w:val="Subtitle"/>
    <w:basedOn w:val="Normal"/>
    <w:next w:val="Normal"/>
    <w:link w:val="SubtitleChar"/>
    <w:uiPriority w:val="11"/>
    <w:qFormat/>
    <w:rsid w:val="00EF36C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F36C3"/>
    <w:rPr>
      <w:rFonts w:eastAsiaTheme="minorEastAsia"/>
      <w:color w:val="5A5A5A" w:themeColor="text1" w:themeTint="A5"/>
      <w:spacing w:val="15"/>
      <w:lang w:val="en-IE"/>
    </w:rPr>
  </w:style>
  <w:style w:type="table" w:styleId="TableGrid">
    <w:name w:val="Table Grid"/>
    <w:basedOn w:val="TableNormal"/>
    <w:uiPriority w:val="39"/>
    <w:rsid w:val="00EF3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20">
    <w:name w:val="A20"/>
    <w:uiPriority w:val="99"/>
    <w:rsid w:val="000F7C63"/>
    <w:rPr>
      <w:rFonts w:cs="DaxlinePro-Bold"/>
      <w:b/>
      <w:bCs/>
      <w:color w:val="000000"/>
      <w:sz w:val="17"/>
      <w:szCs w:val="17"/>
    </w:rPr>
  </w:style>
  <w:style w:type="paragraph" w:customStyle="1" w:styleId="Pa10">
    <w:name w:val="Pa10"/>
    <w:basedOn w:val="Default"/>
    <w:next w:val="Default"/>
    <w:uiPriority w:val="99"/>
    <w:rsid w:val="000F7C63"/>
    <w:pPr>
      <w:spacing w:line="185" w:lineRule="atLeast"/>
    </w:pPr>
    <w:rPr>
      <w:rFonts w:ascii="DaxlinePro-Bold" w:hAnsi="DaxlinePro-Bold" w:cstheme="minorBidi"/>
      <w:color w:val="auto"/>
    </w:rPr>
  </w:style>
  <w:style w:type="paragraph" w:styleId="NoSpacing">
    <w:name w:val="No Spacing"/>
    <w:uiPriority w:val="1"/>
    <w:qFormat/>
    <w:rsid w:val="00782C1C"/>
    <w:pPr>
      <w:spacing w:after="0" w:line="240" w:lineRule="auto"/>
    </w:pPr>
    <w:rPr>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175881">
      <w:bodyDiv w:val="1"/>
      <w:marLeft w:val="0"/>
      <w:marRight w:val="0"/>
      <w:marTop w:val="0"/>
      <w:marBottom w:val="0"/>
      <w:divBdr>
        <w:top w:val="none" w:sz="0" w:space="0" w:color="auto"/>
        <w:left w:val="none" w:sz="0" w:space="0" w:color="auto"/>
        <w:bottom w:val="none" w:sz="0" w:space="0" w:color="auto"/>
        <w:right w:val="none" w:sz="0" w:space="0" w:color="auto"/>
      </w:divBdr>
      <w:divsChild>
        <w:div w:id="1689478913">
          <w:marLeft w:val="0"/>
          <w:marRight w:val="0"/>
          <w:marTop w:val="345"/>
          <w:marBottom w:val="0"/>
          <w:divBdr>
            <w:top w:val="none" w:sz="0" w:space="0" w:color="auto"/>
            <w:left w:val="none" w:sz="0" w:space="0" w:color="auto"/>
            <w:bottom w:val="none" w:sz="0" w:space="0" w:color="auto"/>
            <w:right w:val="none" w:sz="0" w:space="0" w:color="auto"/>
          </w:divBdr>
          <w:divsChild>
            <w:div w:id="1660109081">
              <w:marLeft w:val="0"/>
              <w:marRight w:val="0"/>
              <w:marTop w:val="0"/>
              <w:marBottom w:val="0"/>
              <w:divBdr>
                <w:top w:val="none" w:sz="0" w:space="0" w:color="auto"/>
                <w:left w:val="none" w:sz="0" w:space="0" w:color="auto"/>
                <w:bottom w:val="none" w:sz="0" w:space="0" w:color="auto"/>
                <w:right w:val="none" w:sz="0" w:space="0" w:color="auto"/>
              </w:divBdr>
              <w:divsChild>
                <w:div w:id="280235001">
                  <w:marLeft w:val="0"/>
                  <w:marRight w:val="-14400"/>
                  <w:marTop w:val="0"/>
                  <w:marBottom w:val="0"/>
                  <w:divBdr>
                    <w:top w:val="none" w:sz="0" w:space="0" w:color="auto"/>
                    <w:left w:val="none" w:sz="0" w:space="0" w:color="auto"/>
                    <w:bottom w:val="none" w:sz="0" w:space="0" w:color="auto"/>
                    <w:right w:val="none" w:sz="0" w:space="0" w:color="auto"/>
                  </w:divBdr>
                  <w:divsChild>
                    <w:div w:id="1660961634">
                      <w:marLeft w:val="0"/>
                      <w:marRight w:val="0"/>
                      <w:marTop w:val="0"/>
                      <w:marBottom w:val="0"/>
                      <w:divBdr>
                        <w:top w:val="none" w:sz="0" w:space="0" w:color="auto"/>
                        <w:left w:val="none" w:sz="0" w:space="0" w:color="auto"/>
                        <w:bottom w:val="none" w:sz="0" w:space="0" w:color="auto"/>
                        <w:right w:val="none" w:sz="0" w:space="0" w:color="auto"/>
                      </w:divBdr>
                      <w:divsChild>
                        <w:div w:id="1019311622">
                          <w:marLeft w:val="0"/>
                          <w:marRight w:val="0"/>
                          <w:marTop w:val="0"/>
                          <w:marBottom w:val="0"/>
                          <w:divBdr>
                            <w:top w:val="none" w:sz="0" w:space="0" w:color="auto"/>
                            <w:left w:val="none" w:sz="0" w:space="0" w:color="auto"/>
                            <w:bottom w:val="none" w:sz="0" w:space="0" w:color="auto"/>
                            <w:right w:val="none" w:sz="0" w:space="0" w:color="auto"/>
                          </w:divBdr>
                          <w:divsChild>
                            <w:div w:id="2144542080">
                              <w:marLeft w:val="0"/>
                              <w:marRight w:val="0"/>
                              <w:marTop w:val="0"/>
                              <w:marBottom w:val="0"/>
                              <w:divBdr>
                                <w:top w:val="none" w:sz="0" w:space="0" w:color="auto"/>
                                <w:left w:val="none" w:sz="0" w:space="0" w:color="auto"/>
                                <w:bottom w:val="none" w:sz="0" w:space="0" w:color="auto"/>
                                <w:right w:val="none" w:sz="0" w:space="0" w:color="auto"/>
                              </w:divBdr>
                              <w:divsChild>
                                <w:div w:id="4007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hyperlink" Target="http://fra.europa.eu/en/publication/2014/right-political-participation-persons-disabilities-human-rights-indicator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fra.europa.eu/en/publication/2012/involuntary-placement-and-involuntary-treatment-persons-mental-health-problems" TargetMode="Externa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yperlink" Target="http://fra.europa.eu/sites/default/files/fra-2015-focus-05-2015-crpd_en.pdf"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drustvo-vizija.si/" TargetMode="External"/><Relationship Id="rId20" Type="http://schemas.openxmlformats.org/officeDocument/2006/relationships/hyperlink" Target="http://fra.europa.eu/en/publication/2013/laws-about-being-able-make-important-decisions-yourself"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ra.europa.eu/en/publication/2015/violence-against-children-disabilities" TargetMode="External"/><Relationship Id="rId24"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www.yhd-drustvo.si/bontoncek-166.html" TargetMode="External"/><Relationship Id="rId23" Type="http://schemas.openxmlformats.org/officeDocument/2006/relationships/hyperlink" Target="http://fra.europa.eu/en/publication/2010/right-political-participation-persons-mental-health-problems-and-persons" TargetMode="External"/><Relationship Id="rId28" Type="http://schemas.openxmlformats.org/officeDocument/2006/relationships/theme" Target="theme/theme1.xml"/><Relationship Id="rId10" Type="http://schemas.openxmlformats.org/officeDocument/2006/relationships/hyperlink" Target="http://fra.europa.eu/en/publication/2015/children-disabilities-violence" TargetMode="External"/><Relationship Id="rId19" Type="http://schemas.openxmlformats.org/officeDocument/2006/relationships/hyperlink" Target="http://fra.europa.eu/en/publication/2013/legal-capacity-persons-intellectual-disabilities-and-persons-mental-health-problems" TargetMode="External"/><Relationship Id="rId31"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fra.europa.eu/en/publications-and-resources/publications/annual-reports/fundamental-rights-2016" TargetMode="External"/><Relationship Id="rId14" Type="http://schemas.openxmlformats.org/officeDocument/2006/relationships/image" Target="media/image3.png"/><Relationship Id="rId22" Type="http://schemas.openxmlformats.org/officeDocument/2006/relationships/hyperlink" Target="http://fra.europa.eu/en/publication/2011/legal-protection-persons-mental-health-problems-under-non-discrimination-law"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AE0D99-B04C-44BB-8259-61FEC762104F}"/>
</file>

<file path=customXml/itemProps2.xml><?xml version="1.0" encoding="utf-8"?>
<ds:datastoreItem xmlns:ds="http://schemas.openxmlformats.org/officeDocument/2006/customXml" ds:itemID="{7C4675C5-E3FA-44D8-8AE5-DD8DBB848428}"/>
</file>

<file path=customXml/itemProps3.xml><?xml version="1.0" encoding="utf-8"?>
<ds:datastoreItem xmlns:ds="http://schemas.openxmlformats.org/officeDocument/2006/customXml" ds:itemID="{C3030381-0CB7-44A4-ACBD-DCD6255FCCD5}"/>
</file>

<file path=customXml/itemProps4.xml><?xml version="1.0" encoding="utf-8"?>
<ds:datastoreItem xmlns:ds="http://schemas.openxmlformats.org/officeDocument/2006/customXml" ds:itemID="{76BCB376-0553-443A-B828-E11FA17E336B}"/>
</file>

<file path=docProps/app.xml><?xml version="1.0" encoding="utf-8"?>
<Properties xmlns="http://schemas.openxmlformats.org/officeDocument/2006/extended-properties" xmlns:vt="http://schemas.openxmlformats.org/officeDocument/2006/docPropsVTypes">
  <Template>Normal.dotm</Template>
  <TotalTime>1</TotalTime>
  <Pages>11</Pages>
  <Words>4112</Words>
  <Characters>23441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27499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MIKALAUSKAITE Jadvyga (FRA)</dc:creator>
  <cp:lastModifiedBy>Robert Ouko</cp:lastModifiedBy>
  <cp:revision>2</cp:revision>
  <cp:lastPrinted>2015-12-11T14:11:00Z</cp:lastPrinted>
  <dcterms:created xsi:type="dcterms:W3CDTF">2017-03-16T11:36:00Z</dcterms:created>
  <dcterms:modified xsi:type="dcterms:W3CDTF">2017-03-16T11:36:00Z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