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0D2C86" w:rsidRDefault="00000000">
      <w:pPr>
        <w:jc w:val="center"/>
        <w:rPr>
          <w:b/>
        </w:rPr>
      </w:pPr>
      <w:r>
        <w:rPr>
          <w:b/>
        </w:rPr>
        <w:t>Timor-Leste</w:t>
      </w:r>
    </w:p>
    <w:p w14:paraId="00000002" w14:textId="77777777" w:rsidR="000D2C86" w:rsidRDefault="00000000">
      <w:pPr>
        <w:spacing w:before="200" w:line="244" w:lineRule="auto"/>
        <w:jc w:val="center"/>
        <w:rPr>
          <w:b/>
        </w:rPr>
      </w:pPr>
      <w:r>
        <w:rPr>
          <w:b/>
          <w:color w:val="222222"/>
        </w:rPr>
        <w:t>Submission to the Committee on the Rights of the Child on the fourth periodic report of Timor-Leste:  issues under the Optional Protocol on the involvement of children in armed conflict (OPAC)</w:t>
      </w:r>
    </w:p>
    <w:p w14:paraId="00000003" w14:textId="77777777" w:rsidR="000D2C86" w:rsidRDefault="00000000">
      <w:pPr>
        <w:jc w:val="center"/>
        <w:rPr>
          <w:b/>
        </w:rPr>
      </w:pPr>
      <w:r>
        <w:rPr>
          <w:b/>
        </w:rPr>
        <w:t>March 2025</w:t>
      </w:r>
    </w:p>
    <w:p w14:paraId="00000004" w14:textId="77777777" w:rsidR="000D2C86" w:rsidRDefault="000D2C86">
      <w:pPr>
        <w:rPr>
          <w:b/>
        </w:rPr>
      </w:pPr>
    </w:p>
    <w:p w14:paraId="00000005" w14:textId="77777777" w:rsidR="000D2C86" w:rsidRDefault="00000000">
      <w:pPr>
        <w:rPr>
          <w:b/>
        </w:rPr>
      </w:pPr>
      <w:r>
        <w:rPr>
          <w:b/>
        </w:rPr>
        <w:t>Summary</w:t>
      </w:r>
    </w:p>
    <w:p w14:paraId="00000006" w14:textId="77777777" w:rsidR="000D2C86" w:rsidRDefault="000D2C86"/>
    <w:p w14:paraId="00000007" w14:textId="77777777" w:rsidR="000D2C86" w:rsidRDefault="00000000">
      <w:pPr>
        <w:numPr>
          <w:ilvl w:val="0"/>
          <w:numId w:val="2"/>
        </w:numPr>
      </w:pPr>
      <w:r>
        <w:rPr>
          <w:b/>
        </w:rPr>
        <w:t>Recruitment ages:</w:t>
      </w:r>
      <w:r>
        <w:t xml:space="preserve"> The Law on Military Service requires all men between the ages of 18 to 30 to register for the “census” and authorises the drafting of those who have registered into military service.</w:t>
      </w:r>
      <w:r>
        <w:br/>
      </w:r>
    </w:p>
    <w:p w14:paraId="00000008" w14:textId="77777777" w:rsidR="000D2C86" w:rsidRDefault="00000000">
      <w:pPr>
        <w:numPr>
          <w:ilvl w:val="0"/>
          <w:numId w:val="2"/>
        </w:numPr>
      </w:pPr>
      <w:r>
        <w:rPr>
          <w:b/>
        </w:rPr>
        <w:t>Prohibition:</w:t>
      </w:r>
      <w:r>
        <w:t xml:space="preserve"> Military recruitment of a person under the age of 18 appears to be criminalised under the Penal Code, but the State reported in its 2014 report to the Committee that this provision applied to people under the age of 17. </w:t>
      </w:r>
      <w:r>
        <w:br/>
      </w:r>
    </w:p>
    <w:p w14:paraId="00000009" w14:textId="77777777" w:rsidR="000D2C86" w:rsidRDefault="00000000">
      <w:pPr>
        <w:numPr>
          <w:ilvl w:val="0"/>
          <w:numId w:val="2"/>
        </w:numPr>
      </w:pPr>
      <w:r>
        <w:rPr>
          <w:b/>
        </w:rPr>
        <w:t>Protection, recovery and reintegration:</w:t>
      </w:r>
      <w:r>
        <w:t xml:space="preserve"> The State has made a commitment to compensate victims of human rights violations during the conflict between 1975-1999, but has not</w:t>
      </w:r>
      <w:r>
        <w:rPr>
          <w:rFonts w:ascii="Ariel" w:eastAsia="Ariel" w:hAnsi="Ariel" w:cs="Ariel"/>
        </w:rPr>
        <w:t xml:space="preserve"> taken action to identify children who were recruited or used in hostilities or established a reparation scheme. Limited progress has been made to identify children who disappeared during the conflict.</w:t>
      </w:r>
    </w:p>
    <w:p w14:paraId="0000000A" w14:textId="77777777" w:rsidR="000D2C86" w:rsidRDefault="000D2C86"/>
    <w:p w14:paraId="0000000B" w14:textId="77777777" w:rsidR="000D2C86" w:rsidRDefault="00000000">
      <w:r>
        <w:rPr>
          <w:b/>
        </w:rPr>
        <w:t>Introduction</w:t>
      </w:r>
    </w:p>
    <w:p w14:paraId="0000000C" w14:textId="77777777" w:rsidR="000D2C86" w:rsidRDefault="000D2C86"/>
    <w:p w14:paraId="0000000D" w14:textId="77777777" w:rsidR="000D2C86" w:rsidRDefault="00000000">
      <w:r>
        <w:t xml:space="preserve">The Child Rights International Network (CRIN) and Conscience and Peace Tax International (CPTI) present these observations as part of their project to monitor progress made by states parties in implementing the Optional Protocol to the Convention on the Rights of the Child (CRC) on the involvement of children in armed conflict (OPAC). </w:t>
      </w:r>
    </w:p>
    <w:p w14:paraId="0000000E" w14:textId="77777777" w:rsidR="000D2C86" w:rsidRDefault="000D2C86"/>
    <w:p w14:paraId="0000000F" w14:textId="77777777" w:rsidR="000D2C86" w:rsidRDefault="00000000">
      <w:r>
        <w:rPr>
          <w:b/>
        </w:rPr>
        <w:t>Country situation</w:t>
      </w:r>
    </w:p>
    <w:p w14:paraId="00000010" w14:textId="77777777" w:rsidR="000D2C86" w:rsidRDefault="000D2C86"/>
    <w:p w14:paraId="00000011" w14:textId="77777777" w:rsidR="000D2C86" w:rsidRDefault="00000000">
      <w:r>
        <w:rPr>
          <w:u w:val="single"/>
        </w:rPr>
        <w:t>Population (2024)</w:t>
      </w:r>
      <w:r>
        <w:t>: 1,507,900</w:t>
      </w:r>
      <w:r>
        <w:rPr>
          <w:vertAlign w:val="superscript"/>
        </w:rPr>
        <w:footnoteReference w:id="1"/>
      </w:r>
    </w:p>
    <w:p w14:paraId="00000012" w14:textId="77777777" w:rsidR="000D2C86" w:rsidRDefault="000D2C86"/>
    <w:p w14:paraId="00000013" w14:textId="77777777" w:rsidR="000D2C86" w:rsidRDefault="00000000">
      <w:r>
        <w:rPr>
          <w:u w:val="single"/>
        </w:rPr>
        <w:t>Armed forces personnel (2024)</w:t>
      </w:r>
      <w:r>
        <w:t>: 2,250</w:t>
      </w:r>
      <w:r>
        <w:rPr>
          <w:vertAlign w:val="superscript"/>
        </w:rPr>
        <w:footnoteReference w:id="2"/>
      </w:r>
    </w:p>
    <w:p w14:paraId="00000014" w14:textId="77777777" w:rsidR="000D2C86" w:rsidRDefault="000D2C86"/>
    <w:p w14:paraId="00000015" w14:textId="77777777" w:rsidR="000D2C86" w:rsidRDefault="00000000">
      <w:r>
        <w:rPr>
          <w:u w:val="single"/>
        </w:rPr>
        <w:t>Military service</w:t>
      </w:r>
      <w:r>
        <w:t>: The 2007 Law on Military Service authorises but does not require conscription of men aged between 18 and 30.</w:t>
      </w:r>
      <w:r>
        <w:rPr>
          <w:vertAlign w:val="superscript"/>
        </w:rPr>
        <w:footnoteReference w:id="3"/>
      </w:r>
      <w:r>
        <w:t xml:space="preserve"> </w:t>
      </w:r>
    </w:p>
    <w:p w14:paraId="00000016" w14:textId="77777777" w:rsidR="000D2C86" w:rsidRDefault="000D2C86"/>
    <w:p w14:paraId="00000017" w14:textId="77777777" w:rsidR="000D2C86" w:rsidRDefault="00000000">
      <w:r>
        <w:rPr>
          <w:u w:val="single"/>
        </w:rPr>
        <w:t>Conscientious objection</w:t>
      </w:r>
      <w:r>
        <w:t>: The Law on National Defence provides for conscientious objection.</w:t>
      </w:r>
      <w:r>
        <w:rPr>
          <w:vertAlign w:val="superscript"/>
        </w:rPr>
        <w:footnoteReference w:id="4"/>
      </w:r>
    </w:p>
    <w:p w14:paraId="00000018" w14:textId="77777777" w:rsidR="000D2C86" w:rsidRDefault="000D2C86"/>
    <w:p w14:paraId="00000019" w14:textId="77777777" w:rsidR="000D2C86" w:rsidRDefault="00000000">
      <w:r>
        <w:rPr>
          <w:u w:val="single"/>
        </w:rPr>
        <w:lastRenderedPageBreak/>
        <w:t>OPAC acceded to</w:t>
      </w:r>
      <w:r>
        <w:t>: 2 August 2004.</w:t>
      </w:r>
    </w:p>
    <w:p w14:paraId="0000001A" w14:textId="77777777" w:rsidR="000D2C86" w:rsidRDefault="000D2C86"/>
    <w:p w14:paraId="0000001B" w14:textId="77777777" w:rsidR="000D2C86" w:rsidRDefault="00000000">
      <w:r>
        <w:rPr>
          <w:u w:val="single"/>
        </w:rPr>
        <w:t>Declaration</w:t>
      </w:r>
      <w:r>
        <w:t>: the Government of Timor-Leste declares that the minimum age for voluntary recruitment into its national armed forces is 18 years, as specified by the domestic law of Timor-Leste.</w:t>
      </w:r>
    </w:p>
    <w:p w14:paraId="0000001C" w14:textId="77777777" w:rsidR="000D2C86" w:rsidRDefault="000D2C86"/>
    <w:p w14:paraId="0000001D" w14:textId="77777777" w:rsidR="000D2C86" w:rsidRDefault="00000000">
      <w:r>
        <w:rPr>
          <w:u w:val="single"/>
        </w:rPr>
        <w:t>OPAC Report</w:t>
      </w:r>
      <w:r>
        <w:t xml:space="preserve">: </w:t>
      </w:r>
      <w:hyperlink r:id="rId7">
        <w:r>
          <w:rPr>
            <w:color w:val="1155CC"/>
            <w:u w:val="single"/>
          </w:rPr>
          <w:t>CRC/C/OPAC/TLS/1</w:t>
        </w:r>
      </w:hyperlink>
      <w:r>
        <w:t xml:space="preserve">, received 4 May 2007 (with the Reply to the List of Issues </w:t>
      </w:r>
      <w:hyperlink r:id="rId8">
        <w:r>
          <w:rPr>
            <w:color w:val="1155CC"/>
            <w:u w:val="single"/>
          </w:rPr>
          <w:t>CRC/C/OPAC/TLS/Q/1/Add.1</w:t>
        </w:r>
      </w:hyperlink>
      <w:r>
        <w:t xml:space="preserve"> received 14 January 2008).</w:t>
      </w:r>
    </w:p>
    <w:p w14:paraId="0000001E" w14:textId="77777777" w:rsidR="000D2C86" w:rsidRDefault="000D2C86"/>
    <w:p w14:paraId="0000001F" w14:textId="77777777" w:rsidR="000D2C86" w:rsidRDefault="00000000">
      <w:r>
        <w:rPr>
          <w:u w:val="single"/>
        </w:rPr>
        <w:t>Subsequent CRC reviews</w:t>
      </w:r>
      <w:r>
        <w:t xml:space="preserve">: </w:t>
      </w:r>
      <w:hyperlink r:id="rId9">
        <w:r>
          <w:rPr>
            <w:color w:val="1155CC"/>
            <w:u w:val="single"/>
          </w:rPr>
          <w:t>CRC/C/TLS/2-3</w:t>
        </w:r>
      </w:hyperlink>
      <w:r>
        <w:t xml:space="preserve"> 3 December 2014 (with the Reply to the List of Issues </w:t>
      </w:r>
      <w:hyperlink r:id="rId10">
        <w:r>
          <w:rPr>
            <w:color w:val="1155CC"/>
            <w:u w:val="single"/>
          </w:rPr>
          <w:t>CRC/C/TLS/Q/2-3/Add.1</w:t>
        </w:r>
      </w:hyperlink>
      <w:r>
        <w:t xml:space="preserve"> received 19 August 2015). </w:t>
      </w:r>
    </w:p>
    <w:p w14:paraId="00000020" w14:textId="77777777" w:rsidR="000D2C86" w:rsidRDefault="000D2C86"/>
    <w:p w14:paraId="00000021" w14:textId="77777777" w:rsidR="000D2C86" w:rsidRDefault="00000000">
      <w:pPr>
        <w:rPr>
          <w:b/>
        </w:rPr>
      </w:pPr>
      <w:r>
        <w:rPr>
          <w:b/>
        </w:rPr>
        <w:t>Issues arising</w:t>
      </w:r>
    </w:p>
    <w:p w14:paraId="00000022" w14:textId="77777777" w:rsidR="000D2C86" w:rsidRDefault="000D2C86"/>
    <w:p w14:paraId="00000023" w14:textId="77777777" w:rsidR="000D2C86" w:rsidRDefault="00000000">
      <w:r>
        <w:rPr>
          <w:u w:val="single"/>
        </w:rPr>
        <w:t>Recruitment ages</w:t>
      </w:r>
    </w:p>
    <w:p w14:paraId="00000024" w14:textId="77777777" w:rsidR="000D2C86" w:rsidRDefault="000D2C86"/>
    <w:p w14:paraId="00000025" w14:textId="77777777" w:rsidR="000D2C86" w:rsidRDefault="00000000">
      <w:r>
        <w:t>The Law on Military Service requires all men between the ages of 18 to 30 to register for the “census” and authorises the drafting of those who have registered into military service. The recruitment of under 18 is a criminal offence.</w:t>
      </w:r>
      <w:r>
        <w:rPr>
          <w:vertAlign w:val="superscript"/>
        </w:rPr>
        <w:footnoteReference w:id="5"/>
      </w:r>
    </w:p>
    <w:p w14:paraId="00000026" w14:textId="77777777" w:rsidR="000D2C86" w:rsidRDefault="000D2C86"/>
    <w:p w14:paraId="00000027" w14:textId="77777777" w:rsidR="000D2C86" w:rsidRDefault="00000000">
      <w:r>
        <w:t xml:space="preserve">In 2008, the Committee on the Rights of the Child recommended that the State closely monitor the ways and means by which age of recruits is verified, bearing in mind that not all </w:t>
      </w:r>
      <w:proofErr w:type="spellStart"/>
      <w:r>
        <w:t>Timoreese</w:t>
      </w:r>
      <w:proofErr w:type="spellEnd"/>
      <w:r>
        <w:t xml:space="preserve"> are in possession of documents by which their age could be readily established.</w:t>
      </w:r>
      <w:r>
        <w:rPr>
          <w:vertAlign w:val="superscript"/>
        </w:rPr>
        <w:footnoteReference w:id="6"/>
      </w:r>
    </w:p>
    <w:p w14:paraId="00000028" w14:textId="77777777" w:rsidR="000D2C86" w:rsidRDefault="000D2C86"/>
    <w:p w14:paraId="00000029" w14:textId="77777777" w:rsidR="000D2C86" w:rsidRDefault="00000000">
      <w:r>
        <w:t>In 2014, the State reported to the Committee that “In order to ensure minors under the age of 17 are not enlisted in the armed forces a range of identification processes are implemented by the Department of Defence. Candidates are required to submit identification documents such as birth certificate, electoral identification, education certificates and other documents which can assist in verifying their identification and age. They are then required to undergo comprehensive physical and intellectual examinations which also can be used as a method to confirm an applicant’s age.”</w:t>
      </w:r>
      <w:r>
        <w:rPr>
          <w:vertAlign w:val="superscript"/>
        </w:rPr>
        <w:footnoteReference w:id="7"/>
      </w:r>
    </w:p>
    <w:p w14:paraId="0000002A" w14:textId="77777777" w:rsidR="000D2C86" w:rsidRDefault="000D2C86"/>
    <w:p w14:paraId="0000002B" w14:textId="77777777" w:rsidR="000D2C86" w:rsidRDefault="00000000">
      <w:r>
        <w:t xml:space="preserve">The reference to “minors under the age of 17” appears to conflict with the apparent criminalisation of the recruitment of under-18s within the Penal Code. </w:t>
      </w:r>
    </w:p>
    <w:p w14:paraId="0000002C" w14:textId="77777777" w:rsidR="000D2C86" w:rsidRDefault="000D2C86">
      <w:pPr>
        <w:rPr>
          <w:b/>
        </w:rPr>
      </w:pPr>
    </w:p>
    <w:p w14:paraId="0000002D" w14:textId="77777777" w:rsidR="000D2C86" w:rsidRDefault="00000000">
      <w:r>
        <w:rPr>
          <w:u w:val="single"/>
        </w:rPr>
        <w:t>Prohibition of recruitment</w:t>
      </w:r>
    </w:p>
    <w:p w14:paraId="0000002E" w14:textId="77777777" w:rsidR="000D2C86" w:rsidRDefault="000D2C86"/>
    <w:p w14:paraId="0000002F" w14:textId="77777777" w:rsidR="000D2C86" w:rsidRDefault="00000000">
      <w:r>
        <w:t xml:space="preserve">The Penal Code of Timor-Leste criminalises the recruitment of persons under the age of 18 in the context of an armed conflict of an international or non-international nature. Specifically, it is a criminal offence to compel a person under the age of 18 to serve in a hostile army; to conscript or enlist a child into state or non-state armed, military or paramilitary forces; or to </w:t>
      </w:r>
      <w:r>
        <w:lastRenderedPageBreak/>
        <w:t>use a child to participate in hostilities.</w:t>
      </w:r>
      <w:r>
        <w:rPr>
          <w:vertAlign w:val="superscript"/>
        </w:rPr>
        <w:footnoteReference w:id="8"/>
      </w:r>
      <w:r>
        <w:t xml:space="preserve"> These offences are classified as war crimes punishable by between 12 to 25 years imprisonment.</w:t>
      </w:r>
      <w:r>
        <w:rPr>
          <w:vertAlign w:val="superscript"/>
        </w:rPr>
        <w:footnoteReference w:id="9"/>
      </w:r>
      <w:r>
        <w:t xml:space="preserve"> </w:t>
      </w:r>
    </w:p>
    <w:p w14:paraId="00000030" w14:textId="77777777" w:rsidR="000D2C86" w:rsidRDefault="000D2C86"/>
    <w:p w14:paraId="00000031" w14:textId="77777777" w:rsidR="000D2C86" w:rsidRDefault="00000000">
      <w:r>
        <w:t>Despite this apparent criminalisation of all recruitment of under 18s for military purposes within the Penal Code, the State reported in 2014 that the relevant criminal offence applied to under 17s.</w:t>
      </w:r>
      <w:r>
        <w:rPr>
          <w:vertAlign w:val="superscript"/>
        </w:rPr>
        <w:footnoteReference w:id="10"/>
      </w:r>
      <w:r>
        <w:t xml:space="preserve"> We recommend that the Committee ask the State to clarify this discrepancy. </w:t>
      </w:r>
    </w:p>
    <w:p w14:paraId="00000032" w14:textId="77777777" w:rsidR="000D2C86" w:rsidRDefault="000D2C86"/>
    <w:p w14:paraId="00000033" w14:textId="77777777" w:rsidR="000D2C86" w:rsidRDefault="00000000">
      <w:r>
        <w:rPr>
          <w:u w:val="single"/>
        </w:rPr>
        <w:t>Protection, recovery and reintegration</w:t>
      </w:r>
    </w:p>
    <w:p w14:paraId="00000034" w14:textId="77777777" w:rsidR="000D2C86" w:rsidRDefault="000D2C86"/>
    <w:p w14:paraId="00000035" w14:textId="77777777" w:rsidR="000D2C86" w:rsidRDefault="00000000">
      <w:r>
        <w:t>In 2008, the Committee recommended that the State “carry out studies on the full social implications of children involved in hostilities during Timor-Leste’s armed struggle for independence, aim to identify former child soldiers and provide appropriate psychological and rehabilitative services.”</w:t>
      </w:r>
      <w:r>
        <w:rPr>
          <w:vertAlign w:val="superscript"/>
        </w:rPr>
        <w:footnoteReference w:id="11"/>
      </w:r>
      <w:r>
        <w:t xml:space="preserve"> </w:t>
      </w:r>
    </w:p>
    <w:p w14:paraId="00000036" w14:textId="77777777" w:rsidR="000D2C86" w:rsidRDefault="000D2C86"/>
    <w:p w14:paraId="00000037" w14:textId="77777777" w:rsidR="000D2C86" w:rsidRDefault="00000000">
      <w:r>
        <w:t>The State has made a commitment to compensate victims of human rights violations during the struggle for independence.</w:t>
      </w:r>
      <w:r>
        <w:rPr>
          <w:vertAlign w:val="superscript"/>
        </w:rPr>
        <w:footnoteReference w:id="12"/>
      </w:r>
      <w:r>
        <w:t xml:space="preserve"> Two draft laws on a National Reparations Programme and Public Memory Institute were proposed in 2010,</w:t>
      </w:r>
      <w:r>
        <w:rPr>
          <w:vertAlign w:val="superscript"/>
        </w:rPr>
        <w:footnoteReference w:id="13"/>
      </w:r>
      <w:r>
        <w:t xml:space="preserve"> but were not enacted.</w:t>
      </w:r>
      <w:r>
        <w:rPr>
          <w:vertAlign w:val="superscript"/>
        </w:rPr>
        <w:footnoteReference w:id="14"/>
      </w:r>
      <w:r>
        <w:t xml:space="preserve"> The State’s 2022 periodic report does not address progress on establishing reparation measures for children recruited for military purposes.</w:t>
      </w:r>
    </w:p>
    <w:p w14:paraId="00000038" w14:textId="77777777" w:rsidR="000D2C86" w:rsidRDefault="000D2C86"/>
    <w:p w14:paraId="00000039" w14:textId="77777777" w:rsidR="000D2C86" w:rsidRDefault="00000000">
      <w:pPr>
        <w:spacing w:line="240" w:lineRule="auto"/>
        <w:jc w:val="both"/>
      </w:pPr>
      <w:r>
        <w:t>The State has not reported on what measures are in place to ensure the physical and psychological rehabilitation of children affected by the armed conflict.</w:t>
      </w:r>
    </w:p>
    <w:p w14:paraId="0000003A" w14:textId="77777777" w:rsidR="000D2C86" w:rsidRDefault="000D2C86"/>
    <w:p w14:paraId="0000003B" w14:textId="77777777" w:rsidR="000D2C86" w:rsidRDefault="00000000">
      <w:r>
        <w:t>Regarding the disappearances of children during the conflict, in 2014 the State reported to the Committee that it had signed an agreement with the National Commission on Human Rights in Bali relating to children who disappeared between 1975 and 1999.</w:t>
      </w:r>
      <w:r>
        <w:rPr>
          <w:vertAlign w:val="superscript"/>
        </w:rPr>
        <w:footnoteReference w:id="15"/>
      </w:r>
      <w:r>
        <w:t xml:space="preserve"> The State reported that 13 children had been located through this process of the estimated 300 who went missing. The most recent State report does not address progress on identifying the remaining disappeared children. </w:t>
      </w:r>
    </w:p>
    <w:p w14:paraId="0000003C" w14:textId="77777777" w:rsidR="000D2C86" w:rsidRDefault="000D2C86"/>
    <w:p w14:paraId="0000003D" w14:textId="77777777" w:rsidR="000D2C86" w:rsidRDefault="000D2C86"/>
    <w:p w14:paraId="0000003E" w14:textId="77777777" w:rsidR="000D2C86" w:rsidRDefault="00000000">
      <w:pPr>
        <w:rPr>
          <w:b/>
        </w:rPr>
      </w:pPr>
      <w:r>
        <w:rPr>
          <w:b/>
        </w:rPr>
        <w:t>Suggested questions and recommendations for the State party</w:t>
      </w:r>
    </w:p>
    <w:p w14:paraId="0000003F" w14:textId="77777777" w:rsidR="000D2C86" w:rsidRDefault="000D2C86"/>
    <w:p w14:paraId="00000040" w14:textId="77777777" w:rsidR="000D2C86" w:rsidRDefault="00000000">
      <w:pPr>
        <w:rPr>
          <w:u w:val="single"/>
        </w:rPr>
      </w:pPr>
      <w:r>
        <w:rPr>
          <w:u w:val="single"/>
        </w:rPr>
        <w:lastRenderedPageBreak/>
        <w:t>Questions</w:t>
      </w:r>
    </w:p>
    <w:p w14:paraId="00000041" w14:textId="77777777" w:rsidR="000D2C86" w:rsidRDefault="000D2C86">
      <w:pPr>
        <w:rPr>
          <w:u w:val="single"/>
        </w:rPr>
      </w:pPr>
    </w:p>
    <w:p w14:paraId="00000042" w14:textId="77777777" w:rsidR="000D2C86" w:rsidRDefault="00000000">
      <w:pPr>
        <w:numPr>
          <w:ilvl w:val="0"/>
          <w:numId w:val="1"/>
        </w:numPr>
      </w:pPr>
      <w:r>
        <w:rPr>
          <w:b/>
        </w:rPr>
        <w:t xml:space="preserve">Legislation. </w:t>
      </w:r>
      <w:r>
        <w:rPr>
          <w:b/>
        </w:rPr>
        <w:br/>
      </w:r>
    </w:p>
    <w:p w14:paraId="00000043" w14:textId="77777777" w:rsidR="000D2C86" w:rsidRDefault="00000000">
      <w:pPr>
        <w:numPr>
          <w:ilvl w:val="1"/>
          <w:numId w:val="1"/>
        </w:numPr>
      </w:pPr>
      <w:r>
        <w:t>Does national legislation explicitly criminalise the military recruitment of all persons under the age of 18?</w:t>
      </w:r>
      <w:r>
        <w:br/>
      </w:r>
    </w:p>
    <w:p w14:paraId="00000044" w14:textId="77777777" w:rsidR="000D2C86" w:rsidRDefault="00000000">
      <w:pPr>
        <w:numPr>
          <w:ilvl w:val="1"/>
          <w:numId w:val="1"/>
        </w:numPr>
      </w:pPr>
      <w:r>
        <w:t>Does the State exercise extraterritorial jurisdiction in relation to offences of recruiting children for use in armed conflict?</w:t>
      </w:r>
      <w:r>
        <w:br/>
      </w:r>
    </w:p>
    <w:p w14:paraId="00000045" w14:textId="77777777" w:rsidR="000D2C86" w:rsidRDefault="00000000">
      <w:pPr>
        <w:numPr>
          <w:ilvl w:val="0"/>
          <w:numId w:val="1"/>
        </w:numPr>
        <w:rPr>
          <w:b/>
        </w:rPr>
      </w:pPr>
      <w:r>
        <w:rPr>
          <w:b/>
        </w:rPr>
        <w:t>Protection, recovery and reintegration.</w:t>
      </w:r>
      <w:r>
        <w:rPr>
          <w:b/>
        </w:rPr>
        <w:br/>
      </w:r>
    </w:p>
    <w:p w14:paraId="00000046" w14:textId="77777777" w:rsidR="000D2C86" w:rsidRDefault="00000000">
      <w:pPr>
        <w:numPr>
          <w:ilvl w:val="1"/>
          <w:numId w:val="1"/>
        </w:numPr>
      </w:pPr>
      <w:r>
        <w:t>What action has been taken to identify all those who were involved as child soldiers during the 1975-1999 conflict?</w:t>
      </w:r>
      <w:r>
        <w:br/>
      </w:r>
    </w:p>
    <w:p w14:paraId="00000047" w14:textId="77777777" w:rsidR="000D2C86" w:rsidRDefault="00000000">
      <w:pPr>
        <w:numPr>
          <w:ilvl w:val="1"/>
          <w:numId w:val="1"/>
        </w:numPr>
      </w:pPr>
      <w:r>
        <w:t>What studies were conducted into the social implications and experiences of children involved in hostilities?</w:t>
      </w:r>
      <w:r>
        <w:br/>
      </w:r>
    </w:p>
    <w:p w14:paraId="00000048" w14:textId="77777777" w:rsidR="000D2C86" w:rsidRDefault="00000000">
      <w:pPr>
        <w:numPr>
          <w:ilvl w:val="1"/>
          <w:numId w:val="1"/>
        </w:numPr>
      </w:pPr>
      <w:r>
        <w:t>What progress has been made in establishing reparations mechanisms for child victims of rights violations during the armed conflict in Timor-Leste?</w:t>
      </w:r>
      <w:r>
        <w:br/>
      </w:r>
    </w:p>
    <w:p w14:paraId="00000049" w14:textId="77777777" w:rsidR="000D2C86" w:rsidRDefault="00000000">
      <w:pPr>
        <w:numPr>
          <w:ilvl w:val="1"/>
          <w:numId w:val="1"/>
        </w:numPr>
      </w:pPr>
      <w:r>
        <w:t>What rehabilitative measures have been taken and compensation provided to child victims of rights violations in this context?</w:t>
      </w:r>
      <w:r>
        <w:br/>
      </w:r>
    </w:p>
    <w:p w14:paraId="0000004A" w14:textId="77777777" w:rsidR="000D2C86" w:rsidRDefault="00000000">
      <w:pPr>
        <w:numPr>
          <w:ilvl w:val="1"/>
          <w:numId w:val="1"/>
        </w:numPr>
      </w:pPr>
      <w:r>
        <w:t>What progress has been made in locating children who disappeared during the conflict?</w:t>
      </w:r>
      <w:r>
        <w:br/>
      </w:r>
    </w:p>
    <w:p w14:paraId="0000004B" w14:textId="77777777" w:rsidR="000D2C86" w:rsidRDefault="000D2C86">
      <w:pPr>
        <w:rPr>
          <w:u w:val="single"/>
        </w:rPr>
      </w:pPr>
    </w:p>
    <w:sectPr w:rsidR="000D2C86">
      <w:footerReference w:type="default" r:id="rId11"/>
      <w:headerReference w:type="first" r:id="rId12"/>
      <w:footerReference w:type="first" r:id="rId1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B4153" w14:textId="77777777" w:rsidR="00084611" w:rsidRDefault="00084611">
      <w:pPr>
        <w:spacing w:line="240" w:lineRule="auto"/>
      </w:pPr>
      <w:r>
        <w:separator/>
      </w:r>
    </w:p>
  </w:endnote>
  <w:endnote w:type="continuationSeparator" w:id="0">
    <w:p w14:paraId="541584B1" w14:textId="77777777" w:rsidR="00084611" w:rsidRDefault="0008461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el">
    <w:altName w:val="Cambria"/>
    <w:panose1 w:val="00000000000000000000"/>
    <w:charset w:val="00"/>
    <w:family w:val="roman"/>
    <w:notTrueType/>
    <w:pitch w:val="default"/>
  </w:font>
  <w:font w:name="Liberation Serif">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5F" w14:textId="3EBAC708" w:rsidR="000D2C86" w:rsidRDefault="00000000">
    <w:pPr>
      <w:jc w:val="center"/>
    </w:pPr>
    <w:r>
      <w:fldChar w:fldCharType="begin"/>
    </w:r>
    <w:r>
      <w:instrText>PAGE</w:instrText>
    </w:r>
    <w:r>
      <w:fldChar w:fldCharType="separate"/>
    </w:r>
    <w:r w:rsidR="00BC3B16">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F" w14:textId="6A2A391E" w:rsidR="000D2C86" w:rsidRDefault="00000000">
    <w:pPr>
      <w:jc w:val="right"/>
    </w:pPr>
    <w:r>
      <w:fldChar w:fldCharType="begin"/>
    </w:r>
    <w:r>
      <w:instrText>PAGE</w:instrText>
    </w:r>
    <w:r>
      <w:fldChar w:fldCharType="separate"/>
    </w:r>
    <w:r w:rsidR="00BC3B16">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C2D3C2" w14:textId="77777777" w:rsidR="00084611" w:rsidRDefault="00084611">
      <w:pPr>
        <w:spacing w:line="240" w:lineRule="auto"/>
      </w:pPr>
      <w:r>
        <w:separator/>
      </w:r>
    </w:p>
  </w:footnote>
  <w:footnote w:type="continuationSeparator" w:id="0">
    <w:p w14:paraId="040F0821" w14:textId="77777777" w:rsidR="00084611" w:rsidRDefault="00084611">
      <w:pPr>
        <w:spacing w:line="240" w:lineRule="auto"/>
      </w:pPr>
      <w:r>
        <w:continuationSeparator/>
      </w:r>
    </w:p>
  </w:footnote>
  <w:footnote w:id="1">
    <w:p w14:paraId="00000050" w14:textId="77777777" w:rsidR="000D2C86" w:rsidRDefault="00000000">
      <w:pPr>
        <w:spacing w:line="240" w:lineRule="auto"/>
        <w:rPr>
          <w:sz w:val="20"/>
          <w:szCs w:val="20"/>
        </w:rPr>
      </w:pPr>
      <w:r>
        <w:rPr>
          <w:vertAlign w:val="superscript"/>
        </w:rPr>
        <w:footnoteRef/>
      </w:r>
      <w:r>
        <w:rPr>
          <w:sz w:val="20"/>
          <w:szCs w:val="20"/>
        </w:rPr>
        <w:t xml:space="preserve"> </w:t>
      </w:r>
      <w:r>
        <w:rPr>
          <w:rFonts w:ascii="Liberation Serif" w:eastAsia="Liberation Serif" w:hAnsi="Liberation Serif" w:cs="Liberation Serif"/>
          <w:sz w:val="20"/>
          <w:szCs w:val="20"/>
        </w:rPr>
        <w:t xml:space="preserve">Institute for Strategic Studies, </w:t>
      </w:r>
      <w:r>
        <w:rPr>
          <w:rFonts w:ascii="Liberation Serif" w:eastAsia="Liberation Serif" w:hAnsi="Liberation Serif" w:cs="Liberation Serif"/>
          <w:i/>
          <w:sz w:val="20"/>
          <w:szCs w:val="20"/>
        </w:rPr>
        <w:t>The Military Balance</w:t>
      </w:r>
      <w:r>
        <w:rPr>
          <w:rFonts w:ascii="Liberation Serif" w:eastAsia="Liberation Serif" w:hAnsi="Liberation Serif" w:cs="Liberation Serif"/>
          <w:sz w:val="20"/>
          <w:szCs w:val="20"/>
        </w:rPr>
        <w:t xml:space="preserve">, 2025. </w:t>
      </w:r>
    </w:p>
  </w:footnote>
  <w:footnote w:id="2">
    <w:p w14:paraId="00000051" w14:textId="77777777" w:rsidR="000D2C86" w:rsidRDefault="00000000">
      <w:pPr>
        <w:spacing w:line="240" w:lineRule="auto"/>
        <w:rPr>
          <w:i/>
          <w:sz w:val="20"/>
          <w:szCs w:val="20"/>
        </w:rPr>
      </w:pPr>
      <w:r>
        <w:rPr>
          <w:vertAlign w:val="superscript"/>
        </w:rPr>
        <w:footnoteRef/>
      </w:r>
      <w:r>
        <w:rPr>
          <w:sz w:val="20"/>
          <w:szCs w:val="20"/>
        </w:rPr>
        <w:t xml:space="preserve"> </w:t>
      </w:r>
      <w:r>
        <w:rPr>
          <w:i/>
          <w:sz w:val="20"/>
          <w:szCs w:val="20"/>
        </w:rPr>
        <w:t>Ibid.</w:t>
      </w:r>
    </w:p>
  </w:footnote>
  <w:footnote w:id="3">
    <w:p w14:paraId="00000052" w14:textId="77777777" w:rsidR="000D2C86" w:rsidRDefault="00000000">
      <w:pPr>
        <w:spacing w:line="240" w:lineRule="auto"/>
        <w:rPr>
          <w:sz w:val="20"/>
          <w:szCs w:val="20"/>
        </w:rPr>
      </w:pPr>
      <w:r>
        <w:rPr>
          <w:vertAlign w:val="superscript"/>
        </w:rPr>
        <w:footnoteRef/>
      </w:r>
      <w:r>
        <w:rPr>
          <w:sz w:val="20"/>
          <w:szCs w:val="20"/>
        </w:rPr>
        <w:t xml:space="preserve"> Law No. 3/2007 “Military Service Law”, Article 2. Available at: </w:t>
      </w:r>
      <w:hyperlink r:id="rId1">
        <w:r>
          <w:rPr>
            <w:color w:val="1155CC"/>
            <w:sz w:val="20"/>
            <w:szCs w:val="20"/>
            <w:u w:val="single"/>
          </w:rPr>
          <w:t>https://mj.gov.tl/jornal/lawsTL/RDTL-Law/RDTL-Laws/Law%203-2007.pdf</w:t>
        </w:r>
      </w:hyperlink>
      <w:r>
        <w:rPr>
          <w:sz w:val="20"/>
          <w:szCs w:val="20"/>
        </w:rPr>
        <w:t xml:space="preserve">. </w:t>
      </w:r>
    </w:p>
  </w:footnote>
  <w:footnote w:id="4">
    <w:p w14:paraId="00000053" w14:textId="77777777" w:rsidR="000D2C86" w:rsidRDefault="00000000">
      <w:pPr>
        <w:spacing w:line="240" w:lineRule="auto"/>
        <w:rPr>
          <w:sz w:val="20"/>
          <w:szCs w:val="20"/>
        </w:rPr>
      </w:pPr>
      <w:r>
        <w:rPr>
          <w:vertAlign w:val="superscript"/>
        </w:rPr>
        <w:footnoteRef/>
      </w:r>
      <w:r>
        <w:rPr>
          <w:sz w:val="20"/>
          <w:szCs w:val="20"/>
        </w:rPr>
        <w:t xml:space="preserve"> Law No. 3/2010 of 21 April “Law on National Defence”, Article 41. Available at: </w:t>
      </w:r>
      <w:hyperlink r:id="rId2">
        <w:r>
          <w:rPr>
            <w:color w:val="1155CC"/>
            <w:sz w:val="20"/>
            <w:szCs w:val="20"/>
            <w:u w:val="single"/>
          </w:rPr>
          <w:t>https://mj.gov.tl/jornal/lawsTL/RDTL-Law/RDTL-Laws/Law%203-2010.pdf</w:t>
        </w:r>
      </w:hyperlink>
      <w:r>
        <w:rPr>
          <w:sz w:val="20"/>
          <w:szCs w:val="20"/>
        </w:rPr>
        <w:t xml:space="preserve">. </w:t>
      </w:r>
    </w:p>
  </w:footnote>
  <w:footnote w:id="5">
    <w:p w14:paraId="00000057" w14:textId="77777777" w:rsidR="000D2C86" w:rsidRDefault="00000000">
      <w:pPr>
        <w:spacing w:line="240" w:lineRule="auto"/>
        <w:rPr>
          <w:sz w:val="20"/>
          <w:szCs w:val="20"/>
        </w:rPr>
      </w:pPr>
      <w:r>
        <w:rPr>
          <w:vertAlign w:val="superscript"/>
        </w:rPr>
        <w:footnoteRef/>
      </w:r>
      <w:r>
        <w:rPr>
          <w:sz w:val="20"/>
          <w:szCs w:val="20"/>
        </w:rPr>
        <w:t xml:space="preserve"> Penal Code of the Democratic Republic of Timor-Leste, Article 125((1)(e). Available at: </w:t>
      </w:r>
      <w:hyperlink r:id="rId3">
        <w:r>
          <w:rPr>
            <w:color w:val="1155CC"/>
            <w:sz w:val="20"/>
            <w:szCs w:val="20"/>
            <w:u w:val="single"/>
          </w:rPr>
          <w:t>https://ihl-databases.icrc.org/en/national-practice/decree-law-approving-criminal-code-2009</w:t>
        </w:r>
      </w:hyperlink>
      <w:r>
        <w:rPr>
          <w:sz w:val="20"/>
          <w:szCs w:val="20"/>
        </w:rPr>
        <w:t xml:space="preserve">. </w:t>
      </w:r>
    </w:p>
  </w:footnote>
  <w:footnote w:id="6">
    <w:p w14:paraId="00000056" w14:textId="77777777" w:rsidR="000D2C86" w:rsidRDefault="00000000">
      <w:pPr>
        <w:spacing w:line="240" w:lineRule="auto"/>
        <w:rPr>
          <w:sz w:val="20"/>
          <w:szCs w:val="20"/>
        </w:rPr>
      </w:pPr>
      <w:r>
        <w:rPr>
          <w:vertAlign w:val="superscript"/>
        </w:rPr>
        <w:footnoteRef/>
      </w:r>
      <w:r>
        <w:rPr>
          <w:sz w:val="20"/>
          <w:szCs w:val="20"/>
        </w:rPr>
        <w:t xml:space="preserve"> Committee on the Rights of the Child, </w:t>
      </w:r>
      <w:r>
        <w:rPr>
          <w:i/>
          <w:sz w:val="20"/>
          <w:szCs w:val="20"/>
        </w:rPr>
        <w:t>Concluding observations on the initial report of Timor-Leste on the Optional Protocol to the Convention on the Rights of the Child on the involvement of children in armed conflict</w:t>
      </w:r>
      <w:r>
        <w:rPr>
          <w:sz w:val="20"/>
          <w:szCs w:val="20"/>
        </w:rPr>
        <w:t xml:space="preserve">, CRC/C/OPAC/TLS/CO/1, 14 February 2008, para. 8. </w:t>
      </w:r>
    </w:p>
  </w:footnote>
  <w:footnote w:id="7">
    <w:p w14:paraId="00000058" w14:textId="77777777" w:rsidR="000D2C86" w:rsidRDefault="00000000">
      <w:pPr>
        <w:spacing w:line="240" w:lineRule="auto"/>
        <w:rPr>
          <w:sz w:val="20"/>
          <w:szCs w:val="20"/>
        </w:rPr>
      </w:pPr>
      <w:r>
        <w:rPr>
          <w:vertAlign w:val="superscript"/>
        </w:rPr>
        <w:footnoteRef/>
      </w:r>
      <w:r>
        <w:rPr>
          <w:sz w:val="20"/>
          <w:szCs w:val="20"/>
        </w:rPr>
        <w:t xml:space="preserve"> </w:t>
      </w:r>
      <w:r>
        <w:rPr>
          <w:i/>
          <w:sz w:val="20"/>
          <w:szCs w:val="20"/>
        </w:rPr>
        <w:t>Combined second and third periodic report of Timor-Leste to the Committee on the Rights of the Child</w:t>
      </w:r>
      <w:r>
        <w:rPr>
          <w:sz w:val="20"/>
          <w:szCs w:val="20"/>
        </w:rPr>
        <w:t>, CRC/C/TLS/2-3, 3 December 2014, para. 234.</w:t>
      </w:r>
    </w:p>
  </w:footnote>
  <w:footnote w:id="8">
    <w:p w14:paraId="00000054" w14:textId="77777777" w:rsidR="000D2C86" w:rsidRDefault="00000000">
      <w:pPr>
        <w:spacing w:line="240" w:lineRule="auto"/>
        <w:rPr>
          <w:sz w:val="20"/>
          <w:szCs w:val="20"/>
        </w:rPr>
      </w:pPr>
      <w:r>
        <w:rPr>
          <w:vertAlign w:val="superscript"/>
        </w:rPr>
        <w:footnoteRef/>
      </w:r>
      <w:r>
        <w:rPr>
          <w:sz w:val="20"/>
          <w:szCs w:val="20"/>
        </w:rPr>
        <w:t xml:space="preserve"> Penal Code of the Democratic Republic of Timor-Leste, Article 125((1)(e). </w:t>
      </w:r>
    </w:p>
  </w:footnote>
  <w:footnote w:id="9">
    <w:p w14:paraId="00000055" w14:textId="77777777" w:rsidR="000D2C86" w:rsidRDefault="00000000">
      <w:pPr>
        <w:spacing w:line="240" w:lineRule="auto"/>
        <w:rPr>
          <w:sz w:val="20"/>
          <w:szCs w:val="20"/>
        </w:rPr>
      </w:pPr>
      <w:r>
        <w:rPr>
          <w:vertAlign w:val="superscript"/>
        </w:rPr>
        <w:footnoteRef/>
      </w:r>
      <w:r>
        <w:rPr>
          <w:sz w:val="20"/>
          <w:szCs w:val="20"/>
        </w:rPr>
        <w:t xml:space="preserve"> Penal Code of the Democratic Republic of Timor-Leste, Article 125(1)(m).</w:t>
      </w:r>
    </w:p>
  </w:footnote>
  <w:footnote w:id="10">
    <w:p w14:paraId="0000005E" w14:textId="77777777" w:rsidR="000D2C86" w:rsidRDefault="00000000">
      <w:pPr>
        <w:spacing w:line="240" w:lineRule="auto"/>
        <w:rPr>
          <w:sz w:val="20"/>
          <w:szCs w:val="20"/>
        </w:rPr>
      </w:pPr>
      <w:r>
        <w:rPr>
          <w:vertAlign w:val="superscript"/>
        </w:rPr>
        <w:footnoteRef/>
      </w:r>
      <w:r>
        <w:rPr>
          <w:sz w:val="20"/>
          <w:szCs w:val="20"/>
        </w:rPr>
        <w:t xml:space="preserve"> </w:t>
      </w:r>
      <w:r>
        <w:rPr>
          <w:i/>
          <w:sz w:val="20"/>
          <w:szCs w:val="20"/>
        </w:rPr>
        <w:t>Combined second and third periodic report of Timor-Leste to the Committee on the Rights of the Child</w:t>
      </w:r>
      <w:r>
        <w:rPr>
          <w:sz w:val="20"/>
          <w:szCs w:val="20"/>
        </w:rPr>
        <w:t>, CRC/C/TLS/2-3, 3 December 2014, para. 234.</w:t>
      </w:r>
    </w:p>
  </w:footnote>
  <w:footnote w:id="11">
    <w:p w14:paraId="00000059" w14:textId="77777777" w:rsidR="000D2C86" w:rsidRDefault="00000000">
      <w:pPr>
        <w:spacing w:line="240" w:lineRule="auto"/>
        <w:rPr>
          <w:sz w:val="20"/>
          <w:szCs w:val="20"/>
        </w:rPr>
      </w:pPr>
      <w:r>
        <w:rPr>
          <w:vertAlign w:val="superscript"/>
        </w:rPr>
        <w:footnoteRef/>
      </w:r>
      <w:r>
        <w:rPr>
          <w:sz w:val="20"/>
          <w:szCs w:val="20"/>
        </w:rPr>
        <w:t xml:space="preserve"> Committee on the Rights of the Child, </w:t>
      </w:r>
      <w:r>
        <w:rPr>
          <w:i/>
          <w:sz w:val="20"/>
          <w:szCs w:val="20"/>
        </w:rPr>
        <w:t>Concluding observations on the initial r</w:t>
      </w:r>
      <w:r>
        <w:rPr>
          <w:sz w:val="20"/>
          <w:szCs w:val="20"/>
        </w:rPr>
        <w:t xml:space="preserve">eport of Timor-Leste on the Optional Protocol to the Convention on the Rights of the Child on the involvement of children in armed conflict, CRC/C/OPAC/TLS/CO/1, 14 February 2008, para. 16. </w:t>
      </w:r>
    </w:p>
  </w:footnote>
  <w:footnote w:id="12">
    <w:p w14:paraId="0000005A" w14:textId="77777777" w:rsidR="000D2C86" w:rsidRDefault="00000000">
      <w:pPr>
        <w:spacing w:line="240" w:lineRule="auto"/>
        <w:rPr>
          <w:sz w:val="20"/>
          <w:szCs w:val="20"/>
        </w:rPr>
      </w:pPr>
      <w:r>
        <w:rPr>
          <w:vertAlign w:val="superscript"/>
        </w:rPr>
        <w:footnoteRef/>
      </w:r>
      <w:r>
        <w:rPr>
          <w:sz w:val="20"/>
          <w:szCs w:val="20"/>
        </w:rPr>
        <w:t xml:space="preserve"> </w:t>
      </w:r>
      <w:r>
        <w:rPr>
          <w:i/>
          <w:sz w:val="20"/>
          <w:szCs w:val="20"/>
        </w:rPr>
        <w:t>Combined second and third periodic report of Timor-Leste to the Committee on the Rights of the Child</w:t>
      </w:r>
      <w:r>
        <w:rPr>
          <w:sz w:val="20"/>
          <w:szCs w:val="20"/>
        </w:rPr>
        <w:t>, CRC/C/TLS/2-3, 3 December 2014,</w:t>
      </w:r>
      <w:r>
        <w:rPr>
          <w:i/>
          <w:sz w:val="20"/>
          <w:szCs w:val="20"/>
        </w:rPr>
        <w:t xml:space="preserve"> </w:t>
      </w:r>
      <w:r>
        <w:rPr>
          <w:sz w:val="20"/>
          <w:szCs w:val="20"/>
        </w:rPr>
        <w:t xml:space="preserve">para. 233. </w:t>
      </w:r>
    </w:p>
  </w:footnote>
  <w:footnote w:id="13">
    <w:p w14:paraId="0000005B" w14:textId="77777777" w:rsidR="000D2C86" w:rsidRDefault="00000000">
      <w:pPr>
        <w:spacing w:line="240" w:lineRule="auto"/>
        <w:rPr>
          <w:sz w:val="20"/>
          <w:szCs w:val="20"/>
        </w:rPr>
      </w:pPr>
      <w:r>
        <w:rPr>
          <w:vertAlign w:val="superscript"/>
        </w:rPr>
        <w:footnoteRef/>
      </w:r>
      <w:r>
        <w:rPr>
          <w:sz w:val="20"/>
          <w:szCs w:val="20"/>
        </w:rPr>
        <w:t xml:space="preserve"> For analysis of the development of the proposed bills, see Amnesty International, </w:t>
      </w:r>
      <w:r>
        <w:rPr>
          <w:i/>
          <w:sz w:val="20"/>
          <w:szCs w:val="20"/>
        </w:rPr>
        <w:t>Remembering the past: Recommendations to effectively establish the ‘National Reparations Programme’ and ‘Public Memory Institute’</w:t>
      </w:r>
      <w:r>
        <w:rPr>
          <w:sz w:val="20"/>
          <w:szCs w:val="20"/>
        </w:rPr>
        <w:t xml:space="preserve">, 2012. Available at: </w:t>
      </w:r>
      <w:hyperlink r:id="rId4">
        <w:r>
          <w:rPr>
            <w:color w:val="1155CC"/>
            <w:sz w:val="20"/>
            <w:szCs w:val="20"/>
            <w:u w:val="single"/>
          </w:rPr>
          <w:t>https://www.amnesty.org/en/documents/asa57/001/2012/en/</w:t>
        </w:r>
      </w:hyperlink>
      <w:r>
        <w:rPr>
          <w:sz w:val="20"/>
          <w:szCs w:val="20"/>
        </w:rPr>
        <w:t xml:space="preserve">. </w:t>
      </w:r>
    </w:p>
  </w:footnote>
  <w:footnote w:id="14">
    <w:p w14:paraId="0000005C" w14:textId="77777777" w:rsidR="000D2C86" w:rsidRDefault="00000000">
      <w:pPr>
        <w:spacing w:line="240" w:lineRule="auto"/>
        <w:rPr>
          <w:sz w:val="20"/>
          <w:szCs w:val="20"/>
        </w:rPr>
      </w:pPr>
      <w:r>
        <w:rPr>
          <w:vertAlign w:val="superscript"/>
        </w:rPr>
        <w:footnoteRef/>
      </w:r>
      <w:r>
        <w:rPr>
          <w:sz w:val="20"/>
          <w:szCs w:val="20"/>
        </w:rPr>
        <w:t xml:space="preserve"> For a timeline of transitional justice initiatives in Timor-Leste see AJAR and Transitional Justice Asia Network, </w:t>
      </w:r>
      <w:r>
        <w:rPr>
          <w:i/>
          <w:sz w:val="20"/>
          <w:szCs w:val="20"/>
        </w:rPr>
        <w:t>Transitional Justice Fact Sheet: Timor-Leste</w:t>
      </w:r>
      <w:r>
        <w:rPr>
          <w:sz w:val="20"/>
          <w:szCs w:val="20"/>
        </w:rPr>
        <w:t xml:space="preserve">, 2022. Available at: </w:t>
      </w:r>
      <w:hyperlink r:id="rId5">
        <w:r>
          <w:rPr>
            <w:color w:val="1155CC"/>
            <w:sz w:val="20"/>
            <w:szCs w:val="20"/>
            <w:u w:val="single"/>
          </w:rPr>
          <w:t>https://asia-ajar.org/wp-content/uploads/2022/06/Timor-Leste-English-Transitional-Justice-Factsheet.pdf</w:t>
        </w:r>
      </w:hyperlink>
      <w:r>
        <w:rPr>
          <w:sz w:val="20"/>
          <w:szCs w:val="20"/>
        </w:rPr>
        <w:t xml:space="preserve">. </w:t>
      </w:r>
    </w:p>
  </w:footnote>
  <w:footnote w:id="15">
    <w:p w14:paraId="0000005D" w14:textId="77777777" w:rsidR="000D2C86" w:rsidRDefault="00000000">
      <w:pPr>
        <w:spacing w:line="240" w:lineRule="auto"/>
        <w:rPr>
          <w:sz w:val="20"/>
          <w:szCs w:val="20"/>
        </w:rPr>
      </w:pPr>
      <w:r>
        <w:rPr>
          <w:vertAlign w:val="superscript"/>
        </w:rPr>
        <w:footnoteRef/>
      </w:r>
      <w:r>
        <w:rPr>
          <w:sz w:val="20"/>
          <w:szCs w:val="20"/>
        </w:rPr>
        <w:t xml:space="preserve"> </w:t>
      </w:r>
      <w:r>
        <w:rPr>
          <w:i/>
          <w:sz w:val="20"/>
          <w:szCs w:val="20"/>
        </w:rPr>
        <w:t>Replies of Timor-Leste to the list of issues of the Committee on the Rights of the Child</w:t>
      </w:r>
      <w:r>
        <w:rPr>
          <w:sz w:val="20"/>
          <w:szCs w:val="20"/>
        </w:rPr>
        <w:t>, CRC/C/TLS/Q/2-3/Add.1, 19 August 2015, para. 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4D" w14:textId="77777777" w:rsidR="000D2C86" w:rsidRDefault="00000000">
    <w:pPr>
      <w:jc w:val="center"/>
    </w:pPr>
    <w:r>
      <w:t>Child Rights International Network</w:t>
    </w:r>
  </w:p>
  <w:p w14:paraId="0000004E" w14:textId="77777777" w:rsidR="000D2C86" w:rsidRDefault="00000000">
    <w:pPr>
      <w:jc w:val="center"/>
    </w:pPr>
    <w:r>
      <w:t>Conscience and Peace Tax International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F0AA7"/>
    <w:multiLevelType w:val="multilevel"/>
    <w:tmpl w:val="9D66DC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FB5613"/>
    <w:multiLevelType w:val="multilevel"/>
    <w:tmpl w:val="9B3261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20026090">
    <w:abstractNumId w:val="1"/>
  </w:num>
  <w:num w:numId="2" w16cid:durableId="12140741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C86"/>
    <w:rsid w:val="00084611"/>
    <w:rsid w:val="000D2C86"/>
    <w:rsid w:val="00BC3B16"/>
    <w:rsid w:val="00F77982"/>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C78C1533-CAC2-4C69-964B-B48228987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C3B16"/>
    <w:pPr>
      <w:tabs>
        <w:tab w:val="center" w:pos="4513"/>
        <w:tab w:val="right" w:pos="9026"/>
      </w:tabs>
      <w:spacing w:line="240" w:lineRule="auto"/>
    </w:pPr>
  </w:style>
  <w:style w:type="character" w:customStyle="1" w:styleId="HeaderChar">
    <w:name w:val="Header Char"/>
    <w:basedOn w:val="DefaultParagraphFont"/>
    <w:link w:val="Header"/>
    <w:uiPriority w:val="99"/>
    <w:rsid w:val="00BC3B16"/>
  </w:style>
  <w:style w:type="paragraph" w:styleId="Footer">
    <w:name w:val="footer"/>
    <w:basedOn w:val="Normal"/>
    <w:link w:val="FooterChar"/>
    <w:uiPriority w:val="99"/>
    <w:unhideWhenUsed/>
    <w:rsid w:val="00BC3B16"/>
    <w:pPr>
      <w:tabs>
        <w:tab w:val="center" w:pos="4513"/>
        <w:tab w:val="right" w:pos="9026"/>
      </w:tabs>
      <w:spacing w:line="240" w:lineRule="auto"/>
    </w:pPr>
  </w:style>
  <w:style w:type="character" w:customStyle="1" w:styleId="FooterChar">
    <w:name w:val="Footer Char"/>
    <w:basedOn w:val="DefaultParagraphFont"/>
    <w:link w:val="Footer"/>
    <w:uiPriority w:val="99"/>
    <w:rsid w:val="00BC3B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RC%2FC%2FOPAC%2FTLS%2FQ%2F1%2FAdd.1&amp;Lang=en"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tbinternet.ohchr.org/_layouts/15/treatybodyexternal/Download.aspx?symbolno=CRC%2FC%2FOPAC%2FTLS%2F1&amp;Lang=en"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tbinternet.ohchr.org/_layouts/15/treatybodyexternal/Download.aspx?symbolno=INT%2FCRC%2FRLI%2FTLS%2F21431&amp;Lang=en" TargetMode="Externa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RC%2FC%2FTLS%2F2-3&amp;Lang=en"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ihl-databases.icrc.org/en/national-practice/decree-law-approving-criminal-code-2009" TargetMode="External"/><Relationship Id="rId2" Type="http://schemas.openxmlformats.org/officeDocument/2006/relationships/hyperlink" Target="https://mj.gov.tl/jornal/lawsTL/RDTL-Law/RDTL-Laws/Law%203-2010.pdf" TargetMode="External"/><Relationship Id="rId1" Type="http://schemas.openxmlformats.org/officeDocument/2006/relationships/hyperlink" Target="https://mj.gov.tl/jornal/lawsTL/RDTL-Law/RDTL-Laws/Law%203-2007.pdf" TargetMode="External"/><Relationship Id="rId5" Type="http://schemas.openxmlformats.org/officeDocument/2006/relationships/hyperlink" Target="https://asia-ajar.org/wp-content/uploads/2022/06/Timor-Leste-English-Transitional-Justice-Factsheet.pdf" TargetMode="External"/><Relationship Id="rId4" Type="http://schemas.openxmlformats.org/officeDocument/2006/relationships/hyperlink" Target="https://www.amnesty.org/en/documents/asa57/001/2012/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1073</Words>
  <Characters>6121</Characters>
  <Application>Microsoft Office Word</Application>
  <DocSecurity>0</DocSecurity>
  <Lines>51</Lines>
  <Paragraphs>14</Paragraphs>
  <ScaleCrop>false</ScaleCrop>
  <Company/>
  <LinksUpToDate>false</LinksUpToDate>
  <CharactersWithSpaces>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James Boit</cp:lastModifiedBy>
  <cp:revision>2</cp:revision>
  <dcterms:created xsi:type="dcterms:W3CDTF">2025-06-09T11:26:00Z</dcterms:created>
  <dcterms:modified xsi:type="dcterms:W3CDTF">2025-06-09T11:26:00Z</dcterms:modified>
</cp:coreProperties>
</file>