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0D4EC" w14:textId="77777777" w:rsidR="00FC2ED2" w:rsidRPr="008A0711" w:rsidRDefault="00FC2ED2" w:rsidP="00F15631">
      <w:pPr>
        <w:pStyle w:val="BasicParagraph"/>
        <w:spacing w:line="240" w:lineRule="auto"/>
        <w:ind w:left="-284" w:firstLine="284"/>
        <w:rPr>
          <w:rFonts w:ascii="Helvetica Light" w:hAnsi="Helvetica Light" w:cs="Helvetica"/>
          <w:color w:val="FFFFFF"/>
          <w:sz w:val="48"/>
          <w:szCs w:val="48"/>
        </w:rPr>
      </w:pPr>
      <w:r w:rsidRPr="00F15631">
        <w:rPr>
          <w:rFonts w:ascii="Helvetica Light" w:hAnsi="Helvetica Light"/>
          <w:noProof/>
          <w:sz w:val="40"/>
          <w:szCs w:val="40"/>
        </w:rPr>
        <mc:AlternateContent>
          <mc:Choice Requires="wps">
            <w:drawing>
              <wp:anchor distT="0" distB="0" distL="114300" distR="114300" simplePos="0" relativeHeight="251658240" behindDoc="1" locked="0" layoutInCell="1" allowOverlap="1" wp14:anchorId="413505AF" wp14:editId="2A27EF21">
                <wp:simplePos x="0" y="0"/>
                <wp:positionH relativeFrom="column">
                  <wp:posOffset>-899652</wp:posOffset>
                </wp:positionH>
                <wp:positionV relativeFrom="paragraph">
                  <wp:posOffset>-2167809</wp:posOffset>
                </wp:positionV>
                <wp:extent cx="4824248" cy="12093677"/>
                <wp:effectExtent l="0" t="0" r="14605" b="9525"/>
                <wp:wrapNone/>
                <wp:docPr id="1" name="Rectangle 1"/>
                <wp:cNvGraphicFramePr/>
                <a:graphic xmlns:a="http://schemas.openxmlformats.org/drawingml/2006/main">
                  <a:graphicData uri="http://schemas.microsoft.com/office/word/2010/wordprocessingShape">
                    <wps:wsp>
                      <wps:cNvSpPr/>
                      <wps:spPr>
                        <a:xfrm>
                          <a:off x="0" y="0"/>
                          <a:ext cx="4824248" cy="12093677"/>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pic="http://schemas.openxmlformats.org/drawingml/2006/picture" xmlns:a="http://schemas.openxmlformats.org/drawingml/2006/main" xmlns:a14="http://schemas.microsoft.com/office/drawing/2010/main">
            <w:pict w14:anchorId="49C029BE">
              <v:rect id="Rectangle 1" style="position:absolute;margin-left:-70.85pt;margin-top:-170.7pt;width:379.85pt;height:95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2c166f" strokecolor="#2c166f" strokeweight="2pt" w14:anchorId="251BD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"/>
            </w:pict>
          </mc:Fallback>
        </mc:AlternateContent>
      </w:r>
      <w:r w:rsidRPr="00F15631">
        <w:rPr>
          <w:rFonts w:ascii="Helvetica Light" w:hAnsi="Helvetica Light" w:cs="Helvetica"/>
          <w:color w:val="FFFFFF"/>
          <w:sz w:val="40"/>
          <w:szCs w:val="40"/>
        </w:rPr>
        <w:t>Joint Submission to the</w:t>
      </w:r>
      <w:r w:rsidRPr="008A0711">
        <w:rPr>
          <w:rFonts w:ascii="Helvetica Light" w:hAnsi="Helvetica Light" w:cs="Helvetica"/>
          <w:color w:val="FFFFFF"/>
          <w:sz w:val="48"/>
          <w:szCs w:val="48"/>
        </w:rPr>
        <w:t xml:space="preserve"> </w:t>
      </w:r>
    </w:p>
    <w:p w14:paraId="4221753B" w14:textId="77777777" w:rsidR="00F15631" w:rsidRPr="00F15631" w:rsidRDefault="00F15631" w:rsidP="00F15631">
      <w:pPr>
        <w:rPr>
          <w:rFonts w:ascii="Helvetica Light" w:hAnsi="Helvetica Light" w:cs="Helvetica"/>
          <w:color w:val="FFFFFF"/>
          <w:sz w:val="40"/>
          <w:szCs w:val="40"/>
        </w:rPr>
      </w:pPr>
      <w:r w:rsidRPr="00F15631">
        <w:rPr>
          <w:rFonts w:ascii="Helvetica Light" w:hAnsi="Helvetica Light" w:cs="Helvetica"/>
          <w:color w:val="FFFFFF"/>
          <w:sz w:val="40"/>
          <w:szCs w:val="40"/>
        </w:rPr>
        <w:t xml:space="preserve">Committee on the Elimination </w:t>
      </w:r>
    </w:p>
    <w:p w14:paraId="7A053A26" w14:textId="2E8121B4" w:rsidR="00FC2ED2" w:rsidRPr="00F15631" w:rsidRDefault="00F15631" w:rsidP="00F15631">
      <w:pPr>
        <w:rPr>
          <w:rFonts w:ascii="Helvetica Light" w:hAnsi="Helvetica Light" w:cs="Helvetica"/>
          <w:color w:val="FFFFFF"/>
          <w:sz w:val="40"/>
          <w:szCs w:val="40"/>
        </w:rPr>
      </w:pPr>
      <w:r w:rsidRPr="00F15631">
        <w:rPr>
          <w:rFonts w:ascii="Helvetica Light" w:hAnsi="Helvetica Light" w:cs="Helvetica"/>
          <w:color w:val="FFFFFF"/>
          <w:sz w:val="40"/>
          <w:szCs w:val="40"/>
        </w:rPr>
        <w:t>of Discrimination against Women</w:t>
      </w:r>
    </w:p>
    <w:p w14:paraId="3594AA88" w14:textId="77777777" w:rsidR="00FC2ED2" w:rsidRDefault="00FC2ED2" w:rsidP="00FC2ED2">
      <w:pPr>
        <w:ind w:left="-284" w:hanging="142"/>
        <w:rPr>
          <w:rFonts w:ascii="Helvetica Light" w:hAnsi="Helvetica Light" w:cs="Helvetica"/>
          <w:color w:val="FFFFFF"/>
          <w:sz w:val="48"/>
          <w:szCs w:val="48"/>
        </w:rPr>
      </w:pPr>
    </w:p>
    <w:p w14:paraId="235EFE72" w14:textId="77777777" w:rsidR="00FC2ED2" w:rsidRDefault="00FC2ED2" w:rsidP="00FC2ED2">
      <w:pPr>
        <w:ind w:left="-284" w:hanging="142"/>
        <w:rPr>
          <w:rFonts w:ascii="Helvetica Light" w:hAnsi="Helvetica Light" w:cs="Helvetica"/>
          <w:color w:val="FFFFFF"/>
          <w:sz w:val="48"/>
          <w:szCs w:val="48"/>
        </w:rPr>
      </w:pPr>
    </w:p>
    <w:p w14:paraId="0E54297E" w14:textId="77777777" w:rsidR="00FC2ED2" w:rsidRDefault="00FC2ED2" w:rsidP="00FC2ED2">
      <w:pPr>
        <w:ind w:left="-284" w:hanging="142"/>
        <w:rPr>
          <w:rFonts w:ascii="Helvetica Light" w:hAnsi="Helvetica Light" w:cs="Helvetica"/>
          <w:color w:val="FFFFFF"/>
          <w:sz w:val="48"/>
          <w:szCs w:val="48"/>
        </w:rPr>
      </w:pPr>
    </w:p>
    <w:p w14:paraId="4DC88497" w14:textId="77777777" w:rsidR="00FC2ED2" w:rsidRDefault="00FC2ED2" w:rsidP="00FC2ED2">
      <w:pPr>
        <w:ind w:left="-284" w:hanging="142"/>
        <w:rPr>
          <w:rFonts w:ascii="Helvetica Light" w:hAnsi="Helvetica Light" w:cs="Helvetica"/>
          <w:color w:val="FFFFFF"/>
          <w:sz w:val="48"/>
          <w:szCs w:val="48"/>
        </w:rPr>
      </w:pPr>
    </w:p>
    <w:p w14:paraId="44E3F5DF" w14:textId="0A7B71FD" w:rsidR="00FC2ED2" w:rsidRPr="008C39DE" w:rsidRDefault="00FC2ED2" w:rsidP="00F15631">
      <w:pPr>
        <w:pStyle w:val="BasicParagraph"/>
        <w:tabs>
          <w:tab w:val="left" w:pos="709"/>
        </w:tabs>
        <w:spacing w:line="240" w:lineRule="auto"/>
        <w:ind w:left="426" w:firstLine="567"/>
        <w:rPr>
          <w:rFonts w:ascii="Helvetica" w:hAnsi="Helvetica" w:cs="Helvetica"/>
          <w:b/>
          <w:bCs/>
          <w:color w:val="FFFFFF"/>
          <w:sz w:val="56"/>
          <w:szCs w:val="56"/>
        </w:rPr>
      </w:pPr>
      <w:r w:rsidRPr="008C39DE">
        <w:rPr>
          <w:rFonts w:ascii="Helvetica Light" w:hAnsi="Helvetica Light" w:cs="Helvetica"/>
          <w:noProof/>
          <w:color w:val="FFFFFF"/>
          <w:sz w:val="56"/>
          <w:szCs w:val="56"/>
        </w:rPr>
        <mc:AlternateContent>
          <mc:Choice Requires="wps">
            <w:drawing>
              <wp:anchor distT="0" distB="0" distL="114300" distR="114300" simplePos="0" relativeHeight="251658241" behindDoc="0" locked="0" layoutInCell="1" allowOverlap="1" wp14:anchorId="590D95AF" wp14:editId="79344C76">
                <wp:simplePos x="0" y="0"/>
                <wp:positionH relativeFrom="column">
                  <wp:posOffset>87630</wp:posOffset>
                </wp:positionH>
                <wp:positionV relativeFrom="paragraph">
                  <wp:posOffset>40640</wp:posOffset>
                </wp:positionV>
                <wp:extent cx="0" cy="2922270"/>
                <wp:effectExtent l="76200" t="0" r="88900" b="36830"/>
                <wp:wrapNone/>
                <wp:docPr id="2" name="Straight Connector 2"/>
                <wp:cNvGraphicFramePr/>
                <a:graphic xmlns:a="http://schemas.openxmlformats.org/drawingml/2006/main">
                  <a:graphicData uri="http://schemas.microsoft.com/office/word/2010/wordprocessingShape">
                    <wps:wsp>
                      <wps:cNvCnPr/>
                      <wps:spPr>
                        <a:xfrm>
                          <a:off x="0" y="0"/>
                          <a:ext cx="0" cy="292227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du="http://schemas.microsoft.com/office/word/2023/wordml/word16du" xmlns:arto="http://schemas.microsoft.com/office/word/2006/arto" xmlns:pic="http://schemas.openxmlformats.org/drawingml/2006/picture" xmlns:a="http://schemas.openxmlformats.org/drawingml/2006/main" xmlns:a14="http://schemas.microsoft.com/office/drawing/2010/main">
            <w:pict w14:anchorId="755F588E">
              <v:line id="Straight Connector 2"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white [3212]" strokeweight="12.5pt" from="6.9pt,3.2pt" to="6.9pt,233.3pt" w14:anchorId="57215E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"/>
            </w:pict>
          </mc:Fallback>
        </mc:AlternateContent>
      </w:r>
      <w:r w:rsidR="00F15631" w:rsidRPr="008C39DE">
        <w:rPr>
          <w:rFonts w:ascii="Helvetica" w:hAnsi="Helvetica" w:cs="Helvetica"/>
          <w:b/>
          <w:bCs/>
          <w:color w:val="FFFFFF"/>
          <w:sz w:val="56"/>
          <w:szCs w:val="56"/>
        </w:rPr>
        <w:t>88</w:t>
      </w:r>
      <w:r w:rsidR="00F15631" w:rsidRPr="008C39DE">
        <w:rPr>
          <w:rFonts w:ascii="Helvetica" w:hAnsi="Helvetica" w:cs="Helvetica"/>
          <w:b/>
          <w:bCs/>
          <w:color w:val="FFFFFF"/>
          <w:sz w:val="56"/>
          <w:szCs w:val="56"/>
          <w:vertAlign w:val="superscript"/>
        </w:rPr>
        <w:t>th</w:t>
      </w:r>
      <w:r w:rsidR="00F15631" w:rsidRPr="008C39DE">
        <w:rPr>
          <w:rFonts w:ascii="Helvetica" w:hAnsi="Helvetica" w:cs="Helvetica"/>
          <w:b/>
          <w:bCs/>
          <w:color w:val="FFFFFF"/>
          <w:sz w:val="56"/>
          <w:szCs w:val="56"/>
        </w:rPr>
        <w:t xml:space="preserve"> session</w:t>
      </w:r>
    </w:p>
    <w:p w14:paraId="2A332410" w14:textId="06FB46FE" w:rsidR="00B40E75" w:rsidRPr="008C39DE" w:rsidRDefault="00B40E75" w:rsidP="00B40E75">
      <w:pPr>
        <w:pStyle w:val="BasicParagraph"/>
        <w:tabs>
          <w:tab w:val="left" w:pos="709"/>
        </w:tabs>
        <w:spacing w:line="240" w:lineRule="auto"/>
        <w:ind w:left="426" w:firstLine="567"/>
        <w:rPr>
          <w:rFonts w:ascii="Helvetica" w:hAnsi="Helvetica" w:cs="Helvetica"/>
          <w:b/>
          <w:bCs/>
          <w:color w:val="FFFFFF"/>
          <w:sz w:val="56"/>
          <w:szCs w:val="56"/>
        </w:rPr>
      </w:pPr>
      <w:r w:rsidRPr="008C39DE">
        <w:rPr>
          <w:rFonts w:ascii="Helvetica" w:hAnsi="Helvetica" w:cs="Helvetica"/>
          <w:b/>
          <w:bCs/>
          <w:color w:val="FFFFFF"/>
          <w:sz w:val="56"/>
          <w:szCs w:val="56"/>
        </w:rPr>
        <w:t>13 – 31 May 2024</w:t>
      </w:r>
    </w:p>
    <w:p w14:paraId="2E644FC6" w14:textId="296AC925" w:rsidR="00F15631" w:rsidRDefault="00481DB2" w:rsidP="00F15631">
      <w:pPr>
        <w:pStyle w:val="BasicParagraph"/>
        <w:tabs>
          <w:tab w:val="left" w:pos="709"/>
        </w:tabs>
        <w:spacing w:line="240" w:lineRule="auto"/>
        <w:ind w:left="426" w:firstLine="567"/>
        <w:rPr>
          <w:rFonts w:ascii="Helvetica" w:hAnsi="Helvetica" w:cs="Helvetica"/>
          <w:b/>
          <w:bCs/>
          <w:color w:val="FFFFFF"/>
          <w:sz w:val="72"/>
          <w:szCs w:val="72"/>
        </w:rPr>
      </w:pPr>
      <w:r>
        <w:rPr>
          <w:noProof/>
        </w:rPr>
        <w:drawing>
          <wp:anchor distT="0" distB="0" distL="114300" distR="114300" simplePos="0" relativeHeight="251658244" behindDoc="1" locked="0" layoutInCell="1" allowOverlap="1" wp14:anchorId="5B963FB0" wp14:editId="01A4B9A5">
            <wp:simplePos x="0" y="0"/>
            <wp:positionH relativeFrom="margin">
              <wp:posOffset>4781550</wp:posOffset>
            </wp:positionH>
            <wp:positionV relativeFrom="paragraph">
              <wp:posOffset>386715</wp:posOffset>
            </wp:positionV>
            <wp:extent cx="1143000" cy="1143000"/>
            <wp:effectExtent l="0" t="0" r="0" b="0"/>
            <wp:wrapThrough wrapText="bothSides">
              <wp:wrapPolygon edited="0">
                <wp:start x="0" y="0"/>
                <wp:lineTo x="0" y="21240"/>
                <wp:lineTo x="21240" y="21240"/>
                <wp:lineTo x="21240" y="0"/>
                <wp:lineTo x="0" y="0"/>
              </wp:wrapPolygon>
            </wp:wrapThrough>
            <wp:docPr id="1937564546" name="Picture 6" descr="A logo for a fami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564546" name="Picture 6" descr="A logo for a family&#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959017" w14:textId="28598DE6" w:rsidR="00F15631" w:rsidRDefault="00F15631" w:rsidP="00F15631">
      <w:pPr>
        <w:pStyle w:val="BasicParagraph"/>
        <w:tabs>
          <w:tab w:val="left" w:pos="709"/>
        </w:tabs>
        <w:spacing w:line="240" w:lineRule="auto"/>
        <w:ind w:left="426" w:firstLine="567"/>
        <w:rPr>
          <w:rFonts w:ascii="Helvetica" w:hAnsi="Helvetica" w:cs="Helvetica"/>
          <w:b/>
          <w:bCs/>
          <w:color w:val="FFFFFF"/>
          <w:sz w:val="72"/>
          <w:szCs w:val="72"/>
        </w:rPr>
      </w:pPr>
    </w:p>
    <w:p w14:paraId="785C3357" w14:textId="2C559B8B" w:rsidR="00FC2ED2" w:rsidRDefault="00FC2ED2" w:rsidP="00FC2ED2">
      <w:pPr>
        <w:ind w:left="-284" w:firstLine="284"/>
        <w:rPr>
          <w:rFonts w:ascii="Helvetica" w:hAnsi="Helvetica" w:cs="Helvetica"/>
          <w:b/>
          <w:bCs/>
          <w:color w:val="FFFFFF"/>
          <w:sz w:val="72"/>
          <w:szCs w:val="72"/>
        </w:rPr>
      </w:pPr>
    </w:p>
    <w:p w14:paraId="251AA993" w14:textId="6B3CDF96" w:rsidR="00FC2ED2" w:rsidRPr="00C013D5" w:rsidRDefault="007B6478" w:rsidP="00FC2ED2">
      <w:pPr>
        <w:pStyle w:val="BasicParagraph"/>
        <w:ind w:firstLine="426"/>
        <w:rPr>
          <w:rFonts w:ascii="Helvetica Light" w:hAnsi="Helvetica Light" w:cs="Helvetica"/>
          <w:color w:val="FFFFFF"/>
          <w:sz w:val="48"/>
          <w:szCs w:val="48"/>
        </w:rPr>
      </w:pPr>
      <w:r>
        <w:rPr>
          <w:noProof/>
        </w:rPr>
        <w:drawing>
          <wp:anchor distT="0" distB="0" distL="114300" distR="114300" simplePos="0" relativeHeight="251658245" behindDoc="0" locked="0" layoutInCell="1" allowOverlap="1" wp14:anchorId="2AEE81F6" wp14:editId="051109EE">
            <wp:simplePos x="0" y="0"/>
            <wp:positionH relativeFrom="column">
              <wp:posOffset>4286250</wp:posOffset>
            </wp:positionH>
            <wp:positionV relativeFrom="paragraph">
              <wp:posOffset>63500</wp:posOffset>
            </wp:positionV>
            <wp:extent cx="2035810" cy="448945"/>
            <wp:effectExtent l="0" t="0" r="2540" b="8255"/>
            <wp:wrapThrough wrapText="bothSides">
              <wp:wrapPolygon edited="0">
                <wp:start x="1011" y="917"/>
                <wp:lineTo x="202" y="6416"/>
                <wp:lineTo x="202" y="11915"/>
                <wp:lineTo x="606" y="19248"/>
                <wp:lineTo x="6872" y="21081"/>
                <wp:lineTo x="20616" y="21081"/>
                <wp:lineTo x="21223" y="19248"/>
                <wp:lineTo x="21425" y="17414"/>
                <wp:lineTo x="21425" y="4583"/>
                <wp:lineTo x="20818" y="2750"/>
                <wp:lineTo x="16978" y="917"/>
                <wp:lineTo x="1011" y="917"/>
              </wp:wrapPolygon>
            </wp:wrapThrough>
            <wp:docPr id="127883178" name="Picture 9"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83178" name="Picture 9" descr="A blue text on a black backgroun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5810" cy="448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E839E2" w14:textId="3E907F54" w:rsidR="00FC2ED2" w:rsidRPr="00C013D5" w:rsidRDefault="007B6478" w:rsidP="00FC2ED2">
      <w:pPr>
        <w:pStyle w:val="BasicParagraph"/>
        <w:ind w:firstLine="426"/>
        <w:rPr>
          <w:rFonts w:ascii="Helvetica Light" w:hAnsi="Helvetica Light" w:cs="Helvetica"/>
          <w:color w:val="FFFFFF"/>
          <w:sz w:val="48"/>
          <w:szCs w:val="48"/>
        </w:rPr>
      </w:pPr>
      <w:r>
        <w:rPr>
          <w:noProof/>
        </w:rPr>
        <w:drawing>
          <wp:anchor distT="0" distB="0" distL="114300" distR="114300" simplePos="0" relativeHeight="251658243" behindDoc="0" locked="0" layoutInCell="1" allowOverlap="1" wp14:anchorId="56A0B719" wp14:editId="5AD3E344">
            <wp:simplePos x="0" y="0"/>
            <wp:positionH relativeFrom="column">
              <wp:posOffset>4581525</wp:posOffset>
            </wp:positionH>
            <wp:positionV relativeFrom="paragraph">
              <wp:posOffset>313055</wp:posOffset>
            </wp:positionV>
            <wp:extent cx="1543050" cy="1028700"/>
            <wp:effectExtent l="0" t="0" r="0" b="0"/>
            <wp:wrapNone/>
            <wp:docPr id="7" name="Picture 7" descr="Global Campaign for Equal Nationality R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Campaign for Equal Nationality Rights"/>
                    <pic:cNvPicPr>
                      <a:picLocks noChangeAspect="1" noChangeArrowheads="1"/>
                    </pic:cNvPicPr>
                  </pic:nvPicPr>
                  <pic:blipFill rotWithShape="1">
                    <a:blip r:embed="rId13">
                      <a:extLst>
                        <a:ext uri="{28A0092B-C50C-407E-A947-70E740481C1C}">
                          <a14:useLocalDpi xmlns:a14="http://schemas.microsoft.com/office/drawing/2010/main" val="0"/>
                        </a:ext>
                      </a:extLst>
                    </a:blip>
                    <a:srcRect t="17901" b="15432"/>
                    <a:stretch/>
                  </pic:blipFill>
                  <pic:spPr bwMode="auto">
                    <a:xfrm>
                      <a:off x="0" y="0"/>
                      <a:ext cx="1543050" cy="1028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EF3997" w14:textId="486E4079" w:rsidR="00FC2ED2" w:rsidRPr="007B0BA0" w:rsidRDefault="000E232B" w:rsidP="00FC2ED2">
      <w:pPr>
        <w:pStyle w:val="BasicParagraph"/>
        <w:rPr>
          <w:rFonts w:ascii="Helvetica" w:hAnsi="Helvetica" w:cs="Helvetica"/>
          <w:b/>
          <w:bCs/>
          <w:color w:val="FFFFFF"/>
          <w:sz w:val="72"/>
          <w:szCs w:val="72"/>
        </w:rPr>
      </w:pPr>
      <w:r>
        <w:rPr>
          <w:rFonts w:ascii="Helvetica" w:hAnsi="Helvetica" w:cs="Helvetica"/>
          <w:b/>
          <w:bCs/>
          <w:color w:val="FFFFFF"/>
          <w:sz w:val="72"/>
          <w:szCs w:val="72"/>
        </w:rPr>
        <w:t>MALAYSIA</w:t>
      </w:r>
    </w:p>
    <w:p w14:paraId="3081595B" w14:textId="2935C9FF" w:rsidR="00FC2ED2" w:rsidRDefault="00FC2ED2" w:rsidP="00FC2ED2">
      <w:pPr>
        <w:pStyle w:val="BasicParagraph"/>
        <w:rPr>
          <w:rFonts w:ascii="Helvetica Light" w:hAnsi="Helvetica Light" w:cs="Helvetica"/>
          <w:color w:val="FFFFFF"/>
          <w:sz w:val="36"/>
          <w:szCs w:val="36"/>
        </w:rPr>
      </w:pPr>
    </w:p>
    <w:p w14:paraId="1FE9ECF7" w14:textId="77777777" w:rsidR="00D21002" w:rsidRDefault="007B6478" w:rsidP="002543BE">
      <w:pPr>
        <w:pStyle w:val="BasicParagraph"/>
        <w:rPr>
          <w:rFonts w:ascii="Helvetica Light" w:hAnsi="Helvetica Light" w:cs="Helvetica"/>
          <w:color w:val="FFFFFF"/>
          <w:sz w:val="28"/>
          <w:szCs w:val="28"/>
        </w:rPr>
      </w:pPr>
      <w:r w:rsidRPr="0035244C">
        <w:rPr>
          <w:rFonts w:ascii="Helvetica" w:hAnsi="Helvetica" w:cs="Helvetica"/>
          <w:b/>
          <w:bCs/>
          <w:noProof/>
          <w:color w:val="FFFFFF"/>
          <w:sz w:val="28"/>
          <w:szCs w:val="28"/>
        </w:rPr>
        <w:drawing>
          <wp:anchor distT="0" distB="0" distL="114300" distR="114300" simplePos="0" relativeHeight="251658246" behindDoc="0" locked="0" layoutInCell="1" allowOverlap="1" wp14:anchorId="596663EF" wp14:editId="1E1E7333">
            <wp:simplePos x="0" y="0"/>
            <wp:positionH relativeFrom="column">
              <wp:posOffset>4781550</wp:posOffset>
            </wp:positionH>
            <wp:positionV relativeFrom="paragraph">
              <wp:posOffset>133350</wp:posOffset>
            </wp:positionV>
            <wp:extent cx="1000125" cy="1045210"/>
            <wp:effectExtent l="0" t="0" r="9525" b="2540"/>
            <wp:wrapThrough wrapText="bothSides">
              <wp:wrapPolygon edited="0">
                <wp:start x="0" y="0"/>
                <wp:lineTo x="0" y="21259"/>
                <wp:lineTo x="21394" y="21259"/>
                <wp:lineTo x="21394" y="0"/>
                <wp:lineTo x="0" y="0"/>
              </wp:wrapPolygon>
            </wp:wrapThrough>
            <wp:docPr id="1345912245"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912245" name="Picture 1" descr="A close-up of a logo&#10;&#10;Description automatically generated"/>
                    <pic:cNvPicPr/>
                  </pic:nvPicPr>
                  <pic:blipFill rotWithShape="1">
                    <a:blip r:embed="rId14"/>
                    <a:srcRect l="45619" t="10674" r="8442"/>
                    <a:stretch/>
                  </pic:blipFill>
                  <pic:spPr bwMode="auto">
                    <a:xfrm>
                      <a:off x="0" y="0"/>
                      <a:ext cx="1000125" cy="1045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2FE8" w:rsidRPr="0035244C">
        <w:rPr>
          <w:rFonts w:ascii="Helvetica Light" w:hAnsi="Helvetica Light" w:cs="Helvetica"/>
          <w:color w:val="FFFFFF"/>
          <w:sz w:val="28"/>
          <w:szCs w:val="28"/>
        </w:rPr>
        <w:t>Family Frontiers, Nationality for All</w:t>
      </w:r>
      <w:r w:rsidR="00B40E75" w:rsidRPr="0035244C">
        <w:rPr>
          <w:rFonts w:ascii="Helvetica Light" w:hAnsi="Helvetica Light" w:cs="Helvetica"/>
          <w:color w:val="FFFFFF"/>
          <w:sz w:val="28"/>
          <w:szCs w:val="28"/>
        </w:rPr>
        <w:t xml:space="preserve">, </w:t>
      </w:r>
      <w:r w:rsidR="0035244C" w:rsidRPr="0035244C">
        <w:rPr>
          <w:rFonts w:ascii="Helvetica Light" w:hAnsi="Helvetica Light" w:cs="Helvetica"/>
          <w:color w:val="FFFFFF"/>
          <w:sz w:val="28"/>
          <w:szCs w:val="28"/>
        </w:rPr>
        <w:t xml:space="preserve">the Statelessness </w:t>
      </w:r>
    </w:p>
    <w:p w14:paraId="37DD7442" w14:textId="77777777" w:rsidR="00D21002" w:rsidRDefault="0035244C" w:rsidP="002543BE">
      <w:pPr>
        <w:pStyle w:val="BasicParagraph"/>
        <w:rPr>
          <w:rFonts w:ascii="Helvetica Light" w:hAnsi="Helvetica Light" w:cs="Helvetica"/>
          <w:color w:val="FFFFFF"/>
          <w:sz w:val="28"/>
          <w:szCs w:val="28"/>
        </w:rPr>
      </w:pPr>
      <w:r w:rsidRPr="0035244C">
        <w:rPr>
          <w:rFonts w:ascii="Helvetica Light" w:hAnsi="Helvetica Light" w:cs="Helvetica"/>
          <w:color w:val="FFFFFF"/>
          <w:sz w:val="28"/>
          <w:szCs w:val="28"/>
        </w:rPr>
        <w:t>and</w:t>
      </w:r>
      <w:r>
        <w:rPr>
          <w:rFonts w:ascii="Helvetica Light" w:hAnsi="Helvetica Light" w:cs="Helvetica"/>
          <w:color w:val="FFFFFF"/>
          <w:sz w:val="28"/>
          <w:szCs w:val="28"/>
        </w:rPr>
        <w:t xml:space="preserve"> </w:t>
      </w:r>
      <w:r w:rsidR="00D21002">
        <w:rPr>
          <w:rFonts w:ascii="Helvetica Light" w:hAnsi="Helvetica Light" w:cs="Helvetica"/>
          <w:color w:val="FFFFFF"/>
          <w:sz w:val="28"/>
          <w:szCs w:val="28"/>
        </w:rPr>
        <w:t>Dignified Citizenship Coalition – Asia Pacific,</w:t>
      </w:r>
      <w:r w:rsidRPr="0035244C">
        <w:rPr>
          <w:rFonts w:ascii="Helvetica Light" w:hAnsi="Helvetica Light" w:cs="Helvetica"/>
          <w:color w:val="FFFFFF"/>
          <w:sz w:val="28"/>
          <w:szCs w:val="28"/>
        </w:rPr>
        <w:t xml:space="preserve"> </w:t>
      </w:r>
    </w:p>
    <w:p w14:paraId="12071D39" w14:textId="37A43BFE" w:rsidR="002543BE" w:rsidRPr="0035244C" w:rsidRDefault="007F5A4F" w:rsidP="00D21002">
      <w:pPr>
        <w:pStyle w:val="BasicParagraph"/>
        <w:rPr>
          <w:rFonts w:ascii="Helvetica Light" w:hAnsi="Helvetica Light" w:cs="Helvetica"/>
          <w:color w:val="FFFFFF"/>
          <w:sz w:val="28"/>
          <w:szCs w:val="28"/>
        </w:rPr>
      </w:pPr>
      <w:r w:rsidRPr="0035244C">
        <w:rPr>
          <w:rFonts w:ascii="Helvetica Light" w:hAnsi="Helvetica Light" w:cs="Helvetica"/>
          <w:color w:val="FFFFFF"/>
          <w:sz w:val="28"/>
          <w:szCs w:val="28"/>
        </w:rPr>
        <w:t xml:space="preserve">the </w:t>
      </w:r>
      <w:r w:rsidR="00B40E75" w:rsidRPr="0035244C">
        <w:rPr>
          <w:rFonts w:ascii="Helvetica Light" w:hAnsi="Helvetica Light" w:cs="Helvetica"/>
          <w:color w:val="FFFFFF"/>
          <w:sz w:val="28"/>
          <w:szCs w:val="28"/>
        </w:rPr>
        <w:t>Global Campaign for Equal Nationality Rights</w:t>
      </w:r>
      <w:r w:rsidR="002543BE" w:rsidRPr="0035244C">
        <w:rPr>
          <w:rFonts w:ascii="Helvetica Light" w:hAnsi="Helvetica Light" w:cs="Helvetica"/>
          <w:color w:val="FFFFFF"/>
          <w:sz w:val="28"/>
          <w:szCs w:val="28"/>
        </w:rPr>
        <w:t xml:space="preserve">, </w:t>
      </w:r>
    </w:p>
    <w:p w14:paraId="0E20CC08" w14:textId="77777777" w:rsidR="002543BE" w:rsidRPr="0035244C" w:rsidRDefault="002543BE" w:rsidP="002543BE">
      <w:pPr>
        <w:pStyle w:val="BasicParagraph"/>
        <w:rPr>
          <w:rFonts w:ascii="Helvetica Light" w:hAnsi="Helvetica Light" w:cs="Helvetica"/>
          <w:color w:val="FFFFFF"/>
          <w:sz w:val="28"/>
          <w:szCs w:val="28"/>
        </w:rPr>
      </w:pPr>
      <w:r w:rsidRPr="0035244C">
        <w:rPr>
          <w:rFonts w:ascii="Helvetica Light" w:hAnsi="Helvetica Light" w:cs="Helvetica"/>
          <w:color w:val="FFFFFF"/>
          <w:sz w:val="28"/>
          <w:szCs w:val="28"/>
        </w:rPr>
        <w:t xml:space="preserve">Equality Now </w:t>
      </w:r>
      <w:r w:rsidR="00B40E75" w:rsidRPr="0035244C">
        <w:rPr>
          <w:rFonts w:ascii="Helvetica Light" w:hAnsi="Helvetica Light" w:cs="Helvetica"/>
          <w:color w:val="FFFFFF"/>
          <w:sz w:val="28"/>
          <w:szCs w:val="28"/>
        </w:rPr>
        <w:t xml:space="preserve">and </w:t>
      </w:r>
    </w:p>
    <w:p w14:paraId="1673DDB0" w14:textId="623B3C0D" w:rsidR="00B40E75" w:rsidRPr="0035244C" w:rsidRDefault="00B40E75" w:rsidP="002543BE">
      <w:pPr>
        <w:pStyle w:val="BasicParagraph"/>
        <w:rPr>
          <w:rFonts w:ascii="Helvetica Light" w:hAnsi="Helvetica Light" w:cs="Helvetica"/>
          <w:color w:val="FFFFFF"/>
          <w:sz w:val="28"/>
          <w:szCs w:val="28"/>
        </w:rPr>
      </w:pPr>
      <w:r w:rsidRPr="0035244C">
        <w:rPr>
          <w:rFonts w:ascii="Helvetica Light" w:hAnsi="Helvetica Light" w:cs="Helvetica"/>
          <w:color w:val="FFFFFF"/>
          <w:sz w:val="28"/>
          <w:szCs w:val="28"/>
        </w:rPr>
        <w:t>the Institute on Statelessness and Inclusion</w:t>
      </w:r>
    </w:p>
    <w:p w14:paraId="6983F938" w14:textId="7F9DF295" w:rsidR="00B40E75" w:rsidRDefault="00803CD5" w:rsidP="00FC2ED2">
      <w:pPr>
        <w:pStyle w:val="BasicParagraph"/>
        <w:rPr>
          <w:rFonts w:ascii="Helvetica Light" w:hAnsi="Helvetica Light" w:cs="Helvetica"/>
          <w:color w:val="FFFFFF"/>
          <w:sz w:val="36"/>
          <w:szCs w:val="36"/>
        </w:rPr>
      </w:pPr>
      <w:r w:rsidRPr="00760E07">
        <w:rPr>
          <w:rFonts w:ascii="Helvetica" w:eastAsia="Calibri" w:hAnsi="Helvetica" w:cstheme="majorHAnsi"/>
          <w:b/>
          <w:noProof/>
          <w:lang w:val="en-US"/>
        </w:rPr>
        <w:drawing>
          <wp:anchor distT="0" distB="0" distL="114300" distR="114300" simplePos="0" relativeHeight="251658242" behindDoc="1" locked="0" layoutInCell="1" allowOverlap="1" wp14:anchorId="3AA2598E" wp14:editId="052E2D6F">
            <wp:simplePos x="0" y="0"/>
            <wp:positionH relativeFrom="column">
              <wp:posOffset>4352925</wp:posOffset>
            </wp:positionH>
            <wp:positionV relativeFrom="paragraph">
              <wp:posOffset>169545</wp:posOffset>
            </wp:positionV>
            <wp:extent cx="1819275" cy="727710"/>
            <wp:effectExtent l="0" t="0" r="9525" b="0"/>
            <wp:wrapSquare wrapText="bothSides"/>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5"/>
                    <a:stretch>
                      <a:fillRect/>
                    </a:stretch>
                  </pic:blipFill>
                  <pic:spPr>
                    <a:xfrm>
                      <a:off x="0" y="0"/>
                      <a:ext cx="1819275" cy="727710"/>
                    </a:xfrm>
                    <a:prstGeom prst="rect">
                      <a:avLst/>
                    </a:prstGeom>
                  </pic:spPr>
                </pic:pic>
              </a:graphicData>
            </a:graphic>
            <wp14:sizeRelH relativeFrom="margin">
              <wp14:pctWidth>0</wp14:pctWidth>
            </wp14:sizeRelH>
            <wp14:sizeRelV relativeFrom="margin">
              <wp14:pctHeight>0</wp14:pctHeight>
            </wp14:sizeRelV>
          </wp:anchor>
        </w:drawing>
      </w:r>
    </w:p>
    <w:p w14:paraId="247ACE7A" w14:textId="36AF56B3" w:rsidR="002A20FE" w:rsidRPr="00C013D5" w:rsidRDefault="00A32FE8" w:rsidP="00FC2ED2">
      <w:pPr>
        <w:pStyle w:val="BasicParagraph"/>
        <w:rPr>
          <w:rFonts w:ascii="Helvetica Light" w:hAnsi="Helvetica Light" w:cs="Helvetica"/>
          <w:color w:val="FFFFFF"/>
          <w:sz w:val="36"/>
          <w:szCs w:val="36"/>
        </w:rPr>
      </w:pPr>
      <w:r>
        <w:rPr>
          <w:rFonts w:ascii="Helvetica Light" w:hAnsi="Helvetica Light" w:cs="Helvetica"/>
          <w:color w:val="FFFFFF"/>
          <w:sz w:val="36"/>
          <w:szCs w:val="36"/>
        </w:rPr>
        <w:t>15 April 2024</w:t>
      </w:r>
    </w:p>
    <w:p w14:paraId="1EC14990" w14:textId="77777777" w:rsidR="00FC2ED2" w:rsidRPr="00712FAF" w:rsidRDefault="00FC2ED2" w:rsidP="00FC2ED2">
      <w:pPr>
        <w:spacing w:line="360" w:lineRule="auto"/>
        <w:rPr>
          <w:rFonts w:ascii="Helvetica Light" w:hAnsi="Helvetica Light"/>
          <w:b/>
          <w:bCs/>
        </w:rPr>
        <w:sectPr w:rsidR="00FC2ED2" w:rsidRPr="00712FAF" w:rsidSect="000D3BE8">
          <w:headerReference w:type="default" r:id="rId16"/>
          <w:footerReference w:type="even" r:id="rId17"/>
          <w:footerReference w:type="default" r:id="rId18"/>
          <w:headerReference w:type="first" r:id="rId19"/>
          <w:footerReference w:type="first" r:id="rId20"/>
          <w:pgSz w:w="11900" w:h="16840"/>
          <w:pgMar w:top="1370" w:right="1440" w:bottom="1440" w:left="1440" w:header="708" w:footer="708" w:gutter="0"/>
          <w:cols w:space="708"/>
          <w:docGrid w:linePitch="360"/>
        </w:sectPr>
      </w:pPr>
    </w:p>
    <w:p w14:paraId="782FD8EC" w14:textId="77777777" w:rsidR="00FC2ED2" w:rsidRPr="00712FAF" w:rsidRDefault="00FC2ED2" w:rsidP="00FC2ED2">
      <w:pPr>
        <w:spacing w:line="360" w:lineRule="auto"/>
        <w:rPr>
          <w:rFonts w:ascii="Helvetica Light" w:hAnsi="Helvetica Light"/>
          <w:b/>
          <w:bCs/>
        </w:rPr>
      </w:pPr>
      <w:r w:rsidRPr="00712FAF">
        <w:rPr>
          <w:rFonts w:ascii="Helvetica Light" w:hAnsi="Helvetica Light"/>
          <w:b/>
          <w:bCs/>
        </w:rPr>
        <w:lastRenderedPageBreak/>
        <w:t xml:space="preserve">Joint Submission </w:t>
      </w:r>
    </w:p>
    <w:p w14:paraId="5EA1DE1A" w14:textId="1FE7CAF9" w:rsidR="00FC2ED2" w:rsidRPr="00712FAF" w:rsidRDefault="00FC2ED2" w:rsidP="00FC2ED2">
      <w:pPr>
        <w:spacing w:line="360" w:lineRule="auto"/>
        <w:rPr>
          <w:rFonts w:ascii="Helvetica Light" w:hAnsi="Helvetica Light"/>
          <w:b/>
          <w:bCs/>
        </w:rPr>
      </w:pPr>
      <w:r w:rsidRPr="00712FAF">
        <w:rPr>
          <w:rFonts w:ascii="Helvetica Light" w:hAnsi="Helvetica Light"/>
          <w:b/>
          <w:bCs/>
        </w:rPr>
        <w:t xml:space="preserve">to the </w:t>
      </w:r>
      <w:r w:rsidR="00EB0A4B">
        <w:rPr>
          <w:rFonts w:ascii="Helvetica Light" w:hAnsi="Helvetica Light"/>
          <w:b/>
          <w:bCs/>
        </w:rPr>
        <w:t>Committee on the Elimination of Discrimination against Women</w:t>
      </w:r>
    </w:p>
    <w:p w14:paraId="1AC80F65" w14:textId="11EB18E4" w:rsidR="00FC2ED2" w:rsidRPr="00EB0A4B" w:rsidRDefault="00FC2ED2" w:rsidP="00EB0A4B">
      <w:pPr>
        <w:spacing w:line="360" w:lineRule="auto"/>
        <w:rPr>
          <w:rFonts w:ascii="Helvetica Light" w:hAnsi="Helvetica Light"/>
        </w:rPr>
      </w:pPr>
      <w:r w:rsidRPr="00712FAF">
        <w:rPr>
          <w:rFonts w:ascii="Helvetica Light" w:hAnsi="Helvetica Light"/>
        </w:rPr>
        <w:t xml:space="preserve">at the </w:t>
      </w:r>
      <w:r w:rsidR="00EB0A4B">
        <w:rPr>
          <w:rFonts w:ascii="Helvetica Light" w:hAnsi="Helvetica Light"/>
        </w:rPr>
        <w:t>88</w:t>
      </w:r>
      <w:r w:rsidRPr="00712FAF">
        <w:rPr>
          <w:rFonts w:ascii="Helvetica Light" w:hAnsi="Helvetica Light"/>
          <w:vertAlign w:val="superscript"/>
        </w:rPr>
        <w:t>th</w:t>
      </w:r>
      <w:r w:rsidRPr="00712FAF">
        <w:rPr>
          <w:rFonts w:ascii="Helvetica Light" w:hAnsi="Helvetica Light"/>
        </w:rPr>
        <w:t xml:space="preserve"> Session</w:t>
      </w:r>
      <w:r w:rsidR="00EB0A4B">
        <w:rPr>
          <w:rFonts w:ascii="Helvetica Light" w:hAnsi="Helvetica Light"/>
        </w:rPr>
        <w:t>.</w:t>
      </w:r>
    </w:p>
    <w:p w14:paraId="080351DD" w14:textId="77777777" w:rsidR="00FC2ED2" w:rsidRDefault="00FC2ED2" w:rsidP="00FC2ED2"/>
    <w:p w14:paraId="0268394C" w14:textId="77777777" w:rsidR="00FC2ED2" w:rsidRDefault="00FC2ED2" w:rsidP="00FC2ED2">
      <w:pPr>
        <w:rPr>
          <w:rFonts w:ascii="Helvetica" w:hAnsi="Helvetica"/>
          <w:b/>
          <w:bCs/>
          <w:color w:val="2C166F"/>
          <w:sz w:val="48"/>
          <w:szCs w:val="48"/>
        </w:rPr>
      </w:pPr>
    </w:p>
    <w:p w14:paraId="736AB9F3" w14:textId="3609AF90" w:rsidR="00FC2ED2" w:rsidRPr="001B30E1" w:rsidRDefault="00EB0A4B" w:rsidP="00FC2ED2">
      <w:pPr>
        <w:jc w:val="right"/>
        <w:rPr>
          <w:rFonts w:ascii="Helvetica" w:hAnsi="Helvetica"/>
          <w:b/>
          <w:bCs/>
          <w:color w:val="2C166F"/>
          <w:sz w:val="48"/>
          <w:szCs w:val="48"/>
        </w:rPr>
      </w:pPr>
      <w:r>
        <w:rPr>
          <w:rFonts w:ascii="Helvetica" w:hAnsi="Helvetica"/>
          <w:b/>
          <w:bCs/>
          <w:color w:val="2C166F"/>
          <w:sz w:val="48"/>
          <w:szCs w:val="48"/>
        </w:rPr>
        <w:t>MALAYSIA</w:t>
      </w:r>
    </w:p>
    <w:p w14:paraId="606C98F6" w14:textId="77777777" w:rsidR="00FC2ED2" w:rsidRDefault="00FC2ED2" w:rsidP="00FC2ED2"/>
    <w:p w14:paraId="4A5F2825" w14:textId="3F93E57D" w:rsidR="0057207D" w:rsidRDefault="0057207D" w:rsidP="00F90445">
      <w:pPr>
        <w:jc w:val="center"/>
        <w:rPr>
          <w:rFonts w:asciiTheme="majorHAnsi" w:hAnsiTheme="majorHAnsi" w:cstheme="majorHAnsi"/>
          <w:b/>
          <w:color w:val="77BB40" w:themeColor="accent4"/>
          <w:sz w:val="32"/>
          <w:szCs w:val="44"/>
        </w:rPr>
      </w:pPr>
    </w:p>
    <w:p w14:paraId="27D7C248" w14:textId="77777777" w:rsidR="0057207D" w:rsidRPr="00A367A8" w:rsidRDefault="0057207D" w:rsidP="00F90445">
      <w:pPr>
        <w:jc w:val="center"/>
        <w:rPr>
          <w:rFonts w:asciiTheme="majorHAnsi" w:hAnsiTheme="majorHAnsi" w:cstheme="majorHAnsi"/>
          <w:b/>
          <w:color w:val="77BB40" w:themeColor="accent4"/>
          <w:sz w:val="32"/>
          <w:szCs w:val="44"/>
        </w:rPr>
      </w:pPr>
    </w:p>
    <w:p w14:paraId="3B682A4E" w14:textId="1DE5E54E" w:rsidR="00303D2D" w:rsidRPr="000E3297" w:rsidRDefault="00303D2D">
      <w:pPr>
        <w:rPr>
          <w:rFonts w:asciiTheme="majorHAnsi" w:hAnsiTheme="majorHAnsi" w:cstheme="majorHAnsi"/>
          <w:sz w:val="22"/>
          <w:szCs w:val="22"/>
        </w:rPr>
      </w:pPr>
    </w:p>
    <w:p w14:paraId="179AB1A9" w14:textId="77777777" w:rsidR="00F90445" w:rsidRPr="000E3297" w:rsidRDefault="00F90445">
      <w:pPr>
        <w:rPr>
          <w:rFonts w:asciiTheme="majorHAnsi" w:hAnsiTheme="majorHAnsi" w:cstheme="majorHAnsi"/>
          <w:sz w:val="22"/>
          <w:szCs w:val="22"/>
        </w:rPr>
      </w:pPr>
    </w:p>
    <w:p w14:paraId="262BB639" w14:textId="77777777" w:rsidR="003F01EE" w:rsidRPr="009A5998" w:rsidRDefault="003F01EE" w:rsidP="002F1476">
      <w:pPr>
        <w:widowControl w:val="0"/>
        <w:autoSpaceDE w:val="0"/>
        <w:autoSpaceDN w:val="0"/>
        <w:adjustRightInd w:val="0"/>
        <w:jc w:val="both"/>
        <w:rPr>
          <w:rFonts w:ascii="Helvetica" w:hAnsi="Helvetica" w:cstheme="majorHAnsi"/>
          <w:color w:val="7030A0"/>
          <w:sz w:val="28"/>
          <w:szCs w:val="22"/>
        </w:rPr>
      </w:pPr>
      <w:r w:rsidRPr="00832AB9">
        <w:rPr>
          <w:rFonts w:ascii="Helvetica" w:hAnsi="Helvetica" w:cstheme="majorHAnsi"/>
          <w:b/>
          <w:bCs/>
          <w:color w:val="1E1052" w:themeColor="accent1" w:themeShade="BF"/>
          <w:sz w:val="28"/>
          <w:szCs w:val="22"/>
        </w:rPr>
        <w:t>Introduction</w:t>
      </w:r>
      <w:r w:rsidRPr="009A5998">
        <w:rPr>
          <w:rFonts w:ascii="Helvetica" w:hAnsi="Helvetica" w:cstheme="majorHAnsi"/>
          <w:b/>
          <w:bCs/>
          <w:color w:val="7030A0"/>
          <w:sz w:val="28"/>
          <w:szCs w:val="22"/>
        </w:rPr>
        <w:t xml:space="preserve"> </w:t>
      </w:r>
    </w:p>
    <w:p w14:paraId="75FA71E9" w14:textId="77777777" w:rsidR="00C52D9E" w:rsidRPr="0066251A" w:rsidRDefault="00C52D9E" w:rsidP="002F1476">
      <w:pPr>
        <w:widowControl w:val="0"/>
        <w:tabs>
          <w:tab w:val="left" w:pos="220"/>
          <w:tab w:val="left" w:pos="720"/>
        </w:tabs>
        <w:autoSpaceDE w:val="0"/>
        <w:autoSpaceDN w:val="0"/>
        <w:adjustRightInd w:val="0"/>
        <w:jc w:val="both"/>
        <w:rPr>
          <w:rFonts w:asciiTheme="majorHAnsi" w:hAnsiTheme="majorHAnsi" w:cstheme="majorHAnsi"/>
          <w:sz w:val="22"/>
          <w:szCs w:val="22"/>
        </w:rPr>
      </w:pPr>
    </w:p>
    <w:p w14:paraId="104FC5D4" w14:textId="24DFCFF9" w:rsidR="00DD7647" w:rsidRDefault="002543BE" w:rsidP="00DD7647">
      <w:pPr>
        <w:pStyle w:val="ListParagraph"/>
        <w:widowControl w:val="0"/>
        <w:numPr>
          <w:ilvl w:val="0"/>
          <w:numId w:val="7"/>
        </w:numPr>
        <w:tabs>
          <w:tab w:val="left" w:pos="220"/>
          <w:tab w:val="left" w:pos="567"/>
        </w:tabs>
        <w:autoSpaceDE w:val="0"/>
        <w:autoSpaceDN w:val="0"/>
        <w:adjustRightInd w:val="0"/>
        <w:ind w:left="567"/>
        <w:jc w:val="both"/>
        <w:rPr>
          <w:rFonts w:asciiTheme="majorHAnsi" w:hAnsiTheme="majorHAnsi" w:cstheme="majorHAnsi"/>
          <w:sz w:val="22"/>
          <w:szCs w:val="22"/>
        </w:rPr>
      </w:pPr>
      <w:r w:rsidRPr="002543BE">
        <w:rPr>
          <w:rFonts w:asciiTheme="majorHAnsi" w:hAnsiTheme="majorHAnsi" w:cstheme="majorHAnsi"/>
          <w:sz w:val="22"/>
          <w:szCs w:val="22"/>
        </w:rPr>
        <w:t>Family Frontiers</w:t>
      </w:r>
      <w:r w:rsidR="00DD7647">
        <w:rPr>
          <w:rFonts w:asciiTheme="majorHAnsi" w:hAnsiTheme="majorHAnsi" w:cstheme="majorHAnsi"/>
          <w:sz w:val="22"/>
          <w:szCs w:val="22"/>
        </w:rPr>
        <w:t xml:space="preserve"> (FF)</w:t>
      </w:r>
      <w:r w:rsidRPr="002543BE">
        <w:rPr>
          <w:rFonts w:asciiTheme="majorHAnsi" w:hAnsiTheme="majorHAnsi" w:cstheme="majorHAnsi"/>
          <w:sz w:val="22"/>
          <w:szCs w:val="22"/>
        </w:rPr>
        <w:t>,</w:t>
      </w:r>
      <w:r w:rsidR="008C0631">
        <w:rPr>
          <w:rStyle w:val="FootnoteReference"/>
          <w:rFonts w:asciiTheme="majorHAnsi" w:hAnsiTheme="majorHAnsi" w:cstheme="majorHAnsi"/>
          <w:sz w:val="22"/>
          <w:szCs w:val="22"/>
        </w:rPr>
        <w:footnoteReference w:id="2"/>
      </w:r>
      <w:r>
        <w:rPr>
          <w:rFonts w:asciiTheme="majorHAnsi" w:hAnsiTheme="majorHAnsi" w:cstheme="majorHAnsi"/>
          <w:sz w:val="22"/>
          <w:szCs w:val="22"/>
        </w:rPr>
        <w:t xml:space="preserve"> Nationality for All</w:t>
      </w:r>
      <w:r w:rsidR="00DD7647">
        <w:rPr>
          <w:rFonts w:asciiTheme="majorHAnsi" w:hAnsiTheme="majorHAnsi" w:cstheme="majorHAnsi"/>
          <w:sz w:val="22"/>
          <w:szCs w:val="22"/>
        </w:rPr>
        <w:t xml:space="preserve"> (NFA)</w:t>
      </w:r>
      <w:r>
        <w:rPr>
          <w:rFonts w:asciiTheme="majorHAnsi" w:hAnsiTheme="majorHAnsi" w:cstheme="majorHAnsi"/>
          <w:sz w:val="22"/>
          <w:szCs w:val="22"/>
        </w:rPr>
        <w:t>,</w:t>
      </w:r>
      <w:r w:rsidR="008C0631">
        <w:rPr>
          <w:rStyle w:val="FootnoteReference"/>
          <w:rFonts w:asciiTheme="majorHAnsi" w:hAnsiTheme="majorHAnsi" w:cstheme="majorHAnsi"/>
          <w:sz w:val="22"/>
          <w:szCs w:val="22"/>
        </w:rPr>
        <w:footnoteReference w:id="3"/>
      </w:r>
      <w:r w:rsidRPr="002543BE">
        <w:rPr>
          <w:rFonts w:asciiTheme="majorHAnsi" w:hAnsiTheme="majorHAnsi" w:cstheme="majorHAnsi"/>
          <w:sz w:val="22"/>
          <w:szCs w:val="22"/>
        </w:rPr>
        <w:t xml:space="preserve"> </w:t>
      </w:r>
      <w:r w:rsidR="00B954B9">
        <w:rPr>
          <w:rFonts w:asciiTheme="majorHAnsi" w:hAnsiTheme="majorHAnsi" w:cstheme="majorHAnsi"/>
          <w:sz w:val="22"/>
          <w:szCs w:val="22"/>
        </w:rPr>
        <w:t>the Statelessness and Dignified Citizenship Coalition</w:t>
      </w:r>
      <w:r w:rsidR="00376FAC">
        <w:rPr>
          <w:rFonts w:asciiTheme="majorHAnsi" w:hAnsiTheme="majorHAnsi" w:cstheme="majorHAnsi"/>
          <w:sz w:val="22"/>
          <w:szCs w:val="22"/>
        </w:rPr>
        <w:t xml:space="preserve"> – Asia Pacific (SDCC – AP),</w:t>
      </w:r>
      <w:r w:rsidR="00FE1086">
        <w:rPr>
          <w:rStyle w:val="FootnoteReference"/>
          <w:rFonts w:asciiTheme="majorHAnsi" w:hAnsiTheme="majorHAnsi" w:cstheme="majorHAnsi"/>
          <w:sz w:val="22"/>
          <w:szCs w:val="22"/>
        </w:rPr>
        <w:footnoteReference w:id="4"/>
      </w:r>
      <w:r w:rsidR="00376FAC">
        <w:rPr>
          <w:rFonts w:asciiTheme="majorHAnsi" w:hAnsiTheme="majorHAnsi" w:cstheme="majorHAnsi"/>
          <w:sz w:val="22"/>
          <w:szCs w:val="22"/>
        </w:rPr>
        <w:t xml:space="preserve"> </w:t>
      </w:r>
      <w:r w:rsidRPr="002543BE">
        <w:rPr>
          <w:rFonts w:asciiTheme="majorHAnsi" w:hAnsiTheme="majorHAnsi" w:cstheme="majorHAnsi"/>
          <w:sz w:val="22"/>
          <w:szCs w:val="22"/>
        </w:rPr>
        <w:t>the Global Campaign for Equal Nationality Rights</w:t>
      </w:r>
      <w:r w:rsidR="00DD7647">
        <w:rPr>
          <w:rFonts w:asciiTheme="majorHAnsi" w:hAnsiTheme="majorHAnsi" w:cstheme="majorHAnsi"/>
          <w:sz w:val="22"/>
          <w:szCs w:val="22"/>
        </w:rPr>
        <w:t xml:space="preserve"> (GCENR)</w:t>
      </w:r>
      <w:r w:rsidRPr="002543BE">
        <w:rPr>
          <w:rFonts w:asciiTheme="majorHAnsi" w:hAnsiTheme="majorHAnsi" w:cstheme="majorHAnsi"/>
          <w:sz w:val="22"/>
          <w:szCs w:val="22"/>
        </w:rPr>
        <w:t>,</w:t>
      </w:r>
      <w:r w:rsidR="008C0631">
        <w:rPr>
          <w:rStyle w:val="FootnoteReference"/>
          <w:rFonts w:asciiTheme="majorHAnsi" w:hAnsiTheme="majorHAnsi" w:cstheme="majorHAnsi"/>
          <w:sz w:val="22"/>
          <w:szCs w:val="22"/>
        </w:rPr>
        <w:footnoteReference w:id="5"/>
      </w:r>
      <w:r w:rsidRPr="002543BE">
        <w:rPr>
          <w:rFonts w:asciiTheme="majorHAnsi" w:hAnsiTheme="majorHAnsi" w:cstheme="majorHAnsi"/>
          <w:sz w:val="22"/>
          <w:szCs w:val="22"/>
        </w:rPr>
        <w:t xml:space="preserve"> Equality Now</w:t>
      </w:r>
      <w:r w:rsidR="008C0631">
        <w:rPr>
          <w:rStyle w:val="FootnoteReference"/>
          <w:rFonts w:asciiTheme="majorHAnsi" w:hAnsiTheme="majorHAnsi" w:cstheme="majorHAnsi"/>
          <w:sz w:val="22"/>
          <w:szCs w:val="22"/>
        </w:rPr>
        <w:footnoteReference w:id="6"/>
      </w:r>
      <w:r w:rsidRPr="002543BE">
        <w:rPr>
          <w:rFonts w:asciiTheme="majorHAnsi" w:hAnsiTheme="majorHAnsi" w:cstheme="majorHAnsi"/>
          <w:sz w:val="22"/>
          <w:szCs w:val="22"/>
        </w:rPr>
        <w:t xml:space="preserve"> and</w:t>
      </w:r>
      <w:r w:rsidR="00DD7647">
        <w:rPr>
          <w:rFonts w:asciiTheme="majorHAnsi" w:hAnsiTheme="majorHAnsi" w:cstheme="majorHAnsi"/>
          <w:sz w:val="22"/>
          <w:szCs w:val="22"/>
        </w:rPr>
        <w:t xml:space="preserve"> the</w:t>
      </w:r>
      <w:r w:rsidRPr="002543BE">
        <w:rPr>
          <w:rFonts w:asciiTheme="majorHAnsi" w:hAnsiTheme="majorHAnsi" w:cstheme="majorHAnsi"/>
          <w:sz w:val="22"/>
          <w:szCs w:val="22"/>
        </w:rPr>
        <w:t xml:space="preserve"> Institute on Statelessness and Inclusion</w:t>
      </w:r>
      <w:r w:rsidR="00DD7647">
        <w:rPr>
          <w:rFonts w:asciiTheme="majorHAnsi" w:hAnsiTheme="majorHAnsi" w:cstheme="majorHAnsi"/>
          <w:sz w:val="22"/>
          <w:szCs w:val="22"/>
        </w:rPr>
        <w:t xml:space="preserve"> (ISI)</w:t>
      </w:r>
      <w:r w:rsidR="008C0631">
        <w:rPr>
          <w:rStyle w:val="FootnoteReference"/>
          <w:rFonts w:asciiTheme="majorHAnsi" w:hAnsiTheme="majorHAnsi" w:cstheme="majorHAnsi"/>
          <w:sz w:val="22"/>
          <w:szCs w:val="22"/>
        </w:rPr>
        <w:footnoteReference w:id="7"/>
      </w:r>
      <w:r w:rsidRPr="002543BE">
        <w:rPr>
          <w:rFonts w:asciiTheme="majorHAnsi" w:hAnsiTheme="majorHAnsi" w:cstheme="majorHAnsi"/>
          <w:sz w:val="22"/>
          <w:szCs w:val="22"/>
        </w:rPr>
        <w:t xml:space="preserve"> </w:t>
      </w:r>
      <w:r>
        <w:rPr>
          <w:rFonts w:asciiTheme="majorHAnsi" w:hAnsiTheme="majorHAnsi" w:cstheme="majorHAnsi"/>
          <w:sz w:val="22"/>
          <w:szCs w:val="22"/>
        </w:rPr>
        <w:t xml:space="preserve">make this joint submission to the Committee on the Elimination of Discrimination against Women (CEDAW) </w:t>
      </w:r>
      <w:r w:rsidR="001548EC">
        <w:rPr>
          <w:rFonts w:asciiTheme="majorHAnsi" w:hAnsiTheme="majorHAnsi" w:cstheme="majorHAnsi"/>
          <w:sz w:val="22"/>
          <w:szCs w:val="22"/>
        </w:rPr>
        <w:t xml:space="preserve">to </w:t>
      </w:r>
      <w:r w:rsidRPr="002543BE">
        <w:rPr>
          <w:rFonts w:asciiTheme="majorHAnsi" w:hAnsiTheme="majorHAnsi" w:cstheme="majorHAnsi"/>
          <w:sz w:val="22"/>
          <w:szCs w:val="22"/>
        </w:rPr>
        <w:t xml:space="preserve">be used to inform the Committee’s review of Malaysia. </w:t>
      </w:r>
      <w:r w:rsidR="001548EC">
        <w:rPr>
          <w:rFonts w:asciiTheme="majorHAnsi" w:hAnsiTheme="majorHAnsi" w:cstheme="majorHAnsi"/>
          <w:sz w:val="22"/>
          <w:szCs w:val="22"/>
        </w:rPr>
        <w:t xml:space="preserve">This </w:t>
      </w:r>
      <w:r w:rsidRPr="002543BE">
        <w:rPr>
          <w:rFonts w:asciiTheme="majorHAnsi" w:hAnsiTheme="majorHAnsi" w:cstheme="majorHAnsi"/>
          <w:sz w:val="22"/>
          <w:szCs w:val="22"/>
        </w:rPr>
        <w:t>joint submission expresses our concerns regarding</w:t>
      </w:r>
      <w:r w:rsidR="00DD7647">
        <w:rPr>
          <w:rFonts w:asciiTheme="majorHAnsi" w:hAnsiTheme="majorHAnsi" w:cstheme="majorHAnsi"/>
          <w:sz w:val="22"/>
          <w:szCs w:val="22"/>
        </w:rPr>
        <w:t xml:space="preserve"> </w:t>
      </w:r>
      <w:r w:rsidRPr="00DD7647">
        <w:rPr>
          <w:rFonts w:asciiTheme="majorHAnsi" w:hAnsiTheme="majorHAnsi" w:cstheme="majorHAnsi"/>
          <w:sz w:val="22"/>
          <w:szCs w:val="22"/>
        </w:rPr>
        <w:t xml:space="preserve">gender discrimination in Malaysia’s nationality law, as enshrined in the Constitution of Malaysia, including: </w:t>
      </w:r>
    </w:p>
    <w:p w14:paraId="4107A582" w14:textId="77777777" w:rsidR="00DD7647" w:rsidRDefault="00DD7647" w:rsidP="00DD7647">
      <w:pPr>
        <w:pStyle w:val="ListParagraph"/>
        <w:widowControl w:val="0"/>
        <w:tabs>
          <w:tab w:val="left" w:pos="220"/>
          <w:tab w:val="left" w:pos="567"/>
        </w:tabs>
        <w:autoSpaceDE w:val="0"/>
        <w:autoSpaceDN w:val="0"/>
        <w:adjustRightInd w:val="0"/>
        <w:ind w:left="567"/>
        <w:jc w:val="both"/>
        <w:rPr>
          <w:rFonts w:asciiTheme="majorHAnsi" w:hAnsiTheme="majorHAnsi" w:cstheme="majorHAnsi"/>
          <w:sz w:val="22"/>
          <w:szCs w:val="22"/>
        </w:rPr>
      </w:pPr>
    </w:p>
    <w:p w14:paraId="350854B7" w14:textId="6460CAAA" w:rsidR="00DD7647" w:rsidRDefault="161D2222" w:rsidP="229768D2">
      <w:pPr>
        <w:pStyle w:val="ListParagraph"/>
        <w:widowControl w:val="0"/>
        <w:numPr>
          <w:ilvl w:val="0"/>
          <w:numId w:val="22"/>
        </w:numPr>
        <w:tabs>
          <w:tab w:val="left" w:pos="220"/>
          <w:tab w:val="left" w:pos="567"/>
        </w:tabs>
        <w:autoSpaceDE w:val="0"/>
        <w:autoSpaceDN w:val="0"/>
        <w:adjustRightInd w:val="0"/>
        <w:jc w:val="both"/>
        <w:rPr>
          <w:rFonts w:asciiTheme="majorHAnsi" w:hAnsiTheme="majorHAnsi" w:cstheme="majorBidi"/>
          <w:sz w:val="22"/>
          <w:szCs w:val="22"/>
        </w:rPr>
      </w:pPr>
      <w:r w:rsidRPr="229768D2">
        <w:rPr>
          <w:rFonts w:asciiTheme="majorHAnsi" w:hAnsiTheme="majorHAnsi" w:cstheme="majorBidi"/>
          <w:sz w:val="22"/>
          <w:szCs w:val="22"/>
        </w:rPr>
        <w:t>T</w:t>
      </w:r>
      <w:r w:rsidR="2B62903A" w:rsidRPr="229768D2">
        <w:rPr>
          <w:rFonts w:asciiTheme="majorHAnsi" w:hAnsiTheme="majorHAnsi" w:cstheme="majorBidi"/>
          <w:sz w:val="22"/>
          <w:szCs w:val="22"/>
        </w:rPr>
        <w:t xml:space="preserve">he inability of women married to foreigners to confer their </w:t>
      </w:r>
      <w:r w:rsidR="766B8E26" w:rsidRPr="229768D2">
        <w:rPr>
          <w:rFonts w:asciiTheme="majorHAnsi" w:hAnsiTheme="majorHAnsi" w:cstheme="majorBidi"/>
          <w:sz w:val="22"/>
          <w:szCs w:val="22"/>
        </w:rPr>
        <w:t xml:space="preserve">citizenship </w:t>
      </w:r>
      <w:r w:rsidR="2B62903A" w:rsidRPr="229768D2">
        <w:rPr>
          <w:rFonts w:asciiTheme="majorHAnsi" w:hAnsiTheme="majorHAnsi" w:cstheme="majorBidi"/>
          <w:sz w:val="22"/>
          <w:szCs w:val="22"/>
        </w:rPr>
        <w:t xml:space="preserve">on their children born abroad on an equal basis with </w:t>
      </w:r>
      <w:proofErr w:type="gramStart"/>
      <w:r w:rsidR="2B62903A" w:rsidRPr="229768D2">
        <w:rPr>
          <w:rFonts w:asciiTheme="majorHAnsi" w:hAnsiTheme="majorHAnsi" w:cstheme="majorBidi"/>
          <w:sz w:val="22"/>
          <w:szCs w:val="22"/>
        </w:rPr>
        <w:t>men;</w:t>
      </w:r>
      <w:proofErr w:type="gramEnd"/>
      <w:r w:rsidR="2B62903A" w:rsidRPr="229768D2">
        <w:rPr>
          <w:rFonts w:asciiTheme="majorHAnsi" w:hAnsiTheme="majorHAnsi" w:cstheme="majorBidi"/>
          <w:sz w:val="22"/>
          <w:szCs w:val="22"/>
        </w:rPr>
        <w:t xml:space="preserve"> </w:t>
      </w:r>
    </w:p>
    <w:p w14:paraId="18933F81" w14:textId="704BD883" w:rsidR="00DD7647" w:rsidRDefault="161D2222" w:rsidP="229768D2">
      <w:pPr>
        <w:pStyle w:val="ListParagraph"/>
        <w:widowControl w:val="0"/>
        <w:numPr>
          <w:ilvl w:val="0"/>
          <w:numId w:val="22"/>
        </w:numPr>
        <w:tabs>
          <w:tab w:val="left" w:pos="220"/>
          <w:tab w:val="left" w:pos="567"/>
        </w:tabs>
        <w:autoSpaceDE w:val="0"/>
        <w:autoSpaceDN w:val="0"/>
        <w:adjustRightInd w:val="0"/>
        <w:jc w:val="both"/>
        <w:rPr>
          <w:rFonts w:asciiTheme="majorHAnsi" w:hAnsiTheme="majorHAnsi" w:cstheme="majorBidi"/>
          <w:sz w:val="22"/>
          <w:szCs w:val="22"/>
        </w:rPr>
      </w:pPr>
      <w:r w:rsidRPr="229768D2">
        <w:rPr>
          <w:rFonts w:asciiTheme="majorHAnsi" w:hAnsiTheme="majorHAnsi" w:cstheme="majorBidi"/>
          <w:sz w:val="22"/>
          <w:szCs w:val="22"/>
        </w:rPr>
        <w:t>W</w:t>
      </w:r>
      <w:r w:rsidR="2B62903A" w:rsidRPr="229768D2">
        <w:rPr>
          <w:rFonts w:asciiTheme="majorHAnsi" w:hAnsiTheme="majorHAnsi" w:cstheme="majorBidi"/>
          <w:sz w:val="22"/>
          <w:szCs w:val="22"/>
        </w:rPr>
        <w:t xml:space="preserve">omen’s inability to confer </w:t>
      </w:r>
      <w:r w:rsidR="2148B524" w:rsidRPr="229768D2">
        <w:rPr>
          <w:rFonts w:asciiTheme="majorHAnsi" w:hAnsiTheme="majorHAnsi" w:cstheme="majorBidi"/>
          <w:sz w:val="22"/>
          <w:szCs w:val="22"/>
        </w:rPr>
        <w:t xml:space="preserve">citizenship </w:t>
      </w:r>
      <w:r w:rsidR="2B62903A" w:rsidRPr="229768D2">
        <w:rPr>
          <w:rFonts w:asciiTheme="majorHAnsi" w:hAnsiTheme="majorHAnsi" w:cstheme="majorBidi"/>
          <w:sz w:val="22"/>
          <w:szCs w:val="22"/>
        </w:rPr>
        <w:t>on spouses, a right reserved for men;</w:t>
      </w:r>
      <w:r w:rsidRPr="229768D2">
        <w:rPr>
          <w:rFonts w:asciiTheme="majorHAnsi" w:hAnsiTheme="majorHAnsi" w:cstheme="majorBidi"/>
          <w:sz w:val="22"/>
          <w:szCs w:val="22"/>
        </w:rPr>
        <w:t xml:space="preserve"> and</w:t>
      </w:r>
    </w:p>
    <w:p w14:paraId="3FAE7BDE" w14:textId="28BE03FD" w:rsidR="00985DE4" w:rsidRPr="00DD7647" w:rsidRDefault="161D2222" w:rsidP="229768D2">
      <w:pPr>
        <w:pStyle w:val="ListParagraph"/>
        <w:widowControl w:val="0"/>
        <w:numPr>
          <w:ilvl w:val="0"/>
          <w:numId w:val="22"/>
        </w:numPr>
        <w:tabs>
          <w:tab w:val="left" w:pos="220"/>
          <w:tab w:val="left" w:pos="567"/>
        </w:tabs>
        <w:autoSpaceDE w:val="0"/>
        <w:autoSpaceDN w:val="0"/>
        <w:adjustRightInd w:val="0"/>
        <w:jc w:val="both"/>
        <w:rPr>
          <w:rFonts w:asciiTheme="majorHAnsi" w:hAnsiTheme="majorHAnsi" w:cstheme="majorBidi"/>
          <w:sz w:val="22"/>
          <w:szCs w:val="22"/>
        </w:rPr>
      </w:pPr>
      <w:r w:rsidRPr="229768D2">
        <w:rPr>
          <w:rFonts w:asciiTheme="majorHAnsi" w:hAnsiTheme="majorHAnsi" w:cstheme="majorBidi"/>
          <w:sz w:val="22"/>
          <w:szCs w:val="22"/>
        </w:rPr>
        <w:t>T</w:t>
      </w:r>
      <w:r w:rsidR="2B62903A" w:rsidRPr="229768D2">
        <w:rPr>
          <w:rFonts w:asciiTheme="majorHAnsi" w:hAnsiTheme="majorHAnsi" w:cstheme="majorBidi"/>
          <w:sz w:val="22"/>
          <w:szCs w:val="22"/>
        </w:rPr>
        <w:t xml:space="preserve">he inability of unmarried Malaysian men to confer </w:t>
      </w:r>
      <w:r w:rsidR="6D9D7F69" w:rsidRPr="229768D2">
        <w:rPr>
          <w:rFonts w:asciiTheme="majorHAnsi" w:hAnsiTheme="majorHAnsi" w:cstheme="majorBidi"/>
          <w:sz w:val="22"/>
          <w:szCs w:val="22"/>
        </w:rPr>
        <w:t xml:space="preserve">citizenship </w:t>
      </w:r>
      <w:r w:rsidR="2B62903A" w:rsidRPr="229768D2">
        <w:rPr>
          <w:rFonts w:asciiTheme="majorHAnsi" w:hAnsiTheme="majorHAnsi" w:cstheme="majorBidi"/>
          <w:sz w:val="22"/>
          <w:szCs w:val="22"/>
        </w:rPr>
        <w:t xml:space="preserve">on children born out of wedlock on an equal basis with unmarried women. </w:t>
      </w:r>
    </w:p>
    <w:p w14:paraId="239289AE" w14:textId="77777777" w:rsidR="006B7F45" w:rsidRPr="000E3297" w:rsidRDefault="006B7F45" w:rsidP="00303D2D">
      <w:pPr>
        <w:widowControl w:val="0"/>
        <w:tabs>
          <w:tab w:val="left" w:pos="220"/>
          <w:tab w:val="left" w:pos="720"/>
        </w:tabs>
        <w:autoSpaceDE w:val="0"/>
        <w:autoSpaceDN w:val="0"/>
        <w:adjustRightInd w:val="0"/>
        <w:jc w:val="both"/>
        <w:rPr>
          <w:rFonts w:asciiTheme="majorHAnsi" w:hAnsiTheme="majorHAnsi" w:cstheme="majorHAnsi"/>
          <w:sz w:val="22"/>
          <w:szCs w:val="22"/>
        </w:rPr>
      </w:pPr>
    </w:p>
    <w:p w14:paraId="5A54E595" w14:textId="77777777" w:rsidR="00985DE4" w:rsidRPr="004A181E" w:rsidRDefault="00985DE4" w:rsidP="004A181E">
      <w:pPr>
        <w:widowControl w:val="0"/>
        <w:tabs>
          <w:tab w:val="left" w:pos="220"/>
          <w:tab w:val="left" w:pos="720"/>
        </w:tabs>
        <w:autoSpaceDE w:val="0"/>
        <w:autoSpaceDN w:val="0"/>
        <w:adjustRightInd w:val="0"/>
        <w:jc w:val="both"/>
        <w:rPr>
          <w:rFonts w:asciiTheme="majorHAnsi" w:hAnsiTheme="majorHAnsi" w:cstheme="majorHAnsi"/>
          <w:b/>
          <w:bCs/>
          <w:sz w:val="22"/>
          <w:szCs w:val="22"/>
        </w:rPr>
      </w:pPr>
    </w:p>
    <w:p w14:paraId="411B3244" w14:textId="24C2027C" w:rsidR="003F01EE" w:rsidRPr="00832AB9" w:rsidRDefault="00832AB9" w:rsidP="00303D2D">
      <w:pPr>
        <w:widowControl w:val="0"/>
        <w:autoSpaceDE w:val="0"/>
        <w:autoSpaceDN w:val="0"/>
        <w:adjustRightInd w:val="0"/>
        <w:jc w:val="both"/>
        <w:rPr>
          <w:rFonts w:ascii="Helvetica" w:hAnsi="Helvetica" w:cstheme="majorHAnsi"/>
          <w:color w:val="1E1052" w:themeColor="accent1" w:themeShade="BF"/>
          <w:sz w:val="28"/>
          <w:szCs w:val="22"/>
        </w:rPr>
      </w:pPr>
      <w:r w:rsidRPr="00832AB9">
        <w:rPr>
          <w:rFonts w:ascii="Helvetica" w:hAnsi="Helvetica" w:cstheme="majorHAnsi"/>
          <w:b/>
          <w:bCs/>
          <w:color w:val="1E1052" w:themeColor="accent1" w:themeShade="BF"/>
          <w:sz w:val="28"/>
          <w:szCs w:val="22"/>
        </w:rPr>
        <w:t>Malaysia</w:t>
      </w:r>
      <w:r w:rsidR="003F01EE" w:rsidRPr="00832AB9">
        <w:rPr>
          <w:rFonts w:ascii="Helvetica" w:hAnsi="Helvetica" w:cstheme="majorHAnsi"/>
          <w:b/>
          <w:bCs/>
          <w:color w:val="1E1052" w:themeColor="accent1" w:themeShade="BF"/>
          <w:sz w:val="28"/>
          <w:szCs w:val="22"/>
        </w:rPr>
        <w:t xml:space="preserve">’s International obligations </w:t>
      </w:r>
    </w:p>
    <w:p w14:paraId="72D43561" w14:textId="77777777" w:rsidR="006B7F45" w:rsidRPr="000E3297" w:rsidRDefault="006B7F45" w:rsidP="00303D2D">
      <w:pPr>
        <w:widowControl w:val="0"/>
        <w:autoSpaceDE w:val="0"/>
        <w:autoSpaceDN w:val="0"/>
        <w:adjustRightInd w:val="0"/>
        <w:jc w:val="both"/>
        <w:rPr>
          <w:rFonts w:asciiTheme="majorHAnsi" w:hAnsiTheme="majorHAnsi" w:cstheme="majorHAnsi"/>
          <w:sz w:val="22"/>
          <w:szCs w:val="22"/>
        </w:rPr>
      </w:pPr>
    </w:p>
    <w:p w14:paraId="54B6EC05" w14:textId="05C9A94E" w:rsidR="00DD3D29" w:rsidRPr="00DD3D29" w:rsidRDefault="52A06C70" w:rsidP="229768D2">
      <w:pPr>
        <w:pStyle w:val="ListParagraph"/>
        <w:numPr>
          <w:ilvl w:val="0"/>
          <w:numId w:val="7"/>
        </w:numPr>
        <w:jc w:val="both"/>
        <w:rPr>
          <w:rFonts w:asciiTheme="majorHAnsi" w:hAnsiTheme="majorHAnsi" w:cstheme="majorBidi"/>
          <w:color w:val="77BB40" w:themeColor="accent4"/>
          <w:sz w:val="22"/>
          <w:szCs w:val="22"/>
        </w:rPr>
      </w:pPr>
      <w:r w:rsidRPr="229768D2">
        <w:rPr>
          <w:rFonts w:asciiTheme="majorHAnsi" w:hAnsiTheme="majorHAnsi" w:cstheme="majorBidi"/>
          <w:sz w:val="22"/>
          <w:szCs w:val="22"/>
        </w:rPr>
        <w:lastRenderedPageBreak/>
        <w:t xml:space="preserve">In addition to the Convention on the Elimination of All Forms of Discrimination Against Women (CEDAW), </w:t>
      </w:r>
      <w:r w:rsidR="5B9F1CFB" w:rsidRPr="229768D2">
        <w:rPr>
          <w:rFonts w:asciiTheme="majorHAnsi" w:hAnsiTheme="majorHAnsi" w:cstheme="majorBidi"/>
          <w:sz w:val="22"/>
          <w:szCs w:val="22"/>
        </w:rPr>
        <w:t xml:space="preserve">Malaysia is a party to only </w:t>
      </w:r>
      <w:r w:rsidRPr="229768D2">
        <w:rPr>
          <w:rFonts w:asciiTheme="majorHAnsi" w:hAnsiTheme="majorHAnsi" w:cstheme="majorBidi"/>
          <w:sz w:val="22"/>
          <w:szCs w:val="22"/>
        </w:rPr>
        <w:t>two</w:t>
      </w:r>
      <w:r w:rsidR="5B9F1CFB" w:rsidRPr="229768D2">
        <w:rPr>
          <w:rFonts w:asciiTheme="majorHAnsi" w:hAnsiTheme="majorHAnsi" w:cstheme="majorBidi"/>
          <w:sz w:val="22"/>
          <w:szCs w:val="22"/>
        </w:rPr>
        <w:t xml:space="preserve"> of the </w:t>
      </w:r>
      <w:r w:rsidR="3E82E5C4" w:rsidRPr="229768D2">
        <w:rPr>
          <w:rFonts w:asciiTheme="majorHAnsi" w:hAnsiTheme="majorHAnsi" w:cstheme="majorBidi"/>
          <w:sz w:val="22"/>
          <w:szCs w:val="22"/>
        </w:rPr>
        <w:t xml:space="preserve">other </w:t>
      </w:r>
      <w:r w:rsidR="5B9F1CFB" w:rsidRPr="229768D2">
        <w:rPr>
          <w:rFonts w:asciiTheme="majorHAnsi" w:hAnsiTheme="majorHAnsi" w:cstheme="majorBidi"/>
          <w:sz w:val="22"/>
          <w:szCs w:val="22"/>
        </w:rPr>
        <w:t>core human rights instruments: the Convention on the Rights of the Child (CRC)</w:t>
      </w:r>
      <w:r w:rsidRPr="229768D2">
        <w:rPr>
          <w:rFonts w:asciiTheme="majorHAnsi" w:hAnsiTheme="majorHAnsi" w:cstheme="majorBidi"/>
          <w:sz w:val="22"/>
          <w:szCs w:val="22"/>
        </w:rPr>
        <w:t xml:space="preserve"> </w:t>
      </w:r>
      <w:r w:rsidR="5B9F1CFB" w:rsidRPr="229768D2">
        <w:rPr>
          <w:rFonts w:asciiTheme="majorHAnsi" w:hAnsiTheme="majorHAnsi" w:cstheme="majorBidi"/>
          <w:sz w:val="22"/>
          <w:szCs w:val="22"/>
        </w:rPr>
        <w:t>and the Convention on the Rights of Persons with Disabilities (CRPD). Many of Malaysia’s obligations as enshrined in the CEDAW, CRC and CRPD are provided for by existing domestic legislation. However, these are usually not applied in practice.</w:t>
      </w:r>
      <w:r w:rsidRPr="229768D2">
        <w:rPr>
          <w:rFonts w:asciiTheme="majorHAnsi" w:hAnsiTheme="majorHAnsi" w:cstheme="majorBidi"/>
          <w:sz w:val="22"/>
          <w:szCs w:val="22"/>
        </w:rPr>
        <w:t xml:space="preserve"> </w:t>
      </w:r>
      <w:r w:rsidR="5B9F1CFB" w:rsidRPr="229768D2">
        <w:rPr>
          <w:rFonts w:asciiTheme="majorHAnsi" w:hAnsiTheme="majorHAnsi" w:cstheme="majorBidi"/>
          <w:sz w:val="22"/>
          <w:szCs w:val="22"/>
        </w:rPr>
        <w:t>Malaysia has not yet acceded to other international human rights instruments. For example, Malaysia is not a party to the International Covenant on Civil and Political Rights (ICCPR), the International Covenant on Economic, Social and Cultural Rights (ICESCR), the International Convention on the Elimination of All Forms of Racial Discrimination (ICERD), the Convention against Torture (CAT), the 1951 Convention relating to the Status of Refugees (Refugee Convention), the 1954 Convention relating to the Status of Stateless Persons, the 1961 Convention on the Reduction of Statelessness and the ILO Convention No. 169 on Indigenous and Tribal Peoples, among others.</w:t>
      </w:r>
      <w:r w:rsidR="006403E7" w:rsidRPr="229768D2">
        <w:rPr>
          <w:rStyle w:val="FootnoteReference"/>
          <w:rFonts w:asciiTheme="majorHAnsi" w:hAnsiTheme="majorHAnsi" w:cstheme="majorBidi"/>
          <w:sz w:val="22"/>
          <w:szCs w:val="22"/>
        </w:rPr>
        <w:footnoteReference w:id="8"/>
      </w:r>
      <w:r w:rsidR="5B9F1CFB" w:rsidRPr="229768D2">
        <w:rPr>
          <w:rFonts w:asciiTheme="majorHAnsi" w:hAnsiTheme="majorHAnsi" w:cstheme="majorBidi"/>
          <w:sz w:val="22"/>
          <w:szCs w:val="22"/>
        </w:rPr>
        <w:t xml:space="preserve"> The human rights instruments to which Malaysia has acceded – CEDAW, CRC and CRPD – provide for the right to a nationality and equal nationality rights between women and men. However, the State has placed reservations on relevant provisions of these instruments as follows:</w:t>
      </w:r>
      <w:r w:rsidR="001538AE" w:rsidRPr="229768D2">
        <w:rPr>
          <w:rStyle w:val="FootnoteReference"/>
          <w:rFonts w:asciiTheme="majorHAnsi" w:hAnsiTheme="majorHAnsi" w:cstheme="majorBidi"/>
          <w:sz w:val="22"/>
          <w:szCs w:val="22"/>
        </w:rPr>
        <w:footnoteReference w:id="9"/>
      </w:r>
      <w:r w:rsidR="5B9F1CFB" w:rsidRPr="229768D2">
        <w:rPr>
          <w:rFonts w:asciiTheme="majorHAnsi" w:hAnsiTheme="majorHAnsi" w:cstheme="majorBidi"/>
          <w:sz w:val="22"/>
          <w:szCs w:val="22"/>
        </w:rPr>
        <w:t xml:space="preserve"> </w:t>
      </w:r>
    </w:p>
    <w:p w14:paraId="2A14A29E" w14:textId="77777777" w:rsidR="00DD3D29" w:rsidRPr="00DD3D29" w:rsidRDefault="00DD3D29" w:rsidP="00DD3D29">
      <w:pPr>
        <w:pStyle w:val="ListParagraph"/>
        <w:ind w:left="501"/>
        <w:jc w:val="both"/>
        <w:rPr>
          <w:rFonts w:asciiTheme="majorHAnsi" w:hAnsiTheme="majorHAnsi" w:cstheme="majorHAnsi"/>
          <w:color w:val="77BB40" w:themeColor="accent4"/>
          <w:sz w:val="22"/>
          <w:szCs w:val="22"/>
        </w:rPr>
      </w:pPr>
    </w:p>
    <w:p w14:paraId="20AEB3C3" w14:textId="6F9BB70B" w:rsidR="0014399B" w:rsidRPr="0014399B" w:rsidRDefault="0014399B" w:rsidP="0014399B">
      <w:pPr>
        <w:pStyle w:val="ListParagraph"/>
        <w:numPr>
          <w:ilvl w:val="0"/>
          <w:numId w:val="23"/>
        </w:numPr>
        <w:jc w:val="both"/>
        <w:rPr>
          <w:rFonts w:asciiTheme="majorHAnsi" w:hAnsiTheme="majorHAnsi" w:cstheme="majorBidi"/>
          <w:color w:val="77BB40" w:themeColor="accent4"/>
          <w:sz w:val="22"/>
          <w:szCs w:val="22"/>
        </w:rPr>
      </w:pPr>
      <w:r w:rsidRPr="0ACB2771">
        <w:rPr>
          <w:rFonts w:asciiTheme="majorHAnsi" w:hAnsiTheme="majorHAnsi" w:cstheme="majorBidi"/>
          <w:sz w:val="22"/>
          <w:szCs w:val="22"/>
        </w:rPr>
        <w:t xml:space="preserve">CEDAW: Article 9(2) (nationality of children); Article 16(1)(a) (right to </w:t>
      </w:r>
      <w:proofErr w:type="gramStart"/>
      <w:r w:rsidRPr="0ACB2771">
        <w:rPr>
          <w:rFonts w:asciiTheme="majorHAnsi" w:hAnsiTheme="majorHAnsi" w:cstheme="majorBidi"/>
          <w:sz w:val="22"/>
          <w:szCs w:val="22"/>
        </w:rPr>
        <w:t>enter into</w:t>
      </w:r>
      <w:proofErr w:type="gramEnd"/>
      <w:r w:rsidRPr="0ACB2771">
        <w:rPr>
          <w:rFonts w:asciiTheme="majorHAnsi" w:hAnsiTheme="majorHAnsi" w:cstheme="majorBidi"/>
          <w:sz w:val="22"/>
          <w:szCs w:val="22"/>
        </w:rPr>
        <w:t xml:space="preserve"> marriage); Article 16(1)(c) (rights during marriage and dissolution); Article 16(1)(f) (guardianship); Article 16(1)(g) (same personal rights between spouses); and Article 16(1)(h) (same property rights for spouses). Malaysia has also stated that the application of CEDAW in Malaysia is subject to compatibility with the Federal Constitution and Syariah (Islamic) </w:t>
      </w:r>
      <w:proofErr w:type="gramStart"/>
      <w:r w:rsidRPr="0ACB2771">
        <w:rPr>
          <w:rFonts w:asciiTheme="majorHAnsi" w:hAnsiTheme="majorHAnsi" w:cstheme="majorBidi"/>
          <w:sz w:val="22"/>
          <w:szCs w:val="22"/>
        </w:rPr>
        <w:t>law;</w:t>
      </w:r>
      <w:proofErr w:type="gramEnd"/>
    </w:p>
    <w:p w14:paraId="633A15C2" w14:textId="77777777" w:rsidR="0014399B" w:rsidRPr="0014399B" w:rsidRDefault="0014399B" w:rsidP="0014399B">
      <w:pPr>
        <w:pStyle w:val="ListParagraph"/>
        <w:ind w:left="1221"/>
        <w:jc w:val="both"/>
        <w:rPr>
          <w:rFonts w:asciiTheme="majorHAnsi" w:hAnsiTheme="majorHAnsi" w:cstheme="majorHAnsi"/>
          <w:color w:val="77BB40" w:themeColor="accent4"/>
          <w:sz w:val="22"/>
          <w:szCs w:val="22"/>
        </w:rPr>
      </w:pPr>
    </w:p>
    <w:p w14:paraId="64080B74" w14:textId="43CA264B" w:rsidR="0014399B" w:rsidRPr="0014399B" w:rsidRDefault="00DD3D29" w:rsidP="0014399B">
      <w:pPr>
        <w:pStyle w:val="ListParagraph"/>
        <w:numPr>
          <w:ilvl w:val="0"/>
          <w:numId w:val="23"/>
        </w:numPr>
        <w:jc w:val="both"/>
        <w:rPr>
          <w:rFonts w:asciiTheme="majorHAnsi" w:hAnsiTheme="majorHAnsi" w:cstheme="majorHAnsi"/>
          <w:color w:val="77BB40" w:themeColor="accent4"/>
          <w:sz w:val="22"/>
          <w:szCs w:val="22"/>
        </w:rPr>
      </w:pPr>
      <w:r w:rsidRPr="00DD3D29">
        <w:rPr>
          <w:rFonts w:asciiTheme="majorHAnsi" w:hAnsiTheme="majorHAnsi" w:cstheme="majorHAnsi"/>
          <w:sz w:val="22"/>
          <w:szCs w:val="22"/>
        </w:rPr>
        <w:t xml:space="preserve">CRC: Article 2 (non-discrimination); Article 7 (name and nationality); Article 14 (freedom of thought, </w:t>
      </w:r>
      <w:proofErr w:type="gramStart"/>
      <w:r w:rsidRPr="00DD3D29">
        <w:rPr>
          <w:rFonts w:asciiTheme="majorHAnsi" w:hAnsiTheme="majorHAnsi" w:cstheme="majorHAnsi"/>
          <w:sz w:val="22"/>
          <w:szCs w:val="22"/>
        </w:rPr>
        <w:t>conscience</w:t>
      </w:r>
      <w:proofErr w:type="gramEnd"/>
      <w:r w:rsidRPr="00DD3D29">
        <w:rPr>
          <w:rFonts w:asciiTheme="majorHAnsi" w:hAnsiTheme="majorHAnsi" w:cstheme="majorHAnsi"/>
          <w:sz w:val="22"/>
          <w:szCs w:val="22"/>
        </w:rPr>
        <w:t xml:space="preserve"> and religion); Article 28(1)(a) (free and compulsory education at the primary level); and Article 37 (freedom from torture or other cruel, inhuman or degrading treatment or punishment and arbitrary detention). With respect to Article 28 paragraph 1 (a) of the Convention, the Government of Malaysia has declared that primary education in Malaysia is made compulsory. Malaysia has also stated that the application of the CRC at a national level is subject to its compatibility with the Federal Constitution of Malaysia (Federal Constitution)</w:t>
      </w:r>
      <w:r w:rsidR="0014399B">
        <w:rPr>
          <w:rFonts w:asciiTheme="majorHAnsi" w:hAnsiTheme="majorHAnsi" w:cstheme="majorHAnsi"/>
          <w:sz w:val="22"/>
          <w:szCs w:val="22"/>
        </w:rPr>
        <w:t>;</w:t>
      </w:r>
      <w:r w:rsidR="00C71BD8">
        <w:rPr>
          <w:rStyle w:val="FootnoteReference"/>
          <w:rFonts w:asciiTheme="majorHAnsi" w:hAnsiTheme="majorHAnsi" w:cstheme="majorHAnsi"/>
          <w:sz w:val="22"/>
          <w:szCs w:val="22"/>
        </w:rPr>
        <w:footnoteReference w:id="10"/>
      </w:r>
      <w:r w:rsidR="0014399B">
        <w:rPr>
          <w:rFonts w:asciiTheme="majorHAnsi" w:hAnsiTheme="majorHAnsi" w:cstheme="majorHAnsi"/>
          <w:sz w:val="22"/>
          <w:szCs w:val="22"/>
        </w:rPr>
        <w:t xml:space="preserve"> and</w:t>
      </w:r>
    </w:p>
    <w:p w14:paraId="169444E8" w14:textId="77777777" w:rsidR="0014399B" w:rsidRPr="0014399B" w:rsidRDefault="0014399B" w:rsidP="0014399B">
      <w:pPr>
        <w:jc w:val="both"/>
        <w:rPr>
          <w:rFonts w:asciiTheme="majorHAnsi" w:hAnsiTheme="majorHAnsi" w:cstheme="majorHAnsi"/>
          <w:color w:val="77BB40" w:themeColor="accent4"/>
          <w:sz w:val="22"/>
          <w:szCs w:val="22"/>
        </w:rPr>
      </w:pPr>
    </w:p>
    <w:p w14:paraId="32ED2551" w14:textId="77777777" w:rsidR="00E64722" w:rsidRPr="00E64722" w:rsidRDefault="00DD3D29" w:rsidP="00DD3D29">
      <w:pPr>
        <w:pStyle w:val="ListParagraph"/>
        <w:numPr>
          <w:ilvl w:val="0"/>
          <w:numId w:val="23"/>
        </w:numPr>
        <w:jc w:val="both"/>
        <w:rPr>
          <w:rFonts w:asciiTheme="majorHAnsi" w:hAnsiTheme="majorHAnsi" w:cstheme="majorHAnsi"/>
          <w:color w:val="77BB40" w:themeColor="accent4"/>
          <w:sz w:val="22"/>
          <w:szCs w:val="22"/>
        </w:rPr>
      </w:pPr>
      <w:r w:rsidRPr="00DD3D29">
        <w:rPr>
          <w:rFonts w:asciiTheme="majorHAnsi" w:hAnsiTheme="majorHAnsi" w:cstheme="majorHAnsi"/>
          <w:sz w:val="22"/>
          <w:szCs w:val="22"/>
        </w:rPr>
        <w:t xml:space="preserve">CRPD: Article 15 (freedom from torture, or cruel, </w:t>
      </w:r>
      <w:proofErr w:type="gramStart"/>
      <w:r w:rsidRPr="00DD3D29">
        <w:rPr>
          <w:rFonts w:asciiTheme="majorHAnsi" w:hAnsiTheme="majorHAnsi" w:cstheme="majorHAnsi"/>
          <w:sz w:val="22"/>
          <w:szCs w:val="22"/>
        </w:rPr>
        <w:t>inhuman</w:t>
      </w:r>
      <w:proofErr w:type="gramEnd"/>
      <w:r w:rsidRPr="00DD3D29">
        <w:rPr>
          <w:rFonts w:asciiTheme="majorHAnsi" w:hAnsiTheme="majorHAnsi" w:cstheme="majorHAnsi"/>
          <w:sz w:val="22"/>
          <w:szCs w:val="22"/>
        </w:rPr>
        <w:t xml:space="preserve"> or degrading treatment or punishment) and Article 18 (freedom of movement and nationality). </w:t>
      </w:r>
    </w:p>
    <w:p w14:paraId="4EBD5324" w14:textId="77777777" w:rsidR="00E64722" w:rsidRPr="00E64722" w:rsidRDefault="00E64722" w:rsidP="00E64722">
      <w:pPr>
        <w:pStyle w:val="ListParagraph"/>
        <w:rPr>
          <w:rFonts w:asciiTheme="majorHAnsi" w:hAnsiTheme="majorHAnsi" w:cstheme="majorHAnsi"/>
          <w:sz w:val="22"/>
          <w:szCs w:val="22"/>
        </w:rPr>
      </w:pPr>
    </w:p>
    <w:p w14:paraId="6CC32462" w14:textId="5552C23A" w:rsidR="00DD3D29" w:rsidRPr="00E64722" w:rsidRDefault="00DD3D29" w:rsidP="00E64722">
      <w:pPr>
        <w:ind w:left="501"/>
        <w:jc w:val="both"/>
        <w:rPr>
          <w:rFonts w:asciiTheme="majorHAnsi" w:hAnsiTheme="majorHAnsi" w:cstheme="majorHAnsi"/>
          <w:color w:val="77BB40" w:themeColor="accent4"/>
          <w:sz w:val="22"/>
          <w:szCs w:val="22"/>
        </w:rPr>
      </w:pPr>
      <w:r w:rsidRPr="00E64722">
        <w:rPr>
          <w:rFonts w:asciiTheme="majorHAnsi" w:hAnsiTheme="majorHAnsi" w:cstheme="majorHAnsi"/>
          <w:sz w:val="22"/>
          <w:szCs w:val="22"/>
        </w:rPr>
        <w:t>At its previous UPR in 2018, Malaysia rejected recommendations to remove the abovementioned reservations to CEDAW.</w:t>
      </w:r>
      <w:r w:rsidR="00C71BD8">
        <w:rPr>
          <w:rStyle w:val="FootnoteReference"/>
          <w:rFonts w:asciiTheme="majorHAnsi" w:hAnsiTheme="majorHAnsi" w:cstheme="majorHAnsi"/>
          <w:sz w:val="22"/>
          <w:szCs w:val="22"/>
        </w:rPr>
        <w:footnoteReference w:id="11"/>
      </w:r>
    </w:p>
    <w:p w14:paraId="02780948" w14:textId="77777777" w:rsidR="00DD3D29" w:rsidRPr="00DD3D29" w:rsidRDefault="00DD3D29" w:rsidP="00DD3D29">
      <w:pPr>
        <w:pStyle w:val="ListParagraph"/>
        <w:ind w:left="1221"/>
        <w:jc w:val="both"/>
        <w:rPr>
          <w:rFonts w:asciiTheme="majorHAnsi" w:hAnsiTheme="majorHAnsi" w:cstheme="majorHAnsi"/>
          <w:color w:val="77BB40" w:themeColor="accent4"/>
          <w:sz w:val="22"/>
          <w:szCs w:val="22"/>
        </w:rPr>
      </w:pPr>
    </w:p>
    <w:p w14:paraId="38915EC6" w14:textId="2FDDCFD8" w:rsidR="00DD3D29" w:rsidRPr="00DD3D29" w:rsidRDefault="00BF3474" w:rsidP="00DD3D29">
      <w:pPr>
        <w:pStyle w:val="ListParagraph"/>
        <w:numPr>
          <w:ilvl w:val="0"/>
          <w:numId w:val="7"/>
        </w:numPr>
        <w:jc w:val="both"/>
        <w:rPr>
          <w:rFonts w:asciiTheme="majorHAnsi" w:hAnsiTheme="majorHAnsi" w:cstheme="majorHAnsi"/>
          <w:color w:val="77BB40" w:themeColor="accent4"/>
          <w:sz w:val="22"/>
          <w:szCs w:val="22"/>
        </w:rPr>
      </w:pPr>
      <w:r>
        <w:rPr>
          <w:rFonts w:asciiTheme="majorHAnsi" w:hAnsiTheme="majorHAnsi" w:cstheme="majorHAnsi"/>
          <w:sz w:val="22"/>
          <w:szCs w:val="22"/>
        </w:rPr>
        <w:t>I</w:t>
      </w:r>
      <w:r w:rsidR="00DD3D29" w:rsidRPr="00DD3D29">
        <w:rPr>
          <w:rFonts w:asciiTheme="majorHAnsi" w:hAnsiTheme="majorHAnsi" w:cstheme="majorHAnsi"/>
          <w:sz w:val="22"/>
          <w:szCs w:val="22"/>
        </w:rPr>
        <w:t xml:space="preserve">t must be noted that in addition to treaty obligations, as a </w:t>
      </w:r>
      <w:r>
        <w:rPr>
          <w:rFonts w:asciiTheme="majorHAnsi" w:hAnsiTheme="majorHAnsi" w:cstheme="majorHAnsi"/>
          <w:sz w:val="22"/>
          <w:szCs w:val="22"/>
        </w:rPr>
        <w:t>M</w:t>
      </w:r>
      <w:r w:rsidR="00DD3D29" w:rsidRPr="00DD3D29">
        <w:rPr>
          <w:rFonts w:asciiTheme="majorHAnsi" w:hAnsiTheme="majorHAnsi" w:cstheme="majorHAnsi"/>
          <w:sz w:val="22"/>
          <w:szCs w:val="22"/>
        </w:rPr>
        <w:t xml:space="preserve">ember State of the United Nations, Malaysia is obligated by the UN Charter to promote </w:t>
      </w:r>
      <w:r w:rsidR="00DD3D29" w:rsidRPr="00EE6F8E">
        <w:rPr>
          <w:rFonts w:asciiTheme="majorHAnsi" w:hAnsiTheme="majorHAnsi" w:cstheme="majorHAnsi"/>
          <w:i/>
          <w:iCs/>
          <w:sz w:val="22"/>
          <w:szCs w:val="22"/>
        </w:rPr>
        <w:t xml:space="preserve">“universal respect for, and observance of, human rights and fundamental freedoms for all without distinction as to </w:t>
      </w:r>
      <w:r w:rsidR="00DD3D29" w:rsidRPr="00EE6F8E">
        <w:rPr>
          <w:rFonts w:asciiTheme="majorHAnsi" w:hAnsiTheme="majorHAnsi" w:cstheme="majorHAnsi"/>
          <w:i/>
          <w:iCs/>
          <w:sz w:val="22"/>
          <w:szCs w:val="22"/>
        </w:rPr>
        <w:lastRenderedPageBreak/>
        <w:t>race, sex, language, or religion</w:t>
      </w:r>
      <w:r w:rsidR="006500BB" w:rsidRPr="00EE6F8E">
        <w:rPr>
          <w:rFonts w:asciiTheme="majorHAnsi" w:hAnsiTheme="majorHAnsi" w:cstheme="majorHAnsi"/>
          <w:i/>
          <w:iCs/>
          <w:sz w:val="22"/>
          <w:szCs w:val="22"/>
        </w:rPr>
        <w:t>.</w:t>
      </w:r>
      <w:r w:rsidR="00DD3D29" w:rsidRPr="00EE6F8E">
        <w:rPr>
          <w:rFonts w:asciiTheme="majorHAnsi" w:hAnsiTheme="majorHAnsi" w:cstheme="majorHAnsi"/>
          <w:i/>
          <w:iCs/>
          <w:sz w:val="22"/>
          <w:szCs w:val="22"/>
        </w:rPr>
        <w:t>”</w:t>
      </w:r>
      <w:r w:rsidR="006500BB">
        <w:rPr>
          <w:rStyle w:val="FootnoteReference"/>
          <w:rFonts w:asciiTheme="majorHAnsi" w:hAnsiTheme="majorHAnsi" w:cstheme="majorHAnsi"/>
          <w:sz w:val="22"/>
          <w:szCs w:val="22"/>
        </w:rPr>
        <w:footnoteReference w:id="12"/>
      </w:r>
      <w:r w:rsidR="009A0631">
        <w:rPr>
          <w:rFonts w:asciiTheme="majorHAnsi" w:hAnsiTheme="majorHAnsi" w:cstheme="majorHAnsi"/>
          <w:sz w:val="22"/>
          <w:szCs w:val="22"/>
        </w:rPr>
        <w:t xml:space="preserve"> </w:t>
      </w:r>
      <w:r w:rsidR="00DD3D29" w:rsidRPr="00DD3D29">
        <w:rPr>
          <w:rFonts w:asciiTheme="majorHAnsi" w:hAnsiTheme="majorHAnsi" w:cstheme="majorHAnsi"/>
          <w:sz w:val="22"/>
          <w:szCs w:val="22"/>
        </w:rPr>
        <w:t>These human rights and fundamental freedoms are specified in the Universal Declaration of Human Rights (UDHR), many of which are also recognised as principles of customary international law.</w:t>
      </w:r>
      <w:r w:rsidR="006500BB">
        <w:rPr>
          <w:rStyle w:val="FootnoteReference"/>
          <w:rFonts w:asciiTheme="majorHAnsi" w:hAnsiTheme="majorHAnsi" w:cstheme="majorHAnsi"/>
          <w:sz w:val="22"/>
          <w:szCs w:val="22"/>
        </w:rPr>
        <w:footnoteReference w:id="13"/>
      </w:r>
    </w:p>
    <w:p w14:paraId="1D544E56" w14:textId="77777777" w:rsidR="00DD3D29" w:rsidRPr="00DD3D29" w:rsidRDefault="00DD3D29" w:rsidP="00DD3D29">
      <w:pPr>
        <w:pStyle w:val="ListParagraph"/>
        <w:ind w:left="501"/>
        <w:jc w:val="both"/>
        <w:rPr>
          <w:rFonts w:asciiTheme="majorHAnsi" w:hAnsiTheme="majorHAnsi" w:cstheme="majorHAnsi"/>
          <w:color w:val="77BB40" w:themeColor="accent4"/>
          <w:sz w:val="22"/>
          <w:szCs w:val="22"/>
        </w:rPr>
      </w:pPr>
    </w:p>
    <w:p w14:paraId="53700951" w14:textId="0CEDA64F" w:rsidR="00DD3D29" w:rsidRPr="00DD3D29" w:rsidRDefault="00DD3D29" w:rsidP="00DD3D29">
      <w:pPr>
        <w:pStyle w:val="ListParagraph"/>
        <w:numPr>
          <w:ilvl w:val="0"/>
          <w:numId w:val="7"/>
        </w:numPr>
        <w:jc w:val="both"/>
        <w:rPr>
          <w:rFonts w:asciiTheme="majorHAnsi" w:hAnsiTheme="majorHAnsi" w:cstheme="majorBidi"/>
          <w:color w:val="77BB40" w:themeColor="accent4"/>
          <w:sz w:val="22"/>
          <w:szCs w:val="22"/>
        </w:rPr>
      </w:pPr>
      <w:r w:rsidRPr="0ACB2771">
        <w:rPr>
          <w:rFonts w:asciiTheme="majorHAnsi" w:hAnsiTheme="majorHAnsi" w:cstheme="majorBidi"/>
          <w:sz w:val="22"/>
          <w:szCs w:val="22"/>
        </w:rPr>
        <w:t>Furthermore, as a member State of the Association of Southeast Asian Nations (ASEAN), Malaysia is a signatory to the 2012 ASEAN Human Rights Declaration. Although this declaration is a non-binding document, it nonetheless reflects consensus as to the importance of human rights in the region.</w:t>
      </w:r>
      <w:r w:rsidR="00321F2F" w:rsidRPr="0ACB2771">
        <w:rPr>
          <w:rStyle w:val="FootnoteReference"/>
          <w:rFonts w:asciiTheme="majorHAnsi" w:hAnsiTheme="majorHAnsi" w:cstheme="majorBidi"/>
          <w:sz w:val="22"/>
          <w:szCs w:val="22"/>
        </w:rPr>
        <w:footnoteReference w:id="14"/>
      </w:r>
      <w:r w:rsidRPr="0ACB2771">
        <w:rPr>
          <w:rFonts w:asciiTheme="majorHAnsi" w:hAnsiTheme="majorHAnsi" w:cstheme="majorBidi"/>
          <w:sz w:val="22"/>
          <w:szCs w:val="22"/>
        </w:rPr>
        <w:t xml:space="preserve"> </w:t>
      </w:r>
    </w:p>
    <w:p w14:paraId="3AC92F1D" w14:textId="77777777" w:rsidR="00DD3D29" w:rsidRPr="00DD3D29" w:rsidRDefault="00DD3D29" w:rsidP="00DD3D29">
      <w:pPr>
        <w:jc w:val="both"/>
        <w:rPr>
          <w:rFonts w:asciiTheme="majorHAnsi" w:hAnsiTheme="majorHAnsi" w:cstheme="majorHAnsi"/>
          <w:color w:val="77BB40" w:themeColor="accent4"/>
          <w:sz w:val="22"/>
          <w:szCs w:val="22"/>
        </w:rPr>
      </w:pPr>
    </w:p>
    <w:p w14:paraId="18E37019" w14:textId="3E5163D7" w:rsidR="00DD3D29" w:rsidRPr="00DD3D29" w:rsidRDefault="00DD3D29" w:rsidP="00DD3D29">
      <w:pPr>
        <w:pStyle w:val="ListParagraph"/>
        <w:numPr>
          <w:ilvl w:val="0"/>
          <w:numId w:val="7"/>
        </w:numPr>
        <w:jc w:val="both"/>
        <w:rPr>
          <w:rFonts w:asciiTheme="majorHAnsi" w:hAnsiTheme="majorHAnsi" w:cstheme="majorHAnsi"/>
          <w:color w:val="77BB40" w:themeColor="accent4"/>
          <w:sz w:val="22"/>
          <w:szCs w:val="22"/>
        </w:rPr>
      </w:pPr>
      <w:r w:rsidRPr="00DD3D29">
        <w:rPr>
          <w:rFonts w:asciiTheme="majorHAnsi" w:hAnsiTheme="majorHAnsi" w:cstheme="majorHAnsi"/>
          <w:sz w:val="22"/>
          <w:szCs w:val="22"/>
        </w:rPr>
        <w:t>The combined effect of Malaysia’s lack of implementation of its domestic legislation that incorporates its international obligations, reservations to CEDAW, CRC and CRPD, and the lack of accession to other relevant human rights instruments is of great concern in the context of gender discriminatory nationality laws and statelessness in Malaysia, as it implies that the State does not view the right to a nationality of paramount importance.</w:t>
      </w:r>
    </w:p>
    <w:p w14:paraId="5A75C986" w14:textId="77777777" w:rsidR="00353154" w:rsidRDefault="00353154" w:rsidP="004C306D">
      <w:pPr>
        <w:widowControl w:val="0"/>
        <w:autoSpaceDE w:val="0"/>
        <w:autoSpaceDN w:val="0"/>
        <w:adjustRightInd w:val="0"/>
        <w:jc w:val="both"/>
        <w:rPr>
          <w:rFonts w:asciiTheme="majorHAnsi" w:hAnsiTheme="majorHAnsi" w:cstheme="majorHAnsi"/>
          <w:sz w:val="22"/>
          <w:szCs w:val="22"/>
        </w:rPr>
      </w:pPr>
    </w:p>
    <w:p w14:paraId="171160C3" w14:textId="77777777" w:rsidR="00E60AE8" w:rsidRDefault="00E60AE8" w:rsidP="004C306D">
      <w:pPr>
        <w:widowControl w:val="0"/>
        <w:autoSpaceDE w:val="0"/>
        <w:autoSpaceDN w:val="0"/>
        <w:adjustRightInd w:val="0"/>
        <w:jc w:val="both"/>
        <w:rPr>
          <w:rFonts w:asciiTheme="majorHAnsi" w:hAnsiTheme="majorHAnsi" w:cstheme="majorHAnsi"/>
          <w:sz w:val="22"/>
          <w:szCs w:val="22"/>
        </w:rPr>
      </w:pPr>
    </w:p>
    <w:p w14:paraId="5C3CB8CD" w14:textId="09D69917" w:rsidR="00E60AE8" w:rsidRDefault="00E60AE8" w:rsidP="00E60AE8">
      <w:pPr>
        <w:widowControl w:val="0"/>
        <w:autoSpaceDE w:val="0"/>
        <w:autoSpaceDN w:val="0"/>
        <w:adjustRightInd w:val="0"/>
        <w:jc w:val="both"/>
        <w:rPr>
          <w:rFonts w:ascii="Helvetica" w:hAnsi="Helvetica" w:cstheme="majorHAnsi"/>
          <w:b/>
          <w:bCs/>
          <w:color w:val="1E1052" w:themeColor="accent1" w:themeShade="BF"/>
          <w:sz w:val="28"/>
          <w:szCs w:val="22"/>
        </w:rPr>
      </w:pPr>
      <w:r>
        <w:rPr>
          <w:rFonts w:ascii="Helvetica" w:hAnsi="Helvetica" w:cstheme="majorHAnsi"/>
          <w:b/>
          <w:bCs/>
          <w:color w:val="1E1052" w:themeColor="accent1" w:themeShade="BF"/>
          <w:sz w:val="28"/>
          <w:szCs w:val="22"/>
        </w:rPr>
        <w:t xml:space="preserve">Previous recommendations </w:t>
      </w:r>
      <w:r w:rsidRPr="00832AB9">
        <w:rPr>
          <w:rFonts w:ascii="Helvetica" w:hAnsi="Helvetica" w:cstheme="majorHAnsi"/>
          <w:b/>
          <w:bCs/>
          <w:color w:val="1E1052" w:themeColor="accent1" w:themeShade="BF"/>
          <w:sz w:val="28"/>
          <w:szCs w:val="22"/>
        </w:rPr>
        <w:t xml:space="preserve"> </w:t>
      </w:r>
    </w:p>
    <w:p w14:paraId="654E0FE6" w14:textId="77777777" w:rsidR="00E60AE8" w:rsidRPr="00E60AE8" w:rsidRDefault="00E60AE8" w:rsidP="00E60AE8">
      <w:pPr>
        <w:widowControl w:val="0"/>
        <w:autoSpaceDE w:val="0"/>
        <w:autoSpaceDN w:val="0"/>
        <w:adjustRightInd w:val="0"/>
        <w:jc w:val="both"/>
        <w:rPr>
          <w:rFonts w:asciiTheme="majorHAnsi" w:hAnsiTheme="majorHAnsi" w:cstheme="majorHAnsi"/>
          <w:color w:val="1E1052" w:themeColor="accent1" w:themeShade="BF"/>
          <w:sz w:val="22"/>
          <w:szCs w:val="22"/>
        </w:rPr>
      </w:pPr>
    </w:p>
    <w:p w14:paraId="6F1D33A3" w14:textId="23C0BE95" w:rsidR="000B6FFA" w:rsidRPr="00643D60" w:rsidRDefault="000B6FFA" w:rsidP="00701F7D">
      <w:pPr>
        <w:pStyle w:val="ListParagraph"/>
        <w:widowControl w:val="0"/>
        <w:numPr>
          <w:ilvl w:val="0"/>
          <w:numId w:val="7"/>
        </w:numPr>
        <w:autoSpaceDE w:val="0"/>
        <w:autoSpaceDN w:val="0"/>
        <w:adjustRightInd w:val="0"/>
        <w:jc w:val="both"/>
        <w:rPr>
          <w:rFonts w:asciiTheme="majorHAnsi" w:hAnsiTheme="majorHAnsi" w:cstheme="majorBidi"/>
          <w:color w:val="1E1052" w:themeColor="accent1" w:themeShade="BF"/>
          <w:sz w:val="22"/>
          <w:szCs w:val="22"/>
        </w:rPr>
      </w:pPr>
      <w:r w:rsidRPr="0ACB2771">
        <w:rPr>
          <w:rFonts w:asciiTheme="majorHAnsi" w:hAnsiTheme="majorHAnsi" w:cstheme="majorBidi"/>
          <w:sz w:val="22"/>
          <w:szCs w:val="22"/>
        </w:rPr>
        <w:t xml:space="preserve">In 2018, CEDAW recommended Malaysia to </w:t>
      </w:r>
      <w:r w:rsidR="00BF3474" w:rsidRPr="0ACB2771">
        <w:rPr>
          <w:rFonts w:asciiTheme="majorHAnsi" w:hAnsiTheme="majorHAnsi" w:cstheme="majorBidi"/>
          <w:i/>
          <w:iCs/>
          <w:sz w:val="22"/>
          <w:szCs w:val="22"/>
        </w:rPr>
        <w:t>“A</w:t>
      </w:r>
      <w:r w:rsidRPr="0ACB2771">
        <w:rPr>
          <w:rFonts w:asciiTheme="majorHAnsi" w:hAnsiTheme="majorHAnsi" w:cstheme="majorBidi"/>
          <w:i/>
          <w:iCs/>
          <w:sz w:val="22"/>
          <w:szCs w:val="22"/>
        </w:rPr>
        <w:t>mend all provisions of the Federal Constitution that deny women equal rights with respect to the transmission of their nationality to their children and foreign spouses. It also recommends that the State party ratify the Convention relating to the Status of Stateless Persons and the Convention on the Reduction of Statelessness.</w:t>
      </w:r>
      <w:r w:rsidR="00BF3474" w:rsidRPr="0ACB2771">
        <w:rPr>
          <w:rFonts w:asciiTheme="majorHAnsi" w:hAnsiTheme="majorHAnsi" w:cstheme="majorBidi"/>
          <w:i/>
          <w:iCs/>
          <w:sz w:val="22"/>
          <w:szCs w:val="22"/>
        </w:rPr>
        <w:t>”</w:t>
      </w:r>
      <w:r w:rsidR="00AC6049" w:rsidRPr="0ACB2771">
        <w:rPr>
          <w:rStyle w:val="FootnoteReference"/>
          <w:rFonts w:asciiTheme="majorHAnsi" w:hAnsiTheme="majorHAnsi" w:cstheme="majorBidi"/>
          <w:sz w:val="22"/>
          <w:szCs w:val="22"/>
        </w:rPr>
        <w:footnoteReference w:id="15"/>
      </w:r>
    </w:p>
    <w:p w14:paraId="0537147A" w14:textId="77777777" w:rsidR="000B6FFA" w:rsidRPr="000B6FFA" w:rsidRDefault="000B6FFA" w:rsidP="000B6FFA">
      <w:pPr>
        <w:pStyle w:val="ListParagraph"/>
        <w:widowControl w:val="0"/>
        <w:autoSpaceDE w:val="0"/>
        <w:autoSpaceDN w:val="0"/>
        <w:adjustRightInd w:val="0"/>
        <w:ind w:left="501"/>
        <w:jc w:val="both"/>
        <w:rPr>
          <w:rFonts w:asciiTheme="majorHAnsi" w:hAnsiTheme="majorHAnsi" w:cstheme="majorHAnsi"/>
          <w:color w:val="1E1052" w:themeColor="accent1" w:themeShade="BF"/>
          <w:sz w:val="22"/>
          <w:szCs w:val="22"/>
        </w:rPr>
      </w:pPr>
    </w:p>
    <w:p w14:paraId="449AC14D" w14:textId="6DA15B5F" w:rsidR="00701F7D" w:rsidRPr="00C63021" w:rsidRDefault="00E60AE8" w:rsidP="73254A26">
      <w:pPr>
        <w:pStyle w:val="ListParagraph"/>
        <w:widowControl w:val="0"/>
        <w:numPr>
          <w:ilvl w:val="0"/>
          <w:numId w:val="7"/>
        </w:numPr>
        <w:autoSpaceDE w:val="0"/>
        <w:autoSpaceDN w:val="0"/>
        <w:adjustRightInd w:val="0"/>
        <w:jc w:val="both"/>
        <w:rPr>
          <w:rFonts w:asciiTheme="majorHAnsi" w:hAnsiTheme="majorHAnsi" w:cstheme="majorBidi"/>
          <w:color w:val="1E1052" w:themeColor="accent1" w:themeShade="BF"/>
          <w:sz w:val="22"/>
          <w:szCs w:val="22"/>
        </w:rPr>
      </w:pPr>
      <w:r w:rsidRPr="73254A26">
        <w:rPr>
          <w:rFonts w:asciiTheme="majorHAnsi" w:hAnsiTheme="majorHAnsi" w:cstheme="majorBidi"/>
          <w:sz w:val="22"/>
          <w:szCs w:val="22"/>
        </w:rPr>
        <w:t>During the UPR</w:t>
      </w:r>
      <w:r w:rsidR="000B6FFA" w:rsidRPr="73254A26">
        <w:rPr>
          <w:rFonts w:asciiTheme="majorHAnsi" w:hAnsiTheme="majorHAnsi" w:cstheme="majorBidi"/>
          <w:sz w:val="22"/>
          <w:szCs w:val="22"/>
        </w:rPr>
        <w:t xml:space="preserve"> in the same year</w:t>
      </w:r>
      <w:r w:rsidRPr="73254A26">
        <w:rPr>
          <w:rFonts w:asciiTheme="majorHAnsi" w:hAnsiTheme="majorHAnsi" w:cstheme="majorBidi"/>
          <w:sz w:val="22"/>
          <w:szCs w:val="22"/>
        </w:rPr>
        <w:t>, Malaysia received three recommendations on ensuring gender equality in national legislation and policies in respect of the conferral of nationality to children and/or spouses (Belgium, Haiti, Iceland), three recommendations on withdrawing reservations, inter alia, to article 9 CEDAW (Turkey, Sweden, Norway) and one recommendation on protecting the right to nationality and preventing statelessness of children born to Malaysian citizens (Kenya).</w:t>
      </w:r>
      <w:r w:rsidR="00430C91" w:rsidRPr="73254A26">
        <w:rPr>
          <w:rStyle w:val="FootnoteReference"/>
          <w:rFonts w:asciiTheme="majorHAnsi" w:hAnsiTheme="majorHAnsi" w:cstheme="majorBidi"/>
          <w:sz w:val="22"/>
          <w:szCs w:val="22"/>
        </w:rPr>
        <w:footnoteReference w:id="16"/>
      </w:r>
      <w:r w:rsidRPr="73254A26">
        <w:rPr>
          <w:rFonts w:asciiTheme="majorHAnsi" w:hAnsiTheme="majorHAnsi" w:cstheme="majorBidi"/>
          <w:sz w:val="22"/>
          <w:szCs w:val="22"/>
        </w:rPr>
        <w:t xml:space="preserve"> All these recommendations were noted by Malaysia.</w:t>
      </w:r>
      <w:r w:rsidR="00430C91" w:rsidRPr="73254A26">
        <w:rPr>
          <w:rStyle w:val="FootnoteReference"/>
          <w:rFonts w:asciiTheme="majorHAnsi" w:hAnsiTheme="majorHAnsi" w:cstheme="majorBidi"/>
          <w:sz w:val="22"/>
          <w:szCs w:val="22"/>
        </w:rPr>
        <w:footnoteReference w:id="17"/>
      </w:r>
    </w:p>
    <w:p w14:paraId="4FEDAAF1" w14:textId="77777777" w:rsidR="00C63021" w:rsidRPr="00C63021" w:rsidRDefault="00C63021" w:rsidP="00C63021">
      <w:pPr>
        <w:pStyle w:val="ListParagraph"/>
        <w:rPr>
          <w:rFonts w:asciiTheme="majorHAnsi" w:hAnsiTheme="majorHAnsi" w:cstheme="majorBidi"/>
          <w:color w:val="1E1052" w:themeColor="accent1" w:themeShade="BF"/>
          <w:sz w:val="22"/>
          <w:szCs w:val="22"/>
        </w:rPr>
      </w:pPr>
    </w:p>
    <w:p w14:paraId="4387E875" w14:textId="0D635F37" w:rsidR="00C63021" w:rsidRPr="000052FE" w:rsidRDefault="00C63021" w:rsidP="73254A26">
      <w:pPr>
        <w:pStyle w:val="ListParagraph"/>
        <w:widowControl w:val="0"/>
        <w:numPr>
          <w:ilvl w:val="0"/>
          <w:numId w:val="7"/>
        </w:numPr>
        <w:autoSpaceDE w:val="0"/>
        <w:autoSpaceDN w:val="0"/>
        <w:adjustRightInd w:val="0"/>
        <w:jc w:val="both"/>
        <w:rPr>
          <w:rFonts w:asciiTheme="majorHAnsi" w:hAnsiTheme="majorHAnsi" w:cstheme="majorBidi"/>
          <w:color w:val="000000" w:themeColor="text1"/>
          <w:sz w:val="22"/>
          <w:szCs w:val="22"/>
        </w:rPr>
      </w:pPr>
      <w:r w:rsidRPr="000052FE">
        <w:rPr>
          <w:rFonts w:asciiTheme="majorHAnsi" w:hAnsiTheme="majorHAnsi" w:cstheme="majorBidi"/>
          <w:color w:val="000000" w:themeColor="text1"/>
          <w:sz w:val="22"/>
          <w:szCs w:val="22"/>
        </w:rPr>
        <w:t xml:space="preserve">Malaysia was also reviewed </w:t>
      </w:r>
      <w:r w:rsidR="00F64991" w:rsidRPr="000052FE">
        <w:rPr>
          <w:rFonts w:asciiTheme="majorHAnsi" w:hAnsiTheme="majorHAnsi" w:cstheme="majorBidi"/>
          <w:color w:val="000000" w:themeColor="text1"/>
          <w:sz w:val="22"/>
          <w:szCs w:val="22"/>
        </w:rPr>
        <w:t xml:space="preserve">in </w:t>
      </w:r>
      <w:r w:rsidR="00A17644" w:rsidRPr="000052FE">
        <w:rPr>
          <w:rFonts w:asciiTheme="majorHAnsi" w:hAnsiTheme="majorHAnsi" w:cstheme="majorBidi"/>
          <w:color w:val="000000" w:themeColor="text1"/>
          <w:sz w:val="22"/>
          <w:szCs w:val="22"/>
        </w:rPr>
        <w:t>January 2024</w:t>
      </w:r>
      <w:r w:rsidR="004C6733">
        <w:rPr>
          <w:rFonts w:asciiTheme="majorHAnsi" w:hAnsiTheme="majorHAnsi" w:cstheme="majorBidi"/>
          <w:color w:val="000000" w:themeColor="text1"/>
          <w:sz w:val="22"/>
          <w:szCs w:val="22"/>
        </w:rPr>
        <w:t xml:space="preserve"> during</w:t>
      </w:r>
      <w:r w:rsidR="00DB27D4" w:rsidRPr="000052FE">
        <w:rPr>
          <w:rFonts w:asciiTheme="majorHAnsi" w:hAnsiTheme="majorHAnsi" w:cstheme="majorBidi"/>
          <w:color w:val="000000" w:themeColor="text1"/>
          <w:sz w:val="22"/>
          <w:szCs w:val="22"/>
        </w:rPr>
        <w:t xml:space="preserve"> the 4</w:t>
      </w:r>
      <w:r w:rsidR="00DB27D4" w:rsidRPr="000052FE">
        <w:rPr>
          <w:rFonts w:asciiTheme="majorHAnsi" w:hAnsiTheme="majorHAnsi" w:cstheme="majorBidi"/>
          <w:color w:val="000000" w:themeColor="text1"/>
          <w:sz w:val="22"/>
          <w:szCs w:val="22"/>
          <w:vertAlign w:val="superscript"/>
        </w:rPr>
        <w:t>th</w:t>
      </w:r>
      <w:r w:rsidR="00DB27D4" w:rsidRPr="000052FE">
        <w:rPr>
          <w:rFonts w:asciiTheme="majorHAnsi" w:hAnsiTheme="majorHAnsi" w:cstheme="majorBidi"/>
          <w:color w:val="000000" w:themeColor="text1"/>
          <w:sz w:val="22"/>
          <w:szCs w:val="22"/>
        </w:rPr>
        <w:t xml:space="preserve"> UPR cycle.</w:t>
      </w:r>
      <w:r w:rsidR="003C3077" w:rsidRPr="000052FE">
        <w:rPr>
          <w:rFonts w:asciiTheme="majorHAnsi" w:hAnsiTheme="majorHAnsi" w:cstheme="majorBidi"/>
          <w:color w:val="000000" w:themeColor="text1"/>
          <w:sz w:val="22"/>
          <w:szCs w:val="22"/>
        </w:rPr>
        <w:t xml:space="preserve"> Malaysia received eight recommendations </w:t>
      </w:r>
      <w:r w:rsidR="00FD417D" w:rsidRPr="000052FE">
        <w:rPr>
          <w:rFonts w:asciiTheme="majorHAnsi" w:hAnsiTheme="majorHAnsi" w:cstheme="majorBidi"/>
          <w:color w:val="000000" w:themeColor="text1"/>
          <w:sz w:val="22"/>
          <w:szCs w:val="22"/>
        </w:rPr>
        <w:t>on allowing Malaysian women the right to pass on their citizenship to their overseas-born children</w:t>
      </w:r>
      <w:r w:rsidR="000052FE" w:rsidRPr="000052FE">
        <w:rPr>
          <w:rFonts w:asciiTheme="majorHAnsi" w:hAnsiTheme="majorHAnsi" w:cstheme="majorBidi"/>
          <w:color w:val="000000" w:themeColor="text1"/>
          <w:sz w:val="22"/>
          <w:szCs w:val="22"/>
        </w:rPr>
        <w:t>.</w:t>
      </w:r>
      <w:r w:rsidR="00417515">
        <w:rPr>
          <w:rFonts w:asciiTheme="majorHAnsi" w:hAnsiTheme="majorHAnsi" w:cstheme="majorBidi"/>
          <w:color w:val="000000" w:themeColor="text1"/>
          <w:sz w:val="22"/>
          <w:szCs w:val="22"/>
        </w:rPr>
        <w:t xml:space="preserve"> Three recommendations were made</w:t>
      </w:r>
      <w:r w:rsidR="00E1601D">
        <w:rPr>
          <w:rFonts w:asciiTheme="majorHAnsi" w:hAnsiTheme="majorHAnsi" w:cstheme="majorBidi"/>
          <w:color w:val="000000" w:themeColor="text1"/>
          <w:sz w:val="22"/>
          <w:szCs w:val="22"/>
        </w:rPr>
        <w:t xml:space="preserve"> on removing</w:t>
      </w:r>
      <w:r w:rsidR="007F4F8E">
        <w:rPr>
          <w:rFonts w:asciiTheme="majorHAnsi" w:hAnsiTheme="majorHAnsi" w:cstheme="majorBidi"/>
          <w:color w:val="000000" w:themeColor="text1"/>
          <w:sz w:val="22"/>
          <w:szCs w:val="22"/>
        </w:rPr>
        <w:t xml:space="preserve"> the reservation to Article 9.2</w:t>
      </w:r>
      <w:r w:rsidR="00467DE4">
        <w:rPr>
          <w:rFonts w:asciiTheme="majorHAnsi" w:hAnsiTheme="majorHAnsi" w:cstheme="majorBidi"/>
          <w:color w:val="000000" w:themeColor="text1"/>
          <w:sz w:val="22"/>
          <w:szCs w:val="22"/>
        </w:rPr>
        <w:t xml:space="preserve"> of CEDAW</w:t>
      </w:r>
      <w:r w:rsidR="007758E2">
        <w:rPr>
          <w:rFonts w:asciiTheme="majorHAnsi" w:hAnsiTheme="majorHAnsi" w:cstheme="majorBidi"/>
          <w:color w:val="000000" w:themeColor="text1"/>
          <w:sz w:val="22"/>
          <w:szCs w:val="22"/>
        </w:rPr>
        <w:t xml:space="preserve">. Finally, </w:t>
      </w:r>
      <w:r w:rsidR="00AE30BD">
        <w:rPr>
          <w:rFonts w:asciiTheme="majorHAnsi" w:hAnsiTheme="majorHAnsi" w:cstheme="majorBidi"/>
          <w:color w:val="000000" w:themeColor="text1"/>
          <w:sz w:val="22"/>
          <w:szCs w:val="22"/>
        </w:rPr>
        <w:t xml:space="preserve">the country also received </w:t>
      </w:r>
      <w:r w:rsidR="00DD09AD">
        <w:rPr>
          <w:rFonts w:asciiTheme="majorHAnsi" w:hAnsiTheme="majorHAnsi" w:cstheme="majorBidi"/>
          <w:color w:val="000000" w:themeColor="text1"/>
          <w:sz w:val="22"/>
          <w:szCs w:val="22"/>
        </w:rPr>
        <w:t>nine recommendations on addressing statelessness.</w:t>
      </w:r>
      <w:r w:rsidR="004160C4">
        <w:rPr>
          <w:rStyle w:val="FootnoteReference"/>
          <w:rFonts w:asciiTheme="majorHAnsi" w:hAnsiTheme="majorHAnsi" w:cstheme="majorBidi"/>
          <w:color w:val="000000" w:themeColor="text1"/>
          <w:sz w:val="22"/>
          <w:szCs w:val="22"/>
        </w:rPr>
        <w:footnoteReference w:id="18"/>
      </w:r>
      <w:r w:rsidR="00DD09AD">
        <w:rPr>
          <w:rFonts w:asciiTheme="majorHAnsi" w:hAnsiTheme="majorHAnsi" w:cstheme="majorBidi"/>
          <w:color w:val="000000" w:themeColor="text1"/>
          <w:sz w:val="22"/>
          <w:szCs w:val="22"/>
        </w:rPr>
        <w:t xml:space="preserve"> </w:t>
      </w:r>
      <w:r w:rsidR="00105084">
        <w:rPr>
          <w:rFonts w:asciiTheme="majorHAnsi" w:hAnsiTheme="majorHAnsi" w:cstheme="majorBidi"/>
          <w:color w:val="000000" w:themeColor="text1"/>
          <w:sz w:val="22"/>
          <w:szCs w:val="22"/>
        </w:rPr>
        <w:t>To date</w:t>
      </w:r>
      <w:r w:rsidR="00DD09AD">
        <w:rPr>
          <w:rFonts w:asciiTheme="majorHAnsi" w:hAnsiTheme="majorHAnsi" w:cstheme="majorBidi"/>
          <w:color w:val="000000" w:themeColor="text1"/>
          <w:sz w:val="22"/>
          <w:szCs w:val="22"/>
        </w:rPr>
        <w:t>, the Government’s response to these recommendations ha</w:t>
      </w:r>
      <w:r w:rsidR="00105084">
        <w:rPr>
          <w:rFonts w:asciiTheme="majorHAnsi" w:hAnsiTheme="majorHAnsi" w:cstheme="majorBidi"/>
          <w:color w:val="000000" w:themeColor="text1"/>
          <w:sz w:val="22"/>
          <w:szCs w:val="22"/>
        </w:rPr>
        <w:t>s</w:t>
      </w:r>
      <w:r w:rsidR="00DD09AD">
        <w:rPr>
          <w:rFonts w:asciiTheme="majorHAnsi" w:hAnsiTheme="majorHAnsi" w:cstheme="majorBidi"/>
          <w:color w:val="000000" w:themeColor="text1"/>
          <w:sz w:val="22"/>
          <w:szCs w:val="22"/>
        </w:rPr>
        <w:t xml:space="preserve"> not been pu</w:t>
      </w:r>
      <w:r w:rsidR="00105084">
        <w:rPr>
          <w:rFonts w:asciiTheme="majorHAnsi" w:hAnsiTheme="majorHAnsi" w:cstheme="majorBidi"/>
          <w:color w:val="000000" w:themeColor="text1"/>
          <w:sz w:val="22"/>
          <w:szCs w:val="22"/>
        </w:rPr>
        <w:t xml:space="preserve">blished. </w:t>
      </w:r>
    </w:p>
    <w:p w14:paraId="2EBB02B9" w14:textId="77777777" w:rsidR="000C2A61" w:rsidRPr="000C2A61" w:rsidRDefault="000C2A61" w:rsidP="000C2A61">
      <w:pPr>
        <w:widowControl w:val="0"/>
        <w:autoSpaceDE w:val="0"/>
        <w:autoSpaceDN w:val="0"/>
        <w:adjustRightInd w:val="0"/>
        <w:jc w:val="both"/>
        <w:rPr>
          <w:rFonts w:asciiTheme="majorHAnsi" w:hAnsiTheme="majorHAnsi" w:cstheme="majorHAnsi"/>
          <w:color w:val="1E1052" w:themeColor="accent1" w:themeShade="BF"/>
          <w:sz w:val="22"/>
          <w:szCs w:val="22"/>
        </w:rPr>
      </w:pPr>
    </w:p>
    <w:p w14:paraId="2220F9A2" w14:textId="77777777" w:rsidR="00A67F4A" w:rsidRPr="00A67F4A" w:rsidRDefault="00A67F4A" w:rsidP="00A67F4A">
      <w:pPr>
        <w:pStyle w:val="ListParagraph"/>
        <w:rPr>
          <w:rFonts w:asciiTheme="majorHAnsi" w:hAnsiTheme="majorHAnsi" w:cstheme="majorHAnsi"/>
          <w:color w:val="1E1052" w:themeColor="accent1" w:themeShade="BF"/>
          <w:sz w:val="22"/>
          <w:szCs w:val="22"/>
        </w:rPr>
      </w:pPr>
    </w:p>
    <w:p w14:paraId="2FE5E8CE" w14:textId="19AC229A" w:rsidR="00A67F4A" w:rsidRPr="000C2A61" w:rsidRDefault="000C2A61" w:rsidP="000C2A61">
      <w:pPr>
        <w:widowControl w:val="0"/>
        <w:autoSpaceDE w:val="0"/>
        <w:autoSpaceDN w:val="0"/>
        <w:adjustRightInd w:val="0"/>
        <w:jc w:val="both"/>
        <w:rPr>
          <w:rFonts w:ascii="Helvetica" w:hAnsi="Helvetica" w:cstheme="majorHAnsi"/>
          <w:b/>
          <w:bCs/>
          <w:color w:val="1E1052" w:themeColor="accent1" w:themeShade="BF"/>
          <w:sz w:val="28"/>
          <w:szCs w:val="22"/>
        </w:rPr>
      </w:pPr>
      <w:r>
        <w:rPr>
          <w:rFonts w:ascii="Helvetica" w:hAnsi="Helvetica" w:cstheme="majorHAnsi"/>
          <w:b/>
          <w:bCs/>
          <w:color w:val="1E1052" w:themeColor="accent1" w:themeShade="BF"/>
          <w:sz w:val="28"/>
          <w:szCs w:val="22"/>
        </w:rPr>
        <w:t xml:space="preserve">Gender discrimination in Malaysia’s </w:t>
      </w:r>
      <w:r w:rsidR="00F14EE6">
        <w:rPr>
          <w:rFonts w:ascii="Helvetica" w:hAnsi="Helvetica" w:cstheme="majorHAnsi"/>
          <w:b/>
          <w:bCs/>
          <w:color w:val="1E1052" w:themeColor="accent1" w:themeShade="BF"/>
          <w:sz w:val="28"/>
          <w:szCs w:val="22"/>
        </w:rPr>
        <w:t>C</w:t>
      </w:r>
      <w:r>
        <w:rPr>
          <w:rFonts w:ascii="Helvetica" w:hAnsi="Helvetica" w:cstheme="majorHAnsi"/>
          <w:b/>
          <w:bCs/>
          <w:color w:val="1E1052" w:themeColor="accent1" w:themeShade="BF"/>
          <w:sz w:val="28"/>
          <w:szCs w:val="22"/>
        </w:rPr>
        <w:t xml:space="preserve">itizenship Law </w:t>
      </w:r>
      <w:r w:rsidRPr="00832AB9">
        <w:rPr>
          <w:rFonts w:ascii="Helvetica" w:hAnsi="Helvetica" w:cstheme="majorHAnsi"/>
          <w:b/>
          <w:bCs/>
          <w:color w:val="1E1052" w:themeColor="accent1" w:themeShade="BF"/>
          <w:sz w:val="28"/>
          <w:szCs w:val="22"/>
        </w:rPr>
        <w:t xml:space="preserve"> </w:t>
      </w:r>
    </w:p>
    <w:p w14:paraId="3C50D5D2" w14:textId="77777777" w:rsidR="00701F7D" w:rsidRPr="007E4CA1" w:rsidRDefault="00701F7D" w:rsidP="007E4CA1">
      <w:pPr>
        <w:widowControl w:val="0"/>
        <w:autoSpaceDE w:val="0"/>
        <w:autoSpaceDN w:val="0"/>
        <w:adjustRightInd w:val="0"/>
        <w:jc w:val="both"/>
        <w:rPr>
          <w:rFonts w:asciiTheme="majorHAnsi" w:hAnsiTheme="majorHAnsi" w:cstheme="majorHAnsi"/>
          <w:color w:val="1E1052" w:themeColor="accent1" w:themeShade="BF"/>
          <w:sz w:val="22"/>
          <w:szCs w:val="22"/>
        </w:rPr>
      </w:pPr>
    </w:p>
    <w:p w14:paraId="0A344880" w14:textId="03CA9AD8" w:rsidR="00331F4A" w:rsidRPr="00B70743" w:rsidRDefault="33A3801F" w:rsidP="229768D2">
      <w:pPr>
        <w:pStyle w:val="ListParagraph"/>
        <w:widowControl w:val="0"/>
        <w:numPr>
          <w:ilvl w:val="0"/>
          <w:numId w:val="7"/>
        </w:numPr>
        <w:autoSpaceDE w:val="0"/>
        <w:autoSpaceDN w:val="0"/>
        <w:adjustRightInd w:val="0"/>
        <w:jc w:val="both"/>
        <w:rPr>
          <w:rFonts w:asciiTheme="majorHAnsi" w:hAnsiTheme="majorHAnsi" w:cstheme="majorBidi"/>
          <w:color w:val="1E1052" w:themeColor="accent1" w:themeShade="BF"/>
          <w:sz w:val="22"/>
          <w:szCs w:val="22"/>
        </w:rPr>
      </w:pPr>
      <w:r w:rsidRPr="229768D2">
        <w:rPr>
          <w:rFonts w:asciiTheme="majorHAnsi" w:hAnsiTheme="majorHAnsi" w:cstheme="majorBidi"/>
          <w:sz w:val="22"/>
          <w:szCs w:val="22"/>
        </w:rPr>
        <w:t xml:space="preserve">The Federal Constitution of Malaysia provides the primary legal framework for the acquisition, confirmation and loss of Malaysian </w:t>
      </w:r>
      <w:r w:rsidR="6C577DFE" w:rsidRPr="229768D2">
        <w:rPr>
          <w:rFonts w:asciiTheme="majorHAnsi" w:hAnsiTheme="majorHAnsi" w:cstheme="majorBidi"/>
          <w:sz w:val="22"/>
          <w:szCs w:val="22"/>
        </w:rPr>
        <w:t>citizenship</w:t>
      </w:r>
      <w:r w:rsidRPr="229768D2">
        <w:rPr>
          <w:rFonts w:asciiTheme="majorHAnsi" w:hAnsiTheme="majorHAnsi" w:cstheme="majorBidi"/>
          <w:sz w:val="22"/>
          <w:szCs w:val="22"/>
        </w:rPr>
        <w:t xml:space="preserve"> and contains </w:t>
      </w:r>
      <w:proofErr w:type="gramStart"/>
      <w:r w:rsidRPr="229768D2">
        <w:rPr>
          <w:rFonts w:asciiTheme="majorHAnsi" w:hAnsiTheme="majorHAnsi" w:cstheme="majorBidi"/>
          <w:sz w:val="22"/>
          <w:szCs w:val="22"/>
        </w:rPr>
        <w:t>a number of</w:t>
      </w:r>
      <w:proofErr w:type="gramEnd"/>
      <w:r w:rsidRPr="229768D2">
        <w:rPr>
          <w:rFonts w:asciiTheme="majorHAnsi" w:hAnsiTheme="majorHAnsi" w:cstheme="majorBidi"/>
          <w:sz w:val="22"/>
          <w:szCs w:val="22"/>
        </w:rPr>
        <w:t xml:space="preserve"> gender-discriminatory provisions</w:t>
      </w:r>
      <w:r w:rsidR="00B70743" w:rsidRPr="229768D2">
        <w:rPr>
          <w:rStyle w:val="FootnoteReference"/>
          <w:rFonts w:asciiTheme="majorHAnsi" w:hAnsiTheme="majorHAnsi" w:cstheme="majorBidi"/>
          <w:sz w:val="22"/>
          <w:szCs w:val="22"/>
        </w:rPr>
        <w:footnoteReference w:id="19"/>
      </w:r>
      <w:r w:rsidRPr="229768D2">
        <w:rPr>
          <w:rFonts w:asciiTheme="majorHAnsi" w:hAnsiTheme="majorHAnsi" w:cstheme="majorBidi"/>
          <w:sz w:val="22"/>
          <w:szCs w:val="22"/>
        </w:rPr>
        <w:t xml:space="preserve"> with respect to the ability of women and men to transfer their </w:t>
      </w:r>
      <w:r w:rsidR="1CF16536" w:rsidRPr="229768D2">
        <w:rPr>
          <w:rFonts w:asciiTheme="majorHAnsi" w:hAnsiTheme="majorHAnsi" w:cstheme="majorBidi"/>
          <w:sz w:val="22"/>
          <w:szCs w:val="22"/>
        </w:rPr>
        <w:t>citizenship</w:t>
      </w:r>
      <w:r w:rsidRPr="229768D2">
        <w:rPr>
          <w:rFonts w:asciiTheme="majorHAnsi" w:hAnsiTheme="majorHAnsi" w:cstheme="majorBidi"/>
          <w:sz w:val="22"/>
          <w:szCs w:val="22"/>
        </w:rPr>
        <w:t xml:space="preserve"> to their children (Part II of the Second Schedule to the Federal Constitution). The Federal Constitution denies the right of </w:t>
      </w:r>
      <w:r w:rsidRPr="0033554F">
        <w:rPr>
          <w:rFonts w:asciiTheme="majorHAnsi" w:hAnsiTheme="majorHAnsi" w:cstheme="majorBidi"/>
          <w:i/>
          <w:iCs/>
          <w:sz w:val="22"/>
          <w:szCs w:val="22"/>
        </w:rPr>
        <w:t>“legally”</w:t>
      </w:r>
      <w:r w:rsidRPr="229768D2">
        <w:rPr>
          <w:rFonts w:asciiTheme="majorHAnsi" w:hAnsiTheme="majorHAnsi" w:cstheme="majorBidi"/>
          <w:sz w:val="22"/>
          <w:szCs w:val="22"/>
        </w:rPr>
        <w:t xml:space="preserve"> married Malaysian women to confer </w:t>
      </w:r>
      <w:r w:rsidR="0F56B9C4" w:rsidRPr="229768D2">
        <w:rPr>
          <w:rFonts w:asciiTheme="majorHAnsi" w:hAnsiTheme="majorHAnsi" w:cstheme="majorBidi"/>
          <w:sz w:val="22"/>
          <w:szCs w:val="22"/>
        </w:rPr>
        <w:t>citizenship</w:t>
      </w:r>
      <w:r w:rsidRPr="229768D2">
        <w:rPr>
          <w:rFonts w:asciiTheme="majorHAnsi" w:hAnsiTheme="majorHAnsi" w:cstheme="majorBidi"/>
          <w:sz w:val="22"/>
          <w:szCs w:val="22"/>
        </w:rPr>
        <w:t xml:space="preserve"> by ‘operation of law’ </w:t>
      </w:r>
      <w:r w:rsidR="004F76E1" w:rsidRPr="229768D2">
        <w:rPr>
          <w:rFonts w:asciiTheme="majorHAnsi" w:hAnsiTheme="majorHAnsi" w:cstheme="majorBidi"/>
          <w:sz w:val="22"/>
          <w:szCs w:val="22"/>
        </w:rPr>
        <w:t xml:space="preserve">(automatic citizenship) </w:t>
      </w:r>
      <w:r w:rsidRPr="229768D2">
        <w:rPr>
          <w:rFonts w:asciiTheme="majorHAnsi" w:hAnsiTheme="majorHAnsi" w:cstheme="majorBidi"/>
          <w:sz w:val="22"/>
          <w:szCs w:val="22"/>
        </w:rPr>
        <w:t xml:space="preserve">on their children born outside Malaysia, a right reserved for </w:t>
      </w:r>
      <w:r w:rsidRPr="00934253">
        <w:rPr>
          <w:rFonts w:asciiTheme="majorHAnsi" w:hAnsiTheme="majorHAnsi" w:cstheme="majorBidi"/>
          <w:i/>
          <w:iCs/>
          <w:sz w:val="22"/>
          <w:szCs w:val="22"/>
        </w:rPr>
        <w:t>“legally”</w:t>
      </w:r>
      <w:r w:rsidRPr="229768D2">
        <w:rPr>
          <w:rFonts w:asciiTheme="majorHAnsi" w:hAnsiTheme="majorHAnsi" w:cstheme="majorBidi"/>
          <w:sz w:val="22"/>
          <w:szCs w:val="22"/>
        </w:rPr>
        <w:t xml:space="preserve"> married Malaysian men. </w:t>
      </w:r>
    </w:p>
    <w:p w14:paraId="0717E9C6" w14:textId="77777777" w:rsidR="00331F4A" w:rsidRPr="00331F4A" w:rsidRDefault="00331F4A" w:rsidP="00D22DDB">
      <w:pPr>
        <w:pStyle w:val="ListParagraph"/>
        <w:widowControl w:val="0"/>
        <w:autoSpaceDE w:val="0"/>
        <w:autoSpaceDN w:val="0"/>
        <w:adjustRightInd w:val="0"/>
        <w:ind w:left="501"/>
        <w:jc w:val="both"/>
        <w:rPr>
          <w:rFonts w:asciiTheme="majorHAnsi" w:hAnsiTheme="majorHAnsi" w:cstheme="majorBidi"/>
          <w:color w:val="1E1052" w:themeColor="accent1" w:themeShade="BF"/>
          <w:sz w:val="22"/>
          <w:szCs w:val="22"/>
        </w:rPr>
      </w:pPr>
    </w:p>
    <w:p w14:paraId="54028467" w14:textId="0EA30D04" w:rsidR="00331F4A" w:rsidRPr="00331F4A" w:rsidRDefault="33A3801F" w:rsidP="229768D2">
      <w:pPr>
        <w:pStyle w:val="ListParagraph"/>
        <w:widowControl w:val="0"/>
        <w:numPr>
          <w:ilvl w:val="0"/>
          <w:numId w:val="7"/>
        </w:numPr>
        <w:autoSpaceDE w:val="0"/>
        <w:autoSpaceDN w:val="0"/>
        <w:adjustRightInd w:val="0"/>
        <w:jc w:val="both"/>
        <w:rPr>
          <w:rFonts w:asciiTheme="majorHAnsi" w:hAnsiTheme="majorHAnsi" w:cstheme="majorBidi"/>
          <w:color w:val="1E1052" w:themeColor="accent1" w:themeShade="BF"/>
          <w:sz w:val="22"/>
          <w:szCs w:val="22"/>
        </w:rPr>
      </w:pPr>
      <w:r w:rsidRPr="229768D2">
        <w:rPr>
          <w:rFonts w:asciiTheme="majorHAnsi" w:hAnsiTheme="majorHAnsi" w:cstheme="majorBidi"/>
          <w:sz w:val="22"/>
          <w:szCs w:val="22"/>
        </w:rPr>
        <w:t xml:space="preserve">Additionally, the Federal Constitution does not allow men to transfer their </w:t>
      </w:r>
      <w:r w:rsidR="7AF37A2D" w:rsidRPr="229768D2">
        <w:rPr>
          <w:rFonts w:asciiTheme="majorHAnsi" w:hAnsiTheme="majorHAnsi" w:cstheme="majorBidi"/>
          <w:sz w:val="22"/>
          <w:szCs w:val="22"/>
        </w:rPr>
        <w:t xml:space="preserve">citizenship </w:t>
      </w:r>
      <w:r w:rsidRPr="229768D2">
        <w:rPr>
          <w:rFonts w:asciiTheme="majorHAnsi" w:hAnsiTheme="majorHAnsi" w:cstheme="majorBidi"/>
          <w:sz w:val="22"/>
          <w:szCs w:val="22"/>
        </w:rPr>
        <w:t>to their children if the child is born out of a legally recognized marriage.</w:t>
      </w:r>
    </w:p>
    <w:p w14:paraId="7847149D" w14:textId="77777777" w:rsidR="00331F4A" w:rsidRPr="00331F4A" w:rsidRDefault="00331F4A" w:rsidP="00D22DDB">
      <w:pPr>
        <w:widowControl w:val="0"/>
        <w:autoSpaceDE w:val="0"/>
        <w:autoSpaceDN w:val="0"/>
        <w:adjustRightInd w:val="0"/>
        <w:jc w:val="both"/>
        <w:rPr>
          <w:rFonts w:asciiTheme="majorHAnsi" w:hAnsiTheme="majorHAnsi" w:cstheme="majorBidi"/>
          <w:color w:val="1E1052" w:themeColor="accent1" w:themeShade="BF"/>
          <w:sz w:val="22"/>
          <w:szCs w:val="22"/>
        </w:rPr>
      </w:pPr>
    </w:p>
    <w:p w14:paraId="406A3DFE" w14:textId="2036FCF1" w:rsidR="00B61885" w:rsidRPr="00331F4A" w:rsidRDefault="33A3801F" w:rsidP="0033554F">
      <w:pPr>
        <w:pStyle w:val="ListParagraph"/>
        <w:widowControl w:val="0"/>
        <w:numPr>
          <w:ilvl w:val="0"/>
          <w:numId w:val="7"/>
        </w:numPr>
        <w:jc w:val="both"/>
        <w:rPr>
          <w:rFonts w:asciiTheme="majorHAnsi" w:hAnsiTheme="majorHAnsi" w:cstheme="majorBidi"/>
          <w:color w:val="1E1052" w:themeColor="accent1" w:themeShade="BF"/>
          <w:sz w:val="22"/>
          <w:szCs w:val="22"/>
        </w:rPr>
      </w:pPr>
      <w:r w:rsidRPr="229768D2">
        <w:rPr>
          <w:rFonts w:asciiTheme="majorHAnsi" w:hAnsiTheme="majorHAnsi" w:cstheme="majorBidi"/>
          <w:sz w:val="22"/>
          <w:szCs w:val="22"/>
        </w:rPr>
        <w:t xml:space="preserve">Malaysian women are also denied the right to confer </w:t>
      </w:r>
      <w:r w:rsidR="7129A55B" w:rsidRPr="229768D2">
        <w:rPr>
          <w:rFonts w:asciiTheme="majorHAnsi" w:hAnsiTheme="majorHAnsi" w:cstheme="majorBidi"/>
          <w:sz w:val="22"/>
          <w:szCs w:val="22"/>
        </w:rPr>
        <w:t xml:space="preserve">citizenship </w:t>
      </w:r>
      <w:r w:rsidRPr="229768D2">
        <w:rPr>
          <w:rFonts w:asciiTheme="majorHAnsi" w:hAnsiTheme="majorHAnsi" w:cstheme="majorBidi"/>
          <w:sz w:val="22"/>
          <w:szCs w:val="22"/>
        </w:rPr>
        <w:t xml:space="preserve">on a non-citizen spouse, a right reserved for Malaysian men. </w:t>
      </w:r>
      <w:r w:rsidR="77C93A07" w:rsidRPr="229768D2">
        <w:rPr>
          <w:rFonts w:asciiTheme="majorHAnsi" w:eastAsia="Times New Roman" w:hAnsiTheme="majorHAnsi" w:cstheme="majorBidi"/>
          <w:sz w:val="22"/>
          <w:szCs w:val="22"/>
        </w:rPr>
        <w:t xml:space="preserve">Unlike a </w:t>
      </w:r>
      <w:r w:rsidR="527136D3" w:rsidRPr="229768D2">
        <w:rPr>
          <w:rFonts w:asciiTheme="majorHAnsi" w:eastAsia="Times New Roman" w:hAnsiTheme="majorHAnsi" w:cstheme="majorBidi"/>
          <w:sz w:val="22"/>
          <w:szCs w:val="22"/>
        </w:rPr>
        <w:t xml:space="preserve">non-citizen </w:t>
      </w:r>
      <w:r w:rsidR="77C93A07" w:rsidRPr="229768D2">
        <w:rPr>
          <w:rFonts w:asciiTheme="majorHAnsi" w:eastAsia="Times New Roman" w:hAnsiTheme="majorHAnsi" w:cstheme="majorBidi"/>
          <w:sz w:val="22"/>
          <w:szCs w:val="22"/>
        </w:rPr>
        <w:t xml:space="preserve">spouse of a Malaysian man who can apply for citizenship after two years on a Permanent Residence, a </w:t>
      </w:r>
      <w:r w:rsidR="44E132CF" w:rsidRPr="229768D2">
        <w:rPr>
          <w:rFonts w:asciiTheme="majorHAnsi" w:eastAsia="Times New Roman" w:hAnsiTheme="majorHAnsi" w:cstheme="majorBidi"/>
          <w:sz w:val="22"/>
          <w:szCs w:val="22"/>
        </w:rPr>
        <w:t xml:space="preserve">non-citizen </w:t>
      </w:r>
      <w:r w:rsidR="77C93A07" w:rsidRPr="229768D2">
        <w:rPr>
          <w:rFonts w:asciiTheme="majorHAnsi" w:eastAsia="Times New Roman" w:hAnsiTheme="majorHAnsi" w:cstheme="majorBidi"/>
          <w:sz w:val="22"/>
          <w:szCs w:val="22"/>
        </w:rPr>
        <w:t xml:space="preserve">spouse of a Malaysian woman can only acquire citizenship through naturalisation which would require residing in Malaysia on a Permanent Residence for 10 out of 12 years. Obtaining Malaysian Permanent Residence (PR) status is challenging for </w:t>
      </w:r>
      <w:r w:rsidR="73B1C062" w:rsidRPr="229768D2">
        <w:rPr>
          <w:rFonts w:asciiTheme="majorHAnsi" w:eastAsia="Times New Roman" w:hAnsiTheme="majorHAnsi" w:cstheme="majorBidi"/>
          <w:sz w:val="22"/>
          <w:szCs w:val="22"/>
        </w:rPr>
        <w:t xml:space="preserve">non-citizen </w:t>
      </w:r>
      <w:r w:rsidR="77C93A07" w:rsidRPr="229768D2">
        <w:rPr>
          <w:rFonts w:asciiTheme="majorHAnsi" w:eastAsia="Times New Roman" w:hAnsiTheme="majorHAnsi" w:cstheme="majorBidi"/>
          <w:sz w:val="22"/>
          <w:szCs w:val="22"/>
        </w:rPr>
        <w:t>spouses of Malaysian citizens due to an unclear and inconsistent application process. While the eligibility criteria include a minimum of 5 continuous years of residency in Malaysia, there is no defined timeframe for approval, often resulting in rejections without explanation.</w:t>
      </w:r>
      <w:r w:rsidR="00331F4A" w:rsidRPr="229768D2">
        <w:rPr>
          <w:rStyle w:val="FootnoteReference"/>
          <w:rFonts w:asciiTheme="majorHAnsi" w:eastAsia="Times New Roman" w:hAnsiTheme="majorHAnsi" w:cstheme="majorBidi"/>
          <w:sz w:val="22"/>
          <w:szCs w:val="22"/>
        </w:rPr>
        <w:footnoteReference w:id="20"/>
      </w:r>
      <w:r w:rsidR="77C93A07" w:rsidRPr="229768D2">
        <w:rPr>
          <w:rFonts w:asciiTheme="majorHAnsi" w:eastAsia="Times New Roman" w:hAnsiTheme="majorHAnsi" w:cstheme="majorBidi"/>
          <w:sz w:val="22"/>
          <w:szCs w:val="22"/>
        </w:rPr>
        <w:t xml:space="preserve"> </w:t>
      </w:r>
    </w:p>
    <w:p w14:paraId="4AA71238" w14:textId="77777777" w:rsidR="00DB16BC" w:rsidRPr="00DB16BC" w:rsidRDefault="00DB16BC" w:rsidP="00D22DDB">
      <w:pPr>
        <w:pStyle w:val="ListParagraph"/>
        <w:widowControl w:val="0"/>
        <w:autoSpaceDE w:val="0"/>
        <w:autoSpaceDN w:val="0"/>
        <w:adjustRightInd w:val="0"/>
        <w:ind w:left="7920"/>
        <w:jc w:val="both"/>
        <w:rPr>
          <w:rFonts w:asciiTheme="majorHAnsi" w:hAnsiTheme="majorHAnsi" w:cstheme="majorHAnsi"/>
          <w:color w:val="1E1052" w:themeColor="accent1" w:themeShade="BF"/>
          <w:sz w:val="22"/>
          <w:szCs w:val="22"/>
        </w:rPr>
      </w:pPr>
    </w:p>
    <w:p w14:paraId="1A9B28AF" w14:textId="46771513" w:rsidR="00C36CC0" w:rsidRPr="00C36CC0" w:rsidRDefault="667116B6" w:rsidP="00D22DDB">
      <w:pPr>
        <w:pStyle w:val="ListParagraph"/>
        <w:widowControl w:val="0"/>
        <w:numPr>
          <w:ilvl w:val="0"/>
          <w:numId w:val="7"/>
        </w:numPr>
        <w:autoSpaceDE w:val="0"/>
        <w:autoSpaceDN w:val="0"/>
        <w:adjustRightInd w:val="0"/>
        <w:jc w:val="both"/>
        <w:rPr>
          <w:rFonts w:asciiTheme="majorHAnsi" w:hAnsiTheme="majorHAnsi" w:cstheme="majorHAnsi"/>
          <w:color w:val="1E1052" w:themeColor="accent1" w:themeShade="BF"/>
          <w:sz w:val="22"/>
          <w:szCs w:val="22"/>
        </w:rPr>
      </w:pPr>
      <w:r w:rsidRPr="229768D2">
        <w:rPr>
          <w:rFonts w:asciiTheme="majorHAnsi" w:hAnsiTheme="majorHAnsi" w:cstheme="majorBidi"/>
          <w:sz w:val="22"/>
          <w:szCs w:val="22"/>
        </w:rPr>
        <w:t xml:space="preserve">Article 9 of the Convention on the Elimination of All Forms of Discrimination against Women recognizes such laws as a form of discrimination and provides that women are to have </w:t>
      </w:r>
      <w:r w:rsidRPr="229768D2">
        <w:rPr>
          <w:rFonts w:asciiTheme="majorHAnsi" w:hAnsiTheme="majorHAnsi" w:cstheme="majorBidi"/>
          <w:i/>
          <w:iCs/>
          <w:sz w:val="22"/>
          <w:szCs w:val="22"/>
        </w:rPr>
        <w:t>“equal rights with men to acquire, change or retain their nationality”</w:t>
      </w:r>
      <w:r w:rsidRPr="229768D2">
        <w:rPr>
          <w:rFonts w:asciiTheme="majorHAnsi" w:hAnsiTheme="majorHAnsi" w:cstheme="majorBidi"/>
          <w:sz w:val="22"/>
          <w:szCs w:val="22"/>
        </w:rPr>
        <w:t xml:space="preserve"> and </w:t>
      </w:r>
      <w:r w:rsidRPr="229768D2">
        <w:rPr>
          <w:rFonts w:asciiTheme="majorHAnsi" w:hAnsiTheme="majorHAnsi" w:cstheme="majorBidi"/>
          <w:i/>
          <w:iCs/>
          <w:sz w:val="22"/>
          <w:szCs w:val="22"/>
        </w:rPr>
        <w:t>“with respect to the nationality of their children.”</w:t>
      </w:r>
      <w:r w:rsidRPr="229768D2">
        <w:rPr>
          <w:rFonts w:asciiTheme="majorHAnsi" w:hAnsiTheme="majorHAnsi" w:cstheme="majorBidi"/>
          <w:sz w:val="22"/>
          <w:szCs w:val="22"/>
        </w:rPr>
        <w:t xml:space="preserve"> In its General Comment No. 32 on the gender-related dimensions of refugee status, asylum, nationality and statelessness of women, the Committee confirmed that Article 9 extends an obligation to ensure equality between men and women in the ability to confer their nationality to their spouse. </w:t>
      </w:r>
    </w:p>
    <w:p w14:paraId="4D7484DC" w14:textId="77777777" w:rsidR="00C36CC0" w:rsidRPr="00C36CC0" w:rsidRDefault="00C36CC0" w:rsidP="00D22DDB">
      <w:pPr>
        <w:pStyle w:val="ListParagraph"/>
        <w:jc w:val="both"/>
        <w:rPr>
          <w:rFonts w:asciiTheme="majorHAnsi" w:hAnsiTheme="majorHAnsi" w:cstheme="majorHAnsi"/>
          <w:sz w:val="22"/>
          <w:szCs w:val="22"/>
        </w:rPr>
      </w:pPr>
    </w:p>
    <w:p w14:paraId="4021C104" w14:textId="19A8C70A" w:rsidR="00C36CC0" w:rsidRPr="00F14EE6" w:rsidRDefault="667116B6" w:rsidP="229768D2">
      <w:pPr>
        <w:pStyle w:val="ListParagraph"/>
        <w:widowControl w:val="0"/>
        <w:numPr>
          <w:ilvl w:val="0"/>
          <w:numId w:val="7"/>
        </w:numPr>
        <w:autoSpaceDE w:val="0"/>
        <w:autoSpaceDN w:val="0"/>
        <w:adjustRightInd w:val="0"/>
        <w:jc w:val="both"/>
        <w:rPr>
          <w:rFonts w:asciiTheme="majorHAnsi" w:hAnsiTheme="majorHAnsi" w:cstheme="majorBidi"/>
          <w:color w:val="1E1052" w:themeColor="accent1" w:themeShade="BF"/>
          <w:sz w:val="22"/>
          <w:szCs w:val="22"/>
        </w:rPr>
      </w:pPr>
      <w:r w:rsidRPr="229768D2">
        <w:rPr>
          <w:rFonts w:asciiTheme="majorHAnsi" w:hAnsiTheme="majorHAnsi" w:cstheme="majorBidi"/>
          <w:sz w:val="22"/>
          <w:szCs w:val="22"/>
        </w:rPr>
        <w:t xml:space="preserve">By denying women equal nationality rights with men, Malaysia’s </w:t>
      </w:r>
      <w:r w:rsidR="6D6F51FA" w:rsidRPr="229768D2">
        <w:rPr>
          <w:rFonts w:asciiTheme="majorHAnsi" w:hAnsiTheme="majorHAnsi" w:cstheme="majorBidi"/>
          <w:sz w:val="22"/>
          <w:szCs w:val="22"/>
        </w:rPr>
        <w:t>citizenship</w:t>
      </w:r>
      <w:r w:rsidRPr="229768D2">
        <w:rPr>
          <w:rFonts w:asciiTheme="majorHAnsi" w:hAnsiTheme="majorHAnsi" w:cstheme="majorBidi"/>
          <w:sz w:val="22"/>
          <w:szCs w:val="22"/>
        </w:rPr>
        <w:t xml:space="preserve"> law undermines women’s status as equal citizens and their equality in the family. A root cause of statelessness, gender discrimination in Malaysia’s </w:t>
      </w:r>
      <w:r w:rsidR="5CBD51AA" w:rsidRPr="229768D2">
        <w:rPr>
          <w:rFonts w:asciiTheme="majorHAnsi" w:hAnsiTheme="majorHAnsi" w:cstheme="majorBidi"/>
          <w:sz w:val="22"/>
          <w:szCs w:val="22"/>
        </w:rPr>
        <w:t xml:space="preserve">citizenship </w:t>
      </w:r>
      <w:r w:rsidRPr="229768D2">
        <w:rPr>
          <w:rFonts w:asciiTheme="majorHAnsi" w:hAnsiTheme="majorHAnsi" w:cstheme="majorBidi"/>
          <w:sz w:val="22"/>
          <w:szCs w:val="22"/>
        </w:rPr>
        <w:t xml:space="preserve">law results in severe consequences for affected children and their families, including obstacles to accessing education, healthcare, and social services. Women’s inability to equally confer </w:t>
      </w:r>
      <w:r w:rsidR="2BE42576" w:rsidRPr="229768D2">
        <w:rPr>
          <w:rFonts w:asciiTheme="majorHAnsi" w:hAnsiTheme="majorHAnsi" w:cstheme="majorBidi"/>
          <w:sz w:val="22"/>
          <w:szCs w:val="22"/>
        </w:rPr>
        <w:t xml:space="preserve">citizenship </w:t>
      </w:r>
      <w:r w:rsidRPr="229768D2">
        <w:rPr>
          <w:rFonts w:asciiTheme="majorHAnsi" w:hAnsiTheme="majorHAnsi" w:cstheme="majorBidi"/>
          <w:sz w:val="22"/>
          <w:szCs w:val="22"/>
        </w:rPr>
        <w:t xml:space="preserve">on spouses further entrenches traditional stereotypes regarding the primacy of the male spouse’s legal identity. Women’s inability to equally confer citizenship on spouses also limits women’s ability, in practice, to freely choose a spouse in violation of Article 16. Additionally, by denying Malaysian men the right to confer </w:t>
      </w:r>
      <w:r w:rsidR="164AEF4D" w:rsidRPr="229768D2">
        <w:rPr>
          <w:rFonts w:asciiTheme="majorHAnsi" w:hAnsiTheme="majorHAnsi" w:cstheme="majorBidi"/>
          <w:sz w:val="22"/>
          <w:szCs w:val="22"/>
        </w:rPr>
        <w:t xml:space="preserve">citizenship </w:t>
      </w:r>
      <w:r w:rsidRPr="229768D2">
        <w:rPr>
          <w:rFonts w:asciiTheme="majorHAnsi" w:hAnsiTheme="majorHAnsi" w:cstheme="majorBidi"/>
          <w:sz w:val="22"/>
          <w:szCs w:val="22"/>
        </w:rPr>
        <w:t>on children born outside of legal marriage on an equal basis with Malaysian women, the State is implicitly endorsing the notion that the responsibilities of parenting ‘naturally’ belong exclusively to the mother when children are born out of wedlock. This is contrary to the idea of equality between the sexes, and undermines women’s equality in professional, public, and cultural life.</w:t>
      </w:r>
    </w:p>
    <w:p w14:paraId="6B07298A" w14:textId="77777777" w:rsidR="00F14EE6" w:rsidRDefault="00F14EE6" w:rsidP="00F14EE6">
      <w:pPr>
        <w:widowControl w:val="0"/>
        <w:autoSpaceDE w:val="0"/>
        <w:autoSpaceDN w:val="0"/>
        <w:adjustRightInd w:val="0"/>
        <w:ind w:left="141"/>
        <w:jc w:val="both"/>
        <w:rPr>
          <w:rFonts w:asciiTheme="majorHAnsi" w:hAnsiTheme="majorHAnsi" w:cstheme="majorHAnsi"/>
          <w:color w:val="1E1052" w:themeColor="accent1" w:themeShade="BF"/>
          <w:sz w:val="22"/>
          <w:szCs w:val="22"/>
        </w:rPr>
      </w:pPr>
    </w:p>
    <w:p w14:paraId="74AA2EB8" w14:textId="77777777" w:rsidR="00CE7FE3" w:rsidRDefault="00CE7FE3" w:rsidP="00F14EE6">
      <w:pPr>
        <w:widowControl w:val="0"/>
        <w:autoSpaceDE w:val="0"/>
        <w:autoSpaceDN w:val="0"/>
        <w:adjustRightInd w:val="0"/>
        <w:jc w:val="both"/>
        <w:rPr>
          <w:rFonts w:ascii="Helvetica" w:hAnsi="Helvetica" w:cstheme="majorHAnsi"/>
          <w:b/>
          <w:bCs/>
          <w:color w:val="1E1052" w:themeColor="accent1" w:themeShade="BF"/>
          <w:sz w:val="28"/>
          <w:szCs w:val="22"/>
        </w:rPr>
      </w:pPr>
    </w:p>
    <w:p w14:paraId="5A7B9953" w14:textId="7281B283" w:rsidR="00F14EE6" w:rsidRDefault="00F14EE6" w:rsidP="00F14EE6">
      <w:pPr>
        <w:widowControl w:val="0"/>
        <w:autoSpaceDE w:val="0"/>
        <w:autoSpaceDN w:val="0"/>
        <w:adjustRightInd w:val="0"/>
        <w:jc w:val="both"/>
        <w:rPr>
          <w:rFonts w:ascii="Helvetica" w:hAnsi="Helvetica" w:cstheme="majorHAnsi"/>
          <w:b/>
          <w:bCs/>
          <w:color w:val="1E1052" w:themeColor="accent1" w:themeShade="BF"/>
          <w:sz w:val="28"/>
          <w:szCs w:val="22"/>
        </w:rPr>
      </w:pPr>
      <w:r>
        <w:rPr>
          <w:rFonts w:ascii="Helvetica" w:hAnsi="Helvetica" w:cstheme="majorHAnsi"/>
          <w:b/>
          <w:bCs/>
          <w:color w:val="1E1052" w:themeColor="accent1" w:themeShade="BF"/>
          <w:sz w:val="28"/>
          <w:szCs w:val="22"/>
        </w:rPr>
        <w:t>Consequences of gender</w:t>
      </w:r>
      <w:r w:rsidR="00A054BC">
        <w:rPr>
          <w:rFonts w:ascii="Helvetica" w:hAnsi="Helvetica" w:cstheme="majorHAnsi"/>
          <w:b/>
          <w:bCs/>
          <w:color w:val="1E1052" w:themeColor="accent1" w:themeShade="BF"/>
          <w:sz w:val="28"/>
          <w:szCs w:val="22"/>
        </w:rPr>
        <w:t>-</w:t>
      </w:r>
      <w:r>
        <w:rPr>
          <w:rFonts w:ascii="Helvetica" w:hAnsi="Helvetica" w:cstheme="majorHAnsi"/>
          <w:b/>
          <w:bCs/>
          <w:color w:val="1E1052" w:themeColor="accent1" w:themeShade="BF"/>
          <w:sz w:val="28"/>
          <w:szCs w:val="22"/>
        </w:rPr>
        <w:t>discriminatory nationality laws</w:t>
      </w:r>
    </w:p>
    <w:p w14:paraId="153BF980" w14:textId="77777777" w:rsidR="00F14EE6" w:rsidRDefault="00F14EE6" w:rsidP="00F14EE6">
      <w:pPr>
        <w:widowControl w:val="0"/>
        <w:autoSpaceDE w:val="0"/>
        <w:autoSpaceDN w:val="0"/>
        <w:adjustRightInd w:val="0"/>
        <w:jc w:val="both"/>
        <w:rPr>
          <w:rFonts w:ascii="Helvetica" w:hAnsi="Helvetica" w:cstheme="majorHAnsi"/>
          <w:color w:val="1E1052" w:themeColor="accent1" w:themeShade="BF"/>
          <w:sz w:val="28"/>
          <w:szCs w:val="22"/>
        </w:rPr>
      </w:pPr>
    </w:p>
    <w:p w14:paraId="246FD346" w14:textId="7AE89449" w:rsidR="00B83109" w:rsidRPr="00B83109" w:rsidRDefault="4A5687C3" w:rsidP="229768D2">
      <w:pPr>
        <w:pStyle w:val="ListParagraph"/>
        <w:widowControl w:val="0"/>
        <w:numPr>
          <w:ilvl w:val="0"/>
          <w:numId w:val="7"/>
        </w:numPr>
        <w:autoSpaceDE w:val="0"/>
        <w:autoSpaceDN w:val="0"/>
        <w:adjustRightInd w:val="0"/>
        <w:jc w:val="both"/>
        <w:rPr>
          <w:rFonts w:asciiTheme="majorHAnsi" w:hAnsiTheme="majorHAnsi" w:cstheme="majorBidi"/>
          <w:color w:val="000000" w:themeColor="text1"/>
          <w:sz w:val="22"/>
          <w:szCs w:val="22"/>
        </w:rPr>
      </w:pPr>
      <w:r w:rsidRPr="229768D2">
        <w:rPr>
          <w:rFonts w:asciiTheme="majorHAnsi" w:hAnsiTheme="majorHAnsi" w:cstheme="majorBidi"/>
          <w:color w:val="000000" w:themeColor="accent6"/>
          <w:sz w:val="22"/>
          <w:szCs w:val="22"/>
        </w:rPr>
        <w:t xml:space="preserve">Due to gender discrimination in Malaysia’s </w:t>
      </w:r>
      <w:r w:rsidR="4FE7372F" w:rsidRPr="229768D2">
        <w:rPr>
          <w:rFonts w:asciiTheme="majorHAnsi" w:hAnsiTheme="majorHAnsi" w:cstheme="majorBidi"/>
          <w:color w:val="000000" w:themeColor="accent6"/>
          <w:sz w:val="22"/>
          <w:szCs w:val="22"/>
        </w:rPr>
        <w:t>citizenship</w:t>
      </w:r>
      <w:r w:rsidRPr="229768D2">
        <w:rPr>
          <w:rFonts w:asciiTheme="majorHAnsi" w:hAnsiTheme="majorHAnsi" w:cstheme="majorBidi"/>
          <w:color w:val="000000" w:themeColor="accent6"/>
          <w:sz w:val="22"/>
          <w:szCs w:val="22"/>
        </w:rPr>
        <w:t xml:space="preserve"> laws, </w:t>
      </w:r>
      <w:r w:rsidR="06487B4A" w:rsidRPr="229768D2">
        <w:rPr>
          <w:rFonts w:asciiTheme="majorHAnsi" w:hAnsiTheme="majorHAnsi" w:cstheme="majorBidi"/>
          <w:color w:val="000000" w:themeColor="accent6"/>
          <w:sz w:val="22"/>
          <w:szCs w:val="22"/>
        </w:rPr>
        <w:t xml:space="preserve">Malaysian mothers have reported facing the heavy burden of bureaucratic processes, </w:t>
      </w:r>
      <w:proofErr w:type="gramStart"/>
      <w:r w:rsidR="06487B4A" w:rsidRPr="229768D2">
        <w:rPr>
          <w:rFonts w:asciiTheme="majorHAnsi" w:hAnsiTheme="majorHAnsi" w:cstheme="majorBidi"/>
          <w:color w:val="000000" w:themeColor="accent6"/>
          <w:sz w:val="22"/>
          <w:szCs w:val="22"/>
        </w:rPr>
        <w:t>with regard to</w:t>
      </w:r>
      <w:proofErr w:type="gramEnd"/>
      <w:r w:rsidR="06487B4A" w:rsidRPr="229768D2">
        <w:rPr>
          <w:rFonts w:asciiTheme="majorHAnsi" w:hAnsiTheme="majorHAnsi" w:cstheme="majorBidi"/>
          <w:color w:val="000000" w:themeColor="accent6"/>
          <w:sz w:val="22"/>
          <w:szCs w:val="22"/>
        </w:rPr>
        <w:t xml:space="preserve"> securing visas for their non-citizen children at Malaysian immigration. They </w:t>
      </w:r>
      <w:proofErr w:type="gramStart"/>
      <w:r w:rsidR="06487B4A" w:rsidRPr="229768D2">
        <w:rPr>
          <w:rFonts w:asciiTheme="majorHAnsi" w:hAnsiTheme="majorHAnsi" w:cstheme="majorBidi"/>
          <w:color w:val="000000" w:themeColor="accent6"/>
          <w:sz w:val="22"/>
          <w:szCs w:val="22"/>
        </w:rPr>
        <w:t>have to</w:t>
      </w:r>
      <w:proofErr w:type="gramEnd"/>
      <w:r w:rsidR="06487B4A" w:rsidRPr="229768D2">
        <w:rPr>
          <w:rFonts w:asciiTheme="majorHAnsi" w:hAnsiTheme="majorHAnsi" w:cstheme="majorBidi"/>
          <w:color w:val="000000" w:themeColor="accent6"/>
          <w:sz w:val="22"/>
          <w:szCs w:val="22"/>
        </w:rPr>
        <w:t xml:space="preserve"> make repeated visits to immigration for yearly renewals. Non-citizen children of Malaysians below six years old are only given a six-month visa, while those who are of school-going age are required to apply for a Long-Term Social Visit Pass (LTSVP) or student visa. It is valid for one year and requires both the Malaysian parent and foreign parent to be present at each renewal. This is especially dangerous for mothers who are experiencing domestic violence or whose husbands remain overseas to support their stay in Malaysia.</w:t>
      </w:r>
    </w:p>
    <w:p w14:paraId="5FB0CEC7" w14:textId="77777777" w:rsidR="00B83109" w:rsidRPr="00B83109" w:rsidRDefault="00B83109" w:rsidP="00B83109">
      <w:pPr>
        <w:pStyle w:val="ListParagraph"/>
        <w:widowControl w:val="0"/>
        <w:autoSpaceDE w:val="0"/>
        <w:autoSpaceDN w:val="0"/>
        <w:adjustRightInd w:val="0"/>
        <w:ind w:left="501"/>
        <w:jc w:val="both"/>
        <w:rPr>
          <w:rFonts w:asciiTheme="majorHAnsi" w:hAnsiTheme="majorHAnsi" w:cstheme="majorHAnsi"/>
          <w:color w:val="000000" w:themeColor="text1"/>
          <w:sz w:val="22"/>
          <w:szCs w:val="22"/>
        </w:rPr>
      </w:pPr>
    </w:p>
    <w:p w14:paraId="306C9745" w14:textId="48E5B099" w:rsidR="00B83109" w:rsidRPr="00B83109" w:rsidRDefault="06487B4A" w:rsidP="00B83109">
      <w:pPr>
        <w:pStyle w:val="ListParagraph"/>
        <w:widowControl w:val="0"/>
        <w:numPr>
          <w:ilvl w:val="0"/>
          <w:numId w:val="7"/>
        </w:numPr>
        <w:autoSpaceDE w:val="0"/>
        <w:autoSpaceDN w:val="0"/>
        <w:adjustRightInd w:val="0"/>
        <w:jc w:val="both"/>
        <w:rPr>
          <w:rFonts w:asciiTheme="majorHAnsi" w:hAnsiTheme="majorHAnsi" w:cstheme="majorHAnsi"/>
          <w:color w:val="000000" w:themeColor="text1"/>
          <w:sz w:val="22"/>
          <w:szCs w:val="22"/>
        </w:rPr>
      </w:pPr>
      <w:r w:rsidRPr="229768D2">
        <w:rPr>
          <w:rFonts w:asciiTheme="majorHAnsi" w:hAnsiTheme="majorHAnsi" w:cstheme="majorBidi"/>
          <w:color w:val="000000" w:themeColor="accent6"/>
          <w:sz w:val="22"/>
          <w:szCs w:val="22"/>
        </w:rPr>
        <w:t xml:space="preserve">Malaysian mothers are also faced with the burden of the high cost of maintaining non-citizen children in Malaysia such as private education, healthcare, visa charges, processing charges for a student visa and medical insurance. This is especially difficult for single parents. </w:t>
      </w:r>
    </w:p>
    <w:p w14:paraId="15FC8945" w14:textId="77777777" w:rsidR="00B83109" w:rsidRPr="00B83109" w:rsidRDefault="00B83109" w:rsidP="00B83109">
      <w:pPr>
        <w:widowControl w:val="0"/>
        <w:autoSpaceDE w:val="0"/>
        <w:autoSpaceDN w:val="0"/>
        <w:adjustRightInd w:val="0"/>
        <w:jc w:val="both"/>
        <w:rPr>
          <w:rFonts w:asciiTheme="majorHAnsi" w:hAnsiTheme="majorHAnsi" w:cstheme="majorHAnsi"/>
          <w:color w:val="000000" w:themeColor="text1"/>
          <w:sz w:val="22"/>
          <w:szCs w:val="22"/>
        </w:rPr>
      </w:pPr>
    </w:p>
    <w:p w14:paraId="52481FDD" w14:textId="3DC0B4E7" w:rsidR="006F632B" w:rsidRPr="006F632B" w:rsidRDefault="06487B4A" w:rsidP="0033554F">
      <w:pPr>
        <w:pStyle w:val="ListParagraph"/>
        <w:widowControl w:val="0"/>
        <w:numPr>
          <w:ilvl w:val="0"/>
          <w:numId w:val="7"/>
        </w:numPr>
        <w:jc w:val="both"/>
        <w:rPr>
          <w:rFonts w:asciiTheme="majorHAnsi" w:hAnsiTheme="majorHAnsi" w:cstheme="majorBidi"/>
          <w:color w:val="000000" w:themeColor="accent6"/>
          <w:sz w:val="22"/>
          <w:szCs w:val="22"/>
        </w:rPr>
      </w:pPr>
      <w:r w:rsidRPr="229768D2">
        <w:rPr>
          <w:rFonts w:asciiTheme="majorHAnsi" w:eastAsia="Times New Roman" w:hAnsiTheme="majorHAnsi" w:cstheme="majorBidi"/>
          <w:color w:val="000000" w:themeColor="accent6"/>
          <w:sz w:val="22"/>
          <w:szCs w:val="22"/>
        </w:rPr>
        <w:t>There are significant links between women’s citizenship rights</w:t>
      </w:r>
      <w:r w:rsidR="6D53BEC9" w:rsidRPr="229768D2">
        <w:rPr>
          <w:rFonts w:asciiTheme="majorHAnsi" w:eastAsia="Times New Roman" w:hAnsiTheme="majorHAnsi" w:cstheme="majorBidi"/>
          <w:color w:val="000000" w:themeColor="accent6"/>
          <w:sz w:val="22"/>
          <w:szCs w:val="22"/>
        </w:rPr>
        <w:t xml:space="preserve">, </w:t>
      </w:r>
      <w:r w:rsidRPr="229768D2">
        <w:rPr>
          <w:rFonts w:asciiTheme="majorHAnsi" w:eastAsia="Times New Roman" w:hAnsiTheme="majorHAnsi" w:cstheme="majorBidi"/>
          <w:color w:val="000000" w:themeColor="accent6"/>
          <w:sz w:val="22"/>
          <w:szCs w:val="22"/>
        </w:rPr>
        <w:t>gender-based violence and women’s autonomy. Unequal citizenship laws put Malaysian women and their children in a position of extreme vulnerability to adversity and violate their human rights. Women are more prone to experience a lack of autonomy, risk of gender-based violence, forced migration, difficulty returning to Malaysia and receiving the support of their extended family. The inability of the child to access fundamental rights on an equal basis in Malaysia</w:t>
      </w:r>
      <w:r w:rsidR="7C1C6E79" w:rsidRPr="229768D2">
        <w:rPr>
          <w:rFonts w:asciiTheme="majorHAnsi" w:eastAsia="Times New Roman" w:hAnsiTheme="majorHAnsi" w:cstheme="majorBidi"/>
          <w:color w:val="000000" w:themeColor="accent6"/>
          <w:sz w:val="22"/>
          <w:szCs w:val="22"/>
        </w:rPr>
        <w:t xml:space="preserve">, </w:t>
      </w:r>
      <w:r w:rsidRPr="229768D2">
        <w:rPr>
          <w:rFonts w:asciiTheme="majorHAnsi" w:eastAsia="Times New Roman" w:hAnsiTheme="majorHAnsi" w:cstheme="majorBidi"/>
          <w:color w:val="000000" w:themeColor="accent6"/>
          <w:sz w:val="22"/>
          <w:szCs w:val="22"/>
        </w:rPr>
        <w:t>the economic strains on the family</w:t>
      </w:r>
      <w:r w:rsidR="7C1C6E79" w:rsidRPr="229768D2">
        <w:rPr>
          <w:rFonts w:asciiTheme="majorHAnsi" w:eastAsia="Times New Roman" w:hAnsiTheme="majorHAnsi" w:cstheme="majorBidi"/>
          <w:color w:val="000000" w:themeColor="accent6"/>
          <w:sz w:val="22"/>
          <w:szCs w:val="22"/>
        </w:rPr>
        <w:t xml:space="preserve"> and the</w:t>
      </w:r>
      <w:r w:rsidRPr="229768D2">
        <w:rPr>
          <w:rFonts w:asciiTheme="majorHAnsi" w:eastAsia="Times New Roman" w:hAnsiTheme="majorHAnsi" w:cstheme="majorBidi"/>
          <w:color w:val="000000" w:themeColor="accent6"/>
          <w:sz w:val="22"/>
          <w:szCs w:val="22"/>
        </w:rPr>
        <w:t xml:space="preserve"> difficulty for the non-citizen spouse to secure employment in Malaysia, </w:t>
      </w:r>
      <w:r w:rsidR="7C1C6E79" w:rsidRPr="229768D2">
        <w:rPr>
          <w:rFonts w:asciiTheme="majorHAnsi" w:eastAsia="Times New Roman" w:hAnsiTheme="majorHAnsi" w:cstheme="majorBidi"/>
          <w:color w:val="000000" w:themeColor="accent6"/>
          <w:sz w:val="22"/>
          <w:szCs w:val="22"/>
        </w:rPr>
        <w:t xml:space="preserve">cause </w:t>
      </w:r>
      <w:r w:rsidRPr="229768D2">
        <w:rPr>
          <w:rFonts w:asciiTheme="majorHAnsi" w:eastAsia="Times New Roman" w:hAnsiTheme="majorHAnsi" w:cstheme="majorBidi"/>
          <w:color w:val="000000" w:themeColor="accent6"/>
          <w:sz w:val="22"/>
          <w:szCs w:val="22"/>
        </w:rPr>
        <w:t xml:space="preserve">Malaysian women </w:t>
      </w:r>
      <w:r w:rsidR="7C1C6E79" w:rsidRPr="229768D2">
        <w:rPr>
          <w:rFonts w:asciiTheme="majorHAnsi" w:eastAsia="Times New Roman" w:hAnsiTheme="majorHAnsi" w:cstheme="majorBidi"/>
          <w:color w:val="000000" w:themeColor="accent6"/>
          <w:sz w:val="22"/>
          <w:szCs w:val="22"/>
        </w:rPr>
        <w:t>to</w:t>
      </w:r>
      <w:r w:rsidRPr="229768D2">
        <w:rPr>
          <w:rFonts w:asciiTheme="majorHAnsi" w:eastAsia="Times New Roman" w:hAnsiTheme="majorHAnsi" w:cstheme="majorBidi"/>
          <w:color w:val="000000" w:themeColor="accent6"/>
          <w:sz w:val="22"/>
          <w:szCs w:val="22"/>
        </w:rPr>
        <w:t xml:space="preserve"> face limited autonomy in choice of domicile and forced migration. While overseas, they are then bound to their spouses with little access to their rights and security as a Malaysian citizen. In this regard, women find it difficult to leave an abusive marriage because they are made to wholly depend on their </w:t>
      </w:r>
      <w:r w:rsidR="195AEEA0" w:rsidRPr="229768D2">
        <w:rPr>
          <w:rFonts w:asciiTheme="majorHAnsi" w:eastAsia="Times New Roman" w:hAnsiTheme="majorHAnsi" w:cstheme="majorBidi"/>
          <w:color w:val="000000" w:themeColor="accent6"/>
          <w:sz w:val="22"/>
          <w:szCs w:val="22"/>
        </w:rPr>
        <w:t xml:space="preserve">non-citizen </w:t>
      </w:r>
      <w:r w:rsidRPr="229768D2">
        <w:rPr>
          <w:rFonts w:asciiTheme="majorHAnsi" w:eastAsia="Times New Roman" w:hAnsiTheme="majorHAnsi" w:cstheme="majorBidi"/>
          <w:color w:val="000000" w:themeColor="accent6"/>
          <w:sz w:val="22"/>
          <w:szCs w:val="22"/>
        </w:rPr>
        <w:t xml:space="preserve">husbands for the citizenship of their children. Some women have </w:t>
      </w:r>
      <w:r w:rsidR="7C1C6E79" w:rsidRPr="229768D2">
        <w:rPr>
          <w:rFonts w:asciiTheme="majorHAnsi" w:eastAsia="Times New Roman" w:hAnsiTheme="majorHAnsi" w:cstheme="majorBidi"/>
          <w:color w:val="000000" w:themeColor="accent6"/>
          <w:sz w:val="22"/>
          <w:szCs w:val="22"/>
        </w:rPr>
        <w:t xml:space="preserve">also </w:t>
      </w:r>
      <w:r w:rsidRPr="229768D2">
        <w:rPr>
          <w:rFonts w:asciiTheme="majorHAnsi" w:eastAsia="Times New Roman" w:hAnsiTheme="majorHAnsi" w:cstheme="majorBidi"/>
          <w:color w:val="000000" w:themeColor="accent6"/>
          <w:sz w:val="22"/>
          <w:szCs w:val="22"/>
        </w:rPr>
        <w:t xml:space="preserve">reported that the non-Malaysian status of their children remains a barrier for the Malaysian mothers to gain custody of their children. In the event the woman divorces the </w:t>
      </w:r>
      <w:r w:rsidR="314DD847" w:rsidRPr="229768D2">
        <w:rPr>
          <w:rFonts w:asciiTheme="majorHAnsi" w:eastAsia="Times New Roman" w:hAnsiTheme="majorHAnsi" w:cstheme="majorBidi"/>
          <w:color w:val="000000" w:themeColor="accent6"/>
          <w:sz w:val="22"/>
          <w:szCs w:val="22"/>
        </w:rPr>
        <w:t xml:space="preserve">non-citizen </w:t>
      </w:r>
      <w:r w:rsidRPr="229768D2">
        <w:rPr>
          <w:rFonts w:asciiTheme="majorHAnsi" w:eastAsia="Times New Roman" w:hAnsiTheme="majorHAnsi" w:cstheme="majorBidi"/>
          <w:color w:val="000000" w:themeColor="accent6"/>
          <w:sz w:val="22"/>
          <w:szCs w:val="22"/>
        </w:rPr>
        <w:t xml:space="preserve">spouse, they may still </w:t>
      </w:r>
      <w:r w:rsidR="2CBCA06A" w:rsidRPr="229768D2">
        <w:rPr>
          <w:rFonts w:asciiTheme="majorHAnsi" w:eastAsia="Times New Roman" w:hAnsiTheme="majorHAnsi" w:cstheme="majorBidi"/>
          <w:color w:val="000000" w:themeColor="accent6"/>
          <w:sz w:val="22"/>
          <w:szCs w:val="22"/>
        </w:rPr>
        <w:t>have to rely on their</w:t>
      </w:r>
      <w:r w:rsidRPr="229768D2">
        <w:rPr>
          <w:rFonts w:asciiTheme="majorHAnsi" w:eastAsia="Times New Roman" w:hAnsiTheme="majorHAnsi" w:cstheme="majorBidi"/>
          <w:color w:val="000000" w:themeColor="accent6"/>
          <w:sz w:val="22"/>
          <w:szCs w:val="22"/>
        </w:rPr>
        <w:t xml:space="preserve"> foreign ex-spouse to process the child’s passport or other applications. </w:t>
      </w:r>
    </w:p>
    <w:p w14:paraId="4B2BA8DC" w14:textId="77777777" w:rsidR="006F632B" w:rsidRPr="006F632B" w:rsidRDefault="006F632B" w:rsidP="006F632B">
      <w:pPr>
        <w:pStyle w:val="ListParagraph"/>
        <w:widowControl w:val="0"/>
        <w:autoSpaceDE w:val="0"/>
        <w:autoSpaceDN w:val="0"/>
        <w:adjustRightInd w:val="0"/>
        <w:ind w:left="501"/>
        <w:jc w:val="both"/>
        <w:rPr>
          <w:rFonts w:asciiTheme="majorHAnsi" w:hAnsiTheme="majorHAnsi" w:cstheme="majorHAnsi"/>
          <w:color w:val="000000" w:themeColor="text1"/>
          <w:sz w:val="22"/>
          <w:szCs w:val="22"/>
        </w:rPr>
      </w:pPr>
    </w:p>
    <w:p w14:paraId="2A5FD92D" w14:textId="5D3E8009" w:rsidR="005735E3" w:rsidRPr="00A041F9" w:rsidRDefault="06487B4A" w:rsidP="00EE6305">
      <w:pPr>
        <w:pStyle w:val="ListParagraph"/>
        <w:widowControl w:val="0"/>
        <w:numPr>
          <w:ilvl w:val="0"/>
          <w:numId w:val="7"/>
        </w:numPr>
        <w:autoSpaceDE w:val="0"/>
        <w:autoSpaceDN w:val="0"/>
        <w:adjustRightInd w:val="0"/>
        <w:jc w:val="both"/>
        <w:rPr>
          <w:rFonts w:asciiTheme="majorHAnsi" w:hAnsiTheme="majorHAnsi" w:cstheme="majorBidi"/>
          <w:color w:val="000000" w:themeColor="text1"/>
          <w:sz w:val="22"/>
          <w:szCs w:val="22"/>
        </w:rPr>
      </w:pPr>
      <w:r w:rsidRPr="229768D2">
        <w:rPr>
          <w:rFonts w:ascii="Calibri" w:eastAsia="Times New Roman" w:hAnsi="Calibri" w:cs="Calibri"/>
          <w:color w:val="000000" w:themeColor="accent6"/>
          <w:sz w:val="22"/>
          <w:szCs w:val="22"/>
        </w:rPr>
        <w:t>Non-citizen children of Malaysian women do not have equal access to affordable healthcare and public education. These children have limited access to public education. The current system only allows these children to attend school months after their Malaysian classmates joined the academic year. Consequently, they lose approximately </w:t>
      </w:r>
      <w:r w:rsidR="6D53BEC9" w:rsidRPr="229768D2">
        <w:rPr>
          <w:rFonts w:ascii="Calibri" w:eastAsia="Times New Roman" w:hAnsi="Calibri" w:cs="Calibri"/>
          <w:color w:val="000000" w:themeColor="accent6"/>
          <w:sz w:val="22"/>
          <w:szCs w:val="22"/>
        </w:rPr>
        <w:t>two</w:t>
      </w:r>
      <w:r w:rsidRPr="229768D2">
        <w:rPr>
          <w:rFonts w:ascii="Calibri" w:eastAsia="Times New Roman" w:hAnsi="Calibri" w:cs="Calibri"/>
          <w:color w:val="000000" w:themeColor="accent6"/>
          <w:sz w:val="22"/>
          <w:szCs w:val="22"/>
        </w:rPr>
        <w:t xml:space="preserve"> years of education in total. Additionally, they are also ineligible for schemes such as the Textbook Loan Scheme, Supplementary Food </w:t>
      </w:r>
      <w:proofErr w:type="gramStart"/>
      <w:r w:rsidRPr="229768D2">
        <w:rPr>
          <w:rFonts w:ascii="Calibri" w:eastAsia="Times New Roman" w:hAnsi="Calibri" w:cs="Calibri"/>
          <w:color w:val="000000" w:themeColor="accent6"/>
          <w:sz w:val="22"/>
          <w:szCs w:val="22"/>
        </w:rPr>
        <w:t>Programme</w:t>
      </w:r>
      <w:proofErr w:type="gramEnd"/>
      <w:r w:rsidRPr="229768D2">
        <w:rPr>
          <w:rFonts w:ascii="Calibri" w:eastAsia="Times New Roman" w:hAnsi="Calibri" w:cs="Calibri"/>
          <w:color w:val="000000" w:themeColor="accent6"/>
          <w:sz w:val="22"/>
          <w:szCs w:val="22"/>
        </w:rPr>
        <w:t xml:space="preserve"> and health programmes (dental care and vaccinations). There is a levy of RM120 for primary school and RM240 as payment in addition to the visa cost and medical insurance costs. Non-citizen children of a Malaysian parent are designated as foreigners in public medical facilities, which carry additional fees compared to citizens, as per the 2016 amendments to the Fees Act (Medical) 1951. Certain services such as vaccinations and dental checks which are normally provided for free to Malaysian children in public schools are not extended to non-citizen children of Malaysians. Children with disabilities or long-term health issues will be faced with exorbitant medical costs. </w:t>
      </w:r>
    </w:p>
    <w:p w14:paraId="1E0C1611" w14:textId="6EDC4997" w:rsidR="00A041F9" w:rsidRPr="001C7F18" w:rsidRDefault="00A041F9" w:rsidP="00A041F9">
      <w:pPr>
        <w:pStyle w:val="ListParagraph"/>
        <w:widowControl w:val="0"/>
        <w:autoSpaceDE w:val="0"/>
        <w:autoSpaceDN w:val="0"/>
        <w:adjustRightInd w:val="0"/>
        <w:ind w:left="501"/>
        <w:jc w:val="both"/>
        <w:rPr>
          <w:rFonts w:asciiTheme="majorHAnsi" w:hAnsiTheme="majorHAnsi" w:cstheme="majorBidi"/>
          <w:color w:val="000000" w:themeColor="text1"/>
          <w:sz w:val="22"/>
          <w:szCs w:val="22"/>
        </w:rPr>
      </w:pPr>
    </w:p>
    <w:p w14:paraId="287F9C08" w14:textId="5EE0626A" w:rsidR="007012A9" w:rsidRPr="007012A9" w:rsidRDefault="5A6FF1EB" w:rsidP="578E871E">
      <w:pPr>
        <w:pStyle w:val="ListParagraph"/>
        <w:widowControl w:val="0"/>
        <w:numPr>
          <w:ilvl w:val="0"/>
          <w:numId w:val="7"/>
        </w:numPr>
        <w:autoSpaceDE w:val="0"/>
        <w:autoSpaceDN w:val="0"/>
        <w:adjustRightInd w:val="0"/>
        <w:jc w:val="both"/>
        <w:rPr>
          <w:rStyle w:val="cf01"/>
          <w:rFonts w:asciiTheme="majorHAnsi" w:hAnsiTheme="majorHAnsi" w:cstheme="majorBidi"/>
          <w:sz w:val="22"/>
          <w:szCs w:val="22"/>
        </w:rPr>
      </w:pPr>
      <w:r w:rsidRPr="229768D2">
        <w:rPr>
          <w:rFonts w:asciiTheme="majorHAnsi" w:hAnsiTheme="majorHAnsi" w:cstheme="majorBidi"/>
          <w:color w:val="000000" w:themeColor="text1"/>
          <w:sz w:val="22"/>
          <w:szCs w:val="22"/>
        </w:rPr>
        <w:lastRenderedPageBreak/>
        <w:t xml:space="preserve">Due to the lengthy and inconsistent PR process and challenges in applying for and obtaining citizenship as spouses of Malaysians, </w:t>
      </w:r>
      <w:r w:rsidR="467D3128" w:rsidRPr="229768D2">
        <w:rPr>
          <w:rFonts w:asciiTheme="majorHAnsi" w:hAnsiTheme="majorHAnsi" w:cstheme="majorBidi"/>
          <w:color w:val="000000" w:themeColor="text1"/>
          <w:sz w:val="22"/>
          <w:szCs w:val="22"/>
        </w:rPr>
        <w:t>n</w:t>
      </w:r>
      <w:r w:rsidR="58B57ED8" w:rsidRPr="229768D2">
        <w:rPr>
          <w:rFonts w:asciiTheme="majorHAnsi" w:hAnsiTheme="majorHAnsi" w:cstheme="majorBidi"/>
          <w:color w:val="000000" w:themeColor="text1"/>
          <w:sz w:val="22"/>
          <w:szCs w:val="22"/>
        </w:rPr>
        <w:t>on-citizen spouses</w:t>
      </w:r>
      <w:r w:rsidR="086A1B49" w:rsidRPr="229768D2">
        <w:rPr>
          <w:rFonts w:asciiTheme="majorHAnsi" w:hAnsiTheme="majorHAnsi" w:cstheme="majorBidi"/>
          <w:color w:val="000000" w:themeColor="text1"/>
          <w:sz w:val="22"/>
          <w:szCs w:val="22"/>
        </w:rPr>
        <w:t xml:space="preserve">, particularly </w:t>
      </w:r>
      <w:r w:rsidR="45AFF950" w:rsidRPr="229768D2">
        <w:rPr>
          <w:rFonts w:asciiTheme="majorHAnsi" w:hAnsiTheme="majorHAnsi" w:cstheme="majorBidi"/>
          <w:color w:val="000000" w:themeColor="text1"/>
          <w:sz w:val="22"/>
          <w:szCs w:val="22"/>
        </w:rPr>
        <w:t>women</w:t>
      </w:r>
      <w:r w:rsidR="086A1B49" w:rsidRPr="229768D2">
        <w:rPr>
          <w:rFonts w:asciiTheme="majorHAnsi" w:hAnsiTheme="majorHAnsi" w:cstheme="majorBidi"/>
          <w:color w:val="000000" w:themeColor="text1"/>
          <w:sz w:val="22"/>
          <w:szCs w:val="22"/>
        </w:rPr>
        <w:t>,</w:t>
      </w:r>
      <w:r w:rsidR="5016E47D" w:rsidRPr="229768D2">
        <w:rPr>
          <w:rFonts w:asciiTheme="majorHAnsi" w:hAnsiTheme="majorHAnsi" w:cstheme="majorBidi"/>
          <w:color w:val="000000" w:themeColor="text1"/>
          <w:sz w:val="22"/>
          <w:szCs w:val="22"/>
        </w:rPr>
        <w:t xml:space="preserve"> </w:t>
      </w:r>
      <w:r w:rsidR="4BF7CD8D" w:rsidRPr="229768D2">
        <w:rPr>
          <w:rFonts w:asciiTheme="majorHAnsi" w:hAnsiTheme="majorHAnsi" w:cstheme="majorBidi"/>
          <w:color w:val="000000" w:themeColor="text1"/>
          <w:sz w:val="22"/>
          <w:szCs w:val="22"/>
        </w:rPr>
        <w:t xml:space="preserve">face </w:t>
      </w:r>
      <w:r w:rsidR="111AA8B9" w:rsidRPr="229768D2">
        <w:rPr>
          <w:rFonts w:asciiTheme="majorHAnsi" w:eastAsia="Times New Roman" w:hAnsiTheme="majorHAnsi" w:cstheme="majorBidi"/>
          <w:sz w:val="22"/>
          <w:szCs w:val="22"/>
        </w:rPr>
        <w:t>difficult</w:t>
      </w:r>
      <w:r w:rsidR="4BF7CD8D" w:rsidRPr="229768D2">
        <w:rPr>
          <w:rFonts w:asciiTheme="majorHAnsi" w:eastAsia="Times New Roman" w:hAnsiTheme="majorHAnsi" w:cstheme="majorBidi"/>
          <w:sz w:val="22"/>
          <w:szCs w:val="22"/>
        </w:rPr>
        <w:t>ies</w:t>
      </w:r>
      <w:r w:rsidR="111AA8B9" w:rsidRPr="229768D2">
        <w:rPr>
          <w:rFonts w:asciiTheme="majorHAnsi" w:eastAsia="Times New Roman" w:hAnsiTheme="majorHAnsi" w:cstheme="majorBidi"/>
          <w:sz w:val="22"/>
          <w:szCs w:val="22"/>
        </w:rPr>
        <w:t xml:space="preserve"> </w:t>
      </w:r>
      <w:r w:rsidR="4C3C2623" w:rsidRPr="229768D2">
        <w:rPr>
          <w:rFonts w:asciiTheme="majorHAnsi" w:eastAsia="Times New Roman" w:hAnsiTheme="majorHAnsi" w:cstheme="majorBidi"/>
          <w:sz w:val="22"/>
          <w:szCs w:val="22"/>
        </w:rPr>
        <w:t>in accessing rights in the country</w:t>
      </w:r>
      <w:r w:rsidR="10E5317F" w:rsidRPr="229768D2">
        <w:rPr>
          <w:rFonts w:asciiTheme="majorHAnsi" w:eastAsia="Times New Roman" w:hAnsiTheme="majorHAnsi" w:cstheme="majorBidi"/>
          <w:sz w:val="22"/>
          <w:szCs w:val="22"/>
        </w:rPr>
        <w:t xml:space="preserve">. </w:t>
      </w:r>
      <w:r w:rsidR="7121DDFF" w:rsidRPr="229768D2">
        <w:rPr>
          <w:rFonts w:asciiTheme="majorHAnsi" w:eastAsia="Times New Roman" w:hAnsiTheme="majorHAnsi" w:cstheme="majorBidi"/>
          <w:sz w:val="22"/>
          <w:szCs w:val="22"/>
        </w:rPr>
        <w:t xml:space="preserve">The </w:t>
      </w:r>
      <w:r w:rsidR="25965471" w:rsidRPr="229768D2">
        <w:rPr>
          <w:rFonts w:asciiTheme="majorHAnsi" w:eastAsia="Times New Roman" w:hAnsiTheme="majorHAnsi" w:cstheme="majorBidi"/>
          <w:sz w:val="22"/>
          <w:szCs w:val="22"/>
        </w:rPr>
        <w:t xml:space="preserve">lack </w:t>
      </w:r>
      <w:r w:rsidR="7121DDFF" w:rsidRPr="229768D2">
        <w:rPr>
          <w:rFonts w:asciiTheme="majorHAnsi" w:eastAsia="Times New Roman" w:hAnsiTheme="majorHAnsi" w:cstheme="majorBidi"/>
          <w:sz w:val="22"/>
          <w:szCs w:val="22"/>
        </w:rPr>
        <w:t xml:space="preserve">of </w:t>
      </w:r>
      <w:r w:rsidR="111AA8B9" w:rsidRPr="229768D2">
        <w:rPr>
          <w:rFonts w:asciiTheme="majorHAnsi" w:eastAsia="Times New Roman" w:hAnsiTheme="majorHAnsi" w:cstheme="majorBidi"/>
          <w:sz w:val="22"/>
          <w:szCs w:val="22"/>
        </w:rPr>
        <w:t>PR or citizenship makes financial and legal dependency on the Malaysian spouse inevitable.</w:t>
      </w:r>
      <w:r w:rsidR="39E6B43D" w:rsidRPr="229768D2">
        <w:rPr>
          <w:rFonts w:asciiTheme="majorHAnsi" w:eastAsia="Times New Roman" w:hAnsiTheme="majorHAnsi" w:cstheme="majorBidi"/>
          <w:sz w:val="22"/>
          <w:szCs w:val="22"/>
        </w:rPr>
        <w:t xml:space="preserve"> </w:t>
      </w:r>
      <w:r w:rsidR="111AA8B9" w:rsidRPr="229768D2">
        <w:rPr>
          <w:rFonts w:asciiTheme="majorHAnsi" w:eastAsia="Times New Roman" w:hAnsiTheme="majorHAnsi" w:cstheme="majorBidi"/>
          <w:sz w:val="22"/>
          <w:szCs w:val="22"/>
        </w:rPr>
        <w:t xml:space="preserve">In the meantime, spouses remain on the LTSVP, which has a statement of prohibition from employment, leading to challenges in finding a job. This prohibition disproportionately impacts female </w:t>
      </w:r>
      <w:r w:rsidR="0CAE997B" w:rsidRPr="229768D2">
        <w:rPr>
          <w:rFonts w:asciiTheme="majorHAnsi" w:eastAsia="Times New Roman" w:hAnsiTheme="majorHAnsi" w:cstheme="majorBidi"/>
          <w:sz w:val="22"/>
          <w:szCs w:val="22"/>
        </w:rPr>
        <w:t xml:space="preserve">non-citizen </w:t>
      </w:r>
      <w:r w:rsidR="111AA8B9" w:rsidRPr="229768D2">
        <w:rPr>
          <w:rFonts w:asciiTheme="majorHAnsi" w:eastAsia="Times New Roman" w:hAnsiTheme="majorHAnsi" w:cstheme="majorBidi"/>
          <w:sz w:val="22"/>
          <w:szCs w:val="22"/>
        </w:rPr>
        <w:t>spouses, resulting in complete financial dependency on the Malaysian spouse.</w:t>
      </w:r>
      <w:r w:rsidR="006655EE" w:rsidRPr="229768D2">
        <w:rPr>
          <w:rStyle w:val="FootnoteReference"/>
          <w:rFonts w:asciiTheme="majorHAnsi" w:eastAsia="Times New Roman" w:hAnsiTheme="majorHAnsi" w:cstheme="majorBidi"/>
          <w:sz w:val="22"/>
          <w:szCs w:val="22"/>
        </w:rPr>
        <w:footnoteReference w:id="21"/>
      </w:r>
    </w:p>
    <w:p w14:paraId="75796935" w14:textId="61B86C7B" w:rsidR="007012A9" w:rsidRPr="00B622EE" w:rsidRDefault="007012A9" w:rsidP="6BD1705E">
      <w:pPr>
        <w:widowControl w:val="0"/>
        <w:autoSpaceDE w:val="0"/>
        <w:autoSpaceDN w:val="0"/>
        <w:adjustRightInd w:val="0"/>
        <w:jc w:val="both"/>
        <w:rPr>
          <w:rStyle w:val="cf01"/>
          <w:rFonts w:asciiTheme="majorHAnsi" w:hAnsiTheme="majorHAnsi" w:cstheme="majorBidi"/>
          <w:sz w:val="22"/>
          <w:szCs w:val="22"/>
        </w:rPr>
      </w:pPr>
    </w:p>
    <w:p w14:paraId="21506281" w14:textId="235B25DB" w:rsidR="004D3DFF" w:rsidRPr="00B622EE" w:rsidRDefault="0A720847" w:rsidP="36E5C440">
      <w:pPr>
        <w:pStyle w:val="ListParagraph"/>
        <w:widowControl w:val="0"/>
        <w:numPr>
          <w:ilvl w:val="0"/>
          <w:numId w:val="7"/>
        </w:numPr>
        <w:autoSpaceDE w:val="0"/>
        <w:autoSpaceDN w:val="0"/>
        <w:adjustRightInd w:val="0"/>
        <w:jc w:val="both"/>
        <w:rPr>
          <w:rStyle w:val="cf01"/>
          <w:rFonts w:asciiTheme="majorHAnsi" w:hAnsiTheme="majorHAnsi" w:cstheme="majorBidi"/>
          <w:sz w:val="22"/>
          <w:szCs w:val="22"/>
        </w:rPr>
      </w:pPr>
      <w:r w:rsidRPr="00B622EE">
        <w:rPr>
          <w:rStyle w:val="cf01"/>
          <w:rFonts w:asciiTheme="majorHAnsi" w:hAnsiTheme="majorHAnsi" w:cstheme="majorBidi"/>
          <w:sz w:val="22"/>
          <w:szCs w:val="22"/>
        </w:rPr>
        <w:t xml:space="preserve">The overall uncertainty surrounding PR and citizenship also puts non-citizen spouses at risk of separation from their Malaysian family, as they fear the inability to live long term in Malaysia with their Malaysian children following events like death, </w:t>
      </w:r>
      <w:proofErr w:type="gramStart"/>
      <w:r w:rsidRPr="00B622EE">
        <w:rPr>
          <w:rStyle w:val="cf01"/>
          <w:rFonts w:asciiTheme="majorHAnsi" w:hAnsiTheme="majorHAnsi" w:cstheme="majorBidi"/>
          <w:sz w:val="22"/>
          <w:szCs w:val="22"/>
        </w:rPr>
        <w:t>divorce</w:t>
      </w:r>
      <w:proofErr w:type="gramEnd"/>
      <w:r w:rsidRPr="00B622EE">
        <w:rPr>
          <w:rStyle w:val="cf01"/>
          <w:rFonts w:asciiTheme="majorHAnsi" w:hAnsiTheme="majorHAnsi" w:cstheme="majorBidi"/>
          <w:sz w:val="22"/>
          <w:szCs w:val="22"/>
        </w:rPr>
        <w:t xml:space="preserve"> or separation from a Malaysian spouse. </w:t>
      </w:r>
      <w:r w:rsidR="4F9BA177" w:rsidRPr="00B622EE">
        <w:rPr>
          <w:rStyle w:val="cf01"/>
          <w:rFonts w:asciiTheme="majorHAnsi" w:hAnsiTheme="majorHAnsi" w:cstheme="majorBidi"/>
          <w:sz w:val="22"/>
          <w:szCs w:val="22"/>
        </w:rPr>
        <w:t>Furthermore</w:t>
      </w:r>
      <w:r w:rsidR="00080D22" w:rsidRPr="00B622EE">
        <w:rPr>
          <w:rStyle w:val="cf01"/>
          <w:rFonts w:asciiTheme="majorHAnsi" w:hAnsiTheme="majorHAnsi" w:cstheme="majorBidi"/>
          <w:sz w:val="22"/>
          <w:szCs w:val="22"/>
        </w:rPr>
        <w:t xml:space="preserve">, </w:t>
      </w:r>
      <w:r w:rsidR="5006A57C" w:rsidRPr="00B622EE">
        <w:rPr>
          <w:rStyle w:val="cf01"/>
          <w:rFonts w:asciiTheme="majorHAnsi" w:hAnsiTheme="majorHAnsi" w:cstheme="majorBidi"/>
          <w:sz w:val="22"/>
          <w:szCs w:val="22"/>
        </w:rPr>
        <w:t>male</w:t>
      </w:r>
      <w:r w:rsidR="00080D22" w:rsidRPr="00B622EE">
        <w:rPr>
          <w:rStyle w:val="cf01"/>
          <w:rFonts w:asciiTheme="majorHAnsi" w:hAnsiTheme="majorHAnsi" w:cstheme="majorBidi"/>
          <w:sz w:val="22"/>
          <w:szCs w:val="22"/>
        </w:rPr>
        <w:t xml:space="preserve"> n</w:t>
      </w:r>
      <w:r w:rsidR="005A431D" w:rsidRPr="00B622EE">
        <w:rPr>
          <w:rStyle w:val="cf01"/>
          <w:rFonts w:asciiTheme="majorHAnsi" w:hAnsiTheme="majorHAnsi" w:cstheme="majorBidi"/>
          <w:sz w:val="22"/>
          <w:szCs w:val="22"/>
        </w:rPr>
        <w:t xml:space="preserve">on-citizen spouses </w:t>
      </w:r>
      <w:r w:rsidR="00E424F0" w:rsidRPr="00B622EE">
        <w:rPr>
          <w:rStyle w:val="cf01"/>
          <w:rFonts w:asciiTheme="majorHAnsi" w:hAnsiTheme="majorHAnsi" w:cstheme="majorBidi"/>
          <w:sz w:val="22"/>
          <w:szCs w:val="22"/>
        </w:rPr>
        <w:t xml:space="preserve">are not </w:t>
      </w:r>
      <w:r w:rsidR="07076B80" w:rsidRPr="00B622EE">
        <w:rPr>
          <w:rStyle w:val="cf01"/>
          <w:rFonts w:asciiTheme="majorHAnsi" w:hAnsiTheme="majorHAnsi" w:cstheme="majorBidi"/>
          <w:sz w:val="22"/>
          <w:szCs w:val="22"/>
        </w:rPr>
        <w:t>grant</w:t>
      </w:r>
      <w:r w:rsidR="00E424F0" w:rsidRPr="00B622EE">
        <w:rPr>
          <w:rStyle w:val="cf01"/>
          <w:rFonts w:asciiTheme="majorHAnsi" w:hAnsiTheme="majorHAnsi" w:cstheme="majorBidi"/>
          <w:sz w:val="22"/>
          <w:szCs w:val="22"/>
        </w:rPr>
        <w:t>ed visa</w:t>
      </w:r>
      <w:r w:rsidR="00B41FFD" w:rsidRPr="00B622EE">
        <w:rPr>
          <w:rStyle w:val="cf01"/>
          <w:rFonts w:asciiTheme="majorHAnsi" w:hAnsiTheme="majorHAnsi" w:cstheme="majorBidi"/>
          <w:sz w:val="22"/>
          <w:szCs w:val="22"/>
        </w:rPr>
        <w:t xml:space="preserve">s upon </w:t>
      </w:r>
      <w:r w:rsidR="00367C0B" w:rsidRPr="00B622EE">
        <w:rPr>
          <w:rStyle w:val="cf01"/>
          <w:rFonts w:asciiTheme="majorHAnsi" w:hAnsiTheme="majorHAnsi" w:cstheme="majorBidi"/>
          <w:sz w:val="22"/>
          <w:szCs w:val="22"/>
        </w:rPr>
        <w:t xml:space="preserve">divorce and death </w:t>
      </w:r>
      <w:r w:rsidR="00CD52D3" w:rsidRPr="00B622EE">
        <w:rPr>
          <w:rStyle w:val="cf01"/>
          <w:rFonts w:asciiTheme="majorHAnsi" w:hAnsiTheme="majorHAnsi" w:cstheme="majorBidi"/>
          <w:sz w:val="22"/>
          <w:szCs w:val="22"/>
        </w:rPr>
        <w:t>of the Malaysian wife</w:t>
      </w:r>
      <w:r w:rsidR="00EA7A1B" w:rsidRPr="00B622EE">
        <w:rPr>
          <w:rStyle w:val="cf01"/>
          <w:rFonts w:asciiTheme="majorHAnsi" w:hAnsiTheme="majorHAnsi" w:cstheme="majorBidi"/>
          <w:sz w:val="22"/>
          <w:szCs w:val="22"/>
        </w:rPr>
        <w:t xml:space="preserve"> even when they </w:t>
      </w:r>
      <w:r w:rsidR="6F96FA12" w:rsidRPr="00B622EE">
        <w:rPr>
          <w:rStyle w:val="cf01"/>
          <w:rFonts w:asciiTheme="majorHAnsi" w:hAnsiTheme="majorHAnsi" w:cstheme="majorBidi"/>
          <w:sz w:val="22"/>
          <w:szCs w:val="22"/>
        </w:rPr>
        <w:t xml:space="preserve">share joint </w:t>
      </w:r>
      <w:r w:rsidR="00EA7A1B" w:rsidRPr="00B622EE">
        <w:rPr>
          <w:rStyle w:val="cf01"/>
          <w:rFonts w:asciiTheme="majorHAnsi" w:hAnsiTheme="majorHAnsi" w:cstheme="majorBidi"/>
          <w:sz w:val="22"/>
          <w:szCs w:val="22"/>
        </w:rPr>
        <w:t xml:space="preserve">custody of the child. </w:t>
      </w:r>
      <w:r w:rsidR="00870480" w:rsidRPr="00B622EE">
        <w:rPr>
          <w:rStyle w:val="cf01"/>
          <w:rFonts w:asciiTheme="majorHAnsi" w:hAnsiTheme="majorHAnsi" w:cstheme="majorBidi"/>
          <w:sz w:val="22"/>
          <w:szCs w:val="22"/>
        </w:rPr>
        <w:t>This</w:t>
      </w:r>
      <w:r w:rsidR="004D3995" w:rsidRPr="00B622EE">
        <w:rPr>
          <w:rStyle w:val="cf01"/>
          <w:rFonts w:asciiTheme="majorHAnsi" w:hAnsiTheme="majorHAnsi" w:cstheme="majorBidi"/>
          <w:sz w:val="22"/>
          <w:szCs w:val="22"/>
        </w:rPr>
        <w:t xml:space="preserve"> </w:t>
      </w:r>
      <w:r w:rsidR="7FBD2ABE" w:rsidRPr="00B622EE">
        <w:rPr>
          <w:rStyle w:val="cf01"/>
          <w:rFonts w:asciiTheme="majorHAnsi" w:hAnsiTheme="majorHAnsi" w:cstheme="majorBidi"/>
          <w:sz w:val="22"/>
          <w:szCs w:val="22"/>
        </w:rPr>
        <w:t xml:space="preserve">places </w:t>
      </w:r>
      <w:r w:rsidR="27D8CC25" w:rsidRPr="00B622EE">
        <w:rPr>
          <w:rStyle w:val="cf01"/>
          <w:rFonts w:asciiTheme="majorHAnsi" w:hAnsiTheme="majorHAnsi" w:cstheme="majorBidi"/>
          <w:sz w:val="22"/>
          <w:szCs w:val="22"/>
        </w:rPr>
        <w:t>t</w:t>
      </w:r>
      <w:r w:rsidR="004D3995" w:rsidRPr="00B622EE">
        <w:rPr>
          <w:rStyle w:val="cf01"/>
          <w:rFonts w:asciiTheme="majorHAnsi" w:hAnsiTheme="majorHAnsi" w:cstheme="majorBidi"/>
          <w:sz w:val="22"/>
          <w:szCs w:val="22"/>
        </w:rPr>
        <w:t>he burden o</w:t>
      </w:r>
      <w:r w:rsidR="65047435" w:rsidRPr="00B622EE">
        <w:rPr>
          <w:rStyle w:val="cf01"/>
          <w:rFonts w:asciiTheme="majorHAnsi" w:hAnsiTheme="majorHAnsi" w:cstheme="majorBidi"/>
          <w:sz w:val="22"/>
          <w:szCs w:val="22"/>
        </w:rPr>
        <w:t xml:space="preserve">f </w:t>
      </w:r>
      <w:r w:rsidR="32B1DC88" w:rsidRPr="00B622EE">
        <w:rPr>
          <w:rStyle w:val="cf01"/>
          <w:rFonts w:asciiTheme="majorHAnsi" w:hAnsiTheme="majorHAnsi" w:cstheme="majorBidi"/>
          <w:sz w:val="22"/>
          <w:szCs w:val="22"/>
        </w:rPr>
        <w:t xml:space="preserve">caregiving responsibilities solely </w:t>
      </w:r>
      <w:r w:rsidR="004D3995" w:rsidRPr="00B622EE">
        <w:rPr>
          <w:rStyle w:val="cf01"/>
          <w:rFonts w:asciiTheme="majorHAnsi" w:hAnsiTheme="majorHAnsi" w:cstheme="majorBidi"/>
          <w:sz w:val="22"/>
          <w:szCs w:val="22"/>
        </w:rPr>
        <w:t>on the divorced wife</w:t>
      </w:r>
      <w:r w:rsidR="28CEBA27" w:rsidRPr="00B622EE">
        <w:rPr>
          <w:rStyle w:val="cf01"/>
          <w:rFonts w:asciiTheme="majorHAnsi" w:hAnsiTheme="majorHAnsi" w:cstheme="majorBidi"/>
          <w:sz w:val="22"/>
          <w:szCs w:val="22"/>
        </w:rPr>
        <w:t xml:space="preserve"> </w:t>
      </w:r>
      <w:r w:rsidR="74F58803" w:rsidRPr="00B622EE">
        <w:rPr>
          <w:rStyle w:val="cf01"/>
          <w:rFonts w:asciiTheme="majorHAnsi" w:hAnsiTheme="majorHAnsi" w:cstheme="majorBidi"/>
          <w:sz w:val="22"/>
          <w:szCs w:val="22"/>
        </w:rPr>
        <w:t>and</w:t>
      </w:r>
      <w:r w:rsidR="28CEBA27" w:rsidRPr="00B622EE">
        <w:rPr>
          <w:rStyle w:val="cf01"/>
          <w:rFonts w:asciiTheme="majorHAnsi" w:hAnsiTheme="majorHAnsi" w:cstheme="majorBidi"/>
          <w:sz w:val="22"/>
          <w:szCs w:val="22"/>
        </w:rPr>
        <w:t xml:space="preserve"> adds to her challenges in meeting the child’s emotional, </w:t>
      </w:r>
      <w:proofErr w:type="gramStart"/>
      <w:r w:rsidR="28CEBA27" w:rsidRPr="00B622EE">
        <w:rPr>
          <w:rStyle w:val="cf01"/>
          <w:rFonts w:asciiTheme="majorHAnsi" w:hAnsiTheme="majorHAnsi" w:cstheme="majorBidi"/>
          <w:sz w:val="22"/>
          <w:szCs w:val="22"/>
        </w:rPr>
        <w:t>financial</w:t>
      </w:r>
      <w:proofErr w:type="gramEnd"/>
      <w:r w:rsidR="28CEBA27" w:rsidRPr="00B622EE">
        <w:rPr>
          <w:rStyle w:val="cf01"/>
          <w:rFonts w:asciiTheme="majorHAnsi" w:hAnsiTheme="majorHAnsi" w:cstheme="majorBidi"/>
          <w:sz w:val="22"/>
          <w:szCs w:val="22"/>
        </w:rPr>
        <w:t xml:space="preserve"> and practical needs </w:t>
      </w:r>
      <w:r w:rsidR="74F58803" w:rsidRPr="00B622EE">
        <w:rPr>
          <w:rStyle w:val="cf01"/>
          <w:rFonts w:asciiTheme="majorHAnsi" w:hAnsiTheme="majorHAnsi" w:cstheme="majorBidi"/>
          <w:sz w:val="22"/>
          <w:szCs w:val="22"/>
        </w:rPr>
        <w:t xml:space="preserve">alone. </w:t>
      </w:r>
      <w:r w:rsidR="75421F62" w:rsidRPr="00B622EE">
        <w:rPr>
          <w:rStyle w:val="cf01"/>
          <w:rFonts w:asciiTheme="majorHAnsi" w:hAnsiTheme="majorHAnsi" w:cstheme="majorBidi"/>
          <w:sz w:val="22"/>
          <w:szCs w:val="22"/>
        </w:rPr>
        <w:t xml:space="preserve">In the tragic event of the Malaysian mother’s death, if the non-citizen father cannot stay in the country to care for the child, it can disrupt the child’s sense of stability, </w:t>
      </w:r>
      <w:proofErr w:type="gramStart"/>
      <w:r w:rsidR="75421F62" w:rsidRPr="00B622EE">
        <w:rPr>
          <w:rStyle w:val="cf01"/>
          <w:rFonts w:asciiTheme="majorHAnsi" w:hAnsiTheme="majorHAnsi" w:cstheme="majorBidi"/>
          <w:sz w:val="22"/>
          <w:szCs w:val="22"/>
        </w:rPr>
        <w:t>security</w:t>
      </w:r>
      <w:proofErr w:type="gramEnd"/>
      <w:r w:rsidR="75421F62" w:rsidRPr="00B622EE">
        <w:rPr>
          <w:rStyle w:val="cf01"/>
          <w:rFonts w:asciiTheme="majorHAnsi" w:hAnsiTheme="majorHAnsi" w:cstheme="majorBidi"/>
          <w:sz w:val="22"/>
          <w:szCs w:val="22"/>
        </w:rPr>
        <w:t xml:space="preserve"> and continuity of care, potentially causing long-term psychological effects.</w:t>
      </w:r>
    </w:p>
    <w:p w14:paraId="3BD2621B" w14:textId="77777777" w:rsidR="000943AA" w:rsidRDefault="000943AA" w:rsidP="000943AA">
      <w:pPr>
        <w:pStyle w:val="ListParagraph"/>
        <w:widowControl w:val="0"/>
        <w:autoSpaceDE w:val="0"/>
        <w:autoSpaceDN w:val="0"/>
        <w:adjustRightInd w:val="0"/>
        <w:ind w:left="501"/>
        <w:jc w:val="both"/>
        <w:rPr>
          <w:rFonts w:asciiTheme="majorHAnsi" w:hAnsiTheme="majorHAnsi" w:cstheme="majorHAnsi"/>
          <w:sz w:val="22"/>
          <w:szCs w:val="22"/>
        </w:rPr>
      </w:pPr>
    </w:p>
    <w:p w14:paraId="48D0D4B5" w14:textId="77777777" w:rsidR="00F85F6B" w:rsidRDefault="00F85F6B" w:rsidP="229768D2">
      <w:pPr>
        <w:widowControl w:val="0"/>
        <w:autoSpaceDE w:val="0"/>
        <w:autoSpaceDN w:val="0"/>
        <w:adjustRightInd w:val="0"/>
        <w:jc w:val="both"/>
        <w:rPr>
          <w:rFonts w:ascii="Helvetica" w:hAnsi="Helvetica" w:cstheme="majorBidi"/>
          <w:b/>
          <w:bCs/>
          <w:color w:val="1E1052" w:themeColor="accent1" w:themeShade="BF"/>
          <w:sz w:val="28"/>
          <w:szCs w:val="28"/>
        </w:rPr>
      </w:pPr>
    </w:p>
    <w:p w14:paraId="5903E9AB" w14:textId="609ED7FC" w:rsidR="000943AA" w:rsidRPr="000943AA" w:rsidRDefault="4300E825" w:rsidP="229768D2">
      <w:pPr>
        <w:widowControl w:val="0"/>
        <w:autoSpaceDE w:val="0"/>
        <w:autoSpaceDN w:val="0"/>
        <w:adjustRightInd w:val="0"/>
        <w:jc w:val="both"/>
        <w:rPr>
          <w:rFonts w:ascii="Helvetica" w:hAnsi="Helvetica" w:cstheme="majorBidi"/>
          <w:b/>
          <w:bCs/>
          <w:color w:val="1E1052" w:themeColor="accent1" w:themeShade="BF"/>
          <w:sz w:val="28"/>
          <w:szCs w:val="28"/>
        </w:rPr>
      </w:pPr>
      <w:r w:rsidRPr="229768D2">
        <w:rPr>
          <w:rFonts w:ascii="Helvetica" w:hAnsi="Helvetica" w:cstheme="majorBidi"/>
          <w:b/>
          <w:bCs/>
          <w:color w:val="1E1052" w:themeColor="accent1" w:themeShade="BF"/>
          <w:sz w:val="28"/>
          <w:szCs w:val="28"/>
        </w:rPr>
        <w:t xml:space="preserve">Current </w:t>
      </w:r>
      <w:r w:rsidR="5B6BC07E" w:rsidRPr="229768D2">
        <w:rPr>
          <w:rFonts w:ascii="Helvetica" w:hAnsi="Helvetica" w:cstheme="majorBidi"/>
          <w:b/>
          <w:bCs/>
          <w:color w:val="1E1052" w:themeColor="accent1" w:themeShade="BF"/>
          <w:sz w:val="28"/>
          <w:szCs w:val="28"/>
        </w:rPr>
        <w:t>d</w:t>
      </w:r>
      <w:r w:rsidRPr="229768D2">
        <w:rPr>
          <w:rFonts w:ascii="Helvetica" w:hAnsi="Helvetica" w:cstheme="majorBidi"/>
          <w:b/>
          <w:bCs/>
          <w:color w:val="1E1052" w:themeColor="accent1" w:themeShade="BF"/>
          <w:sz w:val="28"/>
          <w:szCs w:val="28"/>
        </w:rPr>
        <w:t xml:space="preserve">evelopments in Malaysia’s </w:t>
      </w:r>
      <w:r w:rsidR="5B6BC07E" w:rsidRPr="229768D2">
        <w:rPr>
          <w:rFonts w:ascii="Helvetica" w:hAnsi="Helvetica" w:cstheme="majorBidi"/>
          <w:b/>
          <w:bCs/>
          <w:color w:val="1E1052" w:themeColor="accent1" w:themeShade="BF"/>
          <w:sz w:val="28"/>
          <w:szCs w:val="28"/>
        </w:rPr>
        <w:t>n</w:t>
      </w:r>
      <w:r w:rsidRPr="229768D2">
        <w:rPr>
          <w:rFonts w:ascii="Helvetica" w:hAnsi="Helvetica" w:cstheme="majorBidi"/>
          <w:b/>
          <w:bCs/>
          <w:color w:val="1E1052" w:themeColor="accent1" w:themeShade="BF"/>
          <w:sz w:val="28"/>
          <w:szCs w:val="28"/>
        </w:rPr>
        <w:t xml:space="preserve">ationality </w:t>
      </w:r>
      <w:r w:rsidR="5B6BC07E" w:rsidRPr="229768D2">
        <w:rPr>
          <w:rFonts w:ascii="Helvetica" w:hAnsi="Helvetica" w:cstheme="majorBidi"/>
          <w:b/>
          <w:bCs/>
          <w:color w:val="1E1052" w:themeColor="accent1" w:themeShade="BF"/>
          <w:sz w:val="28"/>
          <w:szCs w:val="28"/>
        </w:rPr>
        <w:t>l</w:t>
      </w:r>
      <w:r w:rsidRPr="229768D2">
        <w:rPr>
          <w:rFonts w:ascii="Helvetica" w:hAnsi="Helvetica" w:cstheme="majorBidi"/>
          <w:b/>
          <w:bCs/>
          <w:color w:val="1E1052" w:themeColor="accent1" w:themeShade="BF"/>
          <w:sz w:val="28"/>
          <w:szCs w:val="28"/>
        </w:rPr>
        <w:t xml:space="preserve">aws  </w:t>
      </w:r>
    </w:p>
    <w:p w14:paraId="2DA3FB61" w14:textId="77777777" w:rsidR="00C36CC0" w:rsidRPr="00C36CC0" w:rsidRDefault="00C36CC0" w:rsidP="00C36CC0">
      <w:pPr>
        <w:pStyle w:val="ListParagraph"/>
        <w:widowControl w:val="0"/>
        <w:autoSpaceDE w:val="0"/>
        <w:autoSpaceDN w:val="0"/>
        <w:adjustRightInd w:val="0"/>
        <w:ind w:left="501"/>
        <w:jc w:val="both"/>
        <w:rPr>
          <w:rFonts w:asciiTheme="majorHAnsi" w:hAnsiTheme="majorHAnsi" w:cstheme="majorHAnsi"/>
          <w:color w:val="1E1052" w:themeColor="accent1" w:themeShade="BF"/>
          <w:sz w:val="22"/>
          <w:szCs w:val="22"/>
        </w:rPr>
      </w:pPr>
    </w:p>
    <w:p w14:paraId="69901CA8" w14:textId="0881B6B2" w:rsidR="00C36CC0" w:rsidRPr="00C36CC0" w:rsidRDefault="667116B6" w:rsidP="00E525E4">
      <w:pPr>
        <w:pStyle w:val="ListParagraph"/>
        <w:widowControl w:val="0"/>
        <w:numPr>
          <w:ilvl w:val="0"/>
          <w:numId w:val="7"/>
        </w:numPr>
        <w:jc w:val="both"/>
        <w:rPr>
          <w:rFonts w:asciiTheme="majorHAnsi" w:hAnsiTheme="majorHAnsi" w:cstheme="majorBidi"/>
          <w:sz w:val="22"/>
          <w:szCs w:val="22"/>
        </w:rPr>
      </w:pPr>
      <w:r w:rsidRPr="229768D2">
        <w:rPr>
          <w:rFonts w:asciiTheme="majorHAnsi" w:hAnsiTheme="majorHAnsi" w:cstheme="majorBidi"/>
          <w:sz w:val="22"/>
          <w:szCs w:val="22"/>
        </w:rPr>
        <w:t xml:space="preserve">In December 2020, six Malaysian mothers and the civil society group Family Frontiers filed a case at the Kuala Lumpur High Court, challenging the constitutionality of Malaysian women’s inability to confer </w:t>
      </w:r>
      <w:r w:rsidR="722CD4FA" w:rsidRPr="229768D2">
        <w:rPr>
          <w:rFonts w:asciiTheme="majorHAnsi" w:hAnsiTheme="majorHAnsi" w:cstheme="majorBidi"/>
          <w:sz w:val="22"/>
          <w:szCs w:val="22"/>
        </w:rPr>
        <w:t xml:space="preserve">citizenship </w:t>
      </w:r>
      <w:r w:rsidRPr="229768D2">
        <w:rPr>
          <w:rFonts w:asciiTheme="majorHAnsi" w:hAnsiTheme="majorHAnsi" w:cstheme="majorBidi"/>
          <w:sz w:val="22"/>
          <w:szCs w:val="22"/>
        </w:rPr>
        <w:t>on children born abroad on an equal basis with Malaysian men (</w:t>
      </w:r>
      <w:proofErr w:type="spellStart"/>
      <w:r w:rsidRPr="00E0629E">
        <w:rPr>
          <w:rFonts w:asciiTheme="majorHAnsi" w:hAnsiTheme="majorHAnsi" w:cstheme="majorBidi"/>
          <w:i/>
          <w:iCs/>
          <w:sz w:val="22"/>
          <w:szCs w:val="22"/>
        </w:rPr>
        <w:t>Suriani</w:t>
      </w:r>
      <w:proofErr w:type="spellEnd"/>
      <w:r w:rsidRPr="00E0629E">
        <w:rPr>
          <w:rFonts w:asciiTheme="majorHAnsi" w:hAnsiTheme="majorHAnsi" w:cstheme="majorBidi"/>
          <w:i/>
          <w:iCs/>
          <w:sz w:val="22"/>
          <w:szCs w:val="22"/>
        </w:rPr>
        <w:t xml:space="preserve"> Kempe &amp; </w:t>
      </w:r>
      <w:proofErr w:type="spellStart"/>
      <w:r w:rsidRPr="00E0629E">
        <w:rPr>
          <w:rFonts w:asciiTheme="majorHAnsi" w:hAnsiTheme="majorHAnsi" w:cstheme="majorBidi"/>
          <w:i/>
          <w:iCs/>
          <w:sz w:val="22"/>
          <w:szCs w:val="22"/>
        </w:rPr>
        <w:t>Ors</w:t>
      </w:r>
      <w:proofErr w:type="spellEnd"/>
      <w:r w:rsidRPr="00E0629E">
        <w:rPr>
          <w:rFonts w:asciiTheme="majorHAnsi" w:hAnsiTheme="majorHAnsi" w:cstheme="majorBidi"/>
          <w:i/>
          <w:iCs/>
          <w:sz w:val="22"/>
          <w:szCs w:val="22"/>
        </w:rPr>
        <w:t xml:space="preserve">. v Government of Malaysia &amp; </w:t>
      </w:r>
      <w:proofErr w:type="spellStart"/>
      <w:r w:rsidRPr="00E0629E">
        <w:rPr>
          <w:rFonts w:asciiTheme="majorHAnsi" w:hAnsiTheme="majorHAnsi" w:cstheme="majorBidi"/>
          <w:i/>
          <w:iCs/>
          <w:sz w:val="22"/>
          <w:szCs w:val="22"/>
        </w:rPr>
        <w:t>Ors</w:t>
      </w:r>
      <w:proofErr w:type="spellEnd"/>
      <w:r w:rsidRPr="00E0629E">
        <w:rPr>
          <w:rFonts w:asciiTheme="majorHAnsi" w:hAnsiTheme="majorHAnsi" w:cstheme="majorBidi"/>
          <w:i/>
          <w:iCs/>
          <w:sz w:val="22"/>
          <w:szCs w:val="22"/>
        </w:rPr>
        <w:t>.</w:t>
      </w:r>
      <w:r w:rsidRPr="229768D2">
        <w:rPr>
          <w:rFonts w:asciiTheme="majorHAnsi" w:hAnsiTheme="majorHAnsi" w:cstheme="majorBidi"/>
          <w:sz w:val="22"/>
          <w:szCs w:val="22"/>
        </w:rPr>
        <w:t xml:space="preserve">). The Kuala Lumpur High Court ruled in </w:t>
      </w:r>
      <w:r w:rsidR="5110F645" w:rsidRPr="229768D2">
        <w:rPr>
          <w:rFonts w:asciiTheme="majorHAnsi" w:hAnsiTheme="majorHAnsi" w:cstheme="majorBidi"/>
          <w:sz w:val="22"/>
          <w:szCs w:val="22"/>
        </w:rPr>
        <w:t>favour</w:t>
      </w:r>
      <w:r w:rsidRPr="229768D2">
        <w:rPr>
          <w:rFonts w:asciiTheme="majorHAnsi" w:hAnsiTheme="majorHAnsi" w:cstheme="majorBidi"/>
          <w:sz w:val="22"/>
          <w:szCs w:val="22"/>
        </w:rPr>
        <w:t xml:space="preserve"> of the plaintiffs in September 2021, holding that Malaysian women have equal rights to confer citizenship on their overseas-born children.</w:t>
      </w:r>
      <w:r w:rsidR="00571A6B" w:rsidRPr="229768D2">
        <w:rPr>
          <w:rStyle w:val="FootnoteReference"/>
          <w:rFonts w:asciiTheme="majorHAnsi" w:hAnsiTheme="majorHAnsi" w:cstheme="majorBidi"/>
          <w:sz w:val="22"/>
          <w:szCs w:val="22"/>
        </w:rPr>
        <w:footnoteReference w:id="22"/>
      </w:r>
      <w:r w:rsidRPr="229768D2">
        <w:rPr>
          <w:rFonts w:asciiTheme="majorHAnsi" w:hAnsiTheme="majorHAnsi" w:cstheme="majorBidi"/>
          <w:sz w:val="22"/>
          <w:szCs w:val="22"/>
        </w:rPr>
        <w:t xml:space="preserve"> The Court of Appeal overturned the decision in August 2022 following the Government’s appeal against the landmark decision.</w:t>
      </w:r>
      <w:r w:rsidR="00571A6B" w:rsidRPr="229768D2">
        <w:rPr>
          <w:rStyle w:val="FootnoteReference"/>
          <w:rFonts w:asciiTheme="majorHAnsi" w:hAnsiTheme="majorHAnsi" w:cstheme="majorBidi"/>
          <w:sz w:val="22"/>
          <w:szCs w:val="22"/>
        </w:rPr>
        <w:footnoteReference w:id="23"/>
      </w:r>
      <w:r w:rsidRPr="229768D2">
        <w:rPr>
          <w:rFonts w:asciiTheme="majorHAnsi" w:hAnsiTheme="majorHAnsi" w:cstheme="majorBidi"/>
          <w:sz w:val="22"/>
          <w:szCs w:val="22"/>
        </w:rPr>
        <w:t xml:space="preserve"> The Federal Court of Malaysia, in December 2022, granted leave for the plaintiffs to appeal the Court of Appeal’s decision.</w:t>
      </w:r>
      <w:r w:rsidR="00571A6B" w:rsidRPr="229768D2">
        <w:rPr>
          <w:rStyle w:val="FootnoteReference"/>
          <w:rFonts w:asciiTheme="majorHAnsi" w:hAnsiTheme="majorHAnsi" w:cstheme="majorBidi"/>
          <w:sz w:val="22"/>
          <w:szCs w:val="22"/>
        </w:rPr>
        <w:footnoteReference w:id="24"/>
      </w:r>
      <w:r w:rsidR="525DA1D1" w:rsidRPr="229768D2">
        <w:rPr>
          <w:rStyle w:val="FootnoteReference"/>
          <w:rFonts w:asciiTheme="majorHAnsi" w:hAnsiTheme="majorHAnsi" w:cstheme="majorBidi"/>
          <w:sz w:val="22"/>
          <w:szCs w:val="22"/>
        </w:rPr>
        <w:t xml:space="preserve"> </w:t>
      </w:r>
      <w:r w:rsidR="525DA1D1" w:rsidRPr="229768D2">
        <w:rPr>
          <w:rFonts w:asciiTheme="majorHAnsi" w:hAnsiTheme="majorHAnsi" w:cstheme="majorBidi"/>
          <w:sz w:val="22"/>
          <w:szCs w:val="22"/>
        </w:rPr>
        <w:t>The case is scheduled to be heard</w:t>
      </w:r>
      <w:r w:rsidR="0FF18C64" w:rsidRPr="229768D2">
        <w:rPr>
          <w:rFonts w:asciiTheme="majorHAnsi" w:hAnsiTheme="majorHAnsi" w:cstheme="majorBidi"/>
          <w:sz w:val="22"/>
          <w:szCs w:val="22"/>
        </w:rPr>
        <w:t xml:space="preserve"> at the Federal Court</w:t>
      </w:r>
      <w:r w:rsidR="525DA1D1" w:rsidRPr="229768D2">
        <w:rPr>
          <w:rFonts w:asciiTheme="majorHAnsi" w:hAnsiTheme="majorHAnsi" w:cstheme="majorBidi"/>
          <w:sz w:val="22"/>
          <w:szCs w:val="22"/>
        </w:rPr>
        <w:t xml:space="preserve"> </w:t>
      </w:r>
      <w:r w:rsidR="4E5ABE73" w:rsidRPr="229768D2">
        <w:rPr>
          <w:rFonts w:asciiTheme="majorHAnsi" w:hAnsiTheme="majorHAnsi" w:cstheme="majorBidi"/>
          <w:sz w:val="22"/>
          <w:szCs w:val="22"/>
        </w:rPr>
        <w:t xml:space="preserve">on </w:t>
      </w:r>
      <w:r w:rsidR="45759CFF" w:rsidRPr="229768D2">
        <w:rPr>
          <w:rFonts w:asciiTheme="majorHAnsi" w:hAnsiTheme="majorHAnsi" w:cstheme="majorBidi"/>
          <w:sz w:val="22"/>
          <w:szCs w:val="22"/>
        </w:rPr>
        <w:t xml:space="preserve">25 </w:t>
      </w:r>
      <w:r w:rsidR="4E5ABE73" w:rsidRPr="229768D2">
        <w:rPr>
          <w:rFonts w:asciiTheme="majorHAnsi" w:hAnsiTheme="majorHAnsi" w:cstheme="majorBidi"/>
          <w:sz w:val="22"/>
          <w:szCs w:val="22"/>
        </w:rPr>
        <w:t>June 2024.</w:t>
      </w:r>
    </w:p>
    <w:p w14:paraId="58A8453A" w14:textId="77777777" w:rsidR="00C36CC0" w:rsidRPr="00C36CC0" w:rsidRDefault="00C36CC0" w:rsidP="00D22DDB">
      <w:pPr>
        <w:pStyle w:val="ListParagraph"/>
        <w:jc w:val="both"/>
        <w:rPr>
          <w:rFonts w:asciiTheme="majorHAnsi" w:hAnsiTheme="majorHAnsi" w:cstheme="majorHAnsi"/>
          <w:sz w:val="22"/>
          <w:szCs w:val="22"/>
        </w:rPr>
      </w:pPr>
    </w:p>
    <w:p w14:paraId="4FD76C8E" w14:textId="1F0682D9" w:rsidR="00C36CC0" w:rsidRPr="00C36CC0" w:rsidRDefault="667116B6" w:rsidP="00D22DDB">
      <w:pPr>
        <w:pStyle w:val="ListParagraph"/>
        <w:widowControl w:val="0"/>
        <w:numPr>
          <w:ilvl w:val="0"/>
          <w:numId w:val="7"/>
        </w:numPr>
        <w:autoSpaceDE w:val="0"/>
        <w:autoSpaceDN w:val="0"/>
        <w:adjustRightInd w:val="0"/>
        <w:jc w:val="both"/>
        <w:rPr>
          <w:rFonts w:asciiTheme="majorHAnsi" w:hAnsiTheme="majorHAnsi" w:cstheme="majorHAnsi"/>
          <w:color w:val="1E1052" w:themeColor="accent1" w:themeShade="BF"/>
          <w:sz w:val="22"/>
          <w:szCs w:val="22"/>
        </w:rPr>
      </w:pPr>
      <w:r w:rsidRPr="229768D2">
        <w:rPr>
          <w:rFonts w:asciiTheme="majorHAnsi" w:hAnsiTheme="majorHAnsi" w:cstheme="majorBidi"/>
          <w:sz w:val="22"/>
          <w:szCs w:val="22"/>
        </w:rPr>
        <w:t>Following the Court of Appeal’s September decision, a number of UN experts including the Working Group on discrimination against women and girls, the Special Rapporteur on trafficking</w:t>
      </w:r>
      <w:r w:rsidR="5110F645" w:rsidRPr="229768D2">
        <w:rPr>
          <w:rFonts w:asciiTheme="majorHAnsi" w:hAnsiTheme="majorHAnsi" w:cstheme="majorBidi"/>
          <w:sz w:val="22"/>
          <w:szCs w:val="22"/>
        </w:rPr>
        <w:t xml:space="preserve"> in persons, especially women and children, the Special Rapporteur on contemporary forms of slavery, including its causes and consequences, and the Special Rapporteur on the human rights of migrants denounced gender discrimination in Malaysia’s nationality law and called on the </w:t>
      </w:r>
      <w:r w:rsidR="4300E825" w:rsidRPr="229768D2">
        <w:rPr>
          <w:rFonts w:asciiTheme="majorHAnsi" w:hAnsiTheme="majorHAnsi" w:cstheme="majorBidi"/>
          <w:sz w:val="22"/>
          <w:szCs w:val="22"/>
        </w:rPr>
        <w:t>G</w:t>
      </w:r>
      <w:r w:rsidR="5110F645" w:rsidRPr="229768D2">
        <w:rPr>
          <w:rFonts w:asciiTheme="majorHAnsi" w:hAnsiTheme="majorHAnsi" w:cstheme="majorBidi"/>
          <w:sz w:val="22"/>
          <w:szCs w:val="22"/>
        </w:rPr>
        <w:t xml:space="preserve">overnment to fulfil its CEDAW obligations: </w:t>
      </w:r>
    </w:p>
    <w:p w14:paraId="166C62AC" w14:textId="77777777" w:rsidR="00C36CC0" w:rsidRPr="00C36CC0" w:rsidRDefault="00C36CC0" w:rsidP="00D22DDB">
      <w:pPr>
        <w:pStyle w:val="ListParagraph"/>
        <w:jc w:val="both"/>
        <w:rPr>
          <w:rFonts w:asciiTheme="majorHAnsi" w:hAnsiTheme="majorHAnsi" w:cstheme="majorHAnsi"/>
          <w:sz w:val="22"/>
          <w:szCs w:val="22"/>
        </w:rPr>
      </w:pPr>
    </w:p>
    <w:p w14:paraId="2F1BC356" w14:textId="4C70430E" w:rsidR="00C36CC0" w:rsidRDefault="00C36CC0" w:rsidP="00D22DDB">
      <w:pPr>
        <w:pStyle w:val="ListParagraph"/>
        <w:widowControl w:val="0"/>
        <w:autoSpaceDE w:val="0"/>
        <w:autoSpaceDN w:val="0"/>
        <w:adjustRightInd w:val="0"/>
        <w:jc w:val="both"/>
        <w:rPr>
          <w:rFonts w:asciiTheme="majorHAnsi" w:hAnsiTheme="majorHAnsi" w:cstheme="majorBidi"/>
          <w:i/>
          <w:iCs/>
          <w:sz w:val="22"/>
          <w:szCs w:val="22"/>
        </w:rPr>
      </w:pPr>
      <w:r w:rsidRPr="0ACB2771">
        <w:rPr>
          <w:rFonts w:asciiTheme="majorHAnsi" w:hAnsiTheme="majorHAnsi" w:cstheme="majorBidi"/>
          <w:i/>
          <w:iCs/>
          <w:sz w:val="22"/>
          <w:szCs w:val="22"/>
        </w:rPr>
        <w:lastRenderedPageBreak/>
        <w:t>‘We are deeply concerned that Malaysian women are not granted equal citizenship rights, which provide them with the much-needed safeguards and protection for them and for their offspring. The right to citizenship is a cornerstone for the enjoyment of other rights</w:t>
      </w:r>
      <w:r w:rsidR="000D7AD5" w:rsidRPr="0ACB2771">
        <w:rPr>
          <w:rFonts w:asciiTheme="majorHAnsi" w:hAnsiTheme="majorHAnsi" w:cstheme="majorBidi"/>
          <w:i/>
          <w:iCs/>
          <w:sz w:val="22"/>
          <w:szCs w:val="22"/>
        </w:rPr>
        <w:t xml:space="preserve"> [</w:t>
      </w:r>
      <w:r w:rsidRPr="0ACB2771">
        <w:rPr>
          <w:rFonts w:asciiTheme="majorHAnsi" w:hAnsiTheme="majorHAnsi" w:cstheme="majorBidi"/>
          <w:i/>
          <w:iCs/>
          <w:sz w:val="22"/>
          <w:szCs w:val="22"/>
        </w:rPr>
        <w:t>…</w:t>
      </w:r>
      <w:r w:rsidR="000D7AD5" w:rsidRPr="0ACB2771">
        <w:rPr>
          <w:rFonts w:asciiTheme="majorHAnsi" w:hAnsiTheme="majorHAnsi" w:cstheme="majorBidi"/>
          <w:i/>
          <w:iCs/>
          <w:sz w:val="22"/>
          <w:szCs w:val="22"/>
        </w:rPr>
        <w:t>]</w:t>
      </w:r>
      <w:r w:rsidR="2ADBCAAF" w:rsidRPr="0ACB2771">
        <w:rPr>
          <w:rFonts w:asciiTheme="majorHAnsi" w:hAnsiTheme="majorHAnsi" w:cstheme="majorBidi"/>
          <w:i/>
          <w:iCs/>
          <w:sz w:val="22"/>
          <w:szCs w:val="22"/>
        </w:rPr>
        <w:t xml:space="preserve"> </w:t>
      </w:r>
      <w:r w:rsidRPr="0ACB2771">
        <w:rPr>
          <w:rFonts w:asciiTheme="majorHAnsi" w:hAnsiTheme="majorHAnsi" w:cstheme="majorBidi"/>
          <w:i/>
          <w:iCs/>
          <w:sz w:val="22"/>
          <w:szCs w:val="22"/>
        </w:rPr>
        <w:t>Discriminatory nationality and citizenship laws embody patriarchal values that undermine women’s basic human rights and expose them and their children to harm and further discrimination</w:t>
      </w:r>
      <w:r w:rsidR="000D7AD5" w:rsidRPr="0ACB2771">
        <w:rPr>
          <w:rFonts w:asciiTheme="majorHAnsi" w:hAnsiTheme="majorHAnsi" w:cstheme="majorBidi"/>
          <w:i/>
          <w:iCs/>
          <w:sz w:val="22"/>
          <w:szCs w:val="22"/>
        </w:rPr>
        <w:t xml:space="preserve"> [</w:t>
      </w:r>
      <w:r w:rsidRPr="0ACB2771">
        <w:rPr>
          <w:rFonts w:asciiTheme="majorHAnsi" w:hAnsiTheme="majorHAnsi" w:cstheme="majorBidi"/>
          <w:i/>
          <w:iCs/>
          <w:sz w:val="22"/>
          <w:szCs w:val="22"/>
        </w:rPr>
        <w:t>….</w:t>
      </w:r>
      <w:r w:rsidR="000D7AD5" w:rsidRPr="0ACB2771">
        <w:rPr>
          <w:rFonts w:asciiTheme="majorHAnsi" w:hAnsiTheme="majorHAnsi" w:cstheme="majorBidi"/>
          <w:i/>
          <w:iCs/>
          <w:sz w:val="22"/>
          <w:szCs w:val="22"/>
        </w:rPr>
        <w:t>]</w:t>
      </w:r>
      <w:r w:rsidRPr="0ACB2771">
        <w:rPr>
          <w:rFonts w:asciiTheme="majorHAnsi" w:hAnsiTheme="majorHAnsi" w:cstheme="majorBidi"/>
          <w:i/>
          <w:iCs/>
          <w:sz w:val="22"/>
          <w:szCs w:val="22"/>
        </w:rPr>
        <w:t xml:space="preserve"> </w:t>
      </w:r>
    </w:p>
    <w:p w14:paraId="3B18BF62" w14:textId="77777777" w:rsidR="00C36CC0" w:rsidRDefault="00C36CC0" w:rsidP="00D22DDB">
      <w:pPr>
        <w:pStyle w:val="ListParagraph"/>
        <w:widowControl w:val="0"/>
        <w:autoSpaceDE w:val="0"/>
        <w:autoSpaceDN w:val="0"/>
        <w:adjustRightInd w:val="0"/>
        <w:jc w:val="both"/>
        <w:rPr>
          <w:rFonts w:asciiTheme="majorHAnsi" w:hAnsiTheme="majorHAnsi" w:cstheme="majorHAnsi"/>
          <w:i/>
          <w:iCs/>
          <w:sz w:val="22"/>
          <w:szCs w:val="22"/>
        </w:rPr>
      </w:pPr>
    </w:p>
    <w:p w14:paraId="4D25BCA7" w14:textId="2D0F8448" w:rsidR="00C36CC0" w:rsidRPr="00C36CC0" w:rsidRDefault="00C36CC0" w:rsidP="00D22DDB">
      <w:pPr>
        <w:pStyle w:val="ListParagraph"/>
        <w:widowControl w:val="0"/>
        <w:autoSpaceDE w:val="0"/>
        <w:autoSpaceDN w:val="0"/>
        <w:adjustRightInd w:val="0"/>
        <w:jc w:val="both"/>
        <w:rPr>
          <w:rFonts w:asciiTheme="majorHAnsi" w:hAnsiTheme="majorHAnsi" w:cstheme="majorHAnsi"/>
          <w:i/>
          <w:iCs/>
          <w:color w:val="1E1052" w:themeColor="accent1" w:themeShade="BF"/>
          <w:sz w:val="22"/>
          <w:szCs w:val="22"/>
        </w:rPr>
      </w:pPr>
      <w:r w:rsidRPr="00C36CC0">
        <w:rPr>
          <w:rFonts w:asciiTheme="majorHAnsi" w:hAnsiTheme="majorHAnsi" w:cstheme="majorHAnsi"/>
          <w:i/>
          <w:iCs/>
          <w:sz w:val="22"/>
          <w:szCs w:val="22"/>
        </w:rPr>
        <w:t>We call on the Government to fulfil its obligations under the Convention on the Elimination of All Forms of Discrimination against Women and the Convention on the Rights of the Child by interpreting the law to ensure there is no contradiction between Article 14(1)b and Article 8(2) of the Federal Constitution, as amended by Parliament to prohibit discrimination against citizens based on descent, place of birth or gender in any law</w:t>
      </w:r>
      <w:r w:rsidR="000D7AD5">
        <w:rPr>
          <w:rFonts w:asciiTheme="majorHAnsi" w:hAnsiTheme="majorHAnsi" w:cstheme="majorHAnsi"/>
          <w:i/>
          <w:iCs/>
          <w:sz w:val="22"/>
          <w:szCs w:val="22"/>
        </w:rPr>
        <w:t>.</w:t>
      </w:r>
      <w:r w:rsidRPr="00C36CC0">
        <w:rPr>
          <w:rFonts w:asciiTheme="majorHAnsi" w:hAnsiTheme="majorHAnsi" w:cstheme="majorHAnsi"/>
          <w:i/>
          <w:iCs/>
          <w:sz w:val="22"/>
          <w:szCs w:val="22"/>
        </w:rPr>
        <w:t>’”</w:t>
      </w:r>
      <w:r w:rsidR="00571A6B">
        <w:rPr>
          <w:rStyle w:val="FootnoteReference"/>
          <w:rFonts w:asciiTheme="majorHAnsi" w:hAnsiTheme="majorHAnsi" w:cstheme="majorHAnsi"/>
          <w:i/>
          <w:iCs/>
          <w:sz w:val="22"/>
          <w:szCs w:val="22"/>
        </w:rPr>
        <w:footnoteReference w:id="25"/>
      </w:r>
    </w:p>
    <w:p w14:paraId="4CB7048F" w14:textId="77777777" w:rsidR="00C36CC0" w:rsidRDefault="00C36CC0" w:rsidP="00D22DDB">
      <w:pPr>
        <w:pStyle w:val="ListParagraph"/>
        <w:widowControl w:val="0"/>
        <w:autoSpaceDE w:val="0"/>
        <w:autoSpaceDN w:val="0"/>
        <w:adjustRightInd w:val="0"/>
        <w:ind w:left="501"/>
        <w:jc w:val="both"/>
        <w:rPr>
          <w:rFonts w:asciiTheme="majorHAnsi" w:hAnsiTheme="majorHAnsi" w:cstheme="majorHAnsi"/>
          <w:sz w:val="22"/>
          <w:szCs w:val="22"/>
        </w:rPr>
      </w:pPr>
    </w:p>
    <w:p w14:paraId="4B9CB2A3" w14:textId="00E823D1" w:rsidR="00587E77" w:rsidRPr="00794DDA" w:rsidRDefault="5110F645" w:rsidP="00D22DDB">
      <w:pPr>
        <w:pStyle w:val="ListParagraph"/>
        <w:widowControl w:val="0"/>
        <w:numPr>
          <w:ilvl w:val="0"/>
          <w:numId w:val="7"/>
        </w:numPr>
        <w:autoSpaceDE w:val="0"/>
        <w:autoSpaceDN w:val="0"/>
        <w:adjustRightInd w:val="0"/>
        <w:jc w:val="both"/>
        <w:rPr>
          <w:rFonts w:ascii="Calibri" w:hAnsi="Calibri" w:cs="Calibri"/>
          <w:color w:val="1E1052" w:themeColor="accent1" w:themeShade="BF"/>
          <w:sz w:val="22"/>
          <w:szCs w:val="22"/>
        </w:rPr>
      </w:pPr>
      <w:r w:rsidRPr="00794DDA">
        <w:rPr>
          <w:rFonts w:ascii="Calibri" w:hAnsi="Calibri" w:cs="Calibri"/>
          <w:sz w:val="22"/>
          <w:szCs w:val="22"/>
        </w:rPr>
        <w:t xml:space="preserve">Malaysia’s sixth periodic report of State parties – submitted to the Committee in April 2022 while the Government maintained its court challenge opposing women’s equal right to confer </w:t>
      </w:r>
      <w:r w:rsidR="216AAD80" w:rsidRPr="00794DDA">
        <w:rPr>
          <w:rFonts w:ascii="Calibri" w:hAnsi="Calibri" w:cs="Calibri"/>
          <w:sz w:val="22"/>
          <w:szCs w:val="22"/>
        </w:rPr>
        <w:t>citizenship</w:t>
      </w:r>
      <w:r w:rsidR="00E0629E">
        <w:rPr>
          <w:rFonts w:ascii="Calibri" w:hAnsi="Calibri" w:cs="Calibri"/>
          <w:sz w:val="22"/>
          <w:szCs w:val="22"/>
        </w:rPr>
        <w:t xml:space="preserve"> </w:t>
      </w:r>
      <w:r w:rsidRPr="00794DDA">
        <w:rPr>
          <w:rFonts w:ascii="Calibri" w:hAnsi="Calibri" w:cs="Calibri"/>
          <w:sz w:val="22"/>
          <w:szCs w:val="22"/>
        </w:rPr>
        <w:t xml:space="preserve">– states that the Government is taking </w:t>
      </w:r>
      <w:r w:rsidRPr="229768D2">
        <w:rPr>
          <w:rFonts w:ascii="Calibri" w:hAnsi="Calibri" w:cs="Calibri"/>
          <w:i/>
          <w:iCs/>
          <w:sz w:val="22"/>
          <w:szCs w:val="22"/>
        </w:rPr>
        <w:t>“continuous efforts to address the issue on citizenship”</w:t>
      </w:r>
      <w:r w:rsidRPr="00794DDA">
        <w:rPr>
          <w:rFonts w:ascii="Calibri" w:hAnsi="Calibri" w:cs="Calibri"/>
          <w:sz w:val="22"/>
          <w:szCs w:val="22"/>
        </w:rPr>
        <w:t xml:space="preserve"> and planned to study proposed amendments related to women’s ability to confer </w:t>
      </w:r>
      <w:r w:rsidR="02E474A4" w:rsidRPr="00794DDA">
        <w:rPr>
          <w:rFonts w:ascii="Calibri" w:hAnsi="Calibri" w:cs="Calibri"/>
          <w:sz w:val="22"/>
          <w:szCs w:val="22"/>
        </w:rPr>
        <w:t>citizenship</w:t>
      </w:r>
      <w:r w:rsidRPr="00794DDA">
        <w:rPr>
          <w:rFonts w:ascii="Calibri" w:hAnsi="Calibri" w:cs="Calibri"/>
          <w:sz w:val="22"/>
          <w:szCs w:val="22"/>
        </w:rPr>
        <w:t>.</w:t>
      </w:r>
      <w:r w:rsidR="00571A6B" w:rsidRPr="00794DDA">
        <w:rPr>
          <w:rStyle w:val="FootnoteReference"/>
          <w:rFonts w:ascii="Calibri" w:hAnsi="Calibri" w:cs="Calibri"/>
          <w:sz w:val="22"/>
          <w:szCs w:val="22"/>
        </w:rPr>
        <w:footnoteReference w:id="26"/>
      </w:r>
      <w:r w:rsidRPr="00794DDA">
        <w:rPr>
          <w:rFonts w:ascii="Calibri" w:hAnsi="Calibri" w:cs="Calibri"/>
          <w:sz w:val="22"/>
          <w:szCs w:val="22"/>
        </w:rPr>
        <w:t xml:space="preserve"> However, the significant and wide-ranging deleterious impacts of gender discrimination in Malaysia’s </w:t>
      </w:r>
      <w:r w:rsidR="0732E1E9" w:rsidRPr="00794DDA">
        <w:rPr>
          <w:rFonts w:ascii="Calibri" w:hAnsi="Calibri" w:cs="Calibri"/>
          <w:sz w:val="22"/>
          <w:szCs w:val="22"/>
        </w:rPr>
        <w:t xml:space="preserve">citizenship </w:t>
      </w:r>
      <w:r w:rsidRPr="00794DDA">
        <w:rPr>
          <w:rFonts w:ascii="Calibri" w:hAnsi="Calibri" w:cs="Calibri"/>
          <w:sz w:val="22"/>
          <w:szCs w:val="22"/>
        </w:rPr>
        <w:t xml:space="preserve">law are extremely well-documented. Additionally, there is no justification to deny citizens equal rights </w:t>
      </w:r>
      <w:r w:rsidR="4945E566" w:rsidRPr="00794DDA">
        <w:rPr>
          <w:rFonts w:ascii="Calibri" w:hAnsi="Calibri" w:cs="Calibri"/>
          <w:sz w:val="22"/>
          <w:szCs w:val="22"/>
        </w:rPr>
        <w:t>based on</w:t>
      </w:r>
      <w:r w:rsidRPr="00794DDA">
        <w:rPr>
          <w:rFonts w:ascii="Calibri" w:hAnsi="Calibri" w:cs="Calibri"/>
          <w:sz w:val="22"/>
          <w:szCs w:val="22"/>
        </w:rPr>
        <w:t xml:space="preserve"> their gender, in violation of international law. </w:t>
      </w:r>
    </w:p>
    <w:p w14:paraId="5C25314A" w14:textId="77777777" w:rsidR="00587E77" w:rsidRPr="00794DDA" w:rsidRDefault="00587E77" w:rsidP="00D22DDB">
      <w:pPr>
        <w:pStyle w:val="ListParagraph"/>
        <w:widowControl w:val="0"/>
        <w:autoSpaceDE w:val="0"/>
        <w:autoSpaceDN w:val="0"/>
        <w:adjustRightInd w:val="0"/>
        <w:ind w:left="501"/>
        <w:jc w:val="both"/>
        <w:rPr>
          <w:rFonts w:ascii="Calibri" w:hAnsi="Calibri" w:cs="Calibri"/>
          <w:color w:val="1E1052" w:themeColor="accent1" w:themeShade="BF"/>
          <w:sz w:val="22"/>
          <w:szCs w:val="22"/>
        </w:rPr>
      </w:pPr>
    </w:p>
    <w:p w14:paraId="1BCC50D7" w14:textId="77777777" w:rsidR="002E42DD" w:rsidRPr="002E42DD" w:rsidRDefault="1F14F545" w:rsidP="002E42DD">
      <w:pPr>
        <w:pStyle w:val="ListParagraph"/>
        <w:widowControl w:val="0"/>
        <w:numPr>
          <w:ilvl w:val="0"/>
          <w:numId w:val="7"/>
        </w:numPr>
        <w:autoSpaceDE w:val="0"/>
        <w:autoSpaceDN w:val="0"/>
        <w:adjustRightInd w:val="0"/>
        <w:jc w:val="both"/>
        <w:rPr>
          <w:rStyle w:val="cf01"/>
          <w:rFonts w:ascii="Calibri" w:hAnsi="Calibri" w:cs="Calibri"/>
          <w:color w:val="1E1052" w:themeColor="accent1" w:themeShade="BF"/>
          <w:sz w:val="22"/>
          <w:szCs w:val="22"/>
        </w:rPr>
      </w:pPr>
      <w:r w:rsidRPr="229768D2">
        <w:rPr>
          <w:rStyle w:val="cf01"/>
          <w:rFonts w:ascii="Calibri" w:hAnsi="Calibri" w:cs="Calibri"/>
          <w:sz w:val="22"/>
          <w:szCs w:val="22"/>
        </w:rPr>
        <w:t>We are heartened that Malaysia’s current Government, formed in November 2022, stated its commitment</w:t>
      </w:r>
      <w:r w:rsidR="007C29DB">
        <w:rPr>
          <w:rStyle w:val="FootnoteReference"/>
          <w:rFonts w:ascii="Calibri" w:hAnsi="Calibri" w:cs="Calibri"/>
          <w:sz w:val="22"/>
          <w:szCs w:val="22"/>
        </w:rPr>
        <w:footnoteReference w:id="27"/>
      </w:r>
      <w:r w:rsidRPr="229768D2">
        <w:rPr>
          <w:rStyle w:val="cf01"/>
          <w:rFonts w:ascii="Calibri" w:hAnsi="Calibri" w:cs="Calibri"/>
          <w:sz w:val="22"/>
          <w:szCs w:val="22"/>
        </w:rPr>
        <w:t xml:space="preserve"> in February 2023 to amend the law to grant Malaysian women equal rights as men to confer automatic citizenship to overseas-born children; the Government has now begun the process of tabling </w:t>
      </w:r>
      <w:r w:rsidR="19426875" w:rsidRPr="229768D2">
        <w:rPr>
          <w:rStyle w:val="cf01"/>
          <w:rFonts w:ascii="Calibri" w:hAnsi="Calibri" w:cs="Calibri"/>
          <w:sz w:val="22"/>
          <w:szCs w:val="22"/>
        </w:rPr>
        <w:t xml:space="preserve">the </w:t>
      </w:r>
      <w:r w:rsidRPr="229768D2">
        <w:rPr>
          <w:rStyle w:val="cf01"/>
          <w:rFonts w:ascii="Calibri" w:hAnsi="Calibri" w:cs="Calibri"/>
          <w:sz w:val="22"/>
          <w:szCs w:val="22"/>
        </w:rPr>
        <w:t xml:space="preserve">amendment in </w:t>
      </w:r>
      <w:r w:rsidR="6F9AFC6A" w:rsidRPr="229768D2">
        <w:rPr>
          <w:rStyle w:val="cf01"/>
          <w:rFonts w:ascii="Calibri" w:hAnsi="Calibri" w:cs="Calibri"/>
          <w:sz w:val="22"/>
          <w:szCs w:val="22"/>
        </w:rPr>
        <w:t>P</w:t>
      </w:r>
      <w:r w:rsidRPr="229768D2">
        <w:rPr>
          <w:rStyle w:val="cf01"/>
          <w:rFonts w:ascii="Calibri" w:hAnsi="Calibri" w:cs="Calibri"/>
          <w:sz w:val="22"/>
          <w:szCs w:val="22"/>
        </w:rPr>
        <w:t>arliament in March 2024.</w:t>
      </w:r>
      <w:r w:rsidR="00B922E2">
        <w:rPr>
          <w:rStyle w:val="FootnoteReference"/>
          <w:rFonts w:ascii="Calibri" w:hAnsi="Calibri" w:cs="Calibri"/>
          <w:sz w:val="22"/>
          <w:szCs w:val="22"/>
        </w:rPr>
        <w:footnoteReference w:id="28"/>
      </w:r>
      <w:r w:rsidRPr="229768D2">
        <w:rPr>
          <w:rStyle w:val="cf01"/>
          <w:rFonts w:ascii="Calibri" w:hAnsi="Calibri" w:cs="Calibri"/>
          <w:sz w:val="22"/>
          <w:szCs w:val="22"/>
        </w:rPr>
        <w:t xml:space="preserve"> </w:t>
      </w:r>
    </w:p>
    <w:p w14:paraId="08460CD2" w14:textId="77777777" w:rsidR="002E42DD" w:rsidRPr="002E42DD" w:rsidRDefault="002E42DD" w:rsidP="002E42DD">
      <w:pPr>
        <w:pStyle w:val="ListParagraph"/>
        <w:rPr>
          <w:rStyle w:val="cf01"/>
          <w:rFonts w:ascii="Calibri" w:hAnsi="Calibri" w:cs="Calibri"/>
          <w:sz w:val="22"/>
          <w:szCs w:val="22"/>
        </w:rPr>
      </w:pPr>
    </w:p>
    <w:p w14:paraId="22F6E49E" w14:textId="1684B793" w:rsidR="002E42DD" w:rsidRPr="00282C1F" w:rsidRDefault="1F14F545" w:rsidP="00282C1F">
      <w:pPr>
        <w:pStyle w:val="ListParagraph"/>
        <w:widowControl w:val="0"/>
        <w:numPr>
          <w:ilvl w:val="0"/>
          <w:numId w:val="7"/>
        </w:numPr>
        <w:autoSpaceDE w:val="0"/>
        <w:autoSpaceDN w:val="0"/>
        <w:adjustRightInd w:val="0"/>
        <w:jc w:val="both"/>
        <w:rPr>
          <w:rStyle w:val="cf01"/>
          <w:rFonts w:ascii="Calibri" w:hAnsi="Calibri" w:cs="Calibri"/>
          <w:color w:val="1E1052" w:themeColor="accent1" w:themeShade="BF"/>
          <w:sz w:val="22"/>
          <w:szCs w:val="22"/>
        </w:rPr>
      </w:pPr>
      <w:r w:rsidRPr="002E42DD">
        <w:rPr>
          <w:rStyle w:val="cf01"/>
          <w:rFonts w:ascii="Calibri" w:hAnsi="Calibri" w:cs="Calibri"/>
          <w:sz w:val="22"/>
          <w:szCs w:val="22"/>
        </w:rPr>
        <w:t xml:space="preserve">Upon committing to amending the </w:t>
      </w:r>
      <w:r w:rsidR="6F9AFC6A" w:rsidRPr="002E42DD">
        <w:rPr>
          <w:rStyle w:val="cf01"/>
          <w:rFonts w:ascii="Calibri" w:hAnsi="Calibri" w:cs="Calibri"/>
          <w:sz w:val="22"/>
          <w:szCs w:val="22"/>
        </w:rPr>
        <w:t>C</w:t>
      </w:r>
      <w:r w:rsidRPr="002E42DD">
        <w:rPr>
          <w:rStyle w:val="cf01"/>
          <w:rFonts w:ascii="Calibri" w:hAnsi="Calibri" w:cs="Calibri"/>
          <w:sz w:val="22"/>
          <w:szCs w:val="22"/>
        </w:rPr>
        <w:t>onstitution, the State established a special committee</w:t>
      </w:r>
      <w:r w:rsidR="007B67B7">
        <w:rPr>
          <w:rStyle w:val="FootnoteReference"/>
          <w:rFonts w:ascii="Calibri" w:hAnsi="Calibri" w:cs="Calibri"/>
          <w:sz w:val="22"/>
          <w:szCs w:val="22"/>
        </w:rPr>
        <w:footnoteReference w:id="29"/>
      </w:r>
      <w:r w:rsidRPr="002E42DD">
        <w:rPr>
          <w:rStyle w:val="cf01"/>
          <w:rFonts w:ascii="Calibri" w:hAnsi="Calibri" w:cs="Calibri"/>
          <w:sz w:val="22"/>
          <w:szCs w:val="22"/>
        </w:rPr>
        <w:t xml:space="preserve"> to review citizenship laws, and in June 2023, additional proposed amendments</w:t>
      </w:r>
      <w:r w:rsidR="004F2A9E">
        <w:rPr>
          <w:rStyle w:val="FootnoteReference"/>
          <w:rFonts w:ascii="Calibri" w:hAnsi="Calibri" w:cs="Calibri"/>
          <w:sz w:val="22"/>
          <w:szCs w:val="22"/>
        </w:rPr>
        <w:footnoteReference w:id="30"/>
      </w:r>
      <w:r w:rsidRPr="002E42DD">
        <w:rPr>
          <w:rStyle w:val="cf01"/>
          <w:rFonts w:ascii="Calibri" w:hAnsi="Calibri" w:cs="Calibri"/>
          <w:sz w:val="22"/>
          <w:szCs w:val="22"/>
        </w:rPr>
        <w:t xml:space="preserve"> to Part III of the Federal Constitution were revealed. Five of the proposed amendments are regressive,</w:t>
      </w:r>
      <w:r w:rsidR="00D16856">
        <w:rPr>
          <w:rStyle w:val="FootnoteReference"/>
          <w:rFonts w:ascii="Calibri" w:hAnsi="Calibri" w:cs="Calibri"/>
          <w:sz w:val="22"/>
          <w:szCs w:val="22"/>
        </w:rPr>
        <w:footnoteReference w:id="31"/>
      </w:r>
      <w:r w:rsidRPr="002E42DD">
        <w:rPr>
          <w:rStyle w:val="cf01"/>
          <w:rFonts w:ascii="Calibri" w:hAnsi="Calibri" w:cs="Calibri"/>
          <w:sz w:val="22"/>
          <w:szCs w:val="22"/>
        </w:rPr>
        <w:t xml:space="preserve"> aiming to curtail citizenship rights for different stateless categories, including abandoned and adopted children, thereby exacerbating the issue </w:t>
      </w:r>
      <w:r w:rsidRPr="002E42DD">
        <w:rPr>
          <w:rStyle w:val="cf01"/>
          <w:rFonts w:ascii="Calibri" w:hAnsi="Calibri" w:cs="Calibri"/>
          <w:sz w:val="22"/>
          <w:szCs w:val="22"/>
        </w:rPr>
        <w:lastRenderedPageBreak/>
        <w:t xml:space="preserve">of statelessness. On </w:t>
      </w:r>
      <w:r w:rsidR="02B7545D" w:rsidRPr="002E42DD">
        <w:rPr>
          <w:rStyle w:val="cf01"/>
          <w:rFonts w:ascii="Calibri" w:hAnsi="Calibri" w:cs="Calibri"/>
          <w:sz w:val="22"/>
          <w:szCs w:val="22"/>
        </w:rPr>
        <w:t xml:space="preserve">25 </w:t>
      </w:r>
      <w:r w:rsidRPr="002E42DD">
        <w:rPr>
          <w:rStyle w:val="cf01"/>
          <w:rFonts w:ascii="Calibri" w:hAnsi="Calibri" w:cs="Calibri"/>
          <w:sz w:val="22"/>
          <w:szCs w:val="22"/>
        </w:rPr>
        <w:t>March 2024, two of the regressive amendments that would deny automatic citizenship for foundlings and stateless children were dropped due to growing pressure.</w:t>
      </w:r>
      <w:r w:rsidR="00A9186A" w:rsidRPr="00794DDA">
        <w:rPr>
          <w:rStyle w:val="FootnoteReference"/>
          <w:rFonts w:ascii="Calibri" w:hAnsi="Calibri" w:cs="Calibri"/>
          <w:sz w:val="22"/>
          <w:szCs w:val="22"/>
        </w:rPr>
        <w:footnoteReference w:id="32"/>
      </w:r>
      <w:r w:rsidR="6F9AFC6A" w:rsidRPr="002E42DD">
        <w:rPr>
          <w:rStyle w:val="cf01"/>
          <w:rFonts w:ascii="Calibri" w:hAnsi="Calibri" w:cs="Calibri"/>
          <w:sz w:val="22"/>
          <w:szCs w:val="22"/>
        </w:rPr>
        <w:t xml:space="preserve"> </w:t>
      </w:r>
      <w:r w:rsidRPr="002E42DD">
        <w:rPr>
          <w:rStyle w:val="cf01"/>
          <w:rFonts w:ascii="Calibri" w:hAnsi="Calibri" w:cs="Calibri"/>
          <w:sz w:val="22"/>
          <w:szCs w:val="22"/>
        </w:rPr>
        <w:t>However, three other regressive amendments remained, including the denial of</w:t>
      </w:r>
      <w:r w:rsidR="002E42DD" w:rsidRPr="002E42DD">
        <w:rPr>
          <w:rStyle w:val="cf01"/>
          <w:rFonts w:ascii="Calibri" w:hAnsi="Calibri" w:cs="Calibri"/>
          <w:sz w:val="22"/>
          <w:szCs w:val="22"/>
        </w:rPr>
        <w:t xml:space="preserve"> </w:t>
      </w:r>
      <w:r w:rsidR="002E42DD" w:rsidRPr="002E42DD">
        <w:rPr>
          <w:rStyle w:val="cf01"/>
          <w:rFonts w:asciiTheme="majorHAnsi" w:hAnsiTheme="majorHAnsi" w:cstheme="majorBidi"/>
          <w:sz w:val="22"/>
          <w:szCs w:val="22"/>
        </w:rPr>
        <w:t>automatic citizenship to children born in the territory to stateless permanent resident cardholders</w:t>
      </w:r>
      <w:r w:rsidR="002E42DD" w:rsidRPr="578E871E">
        <w:rPr>
          <w:rStyle w:val="cf01"/>
          <w:rFonts w:asciiTheme="majorHAnsi" w:hAnsiTheme="majorHAnsi" w:cstheme="majorBidi"/>
          <w:sz w:val="22"/>
          <w:szCs w:val="22"/>
        </w:rPr>
        <w:t>.</w:t>
      </w:r>
    </w:p>
    <w:p w14:paraId="51A55FAD" w14:textId="77777777" w:rsidR="00282C1F" w:rsidRPr="00B622EE" w:rsidRDefault="00282C1F" w:rsidP="00B622EE">
      <w:pPr>
        <w:widowControl w:val="0"/>
        <w:autoSpaceDE w:val="0"/>
        <w:autoSpaceDN w:val="0"/>
        <w:adjustRightInd w:val="0"/>
        <w:jc w:val="both"/>
        <w:rPr>
          <w:rStyle w:val="cf01"/>
          <w:rFonts w:ascii="Calibri" w:hAnsi="Calibri" w:cs="Calibri"/>
          <w:color w:val="1E1052" w:themeColor="accent1" w:themeShade="BF"/>
          <w:sz w:val="22"/>
          <w:szCs w:val="22"/>
        </w:rPr>
      </w:pPr>
    </w:p>
    <w:p w14:paraId="19005E2E" w14:textId="2F6A3A8C" w:rsidR="00AC62AB" w:rsidRPr="00794DDA" w:rsidRDefault="1F14F545" w:rsidP="00D22DDB">
      <w:pPr>
        <w:pStyle w:val="ListParagraph"/>
        <w:widowControl w:val="0"/>
        <w:numPr>
          <w:ilvl w:val="0"/>
          <w:numId w:val="7"/>
        </w:numPr>
        <w:autoSpaceDE w:val="0"/>
        <w:autoSpaceDN w:val="0"/>
        <w:adjustRightInd w:val="0"/>
        <w:jc w:val="both"/>
        <w:rPr>
          <w:rStyle w:val="cf01"/>
          <w:rFonts w:ascii="Calibri" w:hAnsi="Calibri" w:cs="Calibri"/>
          <w:color w:val="1E1052" w:themeColor="accent1" w:themeShade="BF"/>
          <w:sz w:val="22"/>
          <w:szCs w:val="22"/>
        </w:rPr>
      </w:pPr>
      <w:r w:rsidRPr="00794DDA">
        <w:rPr>
          <w:rStyle w:val="cf01"/>
          <w:rFonts w:ascii="Calibri" w:hAnsi="Calibri" w:cs="Calibri"/>
          <w:sz w:val="22"/>
          <w:szCs w:val="22"/>
        </w:rPr>
        <w:t xml:space="preserve">Another concerning amendment is proposed to Article 26(2), allowing the revocation of citizenship from a </w:t>
      </w:r>
      <w:r w:rsidR="26FC1D41" w:rsidRPr="00794DDA">
        <w:rPr>
          <w:rStyle w:val="cf01"/>
          <w:rFonts w:ascii="Calibri" w:hAnsi="Calibri" w:cs="Calibri"/>
          <w:sz w:val="22"/>
          <w:szCs w:val="22"/>
        </w:rPr>
        <w:t xml:space="preserve">non-citizen </w:t>
      </w:r>
      <w:r w:rsidRPr="00794DDA">
        <w:rPr>
          <w:rStyle w:val="cf01"/>
          <w:rFonts w:ascii="Calibri" w:hAnsi="Calibri" w:cs="Calibri"/>
          <w:sz w:val="22"/>
          <w:szCs w:val="22"/>
        </w:rPr>
        <w:t>wife of a Malaysian who acquires citizenship through registration if the marriage dissolve</w:t>
      </w:r>
      <w:r w:rsidR="78FDB29E" w:rsidRPr="00794DDA">
        <w:rPr>
          <w:rStyle w:val="cf01"/>
          <w:rFonts w:ascii="Calibri" w:hAnsi="Calibri" w:cs="Calibri"/>
          <w:sz w:val="22"/>
          <w:szCs w:val="22"/>
        </w:rPr>
        <w:t>s</w:t>
      </w:r>
      <w:r w:rsidRPr="00794DDA">
        <w:rPr>
          <w:rStyle w:val="cf01"/>
          <w:rFonts w:ascii="Calibri" w:hAnsi="Calibri" w:cs="Calibri"/>
          <w:sz w:val="22"/>
          <w:szCs w:val="22"/>
        </w:rPr>
        <w:t xml:space="preserve"> within two years of acquiring citizenship.</w:t>
      </w:r>
      <w:r w:rsidR="00A625AD" w:rsidRPr="00794DDA">
        <w:rPr>
          <w:rStyle w:val="FootnoteReference"/>
          <w:rFonts w:ascii="Calibri" w:hAnsi="Calibri" w:cs="Calibri"/>
          <w:sz w:val="22"/>
          <w:szCs w:val="22"/>
        </w:rPr>
        <w:footnoteReference w:id="33"/>
      </w:r>
      <w:r w:rsidR="08D6D3D2" w:rsidRPr="00794DDA">
        <w:rPr>
          <w:rStyle w:val="cf01"/>
          <w:rFonts w:ascii="Calibri" w:hAnsi="Calibri" w:cs="Calibri"/>
          <w:sz w:val="22"/>
          <w:szCs w:val="22"/>
        </w:rPr>
        <w:t xml:space="preserve"> </w:t>
      </w:r>
      <w:r w:rsidRPr="00794DDA">
        <w:rPr>
          <w:rStyle w:val="cf01"/>
          <w:rFonts w:ascii="Calibri" w:hAnsi="Calibri" w:cs="Calibri"/>
          <w:sz w:val="22"/>
          <w:szCs w:val="22"/>
        </w:rPr>
        <w:t xml:space="preserve">Since Malaysia does not allow dual citizenship, women affected by this provision risk statelessness if their Malaysian </w:t>
      </w:r>
      <w:r w:rsidR="2529AD77" w:rsidRPr="00794DDA">
        <w:rPr>
          <w:rStyle w:val="cf01"/>
          <w:rFonts w:ascii="Calibri" w:hAnsi="Calibri" w:cs="Calibri"/>
          <w:sz w:val="22"/>
          <w:szCs w:val="22"/>
        </w:rPr>
        <w:t xml:space="preserve">citizenship </w:t>
      </w:r>
      <w:r w:rsidRPr="00794DDA">
        <w:rPr>
          <w:rStyle w:val="cf01"/>
          <w:rFonts w:ascii="Calibri" w:hAnsi="Calibri" w:cs="Calibri"/>
          <w:sz w:val="22"/>
          <w:szCs w:val="22"/>
        </w:rPr>
        <w:t xml:space="preserve">is revoked without reacquiring their former nationality or obtaining a new one. This provision poses a significant risk for women, as it may trap them in abusive marriages, fearing the loss of citizenship status if they seek to leave such relationships. </w:t>
      </w:r>
    </w:p>
    <w:p w14:paraId="3D24F4D1" w14:textId="77777777" w:rsidR="00AC62AB" w:rsidRPr="00794DDA" w:rsidRDefault="00AC62AB" w:rsidP="00D22DDB">
      <w:pPr>
        <w:widowControl w:val="0"/>
        <w:autoSpaceDE w:val="0"/>
        <w:autoSpaceDN w:val="0"/>
        <w:adjustRightInd w:val="0"/>
        <w:jc w:val="both"/>
        <w:rPr>
          <w:rFonts w:ascii="Calibri" w:hAnsi="Calibri" w:cs="Calibri"/>
          <w:color w:val="1E1052" w:themeColor="accent1" w:themeShade="BF"/>
          <w:sz w:val="22"/>
          <w:szCs w:val="22"/>
        </w:rPr>
      </w:pPr>
    </w:p>
    <w:p w14:paraId="2EC8D1A9" w14:textId="0F51FD78" w:rsidR="009917D4" w:rsidRPr="00794DDA" w:rsidRDefault="46C9B70A" w:rsidP="00B622EE">
      <w:pPr>
        <w:pStyle w:val="pf0"/>
        <w:numPr>
          <w:ilvl w:val="0"/>
          <w:numId w:val="7"/>
        </w:numPr>
        <w:spacing w:before="0" w:beforeAutospacing="0" w:after="0" w:afterAutospacing="0"/>
        <w:jc w:val="both"/>
        <w:rPr>
          <w:rStyle w:val="cf01"/>
          <w:rFonts w:ascii="Calibri" w:eastAsiaTheme="minorEastAsia" w:hAnsi="Calibri" w:cs="Calibri"/>
          <w:sz w:val="22"/>
          <w:szCs w:val="22"/>
        </w:rPr>
      </w:pPr>
      <w:r w:rsidRPr="1F2E3B18">
        <w:rPr>
          <w:rStyle w:val="cf01"/>
          <w:rFonts w:ascii="Calibri" w:hAnsi="Calibri" w:cs="Calibri"/>
          <w:sz w:val="22"/>
          <w:szCs w:val="22"/>
        </w:rPr>
        <w:t xml:space="preserve">Moreover, it was also revealed that the amendment to grant Malaysian women equal rights to confer </w:t>
      </w:r>
      <w:r w:rsidR="41B42843" w:rsidRPr="1F2E3B18">
        <w:rPr>
          <w:rStyle w:val="cf01"/>
          <w:rFonts w:ascii="Calibri" w:hAnsi="Calibri" w:cs="Calibri"/>
          <w:sz w:val="22"/>
          <w:szCs w:val="22"/>
        </w:rPr>
        <w:t xml:space="preserve">citizenship </w:t>
      </w:r>
      <w:r w:rsidRPr="1F2E3B18">
        <w:rPr>
          <w:rStyle w:val="cf01"/>
          <w:rFonts w:ascii="Calibri" w:hAnsi="Calibri" w:cs="Calibri"/>
          <w:sz w:val="22"/>
          <w:szCs w:val="22"/>
        </w:rPr>
        <w:t>on their overseas-born children will not be retroactive, thus failing to protect the citizenship status of existing children.</w:t>
      </w:r>
      <w:r w:rsidR="00AC62AB" w:rsidRPr="1F2E3B18">
        <w:rPr>
          <w:rStyle w:val="FootnoteReference"/>
          <w:rFonts w:ascii="Calibri" w:hAnsi="Calibri" w:cs="Calibri"/>
          <w:sz w:val="22"/>
          <w:szCs w:val="22"/>
        </w:rPr>
        <w:footnoteReference w:id="34"/>
      </w:r>
      <w:r w:rsidR="501892DC" w:rsidRPr="1F2E3B18">
        <w:rPr>
          <w:rFonts w:ascii="Calibri" w:hAnsi="Calibri" w:cs="Calibri"/>
          <w:sz w:val="22"/>
          <w:szCs w:val="22"/>
        </w:rPr>
        <w:t xml:space="preserve"> </w:t>
      </w:r>
      <w:r w:rsidR="254461CA" w:rsidRPr="1F2E3B18">
        <w:rPr>
          <w:rFonts w:ascii="Calibri" w:hAnsi="Calibri" w:cs="Calibri"/>
          <w:sz w:val="22"/>
          <w:szCs w:val="22"/>
        </w:rPr>
        <w:t>While we welcome the Home Minister’s effort</w:t>
      </w:r>
      <w:r w:rsidR="471305AE" w:rsidRPr="1F2E3B18">
        <w:rPr>
          <w:rFonts w:ascii="Calibri" w:hAnsi="Calibri" w:cs="Calibri"/>
          <w:sz w:val="22"/>
          <w:szCs w:val="22"/>
        </w:rPr>
        <w:t>s</w:t>
      </w:r>
      <w:r w:rsidR="254461CA" w:rsidRPr="1F2E3B18">
        <w:rPr>
          <w:rFonts w:ascii="Calibri" w:hAnsi="Calibri" w:cs="Calibri"/>
          <w:sz w:val="22"/>
          <w:szCs w:val="22"/>
        </w:rPr>
        <w:t xml:space="preserve"> in </w:t>
      </w:r>
      <w:r w:rsidR="2A568607" w:rsidRPr="1F2E3B18">
        <w:rPr>
          <w:rFonts w:ascii="Calibri" w:hAnsi="Calibri" w:cs="Calibri"/>
          <w:sz w:val="22"/>
          <w:szCs w:val="22"/>
        </w:rPr>
        <w:t xml:space="preserve">processing </w:t>
      </w:r>
      <w:r w:rsidR="254461CA" w:rsidRPr="1F2E3B18">
        <w:rPr>
          <w:rFonts w:ascii="Calibri" w:hAnsi="Calibri" w:cs="Calibri"/>
          <w:sz w:val="22"/>
          <w:szCs w:val="22"/>
        </w:rPr>
        <w:t>citizenship applications</w:t>
      </w:r>
      <w:r w:rsidR="0046585C">
        <w:rPr>
          <w:rStyle w:val="FootnoteReference"/>
          <w:rFonts w:ascii="Calibri" w:hAnsi="Calibri" w:cs="Calibri"/>
          <w:sz w:val="22"/>
          <w:szCs w:val="22"/>
        </w:rPr>
        <w:footnoteReference w:id="35"/>
      </w:r>
      <w:r w:rsidR="254461CA" w:rsidRPr="1F2E3B18">
        <w:rPr>
          <w:rFonts w:ascii="Calibri" w:hAnsi="Calibri" w:cs="Calibri"/>
          <w:sz w:val="22"/>
          <w:szCs w:val="22"/>
        </w:rPr>
        <w:t xml:space="preserve"> under Article 15(2) for overseas-born children of Malaysian women and </w:t>
      </w:r>
      <w:r w:rsidR="7590C95A" w:rsidRPr="1F2E3B18">
        <w:rPr>
          <w:rFonts w:ascii="Calibri" w:hAnsi="Calibri" w:cs="Calibri"/>
          <w:sz w:val="22"/>
          <w:szCs w:val="22"/>
        </w:rPr>
        <w:t xml:space="preserve">commitment </w:t>
      </w:r>
      <w:r w:rsidR="254461CA" w:rsidRPr="1F2E3B18">
        <w:rPr>
          <w:rFonts w:ascii="Calibri" w:hAnsi="Calibri" w:cs="Calibri"/>
          <w:sz w:val="22"/>
          <w:szCs w:val="22"/>
        </w:rPr>
        <w:t xml:space="preserve">to clear a backlog of 14,000 citizenship applications of various categories by December 2024, </w:t>
      </w:r>
      <w:r w:rsidR="0A79F1FB" w:rsidRPr="1F2E3B18">
        <w:rPr>
          <w:rFonts w:ascii="Calibri" w:hAnsi="Calibri" w:cs="Calibri"/>
          <w:sz w:val="22"/>
          <w:szCs w:val="22"/>
        </w:rPr>
        <w:t xml:space="preserve">it remains the case </w:t>
      </w:r>
      <w:r w:rsidR="254461CA" w:rsidRPr="1F2E3B18">
        <w:rPr>
          <w:rFonts w:ascii="Calibri" w:hAnsi="Calibri" w:cs="Calibri"/>
          <w:sz w:val="22"/>
          <w:szCs w:val="22"/>
        </w:rPr>
        <w:t xml:space="preserve">that many more Malaysian mothers </w:t>
      </w:r>
      <w:r w:rsidR="45A527F8" w:rsidRPr="1F2E3B18">
        <w:rPr>
          <w:rFonts w:ascii="Calibri" w:hAnsi="Calibri" w:cs="Calibri"/>
          <w:sz w:val="22"/>
          <w:szCs w:val="22"/>
        </w:rPr>
        <w:t>are still waiting</w:t>
      </w:r>
      <w:r w:rsidR="7329DD8D" w:rsidRPr="1F2E3B18">
        <w:rPr>
          <w:rFonts w:ascii="Calibri" w:hAnsi="Calibri" w:cs="Calibri"/>
          <w:sz w:val="22"/>
          <w:szCs w:val="22"/>
        </w:rPr>
        <w:t xml:space="preserve"> </w:t>
      </w:r>
      <w:r w:rsidR="45A527F8" w:rsidRPr="1F2E3B18">
        <w:rPr>
          <w:rFonts w:ascii="Calibri" w:hAnsi="Calibri" w:cs="Calibri"/>
          <w:sz w:val="22"/>
          <w:szCs w:val="22"/>
        </w:rPr>
        <w:t>on</w:t>
      </w:r>
      <w:r w:rsidR="7329DD8D" w:rsidRPr="1F2E3B18">
        <w:rPr>
          <w:rFonts w:ascii="Calibri" w:hAnsi="Calibri" w:cs="Calibri"/>
          <w:sz w:val="22"/>
          <w:szCs w:val="22"/>
        </w:rPr>
        <w:t xml:space="preserve"> </w:t>
      </w:r>
      <w:r w:rsidR="7329DD8D" w:rsidRPr="159AE746">
        <w:rPr>
          <w:rStyle w:val="cf01"/>
          <w:rFonts w:ascii="Calibri" w:hAnsi="Calibri" w:cs="Calibri"/>
          <w:sz w:val="22"/>
          <w:szCs w:val="22"/>
        </w:rPr>
        <w:t xml:space="preserve">their </w:t>
      </w:r>
      <w:r w:rsidR="512FBA8B" w:rsidRPr="279FE609">
        <w:rPr>
          <w:rStyle w:val="cf01"/>
          <w:rFonts w:ascii="Calibri" w:hAnsi="Calibri" w:cs="Calibri"/>
          <w:sz w:val="22"/>
          <w:szCs w:val="22"/>
        </w:rPr>
        <w:t xml:space="preserve">children’s </w:t>
      </w:r>
      <w:r w:rsidR="512FBA8B" w:rsidRPr="37F80B6A">
        <w:rPr>
          <w:rStyle w:val="cf01"/>
          <w:rFonts w:ascii="Calibri" w:hAnsi="Calibri" w:cs="Calibri"/>
          <w:sz w:val="22"/>
          <w:szCs w:val="22"/>
        </w:rPr>
        <w:t>citizenship status</w:t>
      </w:r>
      <w:r w:rsidR="7329DD8D" w:rsidRPr="37F80B6A">
        <w:rPr>
          <w:rStyle w:val="cf01"/>
          <w:rFonts w:ascii="Calibri" w:hAnsi="Calibri" w:cs="Calibri"/>
          <w:sz w:val="22"/>
          <w:szCs w:val="22"/>
        </w:rPr>
        <w:t>.</w:t>
      </w:r>
      <w:r w:rsidR="7329DD8D" w:rsidRPr="2F4C412A">
        <w:rPr>
          <w:rStyle w:val="cf01"/>
          <w:rFonts w:ascii="Calibri" w:hAnsi="Calibri" w:cs="Calibri"/>
          <w:sz w:val="22"/>
          <w:szCs w:val="22"/>
        </w:rPr>
        <w:t xml:space="preserve"> The non-retroactive nature of the bill </w:t>
      </w:r>
      <w:r w:rsidR="501902B3" w:rsidRPr="700C15B1">
        <w:rPr>
          <w:rStyle w:val="cf01"/>
          <w:rFonts w:ascii="Calibri" w:hAnsi="Calibri" w:cs="Calibri"/>
          <w:sz w:val="22"/>
          <w:szCs w:val="22"/>
        </w:rPr>
        <w:t>means</w:t>
      </w:r>
      <w:r w:rsidR="7329DD8D" w:rsidRPr="2F4C412A">
        <w:rPr>
          <w:rStyle w:val="cf01"/>
          <w:rFonts w:ascii="Calibri" w:hAnsi="Calibri" w:cs="Calibri"/>
          <w:sz w:val="22"/>
          <w:szCs w:val="22"/>
        </w:rPr>
        <w:t xml:space="preserve"> </w:t>
      </w:r>
      <w:r w:rsidR="7329DD8D" w:rsidRPr="7CA6076C">
        <w:rPr>
          <w:rStyle w:val="cf01"/>
          <w:rFonts w:ascii="Calibri" w:hAnsi="Calibri" w:cs="Calibri"/>
          <w:sz w:val="22"/>
          <w:szCs w:val="22"/>
        </w:rPr>
        <w:t xml:space="preserve">that these citizenship </w:t>
      </w:r>
      <w:r w:rsidR="2A275AE9" w:rsidRPr="700C15B1">
        <w:rPr>
          <w:rStyle w:val="cf01"/>
          <w:rFonts w:ascii="Calibri" w:hAnsi="Calibri" w:cs="Calibri"/>
          <w:sz w:val="22"/>
          <w:szCs w:val="22"/>
        </w:rPr>
        <w:t>issues</w:t>
      </w:r>
      <w:r w:rsidR="7329DD8D" w:rsidRPr="7CA6076C">
        <w:rPr>
          <w:rStyle w:val="cf01"/>
          <w:rFonts w:ascii="Calibri" w:hAnsi="Calibri" w:cs="Calibri"/>
          <w:sz w:val="22"/>
          <w:szCs w:val="22"/>
        </w:rPr>
        <w:t xml:space="preserve"> will </w:t>
      </w:r>
      <w:r w:rsidR="2A275AE9" w:rsidRPr="700C15B1">
        <w:rPr>
          <w:rStyle w:val="cf01"/>
          <w:rFonts w:ascii="Calibri" w:hAnsi="Calibri" w:cs="Calibri"/>
          <w:sz w:val="22"/>
          <w:szCs w:val="22"/>
        </w:rPr>
        <w:t>persist</w:t>
      </w:r>
      <w:r w:rsidR="7329DD8D" w:rsidRPr="7CA6076C">
        <w:rPr>
          <w:rStyle w:val="cf01"/>
          <w:rFonts w:ascii="Calibri" w:hAnsi="Calibri" w:cs="Calibri"/>
          <w:sz w:val="22"/>
          <w:szCs w:val="22"/>
        </w:rPr>
        <w:t xml:space="preserve"> even if the </w:t>
      </w:r>
      <w:r w:rsidR="7329DD8D" w:rsidRPr="62F90D43">
        <w:rPr>
          <w:rStyle w:val="cf01"/>
          <w:rFonts w:ascii="Calibri" w:hAnsi="Calibri" w:cs="Calibri"/>
          <w:sz w:val="22"/>
          <w:szCs w:val="22"/>
        </w:rPr>
        <w:t xml:space="preserve">amendment is passed. </w:t>
      </w:r>
      <w:r w:rsidR="56D171D4" w:rsidRPr="700C15B1">
        <w:rPr>
          <w:rStyle w:val="cf01"/>
          <w:rFonts w:ascii="Calibri" w:hAnsi="Calibri" w:cs="Calibri"/>
          <w:sz w:val="22"/>
          <w:szCs w:val="22"/>
        </w:rPr>
        <w:t>Additionally, i</w:t>
      </w:r>
      <w:r w:rsidR="7329DD8D" w:rsidRPr="700C15B1">
        <w:rPr>
          <w:rStyle w:val="cf01"/>
          <w:rFonts w:ascii="Calibri" w:hAnsi="Calibri" w:cs="Calibri"/>
          <w:sz w:val="22"/>
          <w:szCs w:val="22"/>
        </w:rPr>
        <w:t>t is</w:t>
      </w:r>
      <w:r w:rsidR="7329DD8D" w:rsidRPr="24E1C19C">
        <w:rPr>
          <w:rStyle w:val="cf01"/>
          <w:rFonts w:ascii="Calibri" w:hAnsi="Calibri" w:cs="Calibri"/>
          <w:sz w:val="22"/>
          <w:szCs w:val="22"/>
        </w:rPr>
        <w:t xml:space="preserve"> concerning that many </w:t>
      </w:r>
      <w:bookmarkStart w:id="0" w:name="_Int_kLH4D6Cr"/>
      <w:r w:rsidR="122D3874" w:rsidRPr="6E437A9F">
        <w:rPr>
          <w:rStyle w:val="cf01"/>
          <w:rFonts w:ascii="Calibri" w:hAnsi="Calibri" w:cs="Calibri"/>
          <w:sz w:val="22"/>
          <w:szCs w:val="22"/>
        </w:rPr>
        <w:t>adult</w:t>
      </w:r>
      <w:bookmarkEnd w:id="0"/>
      <w:r w:rsidR="7329DD8D" w:rsidRPr="24E1C19C">
        <w:rPr>
          <w:rStyle w:val="cf01"/>
          <w:rFonts w:ascii="Calibri" w:hAnsi="Calibri" w:cs="Calibri"/>
          <w:sz w:val="22"/>
          <w:szCs w:val="22"/>
        </w:rPr>
        <w:t xml:space="preserve"> overseas-born children of</w:t>
      </w:r>
      <w:r w:rsidR="7329DD8D" w:rsidRPr="0B34C773">
        <w:rPr>
          <w:rStyle w:val="cf01"/>
          <w:rFonts w:ascii="Calibri" w:hAnsi="Calibri" w:cs="Calibri"/>
          <w:sz w:val="22"/>
          <w:szCs w:val="22"/>
        </w:rPr>
        <w:t xml:space="preserve"> Malaysian women, who do not </w:t>
      </w:r>
      <w:r w:rsidR="69742F48" w:rsidRPr="700C15B1">
        <w:rPr>
          <w:rStyle w:val="cf01"/>
          <w:rFonts w:ascii="Calibri" w:hAnsi="Calibri" w:cs="Calibri"/>
          <w:sz w:val="22"/>
          <w:szCs w:val="22"/>
        </w:rPr>
        <w:t xml:space="preserve">currently have </w:t>
      </w:r>
      <w:r w:rsidR="7329DD8D" w:rsidRPr="26945C7A">
        <w:rPr>
          <w:rStyle w:val="cf01"/>
          <w:rFonts w:ascii="Calibri" w:hAnsi="Calibri" w:cs="Calibri"/>
          <w:sz w:val="22"/>
          <w:szCs w:val="22"/>
        </w:rPr>
        <w:t xml:space="preserve">citizenship applications </w:t>
      </w:r>
      <w:r w:rsidR="2F0EE7D3" w:rsidRPr="700C15B1">
        <w:rPr>
          <w:rStyle w:val="cf01"/>
          <w:rFonts w:ascii="Calibri" w:hAnsi="Calibri" w:cs="Calibri"/>
          <w:sz w:val="22"/>
          <w:szCs w:val="22"/>
        </w:rPr>
        <w:t xml:space="preserve">in process </w:t>
      </w:r>
      <w:r w:rsidR="7329DD8D" w:rsidRPr="45949D0F">
        <w:rPr>
          <w:rStyle w:val="cf01"/>
          <w:rFonts w:ascii="Calibri" w:hAnsi="Calibri" w:cs="Calibri"/>
          <w:sz w:val="22"/>
          <w:szCs w:val="22"/>
        </w:rPr>
        <w:t xml:space="preserve">and have </w:t>
      </w:r>
      <w:r w:rsidR="7329DD8D" w:rsidRPr="1282305D">
        <w:rPr>
          <w:rStyle w:val="cf01"/>
          <w:rFonts w:ascii="Calibri" w:hAnsi="Calibri" w:cs="Calibri"/>
          <w:sz w:val="22"/>
          <w:szCs w:val="22"/>
        </w:rPr>
        <w:t>su</w:t>
      </w:r>
      <w:r w:rsidR="0C8DA005" w:rsidRPr="1282305D">
        <w:rPr>
          <w:rStyle w:val="cf01"/>
          <w:rFonts w:ascii="Calibri" w:hAnsi="Calibri" w:cs="Calibri"/>
          <w:sz w:val="22"/>
          <w:szCs w:val="22"/>
        </w:rPr>
        <w:t xml:space="preserve">rpassed the age </w:t>
      </w:r>
      <w:r w:rsidR="473DF318" w:rsidRPr="700C15B1">
        <w:rPr>
          <w:rStyle w:val="cf01"/>
          <w:rFonts w:ascii="Calibri" w:hAnsi="Calibri" w:cs="Calibri"/>
          <w:sz w:val="22"/>
          <w:szCs w:val="22"/>
        </w:rPr>
        <w:t>limit</w:t>
      </w:r>
      <w:r w:rsidR="0C8DA005" w:rsidRPr="700C15B1">
        <w:rPr>
          <w:rStyle w:val="cf01"/>
          <w:rFonts w:ascii="Calibri" w:hAnsi="Calibri" w:cs="Calibri"/>
          <w:sz w:val="22"/>
          <w:szCs w:val="22"/>
        </w:rPr>
        <w:t xml:space="preserve"> </w:t>
      </w:r>
      <w:r w:rsidR="0C8DA005" w:rsidRPr="1282305D">
        <w:rPr>
          <w:rStyle w:val="cf01"/>
          <w:rFonts w:ascii="Calibri" w:hAnsi="Calibri" w:cs="Calibri"/>
          <w:sz w:val="22"/>
          <w:szCs w:val="22"/>
        </w:rPr>
        <w:t xml:space="preserve">of applying for citizenship by </w:t>
      </w:r>
      <w:r w:rsidR="0C8DA005" w:rsidRPr="68C8F82D">
        <w:rPr>
          <w:rStyle w:val="cf01"/>
          <w:rFonts w:ascii="Calibri" w:hAnsi="Calibri" w:cs="Calibri"/>
          <w:sz w:val="22"/>
          <w:szCs w:val="22"/>
        </w:rPr>
        <w:t xml:space="preserve">registration, will be </w:t>
      </w:r>
      <w:r w:rsidR="7A3B55C9" w:rsidRPr="700C15B1">
        <w:rPr>
          <w:rStyle w:val="cf01"/>
          <w:rFonts w:ascii="Calibri" w:hAnsi="Calibri" w:cs="Calibri"/>
          <w:sz w:val="22"/>
          <w:szCs w:val="22"/>
        </w:rPr>
        <w:t xml:space="preserve">left out of </w:t>
      </w:r>
      <w:proofErr w:type="gramStart"/>
      <w:r w:rsidR="7A3B55C9" w:rsidRPr="700C15B1">
        <w:rPr>
          <w:rStyle w:val="cf01"/>
          <w:rFonts w:ascii="Calibri" w:hAnsi="Calibri" w:cs="Calibri"/>
          <w:sz w:val="22"/>
          <w:szCs w:val="22"/>
        </w:rPr>
        <w:t>consideration</w:t>
      </w:r>
      <w:proofErr w:type="gramEnd"/>
      <w:r w:rsidR="0C8DA005" w:rsidRPr="68C8F82D">
        <w:rPr>
          <w:rStyle w:val="cf01"/>
          <w:rFonts w:ascii="Calibri" w:hAnsi="Calibri" w:cs="Calibri"/>
          <w:sz w:val="22"/>
          <w:szCs w:val="22"/>
        </w:rPr>
        <w:t xml:space="preserve"> </w:t>
      </w:r>
    </w:p>
    <w:p w14:paraId="69585889" w14:textId="3D56A35B" w:rsidR="009917D4" w:rsidRPr="00794DDA" w:rsidRDefault="009917D4" w:rsidP="00AD017C">
      <w:pPr>
        <w:pStyle w:val="pf0"/>
        <w:spacing w:before="0" w:beforeAutospacing="0" w:after="0" w:afterAutospacing="0"/>
        <w:jc w:val="both"/>
        <w:rPr>
          <w:rFonts w:ascii="Calibri" w:hAnsi="Calibri" w:cs="Calibri"/>
          <w:sz w:val="22"/>
          <w:szCs w:val="22"/>
        </w:rPr>
      </w:pPr>
    </w:p>
    <w:p w14:paraId="07BE4244" w14:textId="38BF5DAE" w:rsidR="009917D4" w:rsidRPr="00794DDA" w:rsidRDefault="46C9B70A" w:rsidP="229768D2">
      <w:pPr>
        <w:pStyle w:val="pf0"/>
        <w:numPr>
          <w:ilvl w:val="0"/>
          <w:numId w:val="7"/>
        </w:numPr>
        <w:spacing w:before="0" w:beforeAutospacing="0" w:after="0" w:afterAutospacing="0"/>
        <w:jc w:val="both"/>
        <w:rPr>
          <w:rFonts w:ascii="Calibri" w:hAnsi="Calibri" w:cs="Calibri"/>
          <w:sz w:val="22"/>
          <w:szCs w:val="22"/>
        </w:rPr>
      </w:pPr>
      <w:r w:rsidRPr="1F2E3B18">
        <w:rPr>
          <w:rStyle w:val="cf01"/>
          <w:rFonts w:ascii="Calibri" w:hAnsi="Calibri" w:cs="Calibri"/>
          <w:sz w:val="22"/>
          <w:szCs w:val="22"/>
        </w:rPr>
        <w:t xml:space="preserve">The Citizenship Amendment bill was tabled for its first reading in the lower house of the Malaysian Parliament on </w:t>
      </w:r>
      <w:r w:rsidR="501892DC" w:rsidRPr="1F2E3B18">
        <w:rPr>
          <w:rStyle w:val="cf01"/>
          <w:rFonts w:ascii="Calibri" w:hAnsi="Calibri" w:cs="Calibri"/>
          <w:sz w:val="22"/>
          <w:szCs w:val="22"/>
        </w:rPr>
        <w:t xml:space="preserve">25 </w:t>
      </w:r>
      <w:r w:rsidRPr="1F2E3B18">
        <w:rPr>
          <w:rStyle w:val="cf01"/>
          <w:rFonts w:ascii="Calibri" w:hAnsi="Calibri" w:cs="Calibri"/>
          <w:sz w:val="22"/>
          <w:szCs w:val="22"/>
        </w:rPr>
        <w:t xml:space="preserve">March 2024, and its second reading on </w:t>
      </w:r>
      <w:r w:rsidR="501892DC" w:rsidRPr="1F2E3B18">
        <w:rPr>
          <w:rStyle w:val="cf01"/>
          <w:rFonts w:ascii="Calibri" w:hAnsi="Calibri" w:cs="Calibri"/>
          <w:sz w:val="22"/>
          <w:szCs w:val="22"/>
        </w:rPr>
        <w:t xml:space="preserve">27 </w:t>
      </w:r>
      <w:r w:rsidRPr="1F2E3B18">
        <w:rPr>
          <w:rStyle w:val="cf01"/>
          <w:rFonts w:ascii="Calibri" w:hAnsi="Calibri" w:cs="Calibri"/>
          <w:sz w:val="22"/>
          <w:szCs w:val="22"/>
        </w:rPr>
        <w:t xml:space="preserve">March 2024. However, the </w:t>
      </w:r>
      <w:r w:rsidR="501892DC" w:rsidRPr="1F2E3B18">
        <w:rPr>
          <w:rStyle w:val="cf01"/>
          <w:rFonts w:ascii="Calibri" w:hAnsi="Calibri" w:cs="Calibri"/>
          <w:sz w:val="22"/>
          <w:szCs w:val="22"/>
        </w:rPr>
        <w:t xml:space="preserve">27 </w:t>
      </w:r>
      <w:r w:rsidRPr="1F2E3B18">
        <w:rPr>
          <w:rStyle w:val="cf01"/>
          <w:rFonts w:ascii="Calibri" w:hAnsi="Calibri" w:cs="Calibri"/>
          <w:sz w:val="22"/>
          <w:szCs w:val="22"/>
        </w:rPr>
        <w:t>March session was</w:t>
      </w:r>
      <w:r w:rsidR="7CF41431" w:rsidRPr="1F2E3B18">
        <w:rPr>
          <w:rStyle w:val="cf01"/>
          <w:rFonts w:ascii="Calibri" w:hAnsi="Calibri" w:cs="Calibri"/>
          <w:sz w:val="22"/>
          <w:szCs w:val="22"/>
        </w:rPr>
        <w:t xml:space="preserve"> unexpectedly</w:t>
      </w:r>
      <w:r w:rsidRPr="1F2E3B18">
        <w:rPr>
          <w:rStyle w:val="cf01"/>
          <w:rFonts w:ascii="Calibri" w:hAnsi="Calibri" w:cs="Calibri"/>
          <w:sz w:val="22"/>
          <w:szCs w:val="22"/>
        </w:rPr>
        <w:t xml:space="preserve"> adjourned without an opportunity for Members of Parliament to debate the bill. The next </w:t>
      </w:r>
      <w:r w:rsidR="54C43204" w:rsidRPr="1F2E3B18">
        <w:rPr>
          <w:rStyle w:val="cf01"/>
          <w:rFonts w:ascii="Calibri" w:hAnsi="Calibri" w:cs="Calibri"/>
          <w:sz w:val="22"/>
          <w:szCs w:val="22"/>
        </w:rPr>
        <w:t>P</w:t>
      </w:r>
      <w:r w:rsidRPr="1F2E3B18">
        <w:rPr>
          <w:rStyle w:val="cf01"/>
          <w:rFonts w:ascii="Calibri" w:hAnsi="Calibri" w:cs="Calibri"/>
          <w:sz w:val="22"/>
          <w:szCs w:val="22"/>
        </w:rPr>
        <w:t xml:space="preserve">arliament session is expected to convene from </w:t>
      </w:r>
      <w:r w:rsidR="05FDDFFE" w:rsidRPr="1F2E3B18">
        <w:rPr>
          <w:rStyle w:val="cf01"/>
          <w:rFonts w:ascii="Calibri" w:hAnsi="Calibri" w:cs="Calibri"/>
          <w:sz w:val="22"/>
          <w:szCs w:val="22"/>
        </w:rPr>
        <w:t>24 June to 18 July</w:t>
      </w:r>
      <w:r w:rsidRPr="1F2E3B18">
        <w:rPr>
          <w:rStyle w:val="cf01"/>
          <w:rFonts w:ascii="Calibri" w:hAnsi="Calibri" w:cs="Calibri"/>
          <w:sz w:val="22"/>
          <w:szCs w:val="22"/>
        </w:rPr>
        <w:t xml:space="preserve"> 2024.</w:t>
      </w:r>
      <w:r w:rsidR="00794DDA" w:rsidRPr="1F2E3B18">
        <w:rPr>
          <w:rStyle w:val="FootnoteReference"/>
          <w:rFonts w:ascii="Calibri" w:hAnsi="Calibri" w:cs="Calibri"/>
          <w:sz w:val="22"/>
          <w:szCs w:val="22"/>
        </w:rPr>
        <w:footnoteReference w:id="36"/>
      </w:r>
      <w:r w:rsidR="1A3CC563" w:rsidRPr="1F2E3B18">
        <w:rPr>
          <w:rFonts w:ascii="Calibri" w:hAnsi="Calibri" w:cs="Calibri"/>
          <w:sz w:val="22"/>
          <w:szCs w:val="22"/>
        </w:rPr>
        <w:t xml:space="preserve"> </w:t>
      </w:r>
    </w:p>
    <w:p w14:paraId="2900D3B1" w14:textId="77777777" w:rsidR="009917D4" w:rsidRPr="00794DDA" w:rsidRDefault="009917D4" w:rsidP="00D22DDB">
      <w:pPr>
        <w:pStyle w:val="ListParagraph"/>
        <w:jc w:val="both"/>
        <w:rPr>
          <w:rFonts w:ascii="Calibri" w:hAnsi="Calibri" w:cs="Calibri"/>
          <w:sz w:val="22"/>
          <w:szCs w:val="22"/>
        </w:rPr>
      </w:pPr>
    </w:p>
    <w:p w14:paraId="50687AA1" w14:textId="43B3BFCE" w:rsidR="005735E3" w:rsidRPr="0082189E" w:rsidRDefault="2C6EE02F" w:rsidP="0082189E">
      <w:pPr>
        <w:pStyle w:val="ListParagraph"/>
        <w:widowControl w:val="0"/>
        <w:numPr>
          <w:ilvl w:val="0"/>
          <w:numId w:val="7"/>
        </w:numPr>
        <w:autoSpaceDE w:val="0"/>
        <w:autoSpaceDN w:val="0"/>
        <w:adjustRightInd w:val="0"/>
        <w:jc w:val="both"/>
        <w:rPr>
          <w:rFonts w:ascii="Calibri" w:hAnsi="Calibri" w:cs="Calibri"/>
          <w:color w:val="1E1052" w:themeColor="accent1" w:themeShade="BF"/>
          <w:sz w:val="22"/>
          <w:szCs w:val="22"/>
        </w:rPr>
      </w:pPr>
      <w:r w:rsidRPr="229768D2">
        <w:rPr>
          <w:rFonts w:ascii="Calibri" w:hAnsi="Calibri" w:cs="Calibri"/>
          <w:sz w:val="22"/>
          <w:szCs w:val="22"/>
        </w:rPr>
        <w:t xml:space="preserve">We remain deeply concerned by the injustice and suffering faced by Malaysian women, girls, and affected families due to the denial of equal nationality rights. We hope the Government proceeds with the debate of the bill in the next parliamentary session and ensures the amendment to grant Malaysian women equal rights </w:t>
      </w:r>
      <w:r w:rsidR="6F0FED5C" w:rsidRPr="229768D2">
        <w:rPr>
          <w:rFonts w:ascii="Calibri" w:hAnsi="Calibri" w:cs="Calibri"/>
          <w:sz w:val="22"/>
          <w:szCs w:val="22"/>
        </w:rPr>
        <w:t xml:space="preserve">to confer </w:t>
      </w:r>
      <w:r w:rsidR="665A8DA7" w:rsidRPr="229768D2">
        <w:rPr>
          <w:rFonts w:ascii="Calibri" w:hAnsi="Calibri" w:cs="Calibri"/>
          <w:sz w:val="22"/>
          <w:szCs w:val="22"/>
        </w:rPr>
        <w:t xml:space="preserve">citizenship </w:t>
      </w:r>
      <w:r w:rsidR="6F0FED5C" w:rsidRPr="229768D2">
        <w:rPr>
          <w:rFonts w:ascii="Calibri" w:hAnsi="Calibri" w:cs="Calibri"/>
          <w:sz w:val="22"/>
          <w:szCs w:val="22"/>
        </w:rPr>
        <w:t xml:space="preserve">on their children </w:t>
      </w:r>
      <w:r w:rsidRPr="229768D2">
        <w:rPr>
          <w:rFonts w:ascii="Calibri" w:hAnsi="Calibri" w:cs="Calibri"/>
          <w:b/>
          <w:bCs/>
          <w:sz w:val="22"/>
          <w:szCs w:val="22"/>
        </w:rPr>
        <w:t>retroactively</w:t>
      </w:r>
      <w:r w:rsidRPr="229768D2">
        <w:rPr>
          <w:rFonts w:ascii="Calibri" w:hAnsi="Calibri" w:cs="Calibri"/>
          <w:sz w:val="22"/>
          <w:szCs w:val="22"/>
        </w:rPr>
        <w:t>. Additionally, we hope the Government drops the other regressive amendments that could exacerbate statelessness</w:t>
      </w:r>
      <w:r w:rsidR="3BEDCDEC" w:rsidRPr="229768D2">
        <w:rPr>
          <w:rFonts w:ascii="Calibri" w:hAnsi="Calibri" w:cs="Calibri"/>
          <w:sz w:val="22"/>
          <w:szCs w:val="22"/>
        </w:rPr>
        <w:t xml:space="preserve">. </w:t>
      </w:r>
    </w:p>
    <w:p w14:paraId="3E8D2663" w14:textId="77777777" w:rsidR="005735E3" w:rsidRDefault="005735E3" w:rsidP="005735E3">
      <w:pPr>
        <w:widowControl w:val="0"/>
        <w:autoSpaceDE w:val="0"/>
        <w:autoSpaceDN w:val="0"/>
        <w:adjustRightInd w:val="0"/>
        <w:jc w:val="both"/>
        <w:rPr>
          <w:rFonts w:ascii="Helvetica" w:hAnsi="Helvetica" w:cstheme="majorHAnsi"/>
          <w:b/>
          <w:bCs/>
          <w:color w:val="1E1052" w:themeColor="accent1" w:themeShade="BF"/>
          <w:sz w:val="28"/>
          <w:szCs w:val="22"/>
        </w:rPr>
      </w:pPr>
    </w:p>
    <w:p w14:paraId="190FC322" w14:textId="2A35A801" w:rsidR="00971158" w:rsidRDefault="005735E3" w:rsidP="005735E3">
      <w:pPr>
        <w:widowControl w:val="0"/>
        <w:autoSpaceDE w:val="0"/>
        <w:autoSpaceDN w:val="0"/>
        <w:adjustRightInd w:val="0"/>
        <w:jc w:val="both"/>
        <w:rPr>
          <w:rFonts w:ascii="Helvetica" w:hAnsi="Helvetica" w:cstheme="majorHAnsi"/>
          <w:b/>
          <w:bCs/>
          <w:color w:val="1E1052" w:themeColor="accent1" w:themeShade="BF"/>
          <w:sz w:val="28"/>
          <w:szCs w:val="22"/>
        </w:rPr>
      </w:pPr>
      <w:r>
        <w:rPr>
          <w:rFonts w:ascii="Helvetica" w:hAnsi="Helvetica" w:cstheme="majorHAnsi"/>
          <w:b/>
          <w:bCs/>
          <w:color w:val="1E1052" w:themeColor="accent1" w:themeShade="BF"/>
          <w:sz w:val="28"/>
          <w:szCs w:val="22"/>
        </w:rPr>
        <w:t>Recommendations</w:t>
      </w:r>
    </w:p>
    <w:p w14:paraId="1C4A1A84" w14:textId="77777777" w:rsidR="009917D4" w:rsidRDefault="009917D4" w:rsidP="005735E3">
      <w:pPr>
        <w:widowControl w:val="0"/>
        <w:autoSpaceDE w:val="0"/>
        <w:autoSpaceDN w:val="0"/>
        <w:adjustRightInd w:val="0"/>
        <w:jc w:val="both"/>
        <w:rPr>
          <w:rFonts w:ascii="Helvetica" w:hAnsi="Helvetica" w:cstheme="majorHAnsi"/>
          <w:b/>
          <w:bCs/>
          <w:color w:val="1E1052" w:themeColor="accent1" w:themeShade="BF"/>
          <w:sz w:val="28"/>
          <w:szCs w:val="22"/>
        </w:rPr>
      </w:pPr>
    </w:p>
    <w:p w14:paraId="1BD10C83" w14:textId="0D3E8494" w:rsidR="009917D4" w:rsidRPr="00A344CB" w:rsidRDefault="009917D4" w:rsidP="00A344CB">
      <w:pPr>
        <w:pStyle w:val="ListParagraph"/>
        <w:widowControl w:val="0"/>
        <w:numPr>
          <w:ilvl w:val="0"/>
          <w:numId w:val="7"/>
        </w:numPr>
        <w:autoSpaceDE w:val="0"/>
        <w:autoSpaceDN w:val="0"/>
        <w:adjustRightInd w:val="0"/>
        <w:jc w:val="both"/>
        <w:rPr>
          <w:rFonts w:asciiTheme="majorHAnsi" w:hAnsiTheme="majorHAnsi" w:cstheme="majorHAnsi"/>
          <w:b/>
          <w:bCs/>
          <w:color w:val="1E1052" w:themeColor="accent1" w:themeShade="BF"/>
          <w:sz w:val="22"/>
          <w:szCs w:val="22"/>
        </w:rPr>
      </w:pPr>
      <w:r w:rsidRPr="00A344CB">
        <w:rPr>
          <w:rFonts w:asciiTheme="majorHAnsi" w:hAnsiTheme="majorHAnsi" w:cstheme="majorHAnsi"/>
          <w:sz w:val="22"/>
          <w:szCs w:val="22"/>
        </w:rPr>
        <w:t>Based on the above information, the co-submitting organisations urge the Committee to make the following recommendations to Malaysia:</w:t>
      </w:r>
    </w:p>
    <w:p w14:paraId="0EA61A38" w14:textId="77777777" w:rsidR="00C67636" w:rsidRPr="00E15BBC" w:rsidRDefault="00C67636" w:rsidP="008D7AAA">
      <w:pPr>
        <w:widowControl w:val="0"/>
        <w:autoSpaceDE w:val="0"/>
        <w:autoSpaceDN w:val="0"/>
        <w:adjustRightInd w:val="0"/>
        <w:jc w:val="both"/>
        <w:rPr>
          <w:rFonts w:asciiTheme="majorHAnsi" w:hAnsiTheme="majorHAnsi" w:cstheme="majorHAnsi"/>
          <w:color w:val="1E1052" w:themeColor="accent1" w:themeShade="BF"/>
          <w:sz w:val="22"/>
          <w:szCs w:val="22"/>
        </w:rPr>
      </w:pPr>
    </w:p>
    <w:p w14:paraId="4E69A556" w14:textId="1724AA6F" w:rsidR="153CBD62" w:rsidRPr="00E1489F" w:rsidRDefault="4CBE0113" w:rsidP="00E1489F">
      <w:pPr>
        <w:pStyle w:val="pf0"/>
        <w:numPr>
          <w:ilvl w:val="0"/>
          <w:numId w:val="29"/>
        </w:numPr>
        <w:spacing w:before="0" w:beforeAutospacing="0"/>
        <w:jc w:val="both"/>
        <w:rPr>
          <w:rFonts w:asciiTheme="majorHAnsi" w:hAnsiTheme="majorHAnsi" w:cstheme="majorBidi"/>
          <w:sz w:val="22"/>
          <w:szCs w:val="22"/>
        </w:rPr>
      </w:pPr>
      <w:r w:rsidRPr="229768D2">
        <w:rPr>
          <w:rStyle w:val="cf01"/>
          <w:rFonts w:asciiTheme="majorHAnsi" w:hAnsiTheme="majorHAnsi" w:cstheme="majorBidi"/>
          <w:sz w:val="22"/>
          <w:szCs w:val="22"/>
        </w:rPr>
        <w:t xml:space="preserve">Amend all provisions of the Federal Constitution that deny women equal rights regarding the transmission of </w:t>
      </w:r>
      <w:r w:rsidR="7AF4C0BA" w:rsidRPr="229768D2">
        <w:rPr>
          <w:rStyle w:val="cf01"/>
          <w:rFonts w:asciiTheme="majorHAnsi" w:hAnsiTheme="majorHAnsi" w:cstheme="majorBidi"/>
          <w:sz w:val="22"/>
          <w:szCs w:val="22"/>
        </w:rPr>
        <w:t xml:space="preserve">citizenship </w:t>
      </w:r>
      <w:r w:rsidRPr="229768D2">
        <w:rPr>
          <w:rStyle w:val="cf01"/>
          <w:rFonts w:asciiTheme="majorHAnsi" w:hAnsiTheme="majorHAnsi" w:cstheme="majorBidi"/>
          <w:sz w:val="22"/>
          <w:szCs w:val="22"/>
        </w:rPr>
        <w:t xml:space="preserve">to their children and </w:t>
      </w:r>
      <w:r w:rsidR="03239BB7" w:rsidRPr="229768D2">
        <w:rPr>
          <w:rStyle w:val="cf01"/>
          <w:rFonts w:asciiTheme="majorHAnsi" w:hAnsiTheme="majorHAnsi" w:cstheme="majorBidi"/>
          <w:sz w:val="22"/>
          <w:szCs w:val="22"/>
        </w:rPr>
        <w:t>non</w:t>
      </w:r>
      <w:r w:rsidR="0E326328" w:rsidRPr="229768D2">
        <w:rPr>
          <w:rStyle w:val="cf01"/>
          <w:rFonts w:asciiTheme="majorHAnsi" w:hAnsiTheme="majorHAnsi" w:cstheme="majorBidi"/>
          <w:sz w:val="22"/>
          <w:szCs w:val="22"/>
        </w:rPr>
        <w:t>-</w:t>
      </w:r>
      <w:r w:rsidR="03239BB7" w:rsidRPr="229768D2">
        <w:rPr>
          <w:rStyle w:val="cf01"/>
          <w:rFonts w:asciiTheme="majorHAnsi" w:hAnsiTheme="majorHAnsi" w:cstheme="majorBidi"/>
          <w:sz w:val="22"/>
          <w:szCs w:val="22"/>
        </w:rPr>
        <w:t xml:space="preserve">citizen </w:t>
      </w:r>
      <w:r w:rsidRPr="229768D2">
        <w:rPr>
          <w:rStyle w:val="cf01"/>
          <w:rFonts w:asciiTheme="majorHAnsi" w:hAnsiTheme="majorHAnsi" w:cstheme="majorBidi"/>
          <w:sz w:val="22"/>
          <w:szCs w:val="22"/>
        </w:rPr>
        <w:t>spouses, specifically:</w:t>
      </w:r>
    </w:p>
    <w:p w14:paraId="3575BA34" w14:textId="42ABD9B1" w:rsidR="0094738F" w:rsidRPr="0094738F" w:rsidRDefault="5D99D73C" w:rsidP="0094738F">
      <w:pPr>
        <w:pStyle w:val="pf0"/>
        <w:numPr>
          <w:ilvl w:val="0"/>
          <w:numId w:val="30"/>
        </w:numPr>
        <w:spacing w:before="0" w:beforeAutospacing="0" w:after="0" w:afterAutospacing="0"/>
        <w:jc w:val="both"/>
        <w:rPr>
          <w:rStyle w:val="cf01"/>
          <w:rFonts w:asciiTheme="majorHAnsi" w:hAnsiTheme="majorHAnsi" w:cstheme="majorBidi"/>
          <w:sz w:val="22"/>
          <w:szCs w:val="22"/>
        </w:rPr>
      </w:pPr>
      <w:r w:rsidRPr="229768D2">
        <w:rPr>
          <w:rStyle w:val="cf01"/>
          <w:rFonts w:asciiTheme="majorHAnsi" w:hAnsiTheme="majorHAnsi" w:cstheme="majorBidi"/>
          <w:sz w:val="22"/>
          <w:szCs w:val="22"/>
        </w:rPr>
        <w:t>Amend Sections 1(b) and 1(c) of Part II of the Second Schedule of the Federal Constitution to grant Malaysian women equal rights as men to confer citizenship by 'operation of law' on their overseas-born children without further delay. The amendment must be retroactive to ensure all Malaysian women and their existing children are protected</w:t>
      </w:r>
      <w:r w:rsidR="207F3F52" w:rsidRPr="229768D2">
        <w:rPr>
          <w:rStyle w:val="cf01"/>
          <w:rFonts w:asciiTheme="majorHAnsi" w:hAnsiTheme="majorHAnsi" w:cstheme="majorBidi"/>
          <w:sz w:val="22"/>
          <w:szCs w:val="22"/>
        </w:rPr>
        <w:t xml:space="preserve"> and enjoy equal </w:t>
      </w:r>
      <w:proofErr w:type="gramStart"/>
      <w:r w:rsidR="207F3F52" w:rsidRPr="229768D2">
        <w:rPr>
          <w:rStyle w:val="cf01"/>
          <w:rFonts w:asciiTheme="majorHAnsi" w:hAnsiTheme="majorHAnsi" w:cstheme="majorBidi"/>
          <w:sz w:val="22"/>
          <w:szCs w:val="22"/>
        </w:rPr>
        <w:t>rights</w:t>
      </w:r>
      <w:r w:rsidR="0094738F">
        <w:rPr>
          <w:rStyle w:val="cf01"/>
          <w:rFonts w:asciiTheme="majorHAnsi" w:hAnsiTheme="majorHAnsi" w:cstheme="majorBidi"/>
          <w:sz w:val="22"/>
          <w:szCs w:val="22"/>
        </w:rPr>
        <w:t>;</w:t>
      </w:r>
      <w:proofErr w:type="gramEnd"/>
    </w:p>
    <w:p w14:paraId="40DF001C" w14:textId="155B98FC" w:rsidR="36700596" w:rsidRPr="0082189E" w:rsidRDefault="5D99D73C" w:rsidP="0082189E">
      <w:pPr>
        <w:pStyle w:val="pf0"/>
        <w:numPr>
          <w:ilvl w:val="0"/>
          <w:numId w:val="30"/>
        </w:numPr>
        <w:spacing w:before="0" w:beforeAutospacing="0" w:after="0" w:afterAutospacing="0"/>
        <w:jc w:val="both"/>
        <w:rPr>
          <w:rFonts w:asciiTheme="majorHAnsi" w:hAnsiTheme="majorHAnsi" w:cstheme="majorBidi"/>
          <w:sz w:val="22"/>
          <w:szCs w:val="22"/>
        </w:rPr>
      </w:pPr>
      <w:r w:rsidRPr="229768D2">
        <w:rPr>
          <w:rStyle w:val="cf01"/>
          <w:rFonts w:asciiTheme="majorHAnsi" w:hAnsiTheme="majorHAnsi" w:cstheme="majorBidi"/>
          <w:sz w:val="22"/>
          <w:szCs w:val="22"/>
        </w:rPr>
        <w:t xml:space="preserve">Amend Article 15(1) of the Federal Constitution to grant Malaysian women equal rights as men to confer citizenship by 'registration' on their </w:t>
      </w:r>
      <w:r w:rsidR="407B4585" w:rsidRPr="229768D2">
        <w:rPr>
          <w:rStyle w:val="cf01"/>
          <w:rFonts w:asciiTheme="majorHAnsi" w:hAnsiTheme="majorHAnsi" w:cstheme="majorBidi"/>
          <w:sz w:val="22"/>
          <w:szCs w:val="22"/>
        </w:rPr>
        <w:t>non</w:t>
      </w:r>
      <w:r w:rsidR="4D2016C0" w:rsidRPr="229768D2">
        <w:rPr>
          <w:rStyle w:val="cf01"/>
          <w:rFonts w:asciiTheme="majorHAnsi" w:hAnsiTheme="majorHAnsi" w:cstheme="majorBidi"/>
          <w:sz w:val="22"/>
          <w:szCs w:val="22"/>
        </w:rPr>
        <w:t>-</w:t>
      </w:r>
      <w:r w:rsidR="407B4585" w:rsidRPr="229768D2">
        <w:rPr>
          <w:rStyle w:val="cf01"/>
          <w:rFonts w:asciiTheme="majorHAnsi" w:hAnsiTheme="majorHAnsi" w:cstheme="majorBidi"/>
          <w:sz w:val="22"/>
          <w:szCs w:val="22"/>
        </w:rPr>
        <w:t xml:space="preserve">citizen </w:t>
      </w:r>
      <w:r w:rsidRPr="229768D2">
        <w:rPr>
          <w:rStyle w:val="cf01"/>
          <w:rFonts w:asciiTheme="majorHAnsi" w:hAnsiTheme="majorHAnsi" w:cstheme="majorBidi"/>
          <w:sz w:val="22"/>
          <w:szCs w:val="22"/>
        </w:rPr>
        <w:t>spouses</w:t>
      </w:r>
      <w:r w:rsidR="3B8DC906" w:rsidRPr="229768D2">
        <w:rPr>
          <w:rFonts w:asciiTheme="majorHAnsi" w:hAnsiTheme="majorHAnsi" w:cstheme="majorBidi"/>
          <w:color w:val="000000" w:themeColor="accent6"/>
          <w:sz w:val="22"/>
          <w:szCs w:val="22"/>
        </w:rPr>
        <w:t xml:space="preserve">. </w:t>
      </w:r>
    </w:p>
    <w:p w14:paraId="3635784A" w14:textId="7A530322" w:rsidR="00EB795B" w:rsidRDefault="4CBE0113" w:rsidP="229768D2">
      <w:pPr>
        <w:pStyle w:val="pf0"/>
        <w:numPr>
          <w:ilvl w:val="0"/>
          <w:numId w:val="29"/>
        </w:numPr>
        <w:spacing w:after="0" w:afterAutospacing="0"/>
        <w:jc w:val="both"/>
        <w:rPr>
          <w:rStyle w:val="cf01"/>
          <w:rFonts w:asciiTheme="majorHAnsi" w:hAnsiTheme="majorHAnsi" w:cstheme="majorBidi"/>
          <w:color w:val="000000" w:themeColor="accent6"/>
          <w:sz w:val="22"/>
          <w:szCs w:val="22"/>
        </w:rPr>
      </w:pPr>
      <w:r w:rsidRPr="229768D2">
        <w:rPr>
          <w:rStyle w:val="cf01"/>
          <w:rFonts w:asciiTheme="majorHAnsi" w:hAnsiTheme="majorHAnsi" w:cstheme="majorBidi"/>
          <w:sz w:val="22"/>
          <w:szCs w:val="22"/>
        </w:rPr>
        <w:t xml:space="preserve">Implement a streamlined Permanent Residence (PR) process for </w:t>
      </w:r>
      <w:r w:rsidR="58E44430" w:rsidRPr="229768D2">
        <w:rPr>
          <w:rStyle w:val="cf01"/>
          <w:rFonts w:asciiTheme="majorHAnsi" w:hAnsiTheme="majorHAnsi" w:cstheme="majorBidi"/>
          <w:sz w:val="22"/>
          <w:szCs w:val="22"/>
        </w:rPr>
        <w:t>non</w:t>
      </w:r>
      <w:r w:rsidR="3DDFBE80" w:rsidRPr="229768D2">
        <w:rPr>
          <w:rStyle w:val="cf01"/>
          <w:rFonts w:asciiTheme="majorHAnsi" w:hAnsiTheme="majorHAnsi" w:cstheme="majorBidi"/>
          <w:sz w:val="22"/>
          <w:szCs w:val="22"/>
        </w:rPr>
        <w:t>-</w:t>
      </w:r>
      <w:r w:rsidR="58E44430" w:rsidRPr="229768D2">
        <w:rPr>
          <w:rStyle w:val="cf01"/>
          <w:rFonts w:asciiTheme="majorHAnsi" w:hAnsiTheme="majorHAnsi" w:cstheme="majorBidi"/>
          <w:sz w:val="22"/>
          <w:szCs w:val="22"/>
        </w:rPr>
        <w:t xml:space="preserve">citizen </w:t>
      </w:r>
      <w:r w:rsidRPr="229768D2">
        <w:rPr>
          <w:rStyle w:val="cf01"/>
          <w:rFonts w:asciiTheme="majorHAnsi" w:hAnsiTheme="majorHAnsi" w:cstheme="majorBidi"/>
          <w:sz w:val="22"/>
          <w:szCs w:val="22"/>
        </w:rPr>
        <w:t xml:space="preserve">spouses, ensuring timely access and transparency. This includes establishing a definite processing time, providing reasons for </w:t>
      </w:r>
      <w:proofErr w:type="gramStart"/>
      <w:r w:rsidRPr="229768D2">
        <w:rPr>
          <w:rStyle w:val="cf01"/>
          <w:rFonts w:asciiTheme="majorHAnsi" w:hAnsiTheme="majorHAnsi" w:cstheme="majorBidi"/>
          <w:sz w:val="22"/>
          <w:szCs w:val="22"/>
        </w:rPr>
        <w:t>rejections</w:t>
      </w:r>
      <w:proofErr w:type="gramEnd"/>
      <w:r w:rsidRPr="229768D2">
        <w:rPr>
          <w:rStyle w:val="cf01"/>
          <w:rFonts w:asciiTheme="majorHAnsi" w:hAnsiTheme="majorHAnsi" w:cstheme="majorBidi"/>
          <w:sz w:val="22"/>
          <w:szCs w:val="22"/>
        </w:rPr>
        <w:t xml:space="preserve"> and offering PR based on </w:t>
      </w:r>
      <w:r w:rsidR="1F633497" w:rsidRPr="506D7AA1">
        <w:rPr>
          <w:rStyle w:val="cf01"/>
          <w:rFonts w:asciiTheme="majorHAnsi" w:hAnsiTheme="majorHAnsi" w:cstheme="majorBidi"/>
          <w:sz w:val="22"/>
          <w:szCs w:val="22"/>
        </w:rPr>
        <w:t>fulfilment</w:t>
      </w:r>
      <w:r w:rsidRPr="229768D2">
        <w:rPr>
          <w:rStyle w:val="cf01"/>
          <w:rFonts w:asciiTheme="majorHAnsi" w:hAnsiTheme="majorHAnsi" w:cstheme="majorBidi"/>
          <w:sz w:val="22"/>
          <w:szCs w:val="22"/>
        </w:rPr>
        <w:t xml:space="preserve"> of application requirements without prejudice</w:t>
      </w:r>
      <w:r w:rsidR="7DE2BABE" w:rsidRPr="229768D2">
        <w:rPr>
          <w:rStyle w:val="cf01"/>
          <w:rFonts w:asciiTheme="majorHAnsi" w:hAnsiTheme="majorHAnsi" w:cstheme="majorBidi"/>
          <w:sz w:val="22"/>
          <w:szCs w:val="22"/>
        </w:rPr>
        <w:t xml:space="preserve"> </w:t>
      </w:r>
      <w:r w:rsidRPr="229768D2">
        <w:rPr>
          <w:rStyle w:val="cf01"/>
          <w:rFonts w:asciiTheme="majorHAnsi" w:hAnsiTheme="majorHAnsi" w:cstheme="majorBidi"/>
          <w:sz w:val="22"/>
          <w:szCs w:val="22"/>
        </w:rPr>
        <w:t>based on gender, nationality, religion or ethnicity.</w:t>
      </w:r>
    </w:p>
    <w:p w14:paraId="482432BF" w14:textId="77777777" w:rsidR="00EB795B" w:rsidRPr="00EB795B" w:rsidRDefault="00EB795B" w:rsidP="008D7AAA">
      <w:pPr>
        <w:pStyle w:val="pf0"/>
        <w:spacing w:before="0" w:beforeAutospacing="0" w:after="0" w:afterAutospacing="0"/>
        <w:ind w:left="720"/>
        <w:jc w:val="both"/>
        <w:rPr>
          <w:rStyle w:val="cf01"/>
          <w:rFonts w:asciiTheme="majorHAnsi" w:hAnsiTheme="majorHAnsi" w:cstheme="majorHAnsi"/>
          <w:color w:val="000000" w:themeColor="accent6"/>
          <w:sz w:val="22"/>
          <w:szCs w:val="22"/>
        </w:rPr>
      </w:pPr>
    </w:p>
    <w:p w14:paraId="2E829991" w14:textId="09DEB8B5" w:rsidR="2140D66E" w:rsidRDefault="173FF924" w:rsidP="008D7AAA">
      <w:pPr>
        <w:pStyle w:val="pf0"/>
        <w:numPr>
          <w:ilvl w:val="0"/>
          <w:numId w:val="29"/>
        </w:numPr>
        <w:spacing w:before="0" w:beforeAutospacing="0" w:after="0" w:afterAutospacing="0"/>
        <w:jc w:val="both"/>
        <w:rPr>
          <w:rFonts w:asciiTheme="majorHAnsi" w:hAnsiTheme="majorHAnsi" w:cstheme="majorHAnsi"/>
          <w:color w:val="000000" w:themeColor="accent6"/>
          <w:sz w:val="22"/>
          <w:szCs w:val="22"/>
        </w:rPr>
      </w:pPr>
      <w:r w:rsidRPr="153CBD62">
        <w:rPr>
          <w:rFonts w:asciiTheme="majorHAnsi" w:hAnsiTheme="majorHAnsi" w:cstheme="majorBidi"/>
          <w:color w:val="000000" w:themeColor="accent6"/>
          <w:sz w:val="22"/>
          <w:szCs w:val="22"/>
        </w:rPr>
        <w:t>Re-evaluate and scrutinize the implications of the amendments proposed to Malaysian citizenship provisions by the Malaysian Government, specifica</w:t>
      </w:r>
      <w:r w:rsidR="5867A987" w:rsidRPr="153CBD62">
        <w:rPr>
          <w:rFonts w:asciiTheme="majorHAnsi" w:hAnsiTheme="majorHAnsi" w:cstheme="majorBidi"/>
          <w:color w:val="000000" w:themeColor="accent6"/>
          <w:sz w:val="22"/>
          <w:szCs w:val="22"/>
        </w:rPr>
        <w:t xml:space="preserve">lly: </w:t>
      </w:r>
    </w:p>
    <w:p w14:paraId="54A0E264" w14:textId="77777777" w:rsidR="00AB2842" w:rsidRPr="00EB795B" w:rsidRDefault="00AB2842" w:rsidP="008D7AAA">
      <w:pPr>
        <w:pStyle w:val="pf0"/>
        <w:spacing w:before="0" w:beforeAutospacing="0" w:after="0" w:afterAutospacing="0"/>
        <w:jc w:val="both"/>
        <w:rPr>
          <w:rFonts w:asciiTheme="majorHAnsi" w:hAnsiTheme="majorHAnsi" w:cstheme="majorHAnsi"/>
          <w:color w:val="000000" w:themeColor="accent6"/>
          <w:sz w:val="22"/>
          <w:szCs w:val="22"/>
        </w:rPr>
      </w:pPr>
    </w:p>
    <w:p w14:paraId="322B36EA" w14:textId="61356F7F" w:rsidR="005143B8" w:rsidRPr="005143B8" w:rsidRDefault="25EF3D15" w:rsidP="153CBD62">
      <w:pPr>
        <w:pStyle w:val="ListParagraph"/>
        <w:widowControl w:val="0"/>
        <w:numPr>
          <w:ilvl w:val="0"/>
          <w:numId w:val="27"/>
        </w:numPr>
        <w:ind w:hanging="229"/>
        <w:jc w:val="both"/>
        <w:rPr>
          <w:rFonts w:asciiTheme="majorHAnsi" w:hAnsiTheme="majorHAnsi" w:cstheme="majorBidi"/>
          <w:color w:val="000000" w:themeColor="accent6"/>
          <w:sz w:val="22"/>
          <w:szCs w:val="22"/>
        </w:rPr>
      </w:pPr>
      <w:r w:rsidRPr="153CBD62">
        <w:rPr>
          <w:rFonts w:asciiTheme="majorHAnsi" w:hAnsiTheme="majorHAnsi" w:cstheme="majorBidi"/>
          <w:color w:val="000000" w:themeColor="accent6"/>
          <w:sz w:val="22"/>
          <w:szCs w:val="22"/>
        </w:rPr>
        <w:t>Proceed immediately with the constitutional amendment to grant Malaysian women equal rights to confer automatic citizenship on their overseas-born children, in line with the commitments made by the Government national</w:t>
      </w:r>
      <w:r w:rsidR="24AEEE59" w:rsidRPr="153CBD62">
        <w:rPr>
          <w:rFonts w:asciiTheme="majorHAnsi" w:hAnsiTheme="majorHAnsi" w:cstheme="majorBidi"/>
          <w:color w:val="000000" w:themeColor="accent6"/>
          <w:sz w:val="22"/>
          <w:szCs w:val="22"/>
        </w:rPr>
        <w:t>ly</w:t>
      </w:r>
      <w:r w:rsidRPr="153CBD62">
        <w:rPr>
          <w:rFonts w:asciiTheme="majorHAnsi" w:hAnsiTheme="majorHAnsi" w:cstheme="majorBidi"/>
          <w:color w:val="000000" w:themeColor="accent6"/>
          <w:sz w:val="22"/>
          <w:szCs w:val="22"/>
        </w:rPr>
        <w:t xml:space="preserve"> and internationally. </w:t>
      </w:r>
    </w:p>
    <w:p w14:paraId="52DA67F2" w14:textId="2AD4C5C6" w:rsidR="5867A987" w:rsidRPr="00CF234B" w:rsidRDefault="3DEF83A9" w:rsidP="229768D2">
      <w:pPr>
        <w:pStyle w:val="ListParagraph"/>
        <w:widowControl w:val="0"/>
        <w:numPr>
          <w:ilvl w:val="0"/>
          <w:numId w:val="27"/>
        </w:numPr>
        <w:ind w:hanging="229"/>
        <w:jc w:val="both"/>
        <w:rPr>
          <w:rFonts w:asciiTheme="majorHAnsi" w:hAnsiTheme="majorHAnsi" w:cstheme="majorBidi"/>
          <w:color w:val="000000" w:themeColor="accent6"/>
          <w:sz w:val="22"/>
          <w:szCs w:val="22"/>
        </w:rPr>
      </w:pPr>
      <w:r w:rsidRPr="229768D2">
        <w:rPr>
          <w:rFonts w:asciiTheme="majorHAnsi" w:hAnsiTheme="majorHAnsi" w:cstheme="majorBidi"/>
          <w:color w:val="000000" w:themeColor="accent6"/>
          <w:sz w:val="22"/>
          <w:szCs w:val="22"/>
        </w:rPr>
        <w:t>Reconsider the amendments that would deny the conferral of automatic citizenship from a stateless Permanent Resident cardhold</w:t>
      </w:r>
      <w:r w:rsidR="2BC477E8" w:rsidRPr="229768D2">
        <w:rPr>
          <w:rFonts w:asciiTheme="majorHAnsi" w:hAnsiTheme="majorHAnsi" w:cstheme="majorBidi"/>
          <w:color w:val="000000" w:themeColor="accent6"/>
          <w:sz w:val="22"/>
          <w:szCs w:val="22"/>
        </w:rPr>
        <w:t xml:space="preserve">er </w:t>
      </w:r>
      <w:r w:rsidRPr="229768D2">
        <w:rPr>
          <w:rFonts w:asciiTheme="majorHAnsi" w:hAnsiTheme="majorHAnsi" w:cstheme="majorBidi"/>
          <w:color w:val="000000" w:themeColor="accent6"/>
          <w:sz w:val="22"/>
          <w:szCs w:val="22"/>
        </w:rPr>
        <w:t xml:space="preserve">to their children and the revocation of citizenship from a </w:t>
      </w:r>
      <w:r w:rsidR="5EE45E96" w:rsidRPr="229768D2">
        <w:rPr>
          <w:rFonts w:asciiTheme="majorHAnsi" w:hAnsiTheme="majorHAnsi" w:cstheme="majorBidi"/>
          <w:color w:val="000000" w:themeColor="accent6"/>
          <w:sz w:val="22"/>
          <w:szCs w:val="22"/>
        </w:rPr>
        <w:t xml:space="preserve">non-citizen </w:t>
      </w:r>
      <w:r w:rsidRPr="229768D2">
        <w:rPr>
          <w:rFonts w:asciiTheme="majorHAnsi" w:hAnsiTheme="majorHAnsi" w:cstheme="majorBidi"/>
          <w:color w:val="000000" w:themeColor="accent6"/>
          <w:sz w:val="22"/>
          <w:szCs w:val="22"/>
        </w:rPr>
        <w:t xml:space="preserve">spouse of a Malaysian if the marriage dissolves within two </w:t>
      </w:r>
      <w:r w:rsidR="2431E02C" w:rsidRPr="229768D2">
        <w:rPr>
          <w:rFonts w:asciiTheme="majorHAnsi" w:hAnsiTheme="majorHAnsi" w:cstheme="majorBidi"/>
          <w:color w:val="000000" w:themeColor="accent6"/>
          <w:sz w:val="22"/>
          <w:szCs w:val="22"/>
        </w:rPr>
        <w:t>years of acquiring citizenship.</w:t>
      </w:r>
    </w:p>
    <w:p w14:paraId="7E0253FB" w14:textId="049ED01E" w:rsidR="1E1B07FB" w:rsidRPr="00E15BBC" w:rsidRDefault="1E1B07FB" w:rsidP="008D7AAA">
      <w:pPr>
        <w:widowControl w:val="0"/>
        <w:jc w:val="both"/>
        <w:rPr>
          <w:rFonts w:asciiTheme="majorHAnsi" w:hAnsiTheme="majorHAnsi" w:cstheme="majorHAnsi"/>
          <w:color w:val="000000" w:themeColor="accent6"/>
          <w:sz w:val="22"/>
          <w:szCs w:val="22"/>
        </w:rPr>
      </w:pPr>
    </w:p>
    <w:p w14:paraId="70BAF501" w14:textId="2806FD32" w:rsidR="00C67636" w:rsidRPr="00B368A1" w:rsidRDefault="0845C936" w:rsidP="008D7AAA">
      <w:pPr>
        <w:pStyle w:val="ListParagraph"/>
        <w:widowControl w:val="0"/>
        <w:numPr>
          <w:ilvl w:val="0"/>
          <w:numId w:val="29"/>
        </w:numPr>
        <w:autoSpaceDE w:val="0"/>
        <w:autoSpaceDN w:val="0"/>
        <w:adjustRightInd w:val="0"/>
        <w:jc w:val="both"/>
        <w:rPr>
          <w:rFonts w:asciiTheme="majorHAnsi" w:hAnsiTheme="majorHAnsi" w:cstheme="majorHAnsi"/>
          <w:color w:val="000000" w:themeColor="text1"/>
          <w:sz w:val="22"/>
          <w:szCs w:val="22"/>
        </w:rPr>
      </w:pPr>
      <w:r w:rsidRPr="153CBD62">
        <w:rPr>
          <w:rFonts w:asciiTheme="majorHAnsi" w:hAnsiTheme="majorHAnsi" w:cstheme="majorBidi"/>
          <w:color w:val="000000" w:themeColor="accent6"/>
          <w:sz w:val="22"/>
          <w:szCs w:val="22"/>
        </w:rPr>
        <w:t>Reform</w:t>
      </w:r>
      <w:r w:rsidR="65C66B0B" w:rsidRPr="153CBD62">
        <w:rPr>
          <w:rFonts w:asciiTheme="majorHAnsi" w:hAnsiTheme="majorHAnsi" w:cstheme="majorBidi"/>
          <w:color w:val="000000" w:themeColor="accent6"/>
          <w:sz w:val="22"/>
          <w:szCs w:val="22"/>
        </w:rPr>
        <w:t xml:space="preserve"> Section 17 of Part III of the Second Schedule of the Federal Constitution to grant children born outside of a legally recognised marriage the right to inherit the Malaysian father’s citizenship. </w:t>
      </w:r>
    </w:p>
    <w:p w14:paraId="53DC949F" w14:textId="77777777" w:rsidR="00C20D2D" w:rsidRPr="00E15BBC" w:rsidRDefault="00C20D2D" w:rsidP="008D7AAA">
      <w:pPr>
        <w:pStyle w:val="ListParagraph"/>
        <w:jc w:val="both"/>
        <w:rPr>
          <w:rFonts w:asciiTheme="majorHAnsi" w:hAnsiTheme="majorHAnsi" w:cstheme="majorHAnsi"/>
          <w:color w:val="000000" w:themeColor="text1"/>
          <w:sz w:val="22"/>
          <w:szCs w:val="22"/>
        </w:rPr>
      </w:pPr>
    </w:p>
    <w:p w14:paraId="0DD91A29" w14:textId="78A9F307" w:rsidR="00FE0E10" w:rsidRPr="00FE0E10" w:rsidRDefault="00FE0E10" w:rsidP="00FE0E10">
      <w:pPr>
        <w:pStyle w:val="ListParagraph"/>
        <w:widowControl w:val="0"/>
        <w:numPr>
          <w:ilvl w:val="0"/>
          <w:numId w:val="29"/>
        </w:numPr>
        <w:autoSpaceDE w:val="0"/>
        <w:autoSpaceDN w:val="0"/>
        <w:adjustRightInd w:val="0"/>
        <w:jc w:val="both"/>
        <w:rPr>
          <w:rFonts w:asciiTheme="majorHAnsi" w:hAnsiTheme="majorHAnsi" w:cstheme="majorHAnsi"/>
          <w:color w:val="1E1052" w:themeColor="accent1" w:themeShade="BF"/>
          <w:sz w:val="22"/>
          <w:szCs w:val="22"/>
        </w:rPr>
      </w:pPr>
      <w:r w:rsidRPr="153CBD62">
        <w:rPr>
          <w:rFonts w:asciiTheme="majorHAnsi" w:hAnsiTheme="majorHAnsi" w:cstheme="majorBidi"/>
          <w:color w:val="000000" w:themeColor="accent6"/>
          <w:sz w:val="22"/>
          <w:szCs w:val="22"/>
        </w:rPr>
        <w:t xml:space="preserve">Take steps to ensure that everyone who has been denied access to Malaysian nationality due to gender discriminatory laws, fully enjoy their human rights on a non-discriminatory and equal basis. </w:t>
      </w:r>
    </w:p>
    <w:p w14:paraId="5CCD4520" w14:textId="77777777" w:rsidR="00FE0E10" w:rsidRPr="00FE0E10" w:rsidRDefault="00FE0E10" w:rsidP="00FE0E10">
      <w:pPr>
        <w:pStyle w:val="ListParagraph"/>
        <w:rPr>
          <w:rFonts w:asciiTheme="majorHAnsi" w:hAnsiTheme="majorHAnsi" w:cstheme="majorHAnsi"/>
          <w:sz w:val="22"/>
          <w:szCs w:val="22"/>
        </w:rPr>
      </w:pPr>
    </w:p>
    <w:p w14:paraId="5EE2F180" w14:textId="56942EED" w:rsidR="00B368A1" w:rsidRPr="00B368A1" w:rsidRDefault="4E321379" w:rsidP="008D7AAA">
      <w:pPr>
        <w:pStyle w:val="ListParagraph"/>
        <w:widowControl w:val="0"/>
        <w:numPr>
          <w:ilvl w:val="0"/>
          <w:numId w:val="29"/>
        </w:numPr>
        <w:autoSpaceDE w:val="0"/>
        <w:autoSpaceDN w:val="0"/>
        <w:adjustRightInd w:val="0"/>
        <w:jc w:val="both"/>
        <w:rPr>
          <w:rFonts w:asciiTheme="majorHAnsi" w:hAnsiTheme="majorHAnsi" w:cstheme="majorHAnsi"/>
          <w:color w:val="1E1052" w:themeColor="accent1" w:themeShade="BF"/>
          <w:sz w:val="22"/>
          <w:szCs w:val="22"/>
        </w:rPr>
      </w:pPr>
      <w:r w:rsidRPr="3DE6AD5C">
        <w:rPr>
          <w:rFonts w:asciiTheme="majorHAnsi" w:hAnsiTheme="majorHAnsi" w:cstheme="majorBidi"/>
          <w:sz w:val="22"/>
          <w:szCs w:val="22"/>
        </w:rPr>
        <w:t xml:space="preserve">Withdraw all reservations to the </w:t>
      </w:r>
      <w:r w:rsidR="2B9BB605" w:rsidRPr="3DE6AD5C">
        <w:rPr>
          <w:rFonts w:asciiTheme="majorHAnsi" w:hAnsiTheme="majorHAnsi" w:cstheme="majorBidi"/>
          <w:sz w:val="22"/>
          <w:szCs w:val="22"/>
        </w:rPr>
        <w:t xml:space="preserve">CEDAW, </w:t>
      </w:r>
      <w:r w:rsidRPr="3DE6AD5C">
        <w:rPr>
          <w:rFonts w:asciiTheme="majorHAnsi" w:hAnsiTheme="majorHAnsi" w:cstheme="majorBidi"/>
          <w:sz w:val="22"/>
          <w:szCs w:val="22"/>
        </w:rPr>
        <w:t>CRC</w:t>
      </w:r>
      <w:r w:rsidR="2B9BB605" w:rsidRPr="3DE6AD5C">
        <w:rPr>
          <w:rFonts w:asciiTheme="majorHAnsi" w:hAnsiTheme="majorHAnsi" w:cstheme="majorBidi"/>
          <w:sz w:val="22"/>
          <w:szCs w:val="22"/>
        </w:rPr>
        <w:t xml:space="preserve"> </w:t>
      </w:r>
      <w:r w:rsidRPr="3DE6AD5C">
        <w:rPr>
          <w:rFonts w:asciiTheme="majorHAnsi" w:hAnsiTheme="majorHAnsi" w:cstheme="majorBidi"/>
          <w:sz w:val="22"/>
          <w:szCs w:val="22"/>
        </w:rPr>
        <w:t xml:space="preserve">and CRPD, particularly concerning the right to a nationality, and accede to all relevant human rights, </w:t>
      </w:r>
      <w:proofErr w:type="gramStart"/>
      <w:r w:rsidRPr="3DE6AD5C">
        <w:rPr>
          <w:rFonts w:asciiTheme="majorHAnsi" w:hAnsiTheme="majorHAnsi" w:cstheme="majorBidi"/>
          <w:sz w:val="22"/>
          <w:szCs w:val="22"/>
        </w:rPr>
        <w:t>refugee</w:t>
      </w:r>
      <w:proofErr w:type="gramEnd"/>
      <w:r w:rsidRPr="3DE6AD5C">
        <w:rPr>
          <w:rFonts w:asciiTheme="majorHAnsi" w:hAnsiTheme="majorHAnsi" w:cstheme="majorBidi"/>
          <w:sz w:val="22"/>
          <w:szCs w:val="22"/>
        </w:rPr>
        <w:t xml:space="preserve"> and statelessness instruments, including the 1954 Convention Relating to the Status of Stateless Persons and the 1961 Convention on the Reduction of Statelessness. </w:t>
      </w:r>
    </w:p>
    <w:p w14:paraId="74E94DEC" w14:textId="766C2C03" w:rsidR="1E1B07FB" w:rsidRPr="0082189E" w:rsidRDefault="1E1B07FB" w:rsidP="000F5903">
      <w:pPr>
        <w:rPr>
          <w:rStyle w:val="cf01"/>
          <w:rFonts w:asciiTheme="minorHAnsi" w:hAnsiTheme="minorHAnsi" w:cstheme="minorBidi"/>
          <w:sz w:val="24"/>
          <w:szCs w:val="24"/>
        </w:rPr>
      </w:pPr>
    </w:p>
    <w:sectPr w:rsidR="1E1B07FB" w:rsidRPr="0082189E" w:rsidSect="000D3BE8">
      <w:headerReference w:type="default" r:id="rId21"/>
      <w:footerReference w:type="even" r:id="rId22"/>
      <w:footerReference w:type="default" r:id="rId23"/>
      <w:headerReference w:type="first" r:id="rId24"/>
      <w:footerReference w:type="first" r:id="rId25"/>
      <w:pgSz w:w="11906" w:h="16838" w:code="9"/>
      <w:pgMar w:top="1440" w:right="1800" w:bottom="1440" w:left="1800"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F7BAF" w14:textId="77777777" w:rsidR="000D3BE8" w:rsidRDefault="000D3BE8" w:rsidP="00BD1075">
      <w:r>
        <w:separator/>
      </w:r>
    </w:p>
  </w:endnote>
  <w:endnote w:type="continuationSeparator" w:id="0">
    <w:p w14:paraId="262CA775" w14:textId="77777777" w:rsidR="000D3BE8" w:rsidRDefault="000D3BE8" w:rsidP="00BD1075">
      <w:r>
        <w:continuationSeparator/>
      </w:r>
    </w:p>
  </w:endnote>
  <w:endnote w:type="continuationNotice" w:id="1">
    <w:p w14:paraId="7D9FE1F4" w14:textId="77777777" w:rsidR="000D3BE8" w:rsidRDefault="000D3B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Times">
    <w:altName w:val="﷽﷽﷽﷽﷽﷽Àኒ怀"/>
    <w:panose1 w:val="02020603050405020304"/>
    <w:charset w:val="00"/>
    <w:family w:val="auto"/>
    <w:pitch w:val="variable"/>
    <w:sig w:usb0="E00002FF" w:usb1="5000205A"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Akzidenz-Grotesk BQ">
    <w:altName w:val="Calibri"/>
    <w:panose1 w:val="00000000000000000000"/>
    <w:charset w:val="00"/>
    <w:family w:val="swiss"/>
    <w:notTrueType/>
    <w:pitch w:val="default"/>
    <w:sig w:usb0="00000003" w:usb1="00000000"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Light">
    <w:altName w:val="Calibri"/>
    <w:charset w:val="00"/>
    <w:family w:val="swiss"/>
    <w:pitch w:val="variable"/>
    <w:sig w:usb0="800000AF" w:usb1="4000204A" w:usb2="00000000" w:usb3="00000000" w:csb0="00000001"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9699079"/>
      <w:docPartObj>
        <w:docPartGallery w:val="Page Numbers (Bottom of Page)"/>
        <w:docPartUnique/>
      </w:docPartObj>
    </w:sdtPr>
    <w:sdtEndPr>
      <w:rPr>
        <w:rStyle w:val="PageNumber"/>
      </w:rPr>
    </w:sdtEndPr>
    <w:sdtContent>
      <w:p w14:paraId="4B3682A1" w14:textId="77777777" w:rsidR="00FC2ED2" w:rsidRDefault="00FC2ED2" w:rsidP="00EE63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3E36BB" w14:textId="77777777" w:rsidR="00FC2ED2" w:rsidRDefault="00FC2ED2" w:rsidP="00EE63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6E354" w14:textId="77777777" w:rsidR="00FC2ED2" w:rsidRPr="00AE1962" w:rsidRDefault="00FC2ED2" w:rsidP="00EE6305">
    <w:pPr>
      <w:pStyle w:val="Footer"/>
      <w:framePr w:w="396" w:h="419" w:hRule="exact" w:wrap="notBeside" w:vAnchor="text" w:hAnchor="page" w:x="10731" w:y="55"/>
      <w:rPr>
        <w:rStyle w:val="PageNumber"/>
        <w:rFonts w:ascii="Helvetica" w:hAnsi="Helvetica"/>
        <w:b/>
        <w:bCs/>
        <w:color w:val="2C166F"/>
      </w:rPr>
    </w:pPr>
  </w:p>
  <w:p w14:paraId="040BE7BC" w14:textId="77777777" w:rsidR="00FC2ED2" w:rsidRDefault="00FC2ED2" w:rsidP="00EE630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230F20E" w14:paraId="29D0FDD4" w14:textId="77777777" w:rsidTr="4230F20E">
      <w:trPr>
        <w:trHeight w:val="300"/>
      </w:trPr>
      <w:tc>
        <w:tcPr>
          <w:tcW w:w="3005" w:type="dxa"/>
        </w:tcPr>
        <w:p w14:paraId="4DFE86EB" w14:textId="3C5FE0B1" w:rsidR="4230F20E" w:rsidRDefault="4230F20E" w:rsidP="4230F20E">
          <w:pPr>
            <w:pStyle w:val="Header"/>
            <w:ind w:left="-115"/>
          </w:pPr>
        </w:p>
      </w:tc>
      <w:tc>
        <w:tcPr>
          <w:tcW w:w="3005" w:type="dxa"/>
        </w:tcPr>
        <w:p w14:paraId="5A9E63C1" w14:textId="03E067BF" w:rsidR="4230F20E" w:rsidRDefault="4230F20E" w:rsidP="4230F20E">
          <w:pPr>
            <w:pStyle w:val="Header"/>
            <w:jc w:val="center"/>
          </w:pPr>
        </w:p>
      </w:tc>
      <w:tc>
        <w:tcPr>
          <w:tcW w:w="3005" w:type="dxa"/>
        </w:tcPr>
        <w:p w14:paraId="5FB95761" w14:textId="035A5D62" w:rsidR="4230F20E" w:rsidRDefault="4230F20E" w:rsidP="4230F20E">
          <w:pPr>
            <w:pStyle w:val="Header"/>
            <w:ind w:right="-115"/>
            <w:jc w:val="right"/>
          </w:pPr>
        </w:p>
      </w:tc>
    </w:tr>
  </w:tbl>
  <w:p w14:paraId="44BA9C1A" w14:textId="622D52DB" w:rsidR="4230F20E" w:rsidRDefault="4230F20E" w:rsidP="4230F20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187F4" w14:textId="77777777" w:rsidR="006B7F45" w:rsidRDefault="006B7F45" w:rsidP="00BD10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C95AA8" w14:textId="77777777" w:rsidR="006B7F45" w:rsidRDefault="006B7F45" w:rsidP="00BD1075">
    <w:pPr>
      <w:pStyle w:val="Footer"/>
      <w:ind w:right="360"/>
    </w:pPr>
  </w:p>
  <w:p w14:paraId="5DCA7CB6" w14:textId="77777777" w:rsidR="0040120F" w:rsidRDefault="0040120F"/>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2902027"/>
      <w:docPartObj>
        <w:docPartGallery w:val="Page Numbers (Bottom of Page)"/>
        <w:docPartUnique/>
      </w:docPartObj>
    </w:sdtPr>
    <w:sdtEndPr>
      <w:rPr>
        <w:noProof/>
      </w:rPr>
    </w:sdtEndPr>
    <w:sdtContent>
      <w:p w14:paraId="4C930965" w14:textId="736F3CDE" w:rsidR="0056729D" w:rsidRDefault="0056729D">
        <w:pPr>
          <w:pStyle w:val="Footer"/>
          <w:jc w:val="center"/>
        </w:pPr>
        <w:r w:rsidRPr="0056729D">
          <w:rPr>
            <w:rFonts w:asciiTheme="majorHAnsi" w:hAnsiTheme="majorHAnsi" w:cstheme="majorHAnsi"/>
            <w:sz w:val="22"/>
            <w:szCs w:val="22"/>
          </w:rPr>
          <w:fldChar w:fldCharType="begin"/>
        </w:r>
        <w:r w:rsidRPr="0056729D">
          <w:rPr>
            <w:rFonts w:asciiTheme="majorHAnsi" w:hAnsiTheme="majorHAnsi" w:cstheme="majorHAnsi"/>
            <w:sz w:val="22"/>
            <w:szCs w:val="22"/>
          </w:rPr>
          <w:instrText xml:space="preserve"> PAGE   \* MERGEFORMAT </w:instrText>
        </w:r>
        <w:r w:rsidRPr="0056729D">
          <w:rPr>
            <w:rFonts w:asciiTheme="majorHAnsi" w:hAnsiTheme="majorHAnsi" w:cstheme="majorHAnsi"/>
            <w:sz w:val="22"/>
            <w:szCs w:val="22"/>
          </w:rPr>
          <w:fldChar w:fldCharType="separate"/>
        </w:r>
        <w:r w:rsidRPr="0056729D">
          <w:rPr>
            <w:rFonts w:asciiTheme="majorHAnsi" w:hAnsiTheme="majorHAnsi" w:cstheme="majorHAnsi"/>
            <w:noProof/>
            <w:sz w:val="22"/>
            <w:szCs w:val="22"/>
          </w:rPr>
          <w:t>2</w:t>
        </w:r>
        <w:r w:rsidRPr="0056729D">
          <w:rPr>
            <w:rFonts w:asciiTheme="majorHAnsi" w:hAnsiTheme="majorHAnsi" w:cstheme="majorHAnsi"/>
            <w:noProof/>
            <w:sz w:val="22"/>
            <w:szCs w:val="22"/>
          </w:rPr>
          <w:fldChar w:fldCharType="end"/>
        </w:r>
      </w:p>
    </w:sdtContent>
  </w:sdt>
  <w:p w14:paraId="651F0823" w14:textId="77777777" w:rsidR="0040120F" w:rsidRDefault="0040120F"/>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7788183"/>
      <w:docPartObj>
        <w:docPartGallery w:val="Page Numbers (Bottom of Page)"/>
        <w:docPartUnique/>
      </w:docPartObj>
    </w:sdtPr>
    <w:sdtEndPr>
      <w:rPr>
        <w:noProof/>
      </w:rPr>
    </w:sdtEndPr>
    <w:sdtContent>
      <w:p w14:paraId="6DBA60CD" w14:textId="4CA0DE2C" w:rsidR="0056729D" w:rsidRDefault="005672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DD0701" w14:textId="30C1D66C" w:rsidR="4230F20E" w:rsidRDefault="4230F20E" w:rsidP="4230F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A649D" w14:textId="77777777" w:rsidR="000D3BE8" w:rsidRDefault="000D3BE8" w:rsidP="00BD1075">
      <w:r>
        <w:separator/>
      </w:r>
    </w:p>
  </w:footnote>
  <w:footnote w:type="continuationSeparator" w:id="0">
    <w:p w14:paraId="5F7B6151" w14:textId="77777777" w:rsidR="000D3BE8" w:rsidRDefault="000D3BE8" w:rsidP="00BD1075">
      <w:r>
        <w:continuationSeparator/>
      </w:r>
    </w:p>
  </w:footnote>
  <w:footnote w:type="continuationNotice" w:id="1">
    <w:p w14:paraId="16071672" w14:textId="77777777" w:rsidR="000D3BE8" w:rsidRDefault="000D3BE8"/>
  </w:footnote>
  <w:footnote w:id="2">
    <w:p w14:paraId="5DBA1332" w14:textId="026BD72E" w:rsidR="008C0631" w:rsidRDefault="008C0631">
      <w:pPr>
        <w:pStyle w:val="FootnoteText"/>
      </w:pPr>
      <w:r>
        <w:rPr>
          <w:rStyle w:val="FootnoteReference"/>
        </w:rPr>
        <w:footnoteRef/>
      </w:r>
      <w:r>
        <w:t xml:space="preserve"> </w:t>
      </w:r>
      <w:hyperlink r:id="rId1" w:history="1">
        <w:r w:rsidRPr="008C0631">
          <w:rPr>
            <w:rStyle w:val="Hyperlink"/>
          </w:rPr>
          <w:t>The Association of Family Support &amp; Welfare Selangor &amp; KL (Family Frontiers)</w:t>
        </w:r>
      </w:hyperlink>
      <w:r>
        <w:t xml:space="preserve"> is a nonprofit organization established with the aim of advancing, promoting and strengthening the family unit so that no family is left behind. It acts as an umbrella body for the Foreign Spouses Support Group (FSSG) and the Malaysian Campaign for Equal Citizenship. </w:t>
      </w:r>
    </w:p>
  </w:footnote>
  <w:footnote w:id="3">
    <w:p w14:paraId="3DFCB0DA" w14:textId="6739F798" w:rsidR="008C0631" w:rsidRDefault="008C0631">
      <w:pPr>
        <w:pStyle w:val="FootnoteText"/>
      </w:pPr>
      <w:r>
        <w:rPr>
          <w:rStyle w:val="FootnoteReference"/>
        </w:rPr>
        <w:footnoteRef/>
      </w:r>
      <w:r>
        <w:t xml:space="preserve"> </w:t>
      </w:r>
      <w:hyperlink r:id="rId2" w:history="1">
        <w:r w:rsidR="003016F9" w:rsidRPr="003016F9">
          <w:rPr>
            <w:rStyle w:val="Hyperlink"/>
          </w:rPr>
          <w:t>Nationality For All (NFA)</w:t>
        </w:r>
      </w:hyperlink>
      <w:r w:rsidR="003016F9">
        <w:t xml:space="preserve"> was formed from the work undertaken by the Statelessness Network Asia Pacific (SNAP) to build a regional civil society movement on addressing statelessness in the region. With the vision of ensuring nationality for all, NFA works closely with stateless persons, persons affected by statelessness, grassroot organizations, activists, and national NGOs.</w:t>
      </w:r>
    </w:p>
  </w:footnote>
  <w:footnote w:id="4">
    <w:p w14:paraId="393A5282" w14:textId="5C12C920" w:rsidR="00FE1086" w:rsidRDefault="00FE1086">
      <w:pPr>
        <w:pStyle w:val="FootnoteText"/>
      </w:pPr>
      <w:r>
        <w:rPr>
          <w:rStyle w:val="FootnoteReference"/>
        </w:rPr>
        <w:footnoteRef/>
      </w:r>
      <w:r>
        <w:t xml:space="preserve"> </w:t>
      </w:r>
      <w:hyperlink r:id="rId3" w:history="1">
        <w:r w:rsidRPr="000E1D0E">
          <w:rPr>
            <w:rStyle w:val="Hyperlink"/>
          </w:rPr>
          <w:t xml:space="preserve">The Statelessness and Dignified Citizenship Coalition </w:t>
        </w:r>
        <w:r w:rsidR="00D842C8" w:rsidRPr="000E1D0E">
          <w:rPr>
            <w:rStyle w:val="Hyperlink"/>
          </w:rPr>
          <w:t>–</w:t>
        </w:r>
        <w:r w:rsidRPr="000E1D0E">
          <w:rPr>
            <w:rStyle w:val="Hyperlink"/>
          </w:rPr>
          <w:t xml:space="preserve"> A</w:t>
        </w:r>
        <w:r w:rsidR="00D842C8" w:rsidRPr="000E1D0E">
          <w:rPr>
            <w:rStyle w:val="Hyperlink"/>
          </w:rPr>
          <w:t>P</w:t>
        </w:r>
      </w:hyperlink>
      <w:r w:rsidR="00D842C8">
        <w:t xml:space="preserve"> is a regional coalition </w:t>
      </w:r>
      <w:r w:rsidR="009154F6">
        <w:t xml:space="preserve">focused on addressing statelessness in the Asia-Pacific region. </w:t>
      </w:r>
    </w:p>
  </w:footnote>
  <w:footnote w:id="5">
    <w:p w14:paraId="49FE15A4" w14:textId="71CFB228" w:rsidR="008C0631" w:rsidRDefault="008C0631">
      <w:pPr>
        <w:pStyle w:val="FootnoteText"/>
      </w:pPr>
      <w:r>
        <w:rPr>
          <w:rStyle w:val="FootnoteReference"/>
        </w:rPr>
        <w:footnoteRef/>
      </w:r>
      <w:r>
        <w:t xml:space="preserve"> </w:t>
      </w:r>
      <w:hyperlink r:id="rId4" w:history="1">
        <w:r w:rsidRPr="003016F9">
          <w:rPr>
            <w:rStyle w:val="Hyperlink"/>
          </w:rPr>
          <w:t>The Global Campaign for Equal Nationality Rights</w:t>
        </w:r>
      </w:hyperlink>
      <w:r>
        <w:t xml:space="preserve"> mobilizes international action to end gender discrimination in nationality laws through its coalition of national and international organizations.</w:t>
      </w:r>
    </w:p>
  </w:footnote>
  <w:footnote w:id="6">
    <w:p w14:paraId="5FD32FFC" w14:textId="3A310A8F" w:rsidR="008C0631" w:rsidRDefault="008C0631">
      <w:pPr>
        <w:pStyle w:val="FootnoteText"/>
      </w:pPr>
      <w:r>
        <w:rPr>
          <w:rStyle w:val="FootnoteReference"/>
        </w:rPr>
        <w:footnoteRef/>
      </w:r>
      <w:r>
        <w:t xml:space="preserve"> </w:t>
      </w:r>
      <w:hyperlink r:id="rId5" w:history="1">
        <w:r w:rsidR="003016F9" w:rsidRPr="003016F9">
          <w:rPr>
            <w:rStyle w:val="Hyperlink"/>
          </w:rPr>
          <w:t>Equality Now</w:t>
        </w:r>
      </w:hyperlink>
      <w:r w:rsidR="003016F9">
        <w:t xml:space="preserve"> is an international human rights organization with ECOSOC status and whose mission is to achieve legal and systemic change that addresses violence and discrimination against all women and girls around the world. Equality Now is the author of ‘</w:t>
      </w:r>
      <w:hyperlink r:id="rId6" w:history="1">
        <w:r w:rsidR="003016F9" w:rsidRPr="003016F9">
          <w:rPr>
            <w:rStyle w:val="Hyperlink"/>
          </w:rPr>
          <w:t>The State We’re In: Ending Sexism in Nationality Laws – 2022 Edition</w:t>
        </w:r>
      </w:hyperlink>
      <w:r w:rsidR="003016F9">
        <w:t xml:space="preserve"> – Update for a Disrupted World’.</w:t>
      </w:r>
    </w:p>
  </w:footnote>
  <w:footnote w:id="7">
    <w:p w14:paraId="2CBF4A6C" w14:textId="6E086F97" w:rsidR="008C0631" w:rsidRDefault="008C0631">
      <w:pPr>
        <w:pStyle w:val="FootnoteText"/>
      </w:pPr>
      <w:r>
        <w:rPr>
          <w:rStyle w:val="FootnoteReference"/>
        </w:rPr>
        <w:footnoteRef/>
      </w:r>
      <w:r>
        <w:t xml:space="preserve"> </w:t>
      </w:r>
      <w:hyperlink r:id="rId7" w:history="1">
        <w:r w:rsidR="003016F9" w:rsidRPr="003016F9">
          <w:rPr>
            <w:rStyle w:val="Hyperlink"/>
          </w:rPr>
          <w:t>The Institute on Statelessness and Inclusion (ISI)</w:t>
        </w:r>
      </w:hyperlink>
      <w:r w:rsidR="003016F9">
        <w:t xml:space="preserve"> is the first and only human rights NGO dedicated to working on statelessness at the global level. ISI’s mission is to promote inclusive societies by realizing and protecting everyone’s right to a nationality. The Institute has made more than 130 country specific submissions to UN human rights bodies on the right to a nationality and the rights of stateless persons. </w:t>
      </w:r>
    </w:p>
  </w:footnote>
  <w:footnote w:id="8">
    <w:p w14:paraId="1FA9422A" w14:textId="02181E68" w:rsidR="006403E7" w:rsidRDefault="006403E7">
      <w:pPr>
        <w:pStyle w:val="FootnoteText"/>
      </w:pPr>
      <w:r>
        <w:rPr>
          <w:rStyle w:val="FootnoteReference"/>
        </w:rPr>
        <w:footnoteRef/>
      </w:r>
      <w:r>
        <w:t xml:space="preserve"> </w:t>
      </w:r>
      <w:r w:rsidR="009F3BBA">
        <w:t xml:space="preserve">To know more about Malaysa’s international obligations, </w:t>
      </w:r>
      <w:r w:rsidR="00EE2B4D">
        <w:t xml:space="preserve">see: </w:t>
      </w:r>
      <w:hyperlink r:id="rId8" w:history="1">
        <w:r w:rsidR="00EE2B4D" w:rsidRPr="00A00C5D">
          <w:rPr>
            <w:rStyle w:val="Hyperlink"/>
          </w:rPr>
          <w:t>https://treaties.un.org/Pages/ParticipationStatus.aspx?clang=_en</w:t>
        </w:r>
      </w:hyperlink>
      <w:r w:rsidR="00EE2B4D">
        <w:t xml:space="preserve">. </w:t>
      </w:r>
    </w:p>
  </w:footnote>
  <w:footnote w:id="9">
    <w:p w14:paraId="76A6FFE3" w14:textId="17ED626B" w:rsidR="001538AE" w:rsidRDefault="001538AE">
      <w:pPr>
        <w:pStyle w:val="FootnoteText"/>
      </w:pPr>
      <w:r>
        <w:rPr>
          <w:rStyle w:val="FootnoteReference"/>
        </w:rPr>
        <w:footnoteRef/>
      </w:r>
      <w:r>
        <w:t xml:space="preserve"> Ibid. </w:t>
      </w:r>
    </w:p>
  </w:footnote>
  <w:footnote w:id="10">
    <w:p w14:paraId="3D2BEA7B" w14:textId="199A73A2" w:rsidR="00C71BD8" w:rsidRDefault="00C71BD8">
      <w:pPr>
        <w:pStyle w:val="FootnoteText"/>
      </w:pPr>
      <w:r>
        <w:rPr>
          <w:rStyle w:val="FootnoteReference"/>
        </w:rPr>
        <w:footnoteRef/>
      </w:r>
      <w:r>
        <w:t xml:space="preserve"> Federal Constitution of Malaysia, 31 August,1957, available at </w:t>
      </w:r>
      <w:hyperlink r:id="rId9" w:history="1">
        <w:r w:rsidRPr="00C55A24">
          <w:rPr>
            <w:rStyle w:val="Hyperlink"/>
          </w:rPr>
          <w:t>http://www.refworld.org/docid/3ae6b5e40.html</w:t>
        </w:r>
      </w:hyperlink>
      <w:r>
        <w:t>.</w:t>
      </w:r>
    </w:p>
  </w:footnote>
  <w:footnote w:id="11">
    <w:p w14:paraId="62F203A2" w14:textId="3B1317E4" w:rsidR="00C71BD8" w:rsidRDefault="00C71BD8">
      <w:pPr>
        <w:pStyle w:val="FootnoteText"/>
      </w:pPr>
      <w:r>
        <w:rPr>
          <w:rStyle w:val="FootnoteReference"/>
        </w:rPr>
        <w:footnoteRef/>
      </w:r>
      <w:r>
        <w:t xml:space="preserve"> Human Rights Council, Report of the Working Group on the Universal Periodic Review of Malaysia – Addendum, UN Doc. A/HRC/40/11/Add.1, para. 7-8. </w:t>
      </w:r>
    </w:p>
  </w:footnote>
  <w:footnote w:id="12">
    <w:p w14:paraId="31210C12" w14:textId="3A6A41CD" w:rsidR="006500BB" w:rsidRDefault="006500BB">
      <w:pPr>
        <w:pStyle w:val="FootnoteText"/>
      </w:pPr>
      <w:r>
        <w:rPr>
          <w:rStyle w:val="FootnoteReference"/>
        </w:rPr>
        <w:footnoteRef/>
      </w:r>
      <w:r>
        <w:t xml:space="preserve"> Article 55(c) of the Charter of the United Nations. According to Article 56 of the Charter, it is the obligation of all member states of the UN to take “joint and separate action in cooperation with the Organization for the achievement of the purposes set forth in Article 55</w:t>
      </w:r>
      <w:r w:rsidR="00430C91">
        <w:t>.</w:t>
      </w:r>
      <w:r>
        <w:t xml:space="preserve">” </w:t>
      </w:r>
    </w:p>
  </w:footnote>
  <w:footnote w:id="13">
    <w:p w14:paraId="6B7B5786" w14:textId="3646DEBE" w:rsidR="006500BB" w:rsidRDefault="006500BB">
      <w:pPr>
        <w:pStyle w:val="FootnoteText"/>
      </w:pPr>
      <w:r>
        <w:rPr>
          <w:rStyle w:val="FootnoteReference"/>
        </w:rPr>
        <w:footnoteRef/>
      </w:r>
      <w:r>
        <w:t xml:space="preserve"> International Law Commission, “Draft Articles on Diplomatic Protection with Commentaries”, 58th session, Yearbook of the International Law Commission, Vol. II, Part Two, 2006, p. 49.</w:t>
      </w:r>
    </w:p>
  </w:footnote>
  <w:footnote w:id="14">
    <w:p w14:paraId="1411DE9F" w14:textId="3C14BBC7" w:rsidR="00321F2F" w:rsidRDefault="00321F2F">
      <w:pPr>
        <w:pStyle w:val="FootnoteText"/>
      </w:pPr>
      <w:r>
        <w:rPr>
          <w:rStyle w:val="FootnoteReference"/>
        </w:rPr>
        <w:footnoteRef/>
      </w:r>
      <w:r>
        <w:t xml:space="preserve"> </w:t>
      </w:r>
      <w:r w:rsidR="002B2212">
        <w:t xml:space="preserve">ASEAN Human Rights Declaration, 2012. </w:t>
      </w:r>
    </w:p>
  </w:footnote>
  <w:footnote w:id="15">
    <w:p w14:paraId="345C3039" w14:textId="6F1FF7B9" w:rsidR="00AC6049" w:rsidRDefault="00AC6049">
      <w:pPr>
        <w:pStyle w:val="FootnoteText"/>
      </w:pPr>
      <w:r>
        <w:rPr>
          <w:rStyle w:val="FootnoteReference"/>
        </w:rPr>
        <w:footnoteRef/>
      </w:r>
      <w:r>
        <w:t xml:space="preserve"> Committee on the Elimination of Discrimination against Women, ‘Concluding observations on the combined third to fifth periodic reports of Malaysia’, CEDAW/C/MYS/CO/3-5, para. 34. </w:t>
      </w:r>
    </w:p>
  </w:footnote>
  <w:footnote w:id="16">
    <w:p w14:paraId="5AC145DC" w14:textId="1DB12CD1" w:rsidR="00430C91" w:rsidRDefault="00430C91">
      <w:pPr>
        <w:pStyle w:val="FootnoteText"/>
      </w:pPr>
      <w:r>
        <w:rPr>
          <w:rStyle w:val="FootnoteReference"/>
        </w:rPr>
        <w:footnoteRef/>
      </w:r>
      <w:r>
        <w:t xml:space="preserve"> Report of the Working Group on the Universal Periodic Review,</w:t>
      </w:r>
      <w:r w:rsidR="00095AA4">
        <w:t xml:space="preserve"> </w:t>
      </w:r>
      <w:r>
        <w:t xml:space="preserve">A/HRC/40/11, 7 January 2019, Available at: </w:t>
      </w:r>
      <w:hyperlink r:id="rId10" w:history="1">
        <w:r w:rsidRPr="00C55A24">
          <w:rPr>
            <w:rStyle w:val="Hyperlink"/>
          </w:rPr>
          <w:t>https://documents-dds-ny.un.org/doc/UNDOC/GEN/G19/001/96/PDF/G1900196.pdf?OpenElement</w:t>
        </w:r>
      </w:hyperlink>
      <w:r>
        <w:t xml:space="preserve">. </w:t>
      </w:r>
    </w:p>
  </w:footnote>
  <w:footnote w:id="17">
    <w:p w14:paraId="623B4A37" w14:textId="3FDA7293" w:rsidR="00430C91" w:rsidRDefault="00430C91">
      <w:pPr>
        <w:pStyle w:val="FootnoteText"/>
      </w:pPr>
      <w:r>
        <w:rPr>
          <w:rStyle w:val="FootnoteReference"/>
        </w:rPr>
        <w:footnoteRef/>
      </w:r>
      <w:r>
        <w:t xml:space="preserve"> Human Rights Council, Report of the Working Group on the Universal Periodic Review of Malaysia – Addendum, UN Doc. A/HRC/40/11/Add.1, para. 7-8.</w:t>
      </w:r>
    </w:p>
  </w:footnote>
  <w:footnote w:id="18">
    <w:p w14:paraId="05D561C1" w14:textId="534021B0" w:rsidR="004160C4" w:rsidRDefault="004160C4">
      <w:pPr>
        <w:pStyle w:val="FootnoteText"/>
      </w:pPr>
      <w:r>
        <w:rPr>
          <w:rStyle w:val="FootnoteReference"/>
        </w:rPr>
        <w:footnoteRef/>
      </w:r>
      <w:r>
        <w:t xml:space="preserve"> </w:t>
      </w:r>
      <w:r w:rsidR="003220E1">
        <w:t xml:space="preserve">Human Rights Council, ‘Report of the Working Group of the Universal Periodic Review: Malaysia’, </w:t>
      </w:r>
      <w:r w:rsidR="00AB18E5">
        <w:t>A/HRC/56/11, 14 March 2024</w:t>
      </w:r>
      <w:r w:rsidR="008919C4">
        <w:t xml:space="preserve">. </w:t>
      </w:r>
    </w:p>
  </w:footnote>
  <w:footnote w:id="19">
    <w:p w14:paraId="5131D65D" w14:textId="0EFFFE87" w:rsidR="00B70743" w:rsidRDefault="00B70743">
      <w:pPr>
        <w:pStyle w:val="FootnoteText"/>
      </w:pPr>
      <w:r>
        <w:rPr>
          <w:rStyle w:val="FootnoteReference"/>
        </w:rPr>
        <w:footnoteRef/>
      </w:r>
      <w:r>
        <w:t xml:space="preserve"> </w:t>
      </w:r>
      <w:r w:rsidR="00FD6FC9">
        <w:t xml:space="preserve">Equality Now, ‘Annex of Laws, </w:t>
      </w:r>
      <w:r w:rsidR="006862D4">
        <w:t xml:space="preserve">March 2022, available at: </w:t>
      </w:r>
      <w:hyperlink r:id="rId11" w:history="1">
        <w:r w:rsidR="006862D4">
          <w:rPr>
            <w:rStyle w:val="Hyperlink"/>
          </w:rPr>
          <w:t>https://equalitynow.storage.googleapis.com/wp-content/uploads/2022/07/06161241/ANNEX-OF-LAWS-Updated-Dec-6th-2023.pdf</w:t>
        </w:r>
      </w:hyperlink>
      <w:r w:rsidR="006862D4">
        <w:t xml:space="preserve">. </w:t>
      </w:r>
    </w:p>
  </w:footnote>
  <w:footnote w:id="20">
    <w:p w14:paraId="71EACA25" w14:textId="0615FBD9" w:rsidR="00331F4A" w:rsidRDefault="00331F4A">
      <w:pPr>
        <w:pStyle w:val="FootnoteText"/>
      </w:pPr>
      <w:r>
        <w:rPr>
          <w:rStyle w:val="FootnoteReference"/>
        </w:rPr>
        <w:footnoteRef/>
      </w:r>
      <w:r>
        <w:t xml:space="preserve"> </w:t>
      </w:r>
      <w:r w:rsidR="00356250">
        <w:t>New Straits Times, ‘Be more welcoming of foreign spouses’</w:t>
      </w:r>
      <w:r w:rsidR="00783679">
        <w:t xml:space="preserve">, 21 December 2023, available at: </w:t>
      </w:r>
      <w:hyperlink r:id="rId12" w:history="1">
        <w:r w:rsidR="00BE4D1B" w:rsidRPr="008304F9">
          <w:rPr>
            <w:rStyle w:val="Hyperlink"/>
          </w:rPr>
          <w:t>https://www.nst.com.my/opinion/letters/2023/12/993109/be-more-welcoming-foreign-spouses</w:t>
        </w:r>
      </w:hyperlink>
      <w:r w:rsidR="00BE4D1B">
        <w:t xml:space="preserve">. </w:t>
      </w:r>
    </w:p>
  </w:footnote>
  <w:footnote w:id="21">
    <w:p w14:paraId="2B72B7A3" w14:textId="16A5121C" w:rsidR="006655EE" w:rsidRPr="00E23A49" w:rsidRDefault="006655EE">
      <w:pPr>
        <w:pStyle w:val="FootnoteText"/>
      </w:pPr>
      <w:r>
        <w:rPr>
          <w:rStyle w:val="FootnoteReference"/>
        </w:rPr>
        <w:footnoteRef/>
      </w:r>
      <w:r w:rsidRPr="00E23A49">
        <w:t xml:space="preserve"> </w:t>
      </w:r>
      <w:r w:rsidR="00E23A49" w:rsidRPr="00E23A49">
        <w:t xml:space="preserve">Malay Mail, </w:t>
      </w:r>
      <w:r w:rsidR="00E23A49">
        <w:t>‘Allowing non-citizen</w:t>
      </w:r>
      <w:r w:rsidR="00894D1C">
        <w:t xml:space="preserve"> spouses the right to work can strengthen Malaysia’s economy while protecting families of Malaysians – Family Frontiers’, 30 April 2022, available at:</w:t>
      </w:r>
      <w:r w:rsidR="00A70A12">
        <w:t xml:space="preserve"> </w:t>
      </w:r>
      <w:hyperlink r:id="rId13" w:history="1">
        <w:r w:rsidR="00BE1D4C" w:rsidRPr="008304F9">
          <w:rPr>
            <w:rStyle w:val="Hyperlink"/>
          </w:rPr>
          <w:t>https://www.malaymail.com/news/what-you-think/2022/04/30/allowing-non-citizen-spouses-the-right-to-work-can-strengthen-malaysias-eco/2056452</w:t>
        </w:r>
      </w:hyperlink>
      <w:r w:rsidR="00BE1D4C">
        <w:t xml:space="preserve">. </w:t>
      </w:r>
    </w:p>
  </w:footnote>
  <w:footnote w:id="22">
    <w:p w14:paraId="7B8BBC28" w14:textId="0B959315" w:rsidR="00571A6B" w:rsidRDefault="00571A6B">
      <w:pPr>
        <w:pStyle w:val="FootnoteText"/>
      </w:pPr>
      <w:r>
        <w:rPr>
          <w:rStyle w:val="FootnoteReference"/>
        </w:rPr>
        <w:footnoteRef/>
      </w:r>
      <w:r>
        <w:t xml:space="preserve"> </w:t>
      </w:r>
      <w:r w:rsidR="004D3DFF">
        <w:t xml:space="preserve">Ida Lim, ‘Explainer: How the High Court decided Malaysian mothers’ overseas-born children can be citizens too’, Malaymail, 20 October 2021, available at: </w:t>
      </w:r>
      <w:hyperlink r:id="rId14" w:history="1">
        <w:r w:rsidR="00061887" w:rsidRPr="008304F9">
          <w:rPr>
            <w:rStyle w:val="Hyperlink"/>
          </w:rPr>
          <w:t>https://www.malaymail.com/news/malaysia/2021/10/20/explainer-how-the-high-court-decided-malaysian-mothers-overseas-born-childr/2014564</w:t>
        </w:r>
      </w:hyperlink>
      <w:r w:rsidR="004D3DFF">
        <w:t xml:space="preserve">. </w:t>
      </w:r>
    </w:p>
  </w:footnote>
  <w:footnote w:id="23">
    <w:p w14:paraId="06F1EC88" w14:textId="126642ED" w:rsidR="00571A6B" w:rsidRDefault="00571A6B">
      <w:pPr>
        <w:pStyle w:val="FootnoteText"/>
      </w:pPr>
      <w:r>
        <w:rPr>
          <w:rStyle w:val="FootnoteReference"/>
        </w:rPr>
        <w:footnoteRef/>
      </w:r>
      <w:r>
        <w:t xml:space="preserve"> </w:t>
      </w:r>
      <w:r w:rsidR="00CC6772">
        <w:t xml:space="preserve">Family Frontiers (FF), ‘Update on the Saya Juga Anak Malaysia Campaign’, August 2022, available at: </w:t>
      </w:r>
      <w:hyperlink r:id="rId15" w:history="1">
        <w:r w:rsidR="00CC6772" w:rsidRPr="00C55A24">
          <w:rPr>
            <w:rStyle w:val="Hyperlink"/>
          </w:rPr>
          <w:t>https://files.institutesi.org/Decision_in_Family_Frontiers_Case.pdf</w:t>
        </w:r>
      </w:hyperlink>
      <w:r w:rsidR="00CC6772">
        <w:t xml:space="preserve">. </w:t>
      </w:r>
    </w:p>
  </w:footnote>
  <w:footnote w:id="24">
    <w:p w14:paraId="699BB6AB" w14:textId="4E94646A" w:rsidR="00571A6B" w:rsidRDefault="00571A6B">
      <w:pPr>
        <w:pStyle w:val="FootnoteText"/>
      </w:pPr>
      <w:r>
        <w:rPr>
          <w:rStyle w:val="FootnoteReference"/>
        </w:rPr>
        <w:footnoteRef/>
      </w:r>
      <w:r>
        <w:t xml:space="preserve"> </w:t>
      </w:r>
      <w:r w:rsidR="0011438F">
        <w:t xml:space="preserve">Ida Lim, ‘Federal Court allows Malaysian mothers to pursue appeal for automatic citizenship for their overseas-born children’, Malaymail, 14 December 2022, available at: </w:t>
      </w:r>
      <w:hyperlink r:id="rId16" w:history="1">
        <w:r w:rsidR="0011438F" w:rsidRPr="00C55A24">
          <w:rPr>
            <w:rStyle w:val="Hyperlink"/>
          </w:rPr>
          <w:t>https://www.malaymail.com/news/malaysia/2022/12/14/federal-court-allows-malaysian-mothers-to-pursue-appeal-for-automatic-citizenship-for-their-overseas-born-children/45151</w:t>
        </w:r>
      </w:hyperlink>
      <w:r w:rsidR="0011438F">
        <w:t xml:space="preserve">. </w:t>
      </w:r>
    </w:p>
  </w:footnote>
  <w:footnote w:id="25">
    <w:p w14:paraId="47528D95" w14:textId="5F655BAC" w:rsidR="00571A6B" w:rsidRPr="002B28A7" w:rsidRDefault="00571A6B" w:rsidP="00BD1008">
      <w:pPr>
        <w:pStyle w:val="FootnoteText"/>
        <w:rPr>
          <w:rFonts w:asciiTheme="majorHAnsi" w:hAnsiTheme="majorHAnsi" w:cstheme="majorHAnsi"/>
        </w:rPr>
      </w:pPr>
      <w:r w:rsidRPr="002B28A7">
        <w:rPr>
          <w:rStyle w:val="FootnoteReference"/>
          <w:rFonts w:asciiTheme="majorHAnsi" w:hAnsiTheme="majorHAnsi" w:cstheme="majorHAnsi"/>
        </w:rPr>
        <w:footnoteRef/>
      </w:r>
      <w:r w:rsidRPr="002B28A7">
        <w:rPr>
          <w:rFonts w:asciiTheme="majorHAnsi" w:hAnsiTheme="majorHAnsi" w:cstheme="majorHAnsi"/>
        </w:rPr>
        <w:t xml:space="preserve"> </w:t>
      </w:r>
      <w:r w:rsidR="00AC3B55" w:rsidRPr="002B28A7">
        <w:rPr>
          <w:rFonts w:asciiTheme="majorHAnsi" w:hAnsiTheme="majorHAnsi" w:cstheme="majorHAnsi"/>
        </w:rPr>
        <w:t xml:space="preserve">“Malaysia: UN experts denounce gender-discriminatory citizenship law”, 5 September 2022, available at: </w:t>
      </w:r>
      <w:hyperlink r:id="rId17" w:history="1">
        <w:r w:rsidR="00AC3B55" w:rsidRPr="002B28A7">
          <w:rPr>
            <w:rStyle w:val="Hyperlink"/>
            <w:rFonts w:asciiTheme="majorHAnsi" w:hAnsiTheme="majorHAnsi" w:cstheme="majorHAnsi"/>
          </w:rPr>
          <w:t>https://www.ohchr.org/en/press-releases/2022/09/malaysia-un-experts-denounce-gender-discriminatorycitizenship-law</w:t>
        </w:r>
      </w:hyperlink>
      <w:r w:rsidR="00AC3B55" w:rsidRPr="002B28A7">
        <w:rPr>
          <w:rFonts w:asciiTheme="majorHAnsi" w:hAnsiTheme="majorHAnsi" w:cstheme="majorHAnsi"/>
        </w:rPr>
        <w:t>; The experts: Melissa Upreti (Chair), Dorothy Estrada Tanck (Vice-Chair), Elizabeth Broderick, Ivana Radačić, and Meskerem Geset Techane, Working Group on discrimination against women and girls; Siobhán Mullally, Special Rapporteur on trafficking in persons, especially women and children; Tomoya Obokata, Special Rapporteur on contemporary forms of slavery, including its causes and consequences, Felipe González Morales, Special Rapporteur on the human rights of migrants.</w:t>
      </w:r>
    </w:p>
  </w:footnote>
  <w:footnote w:id="26">
    <w:p w14:paraId="63F50E97" w14:textId="6A12A8AF" w:rsidR="00571A6B" w:rsidRPr="002B28A7" w:rsidRDefault="00571A6B" w:rsidP="00BD1008">
      <w:pPr>
        <w:pStyle w:val="FootnoteText"/>
        <w:rPr>
          <w:rFonts w:asciiTheme="majorHAnsi" w:hAnsiTheme="majorHAnsi" w:cstheme="majorHAnsi"/>
        </w:rPr>
      </w:pPr>
      <w:r w:rsidRPr="002B28A7">
        <w:rPr>
          <w:rStyle w:val="FootnoteReference"/>
          <w:rFonts w:asciiTheme="majorHAnsi" w:hAnsiTheme="majorHAnsi" w:cstheme="majorHAnsi"/>
        </w:rPr>
        <w:footnoteRef/>
      </w:r>
      <w:r w:rsidRPr="002B28A7">
        <w:rPr>
          <w:rFonts w:asciiTheme="majorHAnsi" w:hAnsiTheme="majorHAnsi" w:cstheme="majorHAnsi"/>
        </w:rPr>
        <w:t xml:space="preserve"> </w:t>
      </w:r>
      <w:r w:rsidR="00BD1008" w:rsidRPr="002B28A7">
        <w:rPr>
          <w:rFonts w:asciiTheme="majorHAnsi" w:hAnsiTheme="majorHAnsi" w:cstheme="majorHAnsi"/>
        </w:rPr>
        <w:t xml:space="preserve">Sixth periodic report submitted by Malaysia, CEDAW/C/MYS/6, 16 May 2022, available at: </w:t>
      </w:r>
      <w:hyperlink r:id="rId18" w:history="1">
        <w:r w:rsidR="00BD1008" w:rsidRPr="002B28A7">
          <w:rPr>
            <w:rStyle w:val="Hyperlink"/>
            <w:rFonts w:asciiTheme="majorHAnsi" w:hAnsiTheme="majorHAnsi" w:cstheme="majorHAnsi"/>
          </w:rPr>
          <w:t>https://tbinternet.ohchr.org/_layouts/15/treatybodyexternal/Download.aspx?symbolno=CEDAW%2FC%2FMYS%2F6%20&amp;Lang=en</w:t>
        </w:r>
      </w:hyperlink>
      <w:r w:rsidR="00BD1008" w:rsidRPr="002B28A7">
        <w:rPr>
          <w:rFonts w:asciiTheme="majorHAnsi" w:hAnsiTheme="majorHAnsi" w:cstheme="majorHAnsi"/>
        </w:rPr>
        <w:t xml:space="preserve">. </w:t>
      </w:r>
    </w:p>
  </w:footnote>
  <w:footnote w:id="27">
    <w:p w14:paraId="479E7ED0" w14:textId="67BB54A1" w:rsidR="007C29DB" w:rsidRPr="00136F58" w:rsidRDefault="007C29DB">
      <w:pPr>
        <w:pStyle w:val="FootnoteText"/>
      </w:pPr>
      <w:r>
        <w:rPr>
          <w:rStyle w:val="FootnoteReference"/>
        </w:rPr>
        <w:footnoteRef/>
      </w:r>
      <w:r w:rsidRPr="00136F58">
        <w:t xml:space="preserve"> </w:t>
      </w:r>
      <w:r w:rsidR="00136F58" w:rsidRPr="00136F58">
        <w:t>Qistina Nadia Dzulqarnain, ‘GE15: Pakatan includes citizens</w:t>
      </w:r>
      <w:r w:rsidR="00136F58">
        <w:t xml:space="preserve">hip rights, separation of AG, DPP’s powers in manifesto’, </w:t>
      </w:r>
      <w:r w:rsidR="003A1617" w:rsidRPr="009F24D8">
        <w:rPr>
          <w:i/>
          <w:iCs/>
        </w:rPr>
        <w:t>The Vibes.com</w:t>
      </w:r>
      <w:r w:rsidR="003A1617">
        <w:t xml:space="preserve">, 2 November 2022, available at: </w:t>
      </w:r>
      <w:hyperlink r:id="rId19" w:history="1">
        <w:r w:rsidR="009F24D8" w:rsidRPr="008304F9">
          <w:rPr>
            <w:rStyle w:val="Hyperlink"/>
          </w:rPr>
          <w:t>https://www.thevibes.com/articles/news/75978/ge15-pakatan-includes-citizenship-rights-separation-of-ag-dpps-power-in-manifesto</w:t>
        </w:r>
      </w:hyperlink>
      <w:r w:rsidR="009F24D8">
        <w:t xml:space="preserve">. </w:t>
      </w:r>
    </w:p>
  </w:footnote>
  <w:footnote w:id="28">
    <w:p w14:paraId="25148E2B" w14:textId="2562B990" w:rsidR="00B922E2" w:rsidRDefault="00B922E2">
      <w:pPr>
        <w:pStyle w:val="FootnoteText"/>
      </w:pPr>
      <w:r>
        <w:rPr>
          <w:rStyle w:val="FootnoteReference"/>
        </w:rPr>
        <w:footnoteRef/>
      </w:r>
      <w:r>
        <w:t xml:space="preserve"> </w:t>
      </w:r>
      <w:r w:rsidR="00800094">
        <w:t>Ragananthini Vethasalam &amp; others, ‘Home Ministry tables constitutional amen</w:t>
      </w:r>
      <w:r w:rsidR="009D056B">
        <w:t>dment to citizenship laws</w:t>
      </w:r>
      <w:r w:rsidR="00ED29C5">
        <w:t xml:space="preserve">’, </w:t>
      </w:r>
      <w:r w:rsidR="00ED29C5" w:rsidRPr="00E478C4">
        <w:rPr>
          <w:i/>
          <w:iCs/>
        </w:rPr>
        <w:t>The Star</w:t>
      </w:r>
      <w:r w:rsidR="00ED29C5">
        <w:t xml:space="preserve">, 25 March 2025, available at: </w:t>
      </w:r>
      <w:hyperlink r:id="rId20" w:anchor=":~:text=The%20bill%20seeks%20to%20amend,their%20citizenship%20for%20their%20children" w:history="1">
        <w:r w:rsidR="002727A1" w:rsidRPr="008304F9">
          <w:rPr>
            <w:rStyle w:val="Hyperlink"/>
          </w:rPr>
          <w:t>https://www.thestar.com.my/news/nation/2024/03/25/home-ministry-tables-constitutional-amendment-to-citizenship-laws#:~:text=The%20bill%20seeks%20to%20amend,their%20citizenship%20for%20their%20children</w:t>
        </w:r>
      </w:hyperlink>
      <w:r w:rsidR="002727A1" w:rsidRPr="002727A1">
        <w:t>.</w:t>
      </w:r>
      <w:r w:rsidR="002727A1">
        <w:t xml:space="preserve"> </w:t>
      </w:r>
    </w:p>
  </w:footnote>
  <w:footnote w:id="29">
    <w:p w14:paraId="0C49A5CF" w14:textId="0EF208B2" w:rsidR="007B67B7" w:rsidRDefault="007B67B7">
      <w:pPr>
        <w:pStyle w:val="FootnoteText"/>
      </w:pPr>
      <w:r>
        <w:rPr>
          <w:rStyle w:val="FootnoteReference"/>
        </w:rPr>
        <w:footnoteRef/>
      </w:r>
      <w:r>
        <w:t xml:space="preserve"> Soo Wern Jun, ‘</w:t>
      </w:r>
      <w:r w:rsidR="00965596">
        <w:t xml:space="preserve">Home minister: Special committee set up to look into citizenship matters’, </w:t>
      </w:r>
      <w:r w:rsidR="00CF1856" w:rsidRPr="00E478C4">
        <w:rPr>
          <w:i/>
          <w:iCs/>
        </w:rPr>
        <w:t>Malay</w:t>
      </w:r>
      <w:r w:rsidR="00E478C4" w:rsidRPr="00E478C4">
        <w:rPr>
          <w:i/>
          <w:iCs/>
        </w:rPr>
        <w:t>m</w:t>
      </w:r>
      <w:r w:rsidR="00CF1856" w:rsidRPr="00E478C4">
        <w:rPr>
          <w:i/>
          <w:iCs/>
        </w:rPr>
        <w:t>ail</w:t>
      </w:r>
      <w:r w:rsidR="00CF1856">
        <w:t xml:space="preserve">, 9 January 2023, available at: </w:t>
      </w:r>
      <w:hyperlink r:id="rId21" w:history="1">
        <w:r w:rsidR="00CF1856" w:rsidRPr="008304F9">
          <w:rPr>
            <w:rStyle w:val="Hyperlink"/>
          </w:rPr>
          <w:t>https://www.malaymail.com/news/malaysia/2023/01/09/home-minister-special-committee-set-up-to-look-into-all-citizenship-matters/49203</w:t>
        </w:r>
      </w:hyperlink>
      <w:r w:rsidR="00CF1856">
        <w:t xml:space="preserve">. </w:t>
      </w:r>
    </w:p>
  </w:footnote>
  <w:footnote w:id="30">
    <w:p w14:paraId="3823E185" w14:textId="1CC44CD1" w:rsidR="004F2A9E" w:rsidRDefault="004F2A9E">
      <w:pPr>
        <w:pStyle w:val="FootnoteText"/>
      </w:pPr>
      <w:r>
        <w:rPr>
          <w:rStyle w:val="FootnoteReference"/>
        </w:rPr>
        <w:footnoteRef/>
      </w:r>
      <w:r>
        <w:t xml:space="preserve"> The Star, ‘Proposals accepted for constitutional amendments over citizenship’, </w:t>
      </w:r>
      <w:r w:rsidR="001F43DC">
        <w:t xml:space="preserve">12 June 2023, available at: </w:t>
      </w:r>
      <w:hyperlink r:id="rId22" w:history="1">
        <w:r w:rsidR="004A5103" w:rsidRPr="008304F9">
          <w:rPr>
            <w:rStyle w:val="Hyperlink"/>
          </w:rPr>
          <w:t>https://www.thestar.com.my/news/nation/2023/06/12/proposals-accepted-for-constitutional-amendments-over-citizenship</w:t>
        </w:r>
      </w:hyperlink>
      <w:r w:rsidR="004A5103">
        <w:t xml:space="preserve">. </w:t>
      </w:r>
    </w:p>
  </w:footnote>
  <w:footnote w:id="31">
    <w:p w14:paraId="4D08F8F2" w14:textId="26474621" w:rsidR="00D16856" w:rsidRPr="00E478C4" w:rsidRDefault="00D16856">
      <w:pPr>
        <w:pStyle w:val="FootnoteText"/>
      </w:pPr>
      <w:r>
        <w:rPr>
          <w:rStyle w:val="FootnoteReference"/>
        </w:rPr>
        <w:footnoteRef/>
      </w:r>
      <w:r>
        <w:t xml:space="preserve"> Kenneth Tee, ‘Explainer: A breakdown of the proposed five citizenship law changes</w:t>
      </w:r>
      <w:r w:rsidR="00E478C4">
        <w:t xml:space="preserve"> deemed ‘regressive’’, </w:t>
      </w:r>
      <w:r w:rsidR="00E478C4" w:rsidRPr="00E478C4">
        <w:rPr>
          <w:i/>
          <w:iCs/>
        </w:rPr>
        <w:t>Malaymail</w:t>
      </w:r>
      <w:r w:rsidR="00E478C4">
        <w:rPr>
          <w:i/>
          <w:iCs/>
        </w:rPr>
        <w:t xml:space="preserve">, </w:t>
      </w:r>
      <w:r w:rsidR="00E478C4">
        <w:t xml:space="preserve">8 November 2023, available at: </w:t>
      </w:r>
      <w:hyperlink r:id="rId23" w:history="1">
        <w:r w:rsidR="00F575B9" w:rsidRPr="008304F9">
          <w:rPr>
            <w:rStyle w:val="Hyperlink"/>
          </w:rPr>
          <w:t>https://www.malaymail.com/news/malaysia/2023/11/08/explainer-a-breakdown-of-the-proposed-five-citizenship-law-changes-deemed-regressive/100811</w:t>
        </w:r>
      </w:hyperlink>
      <w:r w:rsidR="00F575B9">
        <w:t xml:space="preserve">. </w:t>
      </w:r>
    </w:p>
  </w:footnote>
  <w:footnote w:id="32">
    <w:p w14:paraId="7515B68C" w14:textId="64383680" w:rsidR="00A9186A" w:rsidRPr="002B28A7" w:rsidRDefault="00A9186A">
      <w:pPr>
        <w:pStyle w:val="FootnoteText"/>
        <w:rPr>
          <w:rFonts w:asciiTheme="majorHAnsi" w:hAnsiTheme="majorHAnsi" w:cstheme="majorHAnsi"/>
        </w:rPr>
      </w:pPr>
      <w:r w:rsidRPr="002B28A7">
        <w:rPr>
          <w:rStyle w:val="FootnoteReference"/>
          <w:rFonts w:asciiTheme="majorHAnsi" w:hAnsiTheme="majorHAnsi" w:cstheme="majorHAnsi"/>
        </w:rPr>
        <w:footnoteRef/>
      </w:r>
      <w:r w:rsidRPr="002B28A7">
        <w:rPr>
          <w:rFonts w:asciiTheme="majorHAnsi" w:hAnsiTheme="majorHAnsi" w:cstheme="majorHAnsi"/>
        </w:rPr>
        <w:t xml:space="preserve"> </w:t>
      </w:r>
      <w:r w:rsidR="00220E46" w:rsidRPr="002B28A7">
        <w:rPr>
          <w:rFonts w:asciiTheme="majorHAnsi" w:hAnsiTheme="majorHAnsi" w:cstheme="majorHAnsi"/>
        </w:rPr>
        <w:t>I</w:t>
      </w:r>
      <w:r w:rsidR="00E07C77" w:rsidRPr="002B28A7">
        <w:rPr>
          <w:rFonts w:asciiTheme="majorHAnsi" w:hAnsiTheme="majorHAnsi" w:cstheme="majorHAnsi"/>
        </w:rPr>
        <w:t>ylia Marsya Iskandar</w:t>
      </w:r>
      <w:r w:rsidR="008A16C3" w:rsidRPr="002B28A7">
        <w:rPr>
          <w:rFonts w:asciiTheme="majorHAnsi" w:hAnsiTheme="majorHAnsi" w:cstheme="majorHAnsi"/>
        </w:rPr>
        <w:t xml:space="preserve">, ‘Govt drops proposed amendments to citizenship law for foundlings’, </w:t>
      </w:r>
      <w:r w:rsidR="008A16C3" w:rsidRPr="002B28A7">
        <w:rPr>
          <w:rFonts w:asciiTheme="majorHAnsi" w:hAnsiTheme="majorHAnsi" w:cstheme="majorHAnsi"/>
          <w:i/>
          <w:iCs/>
        </w:rPr>
        <w:t>New Straits Times</w:t>
      </w:r>
      <w:r w:rsidR="008A16C3" w:rsidRPr="002B28A7">
        <w:rPr>
          <w:rFonts w:asciiTheme="majorHAnsi" w:hAnsiTheme="majorHAnsi" w:cstheme="majorHAnsi"/>
        </w:rPr>
        <w:t>, 22 March 2024, available at:</w:t>
      </w:r>
      <w:r w:rsidR="0007682E" w:rsidRPr="002B28A7">
        <w:rPr>
          <w:rFonts w:asciiTheme="majorHAnsi" w:hAnsiTheme="majorHAnsi" w:cstheme="majorHAnsi"/>
        </w:rPr>
        <w:t xml:space="preserve"> </w:t>
      </w:r>
      <w:hyperlink r:id="rId24" w:history="1">
        <w:r w:rsidR="0007682E" w:rsidRPr="002B28A7">
          <w:rPr>
            <w:rStyle w:val="Hyperlink"/>
            <w:rFonts w:asciiTheme="majorHAnsi" w:hAnsiTheme="majorHAnsi" w:cstheme="majorHAnsi"/>
          </w:rPr>
          <w:t>https://www.nst.com.my/news/nation/2024/03/1029103/govt-drops-proposed-amendments-citizenship-law-foundlings</w:t>
        </w:r>
      </w:hyperlink>
      <w:r w:rsidR="0007682E" w:rsidRPr="002B28A7">
        <w:rPr>
          <w:rFonts w:asciiTheme="majorHAnsi" w:hAnsiTheme="majorHAnsi" w:cstheme="majorHAnsi"/>
        </w:rPr>
        <w:t xml:space="preserve">. </w:t>
      </w:r>
    </w:p>
  </w:footnote>
  <w:footnote w:id="33">
    <w:p w14:paraId="1E4E53F8" w14:textId="0F765928" w:rsidR="00A625AD" w:rsidRPr="00987137" w:rsidRDefault="00A625AD">
      <w:pPr>
        <w:pStyle w:val="FootnoteText"/>
      </w:pPr>
      <w:r w:rsidRPr="002B28A7">
        <w:rPr>
          <w:rStyle w:val="FootnoteReference"/>
          <w:rFonts w:asciiTheme="majorHAnsi" w:hAnsiTheme="majorHAnsi" w:cstheme="majorHAnsi"/>
        </w:rPr>
        <w:footnoteRef/>
      </w:r>
      <w:r w:rsidRPr="002B28A7">
        <w:rPr>
          <w:rFonts w:asciiTheme="majorHAnsi" w:hAnsiTheme="majorHAnsi" w:cstheme="majorHAnsi"/>
        </w:rPr>
        <w:t xml:space="preserve"> </w:t>
      </w:r>
      <w:r w:rsidR="00DE4F2D" w:rsidRPr="002B28A7">
        <w:rPr>
          <w:rFonts w:asciiTheme="majorHAnsi" w:hAnsiTheme="majorHAnsi" w:cstheme="majorHAnsi"/>
        </w:rPr>
        <w:t>Rahmat Khairu</w:t>
      </w:r>
      <w:r w:rsidR="0073440E" w:rsidRPr="002B28A7">
        <w:rPr>
          <w:rFonts w:asciiTheme="majorHAnsi" w:hAnsiTheme="majorHAnsi" w:cstheme="majorHAnsi"/>
        </w:rPr>
        <w:t>lrijal, ‘</w:t>
      </w:r>
      <w:r w:rsidR="00987137" w:rsidRPr="002B28A7">
        <w:rPr>
          <w:rFonts w:asciiTheme="majorHAnsi" w:hAnsiTheme="majorHAnsi" w:cstheme="majorHAnsi"/>
        </w:rPr>
        <w:t>Malaysian Bar calls for govt to halt amend</w:t>
      </w:r>
      <w:r w:rsidR="00DA2235" w:rsidRPr="002B28A7">
        <w:rPr>
          <w:rFonts w:asciiTheme="majorHAnsi" w:hAnsiTheme="majorHAnsi" w:cstheme="majorHAnsi"/>
        </w:rPr>
        <w:t xml:space="preserve">ments </w:t>
      </w:r>
      <w:r w:rsidR="004855A2" w:rsidRPr="002B28A7">
        <w:rPr>
          <w:rFonts w:asciiTheme="majorHAnsi" w:hAnsiTheme="majorHAnsi" w:cstheme="majorHAnsi"/>
        </w:rPr>
        <w:t xml:space="preserve">regarding citizenship’, </w:t>
      </w:r>
      <w:r w:rsidR="004855A2" w:rsidRPr="002B28A7">
        <w:rPr>
          <w:rFonts w:asciiTheme="majorHAnsi" w:hAnsiTheme="majorHAnsi" w:cstheme="majorHAnsi"/>
          <w:i/>
          <w:iCs/>
        </w:rPr>
        <w:t>New Straits Times</w:t>
      </w:r>
      <w:r w:rsidR="004855A2" w:rsidRPr="002B28A7">
        <w:rPr>
          <w:rFonts w:asciiTheme="majorHAnsi" w:hAnsiTheme="majorHAnsi" w:cstheme="majorHAnsi"/>
        </w:rPr>
        <w:t xml:space="preserve">, 13 March 2024, available at: </w:t>
      </w:r>
      <w:hyperlink r:id="rId25" w:anchor="google_vignette" w:history="1">
        <w:r w:rsidR="002B28A7" w:rsidRPr="002B28A7">
          <w:rPr>
            <w:rStyle w:val="Hyperlink"/>
            <w:rFonts w:asciiTheme="majorHAnsi" w:hAnsiTheme="majorHAnsi" w:cstheme="majorHAnsi"/>
          </w:rPr>
          <w:t>https://www.nst.com.my/news/nation/2024/03/1025240/malaysian-bar-calls-govt-halt-amendments-regarding-citizenship#google_vignette</w:t>
        </w:r>
      </w:hyperlink>
      <w:r w:rsidR="002B28A7" w:rsidRPr="002B28A7">
        <w:rPr>
          <w:rFonts w:asciiTheme="majorHAnsi" w:hAnsiTheme="majorHAnsi" w:cstheme="majorHAnsi"/>
        </w:rPr>
        <w:t>.</w:t>
      </w:r>
      <w:r w:rsidR="002B28A7">
        <w:rPr>
          <w:rFonts w:asciiTheme="majorHAnsi" w:hAnsiTheme="majorHAnsi" w:cstheme="majorHAnsi"/>
        </w:rPr>
        <w:t xml:space="preserve"> </w:t>
      </w:r>
    </w:p>
  </w:footnote>
  <w:footnote w:id="34">
    <w:p w14:paraId="17662576" w14:textId="5562477A" w:rsidR="00AC62AB" w:rsidRPr="00423071" w:rsidRDefault="00AC62AB">
      <w:pPr>
        <w:pStyle w:val="FootnoteText"/>
      </w:pPr>
      <w:r w:rsidRPr="00423071">
        <w:rPr>
          <w:rStyle w:val="FootnoteReference"/>
        </w:rPr>
        <w:footnoteRef/>
      </w:r>
      <w:r w:rsidRPr="00423071">
        <w:t xml:space="preserve"> </w:t>
      </w:r>
      <w:r w:rsidR="00E4666D" w:rsidRPr="00423071">
        <w:t>Luq</w:t>
      </w:r>
      <w:r w:rsidR="00B57FB4" w:rsidRPr="00423071">
        <w:t>man Hakim, ‘Citizenship amendment for children of M</w:t>
      </w:r>
      <w:r w:rsidR="00D13619" w:rsidRPr="00423071">
        <w:t>alaysian mothers</w:t>
      </w:r>
      <w:r w:rsidR="000D6AE0" w:rsidRPr="00423071">
        <w:t xml:space="preserve"> not</w:t>
      </w:r>
      <w:r w:rsidR="00A21F8C" w:rsidRPr="00423071">
        <w:t xml:space="preserve"> retroa</w:t>
      </w:r>
      <w:r w:rsidR="00FB5EDC" w:rsidRPr="00423071">
        <w:t>ctive</w:t>
      </w:r>
      <w:r w:rsidR="003E215B" w:rsidRPr="00423071">
        <w:t xml:space="preserve">’, </w:t>
      </w:r>
      <w:r w:rsidR="00C7422C" w:rsidRPr="00423071">
        <w:t>New Straits Times</w:t>
      </w:r>
      <w:r w:rsidR="00D208CC" w:rsidRPr="00423071">
        <w:t xml:space="preserve">, </w:t>
      </w:r>
      <w:r w:rsidR="000B3CC2" w:rsidRPr="00423071">
        <w:t xml:space="preserve">25 March 2024, </w:t>
      </w:r>
      <w:r w:rsidR="00BD22BC" w:rsidRPr="00423071">
        <w:t>New Straits Times</w:t>
      </w:r>
      <w:r w:rsidR="009F7B78" w:rsidRPr="00423071">
        <w:t xml:space="preserve">, available at: </w:t>
      </w:r>
      <w:hyperlink r:id="rId26" w:history="1">
        <w:r w:rsidR="00E22F19" w:rsidRPr="00423071">
          <w:rPr>
            <w:rStyle w:val="Hyperlink"/>
          </w:rPr>
          <w:t>https://www.nst.com.my/news/nation/2024/03/1030420/citizenship-amendment-children-malaysian-mothers-not-retroactive</w:t>
        </w:r>
      </w:hyperlink>
      <w:r w:rsidR="00E22F19" w:rsidRPr="00423071">
        <w:t xml:space="preserve">. </w:t>
      </w:r>
    </w:p>
  </w:footnote>
  <w:footnote w:id="35">
    <w:p w14:paraId="57758E07" w14:textId="58DA9660" w:rsidR="0046585C" w:rsidRDefault="0046585C">
      <w:pPr>
        <w:pStyle w:val="FootnoteText"/>
      </w:pPr>
      <w:r>
        <w:rPr>
          <w:rStyle w:val="FootnoteReference"/>
        </w:rPr>
        <w:footnoteRef/>
      </w:r>
      <w:r>
        <w:t xml:space="preserve"> </w:t>
      </w:r>
      <w:r w:rsidR="009E0BA0">
        <w:t>Faiz Zainudin, ‘80% of nearly</w:t>
      </w:r>
      <w:r w:rsidR="00537EF6">
        <w:t xml:space="preserve"> 4,000 citizenship applications approved, says Saifuddin’, </w:t>
      </w:r>
      <w:r w:rsidR="003D6BF7" w:rsidRPr="0082189E">
        <w:rPr>
          <w:i/>
          <w:iCs/>
        </w:rPr>
        <w:t>FMT</w:t>
      </w:r>
      <w:r w:rsidR="003D6BF7">
        <w:t xml:space="preserve">, </w:t>
      </w:r>
      <w:r w:rsidR="0082189E">
        <w:t xml:space="preserve">19 March 2024, available at: </w:t>
      </w:r>
      <w:hyperlink r:id="rId27" w:history="1">
        <w:r w:rsidR="0082189E" w:rsidRPr="008304F9">
          <w:rPr>
            <w:rStyle w:val="Hyperlink"/>
          </w:rPr>
          <w:t>https://www.freemalaysiatoday.com/category/nation/2024/03/19/80-of-nearly-4000-citizenship-applications-approved-says-saifuddin/</w:t>
        </w:r>
      </w:hyperlink>
      <w:r w:rsidR="0082189E">
        <w:t xml:space="preserve">. </w:t>
      </w:r>
    </w:p>
  </w:footnote>
  <w:footnote w:id="36">
    <w:p w14:paraId="3704C177" w14:textId="6F0C4206" w:rsidR="00794DDA" w:rsidRPr="002548A0" w:rsidRDefault="00794DDA">
      <w:pPr>
        <w:pStyle w:val="FootnoteText"/>
      </w:pPr>
      <w:r w:rsidRPr="00423071">
        <w:rPr>
          <w:rStyle w:val="FootnoteReference"/>
        </w:rPr>
        <w:footnoteRef/>
      </w:r>
      <w:r w:rsidRPr="00423071">
        <w:t xml:space="preserve"> </w:t>
      </w:r>
      <w:r w:rsidR="00770035" w:rsidRPr="00423071">
        <w:t xml:space="preserve">Choy Nyen Yiau, </w:t>
      </w:r>
      <w:r w:rsidR="002548A0" w:rsidRPr="00423071">
        <w:t xml:space="preserve">‘Vote on citizenship law amendments postponed to June Parliament session’, The Edge Malaysia, </w:t>
      </w:r>
      <w:r w:rsidR="00FB06C0" w:rsidRPr="00423071">
        <w:t xml:space="preserve">27 March 2024, available at: </w:t>
      </w:r>
      <w:hyperlink r:id="rId28" w:history="1">
        <w:r w:rsidR="00423071" w:rsidRPr="00423071">
          <w:rPr>
            <w:rStyle w:val="Hyperlink"/>
          </w:rPr>
          <w:t>https://theedgemalaysia.com/node/706209</w:t>
        </w:r>
      </w:hyperlink>
      <w:r w:rsidR="00423071" w:rsidRPr="00423071">
        <w:t>.</w:t>
      </w:r>
      <w:r w:rsidR="0042307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230F20E" w14:paraId="2B480D2D" w14:textId="77777777" w:rsidTr="4230F20E">
      <w:trPr>
        <w:trHeight w:val="300"/>
      </w:trPr>
      <w:tc>
        <w:tcPr>
          <w:tcW w:w="3005" w:type="dxa"/>
        </w:tcPr>
        <w:p w14:paraId="68CB3CDA" w14:textId="6D4A4A5D" w:rsidR="4230F20E" w:rsidRDefault="4230F20E" w:rsidP="4230F20E">
          <w:pPr>
            <w:pStyle w:val="Header"/>
            <w:ind w:left="-115"/>
          </w:pPr>
        </w:p>
      </w:tc>
      <w:tc>
        <w:tcPr>
          <w:tcW w:w="3005" w:type="dxa"/>
        </w:tcPr>
        <w:p w14:paraId="7C4C34DF" w14:textId="7380BEE2" w:rsidR="4230F20E" w:rsidRDefault="4230F20E" w:rsidP="4230F20E">
          <w:pPr>
            <w:pStyle w:val="Header"/>
            <w:jc w:val="center"/>
          </w:pPr>
        </w:p>
      </w:tc>
      <w:tc>
        <w:tcPr>
          <w:tcW w:w="3005" w:type="dxa"/>
        </w:tcPr>
        <w:p w14:paraId="11054E32" w14:textId="75BF623D" w:rsidR="4230F20E" w:rsidRDefault="4230F20E" w:rsidP="4230F20E">
          <w:pPr>
            <w:pStyle w:val="Header"/>
            <w:ind w:right="-115"/>
            <w:jc w:val="right"/>
          </w:pPr>
        </w:p>
      </w:tc>
    </w:tr>
  </w:tbl>
  <w:p w14:paraId="3C681AD2" w14:textId="3CD0E843" w:rsidR="4230F20E" w:rsidRDefault="4230F20E" w:rsidP="4230F2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230F20E" w14:paraId="4B2408D2" w14:textId="77777777" w:rsidTr="4230F20E">
      <w:trPr>
        <w:trHeight w:val="300"/>
      </w:trPr>
      <w:tc>
        <w:tcPr>
          <w:tcW w:w="3005" w:type="dxa"/>
        </w:tcPr>
        <w:p w14:paraId="53642B0E" w14:textId="78E588C1" w:rsidR="4230F20E" w:rsidRDefault="4230F20E" w:rsidP="4230F20E">
          <w:pPr>
            <w:pStyle w:val="Header"/>
            <w:ind w:left="-115"/>
          </w:pPr>
        </w:p>
      </w:tc>
      <w:tc>
        <w:tcPr>
          <w:tcW w:w="3005" w:type="dxa"/>
        </w:tcPr>
        <w:p w14:paraId="69F993FC" w14:textId="343A7A66" w:rsidR="4230F20E" w:rsidRDefault="4230F20E" w:rsidP="4230F20E">
          <w:pPr>
            <w:pStyle w:val="Header"/>
            <w:jc w:val="center"/>
          </w:pPr>
        </w:p>
      </w:tc>
      <w:tc>
        <w:tcPr>
          <w:tcW w:w="3005" w:type="dxa"/>
        </w:tcPr>
        <w:p w14:paraId="5A7E4B3B" w14:textId="4A936F84" w:rsidR="4230F20E" w:rsidRDefault="4230F20E" w:rsidP="4230F20E">
          <w:pPr>
            <w:pStyle w:val="Header"/>
            <w:ind w:right="-115"/>
            <w:jc w:val="right"/>
          </w:pPr>
        </w:p>
      </w:tc>
    </w:tr>
  </w:tbl>
  <w:p w14:paraId="35168B84" w14:textId="51FD2CB5" w:rsidR="4230F20E" w:rsidRDefault="4230F20E" w:rsidP="4230F2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4230F20E" w14:paraId="170EAE47" w14:textId="77777777" w:rsidTr="4230F20E">
      <w:trPr>
        <w:trHeight w:val="300"/>
      </w:trPr>
      <w:tc>
        <w:tcPr>
          <w:tcW w:w="2765" w:type="dxa"/>
        </w:tcPr>
        <w:p w14:paraId="4006F602" w14:textId="7EA8A753" w:rsidR="4230F20E" w:rsidRDefault="4230F20E" w:rsidP="4230F20E">
          <w:pPr>
            <w:pStyle w:val="Header"/>
            <w:ind w:left="-115"/>
          </w:pPr>
        </w:p>
      </w:tc>
      <w:tc>
        <w:tcPr>
          <w:tcW w:w="2765" w:type="dxa"/>
        </w:tcPr>
        <w:p w14:paraId="7E25DD5C" w14:textId="17007390" w:rsidR="4230F20E" w:rsidRDefault="4230F20E" w:rsidP="4230F20E">
          <w:pPr>
            <w:pStyle w:val="Header"/>
            <w:jc w:val="center"/>
          </w:pPr>
        </w:p>
      </w:tc>
      <w:tc>
        <w:tcPr>
          <w:tcW w:w="2765" w:type="dxa"/>
        </w:tcPr>
        <w:p w14:paraId="175E177F" w14:textId="7DBFE2AB" w:rsidR="4230F20E" w:rsidRDefault="4230F20E" w:rsidP="4230F20E">
          <w:pPr>
            <w:pStyle w:val="Header"/>
            <w:ind w:right="-115"/>
            <w:jc w:val="right"/>
          </w:pPr>
        </w:p>
      </w:tc>
    </w:tr>
  </w:tbl>
  <w:p w14:paraId="7E591C80" w14:textId="1B09834D" w:rsidR="4230F20E" w:rsidRDefault="4230F20E" w:rsidP="4230F20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7781170"/>
      <w:docPartObj>
        <w:docPartGallery w:val="Page Numbers (Top of Page)"/>
        <w:docPartUnique/>
      </w:docPartObj>
    </w:sdtPr>
    <w:sdtEndPr>
      <w:rPr>
        <w:noProof/>
      </w:rPr>
    </w:sdtEndPr>
    <w:sdtContent>
      <w:p w14:paraId="5B269037" w14:textId="6807E65B" w:rsidR="0056729D" w:rsidRDefault="0056729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E553BCE" w14:textId="5C761F2A" w:rsidR="4230F20E" w:rsidRDefault="4230F20E" w:rsidP="4230F20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kLH4D6Cr" int2:invalidationBookmarkName="" int2:hashCode="gq71iabviKxYY2" int2:id="YBXiy9Z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6673"/>
    <w:multiLevelType w:val="multilevel"/>
    <w:tmpl w:val="5FE0B04E"/>
    <w:lvl w:ilvl="0">
      <w:start w:val="1"/>
      <w:numFmt w:val="decimal"/>
      <w:lvlText w:val="%1."/>
      <w:lvlJc w:val="left"/>
      <w:pPr>
        <w:ind w:left="501" w:hanging="360"/>
      </w:pPr>
      <w:rPr>
        <w:b w:val="0"/>
        <w:color w:val="auto"/>
        <w:sz w:val="22"/>
        <w:szCs w:val="22"/>
      </w:rPr>
    </w:lvl>
    <w:lvl w:ilvl="1">
      <w:start w:val="1"/>
      <w:numFmt w:val="decimal"/>
      <w:lvlText w:val="%1.%2."/>
      <w:lvlJc w:val="left"/>
      <w:pPr>
        <w:ind w:left="1440" w:hanging="360"/>
      </w:pPr>
    </w:lvl>
    <w:lvl w:ilvl="2">
      <w:numFmt w:val="bullet"/>
      <w:lvlText w:val="-"/>
      <w:lvlJc w:val="left"/>
      <w:pPr>
        <w:ind w:left="2340" w:hanging="360"/>
      </w:pPr>
      <w:rPr>
        <w:rFonts w:ascii="Calibri" w:hAnsi="Calibri" w:hint="default"/>
      </w:r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1" w15:restartNumberingAfterBreak="0">
    <w:nsid w:val="050B23CA"/>
    <w:multiLevelType w:val="hybridMultilevel"/>
    <w:tmpl w:val="6BB2F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40ACF"/>
    <w:multiLevelType w:val="hybridMultilevel"/>
    <w:tmpl w:val="A57043BE"/>
    <w:lvl w:ilvl="0" w:tplc="308CE326">
      <w:start w:val="1"/>
      <w:numFmt w:val="bullet"/>
      <w:lvlText w:val=""/>
      <w:lvlJc w:val="left"/>
      <w:pPr>
        <w:ind w:left="720" w:hanging="360"/>
      </w:pPr>
      <w:rPr>
        <w:rFonts w:ascii="Symbol" w:hAnsi="Symbol" w:hint="default"/>
      </w:rPr>
    </w:lvl>
    <w:lvl w:ilvl="1" w:tplc="C608B00A">
      <w:start w:val="1"/>
      <w:numFmt w:val="bullet"/>
      <w:lvlText w:val="o"/>
      <w:lvlJc w:val="left"/>
      <w:pPr>
        <w:ind w:left="1440" w:hanging="360"/>
      </w:pPr>
      <w:rPr>
        <w:rFonts w:ascii="Courier New" w:hAnsi="Courier New" w:hint="default"/>
      </w:rPr>
    </w:lvl>
    <w:lvl w:ilvl="2" w:tplc="2048BFF8">
      <w:start w:val="1"/>
      <w:numFmt w:val="bullet"/>
      <w:lvlText w:val=""/>
      <w:lvlJc w:val="left"/>
      <w:pPr>
        <w:ind w:left="2160" w:hanging="360"/>
      </w:pPr>
      <w:rPr>
        <w:rFonts w:ascii="Wingdings" w:hAnsi="Wingdings" w:hint="default"/>
      </w:rPr>
    </w:lvl>
    <w:lvl w:ilvl="3" w:tplc="3B047FF2">
      <w:start w:val="1"/>
      <w:numFmt w:val="bullet"/>
      <w:lvlText w:val=""/>
      <w:lvlJc w:val="left"/>
      <w:pPr>
        <w:ind w:left="2880" w:hanging="360"/>
      </w:pPr>
      <w:rPr>
        <w:rFonts w:ascii="Symbol" w:hAnsi="Symbol" w:hint="default"/>
      </w:rPr>
    </w:lvl>
    <w:lvl w:ilvl="4" w:tplc="E41A371E">
      <w:start w:val="1"/>
      <w:numFmt w:val="bullet"/>
      <w:lvlText w:val="o"/>
      <w:lvlJc w:val="left"/>
      <w:pPr>
        <w:ind w:left="3600" w:hanging="360"/>
      </w:pPr>
      <w:rPr>
        <w:rFonts w:ascii="Courier New" w:hAnsi="Courier New" w:hint="default"/>
      </w:rPr>
    </w:lvl>
    <w:lvl w:ilvl="5" w:tplc="C6BCC420">
      <w:start w:val="1"/>
      <w:numFmt w:val="bullet"/>
      <w:lvlText w:val=""/>
      <w:lvlJc w:val="left"/>
      <w:pPr>
        <w:ind w:left="4320" w:hanging="360"/>
      </w:pPr>
      <w:rPr>
        <w:rFonts w:ascii="Wingdings" w:hAnsi="Wingdings" w:hint="default"/>
      </w:rPr>
    </w:lvl>
    <w:lvl w:ilvl="6" w:tplc="8B1E78E8">
      <w:start w:val="1"/>
      <w:numFmt w:val="bullet"/>
      <w:lvlText w:val=""/>
      <w:lvlJc w:val="left"/>
      <w:pPr>
        <w:ind w:left="5040" w:hanging="360"/>
      </w:pPr>
      <w:rPr>
        <w:rFonts w:ascii="Symbol" w:hAnsi="Symbol" w:hint="default"/>
      </w:rPr>
    </w:lvl>
    <w:lvl w:ilvl="7" w:tplc="0062313C">
      <w:start w:val="1"/>
      <w:numFmt w:val="bullet"/>
      <w:lvlText w:val="o"/>
      <w:lvlJc w:val="left"/>
      <w:pPr>
        <w:ind w:left="5760" w:hanging="360"/>
      </w:pPr>
      <w:rPr>
        <w:rFonts w:ascii="Courier New" w:hAnsi="Courier New" w:hint="default"/>
      </w:rPr>
    </w:lvl>
    <w:lvl w:ilvl="8" w:tplc="59185066">
      <w:start w:val="1"/>
      <w:numFmt w:val="bullet"/>
      <w:lvlText w:val=""/>
      <w:lvlJc w:val="left"/>
      <w:pPr>
        <w:ind w:left="6480" w:hanging="360"/>
      </w:pPr>
      <w:rPr>
        <w:rFonts w:ascii="Wingdings" w:hAnsi="Wingdings" w:hint="default"/>
      </w:rPr>
    </w:lvl>
  </w:abstractNum>
  <w:abstractNum w:abstractNumId="3" w15:restartNumberingAfterBreak="0">
    <w:nsid w:val="11CD127C"/>
    <w:multiLevelType w:val="hybridMultilevel"/>
    <w:tmpl w:val="AA90D08E"/>
    <w:lvl w:ilvl="0" w:tplc="8A9E55C4">
      <w:start w:val="1"/>
      <w:numFmt w:val="lowerLetter"/>
      <w:lvlText w:val="%1)"/>
      <w:lvlJc w:val="left"/>
      <w:pPr>
        <w:ind w:left="1080" w:hanging="360"/>
      </w:pPr>
    </w:lvl>
    <w:lvl w:ilvl="1" w:tplc="BC941226">
      <w:start w:val="1"/>
      <w:numFmt w:val="lowerLetter"/>
      <w:lvlText w:val="%2)"/>
      <w:lvlJc w:val="left"/>
      <w:pPr>
        <w:ind w:left="1800" w:hanging="360"/>
      </w:pPr>
    </w:lvl>
    <w:lvl w:ilvl="2" w:tplc="8AC4FCEA">
      <w:start w:val="1"/>
      <w:numFmt w:val="lowerRoman"/>
      <w:lvlText w:val="%3)"/>
      <w:lvlJc w:val="right"/>
      <w:pPr>
        <w:ind w:left="2520" w:hanging="180"/>
      </w:pPr>
    </w:lvl>
    <w:lvl w:ilvl="3" w:tplc="6726B5D0">
      <w:start w:val="1"/>
      <w:numFmt w:val="decimal"/>
      <w:lvlText w:val="(%4)"/>
      <w:lvlJc w:val="left"/>
      <w:pPr>
        <w:ind w:left="3240" w:hanging="360"/>
      </w:pPr>
    </w:lvl>
    <w:lvl w:ilvl="4" w:tplc="82C896C6">
      <w:start w:val="1"/>
      <w:numFmt w:val="lowerLetter"/>
      <w:lvlText w:val="(%5)"/>
      <w:lvlJc w:val="left"/>
      <w:pPr>
        <w:ind w:left="3960" w:hanging="360"/>
      </w:pPr>
    </w:lvl>
    <w:lvl w:ilvl="5" w:tplc="D594068C">
      <w:start w:val="1"/>
      <w:numFmt w:val="lowerRoman"/>
      <w:lvlText w:val="(%6)"/>
      <w:lvlJc w:val="right"/>
      <w:pPr>
        <w:ind w:left="4680" w:hanging="180"/>
      </w:pPr>
    </w:lvl>
    <w:lvl w:ilvl="6" w:tplc="80500CF0">
      <w:start w:val="1"/>
      <w:numFmt w:val="decimal"/>
      <w:lvlText w:val="%7."/>
      <w:lvlJc w:val="left"/>
      <w:pPr>
        <w:ind w:left="5400" w:hanging="360"/>
      </w:pPr>
    </w:lvl>
    <w:lvl w:ilvl="7" w:tplc="B4F6D23A">
      <w:start w:val="1"/>
      <w:numFmt w:val="lowerLetter"/>
      <w:lvlText w:val="%8."/>
      <w:lvlJc w:val="left"/>
      <w:pPr>
        <w:ind w:left="6120" w:hanging="360"/>
      </w:pPr>
    </w:lvl>
    <w:lvl w:ilvl="8" w:tplc="74DC9B18">
      <w:start w:val="1"/>
      <w:numFmt w:val="lowerRoman"/>
      <w:lvlText w:val="%9."/>
      <w:lvlJc w:val="right"/>
      <w:pPr>
        <w:ind w:left="6840" w:hanging="180"/>
      </w:pPr>
    </w:lvl>
  </w:abstractNum>
  <w:abstractNum w:abstractNumId="4" w15:restartNumberingAfterBreak="0">
    <w:nsid w:val="1E9623C8"/>
    <w:multiLevelType w:val="hybridMultilevel"/>
    <w:tmpl w:val="EFB0F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343177"/>
    <w:multiLevelType w:val="multilevel"/>
    <w:tmpl w:val="C7F46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BE34B8"/>
    <w:multiLevelType w:val="hybridMultilevel"/>
    <w:tmpl w:val="80F6DA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FC7A89"/>
    <w:multiLevelType w:val="hybridMultilevel"/>
    <w:tmpl w:val="412457F8"/>
    <w:lvl w:ilvl="0" w:tplc="20000013">
      <w:start w:val="1"/>
      <w:numFmt w:val="upperRoman"/>
      <w:lvlText w:val="%1."/>
      <w:lvlJc w:val="right"/>
      <w:pPr>
        <w:ind w:left="1287" w:hanging="360"/>
      </w:p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8" w15:restartNumberingAfterBreak="0">
    <w:nsid w:val="2F6E54C9"/>
    <w:multiLevelType w:val="hybridMultilevel"/>
    <w:tmpl w:val="C9E6FCAC"/>
    <w:lvl w:ilvl="0" w:tplc="FAFE8858">
      <w:start w:val="1"/>
      <w:numFmt w:val="lowerLetter"/>
      <w:lvlText w:val="%1)"/>
      <w:lvlJc w:val="left"/>
      <w:pPr>
        <w:ind w:left="1080" w:hanging="360"/>
      </w:pPr>
    </w:lvl>
    <w:lvl w:ilvl="1" w:tplc="072A2846">
      <w:start w:val="1"/>
      <w:numFmt w:val="lowerLetter"/>
      <w:lvlText w:val="%2)"/>
      <w:lvlJc w:val="left"/>
      <w:pPr>
        <w:ind w:left="1800" w:hanging="360"/>
      </w:pPr>
    </w:lvl>
    <w:lvl w:ilvl="2" w:tplc="816C9D30">
      <w:start w:val="1"/>
      <w:numFmt w:val="lowerRoman"/>
      <w:lvlText w:val="%3)"/>
      <w:lvlJc w:val="right"/>
      <w:pPr>
        <w:ind w:left="2520" w:hanging="180"/>
      </w:pPr>
    </w:lvl>
    <w:lvl w:ilvl="3" w:tplc="C23CFE7C">
      <w:start w:val="1"/>
      <w:numFmt w:val="decimal"/>
      <w:lvlText w:val="(%4)"/>
      <w:lvlJc w:val="left"/>
      <w:pPr>
        <w:ind w:left="3240" w:hanging="360"/>
      </w:pPr>
    </w:lvl>
    <w:lvl w:ilvl="4" w:tplc="63006702">
      <w:start w:val="1"/>
      <w:numFmt w:val="lowerLetter"/>
      <w:lvlText w:val="(%5)"/>
      <w:lvlJc w:val="left"/>
      <w:pPr>
        <w:ind w:left="3960" w:hanging="360"/>
      </w:pPr>
    </w:lvl>
    <w:lvl w:ilvl="5" w:tplc="2BC8EBD0">
      <w:start w:val="1"/>
      <w:numFmt w:val="lowerRoman"/>
      <w:lvlText w:val="(%6)"/>
      <w:lvlJc w:val="right"/>
      <w:pPr>
        <w:ind w:left="4680" w:hanging="180"/>
      </w:pPr>
    </w:lvl>
    <w:lvl w:ilvl="6" w:tplc="40B015A0">
      <w:start w:val="1"/>
      <w:numFmt w:val="decimal"/>
      <w:lvlText w:val="%7."/>
      <w:lvlJc w:val="left"/>
      <w:pPr>
        <w:ind w:left="5400" w:hanging="360"/>
      </w:pPr>
    </w:lvl>
    <w:lvl w:ilvl="7" w:tplc="1804B8FE">
      <w:start w:val="1"/>
      <w:numFmt w:val="lowerLetter"/>
      <w:lvlText w:val="%8."/>
      <w:lvlJc w:val="left"/>
      <w:pPr>
        <w:ind w:left="6120" w:hanging="360"/>
      </w:pPr>
    </w:lvl>
    <w:lvl w:ilvl="8" w:tplc="886650FA">
      <w:start w:val="1"/>
      <w:numFmt w:val="lowerRoman"/>
      <w:lvlText w:val="%9."/>
      <w:lvlJc w:val="right"/>
      <w:pPr>
        <w:ind w:left="6840" w:hanging="180"/>
      </w:pPr>
    </w:lvl>
  </w:abstractNum>
  <w:abstractNum w:abstractNumId="9" w15:restartNumberingAfterBreak="0">
    <w:nsid w:val="33959E31"/>
    <w:multiLevelType w:val="hybridMultilevel"/>
    <w:tmpl w:val="FFFFFFFF"/>
    <w:lvl w:ilvl="0" w:tplc="1DDE33B6">
      <w:start w:val="1"/>
      <w:numFmt w:val="decimal"/>
      <w:lvlText w:val="%1."/>
      <w:lvlJc w:val="left"/>
      <w:pPr>
        <w:ind w:left="720" w:hanging="360"/>
      </w:pPr>
    </w:lvl>
    <w:lvl w:ilvl="1" w:tplc="3E8CF1DE">
      <w:start w:val="1"/>
      <w:numFmt w:val="lowerLetter"/>
      <w:lvlText w:val="%2."/>
      <w:lvlJc w:val="left"/>
      <w:pPr>
        <w:ind w:left="1440" w:hanging="360"/>
      </w:pPr>
    </w:lvl>
    <w:lvl w:ilvl="2" w:tplc="80E67AF8">
      <w:start w:val="1"/>
      <w:numFmt w:val="lowerRoman"/>
      <w:lvlText w:val="%3."/>
      <w:lvlJc w:val="right"/>
      <w:pPr>
        <w:ind w:left="2160" w:hanging="180"/>
      </w:pPr>
    </w:lvl>
    <w:lvl w:ilvl="3" w:tplc="07B2B9B2">
      <w:start w:val="1"/>
      <w:numFmt w:val="decimal"/>
      <w:lvlText w:val="%4."/>
      <w:lvlJc w:val="left"/>
      <w:pPr>
        <w:ind w:left="2880" w:hanging="360"/>
      </w:pPr>
    </w:lvl>
    <w:lvl w:ilvl="4" w:tplc="637CE582">
      <w:start w:val="1"/>
      <w:numFmt w:val="lowerLetter"/>
      <w:lvlText w:val="%5."/>
      <w:lvlJc w:val="left"/>
      <w:pPr>
        <w:ind w:left="3600" w:hanging="360"/>
      </w:pPr>
    </w:lvl>
    <w:lvl w:ilvl="5" w:tplc="5CBE7B58">
      <w:start w:val="1"/>
      <w:numFmt w:val="lowerRoman"/>
      <w:lvlText w:val="%6."/>
      <w:lvlJc w:val="right"/>
      <w:pPr>
        <w:ind w:left="4320" w:hanging="180"/>
      </w:pPr>
    </w:lvl>
    <w:lvl w:ilvl="6" w:tplc="4AFADED8">
      <w:start w:val="1"/>
      <w:numFmt w:val="decimal"/>
      <w:lvlText w:val="%7."/>
      <w:lvlJc w:val="left"/>
      <w:pPr>
        <w:ind w:left="5040" w:hanging="360"/>
      </w:pPr>
    </w:lvl>
    <w:lvl w:ilvl="7" w:tplc="8CD403A2">
      <w:start w:val="1"/>
      <w:numFmt w:val="lowerLetter"/>
      <w:lvlText w:val="%8."/>
      <w:lvlJc w:val="left"/>
      <w:pPr>
        <w:ind w:left="5760" w:hanging="360"/>
      </w:pPr>
    </w:lvl>
    <w:lvl w:ilvl="8" w:tplc="DF429F4C">
      <w:start w:val="1"/>
      <w:numFmt w:val="lowerRoman"/>
      <w:lvlText w:val="%9."/>
      <w:lvlJc w:val="right"/>
      <w:pPr>
        <w:ind w:left="6480" w:hanging="180"/>
      </w:pPr>
    </w:lvl>
  </w:abstractNum>
  <w:abstractNum w:abstractNumId="10" w15:restartNumberingAfterBreak="0">
    <w:nsid w:val="36C139BF"/>
    <w:multiLevelType w:val="hybridMultilevel"/>
    <w:tmpl w:val="884AE1B8"/>
    <w:lvl w:ilvl="0" w:tplc="E3862B24">
      <w:start w:val="1"/>
      <w:numFmt w:val="decimal"/>
      <w:lvlText w:val="%1."/>
      <w:lvlJc w:val="left"/>
      <w:pPr>
        <w:ind w:left="2160" w:hanging="360"/>
      </w:pPr>
      <w:rPr>
        <w:rFonts w:hint="default"/>
      </w:r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11" w15:restartNumberingAfterBreak="0">
    <w:nsid w:val="3DB04FB1"/>
    <w:multiLevelType w:val="multilevel"/>
    <w:tmpl w:val="0DDE5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9109B9"/>
    <w:multiLevelType w:val="hybridMultilevel"/>
    <w:tmpl w:val="7EEA69EA"/>
    <w:lvl w:ilvl="0" w:tplc="B088D252">
      <w:start w:val="1"/>
      <w:numFmt w:val="lowerLetter"/>
      <w:lvlText w:val="%1)"/>
      <w:lvlJc w:val="left"/>
      <w:pPr>
        <w:ind w:left="1080" w:hanging="360"/>
      </w:pPr>
    </w:lvl>
    <w:lvl w:ilvl="1" w:tplc="2CB0DF74">
      <w:start w:val="1"/>
      <w:numFmt w:val="lowerLetter"/>
      <w:lvlText w:val="%2)"/>
      <w:lvlJc w:val="left"/>
      <w:pPr>
        <w:ind w:left="1800" w:hanging="360"/>
      </w:pPr>
    </w:lvl>
    <w:lvl w:ilvl="2" w:tplc="FFB21C8C">
      <w:start w:val="1"/>
      <w:numFmt w:val="lowerRoman"/>
      <w:lvlText w:val="%3)"/>
      <w:lvlJc w:val="right"/>
      <w:pPr>
        <w:ind w:left="2520" w:hanging="180"/>
      </w:pPr>
    </w:lvl>
    <w:lvl w:ilvl="3" w:tplc="83388172">
      <w:start w:val="1"/>
      <w:numFmt w:val="decimal"/>
      <w:lvlText w:val="(%4)"/>
      <w:lvlJc w:val="left"/>
      <w:pPr>
        <w:ind w:left="3240" w:hanging="360"/>
      </w:pPr>
    </w:lvl>
    <w:lvl w:ilvl="4" w:tplc="7DFC9272">
      <w:start w:val="1"/>
      <w:numFmt w:val="lowerLetter"/>
      <w:lvlText w:val="(%5)"/>
      <w:lvlJc w:val="left"/>
      <w:pPr>
        <w:ind w:left="3960" w:hanging="360"/>
      </w:pPr>
    </w:lvl>
    <w:lvl w:ilvl="5" w:tplc="C0D2DC70">
      <w:start w:val="1"/>
      <w:numFmt w:val="lowerRoman"/>
      <w:lvlText w:val="(%6)"/>
      <w:lvlJc w:val="right"/>
      <w:pPr>
        <w:ind w:left="4680" w:hanging="180"/>
      </w:pPr>
    </w:lvl>
    <w:lvl w:ilvl="6" w:tplc="64E2BE36">
      <w:start w:val="1"/>
      <w:numFmt w:val="decimal"/>
      <w:lvlText w:val="%7."/>
      <w:lvlJc w:val="left"/>
      <w:pPr>
        <w:ind w:left="5400" w:hanging="360"/>
      </w:pPr>
    </w:lvl>
    <w:lvl w:ilvl="7" w:tplc="CC6C0112">
      <w:start w:val="1"/>
      <w:numFmt w:val="lowerLetter"/>
      <w:lvlText w:val="%8."/>
      <w:lvlJc w:val="left"/>
      <w:pPr>
        <w:ind w:left="6120" w:hanging="360"/>
      </w:pPr>
    </w:lvl>
    <w:lvl w:ilvl="8" w:tplc="91560A5C">
      <w:start w:val="1"/>
      <w:numFmt w:val="lowerRoman"/>
      <w:lvlText w:val="%9."/>
      <w:lvlJc w:val="right"/>
      <w:pPr>
        <w:ind w:left="6840" w:hanging="180"/>
      </w:pPr>
    </w:lvl>
  </w:abstractNum>
  <w:abstractNum w:abstractNumId="13" w15:restartNumberingAfterBreak="0">
    <w:nsid w:val="419B1373"/>
    <w:multiLevelType w:val="hybridMultilevel"/>
    <w:tmpl w:val="0C707384"/>
    <w:lvl w:ilvl="0" w:tplc="2438EB20">
      <w:start w:val="1"/>
      <w:numFmt w:val="decimal"/>
      <w:lvlText w:val="%1."/>
      <w:lvlJc w:val="left"/>
      <w:pPr>
        <w:ind w:left="1800" w:hanging="360"/>
      </w:pPr>
      <w:rPr>
        <w:rFonts w:hint="default"/>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14" w15:restartNumberingAfterBreak="0">
    <w:nsid w:val="44C0296D"/>
    <w:multiLevelType w:val="hybridMultilevel"/>
    <w:tmpl w:val="4BBE3890"/>
    <w:lvl w:ilvl="0" w:tplc="59267462">
      <w:start w:val="1"/>
      <w:numFmt w:val="upperRoman"/>
      <w:lvlText w:val="%1."/>
      <w:lvlJc w:val="right"/>
      <w:pPr>
        <w:ind w:left="720" w:hanging="360"/>
      </w:pPr>
      <w:rPr>
        <w:color w:val="000000" w:themeColor="text1"/>
      </w:rPr>
    </w:lvl>
    <w:lvl w:ilvl="1" w:tplc="9958653A">
      <w:start w:val="1"/>
      <w:numFmt w:val="lowerLetter"/>
      <w:lvlText w:val="%2."/>
      <w:lvlJc w:val="left"/>
      <w:pPr>
        <w:ind w:left="1440" w:hanging="360"/>
      </w:pPr>
      <w:rPr>
        <w:rFonts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D2B3636"/>
    <w:multiLevelType w:val="hybridMultilevel"/>
    <w:tmpl w:val="DB56FC26"/>
    <w:lvl w:ilvl="0" w:tplc="EAAEB3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0755E3"/>
    <w:multiLevelType w:val="multilevel"/>
    <w:tmpl w:val="6004FC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7B7AD8"/>
    <w:multiLevelType w:val="hybridMultilevel"/>
    <w:tmpl w:val="EB362CF4"/>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8" w15:restartNumberingAfterBreak="0">
    <w:nsid w:val="569A2754"/>
    <w:multiLevelType w:val="hybridMultilevel"/>
    <w:tmpl w:val="A92A3DF8"/>
    <w:lvl w:ilvl="0" w:tplc="E52E9726">
      <w:start w:val="1"/>
      <w:numFmt w:val="decimal"/>
      <w:lvlText w:val="%1."/>
      <w:lvlJc w:val="left"/>
      <w:pPr>
        <w:ind w:left="501" w:hanging="360"/>
      </w:pPr>
      <w:rPr>
        <w:rFonts w:hint="default"/>
        <w:b w:val="0"/>
        <w:sz w:val="22"/>
        <w:szCs w:val="22"/>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014EB"/>
    <w:multiLevelType w:val="hybridMultilevel"/>
    <w:tmpl w:val="630A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716000"/>
    <w:multiLevelType w:val="multilevel"/>
    <w:tmpl w:val="3236952A"/>
    <w:lvl w:ilvl="0">
      <w:start w:val="1"/>
      <w:numFmt w:val="lowerLetter"/>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21" w15:restartNumberingAfterBreak="0">
    <w:nsid w:val="66713887"/>
    <w:multiLevelType w:val="hybridMultilevel"/>
    <w:tmpl w:val="444CADB8"/>
    <w:lvl w:ilvl="0" w:tplc="F36C195C">
      <w:start w:val="10"/>
      <w:numFmt w:val="bullet"/>
      <w:lvlText w:val="-"/>
      <w:lvlJc w:val="left"/>
      <w:pPr>
        <w:ind w:left="720" w:hanging="360"/>
      </w:pPr>
      <w:rPr>
        <w:rFonts w:ascii="Calibri" w:eastAsiaTheme="minorHAns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7BB44E8"/>
    <w:multiLevelType w:val="hybridMultilevel"/>
    <w:tmpl w:val="78583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E259B3"/>
    <w:multiLevelType w:val="hybridMultilevel"/>
    <w:tmpl w:val="2C80A5F4"/>
    <w:lvl w:ilvl="0" w:tplc="AFC82198">
      <w:start w:val="1"/>
      <w:numFmt w:val="decimal"/>
      <w:lvlText w:val="%1."/>
      <w:lvlJc w:val="left"/>
      <w:pPr>
        <w:ind w:left="501" w:hanging="360"/>
      </w:pPr>
      <w:rPr>
        <w:rFonts w:hint="default"/>
        <w:b w:val="0"/>
        <w:color w:val="auto"/>
        <w:sz w:val="22"/>
        <w:szCs w:val="22"/>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52143A"/>
    <w:multiLevelType w:val="hybridMultilevel"/>
    <w:tmpl w:val="65CCBABA"/>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25" w15:restartNumberingAfterBreak="0">
    <w:nsid w:val="766E189A"/>
    <w:multiLevelType w:val="hybridMultilevel"/>
    <w:tmpl w:val="154AFE8C"/>
    <w:lvl w:ilvl="0" w:tplc="C80AD4EE">
      <w:start w:val="1"/>
      <w:numFmt w:val="lowerLetter"/>
      <w:lvlText w:val="%1)"/>
      <w:lvlJc w:val="left"/>
      <w:pPr>
        <w:ind w:left="1080" w:hanging="360"/>
      </w:pPr>
    </w:lvl>
    <w:lvl w:ilvl="1" w:tplc="5BA66C3E">
      <w:start w:val="1"/>
      <w:numFmt w:val="lowerLetter"/>
      <w:lvlText w:val="%2."/>
      <w:lvlJc w:val="left"/>
      <w:pPr>
        <w:ind w:left="1800" w:hanging="360"/>
      </w:pPr>
    </w:lvl>
    <w:lvl w:ilvl="2" w:tplc="F9D06768">
      <w:start w:val="1"/>
      <w:numFmt w:val="lowerRoman"/>
      <w:lvlText w:val="%3."/>
      <w:lvlJc w:val="right"/>
      <w:pPr>
        <w:ind w:left="2520" w:hanging="180"/>
      </w:pPr>
    </w:lvl>
    <w:lvl w:ilvl="3" w:tplc="95BCCD5C">
      <w:start w:val="1"/>
      <w:numFmt w:val="decimal"/>
      <w:lvlText w:val="%4."/>
      <w:lvlJc w:val="left"/>
      <w:pPr>
        <w:ind w:left="3240" w:hanging="360"/>
      </w:pPr>
    </w:lvl>
    <w:lvl w:ilvl="4" w:tplc="CFF6CE7E">
      <w:start w:val="1"/>
      <w:numFmt w:val="lowerLetter"/>
      <w:lvlText w:val="%5."/>
      <w:lvlJc w:val="left"/>
      <w:pPr>
        <w:ind w:left="3960" w:hanging="360"/>
      </w:pPr>
    </w:lvl>
    <w:lvl w:ilvl="5" w:tplc="5E22A6EE">
      <w:start w:val="1"/>
      <w:numFmt w:val="lowerRoman"/>
      <w:lvlText w:val="%6."/>
      <w:lvlJc w:val="right"/>
      <w:pPr>
        <w:ind w:left="4680" w:hanging="180"/>
      </w:pPr>
    </w:lvl>
    <w:lvl w:ilvl="6" w:tplc="AD3078D0">
      <w:start w:val="1"/>
      <w:numFmt w:val="decimal"/>
      <w:lvlText w:val="%7."/>
      <w:lvlJc w:val="left"/>
      <w:pPr>
        <w:ind w:left="5400" w:hanging="360"/>
      </w:pPr>
    </w:lvl>
    <w:lvl w:ilvl="7" w:tplc="530673DE">
      <w:start w:val="1"/>
      <w:numFmt w:val="lowerLetter"/>
      <w:lvlText w:val="%8."/>
      <w:lvlJc w:val="left"/>
      <w:pPr>
        <w:ind w:left="6120" w:hanging="360"/>
      </w:pPr>
    </w:lvl>
    <w:lvl w:ilvl="8" w:tplc="95043596">
      <w:start w:val="1"/>
      <w:numFmt w:val="lowerRoman"/>
      <w:lvlText w:val="%9."/>
      <w:lvlJc w:val="right"/>
      <w:pPr>
        <w:ind w:left="6840" w:hanging="180"/>
      </w:pPr>
    </w:lvl>
  </w:abstractNum>
  <w:abstractNum w:abstractNumId="26" w15:restartNumberingAfterBreak="0">
    <w:nsid w:val="76D17584"/>
    <w:multiLevelType w:val="hybridMultilevel"/>
    <w:tmpl w:val="18549B1E"/>
    <w:lvl w:ilvl="0" w:tplc="540CB23C">
      <w:start w:val="1"/>
      <w:numFmt w:val="lowerLetter"/>
      <w:lvlText w:val="%1)"/>
      <w:lvlJc w:val="left"/>
      <w:pPr>
        <w:ind w:left="1221" w:hanging="360"/>
      </w:pPr>
      <w:rPr>
        <w:color w:val="000000" w:themeColor="text1"/>
      </w:rPr>
    </w:lvl>
    <w:lvl w:ilvl="1" w:tplc="20000019" w:tentative="1">
      <w:start w:val="1"/>
      <w:numFmt w:val="lowerLetter"/>
      <w:lvlText w:val="%2."/>
      <w:lvlJc w:val="left"/>
      <w:pPr>
        <w:ind w:left="1941" w:hanging="360"/>
      </w:pPr>
    </w:lvl>
    <w:lvl w:ilvl="2" w:tplc="2000001B" w:tentative="1">
      <w:start w:val="1"/>
      <w:numFmt w:val="lowerRoman"/>
      <w:lvlText w:val="%3."/>
      <w:lvlJc w:val="right"/>
      <w:pPr>
        <w:ind w:left="2661" w:hanging="180"/>
      </w:pPr>
    </w:lvl>
    <w:lvl w:ilvl="3" w:tplc="2000000F" w:tentative="1">
      <w:start w:val="1"/>
      <w:numFmt w:val="decimal"/>
      <w:lvlText w:val="%4."/>
      <w:lvlJc w:val="left"/>
      <w:pPr>
        <w:ind w:left="3381" w:hanging="360"/>
      </w:pPr>
    </w:lvl>
    <w:lvl w:ilvl="4" w:tplc="20000019" w:tentative="1">
      <w:start w:val="1"/>
      <w:numFmt w:val="lowerLetter"/>
      <w:lvlText w:val="%5."/>
      <w:lvlJc w:val="left"/>
      <w:pPr>
        <w:ind w:left="4101" w:hanging="360"/>
      </w:pPr>
    </w:lvl>
    <w:lvl w:ilvl="5" w:tplc="2000001B" w:tentative="1">
      <w:start w:val="1"/>
      <w:numFmt w:val="lowerRoman"/>
      <w:lvlText w:val="%6."/>
      <w:lvlJc w:val="right"/>
      <w:pPr>
        <w:ind w:left="4821" w:hanging="180"/>
      </w:pPr>
    </w:lvl>
    <w:lvl w:ilvl="6" w:tplc="2000000F" w:tentative="1">
      <w:start w:val="1"/>
      <w:numFmt w:val="decimal"/>
      <w:lvlText w:val="%7."/>
      <w:lvlJc w:val="left"/>
      <w:pPr>
        <w:ind w:left="5541" w:hanging="360"/>
      </w:pPr>
    </w:lvl>
    <w:lvl w:ilvl="7" w:tplc="20000019" w:tentative="1">
      <w:start w:val="1"/>
      <w:numFmt w:val="lowerLetter"/>
      <w:lvlText w:val="%8."/>
      <w:lvlJc w:val="left"/>
      <w:pPr>
        <w:ind w:left="6261" w:hanging="360"/>
      </w:pPr>
    </w:lvl>
    <w:lvl w:ilvl="8" w:tplc="2000001B" w:tentative="1">
      <w:start w:val="1"/>
      <w:numFmt w:val="lowerRoman"/>
      <w:lvlText w:val="%9."/>
      <w:lvlJc w:val="right"/>
      <w:pPr>
        <w:ind w:left="6981" w:hanging="180"/>
      </w:pPr>
    </w:lvl>
  </w:abstractNum>
  <w:abstractNum w:abstractNumId="27" w15:restartNumberingAfterBreak="0">
    <w:nsid w:val="78010DE9"/>
    <w:multiLevelType w:val="hybridMultilevel"/>
    <w:tmpl w:val="C2502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DD7812"/>
    <w:multiLevelType w:val="hybridMultilevel"/>
    <w:tmpl w:val="28408926"/>
    <w:lvl w:ilvl="0" w:tplc="20000013">
      <w:start w:val="1"/>
      <w:numFmt w:val="upperRoman"/>
      <w:lvlText w:val="%1."/>
      <w:lvlJc w:val="right"/>
      <w:pPr>
        <w:ind w:left="1287" w:hanging="360"/>
      </w:p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29" w15:restartNumberingAfterBreak="0">
    <w:nsid w:val="798F3739"/>
    <w:multiLevelType w:val="hybridMultilevel"/>
    <w:tmpl w:val="A9D2893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A0139D8"/>
    <w:multiLevelType w:val="hybridMultilevel"/>
    <w:tmpl w:val="8E500DB2"/>
    <w:lvl w:ilvl="0" w:tplc="C8A29216">
      <w:start w:val="1"/>
      <w:numFmt w:val="lowerLetter"/>
      <w:lvlText w:val="%1)"/>
      <w:lvlJc w:val="right"/>
      <w:pPr>
        <w:ind w:left="1080" w:hanging="360"/>
      </w:pPr>
      <w:rPr>
        <w:rFonts w:asciiTheme="majorHAnsi" w:eastAsiaTheme="minorEastAsia" w:hAnsiTheme="majorHAnsi" w:cstheme="majorHAnsi"/>
      </w:rPr>
    </w:lvl>
    <w:lvl w:ilvl="1" w:tplc="15D878D6">
      <w:start w:val="1"/>
      <w:numFmt w:val="lowerLetter"/>
      <w:lvlText w:val="%2)"/>
      <w:lvlJc w:val="left"/>
      <w:pPr>
        <w:ind w:left="1800" w:hanging="360"/>
      </w:pPr>
      <w:rPr>
        <w:rFonts w:asciiTheme="majorHAnsi" w:eastAsiaTheme="minorEastAsia" w:hAnsiTheme="majorHAnsi" w:cstheme="majorHAnsi"/>
      </w:r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400635964">
    <w:abstractNumId w:val="8"/>
  </w:num>
  <w:num w:numId="2" w16cid:durableId="2051806186">
    <w:abstractNumId w:val="25"/>
  </w:num>
  <w:num w:numId="3" w16cid:durableId="570695629">
    <w:abstractNumId w:val="3"/>
  </w:num>
  <w:num w:numId="4" w16cid:durableId="1656766036">
    <w:abstractNumId w:val="12"/>
  </w:num>
  <w:num w:numId="5" w16cid:durableId="1595744440">
    <w:abstractNumId w:val="20"/>
  </w:num>
  <w:num w:numId="6" w16cid:durableId="1039940436">
    <w:abstractNumId w:val="2"/>
  </w:num>
  <w:num w:numId="7" w16cid:durableId="774717094">
    <w:abstractNumId w:val="0"/>
  </w:num>
  <w:num w:numId="8" w16cid:durableId="254095501">
    <w:abstractNumId w:val="18"/>
  </w:num>
  <w:num w:numId="9" w16cid:durableId="1547525234">
    <w:abstractNumId w:val="22"/>
  </w:num>
  <w:num w:numId="10" w16cid:durableId="1426800096">
    <w:abstractNumId w:val="19"/>
  </w:num>
  <w:num w:numId="11" w16cid:durableId="1462533639">
    <w:abstractNumId w:val="24"/>
  </w:num>
  <w:num w:numId="12" w16cid:durableId="1935243610">
    <w:abstractNumId w:val="4"/>
  </w:num>
  <w:num w:numId="13" w16cid:durableId="468285919">
    <w:abstractNumId w:val="23"/>
  </w:num>
  <w:num w:numId="14" w16cid:durableId="1322733482">
    <w:abstractNumId w:val="1"/>
  </w:num>
  <w:num w:numId="15" w16cid:durableId="1461653927">
    <w:abstractNumId w:val="27"/>
  </w:num>
  <w:num w:numId="16" w16cid:durableId="1189487141">
    <w:abstractNumId w:val="6"/>
  </w:num>
  <w:num w:numId="17" w16cid:durableId="1977568029">
    <w:abstractNumId w:val="21"/>
  </w:num>
  <w:num w:numId="18" w16cid:durableId="287049459">
    <w:abstractNumId w:val="13"/>
  </w:num>
  <w:num w:numId="19" w16cid:durableId="169613235">
    <w:abstractNumId w:val="10"/>
  </w:num>
  <w:num w:numId="20" w16cid:durableId="1655647509">
    <w:abstractNumId w:val="15"/>
  </w:num>
  <w:num w:numId="21" w16cid:durableId="1012873787">
    <w:abstractNumId w:val="7"/>
  </w:num>
  <w:num w:numId="22" w16cid:durableId="563373252">
    <w:abstractNumId w:val="28"/>
  </w:num>
  <w:num w:numId="23" w16cid:durableId="1312249017">
    <w:abstractNumId w:val="26"/>
  </w:num>
  <w:num w:numId="24" w16cid:durableId="408309646">
    <w:abstractNumId w:val="11"/>
  </w:num>
  <w:num w:numId="25" w16cid:durableId="978341644">
    <w:abstractNumId w:val="5"/>
  </w:num>
  <w:num w:numId="26" w16cid:durableId="1253272103">
    <w:abstractNumId w:val="16"/>
    <w:lvlOverride w:ilvl="0">
      <w:lvl w:ilvl="0">
        <w:numFmt w:val="decimal"/>
        <w:lvlText w:val="%1."/>
        <w:lvlJc w:val="left"/>
      </w:lvl>
    </w:lvlOverride>
  </w:num>
  <w:num w:numId="27" w16cid:durableId="59867100">
    <w:abstractNumId w:val="30"/>
  </w:num>
  <w:num w:numId="28" w16cid:durableId="491794531">
    <w:abstractNumId w:val="29"/>
  </w:num>
  <w:num w:numId="29" w16cid:durableId="1158421460">
    <w:abstractNumId w:val="14"/>
  </w:num>
  <w:num w:numId="30" w16cid:durableId="595746871">
    <w:abstractNumId w:val="17"/>
  </w:num>
  <w:num w:numId="31" w16cid:durableId="1682052632">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1EE"/>
    <w:rsid w:val="0000457E"/>
    <w:rsid w:val="000052FE"/>
    <w:rsid w:val="0001021E"/>
    <w:rsid w:val="0001061D"/>
    <w:rsid w:val="00011609"/>
    <w:rsid w:val="000129C2"/>
    <w:rsid w:val="00012D8D"/>
    <w:rsid w:val="00020C08"/>
    <w:rsid w:val="00021421"/>
    <w:rsid w:val="000224F7"/>
    <w:rsid w:val="000235B8"/>
    <w:rsid w:val="00023D62"/>
    <w:rsid w:val="00026D4D"/>
    <w:rsid w:val="000309E0"/>
    <w:rsid w:val="00031B7D"/>
    <w:rsid w:val="0003690F"/>
    <w:rsid w:val="00037421"/>
    <w:rsid w:val="00037A88"/>
    <w:rsid w:val="00043A51"/>
    <w:rsid w:val="00044DC2"/>
    <w:rsid w:val="00045D9B"/>
    <w:rsid w:val="00045F6D"/>
    <w:rsid w:val="00047713"/>
    <w:rsid w:val="000509B2"/>
    <w:rsid w:val="00050B1B"/>
    <w:rsid w:val="00051B99"/>
    <w:rsid w:val="00052A17"/>
    <w:rsid w:val="00056B1A"/>
    <w:rsid w:val="00056E76"/>
    <w:rsid w:val="00056EE2"/>
    <w:rsid w:val="00061887"/>
    <w:rsid w:val="00061979"/>
    <w:rsid w:val="000624A2"/>
    <w:rsid w:val="000639F5"/>
    <w:rsid w:val="000644EA"/>
    <w:rsid w:val="000648E5"/>
    <w:rsid w:val="000670E7"/>
    <w:rsid w:val="000704CD"/>
    <w:rsid w:val="000742F8"/>
    <w:rsid w:val="000757CA"/>
    <w:rsid w:val="0007682E"/>
    <w:rsid w:val="0007794B"/>
    <w:rsid w:val="00077F8F"/>
    <w:rsid w:val="000807E2"/>
    <w:rsid w:val="00080D22"/>
    <w:rsid w:val="0008320A"/>
    <w:rsid w:val="00083454"/>
    <w:rsid w:val="000834FC"/>
    <w:rsid w:val="00084207"/>
    <w:rsid w:val="00084253"/>
    <w:rsid w:val="00087AE1"/>
    <w:rsid w:val="000914C3"/>
    <w:rsid w:val="00091A4E"/>
    <w:rsid w:val="00093FF7"/>
    <w:rsid w:val="000943AA"/>
    <w:rsid w:val="00095AA4"/>
    <w:rsid w:val="00096F6F"/>
    <w:rsid w:val="000A0ABE"/>
    <w:rsid w:val="000A1ACB"/>
    <w:rsid w:val="000A1E61"/>
    <w:rsid w:val="000A2399"/>
    <w:rsid w:val="000A40FB"/>
    <w:rsid w:val="000A58AC"/>
    <w:rsid w:val="000B1871"/>
    <w:rsid w:val="000B3CC2"/>
    <w:rsid w:val="000B4E8F"/>
    <w:rsid w:val="000B5978"/>
    <w:rsid w:val="000B6937"/>
    <w:rsid w:val="000B6FFA"/>
    <w:rsid w:val="000C2A61"/>
    <w:rsid w:val="000C2F08"/>
    <w:rsid w:val="000C66E1"/>
    <w:rsid w:val="000C6C1F"/>
    <w:rsid w:val="000C6E2C"/>
    <w:rsid w:val="000D0B07"/>
    <w:rsid w:val="000D29A9"/>
    <w:rsid w:val="000D3B7F"/>
    <w:rsid w:val="000D3BE8"/>
    <w:rsid w:val="000D4A3D"/>
    <w:rsid w:val="000D6286"/>
    <w:rsid w:val="000D6AE0"/>
    <w:rsid w:val="000D7613"/>
    <w:rsid w:val="000D777F"/>
    <w:rsid w:val="000D7AD5"/>
    <w:rsid w:val="000E1177"/>
    <w:rsid w:val="000E1362"/>
    <w:rsid w:val="000E1D0E"/>
    <w:rsid w:val="000E232B"/>
    <w:rsid w:val="000E2CFD"/>
    <w:rsid w:val="000E31D8"/>
    <w:rsid w:val="000E3297"/>
    <w:rsid w:val="000E3956"/>
    <w:rsid w:val="000E3B89"/>
    <w:rsid w:val="000E3DD8"/>
    <w:rsid w:val="000E4D5A"/>
    <w:rsid w:val="000E4FDA"/>
    <w:rsid w:val="000E6D08"/>
    <w:rsid w:val="000F02A7"/>
    <w:rsid w:val="000F3D11"/>
    <w:rsid w:val="000F408C"/>
    <w:rsid w:val="000F4EC9"/>
    <w:rsid w:val="000F5903"/>
    <w:rsid w:val="000F7870"/>
    <w:rsid w:val="000F7E55"/>
    <w:rsid w:val="001004C2"/>
    <w:rsid w:val="00102574"/>
    <w:rsid w:val="00105084"/>
    <w:rsid w:val="001054AC"/>
    <w:rsid w:val="0011044B"/>
    <w:rsid w:val="001123C8"/>
    <w:rsid w:val="0011438F"/>
    <w:rsid w:val="0011662C"/>
    <w:rsid w:val="00117F7E"/>
    <w:rsid w:val="0012062C"/>
    <w:rsid w:val="00123BF1"/>
    <w:rsid w:val="00123CA6"/>
    <w:rsid w:val="00124A18"/>
    <w:rsid w:val="00130B70"/>
    <w:rsid w:val="00130CBB"/>
    <w:rsid w:val="001319A7"/>
    <w:rsid w:val="00132876"/>
    <w:rsid w:val="00133ACD"/>
    <w:rsid w:val="0013423C"/>
    <w:rsid w:val="001350EB"/>
    <w:rsid w:val="0013648E"/>
    <w:rsid w:val="00136F58"/>
    <w:rsid w:val="0014399B"/>
    <w:rsid w:val="00143A7D"/>
    <w:rsid w:val="00143CFF"/>
    <w:rsid w:val="00145509"/>
    <w:rsid w:val="00145DB3"/>
    <w:rsid w:val="00145E95"/>
    <w:rsid w:val="00147574"/>
    <w:rsid w:val="001476BA"/>
    <w:rsid w:val="00150162"/>
    <w:rsid w:val="00152ABA"/>
    <w:rsid w:val="001537D0"/>
    <w:rsid w:val="001538AE"/>
    <w:rsid w:val="00153FEA"/>
    <w:rsid w:val="001548EC"/>
    <w:rsid w:val="00154E86"/>
    <w:rsid w:val="0015504C"/>
    <w:rsid w:val="00157D78"/>
    <w:rsid w:val="001600F7"/>
    <w:rsid w:val="00160670"/>
    <w:rsid w:val="00160B55"/>
    <w:rsid w:val="0016186C"/>
    <w:rsid w:val="00162C80"/>
    <w:rsid w:val="00163122"/>
    <w:rsid w:val="001638EE"/>
    <w:rsid w:val="00164007"/>
    <w:rsid w:val="00166984"/>
    <w:rsid w:val="00171352"/>
    <w:rsid w:val="00175D6B"/>
    <w:rsid w:val="00176BAF"/>
    <w:rsid w:val="00177EAA"/>
    <w:rsid w:val="001831F7"/>
    <w:rsid w:val="001846A8"/>
    <w:rsid w:val="001850B9"/>
    <w:rsid w:val="00185190"/>
    <w:rsid w:val="001853CB"/>
    <w:rsid w:val="00185594"/>
    <w:rsid w:val="00190EE7"/>
    <w:rsid w:val="00196326"/>
    <w:rsid w:val="001A0CF4"/>
    <w:rsid w:val="001A2C43"/>
    <w:rsid w:val="001A62B8"/>
    <w:rsid w:val="001A685E"/>
    <w:rsid w:val="001A6AB4"/>
    <w:rsid w:val="001A7098"/>
    <w:rsid w:val="001A76DE"/>
    <w:rsid w:val="001A7AB7"/>
    <w:rsid w:val="001A7F30"/>
    <w:rsid w:val="001B15FA"/>
    <w:rsid w:val="001B18AD"/>
    <w:rsid w:val="001B342D"/>
    <w:rsid w:val="001B367D"/>
    <w:rsid w:val="001B76AC"/>
    <w:rsid w:val="001C262A"/>
    <w:rsid w:val="001C3B7A"/>
    <w:rsid w:val="001C4F03"/>
    <w:rsid w:val="001C7F18"/>
    <w:rsid w:val="001D1DC5"/>
    <w:rsid w:val="001D357A"/>
    <w:rsid w:val="001D4E74"/>
    <w:rsid w:val="001E0034"/>
    <w:rsid w:val="001E22DF"/>
    <w:rsid w:val="001E26CE"/>
    <w:rsid w:val="001E3E44"/>
    <w:rsid w:val="001E52AE"/>
    <w:rsid w:val="001E52C5"/>
    <w:rsid w:val="001E5B53"/>
    <w:rsid w:val="001F274C"/>
    <w:rsid w:val="001F2C7D"/>
    <w:rsid w:val="001F43DC"/>
    <w:rsid w:val="001F5C24"/>
    <w:rsid w:val="001F7133"/>
    <w:rsid w:val="002056D4"/>
    <w:rsid w:val="00205CB4"/>
    <w:rsid w:val="00216666"/>
    <w:rsid w:val="00217F56"/>
    <w:rsid w:val="00220E46"/>
    <w:rsid w:val="00222C3D"/>
    <w:rsid w:val="00225235"/>
    <w:rsid w:val="00225FAB"/>
    <w:rsid w:val="002261AD"/>
    <w:rsid w:val="00226749"/>
    <w:rsid w:val="00230000"/>
    <w:rsid w:val="00230E64"/>
    <w:rsid w:val="002352F9"/>
    <w:rsid w:val="00235626"/>
    <w:rsid w:val="002361F8"/>
    <w:rsid w:val="0024246F"/>
    <w:rsid w:val="00242876"/>
    <w:rsid w:val="00243DAA"/>
    <w:rsid w:val="002520B0"/>
    <w:rsid w:val="002522DC"/>
    <w:rsid w:val="002543BE"/>
    <w:rsid w:val="002548A0"/>
    <w:rsid w:val="00260764"/>
    <w:rsid w:val="00262008"/>
    <w:rsid w:val="00262120"/>
    <w:rsid w:val="00263DE0"/>
    <w:rsid w:val="002665C3"/>
    <w:rsid w:val="00270568"/>
    <w:rsid w:val="00270F2D"/>
    <w:rsid w:val="00271784"/>
    <w:rsid w:val="0027186D"/>
    <w:rsid w:val="002727A1"/>
    <w:rsid w:val="00273037"/>
    <w:rsid w:val="002753E9"/>
    <w:rsid w:val="00275D31"/>
    <w:rsid w:val="00277580"/>
    <w:rsid w:val="002801FB"/>
    <w:rsid w:val="002809E6"/>
    <w:rsid w:val="00281010"/>
    <w:rsid w:val="00282C1F"/>
    <w:rsid w:val="00283598"/>
    <w:rsid w:val="00286453"/>
    <w:rsid w:val="00290148"/>
    <w:rsid w:val="002911BE"/>
    <w:rsid w:val="002914EC"/>
    <w:rsid w:val="00291DD2"/>
    <w:rsid w:val="002921F0"/>
    <w:rsid w:val="00292D30"/>
    <w:rsid w:val="0029485E"/>
    <w:rsid w:val="002A1BDC"/>
    <w:rsid w:val="002A20FE"/>
    <w:rsid w:val="002A26AE"/>
    <w:rsid w:val="002A29DF"/>
    <w:rsid w:val="002A2FA5"/>
    <w:rsid w:val="002A3EEA"/>
    <w:rsid w:val="002A6177"/>
    <w:rsid w:val="002A743D"/>
    <w:rsid w:val="002B0569"/>
    <w:rsid w:val="002B1B97"/>
    <w:rsid w:val="002B2212"/>
    <w:rsid w:val="002B28A7"/>
    <w:rsid w:val="002B3852"/>
    <w:rsid w:val="002B79D6"/>
    <w:rsid w:val="002C26C8"/>
    <w:rsid w:val="002C315B"/>
    <w:rsid w:val="002C4683"/>
    <w:rsid w:val="002C6FE2"/>
    <w:rsid w:val="002D24CC"/>
    <w:rsid w:val="002D2B98"/>
    <w:rsid w:val="002D33C8"/>
    <w:rsid w:val="002D3E68"/>
    <w:rsid w:val="002D7386"/>
    <w:rsid w:val="002DA3A5"/>
    <w:rsid w:val="002E22A8"/>
    <w:rsid w:val="002E42DD"/>
    <w:rsid w:val="002E46E3"/>
    <w:rsid w:val="002F035D"/>
    <w:rsid w:val="002F1476"/>
    <w:rsid w:val="002F20CF"/>
    <w:rsid w:val="002F27D2"/>
    <w:rsid w:val="002F6C2A"/>
    <w:rsid w:val="002F78E2"/>
    <w:rsid w:val="003016F9"/>
    <w:rsid w:val="003039FF"/>
    <w:rsid w:val="00303D2D"/>
    <w:rsid w:val="00306AF0"/>
    <w:rsid w:val="0030FDD7"/>
    <w:rsid w:val="00313FC0"/>
    <w:rsid w:val="0031457A"/>
    <w:rsid w:val="00317752"/>
    <w:rsid w:val="00321F2F"/>
    <w:rsid w:val="003220E1"/>
    <w:rsid w:val="00322611"/>
    <w:rsid w:val="003226B3"/>
    <w:rsid w:val="003236BC"/>
    <w:rsid w:val="00323F31"/>
    <w:rsid w:val="00331F4A"/>
    <w:rsid w:val="0033265A"/>
    <w:rsid w:val="00333F75"/>
    <w:rsid w:val="00335282"/>
    <w:rsid w:val="0033554F"/>
    <w:rsid w:val="00335700"/>
    <w:rsid w:val="00336A16"/>
    <w:rsid w:val="00340DF4"/>
    <w:rsid w:val="00343FF1"/>
    <w:rsid w:val="00347594"/>
    <w:rsid w:val="0035244C"/>
    <w:rsid w:val="003529A9"/>
    <w:rsid w:val="00353154"/>
    <w:rsid w:val="00356250"/>
    <w:rsid w:val="003562F2"/>
    <w:rsid w:val="003567EF"/>
    <w:rsid w:val="00357A82"/>
    <w:rsid w:val="00361C0C"/>
    <w:rsid w:val="00364EA6"/>
    <w:rsid w:val="00367C0B"/>
    <w:rsid w:val="00367D92"/>
    <w:rsid w:val="003744A5"/>
    <w:rsid w:val="0037644D"/>
    <w:rsid w:val="00376FAC"/>
    <w:rsid w:val="00377971"/>
    <w:rsid w:val="00377B58"/>
    <w:rsid w:val="003813FF"/>
    <w:rsid w:val="003817D9"/>
    <w:rsid w:val="00381F33"/>
    <w:rsid w:val="003916B5"/>
    <w:rsid w:val="003925E7"/>
    <w:rsid w:val="0039BC2A"/>
    <w:rsid w:val="003A1617"/>
    <w:rsid w:val="003A4264"/>
    <w:rsid w:val="003A57E7"/>
    <w:rsid w:val="003B633C"/>
    <w:rsid w:val="003C20D3"/>
    <w:rsid w:val="003C2E06"/>
    <w:rsid w:val="003C3077"/>
    <w:rsid w:val="003D1F05"/>
    <w:rsid w:val="003D51DF"/>
    <w:rsid w:val="003D6BF7"/>
    <w:rsid w:val="003E215B"/>
    <w:rsid w:val="003E37C2"/>
    <w:rsid w:val="003E5731"/>
    <w:rsid w:val="003E643F"/>
    <w:rsid w:val="003E77C6"/>
    <w:rsid w:val="003F01EE"/>
    <w:rsid w:val="003F0857"/>
    <w:rsid w:val="003F5497"/>
    <w:rsid w:val="003F77DE"/>
    <w:rsid w:val="004009B6"/>
    <w:rsid w:val="004009E6"/>
    <w:rsid w:val="00401034"/>
    <w:rsid w:val="0040120F"/>
    <w:rsid w:val="00401B7F"/>
    <w:rsid w:val="0040278E"/>
    <w:rsid w:val="00404A4A"/>
    <w:rsid w:val="00404BED"/>
    <w:rsid w:val="00413DC1"/>
    <w:rsid w:val="0041405B"/>
    <w:rsid w:val="00415E6A"/>
    <w:rsid w:val="004160C4"/>
    <w:rsid w:val="00417515"/>
    <w:rsid w:val="00417CB5"/>
    <w:rsid w:val="00421780"/>
    <w:rsid w:val="00421A22"/>
    <w:rsid w:val="00423071"/>
    <w:rsid w:val="004230A0"/>
    <w:rsid w:val="00427FCB"/>
    <w:rsid w:val="00430C91"/>
    <w:rsid w:val="004310F4"/>
    <w:rsid w:val="00431EB3"/>
    <w:rsid w:val="00432A38"/>
    <w:rsid w:val="00432A87"/>
    <w:rsid w:val="00435BAA"/>
    <w:rsid w:val="00443EFA"/>
    <w:rsid w:val="004458D0"/>
    <w:rsid w:val="0044662B"/>
    <w:rsid w:val="0046022A"/>
    <w:rsid w:val="00461B83"/>
    <w:rsid w:val="00462E47"/>
    <w:rsid w:val="004632A8"/>
    <w:rsid w:val="0046348B"/>
    <w:rsid w:val="0046585C"/>
    <w:rsid w:val="00465E78"/>
    <w:rsid w:val="00466157"/>
    <w:rsid w:val="0046632C"/>
    <w:rsid w:val="0046699E"/>
    <w:rsid w:val="0046791F"/>
    <w:rsid w:val="0046796A"/>
    <w:rsid w:val="00467DE4"/>
    <w:rsid w:val="00473024"/>
    <w:rsid w:val="0047474D"/>
    <w:rsid w:val="00475F7B"/>
    <w:rsid w:val="00476ED2"/>
    <w:rsid w:val="00477948"/>
    <w:rsid w:val="00481DB2"/>
    <w:rsid w:val="004838C2"/>
    <w:rsid w:val="00484C99"/>
    <w:rsid w:val="004855A2"/>
    <w:rsid w:val="00485E49"/>
    <w:rsid w:val="004864E5"/>
    <w:rsid w:val="004869DC"/>
    <w:rsid w:val="004874F5"/>
    <w:rsid w:val="00487B25"/>
    <w:rsid w:val="0049037E"/>
    <w:rsid w:val="0049129B"/>
    <w:rsid w:val="00491E63"/>
    <w:rsid w:val="00495E5F"/>
    <w:rsid w:val="004A04C4"/>
    <w:rsid w:val="004A1622"/>
    <w:rsid w:val="004A181E"/>
    <w:rsid w:val="004A1B71"/>
    <w:rsid w:val="004A5103"/>
    <w:rsid w:val="004A59B3"/>
    <w:rsid w:val="004A6B20"/>
    <w:rsid w:val="004B025C"/>
    <w:rsid w:val="004B251A"/>
    <w:rsid w:val="004B31B3"/>
    <w:rsid w:val="004B36FD"/>
    <w:rsid w:val="004B4531"/>
    <w:rsid w:val="004B5899"/>
    <w:rsid w:val="004B5B24"/>
    <w:rsid w:val="004B7BB2"/>
    <w:rsid w:val="004C05FD"/>
    <w:rsid w:val="004C1249"/>
    <w:rsid w:val="004C2464"/>
    <w:rsid w:val="004C306D"/>
    <w:rsid w:val="004C3898"/>
    <w:rsid w:val="004C4187"/>
    <w:rsid w:val="004C6162"/>
    <w:rsid w:val="004C640C"/>
    <w:rsid w:val="004C6733"/>
    <w:rsid w:val="004C6981"/>
    <w:rsid w:val="004D0198"/>
    <w:rsid w:val="004D0DA5"/>
    <w:rsid w:val="004D2020"/>
    <w:rsid w:val="004D37C7"/>
    <w:rsid w:val="004D3995"/>
    <w:rsid w:val="004D3DFF"/>
    <w:rsid w:val="004D5D2C"/>
    <w:rsid w:val="004D660A"/>
    <w:rsid w:val="004E038A"/>
    <w:rsid w:val="004E1088"/>
    <w:rsid w:val="004E122E"/>
    <w:rsid w:val="004E158C"/>
    <w:rsid w:val="004E2CF6"/>
    <w:rsid w:val="004E3F4F"/>
    <w:rsid w:val="004E707A"/>
    <w:rsid w:val="004E712A"/>
    <w:rsid w:val="004F01A3"/>
    <w:rsid w:val="004F2A9E"/>
    <w:rsid w:val="004F402A"/>
    <w:rsid w:val="004F7223"/>
    <w:rsid w:val="004F764D"/>
    <w:rsid w:val="004F76E1"/>
    <w:rsid w:val="00501667"/>
    <w:rsid w:val="00501957"/>
    <w:rsid w:val="005068C1"/>
    <w:rsid w:val="00506DE2"/>
    <w:rsid w:val="005102AD"/>
    <w:rsid w:val="00513022"/>
    <w:rsid w:val="00513862"/>
    <w:rsid w:val="005143B8"/>
    <w:rsid w:val="0051449B"/>
    <w:rsid w:val="00516081"/>
    <w:rsid w:val="00522DD8"/>
    <w:rsid w:val="00522E2F"/>
    <w:rsid w:val="0052317C"/>
    <w:rsid w:val="00523805"/>
    <w:rsid w:val="005240D1"/>
    <w:rsid w:val="00525D16"/>
    <w:rsid w:val="00527747"/>
    <w:rsid w:val="00531977"/>
    <w:rsid w:val="00532172"/>
    <w:rsid w:val="00532FD8"/>
    <w:rsid w:val="00534C2C"/>
    <w:rsid w:val="00535A84"/>
    <w:rsid w:val="005368E2"/>
    <w:rsid w:val="00536B7D"/>
    <w:rsid w:val="00537EF6"/>
    <w:rsid w:val="00542158"/>
    <w:rsid w:val="0054243A"/>
    <w:rsid w:val="00542485"/>
    <w:rsid w:val="0054717E"/>
    <w:rsid w:val="005477FA"/>
    <w:rsid w:val="00551B13"/>
    <w:rsid w:val="005571E4"/>
    <w:rsid w:val="005602C3"/>
    <w:rsid w:val="00560F31"/>
    <w:rsid w:val="00563D22"/>
    <w:rsid w:val="0056729D"/>
    <w:rsid w:val="00570124"/>
    <w:rsid w:val="00571A6B"/>
    <w:rsid w:val="0057207D"/>
    <w:rsid w:val="00572843"/>
    <w:rsid w:val="005735E3"/>
    <w:rsid w:val="005740D2"/>
    <w:rsid w:val="0057464F"/>
    <w:rsid w:val="00577D68"/>
    <w:rsid w:val="0058104C"/>
    <w:rsid w:val="00582E78"/>
    <w:rsid w:val="00583403"/>
    <w:rsid w:val="00584E8D"/>
    <w:rsid w:val="00585CDD"/>
    <w:rsid w:val="00587E77"/>
    <w:rsid w:val="005910EF"/>
    <w:rsid w:val="005917EA"/>
    <w:rsid w:val="00593928"/>
    <w:rsid w:val="00594F38"/>
    <w:rsid w:val="005A0D72"/>
    <w:rsid w:val="005A3298"/>
    <w:rsid w:val="005A431D"/>
    <w:rsid w:val="005A5ADC"/>
    <w:rsid w:val="005A6ACA"/>
    <w:rsid w:val="005B012C"/>
    <w:rsid w:val="005B2BDA"/>
    <w:rsid w:val="005B38E4"/>
    <w:rsid w:val="005B72E6"/>
    <w:rsid w:val="005B78E2"/>
    <w:rsid w:val="005C0CBA"/>
    <w:rsid w:val="005C0E9D"/>
    <w:rsid w:val="005C183C"/>
    <w:rsid w:val="005C36DC"/>
    <w:rsid w:val="005D032C"/>
    <w:rsid w:val="005D1C24"/>
    <w:rsid w:val="005D7417"/>
    <w:rsid w:val="005E0E40"/>
    <w:rsid w:val="005E48C7"/>
    <w:rsid w:val="005E4FE6"/>
    <w:rsid w:val="005E6324"/>
    <w:rsid w:val="005F1A0B"/>
    <w:rsid w:val="005F3FAA"/>
    <w:rsid w:val="005F48F7"/>
    <w:rsid w:val="005F5580"/>
    <w:rsid w:val="0060037B"/>
    <w:rsid w:val="00601B3A"/>
    <w:rsid w:val="006025FF"/>
    <w:rsid w:val="0060339D"/>
    <w:rsid w:val="006037E6"/>
    <w:rsid w:val="00604E97"/>
    <w:rsid w:val="0060572B"/>
    <w:rsid w:val="00606ECE"/>
    <w:rsid w:val="006077C1"/>
    <w:rsid w:val="00613D04"/>
    <w:rsid w:val="0062062C"/>
    <w:rsid w:val="0062096E"/>
    <w:rsid w:val="00623B89"/>
    <w:rsid w:val="006403E7"/>
    <w:rsid w:val="00641F80"/>
    <w:rsid w:val="00643D60"/>
    <w:rsid w:val="006500BB"/>
    <w:rsid w:val="006509F7"/>
    <w:rsid w:val="00652A62"/>
    <w:rsid w:val="006535B2"/>
    <w:rsid w:val="0065435E"/>
    <w:rsid w:val="00655F9E"/>
    <w:rsid w:val="006565A1"/>
    <w:rsid w:val="0066251A"/>
    <w:rsid w:val="006636B9"/>
    <w:rsid w:val="00663B2D"/>
    <w:rsid w:val="00664FD6"/>
    <w:rsid w:val="006655EE"/>
    <w:rsid w:val="00666E3C"/>
    <w:rsid w:val="00671E7C"/>
    <w:rsid w:val="006759B8"/>
    <w:rsid w:val="006839CF"/>
    <w:rsid w:val="006854E3"/>
    <w:rsid w:val="006862D4"/>
    <w:rsid w:val="00686B3F"/>
    <w:rsid w:val="00687522"/>
    <w:rsid w:val="006947DB"/>
    <w:rsid w:val="006961D6"/>
    <w:rsid w:val="006A3BBD"/>
    <w:rsid w:val="006B1118"/>
    <w:rsid w:val="006B11C6"/>
    <w:rsid w:val="006B7231"/>
    <w:rsid w:val="006B7F45"/>
    <w:rsid w:val="006C22BA"/>
    <w:rsid w:val="006C4507"/>
    <w:rsid w:val="006D2B20"/>
    <w:rsid w:val="006E0E15"/>
    <w:rsid w:val="006E1E4B"/>
    <w:rsid w:val="006E2011"/>
    <w:rsid w:val="006E22A3"/>
    <w:rsid w:val="006E29B2"/>
    <w:rsid w:val="006E4401"/>
    <w:rsid w:val="006E460E"/>
    <w:rsid w:val="006F0617"/>
    <w:rsid w:val="006F280D"/>
    <w:rsid w:val="006F458A"/>
    <w:rsid w:val="006F632B"/>
    <w:rsid w:val="007010C9"/>
    <w:rsid w:val="007012A9"/>
    <w:rsid w:val="00701F7D"/>
    <w:rsid w:val="00701FD0"/>
    <w:rsid w:val="007023B7"/>
    <w:rsid w:val="0070471A"/>
    <w:rsid w:val="00705A1E"/>
    <w:rsid w:val="007071AF"/>
    <w:rsid w:val="0070770D"/>
    <w:rsid w:val="00711C10"/>
    <w:rsid w:val="00712238"/>
    <w:rsid w:val="00712FAF"/>
    <w:rsid w:val="007131CC"/>
    <w:rsid w:val="0071324E"/>
    <w:rsid w:val="00713BDD"/>
    <w:rsid w:val="00717848"/>
    <w:rsid w:val="00720BAB"/>
    <w:rsid w:val="00723ECB"/>
    <w:rsid w:val="00725F33"/>
    <w:rsid w:val="007275B7"/>
    <w:rsid w:val="007276A2"/>
    <w:rsid w:val="00727EB6"/>
    <w:rsid w:val="0073012D"/>
    <w:rsid w:val="00731516"/>
    <w:rsid w:val="0073440E"/>
    <w:rsid w:val="00735C14"/>
    <w:rsid w:val="00736A73"/>
    <w:rsid w:val="00736D85"/>
    <w:rsid w:val="00736F48"/>
    <w:rsid w:val="00740364"/>
    <w:rsid w:val="007432A0"/>
    <w:rsid w:val="007445D8"/>
    <w:rsid w:val="00744EE3"/>
    <w:rsid w:val="00746EC7"/>
    <w:rsid w:val="00751A6C"/>
    <w:rsid w:val="00752B6A"/>
    <w:rsid w:val="00755CF9"/>
    <w:rsid w:val="00757AE3"/>
    <w:rsid w:val="00761E8D"/>
    <w:rsid w:val="007657BA"/>
    <w:rsid w:val="00770035"/>
    <w:rsid w:val="00771F79"/>
    <w:rsid w:val="00773690"/>
    <w:rsid w:val="00774C56"/>
    <w:rsid w:val="00775671"/>
    <w:rsid w:val="007758E2"/>
    <w:rsid w:val="0077782D"/>
    <w:rsid w:val="0078062B"/>
    <w:rsid w:val="00780D22"/>
    <w:rsid w:val="0078293E"/>
    <w:rsid w:val="00783679"/>
    <w:rsid w:val="00785672"/>
    <w:rsid w:val="00786967"/>
    <w:rsid w:val="00787810"/>
    <w:rsid w:val="00790F86"/>
    <w:rsid w:val="00792BC1"/>
    <w:rsid w:val="00794DDA"/>
    <w:rsid w:val="007A2681"/>
    <w:rsid w:val="007A45F6"/>
    <w:rsid w:val="007A5A9B"/>
    <w:rsid w:val="007A7693"/>
    <w:rsid w:val="007B1302"/>
    <w:rsid w:val="007B2555"/>
    <w:rsid w:val="007B36E9"/>
    <w:rsid w:val="007B5173"/>
    <w:rsid w:val="007B6478"/>
    <w:rsid w:val="007B67B7"/>
    <w:rsid w:val="007B6EEF"/>
    <w:rsid w:val="007B7D7C"/>
    <w:rsid w:val="007C05FB"/>
    <w:rsid w:val="007C227F"/>
    <w:rsid w:val="007C29DB"/>
    <w:rsid w:val="007C3489"/>
    <w:rsid w:val="007C6ADC"/>
    <w:rsid w:val="007C6E31"/>
    <w:rsid w:val="007C7021"/>
    <w:rsid w:val="007D02EB"/>
    <w:rsid w:val="007D05FB"/>
    <w:rsid w:val="007D2DE9"/>
    <w:rsid w:val="007D4400"/>
    <w:rsid w:val="007D467D"/>
    <w:rsid w:val="007D4C9C"/>
    <w:rsid w:val="007D4FFC"/>
    <w:rsid w:val="007D6C80"/>
    <w:rsid w:val="007E3418"/>
    <w:rsid w:val="007E4CA1"/>
    <w:rsid w:val="007E5091"/>
    <w:rsid w:val="007E5413"/>
    <w:rsid w:val="007E5E9C"/>
    <w:rsid w:val="007E79AD"/>
    <w:rsid w:val="007F0B99"/>
    <w:rsid w:val="007F2AF5"/>
    <w:rsid w:val="007F4F8E"/>
    <w:rsid w:val="007F5A4F"/>
    <w:rsid w:val="007F63FA"/>
    <w:rsid w:val="007F6B95"/>
    <w:rsid w:val="00800094"/>
    <w:rsid w:val="0080046A"/>
    <w:rsid w:val="008033F3"/>
    <w:rsid w:val="00803CD5"/>
    <w:rsid w:val="00805008"/>
    <w:rsid w:val="00805170"/>
    <w:rsid w:val="00805BF6"/>
    <w:rsid w:val="008068E4"/>
    <w:rsid w:val="00806CC9"/>
    <w:rsid w:val="008126D5"/>
    <w:rsid w:val="00813076"/>
    <w:rsid w:val="00814A31"/>
    <w:rsid w:val="0081571E"/>
    <w:rsid w:val="008161CC"/>
    <w:rsid w:val="0082189E"/>
    <w:rsid w:val="008240A8"/>
    <w:rsid w:val="00824236"/>
    <w:rsid w:val="00825B1B"/>
    <w:rsid w:val="00830B3E"/>
    <w:rsid w:val="00832AB9"/>
    <w:rsid w:val="00832E3D"/>
    <w:rsid w:val="00832E45"/>
    <w:rsid w:val="00832F2D"/>
    <w:rsid w:val="008347BE"/>
    <w:rsid w:val="008406C2"/>
    <w:rsid w:val="00842851"/>
    <w:rsid w:val="00850D90"/>
    <w:rsid w:val="00850FB4"/>
    <w:rsid w:val="0085313A"/>
    <w:rsid w:val="008539FC"/>
    <w:rsid w:val="00854104"/>
    <w:rsid w:val="00854E30"/>
    <w:rsid w:val="008556FD"/>
    <w:rsid w:val="00855EF3"/>
    <w:rsid w:val="0086041B"/>
    <w:rsid w:val="0086118B"/>
    <w:rsid w:val="008631AF"/>
    <w:rsid w:val="0086734F"/>
    <w:rsid w:val="00870480"/>
    <w:rsid w:val="00870811"/>
    <w:rsid w:val="00872097"/>
    <w:rsid w:val="00873270"/>
    <w:rsid w:val="0087663B"/>
    <w:rsid w:val="0088216A"/>
    <w:rsid w:val="008859E7"/>
    <w:rsid w:val="008861EA"/>
    <w:rsid w:val="00890178"/>
    <w:rsid w:val="008919C4"/>
    <w:rsid w:val="008935FE"/>
    <w:rsid w:val="00894D1C"/>
    <w:rsid w:val="008950C4"/>
    <w:rsid w:val="008A107A"/>
    <w:rsid w:val="008A16C3"/>
    <w:rsid w:val="008A26D1"/>
    <w:rsid w:val="008A2A73"/>
    <w:rsid w:val="008A4785"/>
    <w:rsid w:val="008A64EF"/>
    <w:rsid w:val="008A6FFB"/>
    <w:rsid w:val="008A7CA2"/>
    <w:rsid w:val="008B2778"/>
    <w:rsid w:val="008C0529"/>
    <w:rsid w:val="008C0631"/>
    <w:rsid w:val="008C1DF0"/>
    <w:rsid w:val="008C39DE"/>
    <w:rsid w:val="008C43ED"/>
    <w:rsid w:val="008C52CE"/>
    <w:rsid w:val="008C69A3"/>
    <w:rsid w:val="008C7146"/>
    <w:rsid w:val="008D1F52"/>
    <w:rsid w:val="008D4E19"/>
    <w:rsid w:val="008D516E"/>
    <w:rsid w:val="008D61D0"/>
    <w:rsid w:val="008D7AAA"/>
    <w:rsid w:val="008E2607"/>
    <w:rsid w:val="008E273C"/>
    <w:rsid w:val="008E322C"/>
    <w:rsid w:val="008E4B0D"/>
    <w:rsid w:val="008F0C4C"/>
    <w:rsid w:val="008F5F31"/>
    <w:rsid w:val="008F738E"/>
    <w:rsid w:val="009018D7"/>
    <w:rsid w:val="00904327"/>
    <w:rsid w:val="00906197"/>
    <w:rsid w:val="00910993"/>
    <w:rsid w:val="00910EC9"/>
    <w:rsid w:val="00912AA4"/>
    <w:rsid w:val="0091439C"/>
    <w:rsid w:val="009154F6"/>
    <w:rsid w:val="00915A12"/>
    <w:rsid w:val="00924588"/>
    <w:rsid w:val="00930788"/>
    <w:rsid w:val="00934253"/>
    <w:rsid w:val="00936430"/>
    <w:rsid w:val="00937F43"/>
    <w:rsid w:val="00937FDB"/>
    <w:rsid w:val="00941040"/>
    <w:rsid w:val="00944DE6"/>
    <w:rsid w:val="0094738F"/>
    <w:rsid w:val="00947986"/>
    <w:rsid w:val="00960281"/>
    <w:rsid w:val="0096105A"/>
    <w:rsid w:val="00965596"/>
    <w:rsid w:val="009673F9"/>
    <w:rsid w:val="00971158"/>
    <w:rsid w:val="00971D67"/>
    <w:rsid w:val="00972476"/>
    <w:rsid w:val="0097281A"/>
    <w:rsid w:val="00972B28"/>
    <w:rsid w:val="00972FDE"/>
    <w:rsid w:val="009739AC"/>
    <w:rsid w:val="00975212"/>
    <w:rsid w:val="009767EC"/>
    <w:rsid w:val="0098181C"/>
    <w:rsid w:val="009818DB"/>
    <w:rsid w:val="00983B61"/>
    <w:rsid w:val="00985274"/>
    <w:rsid w:val="0098581A"/>
    <w:rsid w:val="00985DE4"/>
    <w:rsid w:val="00987137"/>
    <w:rsid w:val="009917D4"/>
    <w:rsid w:val="00992E73"/>
    <w:rsid w:val="00992F40"/>
    <w:rsid w:val="00993D21"/>
    <w:rsid w:val="00994DC0"/>
    <w:rsid w:val="009958C8"/>
    <w:rsid w:val="009A0631"/>
    <w:rsid w:val="009A291C"/>
    <w:rsid w:val="009A3A50"/>
    <w:rsid w:val="009A4291"/>
    <w:rsid w:val="009A5428"/>
    <w:rsid w:val="009A5998"/>
    <w:rsid w:val="009A5FA5"/>
    <w:rsid w:val="009A65D4"/>
    <w:rsid w:val="009B30F3"/>
    <w:rsid w:val="009B65DA"/>
    <w:rsid w:val="009C0085"/>
    <w:rsid w:val="009C02D5"/>
    <w:rsid w:val="009C16FA"/>
    <w:rsid w:val="009C1FCD"/>
    <w:rsid w:val="009C26CB"/>
    <w:rsid w:val="009C48B0"/>
    <w:rsid w:val="009C6580"/>
    <w:rsid w:val="009C65AD"/>
    <w:rsid w:val="009C6FF4"/>
    <w:rsid w:val="009D056B"/>
    <w:rsid w:val="009D0D33"/>
    <w:rsid w:val="009D1880"/>
    <w:rsid w:val="009D6AA8"/>
    <w:rsid w:val="009E0BA0"/>
    <w:rsid w:val="009E29E4"/>
    <w:rsid w:val="009E2AD1"/>
    <w:rsid w:val="009E3420"/>
    <w:rsid w:val="009E41B0"/>
    <w:rsid w:val="009E46E3"/>
    <w:rsid w:val="009E4932"/>
    <w:rsid w:val="009E52BE"/>
    <w:rsid w:val="009E7451"/>
    <w:rsid w:val="009E7A01"/>
    <w:rsid w:val="009E7D01"/>
    <w:rsid w:val="009F2024"/>
    <w:rsid w:val="009F24D8"/>
    <w:rsid w:val="009F2E73"/>
    <w:rsid w:val="009F2F15"/>
    <w:rsid w:val="009F370F"/>
    <w:rsid w:val="009F3BBA"/>
    <w:rsid w:val="009F4F88"/>
    <w:rsid w:val="009F4F97"/>
    <w:rsid w:val="009F5421"/>
    <w:rsid w:val="009F57AA"/>
    <w:rsid w:val="009F77D7"/>
    <w:rsid w:val="009F7B78"/>
    <w:rsid w:val="00A041F9"/>
    <w:rsid w:val="00A054BC"/>
    <w:rsid w:val="00A06E7D"/>
    <w:rsid w:val="00A07DC8"/>
    <w:rsid w:val="00A146E9"/>
    <w:rsid w:val="00A15459"/>
    <w:rsid w:val="00A17644"/>
    <w:rsid w:val="00A20775"/>
    <w:rsid w:val="00A209BF"/>
    <w:rsid w:val="00A20B7B"/>
    <w:rsid w:val="00A21F8C"/>
    <w:rsid w:val="00A235AB"/>
    <w:rsid w:val="00A23B8C"/>
    <w:rsid w:val="00A24B8C"/>
    <w:rsid w:val="00A31ECA"/>
    <w:rsid w:val="00A32FE8"/>
    <w:rsid w:val="00A33251"/>
    <w:rsid w:val="00A344CB"/>
    <w:rsid w:val="00A367A8"/>
    <w:rsid w:val="00A40662"/>
    <w:rsid w:val="00A40D9E"/>
    <w:rsid w:val="00A447FB"/>
    <w:rsid w:val="00A450AA"/>
    <w:rsid w:val="00A46C20"/>
    <w:rsid w:val="00A530F6"/>
    <w:rsid w:val="00A576BC"/>
    <w:rsid w:val="00A625AD"/>
    <w:rsid w:val="00A67F4A"/>
    <w:rsid w:val="00A70A12"/>
    <w:rsid w:val="00A734AB"/>
    <w:rsid w:val="00A75847"/>
    <w:rsid w:val="00A8088F"/>
    <w:rsid w:val="00A825D3"/>
    <w:rsid w:val="00A839C8"/>
    <w:rsid w:val="00A83F1E"/>
    <w:rsid w:val="00A842B6"/>
    <w:rsid w:val="00A865E5"/>
    <w:rsid w:val="00A87570"/>
    <w:rsid w:val="00A9186A"/>
    <w:rsid w:val="00A91928"/>
    <w:rsid w:val="00A939D4"/>
    <w:rsid w:val="00A96261"/>
    <w:rsid w:val="00AA12F8"/>
    <w:rsid w:val="00AA7C88"/>
    <w:rsid w:val="00AB0D0B"/>
    <w:rsid w:val="00AB18E5"/>
    <w:rsid w:val="00AB2842"/>
    <w:rsid w:val="00AB4211"/>
    <w:rsid w:val="00AB77FE"/>
    <w:rsid w:val="00AC0088"/>
    <w:rsid w:val="00AC1482"/>
    <w:rsid w:val="00AC3B55"/>
    <w:rsid w:val="00AC4E74"/>
    <w:rsid w:val="00AC6049"/>
    <w:rsid w:val="00AC62AB"/>
    <w:rsid w:val="00AD017C"/>
    <w:rsid w:val="00AD42F8"/>
    <w:rsid w:val="00AD4F26"/>
    <w:rsid w:val="00AD542B"/>
    <w:rsid w:val="00AD78D1"/>
    <w:rsid w:val="00AE1E78"/>
    <w:rsid w:val="00AE2198"/>
    <w:rsid w:val="00AE30BD"/>
    <w:rsid w:val="00AE37F4"/>
    <w:rsid w:val="00AF52CE"/>
    <w:rsid w:val="00AF622B"/>
    <w:rsid w:val="00AF7CAE"/>
    <w:rsid w:val="00B00214"/>
    <w:rsid w:val="00B01817"/>
    <w:rsid w:val="00B01BF3"/>
    <w:rsid w:val="00B021C5"/>
    <w:rsid w:val="00B05659"/>
    <w:rsid w:val="00B10860"/>
    <w:rsid w:val="00B13A0A"/>
    <w:rsid w:val="00B15266"/>
    <w:rsid w:val="00B164FB"/>
    <w:rsid w:val="00B207E6"/>
    <w:rsid w:val="00B22E0F"/>
    <w:rsid w:val="00B23C23"/>
    <w:rsid w:val="00B24A0E"/>
    <w:rsid w:val="00B26040"/>
    <w:rsid w:val="00B2658A"/>
    <w:rsid w:val="00B30EFE"/>
    <w:rsid w:val="00B34356"/>
    <w:rsid w:val="00B368A1"/>
    <w:rsid w:val="00B37C1B"/>
    <w:rsid w:val="00B37E14"/>
    <w:rsid w:val="00B40CB9"/>
    <w:rsid w:val="00B40E75"/>
    <w:rsid w:val="00B41FFD"/>
    <w:rsid w:val="00B477CF"/>
    <w:rsid w:val="00B50359"/>
    <w:rsid w:val="00B50AEF"/>
    <w:rsid w:val="00B528ED"/>
    <w:rsid w:val="00B5384A"/>
    <w:rsid w:val="00B54603"/>
    <w:rsid w:val="00B55725"/>
    <w:rsid w:val="00B57E1E"/>
    <w:rsid w:val="00B57F03"/>
    <w:rsid w:val="00B57FB4"/>
    <w:rsid w:val="00B61885"/>
    <w:rsid w:val="00B61BA3"/>
    <w:rsid w:val="00B61BC7"/>
    <w:rsid w:val="00B622EE"/>
    <w:rsid w:val="00B63286"/>
    <w:rsid w:val="00B66005"/>
    <w:rsid w:val="00B665F6"/>
    <w:rsid w:val="00B672E1"/>
    <w:rsid w:val="00B67436"/>
    <w:rsid w:val="00B70743"/>
    <w:rsid w:val="00B70FFE"/>
    <w:rsid w:val="00B71091"/>
    <w:rsid w:val="00B755F1"/>
    <w:rsid w:val="00B814EA"/>
    <w:rsid w:val="00B83109"/>
    <w:rsid w:val="00B853CD"/>
    <w:rsid w:val="00B87A32"/>
    <w:rsid w:val="00B922E2"/>
    <w:rsid w:val="00B93A69"/>
    <w:rsid w:val="00B93EE6"/>
    <w:rsid w:val="00B940AE"/>
    <w:rsid w:val="00B954B9"/>
    <w:rsid w:val="00BA1021"/>
    <w:rsid w:val="00BA4275"/>
    <w:rsid w:val="00BA7003"/>
    <w:rsid w:val="00BB40F9"/>
    <w:rsid w:val="00BB64B4"/>
    <w:rsid w:val="00BC05ED"/>
    <w:rsid w:val="00BC35CE"/>
    <w:rsid w:val="00BD0E0C"/>
    <w:rsid w:val="00BD1008"/>
    <w:rsid w:val="00BD1075"/>
    <w:rsid w:val="00BD22BC"/>
    <w:rsid w:val="00BD4CD5"/>
    <w:rsid w:val="00BD5969"/>
    <w:rsid w:val="00BD64C6"/>
    <w:rsid w:val="00BE1D4C"/>
    <w:rsid w:val="00BE2B6F"/>
    <w:rsid w:val="00BE30DF"/>
    <w:rsid w:val="00BE4D1B"/>
    <w:rsid w:val="00BF0C3F"/>
    <w:rsid w:val="00BF3474"/>
    <w:rsid w:val="00BF3F48"/>
    <w:rsid w:val="00BF5A9C"/>
    <w:rsid w:val="00BF696F"/>
    <w:rsid w:val="00C003FD"/>
    <w:rsid w:val="00C029FC"/>
    <w:rsid w:val="00C02E98"/>
    <w:rsid w:val="00C030CE"/>
    <w:rsid w:val="00C11984"/>
    <w:rsid w:val="00C13FB3"/>
    <w:rsid w:val="00C16329"/>
    <w:rsid w:val="00C16457"/>
    <w:rsid w:val="00C177BB"/>
    <w:rsid w:val="00C20D2D"/>
    <w:rsid w:val="00C21EBA"/>
    <w:rsid w:val="00C26604"/>
    <w:rsid w:val="00C27408"/>
    <w:rsid w:val="00C27CA4"/>
    <w:rsid w:val="00C3007E"/>
    <w:rsid w:val="00C36CC0"/>
    <w:rsid w:val="00C37014"/>
    <w:rsid w:val="00C370B9"/>
    <w:rsid w:val="00C41D3D"/>
    <w:rsid w:val="00C4237F"/>
    <w:rsid w:val="00C42A57"/>
    <w:rsid w:val="00C45CBB"/>
    <w:rsid w:val="00C4614D"/>
    <w:rsid w:val="00C47923"/>
    <w:rsid w:val="00C47E64"/>
    <w:rsid w:val="00C52D9E"/>
    <w:rsid w:val="00C54C64"/>
    <w:rsid w:val="00C55990"/>
    <w:rsid w:val="00C56038"/>
    <w:rsid w:val="00C560AE"/>
    <w:rsid w:val="00C63021"/>
    <w:rsid w:val="00C645BD"/>
    <w:rsid w:val="00C65B43"/>
    <w:rsid w:val="00C65F37"/>
    <w:rsid w:val="00C67636"/>
    <w:rsid w:val="00C708A9"/>
    <w:rsid w:val="00C71BD8"/>
    <w:rsid w:val="00C71C45"/>
    <w:rsid w:val="00C72059"/>
    <w:rsid w:val="00C72B3A"/>
    <w:rsid w:val="00C7422C"/>
    <w:rsid w:val="00C82E91"/>
    <w:rsid w:val="00C853A8"/>
    <w:rsid w:val="00C860B0"/>
    <w:rsid w:val="00C86783"/>
    <w:rsid w:val="00C87FF7"/>
    <w:rsid w:val="00C92624"/>
    <w:rsid w:val="00C94E56"/>
    <w:rsid w:val="00CA0E6A"/>
    <w:rsid w:val="00CA2499"/>
    <w:rsid w:val="00CA47ED"/>
    <w:rsid w:val="00CA5207"/>
    <w:rsid w:val="00CA548B"/>
    <w:rsid w:val="00CA6911"/>
    <w:rsid w:val="00CB1652"/>
    <w:rsid w:val="00CB3974"/>
    <w:rsid w:val="00CB5BDC"/>
    <w:rsid w:val="00CB622D"/>
    <w:rsid w:val="00CB759A"/>
    <w:rsid w:val="00CB7F43"/>
    <w:rsid w:val="00CC3F5E"/>
    <w:rsid w:val="00CC5BDC"/>
    <w:rsid w:val="00CC6384"/>
    <w:rsid w:val="00CC6772"/>
    <w:rsid w:val="00CD0E34"/>
    <w:rsid w:val="00CD223C"/>
    <w:rsid w:val="00CD223F"/>
    <w:rsid w:val="00CD389E"/>
    <w:rsid w:val="00CD3BE1"/>
    <w:rsid w:val="00CD4882"/>
    <w:rsid w:val="00CD52D3"/>
    <w:rsid w:val="00CD541E"/>
    <w:rsid w:val="00CD5642"/>
    <w:rsid w:val="00CE0C08"/>
    <w:rsid w:val="00CE10DE"/>
    <w:rsid w:val="00CE1B1D"/>
    <w:rsid w:val="00CE3FFB"/>
    <w:rsid w:val="00CE6D2B"/>
    <w:rsid w:val="00CE7A42"/>
    <w:rsid w:val="00CE7FE3"/>
    <w:rsid w:val="00CF1856"/>
    <w:rsid w:val="00CF1FC7"/>
    <w:rsid w:val="00CF234B"/>
    <w:rsid w:val="00CF2C10"/>
    <w:rsid w:val="00CF3FBE"/>
    <w:rsid w:val="00CF4C81"/>
    <w:rsid w:val="00CF7108"/>
    <w:rsid w:val="00CF7A08"/>
    <w:rsid w:val="00D006A0"/>
    <w:rsid w:val="00D00BAC"/>
    <w:rsid w:val="00D032D5"/>
    <w:rsid w:val="00D073EA"/>
    <w:rsid w:val="00D11413"/>
    <w:rsid w:val="00D11A45"/>
    <w:rsid w:val="00D13619"/>
    <w:rsid w:val="00D14756"/>
    <w:rsid w:val="00D15004"/>
    <w:rsid w:val="00D16090"/>
    <w:rsid w:val="00D16856"/>
    <w:rsid w:val="00D208CC"/>
    <w:rsid w:val="00D20B57"/>
    <w:rsid w:val="00D21002"/>
    <w:rsid w:val="00D21508"/>
    <w:rsid w:val="00D22DDB"/>
    <w:rsid w:val="00D23AB0"/>
    <w:rsid w:val="00D266A2"/>
    <w:rsid w:val="00D306A9"/>
    <w:rsid w:val="00D30936"/>
    <w:rsid w:val="00D31727"/>
    <w:rsid w:val="00D32A9F"/>
    <w:rsid w:val="00D41D6A"/>
    <w:rsid w:val="00D42865"/>
    <w:rsid w:val="00D44F6B"/>
    <w:rsid w:val="00D459D0"/>
    <w:rsid w:val="00D46271"/>
    <w:rsid w:val="00D503DC"/>
    <w:rsid w:val="00D504AA"/>
    <w:rsid w:val="00D52551"/>
    <w:rsid w:val="00D52C2E"/>
    <w:rsid w:val="00D56621"/>
    <w:rsid w:val="00D57EC8"/>
    <w:rsid w:val="00D60005"/>
    <w:rsid w:val="00D606B0"/>
    <w:rsid w:val="00D614EC"/>
    <w:rsid w:val="00D61878"/>
    <w:rsid w:val="00D61F49"/>
    <w:rsid w:val="00D61F62"/>
    <w:rsid w:val="00D62599"/>
    <w:rsid w:val="00D63DD2"/>
    <w:rsid w:val="00D646CA"/>
    <w:rsid w:val="00D65817"/>
    <w:rsid w:val="00D65ACD"/>
    <w:rsid w:val="00D66954"/>
    <w:rsid w:val="00D672C5"/>
    <w:rsid w:val="00D7086F"/>
    <w:rsid w:val="00D71696"/>
    <w:rsid w:val="00D721BB"/>
    <w:rsid w:val="00D8083B"/>
    <w:rsid w:val="00D81A3B"/>
    <w:rsid w:val="00D82D32"/>
    <w:rsid w:val="00D842C8"/>
    <w:rsid w:val="00D86695"/>
    <w:rsid w:val="00D873FF"/>
    <w:rsid w:val="00D9156E"/>
    <w:rsid w:val="00D9216A"/>
    <w:rsid w:val="00D928D9"/>
    <w:rsid w:val="00D93F9A"/>
    <w:rsid w:val="00D9536D"/>
    <w:rsid w:val="00D95B11"/>
    <w:rsid w:val="00D95B6E"/>
    <w:rsid w:val="00DA04A9"/>
    <w:rsid w:val="00DA14A6"/>
    <w:rsid w:val="00DA1EB7"/>
    <w:rsid w:val="00DA2235"/>
    <w:rsid w:val="00DA25CA"/>
    <w:rsid w:val="00DA2903"/>
    <w:rsid w:val="00DA51BB"/>
    <w:rsid w:val="00DA56E8"/>
    <w:rsid w:val="00DA6A65"/>
    <w:rsid w:val="00DA7873"/>
    <w:rsid w:val="00DA7FB4"/>
    <w:rsid w:val="00DB05E6"/>
    <w:rsid w:val="00DB16BC"/>
    <w:rsid w:val="00DB27D4"/>
    <w:rsid w:val="00DB388C"/>
    <w:rsid w:val="00DB7CA6"/>
    <w:rsid w:val="00DC0BC6"/>
    <w:rsid w:val="00DC1518"/>
    <w:rsid w:val="00DC1CD4"/>
    <w:rsid w:val="00DC32E1"/>
    <w:rsid w:val="00DC41F5"/>
    <w:rsid w:val="00DC4779"/>
    <w:rsid w:val="00DC4C36"/>
    <w:rsid w:val="00DC76B5"/>
    <w:rsid w:val="00DD005A"/>
    <w:rsid w:val="00DD06E4"/>
    <w:rsid w:val="00DD09AD"/>
    <w:rsid w:val="00DD2B91"/>
    <w:rsid w:val="00DD3D29"/>
    <w:rsid w:val="00DD3ECD"/>
    <w:rsid w:val="00DD485F"/>
    <w:rsid w:val="00DD6302"/>
    <w:rsid w:val="00DD7647"/>
    <w:rsid w:val="00DE4F2D"/>
    <w:rsid w:val="00DE64B4"/>
    <w:rsid w:val="00DF0D13"/>
    <w:rsid w:val="00DF308A"/>
    <w:rsid w:val="00E00514"/>
    <w:rsid w:val="00E014CB"/>
    <w:rsid w:val="00E02372"/>
    <w:rsid w:val="00E0629E"/>
    <w:rsid w:val="00E06A78"/>
    <w:rsid w:val="00E07C77"/>
    <w:rsid w:val="00E14077"/>
    <w:rsid w:val="00E1489F"/>
    <w:rsid w:val="00E14BF9"/>
    <w:rsid w:val="00E15BBC"/>
    <w:rsid w:val="00E1601D"/>
    <w:rsid w:val="00E17C5D"/>
    <w:rsid w:val="00E21E17"/>
    <w:rsid w:val="00E2235D"/>
    <w:rsid w:val="00E22F19"/>
    <w:rsid w:val="00E23A49"/>
    <w:rsid w:val="00E243E7"/>
    <w:rsid w:val="00E245FE"/>
    <w:rsid w:val="00E3001D"/>
    <w:rsid w:val="00E32FE4"/>
    <w:rsid w:val="00E35459"/>
    <w:rsid w:val="00E4137E"/>
    <w:rsid w:val="00E41B98"/>
    <w:rsid w:val="00E41FA2"/>
    <w:rsid w:val="00E42258"/>
    <w:rsid w:val="00E424F0"/>
    <w:rsid w:val="00E42DF0"/>
    <w:rsid w:val="00E45DE7"/>
    <w:rsid w:val="00E4666D"/>
    <w:rsid w:val="00E47631"/>
    <w:rsid w:val="00E478C4"/>
    <w:rsid w:val="00E50C45"/>
    <w:rsid w:val="00E525E4"/>
    <w:rsid w:val="00E531DF"/>
    <w:rsid w:val="00E549FA"/>
    <w:rsid w:val="00E54B80"/>
    <w:rsid w:val="00E556DB"/>
    <w:rsid w:val="00E55A32"/>
    <w:rsid w:val="00E60AE8"/>
    <w:rsid w:val="00E60F6C"/>
    <w:rsid w:val="00E6192F"/>
    <w:rsid w:val="00E61DEB"/>
    <w:rsid w:val="00E62E7C"/>
    <w:rsid w:val="00E645C0"/>
    <w:rsid w:val="00E64722"/>
    <w:rsid w:val="00E650BA"/>
    <w:rsid w:val="00E71CCA"/>
    <w:rsid w:val="00E7259B"/>
    <w:rsid w:val="00E73721"/>
    <w:rsid w:val="00E755B6"/>
    <w:rsid w:val="00E757ED"/>
    <w:rsid w:val="00E7649D"/>
    <w:rsid w:val="00E845F6"/>
    <w:rsid w:val="00E8730C"/>
    <w:rsid w:val="00E8753E"/>
    <w:rsid w:val="00E90300"/>
    <w:rsid w:val="00E90E8E"/>
    <w:rsid w:val="00E9707F"/>
    <w:rsid w:val="00E97A85"/>
    <w:rsid w:val="00EA0B01"/>
    <w:rsid w:val="00EA13D6"/>
    <w:rsid w:val="00EA16B5"/>
    <w:rsid w:val="00EA3EA7"/>
    <w:rsid w:val="00EA5861"/>
    <w:rsid w:val="00EA6727"/>
    <w:rsid w:val="00EA7A1B"/>
    <w:rsid w:val="00EB083C"/>
    <w:rsid w:val="00EB0A4B"/>
    <w:rsid w:val="00EB2DA2"/>
    <w:rsid w:val="00EB322E"/>
    <w:rsid w:val="00EB47F1"/>
    <w:rsid w:val="00EB4D6B"/>
    <w:rsid w:val="00EB7313"/>
    <w:rsid w:val="00EB795B"/>
    <w:rsid w:val="00EC1CDE"/>
    <w:rsid w:val="00ED016A"/>
    <w:rsid w:val="00ED29C5"/>
    <w:rsid w:val="00ED33B3"/>
    <w:rsid w:val="00ED4593"/>
    <w:rsid w:val="00ED52CF"/>
    <w:rsid w:val="00ED5C36"/>
    <w:rsid w:val="00ED6180"/>
    <w:rsid w:val="00ED6B8E"/>
    <w:rsid w:val="00ED715F"/>
    <w:rsid w:val="00ED7D35"/>
    <w:rsid w:val="00EE25F1"/>
    <w:rsid w:val="00EE2B4D"/>
    <w:rsid w:val="00EE3173"/>
    <w:rsid w:val="00EE31F1"/>
    <w:rsid w:val="00EE6305"/>
    <w:rsid w:val="00EE6F8E"/>
    <w:rsid w:val="00EE7B10"/>
    <w:rsid w:val="00EF04FF"/>
    <w:rsid w:val="00EF0529"/>
    <w:rsid w:val="00EF30D5"/>
    <w:rsid w:val="00EF657D"/>
    <w:rsid w:val="00F00B70"/>
    <w:rsid w:val="00F00D40"/>
    <w:rsid w:val="00F022B9"/>
    <w:rsid w:val="00F02F4F"/>
    <w:rsid w:val="00F0540D"/>
    <w:rsid w:val="00F074EF"/>
    <w:rsid w:val="00F0750E"/>
    <w:rsid w:val="00F075D5"/>
    <w:rsid w:val="00F10C47"/>
    <w:rsid w:val="00F112D3"/>
    <w:rsid w:val="00F14422"/>
    <w:rsid w:val="00F14EE6"/>
    <w:rsid w:val="00F15631"/>
    <w:rsid w:val="00F23EC7"/>
    <w:rsid w:val="00F242ED"/>
    <w:rsid w:val="00F2489B"/>
    <w:rsid w:val="00F267EF"/>
    <w:rsid w:val="00F31AEA"/>
    <w:rsid w:val="00F326ED"/>
    <w:rsid w:val="00F34E78"/>
    <w:rsid w:val="00F4221B"/>
    <w:rsid w:val="00F446A8"/>
    <w:rsid w:val="00F44B3B"/>
    <w:rsid w:val="00F46099"/>
    <w:rsid w:val="00F472B1"/>
    <w:rsid w:val="00F479F9"/>
    <w:rsid w:val="00F51773"/>
    <w:rsid w:val="00F54988"/>
    <w:rsid w:val="00F575B9"/>
    <w:rsid w:val="00F60F2C"/>
    <w:rsid w:val="00F64991"/>
    <w:rsid w:val="00F64A55"/>
    <w:rsid w:val="00F671B1"/>
    <w:rsid w:val="00F70815"/>
    <w:rsid w:val="00F71169"/>
    <w:rsid w:val="00F722B5"/>
    <w:rsid w:val="00F7338A"/>
    <w:rsid w:val="00F73BDC"/>
    <w:rsid w:val="00F76E9B"/>
    <w:rsid w:val="00F77D0F"/>
    <w:rsid w:val="00F8182B"/>
    <w:rsid w:val="00F82B51"/>
    <w:rsid w:val="00F83013"/>
    <w:rsid w:val="00F85F6B"/>
    <w:rsid w:val="00F876B3"/>
    <w:rsid w:val="00F9040D"/>
    <w:rsid w:val="00F90445"/>
    <w:rsid w:val="00F920D3"/>
    <w:rsid w:val="00F928BC"/>
    <w:rsid w:val="00F96705"/>
    <w:rsid w:val="00FA075A"/>
    <w:rsid w:val="00FA5C7D"/>
    <w:rsid w:val="00FA6EB8"/>
    <w:rsid w:val="00FB06C0"/>
    <w:rsid w:val="00FB4E05"/>
    <w:rsid w:val="00FB5E6A"/>
    <w:rsid w:val="00FB5EDC"/>
    <w:rsid w:val="00FB74C7"/>
    <w:rsid w:val="00FC1201"/>
    <w:rsid w:val="00FC1D47"/>
    <w:rsid w:val="00FC2ED2"/>
    <w:rsid w:val="00FC31CA"/>
    <w:rsid w:val="00FD1077"/>
    <w:rsid w:val="00FD1CBE"/>
    <w:rsid w:val="00FD232A"/>
    <w:rsid w:val="00FD417D"/>
    <w:rsid w:val="00FD6E5D"/>
    <w:rsid w:val="00FD6FC9"/>
    <w:rsid w:val="00FD7490"/>
    <w:rsid w:val="00FE0E10"/>
    <w:rsid w:val="00FE1086"/>
    <w:rsid w:val="00FE21DF"/>
    <w:rsid w:val="00FE24F6"/>
    <w:rsid w:val="00FE2A41"/>
    <w:rsid w:val="00FE2FC4"/>
    <w:rsid w:val="00FE63EE"/>
    <w:rsid w:val="00FF4136"/>
    <w:rsid w:val="00FF6856"/>
    <w:rsid w:val="00FF71A4"/>
    <w:rsid w:val="010F0C03"/>
    <w:rsid w:val="011CD0B7"/>
    <w:rsid w:val="012FBB49"/>
    <w:rsid w:val="0135F270"/>
    <w:rsid w:val="0135F7AD"/>
    <w:rsid w:val="01A8793E"/>
    <w:rsid w:val="01EE4F66"/>
    <w:rsid w:val="0205AD37"/>
    <w:rsid w:val="024D8761"/>
    <w:rsid w:val="026541CA"/>
    <w:rsid w:val="029E4A5A"/>
    <w:rsid w:val="02A2E45C"/>
    <w:rsid w:val="02AA76C2"/>
    <w:rsid w:val="02B2723B"/>
    <w:rsid w:val="02B7545D"/>
    <w:rsid w:val="02CDFCA4"/>
    <w:rsid w:val="02D210F3"/>
    <w:rsid w:val="02E474A4"/>
    <w:rsid w:val="030E7C0A"/>
    <w:rsid w:val="03239BB7"/>
    <w:rsid w:val="03D24FDC"/>
    <w:rsid w:val="03EE445D"/>
    <w:rsid w:val="03F01571"/>
    <w:rsid w:val="041C216E"/>
    <w:rsid w:val="05089CDF"/>
    <w:rsid w:val="050FAA71"/>
    <w:rsid w:val="051BC01E"/>
    <w:rsid w:val="053A3F29"/>
    <w:rsid w:val="056BE9B1"/>
    <w:rsid w:val="0582E084"/>
    <w:rsid w:val="0592231D"/>
    <w:rsid w:val="05FDDFFE"/>
    <w:rsid w:val="062CD0EA"/>
    <w:rsid w:val="06487B4A"/>
    <w:rsid w:val="068413D1"/>
    <w:rsid w:val="068968A4"/>
    <w:rsid w:val="06EF02D4"/>
    <w:rsid w:val="06F05BB4"/>
    <w:rsid w:val="06F8983C"/>
    <w:rsid w:val="07076B80"/>
    <w:rsid w:val="071FA67E"/>
    <w:rsid w:val="0732E1E9"/>
    <w:rsid w:val="07A3199E"/>
    <w:rsid w:val="080777E6"/>
    <w:rsid w:val="0845C936"/>
    <w:rsid w:val="086A1B49"/>
    <w:rsid w:val="08705B20"/>
    <w:rsid w:val="088A0416"/>
    <w:rsid w:val="08A77959"/>
    <w:rsid w:val="08D6D3D2"/>
    <w:rsid w:val="092D5CA3"/>
    <w:rsid w:val="0930B91C"/>
    <w:rsid w:val="093DE264"/>
    <w:rsid w:val="09435CC4"/>
    <w:rsid w:val="094FA7D6"/>
    <w:rsid w:val="096A5B61"/>
    <w:rsid w:val="099D1A5F"/>
    <w:rsid w:val="09A16485"/>
    <w:rsid w:val="09A9F496"/>
    <w:rsid w:val="0A0B99BD"/>
    <w:rsid w:val="0A6E8960"/>
    <w:rsid w:val="0A720847"/>
    <w:rsid w:val="0A742920"/>
    <w:rsid w:val="0A79F1FB"/>
    <w:rsid w:val="0AAB3F37"/>
    <w:rsid w:val="0AC209B4"/>
    <w:rsid w:val="0ACB2771"/>
    <w:rsid w:val="0AD6BA4B"/>
    <w:rsid w:val="0B34C773"/>
    <w:rsid w:val="0B56A5A9"/>
    <w:rsid w:val="0B78E997"/>
    <w:rsid w:val="0BD1C13E"/>
    <w:rsid w:val="0BD79288"/>
    <w:rsid w:val="0BEAE88A"/>
    <w:rsid w:val="0C0E8DC7"/>
    <w:rsid w:val="0C380983"/>
    <w:rsid w:val="0C40D435"/>
    <w:rsid w:val="0C6BA740"/>
    <w:rsid w:val="0C779F3D"/>
    <w:rsid w:val="0C8DA005"/>
    <w:rsid w:val="0CAE997B"/>
    <w:rsid w:val="0CB6DD20"/>
    <w:rsid w:val="0CC34D79"/>
    <w:rsid w:val="0D5801EC"/>
    <w:rsid w:val="0D7115A7"/>
    <w:rsid w:val="0DAB326A"/>
    <w:rsid w:val="0DE53161"/>
    <w:rsid w:val="0E326328"/>
    <w:rsid w:val="0E51A48A"/>
    <w:rsid w:val="0EAF1368"/>
    <w:rsid w:val="0EEC915A"/>
    <w:rsid w:val="0F0C7E80"/>
    <w:rsid w:val="0F537845"/>
    <w:rsid w:val="0F56B9C4"/>
    <w:rsid w:val="0F5DE012"/>
    <w:rsid w:val="0F6DC609"/>
    <w:rsid w:val="0F8EC28F"/>
    <w:rsid w:val="0F962664"/>
    <w:rsid w:val="0FAF642C"/>
    <w:rsid w:val="0FBBB9C3"/>
    <w:rsid w:val="0FED74EB"/>
    <w:rsid w:val="0FF18C64"/>
    <w:rsid w:val="0FF4F9EE"/>
    <w:rsid w:val="10E5317F"/>
    <w:rsid w:val="10EB2559"/>
    <w:rsid w:val="110C7867"/>
    <w:rsid w:val="111AA8B9"/>
    <w:rsid w:val="113FC388"/>
    <w:rsid w:val="119BBA61"/>
    <w:rsid w:val="11B5769F"/>
    <w:rsid w:val="11F86A77"/>
    <w:rsid w:val="12045C33"/>
    <w:rsid w:val="122D3874"/>
    <w:rsid w:val="124486CA"/>
    <w:rsid w:val="124A7836"/>
    <w:rsid w:val="125FAF1C"/>
    <w:rsid w:val="1282305D"/>
    <w:rsid w:val="12B8A284"/>
    <w:rsid w:val="12E9101A"/>
    <w:rsid w:val="13181342"/>
    <w:rsid w:val="13255D3E"/>
    <w:rsid w:val="133E040F"/>
    <w:rsid w:val="13B25AA9"/>
    <w:rsid w:val="13BB607B"/>
    <w:rsid w:val="13D98205"/>
    <w:rsid w:val="13EFA7C9"/>
    <w:rsid w:val="14209B22"/>
    <w:rsid w:val="14B82F96"/>
    <w:rsid w:val="153CBD62"/>
    <w:rsid w:val="1572B56F"/>
    <w:rsid w:val="157FEDE9"/>
    <w:rsid w:val="159AE746"/>
    <w:rsid w:val="15BBDA37"/>
    <w:rsid w:val="161D2222"/>
    <w:rsid w:val="164AEF4D"/>
    <w:rsid w:val="16B03F89"/>
    <w:rsid w:val="16D512B8"/>
    <w:rsid w:val="16EBC0EE"/>
    <w:rsid w:val="16EC08EF"/>
    <w:rsid w:val="1705EFEC"/>
    <w:rsid w:val="173FF924"/>
    <w:rsid w:val="17400FBC"/>
    <w:rsid w:val="17B4C688"/>
    <w:rsid w:val="17CD8A3E"/>
    <w:rsid w:val="181020B9"/>
    <w:rsid w:val="18201AD3"/>
    <w:rsid w:val="18306354"/>
    <w:rsid w:val="1835AA14"/>
    <w:rsid w:val="18A95EFB"/>
    <w:rsid w:val="19165007"/>
    <w:rsid w:val="19206867"/>
    <w:rsid w:val="19300364"/>
    <w:rsid w:val="19426875"/>
    <w:rsid w:val="194ACB49"/>
    <w:rsid w:val="195AEEA0"/>
    <w:rsid w:val="19C52EAC"/>
    <w:rsid w:val="19C778F0"/>
    <w:rsid w:val="19D77ED4"/>
    <w:rsid w:val="19DD51FC"/>
    <w:rsid w:val="19F0488D"/>
    <w:rsid w:val="1A1C65B1"/>
    <w:rsid w:val="1A300900"/>
    <w:rsid w:val="1A3CC563"/>
    <w:rsid w:val="1A689B29"/>
    <w:rsid w:val="1A6B3BE9"/>
    <w:rsid w:val="1AB051AA"/>
    <w:rsid w:val="1ADADC53"/>
    <w:rsid w:val="1AF7FE2A"/>
    <w:rsid w:val="1B244F18"/>
    <w:rsid w:val="1B301934"/>
    <w:rsid w:val="1B496254"/>
    <w:rsid w:val="1B52C757"/>
    <w:rsid w:val="1B8693E0"/>
    <w:rsid w:val="1C1A49D8"/>
    <w:rsid w:val="1C5E2275"/>
    <w:rsid w:val="1C67681F"/>
    <w:rsid w:val="1CB6BE2C"/>
    <w:rsid w:val="1CDE91AA"/>
    <w:rsid w:val="1CE92EC4"/>
    <w:rsid w:val="1CF16536"/>
    <w:rsid w:val="1CF22301"/>
    <w:rsid w:val="1CFAF665"/>
    <w:rsid w:val="1DDB7375"/>
    <w:rsid w:val="1E084E81"/>
    <w:rsid w:val="1E1B07FB"/>
    <w:rsid w:val="1E3A34BF"/>
    <w:rsid w:val="1E73AA09"/>
    <w:rsid w:val="1EEE729E"/>
    <w:rsid w:val="1F14F545"/>
    <w:rsid w:val="1F178219"/>
    <w:rsid w:val="1F2E3B18"/>
    <w:rsid w:val="1F56B111"/>
    <w:rsid w:val="1F633497"/>
    <w:rsid w:val="1F68231C"/>
    <w:rsid w:val="1FA3906E"/>
    <w:rsid w:val="1FB109C0"/>
    <w:rsid w:val="1FC8A78F"/>
    <w:rsid w:val="1FE3E2AD"/>
    <w:rsid w:val="201BF3E8"/>
    <w:rsid w:val="202A6D33"/>
    <w:rsid w:val="203E1538"/>
    <w:rsid w:val="207F3F52"/>
    <w:rsid w:val="208BCAB6"/>
    <w:rsid w:val="20A5CBB1"/>
    <w:rsid w:val="20A9AF1D"/>
    <w:rsid w:val="20CF9AEB"/>
    <w:rsid w:val="210FC173"/>
    <w:rsid w:val="2138A41F"/>
    <w:rsid w:val="2140D66E"/>
    <w:rsid w:val="2148B524"/>
    <w:rsid w:val="2156BECF"/>
    <w:rsid w:val="216AAD80"/>
    <w:rsid w:val="219757BF"/>
    <w:rsid w:val="21F1C5E4"/>
    <w:rsid w:val="221DA919"/>
    <w:rsid w:val="229768D2"/>
    <w:rsid w:val="22D8E97B"/>
    <w:rsid w:val="22D9E957"/>
    <w:rsid w:val="22F44AD5"/>
    <w:rsid w:val="23AC2094"/>
    <w:rsid w:val="23C93C44"/>
    <w:rsid w:val="2431E02C"/>
    <w:rsid w:val="2441483A"/>
    <w:rsid w:val="246498C6"/>
    <w:rsid w:val="246DEA33"/>
    <w:rsid w:val="24755BED"/>
    <w:rsid w:val="24A0CB23"/>
    <w:rsid w:val="24AEEE59"/>
    <w:rsid w:val="24B60CA0"/>
    <w:rsid w:val="24CDEEB9"/>
    <w:rsid w:val="24D7AAE4"/>
    <w:rsid w:val="24E1C19C"/>
    <w:rsid w:val="2529AD77"/>
    <w:rsid w:val="254461CA"/>
    <w:rsid w:val="25965471"/>
    <w:rsid w:val="25CE6AC1"/>
    <w:rsid w:val="25E7EB19"/>
    <w:rsid w:val="25EF3D15"/>
    <w:rsid w:val="2627AEC9"/>
    <w:rsid w:val="2638F6CE"/>
    <w:rsid w:val="26945C7A"/>
    <w:rsid w:val="26FC1D41"/>
    <w:rsid w:val="26FF0544"/>
    <w:rsid w:val="277A3B0E"/>
    <w:rsid w:val="278767F2"/>
    <w:rsid w:val="279FE609"/>
    <w:rsid w:val="27B11F44"/>
    <w:rsid w:val="27C7F562"/>
    <w:rsid w:val="27CC35FE"/>
    <w:rsid w:val="27D8CC25"/>
    <w:rsid w:val="27F0B9FF"/>
    <w:rsid w:val="27FB1D42"/>
    <w:rsid w:val="28589D24"/>
    <w:rsid w:val="2899D788"/>
    <w:rsid w:val="28CEBA27"/>
    <w:rsid w:val="29F3A15E"/>
    <w:rsid w:val="2A09D641"/>
    <w:rsid w:val="2A275AE9"/>
    <w:rsid w:val="2A568607"/>
    <w:rsid w:val="2A96AE74"/>
    <w:rsid w:val="2AC63718"/>
    <w:rsid w:val="2ADBCAAF"/>
    <w:rsid w:val="2B2FBB67"/>
    <w:rsid w:val="2B49159A"/>
    <w:rsid w:val="2B4DA921"/>
    <w:rsid w:val="2B62903A"/>
    <w:rsid w:val="2B84E676"/>
    <w:rsid w:val="2B941512"/>
    <w:rsid w:val="2B98D2F2"/>
    <w:rsid w:val="2B9BB605"/>
    <w:rsid w:val="2BC477E8"/>
    <w:rsid w:val="2BE42576"/>
    <w:rsid w:val="2BEC964F"/>
    <w:rsid w:val="2C570DD3"/>
    <w:rsid w:val="2C6EE02F"/>
    <w:rsid w:val="2C9C6985"/>
    <w:rsid w:val="2CBCA06A"/>
    <w:rsid w:val="2D0DCB11"/>
    <w:rsid w:val="2D1E8BC8"/>
    <w:rsid w:val="2D2C879E"/>
    <w:rsid w:val="2D3132F8"/>
    <w:rsid w:val="2D40A767"/>
    <w:rsid w:val="2D4A96F4"/>
    <w:rsid w:val="2D80A4F3"/>
    <w:rsid w:val="2D8878B3"/>
    <w:rsid w:val="2E02581A"/>
    <w:rsid w:val="2E08CD9E"/>
    <w:rsid w:val="2E141FBB"/>
    <w:rsid w:val="2E9BDAFB"/>
    <w:rsid w:val="2EA88680"/>
    <w:rsid w:val="2F09F6AD"/>
    <w:rsid w:val="2F0EE7D3"/>
    <w:rsid w:val="2F164F6B"/>
    <w:rsid w:val="2F4AA2FB"/>
    <w:rsid w:val="2F4C412A"/>
    <w:rsid w:val="2F9CA4CF"/>
    <w:rsid w:val="2FB3ADC7"/>
    <w:rsid w:val="2FFA115D"/>
    <w:rsid w:val="3016B390"/>
    <w:rsid w:val="302939A0"/>
    <w:rsid w:val="3055306B"/>
    <w:rsid w:val="30776150"/>
    <w:rsid w:val="310231D3"/>
    <w:rsid w:val="31109492"/>
    <w:rsid w:val="314DD847"/>
    <w:rsid w:val="31AF8C56"/>
    <w:rsid w:val="323171AD"/>
    <w:rsid w:val="3266DA3C"/>
    <w:rsid w:val="3297118F"/>
    <w:rsid w:val="32B1DC88"/>
    <w:rsid w:val="32D22F90"/>
    <w:rsid w:val="32EBADD7"/>
    <w:rsid w:val="331F7B40"/>
    <w:rsid w:val="33334A6A"/>
    <w:rsid w:val="33441100"/>
    <w:rsid w:val="3352DBFF"/>
    <w:rsid w:val="339B497D"/>
    <w:rsid w:val="33A3801F"/>
    <w:rsid w:val="33BA7BA0"/>
    <w:rsid w:val="33F57752"/>
    <w:rsid w:val="342788F4"/>
    <w:rsid w:val="343BFCCE"/>
    <w:rsid w:val="344228F6"/>
    <w:rsid w:val="344F5D31"/>
    <w:rsid w:val="34668B65"/>
    <w:rsid w:val="34D5C8CC"/>
    <w:rsid w:val="34DD50B0"/>
    <w:rsid w:val="3520394C"/>
    <w:rsid w:val="3538D4C9"/>
    <w:rsid w:val="359B42BD"/>
    <w:rsid w:val="35A664F0"/>
    <w:rsid w:val="35ADBD97"/>
    <w:rsid w:val="35C5FFEA"/>
    <w:rsid w:val="35D9E1C2"/>
    <w:rsid w:val="35E262A2"/>
    <w:rsid w:val="35ED785E"/>
    <w:rsid w:val="361FAD0E"/>
    <w:rsid w:val="362BE9D6"/>
    <w:rsid w:val="3659DDF9"/>
    <w:rsid w:val="36700596"/>
    <w:rsid w:val="36E5C440"/>
    <w:rsid w:val="36FC913D"/>
    <w:rsid w:val="3712ACCB"/>
    <w:rsid w:val="37257E38"/>
    <w:rsid w:val="3738B29A"/>
    <w:rsid w:val="379B3ED9"/>
    <w:rsid w:val="37EAE863"/>
    <w:rsid w:val="37F80B6A"/>
    <w:rsid w:val="3826B93F"/>
    <w:rsid w:val="38532AC6"/>
    <w:rsid w:val="3928731F"/>
    <w:rsid w:val="39333872"/>
    <w:rsid w:val="3968CBEF"/>
    <w:rsid w:val="397679D9"/>
    <w:rsid w:val="397B5CE8"/>
    <w:rsid w:val="39E6B43D"/>
    <w:rsid w:val="39F9FBC8"/>
    <w:rsid w:val="3A0574B7"/>
    <w:rsid w:val="3A09F389"/>
    <w:rsid w:val="3A1F36D3"/>
    <w:rsid w:val="3A9FCA01"/>
    <w:rsid w:val="3AA42AB7"/>
    <w:rsid w:val="3B206993"/>
    <w:rsid w:val="3B548A52"/>
    <w:rsid w:val="3B596F9F"/>
    <w:rsid w:val="3B6EB07E"/>
    <w:rsid w:val="3B8DC906"/>
    <w:rsid w:val="3BEDCDEC"/>
    <w:rsid w:val="3C2A5C2B"/>
    <w:rsid w:val="3C2D9167"/>
    <w:rsid w:val="3C3A1D0C"/>
    <w:rsid w:val="3C531913"/>
    <w:rsid w:val="3C867B06"/>
    <w:rsid w:val="3CA78591"/>
    <w:rsid w:val="3D63B0E5"/>
    <w:rsid w:val="3DC96607"/>
    <w:rsid w:val="3DDFBE80"/>
    <w:rsid w:val="3DE6AD5C"/>
    <w:rsid w:val="3DEF83A9"/>
    <w:rsid w:val="3E4E19F9"/>
    <w:rsid w:val="3E7E0CD3"/>
    <w:rsid w:val="3E82E5C4"/>
    <w:rsid w:val="3EB53735"/>
    <w:rsid w:val="3EF80B83"/>
    <w:rsid w:val="3F06F232"/>
    <w:rsid w:val="3F51D05B"/>
    <w:rsid w:val="3F5C330D"/>
    <w:rsid w:val="3F895199"/>
    <w:rsid w:val="3FBA1FCF"/>
    <w:rsid w:val="4033A6A6"/>
    <w:rsid w:val="4051628A"/>
    <w:rsid w:val="40714075"/>
    <w:rsid w:val="407B4585"/>
    <w:rsid w:val="40A15B3A"/>
    <w:rsid w:val="40CC5C61"/>
    <w:rsid w:val="40F6EE92"/>
    <w:rsid w:val="410B9692"/>
    <w:rsid w:val="411CAFEF"/>
    <w:rsid w:val="4131E1D8"/>
    <w:rsid w:val="416FC51F"/>
    <w:rsid w:val="41B42843"/>
    <w:rsid w:val="41D39B4F"/>
    <w:rsid w:val="41F97594"/>
    <w:rsid w:val="4230F20E"/>
    <w:rsid w:val="423D8580"/>
    <w:rsid w:val="428160C0"/>
    <w:rsid w:val="42974DCD"/>
    <w:rsid w:val="42A14176"/>
    <w:rsid w:val="42BC0B52"/>
    <w:rsid w:val="42CBF0CE"/>
    <w:rsid w:val="4300E825"/>
    <w:rsid w:val="43271AC2"/>
    <w:rsid w:val="43B11338"/>
    <w:rsid w:val="43F7A4EC"/>
    <w:rsid w:val="43FF16D4"/>
    <w:rsid w:val="44744141"/>
    <w:rsid w:val="4481E5AB"/>
    <w:rsid w:val="4490B196"/>
    <w:rsid w:val="44B62DBE"/>
    <w:rsid w:val="44E132CF"/>
    <w:rsid w:val="450193B6"/>
    <w:rsid w:val="452854A9"/>
    <w:rsid w:val="45759CFF"/>
    <w:rsid w:val="45949D0F"/>
    <w:rsid w:val="45A527F8"/>
    <w:rsid w:val="45AFF950"/>
    <w:rsid w:val="46154DCA"/>
    <w:rsid w:val="46522965"/>
    <w:rsid w:val="46611964"/>
    <w:rsid w:val="467D3128"/>
    <w:rsid w:val="46AF4104"/>
    <w:rsid w:val="46B3C1A3"/>
    <w:rsid w:val="46C9B70A"/>
    <w:rsid w:val="470264B5"/>
    <w:rsid w:val="471305AE"/>
    <w:rsid w:val="473DF318"/>
    <w:rsid w:val="474AC193"/>
    <w:rsid w:val="479685FE"/>
    <w:rsid w:val="479E3301"/>
    <w:rsid w:val="479F2F5B"/>
    <w:rsid w:val="47BF118B"/>
    <w:rsid w:val="47CBBD79"/>
    <w:rsid w:val="4808F9B3"/>
    <w:rsid w:val="4868C9AF"/>
    <w:rsid w:val="488A23FF"/>
    <w:rsid w:val="48A61635"/>
    <w:rsid w:val="48BA4F92"/>
    <w:rsid w:val="48E012F6"/>
    <w:rsid w:val="492E4D99"/>
    <w:rsid w:val="4945E566"/>
    <w:rsid w:val="49A2E706"/>
    <w:rsid w:val="4A20B649"/>
    <w:rsid w:val="4A2565DE"/>
    <w:rsid w:val="4A5687C3"/>
    <w:rsid w:val="4AA7A751"/>
    <w:rsid w:val="4AC70C12"/>
    <w:rsid w:val="4B19B8EE"/>
    <w:rsid w:val="4B1BAA41"/>
    <w:rsid w:val="4B5212B5"/>
    <w:rsid w:val="4B8D6133"/>
    <w:rsid w:val="4BF7CD8D"/>
    <w:rsid w:val="4C008494"/>
    <w:rsid w:val="4C245C03"/>
    <w:rsid w:val="4C3C2623"/>
    <w:rsid w:val="4CBE0113"/>
    <w:rsid w:val="4CCFE421"/>
    <w:rsid w:val="4D1BD3D0"/>
    <w:rsid w:val="4D2016C0"/>
    <w:rsid w:val="4D324277"/>
    <w:rsid w:val="4D385018"/>
    <w:rsid w:val="4D57536E"/>
    <w:rsid w:val="4D79EB56"/>
    <w:rsid w:val="4D7EDB56"/>
    <w:rsid w:val="4DE8DA16"/>
    <w:rsid w:val="4DEAF720"/>
    <w:rsid w:val="4E0758FA"/>
    <w:rsid w:val="4E321379"/>
    <w:rsid w:val="4E3730D0"/>
    <w:rsid w:val="4E385682"/>
    <w:rsid w:val="4E3F15EA"/>
    <w:rsid w:val="4E5ABE73"/>
    <w:rsid w:val="4E76263C"/>
    <w:rsid w:val="4E7CABC4"/>
    <w:rsid w:val="4ED96737"/>
    <w:rsid w:val="4EF42A86"/>
    <w:rsid w:val="4F46B3E7"/>
    <w:rsid w:val="4F809622"/>
    <w:rsid w:val="4F9BA177"/>
    <w:rsid w:val="4FC1C617"/>
    <w:rsid w:val="4FC2BBD5"/>
    <w:rsid w:val="4FE7372F"/>
    <w:rsid w:val="5006A57C"/>
    <w:rsid w:val="500F2AB3"/>
    <w:rsid w:val="5013B7C1"/>
    <w:rsid w:val="5016E47D"/>
    <w:rsid w:val="501892DC"/>
    <w:rsid w:val="501902B3"/>
    <w:rsid w:val="50406B27"/>
    <w:rsid w:val="506D7AA1"/>
    <w:rsid w:val="5078408E"/>
    <w:rsid w:val="50951B4E"/>
    <w:rsid w:val="5110F645"/>
    <w:rsid w:val="512FBA8B"/>
    <w:rsid w:val="517956DF"/>
    <w:rsid w:val="51855C1F"/>
    <w:rsid w:val="51B53E11"/>
    <w:rsid w:val="51DC3B88"/>
    <w:rsid w:val="51E20EFC"/>
    <w:rsid w:val="52174896"/>
    <w:rsid w:val="525226F0"/>
    <w:rsid w:val="5255991E"/>
    <w:rsid w:val="525DA1D1"/>
    <w:rsid w:val="527136D3"/>
    <w:rsid w:val="52A06C70"/>
    <w:rsid w:val="52A95597"/>
    <w:rsid w:val="52FC43AC"/>
    <w:rsid w:val="532577F0"/>
    <w:rsid w:val="533ED223"/>
    <w:rsid w:val="53543BDA"/>
    <w:rsid w:val="538E85F9"/>
    <w:rsid w:val="5399649F"/>
    <w:rsid w:val="53B96DCE"/>
    <w:rsid w:val="54306A07"/>
    <w:rsid w:val="5442923E"/>
    <w:rsid w:val="54457D73"/>
    <w:rsid w:val="544D88CD"/>
    <w:rsid w:val="54C43204"/>
    <w:rsid w:val="54D4C37D"/>
    <w:rsid w:val="554A2DED"/>
    <w:rsid w:val="55572DC3"/>
    <w:rsid w:val="558BD98D"/>
    <w:rsid w:val="55C75753"/>
    <w:rsid w:val="55D35DA5"/>
    <w:rsid w:val="55D6FC7B"/>
    <w:rsid w:val="560DBC66"/>
    <w:rsid w:val="56453A8D"/>
    <w:rsid w:val="564CC802"/>
    <w:rsid w:val="5676F9AC"/>
    <w:rsid w:val="56966B2C"/>
    <w:rsid w:val="56D171D4"/>
    <w:rsid w:val="575CF710"/>
    <w:rsid w:val="577ED546"/>
    <w:rsid w:val="578E871E"/>
    <w:rsid w:val="57E9F050"/>
    <w:rsid w:val="57F51E11"/>
    <w:rsid w:val="5858F520"/>
    <w:rsid w:val="5867A987"/>
    <w:rsid w:val="58B57ED8"/>
    <w:rsid w:val="58B928AA"/>
    <w:rsid w:val="58BF170C"/>
    <w:rsid w:val="58D46DD0"/>
    <w:rsid w:val="58D8E8D3"/>
    <w:rsid w:val="58E44430"/>
    <w:rsid w:val="58F6806C"/>
    <w:rsid w:val="5915AF0B"/>
    <w:rsid w:val="592D0966"/>
    <w:rsid w:val="593F48A7"/>
    <w:rsid w:val="59635DAB"/>
    <w:rsid w:val="598574FC"/>
    <w:rsid w:val="599D9121"/>
    <w:rsid w:val="59A171AA"/>
    <w:rsid w:val="59B39DCE"/>
    <w:rsid w:val="59FC988D"/>
    <w:rsid w:val="5A28F1BD"/>
    <w:rsid w:val="5A2C7632"/>
    <w:rsid w:val="5A60B53B"/>
    <w:rsid w:val="5A6FF1EB"/>
    <w:rsid w:val="5A7F2AF3"/>
    <w:rsid w:val="5B2B2D00"/>
    <w:rsid w:val="5B3B11A9"/>
    <w:rsid w:val="5B52579B"/>
    <w:rsid w:val="5B6BC07E"/>
    <w:rsid w:val="5B9F1CFB"/>
    <w:rsid w:val="5BB959A9"/>
    <w:rsid w:val="5C226554"/>
    <w:rsid w:val="5C4A0522"/>
    <w:rsid w:val="5C4C222C"/>
    <w:rsid w:val="5C5A705D"/>
    <w:rsid w:val="5CBD51AA"/>
    <w:rsid w:val="5D2093BE"/>
    <w:rsid w:val="5D270A6E"/>
    <w:rsid w:val="5D69A669"/>
    <w:rsid w:val="5D99D73C"/>
    <w:rsid w:val="5D9C3B22"/>
    <w:rsid w:val="5DA3C306"/>
    <w:rsid w:val="5DB98352"/>
    <w:rsid w:val="5DDD3812"/>
    <w:rsid w:val="5DE933E2"/>
    <w:rsid w:val="5DF6911A"/>
    <w:rsid w:val="5DFC350B"/>
    <w:rsid w:val="5E05295E"/>
    <w:rsid w:val="5E5646DE"/>
    <w:rsid w:val="5E6F6B00"/>
    <w:rsid w:val="5EAD90C5"/>
    <w:rsid w:val="5EB535D5"/>
    <w:rsid w:val="5EE45E96"/>
    <w:rsid w:val="5F712F5E"/>
    <w:rsid w:val="5F93A3DA"/>
    <w:rsid w:val="5F9D0830"/>
    <w:rsid w:val="6004B546"/>
    <w:rsid w:val="6067A8EF"/>
    <w:rsid w:val="60B5106E"/>
    <w:rsid w:val="60B8B18B"/>
    <w:rsid w:val="60F176FD"/>
    <w:rsid w:val="61343DB1"/>
    <w:rsid w:val="613462AD"/>
    <w:rsid w:val="613A77D3"/>
    <w:rsid w:val="615FD746"/>
    <w:rsid w:val="61852B94"/>
    <w:rsid w:val="61897DE6"/>
    <w:rsid w:val="61EC8795"/>
    <w:rsid w:val="61EEBEAF"/>
    <w:rsid w:val="62409FF2"/>
    <w:rsid w:val="62933EEB"/>
    <w:rsid w:val="62D4B611"/>
    <w:rsid w:val="62F90D43"/>
    <w:rsid w:val="6343DD88"/>
    <w:rsid w:val="638BE3CB"/>
    <w:rsid w:val="63C74D59"/>
    <w:rsid w:val="641A11B2"/>
    <w:rsid w:val="6453B009"/>
    <w:rsid w:val="646DAAEB"/>
    <w:rsid w:val="648FC7D4"/>
    <w:rsid w:val="6492ABEE"/>
    <w:rsid w:val="64BCFFB4"/>
    <w:rsid w:val="64CCFE21"/>
    <w:rsid w:val="64F796DD"/>
    <w:rsid w:val="65047435"/>
    <w:rsid w:val="65166340"/>
    <w:rsid w:val="658FF5AA"/>
    <w:rsid w:val="65992384"/>
    <w:rsid w:val="65C0726E"/>
    <w:rsid w:val="65C66B0B"/>
    <w:rsid w:val="65CEBAF9"/>
    <w:rsid w:val="65F4B593"/>
    <w:rsid w:val="65FEDE97"/>
    <w:rsid w:val="6608B01F"/>
    <w:rsid w:val="665A8DA7"/>
    <w:rsid w:val="667116B6"/>
    <w:rsid w:val="66890ADA"/>
    <w:rsid w:val="66B233A1"/>
    <w:rsid w:val="66F99D8A"/>
    <w:rsid w:val="67255C49"/>
    <w:rsid w:val="673D8662"/>
    <w:rsid w:val="677042AE"/>
    <w:rsid w:val="677F471B"/>
    <w:rsid w:val="67CF18CA"/>
    <w:rsid w:val="67D50BBF"/>
    <w:rsid w:val="684A71B2"/>
    <w:rsid w:val="687D3F73"/>
    <w:rsid w:val="6898D282"/>
    <w:rsid w:val="68AF22B3"/>
    <w:rsid w:val="68C8F82D"/>
    <w:rsid w:val="68F02B81"/>
    <w:rsid w:val="690150E5"/>
    <w:rsid w:val="69314AD4"/>
    <w:rsid w:val="6932183F"/>
    <w:rsid w:val="69742F48"/>
    <w:rsid w:val="698CE7D6"/>
    <w:rsid w:val="699CA257"/>
    <w:rsid w:val="69A0C3AF"/>
    <w:rsid w:val="69E5251B"/>
    <w:rsid w:val="6A10C72A"/>
    <w:rsid w:val="6A1A3A42"/>
    <w:rsid w:val="6A1BA502"/>
    <w:rsid w:val="6A1D3341"/>
    <w:rsid w:val="6A7957F8"/>
    <w:rsid w:val="6A92A25F"/>
    <w:rsid w:val="6AD9FB1F"/>
    <w:rsid w:val="6AE8A2DE"/>
    <w:rsid w:val="6AF8A5CD"/>
    <w:rsid w:val="6B298A2E"/>
    <w:rsid w:val="6B5BA732"/>
    <w:rsid w:val="6B821274"/>
    <w:rsid w:val="6B92142A"/>
    <w:rsid w:val="6BAC03E7"/>
    <w:rsid w:val="6BD1705E"/>
    <w:rsid w:val="6BD726A4"/>
    <w:rsid w:val="6BEC1579"/>
    <w:rsid w:val="6C5539FF"/>
    <w:rsid w:val="6C577DFE"/>
    <w:rsid w:val="6C9A2290"/>
    <w:rsid w:val="6CC7033C"/>
    <w:rsid w:val="6CF723BC"/>
    <w:rsid w:val="6D53BEC9"/>
    <w:rsid w:val="6D6F51FA"/>
    <w:rsid w:val="6D729201"/>
    <w:rsid w:val="6D9D7F69"/>
    <w:rsid w:val="6DBBEFEE"/>
    <w:rsid w:val="6DD34B9B"/>
    <w:rsid w:val="6E11B6C5"/>
    <w:rsid w:val="6E437A9F"/>
    <w:rsid w:val="6E67C14D"/>
    <w:rsid w:val="6E694A4C"/>
    <w:rsid w:val="6ECB9449"/>
    <w:rsid w:val="6EF30A93"/>
    <w:rsid w:val="6F0FED5C"/>
    <w:rsid w:val="6F1C6161"/>
    <w:rsid w:val="6F261329"/>
    <w:rsid w:val="6F70E264"/>
    <w:rsid w:val="6F96FA12"/>
    <w:rsid w:val="6F9AFC6A"/>
    <w:rsid w:val="700A8FAB"/>
    <w:rsid w:val="700C15B1"/>
    <w:rsid w:val="701F1158"/>
    <w:rsid w:val="702B325B"/>
    <w:rsid w:val="70545D67"/>
    <w:rsid w:val="70764AC1"/>
    <w:rsid w:val="7093B05D"/>
    <w:rsid w:val="70E468A8"/>
    <w:rsid w:val="70E4EB67"/>
    <w:rsid w:val="70E9038F"/>
    <w:rsid w:val="7121DDFF"/>
    <w:rsid w:val="7129A55B"/>
    <w:rsid w:val="713D2A24"/>
    <w:rsid w:val="715D81F9"/>
    <w:rsid w:val="71E9BC21"/>
    <w:rsid w:val="72063734"/>
    <w:rsid w:val="722CD4FA"/>
    <w:rsid w:val="7254925E"/>
    <w:rsid w:val="725CF72A"/>
    <w:rsid w:val="72C209FD"/>
    <w:rsid w:val="72E0D1CA"/>
    <w:rsid w:val="731758D2"/>
    <w:rsid w:val="73254A26"/>
    <w:rsid w:val="7329DD8D"/>
    <w:rsid w:val="732BF49D"/>
    <w:rsid w:val="73B1C062"/>
    <w:rsid w:val="73D31DE2"/>
    <w:rsid w:val="7449E32D"/>
    <w:rsid w:val="7485C94F"/>
    <w:rsid w:val="749E31FB"/>
    <w:rsid w:val="74B2AD25"/>
    <w:rsid w:val="74C43AB1"/>
    <w:rsid w:val="74F58803"/>
    <w:rsid w:val="74FC14E4"/>
    <w:rsid w:val="7528F4BA"/>
    <w:rsid w:val="75294C57"/>
    <w:rsid w:val="75421F62"/>
    <w:rsid w:val="7562DCD0"/>
    <w:rsid w:val="757B1B10"/>
    <w:rsid w:val="7589211F"/>
    <w:rsid w:val="7590C95A"/>
    <w:rsid w:val="75A6D4D5"/>
    <w:rsid w:val="75C0A297"/>
    <w:rsid w:val="75EA64A7"/>
    <w:rsid w:val="75FCCD26"/>
    <w:rsid w:val="75FDBCC0"/>
    <w:rsid w:val="76171C74"/>
    <w:rsid w:val="7636C1A9"/>
    <w:rsid w:val="7648018D"/>
    <w:rsid w:val="766B8E26"/>
    <w:rsid w:val="769419F0"/>
    <w:rsid w:val="7697B158"/>
    <w:rsid w:val="76AD751E"/>
    <w:rsid w:val="76B6CE02"/>
    <w:rsid w:val="76D8B933"/>
    <w:rsid w:val="772909F2"/>
    <w:rsid w:val="7731DB18"/>
    <w:rsid w:val="777C58F0"/>
    <w:rsid w:val="77ACE623"/>
    <w:rsid w:val="77C93A07"/>
    <w:rsid w:val="77D5D5C2"/>
    <w:rsid w:val="77E08A69"/>
    <w:rsid w:val="7819D4FD"/>
    <w:rsid w:val="7848B48E"/>
    <w:rsid w:val="784B4855"/>
    <w:rsid w:val="787D9E62"/>
    <w:rsid w:val="78ABB28E"/>
    <w:rsid w:val="78BFD72A"/>
    <w:rsid w:val="78FDB29E"/>
    <w:rsid w:val="796887A3"/>
    <w:rsid w:val="79C72826"/>
    <w:rsid w:val="79FCBFE0"/>
    <w:rsid w:val="7A325052"/>
    <w:rsid w:val="7A3B55C9"/>
    <w:rsid w:val="7AD5D8E3"/>
    <w:rsid w:val="7ADC0A99"/>
    <w:rsid w:val="7ADD73C8"/>
    <w:rsid w:val="7AF37A2D"/>
    <w:rsid w:val="7AF4C0BA"/>
    <w:rsid w:val="7B64211B"/>
    <w:rsid w:val="7B68A3EE"/>
    <w:rsid w:val="7B9D9E62"/>
    <w:rsid w:val="7BC96C86"/>
    <w:rsid w:val="7C1C6E79"/>
    <w:rsid w:val="7C3D604C"/>
    <w:rsid w:val="7C5BDA01"/>
    <w:rsid w:val="7C6C2ECE"/>
    <w:rsid w:val="7CA6076C"/>
    <w:rsid w:val="7CF41431"/>
    <w:rsid w:val="7D8576F9"/>
    <w:rsid w:val="7DDD9163"/>
    <w:rsid w:val="7DE0D35F"/>
    <w:rsid w:val="7DE2BABE"/>
    <w:rsid w:val="7DEC6F55"/>
    <w:rsid w:val="7E3343AC"/>
    <w:rsid w:val="7E54C1FC"/>
    <w:rsid w:val="7E675F43"/>
    <w:rsid w:val="7E793500"/>
    <w:rsid w:val="7E863744"/>
    <w:rsid w:val="7E9856AB"/>
    <w:rsid w:val="7EC50B11"/>
    <w:rsid w:val="7EE583A0"/>
    <w:rsid w:val="7EFD8B59"/>
    <w:rsid w:val="7F7A12C2"/>
    <w:rsid w:val="7F8738FF"/>
    <w:rsid w:val="7FBD2ABE"/>
    <w:rsid w:val="7FCE9824"/>
    <w:rsid w:val="7FD4F6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312812"/>
  <w14:defaultImageDpi w14:val="300"/>
  <w15:docId w15:val="{F849F2AD-B915-4FAC-A36D-17AA5C37C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01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01EE"/>
    <w:rPr>
      <w:rFonts w:ascii="Lucida Grande" w:hAnsi="Lucida Grande" w:cs="Lucida Grande"/>
      <w:sz w:val="18"/>
      <w:szCs w:val="18"/>
    </w:rPr>
  </w:style>
  <w:style w:type="paragraph" w:styleId="Footer">
    <w:name w:val="footer"/>
    <w:basedOn w:val="Normal"/>
    <w:link w:val="FooterChar"/>
    <w:uiPriority w:val="99"/>
    <w:unhideWhenUsed/>
    <w:rsid w:val="00BD1075"/>
    <w:pPr>
      <w:tabs>
        <w:tab w:val="center" w:pos="4320"/>
        <w:tab w:val="right" w:pos="8640"/>
      </w:tabs>
    </w:pPr>
  </w:style>
  <w:style w:type="character" w:customStyle="1" w:styleId="FooterChar">
    <w:name w:val="Footer Char"/>
    <w:basedOn w:val="DefaultParagraphFont"/>
    <w:link w:val="Footer"/>
    <w:uiPriority w:val="99"/>
    <w:rsid w:val="00BD1075"/>
  </w:style>
  <w:style w:type="character" w:styleId="PageNumber">
    <w:name w:val="page number"/>
    <w:basedOn w:val="DefaultParagraphFont"/>
    <w:uiPriority w:val="99"/>
    <w:semiHidden/>
    <w:unhideWhenUsed/>
    <w:rsid w:val="00BD1075"/>
  </w:style>
  <w:style w:type="paragraph" w:styleId="FootnoteText">
    <w:name w:val="footnote text"/>
    <w:aliases w:val="footnote,Footnote reference,FA Fu,Footnote Text Char Char Char Char Char,Footnote Text Char Char Char Char,Footnote text NRC,Char,Char Char,single space,Texte de note de bas de page,Car,Footnote Text Quote,f,fn,Footnote Text Char2 Char,5_G"/>
    <w:basedOn w:val="Normal"/>
    <w:link w:val="FootnoteTextChar"/>
    <w:autoRedefine/>
    <w:uiPriority w:val="99"/>
    <w:unhideWhenUsed/>
    <w:qFormat/>
    <w:rsid w:val="00582E78"/>
    <w:rPr>
      <w:rFonts w:ascii="Calibri" w:hAnsi="Calibri"/>
      <w:color w:val="000000" w:themeColor="text1"/>
      <w:sz w:val="16"/>
      <w:szCs w:val="16"/>
    </w:rPr>
  </w:style>
  <w:style w:type="character" w:customStyle="1" w:styleId="FootnoteTextChar">
    <w:name w:val="Footnote Text Char"/>
    <w:aliases w:val="footnote Char,Footnote reference Char,FA Fu Char,Footnote Text Char Char Char Char Char Char,Footnote Text Char Char Char Char Char1,Footnote text NRC Char,Char Char1,Char Char Char,single space Char,Texte de note de bas de page Char"/>
    <w:basedOn w:val="DefaultParagraphFont"/>
    <w:link w:val="FootnoteText"/>
    <w:uiPriority w:val="99"/>
    <w:rsid w:val="00582E78"/>
    <w:rPr>
      <w:rFonts w:ascii="Calibri" w:hAnsi="Calibri"/>
      <w:color w:val="000000" w:themeColor="text1"/>
      <w:sz w:val="16"/>
      <w:szCs w:val="16"/>
      <w:lang w:val="en-GB"/>
    </w:rPr>
  </w:style>
  <w:style w:type="character" w:styleId="FootnoteReference">
    <w:name w:val="footnote reference"/>
    <w:aliases w:val="Appel note de bas de page,16 Point,Superscript 6 Point,Footnote text,BVI fnr,ftref,BVI fnr Char1,BVI fnr Car Car Char1,BVI fnr Car Char1,BVI fnr Car Car Car Car Char,BVI fnr Car Car Car Car Char Char,BVI fnr Char Char Char,FZ,Ref Char"/>
    <w:basedOn w:val="DefaultParagraphFont"/>
    <w:link w:val="4G"/>
    <w:uiPriority w:val="99"/>
    <w:unhideWhenUsed/>
    <w:qFormat/>
    <w:rsid w:val="001E52AE"/>
    <w:rPr>
      <w:vertAlign w:val="superscript"/>
    </w:rPr>
  </w:style>
  <w:style w:type="paragraph" w:styleId="ListParagraph">
    <w:name w:val="List Paragraph"/>
    <w:basedOn w:val="Normal"/>
    <w:link w:val="ListParagraphChar"/>
    <w:uiPriority w:val="34"/>
    <w:qFormat/>
    <w:rsid w:val="0049037E"/>
    <w:pPr>
      <w:ind w:left="720"/>
      <w:contextualSpacing/>
    </w:pPr>
  </w:style>
  <w:style w:type="paragraph" w:styleId="NormalWeb">
    <w:name w:val="Normal (Web)"/>
    <w:basedOn w:val="Normal"/>
    <w:uiPriority w:val="99"/>
    <w:unhideWhenUsed/>
    <w:rsid w:val="006B7F45"/>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6B7F45"/>
    <w:rPr>
      <w:b/>
      <w:bCs/>
    </w:rPr>
  </w:style>
  <w:style w:type="character" w:styleId="Hyperlink">
    <w:name w:val="Hyperlink"/>
    <w:basedOn w:val="DefaultParagraphFont"/>
    <w:uiPriority w:val="99"/>
    <w:unhideWhenUsed/>
    <w:rsid w:val="006B7F45"/>
    <w:rPr>
      <w:color w:val="0563C1" w:themeColor="hyperlink"/>
      <w:u w:val="single"/>
    </w:rPr>
  </w:style>
  <w:style w:type="character" w:customStyle="1" w:styleId="ListParagraphChar">
    <w:name w:val="List Paragraph Char"/>
    <w:link w:val="ListParagraph"/>
    <w:uiPriority w:val="34"/>
    <w:locked/>
    <w:rsid w:val="00303D2D"/>
  </w:style>
  <w:style w:type="character" w:customStyle="1" w:styleId="UnresolvedMention1">
    <w:name w:val="Unresolved Mention1"/>
    <w:basedOn w:val="DefaultParagraphFont"/>
    <w:uiPriority w:val="99"/>
    <w:semiHidden/>
    <w:unhideWhenUsed/>
    <w:rsid w:val="009C02D5"/>
    <w:rPr>
      <w:color w:val="605E5C"/>
      <w:shd w:val="clear" w:color="auto" w:fill="E1DFDD"/>
    </w:rPr>
  </w:style>
  <w:style w:type="character" w:styleId="CommentReference">
    <w:name w:val="annotation reference"/>
    <w:basedOn w:val="DefaultParagraphFont"/>
    <w:uiPriority w:val="99"/>
    <w:semiHidden/>
    <w:unhideWhenUsed/>
    <w:rsid w:val="005B78E2"/>
    <w:rPr>
      <w:sz w:val="16"/>
      <w:szCs w:val="16"/>
    </w:rPr>
  </w:style>
  <w:style w:type="paragraph" w:styleId="CommentText">
    <w:name w:val="annotation text"/>
    <w:basedOn w:val="Normal"/>
    <w:link w:val="CommentTextChar"/>
    <w:uiPriority w:val="99"/>
    <w:unhideWhenUsed/>
    <w:rsid w:val="005B78E2"/>
    <w:rPr>
      <w:sz w:val="20"/>
      <w:szCs w:val="20"/>
    </w:rPr>
  </w:style>
  <w:style w:type="character" w:customStyle="1" w:styleId="CommentTextChar">
    <w:name w:val="Comment Text Char"/>
    <w:basedOn w:val="DefaultParagraphFont"/>
    <w:link w:val="CommentText"/>
    <w:uiPriority w:val="99"/>
    <w:rsid w:val="005B78E2"/>
    <w:rPr>
      <w:sz w:val="20"/>
      <w:szCs w:val="20"/>
    </w:rPr>
  </w:style>
  <w:style w:type="paragraph" w:styleId="CommentSubject">
    <w:name w:val="annotation subject"/>
    <w:basedOn w:val="CommentText"/>
    <w:next w:val="CommentText"/>
    <w:link w:val="CommentSubjectChar"/>
    <w:uiPriority w:val="99"/>
    <w:semiHidden/>
    <w:unhideWhenUsed/>
    <w:rsid w:val="005B78E2"/>
    <w:rPr>
      <w:b/>
      <w:bCs/>
    </w:rPr>
  </w:style>
  <w:style w:type="character" w:customStyle="1" w:styleId="CommentSubjectChar">
    <w:name w:val="Comment Subject Char"/>
    <w:basedOn w:val="CommentTextChar"/>
    <w:link w:val="CommentSubject"/>
    <w:uiPriority w:val="99"/>
    <w:semiHidden/>
    <w:rsid w:val="005B78E2"/>
    <w:rPr>
      <w:b/>
      <w:bCs/>
      <w:sz w:val="20"/>
      <w:szCs w:val="20"/>
    </w:rPr>
  </w:style>
  <w:style w:type="table" w:styleId="TableGrid">
    <w:name w:val="Table Grid"/>
    <w:basedOn w:val="TableNormal"/>
    <w:uiPriority w:val="39"/>
    <w:rsid w:val="00F90445"/>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6749"/>
    <w:pPr>
      <w:tabs>
        <w:tab w:val="center" w:pos="4513"/>
        <w:tab w:val="right" w:pos="9026"/>
      </w:tabs>
    </w:pPr>
  </w:style>
  <w:style w:type="character" w:customStyle="1" w:styleId="HeaderChar">
    <w:name w:val="Header Char"/>
    <w:basedOn w:val="DefaultParagraphFont"/>
    <w:link w:val="Header"/>
    <w:uiPriority w:val="99"/>
    <w:rsid w:val="00226749"/>
  </w:style>
  <w:style w:type="character" w:customStyle="1" w:styleId="UnresolvedMention2">
    <w:name w:val="Unresolved Mention2"/>
    <w:basedOn w:val="DefaultParagraphFont"/>
    <w:uiPriority w:val="99"/>
    <w:semiHidden/>
    <w:unhideWhenUsed/>
    <w:rsid w:val="008161CC"/>
    <w:rPr>
      <w:color w:val="605E5C"/>
      <w:shd w:val="clear" w:color="auto" w:fill="E1DFDD"/>
    </w:rPr>
  </w:style>
  <w:style w:type="character" w:styleId="FollowedHyperlink">
    <w:name w:val="FollowedHyperlink"/>
    <w:basedOn w:val="DefaultParagraphFont"/>
    <w:uiPriority w:val="99"/>
    <w:semiHidden/>
    <w:unhideWhenUsed/>
    <w:rsid w:val="00F242ED"/>
    <w:rPr>
      <w:color w:val="954F72" w:themeColor="followedHyperlink"/>
      <w:u w:val="single"/>
    </w:rPr>
  </w:style>
  <w:style w:type="paragraph" w:customStyle="1" w:styleId="4G">
    <w:name w:val="4_G"/>
    <w:aliases w:val="4_G Char Char,Footnote Reference1 Char Char,Footnotes refss Char Char,ftref Char Char,BVI fnr Char Char,BVI fnr Car Car Char Char,BVI fnr Car Char Char,BVI fnr Car Car Car Car Char Char1"/>
    <w:basedOn w:val="Normal"/>
    <w:link w:val="FootnoteReference"/>
    <w:uiPriority w:val="99"/>
    <w:rsid w:val="00E014CB"/>
    <w:pPr>
      <w:spacing w:after="160" w:line="240" w:lineRule="exact"/>
      <w:jc w:val="both"/>
    </w:pPr>
    <w:rPr>
      <w:vertAlign w:val="superscript"/>
      <w:lang w:val="en-US"/>
    </w:rPr>
  </w:style>
  <w:style w:type="paragraph" w:customStyle="1" w:styleId="Text">
    <w:name w:val="Text"/>
    <w:rsid w:val="00E014CB"/>
    <w:pPr>
      <w:pBdr>
        <w:top w:val="nil"/>
        <w:left w:val="nil"/>
        <w:bottom w:val="nil"/>
        <w:right w:val="nil"/>
        <w:between w:val="nil"/>
        <w:bar w:val="nil"/>
      </w:pBdr>
    </w:pPr>
    <w:rPr>
      <w:rFonts w:ascii="Times New Roman" w:eastAsia="Arial Unicode MS" w:hAnsi="Times New Roman" w:cs="Arial Unicode MS"/>
      <w:color w:val="00000A"/>
      <w:u w:color="00000A"/>
      <w:bdr w:val="nil"/>
      <w:lang w:eastAsia="nl-NL"/>
    </w:rPr>
  </w:style>
  <w:style w:type="character" w:styleId="Emphasis">
    <w:name w:val="Emphasis"/>
    <w:basedOn w:val="DefaultParagraphFont"/>
    <w:uiPriority w:val="20"/>
    <w:qFormat/>
    <w:rsid w:val="00E014CB"/>
    <w:rPr>
      <w:i/>
      <w:iCs/>
    </w:rPr>
  </w:style>
  <w:style w:type="character" w:customStyle="1" w:styleId="A11">
    <w:name w:val="A11"/>
    <w:uiPriority w:val="99"/>
    <w:rsid w:val="00E014CB"/>
    <w:rPr>
      <w:rFonts w:cs="Akzidenz-Grotesk BQ"/>
      <w:color w:val="000000"/>
      <w:sz w:val="12"/>
      <w:szCs w:val="12"/>
    </w:rPr>
  </w:style>
  <w:style w:type="character" w:styleId="HTMLCite">
    <w:name w:val="HTML Cite"/>
    <w:basedOn w:val="DefaultParagraphFont"/>
    <w:uiPriority w:val="99"/>
    <w:semiHidden/>
    <w:unhideWhenUsed/>
    <w:rsid w:val="00E014CB"/>
    <w:rPr>
      <w:i/>
      <w:iCs/>
    </w:rPr>
  </w:style>
  <w:style w:type="paragraph" w:styleId="Caption">
    <w:name w:val="caption"/>
    <w:basedOn w:val="Normal"/>
    <w:next w:val="Normal"/>
    <w:uiPriority w:val="35"/>
    <w:semiHidden/>
    <w:unhideWhenUsed/>
    <w:qFormat/>
    <w:rsid w:val="00AA7C88"/>
    <w:pPr>
      <w:spacing w:after="200"/>
    </w:pPr>
    <w:rPr>
      <w:i/>
      <w:iCs/>
      <w:color w:val="000000" w:themeColor="text2"/>
      <w:sz w:val="18"/>
      <w:szCs w:val="18"/>
    </w:rPr>
  </w:style>
  <w:style w:type="character" w:styleId="UnresolvedMention">
    <w:name w:val="Unresolved Mention"/>
    <w:basedOn w:val="DefaultParagraphFont"/>
    <w:uiPriority w:val="99"/>
    <w:semiHidden/>
    <w:unhideWhenUsed/>
    <w:rsid w:val="000E4FDA"/>
    <w:rPr>
      <w:color w:val="605E5C"/>
      <w:shd w:val="clear" w:color="auto" w:fill="E1DFDD"/>
    </w:rPr>
  </w:style>
  <w:style w:type="paragraph" w:customStyle="1" w:styleId="BasicParagraph">
    <w:name w:val="[Basic Paragraph]"/>
    <w:basedOn w:val="Normal"/>
    <w:uiPriority w:val="99"/>
    <w:rsid w:val="00FC2ED2"/>
    <w:pPr>
      <w:autoSpaceDE w:val="0"/>
      <w:autoSpaceDN w:val="0"/>
      <w:adjustRightInd w:val="0"/>
      <w:spacing w:line="288" w:lineRule="auto"/>
      <w:textAlignment w:val="center"/>
    </w:pPr>
    <w:rPr>
      <w:rFonts w:ascii="MinionPro-Regular" w:eastAsiaTheme="minorHAnsi" w:hAnsi="MinionPro-Regular" w:cs="MinionPro-Regular"/>
      <w:color w:val="000000"/>
    </w:rPr>
  </w:style>
  <w:style w:type="paragraph" w:styleId="Revision">
    <w:name w:val="Revision"/>
    <w:hidden/>
    <w:uiPriority w:val="99"/>
    <w:semiHidden/>
    <w:rsid w:val="00604E97"/>
    <w:rPr>
      <w:lang w:val="en-GB"/>
    </w:rPr>
  </w:style>
  <w:style w:type="paragraph" w:customStyle="1" w:styleId="pf0">
    <w:name w:val="pf0"/>
    <w:basedOn w:val="Normal"/>
    <w:rsid w:val="00B61885"/>
    <w:pPr>
      <w:spacing w:before="100" w:beforeAutospacing="1" w:after="100" w:afterAutospacing="1"/>
    </w:pPr>
    <w:rPr>
      <w:rFonts w:ascii="Times New Roman" w:eastAsia="Times New Roman" w:hAnsi="Times New Roman" w:cs="Times New Roman"/>
    </w:rPr>
  </w:style>
  <w:style w:type="character" w:customStyle="1" w:styleId="cf01">
    <w:name w:val="cf01"/>
    <w:basedOn w:val="DefaultParagraphFont"/>
    <w:rsid w:val="00B61885"/>
    <w:rPr>
      <w:rFonts w:ascii="Segoe UI" w:hAnsi="Segoe UI" w:cs="Segoe UI" w:hint="default"/>
      <w:sz w:val="18"/>
      <w:szCs w:val="18"/>
    </w:rPr>
  </w:style>
  <w:style w:type="character" w:customStyle="1" w:styleId="cf11">
    <w:name w:val="cf11"/>
    <w:basedOn w:val="DefaultParagraphFont"/>
    <w:rsid w:val="00587E77"/>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162882">
      <w:bodyDiv w:val="1"/>
      <w:marLeft w:val="0"/>
      <w:marRight w:val="0"/>
      <w:marTop w:val="0"/>
      <w:marBottom w:val="0"/>
      <w:divBdr>
        <w:top w:val="none" w:sz="0" w:space="0" w:color="auto"/>
        <w:left w:val="none" w:sz="0" w:space="0" w:color="auto"/>
        <w:bottom w:val="none" w:sz="0" w:space="0" w:color="auto"/>
        <w:right w:val="none" w:sz="0" w:space="0" w:color="auto"/>
      </w:divBdr>
    </w:div>
    <w:div w:id="456610850">
      <w:bodyDiv w:val="1"/>
      <w:marLeft w:val="0"/>
      <w:marRight w:val="0"/>
      <w:marTop w:val="0"/>
      <w:marBottom w:val="0"/>
      <w:divBdr>
        <w:top w:val="none" w:sz="0" w:space="0" w:color="auto"/>
        <w:left w:val="none" w:sz="0" w:space="0" w:color="auto"/>
        <w:bottom w:val="none" w:sz="0" w:space="0" w:color="auto"/>
        <w:right w:val="none" w:sz="0" w:space="0" w:color="auto"/>
      </w:divBdr>
    </w:div>
    <w:div w:id="538468848">
      <w:bodyDiv w:val="1"/>
      <w:marLeft w:val="0"/>
      <w:marRight w:val="0"/>
      <w:marTop w:val="0"/>
      <w:marBottom w:val="0"/>
      <w:divBdr>
        <w:top w:val="none" w:sz="0" w:space="0" w:color="auto"/>
        <w:left w:val="none" w:sz="0" w:space="0" w:color="auto"/>
        <w:bottom w:val="none" w:sz="0" w:space="0" w:color="auto"/>
        <w:right w:val="none" w:sz="0" w:space="0" w:color="auto"/>
      </w:divBdr>
    </w:div>
    <w:div w:id="561209180">
      <w:bodyDiv w:val="1"/>
      <w:marLeft w:val="0"/>
      <w:marRight w:val="0"/>
      <w:marTop w:val="0"/>
      <w:marBottom w:val="0"/>
      <w:divBdr>
        <w:top w:val="none" w:sz="0" w:space="0" w:color="auto"/>
        <w:left w:val="none" w:sz="0" w:space="0" w:color="auto"/>
        <w:bottom w:val="none" w:sz="0" w:space="0" w:color="auto"/>
        <w:right w:val="none" w:sz="0" w:space="0" w:color="auto"/>
      </w:divBdr>
    </w:div>
    <w:div w:id="715854166">
      <w:bodyDiv w:val="1"/>
      <w:marLeft w:val="0"/>
      <w:marRight w:val="0"/>
      <w:marTop w:val="0"/>
      <w:marBottom w:val="0"/>
      <w:divBdr>
        <w:top w:val="none" w:sz="0" w:space="0" w:color="auto"/>
        <w:left w:val="none" w:sz="0" w:space="0" w:color="auto"/>
        <w:bottom w:val="none" w:sz="0" w:space="0" w:color="auto"/>
        <w:right w:val="none" w:sz="0" w:space="0" w:color="auto"/>
      </w:divBdr>
    </w:div>
    <w:div w:id="754208227">
      <w:bodyDiv w:val="1"/>
      <w:marLeft w:val="0"/>
      <w:marRight w:val="0"/>
      <w:marTop w:val="0"/>
      <w:marBottom w:val="0"/>
      <w:divBdr>
        <w:top w:val="none" w:sz="0" w:space="0" w:color="auto"/>
        <w:left w:val="none" w:sz="0" w:space="0" w:color="auto"/>
        <w:bottom w:val="none" w:sz="0" w:space="0" w:color="auto"/>
        <w:right w:val="none" w:sz="0" w:space="0" w:color="auto"/>
      </w:divBdr>
    </w:div>
    <w:div w:id="1145002002">
      <w:bodyDiv w:val="1"/>
      <w:marLeft w:val="0"/>
      <w:marRight w:val="0"/>
      <w:marTop w:val="0"/>
      <w:marBottom w:val="0"/>
      <w:divBdr>
        <w:top w:val="none" w:sz="0" w:space="0" w:color="auto"/>
        <w:left w:val="none" w:sz="0" w:space="0" w:color="auto"/>
        <w:bottom w:val="none" w:sz="0" w:space="0" w:color="auto"/>
        <w:right w:val="none" w:sz="0" w:space="0" w:color="auto"/>
      </w:divBdr>
    </w:div>
    <w:div w:id="1318025573">
      <w:bodyDiv w:val="1"/>
      <w:marLeft w:val="0"/>
      <w:marRight w:val="0"/>
      <w:marTop w:val="0"/>
      <w:marBottom w:val="0"/>
      <w:divBdr>
        <w:top w:val="none" w:sz="0" w:space="0" w:color="auto"/>
        <w:left w:val="none" w:sz="0" w:space="0" w:color="auto"/>
        <w:bottom w:val="none" w:sz="0" w:space="0" w:color="auto"/>
        <w:right w:val="none" w:sz="0" w:space="0" w:color="auto"/>
      </w:divBdr>
    </w:div>
    <w:div w:id="1769697031">
      <w:bodyDiv w:val="1"/>
      <w:marLeft w:val="0"/>
      <w:marRight w:val="0"/>
      <w:marTop w:val="0"/>
      <w:marBottom w:val="0"/>
      <w:divBdr>
        <w:top w:val="none" w:sz="0" w:space="0" w:color="auto"/>
        <w:left w:val="none" w:sz="0" w:space="0" w:color="auto"/>
        <w:bottom w:val="none" w:sz="0" w:space="0" w:color="auto"/>
        <w:right w:val="none" w:sz="0" w:space="0" w:color="auto"/>
      </w:divBdr>
    </w:div>
    <w:div w:id="1896818905">
      <w:bodyDiv w:val="1"/>
      <w:marLeft w:val="0"/>
      <w:marRight w:val="0"/>
      <w:marTop w:val="0"/>
      <w:marBottom w:val="0"/>
      <w:divBdr>
        <w:top w:val="none" w:sz="0" w:space="0" w:color="auto"/>
        <w:left w:val="none" w:sz="0" w:space="0" w:color="auto"/>
        <w:bottom w:val="none" w:sz="0" w:space="0" w:color="auto"/>
        <w:right w:val="none" w:sz="0" w:space="0" w:color="auto"/>
      </w:divBdr>
    </w:div>
    <w:div w:id="1943217850">
      <w:bodyDiv w:val="1"/>
      <w:marLeft w:val="0"/>
      <w:marRight w:val="0"/>
      <w:marTop w:val="0"/>
      <w:marBottom w:val="0"/>
      <w:divBdr>
        <w:top w:val="none" w:sz="0" w:space="0" w:color="auto"/>
        <w:left w:val="none" w:sz="0" w:space="0" w:color="auto"/>
        <w:bottom w:val="none" w:sz="0" w:space="0" w:color="auto"/>
        <w:right w:val="none" w:sz="0" w:space="0" w:color="auto"/>
      </w:divBdr>
    </w:div>
    <w:div w:id="1953440423">
      <w:bodyDiv w:val="1"/>
      <w:marLeft w:val="0"/>
      <w:marRight w:val="0"/>
      <w:marTop w:val="0"/>
      <w:marBottom w:val="0"/>
      <w:divBdr>
        <w:top w:val="none" w:sz="0" w:space="0" w:color="auto"/>
        <w:left w:val="none" w:sz="0" w:space="0" w:color="auto"/>
        <w:bottom w:val="none" w:sz="0" w:space="0" w:color="auto"/>
        <w:right w:val="none" w:sz="0" w:space="0" w:color="auto"/>
      </w:divBdr>
    </w:div>
    <w:div w:id="19670096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oter" Target="footer5.xm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treaties.un.org/Pages/ParticipationStatus.aspx?clang=_en" TargetMode="External"/><Relationship Id="rId13" Type="http://schemas.openxmlformats.org/officeDocument/2006/relationships/hyperlink" Target="https://www.malaymail.com/news/what-you-think/2022/04/30/allowing-non-citizen-spouses-the-right-to-work-can-strengthen-malaysias-eco/2056452" TargetMode="External"/><Relationship Id="rId18" Type="http://schemas.openxmlformats.org/officeDocument/2006/relationships/hyperlink" Target="https://tbinternet.ohchr.org/_layouts/15/treatybodyexternal/Download.aspx?symbolno=CEDAW%2FC%2FMYS%2F6%20&amp;Lang=en" TargetMode="External"/><Relationship Id="rId26" Type="http://schemas.openxmlformats.org/officeDocument/2006/relationships/hyperlink" Target="https://www.nst.com.my/news/nation/2024/03/1030420/citizenship-amendment-children-malaysian-mothers-not-retroactive" TargetMode="External"/><Relationship Id="rId3" Type="http://schemas.openxmlformats.org/officeDocument/2006/relationships/hyperlink" Target="https://nationalityforall.org/events/statelessness-and-dignified-citizenship-coalition-sdcc-asia-pacific/" TargetMode="External"/><Relationship Id="rId21" Type="http://schemas.openxmlformats.org/officeDocument/2006/relationships/hyperlink" Target="https://www.malaymail.com/news/malaysia/2023/01/09/home-minister-special-committee-set-up-to-look-into-all-citizenship-matters/49203" TargetMode="External"/><Relationship Id="rId7" Type="http://schemas.openxmlformats.org/officeDocument/2006/relationships/hyperlink" Target="https://www.institutesi.org/" TargetMode="External"/><Relationship Id="rId12" Type="http://schemas.openxmlformats.org/officeDocument/2006/relationships/hyperlink" Target="https://www.nst.com.my/opinion/letters/2023/12/993109/be-more-welcoming-foreign-spouses" TargetMode="External"/><Relationship Id="rId17" Type="http://schemas.openxmlformats.org/officeDocument/2006/relationships/hyperlink" Target="https://www.ohchr.org/en/press-releases/2022/09/malaysia-un-experts-denounce-gender-discriminatorycitizenship-law" TargetMode="External"/><Relationship Id="rId25" Type="http://schemas.openxmlformats.org/officeDocument/2006/relationships/hyperlink" Target="https://www.nst.com.my/news/nation/2024/03/1025240/malaysian-bar-calls-govt-halt-amendments-regarding-citizenship" TargetMode="External"/><Relationship Id="rId2" Type="http://schemas.openxmlformats.org/officeDocument/2006/relationships/hyperlink" Target="https://nationalityforall.org/" TargetMode="External"/><Relationship Id="rId16" Type="http://schemas.openxmlformats.org/officeDocument/2006/relationships/hyperlink" Target="https://www.malaymail.com/news/malaysia/2022/12/14/federal-court-allows-malaysian-mothers-to-pursue-appeal-for-automatic-citizenship-for-their-overseas-born-children/45151" TargetMode="External"/><Relationship Id="rId20" Type="http://schemas.openxmlformats.org/officeDocument/2006/relationships/hyperlink" Target="https://www.thestar.com.my/news/nation/2024/03/25/home-ministry-tables-constitutional-amendment-to-citizenship-laws" TargetMode="External"/><Relationship Id="rId1" Type="http://schemas.openxmlformats.org/officeDocument/2006/relationships/hyperlink" Target="https://familyfrontiers.org/" TargetMode="External"/><Relationship Id="rId6" Type="http://schemas.openxmlformats.org/officeDocument/2006/relationships/hyperlink" Target="https://equalitynow.org/resource/state/" TargetMode="External"/><Relationship Id="rId11" Type="http://schemas.openxmlformats.org/officeDocument/2006/relationships/hyperlink" Target="https://equalitynow.storage.googleapis.com/wp-content/uploads/2022/07/06161241/ANNEX-OF-LAWS-Updated-Dec-6th-2023.pdf" TargetMode="External"/><Relationship Id="rId24" Type="http://schemas.openxmlformats.org/officeDocument/2006/relationships/hyperlink" Target="https://www.nst.com.my/news/nation/2024/03/1029103/govt-drops-proposed-amendments-citizenship-law-foundlings" TargetMode="External"/><Relationship Id="rId5" Type="http://schemas.openxmlformats.org/officeDocument/2006/relationships/hyperlink" Target="https://equalitynow.org/" TargetMode="External"/><Relationship Id="rId15" Type="http://schemas.openxmlformats.org/officeDocument/2006/relationships/hyperlink" Target="https://files.institutesi.org/Decision_in_Family_Frontiers_Case.pdf" TargetMode="External"/><Relationship Id="rId23" Type="http://schemas.openxmlformats.org/officeDocument/2006/relationships/hyperlink" Target="https://www.malaymail.com/news/malaysia/2023/11/08/explainer-a-breakdown-of-the-proposed-five-citizenship-law-changes-deemed-regressive/100811" TargetMode="External"/><Relationship Id="rId28" Type="http://schemas.openxmlformats.org/officeDocument/2006/relationships/hyperlink" Target="https://theedgemalaysia.com/node/706209" TargetMode="External"/><Relationship Id="rId10" Type="http://schemas.openxmlformats.org/officeDocument/2006/relationships/hyperlink" Target="https://documents-dds-ny.un.org/doc/UNDOC/GEN/G19/001/96/PDF/G1900196.pdf?OpenElement" TargetMode="External"/><Relationship Id="rId19" Type="http://schemas.openxmlformats.org/officeDocument/2006/relationships/hyperlink" Target="https://www.thevibes.com/articles/news/75978/ge15-pakatan-includes-citizenship-rights-separation-of-ag-dpps-power-in-manifesto" TargetMode="External"/><Relationship Id="rId4" Type="http://schemas.openxmlformats.org/officeDocument/2006/relationships/hyperlink" Target="https://www.equalnationalityrights.org/" TargetMode="External"/><Relationship Id="rId9" Type="http://schemas.openxmlformats.org/officeDocument/2006/relationships/hyperlink" Target="http://www.refworld.org/docid/3ae6b5e40.html" TargetMode="External"/><Relationship Id="rId14" Type="http://schemas.openxmlformats.org/officeDocument/2006/relationships/hyperlink" Target="https://www.malaymail.com/news/malaysia/2021/10/20/explainer-how-the-high-court-decided-malaysian-mothers-overseas-born-childr/2014564" TargetMode="External"/><Relationship Id="rId22" Type="http://schemas.openxmlformats.org/officeDocument/2006/relationships/hyperlink" Target="https://www.thestar.com.my/news/nation/2023/06/12/proposals-accepted-for-constitutional-amendments-over-citizenship" TargetMode="External"/><Relationship Id="rId27" Type="http://schemas.openxmlformats.org/officeDocument/2006/relationships/hyperlink" Target="https://www.freemalaysiatoday.com/category/nation/2024/03/19/80-of-nearly-4000-citizenship-applications-approved-says-saifuddin/" TargetMode="External"/></Relationships>
</file>

<file path=word/theme/theme1.xml><?xml version="1.0" encoding="utf-8"?>
<a:theme xmlns:a="http://schemas.openxmlformats.org/drawingml/2006/main" name="Office Theme">
  <a:themeElements>
    <a:clrScheme name="Institute on Statelessness and Inclusion">
      <a:dk1>
        <a:sysClr val="windowText" lastClr="000000"/>
      </a:dk1>
      <a:lt1>
        <a:sysClr val="window" lastClr="FFFFFF"/>
      </a:lt1>
      <a:dk2>
        <a:srgbClr val="000000"/>
      </a:dk2>
      <a:lt2>
        <a:srgbClr val="FFFFFF"/>
      </a:lt2>
      <a:accent1>
        <a:srgbClr val="29166F"/>
      </a:accent1>
      <a:accent2>
        <a:srgbClr val="F5821F"/>
      </a:accent2>
      <a:accent3>
        <a:srgbClr val="444444"/>
      </a:accent3>
      <a:accent4>
        <a:srgbClr val="77BB40"/>
      </a:accent4>
      <a:accent5>
        <a:srgbClr val="D4E3FE"/>
      </a:accent5>
      <a:accent6>
        <a:srgbClr val="000000"/>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2024-04-23T12:53:10+00:00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0CD617-44AB-41E3-9D8F-5520DB5DE18C}">
  <ds:schemaRefs>
    <ds:schemaRef ds:uri="http://schemas.openxmlformats.org/officeDocument/2006/bibliography"/>
  </ds:schemaRefs>
</ds:datastoreItem>
</file>

<file path=customXml/itemProps2.xml><?xml version="1.0" encoding="utf-8"?>
<ds:datastoreItem xmlns:ds="http://schemas.openxmlformats.org/officeDocument/2006/customXml" ds:itemID="{A38FB747-5EA7-4870-91A2-8CA2FEE216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CA39CD-980F-402F-A2CB-D3C5DB6091F9}">
  <ds:schemaRefs>
    <ds:schemaRef ds:uri="http://schemas.microsoft.com/sharepoint/v3/contenttype/forms"/>
  </ds:schemaRefs>
</ds:datastoreItem>
</file>

<file path=customXml/itemProps4.xml><?xml version="1.0" encoding="utf-8"?>
<ds:datastoreItem xmlns:ds="http://schemas.openxmlformats.org/officeDocument/2006/customXml" ds:itemID="{109D37E1-A272-44C6-847E-7D22ACB5D726}"/>
</file>

<file path=docProps/app.xml><?xml version="1.0" encoding="utf-8"?>
<Properties xmlns="http://schemas.openxmlformats.org/officeDocument/2006/extended-properties" xmlns:vt="http://schemas.openxmlformats.org/officeDocument/2006/docPropsVTypes">
  <Template>Normal.dotm</Template>
  <TotalTime>167</TotalTime>
  <Pages>10</Pages>
  <Words>3681</Words>
  <Characters>20979</Characters>
  <Application>Microsoft Office Word</Application>
  <DocSecurity>0</DocSecurity>
  <Lines>174</Lines>
  <Paragraphs>49</Paragraphs>
  <ScaleCrop>false</ScaleCrop>
  <Company>vg</Company>
  <LinksUpToDate>false</LinksUpToDate>
  <CharactersWithSpaces>24611</CharactersWithSpaces>
  <SharedDoc>false</SharedDoc>
  <HLinks>
    <vt:vector size="192" baseType="variant">
      <vt:variant>
        <vt:i4>4128875</vt:i4>
      </vt:variant>
      <vt:variant>
        <vt:i4>78</vt:i4>
      </vt:variant>
      <vt:variant>
        <vt:i4>0</vt:i4>
      </vt:variant>
      <vt:variant>
        <vt:i4>5</vt:i4>
      </vt:variant>
      <vt:variant>
        <vt:lpwstr>https://theedgemalaysia.com/node/706209</vt:lpwstr>
      </vt:variant>
      <vt:variant>
        <vt:lpwstr/>
      </vt:variant>
      <vt:variant>
        <vt:i4>7995442</vt:i4>
      </vt:variant>
      <vt:variant>
        <vt:i4>75</vt:i4>
      </vt:variant>
      <vt:variant>
        <vt:i4>0</vt:i4>
      </vt:variant>
      <vt:variant>
        <vt:i4>5</vt:i4>
      </vt:variant>
      <vt:variant>
        <vt:lpwstr>https://www.nst.com.my/news/nation/2024/03/1030420/citizenship-amendment-children-malaysian-mothers-not-retroactive</vt:lpwstr>
      </vt:variant>
      <vt:variant>
        <vt:lpwstr/>
      </vt:variant>
      <vt:variant>
        <vt:i4>3604487</vt:i4>
      </vt:variant>
      <vt:variant>
        <vt:i4>72</vt:i4>
      </vt:variant>
      <vt:variant>
        <vt:i4>0</vt:i4>
      </vt:variant>
      <vt:variant>
        <vt:i4>5</vt:i4>
      </vt:variant>
      <vt:variant>
        <vt:lpwstr>https://www.nst.com.my/news/nation/2024/03/1025240/malaysian-bar-calls-govt-halt-amendments-regarding-citizenship</vt:lpwstr>
      </vt:variant>
      <vt:variant>
        <vt:lpwstr>google_vignette</vt:lpwstr>
      </vt:variant>
      <vt:variant>
        <vt:i4>5505030</vt:i4>
      </vt:variant>
      <vt:variant>
        <vt:i4>69</vt:i4>
      </vt:variant>
      <vt:variant>
        <vt:i4>0</vt:i4>
      </vt:variant>
      <vt:variant>
        <vt:i4>5</vt:i4>
      </vt:variant>
      <vt:variant>
        <vt:lpwstr>https://www.nst.com.my/news/nation/2024/03/1029103/govt-drops-proposed-amendments-citizenship-law-foundlings</vt:lpwstr>
      </vt:variant>
      <vt:variant>
        <vt:lpwstr/>
      </vt:variant>
      <vt:variant>
        <vt:i4>3866735</vt:i4>
      </vt:variant>
      <vt:variant>
        <vt:i4>66</vt:i4>
      </vt:variant>
      <vt:variant>
        <vt:i4>0</vt:i4>
      </vt:variant>
      <vt:variant>
        <vt:i4>5</vt:i4>
      </vt:variant>
      <vt:variant>
        <vt:lpwstr>https://www.malaymail.com/news/malaysia/2023/11/08/explainer-a-breakdown-of-the-proposed-five-citizenship-law-changes-deemed-regressive/100811</vt:lpwstr>
      </vt:variant>
      <vt:variant>
        <vt:lpwstr/>
      </vt:variant>
      <vt:variant>
        <vt:i4>3145787</vt:i4>
      </vt:variant>
      <vt:variant>
        <vt:i4>63</vt:i4>
      </vt:variant>
      <vt:variant>
        <vt:i4>0</vt:i4>
      </vt:variant>
      <vt:variant>
        <vt:i4>5</vt:i4>
      </vt:variant>
      <vt:variant>
        <vt:lpwstr>https://www.thestar.com.my/news/nation/2023/06/12/proposals-accepted-for-constitutional-amendments-over-citizenship</vt:lpwstr>
      </vt:variant>
      <vt:variant>
        <vt:lpwstr/>
      </vt:variant>
      <vt:variant>
        <vt:i4>5701706</vt:i4>
      </vt:variant>
      <vt:variant>
        <vt:i4>60</vt:i4>
      </vt:variant>
      <vt:variant>
        <vt:i4>0</vt:i4>
      </vt:variant>
      <vt:variant>
        <vt:i4>5</vt:i4>
      </vt:variant>
      <vt:variant>
        <vt:lpwstr>https://www.malaymail.com/news/malaysia/2023/01/09/home-minister-special-committee-set-up-to-look-into-all-citizenship-matters/49203</vt:lpwstr>
      </vt:variant>
      <vt:variant>
        <vt:lpwstr/>
      </vt:variant>
      <vt:variant>
        <vt:i4>2228345</vt:i4>
      </vt:variant>
      <vt:variant>
        <vt:i4>57</vt:i4>
      </vt:variant>
      <vt:variant>
        <vt:i4>0</vt:i4>
      </vt:variant>
      <vt:variant>
        <vt:i4>5</vt:i4>
      </vt:variant>
      <vt:variant>
        <vt:lpwstr>https://www.thestar.com.my/news/nation/2024/03/25/home-ministry-tables-constitutional-amendment-to-citizenship-laws</vt:lpwstr>
      </vt:variant>
      <vt:variant>
        <vt:lpwstr>:~:text=The%20bill%20seeks%20to%20amend,their%20citizenship%20for%20their%20children</vt:lpwstr>
      </vt:variant>
      <vt:variant>
        <vt:i4>7209004</vt:i4>
      </vt:variant>
      <vt:variant>
        <vt:i4>54</vt:i4>
      </vt:variant>
      <vt:variant>
        <vt:i4>0</vt:i4>
      </vt:variant>
      <vt:variant>
        <vt:i4>5</vt:i4>
      </vt:variant>
      <vt:variant>
        <vt:lpwstr>https://www.thevibes.com/articles/news/75978/ge15-pakatan-includes-citizenship-rights-separation-of-ag-dpps-power-in-manifesto</vt:lpwstr>
      </vt:variant>
      <vt:variant>
        <vt:lpwstr/>
      </vt:variant>
      <vt:variant>
        <vt:i4>2555904</vt:i4>
      </vt:variant>
      <vt:variant>
        <vt:i4>51</vt:i4>
      </vt:variant>
      <vt:variant>
        <vt:i4>0</vt:i4>
      </vt:variant>
      <vt:variant>
        <vt:i4>5</vt:i4>
      </vt:variant>
      <vt:variant>
        <vt:lpwstr>https://tbinternet.ohchr.org/_layouts/15/treatybodyexternal/Download.aspx?symbolno=CEDAW%2FC%2FMYS%2F6%20&amp;Lang=en</vt:lpwstr>
      </vt:variant>
      <vt:variant>
        <vt:lpwstr/>
      </vt:variant>
      <vt:variant>
        <vt:i4>1769557</vt:i4>
      </vt:variant>
      <vt:variant>
        <vt:i4>48</vt:i4>
      </vt:variant>
      <vt:variant>
        <vt:i4>0</vt:i4>
      </vt:variant>
      <vt:variant>
        <vt:i4>5</vt:i4>
      </vt:variant>
      <vt:variant>
        <vt:lpwstr>https://www.ohchr.org/en/press-releases/2022/09/malaysia-un-experts-denounce-gender-discriminatorycitizenship-law</vt:lpwstr>
      </vt:variant>
      <vt:variant>
        <vt:lpwstr/>
      </vt:variant>
      <vt:variant>
        <vt:i4>2556020</vt:i4>
      </vt:variant>
      <vt:variant>
        <vt:i4>45</vt:i4>
      </vt:variant>
      <vt:variant>
        <vt:i4>0</vt:i4>
      </vt:variant>
      <vt:variant>
        <vt:i4>5</vt:i4>
      </vt:variant>
      <vt:variant>
        <vt:lpwstr>https://www.malaymail.com/news/malaysia/2022/12/14/federal-court-allows-malaysian-mothers-to-pursue-appeal-for-automatic-citizenship-for-their-overseas-born-children/45151</vt:lpwstr>
      </vt:variant>
      <vt:variant>
        <vt:lpwstr/>
      </vt:variant>
      <vt:variant>
        <vt:i4>5505029</vt:i4>
      </vt:variant>
      <vt:variant>
        <vt:i4>42</vt:i4>
      </vt:variant>
      <vt:variant>
        <vt:i4>0</vt:i4>
      </vt:variant>
      <vt:variant>
        <vt:i4>5</vt:i4>
      </vt:variant>
      <vt:variant>
        <vt:lpwstr>https://files.institutesi.org/Decision_in_Family_Frontiers_Case.pdf</vt:lpwstr>
      </vt:variant>
      <vt:variant>
        <vt:lpwstr/>
      </vt:variant>
      <vt:variant>
        <vt:i4>2687100</vt:i4>
      </vt:variant>
      <vt:variant>
        <vt:i4>39</vt:i4>
      </vt:variant>
      <vt:variant>
        <vt:i4>0</vt:i4>
      </vt:variant>
      <vt:variant>
        <vt:i4>5</vt:i4>
      </vt:variant>
      <vt:variant>
        <vt:lpwstr>https://www.malaymail.com/news/malaysia/2021/10/20/explainer-how-the-high-court-decided-malaysian-mothers-overseas-born-childr/2014564</vt:lpwstr>
      </vt:variant>
      <vt:variant>
        <vt:lpwstr/>
      </vt:variant>
      <vt:variant>
        <vt:i4>4980813</vt:i4>
      </vt:variant>
      <vt:variant>
        <vt:i4>36</vt:i4>
      </vt:variant>
      <vt:variant>
        <vt:i4>0</vt:i4>
      </vt:variant>
      <vt:variant>
        <vt:i4>5</vt:i4>
      </vt:variant>
      <vt:variant>
        <vt:lpwstr>https://www.malaymail.com/news/what-you-think/2022/04/30/allowing-non-citizen-spouses-the-right-to-work-can-strengthen-malaysias-eco/2056452</vt:lpwstr>
      </vt:variant>
      <vt:variant>
        <vt:lpwstr/>
      </vt:variant>
      <vt:variant>
        <vt:i4>7667819</vt:i4>
      </vt:variant>
      <vt:variant>
        <vt:i4>33</vt:i4>
      </vt:variant>
      <vt:variant>
        <vt:i4>0</vt:i4>
      </vt:variant>
      <vt:variant>
        <vt:i4>5</vt:i4>
      </vt:variant>
      <vt:variant>
        <vt:lpwstr>https://www.nst.com.my/opinion/letters/2023/12/993109/be-more-welcoming-foreign-spouses</vt:lpwstr>
      </vt:variant>
      <vt:variant>
        <vt:lpwstr/>
      </vt:variant>
      <vt:variant>
        <vt:i4>82</vt:i4>
      </vt:variant>
      <vt:variant>
        <vt:i4>30</vt:i4>
      </vt:variant>
      <vt:variant>
        <vt:i4>0</vt:i4>
      </vt:variant>
      <vt:variant>
        <vt:i4>5</vt:i4>
      </vt:variant>
      <vt:variant>
        <vt:lpwstr>https://equalitynow.storage.googleapis.com/wp-content/uploads/2022/07/06161241/ANNEX-OF-LAWS-Updated-Dec-6th-2023.pdf</vt:lpwstr>
      </vt:variant>
      <vt:variant>
        <vt:lpwstr/>
      </vt:variant>
      <vt:variant>
        <vt:i4>5701639</vt:i4>
      </vt:variant>
      <vt:variant>
        <vt:i4>27</vt:i4>
      </vt:variant>
      <vt:variant>
        <vt:i4>0</vt:i4>
      </vt:variant>
      <vt:variant>
        <vt:i4>5</vt:i4>
      </vt:variant>
      <vt:variant>
        <vt:lpwstr>https://documents-dds-ny.un.org/doc/UNDOC/GEN/G19/001/96/PDF/G1900196.pdf?OpenElement</vt:lpwstr>
      </vt:variant>
      <vt:variant>
        <vt:lpwstr/>
      </vt:variant>
      <vt:variant>
        <vt:i4>393307</vt:i4>
      </vt:variant>
      <vt:variant>
        <vt:i4>24</vt:i4>
      </vt:variant>
      <vt:variant>
        <vt:i4>0</vt:i4>
      </vt:variant>
      <vt:variant>
        <vt:i4>5</vt:i4>
      </vt:variant>
      <vt:variant>
        <vt:lpwstr>http://www.refworld.org/docid/3ae6b5e40.html</vt:lpwstr>
      </vt:variant>
      <vt:variant>
        <vt:lpwstr/>
      </vt:variant>
      <vt:variant>
        <vt:i4>4063247</vt:i4>
      </vt:variant>
      <vt:variant>
        <vt:i4>21</vt:i4>
      </vt:variant>
      <vt:variant>
        <vt:i4>0</vt:i4>
      </vt:variant>
      <vt:variant>
        <vt:i4>5</vt:i4>
      </vt:variant>
      <vt:variant>
        <vt:lpwstr>https://treaties.un.org/Pages/ParticipationStatus.aspx?clang=_en</vt:lpwstr>
      </vt:variant>
      <vt:variant>
        <vt:lpwstr/>
      </vt:variant>
      <vt:variant>
        <vt:i4>5374018</vt:i4>
      </vt:variant>
      <vt:variant>
        <vt:i4>18</vt:i4>
      </vt:variant>
      <vt:variant>
        <vt:i4>0</vt:i4>
      </vt:variant>
      <vt:variant>
        <vt:i4>5</vt:i4>
      </vt:variant>
      <vt:variant>
        <vt:lpwstr>https://www.institutesi.org/</vt:lpwstr>
      </vt:variant>
      <vt:variant>
        <vt:lpwstr/>
      </vt:variant>
      <vt:variant>
        <vt:i4>6750305</vt:i4>
      </vt:variant>
      <vt:variant>
        <vt:i4>15</vt:i4>
      </vt:variant>
      <vt:variant>
        <vt:i4>0</vt:i4>
      </vt:variant>
      <vt:variant>
        <vt:i4>5</vt:i4>
      </vt:variant>
      <vt:variant>
        <vt:lpwstr>https://equalitynow.org/resource/state/</vt:lpwstr>
      </vt:variant>
      <vt:variant>
        <vt:lpwstr/>
      </vt:variant>
      <vt:variant>
        <vt:i4>852057</vt:i4>
      </vt:variant>
      <vt:variant>
        <vt:i4>12</vt:i4>
      </vt:variant>
      <vt:variant>
        <vt:i4>0</vt:i4>
      </vt:variant>
      <vt:variant>
        <vt:i4>5</vt:i4>
      </vt:variant>
      <vt:variant>
        <vt:lpwstr>https://equalitynow.org/</vt:lpwstr>
      </vt:variant>
      <vt:variant>
        <vt:lpwstr/>
      </vt:variant>
      <vt:variant>
        <vt:i4>2490495</vt:i4>
      </vt:variant>
      <vt:variant>
        <vt:i4>9</vt:i4>
      </vt:variant>
      <vt:variant>
        <vt:i4>0</vt:i4>
      </vt:variant>
      <vt:variant>
        <vt:i4>5</vt:i4>
      </vt:variant>
      <vt:variant>
        <vt:lpwstr>https://www.equalnationalityrights.org/</vt:lpwstr>
      </vt:variant>
      <vt:variant>
        <vt:lpwstr/>
      </vt:variant>
      <vt:variant>
        <vt:i4>5505044</vt:i4>
      </vt:variant>
      <vt:variant>
        <vt:i4>6</vt:i4>
      </vt:variant>
      <vt:variant>
        <vt:i4>0</vt:i4>
      </vt:variant>
      <vt:variant>
        <vt:i4>5</vt:i4>
      </vt:variant>
      <vt:variant>
        <vt:lpwstr>https://nationalityforall.org/events/statelessness-and-dignified-citizenship-coalition-sdcc-asia-pacific/</vt:lpwstr>
      </vt:variant>
      <vt:variant>
        <vt:lpwstr/>
      </vt:variant>
      <vt:variant>
        <vt:i4>6553646</vt:i4>
      </vt:variant>
      <vt:variant>
        <vt:i4>3</vt:i4>
      </vt:variant>
      <vt:variant>
        <vt:i4>0</vt:i4>
      </vt:variant>
      <vt:variant>
        <vt:i4>5</vt:i4>
      </vt:variant>
      <vt:variant>
        <vt:lpwstr>https://nationalityforall.org/</vt:lpwstr>
      </vt:variant>
      <vt:variant>
        <vt:lpwstr/>
      </vt:variant>
      <vt:variant>
        <vt:i4>1310788</vt:i4>
      </vt:variant>
      <vt:variant>
        <vt:i4>0</vt:i4>
      </vt:variant>
      <vt:variant>
        <vt:i4>0</vt:i4>
      </vt:variant>
      <vt:variant>
        <vt:i4>5</vt:i4>
      </vt:variant>
      <vt:variant>
        <vt:lpwstr>https://familyfrontiers.org/</vt:lpwstr>
      </vt:variant>
      <vt:variant>
        <vt:lpwstr/>
      </vt:variant>
      <vt:variant>
        <vt:i4>4128875</vt:i4>
      </vt:variant>
      <vt:variant>
        <vt:i4>12</vt:i4>
      </vt:variant>
      <vt:variant>
        <vt:i4>0</vt:i4>
      </vt:variant>
      <vt:variant>
        <vt:i4>5</vt:i4>
      </vt:variant>
      <vt:variant>
        <vt:lpwstr>https://theedgemalaysia.com/node/706209</vt:lpwstr>
      </vt:variant>
      <vt:variant>
        <vt:lpwstr/>
      </vt:variant>
      <vt:variant>
        <vt:i4>7995442</vt:i4>
      </vt:variant>
      <vt:variant>
        <vt:i4>9</vt:i4>
      </vt:variant>
      <vt:variant>
        <vt:i4>0</vt:i4>
      </vt:variant>
      <vt:variant>
        <vt:i4>5</vt:i4>
      </vt:variant>
      <vt:variant>
        <vt:lpwstr>https://www.nst.com.my/news/nation/2024/03/1030420/citizenship-amendment-children-malaysian-mothers-not-retroactive</vt:lpwstr>
      </vt:variant>
      <vt:variant>
        <vt:lpwstr/>
      </vt:variant>
      <vt:variant>
        <vt:i4>3604487</vt:i4>
      </vt:variant>
      <vt:variant>
        <vt:i4>6</vt:i4>
      </vt:variant>
      <vt:variant>
        <vt:i4>0</vt:i4>
      </vt:variant>
      <vt:variant>
        <vt:i4>5</vt:i4>
      </vt:variant>
      <vt:variant>
        <vt:lpwstr>https://www.nst.com.my/news/nation/2024/03/1025240/malaysian-bar-calls-govt-halt-amendments-regarding-citizenship</vt:lpwstr>
      </vt:variant>
      <vt:variant>
        <vt:lpwstr>google_vignette</vt:lpwstr>
      </vt:variant>
      <vt:variant>
        <vt:i4>852039</vt:i4>
      </vt:variant>
      <vt:variant>
        <vt:i4>3</vt:i4>
      </vt:variant>
      <vt:variant>
        <vt:i4>0</vt:i4>
      </vt:variant>
      <vt:variant>
        <vt:i4>5</vt:i4>
      </vt:variant>
      <vt:variant>
        <vt:lpwstr>https://www.malaymail.com/news/malaysia/2024/03/25/protect-malaysias-stateless-bumiputera-children-by-enabling-automatic-citizenship-if-pr-parent-born-locally-mcra-tells-govt/125444</vt:lpwstr>
      </vt:variant>
      <vt:variant>
        <vt:lpwstr/>
      </vt:variant>
      <vt:variant>
        <vt:i4>4784195</vt:i4>
      </vt:variant>
      <vt:variant>
        <vt:i4>0</vt:i4>
      </vt:variant>
      <vt:variant>
        <vt:i4>0</vt:i4>
      </vt:variant>
      <vt:variant>
        <vt:i4>5</vt:i4>
      </vt:variant>
      <vt:variant>
        <vt:lpwstr>https://www.google.com/url?q=https://www.nst.com.my/news/nation/2024/03/1029103/govt-drops-proposed-amendments-citizenship-law-foundlings&amp;sa=D&amp;source=docs&amp;ust=1712215689997350&amp;usg=AOvVaw1nObYe0MTAztfQwrJjat4d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 gumi</dc:creator>
  <cp:keywords/>
  <dc:description/>
  <cp:lastModifiedBy>Sholpan Arzhan</cp:lastModifiedBy>
  <cp:revision>613</cp:revision>
  <dcterms:created xsi:type="dcterms:W3CDTF">2023-01-23T14:05:00Z</dcterms:created>
  <dcterms:modified xsi:type="dcterms:W3CDTF">2024-04-23T09:00:00Z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0x01010004D663808EAC084CB2103B2BD4F021ED</vt:lpwstr>
  </property>
  <property fmtid="{D5CDD505-2E9C-101B-9397-08002B2CF9AE}" pid="3" name="AuthorIds_UIVersion_3584">
    <vt:lpwstr>40</vt:lpwstr>
  </property>
</Properties>
</file>