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AE4" w:rsidRPr="003F7AE4" w:rsidRDefault="003F7AE4" w:rsidP="003F7AE4">
      <w:pPr>
        <w:spacing w:after="0" w:line="240" w:lineRule="auto"/>
        <w:jc w:val="both"/>
        <w:rPr>
          <w:rFonts w:ascii="Arial" w:eastAsia="MS Mincho" w:hAnsi="Arial" w:cs="Arial"/>
          <w:sz w:val="20"/>
          <w:szCs w:val="20"/>
        </w:rPr>
      </w:pPr>
    </w:p>
    <w:p w:rsidR="003F7AE4" w:rsidRPr="003F7AE4" w:rsidRDefault="003F7AE4" w:rsidP="003F7AE4">
      <w:pPr>
        <w:spacing w:after="0" w:line="240" w:lineRule="auto"/>
        <w:jc w:val="both"/>
        <w:rPr>
          <w:rFonts w:ascii="Arial" w:eastAsia="MS Mincho" w:hAnsi="Arial" w:cs="Arial"/>
          <w:sz w:val="20"/>
          <w:szCs w:val="20"/>
        </w:rPr>
      </w:pPr>
      <w:r w:rsidRPr="003F7AE4">
        <w:rPr>
          <w:rFonts w:ascii="Arial" w:eastAsia="MS Mincho" w:hAnsi="Arial" w:cs="Arial"/>
          <w:noProof/>
          <w:sz w:val="20"/>
          <w:szCs w:val="20"/>
        </w:rPr>
        <w:drawing>
          <wp:inline distT="0" distB="0" distL="0" distR="0">
            <wp:extent cx="1914525" cy="1914525"/>
            <wp:effectExtent l="19050" t="0" r="9525" b="0"/>
            <wp:docPr id="1" name="Image 1" descr="LOGO-L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DH"/>
                    <pic:cNvPicPr>
                      <a:picLocks noChangeAspect="1" noChangeArrowheads="1"/>
                    </pic:cNvPicPr>
                  </pic:nvPicPr>
                  <pic:blipFill>
                    <a:blip r:embed="rId9" cstate="print"/>
                    <a:srcRect/>
                    <a:stretch>
                      <a:fillRect/>
                    </a:stretch>
                  </pic:blipFill>
                  <pic:spPr bwMode="auto">
                    <a:xfrm>
                      <a:off x="0" y="0"/>
                      <a:ext cx="1914525" cy="1914525"/>
                    </a:xfrm>
                    <a:prstGeom prst="rect">
                      <a:avLst/>
                    </a:prstGeom>
                    <a:noFill/>
                    <a:ln w="9525">
                      <a:noFill/>
                      <a:miter lim="800000"/>
                      <a:headEnd/>
                      <a:tailEnd/>
                    </a:ln>
                  </pic:spPr>
                </pic:pic>
              </a:graphicData>
            </a:graphic>
          </wp:inline>
        </w:drawing>
      </w:r>
    </w:p>
    <w:p w:rsidR="003F7AE4" w:rsidRPr="003F7AE4" w:rsidRDefault="003F7AE4" w:rsidP="003F7AE4">
      <w:pPr>
        <w:spacing w:after="0" w:line="240" w:lineRule="auto"/>
        <w:jc w:val="both"/>
        <w:rPr>
          <w:rFonts w:ascii="Arial" w:eastAsia="MS Mincho" w:hAnsi="Arial" w:cs="Arial"/>
          <w:sz w:val="20"/>
          <w:szCs w:val="20"/>
        </w:rPr>
      </w:pPr>
    </w:p>
    <w:p w:rsidR="003F7AE4" w:rsidRPr="003F7AE4" w:rsidRDefault="003F7AE4" w:rsidP="003F7AE4">
      <w:pPr>
        <w:spacing w:after="0" w:line="240" w:lineRule="auto"/>
        <w:jc w:val="both"/>
        <w:rPr>
          <w:rFonts w:ascii="Arial" w:eastAsia="MS Mincho" w:hAnsi="Arial" w:cs="Arial"/>
          <w:sz w:val="20"/>
          <w:szCs w:val="20"/>
        </w:rPr>
      </w:pPr>
    </w:p>
    <w:p w:rsidR="003F7AE4" w:rsidRPr="003F7AE4" w:rsidRDefault="003F7AE4" w:rsidP="003F7AE4">
      <w:pPr>
        <w:spacing w:after="0" w:line="240" w:lineRule="auto"/>
        <w:jc w:val="both"/>
        <w:rPr>
          <w:rFonts w:ascii="Arial" w:eastAsia="MS Mincho" w:hAnsi="Arial" w:cs="Arial"/>
          <w:sz w:val="20"/>
          <w:szCs w:val="20"/>
        </w:rPr>
      </w:pPr>
    </w:p>
    <w:p w:rsidR="003F7AE4" w:rsidRPr="003F7AE4" w:rsidRDefault="003F7AE4" w:rsidP="003F7AE4">
      <w:pPr>
        <w:spacing w:after="0" w:line="240" w:lineRule="auto"/>
        <w:jc w:val="both"/>
        <w:rPr>
          <w:rFonts w:ascii="Arial" w:eastAsia="MS Mincho" w:hAnsi="Arial" w:cs="Arial"/>
          <w:sz w:val="20"/>
          <w:szCs w:val="20"/>
        </w:rPr>
      </w:pPr>
    </w:p>
    <w:p w:rsidR="003F7AE4" w:rsidRPr="003F7AE4" w:rsidRDefault="003F7AE4" w:rsidP="003F7AE4">
      <w:pPr>
        <w:spacing w:after="0" w:line="240" w:lineRule="auto"/>
        <w:jc w:val="both"/>
        <w:rPr>
          <w:rFonts w:ascii="Arial" w:eastAsia="MS Mincho" w:hAnsi="Arial" w:cs="Arial"/>
          <w:sz w:val="20"/>
          <w:szCs w:val="20"/>
        </w:rPr>
      </w:pPr>
    </w:p>
    <w:p w:rsidR="003F7AE4" w:rsidRPr="003F7AE4" w:rsidRDefault="003F7AE4" w:rsidP="003F7AE4">
      <w:pPr>
        <w:spacing w:after="0" w:line="360" w:lineRule="auto"/>
        <w:rPr>
          <w:rFonts w:ascii="Arial" w:eastAsia="MS Mincho" w:hAnsi="Arial" w:cs="Arial"/>
          <w:sz w:val="20"/>
          <w:szCs w:val="20"/>
        </w:rPr>
      </w:pPr>
    </w:p>
    <w:p w:rsidR="003F7AE4" w:rsidRPr="003F7AE4" w:rsidRDefault="003F7AE4" w:rsidP="003F7AE4">
      <w:pPr>
        <w:spacing w:after="0" w:line="240" w:lineRule="auto"/>
        <w:jc w:val="center"/>
        <w:rPr>
          <w:rFonts w:ascii="Arial" w:eastAsia="MS Mincho" w:hAnsi="Arial" w:cs="Arial"/>
          <w:b/>
          <w:caps/>
          <w:sz w:val="24"/>
          <w:szCs w:val="24"/>
        </w:rPr>
      </w:pPr>
      <w:r w:rsidRPr="003F7AE4">
        <w:rPr>
          <w:rFonts w:ascii="Arial" w:eastAsia="MS Mincho" w:hAnsi="Arial" w:cs="Arial"/>
          <w:b/>
          <w:caps/>
          <w:sz w:val="24"/>
          <w:szCs w:val="24"/>
        </w:rPr>
        <w:t>COMITÉ des droits de l’homme des Nations Unies</w:t>
      </w:r>
    </w:p>
    <w:p w:rsidR="003F7AE4" w:rsidRPr="003F7AE4" w:rsidRDefault="003F7AE4" w:rsidP="003F7AE4">
      <w:pPr>
        <w:spacing w:after="0" w:line="240" w:lineRule="auto"/>
        <w:jc w:val="center"/>
        <w:rPr>
          <w:rFonts w:ascii="Arial" w:eastAsia="MS Mincho" w:hAnsi="Arial" w:cs="Arial"/>
          <w:b/>
          <w:sz w:val="24"/>
          <w:szCs w:val="24"/>
        </w:rPr>
      </w:pPr>
      <w:r>
        <w:rPr>
          <w:rFonts w:ascii="Arial" w:eastAsia="MS Mincho" w:hAnsi="Arial" w:cs="Arial"/>
          <w:b/>
          <w:sz w:val="24"/>
          <w:szCs w:val="24"/>
        </w:rPr>
        <w:t>114</w:t>
      </w:r>
      <w:r w:rsidRPr="003F7AE4">
        <w:rPr>
          <w:rFonts w:ascii="Arial" w:eastAsia="MS Mincho" w:hAnsi="Arial" w:cs="Arial"/>
          <w:b/>
          <w:sz w:val="24"/>
          <w:szCs w:val="24"/>
          <w:vertAlign w:val="superscript"/>
        </w:rPr>
        <w:t>ème</w:t>
      </w:r>
      <w:r w:rsidRPr="003F7AE4">
        <w:rPr>
          <w:rFonts w:ascii="Arial" w:eastAsia="MS Mincho" w:hAnsi="Arial" w:cs="Arial"/>
          <w:b/>
          <w:sz w:val="24"/>
          <w:szCs w:val="24"/>
        </w:rPr>
        <w:t xml:space="preserve"> session </w:t>
      </w:r>
      <w:r>
        <w:rPr>
          <w:rFonts w:ascii="Arial" w:eastAsia="MS Mincho" w:hAnsi="Arial" w:cs="Arial"/>
          <w:b/>
          <w:sz w:val="24"/>
          <w:szCs w:val="24"/>
        </w:rPr>
        <w:t>-</w:t>
      </w:r>
      <w:r w:rsidRPr="003F7AE4">
        <w:rPr>
          <w:rFonts w:ascii="Arial" w:eastAsia="MS Mincho" w:hAnsi="Arial" w:cs="Arial"/>
          <w:b/>
          <w:sz w:val="24"/>
          <w:szCs w:val="24"/>
        </w:rPr>
        <w:t xml:space="preserve"> </w:t>
      </w:r>
      <w:r>
        <w:rPr>
          <w:rFonts w:ascii="Arial" w:eastAsia="MS Mincho" w:hAnsi="Arial" w:cs="Arial"/>
          <w:b/>
          <w:sz w:val="24"/>
          <w:szCs w:val="24"/>
        </w:rPr>
        <w:t>29 juin</w:t>
      </w:r>
      <w:r w:rsidRPr="003F7AE4">
        <w:rPr>
          <w:rFonts w:ascii="Arial" w:eastAsia="MS Mincho" w:hAnsi="Arial" w:cs="Arial"/>
          <w:b/>
          <w:sz w:val="24"/>
          <w:szCs w:val="24"/>
        </w:rPr>
        <w:t>/</w:t>
      </w:r>
      <w:r>
        <w:rPr>
          <w:rFonts w:ascii="Arial" w:eastAsia="MS Mincho" w:hAnsi="Arial" w:cs="Arial"/>
          <w:b/>
          <w:sz w:val="24"/>
          <w:szCs w:val="24"/>
        </w:rPr>
        <w:t>24 juillet</w:t>
      </w:r>
      <w:r w:rsidRPr="003F7AE4">
        <w:rPr>
          <w:rFonts w:ascii="Arial" w:eastAsia="MS Mincho" w:hAnsi="Arial" w:cs="Arial"/>
          <w:b/>
          <w:sz w:val="24"/>
          <w:szCs w:val="24"/>
        </w:rPr>
        <w:t xml:space="preserve"> 2015</w:t>
      </w:r>
    </w:p>
    <w:p w:rsidR="003F7AE4" w:rsidRPr="003F7AE4" w:rsidRDefault="003F7AE4" w:rsidP="003F7AE4">
      <w:pPr>
        <w:spacing w:after="0" w:line="240" w:lineRule="auto"/>
        <w:rPr>
          <w:rFonts w:ascii="Arial" w:eastAsia="MS Mincho" w:hAnsi="Arial" w:cs="Arial"/>
          <w:b/>
          <w:sz w:val="20"/>
          <w:szCs w:val="20"/>
        </w:rPr>
      </w:pPr>
    </w:p>
    <w:p w:rsidR="003F7AE4" w:rsidRDefault="003F7AE4" w:rsidP="003F7AE4">
      <w:pPr>
        <w:spacing w:after="0" w:line="240" w:lineRule="auto"/>
        <w:rPr>
          <w:rFonts w:ascii="Arial" w:eastAsia="MS Mincho" w:hAnsi="Arial" w:cs="Arial"/>
          <w:b/>
          <w:sz w:val="20"/>
          <w:szCs w:val="20"/>
        </w:rPr>
      </w:pPr>
    </w:p>
    <w:p w:rsidR="003F7AE4" w:rsidRPr="003F7AE4" w:rsidRDefault="003F7AE4" w:rsidP="003F7AE4">
      <w:pPr>
        <w:spacing w:after="0" w:line="240" w:lineRule="auto"/>
        <w:rPr>
          <w:rFonts w:ascii="Arial" w:eastAsia="MS Mincho" w:hAnsi="Arial" w:cs="Arial"/>
          <w:b/>
          <w:sz w:val="20"/>
          <w:szCs w:val="20"/>
        </w:rPr>
      </w:pPr>
    </w:p>
    <w:p w:rsidR="003F7AE4" w:rsidRPr="003F7AE4" w:rsidRDefault="003F7AE4" w:rsidP="003F7AE4">
      <w:pPr>
        <w:spacing w:after="0" w:line="240" w:lineRule="auto"/>
        <w:rPr>
          <w:rFonts w:ascii="Arial" w:eastAsia="MS Mincho" w:hAnsi="Arial" w:cs="Arial"/>
          <w:b/>
          <w:sz w:val="20"/>
          <w:szCs w:val="20"/>
        </w:rPr>
      </w:pPr>
    </w:p>
    <w:p w:rsidR="003F7AE4" w:rsidRPr="003F7AE4" w:rsidRDefault="003F7AE4" w:rsidP="003F7AE4">
      <w:pPr>
        <w:spacing w:after="0" w:line="240" w:lineRule="auto"/>
        <w:jc w:val="center"/>
        <w:rPr>
          <w:rFonts w:ascii="Arial" w:eastAsia="MS Mincho" w:hAnsi="Arial" w:cs="Arial"/>
          <w:b/>
          <w:caps/>
        </w:rPr>
      </w:pPr>
      <w:r w:rsidRPr="003F7AE4">
        <w:rPr>
          <w:rFonts w:ascii="Arial" w:eastAsia="MS Mincho" w:hAnsi="Arial" w:cs="Arial"/>
          <w:b/>
          <w:caps/>
        </w:rPr>
        <w:t>RAPPORT ALTERNATIF DE LA LIGUE DES DROITS DE L’HOMME À PROPOS du cinquième RAPPORT PÉRIODIQUE</w:t>
      </w:r>
      <w:r>
        <w:rPr>
          <w:rFonts w:ascii="Arial" w:eastAsia="MS Mincho" w:hAnsi="Arial" w:cs="Arial"/>
          <w:b/>
          <w:caps/>
        </w:rPr>
        <w:t xml:space="preserve"> </w:t>
      </w:r>
      <w:r w:rsidRPr="003F7AE4">
        <w:rPr>
          <w:rFonts w:ascii="Arial" w:eastAsia="MS Mincho" w:hAnsi="Arial" w:cs="Arial"/>
          <w:b/>
          <w:caps/>
        </w:rPr>
        <w:t>DE LA FRANCE</w:t>
      </w: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jc w:val="both"/>
        <w:rPr>
          <w:rFonts w:ascii="Arial" w:eastAsia="MS Mincho" w:hAnsi="Arial" w:cs="Arial"/>
          <w:b/>
          <w:sz w:val="20"/>
          <w:szCs w:val="20"/>
        </w:rPr>
      </w:pPr>
    </w:p>
    <w:p w:rsidR="003F7AE4" w:rsidRPr="003F7AE4" w:rsidRDefault="003F7AE4" w:rsidP="003F7AE4">
      <w:pPr>
        <w:spacing w:after="0" w:line="360" w:lineRule="auto"/>
        <w:rPr>
          <w:rFonts w:ascii="Arial" w:eastAsia="MS Mincho" w:hAnsi="Arial" w:cs="Arial"/>
          <w:b/>
          <w:sz w:val="20"/>
          <w:szCs w:val="20"/>
        </w:rPr>
      </w:pPr>
    </w:p>
    <w:p w:rsidR="003F7AE4" w:rsidRPr="003F7AE4" w:rsidRDefault="003F7AE4" w:rsidP="003F7AE4">
      <w:pPr>
        <w:spacing w:after="0" w:line="360" w:lineRule="auto"/>
        <w:rPr>
          <w:rFonts w:ascii="Arial" w:eastAsia="MS Mincho" w:hAnsi="Arial" w:cs="Arial"/>
          <w:b/>
          <w:sz w:val="20"/>
          <w:szCs w:val="20"/>
        </w:rPr>
      </w:pPr>
    </w:p>
    <w:p w:rsidR="003F7AE4" w:rsidRPr="003F7AE4" w:rsidRDefault="003F7AE4" w:rsidP="003F7AE4">
      <w:pPr>
        <w:spacing w:after="0" w:line="240" w:lineRule="auto"/>
        <w:rPr>
          <w:rFonts w:ascii="Calibri" w:eastAsia="MS Mincho" w:hAnsi="Calibri" w:cs="Times New Roman"/>
          <w:color w:val="000000"/>
          <w:sz w:val="20"/>
          <w:szCs w:val="20"/>
          <w:lang w:val="en-US"/>
        </w:rPr>
      </w:pPr>
      <w:r w:rsidRPr="003F7AE4">
        <w:rPr>
          <w:rFonts w:ascii="Calibri" w:eastAsia="MS Mincho" w:hAnsi="Calibri" w:cs="Times New Roman"/>
          <w:noProof/>
          <w:color w:val="000000"/>
          <w:sz w:val="20"/>
          <w:szCs w:val="20"/>
        </w:rPr>
        <w:drawing>
          <wp:inline distT="0" distB="0" distL="0" distR="0">
            <wp:extent cx="2857500" cy="314325"/>
            <wp:effectExtent l="0" t="0" r="0" b="0"/>
            <wp:docPr id="2" name="Image 1" descr="cid:image001.gif@01CF8BD7.EDEE7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id:image001.gif@01CF8BD7.EDEE7150"/>
                    <pic:cNvPicPr>
                      <a:picLocks noChangeAspect="1" noChangeArrowheads="1"/>
                    </pic:cNvPicPr>
                  </pic:nvPicPr>
                  <pic:blipFill>
                    <a:blip r:embed="rId10" r:link="rId11" cstate="print"/>
                    <a:srcRect/>
                    <a:stretch>
                      <a:fillRect/>
                    </a:stretch>
                  </pic:blipFill>
                  <pic:spPr bwMode="auto">
                    <a:xfrm>
                      <a:off x="0" y="0"/>
                      <a:ext cx="2857500" cy="314325"/>
                    </a:xfrm>
                    <a:prstGeom prst="rect">
                      <a:avLst/>
                    </a:prstGeom>
                    <a:noFill/>
                    <a:ln w="9525">
                      <a:noFill/>
                      <a:miter lim="800000"/>
                      <a:headEnd/>
                      <a:tailEnd/>
                    </a:ln>
                  </pic:spPr>
                </pic:pic>
              </a:graphicData>
            </a:graphic>
          </wp:inline>
        </w:drawing>
      </w:r>
    </w:p>
    <w:p w:rsidR="003F7AE4" w:rsidRPr="00AC4660" w:rsidRDefault="003F7AE4" w:rsidP="003F7AE4">
      <w:pPr>
        <w:spacing w:after="0" w:line="240" w:lineRule="auto"/>
        <w:rPr>
          <w:rFonts w:ascii="Calibri" w:eastAsia="MS Mincho" w:hAnsi="Calibri" w:cs="Times New Roman"/>
          <w:color w:val="E9142B"/>
          <w:sz w:val="16"/>
          <w:szCs w:val="16"/>
        </w:rPr>
      </w:pPr>
      <w:r w:rsidRPr="00AC4660">
        <w:rPr>
          <w:rFonts w:ascii="Calibri" w:eastAsia="MS Mincho" w:hAnsi="Calibri" w:cs="Times New Roman"/>
          <w:color w:val="E9142B"/>
          <w:sz w:val="16"/>
          <w:szCs w:val="16"/>
        </w:rPr>
        <w:t>138 rue Marcadet - 75018 Paris</w:t>
      </w:r>
    </w:p>
    <w:p w:rsidR="003F7AE4" w:rsidRPr="00AC4660" w:rsidRDefault="003F7AE4" w:rsidP="003F7AE4">
      <w:pPr>
        <w:spacing w:after="0" w:line="240" w:lineRule="auto"/>
        <w:rPr>
          <w:rFonts w:ascii="Calibri" w:eastAsia="MS Mincho" w:hAnsi="Calibri" w:cs="Times New Roman"/>
          <w:color w:val="E9142B"/>
          <w:sz w:val="16"/>
          <w:szCs w:val="16"/>
        </w:rPr>
      </w:pPr>
      <w:r w:rsidRPr="00AC4660">
        <w:rPr>
          <w:rFonts w:ascii="Calibri" w:eastAsia="MS Mincho" w:hAnsi="Calibri" w:cs="Times New Roman"/>
          <w:color w:val="E9142B"/>
          <w:sz w:val="16"/>
          <w:szCs w:val="16"/>
        </w:rPr>
        <w:t>Tél. 00.33.1 56 55 51 00 - Fax : 00.33.1.42 55 51 21</w:t>
      </w:r>
    </w:p>
    <w:p w:rsidR="003F7AE4" w:rsidRPr="00AC4660" w:rsidRDefault="006F0F1B" w:rsidP="003F7AE4">
      <w:pPr>
        <w:spacing w:after="0" w:line="240" w:lineRule="auto"/>
        <w:rPr>
          <w:rFonts w:ascii="Calibri" w:eastAsia="MS Mincho" w:hAnsi="Calibri" w:cs="Times New Roman"/>
          <w:color w:val="E9142B"/>
          <w:sz w:val="16"/>
          <w:szCs w:val="16"/>
        </w:rPr>
      </w:pPr>
      <w:hyperlink r:id="rId12" w:history="1">
        <w:r w:rsidR="003F7AE4" w:rsidRPr="00AC4660">
          <w:rPr>
            <w:rFonts w:ascii="Calibri" w:eastAsia="MS Mincho" w:hAnsi="Calibri" w:cs="Times New Roman"/>
            <w:color w:val="0000FF"/>
            <w:sz w:val="16"/>
            <w:szCs w:val="16"/>
            <w:u w:val="single"/>
          </w:rPr>
          <w:t>ldh@ldh-france.org</w:t>
        </w:r>
      </w:hyperlink>
      <w:r w:rsidR="003F7AE4" w:rsidRPr="00AC4660">
        <w:rPr>
          <w:rFonts w:ascii="Calibri" w:eastAsia="MS Mincho" w:hAnsi="Calibri" w:cs="Times New Roman"/>
          <w:color w:val="E9142B"/>
          <w:sz w:val="16"/>
          <w:szCs w:val="16"/>
        </w:rPr>
        <w:t xml:space="preserve"> – </w:t>
      </w:r>
      <w:hyperlink r:id="rId13" w:history="1">
        <w:r w:rsidR="003F7AE4" w:rsidRPr="00AC4660">
          <w:rPr>
            <w:rFonts w:ascii="Calibri" w:eastAsia="MS Mincho" w:hAnsi="Calibri" w:cs="Times New Roman"/>
            <w:color w:val="0000FF"/>
            <w:sz w:val="16"/>
            <w:szCs w:val="16"/>
            <w:u w:val="single"/>
          </w:rPr>
          <w:t>www.ldh-france.org</w:t>
        </w:r>
      </w:hyperlink>
    </w:p>
    <w:p w:rsidR="003F7AE4" w:rsidRPr="003F7AE4" w:rsidRDefault="003F7AE4" w:rsidP="003F7AE4">
      <w:pPr>
        <w:spacing w:after="0" w:line="240" w:lineRule="auto"/>
        <w:rPr>
          <w:rFonts w:ascii="Times New Roman" w:eastAsia="MS Mincho" w:hAnsi="Times New Roman" w:cs="Times New Roman"/>
          <w:b/>
          <w:sz w:val="20"/>
          <w:szCs w:val="20"/>
        </w:rPr>
      </w:pPr>
      <w:r w:rsidRPr="003F7AE4">
        <w:rPr>
          <w:rFonts w:ascii="Times New Roman" w:eastAsia="MS Mincho" w:hAnsi="Times New Roman" w:cs="Times New Roman"/>
          <w:b/>
          <w:sz w:val="20"/>
          <w:szCs w:val="20"/>
        </w:rPr>
        <w:br w:type="page"/>
      </w:r>
    </w:p>
    <w:p w:rsidR="003F7AE4" w:rsidRDefault="003F7AE4" w:rsidP="00863110">
      <w:pPr>
        <w:spacing w:after="0" w:line="240" w:lineRule="auto"/>
        <w:jc w:val="both"/>
        <w:rPr>
          <w:rFonts w:ascii="Tahoma" w:hAnsi="Tahoma" w:cs="Tahoma"/>
          <w:sz w:val="20"/>
          <w:szCs w:val="20"/>
        </w:rPr>
      </w:pPr>
    </w:p>
    <w:p w:rsidR="00863110" w:rsidRPr="00863110" w:rsidRDefault="00863110" w:rsidP="00863110">
      <w:pPr>
        <w:shd w:val="clear" w:color="auto" w:fill="BFBFBF" w:themeFill="background1" w:themeFillShade="BF"/>
        <w:spacing w:after="0" w:line="240" w:lineRule="auto"/>
        <w:jc w:val="both"/>
        <w:rPr>
          <w:rFonts w:ascii="Arial" w:hAnsi="Arial" w:cs="Arial"/>
          <w:b/>
          <w:smallCaps/>
          <w:sz w:val="24"/>
          <w:szCs w:val="24"/>
        </w:rPr>
      </w:pPr>
      <w:r w:rsidRPr="00863110">
        <w:rPr>
          <w:rFonts w:ascii="Arial" w:hAnsi="Arial" w:cs="Arial"/>
          <w:b/>
          <w:smallCaps/>
          <w:sz w:val="24"/>
          <w:szCs w:val="24"/>
        </w:rPr>
        <w:t>sommaire</w:t>
      </w:r>
    </w:p>
    <w:p w:rsidR="00863110" w:rsidRDefault="00863110" w:rsidP="00863110">
      <w:pPr>
        <w:spacing w:after="0" w:line="240" w:lineRule="auto"/>
        <w:jc w:val="both"/>
        <w:rPr>
          <w:rFonts w:ascii="Tahoma" w:hAnsi="Tahoma" w:cs="Tahoma"/>
          <w:sz w:val="20"/>
          <w:szCs w:val="20"/>
        </w:rPr>
      </w:pPr>
    </w:p>
    <w:p w:rsidR="000B0C34" w:rsidRDefault="000B0C34" w:rsidP="00863110">
      <w:pPr>
        <w:spacing w:after="0" w:line="240" w:lineRule="auto"/>
        <w:jc w:val="both"/>
        <w:rPr>
          <w:rFonts w:ascii="Tahoma" w:hAnsi="Tahoma" w:cs="Tahoma"/>
          <w:sz w:val="20"/>
          <w:szCs w:val="20"/>
        </w:rPr>
      </w:pPr>
    </w:p>
    <w:p w:rsidR="000B0C34" w:rsidRDefault="000B0C34" w:rsidP="00863110">
      <w:pPr>
        <w:spacing w:after="0" w:line="240" w:lineRule="auto"/>
        <w:jc w:val="both"/>
        <w:rPr>
          <w:rFonts w:ascii="Tahoma" w:hAnsi="Tahoma" w:cs="Tahoma"/>
          <w:sz w:val="20"/>
          <w:szCs w:val="20"/>
        </w:rPr>
      </w:pPr>
    </w:p>
    <w:p w:rsidR="000B0C34" w:rsidRDefault="000B0C34" w:rsidP="00863110">
      <w:pPr>
        <w:spacing w:after="0" w:line="240" w:lineRule="auto"/>
        <w:jc w:val="both"/>
        <w:rPr>
          <w:rFonts w:ascii="Tahoma" w:hAnsi="Tahoma" w:cs="Tahoma"/>
          <w:sz w:val="20"/>
          <w:szCs w:val="20"/>
        </w:rPr>
      </w:pPr>
    </w:p>
    <w:p w:rsidR="00726CEB" w:rsidRDefault="00726CEB">
      <w:pPr>
        <w:pStyle w:val="TM1"/>
        <w:tabs>
          <w:tab w:val="right" w:leader="dot" w:pos="9062"/>
        </w:tabs>
        <w:rPr>
          <w:b w:val="0"/>
          <w:bCs w:val="0"/>
          <w:caps w:val="0"/>
          <w:noProof/>
          <w:sz w:val="22"/>
          <w:szCs w:val="22"/>
        </w:rPr>
      </w:pPr>
      <w:r>
        <w:rPr>
          <w:rFonts w:ascii="Tahoma" w:hAnsi="Tahoma" w:cs="Tahoma"/>
        </w:rPr>
        <w:fldChar w:fldCharType="begin"/>
      </w:r>
      <w:r>
        <w:rPr>
          <w:rFonts w:ascii="Tahoma" w:hAnsi="Tahoma" w:cs="Tahoma"/>
        </w:rPr>
        <w:instrText xml:space="preserve"> TOC \o "1-3" \h \z \u </w:instrText>
      </w:r>
      <w:r>
        <w:rPr>
          <w:rFonts w:ascii="Tahoma" w:hAnsi="Tahoma" w:cs="Tahoma"/>
        </w:rPr>
        <w:fldChar w:fldCharType="separate"/>
      </w:r>
      <w:hyperlink w:anchor="_Toc420924104" w:history="1">
        <w:r w:rsidRPr="00EB0918">
          <w:rPr>
            <w:rStyle w:val="Lienhypertexte"/>
            <w:rFonts w:ascii="Arial" w:hAnsi="Arial" w:cs="Arial"/>
            <w:noProof/>
          </w:rPr>
          <w:t>Introduction</w:t>
        </w:r>
        <w:r>
          <w:rPr>
            <w:noProof/>
            <w:webHidden/>
          </w:rPr>
          <w:tab/>
        </w:r>
        <w:r>
          <w:rPr>
            <w:noProof/>
            <w:webHidden/>
          </w:rPr>
          <w:fldChar w:fldCharType="begin"/>
        </w:r>
        <w:r>
          <w:rPr>
            <w:noProof/>
            <w:webHidden/>
          </w:rPr>
          <w:instrText xml:space="preserve"> PAGEREF _Toc420924104 \h </w:instrText>
        </w:r>
        <w:r>
          <w:rPr>
            <w:noProof/>
            <w:webHidden/>
          </w:rPr>
        </w:r>
        <w:r>
          <w:rPr>
            <w:noProof/>
            <w:webHidden/>
          </w:rPr>
          <w:fldChar w:fldCharType="separate"/>
        </w:r>
        <w:r w:rsidR="006F0F1B">
          <w:rPr>
            <w:noProof/>
            <w:webHidden/>
          </w:rPr>
          <w:t>3</w:t>
        </w:r>
        <w:r>
          <w:rPr>
            <w:noProof/>
            <w:webHidden/>
          </w:rPr>
          <w:fldChar w:fldCharType="end"/>
        </w:r>
      </w:hyperlink>
    </w:p>
    <w:p w:rsidR="00726CEB" w:rsidRDefault="006F0F1B">
      <w:pPr>
        <w:pStyle w:val="TM1"/>
        <w:tabs>
          <w:tab w:val="right" w:leader="dot" w:pos="9062"/>
        </w:tabs>
        <w:rPr>
          <w:b w:val="0"/>
          <w:bCs w:val="0"/>
          <w:caps w:val="0"/>
          <w:noProof/>
          <w:sz w:val="22"/>
          <w:szCs w:val="22"/>
        </w:rPr>
      </w:pPr>
      <w:hyperlink w:anchor="_Toc420924105" w:history="1">
        <w:r w:rsidR="00726CEB" w:rsidRPr="00EB0918">
          <w:rPr>
            <w:rStyle w:val="Lienhypertexte"/>
            <w:rFonts w:ascii="Arial" w:hAnsi="Arial" w:cs="Arial"/>
            <w:smallCaps/>
            <w:noProof/>
          </w:rPr>
          <w:t>non-discrimination, égalité entre femmes et hommes</w:t>
        </w:r>
        <w:r w:rsidR="00726CEB">
          <w:rPr>
            <w:noProof/>
            <w:webHidden/>
          </w:rPr>
          <w:tab/>
        </w:r>
        <w:r w:rsidR="00726CEB">
          <w:rPr>
            <w:noProof/>
            <w:webHidden/>
          </w:rPr>
          <w:fldChar w:fldCharType="begin"/>
        </w:r>
        <w:r w:rsidR="00726CEB">
          <w:rPr>
            <w:noProof/>
            <w:webHidden/>
          </w:rPr>
          <w:instrText xml:space="preserve"> PAGEREF _Toc420924105 \h </w:instrText>
        </w:r>
        <w:r w:rsidR="00726CEB">
          <w:rPr>
            <w:noProof/>
            <w:webHidden/>
          </w:rPr>
        </w:r>
        <w:r w:rsidR="00726CEB">
          <w:rPr>
            <w:noProof/>
            <w:webHidden/>
          </w:rPr>
          <w:fldChar w:fldCharType="separate"/>
        </w:r>
        <w:r>
          <w:rPr>
            <w:noProof/>
            <w:webHidden/>
          </w:rPr>
          <w:t>4</w:t>
        </w:r>
        <w:r w:rsidR="00726CEB">
          <w:rPr>
            <w:noProof/>
            <w:webHidden/>
          </w:rPr>
          <w:fldChar w:fldCharType="end"/>
        </w:r>
      </w:hyperlink>
    </w:p>
    <w:p w:rsidR="00726CEB" w:rsidRDefault="006F0F1B">
      <w:pPr>
        <w:pStyle w:val="TM2"/>
        <w:tabs>
          <w:tab w:val="left" w:pos="660"/>
          <w:tab w:val="right" w:leader="dot" w:pos="9062"/>
        </w:tabs>
        <w:rPr>
          <w:smallCaps w:val="0"/>
          <w:noProof/>
          <w:sz w:val="22"/>
          <w:szCs w:val="22"/>
        </w:rPr>
      </w:pPr>
      <w:hyperlink w:anchor="_Toc420924106" w:history="1">
        <w:r w:rsidR="00726CEB" w:rsidRPr="00EB0918">
          <w:rPr>
            <w:rStyle w:val="Lienhypertexte"/>
            <w:rFonts w:ascii="Arial" w:hAnsi="Arial" w:cs="Arial"/>
            <w:noProof/>
          </w:rPr>
          <w:t>1.</w:t>
        </w:r>
        <w:r w:rsidR="00726CEB">
          <w:rPr>
            <w:smallCaps w:val="0"/>
            <w:noProof/>
            <w:sz w:val="22"/>
            <w:szCs w:val="22"/>
          </w:rPr>
          <w:tab/>
        </w:r>
        <w:r w:rsidR="00726CEB" w:rsidRPr="00EB0918">
          <w:rPr>
            <w:rStyle w:val="Lienhypertexte"/>
            <w:rFonts w:ascii="Arial" w:hAnsi="Arial" w:cs="Arial"/>
            <w:noProof/>
          </w:rPr>
          <w:t>Egalité femmes-hommes</w:t>
        </w:r>
        <w:r w:rsidR="00726CEB">
          <w:rPr>
            <w:noProof/>
            <w:webHidden/>
          </w:rPr>
          <w:tab/>
        </w:r>
        <w:r w:rsidR="00726CEB">
          <w:rPr>
            <w:noProof/>
            <w:webHidden/>
          </w:rPr>
          <w:fldChar w:fldCharType="begin"/>
        </w:r>
        <w:r w:rsidR="00726CEB">
          <w:rPr>
            <w:noProof/>
            <w:webHidden/>
          </w:rPr>
          <w:instrText xml:space="preserve"> PAGEREF _Toc420924106 \h </w:instrText>
        </w:r>
        <w:r w:rsidR="00726CEB">
          <w:rPr>
            <w:noProof/>
            <w:webHidden/>
          </w:rPr>
        </w:r>
        <w:r w:rsidR="00726CEB">
          <w:rPr>
            <w:noProof/>
            <w:webHidden/>
          </w:rPr>
          <w:fldChar w:fldCharType="separate"/>
        </w:r>
        <w:r>
          <w:rPr>
            <w:noProof/>
            <w:webHidden/>
          </w:rPr>
          <w:t>4</w:t>
        </w:r>
        <w:r w:rsidR="00726CEB">
          <w:rPr>
            <w:noProof/>
            <w:webHidden/>
          </w:rPr>
          <w:fldChar w:fldCharType="end"/>
        </w:r>
      </w:hyperlink>
    </w:p>
    <w:p w:rsidR="00726CEB" w:rsidRDefault="006F0F1B">
      <w:pPr>
        <w:pStyle w:val="TM2"/>
        <w:tabs>
          <w:tab w:val="right" w:leader="dot" w:pos="9062"/>
        </w:tabs>
        <w:rPr>
          <w:smallCaps w:val="0"/>
          <w:noProof/>
          <w:sz w:val="22"/>
          <w:szCs w:val="22"/>
        </w:rPr>
      </w:pPr>
      <w:hyperlink w:anchor="_Toc420924107" w:history="1">
        <w:r w:rsidR="00726CEB" w:rsidRPr="00EB0918">
          <w:rPr>
            <w:rStyle w:val="Lienhypertexte"/>
            <w:rFonts w:ascii="Arial" w:hAnsi="Arial" w:cs="Arial"/>
            <w:noProof/>
          </w:rPr>
          <w:t>Recommandations</w:t>
        </w:r>
        <w:r w:rsidR="00726CEB">
          <w:rPr>
            <w:noProof/>
            <w:webHidden/>
          </w:rPr>
          <w:tab/>
        </w:r>
        <w:r w:rsidR="00726CEB">
          <w:rPr>
            <w:noProof/>
            <w:webHidden/>
          </w:rPr>
          <w:fldChar w:fldCharType="begin"/>
        </w:r>
        <w:r w:rsidR="00726CEB">
          <w:rPr>
            <w:noProof/>
            <w:webHidden/>
          </w:rPr>
          <w:instrText xml:space="preserve"> PAGEREF _Toc420924107 \h </w:instrText>
        </w:r>
        <w:r w:rsidR="00726CEB">
          <w:rPr>
            <w:noProof/>
            <w:webHidden/>
          </w:rPr>
        </w:r>
        <w:r w:rsidR="00726CEB">
          <w:rPr>
            <w:noProof/>
            <w:webHidden/>
          </w:rPr>
          <w:fldChar w:fldCharType="separate"/>
        </w:r>
        <w:r>
          <w:rPr>
            <w:noProof/>
            <w:webHidden/>
          </w:rPr>
          <w:t>8</w:t>
        </w:r>
        <w:r w:rsidR="00726CEB">
          <w:rPr>
            <w:noProof/>
            <w:webHidden/>
          </w:rPr>
          <w:fldChar w:fldCharType="end"/>
        </w:r>
      </w:hyperlink>
    </w:p>
    <w:p w:rsidR="00726CEB" w:rsidRDefault="006F0F1B">
      <w:pPr>
        <w:pStyle w:val="TM2"/>
        <w:tabs>
          <w:tab w:val="left" w:pos="660"/>
          <w:tab w:val="right" w:leader="dot" w:pos="9062"/>
        </w:tabs>
        <w:rPr>
          <w:smallCaps w:val="0"/>
          <w:noProof/>
          <w:sz w:val="22"/>
          <w:szCs w:val="22"/>
        </w:rPr>
      </w:pPr>
      <w:hyperlink w:anchor="_Toc420924108" w:history="1">
        <w:r w:rsidR="00726CEB" w:rsidRPr="00EB0918">
          <w:rPr>
            <w:rStyle w:val="Lienhypertexte"/>
            <w:rFonts w:ascii="Arial" w:hAnsi="Arial" w:cs="Arial"/>
            <w:noProof/>
          </w:rPr>
          <w:t>2.</w:t>
        </w:r>
        <w:r w:rsidR="00726CEB">
          <w:rPr>
            <w:smallCaps w:val="0"/>
            <w:noProof/>
            <w:sz w:val="22"/>
            <w:szCs w:val="22"/>
          </w:rPr>
          <w:tab/>
        </w:r>
        <w:r w:rsidR="00726CEB" w:rsidRPr="00EB0918">
          <w:rPr>
            <w:rStyle w:val="Lienhypertexte"/>
            <w:rFonts w:ascii="Arial" w:hAnsi="Arial" w:cs="Arial"/>
            <w:noProof/>
          </w:rPr>
          <w:t>Gens du voyage et roms</w:t>
        </w:r>
        <w:r w:rsidR="00726CEB">
          <w:rPr>
            <w:noProof/>
            <w:webHidden/>
          </w:rPr>
          <w:tab/>
        </w:r>
        <w:r w:rsidR="00726CEB">
          <w:rPr>
            <w:noProof/>
            <w:webHidden/>
          </w:rPr>
          <w:fldChar w:fldCharType="begin"/>
        </w:r>
        <w:r w:rsidR="00726CEB">
          <w:rPr>
            <w:noProof/>
            <w:webHidden/>
          </w:rPr>
          <w:instrText xml:space="preserve"> PAGEREF _Toc420924108 \h </w:instrText>
        </w:r>
        <w:r w:rsidR="00726CEB">
          <w:rPr>
            <w:noProof/>
            <w:webHidden/>
          </w:rPr>
        </w:r>
        <w:r w:rsidR="00726CEB">
          <w:rPr>
            <w:noProof/>
            <w:webHidden/>
          </w:rPr>
          <w:fldChar w:fldCharType="separate"/>
        </w:r>
        <w:r>
          <w:rPr>
            <w:noProof/>
            <w:webHidden/>
          </w:rPr>
          <w:t>8</w:t>
        </w:r>
        <w:r w:rsidR="00726CEB">
          <w:rPr>
            <w:noProof/>
            <w:webHidden/>
          </w:rPr>
          <w:fldChar w:fldCharType="end"/>
        </w:r>
      </w:hyperlink>
    </w:p>
    <w:p w:rsidR="00726CEB" w:rsidRDefault="006F0F1B">
      <w:pPr>
        <w:pStyle w:val="TM3"/>
        <w:tabs>
          <w:tab w:val="left" w:pos="880"/>
          <w:tab w:val="right" w:leader="dot" w:pos="9062"/>
        </w:tabs>
        <w:rPr>
          <w:i w:val="0"/>
          <w:iCs w:val="0"/>
          <w:noProof/>
          <w:sz w:val="22"/>
          <w:szCs w:val="22"/>
        </w:rPr>
      </w:pPr>
      <w:hyperlink w:anchor="_Toc420924109" w:history="1">
        <w:r w:rsidR="00726CEB" w:rsidRPr="00EB0918">
          <w:rPr>
            <w:rStyle w:val="Lienhypertexte"/>
            <w:rFonts w:ascii="Arial" w:hAnsi="Arial" w:cs="Arial"/>
            <w:noProof/>
          </w:rPr>
          <w:t>a.</w:t>
        </w:r>
        <w:r w:rsidR="00726CEB">
          <w:rPr>
            <w:i w:val="0"/>
            <w:iCs w:val="0"/>
            <w:noProof/>
            <w:sz w:val="22"/>
            <w:szCs w:val="22"/>
          </w:rPr>
          <w:tab/>
        </w:r>
        <w:r w:rsidR="00726CEB" w:rsidRPr="00EB0918">
          <w:rPr>
            <w:rStyle w:val="Lienhypertexte"/>
            <w:rFonts w:ascii="Arial" w:hAnsi="Arial" w:cs="Arial"/>
            <w:noProof/>
          </w:rPr>
          <w:t>Les gens du voyage</w:t>
        </w:r>
        <w:r w:rsidR="00726CEB">
          <w:rPr>
            <w:noProof/>
            <w:webHidden/>
          </w:rPr>
          <w:tab/>
        </w:r>
        <w:r w:rsidR="00726CEB">
          <w:rPr>
            <w:noProof/>
            <w:webHidden/>
          </w:rPr>
          <w:fldChar w:fldCharType="begin"/>
        </w:r>
        <w:r w:rsidR="00726CEB">
          <w:rPr>
            <w:noProof/>
            <w:webHidden/>
          </w:rPr>
          <w:instrText xml:space="preserve"> PAGEREF _Toc420924109 \h </w:instrText>
        </w:r>
        <w:r w:rsidR="00726CEB">
          <w:rPr>
            <w:noProof/>
            <w:webHidden/>
          </w:rPr>
        </w:r>
        <w:r w:rsidR="00726CEB">
          <w:rPr>
            <w:noProof/>
            <w:webHidden/>
          </w:rPr>
          <w:fldChar w:fldCharType="separate"/>
        </w:r>
        <w:r>
          <w:rPr>
            <w:noProof/>
            <w:webHidden/>
          </w:rPr>
          <w:t>9</w:t>
        </w:r>
        <w:r w:rsidR="00726CEB">
          <w:rPr>
            <w:noProof/>
            <w:webHidden/>
          </w:rPr>
          <w:fldChar w:fldCharType="end"/>
        </w:r>
      </w:hyperlink>
    </w:p>
    <w:p w:rsidR="00726CEB" w:rsidRDefault="006F0F1B">
      <w:pPr>
        <w:pStyle w:val="TM2"/>
        <w:tabs>
          <w:tab w:val="right" w:leader="dot" w:pos="9062"/>
        </w:tabs>
        <w:rPr>
          <w:smallCaps w:val="0"/>
          <w:noProof/>
          <w:sz w:val="22"/>
          <w:szCs w:val="22"/>
        </w:rPr>
      </w:pPr>
      <w:hyperlink w:anchor="_Toc420924110" w:history="1">
        <w:r w:rsidR="00726CEB" w:rsidRPr="00EB0918">
          <w:rPr>
            <w:rStyle w:val="Lienhypertexte"/>
            <w:rFonts w:ascii="Arial" w:hAnsi="Arial" w:cs="Arial"/>
            <w:noProof/>
          </w:rPr>
          <w:t>recommandations</w:t>
        </w:r>
        <w:r w:rsidR="00726CEB">
          <w:rPr>
            <w:noProof/>
            <w:webHidden/>
          </w:rPr>
          <w:tab/>
        </w:r>
        <w:r w:rsidR="00726CEB">
          <w:rPr>
            <w:noProof/>
            <w:webHidden/>
          </w:rPr>
          <w:fldChar w:fldCharType="begin"/>
        </w:r>
        <w:r w:rsidR="00726CEB">
          <w:rPr>
            <w:noProof/>
            <w:webHidden/>
          </w:rPr>
          <w:instrText xml:space="preserve"> PAGEREF _Toc420924110 \h </w:instrText>
        </w:r>
        <w:r w:rsidR="00726CEB">
          <w:rPr>
            <w:noProof/>
            <w:webHidden/>
          </w:rPr>
        </w:r>
        <w:r w:rsidR="00726CEB">
          <w:rPr>
            <w:noProof/>
            <w:webHidden/>
          </w:rPr>
          <w:fldChar w:fldCharType="separate"/>
        </w:r>
        <w:r>
          <w:rPr>
            <w:noProof/>
            <w:webHidden/>
          </w:rPr>
          <w:t>11</w:t>
        </w:r>
        <w:r w:rsidR="00726CEB">
          <w:rPr>
            <w:noProof/>
            <w:webHidden/>
          </w:rPr>
          <w:fldChar w:fldCharType="end"/>
        </w:r>
      </w:hyperlink>
    </w:p>
    <w:p w:rsidR="00726CEB" w:rsidRDefault="006F0F1B">
      <w:pPr>
        <w:pStyle w:val="TM3"/>
        <w:tabs>
          <w:tab w:val="left" w:pos="880"/>
          <w:tab w:val="right" w:leader="dot" w:pos="9062"/>
        </w:tabs>
        <w:rPr>
          <w:i w:val="0"/>
          <w:iCs w:val="0"/>
          <w:noProof/>
          <w:sz w:val="22"/>
          <w:szCs w:val="22"/>
        </w:rPr>
      </w:pPr>
      <w:hyperlink w:anchor="_Toc420924111" w:history="1">
        <w:r w:rsidR="00726CEB" w:rsidRPr="00EB0918">
          <w:rPr>
            <w:rStyle w:val="Lienhypertexte"/>
            <w:rFonts w:ascii="Arial" w:hAnsi="Arial" w:cs="Arial"/>
            <w:noProof/>
          </w:rPr>
          <w:t>b.</w:t>
        </w:r>
        <w:r w:rsidR="00726CEB">
          <w:rPr>
            <w:i w:val="0"/>
            <w:iCs w:val="0"/>
            <w:noProof/>
            <w:sz w:val="22"/>
            <w:szCs w:val="22"/>
          </w:rPr>
          <w:tab/>
        </w:r>
        <w:r w:rsidR="00726CEB" w:rsidRPr="00EB0918">
          <w:rPr>
            <w:rStyle w:val="Lienhypertexte"/>
            <w:rFonts w:ascii="Arial" w:hAnsi="Arial" w:cs="Arial"/>
            <w:noProof/>
          </w:rPr>
          <w:t>La situation particulière des roms</w:t>
        </w:r>
        <w:r w:rsidR="00726CEB">
          <w:rPr>
            <w:noProof/>
            <w:webHidden/>
          </w:rPr>
          <w:tab/>
        </w:r>
        <w:r w:rsidR="00726CEB">
          <w:rPr>
            <w:noProof/>
            <w:webHidden/>
          </w:rPr>
          <w:fldChar w:fldCharType="begin"/>
        </w:r>
        <w:r w:rsidR="00726CEB">
          <w:rPr>
            <w:noProof/>
            <w:webHidden/>
          </w:rPr>
          <w:instrText xml:space="preserve"> PAGEREF _Toc420924111 \h </w:instrText>
        </w:r>
        <w:r w:rsidR="00726CEB">
          <w:rPr>
            <w:noProof/>
            <w:webHidden/>
          </w:rPr>
        </w:r>
        <w:r w:rsidR="00726CEB">
          <w:rPr>
            <w:noProof/>
            <w:webHidden/>
          </w:rPr>
          <w:fldChar w:fldCharType="separate"/>
        </w:r>
        <w:r>
          <w:rPr>
            <w:noProof/>
            <w:webHidden/>
          </w:rPr>
          <w:t>12</w:t>
        </w:r>
        <w:r w:rsidR="00726CEB">
          <w:rPr>
            <w:noProof/>
            <w:webHidden/>
          </w:rPr>
          <w:fldChar w:fldCharType="end"/>
        </w:r>
      </w:hyperlink>
    </w:p>
    <w:p w:rsidR="00726CEB" w:rsidRDefault="006F0F1B">
      <w:pPr>
        <w:pStyle w:val="TM2"/>
        <w:tabs>
          <w:tab w:val="right" w:leader="dot" w:pos="9062"/>
        </w:tabs>
        <w:rPr>
          <w:smallCaps w:val="0"/>
          <w:noProof/>
          <w:sz w:val="22"/>
          <w:szCs w:val="22"/>
        </w:rPr>
      </w:pPr>
      <w:hyperlink w:anchor="_Toc420924112" w:history="1">
        <w:r w:rsidR="00726CEB" w:rsidRPr="00EB0918">
          <w:rPr>
            <w:rStyle w:val="Lienhypertexte"/>
            <w:rFonts w:ascii="Arial" w:hAnsi="Arial" w:cs="Arial"/>
            <w:noProof/>
          </w:rPr>
          <w:t>recommandations</w:t>
        </w:r>
        <w:r w:rsidR="00726CEB">
          <w:rPr>
            <w:noProof/>
            <w:webHidden/>
          </w:rPr>
          <w:tab/>
        </w:r>
        <w:r w:rsidR="00726CEB">
          <w:rPr>
            <w:noProof/>
            <w:webHidden/>
          </w:rPr>
          <w:fldChar w:fldCharType="begin"/>
        </w:r>
        <w:r w:rsidR="00726CEB">
          <w:rPr>
            <w:noProof/>
            <w:webHidden/>
          </w:rPr>
          <w:instrText xml:space="preserve"> PAGEREF _Toc420924112 \h </w:instrText>
        </w:r>
        <w:r w:rsidR="00726CEB">
          <w:rPr>
            <w:noProof/>
            <w:webHidden/>
          </w:rPr>
        </w:r>
        <w:r w:rsidR="00726CEB">
          <w:rPr>
            <w:noProof/>
            <w:webHidden/>
          </w:rPr>
          <w:fldChar w:fldCharType="separate"/>
        </w:r>
        <w:r>
          <w:rPr>
            <w:noProof/>
            <w:webHidden/>
          </w:rPr>
          <w:t>16</w:t>
        </w:r>
        <w:r w:rsidR="00726CEB">
          <w:rPr>
            <w:noProof/>
            <w:webHidden/>
          </w:rPr>
          <w:fldChar w:fldCharType="end"/>
        </w:r>
      </w:hyperlink>
    </w:p>
    <w:p w:rsidR="00726CEB" w:rsidRDefault="006F0F1B">
      <w:pPr>
        <w:pStyle w:val="TM1"/>
        <w:tabs>
          <w:tab w:val="right" w:leader="dot" w:pos="9062"/>
        </w:tabs>
        <w:rPr>
          <w:b w:val="0"/>
          <w:bCs w:val="0"/>
          <w:caps w:val="0"/>
          <w:noProof/>
          <w:sz w:val="22"/>
          <w:szCs w:val="22"/>
        </w:rPr>
      </w:pPr>
      <w:hyperlink w:anchor="_Toc420924113" w:history="1">
        <w:r w:rsidR="00726CEB" w:rsidRPr="00EB0918">
          <w:rPr>
            <w:rStyle w:val="Lienhypertexte"/>
            <w:rFonts w:ascii="Arial" w:hAnsi="Arial" w:cs="Arial"/>
            <w:smallCaps/>
            <w:noProof/>
          </w:rPr>
          <w:t>mesures de lutte contre le terrorisme</w:t>
        </w:r>
        <w:r w:rsidR="00726CEB">
          <w:rPr>
            <w:noProof/>
            <w:webHidden/>
          </w:rPr>
          <w:tab/>
        </w:r>
        <w:r w:rsidR="00726CEB">
          <w:rPr>
            <w:noProof/>
            <w:webHidden/>
          </w:rPr>
          <w:fldChar w:fldCharType="begin"/>
        </w:r>
        <w:r w:rsidR="00726CEB">
          <w:rPr>
            <w:noProof/>
            <w:webHidden/>
          </w:rPr>
          <w:instrText xml:space="preserve"> PAGEREF _Toc420924113 \h </w:instrText>
        </w:r>
        <w:r w:rsidR="00726CEB">
          <w:rPr>
            <w:noProof/>
            <w:webHidden/>
          </w:rPr>
        </w:r>
        <w:r w:rsidR="00726CEB">
          <w:rPr>
            <w:noProof/>
            <w:webHidden/>
          </w:rPr>
          <w:fldChar w:fldCharType="separate"/>
        </w:r>
        <w:r>
          <w:rPr>
            <w:noProof/>
            <w:webHidden/>
          </w:rPr>
          <w:t>16</w:t>
        </w:r>
        <w:r w:rsidR="00726CEB">
          <w:rPr>
            <w:noProof/>
            <w:webHidden/>
          </w:rPr>
          <w:fldChar w:fldCharType="end"/>
        </w:r>
      </w:hyperlink>
    </w:p>
    <w:p w:rsidR="00726CEB" w:rsidRDefault="006F0F1B">
      <w:pPr>
        <w:pStyle w:val="TM2"/>
        <w:tabs>
          <w:tab w:val="left" w:pos="660"/>
          <w:tab w:val="right" w:leader="dot" w:pos="9062"/>
        </w:tabs>
        <w:rPr>
          <w:smallCaps w:val="0"/>
          <w:noProof/>
          <w:sz w:val="22"/>
          <w:szCs w:val="22"/>
        </w:rPr>
      </w:pPr>
      <w:hyperlink w:anchor="_Toc420924114" w:history="1">
        <w:r w:rsidR="00726CEB" w:rsidRPr="00EB0918">
          <w:rPr>
            <w:rStyle w:val="Lienhypertexte"/>
            <w:rFonts w:ascii="Arial" w:hAnsi="Arial" w:cs="Arial"/>
            <w:noProof/>
          </w:rPr>
          <w:t>1.</w:t>
        </w:r>
        <w:r w:rsidR="00726CEB">
          <w:rPr>
            <w:smallCaps w:val="0"/>
            <w:noProof/>
            <w:sz w:val="22"/>
            <w:szCs w:val="22"/>
          </w:rPr>
          <w:tab/>
        </w:r>
        <w:r w:rsidR="00726CEB" w:rsidRPr="00EB0918">
          <w:rPr>
            <w:rStyle w:val="Lienhypertexte"/>
            <w:rFonts w:ascii="Arial" w:hAnsi="Arial" w:cs="Arial"/>
            <w:noProof/>
          </w:rPr>
          <w:t>Provocation et apologie de terrorisme</w:t>
        </w:r>
        <w:r w:rsidR="00726CEB">
          <w:rPr>
            <w:noProof/>
            <w:webHidden/>
          </w:rPr>
          <w:tab/>
        </w:r>
        <w:r w:rsidR="00726CEB">
          <w:rPr>
            <w:noProof/>
            <w:webHidden/>
          </w:rPr>
          <w:fldChar w:fldCharType="begin"/>
        </w:r>
        <w:r w:rsidR="00726CEB">
          <w:rPr>
            <w:noProof/>
            <w:webHidden/>
          </w:rPr>
          <w:instrText xml:space="preserve"> PAGEREF _Toc420924114 \h </w:instrText>
        </w:r>
        <w:r w:rsidR="00726CEB">
          <w:rPr>
            <w:noProof/>
            <w:webHidden/>
          </w:rPr>
        </w:r>
        <w:r w:rsidR="00726CEB">
          <w:rPr>
            <w:noProof/>
            <w:webHidden/>
          </w:rPr>
          <w:fldChar w:fldCharType="separate"/>
        </w:r>
        <w:r>
          <w:rPr>
            <w:noProof/>
            <w:webHidden/>
          </w:rPr>
          <w:t>17</w:t>
        </w:r>
        <w:r w:rsidR="00726CEB">
          <w:rPr>
            <w:noProof/>
            <w:webHidden/>
          </w:rPr>
          <w:fldChar w:fldCharType="end"/>
        </w:r>
      </w:hyperlink>
    </w:p>
    <w:p w:rsidR="00726CEB" w:rsidRDefault="006F0F1B">
      <w:pPr>
        <w:pStyle w:val="TM2"/>
        <w:tabs>
          <w:tab w:val="left" w:pos="660"/>
          <w:tab w:val="right" w:leader="dot" w:pos="9062"/>
        </w:tabs>
        <w:rPr>
          <w:smallCaps w:val="0"/>
          <w:noProof/>
          <w:sz w:val="22"/>
          <w:szCs w:val="22"/>
        </w:rPr>
      </w:pPr>
      <w:hyperlink w:anchor="_Toc420924115" w:history="1">
        <w:r w:rsidR="00726CEB" w:rsidRPr="00EB0918">
          <w:rPr>
            <w:rStyle w:val="Lienhypertexte"/>
            <w:rFonts w:ascii="Arial" w:hAnsi="Arial" w:cs="Arial"/>
            <w:noProof/>
          </w:rPr>
          <w:t>2.</w:t>
        </w:r>
        <w:r w:rsidR="00726CEB">
          <w:rPr>
            <w:smallCaps w:val="0"/>
            <w:noProof/>
            <w:sz w:val="22"/>
            <w:szCs w:val="22"/>
          </w:rPr>
          <w:tab/>
        </w:r>
        <w:r w:rsidR="00726CEB" w:rsidRPr="00EB0918">
          <w:rPr>
            <w:rStyle w:val="Lienhypertexte"/>
            <w:rFonts w:ascii="Arial" w:hAnsi="Arial" w:cs="Arial"/>
            <w:noProof/>
          </w:rPr>
          <w:t>Les mesures anti-terroristes du 21 janvier 2015</w:t>
        </w:r>
        <w:r w:rsidR="00726CEB">
          <w:rPr>
            <w:noProof/>
            <w:webHidden/>
          </w:rPr>
          <w:tab/>
        </w:r>
        <w:r w:rsidR="00726CEB">
          <w:rPr>
            <w:noProof/>
            <w:webHidden/>
          </w:rPr>
          <w:fldChar w:fldCharType="begin"/>
        </w:r>
        <w:r w:rsidR="00726CEB">
          <w:rPr>
            <w:noProof/>
            <w:webHidden/>
          </w:rPr>
          <w:instrText xml:space="preserve"> PAGEREF _Toc420924115 \h </w:instrText>
        </w:r>
        <w:r w:rsidR="00726CEB">
          <w:rPr>
            <w:noProof/>
            <w:webHidden/>
          </w:rPr>
        </w:r>
        <w:r w:rsidR="00726CEB">
          <w:rPr>
            <w:noProof/>
            <w:webHidden/>
          </w:rPr>
          <w:fldChar w:fldCharType="separate"/>
        </w:r>
        <w:r>
          <w:rPr>
            <w:noProof/>
            <w:webHidden/>
          </w:rPr>
          <w:t>19</w:t>
        </w:r>
        <w:r w:rsidR="00726CEB">
          <w:rPr>
            <w:noProof/>
            <w:webHidden/>
          </w:rPr>
          <w:fldChar w:fldCharType="end"/>
        </w:r>
      </w:hyperlink>
    </w:p>
    <w:p w:rsidR="00726CEB" w:rsidRDefault="006F0F1B">
      <w:pPr>
        <w:pStyle w:val="TM2"/>
        <w:tabs>
          <w:tab w:val="left" w:pos="660"/>
          <w:tab w:val="right" w:leader="dot" w:pos="9062"/>
        </w:tabs>
        <w:rPr>
          <w:smallCaps w:val="0"/>
          <w:noProof/>
          <w:sz w:val="22"/>
          <w:szCs w:val="22"/>
        </w:rPr>
      </w:pPr>
      <w:hyperlink w:anchor="_Toc420924116" w:history="1">
        <w:r w:rsidR="00726CEB" w:rsidRPr="00EB0918">
          <w:rPr>
            <w:rStyle w:val="Lienhypertexte"/>
            <w:rFonts w:ascii="Arial" w:hAnsi="Arial" w:cs="Arial"/>
            <w:noProof/>
          </w:rPr>
          <w:t>3.</w:t>
        </w:r>
        <w:r w:rsidR="00726CEB">
          <w:rPr>
            <w:smallCaps w:val="0"/>
            <w:noProof/>
            <w:sz w:val="22"/>
            <w:szCs w:val="22"/>
          </w:rPr>
          <w:tab/>
        </w:r>
        <w:r w:rsidR="00726CEB" w:rsidRPr="00EB0918">
          <w:rPr>
            <w:rStyle w:val="Lienhypertexte"/>
            <w:rFonts w:ascii="Arial" w:hAnsi="Arial" w:cs="Arial"/>
            <w:noProof/>
          </w:rPr>
          <w:t>La loi sur le renseignement</w:t>
        </w:r>
        <w:r w:rsidR="00726CEB">
          <w:rPr>
            <w:noProof/>
            <w:webHidden/>
          </w:rPr>
          <w:tab/>
        </w:r>
        <w:r w:rsidR="00726CEB">
          <w:rPr>
            <w:noProof/>
            <w:webHidden/>
          </w:rPr>
          <w:fldChar w:fldCharType="begin"/>
        </w:r>
        <w:r w:rsidR="00726CEB">
          <w:rPr>
            <w:noProof/>
            <w:webHidden/>
          </w:rPr>
          <w:instrText xml:space="preserve"> PAGEREF _Toc420924116 \h </w:instrText>
        </w:r>
        <w:r w:rsidR="00726CEB">
          <w:rPr>
            <w:noProof/>
            <w:webHidden/>
          </w:rPr>
        </w:r>
        <w:r w:rsidR="00726CEB">
          <w:rPr>
            <w:noProof/>
            <w:webHidden/>
          </w:rPr>
          <w:fldChar w:fldCharType="separate"/>
        </w:r>
        <w:r>
          <w:rPr>
            <w:noProof/>
            <w:webHidden/>
          </w:rPr>
          <w:t>19</w:t>
        </w:r>
        <w:r w:rsidR="00726CEB">
          <w:rPr>
            <w:noProof/>
            <w:webHidden/>
          </w:rPr>
          <w:fldChar w:fldCharType="end"/>
        </w:r>
      </w:hyperlink>
    </w:p>
    <w:p w:rsidR="00726CEB" w:rsidRDefault="006F0F1B">
      <w:pPr>
        <w:pStyle w:val="TM2"/>
        <w:tabs>
          <w:tab w:val="right" w:leader="dot" w:pos="9062"/>
        </w:tabs>
        <w:rPr>
          <w:smallCaps w:val="0"/>
          <w:noProof/>
          <w:sz w:val="22"/>
          <w:szCs w:val="22"/>
        </w:rPr>
      </w:pPr>
      <w:hyperlink w:anchor="_Toc420924117" w:history="1">
        <w:r w:rsidR="00726CEB" w:rsidRPr="00EB0918">
          <w:rPr>
            <w:rStyle w:val="Lienhypertexte"/>
            <w:rFonts w:ascii="Arial" w:hAnsi="Arial" w:cs="Arial"/>
            <w:noProof/>
          </w:rPr>
          <w:t>recommandations</w:t>
        </w:r>
        <w:r w:rsidR="00726CEB">
          <w:rPr>
            <w:noProof/>
            <w:webHidden/>
          </w:rPr>
          <w:tab/>
        </w:r>
        <w:r w:rsidR="00726CEB">
          <w:rPr>
            <w:noProof/>
            <w:webHidden/>
          </w:rPr>
          <w:fldChar w:fldCharType="begin"/>
        </w:r>
        <w:r w:rsidR="00726CEB">
          <w:rPr>
            <w:noProof/>
            <w:webHidden/>
          </w:rPr>
          <w:instrText xml:space="preserve"> PAGEREF _Toc420924117 \h </w:instrText>
        </w:r>
        <w:r w:rsidR="00726CEB">
          <w:rPr>
            <w:noProof/>
            <w:webHidden/>
          </w:rPr>
        </w:r>
        <w:r w:rsidR="00726CEB">
          <w:rPr>
            <w:noProof/>
            <w:webHidden/>
          </w:rPr>
          <w:fldChar w:fldCharType="separate"/>
        </w:r>
        <w:r>
          <w:rPr>
            <w:noProof/>
            <w:webHidden/>
          </w:rPr>
          <w:t>21</w:t>
        </w:r>
        <w:r w:rsidR="00726CEB">
          <w:rPr>
            <w:noProof/>
            <w:webHidden/>
          </w:rPr>
          <w:fldChar w:fldCharType="end"/>
        </w:r>
      </w:hyperlink>
    </w:p>
    <w:p w:rsidR="00726CEB" w:rsidRDefault="006F0F1B">
      <w:pPr>
        <w:pStyle w:val="TM1"/>
        <w:tabs>
          <w:tab w:val="right" w:leader="dot" w:pos="9062"/>
        </w:tabs>
        <w:rPr>
          <w:b w:val="0"/>
          <w:bCs w:val="0"/>
          <w:caps w:val="0"/>
          <w:noProof/>
          <w:sz w:val="22"/>
          <w:szCs w:val="22"/>
        </w:rPr>
      </w:pPr>
      <w:hyperlink w:anchor="_Toc420924118" w:history="1">
        <w:r w:rsidR="00726CEB" w:rsidRPr="00EB0918">
          <w:rPr>
            <w:rStyle w:val="Lienhypertexte"/>
            <w:rFonts w:ascii="Arial" w:hAnsi="Arial" w:cs="Arial"/>
            <w:smallCaps/>
            <w:noProof/>
          </w:rPr>
          <w:t>élimination de l’esclavage et de la servitude</w:t>
        </w:r>
        <w:r w:rsidR="00726CEB">
          <w:rPr>
            <w:noProof/>
            <w:webHidden/>
          </w:rPr>
          <w:tab/>
        </w:r>
        <w:r w:rsidR="00726CEB">
          <w:rPr>
            <w:noProof/>
            <w:webHidden/>
          </w:rPr>
          <w:fldChar w:fldCharType="begin"/>
        </w:r>
        <w:r w:rsidR="00726CEB">
          <w:rPr>
            <w:noProof/>
            <w:webHidden/>
          </w:rPr>
          <w:instrText xml:space="preserve"> PAGEREF _Toc420924118 \h </w:instrText>
        </w:r>
        <w:r w:rsidR="00726CEB">
          <w:rPr>
            <w:noProof/>
            <w:webHidden/>
          </w:rPr>
        </w:r>
        <w:r w:rsidR="00726CEB">
          <w:rPr>
            <w:noProof/>
            <w:webHidden/>
          </w:rPr>
          <w:fldChar w:fldCharType="separate"/>
        </w:r>
        <w:r>
          <w:rPr>
            <w:noProof/>
            <w:webHidden/>
          </w:rPr>
          <w:t>21</w:t>
        </w:r>
        <w:r w:rsidR="00726CEB">
          <w:rPr>
            <w:noProof/>
            <w:webHidden/>
          </w:rPr>
          <w:fldChar w:fldCharType="end"/>
        </w:r>
      </w:hyperlink>
    </w:p>
    <w:p w:rsidR="00726CEB" w:rsidRDefault="006F0F1B">
      <w:pPr>
        <w:pStyle w:val="TM2"/>
        <w:tabs>
          <w:tab w:val="right" w:leader="dot" w:pos="9062"/>
        </w:tabs>
        <w:rPr>
          <w:smallCaps w:val="0"/>
          <w:noProof/>
          <w:sz w:val="22"/>
          <w:szCs w:val="22"/>
        </w:rPr>
      </w:pPr>
      <w:hyperlink w:anchor="_Toc420924119" w:history="1">
        <w:r w:rsidR="00726CEB" w:rsidRPr="00EB0918">
          <w:rPr>
            <w:rStyle w:val="Lienhypertexte"/>
            <w:rFonts w:ascii="Arial" w:hAnsi="Arial" w:cs="Arial"/>
            <w:noProof/>
          </w:rPr>
          <w:t>recommandations</w:t>
        </w:r>
        <w:r w:rsidR="00726CEB">
          <w:rPr>
            <w:noProof/>
            <w:webHidden/>
          </w:rPr>
          <w:tab/>
        </w:r>
        <w:r w:rsidR="00726CEB">
          <w:rPr>
            <w:noProof/>
            <w:webHidden/>
          </w:rPr>
          <w:fldChar w:fldCharType="begin"/>
        </w:r>
        <w:r w:rsidR="00726CEB">
          <w:rPr>
            <w:noProof/>
            <w:webHidden/>
          </w:rPr>
          <w:instrText xml:space="preserve"> PAGEREF _Toc420924119 \h </w:instrText>
        </w:r>
        <w:r w:rsidR="00726CEB">
          <w:rPr>
            <w:noProof/>
            <w:webHidden/>
          </w:rPr>
        </w:r>
        <w:r w:rsidR="00726CEB">
          <w:rPr>
            <w:noProof/>
            <w:webHidden/>
          </w:rPr>
          <w:fldChar w:fldCharType="separate"/>
        </w:r>
        <w:r>
          <w:rPr>
            <w:noProof/>
            <w:webHidden/>
          </w:rPr>
          <w:t>23</w:t>
        </w:r>
        <w:r w:rsidR="00726CEB">
          <w:rPr>
            <w:noProof/>
            <w:webHidden/>
          </w:rPr>
          <w:fldChar w:fldCharType="end"/>
        </w:r>
      </w:hyperlink>
    </w:p>
    <w:p w:rsidR="00726CEB" w:rsidRDefault="006F0F1B">
      <w:pPr>
        <w:pStyle w:val="TM1"/>
        <w:tabs>
          <w:tab w:val="right" w:leader="dot" w:pos="9062"/>
        </w:tabs>
        <w:rPr>
          <w:b w:val="0"/>
          <w:bCs w:val="0"/>
          <w:caps w:val="0"/>
          <w:noProof/>
          <w:sz w:val="22"/>
          <w:szCs w:val="22"/>
        </w:rPr>
      </w:pPr>
      <w:hyperlink w:anchor="_Toc420924120" w:history="1">
        <w:r w:rsidR="00726CEB" w:rsidRPr="00EB0918">
          <w:rPr>
            <w:rStyle w:val="Lienhypertexte"/>
            <w:rFonts w:ascii="Arial" w:hAnsi="Arial" w:cs="Arial"/>
            <w:smallCaps/>
            <w:noProof/>
          </w:rPr>
          <w:t>la lutte contre le racisme, l’antisémitisme et la xénophobie</w:t>
        </w:r>
        <w:r w:rsidR="00726CEB">
          <w:rPr>
            <w:noProof/>
            <w:webHidden/>
          </w:rPr>
          <w:tab/>
        </w:r>
        <w:r w:rsidR="00726CEB">
          <w:rPr>
            <w:noProof/>
            <w:webHidden/>
          </w:rPr>
          <w:fldChar w:fldCharType="begin"/>
        </w:r>
        <w:r w:rsidR="00726CEB">
          <w:rPr>
            <w:noProof/>
            <w:webHidden/>
          </w:rPr>
          <w:instrText xml:space="preserve"> PAGEREF _Toc420924120 \h </w:instrText>
        </w:r>
        <w:r w:rsidR="00726CEB">
          <w:rPr>
            <w:noProof/>
            <w:webHidden/>
          </w:rPr>
        </w:r>
        <w:r w:rsidR="00726CEB">
          <w:rPr>
            <w:noProof/>
            <w:webHidden/>
          </w:rPr>
          <w:fldChar w:fldCharType="separate"/>
        </w:r>
        <w:r>
          <w:rPr>
            <w:noProof/>
            <w:webHidden/>
          </w:rPr>
          <w:t>23</w:t>
        </w:r>
        <w:r w:rsidR="00726CEB">
          <w:rPr>
            <w:noProof/>
            <w:webHidden/>
          </w:rPr>
          <w:fldChar w:fldCharType="end"/>
        </w:r>
      </w:hyperlink>
    </w:p>
    <w:p w:rsidR="00726CEB" w:rsidRDefault="006F0F1B">
      <w:pPr>
        <w:pStyle w:val="TM2"/>
        <w:tabs>
          <w:tab w:val="left" w:pos="660"/>
          <w:tab w:val="right" w:leader="dot" w:pos="9062"/>
        </w:tabs>
        <w:rPr>
          <w:smallCaps w:val="0"/>
          <w:noProof/>
          <w:sz w:val="22"/>
          <w:szCs w:val="22"/>
        </w:rPr>
      </w:pPr>
      <w:hyperlink w:anchor="_Toc420924121" w:history="1">
        <w:r w:rsidR="00726CEB" w:rsidRPr="00EB0918">
          <w:rPr>
            <w:rStyle w:val="Lienhypertexte"/>
            <w:rFonts w:ascii="Arial" w:hAnsi="Arial" w:cs="Arial"/>
            <w:noProof/>
          </w:rPr>
          <w:t>1.</w:t>
        </w:r>
        <w:r w:rsidR="00726CEB">
          <w:rPr>
            <w:smallCaps w:val="0"/>
            <w:noProof/>
            <w:sz w:val="22"/>
            <w:szCs w:val="22"/>
          </w:rPr>
          <w:tab/>
        </w:r>
        <w:r w:rsidR="00726CEB" w:rsidRPr="00EB0918">
          <w:rPr>
            <w:rStyle w:val="Lienhypertexte"/>
            <w:rFonts w:ascii="Arial" w:hAnsi="Arial" w:cs="Arial"/>
            <w:noProof/>
          </w:rPr>
          <w:t>Manifestations politiques à caractères racistes sur Internet</w:t>
        </w:r>
        <w:r w:rsidR="00726CEB">
          <w:rPr>
            <w:noProof/>
            <w:webHidden/>
          </w:rPr>
          <w:tab/>
        </w:r>
        <w:r w:rsidR="00726CEB">
          <w:rPr>
            <w:noProof/>
            <w:webHidden/>
          </w:rPr>
          <w:fldChar w:fldCharType="begin"/>
        </w:r>
        <w:r w:rsidR="00726CEB">
          <w:rPr>
            <w:noProof/>
            <w:webHidden/>
          </w:rPr>
          <w:instrText xml:space="preserve"> PAGEREF _Toc420924121 \h </w:instrText>
        </w:r>
        <w:r w:rsidR="00726CEB">
          <w:rPr>
            <w:noProof/>
            <w:webHidden/>
          </w:rPr>
        </w:r>
        <w:r w:rsidR="00726CEB">
          <w:rPr>
            <w:noProof/>
            <w:webHidden/>
          </w:rPr>
          <w:fldChar w:fldCharType="separate"/>
        </w:r>
        <w:r>
          <w:rPr>
            <w:noProof/>
            <w:webHidden/>
          </w:rPr>
          <w:t>24</w:t>
        </w:r>
        <w:r w:rsidR="00726CEB">
          <w:rPr>
            <w:noProof/>
            <w:webHidden/>
          </w:rPr>
          <w:fldChar w:fldCharType="end"/>
        </w:r>
      </w:hyperlink>
    </w:p>
    <w:p w:rsidR="00726CEB" w:rsidRDefault="006F0F1B">
      <w:pPr>
        <w:pStyle w:val="TM2"/>
        <w:tabs>
          <w:tab w:val="left" w:pos="660"/>
          <w:tab w:val="right" w:leader="dot" w:pos="9062"/>
        </w:tabs>
        <w:rPr>
          <w:smallCaps w:val="0"/>
          <w:noProof/>
          <w:sz w:val="22"/>
          <w:szCs w:val="22"/>
        </w:rPr>
      </w:pPr>
      <w:hyperlink w:anchor="_Toc420924122" w:history="1">
        <w:r w:rsidR="00726CEB" w:rsidRPr="00EB0918">
          <w:rPr>
            <w:rStyle w:val="Lienhypertexte"/>
            <w:rFonts w:ascii="Arial" w:hAnsi="Arial" w:cs="Arial"/>
            <w:noProof/>
          </w:rPr>
          <w:t>2.</w:t>
        </w:r>
        <w:r w:rsidR="00726CEB">
          <w:rPr>
            <w:smallCaps w:val="0"/>
            <w:noProof/>
            <w:sz w:val="22"/>
            <w:szCs w:val="22"/>
          </w:rPr>
          <w:tab/>
        </w:r>
        <w:r w:rsidR="00726CEB" w:rsidRPr="00EB0918">
          <w:rPr>
            <w:rStyle w:val="Lienhypertexte"/>
            <w:rFonts w:ascii="Arial" w:hAnsi="Arial" w:cs="Arial"/>
            <w:noProof/>
          </w:rPr>
          <w:t>Discours  et actes politiques</w:t>
        </w:r>
        <w:r w:rsidR="00726CEB">
          <w:rPr>
            <w:noProof/>
            <w:webHidden/>
          </w:rPr>
          <w:tab/>
        </w:r>
        <w:r w:rsidR="00726CEB">
          <w:rPr>
            <w:noProof/>
            <w:webHidden/>
          </w:rPr>
          <w:fldChar w:fldCharType="begin"/>
        </w:r>
        <w:r w:rsidR="00726CEB">
          <w:rPr>
            <w:noProof/>
            <w:webHidden/>
          </w:rPr>
          <w:instrText xml:space="preserve"> PAGEREF _Toc420924122 \h </w:instrText>
        </w:r>
        <w:r w:rsidR="00726CEB">
          <w:rPr>
            <w:noProof/>
            <w:webHidden/>
          </w:rPr>
        </w:r>
        <w:r w:rsidR="00726CEB">
          <w:rPr>
            <w:noProof/>
            <w:webHidden/>
          </w:rPr>
          <w:fldChar w:fldCharType="separate"/>
        </w:r>
        <w:r>
          <w:rPr>
            <w:noProof/>
            <w:webHidden/>
          </w:rPr>
          <w:t>24</w:t>
        </w:r>
        <w:r w:rsidR="00726CEB">
          <w:rPr>
            <w:noProof/>
            <w:webHidden/>
          </w:rPr>
          <w:fldChar w:fldCharType="end"/>
        </w:r>
      </w:hyperlink>
    </w:p>
    <w:p w:rsidR="00726CEB" w:rsidRDefault="006F0F1B">
      <w:pPr>
        <w:pStyle w:val="TM2"/>
        <w:tabs>
          <w:tab w:val="left" w:pos="660"/>
          <w:tab w:val="right" w:leader="dot" w:pos="9062"/>
        </w:tabs>
        <w:rPr>
          <w:smallCaps w:val="0"/>
          <w:noProof/>
          <w:sz w:val="22"/>
          <w:szCs w:val="22"/>
        </w:rPr>
      </w:pPr>
      <w:hyperlink w:anchor="_Toc420924123" w:history="1">
        <w:r w:rsidR="00726CEB" w:rsidRPr="00EB0918">
          <w:rPr>
            <w:rStyle w:val="Lienhypertexte"/>
            <w:rFonts w:ascii="Arial" w:hAnsi="Arial" w:cs="Arial"/>
            <w:noProof/>
          </w:rPr>
          <w:t>3.</w:t>
        </w:r>
        <w:r w:rsidR="00726CEB">
          <w:rPr>
            <w:smallCaps w:val="0"/>
            <w:noProof/>
            <w:sz w:val="22"/>
            <w:szCs w:val="22"/>
          </w:rPr>
          <w:tab/>
        </w:r>
        <w:r w:rsidR="00726CEB" w:rsidRPr="00EB0918">
          <w:rPr>
            <w:rStyle w:val="Lienhypertexte"/>
            <w:rFonts w:ascii="Arial" w:hAnsi="Arial" w:cs="Arial"/>
            <w:noProof/>
          </w:rPr>
          <w:t>Les manifestations de racisme, d’antisémitisme et de xénophobie sur Internet</w:t>
        </w:r>
        <w:r w:rsidR="00726CEB">
          <w:rPr>
            <w:noProof/>
            <w:webHidden/>
          </w:rPr>
          <w:tab/>
        </w:r>
        <w:r w:rsidR="00726CEB">
          <w:rPr>
            <w:noProof/>
            <w:webHidden/>
          </w:rPr>
          <w:fldChar w:fldCharType="begin"/>
        </w:r>
        <w:r w:rsidR="00726CEB">
          <w:rPr>
            <w:noProof/>
            <w:webHidden/>
          </w:rPr>
          <w:instrText xml:space="preserve"> PAGEREF _Toc420924123 \h </w:instrText>
        </w:r>
        <w:r w:rsidR="00726CEB">
          <w:rPr>
            <w:noProof/>
            <w:webHidden/>
          </w:rPr>
        </w:r>
        <w:r w:rsidR="00726CEB">
          <w:rPr>
            <w:noProof/>
            <w:webHidden/>
          </w:rPr>
          <w:fldChar w:fldCharType="separate"/>
        </w:r>
        <w:r>
          <w:rPr>
            <w:noProof/>
            <w:webHidden/>
          </w:rPr>
          <w:t>25</w:t>
        </w:r>
        <w:r w:rsidR="00726CEB">
          <w:rPr>
            <w:noProof/>
            <w:webHidden/>
          </w:rPr>
          <w:fldChar w:fldCharType="end"/>
        </w:r>
      </w:hyperlink>
    </w:p>
    <w:p w:rsidR="00726CEB" w:rsidRDefault="006F0F1B">
      <w:pPr>
        <w:pStyle w:val="TM2"/>
        <w:tabs>
          <w:tab w:val="left" w:pos="660"/>
          <w:tab w:val="right" w:leader="dot" w:pos="9062"/>
        </w:tabs>
        <w:rPr>
          <w:smallCaps w:val="0"/>
          <w:noProof/>
          <w:sz w:val="22"/>
          <w:szCs w:val="22"/>
        </w:rPr>
      </w:pPr>
      <w:hyperlink w:anchor="_Toc420924124" w:history="1">
        <w:r w:rsidR="00726CEB" w:rsidRPr="00EB0918">
          <w:rPr>
            <w:rStyle w:val="Lienhypertexte"/>
            <w:rFonts w:ascii="Arial" w:hAnsi="Arial" w:cs="Arial"/>
            <w:noProof/>
          </w:rPr>
          <w:t>4.</w:t>
        </w:r>
        <w:r w:rsidR="00726CEB">
          <w:rPr>
            <w:smallCaps w:val="0"/>
            <w:noProof/>
            <w:sz w:val="22"/>
            <w:szCs w:val="22"/>
          </w:rPr>
          <w:tab/>
        </w:r>
        <w:r w:rsidR="00726CEB" w:rsidRPr="00EB0918">
          <w:rPr>
            <w:rStyle w:val="Lienhypertexte"/>
            <w:rFonts w:ascii="Arial" w:hAnsi="Arial" w:cs="Arial"/>
            <w:noProof/>
          </w:rPr>
          <w:t>Problématique du racisme et de la discrimination raciale auprès des jeunes internautes</w:t>
        </w:r>
        <w:r w:rsidR="00726CEB">
          <w:rPr>
            <w:noProof/>
            <w:webHidden/>
          </w:rPr>
          <w:tab/>
        </w:r>
        <w:r w:rsidR="00726CEB">
          <w:rPr>
            <w:noProof/>
            <w:webHidden/>
          </w:rPr>
          <w:fldChar w:fldCharType="begin"/>
        </w:r>
        <w:r w:rsidR="00726CEB">
          <w:rPr>
            <w:noProof/>
            <w:webHidden/>
          </w:rPr>
          <w:instrText xml:space="preserve"> PAGEREF _Toc420924124 \h </w:instrText>
        </w:r>
        <w:r w:rsidR="00726CEB">
          <w:rPr>
            <w:noProof/>
            <w:webHidden/>
          </w:rPr>
        </w:r>
        <w:r w:rsidR="00726CEB">
          <w:rPr>
            <w:noProof/>
            <w:webHidden/>
          </w:rPr>
          <w:fldChar w:fldCharType="separate"/>
        </w:r>
        <w:r>
          <w:rPr>
            <w:noProof/>
            <w:webHidden/>
          </w:rPr>
          <w:t>26</w:t>
        </w:r>
        <w:r w:rsidR="00726CEB">
          <w:rPr>
            <w:noProof/>
            <w:webHidden/>
          </w:rPr>
          <w:fldChar w:fldCharType="end"/>
        </w:r>
      </w:hyperlink>
    </w:p>
    <w:p w:rsidR="00726CEB" w:rsidRDefault="006F0F1B">
      <w:pPr>
        <w:pStyle w:val="TM2"/>
        <w:tabs>
          <w:tab w:val="left" w:pos="660"/>
          <w:tab w:val="right" w:leader="dot" w:pos="9062"/>
        </w:tabs>
        <w:rPr>
          <w:smallCaps w:val="0"/>
          <w:noProof/>
          <w:sz w:val="22"/>
          <w:szCs w:val="22"/>
        </w:rPr>
      </w:pPr>
      <w:hyperlink w:anchor="_Toc420924125" w:history="1">
        <w:r w:rsidR="00726CEB" w:rsidRPr="00EB0918">
          <w:rPr>
            <w:rStyle w:val="Lienhypertexte"/>
            <w:rFonts w:ascii="Arial" w:hAnsi="Arial" w:cs="Arial"/>
            <w:noProof/>
          </w:rPr>
          <w:t>5.</w:t>
        </w:r>
        <w:r w:rsidR="00726CEB">
          <w:rPr>
            <w:smallCaps w:val="0"/>
            <w:noProof/>
            <w:sz w:val="22"/>
            <w:szCs w:val="22"/>
          </w:rPr>
          <w:tab/>
        </w:r>
        <w:r w:rsidR="00726CEB" w:rsidRPr="00EB0918">
          <w:rPr>
            <w:rStyle w:val="Lienhypertexte"/>
            <w:rFonts w:ascii="Arial" w:hAnsi="Arial" w:cs="Arial"/>
            <w:noProof/>
          </w:rPr>
          <w:t>Le fait islamophobe</w:t>
        </w:r>
        <w:r w:rsidR="00726CEB">
          <w:rPr>
            <w:noProof/>
            <w:webHidden/>
          </w:rPr>
          <w:tab/>
        </w:r>
        <w:r w:rsidR="00726CEB">
          <w:rPr>
            <w:noProof/>
            <w:webHidden/>
          </w:rPr>
          <w:fldChar w:fldCharType="begin"/>
        </w:r>
        <w:r w:rsidR="00726CEB">
          <w:rPr>
            <w:noProof/>
            <w:webHidden/>
          </w:rPr>
          <w:instrText xml:space="preserve"> PAGEREF _Toc420924125 \h </w:instrText>
        </w:r>
        <w:r w:rsidR="00726CEB">
          <w:rPr>
            <w:noProof/>
            <w:webHidden/>
          </w:rPr>
        </w:r>
        <w:r w:rsidR="00726CEB">
          <w:rPr>
            <w:noProof/>
            <w:webHidden/>
          </w:rPr>
          <w:fldChar w:fldCharType="separate"/>
        </w:r>
        <w:r>
          <w:rPr>
            <w:noProof/>
            <w:webHidden/>
          </w:rPr>
          <w:t>27</w:t>
        </w:r>
        <w:r w:rsidR="00726CEB">
          <w:rPr>
            <w:noProof/>
            <w:webHidden/>
          </w:rPr>
          <w:fldChar w:fldCharType="end"/>
        </w:r>
      </w:hyperlink>
    </w:p>
    <w:p w:rsidR="00726CEB" w:rsidRDefault="006F0F1B">
      <w:pPr>
        <w:pStyle w:val="TM1"/>
        <w:tabs>
          <w:tab w:val="right" w:leader="dot" w:pos="9062"/>
        </w:tabs>
        <w:rPr>
          <w:b w:val="0"/>
          <w:bCs w:val="0"/>
          <w:caps w:val="0"/>
          <w:noProof/>
          <w:sz w:val="22"/>
          <w:szCs w:val="22"/>
        </w:rPr>
      </w:pPr>
      <w:hyperlink w:anchor="_Toc420924126" w:history="1">
        <w:r w:rsidR="00726CEB" w:rsidRPr="00EB0918">
          <w:rPr>
            <w:rStyle w:val="Lienhypertexte"/>
            <w:rFonts w:ascii="Arial" w:hAnsi="Arial" w:cs="Arial"/>
            <w:smallCaps/>
            <w:noProof/>
          </w:rPr>
          <w:t>recommandations</w:t>
        </w:r>
        <w:r w:rsidR="00726CEB">
          <w:rPr>
            <w:noProof/>
            <w:webHidden/>
          </w:rPr>
          <w:tab/>
        </w:r>
        <w:r w:rsidR="00726CEB">
          <w:rPr>
            <w:noProof/>
            <w:webHidden/>
          </w:rPr>
          <w:fldChar w:fldCharType="begin"/>
        </w:r>
        <w:r w:rsidR="00726CEB">
          <w:rPr>
            <w:noProof/>
            <w:webHidden/>
          </w:rPr>
          <w:instrText xml:space="preserve"> PAGEREF _Toc420924126 \h </w:instrText>
        </w:r>
        <w:r w:rsidR="00726CEB">
          <w:rPr>
            <w:noProof/>
            <w:webHidden/>
          </w:rPr>
        </w:r>
        <w:r w:rsidR="00726CEB">
          <w:rPr>
            <w:noProof/>
            <w:webHidden/>
          </w:rPr>
          <w:fldChar w:fldCharType="separate"/>
        </w:r>
        <w:r>
          <w:rPr>
            <w:noProof/>
            <w:webHidden/>
          </w:rPr>
          <w:t>29</w:t>
        </w:r>
        <w:r w:rsidR="00726CEB">
          <w:rPr>
            <w:noProof/>
            <w:webHidden/>
          </w:rPr>
          <w:fldChar w:fldCharType="end"/>
        </w:r>
      </w:hyperlink>
    </w:p>
    <w:p w:rsidR="00863110" w:rsidRDefault="00726CEB">
      <w:pPr>
        <w:rPr>
          <w:rFonts w:ascii="Tahoma" w:hAnsi="Tahoma" w:cs="Tahoma"/>
          <w:sz w:val="20"/>
          <w:szCs w:val="20"/>
        </w:rPr>
      </w:pPr>
      <w:r>
        <w:rPr>
          <w:rFonts w:ascii="Tahoma" w:hAnsi="Tahoma" w:cs="Tahoma"/>
          <w:sz w:val="20"/>
          <w:szCs w:val="20"/>
        </w:rPr>
        <w:fldChar w:fldCharType="end"/>
      </w:r>
    </w:p>
    <w:p w:rsidR="003F7AE4" w:rsidRDefault="00863110" w:rsidP="000B0C34">
      <w:pPr>
        <w:rPr>
          <w:rFonts w:ascii="Tahoma" w:hAnsi="Tahoma" w:cs="Tahoma"/>
          <w:sz w:val="20"/>
          <w:szCs w:val="20"/>
        </w:rPr>
      </w:pPr>
      <w:r>
        <w:rPr>
          <w:rFonts w:ascii="Tahoma" w:hAnsi="Tahoma" w:cs="Tahoma"/>
          <w:sz w:val="20"/>
          <w:szCs w:val="20"/>
        </w:rPr>
        <w:br w:type="page"/>
      </w:r>
    </w:p>
    <w:p w:rsidR="003F7AE4" w:rsidRPr="00863110" w:rsidRDefault="00A10F1C" w:rsidP="00863110">
      <w:pPr>
        <w:pStyle w:val="Titre1"/>
        <w:spacing w:before="0" w:line="240" w:lineRule="auto"/>
        <w:jc w:val="both"/>
        <w:rPr>
          <w:rFonts w:ascii="Arial" w:hAnsi="Arial" w:cs="Arial"/>
          <w:color w:val="auto"/>
          <w:sz w:val="24"/>
          <w:szCs w:val="24"/>
        </w:rPr>
      </w:pPr>
      <w:bookmarkStart w:id="0" w:name="_Toc420924104"/>
      <w:r w:rsidRPr="00863110">
        <w:rPr>
          <w:rFonts w:ascii="Arial" w:hAnsi="Arial" w:cs="Arial"/>
          <w:color w:val="auto"/>
          <w:sz w:val="24"/>
          <w:szCs w:val="24"/>
        </w:rPr>
        <w:lastRenderedPageBreak/>
        <w:t>Introduction</w:t>
      </w:r>
      <w:bookmarkEnd w:id="0"/>
    </w:p>
    <w:p w:rsidR="00D022EA" w:rsidRDefault="00D022EA" w:rsidP="00863110">
      <w:pPr>
        <w:spacing w:after="0" w:line="240" w:lineRule="auto"/>
        <w:jc w:val="both"/>
        <w:rPr>
          <w:rFonts w:ascii="Tahoma" w:hAnsi="Tahoma" w:cs="Tahoma"/>
          <w:sz w:val="20"/>
          <w:szCs w:val="20"/>
        </w:rPr>
      </w:pPr>
    </w:p>
    <w:p w:rsidR="00D022EA" w:rsidRDefault="000A5BF6" w:rsidP="00863110">
      <w:pPr>
        <w:spacing w:after="0" w:line="240" w:lineRule="auto"/>
        <w:jc w:val="both"/>
        <w:rPr>
          <w:rFonts w:ascii="Tahoma" w:hAnsi="Tahoma" w:cs="Tahoma"/>
          <w:sz w:val="20"/>
          <w:szCs w:val="20"/>
        </w:rPr>
      </w:pPr>
      <w:r>
        <w:rPr>
          <w:rFonts w:ascii="Tahoma" w:hAnsi="Tahoma" w:cs="Tahoma"/>
          <w:sz w:val="20"/>
          <w:szCs w:val="20"/>
        </w:rPr>
        <w:t xml:space="preserve">La Ligue des droits de l’Homme remet à votre Comité, dans le cadre de </w:t>
      </w:r>
      <w:r w:rsidR="000603A5">
        <w:rPr>
          <w:rFonts w:ascii="Tahoma" w:hAnsi="Tahoma" w:cs="Tahoma"/>
          <w:sz w:val="20"/>
          <w:szCs w:val="20"/>
        </w:rPr>
        <w:t>la</w:t>
      </w:r>
      <w:r>
        <w:rPr>
          <w:rFonts w:ascii="Tahoma" w:hAnsi="Tahoma" w:cs="Tahoma"/>
          <w:sz w:val="20"/>
          <w:szCs w:val="20"/>
        </w:rPr>
        <w:t xml:space="preserve"> 114</w:t>
      </w:r>
      <w:r w:rsidRPr="000A5BF6">
        <w:rPr>
          <w:rFonts w:ascii="Tahoma" w:hAnsi="Tahoma" w:cs="Tahoma"/>
          <w:sz w:val="20"/>
          <w:szCs w:val="20"/>
          <w:vertAlign w:val="superscript"/>
        </w:rPr>
        <w:t>ème</w:t>
      </w:r>
      <w:r>
        <w:rPr>
          <w:rFonts w:ascii="Tahoma" w:hAnsi="Tahoma" w:cs="Tahoma"/>
          <w:sz w:val="20"/>
          <w:szCs w:val="20"/>
        </w:rPr>
        <w:t xml:space="preserve"> session au cours de laquelle le cinquième rapport périodique de la France va être </w:t>
      </w:r>
      <w:r w:rsidR="002A2410">
        <w:rPr>
          <w:rFonts w:ascii="Tahoma" w:hAnsi="Tahoma" w:cs="Tahoma"/>
          <w:sz w:val="20"/>
          <w:szCs w:val="20"/>
        </w:rPr>
        <w:t>examiné, une soumission qui s’</w:t>
      </w:r>
      <w:r w:rsidR="00650AA4">
        <w:rPr>
          <w:rFonts w:ascii="Tahoma" w:hAnsi="Tahoma" w:cs="Tahoma"/>
          <w:sz w:val="20"/>
          <w:szCs w:val="20"/>
        </w:rPr>
        <w:t>inscrit</w:t>
      </w:r>
      <w:r w:rsidR="002A2410">
        <w:rPr>
          <w:rFonts w:ascii="Tahoma" w:hAnsi="Tahoma" w:cs="Tahoma"/>
          <w:sz w:val="20"/>
          <w:szCs w:val="20"/>
        </w:rPr>
        <w:t xml:space="preserve"> dans un contexte dégradé.</w:t>
      </w:r>
    </w:p>
    <w:p w:rsidR="002A2410" w:rsidRDefault="002A2410" w:rsidP="00863110">
      <w:pPr>
        <w:spacing w:after="0" w:line="240" w:lineRule="auto"/>
        <w:jc w:val="both"/>
        <w:rPr>
          <w:rFonts w:ascii="Tahoma" w:hAnsi="Tahoma" w:cs="Tahoma"/>
          <w:sz w:val="20"/>
          <w:szCs w:val="20"/>
        </w:rPr>
      </w:pPr>
    </w:p>
    <w:p w:rsidR="0074289C" w:rsidRDefault="002A2410" w:rsidP="00863110">
      <w:pPr>
        <w:spacing w:after="0" w:line="240" w:lineRule="auto"/>
        <w:jc w:val="both"/>
        <w:rPr>
          <w:rFonts w:ascii="Tahoma" w:hAnsi="Tahoma" w:cs="Tahoma"/>
          <w:sz w:val="20"/>
          <w:szCs w:val="20"/>
        </w:rPr>
      </w:pPr>
      <w:r>
        <w:rPr>
          <w:rFonts w:ascii="Tahoma" w:hAnsi="Tahoma" w:cs="Tahoma"/>
          <w:sz w:val="20"/>
          <w:szCs w:val="20"/>
        </w:rPr>
        <w:t>Fragmentation sociale et crise économique, inégalités de tous ordres, montées des haines racistes et des tensions communautaires constituent de puissants révélateurs de l’état des lieux de la société française.</w:t>
      </w:r>
    </w:p>
    <w:p w:rsidR="0074289C" w:rsidRDefault="0074289C" w:rsidP="00863110">
      <w:pPr>
        <w:spacing w:after="0" w:line="240" w:lineRule="auto"/>
        <w:jc w:val="both"/>
        <w:rPr>
          <w:rFonts w:ascii="Tahoma" w:hAnsi="Tahoma" w:cs="Tahoma"/>
          <w:sz w:val="20"/>
          <w:szCs w:val="20"/>
        </w:rPr>
      </w:pPr>
    </w:p>
    <w:p w:rsidR="0074289C" w:rsidRDefault="0074289C" w:rsidP="00863110">
      <w:pPr>
        <w:spacing w:after="0" w:line="240" w:lineRule="auto"/>
        <w:jc w:val="both"/>
        <w:rPr>
          <w:rFonts w:ascii="Tahoma" w:hAnsi="Tahoma" w:cs="Tahoma"/>
          <w:sz w:val="20"/>
          <w:szCs w:val="20"/>
        </w:rPr>
      </w:pPr>
      <w:r>
        <w:rPr>
          <w:rFonts w:ascii="Tahoma" w:hAnsi="Tahoma" w:cs="Tahoma"/>
          <w:sz w:val="20"/>
          <w:szCs w:val="20"/>
        </w:rPr>
        <w:t>Le rapport alternatif de la LDH porte, en lien avec les observations finales du 22 juillet 2008 de votre Comité et la liste des points à traiter adoptée lors de votre 111</w:t>
      </w:r>
      <w:r w:rsidRPr="0074289C">
        <w:rPr>
          <w:rFonts w:ascii="Tahoma" w:hAnsi="Tahoma" w:cs="Tahoma"/>
          <w:sz w:val="20"/>
          <w:szCs w:val="20"/>
          <w:vertAlign w:val="superscript"/>
        </w:rPr>
        <w:t>ème</w:t>
      </w:r>
      <w:r>
        <w:rPr>
          <w:rFonts w:ascii="Tahoma" w:hAnsi="Tahoma" w:cs="Tahoma"/>
          <w:sz w:val="20"/>
          <w:szCs w:val="20"/>
        </w:rPr>
        <w:t xml:space="preserve"> session, sur la question de la non-discrimination et l’égalité entre les femmes et les hommes, l’élimination de l’esclavage et de la servitude ainsi que la lutte contre le racisme, l’antisémitisme et la xénophobie.</w:t>
      </w:r>
    </w:p>
    <w:p w:rsidR="0074289C" w:rsidRDefault="0074289C" w:rsidP="00863110">
      <w:pPr>
        <w:spacing w:after="0" w:line="240" w:lineRule="auto"/>
        <w:jc w:val="both"/>
        <w:rPr>
          <w:rFonts w:ascii="Tahoma" w:hAnsi="Tahoma" w:cs="Tahoma"/>
          <w:sz w:val="20"/>
          <w:szCs w:val="20"/>
        </w:rPr>
      </w:pPr>
    </w:p>
    <w:p w:rsidR="000603A5" w:rsidRDefault="007D3822" w:rsidP="00863110">
      <w:pPr>
        <w:spacing w:after="0" w:line="240" w:lineRule="auto"/>
        <w:jc w:val="both"/>
        <w:rPr>
          <w:rFonts w:ascii="Tahoma" w:hAnsi="Tahoma" w:cs="Tahoma"/>
          <w:sz w:val="20"/>
          <w:szCs w:val="20"/>
        </w:rPr>
      </w:pPr>
      <w:r>
        <w:rPr>
          <w:rFonts w:ascii="Tahoma" w:hAnsi="Tahoma" w:cs="Tahoma"/>
          <w:sz w:val="20"/>
          <w:szCs w:val="20"/>
        </w:rPr>
        <w:t>Plus de cinq mois après l’assassinat des journalistes de Charlie Hebdo, des otages juifs de l’Hyper casher de la porte de Vincennes et des policiers tués dans l’exercice de leur fonction, « </w:t>
      </w:r>
      <w:r w:rsidRPr="007D3822">
        <w:rPr>
          <w:rFonts w:ascii="Tahoma" w:hAnsi="Tahoma" w:cs="Tahoma"/>
          <w:i/>
          <w:sz w:val="20"/>
          <w:szCs w:val="20"/>
        </w:rPr>
        <w:t>c’est un jeu d’équilibre à la fois ferme et subtil qui doit donc être tenu entre la nécessaire répression et la non moins nécessaire protection des libertés qui sont au fondement de la République </w:t>
      </w:r>
      <w:r>
        <w:rPr>
          <w:rFonts w:ascii="Tahoma" w:hAnsi="Tahoma" w:cs="Tahoma"/>
          <w:sz w:val="20"/>
          <w:szCs w:val="20"/>
        </w:rPr>
        <w:t xml:space="preserve">», comme le soulignait Pierre Tartakowsky, alors président de la LDH, au mois de mars 2015. Dans ce difficile exercice, force est de constater que les textes gouvernementaux ont surtout pour objectif de mettre en place des méthodes de surveillance massives et un contrôle inconsistant. Une partie de la présente soumission a </w:t>
      </w:r>
      <w:r w:rsidR="00455B30">
        <w:rPr>
          <w:rFonts w:ascii="Tahoma" w:hAnsi="Tahoma" w:cs="Tahoma"/>
          <w:sz w:val="20"/>
          <w:szCs w:val="20"/>
        </w:rPr>
        <w:t xml:space="preserve">donc </w:t>
      </w:r>
      <w:r>
        <w:rPr>
          <w:rFonts w:ascii="Tahoma" w:hAnsi="Tahoma" w:cs="Tahoma"/>
          <w:sz w:val="20"/>
          <w:szCs w:val="20"/>
        </w:rPr>
        <w:t>trait aux mesures de lutte contre le terrorisme.</w:t>
      </w:r>
    </w:p>
    <w:p w:rsidR="000603A5" w:rsidRDefault="000603A5" w:rsidP="00863110">
      <w:pPr>
        <w:spacing w:after="0" w:line="240" w:lineRule="auto"/>
        <w:jc w:val="both"/>
        <w:rPr>
          <w:rFonts w:ascii="Tahoma" w:hAnsi="Tahoma" w:cs="Tahoma"/>
          <w:sz w:val="20"/>
          <w:szCs w:val="20"/>
        </w:rPr>
      </w:pPr>
    </w:p>
    <w:p w:rsidR="00E43F6A" w:rsidRDefault="00A209C3" w:rsidP="00863110">
      <w:pPr>
        <w:spacing w:after="0" w:line="240" w:lineRule="auto"/>
        <w:jc w:val="both"/>
        <w:rPr>
          <w:rFonts w:ascii="Tahoma" w:hAnsi="Tahoma" w:cs="Tahoma"/>
          <w:sz w:val="20"/>
          <w:szCs w:val="20"/>
        </w:rPr>
      </w:pPr>
      <w:r>
        <w:rPr>
          <w:rFonts w:ascii="Tahoma" w:hAnsi="Tahoma" w:cs="Tahoma"/>
          <w:sz w:val="20"/>
          <w:szCs w:val="20"/>
        </w:rPr>
        <w:t xml:space="preserve">Lors des observations finales de votre Comité le 22 juillet 2008 après l’examen du quatrième rapport périodique de la France, vous avez fait part de vos préoccupations quant aux mesures de privation de liberté prises à l’encontre des familles avec enfants ainsi que des demandeurs d’asile. Sur ces points, la Ligue des droits de l’Homme rejoint les </w:t>
      </w:r>
      <w:r w:rsidR="00455B30">
        <w:rPr>
          <w:rFonts w:ascii="Tahoma" w:hAnsi="Tahoma" w:cs="Tahoma"/>
          <w:sz w:val="20"/>
          <w:szCs w:val="20"/>
        </w:rPr>
        <w:t xml:space="preserve">préoccupations et recommandations contenues dans les </w:t>
      </w:r>
      <w:r>
        <w:rPr>
          <w:rFonts w:ascii="Tahoma" w:hAnsi="Tahoma" w:cs="Tahoma"/>
          <w:sz w:val="20"/>
          <w:szCs w:val="20"/>
        </w:rPr>
        <w:t>soumissions des ONG qui portent sur la politique de détention à l’égard des étrangers. Il est ici à rappeler que notre association fait partie des 15 organisations fondatrices de l’Observatoire de l’enferment des étrangers (OEE).</w:t>
      </w:r>
    </w:p>
    <w:p w:rsidR="00E43F6A" w:rsidRDefault="00E43F6A" w:rsidP="00863110">
      <w:pPr>
        <w:spacing w:after="0" w:line="240" w:lineRule="auto"/>
        <w:jc w:val="both"/>
        <w:rPr>
          <w:rFonts w:ascii="Tahoma" w:hAnsi="Tahoma" w:cs="Tahoma"/>
          <w:sz w:val="20"/>
          <w:szCs w:val="20"/>
        </w:rPr>
      </w:pPr>
    </w:p>
    <w:p w:rsidR="00E43F6A" w:rsidRDefault="00E43F6A" w:rsidP="00863110">
      <w:pPr>
        <w:spacing w:after="0" w:line="240" w:lineRule="auto"/>
        <w:jc w:val="both"/>
        <w:rPr>
          <w:rFonts w:ascii="Tahoma" w:hAnsi="Tahoma" w:cs="Tahoma"/>
          <w:sz w:val="20"/>
          <w:szCs w:val="20"/>
        </w:rPr>
      </w:pPr>
      <w:r>
        <w:rPr>
          <w:rFonts w:ascii="Tahoma" w:hAnsi="Tahoma" w:cs="Tahoma"/>
          <w:sz w:val="20"/>
          <w:szCs w:val="20"/>
        </w:rPr>
        <w:t>Plus particulièrement, concernant les demandeurs d’asile, il est à relever que le gouvernement français, comme les autres pays de l’Union européenne, dans une moindre mesure pour certains d’entre eux, pratique une politique extraordinairement restrictive à l’égard de ceux-ci.</w:t>
      </w:r>
    </w:p>
    <w:p w:rsidR="00E43F6A" w:rsidRDefault="00E43F6A" w:rsidP="00863110">
      <w:pPr>
        <w:spacing w:after="0" w:line="240" w:lineRule="auto"/>
        <w:jc w:val="both"/>
        <w:rPr>
          <w:rFonts w:ascii="Tahoma" w:hAnsi="Tahoma" w:cs="Tahoma"/>
          <w:sz w:val="20"/>
          <w:szCs w:val="20"/>
        </w:rPr>
      </w:pPr>
    </w:p>
    <w:p w:rsidR="00E43F6A" w:rsidRDefault="00E43F6A" w:rsidP="00863110">
      <w:pPr>
        <w:spacing w:after="0" w:line="240" w:lineRule="auto"/>
        <w:jc w:val="both"/>
        <w:rPr>
          <w:rFonts w:ascii="Tahoma" w:hAnsi="Tahoma" w:cs="Tahoma"/>
          <w:sz w:val="20"/>
          <w:szCs w:val="20"/>
        </w:rPr>
      </w:pPr>
      <w:r>
        <w:rPr>
          <w:rFonts w:ascii="Tahoma" w:hAnsi="Tahoma" w:cs="Tahoma"/>
          <w:sz w:val="20"/>
          <w:szCs w:val="20"/>
        </w:rPr>
        <w:t>Alors que le taux de reconnaissance du statut de réfugié au sens de la Convention de Genève de 1951 ne dépasse pas 28% en 2014 et que les demandes d’asile ont été de 45 454 la même année, le gouvernement français prétend que la France ne peut faire davantage. Le nombre de migrants que la Commission européenne a demandé à la France d’accueillir, soit 9127 personnes, est à mettre en rapport avec la population française, soit 66 317 994 habitants.</w:t>
      </w:r>
    </w:p>
    <w:p w:rsidR="00E43F6A" w:rsidRDefault="00E43F6A" w:rsidP="00863110">
      <w:pPr>
        <w:spacing w:after="0" w:line="240" w:lineRule="auto"/>
        <w:jc w:val="both"/>
        <w:rPr>
          <w:rFonts w:ascii="Tahoma" w:hAnsi="Tahoma" w:cs="Tahoma"/>
          <w:sz w:val="20"/>
          <w:szCs w:val="20"/>
        </w:rPr>
      </w:pPr>
    </w:p>
    <w:p w:rsidR="00CE2CDC" w:rsidRDefault="00E43F6A" w:rsidP="00863110">
      <w:pPr>
        <w:spacing w:after="0" w:line="240" w:lineRule="auto"/>
        <w:jc w:val="both"/>
        <w:rPr>
          <w:rFonts w:ascii="Tahoma" w:hAnsi="Tahoma" w:cs="Tahoma"/>
          <w:sz w:val="20"/>
          <w:szCs w:val="20"/>
        </w:rPr>
      </w:pPr>
      <w:r>
        <w:rPr>
          <w:rFonts w:ascii="Tahoma" w:hAnsi="Tahoma" w:cs="Tahoma"/>
          <w:sz w:val="20"/>
          <w:szCs w:val="20"/>
        </w:rPr>
        <w:t>En fait, le gouvernement français a décidé</w:t>
      </w:r>
      <w:r w:rsidR="00CE2CDC">
        <w:rPr>
          <w:rFonts w:ascii="Tahoma" w:hAnsi="Tahoma" w:cs="Tahoma"/>
          <w:sz w:val="20"/>
          <w:szCs w:val="20"/>
        </w:rPr>
        <w:t>, pour des raisons de politique intérieure, de fermer un peu plus ses frontières aux demandeurs d’asile en violation de ses engagements internationaux, prenant sciemment le risque, malheureusement avéré, de laisser mourir les réfugiés en méditerranée.</w:t>
      </w:r>
    </w:p>
    <w:p w:rsidR="00CE2CDC" w:rsidRDefault="00CE2CDC" w:rsidP="00863110">
      <w:pPr>
        <w:spacing w:after="0" w:line="240" w:lineRule="auto"/>
        <w:jc w:val="both"/>
        <w:rPr>
          <w:rFonts w:ascii="Tahoma" w:hAnsi="Tahoma" w:cs="Tahoma"/>
          <w:sz w:val="20"/>
          <w:szCs w:val="20"/>
        </w:rPr>
      </w:pPr>
    </w:p>
    <w:p w:rsidR="00CE2CDC" w:rsidRDefault="00CE2CDC" w:rsidP="00863110">
      <w:pPr>
        <w:spacing w:after="0" w:line="240" w:lineRule="auto"/>
        <w:jc w:val="both"/>
        <w:rPr>
          <w:rFonts w:ascii="Tahoma" w:hAnsi="Tahoma" w:cs="Tahoma"/>
          <w:sz w:val="20"/>
          <w:szCs w:val="20"/>
        </w:rPr>
      </w:pPr>
      <w:r>
        <w:rPr>
          <w:rFonts w:ascii="Tahoma" w:hAnsi="Tahoma" w:cs="Tahoma"/>
          <w:sz w:val="20"/>
          <w:szCs w:val="20"/>
        </w:rPr>
        <w:t>Si la responsabilité du gouvernement français n’est pas ici seule en cause puisque tous les pays membres de l’Union européenne pratiquent, à des niveaux certes différents, la même politique, c’est bien l’affirmation d’une « France terre d’asile » qui est ainsi démenti.</w:t>
      </w:r>
    </w:p>
    <w:p w:rsidR="00CE2CDC" w:rsidRDefault="00CE2CDC" w:rsidP="00863110">
      <w:pPr>
        <w:spacing w:after="0" w:line="240" w:lineRule="auto"/>
        <w:jc w:val="both"/>
        <w:rPr>
          <w:rFonts w:ascii="Tahoma" w:hAnsi="Tahoma" w:cs="Tahoma"/>
          <w:sz w:val="20"/>
          <w:szCs w:val="20"/>
        </w:rPr>
      </w:pPr>
    </w:p>
    <w:p w:rsidR="00F942B7" w:rsidRDefault="00CE2CDC" w:rsidP="00863110">
      <w:pPr>
        <w:spacing w:after="0" w:line="240" w:lineRule="auto"/>
        <w:jc w:val="both"/>
        <w:rPr>
          <w:rFonts w:ascii="Tahoma" w:hAnsi="Tahoma" w:cs="Tahoma"/>
          <w:sz w:val="20"/>
          <w:szCs w:val="20"/>
        </w:rPr>
      </w:pPr>
      <w:r>
        <w:rPr>
          <w:rFonts w:ascii="Tahoma" w:hAnsi="Tahoma" w:cs="Tahoma"/>
          <w:sz w:val="20"/>
          <w:szCs w:val="20"/>
        </w:rPr>
        <w:t>Pour ces raisons, la Ligue des droits de l’Homme demande aux autorités françaises d’appliquer pleinement ses engagements internationaux en faveur du droit d’asile et d’agir dans le même sens au sein de l’Union européenne.</w:t>
      </w:r>
      <w:r w:rsidR="00F942B7">
        <w:rPr>
          <w:rFonts w:ascii="Tahoma" w:hAnsi="Tahoma" w:cs="Tahoma"/>
          <w:sz w:val="20"/>
          <w:szCs w:val="20"/>
        </w:rPr>
        <w:br w:type="page"/>
      </w:r>
    </w:p>
    <w:p w:rsidR="00835365" w:rsidRPr="006102C4" w:rsidRDefault="00B77021" w:rsidP="006E2911">
      <w:pPr>
        <w:pStyle w:val="Titre1"/>
        <w:shd w:val="clear" w:color="auto" w:fill="BFBFBF" w:themeFill="background1" w:themeFillShade="BF"/>
        <w:jc w:val="both"/>
        <w:rPr>
          <w:rFonts w:ascii="Arial" w:hAnsi="Arial" w:cs="Arial"/>
          <w:smallCaps/>
          <w:color w:val="auto"/>
          <w:sz w:val="20"/>
          <w:szCs w:val="20"/>
        </w:rPr>
      </w:pPr>
      <w:bookmarkStart w:id="1" w:name="_Toc420924105"/>
      <w:r>
        <w:rPr>
          <w:rFonts w:ascii="Arial" w:hAnsi="Arial" w:cs="Arial"/>
          <w:smallCaps/>
          <w:color w:val="auto"/>
          <w:sz w:val="20"/>
          <w:szCs w:val="20"/>
        </w:rPr>
        <w:lastRenderedPageBreak/>
        <w:t xml:space="preserve">non-discrimination, </w:t>
      </w:r>
      <w:r w:rsidR="006102C4" w:rsidRPr="006102C4">
        <w:rPr>
          <w:rFonts w:ascii="Arial" w:hAnsi="Arial" w:cs="Arial"/>
          <w:smallCaps/>
          <w:color w:val="auto"/>
          <w:sz w:val="20"/>
          <w:szCs w:val="20"/>
        </w:rPr>
        <w:t xml:space="preserve">égalité </w:t>
      </w:r>
      <w:r>
        <w:rPr>
          <w:rFonts w:ascii="Arial" w:hAnsi="Arial" w:cs="Arial"/>
          <w:smallCaps/>
          <w:color w:val="auto"/>
          <w:sz w:val="20"/>
          <w:szCs w:val="20"/>
        </w:rPr>
        <w:t xml:space="preserve">entre femmes et </w:t>
      </w:r>
      <w:r w:rsidR="006102C4" w:rsidRPr="006102C4">
        <w:rPr>
          <w:rFonts w:ascii="Arial" w:hAnsi="Arial" w:cs="Arial"/>
          <w:smallCaps/>
          <w:color w:val="auto"/>
          <w:sz w:val="20"/>
          <w:szCs w:val="20"/>
        </w:rPr>
        <w:t>hommes</w:t>
      </w:r>
      <w:bookmarkEnd w:id="1"/>
    </w:p>
    <w:p w:rsidR="006E2911" w:rsidRDefault="006E2911" w:rsidP="00835365">
      <w:pPr>
        <w:spacing w:after="0" w:line="240" w:lineRule="auto"/>
        <w:jc w:val="both"/>
        <w:rPr>
          <w:rFonts w:ascii="Arial" w:hAnsi="Arial" w:cs="Arial"/>
          <w:sz w:val="20"/>
          <w:szCs w:val="20"/>
        </w:rPr>
      </w:pPr>
    </w:p>
    <w:p w:rsidR="00B77021" w:rsidRDefault="00B77021" w:rsidP="00835365">
      <w:pPr>
        <w:spacing w:after="0" w:line="240" w:lineRule="auto"/>
        <w:jc w:val="both"/>
        <w:rPr>
          <w:rFonts w:ascii="Arial" w:hAnsi="Arial" w:cs="Arial"/>
          <w:sz w:val="20"/>
          <w:szCs w:val="20"/>
        </w:rPr>
      </w:pPr>
    </w:p>
    <w:p w:rsidR="00885564" w:rsidRPr="003D3D4B" w:rsidRDefault="00B77021" w:rsidP="00FB6C71">
      <w:pPr>
        <w:pStyle w:val="Titre2"/>
        <w:numPr>
          <w:ilvl w:val="0"/>
          <w:numId w:val="14"/>
        </w:numPr>
        <w:spacing w:before="0" w:line="240" w:lineRule="auto"/>
        <w:jc w:val="both"/>
        <w:rPr>
          <w:rFonts w:ascii="Arial" w:hAnsi="Arial" w:cs="Arial"/>
          <w:b w:val="0"/>
          <w:color w:val="auto"/>
          <w:sz w:val="20"/>
          <w:szCs w:val="20"/>
          <w:u w:val="single"/>
        </w:rPr>
      </w:pPr>
      <w:bookmarkStart w:id="2" w:name="_Toc420924106"/>
      <w:r w:rsidRPr="003D3D4B">
        <w:rPr>
          <w:rFonts w:ascii="Arial" w:hAnsi="Arial" w:cs="Arial"/>
          <w:b w:val="0"/>
          <w:color w:val="auto"/>
          <w:sz w:val="20"/>
          <w:szCs w:val="20"/>
          <w:u w:val="single"/>
        </w:rPr>
        <w:t>Egalité femmes-hommes</w:t>
      </w:r>
      <w:bookmarkEnd w:id="2"/>
    </w:p>
    <w:p w:rsidR="00B77021" w:rsidRPr="00B77021" w:rsidRDefault="00B77021" w:rsidP="00B77021">
      <w:pPr>
        <w:spacing w:after="0" w:line="240" w:lineRule="auto"/>
        <w:jc w:val="both"/>
        <w:rPr>
          <w:rFonts w:ascii="Arial" w:hAnsi="Arial" w:cs="Arial"/>
          <w:sz w:val="20"/>
          <w:szCs w:val="20"/>
        </w:rPr>
      </w:pPr>
    </w:p>
    <w:p w:rsidR="00885564" w:rsidRPr="00B77021" w:rsidRDefault="00885564" w:rsidP="00835365">
      <w:pPr>
        <w:spacing w:after="0" w:line="240" w:lineRule="auto"/>
        <w:jc w:val="both"/>
        <w:rPr>
          <w:rFonts w:ascii="Arial" w:hAnsi="Arial" w:cs="Arial"/>
          <w:b/>
          <w:sz w:val="20"/>
          <w:szCs w:val="20"/>
        </w:rPr>
      </w:pPr>
      <w:r w:rsidRPr="00B77021">
        <w:rPr>
          <w:rFonts w:ascii="Arial" w:hAnsi="Arial" w:cs="Arial"/>
          <w:b/>
          <w:sz w:val="20"/>
          <w:szCs w:val="20"/>
        </w:rPr>
        <w:t>La représentation des femmes dans le secteur de l’emploi</w:t>
      </w:r>
    </w:p>
    <w:p w:rsidR="00885564" w:rsidRPr="006E2911" w:rsidRDefault="00885564" w:rsidP="00835365">
      <w:pPr>
        <w:spacing w:after="0" w:line="240" w:lineRule="auto"/>
        <w:jc w:val="both"/>
        <w:rPr>
          <w:rFonts w:ascii="Arial" w:hAnsi="Arial" w:cs="Arial"/>
          <w:sz w:val="20"/>
          <w:szCs w:val="20"/>
        </w:rPr>
      </w:pPr>
    </w:p>
    <w:p w:rsidR="00835365" w:rsidRPr="006433AA" w:rsidRDefault="006433AA" w:rsidP="006433AA">
      <w:pPr>
        <w:spacing w:after="0" w:line="240" w:lineRule="auto"/>
        <w:jc w:val="both"/>
        <w:rPr>
          <w:rFonts w:ascii="Arial" w:hAnsi="Arial" w:cs="Arial"/>
          <w:sz w:val="20"/>
          <w:szCs w:val="20"/>
        </w:rPr>
      </w:pPr>
      <w:r w:rsidRPr="006433AA">
        <w:rPr>
          <w:rFonts w:ascii="Arial" w:hAnsi="Arial" w:cs="Arial"/>
          <w:b/>
          <w:sz w:val="16"/>
          <w:szCs w:val="16"/>
        </w:rPr>
        <w:t>1</w:t>
      </w:r>
      <w:r>
        <w:rPr>
          <w:rFonts w:ascii="Arial" w:hAnsi="Arial" w:cs="Arial"/>
          <w:sz w:val="20"/>
          <w:szCs w:val="20"/>
        </w:rPr>
        <w:t xml:space="preserve">. </w:t>
      </w:r>
      <w:r w:rsidR="00835365" w:rsidRPr="006433AA">
        <w:rPr>
          <w:rFonts w:ascii="Arial" w:hAnsi="Arial" w:cs="Arial"/>
          <w:sz w:val="20"/>
          <w:szCs w:val="20"/>
        </w:rPr>
        <w:t xml:space="preserve">Votre Comité, </w:t>
      </w:r>
      <w:r w:rsidR="006E2911" w:rsidRPr="006433AA">
        <w:rPr>
          <w:rFonts w:ascii="Arial" w:hAnsi="Arial" w:cs="Arial"/>
          <w:sz w:val="20"/>
          <w:szCs w:val="20"/>
        </w:rPr>
        <w:t xml:space="preserve">lors de ses </w:t>
      </w:r>
      <w:r w:rsidR="006102C4" w:rsidRPr="006433AA">
        <w:rPr>
          <w:rFonts w:ascii="Arial" w:hAnsi="Arial" w:cs="Arial"/>
          <w:sz w:val="20"/>
          <w:szCs w:val="20"/>
        </w:rPr>
        <w:t>observation</w:t>
      </w:r>
      <w:r w:rsidR="00F82DDD" w:rsidRPr="006433AA">
        <w:rPr>
          <w:rFonts w:ascii="Arial" w:hAnsi="Arial" w:cs="Arial"/>
          <w:sz w:val="20"/>
          <w:szCs w:val="20"/>
        </w:rPr>
        <w:t>s finales du 22 juillet 2008</w:t>
      </w:r>
      <w:r w:rsidR="006E2911" w:rsidRPr="006433AA">
        <w:rPr>
          <w:rFonts w:ascii="Arial" w:hAnsi="Arial" w:cs="Arial"/>
          <w:sz w:val="20"/>
          <w:szCs w:val="20"/>
        </w:rPr>
        <w:t xml:space="preserve"> </w:t>
      </w:r>
      <w:r w:rsidR="00835365" w:rsidRPr="006433AA">
        <w:rPr>
          <w:rFonts w:ascii="Arial" w:hAnsi="Arial" w:cs="Arial"/>
          <w:sz w:val="20"/>
          <w:szCs w:val="20"/>
        </w:rPr>
        <w:t xml:space="preserve">au paragraphe 13, </w:t>
      </w:r>
      <w:r w:rsidR="006102C4" w:rsidRPr="006433AA">
        <w:rPr>
          <w:rFonts w:ascii="Arial" w:hAnsi="Arial" w:cs="Arial"/>
          <w:sz w:val="20"/>
          <w:szCs w:val="20"/>
        </w:rPr>
        <w:t>recomman</w:t>
      </w:r>
      <w:r w:rsidR="000A34FF" w:rsidRPr="006433AA">
        <w:rPr>
          <w:rFonts w:ascii="Arial" w:hAnsi="Arial" w:cs="Arial"/>
          <w:sz w:val="20"/>
          <w:szCs w:val="20"/>
        </w:rPr>
        <w:t xml:space="preserve">dait aux autorités françaises </w:t>
      </w:r>
      <w:r w:rsidR="00835365" w:rsidRPr="006433AA">
        <w:rPr>
          <w:rFonts w:ascii="Arial" w:hAnsi="Arial" w:cs="Arial"/>
          <w:sz w:val="20"/>
          <w:szCs w:val="20"/>
        </w:rPr>
        <w:t>un accroissement de la représentation des femmes dans le secteur de l’emploi privé et public.</w:t>
      </w:r>
      <w:r w:rsidR="006E2911" w:rsidRPr="006433AA">
        <w:rPr>
          <w:rFonts w:ascii="Arial" w:hAnsi="Arial" w:cs="Arial"/>
          <w:sz w:val="20"/>
          <w:szCs w:val="20"/>
        </w:rPr>
        <w:t xml:space="preserve"> Cette question a été reprise dans la liste des points à traiter concernant le 5</w:t>
      </w:r>
      <w:r w:rsidR="006E2911" w:rsidRPr="006433AA">
        <w:rPr>
          <w:rFonts w:ascii="Arial" w:hAnsi="Arial" w:cs="Arial"/>
          <w:sz w:val="20"/>
          <w:szCs w:val="20"/>
          <w:vertAlign w:val="superscript"/>
        </w:rPr>
        <w:t>ème</w:t>
      </w:r>
      <w:r w:rsidR="006E2911" w:rsidRPr="006433AA">
        <w:rPr>
          <w:rFonts w:ascii="Arial" w:hAnsi="Arial" w:cs="Arial"/>
          <w:sz w:val="20"/>
          <w:szCs w:val="20"/>
        </w:rPr>
        <w:t xml:space="preserve"> rapport périodique de la France, </w:t>
      </w:r>
      <w:r w:rsidR="00F82DDD" w:rsidRPr="006433AA">
        <w:rPr>
          <w:rFonts w:ascii="Arial" w:hAnsi="Arial" w:cs="Arial"/>
          <w:sz w:val="20"/>
          <w:szCs w:val="20"/>
        </w:rPr>
        <w:t xml:space="preserve">que vous avez </w:t>
      </w:r>
      <w:r w:rsidR="006E2911" w:rsidRPr="006433AA">
        <w:rPr>
          <w:rFonts w:ascii="Arial" w:hAnsi="Arial" w:cs="Arial"/>
          <w:sz w:val="20"/>
          <w:szCs w:val="20"/>
        </w:rPr>
        <w:t>adopté</w:t>
      </w:r>
      <w:r w:rsidR="000A34FF" w:rsidRPr="006433AA">
        <w:rPr>
          <w:rFonts w:ascii="Arial" w:hAnsi="Arial" w:cs="Arial"/>
          <w:sz w:val="20"/>
          <w:szCs w:val="20"/>
        </w:rPr>
        <w:t>e</w:t>
      </w:r>
      <w:r w:rsidR="006E2911" w:rsidRPr="006433AA">
        <w:rPr>
          <w:rFonts w:ascii="Arial" w:hAnsi="Arial" w:cs="Arial"/>
          <w:sz w:val="20"/>
          <w:szCs w:val="20"/>
        </w:rPr>
        <w:t xml:space="preserve"> </w:t>
      </w:r>
      <w:r w:rsidR="000A34FF" w:rsidRPr="006433AA">
        <w:rPr>
          <w:rFonts w:ascii="Arial" w:hAnsi="Arial" w:cs="Arial"/>
          <w:sz w:val="20"/>
          <w:szCs w:val="20"/>
        </w:rPr>
        <w:t>au cours de votre 111</w:t>
      </w:r>
      <w:r w:rsidR="000A34FF" w:rsidRPr="006433AA">
        <w:rPr>
          <w:rFonts w:ascii="Arial" w:hAnsi="Arial" w:cs="Arial"/>
          <w:sz w:val="20"/>
          <w:szCs w:val="20"/>
          <w:vertAlign w:val="superscript"/>
        </w:rPr>
        <w:t>ème</w:t>
      </w:r>
      <w:r w:rsidR="000A34FF" w:rsidRPr="006433AA">
        <w:rPr>
          <w:rFonts w:ascii="Arial" w:hAnsi="Arial" w:cs="Arial"/>
          <w:sz w:val="20"/>
          <w:szCs w:val="20"/>
        </w:rPr>
        <w:t xml:space="preserve"> session (7 juillet-25 juillet 2014).</w:t>
      </w:r>
    </w:p>
    <w:p w:rsidR="00835365" w:rsidRPr="006E2911" w:rsidRDefault="00835365" w:rsidP="00835365">
      <w:pPr>
        <w:spacing w:after="0" w:line="240" w:lineRule="auto"/>
        <w:jc w:val="both"/>
        <w:rPr>
          <w:rFonts w:ascii="Arial" w:hAnsi="Arial" w:cs="Arial"/>
          <w:sz w:val="20"/>
          <w:szCs w:val="20"/>
        </w:rPr>
      </w:pPr>
    </w:p>
    <w:p w:rsidR="00835365" w:rsidRDefault="006433AA" w:rsidP="00835365">
      <w:pPr>
        <w:spacing w:after="0" w:line="240" w:lineRule="auto"/>
        <w:jc w:val="both"/>
        <w:rPr>
          <w:rFonts w:ascii="Arial" w:hAnsi="Arial" w:cs="Arial"/>
          <w:sz w:val="20"/>
          <w:szCs w:val="20"/>
        </w:rPr>
      </w:pPr>
      <w:r w:rsidRPr="006433AA">
        <w:rPr>
          <w:rFonts w:ascii="Arial" w:hAnsi="Arial" w:cs="Arial"/>
          <w:b/>
          <w:sz w:val="16"/>
          <w:szCs w:val="16"/>
        </w:rPr>
        <w:t>2</w:t>
      </w:r>
      <w:r>
        <w:rPr>
          <w:rFonts w:ascii="Arial" w:hAnsi="Arial" w:cs="Arial"/>
          <w:sz w:val="20"/>
          <w:szCs w:val="20"/>
        </w:rPr>
        <w:t xml:space="preserve">. </w:t>
      </w:r>
      <w:r w:rsidR="00835365" w:rsidRPr="006E2911">
        <w:rPr>
          <w:rFonts w:ascii="Arial" w:hAnsi="Arial" w:cs="Arial"/>
          <w:sz w:val="20"/>
          <w:szCs w:val="20"/>
        </w:rPr>
        <w:t xml:space="preserve">Dans le </w:t>
      </w:r>
      <w:r w:rsidR="006102C4">
        <w:rPr>
          <w:rFonts w:ascii="Arial" w:hAnsi="Arial" w:cs="Arial"/>
          <w:sz w:val="20"/>
          <w:szCs w:val="20"/>
        </w:rPr>
        <w:t>5</w:t>
      </w:r>
      <w:r w:rsidR="006102C4" w:rsidRPr="006102C4">
        <w:rPr>
          <w:rFonts w:ascii="Arial" w:hAnsi="Arial" w:cs="Arial"/>
          <w:sz w:val="20"/>
          <w:szCs w:val="20"/>
          <w:vertAlign w:val="superscript"/>
        </w:rPr>
        <w:t>ème</w:t>
      </w:r>
      <w:r w:rsidR="006102C4">
        <w:rPr>
          <w:rFonts w:ascii="Arial" w:hAnsi="Arial" w:cs="Arial"/>
          <w:sz w:val="20"/>
          <w:szCs w:val="20"/>
        </w:rPr>
        <w:t xml:space="preserve"> </w:t>
      </w:r>
      <w:r w:rsidR="00835365" w:rsidRPr="006E2911">
        <w:rPr>
          <w:rFonts w:ascii="Arial" w:hAnsi="Arial" w:cs="Arial"/>
          <w:sz w:val="20"/>
          <w:szCs w:val="20"/>
        </w:rPr>
        <w:t>rapport périodique, à partir du point 95, le</w:t>
      </w:r>
      <w:r w:rsidR="006102C4">
        <w:rPr>
          <w:rFonts w:ascii="Arial" w:hAnsi="Arial" w:cs="Arial"/>
          <w:sz w:val="20"/>
          <w:szCs w:val="20"/>
        </w:rPr>
        <w:t>s</w:t>
      </w:r>
      <w:r w:rsidR="00835365" w:rsidRPr="006E2911">
        <w:rPr>
          <w:rFonts w:ascii="Arial" w:hAnsi="Arial" w:cs="Arial"/>
          <w:sz w:val="20"/>
          <w:szCs w:val="20"/>
        </w:rPr>
        <w:t xml:space="preserve"> </w:t>
      </w:r>
      <w:r w:rsidR="006102C4">
        <w:rPr>
          <w:rFonts w:ascii="Arial" w:hAnsi="Arial" w:cs="Arial"/>
          <w:sz w:val="20"/>
          <w:szCs w:val="20"/>
        </w:rPr>
        <w:t>autorités</w:t>
      </w:r>
      <w:r w:rsidR="00835365" w:rsidRPr="006E2911">
        <w:rPr>
          <w:rFonts w:ascii="Arial" w:hAnsi="Arial" w:cs="Arial"/>
          <w:sz w:val="20"/>
          <w:szCs w:val="20"/>
        </w:rPr>
        <w:t xml:space="preserve"> français</w:t>
      </w:r>
      <w:r w:rsidR="006102C4">
        <w:rPr>
          <w:rFonts w:ascii="Arial" w:hAnsi="Arial" w:cs="Arial"/>
          <w:sz w:val="20"/>
          <w:szCs w:val="20"/>
        </w:rPr>
        <w:t>es</w:t>
      </w:r>
      <w:r w:rsidR="00835365" w:rsidRPr="006E2911">
        <w:rPr>
          <w:rFonts w:ascii="Arial" w:hAnsi="Arial" w:cs="Arial"/>
          <w:sz w:val="20"/>
          <w:szCs w:val="20"/>
        </w:rPr>
        <w:t xml:space="preserve"> dresse</w:t>
      </w:r>
      <w:r w:rsidR="006102C4">
        <w:rPr>
          <w:rFonts w:ascii="Arial" w:hAnsi="Arial" w:cs="Arial"/>
          <w:sz w:val="20"/>
          <w:szCs w:val="20"/>
        </w:rPr>
        <w:t>nt</w:t>
      </w:r>
      <w:r w:rsidR="00835365" w:rsidRPr="006E2911">
        <w:rPr>
          <w:rFonts w:ascii="Arial" w:hAnsi="Arial" w:cs="Arial"/>
          <w:sz w:val="20"/>
          <w:szCs w:val="20"/>
        </w:rPr>
        <w:t xml:space="preserve"> </w:t>
      </w:r>
      <w:r w:rsidR="006E2911" w:rsidRPr="006E2911">
        <w:rPr>
          <w:rFonts w:ascii="Arial" w:hAnsi="Arial" w:cs="Arial"/>
          <w:sz w:val="20"/>
          <w:szCs w:val="20"/>
        </w:rPr>
        <w:t>le</w:t>
      </w:r>
      <w:r w:rsidR="00835365" w:rsidRPr="006E2911">
        <w:rPr>
          <w:rFonts w:ascii="Arial" w:hAnsi="Arial" w:cs="Arial"/>
          <w:sz w:val="20"/>
          <w:szCs w:val="20"/>
        </w:rPr>
        <w:t xml:space="preserve"> constat de ce difficile équilibre de la représentation des femmes. </w:t>
      </w:r>
      <w:r w:rsidR="006102C4">
        <w:rPr>
          <w:rFonts w:ascii="Arial" w:hAnsi="Arial" w:cs="Arial"/>
          <w:sz w:val="20"/>
          <w:szCs w:val="20"/>
        </w:rPr>
        <w:t>Puis, d</w:t>
      </w:r>
      <w:r w:rsidR="000A34FF">
        <w:rPr>
          <w:rFonts w:ascii="Arial" w:hAnsi="Arial" w:cs="Arial"/>
          <w:sz w:val="20"/>
          <w:szCs w:val="20"/>
        </w:rPr>
        <w:t>u paragraphe 96 au paragraphe 172, l’Etat partie invoque les différentes mesures législatives ou administratives engagées pour renforcer l’égalité entre les femmes et les hommes.</w:t>
      </w:r>
      <w:r w:rsidR="006102C4">
        <w:rPr>
          <w:rFonts w:ascii="Arial" w:hAnsi="Arial" w:cs="Arial"/>
          <w:sz w:val="20"/>
          <w:szCs w:val="20"/>
        </w:rPr>
        <w:t xml:space="preserve"> Aux références données, il faut ajouter la convention interministérielle pour l’égalité entre les filles et les garçons, les femmes et les hommes dans le système éducatif pour 2013-2018, ainsi que la loi du 4 août 2014 « </w:t>
      </w:r>
      <w:r w:rsidR="006102C4" w:rsidRPr="006102C4">
        <w:rPr>
          <w:rFonts w:ascii="Arial" w:hAnsi="Arial" w:cs="Arial"/>
          <w:i/>
          <w:sz w:val="20"/>
          <w:szCs w:val="20"/>
        </w:rPr>
        <w:t>pour l’égalité réelle entre les femmes et les hommes </w:t>
      </w:r>
      <w:r w:rsidR="006102C4">
        <w:rPr>
          <w:rFonts w:ascii="Arial" w:hAnsi="Arial" w:cs="Arial"/>
          <w:sz w:val="20"/>
          <w:szCs w:val="20"/>
        </w:rPr>
        <w:t>», dont un certain nombre ont été adoptées, notamment en matière d’emploi et de rémunération.</w:t>
      </w:r>
    </w:p>
    <w:p w:rsidR="006102C4" w:rsidRDefault="006102C4" w:rsidP="00835365">
      <w:pPr>
        <w:spacing w:after="0" w:line="240" w:lineRule="auto"/>
        <w:jc w:val="both"/>
        <w:rPr>
          <w:rFonts w:ascii="Arial" w:hAnsi="Arial" w:cs="Arial"/>
          <w:sz w:val="20"/>
          <w:szCs w:val="20"/>
        </w:rPr>
      </w:pPr>
    </w:p>
    <w:p w:rsidR="00261981" w:rsidRDefault="006433AA" w:rsidP="00835365">
      <w:pPr>
        <w:spacing w:after="0" w:line="240" w:lineRule="auto"/>
        <w:jc w:val="both"/>
        <w:rPr>
          <w:rFonts w:ascii="Arial" w:hAnsi="Arial" w:cs="Arial"/>
          <w:sz w:val="20"/>
          <w:szCs w:val="20"/>
        </w:rPr>
      </w:pPr>
      <w:r w:rsidRPr="006433AA">
        <w:rPr>
          <w:rFonts w:ascii="Arial" w:hAnsi="Arial" w:cs="Arial"/>
          <w:b/>
          <w:sz w:val="16"/>
          <w:szCs w:val="16"/>
        </w:rPr>
        <w:t>3</w:t>
      </w:r>
      <w:r>
        <w:rPr>
          <w:rFonts w:ascii="Arial" w:hAnsi="Arial" w:cs="Arial"/>
          <w:sz w:val="20"/>
          <w:szCs w:val="20"/>
        </w:rPr>
        <w:t xml:space="preserve">. </w:t>
      </w:r>
      <w:r w:rsidR="006102C4">
        <w:rPr>
          <w:rFonts w:ascii="Arial" w:hAnsi="Arial" w:cs="Arial"/>
          <w:sz w:val="20"/>
          <w:szCs w:val="20"/>
        </w:rPr>
        <w:t xml:space="preserve">Si les autorités françaises ne manquent pas de décliner les textes adoptés, il n’en demeure pas moins que le constat de la France est sans appel : la situation des inégalités entre femmes et hommes reste forte. Le secteur public est le premier concerné. Ainsi, l’actuel gouvernement </w:t>
      </w:r>
      <w:r w:rsidR="00D85AC6">
        <w:rPr>
          <w:rFonts w:ascii="Arial" w:hAnsi="Arial" w:cs="Arial"/>
          <w:sz w:val="20"/>
          <w:szCs w:val="20"/>
        </w:rPr>
        <w:t>est composé à parité de 8 femmes et 8 hommes mais seule une femme est à la tête d’un ministère régalien, en l’espèce le ministère de la Justice.</w:t>
      </w:r>
    </w:p>
    <w:p w:rsidR="00261981" w:rsidRDefault="00261981" w:rsidP="00835365">
      <w:pPr>
        <w:spacing w:after="0" w:line="240" w:lineRule="auto"/>
        <w:jc w:val="both"/>
        <w:rPr>
          <w:rFonts w:ascii="Arial" w:hAnsi="Arial" w:cs="Arial"/>
          <w:sz w:val="20"/>
          <w:szCs w:val="20"/>
        </w:rPr>
      </w:pPr>
    </w:p>
    <w:p w:rsidR="006102C4" w:rsidRDefault="006433AA" w:rsidP="00835365">
      <w:pPr>
        <w:spacing w:after="0" w:line="240" w:lineRule="auto"/>
        <w:jc w:val="both"/>
        <w:rPr>
          <w:rFonts w:ascii="Arial" w:hAnsi="Arial" w:cs="Arial"/>
          <w:sz w:val="20"/>
          <w:szCs w:val="20"/>
        </w:rPr>
      </w:pPr>
      <w:r w:rsidRPr="006433AA">
        <w:rPr>
          <w:rFonts w:ascii="Arial" w:hAnsi="Arial" w:cs="Arial"/>
          <w:b/>
          <w:sz w:val="16"/>
          <w:szCs w:val="16"/>
        </w:rPr>
        <w:t>4</w:t>
      </w:r>
      <w:r>
        <w:rPr>
          <w:rFonts w:ascii="Arial" w:hAnsi="Arial" w:cs="Arial"/>
          <w:sz w:val="20"/>
          <w:szCs w:val="20"/>
        </w:rPr>
        <w:t xml:space="preserve">. </w:t>
      </w:r>
      <w:r w:rsidR="00261981">
        <w:rPr>
          <w:rFonts w:ascii="Arial" w:hAnsi="Arial" w:cs="Arial"/>
          <w:sz w:val="20"/>
          <w:szCs w:val="20"/>
        </w:rPr>
        <w:t>De même, la loi du 17 mai 2013</w:t>
      </w:r>
      <w:r w:rsidR="0094287B" w:rsidRPr="0094287B">
        <w:rPr>
          <w:rStyle w:val="Appelnotedebasdep"/>
          <w:rFonts w:ascii="Arial" w:hAnsi="Arial" w:cs="Arial"/>
          <w:b/>
          <w:sz w:val="18"/>
          <w:szCs w:val="18"/>
        </w:rPr>
        <w:footnoteReference w:id="1"/>
      </w:r>
      <w:r w:rsidR="00261981">
        <w:rPr>
          <w:rFonts w:ascii="Arial" w:hAnsi="Arial" w:cs="Arial"/>
          <w:sz w:val="20"/>
          <w:szCs w:val="20"/>
        </w:rPr>
        <w:t xml:space="preserve"> concernant les élections au niveau local impose, pour les élections départementales, des binômes femmes-hommes afin qu’il y ait 50% de femmes qui siègent dans les conseils départementaux (elles ne représentaient que 18% jusqu’à présent). Les 22 mars et 29 mars 2015, 98 départements ont été appelés à voter. Au terme de cette élection, seuls 8 départements se sont dotés d’une femme comme présidente du conseil départemental (Bouches-du-Rhône, Creuse, Doubs, Finistère, Lozère, Pyrénées-Orientales, Guadeloupe, La Réunion).</w:t>
      </w:r>
    </w:p>
    <w:p w:rsidR="006A4E65" w:rsidRDefault="006A4E65" w:rsidP="00835365">
      <w:pPr>
        <w:spacing w:after="0" w:line="240" w:lineRule="auto"/>
        <w:jc w:val="both"/>
        <w:rPr>
          <w:rFonts w:ascii="Arial" w:hAnsi="Arial" w:cs="Arial"/>
          <w:sz w:val="20"/>
          <w:szCs w:val="20"/>
        </w:rPr>
      </w:pPr>
    </w:p>
    <w:p w:rsidR="006A4E65" w:rsidRDefault="006433AA" w:rsidP="00835365">
      <w:pPr>
        <w:spacing w:after="0" w:line="240" w:lineRule="auto"/>
        <w:jc w:val="both"/>
        <w:rPr>
          <w:rFonts w:ascii="Arial" w:hAnsi="Arial" w:cs="Arial"/>
          <w:sz w:val="20"/>
          <w:szCs w:val="20"/>
        </w:rPr>
      </w:pPr>
      <w:r w:rsidRPr="006433AA">
        <w:rPr>
          <w:rFonts w:ascii="Arial" w:hAnsi="Arial" w:cs="Arial"/>
          <w:b/>
          <w:sz w:val="16"/>
          <w:szCs w:val="16"/>
        </w:rPr>
        <w:t>5</w:t>
      </w:r>
      <w:r>
        <w:rPr>
          <w:rFonts w:ascii="Arial" w:hAnsi="Arial" w:cs="Arial"/>
          <w:sz w:val="20"/>
          <w:szCs w:val="20"/>
        </w:rPr>
        <w:t xml:space="preserve">. </w:t>
      </w:r>
      <w:r w:rsidR="006A4E65">
        <w:rPr>
          <w:rFonts w:ascii="Arial" w:hAnsi="Arial" w:cs="Arial"/>
          <w:sz w:val="20"/>
          <w:szCs w:val="20"/>
        </w:rPr>
        <w:t>Concernant le secteur privé, la loi du 27 janvier 2011 relative à la « </w:t>
      </w:r>
      <w:r w:rsidR="006A4E65" w:rsidRPr="006A4E65">
        <w:rPr>
          <w:rFonts w:ascii="Arial" w:hAnsi="Arial" w:cs="Arial"/>
          <w:i/>
          <w:sz w:val="20"/>
          <w:szCs w:val="20"/>
        </w:rPr>
        <w:t>représentation équilibrée des femmes et des hommes au sein des conseils d’administration et de surveillance et à l’égalité professionnelle </w:t>
      </w:r>
      <w:r w:rsidR="006A4E65">
        <w:rPr>
          <w:rFonts w:ascii="Arial" w:hAnsi="Arial" w:cs="Arial"/>
          <w:sz w:val="20"/>
          <w:szCs w:val="20"/>
        </w:rPr>
        <w:t>», plus communément appelée loi Copé-Zimmermann, fixe pour objectif un quota de 20% de femmes dans les conseils d’administration et de surveillance pour le 1</w:t>
      </w:r>
      <w:r w:rsidR="006A4E65" w:rsidRPr="006A4E65">
        <w:rPr>
          <w:rFonts w:ascii="Arial" w:hAnsi="Arial" w:cs="Arial"/>
          <w:sz w:val="20"/>
          <w:szCs w:val="20"/>
          <w:vertAlign w:val="superscript"/>
        </w:rPr>
        <w:t>er</w:t>
      </w:r>
      <w:r w:rsidR="006A4E65">
        <w:rPr>
          <w:rFonts w:ascii="Arial" w:hAnsi="Arial" w:cs="Arial"/>
          <w:sz w:val="20"/>
          <w:szCs w:val="20"/>
        </w:rPr>
        <w:t xml:space="preserve"> juillet 2014, et un quota de 40% de femmes pour 2017. </w:t>
      </w:r>
      <w:r w:rsidR="009C27A3">
        <w:rPr>
          <w:rFonts w:ascii="Arial" w:hAnsi="Arial" w:cs="Arial"/>
          <w:sz w:val="20"/>
          <w:szCs w:val="20"/>
        </w:rPr>
        <w:t xml:space="preserve">A défaut, les nominations seront entachées de nullité et les jetons de présence seront suspendus. </w:t>
      </w:r>
      <w:r w:rsidR="006A4E65">
        <w:rPr>
          <w:rFonts w:ascii="Arial" w:hAnsi="Arial" w:cs="Arial"/>
          <w:sz w:val="20"/>
          <w:szCs w:val="20"/>
        </w:rPr>
        <w:t>Cette obligation s’applique aux sociétés cotées et aux sociétés employant plus de 500 salariés permanents ou présentant un chiffre d’affaire d’au moins 50 millions d’euros</w:t>
      </w:r>
      <w:r w:rsidR="009C27A3">
        <w:rPr>
          <w:rFonts w:ascii="Arial" w:hAnsi="Arial" w:cs="Arial"/>
          <w:sz w:val="20"/>
          <w:szCs w:val="20"/>
        </w:rPr>
        <w:t>.</w:t>
      </w:r>
    </w:p>
    <w:p w:rsidR="00A23E3C" w:rsidRDefault="00A23E3C" w:rsidP="00835365">
      <w:pPr>
        <w:spacing w:after="0" w:line="240" w:lineRule="auto"/>
        <w:jc w:val="both"/>
        <w:rPr>
          <w:rFonts w:ascii="Arial" w:hAnsi="Arial" w:cs="Arial"/>
          <w:sz w:val="20"/>
          <w:szCs w:val="20"/>
        </w:rPr>
      </w:pPr>
    </w:p>
    <w:p w:rsidR="00A23E3C" w:rsidRDefault="006433AA" w:rsidP="00835365">
      <w:pPr>
        <w:spacing w:after="0" w:line="240" w:lineRule="auto"/>
        <w:jc w:val="both"/>
        <w:rPr>
          <w:rFonts w:ascii="Arial" w:hAnsi="Arial" w:cs="Arial"/>
          <w:sz w:val="20"/>
          <w:szCs w:val="20"/>
        </w:rPr>
      </w:pPr>
      <w:r w:rsidRPr="006433AA">
        <w:rPr>
          <w:rFonts w:ascii="Arial" w:hAnsi="Arial" w:cs="Arial"/>
          <w:b/>
          <w:sz w:val="16"/>
          <w:szCs w:val="16"/>
        </w:rPr>
        <w:t>6</w:t>
      </w:r>
      <w:r>
        <w:rPr>
          <w:rFonts w:ascii="Arial" w:hAnsi="Arial" w:cs="Arial"/>
          <w:sz w:val="20"/>
          <w:szCs w:val="20"/>
        </w:rPr>
        <w:t xml:space="preserve">. </w:t>
      </w:r>
      <w:r w:rsidR="00A23E3C">
        <w:rPr>
          <w:rFonts w:ascii="Arial" w:hAnsi="Arial" w:cs="Arial"/>
          <w:sz w:val="20"/>
          <w:szCs w:val="20"/>
        </w:rPr>
        <w:t xml:space="preserve">Néanmoins, et au regard des éléments qui sont développés ci-après, on ne peut que s’interroger sur la pertinence de telles sanctions et de leur applicabilité au regard </w:t>
      </w:r>
      <w:r w:rsidR="00030BAC">
        <w:rPr>
          <w:rFonts w:ascii="Arial" w:hAnsi="Arial" w:cs="Arial"/>
          <w:sz w:val="20"/>
          <w:szCs w:val="20"/>
        </w:rPr>
        <w:t>du déséquilibre femmes-hommes observé dans les organes de direction des entreprises</w:t>
      </w:r>
      <w:r w:rsidR="00A23E3C">
        <w:rPr>
          <w:rFonts w:ascii="Arial" w:hAnsi="Arial" w:cs="Arial"/>
          <w:sz w:val="20"/>
          <w:szCs w:val="20"/>
        </w:rPr>
        <w:t xml:space="preserve"> entrant dans le champ d’application de la loi, particulièrement celles où l’Etat est actionnaire.</w:t>
      </w:r>
    </w:p>
    <w:p w:rsidR="006A4E65" w:rsidRDefault="006A4E65" w:rsidP="00835365">
      <w:pPr>
        <w:spacing w:after="0" w:line="240" w:lineRule="auto"/>
        <w:jc w:val="both"/>
        <w:rPr>
          <w:rFonts w:ascii="Arial" w:hAnsi="Arial" w:cs="Arial"/>
          <w:sz w:val="20"/>
          <w:szCs w:val="20"/>
        </w:rPr>
      </w:pPr>
    </w:p>
    <w:p w:rsidR="00DD0E1A" w:rsidRDefault="006433AA" w:rsidP="00835365">
      <w:pPr>
        <w:spacing w:after="0" w:line="240" w:lineRule="auto"/>
        <w:jc w:val="both"/>
        <w:rPr>
          <w:rFonts w:ascii="Arial" w:hAnsi="Arial" w:cs="Arial"/>
          <w:sz w:val="20"/>
          <w:szCs w:val="20"/>
        </w:rPr>
      </w:pPr>
      <w:r w:rsidRPr="006433AA">
        <w:rPr>
          <w:rFonts w:ascii="Arial" w:hAnsi="Arial" w:cs="Arial"/>
          <w:b/>
          <w:sz w:val="16"/>
          <w:szCs w:val="16"/>
        </w:rPr>
        <w:t>7</w:t>
      </w:r>
      <w:r>
        <w:rPr>
          <w:rFonts w:ascii="Arial" w:hAnsi="Arial" w:cs="Arial"/>
          <w:sz w:val="20"/>
          <w:szCs w:val="20"/>
        </w:rPr>
        <w:t xml:space="preserve">. </w:t>
      </w:r>
      <w:r w:rsidR="006A4E65">
        <w:rPr>
          <w:rFonts w:ascii="Arial" w:hAnsi="Arial" w:cs="Arial"/>
          <w:sz w:val="20"/>
          <w:szCs w:val="20"/>
        </w:rPr>
        <w:t xml:space="preserve">En 2012, cette obligation </w:t>
      </w:r>
      <w:r w:rsidR="00A23E3C">
        <w:rPr>
          <w:rFonts w:ascii="Arial" w:hAnsi="Arial" w:cs="Arial"/>
          <w:sz w:val="20"/>
          <w:szCs w:val="20"/>
        </w:rPr>
        <w:t xml:space="preserve">de représentation équilibrée des femmes et des hommes </w:t>
      </w:r>
      <w:r w:rsidR="006A4E65">
        <w:rPr>
          <w:rFonts w:ascii="Arial" w:hAnsi="Arial" w:cs="Arial"/>
          <w:sz w:val="20"/>
          <w:szCs w:val="20"/>
        </w:rPr>
        <w:t>a été étendue aux entreprises publiques nationales, aux établissements publics à caractère industriel et commercial</w:t>
      </w:r>
      <w:r w:rsidR="00B4095E">
        <w:rPr>
          <w:rFonts w:ascii="Arial" w:hAnsi="Arial" w:cs="Arial"/>
          <w:sz w:val="20"/>
          <w:szCs w:val="20"/>
        </w:rPr>
        <w:t xml:space="preserve"> et aux établissements mixtes de l’Etat dont le personnel e</w:t>
      </w:r>
      <w:r w:rsidR="003D7C31">
        <w:rPr>
          <w:rFonts w:ascii="Arial" w:hAnsi="Arial" w:cs="Arial"/>
          <w:sz w:val="20"/>
          <w:szCs w:val="20"/>
        </w:rPr>
        <w:t>st soumis à des règles de droit</w:t>
      </w:r>
      <w:r w:rsidR="00B4095E">
        <w:rPr>
          <w:rFonts w:ascii="Arial" w:hAnsi="Arial" w:cs="Arial"/>
          <w:sz w:val="20"/>
          <w:szCs w:val="20"/>
        </w:rPr>
        <w:t xml:space="preserve"> privé et dont les membres du conseil sont nommés par décret.</w:t>
      </w:r>
      <w:r w:rsidR="008C6614">
        <w:rPr>
          <w:rFonts w:ascii="Arial" w:hAnsi="Arial" w:cs="Arial"/>
          <w:sz w:val="20"/>
          <w:szCs w:val="20"/>
        </w:rPr>
        <w:t xml:space="preserve"> Ces entreprises et établissements sont dans l’obligation de nommer une femme lors de la promulgation de la loi, de respecter le quota de 20% lors du premier renouvellement et le quota de 40% lors du second renouvellement suivant la publication de la loi.</w:t>
      </w:r>
    </w:p>
    <w:p w:rsidR="00112A9D" w:rsidRDefault="00AE57AD" w:rsidP="00835365">
      <w:pPr>
        <w:spacing w:after="0" w:line="240" w:lineRule="auto"/>
        <w:jc w:val="both"/>
        <w:rPr>
          <w:rFonts w:ascii="Arial" w:hAnsi="Arial" w:cs="Arial"/>
          <w:sz w:val="20"/>
          <w:szCs w:val="20"/>
        </w:rPr>
      </w:pPr>
      <w:r>
        <w:rPr>
          <w:rFonts w:ascii="Arial" w:hAnsi="Arial" w:cs="Arial"/>
          <w:b/>
          <w:sz w:val="16"/>
          <w:szCs w:val="16"/>
        </w:rPr>
        <w:lastRenderedPageBreak/>
        <w:t>8</w:t>
      </w:r>
      <w:r w:rsidR="006433AA">
        <w:rPr>
          <w:rFonts w:ascii="Arial" w:hAnsi="Arial" w:cs="Arial"/>
          <w:sz w:val="20"/>
          <w:szCs w:val="20"/>
        </w:rPr>
        <w:t xml:space="preserve">. </w:t>
      </w:r>
      <w:r w:rsidR="00862719">
        <w:rPr>
          <w:rFonts w:ascii="Arial" w:hAnsi="Arial" w:cs="Arial"/>
          <w:sz w:val="20"/>
          <w:szCs w:val="20"/>
        </w:rPr>
        <w:t>De son côté, l’Agence des participations de l’Etat, dans son rapport annuel 2014</w:t>
      </w:r>
      <w:r w:rsidR="00862719" w:rsidRPr="00862719">
        <w:rPr>
          <w:rStyle w:val="Appelnotedebasdep"/>
          <w:rFonts w:ascii="Arial" w:hAnsi="Arial" w:cs="Arial"/>
          <w:b/>
          <w:sz w:val="18"/>
          <w:szCs w:val="18"/>
        </w:rPr>
        <w:footnoteReference w:id="2"/>
      </w:r>
      <w:r w:rsidR="00862719">
        <w:rPr>
          <w:rFonts w:ascii="Arial" w:hAnsi="Arial" w:cs="Arial"/>
          <w:sz w:val="20"/>
          <w:szCs w:val="20"/>
        </w:rPr>
        <w:t>, relève que le taux de féminisation des administrateurs pour les 12 entreprises dans lesquelles l’Etat est actionnaire, atteignait 28,5%</w:t>
      </w:r>
      <w:r w:rsidR="00226262">
        <w:rPr>
          <w:rFonts w:ascii="Arial" w:hAnsi="Arial" w:cs="Arial"/>
          <w:sz w:val="20"/>
          <w:szCs w:val="20"/>
        </w:rPr>
        <w:t>. Toutefois, et à titre d’exemple, ce taux est de 18,8% chez Renault. Pour l’entreprise Electricité de France (EDF), dont l’Etat est actionnaire majoritaire, ce taux atteint péniblement</w:t>
      </w:r>
      <w:r w:rsidR="00112A9D">
        <w:rPr>
          <w:rFonts w:ascii="Arial" w:hAnsi="Arial" w:cs="Arial"/>
          <w:sz w:val="20"/>
          <w:szCs w:val="20"/>
        </w:rPr>
        <w:t>16</w:t>
      </w:r>
      <w:proofErr w:type="gramStart"/>
      <w:r w:rsidR="00112A9D">
        <w:rPr>
          <w:rFonts w:ascii="Arial" w:hAnsi="Arial" w:cs="Arial"/>
          <w:sz w:val="20"/>
          <w:szCs w:val="20"/>
        </w:rPr>
        <w:t>,7</w:t>
      </w:r>
      <w:proofErr w:type="gramEnd"/>
      <w:r w:rsidR="00226262">
        <w:rPr>
          <w:rFonts w:ascii="Arial" w:hAnsi="Arial" w:cs="Arial"/>
          <w:sz w:val="20"/>
          <w:szCs w:val="20"/>
        </w:rPr>
        <w:t xml:space="preserve">%. </w:t>
      </w:r>
    </w:p>
    <w:p w:rsidR="00112A9D" w:rsidRDefault="00112A9D" w:rsidP="00835365">
      <w:pPr>
        <w:spacing w:after="0" w:line="240" w:lineRule="auto"/>
        <w:jc w:val="both"/>
        <w:rPr>
          <w:rFonts w:ascii="Arial" w:hAnsi="Arial" w:cs="Arial"/>
          <w:sz w:val="20"/>
          <w:szCs w:val="20"/>
        </w:rPr>
      </w:pPr>
    </w:p>
    <w:p w:rsidR="00365AB1" w:rsidRDefault="00AE57AD" w:rsidP="00835365">
      <w:pPr>
        <w:spacing w:after="0" w:line="240" w:lineRule="auto"/>
        <w:jc w:val="both"/>
        <w:rPr>
          <w:rFonts w:ascii="Arial" w:hAnsi="Arial" w:cs="Arial"/>
          <w:sz w:val="20"/>
          <w:szCs w:val="20"/>
        </w:rPr>
      </w:pPr>
      <w:r>
        <w:rPr>
          <w:rFonts w:ascii="Arial" w:hAnsi="Arial" w:cs="Arial"/>
          <w:b/>
          <w:sz w:val="16"/>
          <w:szCs w:val="16"/>
        </w:rPr>
        <w:t>9</w:t>
      </w:r>
      <w:r w:rsidR="006433AA">
        <w:rPr>
          <w:rFonts w:ascii="Arial" w:hAnsi="Arial" w:cs="Arial"/>
          <w:sz w:val="20"/>
          <w:szCs w:val="20"/>
        </w:rPr>
        <w:t xml:space="preserve">. </w:t>
      </w:r>
      <w:r w:rsidR="00226262">
        <w:rPr>
          <w:rFonts w:ascii="Arial" w:hAnsi="Arial" w:cs="Arial"/>
          <w:sz w:val="20"/>
          <w:szCs w:val="20"/>
        </w:rPr>
        <w:t>En ce qui concerne les entreprises non cotées mais employant plus de 500 salariés ou ayant un chiffre d’affaire de plus de 50 million d’euro, dont l’Etat est actionnaire, le taux est de 22,9%</w:t>
      </w:r>
      <w:r w:rsidR="00112A9D">
        <w:rPr>
          <w:rFonts w:ascii="Arial" w:hAnsi="Arial" w:cs="Arial"/>
          <w:sz w:val="20"/>
          <w:szCs w:val="20"/>
        </w:rPr>
        <w:t>. A titre d’illustration, on relèvera qu’à l’Imprimerie nationale</w:t>
      </w:r>
      <w:r w:rsidR="00CC76E5">
        <w:rPr>
          <w:rFonts w:ascii="Arial" w:hAnsi="Arial" w:cs="Arial"/>
          <w:sz w:val="20"/>
          <w:szCs w:val="20"/>
        </w:rPr>
        <w:t>, entreprise qui a pour unique actionnaire l’Etat, le taux de féminisation du conseil d’administration est de 8,3%. Si, comme le mentionne le rapport précité, pour « </w:t>
      </w:r>
      <w:r w:rsidR="00CC76E5" w:rsidRPr="00CC76E5">
        <w:rPr>
          <w:rFonts w:ascii="Arial" w:hAnsi="Arial" w:cs="Arial"/>
          <w:i/>
          <w:sz w:val="20"/>
          <w:szCs w:val="20"/>
        </w:rPr>
        <w:t>la plupart des entreprises à participations publiques, le respect d’un quota minimum de 20% de femmes a été atteint</w:t>
      </w:r>
      <w:r w:rsidR="00CC76E5">
        <w:rPr>
          <w:rFonts w:ascii="Arial" w:hAnsi="Arial" w:cs="Arial"/>
          <w:sz w:val="20"/>
          <w:szCs w:val="20"/>
        </w:rPr>
        <w:t> », les entreprises où l’Etat est actionnaire majoritaire ne font pas figure d’exemple.</w:t>
      </w:r>
    </w:p>
    <w:p w:rsidR="00CC76E5" w:rsidRDefault="00CC76E5" w:rsidP="00835365">
      <w:pPr>
        <w:spacing w:after="0" w:line="240" w:lineRule="auto"/>
        <w:jc w:val="both"/>
        <w:rPr>
          <w:rFonts w:ascii="Arial" w:hAnsi="Arial" w:cs="Arial"/>
          <w:sz w:val="20"/>
          <w:szCs w:val="20"/>
        </w:rPr>
      </w:pPr>
    </w:p>
    <w:p w:rsidR="00885564" w:rsidRDefault="006433AA" w:rsidP="00835365">
      <w:pPr>
        <w:spacing w:after="0" w:line="240" w:lineRule="auto"/>
        <w:jc w:val="both"/>
        <w:rPr>
          <w:rFonts w:ascii="Arial" w:hAnsi="Arial" w:cs="Arial"/>
          <w:sz w:val="20"/>
          <w:szCs w:val="20"/>
        </w:rPr>
      </w:pPr>
      <w:r w:rsidRPr="006433AA">
        <w:rPr>
          <w:rFonts w:ascii="Arial" w:hAnsi="Arial" w:cs="Arial"/>
          <w:b/>
          <w:sz w:val="16"/>
          <w:szCs w:val="16"/>
        </w:rPr>
        <w:t>1</w:t>
      </w:r>
      <w:r w:rsidR="00AE57AD">
        <w:rPr>
          <w:rFonts w:ascii="Arial" w:hAnsi="Arial" w:cs="Arial"/>
          <w:b/>
          <w:sz w:val="16"/>
          <w:szCs w:val="16"/>
        </w:rPr>
        <w:t>0</w:t>
      </w:r>
      <w:r>
        <w:rPr>
          <w:rFonts w:ascii="Arial" w:hAnsi="Arial" w:cs="Arial"/>
          <w:sz w:val="20"/>
          <w:szCs w:val="20"/>
        </w:rPr>
        <w:t xml:space="preserve">. </w:t>
      </w:r>
      <w:r w:rsidR="00453300">
        <w:rPr>
          <w:rFonts w:ascii="Arial" w:hAnsi="Arial" w:cs="Arial"/>
          <w:sz w:val="20"/>
          <w:szCs w:val="20"/>
        </w:rPr>
        <w:t xml:space="preserve">La présence des femmes à la direction de grandes sociétés apparaît ainsi très difficile, aucune femme n’étant à la tête d’une des 40 plus grandes entreprises en France. De même, sur les 120 entreprises cotées en bourse, aucune n’a de femme à sa tête. </w:t>
      </w:r>
      <w:r w:rsidR="00EE03C5">
        <w:rPr>
          <w:rFonts w:ascii="Arial" w:hAnsi="Arial" w:cs="Arial"/>
          <w:sz w:val="20"/>
          <w:szCs w:val="20"/>
        </w:rPr>
        <w:t>En 2016,</w:t>
      </w:r>
      <w:r w:rsidR="00453300">
        <w:rPr>
          <w:rFonts w:ascii="Arial" w:hAnsi="Arial" w:cs="Arial"/>
          <w:sz w:val="20"/>
          <w:szCs w:val="20"/>
        </w:rPr>
        <w:t xml:space="preserve"> pour la première fois, une femme devrait être nommée PDG d’une entreprise du CAC 40.</w:t>
      </w:r>
      <w:r w:rsidR="00EE03C5">
        <w:rPr>
          <w:rFonts w:ascii="Arial" w:hAnsi="Arial" w:cs="Arial"/>
          <w:sz w:val="20"/>
          <w:szCs w:val="20"/>
        </w:rPr>
        <w:t xml:space="preserve"> Cette nomination, pour positive qu’elle soit, reste une exception qui demande à être étendue.</w:t>
      </w:r>
    </w:p>
    <w:p w:rsidR="00453300" w:rsidRDefault="00453300" w:rsidP="00835365">
      <w:pPr>
        <w:spacing w:after="0" w:line="240" w:lineRule="auto"/>
        <w:jc w:val="both"/>
        <w:rPr>
          <w:rFonts w:ascii="Arial" w:hAnsi="Arial" w:cs="Arial"/>
          <w:sz w:val="20"/>
          <w:szCs w:val="20"/>
        </w:rPr>
      </w:pPr>
    </w:p>
    <w:p w:rsidR="00AE57AD" w:rsidRDefault="00AE57AD" w:rsidP="00AE57AD">
      <w:pPr>
        <w:spacing w:after="0" w:line="240" w:lineRule="auto"/>
        <w:jc w:val="both"/>
        <w:rPr>
          <w:rFonts w:ascii="Arial" w:hAnsi="Arial" w:cs="Arial"/>
          <w:sz w:val="20"/>
          <w:szCs w:val="20"/>
        </w:rPr>
      </w:pPr>
      <w:r w:rsidRPr="00AE57AD">
        <w:rPr>
          <w:rFonts w:ascii="Arial" w:hAnsi="Arial" w:cs="Arial"/>
          <w:b/>
          <w:sz w:val="16"/>
          <w:szCs w:val="16"/>
        </w:rPr>
        <w:t>11</w:t>
      </w:r>
      <w:r>
        <w:rPr>
          <w:rFonts w:ascii="Arial" w:hAnsi="Arial" w:cs="Arial"/>
          <w:sz w:val="20"/>
          <w:szCs w:val="20"/>
        </w:rPr>
        <w:t>. Selon une étude</w:t>
      </w:r>
      <w:r w:rsidRPr="00365AB1">
        <w:rPr>
          <w:rStyle w:val="Appelnotedebasdep"/>
          <w:rFonts w:ascii="Arial" w:hAnsi="Arial" w:cs="Arial"/>
          <w:b/>
          <w:sz w:val="18"/>
          <w:szCs w:val="18"/>
        </w:rPr>
        <w:footnoteReference w:id="3"/>
      </w:r>
      <w:r>
        <w:rPr>
          <w:rFonts w:ascii="Arial" w:hAnsi="Arial" w:cs="Arial"/>
          <w:sz w:val="20"/>
          <w:szCs w:val="20"/>
        </w:rPr>
        <w:t xml:space="preserve"> publiée le 10 octobre 2014, sur l’ensemble des sociétés cotées, le taux de féminisation des conseils d’administration est de 29%. Seules cinq sociétés du CAC 40 ont déjà atteint un quota de 40% de femmes. Sur les 120 sociétés cotées en bourse, huit entreprises n’avaient pas atteint le taux de 20% de féminisation du conseil, dont deux dans lesquelles l’Etat est actionnaire. A l’occasion de la sortie de cette étude, le secrétariat d’Etat chargé des droits des femmes a souligné que « </w:t>
      </w:r>
      <w:r w:rsidRPr="00862719">
        <w:rPr>
          <w:rFonts w:ascii="Arial" w:hAnsi="Arial" w:cs="Arial"/>
          <w:i/>
          <w:sz w:val="20"/>
          <w:szCs w:val="20"/>
        </w:rPr>
        <w:t>les écarts de salaires restent importants (24%). 80% des emplois à temps partiel sont occupé par des femmes. Seuls 12% des métiers sont mixtes et les femmes ne représentent que 30% des créateurs d’entreprise</w:t>
      </w:r>
      <w:r>
        <w:rPr>
          <w:rFonts w:ascii="Arial" w:hAnsi="Arial" w:cs="Arial"/>
          <w:sz w:val="20"/>
          <w:szCs w:val="20"/>
        </w:rPr>
        <w:t> ».</w:t>
      </w:r>
    </w:p>
    <w:p w:rsidR="00AE57AD" w:rsidRDefault="00AE57AD" w:rsidP="00835365">
      <w:pPr>
        <w:spacing w:after="0" w:line="240" w:lineRule="auto"/>
        <w:jc w:val="both"/>
        <w:rPr>
          <w:rFonts w:ascii="Arial" w:hAnsi="Arial" w:cs="Arial"/>
          <w:sz w:val="20"/>
          <w:szCs w:val="20"/>
        </w:rPr>
      </w:pPr>
    </w:p>
    <w:p w:rsidR="00453300" w:rsidRDefault="00453300" w:rsidP="00835365">
      <w:pPr>
        <w:spacing w:after="0" w:line="240" w:lineRule="auto"/>
        <w:jc w:val="both"/>
        <w:rPr>
          <w:rFonts w:ascii="Arial" w:hAnsi="Arial" w:cs="Arial"/>
          <w:sz w:val="20"/>
          <w:szCs w:val="20"/>
        </w:rPr>
      </w:pPr>
    </w:p>
    <w:p w:rsidR="00885564" w:rsidRPr="00885564" w:rsidRDefault="00885564" w:rsidP="00835365">
      <w:pPr>
        <w:spacing w:after="0" w:line="240" w:lineRule="auto"/>
        <w:jc w:val="both"/>
        <w:rPr>
          <w:rFonts w:ascii="Arial" w:hAnsi="Arial" w:cs="Arial"/>
          <w:i/>
          <w:sz w:val="20"/>
          <w:szCs w:val="20"/>
        </w:rPr>
      </w:pPr>
      <w:r w:rsidRPr="00885564">
        <w:rPr>
          <w:rFonts w:ascii="Arial" w:hAnsi="Arial" w:cs="Arial"/>
          <w:i/>
          <w:sz w:val="20"/>
          <w:szCs w:val="20"/>
        </w:rPr>
        <w:t>La rémunération</w:t>
      </w:r>
    </w:p>
    <w:p w:rsidR="00885564" w:rsidRDefault="00885564" w:rsidP="00835365">
      <w:pPr>
        <w:spacing w:after="0" w:line="240" w:lineRule="auto"/>
        <w:jc w:val="both"/>
        <w:rPr>
          <w:rFonts w:ascii="Arial" w:hAnsi="Arial" w:cs="Arial"/>
          <w:sz w:val="20"/>
          <w:szCs w:val="20"/>
        </w:rPr>
      </w:pPr>
    </w:p>
    <w:p w:rsidR="009B7587" w:rsidRDefault="006433AA" w:rsidP="00835365">
      <w:pPr>
        <w:spacing w:after="0" w:line="240" w:lineRule="auto"/>
        <w:jc w:val="both"/>
        <w:rPr>
          <w:rFonts w:ascii="Arial" w:hAnsi="Arial" w:cs="Arial"/>
          <w:sz w:val="20"/>
          <w:szCs w:val="20"/>
        </w:rPr>
      </w:pPr>
      <w:r w:rsidRPr="006433AA">
        <w:rPr>
          <w:rFonts w:ascii="Arial" w:hAnsi="Arial" w:cs="Arial"/>
          <w:b/>
          <w:sz w:val="16"/>
          <w:szCs w:val="16"/>
        </w:rPr>
        <w:t>12</w:t>
      </w:r>
      <w:r>
        <w:rPr>
          <w:rFonts w:ascii="Arial" w:hAnsi="Arial" w:cs="Arial"/>
          <w:sz w:val="20"/>
          <w:szCs w:val="20"/>
        </w:rPr>
        <w:t xml:space="preserve">. </w:t>
      </w:r>
      <w:r w:rsidR="00F25056">
        <w:rPr>
          <w:rFonts w:ascii="Arial" w:hAnsi="Arial" w:cs="Arial"/>
          <w:sz w:val="20"/>
          <w:szCs w:val="20"/>
        </w:rPr>
        <w:t xml:space="preserve">A côté de la question de la représentation des femmes, </w:t>
      </w:r>
      <w:r w:rsidR="005D4332">
        <w:rPr>
          <w:rFonts w:ascii="Arial" w:hAnsi="Arial" w:cs="Arial"/>
          <w:sz w:val="20"/>
          <w:szCs w:val="20"/>
        </w:rPr>
        <w:t>doit être abordée</w:t>
      </w:r>
      <w:r w:rsidR="00F25056">
        <w:rPr>
          <w:rFonts w:ascii="Arial" w:hAnsi="Arial" w:cs="Arial"/>
          <w:sz w:val="20"/>
          <w:szCs w:val="20"/>
        </w:rPr>
        <w:t xml:space="preserve"> </w:t>
      </w:r>
      <w:r w:rsidR="005D4332">
        <w:rPr>
          <w:rFonts w:ascii="Arial" w:hAnsi="Arial" w:cs="Arial"/>
          <w:sz w:val="20"/>
          <w:szCs w:val="20"/>
        </w:rPr>
        <w:t>la question</w:t>
      </w:r>
      <w:r w:rsidR="00F25056">
        <w:rPr>
          <w:rFonts w:ascii="Arial" w:hAnsi="Arial" w:cs="Arial"/>
          <w:sz w:val="20"/>
          <w:szCs w:val="20"/>
        </w:rPr>
        <w:t xml:space="preserve"> des écarts de rémunération. Ces écarts demeurent importants entre les femmes et les hommes</w:t>
      </w:r>
      <w:r w:rsidR="005D4332">
        <w:rPr>
          <w:rFonts w:ascii="Arial" w:hAnsi="Arial" w:cs="Arial"/>
          <w:sz w:val="20"/>
          <w:szCs w:val="20"/>
        </w:rPr>
        <w:t xml:space="preserve">. Ils sont de l’ordre de 24%. </w:t>
      </w:r>
      <w:r w:rsidR="009B7587">
        <w:rPr>
          <w:rFonts w:ascii="Arial" w:hAnsi="Arial" w:cs="Arial"/>
          <w:sz w:val="20"/>
          <w:szCs w:val="20"/>
        </w:rPr>
        <w:t>L’inégalité salariale demeure donc extrême forte. La France se classe à la 126</w:t>
      </w:r>
      <w:r w:rsidR="009B7587" w:rsidRPr="009B7587">
        <w:rPr>
          <w:rFonts w:ascii="Arial" w:hAnsi="Arial" w:cs="Arial"/>
          <w:sz w:val="20"/>
          <w:szCs w:val="20"/>
          <w:vertAlign w:val="superscript"/>
        </w:rPr>
        <w:t>ème</w:t>
      </w:r>
      <w:r w:rsidR="009B7587">
        <w:rPr>
          <w:rFonts w:ascii="Arial" w:hAnsi="Arial" w:cs="Arial"/>
          <w:sz w:val="20"/>
          <w:szCs w:val="20"/>
        </w:rPr>
        <w:t xml:space="preserve"> place sur 139 pays inscrits au forum.</w:t>
      </w:r>
    </w:p>
    <w:p w:rsidR="009B7587" w:rsidRDefault="009B7587" w:rsidP="00835365">
      <w:pPr>
        <w:spacing w:after="0" w:line="240" w:lineRule="auto"/>
        <w:jc w:val="both"/>
        <w:rPr>
          <w:rFonts w:ascii="Arial" w:hAnsi="Arial" w:cs="Arial"/>
          <w:sz w:val="20"/>
          <w:szCs w:val="20"/>
        </w:rPr>
      </w:pPr>
    </w:p>
    <w:p w:rsidR="00CC76E5" w:rsidRDefault="006433AA" w:rsidP="00835365">
      <w:pPr>
        <w:spacing w:after="0" w:line="240" w:lineRule="auto"/>
        <w:jc w:val="both"/>
        <w:rPr>
          <w:rFonts w:ascii="Arial" w:hAnsi="Arial" w:cs="Arial"/>
          <w:sz w:val="20"/>
          <w:szCs w:val="20"/>
        </w:rPr>
      </w:pPr>
      <w:r w:rsidRPr="006433AA">
        <w:rPr>
          <w:rFonts w:ascii="Arial" w:hAnsi="Arial" w:cs="Arial"/>
          <w:b/>
          <w:sz w:val="16"/>
          <w:szCs w:val="16"/>
        </w:rPr>
        <w:t>13</w:t>
      </w:r>
      <w:r>
        <w:rPr>
          <w:rFonts w:ascii="Arial" w:hAnsi="Arial" w:cs="Arial"/>
          <w:sz w:val="20"/>
          <w:szCs w:val="20"/>
        </w:rPr>
        <w:t xml:space="preserve">. </w:t>
      </w:r>
      <w:r w:rsidR="005D4332">
        <w:rPr>
          <w:rFonts w:ascii="Arial" w:hAnsi="Arial" w:cs="Arial"/>
          <w:sz w:val="20"/>
          <w:szCs w:val="20"/>
        </w:rPr>
        <w:t xml:space="preserve">Il doit être précisé que depuis la loi </w:t>
      </w:r>
      <w:r w:rsidR="00DA67FC">
        <w:rPr>
          <w:rFonts w:ascii="Arial" w:hAnsi="Arial" w:cs="Arial"/>
          <w:sz w:val="20"/>
          <w:szCs w:val="20"/>
        </w:rPr>
        <w:t>n° 2010-1330</w:t>
      </w:r>
      <w:r w:rsidR="003330D3">
        <w:rPr>
          <w:rFonts w:ascii="Arial" w:hAnsi="Arial" w:cs="Arial"/>
          <w:sz w:val="20"/>
          <w:szCs w:val="20"/>
        </w:rPr>
        <w:t xml:space="preserve"> </w:t>
      </w:r>
      <w:r w:rsidR="005D4332">
        <w:rPr>
          <w:rFonts w:ascii="Arial" w:hAnsi="Arial" w:cs="Arial"/>
          <w:sz w:val="20"/>
          <w:szCs w:val="20"/>
        </w:rPr>
        <w:t xml:space="preserve">du </w:t>
      </w:r>
      <w:r w:rsidR="00885564">
        <w:rPr>
          <w:rFonts w:ascii="Arial" w:hAnsi="Arial" w:cs="Arial"/>
          <w:sz w:val="20"/>
          <w:szCs w:val="20"/>
        </w:rPr>
        <w:t>9</w:t>
      </w:r>
      <w:r w:rsidR="005D4332">
        <w:rPr>
          <w:rFonts w:ascii="Arial" w:hAnsi="Arial" w:cs="Arial"/>
          <w:sz w:val="20"/>
          <w:szCs w:val="20"/>
        </w:rPr>
        <w:t xml:space="preserve"> novembre 2010</w:t>
      </w:r>
      <w:r w:rsidR="003330D3">
        <w:rPr>
          <w:rFonts w:ascii="Arial" w:hAnsi="Arial" w:cs="Arial"/>
          <w:sz w:val="20"/>
          <w:szCs w:val="20"/>
        </w:rPr>
        <w:t xml:space="preserve"> portant réforme des retraites</w:t>
      </w:r>
      <w:r w:rsidR="005D4332">
        <w:rPr>
          <w:rFonts w:ascii="Arial" w:hAnsi="Arial" w:cs="Arial"/>
          <w:sz w:val="20"/>
          <w:szCs w:val="20"/>
        </w:rPr>
        <w:t xml:space="preserve">, 1500 entreprises ont fait l’objet d’une mise en demeure et des sanctions financières ont été prises à l’encontre de deux entreprises pour le non-respect de leurs obligations en matière d’égalité de salaire entre les femmes et les hommes. En effet, </w:t>
      </w:r>
      <w:r w:rsidR="003330D3">
        <w:rPr>
          <w:rFonts w:ascii="Arial" w:hAnsi="Arial" w:cs="Arial"/>
          <w:sz w:val="20"/>
          <w:szCs w:val="20"/>
        </w:rPr>
        <w:t xml:space="preserve">l’article 99 de </w:t>
      </w:r>
      <w:r w:rsidR="005D4332">
        <w:rPr>
          <w:rFonts w:ascii="Arial" w:hAnsi="Arial" w:cs="Arial"/>
          <w:sz w:val="20"/>
          <w:szCs w:val="20"/>
        </w:rPr>
        <w:t xml:space="preserve">la loi susmentionnée </w:t>
      </w:r>
      <w:r w:rsidR="003330D3">
        <w:rPr>
          <w:rFonts w:ascii="Arial" w:hAnsi="Arial" w:cs="Arial"/>
          <w:sz w:val="20"/>
          <w:szCs w:val="20"/>
        </w:rPr>
        <w:t>stipule</w:t>
      </w:r>
      <w:r w:rsidR="005D4332">
        <w:rPr>
          <w:rFonts w:ascii="Arial" w:hAnsi="Arial" w:cs="Arial"/>
          <w:sz w:val="20"/>
          <w:szCs w:val="20"/>
        </w:rPr>
        <w:t xml:space="preserve"> que les entreprises publiques et privées de plus de 50 salariés ont l’obligation de se doter d’un plan ou d’un accord d’entreprise pour </w:t>
      </w:r>
      <w:r w:rsidR="002575AC">
        <w:rPr>
          <w:rFonts w:ascii="Arial" w:hAnsi="Arial" w:cs="Arial"/>
          <w:sz w:val="20"/>
          <w:szCs w:val="20"/>
        </w:rPr>
        <w:t>supprim</w:t>
      </w:r>
      <w:r w:rsidR="005D4332">
        <w:rPr>
          <w:rFonts w:ascii="Arial" w:hAnsi="Arial" w:cs="Arial"/>
          <w:sz w:val="20"/>
          <w:szCs w:val="20"/>
        </w:rPr>
        <w:t>er les différences de salaires et de promotions entre les femmes et les hommes, sous peine d’être sanctionné</w:t>
      </w:r>
      <w:r w:rsidR="002575AC">
        <w:rPr>
          <w:rFonts w:ascii="Arial" w:hAnsi="Arial" w:cs="Arial"/>
          <w:sz w:val="20"/>
          <w:szCs w:val="20"/>
        </w:rPr>
        <w:t>es par une pénalité pouvant aller jusqu’à</w:t>
      </w:r>
      <w:r w:rsidR="005D4332">
        <w:rPr>
          <w:rFonts w:ascii="Arial" w:hAnsi="Arial" w:cs="Arial"/>
          <w:sz w:val="20"/>
          <w:szCs w:val="20"/>
        </w:rPr>
        <w:t xml:space="preserve"> </w:t>
      </w:r>
      <w:r w:rsidR="002575AC">
        <w:rPr>
          <w:rFonts w:ascii="Arial" w:hAnsi="Arial" w:cs="Arial"/>
          <w:sz w:val="20"/>
          <w:szCs w:val="20"/>
        </w:rPr>
        <w:t xml:space="preserve">1% </w:t>
      </w:r>
      <w:r w:rsidR="005D4332">
        <w:rPr>
          <w:rFonts w:ascii="Arial" w:hAnsi="Arial" w:cs="Arial"/>
          <w:sz w:val="20"/>
          <w:szCs w:val="20"/>
        </w:rPr>
        <w:t>de la masse salariale.</w:t>
      </w:r>
    </w:p>
    <w:p w:rsidR="002575AC" w:rsidRDefault="002575AC" w:rsidP="00835365">
      <w:pPr>
        <w:spacing w:after="0" w:line="240" w:lineRule="auto"/>
        <w:jc w:val="both"/>
        <w:rPr>
          <w:rFonts w:ascii="Arial" w:hAnsi="Arial" w:cs="Arial"/>
          <w:sz w:val="20"/>
          <w:szCs w:val="20"/>
        </w:rPr>
      </w:pPr>
    </w:p>
    <w:p w:rsidR="002575AC" w:rsidRDefault="00F54089" w:rsidP="00835365">
      <w:pPr>
        <w:spacing w:after="0" w:line="240" w:lineRule="auto"/>
        <w:jc w:val="both"/>
        <w:rPr>
          <w:rFonts w:ascii="Arial" w:hAnsi="Arial" w:cs="Arial"/>
          <w:sz w:val="20"/>
          <w:szCs w:val="20"/>
        </w:rPr>
      </w:pPr>
      <w:r w:rsidRPr="00F54089">
        <w:rPr>
          <w:rFonts w:ascii="Arial" w:hAnsi="Arial" w:cs="Arial"/>
          <w:b/>
          <w:sz w:val="16"/>
          <w:szCs w:val="16"/>
        </w:rPr>
        <w:t>14</w:t>
      </w:r>
      <w:r>
        <w:rPr>
          <w:rFonts w:ascii="Arial" w:hAnsi="Arial" w:cs="Arial"/>
          <w:sz w:val="20"/>
          <w:szCs w:val="20"/>
        </w:rPr>
        <w:t xml:space="preserve">. </w:t>
      </w:r>
      <w:r w:rsidR="00EE03C5">
        <w:rPr>
          <w:rFonts w:ascii="Arial" w:hAnsi="Arial" w:cs="Arial"/>
          <w:sz w:val="20"/>
          <w:szCs w:val="20"/>
        </w:rPr>
        <w:t>Pour la période qui se situe à la fin 2014, ce sont e</w:t>
      </w:r>
      <w:r w:rsidR="002575AC">
        <w:rPr>
          <w:rFonts w:ascii="Arial" w:hAnsi="Arial" w:cs="Arial"/>
          <w:sz w:val="20"/>
          <w:szCs w:val="20"/>
        </w:rPr>
        <w:t>nviron 50 entreprises</w:t>
      </w:r>
      <w:r w:rsidR="00EE03C5">
        <w:rPr>
          <w:rFonts w:ascii="Arial" w:hAnsi="Arial" w:cs="Arial"/>
          <w:sz w:val="20"/>
          <w:szCs w:val="20"/>
        </w:rPr>
        <w:t xml:space="preserve"> qui</w:t>
      </w:r>
      <w:r w:rsidR="002575AC">
        <w:rPr>
          <w:rFonts w:ascii="Arial" w:hAnsi="Arial" w:cs="Arial"/>
          <w:sz w:val="20"/>
          <w:szCs w:val="20"/>
        </w:rPr>
        <w:t xml:space="preserve"> ont fait l’objet d’une pénalité (à la fin 2014) - la pénalité n’</w:t>
      </w:r>
      <w:r w:rsidR="00EE03C5">
        <w:rPr>
          <w:rFonts w:ascii="Arial" w:hAnsi="Arial" w:cs="Arial"/>
          <w:sz w:val="20"/>
          <w:szCs w:val="20"/>
        </w:rPr>
        <w:t>étant</w:t>
      </w:r>
      <w:r w:rsidR="002575AC">
        <w:rPr>
          <w:rFonts w:ascii="Arial" w:hAnsi="Arial" w:cs="Arial"/>
          <w:sz w:val="20"/>
          <w:szCs w:val="20"/>
        </w:rPr>
        <w:t xml:space="preserve"> appliquée que durant deux à trois mois (l’entreprise signe le plus souvent un accord d’entreprise formel pour ne plus être soumise à cette pénalité).</w:t>
      </w:r>
    </w:p>
    <w:p w:rsidR="002575AC" w:rsidRDefault="002575AC" w:rsidP="00835365">
      <w:pPr>
        <w:spacing w:after="0" w:line="240" w:lineRule="auto"/>
        <w:jc w:val="both"/>
        <w:rPr>
          <w:rFonts w:ascii="Arial" w:hAnsi="Arial" w:cs="Arial"/>
          <w:sz w:val="20"/>
          <w:szCs w:val="20"/>
        </w:rPr>
      </w:pPr>
    </w:p>
    <w:p w:rsidR="002575AC" w:rsidRDefault="00F54089" w:rsidP="00835365">
      <w:pPr>
        <w:spacing w:after="0" w:line="240" w:lineRule="auto"/>
        <w:jc w:val="both"/>
        <w:rPr>
          <w:rFonts w:ascii="Arial" w:hAnsi="Arial" w:cs="Arial"/>
          <w:sz w:val="20"/>
          <w:szCs w:val="20"/>
        </w:rPr>
      </w:pPr>
      <w:r w:rsidRPr="00F54089">
        <w:rPr>
          <w:rFonts w:ascii="Arial" w:hAnsi="Arial" w:cs="Arial"/>
          <w:b/>
          <w:sz w:val="16"/>
          <w:szCs w:val="16"/>
        </w:rPr>
        <w:t>15</w:t>
      </w:r>
      <w:r>
        <w:rPr>
          <w:rFonts w:ascii="Arial" w:hAnsi="Arial" w:cs="Arial"/>
          <w:sz w:val="20"/>
          <w:szCs w:val="20"/>
        </w:rPr>
        <w:t xml:space="preserve">. </w:t>
      </w:r>
      <w:r w:rsidR="002575AC">
        <w:rPr>
          <w:rFonts w:ascii="Arial" w:hAnsi="Arial" w:cs="Arial"/>
          <w:sz w:val="20"/>
          <w:szCs w:val="20"/>
        </w:rPr>
        <w:t xml:space="preserve">Les services d’inspection du travail qui doivent contrôler l’existence d’un accord ou d’un plan d’action sont en réalité </w:t>
      </w:r>
      <w:r>
        <w:rPr>
          <w:rFonts w:ascii="Arial" w:hAnsi="Arial" w:cs="Arial"/>
          <w:sz w:val="20"/>
          <w:szCs w:val="20"/>
        </w:rPr>
        <w:t xml:space="preserve">très peu mobilisés sur cette question. Les premières actions de formation des </w:t>
      </w:r>
      <w:bookmarkStart w:id="3" w:name="_GoBack"/>
      <w:bookmarkEnd w:id="3"/>
      <w:r>
        <w:rPr>
          <w:rFonts w:ascii="Arial" w:hAnsi="Arial" w:cs="Arial"/>
          <w:sz w:val="20"/>
          <w:szCs w:val="20"/>
        </w:rPr>
        <w:t xml:space="preserve">inspecteurs du travail n’ont été mises en œuvre qu’en 2014. Fréquemment, dans de nombreux </w:t>
      </w:r>
      <w:r>
        <w:rPr>
          <w:rFonts w:ascii="Arial" w:hAnsi="Arial" w:cs="Arial"/>
          <w:sz w:val="20"/>
          <w:szCs w:val="20"/>
        </w:rPr>
        <w:lastRenderedPageBreak/>
        <w:t>départements, des salariées et des associations qui s’adressent aux services d’inspection du travail pour demander des interventions s’entendent répondre que les services sont débordés et ont des sujets plus importants à traiter.</w:t>
      </w:r>
      <w:r w:rsidR="00EE03C5">
        <w:rPr>
          <w:rFonts w:ascii="Arial" w:hAnsi="Arial" w:cs="Arial"/>
          <w:sz w:val="20"/>
          <w:szCs w:val="20"/>
        </w:rPr>
        <w:t xml:space="preserve"> Il est vrai que les services de l’Inspection du travail ont été soumis, comme les autres services de l’Etat, à des réductions d’effectifs drastiques ce qui, de manière générale, a pesé sur leur efficacité.</w:t>
      </w:r>
    </w:p>
    <w:p w:rsidR="00885564" w:rsidRDefault="00885564" w:rsidP="00835365">
      <w:pPr>
        <w:spacing w:after="0" w:line="240" w:lineRule="auto"/>
        <w:jc w:val="both"/>
        <w:rPr>
          <w:rFonts w:ascii="Arial" w:hAnsi="Arial" w:cs="Arial"/>
          <w:sz w:val="20"/>
          <w:szCs w:val="20"/>
        </w:rPr>
      </w:pPr>
    </w:p>
    <w:p w:rsidR="00885564" w:rsidRDefault="00885564" w:rsidP="00835365">
      <w:pPr>
        <w:spacing w:after="0" w:line="240" w:lineRule="auto"/>
        <w:jc w:val="both"/>
        <w:rPr>
          <w:rFonts w:ascii="Arial" w:hAnsi="Arial" w:cs="Arial"/>
          <w:sz w:val="20"/>
          <w:szCs w:val="20"/>
        </w:rPr>
      </w:pPr>
    </w:p>
    <w:p w:rsidR="00885564" w:rsidRPr="00334957" w:rsidRDefault="00334957" w:rsidP="00835365">
      <w:pPr>
        <w:spacing w:after="0" w:line="240" w:lineRule="auto"/>
        <w:jc w:val="both"/>
        <w:rPr>
          <w:rFonts w:ascii="Arial" w:hAnsi="Arial" w:cs="Arial"/>
          <w:i/>
          <w:sz w:val="20"/>
          <w:szCs w:val="20"/>
        </w:rPr>
      </w:pPr>
      <w:r w:rsidRPr="00334957">
        <w:rPr>
          <w:rFonts w:ascii="Arial" w:hAnsi="Arial" w:cs="Arial"/>
          <w:i/>
          <w:sz w:val="20"/>
          <w:szCs w:val="20"/>
        </w:rPr>
        <w:t>L’égal accès aux responsabilités familiales et professionnelles</w:t>
      </w:r>
    </w:p>
    <w:p w:rsidR="00334957" w:rsidRDefault="00334957" w:rsidP="00835365">
      <w:pPr>
        <w:spacing w:after="0" w:line="240" w:lineRule="auto"/>
        <w:jc w:val="both"/>
        <w:rPr>
          <w:rFonts w:ascii="Arial" w:hAnsi="Arial" w:cs="Arial"/>
          <w:sz w:val="20"/>
          <w:szCs w:val="20"/>
        </w:rPr>
      </w:pPr>
    </w:p>
    <w:p w:rsidR="00334957" w:rsidRDefault="006433AA" w:rsidP="00835365">
      <w:pPr>
        <w:spacing w:after="0" w:line="240" w:lineRule="auto"/>
        <w:jc w:val="both"/>
        <w:rPr>
          <w:rFonts w:ascii="Arial" w:hAnsi="Arial" w:cs="Arial"/>
          <w:sz w:val="20"/>
          <w:szCs w:val="20"/>
        </w:rPr>
      </w:pPr>
      <w:r w:rsidRPr="006433AA">
        <w:rPr>
          <w:rFonts w:ascii="Arial" w:hAnsi="Arial" w:cs="Arial"/>
          <w:b/>
          <w:sz w:val="16"/>
          <w:szCs w:val="16"/>
        </w:rPr>
        <w:t>1</w:t>
      </w:r>
      <w:r w:rsidR="00F54089">
        <w:rPr>
          <w:rFonts w:ascii="Arial" w:hAnsi="Arial" w:cs="Arial"/>
          <w:b/>
          <w:sz w:val="16"/>
          <w:szCs w:val="16"/>
        </w:rPr>
        <w:t>6</w:t>
      </w:r>
      <w:r>
        <w:rPr>
          <w:rFonts w:ascii="Arial" w:hAnsi="Arial" w:cs="Arial"/>
          <w:sz w:val="20"/>
          <w:szCs w:val="20"/>
        </w:rPr>
        <w:t xml:space="preserve">. </w:t>
      </w:r>
      <w:r w:rsidR="00334957">
        <w:rPr>
          <w:rFonts w:ascii="Arial" w:hAnsi="Arial" w:cs="Arial"/>
          <w:sz w:val="20"/>
          <w:szCs w:val="20"/>
        </w:rPr>
        <w:t>La loi du 4 août 2014</w:t>
      </w:r>
      <w:r w:rsidR="001A5F3B" w:rsidRPr="001A5F3B">
        <w:rPr>
          <w:rStyle w:val="Appelnotedebasdep"/>
          <w:rFonts w:ascii="Arial" w:hAnsi="Arial" w:cs="Arial"/>
          <w:b/>
          <w:sz w:val="18"/>
          <w:szCs w:val="18"/>
        </w:rPr>
        <w:footnoteReference w:id="4"/>
      </w:r>
      <w:r w:rsidR="001A5F3B">
        <w:rPr>
          <w:rFonts w:ascii="Arial" w:hAnsi="Arial" w:cs="Arial"/>
          <w:sz w:val="20"/>
          <w:szCs w:val="20"/>
        </w:rPr>
        <w:t xml:space="preserve"> pour l‘égalité réelle entre les femmes et les hommes vise à combattre les inégalités entre les femmes et les hommes dans la sphère privée, professionnelle et publique. L’une des mesures phare est la « prestation partagée ». Afin d’inciter les pères à interrompre leur activité professionnelle, un second congé parental de six mois peut être accordé si le second parent en est le bénéficiaire. Si la durée du congé parental est supportée par un seul parent, celui-ci sera donc plus court que si le congé parental est pris par les deux parents. Dans le même ordre, la prestation sera versée six mois de moins que si le congé parental est </w:t>
      </w:r>
      <w:r w:rsidR="00EE03C5">
        <w:rPr>
          <w:rFonts w:ascii="Arial" w:hAnsi="Arial" w:cs="Arial"/>
          <w:sz w:val="20"/>
          <w:szCs w:val="20"/>
        </w:rPr>
        <w:t>pris</w:t>
      </w:r>
      <w:r w:rsidR="001A5F3B">
        <w:rPr>
          <w:rFonts w:ascii="Arial" w:hAnsi="Arial" w:cs="Arial"/>
          <w:sz w:val="20"/>
          <w:szCs w:val="20"/>
        </w:rPr>
        <w:t xml:space="preserve"> successivement par les deux parents</w:t>
      </w:r>
      <w:r w:rsidR="00AD41B8">
        <w:rPr>
          <w:rFonts w:ascii="Arial" w:hAnsi="Arial" w:cs="Arial"/>
          <w:sz w:val="20"/>
          <w:szCs w:val="20"/>
        </w:rPr>
        <w:t>. Il apparaît ici, qu’au nom de l’égalité femme-homme, le but recherché soit davantage de réduire les dépenses publiques que d’instaurer un principe d’égalité.</w:t>
      </w:r>
      <w:r w:rsidR="00941505">
        <w:rPr>
          <w:rFonts w:ascii="Arial" w:hAnsi="Arial" w:cs="Arial"/>
          <w:sz w:val="20"/>
          <w:szCs w:val="20"/>
        </w:rPr>
        <w:t xml:space="preserve"> Au vu du niveau très faible de cette prestation, très peu de pères-hommes salariés prendront ce congé.</w:t>
      </w:r>
    </w:p>
    <w:p w:rsidR="00AD41B8" w:rsidRDefault="00AD41B8" w:rsidP="00835365">
      <w:pPr>
        <w:spacing w:after="0" w:line="240" w:lineRule="auto"/>
        <w:jc w:val="both"/>
        <w:rPr>
          <w:rFonts w:ascii="Arial" w:hAnsi="Arial" w:cs="Arial"/>
          <w:sz w:val="20"/>
          <w:szCs w:val="20"/>
        </w:rPr>
      </w:pPr>
    </w:p>
    <w:p w:rsidR="00AD41B8" w:rsidRDefault="006433AA" w:rsidP="00835365">
      <w:pPr>
        <w:spacing w:after="0" w:line="240" w:lineRule="auto"/>
        <w:jc w:val="both"/>
        <w:rPr>
          <w:rFonts w:ascii="Arial" w:hAnsi="Arial" w:cs="Arial"/>
          <w:sz w:val="20"/>
          <w:szCs w:val="20"/>
        </w:rPr>
      </w:pPr>
      <w:r w:rsidRPr="006433AA">
        <w:rPr>
          <w:rFonts w:ascii="Arial" w:hAnsi="Arial" w:cs="Arial"/>
          <w:b/>
          <w:sz w:val="16"/>
          <w:szCs w:val="16"/>
        </w:rPr>
        <w:t>1</w:t>
      </w:r>
      <w:r w:rsidR="00941505">
        <w:rPr>
          <w:rFonts w:ascii="Arial" w:hAnsi="Arial" w:cs="Arial"/>
          <w:b/>
          <w:sz w:val="16"/>
          <w:szCs w:val="16"/>
        </w:rPr>
        <w:t>7</w:t>
      </w:r>
      <w:r>
        <w:rPr>
          <w:rFonts w:ascii="Arial" w:hAnsi="Arial" w:cs="Arial"/>
          <w:sz w:val="20"/>
          <w:szCs w:val="20"/>
        </w:rPr>
        <w:t xml:space="preserve">. </w:t>
      </w:r>
      <w:r w:rsidR="00AD41B8">
        <w:rPr>
          <w:rFonts w:ascii="Arial" w:hAnsi="Arial" w:cs="Arial"/>
          <w:sz w:val="20"/>
          <w:szCs w:val="20"/>
        </w:rPr>
        <w:t>Le législateur a également introduit</w:t>
      </w:r>
      <w:r w:rsidR="00A0184C">
        <w:rPr>
          <w:rFonts w:ascii="Arial" w:hAnsi="Arial" w:cs="Arial"/>
          <w:sz w:val="20"/>
          <w:szCs w:val="20"/>
        </w:rPr>
        <w:t xml:space="preserve"> </w:t>
      </w:r>
      <w:r w:rsidR="00AD41B8">
        <w:rPr>
          <w:rFonts w:ascii="Arial" w:hAnsi="Arial" w:cs="Arial"/>
          <w:sz w:val="20"/>
          <w:szCs w:val="20"/>
        </w:rPr>
        <w:t xml:space="preserve">des </w:t>
      </w:r>
      <w:r w:rsidR="00A0184C">
        <w:rPr>
          <w:rFonts w:ascii="Arial" w:hAnsi="Arial" w:cs="Arial"/>
          <w:sz w:val="20"/>
          <w:szCs w:val="20"/>
        </w:rPr>
        <w:t>dispositions permettant de mieux protéger les victimes de violences conjugales, les familles monoparentales victimes d’impayés de pension alimentaire, les salariés victimes de harcèlement moral ou sexuel au travail.</w:t>
      </w:r>
      <w:r w:rsidR="00EE03C5">
        <w:rPr>
          <w:rFonts w:ascii="Arial" w:hAnsi="Arial" w:cs="Arial"/>
          <w:sz w:val="20"/>
          <w:szCs w:val="20"/>
        </w:rPr>
        <w:t xml:space="preserve"> Ces mesures sont positives et produiront leurs effets à moyen terme.</w:t>
      </w:r>
    </w:p>
    <w:p w:rsidR="00A0184C" w:rsidRDefault="00A0184C" w:rsidP="00835365">
      <w:pPr>
        <w:spacing w:after="0" w:line="240" w:lineRule="auto"/>
        <w:jc w:val="both"/>
        <w:rPr>
          <w:rFonts w:ascii="Arial" w:hAnsi="Arial" w:cs="Arial"/>
          <w:sz w:val="20"/>
          <w:szCs w:val="20"/>
        </w:rPr>
      </w:pPr>
    </w:p>
    <w:p w:rsidR="00A0184C" w:rsidRDefault="006433AA" w:rsidP="00835365">
      <w:pPr>
        <w:spacing w:after="0" w:line="240" w:lineRule="auto"/>
        <w:jc w:val="both"/>
        <w:rPr>
          <w:rFonts w:ascii="Arial" w:hAnsi="Arial" w:cs="Arial"/>
          <w:sz w:val="20"/>
          <w:szCs w:val="20"/>
        </w:rPr>
      </w:pPr>
      <w:r w:rsidRPr="006433AA">
        <w:rPr>
          <w:rFonts w:ascii="Arial" w:hAnsi="Arial" w:cs="Arial"/>
          <w:b/>
          <w:sz w:val="16"/>
          <w:szCs w:val="16"/>
        </w:rPr>
        <w:t>1</w:t>
      </w:r>
      <w:r w:rsidR="00941505">
        <w:rPr>
          <w:rFonts w:ascii="Arial" w:hAnsi="Arial" w:cs="Arial"/>
          <w:b/>
          <w:sz w:val="16"/>
          <w:szCs w:val="16"/>
        </w:rPr>
        <w:t>8</w:t>
      </w:r>
      <w:r>
        <w:rPr>
          <w:rFonts w:ascii="Arial" w:hAnsi="Arial" w:cs="Arial"/>
          <w:sz w:val="20"/>
          <w:szCs w:val="20"/>
        </w:rPr>
        <w:t xml:space="preserve">. </w:t>
      </w:r>
      <w:r w:rsidR="00EE03C5">
        <w:rPr>
          <w:rFonts w:ascii="Arial" w:hAnsi="Arial" w:cs="Arial"/>
          <w:sz w:val="20"/>
          <w:szCs w:val="20"/>
        </w:rPr>
        <w:t>Ce texte comprend de nombreuses autres mesures</w:t>
      </w:r>
      <w:r w:rsidR="00A0184C">
        <w:rPr>
          <w:rFonts w:ascii="Arial" w:hAnsi="Arial" w:cs="Arial"/>
          <w:sz w:val="20"/>
          <w:szCs w:val="20"/>
        </w:rPr>
        <w:t>.</w:t>
      </w:r>
    </w:p>
    <w:p w:rsidR="00A0184C" w:rsidRDefault="00A0184C" w:rsidP="00835365">
      <w:pPr>
        <w:spacing w:after="0" w:line="240" w:lineRule="auto"/>
        <w:jc w:val="both"/>
        <w:rPr>
          <w:rFonts w:ascii="Arial" w:hAnsi="Arial" w:cs="Arial"/>
          <w:sz w:val="20"/>
          <w:szCs w:val="20"/>
        </w:rPr>
      </w:pPr>
    </w:p>
    <w:p w:rsidR="00A0184C" w:rsidRDefault="006433AA" w:rsidP="00835365">
      <w:pPr>
        <w:spacing w:after="0" w:line="240" w:lineRule="auto"/>
        <w:jc w:val="both"/>
        <w:rPr>
          <w:rFonts w:ascii="Arial" w:hAnsi="Arial" w:cs="Arial"/>
          <w:sz w:val="20"/>
          <w:szCs w:val="20"/>
        </w:rPr>
      </w:pPr>
      <w:r w:rsidRPr="006433AA">
        <w:rPr>
          <w:rFonts w:ascii="Arial" w:hAnsi="Arial" w:cs="Arial"/>
          <w:b/>
          <w:sz w:val="16"/>
          <w:szCs w:val="16"/>
        </w:rPr>
        <w:t>1</w:t>
      </w:r>
      <w:r w:rsidR="00941505">
        <w:rPr>
          <w:rFonts w:ascii="Arial" w:hAnsi="Arial" w:cs="Arial"/>
          <w:b/>
          <w:sz w:val="16"/>
          <w:szCs w:val="16"/>
        </w:rPr>
        <w:t>9</w:t>
      </w:r>
      <w:r>
        <w:rPr>
          <w:rFonts w:ascii="Arial" w:hAnsi="Arial" w:cs="Arial"/>
          <w:sz w:val="20"/>
          <w:szCs w:val="20"/>
        </w:rPr>
        <w:t xml:space="preserve">. </w:t>
      </w:r>
      <w:r w:rsidR="00A0184C">
        <w:rPr>
          <w:rFonts w:ascii="Arial" w:hAnsi="Arial" w:cs="Arial"/>
          <w:sz w:val="20"/>
          <w:szCs w:val="20"/>
        </w:rPr>
        <w:t>Un tel texte législatif est inédit par son objet et le fait qu’il contient des leviers pour une égalité réelle. Il est à relever que, selon le classement du Forum économique mondial sur la parité, la France est passée de la 45</w:t>
      </w:r>
      <w:r w:rsidR="00A0184C" w:rsidRPr="00A0184C">
        <w:rPr>
          <w:rFonts w:ascii="Arial" w:hAnsi="Arial" w:cs="Arial"/>
          <w:sz w:val="20"/>
          <w:szCs w:val="20"/>
          <w:vertAlign w:val="superscript"/>
        </w:rPr>
        <w:t>ème</w:t>
      </w:r>
      <w:r w:rsidR="00A0184C">
        <w:rPr>
          <w:rFonts w:ascii="Arial" w:hAnsi="Arial" w:cs="Arial"/>
          <w:sz w:val="20"/>
          <w:szCs w:val="20"/>
        </w:rPr>
        <w:t xml:space="preserve"> à la 16</w:t>
      </w:r>
      <w:r w:rsidR="00A0184C" w:rsidRPr="00A0184C">
        <w:rPr>
          <w:rFonts w:ascii="Arial" w:hAnsi="Arial" w:cs="Arial"/>
          <w:sz w:val="20"/>
          <w:szCs w:val="20"/>
          <w:vertAlign w:val="superscript"/>
        </w:rPr>
        <w:t>ème</w:t>
      </w:r>
      <w:r w:rsidR="00A0184C">
        <w:rPr>
          <w:rFonts w:ascii="Arial" w:hAnsi="Arial" w:cs="Arial"/>
          <w:sz w:val="20"/>
          <w:szCs w:val="20"/>
        </w:rPr>
        <w:t xml:space="preserve"> place. Pour autant, la loi du 4 août 2014 ne tient pas compte des réalités économiques et de travail.</w:t>
      </w:r>
    </w:p>
    <w:p w:rsidR="00A0184C" w:rsidRDefault="00A0184C" w:rsidP="00835365">
      <w:pPr>
        <w:spacing w:after="0" w:line="240" w:lineRule="auto"/>
        <w:jc w:val="both"/>
        <w:rPr>
          <w:rFonts w:ascii="Arial" w:hAnsi="Arial" w:cs="Arial"/>
          <w:sz w:val="20"/>
          <w:szCs w:val="20"/>
        </w:rPr>
      </w:pPr>
    </w:p>
    <w:p w:rsidR="00A0184C" w:rsidRDefault="00941505" w:rsidP="00835365">
      <w:pPr>
        <w:spacing w:after="0" w:line="240" w:lineRule="auto"/>
        <w:jc w:val="both"/>
        <w:rPr>
          <w:rFonts w:ascii="Arial" w:hAnsi="Arial" w:cs="Arial"/>
          <w:sz w:val="20"/>
          <w:szCs w:val="20"/>
        </w:rPr>
      </w:pPr>
      <w:r>
        <w:rPr>
          <w:rFonts w:ascii="Arial" w:hAnsi="Arial" w:cs="Arial"/>
          <w:b/>
          <w:sz w:val="16"/>
          <w:szCs w:val="16"/>
        </w:rPr>
        <w:t>20</w:t>
      </w:r>
      <w:r w:rsidR="006433AA">
        <w:rPr>
          <w:rFonts w:ascii="Arial" w:hAnsi="Arial" w:cs="Arial"/>
          <w:sz w:val="20"/>
          <w:szCs w:val="20"/>
        </w:rPr>
        <w:t xml:space="preserve">. </w:t>
      </w:r>
      <w:r w:rsidR="00A0184C">
        <w:rPr>
          <w:rFonts w:ascii="Arial" w:hAnsi="Arial" w:cs="Arial"/>
          <w:sz w:val="20"/>
          <w:szCs w:val="20"/>
        </w:rPr>
        <w:t>Le 27 janvier 2015, le Défenseur des droits rendu public son rapport annuel pour l’année 2014</w:t>
      </w:r>
      <w:r w:rsidR="003E5F55" w:rsidRPr="003E5F55">
        <w:rPr>
          <w:rStyle w:val="Appelnotedebasdep"/>
          <w:rFonts w:ascii="Arial" w:hAnsi="Arial" w:cs="Arial"/>
          <w:b/>
          <w:sz w:val="18"/>
          <w:szCs w:val="18"/>
        </w:rPr>
        <w:footnoteReference w:id="5"/>
      </w:r>
      <w:r w:rsidR="00A0184C">
        <w:rPr>
          <w:rFonts w:ascii="Arial" w:hAnsi="Arial" w:cs="Arial"/>
          <w:sz w:val="20"/>
          <w:szCs w:val="20"/>
        </w:rPr>
        <w:t xml:space="preserve">. Sur les 73 462 réclamations reçues, 51,6% ont été faites par des femmes. Sur l’ensemble des plaintes déposées pour discrimination, 55,4% l’ont été par des femmes. </w:t>
      </w:r>
      <w:r w:rsidR="003E5F55">
        <w:rPr>
          <w:rFonts w:ascii="Arial" w:hAnsi="Arial" w:cs="Arial"/>
          <w:sz w:val="20"/>
          <w:szCs w:val="20"/>
        </w:rPr>
        <w:t>En outre, en matière de discrimination à l’emploi, le Défenseur des droits a constaté que « </w:t>
      </w:r>
      <w:r w:rsidR="003E5F55" w:rsidRPr="003E5F55">
        <w:rPr>
          <w:rFonts w:ascii="Arial" w:hAnsi="Arial" w:cs="Arial"/>
          <w:i/>
          <w:sz w:val="20"/>
          <w:szCs w:val="20"/>
        </w:rPr>
        <w:t>malgré les dispositifs mis en place, les discriminations à l’égard des femmes restent nombreuses dans les deux secteurs d’activités</w:t>
      </w:r>
      <w:r w:rsidR="003E5F55">
        <w:rPr>
          <w:rFonts w:ascii="Arial" w:hAnsi="Arial" w:cs="Arial"/>
          <w:sz w:val="20"/>
          <w:szCs w:val="20"/>
        </w:rPr>
        <w:t> »</w:t>
      </w:r>
      <w:r w:rsidR="003E5F55" w:rsidRPr="003E5F55">
        <w:rPr>
          <w:rStyle w:val="Appelnotedebasdep"/>
          <w:rFonts w:ascii="Arial" w:hAnsi="Arial" w:cs="Arial"/>
          <w:b/>
          <w:sz w:val="18"/>
          <w:szCs w:val="18"/>
        </w:rPr>
        <w:footnoteReference w:id="6"/>
      </w:r>
      <w:r w:rsidR="003E5F55">
        <w:rPr>
          <w:rFonts w:ascii="Arial" w:hAnsi="Arial" w:cs="Arial"/>
          <w:sz w:val="20"/>
          <w:szCs w:val="20"/>
        </w:rPr>
        <w:t>. Le Défenseur des droits conclut : « </w:t>
      </w:r>
      <w:r w:rsidR="003E5F55" w:rsidRPr="003E5F55">
        <w:rPr>
          <w:rFonts w:ascii="Arial" w:hAnsi="Arial" w:cs="Arial"/>
          <w:i/>
          <w:sz w:val="20"/>
          <w:szCs w:val="20"/>
        </w:rPr>
        <w:t>malgré l’importance des dispositifs destinés à garantir l’égalité entre les femmes et les hommes, les discriminations à l’égard des femmes dans le monde du travail, y compris dans la fonction publique, persistent. Elles visent non seulement le critère du sexe, mais aussi celui de l’état de grossesse ou de la situation de famille</w:t>
      </w:r>
      <w:r w:rsidR="003E5F55">
        <w:rPr>
          <w:rFonts w:ascii="Arial" w:hAnsi="Arial" w:cs="Arial"/>
          <w:sz w:val="20"/>
          <w:szCs w:val="20"/>
        </w:rPr>
        <w:t>. ».</w:t>
      </w:r>
    </w:p>
    <w:p w:rsidR="003E5F55" w:rsidRDefault="003E5F55" w:rsidP="00835365">
      <w:pPr>
        <w:spacing w:after="0" w:line="240" w:lineRule="auto"/>
        <w:jc w:val="both"/>
        <w:rPr>
          <w:rFonts w:ascii="Arial" w:hAnsi="Arial" w:cs="Arial"/>
          <w:sz w:val="20"/>
          <w:szCs w:val="20"/>
        </w:rPr>
      </w:pPr>
    </w:p>
    <w:p w:rsidR="003E5F55" w:rsidRDefault="00941505" w:rsidP="00835365">
      <w:pPr>
        <w:spacing w:after="0" w:line="240" w:lineRule="auto"/>
        <w:jc w:val="both"/>
        <w:rPr>
          <w:rFonts w:ascii="Arial" w:hAnsi="Arial" w:cs="Arial"/>
          <w:sz w:val="20"/>
          <w:szCs w:val="20"/>
        </w:rPr>
      </w:pPr>
      <w:r>
        <w:rPr>
          <w:rFonts w:ascii="Arial" w:hAnsi="Arial" w:cs="Arial"/>
          <w:b/>
          <w:sz w:val="16"/>
          <w:szCs w:val="16"/>
        </w:rPr>
        <w:t>21</w:t>
      </w:r>
      <w:r w:rsidR="006433AA">
        <w:rPr>
          <w:rFonts w:ascii="Arial" w:hAnsi="Arial" w:cs="Arial"/>
          <w:sz w:val="20"/>
          <w:szCs w:val="20"/>
        </w:rPr>
        <w:t xml:space="preserve">. </w:t>
      </w:r>
      <w:r w:rsidR="008B31F8">
        <w:rPr>
          <w:rFonts w:ascii="Arial" w:hAnsi="Arial" w:cs="Arial"/>
          <w:sz w:val="20"/>
          <w:szCs w:val="20"/>
        </w:rPr>
        <w:t>Le Défenseur des droits note aussi que la situation des agents contractuels dans la fonction publique est difficile. En effet, il apparaît que lors du congé de maternité, elles voient leur contrat ne pas être renouvelé. Le Défenseur des droits</w:t>
      </w:r>
      <w:r w:rsidR="00BE4E7D">
        <w:rPr>
          <w:rFonts w:ascii="Arial" w:hAnsi="Arial" w:cs="Arial"/>
          <w:sz w:val="20"/>
          <w:szCs w:val="20"/>
        </w:rPr>
        <w:t>, dans une décision de novembre 2014,</w:t>
      </w:r>
      <w:r w:rsidR="008B31F8">
        <w:rPr>
          <w:rFonts w:ascii="Arial" w:hAnsi="Arial" w:cs="Arial"/>
          <w:sz w:val="20"/>
          <w:szCs w:val="20"/>
        </w:rPr>
        <w:t xml:space="preserve"> relève</w:t>
      </w:r>
      <w:r w:rsidR="00BE4E7D">
        <w:rPr>
          <w:rFonts w:ascii="Arial" w:hAnsi="Arial" w:cs="Arial"/>
          <w:sz w:val="20"/>
          <w:szCs w:val="20"/>
        </w:rPr>
        <w:t xml:space="preserve"> qu’une telle initiative « </w:t>
      </w:r>
      <w:r w:rsidR="00BE4E7D" w:rsidRPr="00BE4E7D">
        <w:rPr>
          <w:rFonts w:ascii="Arial" w:hAnsi="Arial" w:cs="Arial"/>
          <w:i/>
          <w:sz w:val="20"/>
          <w:szCs w:val="20"/>
        </w:rPr>
        <w:t>n’en demeure pas moins totalement discriminatoire : si le renouvellement d’un contrat à durée déterminée n’est pas un droit pour l’agent, le refus doit répondre à l’intérêt du service et ne peut en aucun cas se fonder sur l’état de grossesse qui est un motif discriminatoire</w:t>
      </w:r>
      <w:r w:rsidR="00BE4E7D">
        <w:rPr>
          <w:rFonts w:ascii="Arial" w:hAnsi="Arial" w:cs="Arial"/>
          <w:sz w:val="20"/>
          <w:szCs w:val="20"/>
        </w:rPr>
        <w:t>. »</w:t>
      </w:r>
      <w:r w:rsidR="00BE4E7D" w:rsidRPr="00BE4E7D">
        <w:rPr>
          <w:rStyle w:val="Appelnotedebasdep"/>
          <w:rFonts w:ascii="Arial" w:hAnsi="Arial" w:cs="Arial"/>
          <w:b/>
          <w:sz w:val="18"/>
          <w:szCs w:val="18"/>
        </w:rPr>
        <w:footnoteReference w:id="7"/>
      </w:r>
      <w:r w:rsidR="00BE4E7D">
        <w:rPr>
          <w:rFonts w:ascii="Arial" w:hAnsi="Arial" w:cs="Arial"/>
          <w:sz w:val="20"/>
          <w:szCs w:val="20"/>
        </w:rPr>
        <w:t>.</w:t>
      </w:r>
    </w:p>
    <w:p w:rsidR="00BE4E7D" w:rsidRDefault="00BE4E7D" w:rsidP="00835365">
      <w:pPr>
        <w:spacing w:after="0" w:line="240" w:lineRule="auto"/>
        <w:jc w:val="both"/>
        <w:rPr>
          <w:rFonts w:ascii="Arial" w:hAnsi="Arial" w:cs="Arial"/>
          <w:sz w:val="20"/>
          <w:szCs w:val="20"/>
        </w:rPr>
      </w:pPr>
    </w:p>
    <w:p w:rsidR="00BE4E7D" w:rsidRDefault="006433AA" w:rsidP="00835365">
      <w:pPr>
        <w:spacing w:after="0" w:line="240" w:lineRule="auto"/>
        <w:jc w:val="both"/>
        <w:rPr>
          <w:rFonts w:ascii="Arial" w:hAnsi="Arial" w:cs="Arial"/>
          <w:sz w:val="20"/>
          <w:szCs w:val="20"/>
        </w:rPr>
      </w:pPr>
      <w:r w:rsidRPr="006433AA">
        <w:rPr>
          <w:rFonts w:ascii="Arial" w:hAnsi="Arial" w:cs="Arial"/>
          <w:b/>
          <w:sz w:val="16"/>
          <w:szCs w:val="16"/>
        </w:rPr>
        <w:lastRenderedPageBreak/>
        <w:t>2</w:t>
      </w:r>
      <w:r w:rsidR="00941505">
        <w:rPr>
          <w:rFonts w:ascii="Arial" w:hAnsi="Arial" w:cs="Arial"/>
          <w:b/>
          <w:sz w:val="16"/>
          <w:szCs w:val="16"/>
        </w:rPr>
        <w:t>2</w:t>
      </w:r>
      <w:r>
        <w:rPr>
          <w:rFonts w:ascii="Arial" w:hAnsi="Arial" w:cs="Arial"/>
          <w:sz w:val="20"/>
          <w:szCs w:val="20"/>
        </w:rPr>
        <w:t xml:space="preserve">. </w:t>
      </w:r>
      <w:r w:rsidR="006A32BD">
        <w:rPr>
          <w:rFonts w:ascii="Arial" w:hAnsi="Arial" w:cs="Arial"/>
          <w:sz w:val="20"/>
          <w:szCs w:val="20"/>
        </w:rPr>
        <w:t xml:space="preserve">Le code du travail protège une femme avant, pendant et après la grossesse. Cette protection s’applique en matière de licenciement mais également au retour de congé de maternité. Cependant, force est de constater que cette période donne lieu à de nombreux contentieux. Le Défenseur des droits note, qu’en </w:t>
      </w:r>
      <w:r w:rsidR="00C37871">
        <w:rPr>
          <w:rFonts w:ascii="Arial" w:hAnsi="Arial" w:cs="Arial"/>
          <w:sz w:val="20"/>
          <w:szCs w:val="20"/>
        </w:rPr>
        <w:t>« </w:t>
      </w:r>
      <w:r w:rsidR="006A32BD" w:rsidRPr="00C37871">
        <w:rPr>
          <w:rFonts w:ascii="Arial" w:hAnsi="Arial" w:cs="Arial"/>
          <w:i/>
          <w:sz w:val="20"/>
          <w:szCs w:val="20"/>
        </w:rPr>
        <w:t>dépit du dispositif très clair, mis en place pour prévenir les blocages dont les femmes sont victimes au cours de leur carrière, et de la jurisprudence abondante à laquelle elle a donné lieu</w:t>
      </w:r>
      <w:r w:rsidR="00C37871" w:rsidRPr="00C37871">
        <w:rPr>
          <w:rFonts w:ascii="Arial" w:hAnsi="Arial" w:cs="Arial"/>
          <w:i/>
          <w:sz w:val="20"/>
          <w:szCs w:val="20"/>
        </w:rPr>
        <w:t>, le Défenseur des droits est encore trop souvent saisi de réclamations montrant la mauvaise foi dans ce domaine ce certains employeurs, publics comme privés</w:t>
      </w:r>
      <w:r w:rsidR="00C37871">
        <w:rPr>
          <w:rFonts w:ascii="Arial" w:hAnsi="Arial" w:cs="Arial"/>
          <w:sz w:val="20"/>
          <w:szCs w:val="20"/>
        </w:rPr>
        <w:t>. ».</w:t>
      </w:r>
      <w:r w:rsidR="00F91D56">
        <w:rPr>
          <w:rFonts w:ascii="Arial" w:hAnsi="Arial" w:cs="Arial"/>
          <w:sz w:val="20"/>
          <w:szCs w:val="20"/>
        </w:rPr>
        <w:t xml:space="preserve"> Et de conclure que « </w:t>
      </w:r>
      <w:r w:rsidR="00F91D56" w:rsidRPr="00F91D56">
        <w:rPr>
          <w:rFonts w:ascii="Arial" w:hAnsi="Arial" w:cs="Arial"/>
          <w:i/>
          <w:sz w:val="20"/>
          <w:szCs w:val="20"/>
        </w:rPr>
        <w:t>les discriminations à l’égard des femmes dans le domaine de l’emploi ne se limitent pas aux critères du sexe, de l’état de grossesse ou de la situation de famille ; elles peuvent également viser leur orientation sexuelle.</w:t>
      </w:r>
      <w:r w:rsidR="00F91D56">
        <w:rPr>
          <w:rFonts w:ascii="Arial" w:hAnsi="Arial" w:cs="Arial"/>
          <w:sz w:val="20"/>
          <w:szCs w:val="20"/>
        </w:rPr>
        <w:t> ».</w:t>
      </w:r>
    </w:p>
    <w:p w:rsidR="00885564" w:rsidRDefault="00885564" w:rsidP="00835365">
      <w:pPr>
        <w:spacing w:after="0" w:line="240" w:lineRule="auto"/>
        <w:jc w:val="both"/>
        <w:rPr>
          <w:rFonts w:ascii="Arial" w:hAnsi="Arial" w:cs="Arial"/>
          <w:sz w:val="20"/>
          <w:szCs w:val="20"/>
        </w:rPr>
      </w:pPr>
    </w:p>
    <w:p w:rsidR="00885564" w:rsidRDefault="006433AA" w:rsidP="00835365">
      <w:pPr>
        <w:spacing w:after="0" w:line="240" w:lineRule="auto"/>
        <w:jc w:val="both"/>
        <w:rPr>
          <w:rFonts w:ascii="Arial" w:hAnsi="Arial" w:cs="Arial"/>
          <w:sz w:val="20"/>
          <w:szCs w:val="20"/>
        </w:rPr>
      </w:pPr>
      <w:r w:rsidRPr="006433AA">
        <w:rPr>
          <w:rFonts w:ascii="Arial" w:hAnsi="Arial" w:cs="Arial"/>
          <w:b/>
          <w:sz w:val="16"/>
          <w:szCs w:val="16"/>
        </w:rPr>
        <w:t>2</w:t>
      </w:r>
      <w:r w:rsidR="00941505">
        <w:rPr>
          <w:rFonts w:ascii="Arial" w:hAnsi="Arial" w:cs="Arial"/>
          <w:b/>
          <w:sz w:val="16"/>
          <w:szCs w:val="16"/>
        </w:rPr>
        <w:t>3</w:t>
      </w:r>
      <w:r>
        <w:rPr>
          <w:rFonts w:ascii="Arial" w:hAnsi="Arial" w:cs="Arial"/>
          <w:sz w:val="20"/>
          <w:szCs w:val="20"/>
        </w:rPr>
        <w:t xml:space="preserve">. </w:t>
      </w:r>
      <w:r w:rsidR="00F91D56">
        <w:rPr>
          <w:rFonts w:ascii="Arial" w:hAnsi="Arial" w:cs="Arial"/>
          <w:sz w:val="20"/>
          <w:szCs w:val="20"/>
        </w:rPr>
        <w:t xml:space="preserve">Certes, afin de veiller à la bonne application </w:t>
      </w:r>
      <w:r w:rsidR="001D6077">
        <w:rPr>
          <w:rFonts w:ascii="Arial" w:hAnsi="Arial" w:cs="Arial"/>
          <w:sz w:val="20"/>
          <w:szCs w:val="20"/>
        </w:rPr>
        <w:t>des mesures adoptées en faveur de l’égalité et de la parité entre femmes et hommes, le gouvernement a mis en place :</w:t>
      </w:r>
    </w:p>
    <w:p w:rsidR="0023443D" w:rsidRDefault="0023443D" w:rsidP="00835365">
      <w:pPr>
        <w:spacing w:after="0" w:line="240" w:lineRule="auto"/>
        <w:jc w:val="both"/>
        <w:rPr>
          <w:rFonts w:ascii="Arial" w:hAnsi="Arial" w:cs="Arial"/>
          <w:sz w:val="20"/>
          <w:szCs w:val="20"/>
        </w:rPr>
      </w:pPr>
    </w:p>
    <w:p w:rsidR="001D6077" w:rsidRDefault="001D6077" w:rsidP="001D6077">
      <w:pPr>
        <w:pStyle w:val="Paragraphedeliste"/>
        <w:numPr>
          <w:ilvl w:val="0"/>
          <w:numId w:val="6"/>
        </w:numPr>
        <w:spacing w:after="0" w:line="240" w:lineRule="auto"/>
        <w:jc w:val="both"/>
        <w:rPr>
          <w:rFonts w:ascii="Arial" w:hAnsi="Arial" w:cs="Arial"/>
          <w:sz w:val="20"/>
          <w:szCs w:val="20"/>
        </w:rPr>
      </w:pPr>
      <w:r>
        <w:rPr>
          <w:rFonts w:ascii="Arial" w:hAnsi="Arial" w:cs="Arial"/>
          <w:sz w:val="20"/>
          <w:szCs w:val="20"/>
        </w:rPr>
        <w:t>un haut fonctionnaire en charge de l’égalité des droits, nommé auprès de chaque ministre. Il a pour mission de définir et de mettre en œuvre la politique du ministère concerné en faveur de l’égalité entre les femmes et les homes ;</w:t>
      </w:r>
    </w:p>
    <w:p w:rsidR="001D6077" w:rsidRDefault="001D6077" w:rsidP="001D6077">
      <w:pPr>
        <w:pStyle w:val="Paragraphedeliste"/>
        <w:numPr>
          <w:ilvl w:val="0"/>
          <w:numId w:val="6"/>
        </w:numPr>
        <w:spacing w:after="0" w:line="240" w:lineRule="auto"/>
        <w:jc w:val="both"/>
        <w:rPr>
          <w:rFonts w:ascii="Arial" w:hAnsi="Arial" w:cs="Arial"/>
          <w:sz w:val="20"/>
          <w:szCs w:val="20"/>
        </w:rPr>
      </w:pPr>
      <w:r>
        <w:rPr>
          <w:rFonts w:ascii="Arial" w:hAnsi="Arial" w:cs="Arial"/>
          <w:sz w:val="20"/>
          <w:szCs w:val="20"/>
        </w:rPr>
        <w:t>un référent désigné au sein de chaque cabinet ministériel afin de faciliter la conduite du travail ministériel ;</w:t>
      </w:r>
    </w:p>
    <w:p w:rsidR="001D6077" w:rsidRDefault="001D6077" w:rsidP="001D6077">
      <w:pPr>
        <w:pStyle w:val="Paragraphedeliste"/>
        <w:numPr>
          <w:ilvl w:val="0"/>
          <w:numId w:val="6"/>
        </w:numPr>
        <w:spacing w:after="0" w:line="240" w:lineRule="auto"/>
        <w:jc w:val="both"/>
        <w:rPr>
          <w:rFonts w:ascii="Arial" w:hAnsi="Arial" w:cs="Arial"/>
          <w:sz w:val="20"/>
          <w:szCs w:val="20"/>
        </w:rPr>
      </w:pPr>
      <w:r>
        <w:rPr>
          <w:rFonts w:ascii="Arial" w:hAnsi="Arial" w:cs="Arial"/>
          <w:sz w:val="20"/>
          <w:szCs w:val="20"/>
        </w:rPr>
        <w:t>un dispositif d’évaluation systématique</w:t>
      </w:r>
      <w:r w:rsidR="000936B0">
        <w:rPr>
          <w:rFonts w:ascii="Arial" w:hAnsi="Arial" w:cs="Arial"/>
          <w:sz w:val="20"/>
          <w:szCs w:val="20"/>
        </w:rPr>
        <w:t xml:space="preserve"> de l’incidence des textes juridiques sur l’égalité entre les femmes et les hommes mis en place par la circulaire du Premier ministre du 23 août 2012 ;</w:t>
      </w:r>
    </w:p>
    <w:p w:rsidR="000936B0" w:rsidRDefault="000936B0" w:rsidP="001D6077">
      <w:pPr>
        <w:pStyle w:val="Paragraphedeliste"/>
        <w:numPr>
          <w:ilvl w:val="0"/>
          <w:numId w:val="6"/>
        </w:numPr>
        <w:spacing w:after="0" w:line="240" w:lineRule="auto"/>
        <w:jc w:val="both"/>
        <w:rPr>
          <w:rFonts w:ascii="Arial" w:hAnsi="Arial" w:cs="Arial"/>
          <w:sz w:val="20"/>
          <w:szCs w:val="20"/>
        </w:rPr>
      </w:pPr>
      <w:r>
        <w:rPr>
          <w:rFonts w:ascii="Arial" w:hAnsi="Arial" w:cs="Arial"/>
          <w:sz w:val="20"/>
          <w:szCs w:val="20"/>
        </w:rPr>
        <w:t>un Haut conseil à l’égalité entre les femmes et les hommes, créé le 3 janvier 2013 pour participer à l’évaluation des politiques publiques conduites dans ce domaine</w:t>
      </w:r>
      <w:r w:rsidR="00941505">
        <w:rPr>
          <w:rFonts w:ascii="Arial" w:hAnsi="Arial" w:cs="Arial"/>
          <w:sz w:val="20"/>
          <w:szCs w:val="20"/>
        </w:rPr>
        <w:t xml:space="preserve"> (en dehors de l’emploi et du travail) ;</w:t>
      </w:r>
    </w:p>
    <w:p w:rsidR="00941505" w:rsidRDefault="00941505" w:rsidP="001D6077">
      <w:pPr>
        <w:pStyle w:val="Paragraphedeliste"/>
        <w:numPr>
          <w:ilvl w:val="0"/>
          <w:numId w:val="6"/>
        </w:numPr>
        <w:spacing w:after="0" w:line="240" w:lineRule="auto"/>
        <w:jc w:val="both"/>
        <w:rPr>
          <w:rFonts w:ascii="Arial" w:hAnsi="Arial" w:cs="Arial"/>
          <w:sz w:val="20"/>
          <w:szCs w:val="20"/>
        </w:rPr>
      </w:pPr>
      <w:r>
        <w:rPr>
          <w:rFonts w:ascii="Arial" w:hAnsi="Arial" w:cs="Arial"/>
          <w:sz w:val="20"/>
          <w:szCs w:val="20"/>
        </w:rPr>
        <w:t>un Conseil supérieur de l’égalité professionnelle entre les femmes et les hommes, présidé par la Secrétaire d’Etat aux droits des femmes, compétent pour les politiques et les projets de textes en matière d’emploi et de travail.</w:t>
      </w:r>
    </w:p>
    <w:p w:rsidR="000936B0" w:rsidRDefault="000936B0" w:rsidP="000936B0">
      <w:pPr>
        <w:spacing w:after="0" w:line="240" w:lineRule="auto"/>
        <w:jc w:val="both"/>
        <w:rPr>
          <w:rFonts w:ascii="Arial" w:hAnsi="Arial" w:cs="Arial"/>
          <w:sz w:val="20"/>
          <w:szCs w:val="20"/>
        </w:rPr>
      </w:pPr>
    </w:p>
    <w:p w:rsidR="00405C62" w:rsidRDefault="006433AA" w:rsidP="000936B0">
      <w:pPr>
        <w:spacing w:after="0" w:line="240" w:lineRule="auto"/>
        <w:jc w:val="both"/>
        <w:rPr>
          <w:rFonts w:ascii="Arial" w:hAnsi="Arial" w:cs="Arial"/>
          <w:sz w:val="20"/>
          <w:szCs w:val="20"/>
        </w:rPr>
      </w:pPr>
      <w:r w:rsidRPr="006433AA">
        <w:rPr>
          <w:rFonts w:ascii="Arial" w:hAnsi="Arial" w:cs="Arial"/>
          <w:b/>
          <w:sz w:val="16"/>
          <w:szCs w:val="16"/>
        </w:rPr>
        <w:t>2</w:t>
      </w:r>
      <w:r w:rsidR="00941505">
        <w:rPr>
          <w:rFonts w:ascii="Arial" w:hAnsi="Arial" w:cs="Arial"/>
          <w:b/>
          <w:sz w:val="16"/>
          <w:szCs w:val="16"/>
        </w:rPr>
        <w:t>4</w:t>
      </w:r>
      <w:r>
        <w:rPr>
          <w:rFonts w:ascii="Arial" w:hAnsi="Arial" w:cs="Arial"/>
          <w:sz w:val="20"/>
          <w:szCs w:val="20"/>
        </w:rPr>
        <w:t xml:space="preserve">. </w:t>
      </w:r>
      <w:r w:rsidR="000936B0">
        <w:rPr>
          <w:rFonts w:ascii="Arial" w:hAnsi="Arial" w:cs="Arial"/>
          <w:sz w:val="20"/>
          <w:szCs w:val="20"/>
        </w:rPr>
        <w:t xml:space="preserve">Nonobstant l’existence de ces outils, il n’en demeure pas moins que la situation des femmes en </w:t>
      </w:r>
      <w:r w:rsidR="00413357">
        <w:rPr>
          <w:rFonts w:ascii="Arial" w:hAnsi="Arial" w:cs="Arial"/>
          <w:sz w:val="20"/>
          <w:szCs w:val="20"/>
        </w:rPr>
        <w:t>termes d’emploi</w:t>
      </w:r>
      <w:r w:rsidR="000936B0">
        <w:rPr>
          <w:rFonts w:ascii="Arial" w:hAnsi="Arial" w:cs="Arial"/>
          <w:sz w:val="20"/>
          <w:szCs w:val="20"/>
        </w:rPr>
        <w:t xml:space="preserve"> et de conditions de travail restent </w:t>
      </w:r>
      <w:r w:rsidR="00413357">
        <w:rPr>
          <w:rFonts w:ascii="Arial" w:hAnsi="Arial" w:cs="Arial"/>
          <w:sz w:val="20"/>
          <w:szCs w:val="20"/>
        </w:rPr>
        <w:t>lar</w:t>
      </w:r>
      <w:r w:rsidR="00405C62">
        <w:rPr>
          <w:rFonts w:ascii="Arial" w:hAnsi="Arial" w:cs="Arial"/>
          <w:sz w:val="20"/>
          <w:szCs w:val="20"/>
        </w:rPr>
        <w:t>gement inégalitaires en France.</w:t>
      </w:r>
    </w:p>
    <w:p w:rsidR="00405C62" w:rsidRDefault="00405C62" w:rsidP="000936B0">
      <w:pPr>
        <w:spacing w:after="0" w:line="240" w:lineRule="auto"/>
        <w:jc w:val="both"/>
        <w:rPr>
          <w:rFonts w:ascii="Arial" w:hAnsi="Arial" w:cs="Arial"/>
          <w:sz w:val="20"/>
          <w:szCs w:val="20"/>
        </w:rPr>
      </w:pPr>
    </w:p>
    <w:p w:rsidR="00405C62" w:rsidRDefault="006433AA" w:rsidP="000936B0">
      <w:pPr>
        <w:spacing w:after="0" w:line="240" w:lineRule="auto"/>
        <w:jc w:val="both"/>
        <w:rPr>
          <w:rFonts w:ascii="Arial" w:hAnsi="Arial" w:cs="Arial"/>
          <w:sz w:val="20"/>
          <w:szCs w:val="20"/>
        </w:rPr>
      </w:pPr>
      <w:r w:rsidRPr="006433AA">
        <w:rPr>
          <w:rFonts w:ascii="Arial" w:hAnsi="Arial" w:cs="Arial"/>
          <w:b/>
          <w:sz w:val="16"/>
          <w:szCs w:val="16"/>
        </w:rPr>
        <w:t>2</w:t>
      </w:r>
      <w:r w:rsidR="00941505">
        <w:rPr>
          <w:rFonts w:ascii="Arial" w:hAnsi="Arial" w:cs="Arial"/>
          <w:b/>
          <w:sz w:val="16"/>
          <w:szCs w:val="16"/>
        </w:rPr>
        <w:t>5</w:t>
      </w:r>
      <w:r>
        <w:rPr>
          <w:rFonts w:ascii="Arial" w:hAnsi="Arial" w:cs="Arial"/>
          <w:sz w:val="20"/>
          <w:szCs w:val="20"/>
        </w:rPr>
        <w:t xml:space="preserve">. </w:t>
      </w:r>
      <w:r w:rsidR="00405C62">
        <w:rPr>
          <w:rFonts w:ascii="Arial" w:hAnsi="Arial" w:cs="Arial"/>
          <w:sz w:val="20"/>
          <w:szCs w:val="20"/>
        </w:rPr>
        <w:t>Et le projet de loi relatif au dialogue social et à l’emploi</w:t>
      </w:r>
      <w:r w:rsidR="00B83BBA" w:rsidRPr="00B83BBA">
        <w:rPr>
          <w:rStyle w:val="Appelnotedebasdep"/>
          <w:rFonts w:ascii="Arial" w:hAnsi="Arial" w:cs="Arial"/>
          <w:b/>
          <w:sz w:val="18"/>
          <w:szCs w:val="18"/>
        </w:rPr>
        <w:footnoteReference w:id="8"/>
      </w:r>
      <w:r w:rsidR="00405C62" w:rsidRPr="00B83BBA">
        <w:rPr>
          <w:rFonts w:ascii="Arial" w:hAnsi="Arial" w:cs="Arial"/>
          <w:b/>
          <w:sz w:val="18"/>
          <w:szCs w:val="18"/>
        </w:rPr>
        <w:t xml:space="preserve"> </w:t>
      </w:r>
      <w:r w:rsidR="00405C62">
        <w:rPr>
          <w:rFonts w:ascii="Arial" w:hAnsi="Arial" w:cs="Arial"/>
          <w:sz w:val="20"/>
          <w:szCs w:val="20"/>
        </w:rPr>
        <w:t xml:space="preserve">ne peut que susciter </w:t>
      </w:r>
      <w:r w:rsidR="00181DA0">
        <w:rPr>
          <w:rFonts w:ascii="Arial" w:hAnsi="Arial" w:cs="Arial"/>
          <w:sz w:val="20"/>
          <w:szCs w:val="20"/>
        </w:rPr>
        <w:t>de multiples</w:t>
      </w:r>
      <w:r w:rsidR="00405C62">
        <w:rPr>
          <w:rFonts w:ascii="Arial" w:hAnsi="Arial" w:cs="Arial"/>
          <w:sz w:val="20"/>
          <w:szCs w:val="20"/>
        </w:rPr>
        <w:t xml:space="preserve"> inquiétude</w:t>
      </w:r>
      <w:r w:rsidR="00181DA0">
        <w:rPr>
          <w:rFonts w:ascii="Arial" w:hAnsi="Arial" w:cs="Arial"/>
          <w:sz w:val="20"/>
          <w:szCs w:val="20"/>
        </w:rPr>
        <w:t>s</w:t>
      </w:r>
      <w:r w:rsidR="00B83BBA">
        <w:rPr>
          <w:rFonts w:ascii="Arial" w:hAnsi="Arial" w:cs="Arial"/>
          <w:sz w:val="20"/>
          <w:szCs w:val="20"/>
        </w:rPr>
        <w:t xml:space="preserve"> sur le plan de l’égalité professionnelle femmes-hommes. </w:t>
      </w:r>
      <w:r w:rsidR="00941505">
        <w:rPr>
          <w:rFonts w:ascii="Arial" w:hAnsi="Arial" w:cs="Arial"/>
          <w:sz w:val="20"/>
          <w:szCs w:val="20"/>
        </w:rPr>
        <w:t xml:space="preserve">Le projet de loi en discussion à l’Assemblée nationale depuis le 26 mai 2015, remet en cause de nombreuses dispositions positives de la loi du 4 août 2014. Cette situation traduit le manque d’intérêt du ministre du travail pour la question de l’égalité professionnelle entre les femmes et les hommes. </w:t>
      </w:r>
      <w:r w:rsidR="00B83BBA">
        <w:rPr>
          <w:rFonts w:ascii="Arial" w:hAnsi="Arial" w:cs="Arial"/>
          <w:sz w:val="20"/>
          <w:szCs w:val="20"/>
        </w:rPr>
        <w:t>En effet, dans ce projet de loi, plusieurs dispositions mettent à mal la question de l’égalité professionnelle. A titre d’exemple, sans que cela soit exhaustif, il est possible de relever </w:t>
      </w:r>
      <w:r w:rsidR="00181DA0">
        <w:rPr>
          <w:rFonts w:ascii="Arial" w:hAnsi="Arial" w:cs="Arial"/>
          <w:sz w:val="20"/>
          <w:szCs w:val="20"/>
        </w:rPr>
        <w:t xml:space="preserve">dans ce projet de loi </w:t>
      </w:r>
      <w:r w:rsidR="00B83BBA">
        <w:rPr>
          <w:rFonts w:ascii="Arial" w:hAnsi="Arial" w:cs="Arial"/>
          <w:sz w:val="20"/>
          <w:szCs w:val="20"/>
        </w:rPr>
        <w:t>:</w:t>
      </w:r>
    </w:p>
    <w:p w:rsidR="009178EA" w:rsidRDefault="009178EA" w:rsidP="000936B0">
      <w:pPr>
        <w:spacing w:after="0" w:line="240" w:lineRule="auto"/>
        <w:jc w:val="both"/>
        <w:rPr>
          <w:rFonts w:ascii="Arial" w:hAnsi="Arial" w:cs="Arial"/>
          <w:sz w:val="20"/>
          <w:szCs w:val="20"/>
        </w:rPr>
      </w:pPr>
    </w:p>
    <w:p w:rsidR="00B83BBA" w:rsidRDefault="00B83BBA" w:rsidP="000936B0">
      <w:pPr>
        <w:pStyle w:val="Paragraphedeliste"/>
        <w:numPr>
          <w:ilvl w:val="0"/>
          <w:numId w:val="6"/>
        </w:numPr>
        <w:spacing w:after="0" w:line="240" w:lineRule="auto"/>
        <w:jc w:val="both"/>
        <w:rPr>
          <w:rFonts w:ascii="Arial" w:hAnsi="Arial" w:cs="Arial"/>
          <w:sz w:val="20"/>
          <w:szCs w:val="20"/>
        </w:rPr>
      </w:pPr>
      <w:r w:rsidRPr="00A74AD3">
        <w:rPr>
          <w:rFonts w:ascii="Arial" w:hAnsi="Arial" w:cs="Arial"/>
          <w:b/>
          <w:sz w:val="20"/>
          <w:szCs w:val="20"/>
        </w:rPr>
        <w:t>la disparition de la « Commission Egalité professionnelle »</w:t>
      </w:r>
      <w:r w:rsidRPr="00B83BBA">
        <w:rPr>
          <w:rFonts w:ascii="Arial" w:hAnsi="Arial" w:cs="Arial"/>
          <w:sz w:val="20"/>
          <w:szCs w:val="20"/>
        </w:rPr>
        <w:t xml:space="preserve"> dans les entreprises de plus de 200 salariés</w:t>
      </w:r>
      <w:r>
        <w:rPr>
          <w:rFonts w:ascii="Arial" w:hAnsi="Arial" w:cs="Arial"/>
          <w:sz w:val="20"/>
          <w:szCs w:val="20"/>
        </w:rPr>
        <w:t> ;</w:t>
      </w:r>
    </w:p>
    <w:p w:rsidR="009178EA" w:rsidRPr="009178EA" w:rsidRDefault="009178EA" w:rsidP="009178EA">
      <w:pPr>
        <w:spacing w:after="0" w:line="240" w:lineRule="auto"/>
        <w:jc w:val="both"/>
        <w:rPr>
          <w:rFonts w:ascii="Arial" w:hAnsi="Arial" w:cs="Arial"/>
          <w:sz w:val="20"/>
          <w:szCs w:val="20"/>
        </w:rPr>
      </w:pPr>
    </w:p>
    <w:p w:rsidR="00C178EC" w:rsidRPr="00C178EC" w:rsidRDefault="003E6240" w:rsidP="00C178EC">
      <w:pPr>
        <w:pStyle w:val="Paragraphedeliste"/>
        <w:numPr>
          <w:ilvl w:val="0"/>
          <w:numId w:val="6"/>
        </w:numPr>
        <w:spacing w:after="0" w:line="240" w:lineRule="auto"/>
        <w:jc w:val="both"/>
        <w:rPr>
          <w:rFonts w:ascii="Arial" w:hAnsi="Arial" w:cs="Arial"/>
          <w:sz w:val="20"/>
          <w:szCs w:val="20"/>
        </w:rPr>
      </w:pPr>
      <w:r w:rsidRPr="00A74AD3">
        <w:rPr>
          <w:rFonts w:ascii="Arial" w:hAnsi="Arial" w:cs="Arial"/>
          <w:b/>
          <w:sz w:val="20"/>
          <w:szCs w:val="20"/>
        </w:rPr>
        <w:t>l’intégration du Rapport de Situation Comparée (RSC) dans une base de données unique</w:t>
      </w:r>
      <w:r>
        <w:rPr>
          <w:rFonts w:ascii="Arial" w:hAnsi="Arial" w:cs="Arial"/>
          <w:sz w:val="20"/>
          <w:szCs w:val="20"/>
        </w:rPr>
        <w:t xml:space="preserve">. Il est à rappeler que, jusqu’à présent, les entreprises de plus de 300 salariés doivent réaliser un document de mesure et d’analyse des écarts de salaires, dénommé RSC. La loi du 4 août 2014 pour l’égalité réelle entre les femmes et les hommes </w:t>
      </w:r>
      <w:r w:rsidR="0023443D">
        <w:rPr>
          <w:rFonts w:ascii="Arial" w:hAnsi="Arial" w:cs="Arial"/>
          <w:sz w:val="20"/>
          <w:szCs w:val="20"/>
        </w:rPr>
        <w:t>a défini</w:t>
      </w:r>
      <w:r>
        <w:rPr>
          <w:rFonts w:ascii="Arial" w:hAnsi="Arial" w:cs="Arial"/>
          <w:sz w:val="20"/>
          <w:szCs w:val="20"/>
        </w:rPr>
        <w:t xml:space="preserve"> les thèmes qui doivent être abordés : embauche, carrière, mixité, etc. </w:t>
      </w:r>
      <w:r w:rsidR="00A74AD3">
        <w:rPr>
          <w:rFonts w:ascii="Arial" w:hAnsi="Arial" w:cs="Arial"/>
          <w:sz w:val="20"/>
          <w:szCs w:val="20"/>
        </w:rPr>
        <w:t xml:space="preserve">Le RSC établit, pour chaque thème abordé, des objectifs à atteindre. </w:t>
      </w:r>
      <w:r>
        <w:rPr>
          <w:rFonts w:ascii="Arial" w:hAnsi="Arial" w:cs="Arial"/>
          <w:sz w:val="20"/>
          <w:szCs w:val="20"/>
        </w:rPr>
        <w:t>Par ce projet de loi</w:t>
      </w:r>
      <w:r w:rsidR="00A74AD3">
        <w:rPr>
          <w:rFonts w:ascii="Arial" w:hAnsi="Arial" w:cs="Arial"/>
          <w:sz w:val="20"/>
          <w:szCs w:val="20"/>
        </w:rPr>
        <w:t xml:space="preserve">, les entreprises de plus de 300 salariés devront seulement transmettre des informations statistiques au Comité d’entreprise sur la situation de l’entreprise. Certes, ces informations comprennent les éléments sur la situation des femmes et des hommes mais ils seront fusionnés avec d’autres informations ne relevant pas de cette thématique. </w:t>
      </w:r>
      <w:r w:rsidR="0023443D">
        <w:rPr>
          <w:rFonts w:ascii="Arial" w:hAnsi="Arial" w:cs="Arial"/>
          <w:sz w:val="20"/>
          <w:szCs w:val="20"/>
        </w:rPr>
        <w:t>En outre, il ne sera plus fait mention de l’analyse des données ni de la définition d’objectifs.</w:t>
      </w:r>
      <w:r w:rsidR="00941505">
        <w:rPr>
          <w:rFonts w:ascii="Arial" w:hAnsi="Arial" w:cs="Arial"/>
          <w:sz w:val="20"/>
          <w:szCs w:val="20"/>
        </w:rPr>
        <w:t xml:space="preserve"> La situation est encore aggravée dans les entreprises de 50 à 299 salariés sur ces différents points.</w:t>
      </w:r>
    </w:p>
    <w:p w:rsidR="00C178EC" w:rsidRPr="00C178EC" w:rsidRDefault="00C178EC" w:rsidP="00C178EC">
      <w:pPr>
        <w:pStyle w:val="Paragraphedeliste"/>
        <w:spacing w:after="0" w:line="240" w:lineRule="auto"/>
        <w:ind w:left="1065"/>
        <w:jc w:val="both"/>
        <w:rPr>
          <w:rFonts w:ascii="Arial" w:hAnsi="Arial" w:cs="Arial"/>
          <w:sz w:val="20"/>
          <w:szCs w:val="20"/>
        </w:rPr>
      </w:pPr>
      <w:r w:rsidRPr="00C178EC">
        <w:rPr>
          <w:rFonts w:ascii="Arial" w:hAnsi="Arial" w:cs="Arial"/>
          <w:sz w:val="20"/>
          <w:szCs w:val="20"/>
        </w:rPr>
        <w:lastRenderedPageBreak/>
        <w:t>Des amendements parlementaires ont été déposés en vue de rétablir les principales dispositions supprimées de la loi du 4 août 2014 (rapport de l’employeur sur la situation comparée des femmes et des hommes dans l’entreprise, etc.).</w:t>
      </w:r>
    </w:p>
    <w:p w:rsidR="00C178EC" w:rsidRPr="00C178EC" w:rsidRDefault="00C178EC" w:rsidP="00C178EC">
      <w:pPr>
        <w:spacing w:after="0" w:line="240" w:lineRule="auto"/>
        <w:jc w:val="both"/>
        <w:rPr>
          <w:rFonts w:ascii="Arial" w:hAnsi="Arial" w:cs="Arial"/>
          <w:sz w:val="20"/>
          <w:szCs w:val="20"/>
        </w:rPr>
      </w:pPr>
    </w:p>
    <w:p w:rsidR="0023443D" w:rsidRPr="0023443D" w:rsidRDefault="0023443D" w:rsidP="0023443D">
      <w:pPr>
        <w:pStyle w:val="Paragraphedeliste"/>
        <w:rPr>
          <w:rFonts w:ascii="Arial" w:hAnsi="Arial" w:cs="Arial"/>
          <w:sz w:val="20"/>
          <w:szCs w:val="20"/>
        </w:rPr>
      </w:pPr>
    </w:p>
    <w:p w:rsidR="0023443D" w:rsidRDefault="0023443D" w:rsidP="000936B0">
      <w:pPr>
        <w:pStyle w:val="Paragraphedeliste"/>
        <w:numPr>
          <w:ilvl w:val="0"/>
          <w:numId w:val="6"/>
        </w:numPr>
        <w:spacing w:after="0" w:line="240" w:lineRule="auto"/>
        <w:jc w:val="both"/>
        <w:rPr>
          <w:rFonts w:ascii="Arial" w:hAnsi="Arial" w:cs="Arial"/>
          <w:sz w:val="20"/>
          <w:szCs w:val="20"/>
        </w:rPr>
      </w:pPr>
      <w:r w:rsidRPr="00FB62C1">
        <w:rPr>
          <w:rFonts w:ascii="Arial" w:hAnsi="Arial" w:cs="Arial"/>
          <w:b/>
          <w:sz w:val="20"/>
          <w:szCs w:val="20"/>
        </w:rPr>
        <w:t xml:space="preserve">la </w:t>
      </w:r>
      <w:r w:rsidR="00181DA0">
        <w:rPr>
          <w:rFonts w:ascii="Arial" w:hAnsi="Arial" w:cs="Arial"/>
          <w:b/>
          <w:sz w:val="20"/>
          <w:szCs w:val="20"/>
        </w:rPr>
        <w:t xml:space="preserve">disparition de la </w:t>
      </w:r>
      <w:r w:rsidRPr="00FB62C1">
        <w:rPr>
          <w:rFonts w:ascii="Arial" w:hAnsi="Arial" w:cs="Arial"/>
          <w:b/>
          <w:sz w:val="20"/>
          <w:szCs w:val="20"/>
        </w:rPr>
        <w:t>négociation égalité professionnelle</w:t>
      </w:r>
      <w:r>
        <w:rPr>
          <w:rFonts w:ascii="Arial" w:hAnsi="Arial" w:cs="Arial"/>
          <w:sz w:val="20"/>
          <w:szCs w:val="20"/>
        </w:rPr>
        <w:t>. Jusqu’à présent les entreprises sont obligées de négocier</w:t>
      </w:r>
      <w:r w:rsidR="00181DA0">
        <w:rPr>
          <w:rFonts w:ascii="Arial" w:hAnsi="Arial" w:cs="Arial"/>
          <w:sz w:val="20"/>
          <w:szCs w:val="20"/>
        </w:rPr>
        <w:t xml:space="preserve"> spécifiquement, avec les </w:t>
      </w:r>
      <w:r w:rsidR="00941505">
        <w:rPr>
          <w:rFonts w:ascii="Arial" w:hAnsi="Arial" w:cs="Arial"/>
          <w:sz w:val="20"/>
          <w:szCs w:val="20"/>
        </w:rPr>
        <w:t>organisations syndicales présentes</w:t>
      </w:r>
      <w:r w:rsidR="00181DA0">
        <w:rPr>
          <w:rFonts w:ascii="Arial" w:hAnsi="Arial" w:cs="Arial"/>
          <w:sz w:val="20"/>
          <w:szCs w:val="20"/>
        </w:rPr>
        <w:t>,</w:t>
      </w:r>
      <w:r>
        <w:rPr>
          <w:rFonts w:ascii="Arial" w:hAnsi="Arial" w:cs="Arial"/>
          <w:sz w:val="20"/>
          <w:szCs w:val="20"/>
        </w:rPr>
        <w:t xml:space="preserve"> chaque année </w:t>
      </w:r>
      <w:r w:rsidR="00181DA0">
        <w:rPr>
          <w:rFonts w:ascii="Arial" w:hAnsi="Arial" w:cs="Arial"/>
          <w:sz w:val="20"/>
          <w:szCs w:val="20"/>
        </w:rPr>
        <w:t xml:space="preserve">un accord en faveur de l’égalité professionnelle. Les thèmes de négociation sont définis par la loi. La rémunération fait partie des thèmes négociés. Pour ce faire, la négociation s’appuie sur le RSC. Le projet de loi fait disparaître cette négociation et met en place deux négociations distinctes : une sur les </w:t>
      </w:r>
      <w:r w:rsidR="00941505">
        <w:rPr>
          <w:rFonts w:ascii="Arial" w:hAnsi="Arial" w:cs="Arial"/>
          <w:sz w:val="20"/>
          <w:szCs w:val="20"/>
        </w:rPr>
        <w:t>rémunérations et le temps de travail</w:t>
      </w:r>
      <w:r w:rsidR="00181DA0">
        <w:rPr>
          <w:rFonts w:ascii="Arial" w:hAnsi="Arial" w:cs="Arial"/>
          <w:sz w:val="20"/>
          <w:szCs w:val="20"/>
        </w:rPr>
        <w:t xml:space="preserve"> et une sur la qualité de vie au travail. Les thématiques abordées dans chacune de ces négociations ne sont plus reliées au RSC, et donc n’ont plus comme objectif de </w:t>
      </w:r>
      <w:r w:rsidR="002F7A42">
        <w:rPr>
          <w:rFonts w:ascii="Arial" w:hAnsi="Arial" w:cs="Arial"/>
          <w:sz w:val="20"/>
          <w:szCs w:val="20"/>
        </w:rPr>
        <w:t>supprimer</w:t>
      </w:r>
      <w:r w:rsidR="00181DA0">
        <w:rPr>
          <w:rFonts w:ascii="Arial" w:hAnsi="Arial" w:cs="Arial"/>
          <w:sz w:val="20"/>
          <w:szCs w:val="20"/>
        </w:rPr>
        <w:t xml:space="preserve"> les écarts</w:t>
      </w:r>
      <w:r w:rsidR="00673A33">
        <w:rPr>
          <w:rFonts w:ascii="Arial" w:hAnsi="Arial" w:cs="Arial"/>
          <w:sz w:val="20"/>
          <w:szCs w:val="20"/>
        </w:rPr>
        <w:t xml:space="preserve"> qui pouvaient y être constatés. De surcroît, ces deux négociations peuvent passer de 1 à 3 ans par simple accord d’entreprise.</w:t>
      </w:r>
      <w:r w:rsidR="002F7A42">
        <w:rPr>
          <w:rFonts w:ascii="Arial" w:hAnsi="Arial" w:cs="Arial"/>
          <w:sz w:val="20"/>
          <w:szCs w:val="20"/>
        </w:rPr>
        <w:t xml:space="preserve"> Les règles prévoyant que la négociation doit être sérieuse et loyale sont supprimées dans le projet de loi.</w:t>
      </w:r>
    </w:p>
    <w:p w:rsidR="002F7A42" w:rsidRPr="002F7A42" w:rsidRDefault="002F7A42" w:rsidP="002F7A42">
      <w:pPr>
        <w:pStyle w:val="Paragraphedeliste"/>
        <w:rPr>
          <w:rFonts w:ascii="Arial" w:hAnsi="Arial" w:cs="Arial"/>
          <w:sz w:val="20"/>
          <w:szCs w:val="20"/>
        </w:rPr>
      </w:pPr>
    </w:p>
    <w:p w:rsidR="002F7A42" w:rsidRDefault="002F7A42" w:rsidP="000936B0">
      <w:pPr>
        <w:pStyle w:val="Paragraphedeliste"/>
        <w:numPr>
          <w:ilvl w:val="0"/>
          <w:numId w:val="6"/>
        </w:numPr>
        <w:spacing w:after="0" w:line="240" w:lineRule="auto"/>
        <w:jc w:val="both"/>
        <w:rPr>
          <w:rFonts w:ascii="Arial" w:hAnsi="Arial" w:cs="Arial"/>
          <w:sz w:val="20"/>
          <w:szCs w:val="20"/>
        </w:rPr>
      </w:pPr>
      <w:r w:rsidRPr="002F7A42">
        <w:rPr>
          <w:rFonts w:ascii="Arial" w:hAnsi="Arial" w:cs="Arial"/>
          <w:b/>
          <w:sz w:val="20"/>
          <w:szCs w:val="20"/>
        </w:rPr>
        <w:t xml:space="preserve">la </w:t>
      </w:r>
      <w:r w:rsidR="00392BE8">
        <w:rPr>
          <w:rFonts w:ascii="Arial" w:hAnsi="Arial" w:cs="Arial"/>
          <w:b/>
          <w:sz w:val="20"/>
          <w:szCs w:val="20"/>
        </w:rPr>
        <w:t>réforme</w:t>
      </w:r>
      <w:r w:rsidRPr="002F7A42">
        <w:rPr>
          <w:rFonts w:ascii="Arial" w:hAnsi="Arial" w:cs="Arial"/>
          <w:b/>
          <w:sz w:val="20"/>
          <w:szCs w:val="20"/>
        </w:rPr>
        <w:t xml:space="preserve"> du Comité d’hygiène, de sécurité et des conditions de travail</w:t>
      </w:r>
      <w:r w:rsidR="00392BE8">
        <w:rPr>
          <w:rFonts w:ascii="Arial" w:hAnsi="Arial" w:cs="Arial"/>
          <w:b/>
          <w:sz w:val="20"/>
          <w:szCs w:val="20"/>
        </w:rPr>
        <w:t xml:space="preserve"> (CHSCT)</w:t>
      </w:r>
      <w:r>
        <w:rPr>
          <w:rFonts w:ascii="Arial" w:hAnsi="Arial" w:cs="Arial"/>
          <w:sz w:val="20"/>
          <w:szCs w:val="20"/>
        </w:rPr>
        <w:t xml:space="preserve">. </w:t>
      </w:r>
      <w:r w:rsidR="00392BE8">
        <w:rPr>
          <w:rFonts w:ascii="Arial" w:hAnsi="Arial" w:cs="Arial"/>
          <w:sz w:val="20"/>
          <w:szCs w:val="20"/>
        </w:rPr>
        <w:t>Le CHSCT</w:t>
      </w:r>
      <w:r>
        <w:rPr>
          <w:rFonts w:ascii="Arial" w:hAnsi="Arial" w:cs="Arial"/>
          <w:sz w:val="20"/>
          <w:szCs w:val="20"/>
        </w:rPr>
        <w:t xml:space="preserve"> d’une instance spécialisée sur les questions de santé au travail compétente notamment pour les risques professionnels auxquels sont exposées les femmes, dans les entreprises de moins de 300 salariés (alors que la loi du 4 août 2014 impose une évaluation sexuée des risques professionnels pour mettre fin à la sous-évaluation des risques auxquels sont exposées les femmes salariées).</w:t>
      </w:r>
      <w:r w:rsidR="00392BE8">
        <w:rPr>
          <w:rFonts w:ascii="Arial" w:hAnsi="Arial" w:cs="Arial"/>
          <w:sz w:val="20"/>
          <w:szCs w:val="20"/>
        </w:rPr>
        <w:t xml:space="preserve"> Dans le présent projet de loi, si les prérogatives du CHSCT restent inchangées, son fonctionnement pourrait être modifié, reléguant au second plan les questions de santé au travail.</w:t>
      </w:r>
    </w:p>
    <w:p w:rsidR="00673A33" w:rsidRDefault="00673A33" w:rsidP="00673A33">
      <w:pPr>
        <w:spacing w:after="0" w:line="240" w:lineRule="auto"/>
        <w:jc w:val="both"/>
        <w:rPr>
          <w:rFonts w:ascii="Arial" w:hAnsi="Arial" w:cs="Arial"/>
          <w:sz w:val="20"/>
          <w:szCs w:val="20"/>
        </w:rPr>
      </w:pPr>
    </w:p>
    <w:p w:rsidR="00673A33" w:rsidRPr="00673A33" w:rsidRDefault="00673A33" w:rsidP="00673A33">
      <w:pPr>
        <w:spacing w:after="0" w:line="240" w:lineRule="auto"/>
        <w:jc w:val="both"/>
        <w:rPr>
          <w:rFonts w:ascii="Arial" w:hAnsi="Arial" w:cs="Arial"/>
          <w:sz w:val="20"/>
          <w:szCs w:val="20"/>
        </w:rPr>
      </w:pPr>
    </w:p>
    <w:p w:rsidR="00413357" w:rsidRPr="000936B0" w:rsidRDefault="00413357" w:rsidP="000936B0">
      <w:pPr>
        <w:spacing w:after="0" w:line="240" w:lineRule="auto"/>
        <w:jc w:val="both"/>
        <w:rPr>
          <w:rFonts w:ascii="Arial" w:hAnsi="Arial" w:cs="Arial"/>
          <w:sz w:val="20"/>
          <w:szCs w:val="20"/>
        </w:rPr>
      </w:pPr>
    </w:p>
    <w:p w:rsidR="00B84801" w:rsidRDefault="00B84801" w:rsidP="00835365">
      <w:pPr>
        <w:spacing w:after="0" w:line="240" w:lineRule="auto"/>
        <w:jc w:val="both"/>
        <w:rPr>
          <w:rFonts w:ascii="Arial" w:hAnsi="Arial" w:cs="Arial"/>
          <w:sz w:val="20"/>
          <w:szCs w:val="20"/>
        </w:rPr>
      </w:pPr>
    </w:p>
    <w:p w:rsidR="00B84801" w:rsidRPr="002A2410" w:rsidRDefault="00413357" w:rsidP="002A2410">
      <w:pPr>
        <w:pStyle w:val="Titre2"/>
        <w:shd w:val="clear" w:color="auto" w:fill="BFBFBF" w:themeFill="background1" w:themeFillShade="BF"/>
        <w:spacing w:before="0" w:line="240" w:lineRule="auto"/>
        <w:jc w:val="both"/>
        <w:rPr>
          <w:rFonts w:ascii="Arial" w:hAnsi="Arial" w:cs="Arial"/>
          <w:smallCaps/>
          <w:color w:val="auto"/>
          <w:sz w:val="20"/>
          <w:szCs w:val="20"/>
        </w:rPr>
      </w:pPr>
      <w:bookmarkStart w:id="4" w:name="_Toc420924107"/>
      <w:r w:rsidRPr="002A2410">
        <w:rPr>
          <w:rFonts w:ascii="Arial" w:hAnsi="Arial" w:cs="Arial"/>
          <w:smallCaps/>
          <w:color w:val="auto"/>
          <w:sz w:val="20"/>
          <w:szCs w:val="20"/>
        </w:rPr>
        <w:t>Recommandations</w:t>
      </w:r>
      <w:bookmarkEnd w:id="4"/>
    </w:p>
    <w:p w:rsidR="00413357" w:rsidRDefault="00413357" w:rsidP="00835365">
      <w:pPr>
        <w:spacing w:after="0" w:line="240" w:lineRule="auto"/>
        <w:jc w:val="both"/>
        <w:rPr>
          <w:rFonts w:ascii="Arial" w:hAnsi="Arial" w:cs="Arial"/>
          <w:sz w:val="20"/>
          <w:szCs w:val="20"/>
        </w:rPr>
      </w:pPr>
    </w:p>
    <w:p w:rsidR="00413357" w:rsidRDefault="00413357" w:rsidP="00835365">
      <w:pPr>
        <w:spacing w:after="0" w:line="240" w:lineRule="auto"/>
        <w:jc w:val="both"/>
        <w:rPr>
          <w:rFonts w:ascii="Arial" w:hAnsi="Arial" w:cs="Arial"/>
          <w:sz w:val="20"/>
          <w:szCs w:val="20"/>
        </w:rPr>
      </w:pPr>
      <w:r>
        <w:rPr>
          <w:rFonts w:ascii="Arial" w:hAnsi="Arial" w:cs="Arial"/>
          <w:sz w:val="20"/>
          <w:szCs w:val="20"/>
        </w:rPr>
        <w:t>La Ligue des droits de l’Homme demandent aux autorités françaises :</w:t>
      </w:r>
    </w:p>
    <w:p w:rsidR="00B84801" w:rsidRDefault="00B84801" w:rsidP="00835365">
      <w:pPr>
        <w:spacing w:after="0" w:line="240" w:lineRule="auto"/>
        <w:jc w:val="both"/>
        <w:rPr>
          <w:rFonts w:ascii="Arial" w:hAnsi="Arial" w:cs="Arial"/>
          <w:sz w:val="20"/>
          <w:szCs w:val="20"/>
        </w:rPr>
      </w:pPr>
    </w:p>
    <w:p w:rsidR="00B84801" w:rsidRDefault="002F7A42" w:rsidP="002F7A42">
      <w:pPr>
        <w:pStyle w:val="Paragraphedeliste"/>
        <w:numPr>
          <w:ilvl w:val="0"/>
          <w:numId w:val="6"/>
        </w:numPr>
        <w:spacing w:after="0" w:line="240" w:lineRule="auto"/>
        <w:jc w:val="both"/>
        <w:rPr>
          <w:rFonts w:ascii="Arial" w:hAnsi="Arial" w:cs="Arial"/>
          <w:sz w:val="20"/>
          <w:szCs w:val="20"/>
        </w:rPr>
      </w:pPr>
      <w:r>
        <w:rPr>
          <w:rFonts w:ascii="Arial" w:hAnsi="Arial" w:cs="Arial"/>
          <w:sz w:val="20"/>
          <w:szCs w:val="20"/>
        </w:rPr>
        <w:t>de rétablir intégralement les dispositions législatives, issues de la loi du 4 août 2014, dont la suppression est prévue dans le projet de loi « Dialogue social et emploi » ;</w:t>
      </w:r>
    </w:p>
    <w:p w:rsidR="002F7A42" w:rsidRPr="002F7A42" w:rsidRDefault="002F7A42" w:rsidP="002F7A42">
      <w:pPr>
        <w:spacing w:after="0" w:line="240" w:lineRule="auto"/>
        <w:jc w:val="both"/>
        <w:rPr>
          <w:rFonts w:ascii="Arial" w:hAnsi="Arial" w:cs="Arial"/>
          <w:sz w:val="20"/>
          <w:szCs w:val="20"/>
        </w:rPr>
      </w:pPr>
    </w:p>
    <w:p w:rsidR="002F7A42" w:rsidRDefault="00EE03C5" w:rsidP="002F7A42">
      <w:pPr>
        <w:pStyle w:val="Paragraphedeliste"/>
        <w:numPr>
          <w:ilvl w:val="0"/>
          <w:numId w:val="6"/>
        </w:numPr>
        <w:spacing w:after="0" w:line="240" w:lineRule="auto"/>
        <w:jc w:val="both"/>
        <w:rPr>
          <w:rFonts w:ascii="Arial" w:hAnsi="Arial" w:cs="Arial"/>
          <w:sz w:val="20"/>
          <w:szCs w:val="20"/>
        </w:rPr>
      </w:pPr>
      <w:r>
        <w:rPr>
          <w:rFonts w:ascii="Arial" w:hAnsi="Arial" w:cs="Arial"/>
          <w:sz w:val="20"/>
          <w:szCs w:val="20"/>
        </w:rPr>
        <w:t xml:space="preserve">d’accroître les moyens et </w:t>
      </w:r>
      <w:r w:rsidR="002F7A42">
        <w:rPr>
          <w:rFonts w:ascii="Arial" w:hAnsi="Arial" w:cs="Arial"/>
          <w:sz w:val="20"/>
          <w:szCs w:val="20"/>
        </w:rPr>
        <w:t>de mobiliser effectivement les services de l’inspection du travail en vue d’obtenir des entreprises le respect de leurs obligations en matière d’égalité professionnelle entre les femmes et les hommes et en matière de négociation collective avec les organisations syndicales sur ce sujet ;</w:t>
      </w:r>
    </w:p>
    <w:p w:rsidR="002F7A42" w:rsidRPr="002F7A42" w:rsidRDefault="002F7A42" w:rsidP="002F7A42">
      <w:pPr>
        <w:pStyle w:val="Paragraphedeliste"/>
        <w:rPr>
          <w:rFonts w:ascii="Arial" w:hAnsi="Arial" w:cs="Arial"/>
          <w:sz w:val="20"/>
          <w:szCs w:val="20"/>
        </w:rPr>
      </w:pPr>
    </w:p>
    <w:p w:rsidR="002F7A42" w:rsidRDefault="002F7A42" w:rsidP="002F7A42">
      <w:pPr>
        <w:pStyle w:val="Paragraphedeliste"/>
        <w:numPr>
          <w:ilvl w:val="0"/>
          <w:numId w:val="6"/>
        </w:numPr>
        <w:spacing w:after="0" w:line="240" w:lineRule="auto"/>
        <w:jc w:val="both"/>
        <w:rPr>
          <w:rFonts w:ascii="Arial" w:hAnsi="Arial" w:cs="Arial"/>
          <w:sz w:val="20"/>
          <w:szCs w:val="20"/>
        </w:rPr>
      </w:pPr>
      <w:r>
        <w:rPr>
          <w:rFonts w:ascii="Arial" w:hAnsi="Arial" w:cs="Arial"/>
          <w:sz w:val="20"/>
          <w:szCs w:val="20"/>
        </w:rPr>
        <w:t>d’adopter une réforme judiciaire permettant la mise en œuvre d’une « action de groupe » contre les discriminations à l’égard des femmes dans l’emploi et le travail</w:t>
      </w:r>
      <w:r w:rsidR="001C2B43">
        <w:rPr>
          <w:rFonts w:ascii="Arial" w:hAnsi="Arial" w:cs="Arial"/>
          <w:sz w:val="20"/>
          <w:szCs w:val="20"/>
        </w:rPr>
        <w:t> ; cette action de groupe, pour être réellement mise en œuvre, devra pouvoir être déclenchée par les associations compétentes dans les mêmes conditions que par les organisations syndicales salariées ; l’objet de cette action de groupe devra être d’obtenir la réparation intégrale de tous les préjudices découlant de ces discriminations.</w:t>
      </w:r>
    </w:p>
    <w:p w:rsidR="002F7A42" w:rsidRPr="002F7A42" w:rsidRDefault="002F7A42" w:rsidP="002F7A42">
      <w:pPr>
        <w:spacing w:after="0" w:line="240" w:lineRule="auto"/>
        <w:jc w:val="both"/>
        <w:rPr>
          <w:rFonts w:ascii="Arial" w:hAnsi="Arial" w:cs="Arial"/>
          <w:sz w:val="20"/>
          <w:szCs w:val="20"/>
        </w:rPr>
      </w:pPr>
    </w:p>
    <w:p w:rsidR="00B84801" w:rsidRDefault="00B84801" w:rsidP="00835365">
      <w:pPr>
        <w:spacing w:after="0" w:line="240" w:lineRule="auto"/>
        <w:jc w:val="both"/>
        <w:rPr>
          <w:rFonts w:ascii="Arial" w:hAnsi="Arial" w:cs="Arial"/>
          <w:sz w:val="20"/>
          <w:szCs w:val="20"/>
        </w:rPr>
      </w:pPr>
    </w:p>
    <w:p w:rsidR="00673A33" w:rsidRDefault="00673A33" w:rsidP="00835365">
      <w:pPr>
        <w:spacing w:after="0" w:line="240" w:lineRule="auto"/>
        <w:jc w:val="both"/>
        <w:rPr>
          <w:rFonts w:ascii="Arial" w:hAnsi="Arial" w:cs="Arial"/>
          <w:sz w:val="20"/>
          <w:szCs w:val="20"/>
        </w:rPr>
      </w:pPr>
    </w:p>
    <w:p w:rsidR="00B84801" w:rsidRPr="003D3D4B" w:rsidRDefault="00413357" w:rsidP="00FB6C71">
      <w:pPr>
        <w:pStyle w:val="Titre2"/>
        <w:numPr>
          <w:ilvl w:val="0"/>
          <w:numId w:val="14"/>
        </w:numPr>
        <w:spacing w:before="0" w:line="240" w:lineRule="auto"/>
        <w:jc w:val="both"/>
        <w:rPr>
          <w:rFonts w:ascii="Arial" w:hAnsi="Arial" w:cs="Arial"/>
          <w:b w:val="0"/>
          <w:color w:val="auto"/>
          <w:sz w:val="20"/>
          <w:szCs w:val="20"/>
          <w:u w:val="single"/>
        </w:rPr>
      </w:pPr>
      <w:bookmarkStart w:id="5" w:name="_Toc420924108"/>
      <w:r w:rsidRPr="003D3D4B">
        <w:rPr>
          <w:rFonts w:ascii="Arial" w:hAnsi="Arial" w:cs="Arial"/>
          <w:b w:val="0"/>
          <w:color w:val="auto"/>
          <w:sz w:val="20"/>
          <w:szCs w:val="20"/>
          <w:u w:val="single"/>
        </w:rPr>
        <w:t xml:space="preserve">Gens du voyage et </w:t>
      </w:r>
      <w:proofErr w:type="spellStart"/>
      <w:r w:rsidRPr="003D3D4B">
        <w:rPr>
          <w:rFonts w:ascii="Arial" w:hAnsi="Arial" w:cs="Arial"/>
          <w:b w:val="0"/>
          <w:color w:val="auto"/>
          <w:sz w:val="20"/>
          <w:szCs w:val="20"/>
          <w:u w:val="single"/>
        </w:rPr>
        <w:t>roms</w:t>
      </w:r>
      <w:bookmarkEnd w:id="5"/>
      <w:proofErr w:type="spellEnd"/>
    </w:p>
    <w:p w:rsidR="00B84801" w:rsidRPr="00B84801" w:rsidRDefault="00B84801" w:rsidP="00B84801">
      <w:pPr>
        <w:spacing w:after="0" w:line="240" w:lineRule="auto"/>
        <w:jc w:val="both"/>
        <w:rPr>
          <w:rFonts w:ascii="Arial" w:hAnsi="Arial" w:cs="Arial"/>
          <w:sz w:val="20"/>
          <w:szCs w:val="20"/>
        </w:rPr>
      </w:pPr>
    </w:p>
    <w:p w:rsid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t>2</w:t>
      </w:r>
      <w:r w:rsidR="00F638FA">
        <w:rPr>
          <w:rFonts w:ascii="Arial" w:hAnsi="Arial" w:cs="Arial"/>
          <w:b/>
          <w:sz w:val="16"/>
          <w:szCs w:val="16"/>
        </w:rPr>
        <w:t>6</w:t>
      </w:r>
      <w:r>
        <w:rPr>
          <w:rFonts w:ascii="Arial" w:hAnsi="Arial" w:cs="Arial"/>
          <w:sz w:val="20"/>
          <w:szCs w:val="20"/>
        </w:rPr>
        <w:t xml:space="preserve">. </w:t>
      </w:r>
      <w:r w:rsidR="00B84801" w:rsidRPr="00B84801">
        <w:rPr>
          <w:rFonts w:ascii="Arial" w:hAnsi="Arial" w:cs="Arial"/>
          <w:sz w:val="20"/>
          <w:szCs w:val="20"/>
        </w:rPr>
        <w:t xml:space="preserve">Au préalable, il convient à nouveau de rappeler les termes employés, alors même que la Commission nationale consultative des droits de l’Homme (CNCDH) a souligné que les amalgames entretenus à l’égard de ces populations devaient être combattus par des mesures concrètes d’accès </w:t>
      </w:r>
      <w:r w:rsidR="00B84801" w:rsidRPr="00B84801">
        <w:rPr>
          <w:rFonts w:ascii="Arial" w:hAnsi="Arial" w:cs="Arial"/>
          <w:sz w:val="20"/>
          <w:szCs w:val="20"/>
        </w:rPr>
        <w:lastRenderedPageBreak/>
        <w:t>aux droits et par une volonté politique réelle et affirmée de lutter contre les stéréotypes et les discriminations</w:t>
      </w:r>
      <w:r w:rsidR="00B84801" w:rsidRPr="00B84801">
        <w:rPr>
          <w:rFonts w:ascii="Arial" w:hAnsi="Arial" w:cs="Arial"/>
          <w:b/>
          <w:sz w:val="20"/>
          <w:szCs w:val="20"/>
          <w:vertAlign w:val="superscript"/>
        </w:rPr>
        <w:footnoteReference w:id="9"/>
      </w:r>
      <w:r w:rsidR="000603A5">
        <w:rPr>
          <w:rFonts w:ascii="Arial" w:hAnsi="Arial" w:cs="Arial"/>
          <w:sz w:val="20"/>
          <w:szCs w:val="20"/>
        </w:rPr>
        <w:t>.</w:t>
      </w:r>
    </w:p>
    <w:p w:rsidR="000603A5" w:rsidRPr="00B84801" w:rsidRDefault="000603A5" w:rsidP="00B84801">
      <w:pPr>
        <w:spacing w:after="0" w:line="240" w:lineRule="auto"/>
        <w:jc w:val="both"/>
        <w:rPr>
          <w:rFonts w:ascii="Arial" w:hAnsi="Arial" w:cs="Arial"/>
          <w:sz w:val="20"/>
          <w:szCs w:val="20"/>
        </w:rPr>
      </w:pPr>
    </w:p>
    <w:p w:rsidR="00B84801" w:rsidRP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t>2</w:t>
      </w:r>
      <w:r w:rsidR="00F638FA">
        <w:rPr>
          <w:rFonts w:ascii="Arial" w:hAnsi="Arial" w:cs="Arial"/>
          <w:b/>
          <w:sz w:val="16"/>
          <w:szCs w:val="16"/>
        </w:rPr>
        <w:t>7</w:t>
      </w:r>
      <w:r>
        <w:rPr>
          <w:rFonts w:ascii="Arial" w:hAnsi="Arial" w:cs="Arial"/>
          <w:sz w:val="20"/>
          <w:szCs w:val="20"/>
        </w:rPr>
        <w:t xml:space="preserve">. </w:t>
      </w:r>
      <w:r w:rsidR="00B84801" w:rsidRPr="00B84801">
        <w:rPr>
          <w:rFonts w:ascii="Arial" w:hAnsi="Arial" w:cs="Arial"/>
          <w:sz w:val="20"/>
          <w:szCs w:val="20"/>
        </w:rPr>
        <w:t xml:space="preserve">Les « </w:t>
      </w:r>
      <w:r w:rsidR="00B84801" w:rsidRPr="00B84801">
        <w:rPr>
          <w:rFonts w:ascii="Arial" w:hAnsi="Arial" w:cs="Arial"/>
          <w:b/>
          <w:sz w:val="20"/>
          <w:szCs w:val="20"/>
        </w:rPr>
        <w:t xml:space="preserve">gens du voyage </w:t>
      </w:r>
      <w:r w:rsidR="00B84801" w:rsidRPr="00B84801">
        <w:rPr>
          <w:rFonts w:ascii="Arial" w:hAnsi="Arial" w:cs="Arial"/>
          <w:sz w:val="20"/>
          <w:szCs w:val="20"/>
        </w:rPr>
        <w:t>» sont des ressortissants da nationalité française dans leur grande majorité, quelles que soient leurs origines</w:t>
      </w:r>
      <w:r w:rsidR="00B84801" w:rsidRPr="00B84801">
        <w:rPr>
          <w:rFonts w:ascii="Arial" w:hAnsi="Arial" w:cs="Arial"/>
          <w:sz w:val="20"/>
          <w:szCs w:val="20"/>
          <w:vertAlign w:val="superscript"/>
        </w:rPr>
        <w:footnoteReference w:id="10"/>
      </w:r>
      <w:r w:rsidR="00B84801" w:rsidRPr="00B84801">
        <w:rPr>
          <w:rFonts w:ascii="Arial" w:hAnsi="Arial" w:cs="Arial"/>
          <w:sz w:val="20"/>
          <w:szCs w:val="20"/>
        </w:rPr>
        <w:t>, qui ont adopté un mode de vie itinérant, semi sédentaire. Ce terme englobe un ensemble de groupes, en particulier les Gitans, les Tsiganes, présents aussi dans la péninsule ibérique et au sud de la France.</w:t>
      </w:r>
    </w:p>
    <w:p w:rsidR="00B84801" w:rsidRPr="00B84801" w:rsidRDefault="00B84801" w:rsidP="00B84801">
      <w:pPr>
        <w:spacing w:after="0" w:line="240" w:lineRule="auto"/>
        <w:jc w:val="both"/>
        <w:rPr>
          <w:rFonts w:ascii="Arial" w:hAnsi="Arial" w:cs="Arial"/>
          <w:sz w:val="20"/>
          <w:szCs w:val="20"/>
        </w:rPr>
      </w:pPr>
    </w:p>
    <w:p w:rsidR="00B84801" w:rsidRP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t>2</w:t>
      </w:r>
      <w:r w:rsidR="00F638FA">
        <w:rPr>
          <w:rFonts w:ascii="Arial" w:hAnsi="Arial" w:cs="Arial"/>
          <w:b/>
          <w:sz w:val="16"/>
          <w:szCs w:val="16"/>
        </w:rPr>
        <w:t>8</w:t>
      </w:r>
      <w:r>
        <w:rPr>
          <w:rFonts w:ascii="Arial" w:hAnsi="Arial" w:cs="Arial"/>
          <w:sz w:val="20"/>
          <w:szCs w:val="20"/>
        </w:rPr>
        <w:t xml:space="preserve">. </w:t>
      </w:r>
      <w:r w:rsidR="00B84801" w:rsidRPr="00B84801">
        <w:rPr>
          <w:rFonts w:ascii="Arial" w:hAnsi="Arial" w:cs="Arial"/>
          <w:sz w:val="20"/>
          <w:szCs w:val="20"/>
        </w:rPr>
        <w:t>Selon les institutions européennes</w:t>
      </w:r>
      <w:r w:rsidR="00B84801" w:rsidRPr="00B84801">
        <w:rPr>
          <w:rFonts w:ascii="Arial" w:hAnsi="Arial" w:cs="Arial"/>
          <w:b/>
          <w:sz w:val="20"/>
          <w:szCs w:val="20"/>
          <w:vertAlign w:val="superscript"/>
        </w:rPr>
        <w:footnoteReference w:id="11"/>
      </w:r>
      <w:r w:rsidR="00B84801" w:rsidRPr="00B84801">
        <w:rPr>
          <w:rFonts w:ascii="Arial" w:hAnsi="Arial" w:cs="Arial"/>
          <w:sz w:val="20"/>
          <w:szCs w:val="20"/>
        </w:rPr>
        <w:t>, « </w:t>
      </w:r>
      <w:r w:rsidR="00B84801" w:rsidRPr="00B84801">
        <w:rPr>
          <w:rFonts w:ascii="Arial" w:hAnsi="Arial" w:cs="Arial"/>
          <w:i/>
          <w:sz w:val="20"/>
          <w:szCs w:val="20"/>
        </w:rPr>
        <w:t>le terme “</w:t>
      </w:r>
      <w:proofErr w:type="spellStart"/>
      <w:r w:rsidR="00B84801" w:rsidRPr="00B84801">
        <w:rPr>
          <w:rFonts w:ascii="Arial" w:hAnsi="Arial" w:cs="Arial"/>
          <w:i/>
          <w:sz w:val="20"/>
          <w:szCs w:val="20"/>
        </w:rPr>
        <w:t>Roms</w:t>
      </w:r>
      <w:proofErr w:type="spellEnd"/>
      <w:r w:rsidR="00B84801" w:rsidRPr="00B84801">
        <w:rPr>
          <w:rFonts w:ascii="Arial" w:hAnsi="Arial" w:cs="Arial"/>
          <w:i/>
          <w:sz w:val="20"/>
          <w:szCs w:val="20"/>
        </w:rPr>
        <w:t xml:space="preserve">” est utilisé, ainsi que par un certain nombre d’organisations internationales et de représentants de groupes </w:t>
      </w:r>
      <w:proofErr w:type="spellStart"/>
      <w:r w:rsidR="00B84801" w:rsidRPr="00B84801">
        <w:rPr>
          <w:rFonts w:ascii="Arial" w:hAnsi="Arial" w:cs="Arial"/>
          <w:i/>
          <w:sz w:val="20"/>
          <w:szCs w:val="20"/>
        </w:rPr>
        <w:t>roms</w:t>
      </w:r>
      <w:proofErr w:type="spellEnd"/>
      <w:r w:rsidR="00B84801" w:rsidRPr="00B84801">
        <w:rPr>
          <w:rFonts w:ascii="Arial" w:hAnsi="Arial" w:cs="Arial"/>
          <w:i/>
          <w:sz w:val="20"/>
          <w:szCs w:val="20"/>
        </w:rPr>
        <w:t xml:space="preserve"> en Europe, pour désigner plusieurs groupes distincts (</w:t>
      </w:r>
      <w:proofErr w:type="spellStart"/>
      <w:r w:rsidR="00B84801" w:rsidRPr="00B84801">
        <w:rPr>
          <w:rFonts w:ascii="Arial" w:hAnsi="Arial" w:cs="Arial"/>
          <w:i/>
          <w:sz w:val="20"/>
          <w:szCs w:val="20"/>
        </w:rPr>
        <w:t>Roms</w:t>
      </w:r>
      <w:proofErr w:type="spellEnd"/>
      <w:r w:rsidR="00B84801" w:rsidRPr="00B84801">
        <w:rPr>
          <w:rFonts w:ascii="Arial" w:hAnsi="Arial" w:cs="Arial"/>
          <w:i/>
          <w:sz w:val="20"/>
          <w:szCs w:val="20"/>
        </w:rPr>
        <w:t xml:space="preserve">, </w:t>
      </w:r>
      <w:proofErr w:type="spellStart"/>
      <w:r w:rsidR="00B84801" w:rsidRPr="00B84801">
        <w:rPr>
          <w:rFonts w:ascii="Arial" w:hAnsi="Arial" w:cs="Arial"/>
          <w:i/>
          <w:sz w:val="20"/>
          <w:szCs w:val="20"/>
        </w:rPr>
        <w:t>Sintis</w:t>
      </w:r>
      <w:proofErr w:type="spellEnd"/>
      <w:r w:rsidR="00B84801" w:rsidRPr="00B84801">
        <w:rPr>
          <w:rFonts w:ascii="Arial" w:hAnsi="Arial" w:cs="Arial"/>
          <w:i/>
          <w:sz w:val="20"/>
          <w:szCs w:val="20"/>
        </w:rPr>
        <w:t xml:space="preserve">, </w:t>
      </w:r>
      <w:proofErr w:type="spellStart"/>
      <w:r w:rsidR="00B84801" w:rsidRPr="00B84801">
        <w:rPr>
          <w:rFonts w:ascii="Arial" w:hAnsi="Arial" w:cs="Arial"/>
          <w:i/>
          <w:sz w:val="20"/>
          <w:szCs w:val="20"/>
        </w:rPr>
        <w:t>Kalès</w:t>
      </w:r>
      <w:proofErr w:type="spellEnd"/>
      <w:r w:rsidR="00B84801" w:rsidRPr="00B84801">
        <w:rPr>
          <w:rFonts w:ascii="Arial" w:hAnsi="Arial" w:cs="Arial"/>
          <w:i/>
          <w:sz w:val="20"/>
          <w:szCs w:val="20"/>
        </w:rPr>
        <w:t xml:space="preserve">, Tsiganes, Romanichels, </w:t>
      </w:r>
      <w:proofErr w:type="spellStart"/>
      <w:r w:rsidR="00B84801" w:rsidRPr="00B84801">
        <w:rPr>
          <w:rFonts w:ascii="Arial" w:hAnsi="Arial" w:cs="Arial"/>
          <w:i/>
          <w:sz w:val="20"/>
          <w:szCs w:val="20"/>
        </w:rPr>
        <w:t>Boyash</w:t>
      </w:r>
      <w:proofErr w:type="spellEnd"/>
      <w:r w:rsidR="00B84801" w:rsidRPr="00B84801">
        <w:rPr>
          <w:rFonts w:ascii="Arial" w:hAnsi="Arial" w:cs="Arial"/>
          <w:i/>
          <w:sz w:val="20"/>
          <w:szCs w:val="20"/>
        </w:rPr>
        <w:t xml:space="preserve">, </w:t>
      </w:r>
      <w:proofErr w:type="spellStart"/>
      <w:r w:rsidR="00B84801" w:rsidRPr="00B84801">
        <w:rPr>
          <w:rFonts w:ascii="Arial" w:hAnsi="Arial" w:cs="Arial"/>
          <w:i/>
          <w:sz w:val="20"/>
          <w:szCs w:val="20"/>
        </w:rPr>
        <w:t>Ashkalis</w:t>
      </w:r>
      <w:proofErr w:type="spellEnd"/>
      <w:r w:rsidR="00B84801" w:rsidRPr="00B84801">
        <w:rPr>
          <w:rFonts w:ascii="Arial" w:hAnsi="Arial" w:cs="Arial"/>
          <w:i/>
          <w:sz w:val="20"/>
          <w:szCs w:val="20"/>
        </w:rPr>
        <w:t xml:space="preserve">, Égyptiens, </w:t>
      </w:r>
      <w:proofErr w:type="spellStart"/>
      <w:r w:rsidR="00B84801" w:rsidRPr="00B84801">
        <w:rPr>
          <w:rFonts w:ascii="Arial" w:hAnsi="Arial" w:cs="Arial"/>
          <w:i/>
          <w:sz w:val="20"/>
          <w:szCs w:val="20"/>
        </w:rPr>
        <w:t>Yéniches</w:t>
      </w:r>
      <w:proofErr w:type="spellEnd"/>
      <w:r w:rsidR="00B84801" w:rsidRPr="00B84801">
        <w:rPr>
          <w:rFonts w:ascii="Arial" w:hAnsi="Arial" w:cs="Arial"/>
          <w:i/>
          <w:sz w:val="20"/>
          <w:szCs w:val="20"/>
        </w:rPr>
        <w:t xml:space="preserve">, Doms, </w:t>
      </w:r>
      <w:proofErr w:type="spellStart"/>
      <w:r w:rsidR="00B84801" w:rsidRPr="00B84801">
        <w:rPr>
          <w:rFonts w:ascii="Arial" w:hAnsi="Arial" w:cs="Arial"/>
          <w:i/>
          <w:sz w:val="20"/>
          <w:szCs w:val="20"/>
        </w:rPr>
        <w:t>Loms</w:t>
      </w:r>
      <w:proofErr w:type="spellEnd"/>
      <w:r w:rsidR="00B84801" w:rsidRPr="00B84801">
        <w:rPr>
          <w:rFonts w:ascii="Arial" w:hAnsi="Arial" w:cs="Arial"/>
          <w:i/>
          <w:sz w:val="20"/>
          <w:szCs w:val="20"/>
        </w:rPr>
        <w:t>, etc.) et il englobe également les Gens du voyage, tout en reconnaissant les spécificités et la diversité des modes et conditions de vie de ces groupes</w:t>
      </w:r>
      <w:r w:rsidR="00B84801" w:rsidRPr="00B84801">
        <w:rPr>
          <w:rFonts w:ascii="Arial" w:hAnsi="Arial" w:cs="Arial"/>
          <w:sz w:val="20"/>
          <w:szCs w:val="20"/>
        </w:rPr>
        <w:t>. »</w:t>
      </w:r>
    </w:p>
    <w:p w:rsidR="00B84801" w:rsidRPr="00B84801" w:rsidRDefault="00B84801" w:rsidP="00B84801">
      <w:pPr>
        <w:spacing w:after="0" w:line="240" w:lineRule="auto"/>
        <w:jc w:val="both"/>
        <w:rPr>
          <w:rFonts w:ascii="Arial" w:hAnsi="Arial" w:cs="Arial"/>
          <w:sz w:val="20"/>
          <w:szCs w:val="20"/>
        </w:rPr>
      </w:pPr>
    </w:p>
    <w:p w:rsidR="00B84801" w:rsidRP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t>2</w:t>
      </w:r>
      <w:r w:rsidR="00F638FA">
        <w:rPr>
          <w:rFonts w:ascii="Arial" w:hAnsi="Arial" w:cs="Arial"/>
          <w:b/>
          <w:sz w:val="16"/>
          <w:szCs w:val="16"/>
        </w:rPr>
        <w:t>9</w:t>
      </w:r>
      <w:r>
        <w:rPr>
          <w:rFonts w:ascii="Arial" w:hAnsi="Arial" w:cs="Arial"/>
          <w:sz w:val="20"/>
          <w:szCs w:val="20"/>
        </w:rPr>
        <w:t xml:space="preserve">. </w:t>
      </w:r>
      <w:r w:rsidR="00B84801" w:rsidRPr="00B84801">
        <w:rPr>
          <w:rFonts w:ascii="Arial" w:hAnsi="Arial" w:cs="Arial"/>
          <w:sz w:val="20"/>
          <w:szCs w:val="20"/>
        </w:rPr>
        <w:t xml:space="preserve">Les </w:t>
      </w:r>
      <w:proofErr w:type="spellStart"/>
      <w:r w:rsidR="00B84801" w:rsidRPr="00B84801">
        <w:rPr>
          <w:rFonts w:ascii="Arial" w:hAnsi="Arial" w:cs="Arial"/>
          <w:sz w:val="20"/>
          <w:szCs w:val="20"/>
        </w:rPr>
        <w:t>Roms</w:t>
      </w:r>
      <w:proofErr w:type="spellEnd"/>
      <w:r w:rsidR="00B84801" w:rsidRPr="00B84801">
        <w:rPr>
          <w:rFonts w:ascii="Arial" w:hAnsi="Arial" w:cs="Arial"/>
          <w:sz w:val="20"/>
          <w:szCs w:val="20"/>
        </w:rPr>
        <w:t xml:space="preserve"> migrants, ou Rom, tout simplement, selon l’appellation utilisée ci-dessous, sont des ressortissants de l’Europe de l’Est, s’identifiant comme appartenant à la minorité rom de leur pays d’origine.</w:t>
      </w:r>
    </w:p>
    <w:p w:rsidR="00B84801" w:rsidRPr="00B84801" w:rsidRDefault="00B84801" w:rsidP="00B84801">
      <w:pPr>
        <w:spacing w:after="0" w:line="240" w:lineRule="auto"/>
        <w:jc w:val="both"/>
        <w:rPr>
          <w:rFonts w:ascii="Arial" w:hAnsi="Arial" w:cs="Arial"/>
          <w:sz w:val="20"/>
          <w:szCs w:val="20"/>
        </w:rPr>
      </w:pPr>
    </w:p>
    <w:p w:rsidR="00B84801" w:rsidRPr="00B84801" w:rsidRDefault="00F638FA" w:rsidP="00B84801">
      <w:pPr>
        <w:spacing w:after="0" w:line="240" w:lineRule="auto"/>
        <w:jc w:val="both"/>
        <w:rPr>
          <w:rFonts w:ascii="Arial" w:hAnsi="Arial" w:cs="Arial"/>
          <w:sz w:val="20"/>
          <w:szCs w:val="20"/>
        </w:rPr>
      </w:pPr>
      <w:r>
        <w:rPr>
          <w:rFonts w:ascii="Arial" w:hAnsi="Arial" w:cs="Arial"/>
          <w:b/>
          <w:sz w:val="16"/>
          <w:szCs w:val="16"/>
        </w:rPr>
        <w:t>30</w:t>
      </w:r>
      <w:r w:rsidR="006433AA">
        <w:rPr>
          <w:rFonts w:ascii="Arial" w:hAnsi="Arial" w:cs="Arial"/>
          <w:sz w:val="20"/>
          <w:szCs w:val="20"/>
        </w:rPr>
        <w:t xml:space="preserve">. </w:t>
      </w:r>
      <w:r w:rsidR="00B84801" w:rsidRPr="00B84801">
        <w:rPr>
          <w:rFonts w:ascii="Arial" w:hAnsi="Arial" w:cs="Arial"/>
          <w:sz w:val="20"/>
          <w:szCs w:val="20"/>
        </w:rPr>
        <w:t xml:space="preserve">Votre Comité, </w:t>
      </w:r>
      <w:r w:rsidR="000F03CD">
        <w:rPr>
          <w:rFonts w:ascii="Arial" w:hAnsi="Arial" w:cs="Arial"/>
          <w:sz w:val="20"/>
          <w:szCs w:val="20"/>
        </w:rPr>
        <w:t>dans la liste des points à traiter concernant le cinquième rapport périodique de la France adoptée lors de la 111</w:t>
      </w:r>
      <w:r w:rsidR="000F03CD" w:rsidRPr="000F03CD">
        <w:rPr>
          <w:rFonts w:ascii="Arial" w:hAnsi="Arial" w:cs="Arial"/>
          <w:sz w:val="20"/>
          <w:szCs w:val="20"/>
          <w:vertAlign w:val="superscript"/>
        </w:rPr>
        <w:t>ème</w:t>
      </w:r>
      <w:r w:rsidR="000F03CD">
        <w:rPr>
          <w:rFonts w:ascii="Arial" w:hAnsi="Arial" w:cs="Arial"/>
          <w:sz w:val="20"/>
          <w:szCs w:val="20"/>
        </w:rPr>
        <w:t xml:space="preserve"> session, a souhaité avoir des précisions</w:t>
      </w:r>
      <w:r w:rsidR="00B84801" w:rsidRPr="00B84801">
        <w:rPr>
          <w:rFonts w:ascii="Arial" w:hAnsi="Arial" w:cs="Arial"/>
          <w:sz w:val="20"/>
          <w:szCs w:val="20"/>
        </w:rPr>
        <w:t xml:space="preserve"> sur l’évolution de la situation des </w:t>
      </w:r>
      <w:proofErr w:type="spellStart"/>
      <w:r w:rsidR="00B84801" w:rsidRPr="00B84801">
        <w:rPr>
          <w:rFonts w:ascii="Arial" w:hAnsi="Arial" w:cs="Arial"/>
          <w:sz w:val="20"/>
          <w:szCs w:val="20"/>
        </w:rPr>
        <w:t>Roms</w:t>
      </w:r>
      <w:proofErr w:type="spellEnd"/>
      <w:r w:rsidR="00B84801" w:rsidRPr="00B84801">
        <w:rPr>
          <w:rFonts w:ascii="Arial" w:hAnsi="Arial" w:cs="Arial"/>
          <w:sz w:val="20"/>
          <w:szCs w:val="20"/>
        </w:rPr>
        <w:t xml:space="preserve"> et « des gens du voyage » en France, notamment </w:t>
      </w:r>
      <w:r w:rsidR="00226E95" w:rsidRPr="00B84801">
        <w:rPr>
          <w:rFonts w:ascii="Arial" w:hAnsi="Arial" w:cs="Arial"/>
          <w:sz w:val="20"/>
          <w:szCs w:val="20"/>
        </w:rPr>
        <w:t>le respect</w:t>
      </w:r>
      <w:r w:rsidR="00B84801" w:rsidRPr="00B84801">
        <w:rPr>
          <w:rFonts w:ascii="Arial" w:hAnsi="Arial" w:cs="Arial"/>
          <w:sz w:val="20"/>
          <w:szCs w:val="20"/>
        </w:rPr>
        <w:t xml:space="preserve"> de leurs droits au regard de leur situation respective. </w:t>
      </w:r>
    </w:p>
    <w:p w:rsidR="00B84801" w:rsidRPr="00B84801" w:rsidRDefault="00B84801" w:rsidP="00B84801">
      <w:pPr>
        <w:spacing w:after="0" w:line="240" w:lineRule="auto"/>
        <w:jc w:val="both"/>
        <w:rPr>
          <w:rFonts w:ascii="Arial" w:hAnsi="Arial" w:cs="Arial"/>
          <w:sz w:val="20"/>
          <w:szCs w:val="20"/>
        </w:rPr>
      </w:pPr>
    </w:p>
    <w:p w:rsidR="00B84801" w:rsidRPr="00B84801" w:rsidRDefault="00F638FA" w:rsidP="00B84801">
      <w:pPr>
        <w:spacing w:after="0" w:line="240" w:lineRule="auto"/>
        <w:jc w:val="both"/>
        <w:rPr>
          <w:rFonts w:ascii="Arial" w:hAnsi="Arial" w:cs="Arial"/>
          <w:sz w:val="20"/>
          <w:szCs w:val="20"/>
        </w:rPr>
      </w:pPr>
      <w:bookmarkStart w:id="6" w:name="_Toc282794086"/>
      <w:bookmarkStart w:id="7" w:name="_Toc282794276"/>
      <w:bookmarkStart w:id="8" w:name="_Toc282795907"/>
      <w:bookmarkStart w:id="9" w:name="_Toc413409278"/>
      <w:bookmarkStart w:id="10" w:name="_Toc415581567"/>
      <w:r>
        <w:rPr>
          <w:rFonts w:ascii="Arial" w:hAnsi="Arial" w:cs="Arial"/>
          <w:b/>
          <w:sz w:val="16"/>
          <w:szCs w:val="16"/>
        </w:rPr>
        <w:t>31</w:t>
      </w:r>
      <w:r w:rsidR="006433AA">
        <w:rPr>
          <w:rFonts w:ascii="Arial" w:hAnsi="Arial" w:cs="Arial"/>
          <w:sz w:val="20"/>
          <w:szCs w:val="20"/>
        </w:rPr>
        <w:t xml:space="preserve">. </w:t>
      </w:r>
      <w:r w:rsidR="00B84801" w:rsidRPr="00B84801">
        <w:rPr>
          <w:rFonts w:ascii="Arial" w:hAnsi="Arial" w:cs="Arial"/>
          <w:sz w:val="20"/>
          <w:szCs w:val="20"/>
        </w:rPr>
        <w:t xml:space="preserve">Le cinquième </w:t>
      </w:r>
      <w:r w:rsidR="000F03CD">
        <w:rPr>
          <w:rFonts w:ascii="Arial" w:hAnsi="Arial" w:cs="Arial"/>
          <w:sz w:val="20"/>
          <w:szCs w:val="20"/>
        </w:rPr>
        <w:t>rapport périodique de la France</w:t>
      </w:r>
      <w:r w:rsidR="00B84801" w:rsidRPr="00B84801">
        <w:rPr>
          <w:rFonts w:ascii="Arial" w:hAnsi="Arial" w:cs="Arial"/>
          <w:sz w:val="20"/>
          <w:szCs w:val="20"/>
        </w:rPr>
        <w:t xml:space="preserve"> ne contient aucune référence</w:t>
      </w:r>
      <w:r w:rsidR="00226E95">
        <w:rPr>
          <w:rFonts w:ascii="Arial" w:hAnsi="Arial" w:cs="Arial"/>
          <w:sz w:val="20"/>
          <w:szCs w:val="20"/>
        </w:rPr>
        <w:t>,</w:t>
      </w:r>
      <w:r w:rsidR="00B84801" w:rsidRPr="00B84801">
        <w:rPr>
          <w:rFonts w:ascii="Arial" w:hAnsi="Arial" w:cs="Arial"/>
          <w:sz w:val="20"/>
          <w:szCs w:val="20"/>
        </w:rPr>
        <w:t xml:space="preserve"> que </w:t>
      </w:r>
      <w:r w:rsidR="00226E95" w:rsidRPr="00B84801">
        <w:rPr>
          <w:rFonts w:ascii="Arial" w:hAnsi="Arial" w:cs="Arial"/>
          <w:sz w:val="20"/>
          <w:szCs w:val="20"/>
        </w:rPr>
        <w:t>ce</w:t>
      </w:r>
      <w:r w:rsidR="00B84801" w:rsidRPr="00B84801">
        <w:rPr>
          <w:rFonts w:ascii="Arial" w:hAnsi="Arial" w:cs="Arial"/>
          <w:sz w:val="20"/>
          <w:szCs w:val="20"/>
        </w:rPr>
        <w:t xml:space="preserve"> soit au regard de la situation des </w:t>
      </w:r>
      <w:proofErr w:type="spellStart"/>
      <w:r w:rsidR="00B84801" w:rsidRPr="00B84801">
        <w:rPr>
          <w:rFonts w:ascii="Arial" w:hAnsi="Arial" w:cs="Arial"/>
          <w:sz w:val="20"/>
          <w:szCs w:val="20"/>
        </w:rPr>
        <w:t>Roms</w:t>
      </w:r>
      <w:proofErr w:type="spellEnd"/>
      <w:r w:rsidR="00B84801" w:rsidRPr="00B84801">
        <w:rPr>
          <w:rFonts w:ascii="Arial" w:hAnsi="Arial" w:cs="Arial"/>
          <w:sz w:val="20"/>
          <w:szCs w:val="20"/>
        </w:rPr>
        <w:t xml:space="preserve"> ou « des gens du voyage ». Leur situation reste </w:t>
      </w:r>
      <w:r w:rsidR="000F03CD">
        <w:rPr>
          <w:rFonts w:ascii="Arial" w:hAnsi="Arial" w:cs="Arial"/>
          <w:sz w:val="20"/>
          <w:szCs w:val="20"/>
        </w:rPr>
        <w:t>préoccupante</w:t>
      </w:r>
      <w:r w:rsidR="00B84801" w:rsidRPr="00B84801">
        <w:rPr>
          <w:rFonts w:ascii="Arial" w:hAnsi="Arial" w:cs="Arial"/>
          <w:sz w:val="20"/>
          <w:szCs w:val="20"/>
        </w:rPr>
        <w:t xml:space="preserve"> en France. Les expulsions n’ont jamais été aussi nombreuses, tout comme l’absence de solutions alternatives de logements pour la population Rom. Les « gens du voyage » ne bénéficient d’aucune considération, l’égalité de traitement est largement bafouée. </w:t>
      </w:r>
    </w:p>
    <w:p w:rsidR="00B84801" w:rsidRPr="00B84801" w:rsidRDefault="00B84801" w:rsidP="00B84801">
      <w:pPr>
        <w:spacing w:after="0" w:line="240" w:lineRule="auto"/>
        <w:jc w:val="both"/>
        <w:rPr>
          <w:rFonts w:ascii="Arial" w:hAnsi="Arial" w:cs="Arial"/>
          <w:b/>
          <w:bCs/>
          <w:sz w:val="20"/>
          <w:szCs w:val="20"/>
        </w:rPr>
      </w:pPr>
    </w:p>
    <w:p w:rsidR="00B84801" w:rsidRPr="003D3D4B" w:rsidRDefault="000F03CD" w:rsidP="00FB6C71">
      <w:pPr>
        <w:pStyle w:val="Titre3"/>
        <w:numPr>
          <w:ilvl w:val="0"/>
          <w:numId w:val="15"/>
        </w:numPr>
        <w:spacing w:before="0" w:line="240" w:lineRule="auto"/>
        <w:jc w:val="both"/>
        <w:rPr>
          <w:rFonts w:ascii="Arial" w:hAnsi="Arial" w:cs="Arial"/>
          <w:b w:val="0"/>
          <w:i/>
          <w:color w:val="auto"/>
          <w:sz w:val="20"/>
          <w:szCs w:val="20"/>
        </w:rPr>
      </w:pPr>
      <w:bookmarkStart w:id="11" w:name="_Toc420924109"/>
      <w:bookmarkEnd w:id="6"/>
      <w:bookmarkEnd w:id="7"/>
      <w:bookmarkEnd w:id="8"/>
      <w:bookmarkEnd w:id="9"/>
      <w:bookmarkEnd w:id="10"/>
      <w:r w:rsidRPr="003D3D4B">
        <w:rPr>
          <w:rFonts w:ascii="Arial" w:hAnsi="Arial" w:cs="Arial"/>
          <w:b w:val="0"/>
          <w:i/>
          <w:color w:val="auto"/>
          <w:sz w:val="20"/>
          <w:szCs w:val="20"/>
        </w:rPr>
        <w:t>Les gens du voyage</w:t>
      </w:r>
      <w:bookmarkEnd w:id="11"/>
    </w:p>
    <w:p w:rsidR="00B84801" w:rsidRPr="00B84801" w:rsidRDefault="00B84801" w:rsidP="00B84801">
      <w:pPr>
        <w:spacing w:after="0" w:line="240" w:lineRule="auto"/>
        <w:jc w:val="both"/>
        <w:rPr>
          <w:rFonts w:ascii="Arial" w:hAnsi="Arial" w:cs="Arial"/>
          <w:sz w:val="20"/>
          <w:szCs w:val="20"/>
        </w:rPr>
      </w:pPr>
    </w:p>
    <w:p w:rsidR="00B84801" w:rsidRP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t>3</w:t>
      </w:r>
      <w:r w:rsidR="00F638FA">
        <w:rPr>
          <w:rFonts w:ascii="Arial" w:hAnsi="Arial" w:cs="Arial"/>
          <w:b/>
          <w:sz w:val="16"/>
          <w:szCs w:val="16"/>
        </w:rPr>
        <w:t>2</w:t>
      </w:r>
      <w:r>
        <w:rPr>
          <w:rFonts w:ascii="Arial" w:hAnsi="Arial" w:cs="Arial"/>
          <w:sz w:val="20"/>
          <w:szCs w:val="20"/>
        </w:rPr>
        <w:t xml:space="preserve">. </w:t>
      </w:r>
      <w:r w:rsidR="00B84801" w:rsidRPr="00B84801">
        <w:rPr>
          <w:rFonts w:ascii="Arial" w:hAnsi="Arial" w:cs="Arial"/>
          <w:sz w:val="20"/>
          <w:szCs w:val="20"/>
        </w:rPr>
        <w:t>La communauté des gens du voyage en France est estimée à environ 350000 personnes (dont 60 à 70000 voyageurs permanents, le reste se répartissant entre les « semi sédentaires » et les « sédentaires »).</w:t>
      </w:r>
    </w:p>
    <w:p w:rsidR="00B84801" w:rsidRPr="00B84801" w:rsidRDefault="00B84801" w:rsidP="00B84801">
      <w:pPr>
        <w:spacing w:after="0" w:line="240" w:lineRule="auto"/>
        <w:jc w:val="both"/>
        <w:rPr>
          <w:rFonts w:ascii="Arial" w:hAnsi="Arial" w:cs="Arial"/>
          <w:sz w:val="20"/>
          <w:szCs w:val="20"/>
        </w:rPr>
      </w:pPr>
    </w:p>
    <w:p w:rsidR="00B84801" w:rsidRP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t>3</w:t>
      </w:r>
      <w:r w:rsidR="00F638FA">
        <w:rPr>
          <w:rFonts w:ascii="Arial" w:hAnsi="Arial" w:cs="Arial"/>
          <w:b/>
          <w:sz w:val="16"/>
          <w:szCs w:val="16"/>
        </w:rPr>
        <w:t>3</w:t>
      </w:r>
      <w:r>
        <w:rPr>
          <w:rFonts w:ascii="Arial" w:hAnsi="Arial" w:cs="Arial"/>
          <w:sz w:val="20"/>
          <w:szCs w:val="20"/>
        </w:rPr>
        <w:t xml:space="preserve">. </w:t>
      </w:r>
      <w:r w:rsidR="00B84801" w:rsidRPr="00B84801">
        <w:rPr>
          <w:rFonts w:ascii="Arial" w:hAnsi="Arial" w:cs="Arial"/>
          <w:sz w:val="20"/>
          <w:szCs w:val="20"/>
        </w:rPr>
        <w:t xml:space="preserve">En juillet 2013, le Préfet Hubert </w:t>
      </w:r>
      <w:proofErr w:type="spellStart"/>
      <w:r w:rsidR="00B84801" w:rsidRPr="00B84801">
        <w:rPr>
          <w:rFonts w:ascii="Arial" w:hAnsi="Arial" w:cs="Arial"/>
          <w:sz w:val="20"/>
          <w:szCs w:val="20"/>
        </w:rPr>
        <w:t>Derache</w:t>
      </w:r>
      <w:proofErr w:type="spellEnd"/>
      <w:r w:rsidR="00B84801" w:rsidRPr="00B84801">
        <w:rPr>
          <w:rFonts w:ascii="Arial" w:hAnsi="Arial" w:cs="Arial"/>
          <w:sz w:val="20"/>
          <w:szCs w:val="20"/>
        </w:rPr>
        <w:t xml:space="preserve"> remettait un rapport sur « la définition d’une stratégie interministérielle renouvelée concernant la situation des gens du voyage »</w:t>
      </w:r>
      <w:r w:rsidR="00B84801" w:rsidRPr="00B84801">
        <w:rPr>
          <w:rFonts w:ascii="Arial" w:hAnsi="Arial" w:cs="Arial"/>
          <w:b/>
          <w:sz w:val="20"/>
          <w:szCs w:val="20"/>
          <w:vertAlign w:val="superscript"/>
        </w:rPr>
        <w:footnoteReference w:id="12"/>
      </w:r>
      <w:r w:rsidR="00B84801" w:rsidRPr="00B84801">
        <w:rPr>
          <w:rFonts w:ascii="Arial" w:hAnsi="Arial" w:cs="Arial"/>
          <w:sz w:val="20"/>
          <w:szCs w:val="20"/>
        </w:rPr>
        <w:t xml:space="preserve"> en France. Ce rapport avait également émis un certain nombre de recommandations, au même titre que votre Comité. À ce stade, les politiques publiques en France ne tendent toujours pas à admettre et intégrer la communauté des gens du voyage. </w:t>
      </w:r>
    </w:p>
    <w:p w:rsidR="006433AA" w:rsidRPr="00B84801" w:rsidRDefault="006433AA" w:rsidP="00B84801">
      <w:pPr>
        <w:spacing w:after="0" w:line="240" w:lineRule="auto"/>
        <w:jc w:val="both"/>
        <w:rPr>
          <w:rFonts w:ascii="Arial" w:hAnsi="Arial" w:cs="Arial"/>
          <w:sz w:val="20"/>
          <w:szCs w:val="20"/>
        </w:rPr>
      </w:pPr>
    </w:p>
    <w:p w:rsidR="00B84801" w:rsidRPr="00CA4929" w:rsidRDefault="00B84801" w:rsidP="00B84801">
      <w:pPr>
        <w:spacing w:after="0" w:line="240" w:lineRule="auto"/>
        <w:jc w:val="both"/>
        <w:rPr>
          <w:rFonts w:ascii="Arial" w:hAnsi="Arial" w:cs="Arial"/>
          <w:b/>
          <w:bCs/>
          <w:sz w:val="20"/>
          <w:szCs w:val="20"/>
        </w:rPr>
      </w:pPr>
      <w:bookmarkStart w:id="12" w:name="_Toc282794087"/>
      <w:bookmarkStart w:id="13" w:name="_Toc282794277"/>
      <w:bookmarkStart w:id="14" w:name="_Toc282795908"/>
      <w:bookmarkStart w:id="15" w:name="_Toc413409279"/>
      <w:bookmarkStart w:id="16" w:name="_Toc415581568"/>
      <w:r w:rsidRPr="00CA4929">
        <w:rPr>
          <w:rFonts w:ascii="Arial" w:hAnsi="Arial" w:cs="Arial"/>
          <w:b/>
          <w:bCs/>
          <w:sz w:val="20"/>
          <w:szCs w:val="20"/>
        </w:rPr>
        <w:t>Les titres de circulation</w:t>
      </w:r>
      <w:bookmarkEnd w:id="12"/>
      <w:bookmarkEnd w:id="13"/>
      <w:bookmarkEnd w:id="14"/>
      <w:bookmarkEnd w:id="15"/>
      <w:bookmarkEnd w:id="16"/>
    </w:p>
    <w:p w:rsidR="00B84801" w:rsidRPr="00B84801" w:rsidRDefault="00B84801" w:rsidP="00B84801">
      <w:pPr>
        <w:spacing w:after="0" w:line="240" w:lineRule="auto"/>
        <w:jc w:val="both"/>
        <w:rPr>
          <w:rFonts w:ascii="Arial" w:hAnsi="Arial" w:cs="Arial"/>
          <w:b/>
          <w:sz w:val="20"/>
          <w:szCs w:val="20"/>
        </w:rPr>
      </w:pPr>
    </w:p>
    <w:p w:rsidR="00B84801" w:rsidRP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t>3</w:t>
      </w:r>
      <w:r w:rsidR="00F638FA">
        <w:rPr>
          <w:rFonts w:ascii="Arial" w:hAnsi="Arial" w:cs="Arial"/>
          <w:b/>
          <w:sz w:val="16"/>
          <w:szCs w:val="16"/>
        </w:rPr>
        <w:t>4</w:t>
      </w:r>
      <w:r>
        <w:rPr>
          <w:rFonts w:ascii="Arial" w:hAnsi="Arial" w:cs="Arial"/>
          <w:sz w:val="20"/>
          <w:szCs w:val="20"/>
        </w:rPr>
        <w:t xml:space="preserve">. </w:t>
      </w:r>
      <w:r w:rsidR="00B84801" w:rsidRPr="00B84801">
        <w:rPr>
          <w:rFonts w:ascii="Arial" w:hAnsi="Arial" w:cs="Arial"/>
          <w:sz w:val="20"/>
          <w:szCs w:val="20"/>
        </w:rPr>
        <w:t>Il ne demeure plus qu’une catégorie de titre de circulation conformément à la loi du 3 janvier 1969. Par décision du 5 octobre 2012</w:t>
      </w:r>
      <w:r w:rsidR="00B84801" w:rsidRPr="00CA4929">
        <w:rPr>
          <w:rFonts w:ascii="Arial" w:hAnsi="Arial" w:cs="Arial"/>
          <w:b/>
          <w:sz w:val="18"/>
          <w:szCs w:val="18"/>
          <w:vertAlign w:val="superscript"/>
        </w:rPr>
        <w:footnoteReference w:id="13"/>
      </w:r>
      <w:r w:rsidR="00B84801" w:rsidRPr="00B84801">
        <w:rPr>
          <w:rFonts w:ascii="Arial" w:hAnsi="Arial" w:cs="Arial"/>
          <w:sz w:val="20"/>
          <w:szCs w:val="20"/>
        </w:rPr>
        <w:t>, le Conseil Constitutionnel, qui avait été saisi d’une question prioritaire de constitutionnalité, a déclaré contraire à la Constitution les dispositions concernant le carnet de circulation.</w:t>
      </w:r>
    </w:p>
    <w:p w:rsidR="00B84801" w:rsidRPr="00B84801" w:rsidRDefault="00B84801" w:rsidP="00B84801">
      <w:pPr>
        <w:spacing w:after="0" w:line="240" w:lineRule="auto"/>
        <w:jc w:val="both"/>
        <w:rPr>
          <w:rFonts w:ascii="Arial" w:hAnsi="Arial" w:cs="Arial"/>
          <w:sz w:val="20"/>
          <w:szCs w:val="20"/>
        </w:rPr>
      </w:pPr>
    </w:p>
    <w:p w:rsidR="00B84801" w:rsidRP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lastRenderedPageBreak/>
        <w:t>3</w:t>
      </w:r>
      <w:r w:rsidR="00F638FA">
        <w:rPr>
          <w:rFonts w:ascii="Arial" w:hAnsi="Arial" w:cs="Arial"/>
          <w:b/>
          <w:sz w:val="16"/>
          <w:szCs w:val="16"/>
        </w:rPr>
        <w:t>5</w:t>
      </w:r>
      <w:r>
        <w:rPr>
          <w:rFonts w:ascii="Arial" w:hAnsi="Arial" w:cs="Arial"/>
          <w:sz w:val="20"/>
          <w:szCs w:val="20"/>
        </w:rPr>
        <w:t xml:space="preserve">. </w:t>
      </w:r>
      <w:r w:rsidR="00B84801" w:rsidRPr="00B84801">
        <w:rPr>
          <w:rFonts w:ascii="Arial" w:hAnsi="Arial" w:cs="Arial"/>
          <w:sz w:val="20"/>
          <w:szCs w:val="20"/>
        </w:rPr>
        <w:t>En revanche, les dispositions relatives au livret de circulation restent en vigueur. Ce document concerne les personnes, âgées de 16 ans et plus, disposant de revenus réguliers. Il impose que le livret soit visé chaque année en gendarmerie ou commissariat. À défaut, la personne s’expose à une amende de 1500 €.</w:t>
      </w:r>
    </w:p>
    <w:p w:rsidR="00B84801" w:rsidRPr="00B84801" w:rsidRDefault="00B84801" w:rsidP="00B84801">
      <w:pPr>
        <w:spacing w:after="0" w:line="240" w:lineRule="auto"/>
        <w:jc w:val="both"/>
        <w:rPr>
          <w:rFonts w:ascii="Arial" w:hAnsi="Arial" w:cs="Arial"/>
          <w:sz w:val="20"/>
          <w:szCs w:val="20"/>
        </w:rPr>
      </w:pPr>
    </w:p>
    <w:p w:rsidR="00B84801" w:rsidRP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t>3</w:t>
      </w:r>
      <w:r w:rsidR="00F638FA">
        <w:rPr>
          <w:rFonts w:ascii="Arial" w:hAnsi="Arial" w:cs="Arial"/>
          <w:b/>
          <w:sz w:val="16"/>
          <w:szCs w:val="16"/>
        </w:rPr>
        <w:t>6</w:t>
      </w:r>
      <w:r>
        <w:rPr>
          <w:rFonts w:ascii="Arial" w:hAnsi="Arial" w:cs="Arial"/>
          <w:sz w:val="20"/>
          <w:szCs w:val="20"/>
        </w:rPr>
        <w:t xml:space="preserve">. </w:t>
      </w:r>
      <w:r w:rsidR="00B84801" w:rsidRPr="00B84801">
        <w:rPr>
          <w:rFonts w:ascii="Arial" w:hAnsi="Arial" w:cs="Arial"/>
          <w:sz w:val="20"/>
          <w:szCs w:val="20"/>
        </w:rPr>
        <w:t>Votre Comité, saisi d’une requête concernant les titres de circulation, par décision du 28 mars 2014</w:t>
      </w:r>
      <w:r w:rsidR="00B84801" w:rsidRPr="00CA4929">
        <w:rPr>
          <w:rFonts w:ascii="Arial" w:hAnsi="Arial" w:cs="Arial"/>
          <w:b/>
          <w:sz w:val="18"/>
          <w:szCs w:val="18"/>
          <w:vertAlign w:val="superscript"/>
        </w:rPr>
        <w:footnoteReference w:id="14"/>
      </w:r>
      <w:r w:rsidR="00B84801" w:rsidRPr="00B84801">
        <w:rPr>
          <w:rFonts w:ascii="Arial" w:hAnsi="Arial" w:cs="Arial"/>
          <w:sz w:val="20"/>
          <w:szCs w:val="20"/>
        </w:rPr>
        <w:t>, a déclaré que la détention d’un titre de circulation devant être visé régulièrement par les forces de l’ordre était contraire au principe de la libre circulation et violait l’article 12 du Pacte international relatif aux droits civils et politiques.</w:t>
      </w:r>
    </w:p>
    <w:p w:rsidR="00B84801" w:rsidRPr="00B84801" w:rsidRDefault="00B84801" w:rsidP="00B84801">
      <w:pPr>
        <w:spacing w:after="0" w:line="240" w:lineRule="auto"/>
        <w:jc w:val="both"/>
        <w:rPr>
          <w:rFonts w:ascii="Arial" w:hAnsi="Arial" w:cs="Arial"/>
          <w:sz w:val="20"/>
          <w:szCs w:val="20"/>
        </w:rPr>
      </w:pPr>
    </w:p>
    <w:p w:rsidR="00B84801" w:rsidRP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t>3</w:t>
      </w:r>
      <w:r w:rsidR="00F638FA">
        <w:rPr>
          <w:rFonts w:ascii="Arial" w:hAnsi="Arial" w:cs="Arial"/>
          <w:b/>
          <w:sz w:val="16"/>
          <w:szCs w:val="16"/>
        </w:rPr>
        <w:t>7</w:t>
      </w:r>
      <w:r>
        <w:rPr>
          <w:rFonts w:ascii="Arial" w:hAnsi="Arial" w:cs="Arial"/>
          <w:sz w:val="20"/>
          <w:szCs w:val="20"/>
        </w:rPr>
        <w:t xml:space="preserve">. </w:t>
      </w:r>
      <w:r w:rsidR="00B84801" w:rsidRPr="00B84801">
        <w:rPr>
          <w:rFonts w:ascii="Arial" w:hAnsi="Arial" w:cs="Arial"/>
          <w:sz w:val="20"/>
          <w:szCs w:val="20"/>
        </w:rPr>
        <w:t>Si les autorités françaises ont indiqué qu'une réflexion a été engagée pour réformer la législation en vigueur, les contraintes du calendrier parlementaire n’ont pas permis aux assemblées de débattre de ces mesures au cours de la législature de 2012. Bien qu’une première proposition de loi ait été déposée en 2012 au Sénat et une seconde à l’Assemblée Nationale en décembre 2013, les contraintes du calendrier législatif n’ont à nouveau pas permis aux assemblées de débattre de ces mesures.</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b/>
          <w:bCs/>
          <w:sz w:val="20"/>
          <w:szCs w:val="20"/>
        </w:rPr>
      </w:pPr>
      <w:bookmarkStart w:id="17" w:name="_Toc282794088"/>
      <w:bookmarkStart w:id="18" w:name="_Toc282794278"/>
      <w:bookmarkStart w:id="19" w:name="_Toc282795909"/>
      <w:bookmarkStart w:id="20" w:name="_Toc413409280"/>
      <w:bookmarkStart w:id="21" w:name="_Toc415581569"/>
      <w:r w:rsidRPr="00B84801">
        <w:rPr>
          <w:rFonts w:ascii="Arial" w:hAnsi="Arial" w:cs="Arial"/>
          <w:b/>
          <w:bCs/>
          <w:sz w:val="20"/>
          <w:szCs w:val="20"/>
        </w:rPr>
        <w:t>L'accueil et le stationnement</w:t>
      </w:r>
      <w:bookmarkEnd w:id="17"/>
      <w:bookmarkEnd w:id="18"/>
      <w:bookmarkEnd w:id="19"/>
      <w:bookmarkEnd w:id="20"/>
      <w:bookmarkEnd w:id="21"/>
    </w:p>
    <w:p w:rsidR="00B84801" w:rsidRPr="00B84801" w:rsidRDefault="00B84801" w:rsidP="00B84801">
      <w:pPr>
        <w:spacing w:after="0" w:line="240" w:lineRule="auto"/>
        <w:jc w:val="both"/>
        <w:rPr>
          <w:rFonts w:ascii="Arial" w:hAnsi="Arial" w:cs="Arial"/>
          <w:sz w:val="20"/>
          <w:szCs w:val="20"/>
        </w:rPr>
      </w:pPr>
    </w:p>
    <w:p w:rsidR="00B84801" w:rsidRPr="00B84801" w:rsidRDefault="006433AA" w:rsidP="00B84801">
      <w:pPr>
        <w:spacing w:after="0" w:line="240" w:lineRule="auto"/>
        <w:jc w:val="both"/>
        <w:rPr>
          <w:rFonts w:ascii="Arial" w:hAnsi="Arial" w:cs="Arial"/>
          <w:sz w:val="20"/>
          <w:szCs w:val="20"/>
        </w:rPr>
      </w:pPr>
      <w:r w:rsidRPr="006433AA">
        <w:rPr>
          <w:rFonts w:ascii="Arial" w:hAnsi="Arial" w:cs="Arial"/>
          <w:b/>
          <w:sz w:val="16"/>
          <w:szCs w:val="16"/>
        </w:rPr>
        <w:t>3</w:t>
      </w:r>
      <w:r w:rsidR="00F638FA">
        <w:rPr>
          <w:rFonts w:ascii="Arial" w:hAnsi="Arial" w:cs="Arial"/>
          <w:b/>
          <w:sz w:val="16"/>
          <w:szCs w:val="16"/>
        </w:rPr>
        <w:t>8</w:t>
      </w:r>
      <w:r>
        <w:rPr>
          <w:rFonts w:ascii="Arial" w:hAnsi="Arial" w:cs="Arial"/>
          <w:sz w:val="20"/>
          <w:szCs w:val="20"/>
        </w:rPr>
        <w:t xml:space="preserve">. </w:t>
      </w:r>
      <w:r w:rsidR="00B84801" w:rsidRPr="00B84801">
        <w:rPr>
          <w:rFonts w:ascii="Arial" w:hAnsi="Arial" w:cs="Arial"/>
          <w:sz w:val="20"/>
          <w:szCs w:val="20"/>
        </w:rPr>
        <w:t>Presque 14 ans après la loi du 5 juillet 2000, aussi appelée « loi Besson », la mise en œuvre des objectifs fixés par le texte législatif est totalement insuffisante.</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3</w:t>
      </w:r>
      <w:r w:rsidR="00F638FA">
        <w:rPr>
          <w:rFonts w:ascii="Arial" w:hAnsi="Arial" w:cs="Arial"/>
          <w:b/>
          <w:sz w:val="16"/>
          <w:szCs w:val="16"/>
        </w:rPr>
        <w:t>9</w:t>
      </w:r>
      <w:r>
        <w:rPr>
          <w:rFonts w:ascii="Arial" w:hAnsi="Arial" w:cs="Arial"/>
          <w:sz w:val="20"/>
          <w:szCs w:val="20"/>
        </w:rPr>
        <w:t xml:space="preserve">. </w:t>
      </w:r>
      <w:r w:rsidR="00B84801" w:rsidRPr="00B84801">
        <w:rPr>
          <w:rFonts w:ascii="Arial" w:hAnsi="Arial" w:cs="Arial"/>
          <w:sz w:val="20"/>
          <w:szCs w:val="20"/>
        </w:rPr>
        <w:t>Au mois de décembre 2013, la ministre du Logement en fonction reconnaissait que : « </w:t>
      </w:r>
      <w:r w:rsidR="00B84801" w:rsidRPr="00B84801">
        <w:rPr>
          <w:rFonts w:ascii="Arial" w:hAnsi="Arial" w:cs="Arial"/>
          <w:i/>
          <w:sz w:val="20"/>
          <w:szCs w:val="20"/>
        </w:rPr>
        <w:t>le taux de réalisation des aires est très inégal d’un territoire à l’autre, mais il est terriblement déficitaire. Les actions des pouvoirs publics, à tous les niveaux, ne sont pas assez coordonnées et leurs efforts ne sont pas suffisamment mesurés. Les demandes d’ancrage territorial, qui appellent des solutions d’habitat différentes, ne trouvent que très peu de réponses </w:t>
      </w:r>
      <w:r w:rsidR="00B84801" w:rsidRPr="00B84801">
        <w:rPr>
          <w:rFonts w:ascii="Arial" w:hAnsi="Arial" w:cs="Arial"/>
          <w:sz w:val="20"/>
          <w:szCs w:val="20"/>
        </w:rPr>
        <w:t>». De son côté, dans son rapport 2012, la Cour des comptes dressait également un tel constat.</w:t>
      </w:r>
    </w:p>
    <w:p w:rsidR="00B84801" w:rsidRPr="00B84801" w:rsidRDefault="00B84801" w:rsidP="00B84801">
      <w:pPr>
        <w:spacing w:after="0" w:line="240" w:lineRule="auto"/>
        <w:jc w:val="both"/>
        <w:rPr>
          <w:rFonts w:ascii="Arial" w:hAnsi="Arial" w:cs="Arial"/>
          <w:sz w:val="20"/>
          <w:szCs w:val="20"/>
        </w:rPr>
      </w:pPr>
    </w:p>
    <w:p w:rsidR="00B84801" w:rsidRPr="00B84801" w:rsidRDefault="00F638FA" w:rsidP="00B84801">
      <w:pPr>
        <w:spacing w:after="0" w:line="240" w:lineRule="auto"/>
        <w:jc w:val="both"/>
        <w:rPr>
          <w:rFonts w:ascii="Arial" w:hAnsi="Arial" w:cs="Arial"/>
          <w:sz w:val="20"/>
          <w:szCs w:val="20"/>
        </w:rPr>
      </w:pPr>
      <w:r>
        <w:rPr>
          <w:rFonts w:ascii="Arial" w:hAnsi="Arial" w:cs="Arial"/>
          <w:b/>
          <w:sz w:val="16"/>
          <w:szCs w:val="16"/>
        </w:rPr>
        <w:t>40</w:t>
      </w:r>
      <w:r w:rsidR="00A25A84">
        <w:rPr>
          <w:rFonts w:ascii="Arial" w:hAnsi="Arial" w:cs="Arial"/>
          <w:sz w:val="20"/>
          <w:szCs w:val="20"/>
        </w:rPr>
        <w:t xml:space="preserve">. </w:t>
      </w:r>
      <w:r w:rsidR="00B84801" w:rsidRPr="00B84801">
        <w:rPr>
          <w:rFonts w:ascii="Arial" w:hAnsi="Arial" w:cs="Arial"/>
          <w:sz w:val="20"/>
          <w:szCs w:val="20"/>
        </w:rPr>
        <w:t xml:space="preserve">Le 5 août 2014, le ministère de l’Intérieur, répondant à </w:t>
      </w:r>
      <w:r w:rsidR="006E6324">
        <w:rPr>
          <w:rFonts w:ascii="Arial" w:hAnsi="Arial" w:cs="Arial"/>
          <w:sz w:val="20"/>
          <w:szCs w:val="20"/>
        </w:rPr>
        <w:t>une question</w:t>
      </w:r>
      <w:r w:rsidR="00B84801" w:rsidRPr="00B84801">
        <w:rPr>
          <w:rFonts w:ascii="Arial" w:hAnsi="Arial" w:cs="Arial"/>
          <w:sz w:val="20"/>
          <w:szCs w:val="20"/>
        </w:rPr>
        <w:t xml:space="preserve"> d’un député, a publié une réponse reposant sur une enquête statistique lancée auprès des préfectures afin de connaître le nombre d’aires permanentes d’accueil et d’aires de grand passage des gens du voyage. Le constat est alarmant au regard des chiffres fournis, un tiers des aires d’accueil n’a pas été réalisé et seulement la moitié des aires de grand passage a été créée. Et ce malgré la circulaire du 23 mars 2012, rappelant aux préfets, sur la préparation de l’accueil estival des grands groupes de caravanes de gens du voyage, qu’il convient d’accorder la priorité à la réalisation de ces équipements.</w:t>
      </w:r>
    </w:p>
    <w:p w:rsidR="00B84801" w:rsidRPr="00B84801" w:rsidRDefault="00B84801" w:rsidP="00B84801">
      <w:pPr>
        <w:spacing w:after="0" w:line="240" w:lineRule="auto"/>
        <w:jc w:val="both"/>
        <w:rPr>
          <w:rFonts w:ascii="Arial" w:hAnsi="Arial" w:cs="Arial"/>
          <w:sz w:val="20"/>
          <w:szCs w:val="20"/>
        </w:rPr>
      </w:pPr>
    </w:p>
    <w:p w:rsidR="00B84801" w:rsidRPr="00B84801" w:rsidRDefault="00F638FA" w:rsidP="00B84801">
      <w:pPr>
        <w:spacing w:after="0" w:line="240" w:lineRule="auto"/>
        <w:jc w:val="both"/>
        <w:rPr>
          <w:rFonts w:ascii="Arial" w:hAnsi="Arial" w:cs="Arial"/>
          <w:sz w:val="20"/>
          <w:szCs w:val="20"/>
        </w:rPr>
      </w:pPr>
      <w:r>
        <w:rPr>
          <w:rFonts w:ascii="Arial" w:hAnsi="Arial" w:cs="Arial"/>
          <w:b/>
          <w:sz w:val="16"/>
          <w:szCs w:val="16"/>
        </w:rPr>
        <w:t>41</w:t>
      </w:r>
      <w:r w:rsidR="00A25A84">
        <w:rPr>
          <w:rFonts w:ascii="Arial" w:hAnsi="Arial" w:cs="Arial"/>
          <w:sz w:val="20"/>
          <w:szCs w:val="20"/>
        </w:rPr>
        <w:t xml:space="preserve">. </w:t>
      </w:r>
      <w:r w:rsidR="00B84801" w:rsidRPr="00B84801">
        <w:rPr>
          <w:rFonts w:ascii="Arial" w:hAnsi="Arial" w:cs="Arial"/>
          <w:sz w:val="20"/>
          <w:szCs w:val="20"/>
        </w:rPr>
        <w:t>En outre, par un arrêt du 17 octobre 2013</w:t>
      </w:r>
      <w:r w:rsidR="00B84801" w:rsidRPr="00CA4929">
        <w:rPr>
          <w:rFonts w:ascii="Arial" w:hAnsi="Arial" w:cs="Arial"/>
          <w:b/>
          <w:sz w:val="18"/>
          <w:szCs w:val="18"/>
          <w:vertAlign w:val="superscript"/>
        </w:rPr>
        <w:footnoteReference w:id="15"/>
      </w:r>
      <w:r w:rsidR="00B84801" w:rsidRPr="00B84801">
        <w:rPr>
          <w:rFonts w:ascii="Arial" w:hAnsi="Arial" w:cs="Arial"/>
          <w:sz w:val="20"/>
          <w:szCs w:val="20"/>
        </w:rPr>
        <w:t xml:space="preserve">, la Cour européenne des droits de l’Homme a condamné la France pour violation de l’article 8 de la Convention européenne de sauvegarde des droits de l’Homme (CESDH) dans une affaire relative à une procédure d’expulsion locative de gens du voyage, sans proposition de relogement. Il s’agit de la première condamnation de la France concernant le logement des gens du voyage qui souligne le cadre juridique interne discriminant prévalant en France en cette matière, mais qui relève aussi l’absence de respect du mode de vie traditionnel au sens de l’article 8 de la CESDH. </w:t>
      </w:r>
    </w:p>
    <w:p w:rsidR="00A25A84" w:rsidRPr="00B84801" w:rsidRDefault="00A25A84"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b/>
          <w:bCs/>
          <w:sz w:val="20"/>
          <w:szCs w:val="20"/>
        </w:rPr>
      </w:pPr>
      <w:bookmarkStart w:id="22" w:name="_Toc282794089"/>
      <w:bookmarkStart w:id="23" w:name="_Toc282794279"/>
      <w:bookmarkStart w:id="24" w:name="_Toc282795910"/>
      <w:bookmarkStart w:id="25" w:name="_Toc413409281"/>
      <w:bookmarkStart w:id="26" w:name="_Toc415581570"/>
      <w:r w:rsidRPr="00B84801">
        <w:rPr>
          <w:rFonts w:ascii="Arial" w:hAnsi="Arial" w:cs="Arial"/>
          <w:b/>
          <w:bCs/>
          <w:sz w:val="20"/>
          <w:szCs w:val="20"/>
        </w:rPr>
        <w:t>Le droit de vote</w:t>
      </w:r>
      <w:bookmarkEnd w:id="22"/>
      <w:bookmarkEnd w:id="23"/>
      <w:bookmarkEnd w:id="24"/>
      <w:bookmarkEnd w:id="25"/>
      <w:bookmarkEnd w:id="26"/>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4</w:t>
      </w:r>
      <w:r w:rsidR="00F638FA">
        <w:rPr>
          <w:rFonts w:ascii="Arial" w:hAnsi="Arial" w:cs="Arial"/>
          <w:b/>
          <w:sz w:val="16"/>
          <w:szCs w:val="16"/>
        </w:rPr>
        <w:t>2</w:t>
      </w:r>
      <w:r>
        <w:rPr>
          <w:rFonts w:ascii="Arial" w:hAnsi="Arial" w:cs="Arial"/>
          <w:sz w:val="20"/>
          <w:szCs w:val="20"/>
        </w:rPr>
        <w:t xml:space="preserve">. </w:t>
      </w:r>
      <w:r w:rsidR="00B84801" w:rsidRPr="00B84801">
        <w:rPr>
          <w:rFonts w:ascii="Arial" w:hAnsi="Arial" w:cs="Arial"/>
          <w:sz w:val="20"/>
          <w:szCs w:val="20"/>
        </w:rPr>
        <w:t>La loi du 3 janvier 1969 susvisée, dans son article 10, définit les conditions d’inscription des gens du voyage sur les listes électorales. Cette inscription n’est possible de si le voyageur atteste de trois ans ininterrompus dans la même commune. Or ce délai n’est que de six mois pour tout citoyen français, même si celui-ci est sans domicile fixe. Le Conseil Constitutionnel, par cette même décision du 5 octobre 2012, a déclaré inconstitutionnel le délai de trois années de rattachement à une commune. Néanmoins, l’obligation de rattachement à une commune demeure.</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4</w:t>
      </w:r>
      <w:r w:rsidR="00F638FA">
        <w:rPr>
          <w:rFonts w:ascii="Arial" w:hAnsi="Arial" w:cs="Arial"/>
          <w:b/>
          <w:sz w:val="16"/>
          <w:szCs w:val="16"/>
        </w:rPr>
        <w:t>3</w:t>
      </w:r>
      <w:r>
        <w:rPr>
          <w:rFonts w:ascii="Arial" w:hAnsi="Arial" w:cs="Arial"/>
          <w:sz w:val="20"/>
          <w:szCs w:val="20"/>
        </w:rPr>
        <w:t xml:space="preserve">. </w:t>
      </w:r>
      <w:r w:rsidR="00B84801" w:rsidRPr="00B84801">
        <w:rPr>
          <w:rFonts w:ascii="Arial" w:hAnsi="Arial" w:cs="Arial"/>
          <w:sz w:val="20"/>
          <w:szCs w:val="20"/>
        </w:rPr>
        <w:t xml:space="preserve">Cependant au regard même du mode de vie itinérant des gens du voyage, l’obligation de rattachement empêche qu’ils exercent leur droit de vote. Par dérogation à la loi du 3 janvier 1969, les </w:t>
      </w:r>
      <w:r w:rsidR="00B84801" w:rsidRPr="00B84801">
        <w:rPr>
          <w:rFonts w:ascii="Arial" w:hAnsi="Arial" w:cs="Arial"/>
          <w:sz w:val="20"/>
          <w:szCs w:val="20"/>
        </w:rPr>
        <w:lastRenderedPageBreak/>
        <w:t xml:space="preserve">« gens du voyage » ont la possibilité de voir appliquée la loi du 5 mars 2007, dite loi DALO. Elle permet à tous citoyens de fournir la preuve d’un domicile ou d’une résidence ou dont la loi n’a pas fixé de commune de rattachement d’élire domicile soit auprès d’un centre communal ou intercommunal d’action sociale, soit auprès d’un organisme agréé à cet effet. Cette même loi a modifié le code électoral : ceux qui ne peuvent fournir la preuve d’un domicile ou d’une résidence et auxquels la loi n’a pas fixé une commune de rattachement, </w:t>
      </w:r>
      <w:r w:rsidR="006E6324">
        <w:rPr>
          <w:rFonts w:ascii="Arial" w:hAnsi="Arial" w:cs="Arial"/>
          <w:sz w:val="20"/>
          <w:szCs w:val="20"/>
        </w:rPr>
        <w:t xml:space="preserve">ont </w:t>
      </w:r>
      <w:r w:rsidR="00B84801" w:rsidRPr="00B84801">
        <w:rPr>
          <w:rFonts w:ascii="Arial" w:hAnsi="Arial" w:cs="Arial"/>
          <w:sz w:val="20"/>
          <w:szCs w:val="20"/>
        </w:rPr>
        <w:t xml:space="preserve">la possibilité d’une inscription sur les listes électorales dans la commune où est situé l’organisme d’accueil, sous condition d’un lien avec la personne </w:t>
      </w:r>
      <w:r w:rsidR="006E6324">
        <w:rPr>
          <w:rFonts w:ascii="Arial" w:hAnsi="Arial" w:cs="Arial"/>
          <w:sz w:val="20"/>
          <w:szCs w:val="20"/>
        </w:rPr>
        <w:t xml:space="preserve">ou l’organisme </w:t>
      </w:r>
      <w:r w:rsidR="00B84801" w:rsidRPr="00B84801">
        <w:rPr>
          <w:rFonts w:ascii="Arial" w:hAnsi="Arial" w:cs="Arial"/>
          <w:sz w:val="20"/>
          <w:szCs w:val="20"/>
        </w:rPr>
        <w:t>depuis six mois.</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4</w:t>
      </w:r>
      <w:r w:rsidR="00F638FA">
        <w:rPr>
          <w:rFonts w:ascii="Arial" w:hAnsi="Arial" w:cs="Arial"/>
          <w:b/>
          <w:sz w:val="16"/>
          <w:szCs w:val="16"/>
        </w:rPr>
        <w:t>4</w:t>
      </w:r>
      <w:r>
        <w:rPr>
          <w:rFonts w:ascii="Arial" w:hAnsi="Arial" w:cs="Arial"/>
          <w:sz w:val="20"/>
          <w:szCs w:val="20"/>
        </w:rPr>
        <w:t xml:space="preserve">. </w:t>
      </w:r>
      <w:r w:rsidR="00B84801" w:rsidRPr="00B84801">
        <w:rPr>
          <w:rFonts w:ascii="Arial" w:hAnsi="Arial" w:cs="Arial"/>
          <w:sz w:val="20"/>
          <w:szCs w:val="20"/>
        </w:rPr>
        <w:t xml:space="preserve">Il n’en demeure pas moins que la règle en vigueur reste la loi du 3 janvier 1969 et son rattachement à une commune depuis 6 mois. Or le principe même de l’itinérance ne coïncide pas avec cette mesure. D’autre part, le maintien de deux types de rattachement administratif pour un même principe se pose. Le préfet Hubert </w:t>
      </w:r>
      <w:proofErr w:type="spellStart"/>
      <w:r w:rsidR="00B84801" w:rsidRPr="00B84801">
        <w:rPr>
          <w:rFonts w:ascii="Arial" w:hAnsi="Arial" w:cs="Arial"/>
          <w:sz w:val="20"/>
          <w:szCs w:val="20"/>
        </w:rPr>
        <w:t>Derache</w:t>
      </w:r>
      <w:proofErr w:type="spellEnd"/>
      <w:r w:rsidR="00B84801" w:rsidRPr="00B84801">
        <w:rPr>
          <w:rFonts w:ascii="Arial" w:hAnsi="Arial" w:cs="Arial"/>
          <w:sz w:val="20"/>
          <w:szCs w:val="20"/>
        </w:rPr>
        <w:t xml:space="preserve"> dans son rapport de juillet 2013</w:t>
      </w:r>
      <w:r w:rsidR="00B84801" w:rsidRPr="008727DB">
        <w:rPr>
          <w:rFonts w:ascii="Arial" w:hAnsi="Arial" w:cs="Arial"/>
          <w:b/>
          <w:sz w:val="18"/>
          <w:szCs w:val="18"/>
          <w:vertAlign w:val="superscript"/>
        </w:rPr>
        <w:footnoteReference w:id="16"/>
      </w:r>
      <w:r w:rsidR="00B84801" w:rsidRPr="00B84801">
        <w:rPr>
          <w:rFonts w:ascii="Arial" w:hAnsi="Arial" w:cs="Arial"/>
          <w:sz w:val="20"/>
          <w:szCs w:val="20"/>
        </w:rPr>
        <w:t xml:space="preserve"> avait fait de la suppression de la commune de rattachement l’une de ses principales recommandations.</w:t>
      </w:r>
    </w:p>
    <w:p w:rsidR="00B84801" w:rsidRPr="00B84801" w:rsidRDefault="00B84801" w:rsidP="00B84801">
      <w:pPr>
        <w:spacing w:after="0" w:line="240" w:lineRule="auto"/>
        <w:jc w:val="both"/>
        <w:rPr>
          <w:rFonts w:ascii="Arial" w:hAnsi="Arial" w:cs="Arial"/>
          <w:sz w:val="20"/>
          <w:szCs w:val="20"/>
        </w:rPr>
      </w:pPr>
    </w:p>
    <w:p w:rsid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4</w:t>
      </w:r>
      <w:r w:rsidR="00F638FA">
        <w:rPr>
          <w:rFonts w:ascii="Arial" w:hAnsi="Arial" w:cs="Arial"/>
          <w:b/>
          <w:sz w:val="16"/>
          <w:szCs w:val="16"/>
        </w:rPr>
        <w:t>5</w:t>
      </w:r>
      <w:r>
        <w:rPr>
          <w:rFonts w:ascii="Arial" w:hAnsi="Arial" w:cs="Arial"/>
          <w:sz w:val="20"/>
          <w:szCs w:val="20"/>
        </w:rPr>
        <w:t xml:space="preserve">. </w:t>
      </w:r>
      <w:r w:rsidR="00B84801" w:rsidRPr="00B84801">
        <w:rPr>
          <w:rFonts w:ascii="Arial" w:hAnsi="Arial" w:cs="Arial"/>
          <w:sz w:val="20"/>
          <w:szCs w:val="20"/>
        </w:rPr>
        <w:t xml:space="preserve">D’autre part, le rattachement est prononcé par le préfet, après avis motivé du maire, sous réserve que la présence des gens du voyage sur la commune ne dépasse pas les limites de 3% de la population qui y est recensée. Si cette limite est atteinte, ils devront choisir une autre commune, sauf si le principe de l’unité des familles trouve à s’appliquer. Or cette limite n’est atteinte que dans une centaine de communes sur 36000. Le préfet Hubert </w:t>
      </w:r>
      <w:proofErr w:type="spellStart"/>
      <w:r w:rsidR="00B84801" w:rsidRPr="00B84801">
        <w:rPr>
          <w:rFonts w:ascii="Arial" w:hAnsi="Arial" w:cs="Arial"/>
          <w:sz w:val="20"/>
          <w:szCs w:val="20"/>
        </w:rPr>
        <w:t>Derache</w:t>
      </w:r>
      <w:proofErr w:type="spellEnd"/>
      <w:r w:rsidR="00B84801" w:rsidRPr="00B84801">
        <w:rPr>
          <w:rFonts w:ascii="Arial" w:hAnsi="Arial" w:cs="Arial"/>
          <w:sz w:val="20"/>
          <w:szCs w:val="20"/>
        </w:rPr>
        <w:t xml:space="preserve"> dans son rapport de juillet 2013</w:t>
      </w:r>
      <w:r w:rsidR="00B84801" w:rsidRPr="008727DB">
        <w:rPr>
          <w:rFonts w:ascii="Arial" w:hAnsi="Arial" w:cs="Arial"/>
          <w:b/>
          <w:sz w:val="18"/>
          <w:szCs w:val="18"/>
          <w:vertAlign w:val="superscript"/>
        </w:rPr>
        <w:footnoteReference w:id="17"/>
      </w:r>
      <w:r w:rsidR="00B84801" w:rsidRPr="00B84801">
        <w:rPr>
          <w:rFonts w:ascii="Arial" w:hAnsi="Arial" w:cs="Arial"/>
          <w:sz w:val="20"/>
          <w:szCs w:val="20"/>
        </w:rPr>
        <w:t xml:space="preserve"> en demandait également la suppression comme l’une de ses principales recommandations.</w:t>
      </w:r>
    </w:p>
    <w:p w:rsidR="00A25A84" w:rsidRPr="00B84801" w:rsidRDefault="00A25A84"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b/>
          <w:bCs/>
          <w:sz w:val="20"/>
          <w:szCs w:val="20"/>
        </w:rPr>
      </w:pPr>
      <w:bookmarkStart w:id="27" w:name="_Toc282794090"/>
      <w:bookmarkStart w:id="28" w:name="_Toc282794280"/>
      <w:bookmarkStart w:id="29" w:name="_Toc282795911"/>
      <w:bookmarkStart w:id="30" w:name="_Toc413409282"/>
      <w:bookmarkStart w:id="31" w:name="_Toc415581571"/>
      <w:r w:rsidRPr="00B84801">
        <w:rPr>
          <w:rFonts w:ascii="Arial" w:hAnsi="Arial" w:cs="Arial"/>
          <w:b/>
          <w:bCs/>
          <w:sz w:val="20"/>
          <w:szCs w:val="20"/>
        </w:rPr>
        <w:t>En matière de scolarisation</w:t>
      </w:r>
      <w:bookmarkEnd w:id="27"/>
      <w:bookmarkEnd w:id="28"/>
      <w:bookmarkEnd w:id="29"/>
      <w:bookmarkEnd w:id="30"/>
      <w:bookmarkEnd w:id="31"/>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bCs/>
          <w:sz w:val="20"/>
          <w:szCs w:val="20"/>
        </w:rPr>
      </w:pPr>
      <w:r w:rsidRPr="00A25A84">
        <w:rPr>
          <w:rFonts w:ascii="Arial" w:hAnsi="Arial" w:cs="Arial"/>
          <w:b/>
          <w:bCs/>
          <w:sz w:val="16"/>
          <w:szCs w:val="16"/>
        </w:rPr>
        <w:t>4</w:t>
      </w:r>
      <w:r w:rsidR="00F638FA">
        <w:rPr>
          <w:rFonts w:ascii="Arial" w:hAnsi="Arial" w:cs="Arial"/>
          <w:b/>
          <w:bCs/>
          <w:sz w:val="16"/>
          <w:szCs w:val="16"/>
        </w:rPr>
        <w:t>6</w:t>
      </w:r>
      <w:r>
        <w:rPr>
          <w:rFonts w:ascii="Arial" w:hAnsi="Arial" w:cs="Arial"/>
          <w:bCs/>
          <w:sz w:val="20"/>
          <w:szCs w:val="20"/>
        </w:rPr>
        <w:t xml:space="preserve">. </w:t>
      </w:r>
      <w:r w:rsidR="00B84801" w:rsidRPr="00B84801">
        <w:rPr>
          <w:rFonts w:ascii="Arial" w:hAnsi="Arial" w:cs="Arial"/>
          <w:bCs/>
          <w:sz w:val="20"/>
          <w:szCs w:val="20"/>
        </w:rPr>
        <w:t>Votre comité s’interrogeait sur les mesures adoptées pour assurer aux « gens du voyage » une égalité de traitement notamment en matière d’accès à l’éducation.</w:t>
      </w:r>
    </w:p>
    <w:p w:rsidR="008727DB" w:rsidRDefault="008727DB"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bCs/>
          <w:sz w:val="20"/>
          <w:szCs w:val="20"/>
        </w:rPr>
      </w:pPr>
      <w:r w:rsidRPr="00A25A84">
        <w:rPr>
          <w:rFonts w:ascii="Arial" w:hAnsi="Arial" w:cs="Arial"/>
          <w:b/>
          <w:bCs/>
          <w:sz w:val="16"/>
          <w:szCs w:val="16"/>
        </w:rPr>
        <w:t>4</w:t>
      </w:r>
      <w:r w:rsidR="00F638FA">
        <w:rPr>
          <w:rFonts w:ascii="Arial" w:hAnsi="Arial" w:cs="Arial"/>
          <w:b/>
          <w:bCs/>
          <w:sz w:val="16"/>
          <w:szCs w:val="16"/>
        </w:rPr>
        <w:t>7</w:t>
      </w:r>
      <w:r>
        <w:rPr>
          <w:rFonts w:ascii="Arial" w:hAnsi="Arial" w:cs="Arial"/>
          <w:bCs/>
          <w:sz w:val="20"/>
          <w:szCs w:val="20"/>
        </w:rPr>
        <w:t xml:space="preserve">. </w:t>
      </w:r>
      <w:r w:rsidR="00B84801" w:rsidRPr="00B84801">
        <w:rPr>
          <w:rFonts w:ascii="Arial" w:hAnsi="Arial" w:cs="Arial"/>
          <w:bCs/>
          <w:sz w:val="20"/>
          <w:szCs w:val="20"/>
        </w:rPr>
        <w:t>La législation française est très claire : la scolarisation est obligatoire de 6 à 16 ans. Si l’instruction pour tous, sur une base d’égalité, est proclamée par tous les grands textes de la République française, il n’en reste pas moins que les « gens du voyage » ont à faire face à un grand nombre de contraintes administratives et que leur mode vie itinérant ne permet pas de pleinement satisfaire.</w:t>
      </w:r>
    </w:p>
    <w:p w:rsidR="008727DB" w:rsidRDefault="008727DB"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bCs/>
          <w:sz w:val="16"/>
          <w:szCs w:val="16"/>
        </w:rPr>
        <w:t>4</w:t>
      </w:r>
      <w:r w:rsidR="00F638FA">
        <w:rPr>
          <w:rFonts w:ascii="Arial" w:hAnsi="Arial" w:cs="Arial"/>
          <w:b/>
          <w:bCs/>
          <w:sz w:val="16"/>
          <w:szCs w:val="16"/>
        </w:rPr>
        <w:t>8</w:t>
      </w:r>
      <w:r>
        <w:rPr>
          <w:rFonts w:ascii="Arial" w:hAnsi="Arial" w:cs="Arial"/>
          <w:bCs/>
          <w:sz w:val="20"/>
          <w:szCs w:val="20"/>
        </w:rPr>
        <w:t xml:space="preserve">. </w:t>
      </w:r>
      <w:r w:rsidR="00B84801" w:rsidRPr="00B84801">
        <w:rPr>
          <w:rFonts w:ascii="Arial" w:hAnsi="Arial" w:cs="Arial"/>
          <w:bCs/>
          <w:sz w:val="20"/>
          <w:szCs w:val="20"/>
        </w:rPr>
        <w:t xml:space="preserve">La ministre déléguée chargée de la réussite éducative, madame George Pau-Langevin, s’est exprimée sur la scolarisation des enfants du voyage, lors d’un colloque organisé le 17 juin 2013 à l’Assemblée Nationale. Elle a notamment reconnu que les enfants du voyage avaient à faire face </w:t>
      </w:r>
      <w:r w:rsidR="00B84801" w:rsidRPr="00B84801">
        <w:rPr>
          <w:rFonts w:ascii="Arial" w:hAnsi="Arial" w:cs="Arial"/>
          <w:sz w:val="20"/>
          <w:szCs w:val="20"/>
        </w:rPr>
        <w:t>à « </w:t>
      </w:r>
      <w:r w:rsidR="00B84801" w:rsidRPr="00B84801">
        <w:rPr>
          <w:rFonts w:ascii="Arial" w:hAnsi="Arial" w:cs="Arial"/>
          <w:i/>
          <w:sz w:val="20"/>
          <w:szCs w:val="20"/>
        </w:rPr>
        <w:t>un refus d’inscription scolaire de la part de certaines municipalités ; des exigences de justificatifs qui retardent les démarches d’inscription scolaires et des délais d’affectation anormalement longs </w:t>
      </w:r>
      <w:r w:rsidR="00B84801" w:rsidRPr="00B84801">
        <w:rPr>
          <w:rFonts w:ascii="Arial" w:hAnsi="Arial" w:cs="Arial"/>
          <w:sz w:val="20"/>
          <w:szCs w:val="20"/>
        </w:rPr>
        <w:t>». Elle notait également que la scolarisation au niveau du collège et du lycée (général ou professionnel) demeurait problématique et que la circulaire du 2 octobre 2012 devait résoudre cette question.</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4</w:t>
      </w:r>
      <w:r w:rsidR="00F638FA">
        <w:rPr>
          <w:rFonts w:ascii="Arial" w:hAnsi="Arial" w:cs="Arial"/>
          <w:b/>
          <w:sz w:val="16"/>
          <w:szCs w:val="16"/>
        </w:rPr>
        <w:t>9</w:t>
      </w:r>
      <w:r>
        <w:rPr>
          <w:rFonts w:ascii="Arial" w:hAnsi="Arial" w:cs="Arial"/>
          <w:sz w:val="20"/>
          <w:szCs w:val="20"/>
        </w:rPr>
        <w:t xml:space="preserve">. </w:t>
      </w:r>
      <w:r w:rsidR="00B84801" w:rsidRPr="00B84801">
        <w:rPr>
          <w:rFonts w:ascii="Arial" w:hAnsi="Arial" w:cs="Arial"/>
          <w:sz w:val="20"/>
          <w:szCs w:val="20"/>
        </w:rPr>
        <w:t>Elle avait également émis certaines recommandations, dont « la scolarisation dans des classes ordinaires » qui doivent constituer la modalité principale de scolarisation, et ce même lorsqu'elle nécessite temporairement des aménagements et des dispositifs particuliers.</w:t>
      </w:r>
    </w:p>
    <w:p w:rsidR="00B84801" w:rsidRPr="00B84801" w:rsidRDefault="00B84801" w:rsidP="00B84801">
      <w:pPr>
        <w:spacing w:after="0" w:line="240" w:lineRule="auto"/>
        <w:jc w:val="both"/>
        <w:rPr>
          <w:rFonts w:ascii="Arial" w:hAnsi="Arial" w:cs="Arial"/>
          <w:sz w:val="20"/>
          <w:szCs w:val="20"/>
        </w:rPr>
      </w:pPr>
    </w:p>
    <w:p w:rsidR="00B84801" w:rsidRDefault="00F638FA" w:rsidP="00B84801">
      <w:pPr>
        <w:spacing w:after="0" w:line="240" w:lineRule="auto"/>
        <w:jc w:val="both"/>
        <w:rPr>
          <w:rFonts w:ascii="Arial" w:hAnsi="Arial" w:cs="Arial"/>
          <w:sz w:val="20"/>
          <w:szCs w:val="20"/>
        </w:rPr>
      </w:pPr>
      <w:r>
        <w:rPr>
          <w:rFonts w:ascii="Arial" w:hAnsi="Arial" w:cs="Arial"/>
          <w:b/>
          <w:sz w:val="16"/>
          <w:szCs w:val="16"/>
        </w:rPr>
        <w:t>50</w:t>
      </w:r>
      <w:r w:rsidR="00A25A84">
        <w:rPr>
          <w:rFonts w:ascii="Arial" w:hAnsi="Arial" w:cs="Arial"/>
          <w:sz w:val="20"/>
          <w:szCs w:val="20"/>
        </w:rPr>
        <w:t xml:space="preserve">. </w:t>
      </w:r>
      <w:r w:rsidR="00B84801" w:rsidRPr="00B84801">
        <w:rPr>
          <w:rFonts w:ascii="Arial" w:hAnsi="Arial" w:cs="Arial"/>
          <w:sz w:val="20"/>
          <w:szCs w:val="20"/>
        </w:rPr>
        <w:t>Les trois circulaires du 12 septembre 2012 entendaient réactiver le rôle des « centres académiques pour la scolarisation des enfants allophones nouvellement arrivés et des enfants issus des familles itinérantes et de voyageurs » (CASNAV). Si le rapport à l’école des gens du voyage a favorablement évolué, il n’existe pour l’heure aucun rapport sur l’accessib</w:t>
      </w:r>
      <w:r w:rsidR="008727DB">
        <w:rPr>
          <w:rFonts w:ascii="Arial" w:hAnsi="Arial" w:cs="Arial"/>
          <w:sz w:val="20"/>
          <w:szCs w:val="20"/>
        </w:rPr>
        <w:t>ilité et l’activité des CASNAV.</w:t>
      </w:r>
    </w:p>
    <w:p w:rsidR="00673A33" w:rsidRDefault="00673A33" w:rsidP="00B84801">
      <w:pPr>
        <w:spacing w:after="0" w:line="240" w:lineRule="auto"/>
        <w:jc w:val="both"/>
        <w:rPr>
          <w:rFonts w:ascii="Arial" w:hAnsi="Arial" w:cs="Arial"/>
          <w:sz w:val="20"/>
          <w:szCs w:val="20"/>
        </w:rPr>
      </w:pPr>
    </w:p>
    <w:p w:rsidR="00673A33" w:rsidRDefault="00673A33" w:rsidP="00B84801">
      <w:pPr>
        <w:spacing w:after="0" w:line="240" w:lineRule="auto"/>
        <w:jc w:val="both"/>
        <w:rPr>
          <w:rFonts w:ascii="Arial" w:hAnsi="Arial" w:cs="Arial"/>
          <w:sz w:val="20"/>
          <w:szCs w:val="20"/>
        </w:rPr>
      </w:pPr>
    </w:p>
    <w:p w:rsidR="00673A33" w:rsidRDefault="00673A33" w:rsidP="00B84801">
      <w:pPr>
        <w:spacing w:after="0" w:line="240" w:lineRule="auto"/>
        <w:jc w:val="both"/>
        <w:rPr>
          <w:rFonts w:ascii="Arial" w:hAnsi="Arial" w:cs="Arial"/>
          <w:sz w:val="20"/>
          <w:szCs w:val="20"/>
        </w:rPr>
      </w:pPr>
    </w:p>
    <w:p w:rsidR="00673A33" w:rsidRPr="00B84801" w:rsidRDefault="00673A33" w:rsidP="00B84801">
      <w:pPr>
        <w:spacing w:after="0" w:line="240" w:lineRule="auto"/>
        <w:jc w:val="both"/>
        <w:rPr>
          <w:rFonts w:ascii="Arial" w:hAnsi="Arial" w:cs="Arial"/>
          <w:sz w:val="20"/>
          <w:szCs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205"/>
      </w:tblGrid>
      <w:tr w:rsidR="00B84801" w:rsidRPr="00B84801" w:rsidTr="00FD1CC1">
        <w:tc>
          <w:tcPr>
            <w:tcW w:w="9205" w:type="dxa"/>
            <w:shd w:val="clear" w:color="auto" w:fill="D9D9D9" w:themeFill="background1" w:themeFillShade="D9"/>
          </w:tcPr>
          <w:p w:rsidR="00B84801" w:rsidRPr="002A2410" w:rsidRDefault="008727DB" w:rsidP="002A2410">
            <w:pPr>
              <w:pStyle w:val="Titre2"/>
              <w:spacing w:before="0"/>
              <w:jc w:val="both"/>
              <w:outlineLvl w:val="1"/>
              <w:rPr>
                <w:rFonts w:ascii="Arial" w:hAnsi="Arial" w:cs="Arial"/>
                <w:smallCaps/>
                <w:sz w:val="20"/>
                <w:szCs w:val="20"/>
              </w:rPr>
            </w:pPr>
            <w:bookmarkStart w:id="32" w:name="_Toc282795912"/>
            <w:bookmarkStart w:id="33" w:name="_Toc413409283"/>
            <w:bookmarkStart w:id="34" w:name="_Toc415581572"/>
            <w:bookmarkStart w:id="35" w:name="_Toc420924110"/>
            <w:r w:rsidRPr="002A2410">
              <w:rPr>
                <w:rFonts w:ascii="Arial" w:hAnsi="Arial" w:cs="Arial"/>
                <w:smallCaps/>
                <w:color w:val="auto"/>
                <w:sz w:val="20"/>
                <w:szCs w:val="20"/>
              </w:rPr>
              <w:t>recommandations</w:t>
            </w:r>
            <w:bookmarkEnd w:id="32"/>
            <w:bookmarkEnd w:id="33"/>
            <w:bookmarkEnd w:id="34"/>
            <w:bookmarkEnd w:id="35"/>
          </w:p>
        </w:tc>
      </w:tr>
    </w:tbl>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sz w:val="20"/>
          <w:szCs w:val="20"/>
        </w:rPr>
      </w:pPr>
      <w:r w:rsidRPr="00B84801">
        <w:rPr>
          <w:rFonts w:ascii="Arial" w:hAnsi="Arial" w:cs="Arial"/>
          <w:sz w:val="20"/>
          <w:szCs w:val="20"/>
        </w:rPr>
        <w:t>La Ligue des droits de l’Homme recommande aux autorités françaises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lastRenderedPageBreak/>
        <w:t>l’abrogation pure et simple de la loi du 3 janvier 1969 en ce qu’elle comporte plusieurs dispositions contraires aux droits fondamentaux, violant ainsi les textes internationaux et européens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t>l’engagement une véritable campagne de lutte contre le racisme anti-rom</w:t>
      </w:r>
      <w:r w:rsidR="003D6746">
        <w:rPr>
          <w:rFonts w:ascii="Arial" w:hAnsi="Arial" w:cs="Arial"/>
          <w:sz w:val="20"/>
          <w:szCs w:val="20"/>
        </w:rPr>
        <w:t>/gens du voyage</w:t>
      </w:r>
      <w:r w:rsidRPr="00B84801">
        <w:rPr>
          <w:rFonts w:ascii="Arial" w:hAnsi="Arial" w:cs="Arial"/>
          <w:sz w:val="20"/>
          <w:szCs w:val="20"/>
        </w:rPr>
        <w:t xml:space="preserve"> qui se développe au sein de la population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t>la mise en place d’une réelle politique d’égalité de traitement concernant la scolarisation des enfants des gens du voyage ;</w:t>
      </w:r>
    </w:p>
    <w:p w:rsidR="00B84801" w:rsidRPr="00B84801" w:rsidRDefault="00B84801" w:rsidP="00B84801">
      <w:pPr>
        <w:spacing w:after="0" w:line="240" w:lineRule="auto"/>
        <w:jc w:val="both"/>
        <w:rPr>
          <w:rFonts w:ascii="Arial" w:hAnsi="Arial" w:cs="Arial"/>
          <w:sz w:val="20"/>
          <w:szCs w:val="20"/>
        </w:rPr>
      </w:pPr>
    </w:p>
    <w:p w:rsid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t>l’application de la loi relative aux aires d’accueil.</w:t>
      </w:r>
    </w:p>
    <w:p w:rsidR="003D6746" w:rsidRDefault="003D6746" w:rsidP="003D6746">
      <w:pPr>
        <w:pStyle w:val="Paragraphedeliste"/>
        <w:rPr>
          <w:rFonts w:ascii="Arial" w:hAnsi="Arial" w:cs="Arial"/>
          <w:sz w:val="20"/>
          <w:szCs w:val="20"/>
        </w:rPr>
      </w:pPr>
    </w:p>
    <w:p w:rsidR="003D6746" w:rsidRPr="00115BE5" w:rsidRDefault="003D6746" w:rsidP="003D6746">
      <w:pPr>
        <w:spacing w:after="0" w:line="240" w:lineRule="auto"/>
        <w:jc w:val="both"/>
        <w:rPr>
          <w:rFonts w:ascii="Arial" w:hAnsi="Arial" w:cs="Arial"/>
          <w:sz w:val="20"/>
          <w:szCs w:val="20"/>
        </w:rPr>
      </w:pPr>
    </w:p>
    <w:p w:rsidR="00B84801" w:rsidRPr="003D3D4B" w:rsidRDefault="008727DB" w:rsidP="00FB6C71">
      <w:pPr>
        <w:pStyle w:val="Titre3"/>
        <w:numPr>
          <w:ilvl w:val="0"/>
          <w:numId w:val="15"/>
        </w:numPr>
        <w:spacing w:before="0" w:line="240" w:lineRule="auto"/>
        <w:jc w:val="both"/>
        <w:rPr>
          <w:rFonts w:ascii="Arial" w:hAnsi="Arial" w:cs="Arial"/>
          <w:b w:val="0"/>
          <w:i/>
          <w:color w:val="auto"/>
          <w:sz w:val="20"/>
          <w:szCs w:val="20"/>
        </w:rPr>
      </w:pPr>
      <w:bookmarkStart w:id="36" w:name="_Toc420924111"/>
      <w:r w:rsidRPr="003D3D4B">
        <w:rPr>
          <w:rFonts w:ascii="Arial" w:hAnsi="Arial" w:cs="Arial"/>
          <w:b w:val="0"/>
          <w:i/>
          <w:color w:val="auto"/>
          <w:sz w:val="20"/>
          <w:szCs w:val="20"/>
        </w:rPr>
        <w:t xml:space="preserve">La situation particulière des </w:t>
      </w:r>
      <w:proofErr w:type="spellStart"/>
      <w:r w:rsidRPr="003D3D4B">
        <w:rPr>
          <w:rFonts w:ascii="Arial" w:hAnsi="Arial" w:cs="Arial"/>
          <w:b w:val="0"/>
          <w:i/>
          <w:color w:val="auto"/>
          <w:sz w:val="20"/>
          <w:szCs w:val="20"/>
        </w:rPr>
        <w:t>roms</w:t>
      </w:r>
      <w:bookmarkEnd w:id="36"/>
      <w:proofErr w:type="spellEnd"/>
    </w:p>
    <w:p w:rsidR="008727DB" w:rsidRPr="008727DB" w:rsidRDefault="008727DB" w:rsidP="008727DB">
      <w:pPr>
        <w:spacing w:after="0" w:line="240" w:lineRule="auto"/>
        <w:jc w:val="both"/>
        <w:rPr>
          <w:rFonts w:ascii="Arial" w:hAnsi="Arial" w:cs="Arial"/>
          <w:sz w:val="20"/>
          <w:szCs w:val="20"/>
        </w:rPr>
      </w:pPr>
    </w:p>
    <w:p w:rsidR="00B84801" w:rsidRPr="00B84801" w:rsidRDefault="00F638FA" w:rsidP="00B84801">
      <w:pPr>
        <w:spacing w:after="0" w:line="240" w:lineRule="auto"/>
        <w:jc w:val="both"/>
        <w:rPr>
          <w:rFonts w:ascii="Arial" w:hAnsi="Arial" w:cs="Arial"/>
          <w:sz w:val="20"/>
          <w:szCs w:val="20"/>
        </w:rPr>
      </w:pPr>
      <w:r>
        <w:rPr>
          <w:rFonts w:ascii="Arial" w:hAnsi="Arial" w:cs="Arial"/>
          <w:b/>
          <w:sz w:val="16"/>
          <w:szCs w:val="16"/>
        </w:rPr>
        <w:t>51</w:t>
      </w:r>
      <w:r w:rsidR="00A25A84">
        <w:rPr>
          <w:rFonts w:ascii="Arial" w:hAnsi="Arial" w:cs="Arial"/>
          <w:sz w:val="20"/>
          <w:szCs w:val="20"/>
        </w:rPr>
        <w:t xml:space="preserve">. </w:t>
      </w:r>
      <w:r w:rsidR="00B84801" w:rsidRPr="00B84801">
        <w:rPr>
          <w:rFonts w:ascii="Arial" w:hAnsi="Arial" w:cs="Arial"/>
          <w:sz w:val="20"/>
          <w:szCs w:val="20"/>
        </w:rPr>
        <w:t xml:space="preserve">15000 à 20000 </w:t>
      </w:r>
      <w:proofErr w:type="spellStart"/>
      <w:r w:rsidR="00B84801" w:rsidRPr="00B84801">
        <w:rPr>
          <w:rFonts w:ascii="Arial" w:hAnsi="Arial" w:cs="Arial"/>
          <w:sz w:val="20"/>
          <w:szCs w:val="20"/>
        </w:rPr>
        <w:t>Roms</w:t>
      </w:r>
      <w:proofErr w:type="spellEnd"/>
      <w:r w:rsidR="00B84801" w:rsidRPr="00B84801">
        <w:rPr>
          <w:rFonts w:ascii="Arial" w:hAnsi="Arial" w:cs="Arial"/>
          <w:sz w:val="20"/>
          <w:szCs w:val="20"/>
        </w:rPr>
        <w:t>, essentiellement Roumains et - dans une moindre mesure - Bulgares, sont présents en France et vivent dans des conditions d'extrême précarité. Ce sont des citoyens de l'Union européenne depuis 2007.</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5</w:t>
      </w:r>
      <w:r w:rsidR="00F638FA">
        <w:rPr>
          <w:rFonts w:ascii="Arial" w:hAnsi="Arial" w:cs="Arial"/>
          <w:b/>
          <w:sz w:val="16"/>
          <w:szCs w:val="16"/>
        </w:rPr>
        <w:t>2</w:t>
      </w:r>
      <w:r>
        <w:rPr>
          <w:rFonts w:ascii="Arial" w:hAnsi="Arial" w:cs="Arial"/>
          <w:sz w:val="20"/>
          <w:szCs w:val="20"/>
        </w:rPr>
        <w:t xml:space="preserve">. </w:t>
      </w:r>
      <w:r w:rsidR="00B84801" w:rsidRPr="00B84801">
        <w:rPr>
          <w:rFonts w:ascii="Arial" w:hAnsi="Arial" w:cs="Arial"/>
          <w:sz w:val="20"/>
          <w:szCs w:val="20"/>
        </w:rPr>
        <w:t>La France, en vertu de l’article 1 de la Constitution de 1958, a toujours assuré « </w:t>
      </w:r>
      <w:r w:rsidR="00B84801" w:rsidRPr="00B84801">
        <w:rPr>
          <w:rFonts w:ascii="Arial" w:hAnsi="Arial" w:cs="Arial"/>
          <w:i/>
          <w:sz w:val="20"/>
          <w:szCs w:val="20"/>
        </w:rPr>
        <w:t>l’égalité devant la loi de tous les citoyens sans distinction d’origine, de race ou de religion</w:t>
      </w:r>
      <w:r w:rsidR="00B84801" w:rsidRPr="00B84801">
        <w:rPr>
          <w:rFonts w:ascii="Arial" w:hAnsi="Arial" w:cs="Arial"/>
          <w:sz w:val="20"/>
          <w:szCs w:val="20"/>
        </w:rPr>
        <w:t> ». Ce qu’a rappelé le Conseil Constitutionnel dans sa décision n°2007-557 du 15 novembre 2007, « </w:t>
      </w:r>
      <w:r w:rsidR="00B84801" w:rsidRPr="00B84801">
        <w:rPr>
          <w:rFonts w:ascii="Arial" w:hAnsi="Arial" w:cs="Arial"/>
          <w:i/>
          <w:sz w:val="20"/>
          <w:szCs w:val="20"/>
        </w:rPr>
        <w:t>si les traitements nécessaires à la conduite d’études sur la mesure de la diversité des origines des personnes, de la discrimination et de l’intégration peuvent porter sur des données objectives, ils ne sauraient, sans méconnaître le principe énoncé par l’article 1er de la Constitution, reposer sur l’origine ethnique ou la race </w:t>
      </w:r>
      <w:r w:rsidR="00B84801" w:rsidRPr="00B84801">
        <w:rPr>
          <w:rFonts w:ascii="Arial" w:hAnsi="Arial" w:cs="Arial"/>
          <w:sz w:val="20"/>
          <w:szCs w:val="20"/>
        </w:rPr>
        <w:t xml:space="preserve">». Or en la matière la circulaire relative à « l’anticipation et l’accompagnement des opérations d’évacuations des campements illicites » du 26 août 2012 et la « stratégie du Gouvernement français pour l’inclusion des </w:t>
      </w:r>
      <w:proofErr w:type="spellStart"/>
      <w:r w:rsidR="00B84801" w:rsidRPr="00B84801">
        <w:rPr>
          <w:rFonts w:ascii="Arial" w:hAnsi="Arial" w:cs="Arial"/>
          <w:sz w:val="20"/>
          <w:szCs w:val="20"/>
        </w:rPr>
        <w:t>Roms</w:t>
      </w:r>
      <w:proofErr w:type="spellEnd"/>
      <w:r w:rsidR="00B84801" w:rsidRPr="00B84801">
        <w:rPr>
          <w:rFonts w:ascii="Arial" w:hAnsi="Arial" w:cs="Arial"/>
          <w:sz w:val="20"/>
          <w:szCs w:val="20"/>
        </w:rPr>
        <w:t> » ne sont, soit pas appliqués, soit ne tiennent pas compte de la spécificité de la population Rom en France, notamment le rejet et l’exclusion persistante dont elle fait l’objet.</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5</w:t>
      </w:r>
      <w:r w:rsidR="00F638FA">
        <w:rPr>
          <w:rFonts w:ascii="Arial" w:hAnsi="Arial" w:cs="Arial"/>
          <w:b/>
          <w:sz w:val="16"/>
          <w:szCs w:val="16"/>
        </w:rPr>
        <w:t>3</w:t>
      </w:r>
      <w:r>
        <w:rPr>
          <w:rFonts w:ascii="Arial" w:hAnsi="Arial" w:cs="Arial"/>
          <w:sz w:val="20"/>
          <w:szCs w:val="20"/>
        </w:rPr>
        <w:t xml:space="preserve">. </w:t>
      </w:r>
      <w:r w:rsidR="00B84801" w:rsidRPr="00B84801">
        <w:rPr>
          <w:rFonts w:ascii="Arial" w:hAnsi="Arial" w:cs="Arial"/>
          <w:sz w:val="20"/>
          <w:szCs w:val="20"/>
        </w:rPr>
        <w:t>Or, force est de constater, que le rejet et l’exclusion se manifestent de manière régulière et violente. À titre liminaire, 80% de la population rom vivant en bidonville a été évacuée de force par les autorités au cours de l’année 2014</w:t>
      </w:r>
      <w:r w:rsidR="00B84801" w:rsidRPr="00B84801">
        <w:rPr>
          <w:rFonts w:ascii="Arial" w:hAnsi="Arial" w:cs="Arial"/>
          <w:b/>
          <w:sz w:val="20"/>
          <w:szCs w:val="20"/>
          <w:vertAlign w:val="superscript"/>
        </w:rPr>
        <w:footnoteReference w:id="18"/>
      </w:r>
      <w:r w:rsidR="00B84801" w:rsidRPr="00B84801">
        <w:rPr>
          <w:rFonts w:ascii="Arial" w:hAnsi="Arial" w:cs="Arial"/>
          <w:sz w:val="20"/>
          <w:szCs w:val="20"/>
        </w:rPr>
        <w:t xml:space="preserve">. Le ressentiment à l’égard de la population Rom s’affirme d’autant plus que des élus tiennent des propos discriminants à leur égard mais également dans leurs actions publiques. Dans la nuit du 25 au 26 décembre 2014, Maria Francesca </w:t>
      </w:r>
      <w:proofErr w:type="spellStart"/>
      <w:r w:rsidR="00B84801" w:rsidRPr="00B84801">
        <w:rPr>
          <w:rFonts w:ascii="Arial" w:hAnsi="Arial" w:cs="Arial"/>
          <w:sz w:val="20"/>
          <w:szCs w:val="20"/>
        </w:rPr>
        <w:t>Ruset</w:t>
      </w:r>
      <w:proofErr w:type="spellEnd"/>
      <w:r w:rsidR="00B84801" w:rsidRPr="00B84801">
        <w:rPr>
          <w:rFonts w:ascii="Arial" w:hAnsi="Arial" w:cs="Arial"/>
          <w:sz w:val="20"/>
          <w:szCs w:val="20"/>
        </w:rPr>
        <w:t>, petite fille de 3 mois, a succombé à la mort subite du nourrisson dans un bidonville sans eau, sans électricité et sans chauffage. L’élu de la commune a refusé d’autoriser l’inhumation au cimetière de la commune au motif que la priorité était donnée à ceux qui payent leurs impôts locaux. Or, les dispositions du code général des collectivités territoriales montrent que les impôts locaux ne constituent pas une condition pour être inhumé dans une commune. Cette posture de rejet de la part d’un élu n’est cependant pas isolée.</w:t>
      </w:r>
    </w:p>
    <w:p w:rsidR="00A25A84" w:rsidRDefault="00A25A84" w:rsidP="00B84801">
      <w:pPr>
        <w:spacing w:after="0" w:line="240" w:lineRule="auto"/>
        <w:jc w:val="both"/>
        <w:rPr>
          <w:rFonts w:ascii="Arial" w:hAnsi="Arial" w:cs="Arial"/>
          <w:sz w:val="20"/>
          <w:szCs w:val="20"/>
        </w:rPr>
      </w:pPr>
    </w:p>
    <w:p w:rsidR="00FE7953" w:rsidRPr="00B84801" w:rsidRDefault="00FE7953" w:rsidP="00FE7953">
      <w:pPr>
        <w:spacing w:after="0" w:line="240" w:lineRule="auto"/>
        <w:jc w:val="both"/>
        <w:rPr>
          <w:rFonts w:ascii="Arial" w:hAnsi="Arial" w:cs="Arial"/>
          <w:sz w:val="20"/>
          <w:szCs w:val="20"/>
        </w:rPr>
      </w:pPr>
      <w:r w:rsidRPr="00FE7953">
        <w:rPr>
          <w:rFonts w:ascii="Arial" w:hAnsi="Arial" w:cs="Arial"/>
          <w:b/>
          <w:sz w:val="16"/>
          <w:szCs w:val="16"/>
        </w:rPr>
        <w:t>54</w:t>
      </w:r>
      <w:r>
        <w:rPr>
          <w:rFonts w:ascii="Arial" w:hAnsi="Arial" w:cs="Arial"/>
          <w:sz w:val="20"/>
          <w:szCs w:val="20"/>
        </w:rPr>
        <w:t xml:space="preserve">. </w:t>
      </w:r>
      <w:r w:rsidRPr="00B84801">
        <w:rPr>
          <w:rFonts w:ascii="Arial" w:hAnsi="Arial" w:cs="Arial"/>
          <w:sz w:val="20"/>
          <w:szCs w:val="20"/>
        </w:rPr>
        <w:t xml:space="preserve">Le développement d’un tel climat est également perceptible dans les actions contentieuses de la LDH, comme nous l’avons développé dans le présent rapport alternatif aux paragraphes </w:t>
      </w:r>
      <w:r>
        <w:rPr>
          <w:rFonts w:ascii="Arial" w:hAnsi="Arial" w:cs="Arial"/>
          <w:sz w:val="20"/>
          <w:szCs w:val="20"/>
        </w:rPr>
        <w:t>136</w:t>
      </w:r>
      <w:r w:rsidRPr="00B84801">
        <w:rPr>
          <w:rFonts w:ascii="Arial" w:hAnsi="Arial" w:cs="Arial"/>
          <w:sz w:val="20"/>
          <w:szCs w:val="20"/>
        </w:rPr>
        <w:t xml:space="preserve"> et suivants. Il doit être ici précisé qu’à côté des déclarations de représentants de la République et hommes politiques à l’égard de la population rom, nombre de propos ou écrits de riverains sont de même nature. Ce fut le cas lors d’une réunion publique à Roubaix, le 21 mai 2014 (« </w:t>
      </w:r>
      <w:r w:rsidRPr="00B84801">
        <w:rPr>
          <w:rFonts w:ascii="Arial" w:hAnsi="Arial" w:cs="Arial"/>
          <w:i/>
          <w:sz w:val="20"/>
          <w:szCs w:val="20"/>
        </w:rPr>
        <w:t xml:space="preserve">envoyez les </w:t>
      </w:r>
      <w:proofErr w:type="spellStart"/>
      <w:r w:rsidRPr="00B84801">
        <w:rPr>
          <w:rFonts w:ascii="Arial" w:hAnsi="Arial" w:cs="Arial"/>
          <w:i/>
          <w:sz w:val="20"/>
          <w:szCs w:val="20"/>
        </w:rPr>
        <w:t>Roms</w:t>
      </w:r>
      <w:proofErr w:type="spellEnd"/>
      <w:r w:rsidRPr="00B84801">
        <w:rPr>
          <w:rFonts w:ascii="Arial" w:hAnsi="Arial" w:cs="Arial"/>
          <w:i/>
          <w:sz w:val="20"/>
          <w:szCs w:val="20"/>
        </w:rPr>
        <w:t xml:space="preserve"> à Auschwitz</w:t>
      </w:r>
      <w:r w:rsidRPr="00B84801">
        <w:rPr>
          <w:rFonts w:ascii="Arial" w:hAnsi="Arial" w:cs="Arial"/>
          <w:sz w:val="20"/>
          <w:szCs w:val="20"/>
        </w:rPr>
        <w:t> », « </w:t>
      </w:r>
      <w:r w:rsidRPr="00B84801">
        <w:rPr>
          <w:rFonts w:ascii="Arial" w:hAnsi="Arial" w:cs="Arial"/>
          <w:i/>
          <w:sz w:val="20"/>
          <w:szCs w:val="20"/>
        </w:rPr>
        <w:t>à éradiquer comme de la vermine</w:t>
      </w:r>
      <w:r w:rsidRPr="00B84801">
        <w:rPr>
          <w:rFonts w:ascii="Arial" w:hAnsi="Arial" w:cs="Arial"/>
          <w:sz w:val="20"/>
          <w:szCs w:val="20"/>
        </w:rPr>
        <w:t> »), ou dans les tracts distribués dans une commune de la Seine-Saint-Denis au mois d’avril 2013 (« </w:t>
      </w:r>
      <w:r w:rsidRPr="00B84801">
        <w:rPr>
          <w:rFonts w:ascii="Arial" w:hAnsi="Arial" w:cs="Arial"/>
          <w:i/>
          <w:sz w:val="20"/>
          <w:szCs w:val="20"/>
        </w:rPr>
        <w:t xml:space="preserve">Les </w:t>
      </w:r>
      <w:proofErr w:type="spellStart"/>
      <w:r w:rsidRPr="00B84801">
        <w:rPr>
          <w:rFonts w:ascii="Arial" w:hAnsi="Arial" w:cs="Arial"/>
          <w:i/>
          <w:sz w:val="20"/>
          <w:szCs w:val="20"/>
        </w:rPr>
        <w:t>Roms</w:t>
      </w:r>
      <w:proofErr w:type="spellEnd"/>
      <w:r w:rsidRPr="00B84801">
        <w:rPr>
          <w:rFonts w:ascii="Arial" w:hAnsi="Arial" w:cs="Arial"/>
          <w:i/>
          <w:sz w:val="20"/>
          <w:szCs w:val="20"/>
        </w:rPr>
        <w:t xml:space="preserve"> envahissent l’espace naturel du futur parc</w:t>
      </w:r>
      <w:r w:rsidRPr="00B84801">
        <w:rPr>
          <w:rFonts w:ascii="Arial" w:hAnsi="Arial" w:cs="Arial"/>
          <w:sz w:val="20"/>
          <w:szCs w:val="20"/>
        </w:rPr>
        <w:t> », « </w:t>
      </w:r>
      <w:r w:rsidRPr="00B84801">
        <w:rPr>
          <w:rFonts w:ascii="Arial" w:hAnsi="Arial" w:cs="Arial"/>
          <w:i/>
          <w:sz w:val="20"/>
          <w:szCs w:val="20"/>
        </w:rPr>
        <w:t xml:space="preserve">L’invasion </w:t>
      </w:r>
      <w:proofErr w:type="spellStart"/>
      <w:r w:rsidRPr="00B84801">
        <w:rPr>
          <w:rFonts w:ascii="Arial" w:hAnsi="Arial" w:cs="Arial"/>
          <w:i/>
          <w:sz w:val="20"/>
          <w:szCs w:val="20"/>
        </w:rPr>
        <w:t>Roms</w:t>
      </w:r>
      <w:proofErr w:type="spellEnd"/>
      <w:r w:rsidRPr="00B84801">
        <w:rPr>
          <w:rFonts w:ascii="Arial" w:hAnsi="Arial" w:cs="Arial"/>
          <w:i/>
          <w:sz w:val="20"/>
          <w:szCs w:val="20"/>
        </w:rPr>
        <w:t xml:space="preserve"> du Plateau d’</w:t>
      </w:r>
      <w:proofErr w:type="spellStart"/>
      <w:r w:rsidRPr="00B84801">
        <w:rPr>
          <w:rFonts w:ascii="Arial" w:hAnsi="Arial" w:cs="Arial"/>
          <w:i/>
          <w:sz w:val="20"/>
          <w:szCs w:val="20"/>
        </w:rPr>
        <w:t>Avron</w:t>
      </w:r>
      <w:proofErr w:type="spellEnd"/>
      <w:r w:rsidRPr="00B84801">
        <w:rPr>
          <w:rFonts w:ascii="Arial" w:hAnsi="Arial" w:cs="Arial"/>
          <w:i/>
          <w:sz w:val="20"/>
          <w:szCs w:val="20"/>
        </w:rPr>
        <w:t> : où en sommes-nous ?</w:t>
      </w:r>
      <w:r w:rsidRPr="00B84801">
        <w:rPr>
          <w:rFonts w:ascii="Arial" w:hAnsi="Arial" w:cs="Arial"/>
          <w:sz w:val="20"/>
          <w:szCs w:val="20"/>
        </w:rPr>
        <w:t> »).</w:t>
      </w:r>
    </w:p>
    <w:p w:rsidR="00FE7953" w:rsidRPr="00B84801" w:rsidRDefault="00FE7953"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b/>
          <w:bCs/>
          <w:sz w:val="20"/>
          <w:szCs w:val="20"/>
        </w:rPr>
      </w:pPr>
      <w:bookmarkStart w:id="37" w:name="_Toc282794092"/>
      <w:bookmarkStart w:id="38" w:name="_Toc282794282"/>
      <w:bookmarkStart w:id="39" w:name="_Toc282795914"/>
      <w:bookmarkStart w:id="40" w:name="_Toc413409285"/>
      <w:bookmarkStart w:id="41" w:name="_Toc415581574"/>
      <w:r w:rsidRPr="00B84801">
        <w:rPr>
          <w:rFonts w:ascii="Arial" w:hAnsi="Arial" w:cs="Arial"/>
          <w:b/>
          <w:bCs/>
          <w:sz w:val="20"/>
          <w:szCs w:val="20"/>
        </w:rPr>
        <w:t>En matière de droit au séjour</w:t>
      </w:r>
      <w:bookmarkEnd w:id="37"/>
      <w:bookmarkEnd w:id="38"/>
      <w:bookmarkEnd w:id="39"/>
      <w:bookmarkEnd w:id="40"/>
      <w:bookmarkEnd w:id="41"/>
    </w:p>
    <w:p w:rsidR="00031DAA" w:rsidRDefault="00031DAA" w:rsidP="00B84801">
      <w:pPr>
        <w:spacing w:after="0" w:line="240" w:lineRule="auto"/>
        <w:jc w:val="both"/>
        <w:rPr>
          <w:rFonts w:ascii="Arial" w:hAnsi="Arial" w:cs="Arial"/>
          <w:sz w:val="20"/>
          <w:szCs w:val="20"/>
        </w:rPr>
      </w:pPr>
    </w:p>
    <w:p w:rsidR="00B84801" w:rsidRPr="00B84801" w:rsidRDefault="00FE7953" w:rsidP="00B84801">
      <w:pPr>
        <w:spacing w:after="0" w:line="240" w:lineRule="auto"/>
        <w:jc w:val="both"/>
        <w:rPr>
          <w:rFonts w:ascii="Arial" w:hAnsi="Arial" w:cs="Arial"/>
          <w:sz w:val="20"/>
          <w:szCs w:val="20"/>
        </w:rPr>
      </w:pPr>
      <w:r>
        <w:rPr>
          <w:rFonts w:ascii="Arial" w:hAnsi="Arial" w:cs="Arial"/>
          <w:b/>
          <w:sz w:val="16"/>
          <w:szCs w:val="16"/>
        </w:rPr>
        <w:t>55</w:t>
      </w:r>
      <w:r w:rsidR="00A25A84">
        <w:rPr>
          <w:rFonts w:ascii="Arial" w:hAnsi="Arial" w:cs="Arial"/>
          <w:sz w:val="20"/>
          <w:szCs w:val="20"/>
        </w:rPr>
        <w:t xml:space="preserve">. </w:t>
      </w:r>
      <w:r w:rsidR="00B84801" w:rsidRPr="00B84801">
        <w:rPr>
          <w:rFonts w:ascii="Arial" w:hAnsi="Arial" w:cs="Arial"/>
          <w:sz w:val="20"/>
          <w:szCs w:val="20"/>
        </w:rPr>
        <w:t>Jusqu’au 1</w:t>
      </w:r>
      <w:r w:rsidR="00B84801" w:rsidRPr="00B84801">
        <w:rPr>
          <w:rFonts w:ascii="Arial" w:hAnsi="Arial" w:cs="Arial"/>
          <w:sz w:val="20"/>
          <w:szCs w:val="20"/>
          <w:vertAlign w:val="superscript"/>
        </w:rPr>
        <w:t>er</w:t>
      </w:r>
      <w:r w:rsidR="00B84801" w:rsidRPr="00B84801">
        <w:rPr>
          <w:rFonts w:ascii="Arial" w:hAnsi="Arial" w:cs="Arial"/>
          <w:sz w:val="20"/>
          <w:szCs w:val="20"/>
        </w:rPr>
        <w:t xml:space="preserve"> janvier 2014, la France appliquait des mesures transitoires. En tant que ressortissants européens, ils devaient obtenir une autorisation de travail et un titre de séjour, ce qui restreignait leur accès au marché du travail. Jusqu’en 2012, les employeurs, qui devaient effectuer les démarches nécessaires pour l’obtention de ces autorisations, devaient également s’acquitter d’une taxe versée à </w:t>
      </w:r>
      <w:r w:rsidR="00B84801" w:rsidRPr="00B84801">
        <w:rPr>
          <w:rFonts w:ascii="Arial" w:hAnsi="Arial" w:cs="Arial"/>
          <w:sz w:val="20"/>
          <w:szCs w:val="20"/>
        </w:rPr>
        <w:lastRenderedPageBreak/>
        <w:t>l’Office français de l’immigration et de l’intégration (OFII). Ces mesures transitoires ont été levées puisqu’aucune autre prolongation n’était possible. Les ressortissants bulgares et roumains sont désormais libres de travailler en France, à la seule condition d’être munis d’un passeport en cours de validité.</w:t>
      </w: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5</w:t>
      </w:r>
      <w:r w:rsidR="00FE7953">
        <w:rPr>
          <w:rFonts w:ascii="Arial" w:hAnsi="Arial" w:cs="Arial"/>
          <w:b/>
          <w:sz w:val="16"/>
          <w:szCs w:val="16"/>
        </w:rPr>
        <w:t>6</w:t>
      </w:r>
      <w:r>
        <w:rPr>
          <w:rFonts w:ascii="Arial" w:hAnsi="Arial" w:cs="Arial"/>
          <w:sz w:val="20"/>
          <w:szCs w:val="20"/>
        </w:rPr>
        <w:t xml:space="preserve">. </w:t>
      </w:r>
      <w:r w:rsidR="00B84801" w:rsidRPr="00B84801">
        <w:rPr>
          <w:rFonts w:ascii="Arial" w:hAnsi="Arial" w:cs="Arial"/>
          <w:sz w:val="20"/>
          <w:szCs w:val="20"/>
        </w:rPr>
        <w:t xml:space="preserve">Pour autant la circulaire « Lutte contre les campements </w:t>
      </w:r>
      <w:r w:rsidR="00B84801" w:rsidRPr="00AC4660">
        <w:rPr>
          <w:rFonts w:ascii="Arial" w:hAnsi="Arial" w:cs="Arial"/>
          <w:sz w:val="20"/>
          <w:szCs w:val="20"/>
        </w:rPr>
        <w:t>“</w:t>
      </w:r>
      <w:r w:rsidR="00B84801" w:rsidRPr="00B84801">
        <w:rPr>
          <w:rFonts w:ascii="Arial" w:hAnsi="Arial" w:cs="Arial"/>
          <w:sz w:val="20"/>
          <w:szCs w:val="20"/>
        </w:rPr>
        <w:t>illicites</w:t>
      </w:r>
      <w:r w:rsidR="00B84801" w:rsidRPr="00AC4660">
        <w:rPr>
          <w:rFonts w:ascii="Arial" w:hAnsi="Arial" w:cs="Arial"/>
          <w:sz w:val="20"/>
          <w:szCs w:val="20"/>
        </w:rPr>
        <w:t>”</w:t>
      </w:r>
      <w:r w:rsidR="00B84801" w:rsidRPr="00B84801">
        <w:rPr>
          <w:rFonts w:ascii="Arial" w:hAnsi="Arial" w:cs="Arial"/>
          <w:sz w:val="20"/>
          <w:szCs w:val="20"/>
        </w:rPr>
        <w:t> » du 24 juin 2010</w:t>
      </w:r>
      <w:r w:rsidR="00B84801" w:rsidRPr="00031DAA">
        <w:rPr>
          <w:rFonts w:ascii="Arial" w:hAnsi="Arial" w:cs="Arial"/>
          <w:b/>
          <w:sz w:val="18"/>
          <w:szCs w:val="18"/>
          <w:vertAlign w:val="superscript"/>
        </w:rPr>
        <w:footnoteReference w:id="19"/>
      </w:r>
      <w:r w:rsidR="00B84801" w:rsidRPr="00B84801">
        <w:rPr>
          <w:rFonts w:ascii="Arial" w:hAnsi="Arial" w:cs="Arial"/>
          <w:sz w:val="20"/>
          <w:szCs w:val="20"/>
        </w:rPr>
        <w:t>, au paragraphe 2.2 dispose que dans un délai de trois mois : « </w:t>
      </w:r>
      <w:r w:rsidR="00B84801" w:rsidRPr="00B84801">
        <w:rPr>
          <w:rFonts w:ascii="Arial" w:hAnsi="Arial" w:cs="Arial"/>
          <w:i/>
          <w:sz w:val="20"/>
          <w:szCs w:val="20"/>
        </w:rPr>
        <w:t xml:space="preserve">si l’intéressé n’exerce pas d’activité professionnelle régulière en France, il doit remplir deux conditions cumulatives : disposer pour lui et les membres de sa famille de </w:t>
      </w:r>
      <w:r w:rsidR="00B84801" w:rsidRPr="00B84801">
        <w:rPr>
          <w:rFonts w:ascii="Arial" w:hAnsi="Arial" w:cs="Arial"/>
          <w:b/>
          <w:i/>
          <w:sz w:val="20"/>
          <w:szCs w:val="20"/>
        </w:rPr>
        <w:t>ressources suffisantes</w:t>
      </w:r>
      <w:r w:rsidR="00B84801" w:rsidRPr="00B84801">
        <w:rPr>
          <w:rFonts w:ascii="Arial" w:hAnsi="Arial" w:cs="Arial"/>
          <w:i/>
          <w:sz w:val="20"/>
          <w:szCs w:val="20"/>
        </w:rPr>
        <w:t xml:space="preserve"> afin de ne pas devenir une charge pour les systèmes d’assistance sociale ; disposer d’une </w:t>
      </w:r>
      <w:r w:rsidR="00B84801" w:rsidRPr="00B84801">
        <w:rPr>
          <w:rFonts w:ascii="Arial" w:hAnsi="Arial" w:cs="Arial"/>
          <w:b/>
          <w:i/>
          <w:sz w:val="20"/>
          <w:szCs w:val="20"/>
        </w:rPr>
        <w:t>assurance maladie</w:t>
      </w:r>
      <w:r w:rsidR="00B84801" w:rsidRPr="00B84801">
        <w:rPr>
          <w:rFonts w:ascii="Arial" w:hAnsi="Arial" w:cs="Arial"/>
          <w:i/>
          <w:sz w:val="20"/>
          <w:szCs w:val="20"/>
        </w:rPr>
        <w:t>. Le constat du non-respect d’une seule de ces conditions suffit à fonder l’obligation de quitter le territoire français</w:t>
      </w:r>
      <w:r w:rsidR="00B84801" w:rsidRPr="00B84801">
        <w:rPr>
          <w:rFonts w:ascii="Arial" w:hAnsi="Arial" w:cs="Arial"/>
          <w:sz w:val="20"/>
          <w:szCs w:val="20"/>
        </w:rPr>
        <w:t xml:space="preserve"> (OQTF) ». </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5</w:t>
      </w:r>
      <w:r w:rsidR="00FE7953">
        <w:rPr>
          <w:rFonts w:ascii="Arial" w:hAnsi="Arial" w:cs="Arial"/>
          <w:b/>
          <w:sz w:val="16"/>
          <w:szCs w:val="16"/>
        </w:rPr>
        <w:t>7</w:t>
      </w:r>
      <w:r>
        <w:rPr>
          <w:rFonts w:ascii="Arial" w:hAnsi="Arial" w:cs="Arial"/>
          <w:sz w:val="20"/>
          <w:szCs w:val="20"/>
        </w:rPr>
        <w:t xml:space="preserve">. </w:t>
      </w:r>
      <w:r w:rsidR="00B84801" w:rsidRPr="00B84801">
        <w:rPr>
          <w:rFonts w:ascii="Arial" w:hAnsi="Arial" w:cs="Arial"/>
          <w:sz w:val="20"/>
          <w:szCs w:val="20"/>
        </w:rPr>
        <w:t>De son côté, le rapport conjoint de la LDH et l’ERRC</w:t>
      </w:r>
      <w:r w:rsidR="00B84801" w:rsidRPr="00031DAA">
        <w:rPr>
          <w:rFonts w:ascii="Arial" w:hAnsi="Arial" w:cs="Arial"/>
          <w:b/>
          <w:sz w:val="18"/>
          <w:szCs w:val="18"/>
          <w:vertAlign w:val="superscript"/>
        </w:rPr>
        <w:footnoteReference w:id="20"/>
      </w:r>
      <w:r w:rsidR="00B84801" w:rsidRPr="00B84801">
        <w:rPr>
          <w:rFonts w:ascii="Arial" w:hAnsi="Arial" w:cs="Arial"/>
          <w:sz w:val="20"/>
          <w:szCs w:val="20"/>
        </w:rPr>
        <w:t>, rendu public le 2 mars 2015, souligne que l’on « </w:t>
      </w:r>
      <w:r w:rsidR="00B84801" w:rsidRPr="00B84801">
        <w:rPr>
          <w:rFonts w:ascii="Arial" w:hAnsi="Arial" w:cs="Arial"/>
          <w:i/>
          <w:sz w:val="20"/>
          <w:szCs w:val="20"/>
        </w:rPr>
        <w:t>continue à observer que les évacuations forcées s’accompagnent souvent d’une distribution d’obligation à quitter le territoire français (OQTF)</w:t>
      </w:r>
      <w:r w:rsidR="00B84801" w:rsidRPr="00B84801">
        <w:rPr>
          <w:rFonts w:ascii="Arial" w:hAnsi="Arial" w:cs="Arial"/>
          <w:sz w:val="20"/>
          <w:szCs w:val="20"/>
        </w:rPr>
        <w:t>.» La CNCDH, quant à elle, relève, dans un avis du 20 novembre 2014</w:t>
      </w:r>
      <w:r w:rsidR="00B84801" w:rsidRPr="00031DAA">
        <w:rPr>
          <w:rFonts w:ascii="Arial" w:hAnsi="Arial" w:cs="Arial"/>
          <w:b/>
          <w:sz w:val="18"/>
          <w:szCs w:val="18"/>
          <w:vertAlign w:val="superscript"/>
        </w:rPr>
        <w:footnoteReference w:id="21"/>
      </w:r>
      <w:r w:rsidR="00B84801" w:rsidRPr="00B84801">
        <w:rPr>
          <w:rFonts w:ascii="Arial" w:hAnsi="Arial" w:cs="Arial"/>
          <w:sz w:val="20"/>
          <w:szCs w:val="20"/>
        </w:rPr>
        <w:t> : « </w:t>
      </w:r>
      <w:r w:rsidR="00B84801" w:rsidRPr="00B84801">
        <w:rPr>
          <w:rFonts w:ascii="Arial" w:hAnsi="Arial" w:cs="Arial"/>
          <w:i/>
          <w:sz w:val="20"/>
          <w:szCs w:val="20"/>
        </w:rPr>
        <w:t>Au-delà des motifs invoqués pour notifier les mesures d’éloignement –dont la disproportion et la non-conformité avec le droit communautaire ont été dénoncées de manière détaillée en 2012- il convient de souligner la multiplicité des irrégularités de procédure les concernant. </w:t>
      </w:r>
      <w:r w:rsidR="00B84801" w:rsidRPr="00B84801">
        <w:rPr>
          <w:rFonts w:ascii="Arial" w:hAnsi="Arial" w:cs="Arial"/>
          <w:sz w:val="20"/>
          <w:szCs w:val="20"/>
        </w:rPr>
        <w:t>»</w:t>
      </w:r>
    </w:p>
    <w:p w:rsidR="00B84801" w:rsidRPr="00B84801" w:rsidRDefault="00B84801" w:rsidP="00B84801">
      <w:pPr>
        <w:spacing w:after="0" w:line="240" w:lineRule="auto"/>
        <w:jc w:val="both"/>
        <w:rPr>
          <w:rFonts w:ascii="Arial" w:hAnsi="Arial" w:cs="Arial"/>
          <w:b/>
          <w:sz w:val="20"/>
          <w:szCs w:val="20"/>
        </w:rPr>
      </w:pPr>
    </w:p>
    <w:p w:rsidR="00B84801" w:rsidRPr="00B84801" w:rsidRDefault="00B84801" w:rsidP="00B84801">
      <w:pPr>
        <w:spacing w:after="0" w:line="240" w:lineRule="auto"/>
        <w:jc w:val="both"/>
        <w:rPr>
          <w:rFonts w:ascii="Arial" w:hAnsi="Arial" w:cs="Arial"/>
          <w:b/>
          <w:bCs/>
          <w:sz w:val="20"/>
          <w:szCs w:val="20"/>
        </w:rPr>
      </w:pPr>
      <w:bookmarkStart w:id="42" w:name="_Toc282794093"/>
      <w:bookmarkStart w:id="43" w:name="_Toc282794283"/>
      <w:bookmarkStart w:id="44" w:name="_Toc282795915"/>
      <w:bookmarkStart w:id="45" w:name="_Toc413409286"/>
      <w:bookmarkStart w:id="46" w:name="_Toc415581575"/>
      <w:r w:rsidRPr="00B84801">
        <w:rPr>
          <w:rFonts w:ascii="Arial" w:hAnsi="Arial" w:cs="Arial"/>
          <w:b/>
          <w:bCs/>
          <w:sz w:val="20"/>
          <w:szCs w:val="20"/>
        </w:rPr>
        <w:t>En matière de droit à la santé</w:t>
      </w:r>
      <w:bookmarkEnd w:id="42"/>
      <w:bookmarkEnd w:id="43"/>
      <w:bookmarkEnd w:id="44"/>
      <w:bookmarkEnd w:id="45"/>
      <w:bookmarkEnd w:id="46"/>
    </w:p>
    <w:p w:rsidR="00B84801" w:rsidRPr="00B84801" w:rsidRDefault="00B84801" w:rsidP="00B84801">
      <w:pPr>
        <w:spacing w:after="0" w:line="240" w:lineRule="auto"/>
        <w:jc w:val="both"/>
        <w:rPr>
          <w:rFonts w:ascii="Arial" w:hAnsi="Arial" w:cs="Arial"/>
          <w:b/>
          <w:sz w:val="20"/>
          <w:szCs w:val="20"/>
        </w:rPr>
      </w:pPr>
    </w:p>
    <w:p w:rsidR="00B84801" w:rsidRPr="00B84801" w:rsidRDefault="00A25A84" w:rsidP="00B84801">
      <w:pPr>
        <w:spacing w:after="0" w:line="240" w:lineRule="auto"/>
        <w:jc w:val="both"/>
        <w:rPr>
          <w:rFonts w:ascii="Arial" w:hAnsi="Arial" w:cs="Arial"/>
          <w:b/>
          <w:sz w:val="20"/>
          <w:szCs w:val="20"/>
        </w:rPr>
      </w:pPr>
      <w:r w:rsidRPr="00A25A84">
        <w:rPr>
          <w:rFonts w:ascii="Arial" w:hAnsi="Arial" w:cs="Arial"/>
          <w:b/>
          <w:sz w:val="16"/>
          <w:szCs w:val="16"/>
        </w:rPr>
        <w:t>5</w:t>
      </w:r>
      <w:r w:rsidR="00FE7953">
        <w:rPr>
          <w:rFonts w:ascii="Arial" w:hAnsi="Arial" w:cs="Arial"/>
          <w:b/>
          <w:sz w:val="16"/>
          <w:szCs w:val="16"/>
        </w:rPr>
        <w:t>8</w:t>
      </w:r>
      <w:r>
        <w:rPr>
          <w:rFonts w:ascii="Arial" w:hAnsi="Arial" w:cs="Arial"/>
          <w:sz w:val="20"/>
          <w:szCs w:val="20"/>
        </w:rPr>
        <w:t xml:space="preserve">. </w:t>
      </w:r>
      <w:r w:rsidR="00B84801" w:rsidRPr="00B84801">
        <w:rPr>
          <w:rFonts w:ascii="Arial" w:hAnsi="Arial" w:cs="Arial"/>
          <w:sz w:val="20"/>
          <w:szCs w:val="20"/>
        </w:rPr>
        <w:t xml:space="preserve">À ce jour, la situation sanitaire et médicale des </w:t>
      </w:r>
      <w:proofErr w:type="spellStart"/>
      <w:r w:rsidR="00B84801" w:rsidRPr="00B84801">
        <w:rPr>
          <w:rFonts w:ascii="Arial" w:hAnsi="Arial" w:cs="Arial"/>
          <w:sz w:val="20"/>
          <w:szCs w:val="20"/>
        </w:rPr>
        <w:t>Roms</w:t>
      </w:r>
      <w:proofErr w:type="spellEnd"/>
      <w:r w:rsidR="00B84801" w:rsidRPr="00B84801">
        <w:rPr>
          <w:rFonts w:ascii="Arial" w:hAnsi="Arial" w:cs="Arial"/>
          <w:sz w:val="20"/>
          <w:szCs w:val="20"/>
        </w:rPr>
        <w:t xml:space="preserve"> demeure encore très inquiétante. Comme le décrit le rapport 2013 du Collectif national droits de l’Homme Rom Europe</w:t>
      </w:r>
      <w:r w:rsidR="00B84801" w:rsidRPr="00031DAA">
        <w:rPr>
          <w:rFonts w:ascii="Arial" w:hAnsi="Arial" w:cs="Arial"/>
          <w:b/>
          <w:sz w:val="18"/>
          <w:szCs w:val="18"/>
          <w:vertAlign w:val="superscript"/>
        </w:rPr>
        <w:footnoteReference w:id="22"/>
      </w:r>
      <w:r w:rsidR="00B84801" w:rsidRPr="00B84801">
        <w:rPr>
          <w:rFonts w:ascii="Arial" w:hAnsi="Arial" w:cs="Arial"/>
          <w:sz w:val="20"/>
          <w:szCs w:val="20"/>
        </w:rPr>
        <w:t xml:space="preserve"> : </w:t>
      </w:r>
      <w:r w:rsidR="00B84801" w:rsidRPr="00B84801">
        <w:rPr>
          <w:rFonts w:ascii="Arial" w:hAnsi="Arial" w:cs="Arial"/>
          <w:i/>
          <w:sz w:val="20"/>
          <w:szCs w:val="20"/>
        </w:rPr>
        <w:t xml:space="preserve">« Les indicateurs relevés soulignent des problématiques sanitaires avec des enjeux de santé publique importants : Des grossesses fréquentes, précoces et peu suivies médicalement ; L’âge moyen de la première grossesse dans les populations dites </w:t>
      </w:r>
      <w:proofErr w:type="spellStart"/>
      <w:r w:rsidR="00B84801" w:rsidRPr="00B84801">
        <w:rPr>
          <w:rFonts w:ascii="Arial" w:hAnsi="Arial" w:cs="Arial"/>
          <w:i/>
          <w:sz w:val="20"/>
          <w:szCs w:val="20"/>
        </w:rPr>
        <w:t>Roms</w:t>
      </w:r>
      <w:proofErr w:type="spellEnd"/>
      <w:r w:rsidR="00B84801" w:rsidRPr="00B84801">
        <w:rPr>
          <w:rFonts w:ascii="Arial" w:hAnsi="Arial" w:cs="Arial"/>
          <w:i/>
          <w:sz w:val="20"/>
          <w:szCs w:val="20"/>
        </w:rPr>
        <w:t xml:space="preserve"> est de 17,3 ans. Près de 46 % des femmes enceintes rencontrées n’ont reçu aucun soin prénatal, 70,6 % des femmes vues en consultation avaient un retard de suivi de grossesse, au regard des protocoles médicaux qui concernent la population générale. Chez celles enceintes de plus de 12 semaines, 73,3% avaient un retard de suivi. Le suivi des enfants de moins de 6 ans est particulièrement inquiétant, voire alarmant. Seuls 14% des enfants de moins de 6 ans sont suivis en centre de Protection </w:t>
      </w:r>
      <w:proofErr w:type="spellStart"/>
      <w:r w:rsidR="00B84801" w:rsidRPr="00B84801">
        <w:rPr>
          <w:rFonts w:ascii="Arial" w:hAnsi="Arial" w:cs="Arial"/>
          <w:i/>
          <w:sz w:val="20"/>
          <w:szCs w:val="20"/>
        </w:rPr>
        <w:t>Materno</w:t>
      </w:r>
      <w:proofErr w:type="spellEnd"/>
      <w:r w:rsidR="00B84801" w:rsidRPr="00B84801">
        <w:rPr>
          <w:rFonts w:ascii="Cambria Math" w:hAnsi="Cambria Math" w:cs="Cambria Math"/>
          <w:i/>
          <w:sz w:val="20"/>
          <w:szCs w:val="20"/>
        </w:rPr>
        <w:t>‐</w:t>
      </w:r>
      <w:r w:rsidR="00B84801" w:rsidRPr="00B84801">
        <w:rPr>
          <w:rFonts w:ascii="Arial" w:hAnsi="Arial" w:cs="Arial"/>
          <w:i/>
          <w:sz w:val="20"/>
          <w:szCs w:val="20"/>
        </w:rPr>
        <w:t>Infantile (PMI) et 16 % des enfants de plus de six ans sont scolarisés, échappant ainsi à l’accès à la médecine scolaire et à l’éducation a la santé. Une faible couverture vaccinale : selon une enquête de Médecins du Monde réalisée en 2010</w:t>
      </w:r>
      <w:r w:rsidR="00B84801" w:rsidRPr="00B84801">
        <w:rPr>
          <w:rFonts w:ascii="Cambria Math" w:hAnsi="Cambria Math" w:cs="Cambria Math"/>
          <w:i/>
          <w:sz w:val="20"/>
          <w:szCs w:val="20"/>
        </w:rPr>
        <w:t>‐</w:t>
      </w:r>
      <w:r w:rsidR="00B84801" w:rsidRPr="00B84801">
        <w:rPr>
          <w:rFonts w:ascii="Arial" w:hAnsi="Arial" w:cs="Arial"/>
          <w:i/>
          <w:sz w:val="20"/>
          <w:szCs w:val="20"/>
        </w:rPr>
        <w:t>2011, seuls 8% des personnes interrogées étaient à jour de leurs vaccinations, à la vue du carnet de santé. Les taux de couverture vaccinale sont très faibles pour des antigènes élémentaires tels que DTP (diphtérie, tétanos, polio) (71% chez les enfants de moins de 2 ans) ou le ROR (Rougeole Oreillon Rubéole) (55%). Des couvertures vaccinales aussi faibles pour des personnes vivant dans des conditions d’extrême précarité constituent des facteurs de risque de mortalité et de complications importants. Une forte prévalence des maladies infectieuses et chroniques. Les problèmes de santé repérés sont essentiellement des pathologies en lien avec des conditions de vie insalubres (infections des voies respiratoires, gastro</w:t>
      </w:r>
      <w:r w:rsidR="00B84801" w:rsidRPr="00B84801">
        <w:rPr>
          <w:rFonts w:ascii="Cambria Math" w:hAnsi="Cambria Math" w:cs="Cambria Math"/>
          <w:i/>
          <w:sz w:val="20"/>
          <w:szCs w:val="20"/>
        </w:rPr>
        <w:t>‐</w:t>
      </w:r>
      <w:r w:rsidR="00B84801" w:rsidRPr="00B84801">
        <w:rPr>
          <w:rFonts w:ascii="Arial" w:hAnsi="Arial" w:cs="Arial"/>
          <w:i/>
          <w:sz w:val="20"/>
          <w:szCs w:val="20"/>
        </w:rPr>
        <w:t>intestinales, dermatologiques) et aggravées par les conditions de vie précaires et l’éloignement des dispositifs de soins. En moyenne, une consultation sur cinq nécessite un suivi à plus de six mois. Par ailleurs, on constate une recrudescence des cas de tuberculose, maladie en lien avec leurs conditions</w:t>
      </w:r>
      <w:r w:rsidR="00B84801" w:rsidRPr="00B84801">
        <w:rPr>
          <w:rFonts w:ascii="Arial" w:hAnsi="Arial" w:cs="Arial"/>
          <w:sz w:val="20"/>
          <w:szCs w:val="20"/>
        </w:rPr>
        <w:t xml:space="preserve"> </w:t>
      </w:r>
      <w:r w:rsidR="00B84801" w:rsidRPr="00B84801">
        <w:rPr>
          <w:rFonts w:ascii="Arial" w:hAnsi="Arial" w:cs="Arial"/>
          <w:i/>
          <w:sz w:val="20"/>
          <w:szCs w:val="20"/>
        </w:rPr>
        <w:t>de vie propices à la diffusion de la maladie (promiscuité, accès aux services de santé limite, faible couverture BCG). En 2010, dans le département de la Seine</w:t>
      </w:r>
      <w:r w:rsidR="00B84801" w:rsidRPr="00B84801">
        <w:rPr>
          <w:rFonts w:ascii="Cambria Math" w:hAnsi="Cambria Math" w:cs="Cambria Math"/>
          <w:i/>
          <w:sz w:val="20"/>
          <w:szCs w:val="20"/>
        </w:rPr>
        <w:t>‐</w:t>
      </w:r>
      <w:r w:rsidR="00B84801" w:rsidRPr="00B84801">
        <w:rPr>
          <w:rFonts w:ascii="Arial" w:hAnsi="Arial" w:cs="Arial"/>
          <w:i/>
          <w:sz w:val="20"/>
          <w:szCs w:val="20"/>
        </w:rPr>
        <w:t>Saint</w:t>
      </w:r>
      <w:r w:rsidR="00B84801" w:rsidRPr="00B84801">
        <w:rPr>
          <w:rFonts w:ascii="Cambria Math" w:hAnsi="Cambria Math" w:cs="Cambria Math"/>
          <w:i/>
          <w:sz w:val="20"/>
          <w:szCs w:val="20"/>
        </w:rPr>
        <w:t>‐</w:t>
      </w:r>
      <w:r w:rsidR="00B84801" w:rsidRPr="00B84801">
        <w:rPr>
          <w:rFonts w:ascii="Arial" w:hAnsi="Arial" w:cs="Arial"/>
          <w:i/>
          <w:sz w:val="20"/>
          <w:szCs w:val="20"/>
        </w:rPr>
        <w:t>Denis, 18% des radiographies réalisées étaient anormales et le taux de tuberculose diagnostique était de 2,8%.</w:t>
      </w:r>
      <w:r w:rsidR="00B84801" w:rsidRPr="00B84801">
        <w:rPr>
          <w:rFonts w:ascii="Arial" w:hAnsi="Arial" w:cs="Arial"/>
          <w:sz w:val="20"/>
          <w:szCs w:val="20"/>
        </w:rPr>
        <w:t>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b/>
          <w:bCs/>
          <w:sz w:val="20"/>
          <w:szCs w:val="20"/>
        </w:rPr>
      </w:pPr>
      <w:bookmarkStart w:id="47" w:name="_Toc282794094"/>
      <w:bookmarkStart w:id="48" w:name="_Toc282794284"/>
      <w:bookmarkStart w:id="49" w:name="_Toc282795916"/>
      <w:bookmarkStart w:id="50" w:name="_Toc413409287"/>
      <w:bookmarkStart w:id="51" w:name="_Toc415581576"/>
      <w:r w:rsidRPr="00B84801">
        <w:rPr>
          <w:rFonts w:ascii="Arial" w:hAnsi="Arial" w:cs="Arial"/>
          <w:b/>
          <w:bCs/>
          <w:sz w:val="20"/>
          <w:szCs w:val="20"/>
        </w:rPr>
        <w:t>En matière de scolarisation</w:t>
      </w:r>
      <w:bookmarkEnd w:id="47"/>
      <w:bookmarkEnd w:id="48"/>
      <w:bookmarkEnd w:id="49"/>
      <w:bookmarkEnd w:id="50"/>
      <w:bookmarkEnd w:id="51"/>
    </w:p>
    <w:p w:rsidR="00B84801" w:rsidRPr="00B84801" w:rsidRDefault="00B84801" w:rsidP="00B84801">
      <w:pPr>
        <w:spacing w:after="0" w:line="240" w:lineRule="auto"/>
        <w:jc w:val="both"/>
        <w:rPr>
          <w:rFonts w:ascii="Arial" w:hAnsi="Arial" w:cs="Arial"/>
          <w:b/>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lastRenderedPageBreak/>
        <w:t>5</w:t>
      </w:r>
      <w:r w:rsidR="00FE7953">
        <w:rPr>
          <w:rFonts w:ascii="Arial" w:hAnsi="Arial" w:cs="Arial"/>
          <w:b/>
          <w:sz w:val="16"/>
          <w:szCs w:val="16"/>
        </w:rPr>
        <w:t>9</w:t>
      </w:r>
      <w:r>
        <w:rPr>
          <w:rFonts w:ascii="Arial" w:hAnsi="Arial" w:cs="Arial"/>
          <w:sz w:val="20"/>
          <w:szCs w:val="20"/>
        </w:rPr>
        <w:t xml:space="preserve">. </w:t>
      </w:r>
      <w:r w:rsidR="00B84801" w:rsidRPr="00B84801">
        <w:rPr>
          <w:rFonts w:ascii="Arial" w:hAnsi="Arial" w:cs="Arial"/>
          <w:sz w:val="20"/>
          <w:szCs w:val="20"/>
        </w:rPr>
        <w:t>Selon une étude récente de l’</w:t>
      </w:r>
      <w:proofErr w:type="spellStart"/>
      <w:r w:rsidR="00B84801" w:rsidRPr="00B84801">
        <w:rPr>
          <w:rFonts w:ascii="Arial" w:hAnsi="Arial" w:cs="Arial"/>
          <w:sz w:val="20"/>
          <w:szCs w:val="20"/>
        </w:rPr>
        <w:t>European</w:t>
      </w:r>
      <w:proofErr w:type="spellEnd"/>
      <w:r w:rsidR="00B84801" w:rsidRPr="00B84801">
        <w:rPr>
          <w:rFonts w:ascii="Arial" w:hAnsi="Arial" w:cs="Arial"/>
          <w:sz w:val="20"/>
          <w:szCs w:val="20"/>
        </w:rPr>
        <w:t xml:space="preserve"> Roma </w:t>
      </w:r>
      <w:proofErr w:type="spellStart"/>
      <w:r w:rsidR="00B84801" w:rsidRPr="00B84801">
        <w:rPr>
          <w:rFonts w:ascii="Arial" w:hAnsi="Arial" w:cs="Arial"/>
          <w:sz w:val="20"/>
          <w:szCs w:val="20"/>
        </w:rPr>
        <w:t>Rights</w:t>
      </w:r>
      <w:proofErr w:type="spellEnd"/>
      <w:r w:rsidR="00B84801" w:rsidRPr="00B84801">
        <w:rPr>
          <w:rFonts w:ascii="Arial" w:hAnsi="Arial" w:cs="Arial"/>
          <w:sz w:val="20"/>
          <w:szCs w:val="20"/>
        </w:rPr>
        <w:t xml:space="preserve"> Centre (ERRC), datée du 28 juillet 2014, « </w:t>
      </w:r>
      <w:r w:rsidR="00B84801" w:rsidRPr="00B84801">
        <w:rPr>
          <w:rFonts w:ascii="Arial" w:hAnsi="Arial" w:cs="Arial"/>
          <w:i/>
          <w:sz w:val="20"/>
          <w:szCs w:val="20"/>
        </w:rPr>
        <w:t xml:space="preserve">plus de la moitié des enfants </w:t>
      </w:r>
      <w:proofErr w:type="spellStart"/>
      <w:r w:rsidR="00B84801" w:rsidRPr="00B84801">
        <w:rPr>
          <w:rFonts w:ascii="Arial" w:hAnsi="Arial" w:cs="Arial"/>
          <w:i/>
          <w:sz w:val="20"/>
          <w:szCs w:val="20"/>
        </w:rPr>
        <w:t>roms</w:t>
      </w:r>
      <w:proofErr w:type="spellEnd"/>
      <w:r w:rsidR="00B84801" w:rsidRPr="00B84801">
        <w:rPr>
          <w:rFonts w:ascii="Arial" w:hAnsi="Arial" w:cs="Arial"/>
          <w:sz w:val="20"/>
          <w:szCs w:val="20"/>
        </w:rPr>
        <w:t> » ne seraient pas scolarisé, dont 60% à une cause d’un « refus de scolarisation opposés aux familles ». Cette étude avait été menée sur 118 Roumains dans 6 bidonvilles en France.</w:t>
      </w:r>
    </w:p>
    <w:p w:rsidR="00B84801" w:rsidRDefault="00FE7953" w:rsidP="00B84801">
      <w:pPr>
        <w:spacing w:after="0" w:line="240" w:lineRule="auto"/>
        <w:jc w:val="both"/>
        <w:rPr>
          <w:rFonts w:ascii="Arial" w:hAnsi="Arial" w:cs="Arial"/>
          <w:sz w:val="20"/>
          <w:szCs w:val="20"/>
        </w:rPr>
      </w:pPr>
      <w:r>
        <w:rPr>
          <w:rFonts w:ascii="Arial" w:hAnsi="Arial" w:cs="Arial"/>
          <w:b/>
          <w:sz w:val="16"/>
          <w:szCs w:val="16"/>
        </w:rPr>
        <w:t>60</w:t>
      </w:r>
      <w:r w:rsidR="00A25A84">
        <w:rPr>
          <w:rFonts w:ascii="Arial" w:hAnsi="Arial" w:cs="Arial"/>
          <w:sz w:val="20"/>
          <w:szCs w:val="20"/>
        </w:rPr>
        <w:t xml:space="preserve">. </w:t>
      </w:r>
      <w:r w:rsidR="00B84801" w:rsidRPr="00B84801">
        <w:rPr>
          <w:rFonts w:ascii="Arial" w:hAnsi="Arial" w:cs="Arial"/>
          <w:sz w:val="20"/>
          <w:szCs w:val="20"/>
        </w:rPr>
        <w:t>Les « </w:t>
      </w:r>
      <w:r w:rsidR="00B84801" w:rsidRPr="00B84801">
        <w:rPr>
          <w:rFonts w:ascii="Arial" w:hAnsi="Arial" w:cs="Arial"/>
          <w:i/>
          <w:sz w:val="20"/>
          <w:szCs w:val="20"/>
        </w:rPr>
        <w:t>Centres académiques pour la scolarisation des nouveaux arrivants et des enfants du voyage de l’académie </w:t>
      </w:r>
      <w:r w:rsidR="00B84801" w:rsidRPr="00B84801">
        <w:rPr>
          <w:rFonts w:ascii="Arial" w:hAnsi="Arial" w:cs="Arial"/>
          <w:sz w:val="20"/>
          <w:szCs w:val="20"/>
        </w:rPr>
        <w:t>» (CASNAV), évoqués précédemment à propos de la situation des  gens du voyage</w:t>
      </w:r>
      <w:r w:rsidR="00B84801" w:rsidRPr="00031DAA">
        <w:rPr>
          <w:rFonts w:ascii="Arial" w:hAnsi="Arial" w:cs="Arial"/>
          <w:b/>
          <w:sz w:val="18"/>
          <w:szCs w:val="18"/>
          <w:vertAlign w:val="superscript"/>
        </w:rPr>
        <w:footnoteReference w:id="23"/>
      </w:r>
      <w:r w:rsidR="00B84801" w:rsidRPr="00B84801">
        <w:rPr>
          <w:rFonts w:ascii="Arial" w:hAnsi="Arial" w:cs="Arial"/>
          <w:sz w:val="20"/>
          <w:szCs w:val="20"/>
        </w:rPr>
        <w:t>, a pour but l’accueil, l’orientation et la scolarisation des mineurs venant de l’étranger. Or, comme nous l’avons déjà cité, l’absence totale de rapports publics sur l’établissement des classes d’accueil en fonction du niveau rendent impossible une évaluation de cette politique. Dans le cas de la population rom, il semble qu’elle soit inexistante. La circulaire du n°2012-141 du 2 novembre 2012 sur « l’organisation de la scolarité des élèves allophones nouvellement arrivés » a rappelé, à titre d’introduction, que « </w:t>
      </w:r>
      <w:r w:rsidR="00B84801" w:rsidRPr="00B84801">
        <w:rPr>
          <w:rFonts w:ascii="Arial" w:hAnsi="Arial" w:cs="Arial"/>
          <w:i/>
          <w:sz w:val="20"/>
          <w:szCs w:val="20"/>
        </w:rPr>
        <w:t>la scolarisation des élèves allophones relève du droit commun et de l'obligation scolaire. Assurer les meilleures conditions de l'intégration des élèves allophones arrivant en France est un devoir de la République et de son École</w:t>
      </w:r>
      <w:r w:rsidR="00B84801" w:rsidRPr="00B84801">
        <w:rPr>
          <w:rFonts w:ascii="Arial" w:hAnsi="Arial" w:cs="Arial"/>
          <w:sz w:val="20"/>
          <w:szCs w:val="20"/>
        </w:rPr>
        <w:t xml:space="preserve"> ». Il apparaît clairement que la scolarisation des enfants </w:t>
      </w:r>
      <w:proofErr w:type="spellStart"/>
      <w:r w:rsidR="00B84801" w:rsidRPr="00B84801">
        <w:rPr>
          <w:rFonts w:ascii="Arial" w:hAnsi="Arial" w:cs="Arial"/>
          <w:sz w:val="20"/>
          <w:szCs w:val="20"/>
        </w:rPr>
        <w:t>roms</w:t>
      </w:r>
      <w:proofErr w:type="spellEnd"/>
      <w:r w:rsidR="00B84801" w:rsidRPr="00B84801">
        <w:rPr>
          <w:rFonts w:ascii="Arial" w:hAnsi="Arial" w:cs="Arial"/>
          <w:sz w:val="20"/>
          <w:szCs w:val="20"/>
        </w:rPr>
        <w:t xml:space="preserve"> n’est pourtant pas un devoir de la République et de son école.</w:t>
      </w:r>
    </w:p>
    <w:p w:rsidR="00115BE5" w:rsidRPr="00B84801" w:rsidRDefault="00115BE5" w:rsidP="00B84801">
      <w:pPr>
        <w:spacing w:after="0" w:line="240" w:lineRule="auto"/>
        <w:jc w:val="both"/>
        <w:rPr>
          <w:rFonts w:ascii="Arial" w:hAnsi="Arial" w:cs="Arial"/>
          <w:sz w:val="20"/>
          <w:szCs w:val="20"/>
        </w:rPr>
      </w:pPr>
    </w:p>
    <w:p w:rsidR="00B84801" w:rsidRPr="00B84801" w:rsidRDefault="00F638FA" w:rsidP="00B84801">
      <w:pPr>
        <w:spacing w:after="0" w:line="240" w:lineRule="auto"/>
        <w:jc w:val="both"/>
        <w:rPr>
          <w:rFonts w:ascii="Arial" w:hAnsi="Arial" w:cs="Arial"/>
          <w:sz w:val="20"/>
          <w:szCs w:val="20"/>
        </w:rPr>
      </w:pPr>
      <w:r>
        <w:rPr>
          <w:rFonts w:ascii="Arial" w:hAnsi="Arial" w:cs="Arial"/>
          <w:b/>
          <w:sz w:val="16"/>
          <w:szCs w:val="16"/>
        </w:rPr>
        <w:t>6</w:t>
      </w:r>
      <w:r w:rsidR="00FE7953">
        <w:rPr>
          <w:rFonts w:ascii="Arial" w:hAnsi="Arial" w:cs="Arial"/>
          <w:b/>
          <w:sz w:val="16"/>
          <w:szCs w:val="16"/>
        </w:rPr>
        <w:t>1</w:t>
      </w:r>
      <w:r w:rsidR="00A25A84" w:rsidRPr="00A25A84">
        <w:rPr>
          <w:rFonts w:ascii="Arial" w:hAnsi="Arial" w:cs="Arial"/>
          <w:sz w:val="16"/>
          <w:szCs w:val="16"/>
        </w:rPr>
        <w:t>.</w:t>
      </w:r>
      <w:r w:rsidR="00A25A84">
        <w:rPr>
          <w:rFonts w:ascii="Arial" w:hAnsi="Arial" w:cs="Arial"/>
          <w:sz w:val="20"/>
          <w:szCs w:val="20"/>
        </w:rPr>
        <w:t xml:space="preserve"> </w:t>
      </w:r>
      <w:r w:rsidR="00B84801" w:rsidRPr="00B84801">
        <w:rPr>
          <w:rFonts w:ascii="Arial" w:hAnsi="Arial" w:cs="Arial"/>
          <w:sz w:val="20"/>
          <w:szCs w:val="20"/>
        </w:rPr>
        <w:t xml:space="preserve">En second lieu, les nombreuses expulsions de terrain affectent tout particulièrement la scolarisation des enfants </w:t>
      </w:r>
      <w:proofErr w:type="spellStart"/>
      <w:r w:rsidR="00B84801" w:rsidRPr="00B84801">
        <w:rPr>
          <w:rFonts w:ascii="Arial" w:hAnsi="Arial" w:cs="Arial"/>
          <w:sz w:val="20"/>
          <w:szCs w:val="20"/>
        </w:rPr>
        <w:t>roms</w:t>
      </w:r>
      <w:proofErr w:type="spellEnd"/>
      <w:r w:rsidR="00B84801" w:rsidRPr="00B84801">
        <w:rPr>
          <w:rFonts w:ascii="Arial" w:hAnsi="Arial" w:cs="Arial"/>
          <w:sz w:val="20"/>
          <w:szCs w:val="20"/>
        </w:rPr>
        <w:t>. Les associations intervenantes auprès de la population rom ainsi que les autorités administratives indépendantes notent que l'expulsion régulière des familles de leurs lieux de vie, qui peut être prolongée par un éloignement du territoire français, empêchent la poursuite de la scolarité des enfants qui ont pu être accueillis. En effet, dans le cadre de ces procédures d'expulsion, les préfectures et les tribunaux ne prennent nullement en considération la présence d'enfants scolarisés dans la commune. Il en résulte donc de lourdes conséquences sur la scolarité en termes de perte de repères scolaires, de perte des acquis, etc. Le rapport de l’</w:t>
      </w:r>
      <w:proofErr w:type="spellStart"/>
      <w:r w:rsidR="00B84801" w:rsidRPr="00B84801">
        <w:rPr>
          <w:rFonts w:ascii="Arial" w:hAnsi="Arial" w:cs="Arial"/>
          <w:sz w:val="20"/>
          <w:szCs w:val="20"/>
        </w:rPr>
        <w:t>European</w:t>
      </w:r>
      <w:proofErr w:type="spellEnd"/>
      <w:r w:rsidR="00B84801" w:rsidRPr="00B84801">
        <w:rPr>
          <w:rFonts w:ascii="Arial" w:hAnsi="Arial" w:cs="Arial"/>
          <w:sz w:val="20"/>
          <w:szCs w:val="20"/>
        </w:rPr>
        <w:t xml:space="preserve"> Roma </w:t>
      </w:r>
      <w:proofErr w:type="spellStart"/>
      <w:r w:rsidR="00B84801" w:rsidRPr="00B84801">
        <w:rPr>
          <w:rFonts w:ascii="Arial" w:hAnsi="Arial" w:cs="Arial"/>
          <w:sz w:val="20"/>
          <w:szCs w:val="20"/>
        </w:rPr>
        <w:t>Rights</w:t>
      </w:r>
      <w:proofErr w:type="spellEnd"/>
      <w:r w:rsidR="00B84801" w:rsidRPr="00B84801">
        <w:rPr>
          <w:rFonts w:ascii="Arial" w:hAnsi="Arial" w:cs="Arial"/>
          <w:sz w:val="20"/>
          <w:szCs w:val="20"/>
        </w:rPr>
        <w:t xml:space="preserve"> Centre (ERRC) du 28 juillet 2014 indique que les personnes interrogées ont fait l’objet, en moyenne, de six expulsions forcées depuis leur arrivée en France.</w:t>
      </w:r>
    </w:p>
    <w:p w:rsidR="00031DAA" w:rsidRPr="00B84801" w:rsidRDefault="00031DAA"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b/>
          <w:bCs/>
          <w:sz w:val="20"/>
          <w:szCs w:val="20"/>
        </w:rPr>
      </w:pPr>
      <w:bookmarkStart w:id="52" w:name="_Toc282794095"/>
      <w:bookmarkStart w:id="53" w:name="_Toc282794285"/>
      <w:bookmarkStart w:id="54" w:name="_Toc282795917"/>
      <w:bookmarkStart w:id="55" w:name="_Toc413409288"/>
      <w:bookmarkStart w:id="56" w:name="_Toc415581577"/>
      <w:r w:rsidRPr="00B84801">
        <w:rPr>
          <w:rFonts w:ascii="Arial" w:hAnsi="Arial" w:cs="Arial"/>
          <w:b/>
          <w:bCs/>
          <w:sz w:val="20"/>
          <w:szCs w:val="20"/>
        </w:rPr>
        <w:t>En matière de droit au logement</w:t>
      </w:r>
      <w:bookmarkEnd w:id="52"/>
      <w:bookmarkEnd w:id="53"/>
      <w:bookmarkEnd w:id="54"/>
      <w:bookmarkEnd w:id="55"/>
      <w:bookmarkEnd w:id="56"/>
    </w:p>
    <w:p w:rsidR="00B84801" w:rsidRPr="00B84801" w:rsidRDefault="00B84801" w:rsidP="00B84801">
      <w:pPr>
        <w:spacing w:after="0" w:line="240" w:lineRule="auto"/>
        <w:jc w:val="both"/>
        <w:rPr>
          <w:rFonts w:ascii="Arial" w:hAnsi="Arial" w:cs="Arial"/>
          <w:b/>
          <w:sz w:val="20"/>
          <w:szCs w:val="20"/>
        </w:rPr>
      </w:pPr>
    </w:p>
    <w:p w:rsidR="00B84801" w:rsidRPr="00B84801" w:rsidRDefault="00F638FA" w:rsidP="00B84801">
      <w:pPr>
        <w:spacing w:after="0" w:line="240" w:lineRule="auto"/>
        <w:jc w:val="both"/>
        <w:rPr>
          <w:rFonts w:ascii="Arial" w:hAnsi="Arial" w:cs="Arial"/>
          <w:sz w:val="20"/>
          <w:szCs w:val="20"/>
        </w:rPr>
      </w:pPr>
      <w:r>
        <w:rPr>
          <w:rFonts w:ascii="Arial" w:hAnsi="Arial" w:cs="Arial"/>
          <w:b/>
          <w:sz w:val="16"/>
          <w:szCs w:val="16"/>
        </w:rPr>
        <w:t>6</w:t>
      </w:r>
      <w:r w:rsidR="00FE7953">
        <w:rPr>
          <w:rFonts w:ascii="Arial" w:hAnsi="Arial" w:cs="Arial"/>
          <w:b/>
          <w:sz w:val="16"/>
          <w:szCs w:val="16"/>
        </w:rPr>
        <w:t>2</w:t>
      </w:r>
      <w:r w:rsidR="00A25A84">
        <w:rPr>
          <w:rFonts w:ascii="Arial" w:hAnsi="Arial" w:cs="Arial"/>
          <w:sz w:val="20"/>
          <w:szCs w:val="20"/>
        </w:rPr>
        <w:t xml:space="preserve">. </w:t>
      </w:r>
      <w:r w:rsidR="00B84801" w:rsidRPr="00B84801">
        <w:rPr>
          <w:rFonts w:ascii="Arial" w:hAnsi="Arial" w:cs="Arial"/>
          <w:sz w:val="20"/>
          <w:szCs w:val="20"/>
        </w:rPr>
        <w:t>Le rapport</w:t>
      </w:r>
      <w:r w:rsidR="00B84801" w:rsidRPr="00031DAA">
        <w:rPr>
          <w:rFonts w:ascii="Arial" w:hAnsi="Arial" w:cs="Arial"/>
          <w:b/>
          <w:sz w:val="18"/>
          <w:szCs w:val="18"/>
          <w:vertAlign w:val="superscript"/>
        </w:rPr>
        <w:footnoteReference w:id="24"/>
      </w:r>
      <w:r w:rsidR="00B84801" w:rsidRPr="00B84801">
        <w:rPr>
          <w:rFonts w:ascii="Arial" w:hAnsi="Arial" w:cs="Arial"/>
          <w:sz w:val="20"/>
          <w:szCs w:val="20"/>
        </w:rPr>
        <w:t xml:space="preserve"> rendu public du 2 mars 2015 par la LDH et l’ERRC (</w:t>
      </w:r>
      <w:proofErr w:type="spellStart"/>
      <w:r w:rsidR="00B84801" w:rsidRPr="00B84801">
        <w:rPr>
          <w:rFonts w:ascii="Arial" w:hAnsi="Arial" w:cs="Arial"/>
          <w:sz w:val="20"/>
          <w:szCs w:val="20"/>
        </w:rPr>
        <w:t>European</w:t>
      </w:r>
      <w:proofErr w:type="spellEnd"/>
      <w:r w:rsidR="00B84801" w:rsidRPr="00B84801">
        <w:rPr>
          <w:rFonts w:ascii="Arial" w:hAnsi="Arial" w:cs="Arial"/>
          <w:sz w:val="20"/>
          <w:szCs w:val="20"/>
        </w:rPr>
        <w:t xml:space="preserve"> Roma </w:t>
      </w:r>
      <w:proofErr w:type="spellStart"/>
      <w:r w:rsidR="00B84801" w:rsidRPr="00B84801">
        <w:rPr>
          <w:rFonts w:ascii="Arial" w:hAnsi="Arial" w:cs="Arial"/>
          <w:sz w:val="20"/>
          <w:szCs w:val="20"/>
        </w:rPr>
        <w:t>Rights</w:t>
      </w:r>
      <w:proofErr w:type="spellEnd"/>
      <w:r w:rsidR="00B84801" w:rsidRPr="00B84801">
        <w:rPr>
          <w:rFonts w:ascii="Arial" w:hAnsi="Arial" w:cs="Arial"/>
          <w:sz w:val="20"/>
          <w:szCs w:val="20"/>
        </w:rPr>
        <w:t xml:space="preserve"> Center) sur le « </w:t>
      </w:r>
      <w:r w:rsidR="00B84801" w:rsidRPr="00B84801">
        <w:rPr>
          <w:rFonts w:ascii="Arial" w:hAnsi="Arial" w:cs="Arial"/>
          <w:i/>
          <w:sz w:val="20"/>
          <w:szCs w:val="20"/>
        </w:rPr>
        <w:t xml:space="preserve">Recensement des évacuations forcées de lieux de vie occupés par des </w:t>
      </w:r>
      <w:proofErr w:type="spellStart"/>
      <w:r w:rsidR="00B84801" w:rsidRPr="00B84801">
        <w:rPr>
          <w:rFonts w:ascii="Arial" w:hAnsi="Arial" w:cs="Arial"/>
          <w:i/>
          <w:sz w:val="20"/>
          <w:szCs w:val="20"/>
        </w:rPr>
        <w:t>Roms</w:t>
      </w:r>
      <w:proofErr w:type="spellEnd"/>
      <w:r w:rsidR="00B84801" w:rsidRPr="00B84801">
        <w:rPr>
          <w:rFonts w:ascii="Arial" w:hAnsi="Arial" w:cs="Arial"/>
          <w:i/>
          <w:sz w:val="20"/>
          <w:szCs w:val="20"/>
        </w:rPr>
        <w:t xml:space="preserve"> étrangers en France</w:t>
      </w:r>
      <w:r w:rsidR="00B84801" w:rsidRPr="00B84801">
        <w:rPr>
          <w:rFonts w:ascii="Arial" w:hAnsi="Arial" w:cs="Arial"/>
          <w:sz w:val="20"/>
          <w:szCs w:val="20"/>
        </w:rPr>
        <w:t> » demeure préoccupant, même si le bilan chiffré est légèrement en-deçà des constats pour l’année 2013. Ainsi, il est fait état pour l’année 2014 de 13 483 évacuations forcées. Les auteurs du rapport relèvent : « </w:t>
      </w:r>
      <w:r w:rsidR="00B84801" w:rsidRPr="00B84801">
        <w:rPr>
          <w:rFonts w:ascii="Arial" w:hAnsi="Arial" w:cs="Arial"/>
          <w:i/>
          <w:sz w:val="20"/>
          <w:szCs w:val="20"/>
        </w:rPr>
        <w:t>Ces chiffres restent très élevés puisqu’ils correspondent à une moyenne de 260 personnes évacuées par les autorités par semaine.</w:t>
      </w:r>
      <w:r w:rsidR="00B84801" w:rsidRPr="00B84801">
        <w:rPr>
          <w:rFonts w:ascii="Arial" w:hAnsi="Arial" w:cs="Arial"/>
          <w:sz w:val="20"/>
          <w:szCs w:val="20"/>
        </w:rPr>
        <w:t>»</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6</w:t>
      </w:r>
      <w:r w:rsidR="00FE7953">
        <w:rPr>
          <w:rFonts w:ascii="Arial" w:hAnsi="Arial" w:cs="Arial"/>
          <w:b/>
          <w:sz w:val="16"/>
          <w:szCs w:val="16"/>
        </w:rPr>
        <w:t>3</w:t>
      </w:r>
      <w:r>
        <w:rPr>
          <w:rFonts w:ascii="Arial" w:hAnsi="Arial" w:cs="Arial"/>
          <w:sz w:val="20"/>
          <w:szCs w:val="20"/>
        </w:rPr>
        <w:t xml:space="preserve">. </w:t>
      </w:r>
      <w:r w:rsidR="00B84801" w:rsidRPr="00B84801">
        <w:rPr>
          <w:rFonts w:ascii="Arial" w:hAnsi="Arial" w:cs="Arial"/>
          <w:sz w:val="20"/>
          <w:szCs w:val="20"/>
        </w:rPr>
        <w:t>Le rapport de l’année antérieure (2013) reconnaissait déjà, à l’instar du Défenseur des droits, « </w:t>
      </w:r>
      <w:r w:rsidR="00B84801" w:rsidRPr="00B84801">
        <w:rPr>
          <w:rFonts w:ascii="Arial" w:hAnsi="Arial" w:cs="Arial"/>
          <w:i/>
          <w:sz w:val="20"/>
          <w:szCs w:val="20"/>
        </w:rPr>
        <w:t>que la mise en application de la circulaire interministérielle du 26 août 2012 "</w:t>
      </w:r>
      <w:r w:rsidR="00B84801" w:rsidRPr="00B84801">
        <w:rPr>
          <w:rFonts w:ascii="Arial" w:hAnsi="Arial" w:cs="Arial"/>
          <w:i/>
          <w:iCs/>
          <w:sz w:val="20"/>
          <w:szCs w:val="20"/>
        </w:rPr>
        <w:t>relative à l’anticipation et à l’accompagnement des opérations d’évacuation des campements illicites"</w:t>
      </w:r>
      <w:r w:rsidR="00B84801" w:rsidRPr="00B84801">
        <w:rPr>
          <w:rFonts w:ascii="Arial" w:hAnsi="Arial" w:cs="Arial"/>
          <w:i/>
          <w:sz w:val="20"/>
          <w:szCs w:val="20"/>
        </w:rPr>
        <w:t xml:space="preserve"> reste rare, disparate et généralement superficielle. Elle s’apparente souvent à un recensement des populations plutôt qu’à un réel et durable travail social d’insertion.</w:t>
      </w:r>
      <w:r w:rsidR="00B84801" w:rsidRPr="00B84801">
        <w:rPr>
          <w:rFonts w:ascii="Arial" w:hAnsi="Arial" w:cs="Arial"/>
          <w:sz w:val="20"/>
          <w:szCs w:val="20"/>
        </w:rPr>
        <w:t> ».</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6</w:t>
      </w:r>
      <w:r w:rsidR="00FE7953">
        <w:rPr>
          <w:rFonts w:ascii="Arial" w:hAnsi="Arial" w:cs="Arial"/>
          <w:b/>
          <w:sz w:val="16"/>
          <w:szCs w:val="16"/>
        </w:rPr>
        <w:t>4</w:t>
      </w:r>
      <w:r>
        <w:rPr>
          <w:rFonts w:ascii="Arial" w:hAnsi="Arial" w:cs="Arial"/>
          <w:sz w:val="20"/>
          <w:szCs w:val="20"/>
        </w:rPr>
        <w:t xml:space="preserve">. </w:t>
      </w:r>
      <w:r w:rsidR="00B84801" w:rsidRPr="00B84801">
        <w:rPr>
          <w:rFonts w:ascii="Arial" w:hAnsi="Arial" w:cs="Arial"/>
          <w:sz w:val="20"/>
          <w:szCs w:val="20"/>
        </w:rPr>
        <w:t>De même, il concluait que « </w:t>
      </w:r>
      <w:r w:rsidR="00B84801" w:rsidRPr="00B84801">
        <w:rPr>
          <w:rFonts w:ascii="Arial" w:hAnsi="Arial" w:cs="Arial"/>
          <w:i/>
          <w:sz w:val="20"/>
          <w:szCs w:val="20"/>
        </w:rPr>
        <w:t xml:space="preserve">Ces évacuations forcées sont l’expression d’une politique de rejet stigmatisant les </w:t>
      </w:r>
      <w:proofErr w:type="spellStart"/>
      <w:r w:rsidR="00B84801" w:rsidRPr="00B84801">
        <w:rPr>
          <w:rFonts w:ascii="Arial" w:hAnsi="Arial" w:cs="Arial"/>
          <w:i/>
          <w:sz w:val="20"/>
          <w:szCs w:val="20"/>
        </w:rPr>
        <w:t>Roms</w:t>
      </w:r>
      <w:proofErr w:type="spellEnd"/>
      <w:r w:rsidR="00B84801" w:rsidRPr="00B84801">
        <w:rPr>
          <w:rFonts w:ascii="Arial" w:hAnsi="Arial" w:cs="Arial"/>
          <w:i/>
          <w:sz w:val="20"/>
          <w:szCs w:val="20"/>
        </w:rPr>
        <w:t xml:space="preserve"> comme boucs émissaires. Les autorités ne souhaitent qu’une seule chose : leur retour dans leur pays d’origine. Cette politique de rejet ouvre la voie à l’expression des extrémismes et du racisme anti-</w:t>
      </w:r>
      <w:proofErr w:type="spellStart"/>
      <w:r w:rsidR="00B84801" w:rsidRPr="00B84801">
        <w:rPr>
          <w:rFonts w:ascii="Arial" w:hAnsi="Arial" w:cs="Arial"/>
          <w:i/>
          <w:sz w:val="20"/>
          <w:szCs w:val="20"/>
        </w:rPr>
        <w:t>roms</w:t>
      </w:r>
      <w:proofErr w:type="spellEnd"/>
      <w:r w:rsidR="00B84801" w:rsidRPr="00B84801">
        <w:rPr>
          <w:rFonts w:ascii="Arial" w:hAnsi="Arial" w:cs="Arial"/>
          <w:i/>
          <w:sz w:val="20"/>
          <w:szCs w:val="20"/>
        </w:rPr>
        <w:t>. On assiste ainsi de plus en plus fréquemment à des discours ou à des actes violents et racistes</w:t>
      </w:r>
      <w:r w:rsidR="00B84801" w:rsidRPr="00B84801">
        <w:rPr>
          <w:rFonts w:ascii="Arial" w:hAnsi="Arial" w:cs="Arial"/>
          <w:sz w:val="20"/>
          <w:szCs w:val="20"/>
        </w:rPr>
        <w:t>.».</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b/>
          <w:bCs/>
          <w:sz w:val="20"/>
          <w:szCs w:val="20"/>
        </w:rPr>
      </w:pPr>
      <w:bookmarkStart w:id="57" w:name="_Toc415581578"/>
      <w:r w:rsidRPr="00B84801">
        <w:rPr>
          <w:rFonts w:ascii="Arial" w:hAnsi="Arial" w:cs="Arial"/>
          <w:b/>
          <w:bCs/>
          <w:sz w:val="20"/>
          <w:szCs w:val="20"/>
        </w:rPr>
        <w:t>En matière de droit de vote</w:t>
      </w:r>
      <w:bookmarkEnd w:id="57"/>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6</w:t>
      </w:r>
      <w:r w:rsidR="00F638FA">
        <w:rPr>
          <w:rFonts w:ascii="Arial" w:hAnsi="Arial" w:cs="Arial"/>
          <w:b/>
          <w:sz w:val="16"/>
          <w:szCs w:val="16"/>
        </w:rPr>
        <w:t>5</w:t>
      </w:r>
      <w:r>
        <w:rPr>
          <w:rFonts w:ascii="Arial" w:hAnsi="Arial" w:cs="Arial"/>
          <w:sz w:val="20"/>
          <w:szCs w:val="20"/>
        </w:rPr>
        <w:t xml:space="preserve">. </w:t>
      </w:r>
      <w:r w:rsidR="00B84801" w:rsidRPr="00B84801">
        <w:rPr>
          <w:rFonts w:ascii="Arial" w:hAnsi="Arial" w:cs="Arial"/>
          <w:sz w:val="20"/>
          <w:szCs w:val="20"/>
        </w:rPr>
        <w:t>La circulaire NOR/INT 1317573C du 25 juillet 2013 relative à la révision et à la tenue des listes électorales et des listes électorales complémentaires mentionne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sz w:val="20"/>
          <w:szCs w:val="20"/>
        </w:rPr>
      </w:pPr>
      <w:r w:rsidRPr="00B84801">
        <w:rPr>
          <w:rFonts w:ascii="Arial" w:hAnsi="Arial" w:cs="Arial"/>
          <w:sz w:val="20"/>
          <w:szCs w:val="20"/>
        </w:rPr>
        <w:t xml:space="preserve">« </w:t>
      </w:r>
      <w:r w:rsidRPr="00B84801">
        <w:rPr>
          <w:rFonts w:ascii="Arial" w:hAnsi="Arial" w:cs="Arial"/>
          <w:i/>
          <w:sz w:val="20"/>
          <w:szCs w:val="20"/>
        </w:rPr>
        <w:t xml:space="preserve">Les dispositions applicables aux personnes sans domicile fixe ne sont pas applicables pour l’établissement des listes complémentaires en vue des élections municipales (l’article LO 227-3 ne </w:t>
      </w:r>
      <w:r w:rsidRPr="00B84801">
        <w:rPr>
          <w:rFonts w:ascii="Arial" w:hAnsi="Arial" w:cs="Arial"/>
          <w:i/>
          <w:sz w:val="20"/>
          <w:szCs w:val="20"/>
        </w:rPr>
        <w:lastRenderedPageBreak/>
        <w:t>rendant pas applicable l’article L.15-1 qui a été introduit après le 26 mai 1998) mais le sont en revanche pour l’établissement des listes en vue des élections européennes</w:t>
      </w:r>
      <w:r w:rsidRPr="00B84801">
        <w:rPr>
          <w:rFonts w:ascii="Arial" w:hAnsi="Arial" w:cs="Arial"/>
          <w:sz w:val="20"/>
          <w:szCs w:val="20"/>
        </w:rPr>
        <w:t xml:space="preserve"> ».</w:t>
      </w:r>
    </w:p>
    <w:p w:rsidR="00B84801" w:rsidRPr="00B84801" w:rsidRDefault="00B84801" w:rsidP="00B84801">
      <w:pPr>
        <w:spacing w:after="0" w:line="240" w:lineRule="auto"/>
        <w:jc w:val="both"/>
        <w:rPr>
          <w:rFonts w:ascii="Arial" w:hAnsi="Arial" w:cs="Arial"/>
          <w:sz w:val="20"/>
          <w:szCs w:val="20"/>
        </w:rPr>
      </w:pPr>
    </w:p>
    <w:p w:rsidR="00031DAA" w:rsidRDefault="00A25A84" w:rsidP="00B84801">
      <w:pPr>
        <w:spacing w:after="0" w:line="240" w:lineRule="auto"/>
        <w:jc w:val="both"/>
        <w:rPr>
          <w:rFonts w:ascii="Arial" w:hAnsi="Arial" w:cs="Arial"/>
          <w:sz w:val="20"/>
          <w:szCs w:val="20"/>
        </w:rPr>
      </w:pPr>
      <w:r w:rsidRPr="00A25A84">
        <w:rPr>
          <w:rFonts w:ascii="Arial" w:hAnsi="Arial" w:cs="Arial"/>
          <w:b/>
          <w:sz w:val="16"/>
          <w:szCs w:val="16"/>
        </w:rPr>
        <w:t>6</w:t>
      </w:r>
      <w:r w:rsidR="00F638FA">
        <w:rPr>
          <w:rFonts w:ascii="Arial" w:hAnsi="Arial" w:cs="Arial"/>
          <w:b/>
          <w:sz w:val="16"/>
          <w:szCs w:val="16"/>
        </w:rPr>
        <w:t>6</w:t>
      </w:r>
      <w:r>
        <w:rPr>
          <w:rFonts w:ascii="Arial" w:hAnsi="Arial" w:cs="Arial"/>
          <w:sz w:val="20"/>
          <w:szCs w:val="20"/>
        </w:rPr>
        <w:t xml:space="preserve">. </w:t>
      </w:r>
      <w:r w:rsidR="00B84801" w:rsidRPr="00B84801">
        <w:rPr>
          <w:rFonts w:ascii="Arial" w:hAnsi="Arial" w:cs="Arial"/>
          <w:sz w:val="20"/>
          <w:szCs w:val="20"/>
        </w:rPr>
        <w:t>A titre liminaire, il convient de rappeler qu’en vertu de l’article 20 alinéas 1 du traité sur le fonctionnement de l’Union européenne (TFUE), « il est institué une citoyenneté de l’Union</w:t>
      </w:r>
      <w:r w:rsidR="00031DAA">
        <w:rPr>
          <w:rFonts w:ascii="Arial" w:hAnsi="Arial" w:cs="Arial"/>
          <w:sz w:val="20"/>
          <w:szCs w:val="20"/>
        </w:rPr>
        <w:t>.</w:t>
      </w:r>
      <w:r w:rsidR="00B84801" w:rsidRPr="00B84801">
        <w:rPr>
          <w:rFonts w:ascii="Arial" w:hAnsi="Arial" w:cs="Arial"/>
          <w:i/>
          <w:sz w:val="20"/>
          <w:szCs w:val="20"/>
        </w:rPr>
        <w:t xml:space="preserve"> Est citoyen de l’Union toute personne ayant la nationalité d’un État membre. La citoyenneté de l’Union s’ajoute à la citoyenneté nationale et ne la remplace pas </w:t>
      </w:r>
      <w:r w:rsidR="00B84801" w:rsidRPr="00B84801">
        <w:rPr>
          <w:rFonts w:ascii="Arial" w:hAnsi="Arial" w:cs="Arial"/>
          <w:sz w:val="20"/>
          <w:szCs w:val="20"/>
        </w:rPr>
        <w:t xml:space="preserve">». En outre, la Cour de justice de l’Union européenne (CJUE), dans son arrêt </w:t>
      </w:r>
      <w:proofErr w:type="spellStart"/>
      <w:r w:rsidR="00B84801" w:rsidRPr="00B84801">
        <w:rPr>
          <w:rFonts w:ascii="Arial" w:hAnsi="Arial" w:cs="Arial"/>
          <w:sz w:val="20"/>
          <w:szCs w:val="20"/>
        </w:rPr>
        <w:t>Grzelczyk</w:t>
      </w:r>
      <w:proofErr w:type="spellEnd"/>
      <w:r w:rsidR="00B84801" w:rsidRPr="00B84801">
        <w:rPr>
          <w:rFonts w:ascii="Arial" w:hAnsi="Arial" w:cs="Arial"/>
          <w:sz w:val="20"/>
          <w:szCs w:val="20"/>
        </w:rPr>
        <w:t xml:space="preserve">, 20 septembre 2001, </w:t>
      </w:r>
      <w:proofErr w:type="spellStart"/>
      <w:r w:rsidR="00B84801" w:rsidRPr="00B84801">
        <w:rPr>
          <w:rFonts w:ascii="Arial" w:hAnsi="Arial" w:cs="Arial"/>
          <w:sz w:val="20"/>
          <w:szCs w:val="20"/>
        </w:rPr>
        <w:t>aff</w:t>
      </w:r>
      <w:proofErr w:type="spellEnd"/>
      <w:r w:rsidR="00B84801" w:rsidRPr="00B84801">
        <w:rPr>
          <w:rFonts w:ascii="Arial" w:hAnsi="Arial" w:cs="Arial"/>
          <w:sz w:val="20"/>
          <w:szCs w:val="20"/>
        </w:rPr>
        <w:t xml:space="preserve"> </w:t>
      </w:r>
      <w:r w:rsidR="00031DAA">
        <w:rPr>
          <w:rFonts w:ascii="Arial" w:hAnsi="Arial" w:cs="Arial"/>
          <w:sz w:val="20"/>
          <w:szCs w:val="20"/>
        </w:rPr>
        <w:t>-</w:t>
      </w:r>
      <w:r w:rsidR="00B84801" w:rsidRPr="00B84801">
        <w:rPr>
          <w:rFonts w:ascii="Arial" w:hAnsi="Arial" w:cs="Arial"/>
          <w:sz w:val="20"/>
          <w:szCs w:val="20"/>
        </w:rPr>
        <w:t xml:space="preserve"> 184/99, juge que</w:t>
      </w:r>
      <w:r w:rsidR="00031DAA">
        <w:rPr>
          <w:rFonts w:ascii="Arial" w:hAnsi="Arial" w:cs="Arial"/>
          <w:sz w:val="20"/>
          <w:szCs w:val="20"/>
        </w:rPr>
        <w:t xml:space="preserve"> </w:t>
      </w:r>
      <w:r w:rsidR="00B84801" w:rsidRPr="00B84801">
        <w:rPr>
          <w:rFonts w:ascii="Arial" w:hAnsi="Arial" w:cs="Arial"/>
          <w:sz w:val="20"/>
          <w:szCs w:val="20"/>
        </w:rPr>
        <w:t xml:space="preserve">« </w:t>
      </w:r>
      <w:r w:rsidR="00B84801" w:rsidRPr="00B84801">
        <w:rPr>
          <w:rFonts w:ascii="Arial" w:hAnsi="Arial" w:cs="Arial"/>
          <w:i/>
          <w:sz w:val="20"/>
          <w:szCs w:val="20"/>
        </w:rPr>
        <w:t>le statut de citoyen européen a vocation à être le statut fondamental des ressortissants des États membres</w:t>
      </w:r>
      <w:r w:rsidR="00031DAA">
        <w:rPr>
          <w:rFonts w:ascii="Arial" w:hAnsi="Arial" w:cs="Arial"/>
          <w:sz w:val="20"/>
          <w:szCs w:val="20"/>
        </w:rPr>
        <w:t xml:space="preserve"> ».</w:t>
      </w:r>
    </w:p>
    <w:p w:rsidR="00031DAA" w:rsidRDefault="00031DAA"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6</w:t>
      </w:r>
      <w:r w:rsidR="00F638FA">
        <w:rPr>
          <w:rFonts w:ascii="Arial" w:hAnsi="Arial" w:cs="Arial"/>
          <w:b/>
          <w:sz w:val="16"/>
          <w:szCs w:val="16"/>
        </w:rPr>
        <w:t>7</w:t>
      </w:r>
      <w:r>
        <w:rPr>
          <w:rFonts w:ascii="Arial" w:hAnsi="Arial" w:cs="Arial"/>
          <w:sz w:val="20"/>
          <w:szCs w:val="20"/>
        </w:rPr>
        <w:t xml:space="preserve">. </w:t>
      </w:r>
      <w:r w:rsidR="00B84801" w:rsidRPr="00B84801">
        <w:rPr>
          <w:rFonts w:ascii="Arial" w:hAnsi="Arial" w:cs="Arial"/>
          <w:sz w:val="20"/>
          <w:szCs w:val="20"/>
        </w:rPr>
        <w:t>Ainsi, la CJUE se réfère à la citoyenneté de l’Union comme un concept juridique qui s’accompagne de droits spécifiques pour les citoyens de l’Union.</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6</w:t>
      </w:r>
      <w:r w:rsidR="00F638FA">
        <w:rPr>
          <w:rFonts w:ascii="Arial" w:hAnsi="Arial" w:cs="Arial"/>
          <w:b/>
          <w:sz w:val="16"/>
          <w:szCs w:val="16"/>
        </w:rPr>
        <w:t>8</w:t>
      </w:r>
      <w:r>
        <w:rPr>
          <w:rFonts w:ascii="Arial" w:hAnsi="Arial" w:cs="Arial"/>
          <w:sz w:val="20"/>
          <w:szCs w:val="20"/>
        </w:rPr>
        <w:t xml:space="preserve">. </w:t>
      </w:r>
      <w:r w:rsidR="00B84801" w:rsidRPr="00B84801">
        <w:rPr>
          <w:rFonts w:ascii="Arial" w:hAnsi="Arial" w:cs="Arial"/>
          <w:sz w:val="20"/>
          <w:szCs w:val="20"/>
        </w:rPr>
        <w:t xml:space="preserve">A cet égard, l’article 10 alinéa 3 du traité sur l’Union européenne (TUE), dans sa version consolidée, stipule que « tout citoyen a le droit de participer à la vie démocratique de l’Union » et qu’à cette fin, une série de prérogatives leur est reconnue telles que l’exercice du droit vote consacré à l’article 20 alinéa 2 b du TFUE, stipulant que « </w:t>
      </w:r>
      <w:r w:rsidR="00B84801" w:rsidRPr="00031DAA">
        <w:rPr>
          <w:rFonts w:ascii="Arial" w:hAnsi="Arial" w:cs="Arial"/>
          <w:i/>
          <w:sz w:val="20"/>
          <w:szCs w:val="20"/>
        </w:rPr>
        <w:t>les citoyens de l’Union jouissent des droits et sont soumis aux devoirs prévus par les traités. Ils ont, entre autres : le droit de vote et d’éligibilité aux élections au Parlement européen ainsi qu’aux élections municipales dans l’État membre où ils résident, dans les mêmes conditions que les ressortissants de cet État</w:t>
      </w:r>
      <w:r w:rsidR="00B84801" w:rsidRPr="00B84801">
        <w:rPr>
          <w:rFonts w:ascii="Arial" w:hAnsi="Arial" w:cs="Arial"/>
          <w:sz w:val="20"/>
          <w:szCs w:val="20"/>
        </w:rPr>
        <w:t xml:space="preserve"> ». Dans le même sens, l’article 22 du TFUE précise que « </w:t>
      </w:r>
      <w:r w:rsidR="00B84801" w:rsidRPr="00B84801">
        <w:rPr>
          <w:rFonts w:ascii="Arial" w:hAnsi="Arial" w:cs="Arial"/>
          <w:i/>
          <w:sz w:val="20"/>
          <w:szCs w:val="20"/>
        </w:rPr>
        <w:t>tout citoyen de l’Union résidant dans un État membre dont il n’est pas ressortissant a le droit de vote et d’éligibilité aux élections municipales dans l’État membre où il réside, dans les mêmes conditions que les ressortissants de cet État</w:t>
      </w:r>
      <w:r w:rsidR="00B84801" w:rsidRPr="00B84801">
        <w:rPr>
          <w:rFonts w:ascii="Arial" w:hAnsi="Arial" w:cs="Arial"/>
          <w:sz w:val="20"/>
          <w:szCs w:val="20"/>
        </w:rPr>
        <w:t xml:space="preserve"> ». </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6</w:t>
      </w:r>
      <w:r w:rsidR="00F638FA">
        <w:rPr>
          <w:rFonts w:ascii="Arial" w:hAnsi="Arial" w:cs="Arial"/>
          <w:b/>
          <w:sz w:val="16"/>
          <w:szCs w:val="16"/>
        </w:rPr>
        <w:t>9</w:t>
      </w:r>
      <w:r>
        <w:rPr>
          <w:rFonts w:ascii="Arial" w:hAnsi="Arial" w:cs="Arial"/>
          <w:sz w:val="20"/>
          <w:szCs w:val="20"/>
        </w:rPr>
        <w:t xml:space="preserve">. </w:t>
      </w:r>
      <w:r w:rsidR="00B84801" w:rsidRPr="00B84801">
        <w:rPr>
          <w:rFonts w:ascii="Arial" w:hAnsi="Arial" w:cs="Arial"/>
          <w:sz w:val="20"/>
          <w:szCs w:val="20"/>
        </w:rPr>
        <w:t>Enfin, la Charte des droits fondamentaux du 7 décembre 2000, revêtant une valeur juridique contraignante depuis l’entrée en vigueur du traité de Lisbonne, le 1er</w:t>
      </w:r>
      <w:r w:rsidR="00031DAA">
        <w:rPr>
          <w:rFonts w:ascii="Arial" w:hAnsi="Arial" w:cs="Arial"/>
          <w:sz w:val="20"/>
          <w:szCs w:val="20"/>
        </w:rPr>
        <w:t xml:space="preserve"> décembre 2009, </w:t>
      </w:r>
      <w:r w:rsidR="00B84801" w:rsidRPr="00B84801">
        <w:rPr>
          <w:rFonts w:ascii="Arial" w:hAnsi="Arial" w:cs="Arial"/>
          <w:sz w:val="20"/>
          <w:szCs w:val="20"/>
        </w:rPr>
        <w:t xml:space="preserve">reprend le concept de citoyenneté européenne et son corollaire, l’exercice du droit de vote, dans son article 40 aux termes duquel </w:t>
      </w:r>
      <w:r w:rsidR="00B84801" w:rsidRPr="00B84801">
        <w:rPr>
          <w:rFonts w:ascii="Arial" w:hAnsi="Arial" w:cs="Arial"/>
          <w:i/>
          <w:sz w:val="20"/>
          <w:szCs w:val="20"/>
        </w:rPr>
        <w:t>« tout citoyen de l’Union a le droit de vote et d’éligibilité aux élections municipales dans l’État membre où il réside, dans les mêmes conditions que les ressortissants de cet État</w:t>
      </w:r>
      <w:r w:rsidR="00B84801" w:rsidRPr="00B84801">
        <w:rPr>
          <w:rFonts w:ascii="Arial" w:hAnsi="Arial" w:cs="Arial"/>
          <w:sz w:val="20"/>
          <w:szCs w:val="20"/>
        </w:rPr>
        <w:t xml:space="preserve"> », et rappelle en outre le principe de non-discrimination à raison notamment de la nationalité, tel que consacré à l’article 18 du TFUE stipulant « dans le domaine d’application du présent traité, et sans préjudice des dispositions particulières qu’il prévoit, est interdite toute discrimination exercée en raison de la nationalité ». </w:t>
      </w:r>
    </w:p>
    <w:p w:rsidR="00B84801" w:rsidRPr="00B84801" w:rsidRDefault="00B84801" w:rsidP="00B84801">
      <w:pPr>
        <w:spacing w:after="0" w:line="240" w:lineRule="auto"/>
        <w:jc w:val="both"/>
        <w:rPr>
          <w:rFonts w:ascii="Arial" w:hAnsi="Arial" w:cs="Arial"/>
          <w:sz w:val="20"/>
          <w:szCs w:val="20"/>
        </w:rPr>
      </w:pPr>
    </w:p>
    <w:p w:rsidR="00B84801" w:rsidRPr="00B84801" w:rsidRDefault="00F638FA" w:rsidP="00B84801">
      <w:pPr>
        <w:spacing w:after="0" w:line="240" w:lineRule="auto"/>
        <w:jc w:val="both"/>
        <w:rPr>
          <w:rFonts w:ascii="Arial" w:hAnsi="Arial" w:cs="Arial"/>
          <w:sz w:val="20"/>
          <w:szCs w:val="20"/>
        </w:rPr>
      </w:pPr>
      <w:r>
        <w:rPr>
          <w:rFonts w:ascii="Arial" w:hAnsi="Arial" w:cs="Arial"/>
          <w:b/>
          <w:sz w:val="16"/>
          <w:szCs w:val="16"/>
        </w:rPr>
        <w:t>70</w:t>
      </w:r>
      <w:r w:rsidR="00A25A84">
        <w:rPr>
          <w:rFonts w:ascii="Arial" w:hAnsi="Arial" w:cs="Arial"/>
          <w:sz w:val="20"/>
          <w:szCs w:val="20"/>
        </w:rPr>
        <w:t xml:space="preserve">. </w:t>
      </w:r>
      <w:r w:rsidR="00B84801" w:rsidRPr="00B84801">
        <w:rPr>
          <w:rFonts w:ascii="Arial" w:hAnsi="Arial" w:cs="Arial"/>
          <w:sz w:val="20"/>
          <w:szCs w:val="20"/>
        </w:rPr>
        <w:t xml:space="preserve">Le principe de non-discrimination dans l’exercice du droit de vote a par ailleurs été rappelé, dans son préambule, par la directive 94/80/CE du Conseil, du 19 décembre 1994, fixant les modalités de l’exercice du droit de vote et d’éligibilité aux élections municipales pour les citoyens de l’Union résidant dans un État membre dont il n’ont pas la nationalité, considérant que « </w:t>
      </w:r>
      <w:r w:rsidR="00B84801" w:rsidRPr="00B84801">
        <w:rPr>
          <w:rFonts w:ascii="Arial" w:hAnsi="Arial" w:cs="Arial"/>
          <w:i/>
          <w:sz w:val="20"/>
          <w:szCs w:val="20"/>
        </w:rPr>
        <w:t>tous les citoyens de l’Union, qu’ils soient ou non ressortissants de l’État membre de résidence, puissent y exercer leur droit de vote et d’éligibilité aux élections municipales dans les mêmes conditions ; qu’il est nécessaire, en conséquence, que les conditions, et notamment celles liées à la durée et à la preuve de la résidence valant pour les non-nationaux, soient identiques à celles applicables, le cas échéant, aux nationaux de l’État membre considéré ; que les citoyens non nationaux ne doivent pas être soumis à des conditions spécifiques à moins que, exceptionnellement, un traitement différent de nationaux et de non-nationaux se justifie par des circonstances spécifiques à ces derniers les distinguant des premiers</w:t>
      </w:r>
      <w:r w:rsidR="00B84801" w:rsidRPr="00B84801">
        <w:rPr>
          <w:rFonts w:ascii="Arial" w:hAnsi="Arial" w:cs="Arial"/>
          <w:sz w:val="20"/>
          <w:szCs w:val="20"/>
        </w:rPr>
        <w:t xml:space="preserve"> ».</w:t>
      </w:r>
    </w:p>
    <w:p w:rsidR="00B84801" w:rsidRPr="00B84801" w:rsidRDefault="00B84801" w:rsidP="00B84801">
      <w:pPr>
        <w:spacing w:after="0" w:line="240" w:lineRule="auto"/>
        <w:jc w:val="both"/>
        <w:rPr>
          <w:rFonts w:ascii="Arial" w:hAnsi="Arial" w:cs="Arial"/>
          <w:sz w:val="20"/>
          <w:szCs w:val="20"/>
        </w:rPr>
      </w:pPr>
    </w:p>
    <w:p w:rsidR="00B84801" w:rsidRPr="00B84801" w:rsidRDefault="00F638FA" w:rsidP="00B84801">
      <w:pPr>
        <w:spacing w:after="0" w:line="240" w:lineRule="auto"/>
        <w:jc w:val="both"/>
        <w:rPr>
          <w:rFonts w:ascii="Arial" w:hAnsi="Arial" w:cs="Arial"/>
          <w:sz w:val="20"/>
          <w:szCs w:val="20"/>
        </w:rPr>
      </w:pPr>
      <w:r>
        <w:rPr>
          <w:rFonts w:ascii="Arial" w:hAnsi="Arial" w:cs="Arial"/>
          <w:b/>
          <w:sz w:val="16"/>
          <w:szCs w:val="16"/>
        </w:rPr>
        <w:t>71</w:t>
      </w:r>
      <w:r w:rsidR="00A25A84">
        <w:rPr>
          <w:rFonts w:ascii="Arial" w:hAnsi="Arial" w:cs="Arial"/>
          <w:sz w:val="20"/>
          <w:szCs w:val="20"/>
        </w:rPr>
        <w:t xml:space="preserve">. </w:t>
      </w:r>
      <w:r w:rsidR="00B84801" w:rsidRPr="00B84801">
        <w:rPr>
          <w:rFonts w:ascii="Arial" w:hAnsi="Arial" w:cs="Arial"/>
          <w:sz w:val="20"/>
          <w:szCs w:val="20"/>
        </w:rPr>
        <w:t xml:space="preserve">A cet égard, l’article 8 de la directive susvisée précise utilement que « </w:t>
      </w:r>
      <w:r w:rsidR="00B84801" w:rsidRPr="00B84801">
        <w:rPr>
          <w:rFonts w:ascii="Arial" w:hAnsi="Arial" w:cs="Arial"/>
          <w:i/>
          <w:sz w:val="20"/>
          <w:szCs w:val="20"/>
        </w:rPr>
        <w:t xml:space="preserve">pour être inscrit sur la liste électorale, l’électeur visé à l’article 3 [le citoyen de l’Union] doit apporter les mêmes preuves qu’un électeur national </w:t>
      </w:r>
      <w:r w:rsidR="00B84801" w:rsidRPr="00B84801">
        <w:rPr>
          <w:rFonts w:ascii="Arial" w:hAnsi="Arial" w:cs="Arial"/>
          <w:sz w:val="20"/>
          <w:szCs w:val="20"/>
        </w:rPr>
        <w:t>».</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7</w:t>
      </w:r>
      <w:r w:rsidR="00F638FA">
        <w:rPr>
          <w:rFonts w:ascii="Arial" w:hAnsi="Arial" w:cs="Arial"/>
          <w:b/>
          <w:sz w:val="16"/>
          <w:szCs w:val="16"/>
        </w:rPr>
        <w:t>2</w:t>
      </w:r>
      <w:r>
        <w:rPr>
          <w:rFonts w:ascii="Arial" w:hAnsi="Arial" w:cs="Arial"/>
          <w:sz w:val="20"/>
          <w:szCs w:val="20"/>
        </w:rPr>
        <w:t xml:space="preserve">. </w:t>
      </w:r>
      <w:r w:rsidR="00B84801" w:rsidRPr="00B84801">
        <w:rPr>
          <w:rFonts w:ascii="Arial" w:hAnsi="Arial" w:cs="Arial"/>
          <w:sz w:val="20"/>
          <w:szCs w:val="20"/>
        </w:rPr>
        <w:t xml:space="preserve">En l’espèce, la circulaire prévoit l’exclusion de l’application de l’article L.15-1 du Code électoral, mentionnant que « </w:t>
      </w:r>
      <w:r w:rsidR="00B84801" w:rsidRPr="00031DAA">
        <w:rPr>
          <w:rFonts w:ascii="Arial" w:hAnsi="Arial" w:cs="Arial"/>
          <w:i/>
          <w:sz w:val="20"/>
          <w:szCs w:val="20"/>
        </w:rPr>
        <w:t>les citoyens qui ne peuvent fournir la preuve d’un domicile ou d’une résidence et auxquels la loi n’a pas fixé une commune de rattachement sont, sur leur demande, inscrits sur la liste électorale de la commune où est situé l’organisme d’accueil agrée dans les conditions prévues aux articles L.264-6 et L.264-7 du code de l’action sociale et des familles</w:t>
      </w:r>
      <w:r w:rsidR="00B84801" w:rsidRPr="00B84801">
        <w:rPr>
          <w:rFonts w:ascii="Arial" w:hAnsi="Arial" w:cs="Arial"/>
          <w:sz w:val="20"/>
          <w:szCs w:val="20"/>
        </w:rPr>
        <w:t xml:space="preserve"> », aux ressortissants européens eu égard au fait que l’article LO 227-3 du Code électoral, instauré par la loi organique n°98-204 du 25 mai 1998, transposant la directive susvisée, a été introduit antérieurement à l’entrée en vigueur de la loi n°2007-290 du 5 mars 2007, intégrant l’article L.15-1 relatif à l’inscription des personnes sans domicile fixe aux élections municipales. Il est patent de constater que, outre l’interprétation erronée qui est faite de la lecture de l’article LO 227-3 du Code électoral, une telle exclusion des citoyens </w:t>
      </w:r>
      <w:r w:rsidR="00B84801" w:rsidRPr="00B84801">
        <w:rPr>
          <w:rFonts w:ascii="Arial" w:hAnsi="Arial" w:cs="Arial"/>
          <w:sz w:val="20"/>
          <w:szCs w:val="20"/>
        </w:rPr>
        <w:lastRenderedPageBreak/>
        <w:t xml:space="preserve">européens aux élections municipales, se trouvant dans une situation de précarité, est constitutive d’une violation du principe de non-discrimination garanti, entre autres, par le droit communautaire. </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7</w:t>
      </w:r>
      <w:r w:rsidR="00F638FA">
        <w:rPr>
          <w:rFonts w:ascii="Arial" w:hAnsi="Arial" w:cs="Arial"/>
          <w:b/>
          <w:sz w:val="16"/>
          <w:szCs w:val="16"/>
        </w:rPr>
        <w:t>3</w:t>
      </w:r>
      <w:r>
        <w:rPr>
          <w:rFonts w:ascii="Arial" w:hAnsi="Arial" w:cs="Arial"/>
          <w:sz w:val="20"/>
          <w:szCs w:val="20"/>
        </w:rPr>
        <w:t xml:space="preserve">. </w:t>
      </w:r>
      <w:r w:rsidR="00B84801" w:rsidRPr="00B84801">
        <w:rPr>
          <w:rFonts w:ascii="Arial" w:hAnsi="Arial" w:cs="Arial"/>
          <w:sz w:val="20"/>
          <w:szCs w:val="20"/>
        </w:rPr>
        <w:t>De surcroît, eu égard au principe de légalité, il convient de rappeler que chaque norme juridique doit se conformer à l’ensemble des règles en vigueur ayant une force supérieure dans la hiérarchie des normes, ou du moins être compatible avec celles-ci et que la méconnaissance de ce principe est non seulement source de désordres juridiques, mais qu’ elle constitue également une faute de l’auteur du texte illégal, susceptible d’engager sa responsabilité. Par ailleurs, une loi fût-elle postérieure à une règle de droit européen ou international opposable ne peut méconnaître une telle règle.</w:t>
      </w:r>
    </w:p>
    <w:p w:rsidR="00B84801" w:rsidRPr="00B84801" w:rsidRDefault="00B84801" w:rsidP="00B84801">
      <w:pPr>
        <w:spacing w:after="0" w:line="240" w:lineRule="auto"/>
        <w:jc w:val="both"/>
        <w:rPr>
          <w:rFonts w:ascii="Arial" w:hAnsi="Arial" w:cs="Arial"/>
          <w:sz w:val="20"/>
          <w:szCs w:val="20"/>
        </w:rPr>
      </w:pPr>
    </w:p>
    <w:p w:rsidR="00B84801" w:rsidRPr="00B84801" w:rsidRDefault="00A25A84" w:rsidP="00B84801">
      <w:pPr>
        <w:spacing w:after="0" w:line="240" w:lineRule="auto"/>
        <w:jc w:val="both"/>
        <w:rPr>
          <w:rFonts w:ascii="Arial" w:hAnsi="Arial" w:cs="Arial"/>
          <w:sz w:val="20"/>
          <w:szCs w:val="20"/>
        </w:rPr>
      </w:pPr>
      <w:r w:rsidRPr="00A25A84">
        <w:rPr>
          <w:rFonts w:ascii="Arial" w:hAnsi="Arial" w:cs="Arial"/>
          <w:b/>
          <w:sz w:val="16"/>
          <w:szCs w:val="16"/>
        </w:rPr>
        <w:t>7</w:t>
      </w:r>
      <w:r w:rsidR="00F638FA">
        <w:rPr>
          <w:rFonts w:ascii="Arial" w:hAnsi="Arial" w:cs="Arial"/>
          <w:b/>
          <w:sz w:val="16"/>
          <w:szCs w:val="16"/>
        </w:rPr>
        <w:t>4</w:t>
      </w:r>
      <w:r>
        <w:rPr>
          <w:rFonts w:ascii="Arial" w:hAnsi="Arial" w:cs="Arial"/>
          <w:sz w:val="20"/>
          <w:szCs w:val="20"/>
        </w:rPr>
        <w:t xml:space="preserve">. </w:t>
      </w:r>
      <w:r w:rsidR="00B84801" w:rsidRPr="00B84801">
        <w:rPr>
          <w:rFonts w:ascii="Arial" w:hAnsi="Arial" w:cs="Arial"/>
          <w:sz w:val="20"/>
          <w:szCs w:val="20"/>
        </w:rPr>
        <w:t>Ainsi, le simple fait que l’introduction de l’article L.15-1 du Code électoral soit postérieure à la loi organique du 26 mai 1998, transposant la directive 19 décembre 1994, est sans incidence sur son application à l’ensemble des ressortissants européens dès lors que ces derniers répondent aux conditions posées pour l’inscription aux élections municipales, conditions identiques à celles exigées des ressortissants français.</w:t>
      </w:r>
    </w:p>
    <w:p w:rsidR="00B84801" w:rsidRPr="00B84801" w:rsidRDefault="00B84801" w:rsidP="00B84801">
      <w:pPr>
        <w:spacing w:after="0" w:line="240" w:lineRule="auto"/>
        <w:jc w:val="both"/>
        <w:rPr>
          <w:rFonts w:ascii="Arial" w:hAnsi="Arial" w:cs="Arial"/>
          <w:sz w:val="20"/>
          <w:szCs w:val="20"/>
        </w:rPr>
      </w:pPr>
    </w:p>
    <w:p w:rsidR="00B84801" w:rsidRDefault="00B84801" w:rsidP="00B84801">
      <w:pPr>
        <w:spacing w:after="0" w:line="240" w:lineRule="auto"/>
        <w:jc w:val="both"/>
        <w:rPr>
          <w:rFonts w:ascii="Arial" w:hAnsi="Arial" w:cs="Arial"/>
          <w:sz w:val="20"/>
          <w:szCs w:val="20"/>
        </w:rPr>
      </w:pPr>
    </w:p>
    <w:p w:rsidR="00031DAA" w:rsidRPr="00B84801" w:rsidRDefault="00031DAA"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sz w:val="20"/>
          <w:szCs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205"/>
      </w:tblGrid>
      <w:tr w:rsidR="00B84801" w:rsidRPr="00B84801" w:rsidTr="00FD1CC1">
        <w:tc>
          <w:tcPr>
            <w:tcW w:w="9205" w:type="dxa"/>
            <w:shd w:val="clear" w:color="auto" w:fill="D9D9D9" w:themeFill="background1" w:themeFillShade="D9"/>
          </w:tcPr>
          <w:p w:rsidR="00B84801" w:rsidRPr="002A2410" w:rsidRDefault="00031DAA" w:rsidP="002A2410">
            <w:pPr>
              <w:pStyle w:val="Titre2"/>
              <w:spacing w:before="0"/>
              <w:jc w:val="both"/>
              <w:outlineLvl w:val="1"/>
              <w:rPr>
                <w:rFonts w:ascii="Arial" w:hAnsi="Arial" w:cs="Arial"/>
                <w:smallCaps/>
                <w:sz w:val="20"/>
                <w:szCs w:val="20"/>
              </w:rPr>
            </w:pPr>
            <w:bookmarkStart w:id="58" w:name="_Toc282795918"/>
            <w:bookmarkStart w:id="59" w:name="_Toc413409289"/>
            <w:bookmarkStart w:id="60" w:name="_Toc415581579"/>
            <w:bookmarkStart w:id="61" w:name="_Toc420924112"/>
            <w:r w:rsidRPr="002A2410">
              <w:rPr>
                <w:rFonts w:ascii="Arial" w:hAnsi="Arial" w:cs="Arial"/>
                <w:smallCaps/>
                <w:color w:val="auto"/>
                <w:sz w:val="20"/>
                <w:szCs w:val="20"/>
              </w:rPr>
              <w:t>recommandations</w:t>
            </w:r>
            <w:bookmarkEnd w:id="58"/>
            <w:bookmarkEnd w:id="59"/>
            <w:bookmarkEnd w:id="60"/>
            <w:bookmarkEnd w:id="61"/>
          </w:p>
        </w:tc>
      </w:tr>
    </w:tbl>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spacing w:after="0" w:line="240" w:lineRule="auto"/>
        <w:jc w:val="both"/>
        <w:rPr>
          <w:rFonts w:ascii="Arial" w:hAnsi="Arial" w:cs="Arial"/>
          <w:sz w:val="20"/>
          <w:szCs w:val="20"/>
        </w:rPr>
      </w:pPr>
      <w:r w:rsidRPr="00B84801">
        <w:rPr>
          <w:rFonts w:ascii="Arial" w:hAnsi="Arial" w:cs="Arial"/>
          <w:sz w:val="20"/>
          <w:szCs w:val="20"/>
        </w:rPr>
        <w:t>La Ligue des droits de l’Homme demande aux autorités françaises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t>de veiller à ce que l’accès au droit commun des populations vivant en bidonville prime sur toute autre considération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t>l’arrêt immédiat des évacuations de bidonvilles sans que des solutions de relogement et d’accompagnement dignes, adaptés et pérennes soient proposées aux familles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t xml:space="preserve"> la mise en œuvre d’une stratégie de sensibilisation et de lutte contre un racisme « anti-rom », prégnant dans l’ensemble de la société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t>la mise en place de dispositifs effectifs de domiciliation pour les populations vivant en bidonville, condition préalable au panel des droits sociaux, garantis en France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t>de mettre fin aux obstacles persistants qui empêchent le respect effectif du droit à la scolarisation des enfants vivant en bidonville, scolarisation d’autant plus nécessaire qu’elle limite les risques encourus par une population jeune et rendue vulnérable par ses conditions de vie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t xml:space="preserve">la suppression, </w:t>
      </w:r>
      <w:r w:rsidR="00FE7953">
        <w:rPr>
          <w:rFonts w:ascii="Arial" w:hAnsi="Arial" w:cs="Arial"/>
          <w:sz w:val="20"/>
          <w:szCs w:val="20"/>
        </w:rPr>
        <w:t>comme le demande</w:t>
      </w:r>
      <w:r w:rsidRPr="00B84801">
        <w:rPr>
          <w:rFonts w:ascii="Arial" w:hAnsi="Arial" w:cs="Arial"/>
          <w:sz w:val="20"/>
          <w:szCs w:val="20"/>
        </w:rPr>
        <w:t xml:space="preserve"> la CNCDH</w:t>
      </w:r>
      <w:r w:rsidRPr="00B84801">
        <w:rPr>
          <w:rFonts w:ascii="Arial" w:hAnsi="Arial" w:cs="Arial"/>
          <w:b/>
          <w:sz w:val="20"/>
          <w:szCs w:val="20"/>
          <w:vertAlign w:val="superscript"/>
        </w:rPr>
        <w:footnoteReference w:id="25"/>
      </w:r>
      <w:r w:rsidRPr="00B84801">
        <w:rPr>
          <w:rFonts w:ascii="Arial" w:hAnsi="Arial" w:cs="Arial"/>
          <w:sz w:val="20"/>
          <w:szCs w:val="20"/>
        </w:rPr>
        <w:t>, des entraves à l’accès aux soins et aux prestations sociales entretenues par certains organismes sociaux ainsi que la systématisation des dispositifs de médiation sanitaire ;</w:t>
      </w:r>
    </w:p>
    <w:p w:rsidR="00B84801" w:rsidRPr="00B84801" w:rsidRDefault="00B84801" w:rsidP="00B84801">
      <w:pPr>
        <w:spacing w:after="0" w:line="240" w:lineRule="auto"/>
        <w:jc w:val="both"/>
        <w:rPr>
          <w:rFonts w:ascii="Arial" w:hAnsi="Arial" w:cs="Arial"/>
          <w:sz w:val="20"/>
          <w:szCs w:val="20"/>
        </w:rPr>
      </w:pPr>
    </w:p>
    <w:p w:rsidR="00B84801" w:rsidRPr="00B84801" w:rsidRDefault="00B84801" w:rsidP="00B84801">
      <w:pPr>
        <w:numPr>
          <w:ilvl w:val="0"/>
          <w:numId w:val="4"/>
        </w:numPr>
        <w:spacing w:after="0" w:line="240" w:lineRule="auto"/>
        <w:jc w:val="both"/>
        <w:rPr>
          <w:rFonts w:ascii="Arial" w:hAnsi="Arial" w:cs="Arial"/>
          <w:sz w:val="20"/>
          <w:szCs w:val="20"/>
        </w:rPr>
      </w:pPr>
      <w:r w:rsidRPr="00B84801">
        <w:rPr>
          <w:rFonts w:ascii="Arial" w:hAnsi="Arial" w:cs="Arial"/>
          <w:sz w:val="20"/>
          <w:szCs w:val="20"/>
        </w:rPr>
        <w:t>l’abrogation de la circulaire du 25 juillet 2013 relative à la révision et à la tenue des listes électorales et des listes électorales complémentaires, en ce qu’elle est constitutive d’une violation du principe de non-discrimination.</w:t>
      </w:r>
    </w:p>
    <w:p w:rsidR="00B84801" w:rsidRDefault="00B84801" w:rsidP="00B84801">
      <w:pPr>
        <w:spacing w:after="0" w:line="240" w:lineRule="auto"/>
        <w:jc w:val="both"/>
        <w:rPr>
          <w:rFonts w:ascii="Arial" w:hAnsi="Arial" w:cs="Arial"/>
          <w:sz w:val="20"/>
          <w:szCs w:val="20"/>
        </w:rPr>
      </w:pPr>
    </w:p>
    <w:p w:rsidR="00A86238" w:rsidRDefault="00A86238" w:rsidP="00B84801">
      <w:pPr>
        <w:spacing w:after="0" w:line="240" w:lineRule="auto"/>
        <w:jc w:val="both"/>
        <w:rPr>
          <w:rFonts w:ascii="Arial" w:hAnsi="Arial" w:cs="Arial"/>
          <w:sz w:val="20"/>
          <w:szCs w:val="20"/>
        </w:rPr>
      </w:pPr>
    </w:p>
    <w:p w:rsidR="00A86238" w:rsidRPr="00B84801" w:rsidRDefault="00A86238" w:rsidP="00B84801">
      <w:pPr>
        <w:spacing w:after="0" w:line="240" w:lineRule="auto"/>
        <w:jc w:val="both"/>
        <w:rPr>
          <w:rFonts w:ascii="Arial" w:hAnsi="Arial" w:cs="Arial"/>
          <w:sz w:val="20"/>
          <w:szCs w:val="20"/>
        </w:rPr>
      </w:pPr>
    </w:p>
    <w:p w:rsidR="005D4332" w:rsidRDefault="005D4332" w:rsidP="00835365">
      <w:pPr>
        <w:spacing w:after="0" w:line="240" w:lineRule="auto"/>
        <w:jc w:val="both"/>
        <w:rPr>
          <w:rFonts w:ascii="Arial" w:hAnsi="Arial" w:cs="Arial"/>
          <w:sz w:val="20"/>
          <w:szCs w:val="20"/>
        </w:rPr>
      </w:pPr>
    </w:p>
    <w:p w:rsidR="00086E7A" w:rsidRPr="00086E7A" w:rsidRDefault="00086E7A" w:rsidP="00086E7A">
      <w:pPr>
        <w:pStyle w:val="Titre1"/>
        <w:shd w:val="clear" w:color="auto" w:fill="BFBFBF" w:themeFill="background1" w:themeFillShade="BF"/>
        <w:spacing w:before="0" w:line="240" w:lineRule="auto"/>
        <w:jc w:val="both"/>
        <w:rPr>
          <w:rFonts w:ascii="Arial" w:hAnsi="Arial" w:cs="Arial"/>
          <w:smallCaps/>
          <w:color w:val="auto"/>
          <w:sz w:val="20"/>
          <w:szCs w:val="20"/>
        </w:rPr>
      </w:pPr>
      <w:bookmarkStart w:id="62" w:name="_Toc420924113"/>
      <w:r w:rsidRPr="00086E7A">
        <w:rPr>
          <w:rFonts w:ascii="Arial" w:hAnsi="Arial" w:cs="Arial"/>
          <w:smallCaps/>
          <w:color w:val="auto"/>
          <w:sz w:val="20"/>
          <w:szCs w:val="20"/>
        </w:rPr>
        <w:t>mesures de lutte contre le terrorisme</w:t>
      </w:r>
      <w:bookmarkEnd w:id="62"/>
    </w:p>
    <w:p w:rsidR="00086E7A" w:rsidRDefault="00086E7A" w:rsidP="00835365">
      <w:pPr>
        <w:spacing w:after="0" w:line="240" w:lineRule="auto"/>
        <w:jc w:val="both"/>
        <w:rPr>
          <w:rFonts w:ascii="Arial" w:hAnsi="Arial" w:cs="Arial"/>
          <w:sz w:val="20"/>
          <w:szCs w:val="20"/>
        </w:rPr>
      </w:pPr>
    </w:p>
    <w:p w:rsidR="00654174" w:rsidRDefault="00A25A84" w:rsidP="00835365">
      <w:pPr>
        <w:spacing w:after="0" w:line="240" w:lineRule="auto"/>
        <w:jc w:val="both"/>
        <w:rPr>
          <w:rFonts w:ascii="Arial" w:hAnsi="Arial" w:cs="Arial"/>
          <w:sz w:val="20"/>
          <w:szCs w:val="20"/>
        </w:rPr>
      </w:pPr>
      <w:r w:rsidRPr="00A25A84">
        <w:rPr>
          <w:rFonts w:ascii="Arial" w:hAnsi="Arial" w:cs="Arial"/>
          <w:b/>
          <w:sz w:val="16"/>
          <w:szCs w:val="16"/>
        </w:rPr>
        <w:t>7</w:t>
      </w:r>
      <w:r w:rsidR="00F638FA">
        <w:rPr>
          <w:rFonts w:ascii="Arial" w:hAnsi="Arial" w:cs="Arial"/>
          <w:b/>
          <w:sz w:val="16"/>
          <w:szCs w:val="16"/>
        </w:rPr>
        <w:t>5</w:t>
      </w:r>
      <w:r>
        <w:rPr>
          <w:rFonts w:ascii="Arial" w:hAnsi="Arial" w:cs="Arial"/>
          <w:sz w:val="20"/>
          <w:szCs w:val="20"/>
        </w:rPr>
        <w:t xml:space="preserve">. </w:t>
      </w:r>
      <w:r w:rsidR="00B36455">
        <w:rPr>
          <w:rFonts w:ascii="Arial" w:hAnsi="Arial" w:cs="Arial"/>
          <w:sz w:val="20"/>
          <w:szCs w:val="20"/>
        </w:rPr>
        <w:t>Votre Comité, dans le cadre de ses observations finales le 22 juillet 2008, particulièrement dans ses paragraphes 14 et 15, avait fait part de ses préoccupations en ce que le régime de la garde à vue en matière d’actes de terrorisme devait être conforme aux articles 9 e</w:t>
      </w:r>
      <w:r w:rsidR="00654174">
        <w:rPr>
          <w:rFonts w:ascii="Arial" w:hAnsi="Arial" w:cs="Arial"/>
          <w:sz w:val="20"/>
          <w:szCs w:val="20"/>
        </w:rPr>
        <w:t>t 14, paragraphe 3(g) du Pacte.</w:t>
      </w:r>
    </w:p>
    <w:p w:rsidR="00654174" w:rsidRDefault="00654174" w:rsidP="00835365">
      <w:pPr>
        <w:spacing w:after="0" w:line="240" w:lineRule="auto"/>
        <w:jc w:val="both"/>
        <w:rPr>
          <w:rFonts w:ascii="Arial" w:hAnsi="Arial" w:cs="Arial"/>
          <w:sz w:val="20"/>
          <w:szCs w:val="20"/>
        </w:rPr>
      </w:pPr>
    </w:p>
    <w:p w:rsidR="00086E7A" w:rsidRDefault="00A25A84" w:rsidP="00835365">
      <w:pPr>
        <w:spacing w:after="0" w:line="240" w:lineRule="auto"/>
        <w:jc w:val="both"/>
        <w:rPr>
          <w:rFonts w:ascii="Arial" w:hAnsi="Arial" w:cs="Arial"/>
          <w:sz w:val="20"/>
          <w:szCs w:val="20"/>
        </w:rPr>
      </w:pPr>
      <w:r w:rsidRPr="00A25A84">
        <w:rPr>
          <w:rFonts w:ascii="Arial" w:hAnsi="Arial" w:cs="Arial"/>
          <w:b/>
          <w:sz w:val="16"/>
          <w:szCs w:val="16"/>
        </w:rPr>
        <w:lastRenderedPageBreak/>
        <w:t>7</w:t>
      </w:r>
      <w:r w:rsidR="00F638FA">
        <w:rPr>
          <w:rFonts w:ascii="Arial" w:hAnsi="Arial" w:cs="Arial"/>
          <w:b/>
          <w:sz w:val="16"/>
          <w:szCs w:val="16"/>
        </w:rPr>
        <w:t>6</w:t>
      </w:r>
      <w:r>
        <w:rPr>
          <w:rFonts w:ascii="Arial" w:hAnsi="Arial" w:cs="Arial"/>
          <w:sz w:val="20"/>
          <w:szCs w:val="20"/>
        </w:rPr>
        <w:t xml:space="preserve">. </w:t>
      </w:r>
      <w:r w:rsidR="00B36455">
        <w:rPr>
          <w:rFonts w:ascii="Arial" w:hAnsi="Arial" w:cs="Arial"/>
          <w:sz w:val="20"/>
          <w:szCs w:val="20"/>
        </w:rPr>
        <w:t>La France a, en la matière, amorcé un tournant depuis le mois de novembre 2014 dans la lutte contre toute propagande terroriste et acte terroriste.</w:t>
      </w:r>
    </w:p>
    <w:p w:rsidR="00654174" w:rsidRDefault="00654174" w:rsidP="00835365">
      <w:pPr>
        <w:spacing w:after="0" w:line="240" w:lineRule="auto"/>
        <w:jc w:val="both"/>
        <w:rPr>
          <w:rFonts w:ascii="Arial" w:hAnsi="Arial" w:cs="Arial"/>
          <w:sz w:val="20"/>
          <w:szCs w:val="20"/>
        </w:rPr>
      </w:pPr>
    </w:p>
    <w:p w:rsidR="00654174" w:rsidRDefault="00A25A84" w:rsidP="00835365">
      <w:pPr>
        <w:spacing w:after="0" w:line="240" w:lineRule="auto"/>
        <w:jc w:val="both"/>
        <w:rPr>
          <w:rFonts w:ascii="Arial" w:hAnsi="Arial" w:cs="Arial"/>
          <w:sz w:val="20"/>
          <w:szCs w:val="20"/>
        </w:rPr>
      </w:pPr>
      <w:r w:rsidRPr="00A25A84">
        <w:rPr>
          <w:rFonts w:ascii="Arial" w:hAnsi="Arial" w:cs="Arial"/>
          <w:b/>
          <w:sz w:val="16"/>
          <w:szCs w:val="16"/>
        </w:rPr>
        <w:t>7</w:t>
      </w:r>
      <w:r w:rsidR="00F638FA">
        <w:rPr>
          <w:rFonts w:ascii="Arial" w:hAnsi="Arial" w:cs="Arial"/>
          <w:b/>
          <w:sz w:val="16"/>
          <w:szCs w:val="16"/>
        </w:rPr>
        <w:t>7</w:t>
      </w:r>
      <w:r>
        <w:rPr>
          <w:rFonts w:ascii="Arial" w:hAnsi="Arial" w:cs="Arial"/>
          <w:sz w:val="20"/>
          <w:szCs w:val="20"/>
        </w:rPr>
        <w:t xml:space="preserve">. </w:t>
      </w:r>
      <w:r w:rsidR="00654174">
        <w:rPr>
          <w:rFonts w:ascii="Arial" w:hAnsi="Arial" w:cs="Arial"/>
          <w:sz w:val="20"/>
          <w:szCs w:val="20"/>
        </w:rPr>
        <w:t xml:space="preserve">Dans son cinquième rapport périodique, les autorités françaises indiquent que les personnes soupçonnées de terrorisme demeurent placées en garde à vue pour une période initiale de </w:t>
      </w:r>
      <w:r w:rsidR="00A854BA">
        <w:rPr>
          <w:rFonts w:ascii="Arial" w:hAnsi="Arial" w:cs="Arial"/>
          <w:sz w:val="20"/>
          <w:szCs w:val="20"/>
        </w:rPr>
        <w:t>quatre</w:t>
      </w:r>
      <w:r w:rsidR="00654174">
        <w:rPr>
          <w:rFonts w:ascii="Arial" w:hAnsi="Arial" w:cs="Arial"/>
          <w:sz w:val="20"/>
          <w:szCs w:val="20"/>
        </w:rPr>
        <w:t xml:space="preserve"> jours</w:t>
      </w:r>
      <w:r w:rsidR="00A854BA">
        <w:rPr>
          <w:rFonts w:ascii="Arial" w:hAnsi="Arial" w:cs="Arial"/>
          <w:sz w:val="20"/>
          <w:szCs w:val="20"/>
        </w:rPr>
        <w:t xml:space="preserve"> avec une prolongation possible jusqu’à six jours. Les autorités évoquent également, aux paragraphes 191 à 193, la possibilité faite à un placé en garde à vue pour des faits de terrorisme de pouvoir être assisté d’un avocat dès le début de la garde à vue, conformément à la loi du 14 avril 2011. Toutefois, les autorités françaises omettent de préciser que cette loi ne supprime pas le fait que, pour des raisons impétueuses tenant au recueil ou à la conservation de preuves ou pour prévenir une atteinte aux personnes, l’accès à l’avocat peut tout de même être reporté pour un délai de 72 heures.</w:t>
      </w:r>
    </w:p>
    <w:p w:rsidR="00A854BA" w:rsidRDefault="00A854BA" w:rsidP="00835365">
      <w:pPr>
        <w:spacing w:after="0" w:line="240" w:lineRule="auto"/>
        <w:jc w:val="both"/>
        <w:rPr>
          <w:rFonts w:ascii="Arial" w:hAnsi="Arial" w:cs="Arial"/>
          <w:sz w:val="20"/>
          <w:szCs w:val="20"/>
        </w:rPr>
      </w:pPr>
    </w:p>
    <w:p w:rsidR="00A854BA" w:rsidRDefault="00A25A84" w:rsidP="00835365">
      <w:pPr>
        <w:spacing w:after="0" w:line="240" w:lineRule="auto"/>
        <w:jc w:val="both"/>
        <w:rPr>
          <w:rFonts w:ascii="Arial" w:hAnsi="Arial" w:cs="Arial"/>
          <w:sz w:val="20"/>
          <w:szCs w:val="20"/>
        </w:rPr>
      </w:pPr>
      <w:r w:rsidRPr="00A25A84">
        <w:rPr>
          <w:rFonts w:ascii="Arial" w:hAnsi="Arial" w:cs="Arial"/>
          <w:b/>
          <w:sz w:val="16"/>
          <w:szCs w:val="16"/>
        </w:rPr>
        <w:t>7</w:t>
      </w:r>
      <w:r w:rsidR="00F638FA">
        <w:rPr>
          <w:rFonts w:ascii="Arial" w:hAnsi="Arial" w:cs="Arial"/>
          <w:b/>
          <w:sz w:val="16"/>
          <w:szCs w:val="16"/>
        </w:rPr>
        <w:t>8</w:t>
      </w:r>
      <w:r>
        <w:rPr>
          <w:rFonts w:ascii="Arial" w:hAnsi="Arial" w:cs="Arial"/>
          <w:sz w:val="20"/>
          <w:szCs w:val="20"/>
        </w:rPr>
        <w:t xml:space="preserve">. </w:t>
      </w:r>
      <w:r w:rsidR="00A854BA">
        <w:rPr>
          <w:rFonts w:ascii="Arial" w:hAnsi="Arial" w:cs="Arial"/>
          <w:sz w:val="20"/>
          <w:szCs w:val="20"/>
        </w:rPr>
        <w:t xml:space="preserve">Suite aux actes terroristes des 7 et 9 janvier 2015, le gouvernement a annoncé une série de mesures afin de lutter efficacement contre le terrorisme. </w:t>
      </w:r>
      <w:r w:rsidR="00230860">
        <w:rPr>
          <w:rFonts w:ascii="Arial" w:hAnsi="Arial" w:cs="Arial"/>
          <w:sz w:val="20"/>
          <w:szCs w:val="20"/>
        </w:rPr>
        <w:t>La lutte contre le terrorisme ne doit pas se faire au détriment du respect du droit. Or, il apparaît que certaines mesures ainsi prises entrent en contradiction avec les dispositions du Pacte et les recommandations de votre Comité.</w:t>
      </w:r>
    </w:p>
    <w:p w:rsidR="00230860" w:rsidRDefault="00230860" w:rsidP="00835365">
      <w:pPr>
        <w:spacing w:after="0" w:line="240" w:lineRule="auto"/>
        <w:jc w:val="both"/>
        <w:rPr>
          <w:rFonts w:ascii="Arial" w:hAnsi="Arial" w:cs="Arial"/>
          <w:sz w:val="20"/>
          <w:szCs w:val="20"/>
        </w:rPr>
      </w:pPr>
    </w:p>
    <w:p w:rsidR="00230860" w:rsidRDefault="00230860" w:rsidP="00230860">
      <w:pPr>
        <w:pStyle w:val="Sous-titre"/>
        <w:spacing w:after="0" w:line="240" w:lineRule="auto"/>
        <w:jc w:val="both"/>
        <w:rPr>
          <w:rFonts w:ascii="Arial" w:eastAsiaTheme="minorHAnsi" w:hAnsi="Arial" w:cs="Arial"/>
          <w:i w:val="0"/>
          <w:iCs w:val="0"/>
          <w:color w:val="auto"/>
          <w:spacing w:val="0"/>
          <w:sz w:val="20"/>
          <w:szCs w:val="20"/>
        </w:rPr>
      </w:pPr>
    </w:p>
    <w:p w:rsidR="00230860" w:rsidRPr="003D3D4B" w:rsidRDefault="00230860" w:rsidP="00392CFB">
      <w:pPr>
        <w:pStyle w:val="Titre2"/>
        <w:numPr>
          <w:ilvl w:val="0"/>
          <w:numId w:val="16"/>
        </w:numPr>
        <w:spacing w:before="0" w:line="240" w:lineRule="auto"/>
        <w:jc w:val="both"/>
        <w:rPr>
          <w:rFonts w:ascii="Arial" w:hAnsi="Arial" w:cs="Arial"/>
          <w:b w:val="0"/>
          <w:sz w:val="20"/>
          <w:szCs w:val="20"/>
          <w:u w:val="single"/>
        </w:rPr>
      </w:pPr>
      <w:bookmarkStart w:id="63" w:name="_Toc420924114"/>
      <w:r w:rsidRPr="003D3D4B">
        <w:rPr>
          <w:rFonts w:ascii="Arial" w:hAnsi="Arial" w:cs="Arial"/>
          <w:b w:val="0"/>
          <w:color w:val="auto"/>
          <w:sz w:val="20"/>
          <w:szCs w:val="20"/>
          <w:u w:val="single"/>
        </w:rPr>
        <w:t>Provocation et apologie de terrorisme</w:t>
      </w:r>
      <w:bookmarkEnd w:id="63"/>
    </w:p>
    <w:p w:rsidR="00230860" w:rsidRDefault="00230860" w:rsidP="00230860">
      <w:pPr>
        <w:spacing w:after="0" w:line="240" w:lineRule="auto"/>
        <w:jc w:val="both"/>
        <w:rPr>
          <w:rFonts w:ascii="Arial" w:hAnsi="Arial" w:cs="Arial"/>
          <w:sz w:val="20"/>
          <w:szCs w:val="20"/>
        </w:rPr>
      </w:pPr>
    </w:p>
    <w:p w:rsidR="00230860" w:rsidRDefault="00A25A84" w:rsidP="00230860">
      <w:pPr>
        <w:spacing w:after="0" w:line="240" w:lineRule="auto"/>
        <w:jc w:val="both"/>
        <w:rPr>
          <w:rFonts w:ascii="Arial" w:hAnsi="Arial" w:cs="Arial"/>
          <w:sz w:val="20"/>
          <w:szCs w:val="20"/>
        </w:rPr>
      </w:pPr>
      <w:r w:rsidRPr="00A25A84">
        <w:rPr>
          <w:rFonts w:ascii="Arial" w:hAnsi="Arial" w:cs="Arial"/>
          <w:b/>
          <w:sz w:val="16"/>
          <w:szCs w:val="16"/>
        </w:rPr>
        <w:t>7</w:t>
      </w:r>
      <w:r w:rsidR="00F638FA">
        <w:rPr>
          <w:rFonts w:ascii="Arial" w:hAnsi="Arial" w:cs="Arial"/>
          <w:b/>
          <w:sz w:val="16"/>
          <w:szCs w:val="16"/>
        </w:rPr>
        <w:t>9</w:t>
      </w:r>
      <w:r>
        <w:rPr>
          <w:rFonts w:ascii="Arial" w:hAnsi="Arial" w:cs="Arial"/>
          <w:sz w:val="20"/>
          <w:szCs w:val="20"/>
        </w:rPr>
        <w:t xml:space="preserve">. </w:t>
      </w:r>
      <w:r w:rsidR="00230860">
        <w:rPr>
          <w:rFonts w:ascii="Arial" w:hAnsi="Arial" w:cs="Arial"/>
          <w:sz w:val="20"/>
          <w:szCs w:val="20"/>
        </w:rPr>
        <w:t>Une première mesure a été adoptée, avant les actes terroristes de janvier 2015, avec la loi du 13 novembre 2014 sur « </w:t>
      </w:r>
      <w:r w:rsidR="00230860" w:rsidRPr="00230860">
        <w:rPr>
          <w:rFonts w:ascii="Arial" w:hAnsi="Arial" w:cs="Arial"/>
          <w:i/>
          <w:sz w:val="20"/>
          <w:szCs w:val="20"/>
        </w:rPr>
        <w:t>la lutte contre le terrorisme</w:t>
      </w:r>
      <w:r w:rsidR="00230860">
        <w:rPr>
          <w:rFonts w:ascii="Arial" w:hAnsi="Arial" w:cs="Arial"/>
          <w:sz w:val="20"/>
          <w:szCs w:val="20"/>
        </w:rPr>
        <w:t> » qui, dans son article 14, a pénalisé le délit de provocation et d’apologie du terrorisme</w:t>
      </w:r>
      <w:r w:rsidR="00D4731E">
        <w:rPr>
          <w:rFonts w:ascii="Arial" w:hAnsi="Arial" w:cs="Arial"/>
          <w:sz w:val="20"/>
          <w:szCs w:val="20"/>
        </w:rPr>
        <w:t>, infraction anciennement sanctionnée par la loi du 29 juillet 1881 sur la liberté de la presse. Dès lors, les peines prévues sont de 5 ans de prison et 75 000€ d’amende, et de 7 ans de prison et 100 000 € d’amende pour des faits commis sur Internet.</w:t>
      </w:r>
      <w:r w:rsidR="00723F1B">
        <w:rPr>
          <w:rFonts w:ascii="Arial" w:hAnsi="Arial" w:cs="Arial"/>
          <w:sz w:val="20"/>
          <w:szCs w:val="20"/>
        </w:rPr>
        <w:t xml:space="preserve"> De plus, une condamnation de cette nature implique l’inscription de son auteur dans un fichier spécial de personnes condamnées pour faits de terrorisme.</w:t>
      </w:r>
    </w:p>
    <w:p w:rsidR="00D4731E" w:rsidRDefault="00D4731E" w:rsidP="00230860">
      <w:pPr>
        <w:spacing w:after="0" w:line="240" w:lineRule="auto"/>
        <w:jc w:val="both"/>
        <w:rPr>
          <w:rFonts w:ascii="Arial" w:hAnsi="Arial" w:cs="Arial"/>
          <w:sz w:val="20"/>
          <w:szCs w:val="20"/>
        </w:rPr>
      </w:pPr>
    </w:p>
    <w:p w:rsidR="00D4731E" w:rsidRDefault="00A25A84" w:rsidP="00230860">
      <w:pPr>
        <w:spacing w:after="0" w:line="240" w:lineRule="auto"/>
        <w:jc w:val="both"/>
        <w:rPr>
          <w:rFonts w:ascii="Arial" w:hAnsi="Arial" w:cs="Arial"/>
          <w:sz w:val="20"/>
          <w:szCs w:val="20"/>
        </w:rPr>
      </w:pPr>
      <w:r w:rsidRPr="00A25A84">
        <w:rPr>
          <w:rFonts w:ascii="Arial" w:hAnsi="Arial" w:cs="Arial"/>
          <w:b/>
          <w:sz w:val="16"/>
          <w:szCs w:val="16"/>
        </w:rPr>
        <w:t>8</w:t>
      </w:r>
      <w:r w:rsidR="00E10F2A">
        <w:rPr>
          <w:rFonts w:ascii="Arial" w:hAnsi="Arial" w:cs="Arial"/>
          <w:b/>
          <w:sz w:val="16"/>
          <w:szCs w:val="16"/>
        </w:rPr>
        <w:t>0</w:t>
      </w:r>
      <w:r>
        <w:rPr>
          <w:rFonts w:ascii="Arial" w:hAnsi="Arial" w:cs="Arial"/>
          <w:sz w:val="20"/>
          <w:szCs w:val="20"/>
        </w:rPr>
        <w:t xml:space="preserve">. </w:t>
      </w:r>
      <w:r w:rsidR="00D4731E">
        <w:rPr>
          <w:rFonts w:ascii="Arial" w:hAnsi="Arial" w:cs="Arial"/>
          <w:sz w:val="20"/>
          <w:szCs w:val="20"/>
        </w:rPr>
        <w:t>Le système dérogatoire de la garde à vue de 96 heures ne s’applique pas pour le délit de provocation et d’apologie de terrorisme, confirmé par la circulaire du 5 décembre 2014</w:t>
      </w:r>
      <w:r w:rsidR="00D4731E" w:rsidRPr="00D4731E">
        <w:rPr>
          <w:rStyle w:val="Appelnotedebasdep"/>
          <w:rFonts w:ascii="Arial" w:hAnsi="Arial" w:cs="Arial"/>
          <w:b/>
          <w:sz w:val="18"/>
          <w:szCs w:val="18"/>
        </w:rPr>
        <w:footnoteReference w:id="26"/>
      </w:r>
      <w:r w:rsidR="00D4731E">
        <w:rPr>
          <w:rFonts w:ascii="Arial" w:hAnsi="Arial" w:cs="Arial"/>
          <w:sz w:val="20"/>
          <w:szCs w:val="20"/>
        </w:rPr>
        <w:t>.</w:t>
      </w:r>
      <w:r w:rsidR="00723F1B">
        <w:rPr>
          <w:rFonts w:ascii="Arial" w:hAnsi="Arial" w:cs="Arial"/>
          <w:sz w:val="20"/>
          <w:szCs w:val="20"/>
        </w:rPr>
        <w:t xml:space="preserve"> En revanche, les faits de cette nature peuvent être jugés en comparution immédiate, une procédure que chacun s’accorde à considérer comme peu respectueuse des droits de la défense.</w:t>
      </w:r>
    </w:p>
    <w:p w:rsidR="00723F1B" w:rsidRDefault="00723F1B" w:rsidP="00230860">
      <w:pPr>
        <w:spacing w:after="0" w:line="240" w:lineRule="auto"/>
        <w:jc w:val="both"/>
        <w:rPr>
          <w:rFonts w:ascii="Arial" w:hAnsi="Arial" w:cs="Arial"/>
          <w:sz w:val="20"/>
          <w:szCs w:val="20"/>
        </w:rPr>
      </w:pPr>
    </w:p>
    <w:p w:rsidR="00723F1B" w:rsidRDefault="00723F1B" w:rsidP="00723F1B">
      <w:pPr>
        <w:spacing w:after="0" w:line="240" w:lineRule="auto"/>
        <w:jc w:val="both"/>
        <w:rPr>
          <w:rFonts w:ascii="Arial" w:hAnsi="Arial" w:cs="Arial"/>
          <w:sz w:val="20"/>
          <w:szCs w:val="20"/>
        </w:rPr>
      </w:pPr>
      <w:r w:rsidRPr="00723F1B">
        <w:rPr>
          <w:rFonts w:ascii="Arial" w:hAnsi="Arial" w:cs="Arial"/>
          <w:b/>
          <w:sz w:val="16"/>
          <w:szCs w:val="16"/>
        </w:rPr>
        <w:t>81</w:t>
      </w:r>
      <w:r>
        <w:rPr>
          <w:rFonts w:ascii="Arial" w:hAnsi="Arial" w:cs="Arial"/>
          <w:sz w:val="20"/>
          <w:szCs w:val="20"/>
        </w:rPr>
        <w:t>. Ce transfert de la répression de l’apologie du terrorisme de la loi sur la liberté de la presse au droit pénal commun constitue un sérieux danger pour la liberté d’opinion et d’expression et ouvre la voie à de dangereuses dérives.</w:t>
      </w:r>
    </w:p>
    <w:p w:rsidR="00723F1B" w:rsidRDefault="00723F1B" w:rsidP="00723F1B">
      <w:pPr>
        <w:spacing w:after="0" w:line="240" w:lineRule="auto"/>
        <w:jc w:val="both"/>
        <w:rPr>
          <w:rFonts w:ascii="Arial" w:hAnsi="Arial" w:cs="Arial"/>
          <w:sz w:val="20"/>
          <w:szCs w:val="20"/>
        </w:rPr>
      </w:pPr>
    </w:p>
    <w:p w:rsidR="00723F1B" w:rsidRDefault="00723F1B" w:rsidP="00723F1B">
      <w:pPr>
        <w:spacing w:after="0" w:line="240" w:lineRule="auto"/>
        <w:jc w:val="both"/>
        <w:rPr>
          <w:rFonts w:ascii="Arial" w:hAnsi="Arial" w:cs="Arial"/>
          <w:sz w:val="20"/>
          <w:szCs w:val="20"/>
        </w:rPr>
      </w:pPr>
      <w:r w:rsidRPr="00723F1B">
        <w:rPr>
          <w:rFonts w:ascii="Arial" w:hAnsi="Arial" w:cs="Arial"/>
          <w:b/>
          <w:sz w:val="16"/>
          <w:szCs w:val="16"/>
        </w:rPr>
        <w:t>82</w:t>
      </w:r>
      <w:r>
        <w:rPr>
          <w:rFonts w:ascii="Arial" w:hAnsi="Arial" w:cs="Arial"/>
          <w:sz w:val="20"/>
          <w:szCs w:val="20"/>
        </w:rPr>
        <w:t>. L’appréciation d’un tel délit relève, en effet, d’une limitation de la liberté d’expression et était jugé, jusqu’alors sous le régime protecteur de la loi de 1881 sur la liberté de la presse : courte prescription de trois mois, règles de procédure obligeant le Parquet à préciser les propos ou écrits en cause. Surtout s’agissant de l’expression d’une opinion, la loi de 1881 exigeait une publicité des propos, c’est-à-dire que les propos en cause devaient être volontairement destinés à être publiés et entendus ou lus par le public. Enfin, la pratique judiciaire avait réservé ce type de contentieux à des magistrats spécialisés et aguerris, y consacrant le temps nécessaire.</w:t>
      </w:r>
    </w:p>
    <w:p w:rsidR="00723F1B" w:rsidRDefault="00723F1B" w:rsidP="00723F1B">
      <w:pPr>
        <w:spacing w:after="0" w:line="240" w:lineRule="auto"/>
        <w:jc w:val="both"/>
        <w:rPr>
          <w:rFonts w:ascii="Arial" w:hAnsi="Arial" w:cs="Arial"/>
          <w:sz w:val="20"/>
          <w:szCs w:val="20"/>
        </w:rPr>
      </w:pPr>
    </w:p>
    <w:p w:rsidR="00723F1B" w:rsidRDefault="00723F1B" w:rsidP="00723F1B">
      <w:pPr>
        <w:spacing w:after="0" w:line="240" w:lineRule="auto"/>
        <w:jc w:val="both"/>
        <w:rPr>
          <w:rFonts w:ascii="Arial" w:hAnsi="Arial" w:cs="Arial"/>
          <w:sz w:val="20"/>
          <w:szCs w:val="20"/>
        </w:rPr>
      </w:pPr>
      <w:r w:rsidRPr="00723F1B">
        <w:rPr>
          <w:rFonts w:ascii="Arial" w:hAnsi="Arial" w:cs="Arial"/>
          <w:b/>
          <w:sz w:val="16"/>
          <w:szCs w:val="16"/>
        </w:rPr>
        <w:t>83.</w:t>
      </w:r>
      <w:r>
        <w:rPr>
          <w:rFonts w:ascii="Arial" w:hAnsi="Arial" w:cs="Arial"/>
          <w:sz w:val="20"/>
          <w:szCs w:val="20"/>
        </w:rPr>
        <w:t xml:space="preserve"> Il en résultait une jurisprudence prudente, ménageant le respect de la liberté d’expression et les exigences de l’ordre public, étant rappelé que la loi de 1881 permet déjà de sanctionner de tels faits par des peines d’emprisonnement fermes.</w:t>
      </w:r>
    </w:p>
    <w:p w:rsidR="00723F1B" w:rsidRDefault="00723F1B" w:rsidP="00230860">
      <w:pPr>
        <w:spacing w:after="0" w:line="240" w:lineRule="auto"/>
        <w:jc w:val="both"/>
        <w:rPr>
          <w:rFonts w:ascii="Arial" w:hAnsi="Arial" w:cs="Arial"/>
          <w:sz w:val="20"/>
          <w:szCs w:val="20"/>
        </w:rPr>
      </w:pPr>
    </w:p>
    <w:p w:rsidR="00D63E0D" w:rsidRDefault="00E10F2A" w:rsidP="00230860">
      <w:pPr>
        <w:spacing w:after="0" w:line="240" w:lineRule="auto"/>
        <w:jc w:val="both"/>
        <w:rPr>
          <w:rFonts w:ascii="Arial" w:hAnsi="Arial" w:cs="Arial"/>
          <w:sz w:val="20"/>
          <w:szCs w:val="20"/>
        </w:rPr>
      </w:pPr>
      <w:r>
        <w:rPr>
          <w:rFonts w:ascii="Arial" w:hAnsi="Arial" w:cs="Arial"/>
          <w:b/>
          <w:sz w:val="16"/>
          <w:szCs w:val="16"/>
        </w:rPr>
        <w:t>8</w:t>
      </w:r>
      <w:r w:rsidR="00723F1B">
        <w:rPr>
          <w:rFonts w:ascii="Arial" w:hAnsi="Arial" w:cs="Arial"/>
          <w:b/>
          <w:sz w:val="16"/>
          <w:szCs w:val="16"/>
        </w:rPr>
        <w:t>4</w:t>
      </w:r>
      <w:r w:rsidR="00A25A84">
        <w:rPr>
          <w:rFonts w:ascii="Arial" w:hAnsi="Arial" w:cs="Arial"/>
          <w:sz w:val="20"/>
          <w:szCs w:val="20"/>
        </w:rPr>
        <w:t xml:space="preserve">. </w:t>
      </w:r>
      <w:r w:rsidR="00D63E0D">
        <w:rPr>
          <w:rFonts w:ascii="Arial" w:hAnsi="Arial" w:cs="Arial"/>
          <w:sz w:val="20"/>
          <w:szCs w:val="20"/>
        </w:rPr>
        <w:t xml:space="preserve">Depuis l’adoption de la loi du 13 novembre 2014, près d’une trentaine de condamnations ont été prononcées et près de 70 procédures ont été engagées pour provocation ou apologie de terrorisme. </w:t>
      </w:r>
      <w:r w:rsidR="00723F1B">
        <w:rPr>
          <w:rFonts w:ascii="Arial" w:hAnsi="Arial" w:cs="Arial"/>
          <w:sz w:val="20"/>
          <w:szCs w:val="20"/>
        </w:rPr>
        <w:t>Elles ont été jugées, pour la plupart, en comparution immédiate, c’est-à-dire devant des juridictions non spécialisées, au milieu d’audiences habituellement encombrées et sans aucun souci de l’éventuelle publicité ou non des propos tenus. C</w:t>
      </w:r>
      <w:r w:rsidR="00D63E0D">
        <w:rPr>
          <w:rFonts w:ascii="Arial" w:hAnsi="Arial" w:cs="Arial"/>
          <w:sz w:val="20"/>
          <w:szCs w:val="20"/>
        </w:rPr>
        <w:t xml:space="preserve">ertains </w:t>
      </w:r>
      <w:r w:rsidR="00167942">
        <w:rPr>
          <w:rFonts w:ascii="Arial" w:hAnsi="Arial" w:cs="Arial"/>
          <w:sz w:val="20"/>
          <w:szCs w:val="20"/>
        </w:rPr>
        <w:t xml:space="preserve">des </w:t>
      </w:r>
      <w:r w:rsidR="00D63E0D">
        <w:rPr>
          <w:rFonts w:ascii="Arial" w:hAnsi="Arial" w:cs="Arial"/>
          <w:sz w:val="20"/>
          <w:szCs w:val="20"/>
        </w:rPr>
        <w:t xml:space="preserve">propos </w:t>
      </w:r>
      <w:r w:rsidR="00167942">
        <w:rPr>
          <w:rFonts w:ascii="Arial" w:hAnsi="Arial" w:cs="Arial"/>
          <w:sz w:val="20"/>
          <w:szCs w:val="20"/>
        </w:rPr>
        <w:t xml:space="preserve">reprochés </w:t>
      </w:r>
      <w:r w:rsidR="00D63E0D">
        <w:rPr>
          <w:rFonts w:ascii="Arial" w:hAnsi="Arial" w:cs="Arial"/>
          <w:sz w:val="20"/>
          <w:szCs w:val="20"/>
        </w:rPr>
        <w:t xml:space="preserve">ont été le fait de </w:t>
      </w:r>
      <w:r w:rsidR="00D63E0D">
        <w:rPr>
          <w:rFonts w:ascii="Arial" w:hAnsi="Arial" w:cs="Arial"/>
          <w:sz w:val="20"/>
          <w:szCs w:val="20"/>
        </w:rPr>
        <w:lastRenderedPageBreak/>
        <w:t>personnes qui se trouvaient dans des situations d’ivresse, cherchant à attirer l’attention sur elles, et particulièrement d’attirer l’attention des forces de l’ordre</w:t>
      </w:r>
      <w:r w:rsidR="00D63E0D" w:rsidRPr="00D63E0D">
        <w:rPr>
          <w:rStyle w:val="Appelnotedebasdep"/>
          <w:rFonts w:ascii="Arial" w:hAnsi="Arial" w:cs="Arial"/>
          <w:b/>
          <w:sz w:val="18"/>
          <w:szCs w:val="18"/>
        </w:rPr>
        <w:footnoteReference w:id="27"/>
      </w:r>
      <w:r w:rsidR="00D63E0D">
        <w:rPr>
          <w:rFonts w:ascii="Arial" w:hAnsi="Arial" w:cs="Arial"/>
          <w:sz w:val="20"/>
          <w:szCs w:val="20"/>
        </w:rPr>
        <w:t>.</w:t>
      </w:r>
    </w:p>
    <w:p w:rsidR="00D63E0D" w:rsidRDefault="00D63E0D" w:rsidP="00230860">
      <w:pPr>
        <w:spacing w:after="0" w:line="240" w:lineRule="auto"/>
        <w:jc w:val="both"/>
        <w:rPr>
          <w:rFonts w:ascii="Arial" w:hAnsi="Arial" w:cs="Arial"/>
          <w:sz w:val="20"/>
          <w:szCs w:val="20"/>
        </w:rPr>
      </w:pPr>
    </w:p>
    <w:p w:rsidR="00084FB1" w:rsidRDefault="00A25A84" w:rsidP="00230860">
      <w:pPr>
        <w:spacing w:after="0" w:line="240" w:lineRule="auto"/>
        <w:jc w:val="both"/>
        <w:rPr>
          <w:rFonts w:ascii="Arial" w:hAnsi="Arial" w:cs="Arial"/>
          <w:sz w:val="20"/>
          <w:szCs w:val="20"/>
        </w:rPr>
      </w:pPr>
      <w:r w:rsidRPr="00A25A84">
        <w:rPr>
          <w:rFonts w:ascii="Arial" w:hAnsi="Arial" w:cs="Arial"/>
          <w:b/>
          <w:sz w:val="16"/>
          <w:szCs w:val="16"/>
        </w:rPr>
        <w:t>8</w:t>
      </w:r>
      <w:r w:rsidR="00167942">
        <w:rPr>
          <w:rFonts w:ascii="Arial" w:hAnsi="Arial" w:cs="Arial"/>
          <w:b/>
          <w:sz w:val="16"/>
          <w:szCs w:val="16"/>
        </w:rPr>
        <w:t>5</w:t>
      </w:r>
      <w:r>
        <w:rPr>
          <w:rFonts w:ascii="Arial" w:hAnsi="Arial" w:cs="Arial"/>
          <w:sz w:val="20"/>
          <w:szCs w:val="20"/>
        </w:rPr>
        <w:t xml:space="preserve">. </w:t>
      </w:r>
      <w:r w:rsidR="00D63E0D">
        <w:rPr>
          <w:rFonts w:ascii="Arial" w:hAnsi="Arial" w:cs="Arial"/>
          <w:sz w:val="20"/>
          <w:szCs w:val="20"/>
        </w:rPr>
        <w:t>La plus lourde des condamnations</w:t>
      </w:r>
      <w:r w:rsidR="00084FB1">
        <w:rPr>
          <w:rFonts w:ascii="Arial" w:hAnsi="Arial" w:cs="Arial"/>
          <w:sz w:val="20"/>
          <w:szCs w:val="20"/>
        </w:rPr>
        <w:t xml:space="preserve"> a été de 4 ans de prison ferme pour un individu qui, s’adressant aux forces de l’ordre, avait clamé : « </w:t>
      </w:r>
      <w:r w:rsidR="00084FB1" w:rsidRPr="00084FB1">
        <w:rPr>
          <w:rFonts w:ascii="Arial" w:hAnsi="Arial" w:cs="Arial"/>
          <w:i/>
          <w:sz w:val="20"/>
          <w:szCs w:val="20"/>
        </w:rPr>
        <w:t xml:space="preserve">Il devrait y avoir plus de </w:t>
      </w:r>
      <w:proofErr w:type="spellStart"/>
      <w:r w:rsidR="00084FB1" w:rsidRPr="00084FB1">
        <w:rPr>
          <w:rFonts w:ascii="Arial" w:hAnsi="Arial" w:cs="Arial"/>
          <w:i/>
          <w:sz w:val="20"/>
          <w:szCs w:val="20"/>
        </w:rPr>
        <w:t>Kouachi</w:t>
      </w:r>
      <w:proofErr w:type="spellEnd"/>
      <w:r w:rsidR="00084FB1" w:rsidRPr="00084FB1">
        <w:rPr>
          <w:rFonts w:ascii="Arial" w:hAnsi="Arial" w:cs="Arial"/>
          <w:i/>
          <w:sz w:val="20"/>
          <w:szCs w:val="20"/>
        </w:rPr>
        <w:t>. J’espère que vous serez les prochains (…) vous êtes du pain béni pour les terroristes</w:t>
      </w:r>
      <w:r w:rsidR="00084FB1">
        <w:rPr>
          <w:rFonts w:ascii="Arial" w:hAnsi="Arial" w:cs="Arial"/>
          <w:sz w:val="20"/>
          <w:szCs w:val="20"/>
        </w:rPr>
        <w:t> ». L’intéressé avait été arrêté, après un accident de la circulation, en état d’ivresse.</w:t>
      </w:r>
    </w:p>
    <w:p w:rsidR="00084FB1" w:rsidRDefault="00084FB1" w:rsidP="00230860">
      <w:pPr>
        <w:spacing w:after="0" w:line="240" w:lineRule="auto"/>
        <w:jc w:val="both"/>
        <w:rPr>
          <w:rFonts w:ascii="Arial" w:hAnsi="Arial" w:cs="Arial"/>
          <w:sz w:val="20"/>
          <w:szCs w:val="20"/>
        </w:rPr>
      </w:pPr>
    </w:p>
    <w:p w:rsidR="00D63E0D" w:rsidRDefault="00A25A84" w:rsidP="00230860">
      <w:pPr>
        <w:spacing w:after="0" w:line="240" w:lineRule="auto"/>
        <w:jc w:val="both"/>
        <w:rPr>
          <w:rFonts w:ascii="Arial" w:hAnsi="Arial" w:cs="Arial"/>
          <w:sz w:val="20"/>
          <w:szCs w:val="20"/>
        </w:rPr>
      </w:pPr>
      <w:r w:rsidRPr="00A25A84">
        <w:rPr>
          <w:rFonts w:ascii="Arial" w:hAnsi="Arial" w:cs="Arial"/>
          <w:b/>
          <w:sz w:val="16"/>
          <w:szCs w:val="16"/>
        </w:rPr>
        <w:t>8</w:t>
      </w:r>
      <w:r w:rsidR="00167942">
        <w:rPr>
          <w:rFonts w:ascii="Arial" w:hAnsi="Arial" w:cs="Arial"/>
          <w:b/>
          <w:sz w:val="16"/>
          <w:szCs w:val="16"/>
        </w:rPr>
        <w:t>6</w:t>
      </w:r>
      <w:r>
        <w:rPr>
          <w:rFonts w:ascii="Arial" w:hAnsi="Arial" w:cs="Arial"/>
          <w:sz w:val="20"/>
          <w:szCs w:val="20"/>
        </w:rPr>
        <w:t xml:space="preserve">. </w:t>
      </w:r>
      <w:r w:rsidR="00167942">
        <w:rPr>
          <w:rFonts w:ascii="Arial" w:hAnsi="Arial" w:cs="Arial"/>
          <w:sz w:val="20"/>
          <w:szCs w:val="20"/>
        </w:rPr>
        <w:t>Cette extension du domaine pénal a eu d’autres conséquences. A</w:t>
      </w:r>
      <w:r w:rsidR="00084FB1">
        <w:rPr>
          <w:rFonts w:ascii="Arial" w:hAnsi="Arial" w:cs="Arial"/>
          <w:sz w:val="20"/>
          <w:szCs w:val="20"/>
        </w:rPr>
        <w:t>u mois de janvier 2015, un enseignant de philosophie a été suspendu à titre conservatoire et suspecté d’apologie d’acte terroriste au cours d’un débat qu’il animait dans sa classe. L’enquête pénale a, par la suite, révélé que les propos n’étaient pas constitutifs du délit d’apologie. L’enseignant n’a toujours pas été réintégré.</w:t>
      </w:r>
    </w:p>
    <w:p w:rsidR="00167942" w:rsidRDefault="00167942" w:rsidP="00230860">
      <w:pPr>
        <w:spacing w:after="0" w:line="240" w:lineRule="auto"/>
        <w:jc w:val="both"/>
        <w:rPr>
          <w:rFonts w:ascii="Arial" w:hAnsi="Arial" w:cs="Arial"/>
          <w:sz w:val="20"/>
          <w:szCs w:val="20"/>
        </w:rPr>
      </w:pPr>
    </w:p>
    <w:p w:rsidR="00167942" w:rsidRDefault="00167942" w:rsidP="00167942">
      <w:pPr>
        <w:spacing w:after="0" w:line="240" w:lineRule="auto"/>
        <w:jc w:val="both"/>
        <w:rPr>
          <w:rFonts w:ascii="Arial" w:hAnsi="Arial" w:cs="Arial"/>
          <w:sz w:val="20"/>
          <w:szCs w:val="20"/>
        </w:rPr>
      </w:pPr>
      <w:r w:rsidRPr="00167942">
        <w:rPr>
          <w:rFonts w:ascii="Arial" w:hAnsi="Arial" w:cs="Arial"/>
          <w:b/>
          <w:sz w:val="16"/>
          <w:szCs w:val="16"/>
        </w:rPr>
        <w:t>87</w:t>
      </w:r>
      <w:r>
        <w:rPr>
          <w:rFonts w:ascii="Arial" w:hAnsi="Arial" w:cs="Arial"/>
          <w:sz w:val="20"/>
          <w:szCs w:val="20"/>
        </w:rPr>
        <w:t>. Le renvoi d’un délit concernant la liberté d’expression au droit pénal commun pose un hypothèque inquiétante sur le respect de cette liberté et aboutit à affubler du terme de « terroriste » un simple ivrogne.</w:t>
      </w:r>
    </w:p>
    <w:p w:rsidR="00167942" w:rsidRDefault="00167942" w:rsidP="00167942">
      <w:pPr>
        <w:spacing w:after="0" w:line="240" w:lineRule="auto"/>
        <w:jc w:val="both"/>
        <w:rPr>
          <w:rFonts w:ascii="Arial" w:hAnsi="Arial" w:cs="Arial"/>
          <w:sz w:val="20"/>
          <w:szCs w:val="20"/>
        </w:rPr>
      </w:pPr>
    </w:p>
    <w:p w:rsidR="00167942" w:rsidRDefault="00167942" w:rsidP="00167942">
      <w:pPr>
        <w:spacing w:after="0" w:line="240" w:lineRule="auto"/>
        <w:jc w:val="both"/>
        <w:rPr>
          <w:rFonts w:ascii="Arial" w:hAnsi="Arial" w:cs="Arial"/>
          <w:sz w:val="20"/>
          <w:szCs w:val="20"/>
        </w:rPr>
      </w:pPr>
      <w:r w:rsidRPr="00167942">
        <w:rPr>
          <w:rFonts w:ascii="Arial" w:hAnsi="Arial" w:cs="Arial"/>
          <w:b/>
          <w:sz w:val="16"/>
          <w:szCs w:val="16"/>
        </w:rPr>
        <w:t>88</w:t>
      </w:r>
      <w:r>
        <w:rPr>
          <w:rFonts w:ascii="Arial" w:hAnsi="Arial" w:cs="Arial"/>
          <w:sz w:val="20"/>
          <w:szCs w:val="20"/>
        </w:rPr>
        <w:t>. Le gouvernement français a ainsi cédé au désir de montrer qu’il agissait contre le terrorisme alors que cette partie de la loi du 13 novembre 2014 ne répond pas à cette exigence tout en mettant en péril une des libertés essentielles.</w:t>
      </w:r>
    </w:p>
    <w:p w:rsidR="00AC4660" w:rsidRDefault="00AC4660" w:rsidP="00230860">
      <w:pPr>
        <w:spacing w:after="0" w:line="240" w:lineRule="auto"/>
        <w:jc w:val="both"/>
        <w:rPr>
          <w:rFonts w:ascii="Arial" w:hAnsi="Arial" w:cs="Arial"/>
          <w:sz w:val="20"/>
          <w:szCs w:val="20"/>
        </w:rPr>
      </w:pPr>
    </w:p>
    <w:p w:rsidR="00A96748" w:rsidRDefault="00A25A84" w:rsidP="00230860">
      <w:pPr>
        <w:spacing w:after="0" w:line="240" w:lineRule="auto"/>
        <w:jc w:val="both"/>
        <w:rPr>
          <w:rFonts w:ascii="Arial" w:hAnsi="Arial" w:cs="Arial"/>
          <w:sz w:val="20"/>
          <w:szCs w:val="20"/>
        </w:rPr>
      </w:pPr>
      <w:r w:rsidRPr="00A25A84">
        <w:rPr>
          <w:rFonts w:ascii="Arial" w:hAnsi="Arial" w:cs="Arial"/>
          <w:b/>
          <w:sz w:val="16"/>
          <w:szCs w:val="16"/>
        </w:rPr>
        <w:t>8</w:t>
      </w:r>
      <w:r w:rsidR="00167942">
        <w:rPr>
          <w:rFonts w:ascii="Arial" w:hAnsi="Arial" w:cs="Arial"/>
          <w:b/>
          <w:sz w:val="16"/>
          <w:szCs w:val="16"/>
        </w:rPr>
        <w:t>9</w:t>
      </w:r>
      <w:r>
        <w:rPr>
          <w:rFonts w:ascii="Arial" w:hAnsi="Arial" w:cs="Arial"/>
          <w:sz w:val="20"/>
          <w:szCs w:val="20"/>
        </w:rPr>
        <w:t xml:space="preserve">. </w:t>
      </w:r>
      <w:r w:rsidR="00690BCA">
        <w:rPr>
          <w:rFonts w:ascii="Arial" w:hAnsi="Arial" w:cs="Arial"/>
          <w:sz w:val="20"/>
          <w:szCs w:val="20"/>
        </w:rPr>
        <w:t>La loi du 13 novembre 2014 instaure également une interdiction administrative de sortie de territoire afin de répondre aux départs de ressortissants français vers des pays ayant une forte activité terroriste. Cette interdiction de six mois maximum est renouvelabl</w:t>
      </w:r>
      <w:r w:rsidR="00A96748">
        <w:rPr>
          <w:rFonts w:ascii="Arial" w:hAnsi="Arial" w:cs="Arial"/>
          <w:sz w:val="20"/>
          <w:szCs w:val="20"/>
        </w:rPr>
        <w:t>e. Elle entraîne l’invalidation du passeport et de la carte nationale d’identité. En contrepartie, un récépissé de six m</w:t>
      </w:r>
      <w:r>
        <w:rPr>
          <w:rFonts w:ascii="Arial" w:hAnsi="Arial" w:cs="Arial"/>
          <w:sz w:val="20"/>
          <w:szCs w:val="20"/>
        </w:rPr>
        <w:t>ois est remis aux intéressés.</w:t>
      </w:r>
      <w:r w:rsidR="00A96748">
        <w:rPr>
          <w:rFonts w:ascii="Arial" w:hAnsi="Arial" w:cs="Arial"/>
          <w:sz w:val="20"/>
          <w:szCs w:val="20"/>
        </w:rPr>
        <w:t xml:space="preserve"> La mesure d’interdiction de sortie de territoire est prise par le ministre de l’Intérieur. Elle peut être contestée devant les juridictions administratives. La mesure se base sur un principe de dangerosité et non de culpabilité. Il est patent que ces dispositions ne respectent pas le principe de la présomption d’innocence.</w:t>
      </w:r>
    </w:p>
    <w:p w:rsidR="00A96748" w:rsidRDefault="00A96748" w:rsidP="00230860">
      <w:pPr>
        <w:spacing w:after="0" w:line="240" w:lineRule="auto"/>
        <w:jc w:val="both"/>
        <w:rPr>
          <w:rFonts w:ascii="Arial" w:hAnsi="Arial" w:cs="Arial"/>
          <w:sz w:val="20"/>
          <w:szCs w:val="20"/>
        </w:rPr>
      </w:pPr>
    </w:p>
    <w:p w:rsidR="00CE5096" w:rsidRDefault="00167942" w:rsidP="00230860">
      <w:pPr>
        <w:spacing w:after="0" w:line="240" w:lineRule="auto"/>
        <w:jc w:val="both"/>
        <w:rPr>
          <w:rFonts w:ascii="Arial" w:hAnsi="Arial" w:cs="Arial"/>
          <w:sz w:val="20"/>
          <w:szCs w:val="20"/>
        </w:rPr>
      </w:pPr>
      <w:r>
        <w:rPr>
          <w:rFonts w:ascii="Arial" w:hAnsi="Arial" w:cs="Arial"/>
          <w:b/>
          <w:sz w:val="16"/>
          <w:szCs w:val="16"/>
        </w:rPr>
        <w:t>90</w:t>
      </w:r>
      <w:r w:rsidR="00A25A84">
        <w:rPr>
          <w:rFonts w:ascii="Arial" w:hAnsi="Arial" w:cs="Arial"/>
          <w:sz w:val="20"/>
          <w:szCs w:val="20"/>
        </w:rPr>
        <w:t xml:space="preserve">. </w:t>
      </w:r>
      <w:r w:rsidR="00A96748">
        <w:rPr>
          <w:rFonts w:ascii="Arial" w:hAnsi="Arial" w:cs="Arial"/>
          <w:sz w:val="20"/>
          <w:szCs w:val="20"/>
        </w:rPr>
        <w:t>Le législateur a aussi permis au ministre de l’Intérieur de prononcer une interdiction administrative d’entrée sur le territoire français à l’encontre de tout ressortissant étranger, n’ayant pas sa résidence en France, qui représente une grave menace à l’</w:t>
      </w:r>
      <w:r w:rsidR="00CE5096">
        <w:rPr>
          <w:rFonts w:ascii="Arial" w:hAnsi="Arial" w:cs="Arial"/>
          <w:sz w:val="20"/>
          <w:szCs w:val="20"/>
        </w:rPr>
        <w:t>ordre public.</w:t>
      </w:r>
    </w:p>
    <w:p w:rsidR="00167942" w:rsidRDefault="00167942" w:rsidP="00230860">
      <w:pPr>
        <w:spacing w:after="0" w:line="240" w:lineRule="auto"/>
        <w:jc w:val="both"/>
        <w:rPr>
          <w:rFonts w:ascii="Arial" w:hAnsi="Arial" w:cs="Arial"/>
          <w:sz w:val="20"/>
          <w:szCs w:val="20"/>
        </w:rPr>
      </w:pPr>
    </w:p>
    <w:p w:rsidR="00167942" w:rsidRDefault="00167942" w:rsidP="00167942">
      <w:pPr>
        <w:spacing w:after="0" w:line="240" w:lineRule="auto"/>
        <w:jc w:val="both"/>
        <w:rPr>
          <w:rFonts w:ascii="Arial" w:hAnsi="Arial" w:cs="Arial"/>
          <w:sz w:val="20"/>
          <w:szCs w:val="20"/>
        </w:rPr>
      </w:pPr>
      <w:r w:rsidRPr="00167942">
        <w:rPr>
          <w:rFonts w:ascii="Arial" w:hAnsi="Arial" w:cs="Arial"/>
          <w:b/>
          <w:sz w:val="16"/>
          <w:szCs w:val="16"/>
        </w:rPr>
        <w:t>91</w:t>
      </w:r>
      <w:r>
        <w:rPr>
          <w:rFonts w:ascii="Arial" w:hAnsi="Arial" w:cs="Arial"/>
          <w:sz w:val="20"/>
          <w:szCs w:val="20"/>
        </w:rPr>
        <w:t>. La loi du 13 novembre 2014 a entendu limiter les sites Internet appelant à des actes terroristes ou faisant l’apologie du terrorisme. L’autorité administrative peut, dès lors, demander à l’éditeur ou à l’hébergeur d’un site Internet de retirer les contenus dans un délai de vingt-quatre heures. Le fournisseur d’accès à Internet (FAI) en est informé. A défaut de retrait, l’autorité administrative peut demander aux FAI le blocage des sites Internet concernés. Au début de l’année 2015, le gouvernement français a annoncé le blocage administratif de 5 sites, accusés de provoquer « </w:t>
      </w:r>
      <w:r w:rsidRPr="008065FF">
        <w:rPr>
          <w:rFonts w:ascii="Arial" w:hAnsi="Arial" w:cs="Arial"/>
          <w:i/>
          <w:sz w:val="20"/>
          <w:szCs w:val="20"/>
        </w:rPr>
        <w:t>à des actes terroristes ou qui font publiquement l’apologie d’actes de terrorisme</w:t>
      </w:r>
      <w:r>
        <w:rPr>
          <w:rFonts w:ascii="Arial" w:hAnsi="Arial" w:cs="Arial"/>
          <w:sz w:val="20"/>
          <w:szCs w:val="20"/>
        </w:rPr>
        <w:t> ». Ces 5 sites avaient des profils variés (blogs, sites d’information).</w:t>
      </w:r>
    </w:p>
    <w:p w:rsidR="00167942" w:rsidRDefault="00167942" w:rsidP="00167942">
      <w:pPr>
        <w:spacing w:after="0" w:line="240" w:lineRule="auto"/>
        <w:jc w:val="both"/>
        <w:rPr>
          <w:rFonts w:ascii="Arial" w:hAnsi="Arial" w:cs="Arial"/>
          <w:sz w:val="20"/>
          <w:szCs w:val="20"/>
        </w:rPr>
      </w:pPr>
    </w:p>
    <w:p w:rsidR="00167942" w:rsidRDefault="00167942" w:rsidP="00167942">
      <w:pPr>
        <w:spacing w:after="0" w:line="240" w:lineRule="auto"/>
        <w:jc w:val="both"/>
        <w:rPr>
          <w:rFonts w:ascii="Arial" w:hAnsi="Arial" w:cs="Arial"/>
          <w:sz w:val="20"/>
          <w:szCs w:val="20"/>
        </w:rPr>
      </w:pPr>
      <w:r>
        <w:rPr>
          <w:rFonts w:ascii="Arial" w:hAnsi="Arial" w:cs="Arial"/>
          <w:b/>
          <w:sz w:val="16"/>
          <w:szCs w:val="16"/>
        </w:rPr>
        <w:t>92</w:t>
      </w:r>
      <w:r>
        <w:rPr>
          <w:rFonts w:ascii="Arial" w:hAnsi="Arial" w:cs="Arial"/>
          <w:sz w:val="20"/>
          <w:szCs w:val="20"/>
        </w:rPr>
        <w:t>. Toutefois, cette procédure a ses failles. Tout d’abord, il est apparu que certains sites ne faisaient que relayer des discours de leaders d’EI (Etat Islamique). En deuxième lieu, cela a permis aux sites visés, ouvertement djihadistes, d’être davantage connus et visités. En troisième lieu, les filiales des fournisseurs d’accès n’ont pas procédé aux blocages de ces sites, n’ayant pas été saisies par le gouvernement. Enfin, par d’autres moyens, il est possible de contourner le blocage mis en place.</w:t>
      </w:r>
    </w:p>
    <w:p w:rsidR="00167942" w:rsidRDefault="00167942" w:rsidP="00167942">
      <w:pPr>
        <w:spacing w:after="0" w:line="240" w:lineRule="auto"/>
        <w:jc w:val="both"/>
        <w:rPr>
          <w:rFonts w:ascii="Arial" w:hAnsi="Arial" w:cs="Arial"/>
          <w:sz w:val="20"/>
          <w:szCs w:val="20"/>
        </w:rPr>
      </w:pPr>
    </w:p>
    <w:p w:rsidR="00167942" w:rsidRDefault="00167942" w:rsidP="00167942">
      <w:pPr>
        <w:spacing w:after="0" w:line="240" w:lineRule="auto"/>
        <w:jc w:val="both"/>
        <w:rPr>
          <w:rFonts w:ascii="Arial" w:hAnsi="Arial" w:cs="Arial"/>
          <w:sz w:val="20"/>
          <w:szCs w:val="20"/>
        </w:rPr>
      </w:pPr>
      <w:r>
        <w:rPr>
          <w:rFonts w:ascii="Arial" w:hAnsi="Arial" w:cs="Arial"/>
          <w:b/>
          <w:sz w:val="16"/>
          <w:szCs w:val="16"/>
        </w:rPr>
        <w:t>93</w:t>
      </w:r>
      <w:r>
        <w:rPr>
          <w:rFonts w:ascii="Arial" w:hAnsi="Arial" w:cs="Arial"/>
          <w:sz w:val="20"/>
          <w:szCs w:val="20"/>
        </w:rPr>
        <w:t>. La loi sur le terrorisme a instauré la possibilité pour un agent ou officier de police judiciaire, agissant au cours d’une enquête ou sur commission rogatoire, de :</w:t>
      </w:r>
    </w:p>
    <w:p w:rsidR="00167942" w:rsidRDefault="00167942" w:rsidP="00167942">
      <w:pPr>
        <w:pStyle w:val="Paragraphedeliste"/>
        <w:numPr>
          <w:ilvl w:val="0"/>
          <w:numId w:val="4"/>
        </w:numPr>
        <w:spacing w:after="0" w:line="240" w:lineRule="auto"/>
        <w:jc w:val="both"/>
        <w:rPr>
          <w:rFonts w:ascii="Arial" w:hAnsi="Arial" w:cs="Arial"/>
          <w:sz w:val="20"/>
          <w:szCs w:val="20"/>
        </w:rPr>
      </w:pPr>
      <w:r>
        <w:rPr>
          <w:rFonts w:ascii="Arial" w:hAnsi="Arial" w:cs="Arial"/>
          <w:sz w:val="20"/>
          <w:szCs w:val="20"/>
        </w:rPr>
        <w:t>participer, sous pseudonyme, aux échanges électroniques ;</w:t>
      </w:r>
    </w:p>
    <w:p w:rsidR="00167942" w:rsidRDefault="00167942" w:rsidP="00167942">
      <w:pPr>
        <w:pStyle w:val="Paragraphedeliste"/>
        <w:numPr>
          <w:ilvl w:val="0"/>
          <w:numId w:val="4"/>
        </w:numPr>
        <w:spacing w:after="0" w:line="240" w:lineRule="auto"/>
        <w:jc w:val="both"/>
        <w:rPr>
          <w:rFonts w:ascii="Arial" w:hAnsi="Arial" w:cs="Arial"/>
          <w:sz w:val="20"/>
          <w:szCs w:val="20"/>
        </w:rPr>
      </w:pPr>
      <w:r>
        <w:rPr>
          <w:rFonts w:ascii="Arial" w:hAnsi="Arial" w:cs="Arial"/>
          <w:sz w:val="20"/>
          <w:szCs w:val="20"/>
        </w:rPr>
        <w:t>entrer en contact avec les personnes soupçonnées ;</w:t>
      </w:r>
    </w:p>
    <w:p w:rsidR="00167942" w:rsidRDefault="00167942" w:rsidP="00167942">
      <w:pPr>
        <w:pStyle w:val="Paragraphedeliste"/>
        <w:numPr>
          <w:ilvl w:val="0"/>
          <w:numId w:val="4"/>
        </w:numPr>
        <w:spacing w:after="0" w:line="240" w:lineRule="auto"/>
        <w:jc w:val="both"/>
        <w:rPr>
          <w:rFonts w:ascii="Arial" w:hAnsi="Arial" w:cs="Arial"/>
          <w:sz w:val="20"/>
          <w:szCs w:val="20"/>
        </w:rPr>
      </w:pPr>
      <w:r>
        <w:rPr>
          <w:rFonts w:ascii="Arial" w:hAnsi="Arial" w:cs="Arial"/>
          <w:sz w:val="20"/>
          <w:szCs w:val="20"/>
        </w:rPr>
        <w:t>extraire, acquérir ou conserver des preuves ou données et des contenus illicites.</w:t>
      </w:r>
    </w:p>
    <w:p w:rsidR="00167942" w:rsidRDefault="00167942" w:rsidP="00167942">
      <w:pPr>
        <w:spacing w:after="0" w:line="240" w:lineRule="auto"/>
        <w:jc w:val="both"/>
        <w:rPr>
          <w:rFonts w:ascii="Arial" w:hAnsi="Arial" w:cs="Arial"/>
          <w:sz w:val="20"/>
          <w:szCs w:val="20"/>
        </w:rPr>
      </w:pPr>
      <w:r>
        <w:rPr>
          <w:rFonts w:ascii="Arial" w:hAnsi="Arial" w:cs="Arial"/>
          <w:sz w:val="20"/>
          <w:szCs w:val="20"/>
        </w:rPr>
        <w:t>Et ce, sans être pénalement responsable.</w:t>
      </w:r>
    </w:p>
    <w:p w:rsidR="00167942" w:rsidRDefault="00167942" w:rsidP="00167942">
      <w:pPr>
        <w:spacing w:after="0" w:line="240" w:lineRule="auto"/>
        <w:jc w:val="both"/>
        <w:rPr>
          <w:rFonts w:ascii="Arial" w:hAnsi="Arial" w:cs="Arial"/>
          <w:sz w:val="20"/>
          <w:szCs w:val="20"/>
        </w:rPr>
      </w:pPr>
    </w:p>
    <w:p w:rsidR="00167942" w:rsidRDefault="00167942" w:rsidP="00167942">
      <w:pPr>
        <w:spacing w:after="0" w:line="240" w:lineRule="auto"/>
        <w:jc w:val="both"/>
        <w:rPr>
          <w:rFonts w:ascii="Arial" w:hAnsi="Arial" w:cs="Arial"/>
          <w:sz w:val="20"/>
          <w:szCs w:val="20"/>
        </w:rPr>
      </w:pPr>
      <w:r w:rsidRPr="00670352">
        <w:rPr>
          <w:rFonts w:ascii="Arial" w:hAnsi="Arial" w:cs="Arial"/>
          <w:b/>
          <w:sz w:val="16"/>
          <w:szCs w:val="16"/>
        </w:rPr>
        <w:lastRenderedPageBreak/>
        <w:t>9</w:t>
      </w:r>
      <w:r>
        <w:rPr>
          <w:rFonts w:ascii="Arial" w:hAnsi="Arial" w:cs="Arial"/>
          <w:b/>
          <w:sz w:val="16"/>
          <w:szCs w:val="16"/>
        </w:rPr>
        <w:t>4</w:t>
      </w:r>
      <w:r>
        <w:rPr>
          <w:rFonts w:ascii="Arial" w:hAnsi="Arial" w:cs="Arial"/>
          <w:sz w:val="20"/>
          <w:szCs w:val="20"/>
        </w:rPr>
        <w:t>. L’enquête sous pseudonyme, comme cela est le cas dans le domaine de la protection des mineurs et de la lutte contre la traite des êtres humains, permet aux enquêteurs d’interagir avec les personnes suspectées.</w:t>
      </w:r>
    </w:p>
    <w:p w:rsidR="00CE5096" w:rsidRDefault="00CE5096" w:rsidP="00230860">
      <w:pPr>
        <w:spacing w:after="0" w:line="240" w:lineRule="auto"/>
        <w:jc w:val="both"/>
        <w:rPr>
          <w:rFonts w:ascii="Arial" w:hAnsi="Arial" w:cs="Arial"/>
          <w:sz w:val="20"/>
          <w:szCs w:val="20"/>
        </w:rPr>
      </w:pPr>
    </w:p>
    <w:p w:rsidR="00CE5096" w:rsidRDefault="00167942" w:rsidP="00230860">
      <w:pPr>
        <w:spacing w:after="0" w:line="240" w:lineRule="auto"/>
        <w:jc w:val="both"/>
        <w:rPr>
          <w:rFonts w:ascii="Arial" w:hAnsi="Arial" w:cs="Arial"/>
          <w:sz w:val="20"/>
          <w:szCs w:val="20"/>
        </w:rPr>
      </w:pPr>
      <w:r>
        <w:rPr>
          <w:rFonts w:ascii="Arial" w:hAnsi="Arial" w:cs="Arial"/>
          <w:b/>
          <w:sz w:val="16"/>
          <w:szCs w:val="16"/>
        </w:rPr>
        <w:t>95</w:t>
      </w:r>
      <w:r w:rsidR="00A25A84">
        <w:rPr>
          <w:rFonts w:ascii="Arial" w:hAnsi="Arial" w:cs="Arial"/>
          <w:sz w:val="20"/>
          <w:szCs w:val="20"/>
        </w:rPr>
        <w:t xml:space="preserve">. </w:t>
      </w:r>
      <w:r w:rsidR="00CE5096">
        <w:rPr>
          <w:rFonts w:ascii="Arial" w:hAnsi="Arial" w:cs="Arial"/>
          <w:sz w:val="20"/>
          <w:szCs w:val="20"/>
        </w:rPr>
        <w:t>A cet arsenal, s’ajoute le délit « d’entreprise terroriste individuelle ».</w:t>
      </w:r>
      <w:r>
        <w:rPr>
          <w:rFonts w:ascii="Arial" w:hAnsi="Arial" w:cs="Arial"/>
          <w:sz w:val="20"/>
          <w:szCs w:val="20"/>
        </w:rPr>
        <w:t xml:space="preserve"> Bien que la législation anti-terroriste française soit déjà très complète, tant en ce qui concerne les incriminations pénales elles-mêmes qu’en ce qui concerne le dispositif procédural à la disposition de la police et de la justice, le législateur a étendu, sans réelle nécessité, l’incrimination « d’association de malfaiteurs en vue de commettre un acte terroriste » à l’action d’un seul individu.</w:t>
      </w:r>
    </w:p>
    <w:p w:rsidR="00577194" w:rsidRDefault="00577194" w:rsidP="00167942">
      <w:pPr>
        <w:spacing w:after="0" w:line="240" w:lineRule="auto"/>
        <w:jc w:val="both"/>
        <w:rPr>
          <w:rFonts w:ascii="Arial" w:hAnsi="Arial" w:cs="Arial"/>
          <w:sz w:val="20"/>
          <w:szCs w:val="20"/>
        </w:rPr>
      </w:pPr>
    </w:p>
    <w:p w:rsidR="00577194" w:rsidRDefault="00577194" w:rsidP="00577194">
      <w:pPr>
        <w:spacing w:after="0" w:line="240" w:lineRule="auto"/>
        <w:jc w:val="both"/>
        <w:rPr>
          <w:rFonts w:ascii="Arial" w:hAnsi="Arial" w:cs="Arial"/>
          <w:sz w:val="20"/>
          <w:szCs w:val="20"/>
        </w:rPr>
      </w:pPr>
    </w:p>
    <w:p w:rsidR="00D012D9" w:rsidRPr="00392CFB" w:rsidRDefault="00D012D9" w:rsidP="00392CFB">
      <w:pPr>
        <w:pStyle w:val="Titre2"/>
        <w:numPr>
          <w:ilvl w:val="0"/>
          <w:numId w:val="16"/>
        </w:numPr>
        <w:spacing w:before="0" w:line="240" w:lineRule="auto"/>
        <w:jc w:val="both"/>
        <w:rPr>
          <w:rFonts w:ascii="Arial" w:hAnsi="Arial" w:cs="Arial"/>
          <w:b w:val="0"/>
          <w:color w:val="auto"/>
          <w:sz w:val="20"/>
          <w:szCs w:val="20"/>
          <w:u w:val="single"/>
        </w:rPr>
      </w:pPr>
      <w:bookmarkStart w:id="64" w:name="_Toc420924115"/>
      <w:r w:rsidRPr="00392CFB">
        <w:rPr>
          <w:rFonts w:ascii="Arial" w:hAnsi="Arial" w:cs="Arial"/>
          <w:b w:val="0"/>
          <w:color w:val="auto"/>
          <w:sz w:val="20"/>
          <w:szCs w:val="20"/>
          <w:u w:val="single"/>
        </w:rPr>
        <w:t>Les mesures anti-terroristes du 21 janvier 2015</w:t>
      </w:r>
      <w:bookmarkEnd w:id="64"/>
    </w:p>
    <w:p w:rsidR="00D012D9" w:rsidRDefault="00D012D9" w:rsidP="00D012D9">
      <w:pPr>
        <w:spacing w:after="0" w:line="240" w:lineRule="auto"/>
        <w:jc w:val="both"/>
        <w:rPr>
          <w:rFonts w:ascii="Arial" w:hAnsi="Arial" w:cs="Arial"/>
          <w:sz w:val="20"/>
          <w:szCs w:val="20"/>
        </w:rPr>
      </w:pPr>
    </w:p>
    <w:p w:rsidR="00D012D9" w:rsidRDefault="00670352" w:rsidP="00D012D9">
      <w:pPr>
        <w:spacing w:after="0" w:line="240" w:lineRule="auto"/>
        <w:jc w:val="both"/>
        <w:rPr>
          <w:rFonts w:ascii="Arial" w:hAnsi="Arial" w:cs="Arial"/>
          <w:sz w:val="20"/>
          <w:szCs w:val="20"/>
        </w:rPr>
      </w:pPr>
      <w:r w:rsidRPr="00670352">
        <w:rPr>
          <w:rFonts w:ascii="Arial" w:hAnsi="Arial" w:cs="Arial"/>
          <w:b/>
          <w:sz w:val="16"/>
          <w:szCs w:val="16"/>
        </w:rPr>
        <w:t>9</w:t>
      </w:r>
      <w:r w:rsidR="00950988">
        <w:rPr>
          <w:rFonts w:ascii="Arial" w:hAnsi="Arial" w:cs="Arial"/>
          <w:b/>
          <w:sz w:val="16"/>
          <w:szCs w:val="16"/>
        </w:rPr>
        <w:t>6</w:t>
      </w:r>
      <w:r>
        <w:rPr>
          <w:rFonts w:ascii="Arial" w:hAnsi="Arial" w:cs="Arial"/>
          <w:sz w:val="20"/>
          <w:szCs w:val="20"/>
        </w:rPr>
        <w:t xml:space="preserve">. </w:t>
      </w:r>
      <w:r w:rsidR="00D012D9">
        <w:rPr>
          <w:rFonts w:ascii="Arial" w:hAnsi="Arial" w:cs="Arial"/>
          <w:sz w:val="20"/>
          <w:szCs w:val="20"/>
        </w:rPr>
        <w:t>Au lendemain des attaques terroristes à Paris, les autorités françaises ont annoncé un certain nombre de mesures. La première de ces mesures passe par un renforcement des moyens humains et matériels des services en charge de la lutte contre le terrorisme. Des crédits supplémentaires seront également accordés.</w:t>
      </w:r>
    </w:p>
    <w:p w:rsidR="00D012D9" w:rsidRPr="00D012D9" w:rsidRDefault="00D012D9" w:rsidP="00D012D9">
      <w:pPr>
        <w:spacing w:after="0" w:line="240" w:lineRule="auto"/>
        <w:jc w:val="both"/>
        <w:rPr>
          <w:rFonts w:ascii="Arial" w:hAnsi="Arial" w:cs="Arial"/>
          <w:sz w:val="20"/>
          <w:szCs w:val="20"/>
        </w:rPr>
      </w:pPr>
    </w:p>
    <w:p w:rsidR="00577194" w:rsidRDefault="00670352" w:rsidP="00577194">
      <w:pPr>
        <w:spacing w:after="0" w:line="240" w:lineRule="auto"/>
        <w:jc w:val="both"/>
        <w:rPr>
          <w:rFonts w:ascii="Arial" w:hAnsi="Arial" w:cs="Arial"/>
          <w:sz w:val="20"/>
          <w:szCs w:val="20"/>
        </w:rPr>
      </w:pPr>
      <w:r w:rsidRPr="00670352">
        <w:rPr>
          <w:rFonts w:ascii="Arial" w:hAnsi="Arial" w:cs="Arial"/>
          <w:b/>
          <w:sz w:val="16"/>
          <w:szCs w:val="16"/>
        </w:rPr>
        <w:t>9</w:t>
      </w:r>
      <w:r w:rsidR="00950988">
        <w:rPr>
          <w:rFonts w:ascii="Arial" w:hAnsi="Arial" w:cs="Arial"/>
          <w:b/>
          <w:sz w:val="16"/>
          <w:szCs w:val="16"/>
        </w:rPr>
        <w:t>7</w:t>
      </w:r>
      <w:r>
        <w:rPr>
          <w:rFonts w:ascii="Arial" w:hAnsi="Arial" w:cs="Arial"/>
          <w:sz w:val="20"/>
          <w:szCs w:val="20"/>
        </w:rPr>
        <w:t xml:space="preserve">. </w:t>
      </w:r>
      <w:r w:rsidR="00FD1CC1">
        <w:rPr>
          <w:rFonts w:ascii="Arial" w:hAnsi="Arial" w:cs="Arial"/>
          <w:sz w:val="20"/>
          <w:szCs w:val="20"/>
        </w:rPr>
        <w:t xml:space="preserve">Le 28 janvier 2015, un site Internet </w:t>
      </w:r>
      <w:r w:rsidR="006656BA">
        <w:rPr>
          <w:rFonts w:ascii="Arial" w:hAnsi="Arial" w:cs="Arial"/>
          <w:sz w:val="20"/>
          <w:szCs w:val="20"/>
        </w:rPr>
        <w:t>a été mis en place « </w:t>
      </w:r>
      <w:r w:rsidR="006656BA" w:rsidRPr="006656BA">
        <w:rPr>
          <w:rFonts w:ascii="Arial" w:hAnsi="Arial" w:cs="Arial"/>
          <w:i/>
          <w:sz w:val="20"/>
          <w:szCs w:val="20"/>
        </w:rPr>
        <w:t>pour informer le grand public sur les moyens de lutte contre l’embrigadement djihadiste, notamment les jeunes</w:t>
      </w:r>
      <w:r w:rsidR="006656BA">
        <w:rPr>
          <w:rFonts w:ascii="Arial" w:hAnsi="Arial" w:cs="Arial"/>
          <w:sz w:val="20"/>
          <w:szCs w:val="20"/>
        </w:rPr>
        <w:t> »</w:t>
      </w:r>
      <w:r w:rsidR="00761FD7" w:rsidRPr="00761FD7">
        <w:rPr>
          <w:rStyle w:val="Appelnotedebasdep"/>
          <w:rFonts w:ascii="Arial" w:hAnsi="Arial" w:cs="Arial"/>
          <w:b/>
          <w:sz w:val="18"/>
          <w:szCs w:val="18"/>
        </w:rPr>
        <w:footnoteReference w:id="28"/>
      </w:r>
      <w:r w:rsidR="006656BA">
        <w:rPr>
          <w:rFonts w:ascii="Arial" w:hAnsi="Arial" w:cs="Arial"/>
          <w:sz w:val="20"/>
          <w:szCs w:val="20"/>
        </w:rPr>
        <w:t>.</w:t>
      </w:r>
      <w:r w:rsidR="003C0595">
        <w:rPr>
          <w:rFonts w:ascii="Arial" w:hAnsi="Arial" w:cs="Arial"/>
          <w:sz w:val="20"/>
          <w:szCs w:val="20"/>
        </w:rPr>
        <w:t xml:space="preserve"> Si cet outil est important, il n’en demeure pas moins que certains critères de détection d’une dérive ne prennent pas en compte la complexité d’une radicalisation. Il est à rappeler que la France interdit le recensement des citoyens français selon leurs origines, leur race ou leur religion. Pourtant, les critères de détection de ce site désignent des comportements, des usages qui pourraient être interprétés comme « </w:t>
      </w:r>
      <w:r w:rsidR="00F27289">
        <w:rPr>
          <w:rFonts w:ascii="Arial" w:hAnsi="Arial" w:cs="Arial"/>
          <w:sz w:val="20"/>
          <w:szCs w:val="20"/>
        </w:rPr>
        <w:t>non français</w:t>
      </w:r>
      <w:r w:rsidR="003C0595">
        <w:rPr>
          <w:rFonts w:ascii="Arial" w:hAnsi="Arial" w:cs="Arial"/>
          <w:sz w:val="20"/>
          <w:szCs w:val="20"/>
        </w:rPr>
        <w:t> ».</w:t>
      </w:r>
    </w:p>
    <w:p w:rsidR="003C0595" w:rsidRDefault="003C0595" w:rsidP="00577194">
      <w:pPr>
        <w:spacing w:after="0" w:line="240" w:lineRule="auto"/>
        <w:jc w:val="both"/>
        <w:rPr>
          <w:rFonts w:ascii="Arial" w:hAnsi="Arial" w:cs="Arial"/>
          <w:sz w:val="20"/>
          <w:szCs w:val="20"/>
        </w:rPr>
      </w:pPr>
    </w:p>
    <w:p w:rsidR="003C0595" w:rsidRDefault="00670352" w:rsidP="00577194">
      <w:pPr>
        <w:spacing w:after="0" w:line="240" w:lineRule="auto"/>
        <w:jc w:val="both"/>
        <w:rPr>
          <w:rFonts w:ascii="Arial" w:hAnsi="Arial" w:cs="Arial"/>
          <w:sz w:val="20"/>
          <w:szCs w:val="20"/>
        </w:rPr>
      </w:pPr>
      <w:r w:rsidRPr="00670352">
        <w:rPr>
          <w:rFonts w:ascii="Arial" w:hAnsi="Arial" w:cs="Arial"/>
          <w:b/>
          <w:sz w:val="16"/>
          <w:szCs w:val="16"/>
        </w:rPr>
        <w:t>9</w:t>
      </w:r>
      <w:r w:rsidR="00950988">
        <w:rPr>
          <w:rFonts w:ascii="Arial" w:hAnsi="Arial" w:cs="Arial"/>
          <w:b/>
          <w:sz w:val="16"/>
          <w:szCs w:val="16"/>
        </w:rPr>
        <w:t>8</w:t>
      </w:r>
      <w:r>
        <w:rPr>
          <w:rFonts w:ascii="Arial" w:hAnsi="Arial" w:cs="Arial"/>
          <w:sz w:val="20"/>
          <w:szCs w:val="20"/>
        </w:rPr>
        <w:t xml:space="preserve">. </w:t>
      </w:r>
      <w:r w:rsidR="003C0595">
        <w:rPr>
          <w:rFonts w:ascii="Arial" w:hAnsi="Arial" w:cs="Arial"/>
          <w:sz w:val="20"/>
          <w:szCs w:val="20"/>
        </w:rPr>
        <w:t>Les autorités françaises ont également appelé à la création d’un fichier spécial des personnes « condamnées ou mises en cause » pour terrorisme, obligeant ces derniers à déclarer leur domicile, leur déplacement à l’étranger et à se soumettre à des obligations de contrôle. Ce fichier de recensement devrait être placé sous le contrôle d’un juge.</w:t>
      </w:r>
    </w:p>
    <w:p w:rsidR="003C0595" w:rsidRDefault="003C0595" w:rsidP="00577194">
      <w:pPr>
        <w:spacing w:after="0" w:line="240" w:lineRule="auto"/>
        <w:jc w:val="both"/>
        <w:rPr>
          <w:rFonts w:ascii="Arial" w:hAnsi="Arial" w:cs="Arial"/>
          <w:sz w:val="20"/>
          <w:szCs w:val="20"/>
        </w:rPr>
      </w:pPr>
    </w:p>
    <w:p w:rsidR="003C0595" w:rsidRDefault="0011119E" w:rsidP="00577194">
      <w:pPr>
        <w:spacing w:after="0" w:line="240" w:lineRule="auto"/>
        <w:jc w:val="both"/>
        <w:rPr>
          <w:rFonts w:ascii="Arial" w:hAnsi="Arial" w:cs="Arial"/>
          <w:sz w:val="20"/>
          <w:szCs w:val="20"/>
        </w:rPr>
      </w:pPr>
      <w:r w:rsidRPr="0011119E">
        <w:rPr>
          <w:rFonts w:ascii="Arial" w:hAnsi="Arial" w:cs="Arial"/>
          <w:b/>
          <w:sz w:val="16"/>
          <w:szCs w:val="16"/>
        </w:rPr>
        <w:t>9</w:t>
      </w:r>
      <w:r w:rsidR="00950988">
        <w:rPr>
          <w:rFonts w:ascii="Arial" w:hAnsi="Arial" w:cs="Arial"/>
          <w:b/>
          <w:sz w:val="16"/>
          <w:szCs w:val="16"/>
        </w:rPr>
        <w:t>9</w:t>
      </w:r>
      <w:r>
        <w:rPr>
          <w:rFonts w:ascii="Arial" w:hAnsi="Arial" w:cs="Arial"/>
          <w:sz w:val="20"/>
          <w:szCs w:val="20"/>
        </w:rPr>
        <w:t xml:space="preserve">. </w:t>
      </w:r>
      <w:r w:rsidR="00761FD7">
        <w:rPr>
          <w:rFonts w:ascii="Arial" w:hAnsi="Arial" w:cs="Arial"/>
          <w:sz w:val="20"/>
          <w:szCs w:val="20"/>
        </w:rPr>
        <w:t xml:space="preserve">La France va </w:t>
      </w:r>
      <w:r w:rsidR="001A43A9">
        <w:rPr>
          <w:rFonts w:ascii="Arial" w:hAnsi="Arial" w:cs="Arial"/>
          <w:sz w:val="20"/>
          <w:szCs w:val="20"/>
        </w:rPr>
        <w:t>instaurer le système « </w:t>
      </w:r>
      <w:proofErr w:type="spellStart"/>
      <w:r w:rsidR="001A43A9">
        <w:rPr>
          <w:rFonts w:ascii="Arial" w:hAnsi="Arial" w:cs="Arial"/>
          <w:sz w:val="20"/>
          <w:szCs w:val="20"/>
        </w:rPr>
        <w:t>Passenger</w:t>
      </w:r>
      <w:proofErr w:type="spellEnd"/>
      <w:r w:rsidR="001A43A9">
        <w:rPr>
          <w:rFonts w:ascii="Arial" w:hAnsi="Arial" w:cs="Arial"/>
          <w:sz w:val="20"/>
          <w:szCs w:val="20"/>
        </w:rPr>
        <w:t xml:space="preserve"> Name Record » (PNR), fichier de données des passagers aériens. Ce fichier a pour objectif de permettre une meilleure détection de possibles attaques terroristes dans les avions. Le fichier devrait être effectif en France à partir du mois de septembre 2015. Il est à </w:t>
      </w:r>
      <w:r w:rsidR="00BA7D7E">
        <w:rPr>
          <w:rFonts w:ascii="Arial" w:hAnsi="Arial" w:cs="Arial"/>
          <w:sz w:val="20"/>
          <w:szCs w:val="20"/>
        </w:rPr>
        <w:t>mentionn</w:t>
      </w:r>
      <w:r w:rsidR="001A43A9">
        <w:rPr>
          <w:rFonts w:ascii="Arial" w:hAnsi="Arial" w:cs="Arial"/>
          <w:sz w:val="20"/>
          <w:szCs w:val="20"/>
        </w:rPr>
        <w:t xml:space="preserve">er qu’un projet de loi relatif à la création d’un système d’échanges de données passagers en Europe est actuellement en discussion au Parlement européen. Toutefois, ce projet de loi est à l’arrêt car il fait l’objet de vifs débats. Ainsi, la Commission sur les libertés civiles a mis en avant les risques que comporte un tel texte pour les libertés individuelles. </w:t>
      </w:r>
      <w:r w:rsidR="00BA7D7E">
        <w:rPr>
          <w:rFonts w:ascii="Arial" w:hAnsi="Arial" w:cs="Arial"/>
          <w:sz w:val="20"/>
          <w:szCs w:val="20"/>
        </w:rPr>
        <w:t>Il doit être rappelé que le système PNR est constitué de 19 types de données dont, à titre d’exemple, les préférences de repas pendant un vol, les problèmes de santé, les adresses mail, le numéro de téléphone portable, la réservation d’hôtel ou de voiture.</w:t>
      </w:r>
    </w:p>
    <w:p w:rsidR="00BA7D7E" w:rsidRDefault="00BA7D7E" w:rsidP="00577194">
      <w:pPr>
        <w:spacing w:after="0" w:line="240" w:lineRule="auto"/>
        <w:jc w:val="both"/>
        <w:rPr>
          <w:rFonts w:ascii="Arial" w:hAnsi="Arial" w:cs="Arial"/>
          <w:sz w:val="20"/>
          <w:szCs w:val="20"/>
        </w:rPr>
      </w:pPr>
    </w:p>
    <w:p w:rsidR="00BA7D7E" w:rsidRDefault="00950988" w:rsidP="00577194">
      <w:pPr>
        <w:spacing w:after="0" w:line="240" w:lineRule="auto"/>
        <w:jc w:val="both"/>
        <w:rPr>
          <w:rFonts w:ascii="Arial" w:hAnsi="Arial" w:cs="Arial"/>
          <w:sz w:val="20"/>
          <w:szCs w:val="20"/>
        </w:rPr>
      </w:pPr>
      <w:r>
        <w:rPr>
          <w:rFonts w:ascii="Arial" w:hAnsi="Arial" w:cs="Arial"/>
          <w:b/>
          <w:sz w:val="16"/>
          <w:szCs w:val="16"/>
        </w:rPr>
        <w:t>100</w:t>
      </w:r>
      <w:r w:rsidR="0011119E">
        <w:rPr>
          <w:rFonts w:ascii="Arial" w:hAnsi="Arial" w:cs="Arial"/>
          <w:sz w:val="20"/>
          <w:szCs w:val="20"/>
        </w:rPr>
        <w:t xml:space="preserve">. </w:t>
      </w:r>
      <w:r w:rsidR="00F03E2F">
        <w:rPr>
          <w:rFonts w:ascii="Arial" w:hAnsi="Arial" w:cs="Arial"/>
          <w:sz w:val="20"/>
          <w:szCs w:val="20"/>
        </w:rPr>
        <w:t>Pour parfaire ce dispositif, le gouvernement français a annoncé que la surveillance des détenus « considérés comme radicalisés » se fera désormais dans des « quartiers spécifiques », d’ici à la fin de l’année 2015, au sein d’établissements pénitentiaires. De même, 60 aumôniers supplémentaires seront recrutés pour les cinq quartiers dédiés au regroupement des détenus radicalisés.</w:t>
      </w:r>
    </w:p>
    <w:p w:rsidR="00F03E2F" w:rsidRDefault="00F03E2F" w:rsidP="00577194">
      <w:pPr>
        <w:spacing w:after="0" w:line="240" w:lineRule="auto"/>
        <w:jc w:val="both"/>
        <w:rPr>
          <w:rFonts w:ascii="Arial" w:hAnsi="Arial" w:cs="Arial"/>
          <w:sz w:val="20"/>
          <w:szCs w:val="20"/>
        </w:rPr>
      </w:pPr>
    </w:p>
    <w:p w:rsidR="009A3EDB" w:rsidRPr="00392CFB" w:rsidRDefault="008C4039" w:rsidP="00392CFB">
      <w:pPr>
        <w:pStyle w:val="Titre2"/>
        <w:numPr>
          <w:ilvl w:val="0"/>
          <w:numId w:val="16"/>
        </w:numPr>
        <w:spacing w:before="0" w:line="240" w:lineRule="auto"/>
        <w:jc w:val="both"/>
        <w:rPr>
          <w:rFonts w:ascii="Arial" w:hAnsi="Arial" w:cs="Arial"/>
          <w:b w:val="0"/>
          <w:color w:val="auto"/>
          <w:sz w:val="20"/>
          <w:szCs w:val="20"/>
          <w:u w:val="single"/>
        </w:rPr>
      </w:pPr>
      <w:bookmarkStart w:id="65" w:name="_Toc420924116"/>
      <w:r w:rsidRPr="00392CFB">
        <w:rPr>
          <w:rFonts w:ascii="Arial" w:hAnsi="Arial" w:cs="Arial"/>
          <w:b w:val="0"/>
          <w:color w:val="auto"/>
          <w:sz w:val="20"/>
          <w:szCs w:val="20"/>
          <w:u w:val="single"/>
        </w:rPr>
        <w:t>La loi sur le renseignement</w:t>
      </w:r>
      <w:bookmarkEnd w:id="65"/>
    </w:p>
    <w:p w:rsidR="008C4039" w:rsidRDefault="008C4039" w:rsidP="00577194">
      <w:pPr>
        <w:spacing w:after="0" w:line="240" w:lineRule="auto"/>
        <w:jc w:val="both"/>
        <w:rPr>
          <w:rFonts w:ascii="Arial" w:hAnsi="Arial" w:cs="Arial"/>
          <w:sz w:val="20"/>
          <w:szCs w:val="20"/>
        </w:rPr>
      </w:pPr>
    </w:p>
    <w:p w:rsidR="00002028" w:rsidRDefault="00950988" w:rsidP="00577194">
      <w:pPr>
        <w:spacing w:after="0" w:line="240" w:lineRule="auto"/>
        <w:jc w:val="both"/>
        <w:rPr>
          <w:rFonts w:ascii="Arial" w:hAnsi="Arial" w:cs="Arial"/>
          <w:sz w:val="20"/>
          <w:szCs w:val="20"/>
        </w:rPr>
      </w:pPr>
      <w:r>
        <w:rPr>
          <w:rFonts w:ascii="Arial" w:hAnsi="Arial" w:cs="Arial"/>
          <w:b/>
          <w:sz w:val="16"/>
          <w:szCs w:val="16"/>
        </w:rPr>
        <w:t>101</w:t>
      </w:r>
      <w:r w:rsidR="006F4C7E">
        <w:rPr>
          <w:rFonts w:ascii="Arial" w:hAnsi="Arial" w:cs="Arial"/>
          <w:sz w:val="20"/>
          <w:szCs w:val="20"/>
        </w:rPr>
        <w:t xml:space="preserve">. </w:t>
      </w:r>
      <w:r w:rsidR="008C4039">
        <w:rPr>
          <w:rFonts w:ascii="Arial" w:hAnsi="Arial" w:cs="Arial"/>
          <w:sz w:val="20"/>
          <w:szCs w:val="20"/>
        </w:rPr>
        <w:t xml:space="preserve">Le </w:t>
      </w:r>
      <w:r w:rsidR="00565BE9">
        <w:rPr>
          <w:rFonts w:ascii="Arial" w:hAnsi="Arial" w:cs="Arial"/>
          <w:sz w:val="20"/>
          <w:szCs w:val="20"/>
        </w:rPr>
        <w:t xml:space="preserve">gouvernement français a adopté le </w:t>
      </w:r>
      <w:r w:rsidR="008C4039">
        <w:rPr>
          <w:rFonts w:ascii="Arial" w:hAnsi="Arial" w:cs="Arial"/>
          <w:sz w:val="20"/>
          <w:szCs w:val="20"/>
        </w:rPr>
        <w:t xml:space="preserve">19 mars 2015, </w:t>
      </w:r>
      <w:r w:rsidR="00017AA2">
        <w:rPr>
          <w:rFonts w:ascii="Arial" w:hAnsi="Arial" w:cs="Arial"/>
          <w:sz w:val="20"/>
          <w:szCs w:val="20"/>
        </w:rPr>
        <w:t xml:space="preserve">en Conseil des ministres, un projet de loi </w:t>
      </w:r>
      <w:r w:rsidR="00017AA2" w:rsidRPr="00017AA2">
        <w:rPr>
          <w:rFonts w:ascii="Arial" w:hAnsi="Arial" w:cs="Arial"/>
          <w:i/>
          <w:sz w:val="20"/>
          <w:szCs w:val="20"/>
        </w:rPr>
        <w:t>relatif au renseignement</w:t>
      </w:r>
      <w:r w:rsidR="00017AA2">
        <w:rPr>
          <w:rFonts w:ascii="Arial" w:hAnsi="Arial" w:cs="Arial"/>
          <w:sz w:val="20"/>
          <w:szCs w:val="20"/>
        </w:rPr>
        <w:t>. Ce projet de loi fait suite à l’entrée en vigueur de la loi du 13 novembre 2014</w:t>
      </w:r>
      <w:r w:rsidR="00C95EE9" w:rsidRPr="001B02E1">
        <w:rPr>
          <w:rStyle w:val="Appelnotedebasdep"/>
          <w:rFonts w:ascii="Arial" w:hAnsi="Arial" w:cs="Arial"/>
          <w:b/>
          <w:sz w:val="18"/>
          <w:szCs w:val="18"/>
        </w:rPr>
        <w:footnoteReference w:id="29"/>
      </w:r>
      <w:r w:rsidR="001B02E1">
        <w:rPr>
          <w:rFonts w:ascii="Arial" w:hAnsi="Arial" w:cs="Arial"/>
          <w:sz w:val="20"/>
          <w:szCs w:val="20"/>
        </w:rPr>
        <w:t xml:space="preserve"> suite à l’affaire </w:t>
      </w:r>
      <w:proofErr w:type="spellStart"/>
      <w:r w:rsidR="001B02E1">
        <w:rPr>
          <w:rFonts w:ascii="Arial" w:hAnsi="Arial" w:cs="Arial"/>
          <w:sz w:val="20"/>
          <w:szCs w:val="20"/>
        </w:rPr>
        <w:t>Nemmouche</w:t>
      </w:r>
      <w:proofErr w:type="spellEnd"/>
      <w:r w:rsidR="001B02E1">
        <w:rPr>
          <w:rFonts w:ascii="Arial" w:hAnsi="Arial" w:cs="Arial"/>
          <w:sz w:val="20"/>
          <w:szCs w:val="20"/>
        </w:rPr>
        <w:t xml:space="preserve">, et à deux autres lois suite à l’affaire </w:t>
      </w:r>
      <w:proofErr w:type="spellStart"/>
      <w:r w:rsidR="001B02E1">
        <w:rPr>
          <w:rFonts w:ascii="Arial" w:hAnsi="Arial" w:cs="Arial"/>
          <w:sz w:val="20"/>
          <w:szCs w:val="20"/>
        </w:rPr>
        <w:t>Merah</w:t>
      </w:r>
      <w:proofErr w:type="spellEnd"/>
      <w:r w:rsidR="001B02E1">
        <w:rPr>
          <w:rFonts w:ascii="Arial" w:hAnsi="Arial" w:cs="Arial"/>
          <w:sz w:val="20"/>
          <w:szCs w:val="20"/>
        </w:rPr>
        <w:t xml:space="preserve"> : la loi n° 2012-1432 du 21 décembre 2012 sur la </w:t>
      </w:r>
      <w:r w:rsidR="001B02E1" w:rsidRPr="001B02E1">
        <w:rPr>
          <w:rFonts w:ascii="Arial" w:hAnsi="Arial" w:cs="Arial"/>
          <w:i/>
          <w:sz w:val="20"/>
          <w:szCs w:val="20"/>
        </w:rPr>
        <w:t>Sécurité et la lutte contre le terrorisme</w:t>
      </w:r>
      <w:r w:rsidR="001B02E1">
        <w:rPr>
          <w:rFonts w:ascii="Arial" w:hAnsi="Arial" w:cs="Arial"/>
          <w:sz w:val="20"/>
          <w:szCs w:val="20"/>
        </w:rPr>
        <w:t xml:space="preserve"> et la loi n° 2013-1168 du 18 décembre 2013 </w:t>
      </w:r>
      <w:r w:rsidR="001B02E1" w:rsidRPr="001B02E1">
        <w:rPr>
          <w:rFonts w:ascii="Arial" w:hAnsi="Arial" w:cs="Arial"/>
          <w:i/>
          <w:sz w:val="20"/>
          <w:szCs w:val="20"/>
        </w:rPr>
        <w:t>relative à la programmation militaire pour les années 2014 à 2019 et portant diverses dispositions concernant la défense et la sécurité nationale</w:t>
      </w:r>
      <w:r w:rsidR="001B02E1">
        <w:rPr>
          <w:rFonts w:ascii="Arial" w:hAnsi="Arial" w:cs="Arial"/>
          <w:sz w:val="20"/>
          <w:szCs w:val="20"/>
        </w:rPr>
        <w:t>, qui contenait déjà des dispositions relatives au renseignement.</w:t>
      </w:r>
    </w:p>
    <w:p w:rsidR="001B02E1" w:rsidRDefault="001B02E1" w:rsidP="00577194">
      <w:pPr>
        <w:spacing w:after="0" w:line="240" w:lineRule="auto"/>
        <w:jc w:val="both"/>
        <w:rPr>
          <w:rFonts w:ascii="Arial" w:hAnsi="Arial" w:cs="Arial"/>
          <w:sz w:val="20"/>
          <w:szCs w:val="20"/>
        </w:rPr>
      </w:pPr>
    </w:p>
    <w:p w:rsidR="001B02E1" w:rsidRDefault="00950988" w:rsidP="00577194">
      <w:pPr>
        <w:spacing w:after="0" w:line="240" w:lineRule="auto"/>
        <w:jc w:val="both"/>
        <w:rPr>
          <w:rFonts w:ascii="Arial" w:hAnsi="Arial" w:cs="Arial"/>
          <w:sz w:val="20"/>
          <w:szCs w:val="20"/>
        </w:rPr>
      </w:pPr>
      <w:r>
        <w:rPr>
          <w:rFonts w:ascii="Arial" w:hAnsi="Arial" w:cs="Arial"/>
          <w:b/>
          <w:sz w:val="16"/>
          <w:szCs w:val="16"/>
        </w:rPr>
        <w:t>102</w:t>
      </w:r>
      <w:r w:rsidR="006F4C7E">
        <w:rPr>
          <w:rFonts w:ascii="Arial" w:hAnsi="Arial" w:cs="Arial"/>
          <w:sz w:val="20"/>
          <w:szCs w:val="20"/>
        </w:rPr>
        <w:t xml:space="preserve">. </w:t>
      </w:r>
      <w:r w:rsidR="001B02E1">
        <w:rPr>
          <w:rFonts w:ascii="Arial" w:hAnsi="Arial" w:cs="Arial"/>
          <w:sz w:val="20"/>
          <w:szCs w:val="20"/>
        </w:rPr>
        <w:t>Le présent projet de loi a été soumis au Parlement en procédure accélérée</w:t>
      </w:r>
      <w:r w:rsidR="00CF77E0">
        <w:rPr>
          <w:rFonts w:ascii="Arial" w:hAnsi="Arial" w:cs="Arial"/>
          <w:sz w:val="20"/>
          <w:szCs w:val="20"/>
        </w:rPr>
        <w:t>. L</w:t>
      </w:r>
      <w:r w:rsidR="00400292">
        <w:rPr>
          <w:rFonts w:ascii="Arial" w:hAnsi="Arial" w:cs="Arial"/>
          <w:sz w:val="20"/>
          <w:szCs w:val="20"/>
        </w:rPr>
        <w:t xml:space="preserve">’étude d’impact </w:t>
      </w:r>
      <w:r w:rsidR="00CF77E0">
        <w:rPr>
          <w:rFonts w:ascii="Arial" w:hAnsi="Arial" w:cs="Arial"/>
          <w:sz w:val="20"/>
          <w:szCs w:val="20"/>
        </w:rPr>
        <w:t>qui l’</w:t>
      </w:r>
      <w:r w:rsidR="00400292">
        <w:rPr>
          <w:rFonts w:ascii="Arial" w:hAnsi="Arial" w:cs="Arial"/>
          <w:sz w:val="20"/>
          <w:szCs w:val="20"/>
        </w:rPr>
        <w:t>accompagn</w:t>
      </w:r>
      <w:r w:rsidR="00CF77E0">
        <w:rPr>
          <w:rFonts w:ascii="Arial" w:hAnsi="Arial" w:cs="Arial"/>
          <w:sz w:val="20"/>
          <w:szCs w:val="20"/>
        </w:rPr>
        <w:t>e</w:t>
      </w:r>
      <w:r w:rsidR="00400292">
        <w:rPr>
          <w:rFonts w:ascii="Arial" w:hAnsi="Arial" w:cs="Arial"/>
          <w:sz w:val="20"/>
          <w:szCs w:val="20"/>
        </w:rPr>
        <w:t xml:space="preserve"> est très imprécis</w:t>
      </w:r>
      <w:r w:rsidR="00CF77E0">
        <w:rPr>
          <w:rFonts w:ascii="Arial" w:hAnsi="Arial" w:cs="Arial"/>
          <w:sz w:val="20"/>
          <w:szCs w:val="20"/>
        </w:rPr>
        <w:t>e</w:t>
      </w:r>
      <w:r w:rsidR="00400292">
        <w:rPr>
          <w:rFonts w:ascii="Arial" w:hAnsi="Arial" w:cs="Arial"/>
          <w:sz w:val="20"/>
          <w:szCs w:val="20"/>
        </w:rPr>
        <w:t xml:space="preserve">, </w:t>
      </w:r>
      <w:r w:rsidR="00AF21DB">
        <w:rPr>
          <w:rFonts w:ascii="Arial" w:hAnsi="Arial" w:cs="Arial"/>
          <w:sz w:val="20"/>
          <w:szCs w:val="20"/>
        </w:rPr>
        <w:t>particulièrement</w:t>
      </w:r>
      <w:r w:rsidR="00400292">
        <w:rPr>
          <w:rFonts w:ascii="Arial" w:hAnsi="Arial" w:cs="Arial"/>
          <w:sz w:val="20"/>
          <w:szCs w:val="20"/>
        </w:rPr>
        <w:t xml:space="preserve"> sur l’allongement des durées de conservation des données de connexion et des enregistrements des correspondances, sur les algorithmes, sur les coûts induits par la mise en œuvre des dispositifs, etc.</w:t>
      </w:r>
    </w:p>
    <w:p w:rsidR="00EA020B" w:rsidRDefault="00EA020B" w:rsidP="00577194">
      <w:pPr>
        <w:spacing w:after="0" w:line="240" w:lineRule="auto"/>
        <w:jc w:val="both"/>
        <w:rPr>
          <w:rFonts w:ascii="Arial" w:hAnsi="Arial" w:cs="Arial"/>
          <w:sz w:val="20"/>
          <w:szCs w:val="20"/>
        </w:rPr>
      </w:pPr>
    </w:p>
    <w:p w:rsidR="004E40DD" w:rsidRDefault="00950988" w:rsidP="00577194">
      <w:pPr>
        <w:spacing w:after="0" w:line="240" w:lineRule="auto"/>
        <w:jc w:val="both"/>
        <w:rPr>
          <w:rFonts w:ascii="Arial" w:hAnsi="Arial" w:cs="Arial"/>
          <w:sz w:val="20"/>
          <w:szCs w:val="20"/>
        </w:rPr>
      </w:pPr>
      <w:r>
        <w:rPr>
          <w:rFonts w:ascii="Arial" w:hAnsi="Arial" w:cs="Arial"/>
          <w:b/>
          <w:sz w:val="16"/>
          <w:szCs w:val="16"/>
        </w:rPr>
        <w:t>103</w:t>
      </w:r>
      <w:r w:rsidR="00EA020B">
        <w:rPr>
          <w:rFonts w:ascii="Arial" w:hAnsi="Arial" w:cs="Arial"/>
          <w:sz w:val="20"/>
          <w:szCs w:val="20"/>
        </w:rPr>
        <w:t>. Ainsi, le texte gouvernemental, dans plusieurs de ses dispositions, méconnaît l’article 17 du Pacte des droits civils et politiques.</w:t>
      </w:r>
    </w:p>
    <w:p w:rsidR="00E10F2A" w:rsidRDefault="00E10F2A" w:rsidP="00577194">
      <w:pPr>
        <w:spacing w:after="0" w:line="240" w:lineRule="auto"/>
        <w:jc w:val="both"/>
        <w:rPr>
          <w:rFonts w:ascii="Arial" w:hAnsi="Arial" w:cs="Arial"/>
          <w:sz w:val="20"/>
          <w:szCs w:val="20"/>
        </w:rPr>
      </w:pPr>
    </w:p>
    <w:p w:rsidR="00AF21DB" w:rsidRDefault="00E10F2A" w:rsidP="00577194">
      <w:pPr>
        <w:spacing w:after="0" w:line="240" w:lineRule="auto"/>
        <w:jc w:val="both"/>
        <w:rPr>
          <w:rFonts w:ascii="Arial" w:hAnsi="Arial" w:cs="Arial"/>
          <w:sz w:val="20"/>
          <w:szCs w:val="20"/>
        </w:rPr>
      </w:pPr>
      <w:r>
        <w:rPr>
          <w:rFonts w:ascii="Arial" w:hAnsi="Arial" w:cs="Arial"/>
          <w:b/>
          <w:sz w:val="16"/>
          <w:szCs w:val="16"/>
        </w:rPr>
        <w:t>10</w:t>
      </w:r>
      <w:r w:rsidR="00950988">
        <w:rPr>
          <w:rFonts w:ascii="Arial" w:hAnsi="Arial" w:cs="Arial"/>
          <w:b/>
          <w:sz w:val="16"/>
          <w:szCs w:val="16"/>
        </w:rPr>
        <w:t>4</w:t>
      </w:r>
      <w:r w:rsidR="006F4C7E">
        <w:rPr>
          <w:rFonts w:ascii="Arial" w:hAnsi="Arial" w:cs="Arial"/>
          <w:sz w:val="20"/>
          <w:szCs w:val="20"/>
        </w:rPr>
        <w:t xml:space="preserve">. </w:t>
      </w:r>
      <w:r w:rsidR="000A603A">
        <w:rPr>
          <w:rFonts w:ascii="Arial" w:hAnsi="Arial" w:cs="Arial"/>
          <w:sz w:val="20"/>
          <w:szCs w:val="20"/>
        </w:rPr>
        <w:t xml:space="preserve">Le texte prévoit </w:t>
      </w:r>
      <w:r w:rsidR="00EA020B">
        <w:rPr>
          <w:rFonts w:ascii="Arial" w:hAnsi="Arial" w:cs="Arial"/>
          <w:sz w:val="20"/>
          <w:szCs w:val="20"/>
        </w:rPr>
        <w:t xml:space="preserve">en effet </w:t>
      </w:r>
      <w:r w:rsidR="000A603A">
        <w:rPr>
          <w:rFonts w:ascii="Arial" w:hAnsi="Arial" w:cs="Arial"/>
          <w:sz w:val="20"/>
          <w:szCs w:val="20"/>
        </w:rPr>
        <w:t>un accroissement des pouvoirs des services spécialisés</w:t>
      </w:r>
      <w:r w:rsidR="005F55DE">
        <w:rPr>
          <w:rFonts w:ascii="Arial" w:hAnsi="Arial" w:cs="Arial"/>
          <w:sz w:val="20"/>
          <w:szCs w:val="20"/>
        </w:rPr>
        <w:t xml:space="preserve"> aux fins de recueil des renseignements relatifs à la défense et à la promotion des intérêts publics, renseignements déclinés en 7 items qui n’ont pas tous trait au terrorisme. </w:t>
      </w:r>
      <w:r w:rsidR="00EB6972">
        <w:rPr>
          <w:rFonts w:ascii="Arial" w:hAnsi="Arial" w:cs="Arial"/>
          <w:sz w:val="20"/>
          <w:szCs w:val="20"/>
        </w:rPr>
        <w:t xml:space="preserve">De fait, au nom de la lutte contre le terrorisme, c’est l’activité des syndicats, des ONG des partis politiques, des cultes, </w:t>
      </w:r>
      <w:r w:rsidR="008E2B87">
        <w:rPr>
          <w:rFonts w:ascii="Arial" w:hAnsi="Arial" w:cs="Arial"/>
          <w:sz w:val="20"/>
          <w:szCs w:val="20"/>
        </w:rPr>
        <w:t xml:space="preserve">soit de la société civile dans son ensemble, </w:t>
      </w:r>
      <w:r w:rsidR="00EB6972">
        <w:rPr>
          <w:rFonts w:ascii="Arial" w:hAnsi="Arial" w:cs="Arial"/>
          <w:sz w:val="20"/>
          <w:szCs w:val="20"/>
        </w:rPr>
        <w:t>qui est susceptible de faire l’objet d’une surveillance.</w:t>
      </w:r>
    </w:p>
    <w:p w:rsidR="00D10496" w:rsidRDefault="00D10496" w:rsidP="00577194">
      <w:pPr>
        <w:spacing w:after="0" w:line="240" w:lineRule="auto"/>
        <w:jc w:val="both"/>
        <w:rPr>
          <w:rFonts w:ascii="Arial" w:hAnsi="Arial" w:cs="Arial"/>
          <w:sz w:val="20"/>
          <w:szCs w:val="20"/>
        </w:rPr>
      </w:pPr>
    </w:p>
    <w:p w:rsidR="006F4C7E" w:rsidRDefault="00E10F2A" w:rsidP="00577194">
      <w:pPr>
        <w:spacing w:after="0" w:line="240" w:lineRule="auto"/>
        <w:jc w:val="both"/>
        <w:rPr>
          <w:rFonts w:ascii="Arial" w:hAnsi="Arial" w:cs="Arial"/>
          <w:sz w:val="20"/>
          <w:szCs w:val="20"/>
        </w:rPr>
      </w:pPr>
      <w:r>
        <w:rPr>
          <w:rFonts w:ascii="Arial" w:hAnsi="Arial" w:cs="Arial"/>
          <w:b/>
          <w:sz w:val="16"/>
          <w:szCs w:val="16"/>
        </w:rPr>
        <w:t>10</w:t>
      </w:r>
      <w:r w:rsidR="00950988">
        <w:rPr>
          <w:rFonts w:ascii="Arial" w:hAnsi="Arial" w:cs="Arial"/>
          <w:b/>
          <w:sz w:val="16"/>
          <w:szCs w:val="16"/>
        </w:rPr>
        <w:t>5</w:t>
      </w:r>
      <w:r w:rsidR="006F4C7E">
        <w:rPr>
          <w:rFonts w:ascii="Arial" w:hAnsi="Arial" w:cs="Arial"/>
          <w:sz w:val="20"/>
          <w:szCs w:val="20"/>
        </w:rPr>
        <w:t xml:space="preserve">. </w:t>
      </w:r>
      <w:r w:rsidR="00D10496">
        <w:rPr>
          <w:rFonts w:ascii="Arial" w:hAnsi="Arial" w:cs="Arial"/>
          <w:sz w:val="20"/>
          <w:szCs w:val="20"/>
        </w:rPr>
        <w:t>En outre, le projet de loi met en place des techniques qui permettent de surveiller les données de connexion</w:t>
      </w:r>
      <w:r w:rsidR="00BC1C8D">
        <w:rPr>
          <w:rFonts w:ascii="Arial" w:hAnsi="Arial" w:cs="Arial"/>
          <w:sz w:val="20"/>
          <w:szCs w:val="20"/>
        </w:rPr>
        <w:t xml:space="preserve"> sur les sites, chez les fournisseurs d’accès Internet, les opérateurs télécoms ou en ligne, les hébergeurs, etc. Cette surveillance se fera en temps réel et directement sur leur réseau. Il s’agirait donc de pouvoir surveiller les comportements par l’analyse des métadonnées</w:t>
      </w:r>
      <w:r w:rsidR="00BC1C8D" w:rsidRPr="00BC1C8D">
        <w:rPr>
          <w:rStyle w:val="Appelnotedebasdep"/>
          <w:rFonts w:ascii="Arial" w:hAnsi="Arial" w:cs="Arial"/>
          <w:b/>
          <w:sz w:val="18"/>
          <w:szCs w:val="18"/>
        </w:rPr>
        <w:footnoteReference w:id="30"/>
      </w:r>
      <w:r w:rsidR="00BC1C8D">
        <w:rPr>
          <w:rFonts w:ascii="Arial" w:hAnsi="Arial" w:cs="Arial"/>
          <w:sz w:val="20"/>
          <w:szCs w:val="20"/>
        </w:rPr>
        <w:t xml:space="preserve"> contenues dans les fichiers numériques</w:t>
      </w:r>
      <w:r w:rsidR="006F4C7E">
        <w:rPr>
          <w:rFonts w:ascii="Arial" w:hAnsi="Arial" w:cs="Arial"/>
          <w:sz w:val="20"/>
          <w:szCs w:val="20"/>
        </w:rPr>
        <w:t>, ce qui est beaucoup plus intrusif que la simple écoute de communications</w:t>
      </w:r>
      <w:r w:rsidR="00BC1C8D">
        <w:rPr>
          <w:rFonts w:ascii="Arial" w:hAnsi="Arial" w:cs="Arial"/>
          <w:sz w:val="20"/>
          <w:szCs w:val="20"/>
        </w:rPr>
        <w:t>.</w:t>
      </w:r>
    </w:p>
    <w:p w:rsidR="00D532A1" w:rsidRDefault="00D532A1" w:rsidP="00577194">
      <w:pPr>
        <w:spacing w:after="0" w:line="240" w:lineRule="auto"/>
        <w:jc w:val="both"/>
        <w:rPr>
          <w:rFonts w:ascii="Arial" w:hAnsi="Arial" w:cs="Arial"/>
          <w:sz w:val="20"/>
          <w:szCs w:val="20"/>
        </w:rPr>
      </w:pPr>
    </w:p>
    <w:p w:rsidR="00D532A1" w:rsidRDefault="00D532A1" w:rsidP="00577194">
      <w:pPr>
        <w:spacing w:after="0" w:line="240" w:lineRule="auto"/>
        <w:jc w:val="both"/>
        <w:rPr>
          <w:rFonts w:ascii="Arial" w:hAnsi="Arial" w:cs="Arial"/>
          <w:sz w:val="20"/>
          <w:szCs w:val="20"/>
        </w:rPr>
      </w:pPr>
      <w:r w:rsidRPr="00970F03">
        <w:rPr>
          <w:rFonts w:ascii="Arial" w:hAnsi="Arial" w:cs="Arial"/>
          <w:b/>
          <w:sz w:val="16"/>
          <w:szCs w:val="16"/>
        </w:rPr>
        <w:t>10</w:t>
      </w:r>
      <w:r w:rsidR="00950988">
        <w:rPr>
          <w:rFonts w:ascii="Arial" w:hAnsi="Arial" w:cs="Arial"/>
          <w:b/>
          <w:sz w:val="16"/>
          <w:szCs w:val="16"/>
        </w:rPr>
        <w:t>6</w:t>
      </w:r>
      <w:r>
        <w:rPr>
          <w:rFonts w:ascii="Arial" w:hAnsi="Arial" w:cs="Arial"/>
          <w:sz w:val="20"/>
          <w:szCs w:val="20"/>
        </w:rPr>
        <w:t>. Le 30 juin 2014, le Conseil des droits de l’Homme a publié le rapport du Haut-Commissariat des Nations Unies aux droits de l’Homme intitulé « </w:t>
      </w:r>
      <w:r w:rsidRPr="00875447">
        <w:rPr>
          <w:rFonts w:ascii="Arial" w:hAnsi="Arial" w:cs="Arial"/>
          <w:sz w:val="20"/>
          <w:szCs w:val="20"/>
        </w:rPr>
        <w:t>Le droit à la vie privée à l’ère numérique </w:t>
      </w:r>
      <w:r>
        <w:rPr>
          <w:rFonts w:ascii="Arial" w:hAnsi="Arial" w:cs="Arial"/>
          <w:sz w:val="20"/>
          <w:szCs w:val="20"/>
        </w:rPr>
        <w:t>»</w:t>
      </w:r>
      <w:r w:rsidR="002822F3" w:rsidRPr="00742804">
        <w:rPr>
          <w:rStyle w:val="Appelnotedebasdep"/>
          <w:rFonts w:ascii="Arial" w:hAnsi="Arial" w:cs="Arial"/>
          <w:b/>
          <w:sz w:val="18"/>
          <w:szCs w:val="18"/>
        </w:rPr>
        <w:footnoteReference w:id="31"/>
      </w:r>
      <w:r>
        <w:rPr>
          <w:rFonts w:ascii="Arial" w:hAnsi="Arial" w:cs="Arial"/>
          <w:sz w:val="20"/>
          <w:szCs w:val="20"/>
        </w:rPr>
        <w:t>. Dans ce rapport, le Haut-Commissariat rappelle que « </w:t>
      </w:r>
      <w:r w:rsidRPr="00970F03">
        <w:rPr>
          <w:rFonts w:ascii="Arial" w:hAnsi="Arial" w:cs="Arial"/>
          <w:i/>
          <w:sz w:val="20"/>
          <w:szCs w:val="20"/>
        </w:rPr>
        <w:t>la surveillance numérique de masse amènent (…) à se demander dans quelle mesure ces pratiques sont conformes aux normes juridiques internationales (…)</w:t>
      </w:r>
      <w:r w:rsidR="00875447">
        <w:rPr>
          <w:rFonts w:ascii="Arial" w:hAnsi="Arial" w:cs="Arial"/>
          <w:sz w:val="20"/>
          <w:szCs w:val="20"/>
        </w:rPr>
        <w:t> ». Il ajoute : « </w:t>
      </w:r>
      <w:r w:rsidR="00875447" w:rsidRPr="00970F03">
        <w:rPr>
          <w:rFonts w:ascii="Arial" w:hAnsi="Arial" w:cs="Arial"/>
          <w:i/>
          <w:sz w:val="20"/>
          <w:szCs w:val="20"/>
        </w:rPr>
        <w:t>Plus précisément, les mesures de surveillance ne doivent pas se traduire par des immixtions arbitraires ou illégales dans la vie privée, la famille, le domicile ou la correspondance d’un individu </w:t>
      </w:r>
      <w:r w:rsidR="00875447">
        <w:rPr>
          <w:rFonts w:ascii="Arial" w:hAnsi="Arial" w:cs="Arial"/>
          <w:sz w:val="20"/>
          <w:szCs w:val="20"/>
        </w:rPr>
        <w:t>».</w:t>
      </w:r>
      <w:r w:rsidR="00535784">
        <w:rPr>
          <w:rFonts w:ascii="Arial" w:hAnsi="Arial" w:cs="Arial"/>
          <w:sz w:val="20"/>
          <w:szCs w:val="20"/>
        </w:rPr>
        <w:t xml:space="preserve"> </w:t>
      </w:r>
      <w:r w:rsidR="00535784" w:rsidRPr="00970F03">
        <w:rPr>
          <w:rFonts w:ascii="Arial" w:hAnsi="Arial" w:cs="Arial"/>
          <w:sz w:val="20"/>
          <w:szCs w:val="20"/>
        </w:rPr>
        <w:t>L’Etat doit donc démontrer que cette immixtion n’est ni arbitraire ni illégale.</w:t>
      </w:r>
    </w:p>
    <w:p w:rsidR="00875447" w:rsidRDefault="00875447" w:rsidP="00577194">
      <w:pPr>
        <w:spacing w:after="0" w:line="240" w:lineRule="auto"/>
        <w:jc w:val="both"/>
        <w:rPr>
          <w:rFonts w:ascii="Arial" w:hAnsi="Arial" w:cs="Arial"/>
          <w:sz w:val="20"/>
          <w:szCs w:val="20"/>
        </w:rPr>
      </w:pPr>
    </w:p>
    <w:p w:rsidR="00670261" w:rsidRDefault="00ED1741" w:rsidP="00577194">
      <w:pPr>
        <w:spacing w:after="0" w:line="240" w:lineRule="auto"/>
        <w:jc w:val="both"/>
        <w:rPr>
          <w:rFonts w:ascii="Arial" w:hAnsi="Arial" w:cs="Arial"/>
          <w:sz w:val="20"/>
          <w:szCs w:val="20"/>
        </w:rPr>
      </w:pPr>
      <w:r w:rsidRPr="00ED1741">
        <w:rPr>
          <w:rFonts w:ascii="Arial" w:hAnsi="Arial" w:cs="Arial"/>
          <w:b/>
          <w:sz w:val="16"/>
          <w:szCs w:val="16"/>
        </w:rPr>
        <w:t>10</w:t>
      </w:r>
      <w:r w:rsidR="00950988">
        <w:rPr>
          <w:rFonts w:ascii="Arial" w:hAnsi="Arial" w:cs="Arial"/>
          <w:b/>
          <w:sz w:val="16"/>
          <w:szCs w:val="16"/>
        </w:rPr>
        <w:t>7</w:t>
      </w:r>
      <w:r>
        <w:rPr>
          <w:rFonts w:ascii="Arial" w:hAnsi="Arial" w:cs="Arial"/>
          <w:sz w:val="20"/>
          <w:szCs w:val="20"/>
        </w:rPr>
        <w:t xml:space="preserve">. </w:t>
      </w:r>
      <w:r w:rsidR="00670261">
        <w:rPr>
          <w:rFonts w:ascii="Arial" w:hAnsi="Arial" w:cs="Arial"/>
          <w:sz w:val="20"/>
          <w:szCs w:val="20"/>
        </w:rPr>
        <w:t>A cet égard, la loi doit donc être suffisamment accessible, claire et précise pour qu’un individu puisse s’y référer afin de vérifier qui est autorisé à pratiquer la surveillance des données et en quelles circonstances.</w:t>
      </w:r>
    </w:p>
    <w:p w:rsidR="00670261" w:rsidRDefault="00670261" w:rsidP="00577194">
      <w:pPr>
        <w:spacing w:after="0" w:line="240" w:lineRule="auto"/>
        <w:jc w:val="both"/>
        <w:rPr>
          <w:rFonts w:ascii="Arial" w:hAnsi="Arial" w:cs="Arial"/>
          <w:sz w:val="20"/>
          <w:szCs w:val="20"/>
        </w:rPr>
      </w:pPr>
    </w:p>
    <w:p w:rsidR="00670261" w:rsidRDefault="00ED1741" w:rsidP="00577194">
      <w:pPr>
        <w:spacing w:after="0" w:line="240" w:lineRule="auto"/>
        <w:jc w:val="both"/>
        <w:rPr>
          <w:rFonts w:ascii="Arial" w:hAnsi="Arial" w:cs="Arial"/>
          <w:sz w:val="20"/>
          <w:szCs w:val="20"/>
        </w:rPr>
      </w:pPr>
      <w:r w:rsidRPr="00ED1741">
        <w:rPr>
          <w:rFonts w:ascii="Arial" w:hAnsi="Arial" w:cs="Arial"/>
          <w:b/>
          <w:sz w:val="16"/>
          <w:szCs w:val="16"/>
        </w:rPr>
        <w:t>10</w:t>
      </w:r>
      <w:r w:rsidR="00950988">
        <w:rPr>
          <w:rFonts w:ascii="Arial" w:hAnsi="Arial" w:cs="Arial"/>
          <w:b/>
          <w:sz w:val="16"/>
          <w:szCs w:val="16"/>
        </w:rPr>
        <w:t>8</w:t>
      </w:r>
      <w:r>
        <w:rPr>
          <w:rFonts w:ascii="Arial" w:hAnsi="Arial" w:cs="Arial"/>
          <w:sz w:val="20"/>
          <w:szCs w:val="20"/>
        </w:rPr>
        <w:t xml:space="preserve">. </w:t>
      </w:r>
      <w:r w:rsidR="00670261">
        <w:rPr>
          <w:rFonts w:ascii="Arial" w:hAnsi="Arial" w:cs="Arial"/>
          <w:sz w:val="20"/>
          <w:szCs w:val="20"/>
        </w:rPr>
        <w:t>Dans le projet de loi sur le renseignement, il est difficile de dire que certains items répondent à la référence « claire et précise ».</w:t>
      </w:r>
      <w:r>
        <w:rPr>
          <w:rFonts w:ascii="Arial" w:hAnsi="Arial" w:cs="Arial"/>
          <w:sz w:val="20"/>
          <w:szCs w:val="20"/>
        </w:rPr>
        <w:t xml:space="preserve"> A titre d’exemple, « </w:t>
      </w:r>
      <w:r w:rsidRPr="00ED1741">
        <w:rPr>
          <w:rFonts w:ascii="Arial" w:hAnsi="Arial" w:cs="Arial"/>
          <w:i/>
          <w:sz w:val="20"/>
          <w:szCs w:val="20"/>
        </w:rPr>
        <w:t>la prévention des violences collectives de nature à porter atteinte à la sécurité nationale </w:t>
      </w:r>
      <w:r>
        <w:rPr>
          <w:rFonts w:ascii="Arial" w:hAnsi="Arial" w:cs="Arial"/>
          <w:sz w:val="20"/>
          <w:szCs w:val="20"/>
        </w:rPr>
        <w:t xml:space="preserve">» (item n° 5). </w:t>
      </w:r>
    </w:p>
    <w:p w:rsidR="00670261" w:rsidRDefault="00670261" w:rsidP="00577194">
      <w:pPr>
        <w:spacing w:after="0" w:line="240" w:lineRule="auto"/>
        <w:jc w:val="both"/>
        <w:rPr>
          <w:rFonts w:ascii="Arial" w:hAnsi="Arial" w:cs="Arial"/>
          <w:sz w:val="20"/>
          <w:szCs w:val="20"/>
        </w:rPr>
      </w:pPr>
    </w:p>
    <w:p w:rsidR="00875447" w:rsidRPr="00970F03" w:rsidRDefault="00970F03" w:rsidP="00577194">
      <w:pPr>
        <w:spacing w:after="0" w:line="240" w:lineRule="auto"/>
        <w:jc w:val="both"/>
        <w:rPr>
          <w:rFonts w:ascii="Arial" w:hAnsi="Arial" w:cs="Arial"/>
          <w:sz w:val="20"/>
          <w:szCs w:val="20"/>
        </w:rPr>
      </w:pPr>
      <w:r w:rsidRPr="00970F03">
        <w:rPr>
          <w:rFonts w:ascii="Arial" w:hAnsi="Arial" w:cs="Arial"/>
          <w:b/>
          <w:sz w:val="16"/>
          <w:szCs w:val="16"/>
        </w:rPr>
        <w:t>10</w:t>
      </w:r>
      <w:r w:rsidR="00950988">
        <w:rPr>
          <w:rFonts w:ascii="Arial" w:hAnsi="Arial" w:cs="Arial"/>
          <w:b/>
          <w:sz w:val="16"/>
          <w:szCs w:val="16"/>
        </w:rPr>
        <w:t>9</w:t>
      </w:r>
      <w:r>
        <w:rPr>
          <w:rFonts w:ascii="Arial" w:hAnsi="Arial" w:cs="Arial"/>
          <w:sz w:val="20"/>
          <w:szCs w:val="20"/>
        </w:rPr>
        <w:t xml:space="preserve">. </w:t>
      </w:r>
      <w:r w:rsidRPr="00970F03">
        <w:rPr>
          <w:rFonts w:ascii="Arial" w:hAnsi="Arial" w:cs="Arial"/>
          <w:sz w:val="20"/>
          <w:szCs w:val="20"/>
        </w:rPr>
        <w:t>En outre, votre Comité a eu l’occasion de souligner, dans son Observation générale n° 27 sur l’article 12 du PIDCP, que « </w:t>
      </w:r>
      <w:r w:rsidRPr="00535784">
        <w:rPr>
          <w:rFonts w:ascii="Arial" w:hAnsi="Arial" w:cs="Arial"/>
          <w:i/>
          <w:sz w:val="20"/>
          <w:szCs w:val="20"/>
        </w:rPr>
        <w:t>les restrictions ne doivent pas porter atteinte à l’essence même du droit […] ; le rapport entre le droit et la restriction, entre la règle et l’exception, ne doit pas être inversé </w:t>
      </w:r>
      <w:r>
        <w:rPr>
          <w:rFonts w:ascii="Arial" w:hAnsi="Arial" w:cs="Arial"/>
          <w:sz w:val="20"/>
          <w:szCs w:val="20"/>
        </w:rPr>
        <w:t>»</w:t>
      </w:r>
      <w:r w:rsidR="001C5ED1" w:rsidRPr="00742804">
        <w:rPr>
          <w:rStyle w:val="Appelnotedebasdep"/>
          <w:rFonts w:ascii="Arial" w:hAnsi="Arial" w:cs="Arial"/>
          <w:b/>
          <w:sz w:val="18"/>
          <w:szCs w:val="18"/>
        </w:rPr>
        <w:footnoteReference w:id="32"/>
      </w:r>
      <w:r>
        <w:rPr>
          <w:rFonts w:ascii="Arial" w:hAnsi="Arial" w:cs="Arial"/>
          <w:sz w:val="20"/>
          <w:szCs w:val="20"/>
        </w:rPr>
        <w:t>.</w:t>
      </w:r>
    </w:p>
    <w:p w:rsidR="006F4C7E" w:rsidRPr="00970F03" w:rsidRDefault="006F4C7E" w:rsidP="00577194">
      <w:pPr>
        <w:spacing w:after="0" w:line="240" w:lineRule="auto"/>
        <w:jc w:val="both"/>
        <w:rPr>
          <w:rFonts w:ascii="Arial" w:hAnsi="Arial" w:cs="Arial"/>
          <w:sz w:val="20"/>
          <w:szCs w:val="20"/>
        </w:rPr>
      </w:pPr>
    </w:p>
    <w:p w:rsidR="00142722" w:rsidRDefault="00EA020B" w:rsidP="00577194">
      <w:pPr>
        <w:spacing w:after="0" w:line="240" w:lineRule="auto"/>
        <w:jc w:val="both"/>
        <w:rPr>
          <w:rFonts w:ascii="Arial" w:hAnsi="Arial" w:cs="Arial"/>
          <w:sz w:val="20"/>
          <w:szCs w:val="20"/>
        </w:rPr>
      </w:pPr>
      <w:r w:rsidRPr="00ED1741">
        <w:rPr>
          <w:rFonts w:ascii="Arial" w:hAnsi="Arial" w:cs="Arial"/>
          <w:b/>
          <w:sz w:val="16"/>
          <w:szCs w:val="16"/>
        </w:rPr>
        <w:t>1</w:t>
      </w:r>
      <w:r w:rsidR="00950988">
        <w:rPr>
          <w:rFonts w:ascii="Arial" w:hAnsi="Arial" w:cs="Arial"/>
          <w:b/>
          <w:sz w:val="16"/>
          <w:szCs w:val="16"/>
        </w:rPr>
        <w:t>10</w:t>
      </w:r>
      <w:r w:rsidR="00D86986">
        <w:rPr>
          <w:rFonts w:ascii="Arial" w:hAnsi="Arial" w:cs="Arial"/>
          <w:sz w:val="20"/>
          <w:szCs w:val="20"/>
        </w:rPr>
        <w:t xml:space="preserve">. </w:t>
      </w:r>
      <w:r w:rsidR="00742804">
        <w:rPr>
          <w:rFonts w:ascii="Arial" w:hAnsi="Arial" w:cs="Arial"/>
          <w:sz w:val="20"/>
          <w:szCs w:val="20"/>
        </w:rPr>
        <w:t>Concernant le projet de loi sur le renseignement, c’est précisément l’absence de proportionnalité qui a conduit l</w:t>
      </w:r>
      <w:r w:rsidR="007E2C5B">
        <w:rPr>
          <w:rFonts w:ascii="Arial" w:hAnsi="Arial" w:cs="Arial"/>
          <w:sz w:val="20"/>
          <w:szCs w:val="20"/>
        </w:rPr>
        <w:t xml:space="preserve">a </w:t>
      </w:r>
      <w:r w:rsidR="005B79A8" w:rsidRPr="00D86986">
        <w:rPr>
          <w:rFonts w:ascii="Arial" w:hAnsi="Arial" w:cs="Arial"/>
          <w:b/>
          <w:sz w:val="20"/>
          <w:szCs w:val="20"/>
        </w:rPr>
        <w:t>C</w:t>
      </w:r>
      <w:r w:rsidR="005B79A8">
        <w:rPr>
          <w:rFonts w:ascii="Arial" w:hAnsi="Arial" w:cs="Arial"/>
          <w:sz w:val="20"/>
          <w:szCs w:val="20"/>
        </w:rPr>
        <w:t xml:space="preserve">ommission </w:t>
      </w:r>
      <w:r w:rsidR="005B79A8" w:rsidRPr="00D86986">
        <w:rPr>
          <w:rFonts w:ascii="Arial" w:hAnsi="Arial" w:cs="Arial"/>
          <w:b/>
          <w:sz w:val="20"/>
          <w:szCs w:val="20"/>
        </w:rPr>
        <w:t>N</w:t>
      </w:r>
      <w:r w:rsidR="005B79A8">
        <w:rPr>
          <w:rFonts w:ascii="Arial" w:hAnsi="Arial" w:cs="Arial"/>
          <w:sz w:val="20"/>
          <w:szCs w:val="20"/>
        </w:rPr>
        <w:t xml:space="preserve">ationale </w:t>
      </w:r>
      <w:r w:rsidR="00D86986">
        <w:rPr>
          <w:rFonts w:ascii="Arial" w:hAnsi="Arial" w:cs="Arial"/>
          <w:sz w:val="20"/>
          <w:szCs w:val="20"/>
        </w:rPr>
        <w:t>de l’</w:t>
      </w:r>
      <w:r w:rsidR="00D86986" w:rsidRPr="00D86986">
        <w:rPr>
          <w:rFonts w:ascii="Arial" w:hAnsi="Arial" w:cs="Arial"/>
          <w:b/>
          <w:sz w:val="20"/>
          <w:szCs w:val="20"/>
        </w:rPr>
        <w:t>I</w:t>
      </w:r>
      <w:r w:rsidR="00D86986">
        <w:rPr>
          <w:rFonts w:ascii="Arial" w:hAnsi="Arial" w:cs="Arial"/>
          <w:sz w:val="20"/>
          <w:szCs w:val="20"/>
        </w:rPr>
        <w:t xml:space="preserve">nformatique et des </w:t>
      </w:r>
      <w:r w:rsidR="00D86986" w:rsidRPr="00D86986">
        <w:rPr>
          <w:rFonts w:ascii="Arial" w:hAnsi="Arial" w:cs="Arial"/>
          <w:b/>
          <w:sz w:val="20"/>
          <w:szCs w:val="20"/>
        </w:rPr>
        <w:t>L</w:t>
      </w:r>
      <w:r w:rsidR="00D86986">
        <w:rPr>
          <w:rFonts w:ascii="Arial" w:hAnsi="Arial" w:cs="Arial"/>
          <w:sz w:val="20"/>
          <w:szCs w:val="20"/>
        </w:rPr>
        <w:t>ibertés (</w:t>
      </w:r>
      <w:r w:rsidR="007E2C5B">
        <w:rPr>
          <w:rFonts w:ascii="Arial" w:hAnsi="Arial" w:cs="Arial"/>
          <w:sz w:val="20"/>
          <w:szCs w:val="20"/>
        </w:rPr>
        <w:t>CNIL</w:t>
      </w:r>
      <w:r w:rsidR="00D86986">
        <w:rPr>
          <w:rFonts w:ascii="Arial" w:hAnsi="Arial" w:cs="Arial"/>
          <w:sz w:val="20"/>
          <w:szCs w:val="20"/>
        </w:rPr>
        <w:t>)</w:t>
      </w:r>
      <w:r w:rsidR="007E2C5B">
        <w:rPr>
          <w:rFonts w:ascii="Arial" w:hAnsi="Arial" w:cs="Arial"/>
          <w:sz w:val="20"/>
          <w:szCs w:val="20"/>
        </w:rPr>
        <w:t>, dans sa délibération du 5 mars 2015</w:t>
      </w:r>
      <w:r w:rsidR="005B79A8" w:rsidRPr="00D86986">
        <w:rPr>
          <w:rStyle w:val="Appelnotedebasdep"/>
          <w:rFonts w:ascii="Arial" w:hAnsi="Arial" w:cs="Arial"/>
          <w:b/>
          <w:sz w:val="18"/>
          <w:szCs w:val="18"/>
        </w:rPr>
        <w:footnoteReference w:id="33"/>
      </w:r>
      <w:r w:rsidR="007E2C5B">
        <w:rPr>
          <w:rFonts w:ascii="Arial" w:hAnsi="Arial" w:cs="Arial"/>
          <w:sz w:val="20"/>
          <w:szCs w:val="20"/>
        </w:rPr>
        <w:t xml:space="preserve">, </w:t>
      </w:r>
      <w:r w:rsidR="00431F5F">
        <w:rPr>
          <w:rFonts w:ascii="Arial" w:hAnsi="Arial" w:cs="Arial"/>
          <w:sz w:val="20"/>
          <w:szCs w:val="20"/>
        </w:rPr>
        <w:t>à</w:t>
      </w:r>
      <w:r w:rsidR="00BE6CC6">
        <w:rPr>
          <w:rFonts w:ascii="Arial" w:hAnsi="Arial" w:cs="Arial"/>
          <w:sz w:val="20"/>
          <w:szCs w:val="20"/>
        </w:rPr>
        <w:t xml:space="preserve"> </w:t>
      </w:r>
      <w:r w:rsidR="00431F5F">
        <w:rPr>
          <w:rFonts w:ascii="Arial" w:hAnsi="Arial" w:cs="Arial"/>
          <w:sz w:val="20"/>
          <w:szCs w:val="20"/>
        </w:rPr>
        <w:t>relever</w:t>
      </w:r>
      <w:r w:rsidR="007E2C5B">
        <w:rPr>
          <w:rFonts w:ascii="Arial" w:hAnsi="Arial" w:cs="Arial"/>
          <w:sz w:val="20"/>
          <w:szCs w:val="20"/>
        </w:rPr>
        <w:t xml:space="preserve"> </w:t>
      </w:r>
      <w:r w:rsidR="005B79A8">
        <w:rPr>
          <w:rFonts w:ascii="Arial" w:hAnsi="Arial" w:cs="Arial"/>
          <w:sz w:val="20"/>
          <w:szCs w:val="20"/>
        </w:rPr>
        <w:t>que « </w:t>
      </w:r>
      <w:r w:rsidR="005B79A8" w:rsidRPr="005B79A8">
        <w:rPr>
          <w:rFonts w:ascii="Arial" w:hAnsi="Arial" w:cs="Arial"/>
          <w:i/>
          <w:sz w:val="20"/>
          <w:szCs w:val="20"/>
        </w:rPr>
        <w:t>Au regard du caractère particulièrement intrusif de cette technique et de son utilisation à l’insu des opérateurs, sur leurs propres systèmes, la Commission estime que les garanties prévues pour préserver les droits et libertés fondamentaux ne sont pas suffisantes pour justifier une telle ingérence dans la vie privée des personnes. </w:t>
      </w:r>
      <w:r w:rsidR="005B79A8">
        <w:rPr>
          <w:rFonts w:ascii="Arial" w:hAnsi="Arial" w:cs="Arial"/>
          <w:sz w:val="20"/>
          <w:szCs w:val="20"/>
        </w:rPr>
        <w:t>»</w:t>
      </w:r>
    </w:p>
    <w:p w:rsidR="00B37CFB" w:rsidRDefault="00B37CFB" w:rsidP="00577194">
      <w:pPr>
        <w:spacing w:after="0" w:line="240" w:lineRule="auto"/>
        <w:jc w:val="both"/>
        <w:rPr>
          <w:rFonts w:ascii="Arial" w:hAnsi="Arial" w:cs="Arial"/>
          <w:sz w:val="20"/>
          <w:szCs w:val="20"/>
        </w:rPr>
      </w:pPr>
    </w:p>
    <w:p w:rsidR="00A25BFB" w:rsidRDefault="006E0564" w:rsidP="00577194">
      <w:pPr>
        <w:spacing w:after="0" w:line="240" w:lineRule="auto"/>
        <w:jc w:val="both"/>
        <w:rPr>
          <w:rFonts w:ascii="Arial" w:hAnsi="Arial" w:cs="Arial"/>
          <w:sz w:val="20"/>
          <w:szCs w:val="20"/>
        </w:rPr>
      </w:pPr>
      <w:r w:rsidRPr="006E0564">
        <w:rPr>
          <w:rFonts w:ascii="Arial" w:hAnsi="Arial" w:cs="Arial"/>
          <w:b/>
          <w:sz w:val="16"/>
          <w:szCs w:val="16"/>
        </w:rPr>
        <w:t>1</w:t>
      </w:r>
      <w:r w:rsidR="00950988">
        <w:rPr>
          <w:rFonts w:ascii="Arial" w:hAnsi="Arial" w:cs="Arial"/>
          <w:b/>
          <w:sz w:val="16"/>
          <w:szCs w:val="16"/>
        </w:rPr>
        <w:t>11</w:t>
      </w:r>
      <w:r>
        <w:rPr>
          <w:rFonts w:ascii="Arial" w:hAnsi="Arial" w:cs="Arial"/>
          <w:sz w:val="20"/>
          <w:szCs w:val="20"/>
        </w:rPr>
        <w:t xml:space="preserve">. </w:t>
      </w:r>
      <w:r w:rsidR="00D86986">
        <w:rPr>
          <w:rFonts w:ascii="Arial" w:hAnsi="Arial" w:cs="Arial"/>
          <w:sz w:val="20"/>
          <w:szCs w:val="20"/>
        </w:rPr>
        <w:t xml:space="preserve">Dans ce nouveau dispositif, il est </w:t>
      </w:r>
      <w:r w:rsidR="00115BE5">
        <w:rPr>
          <w:rFonts w:ascii="Arial" w:hAnsi="Arial" w:cs="Arial"/>
          <w:sz w:val="20"/>
          <w:szCs w:val="20"/>
        </w:rPr>
        <w:t xml:space="preserve">aussi </w:t>
      </w:r>
      <w:r w:rsidR="00D86986">
        <w:rPr>
          <w:rFonts w:ascii="Arial" w:hAnsi="Arial" w:cs="Arial"/>
          <w:sz w:val="20"/>
          <w:szCs w:val="20"/>
        </w:rPr>
        <w:t xml:space="preserve">instauré une autorité administrative indépendante, la Commission nationale de contrôle des techniques de renseignement (CNCTR), chargée de donner un </w:t>
      </w:r>
      <w:r w:rsidR="00D86986">
        <w:rPr>
          <w:rFonts w:ascii="Arial" w:hAnsi="Arial" w:cs="Arial"/>
          <w:sz w:val="20"/>
          <w:szCs w:val="20"/>
        </w:rPr>
        <w:lastRenderedPageBreak/>
        <w:t xml:space="preserve">avis sur les demandes transmises au Premier ministre </w:t>
      </w:r>
      <w:r>
        <w:rPr>
          <w:rFonts w:ascii="Arial" w:hAnsi="Arial" w:cs="Arial"/>
          <w:sz w:val="20"/>
          <w:szCs w:val="20"/>
        </w:rPr>
        <w:t>par les services de renseignements des ministères autorisés (ministères de la Défense, de l’Intérieur, de l’Economie, du budget et des douanes).</w:t>
      </w:r>
      <w:r w:rsidR="00BB11AD">
        <w:rPr>
          <w:rFonts w:ascii="Arial" w:hAnsi="Arial" w:cs="Arial"/>
          <w:sz w:val="20"/>
          <w:szCs w:val="20"/>
        </w:rPr>
        <w:t xml:space="preserve"> Le texte gouvernemental charge donc une autorité publique d’un travail d’analyse de la proportionnalité des atteintes aux libertés. Cependant, en cas d’avis négatif</w:t>
      </w:r>
      <w:r w:rsidR="0047627C">
        <w:rPr>
          <w:rFonts w:ascii="Arial" w:hAnsi="Arial" w:cs="Arial"/>
          <w:sz w:val="20"/>
          <w:szCs w:val="20"/>
        </w:rPr>
        <w:t>, le Premier ministre pourra passer outre.</w:t>
      </w:r>
    </w:p>
    <w:p w:rsidR="00A25BFB" w:rsidRDefault="00A25BFB" w:rsidP="00577194">
      <w:pPr>
        <w:spacing w:after="0" w:line="240" w:lineRule="auto"/>
        <w:jc w:val="both"/>
        <w:rPr>
          <w:rFonts w:ascii="Arial" w:hAnsi="Arial" w:cs="Arial"/>
          <w:sz w:val="20"/>
          <w:szCs w:val="20"/>
        </w:rPr>
      </w:pPr>
    </w:p>
    <w:p w:rsidR="00250C09" w:rsidRDefault="008619F3" w:rsidP="00577194">
      <w:pPr>
        <w:spacing w:after="0" w:line="240" w:lineRule="auto"/>
        <w:jc w:val="both"/>
        <w:rPr>
          <w:rFonts w:ascii="Arial" w:hAnsi="Arial" w:cs="Arial"/>
          <w:sz w:val="20"/>
          <w:szCs w:val="20"/>
        </w:rPr>
      </w:pPr>
      <w:r w:rsidRPr="008619F3">
        <w:rPr>
          <w:rFonts w:ascii="Arial" w:hAnsi="Arial" w:cs="Arial"/>
          <w:b/>
          <w:sz w:val="16"/>
          <w:szCs w:val="16"/>
        </w:rPr>
        <w:t>1</w:t>
      </w:r>
      <w:r w:rsidR="00950988">
        <w:rPr>
          <w:rFonts w:ascii="Arial" w:hAnsi="Arial" w:cs="Arial"/>
          <w:b/>
          <w:sz w:val="16"/>
          <w:szCs w:val="16"/>
        </w:rPr>
        <w:t>12</w:t>
      </w:r>
      <w:r>
        <w:rPr>
          <w:rFonts w:ascii="Arial" w:hAnsi="Arial" w:cs="Arial"/>
          <w:sz w:val="20"/>
          <w:szCs w:val="20"/>
        </w:rPr>
        <w:t>.</w:t>
      </w:r>
      <w:r w:rsidR="00920FF7">
        <w:rPr>
          <w:rFonts w:ascii="Arial" w:hAnsi="Arial" w:cs="Arial"/>
          <w:sz w:val="20"/>
          <w:szCs w:val="20"/>
        </w:rPr>
        <w:t xml:space="preserve"> Enfin, et ce point ne figurait pas dans le projet de loi initial, il est créé le « fichier judiciaire national automatisé des auteurs d’infractions terroristes</w:t>
      </w:r>
      <w:r w:rsidR="00250C09">
        <w:rPr>
          <w:rFonts w:ascii="Arial" w:hAnsi="Arial" w:cs="Arial"/>
          <w:sz w:val="20"/>
          <w:szCs w:val="20"/>
        </w:rPr>
        <w:t> »</w:t>
      </w:r>
      <w:r w:rsidR="00920FF7">
        <w:rPr>
          <w:rFonts w:ascii="Arial" w:hAnsi="Arial" w:cs="Arial"/>
          <w:sz w:val="20"/>
          <w:szCs w:val="20"/>
        </w:rPr>
        <w:t>. Cette disposition est issue d’un amendement du gouvernement adopté par les députés. Ce fichier vient s’ajouter au fichier « Traitement des antécédents judiciaires » (TAJ)</w:t>
      </w:r>
      <w:r w:rsidR="00250C09">
        <w:rPr>
          <w:rFonts w:ascii="Arial" w:hAnsi="Arial" w:cs="Arial"/>
          <w:sz w:val="20"/>
          <w:szCs w:val="20"/>
        </w:rPr>
        <w:t xml:space="preserve"> et au fichier CRISTINA. Ses données seront incluses dans le fichier des personnes recherchées. La CNIL a réagi en relevant une durée trop longue de conservation des données (jusqu’à 40 ans) et des accès (à travers le fichier des personnes recherchées) trop larges.</w:t>
      </w:r>
    </w:p>
    <w:p w:rsidR="00250C09" w:rsidRDefault="00250C09" w:rsidP="00577194">
      <w:pPr>
        <w:spacing w:after="0" w:line="240" w:lineRule="auto"/>
        <w:jc w:val="both"/>
        <w:rPr>
          <w:rFonts w:ascii="Arial" w:hAnsi="Arial" w:cs="Arial"/>
          <w:sz w:val="20"/>
          <w:szCs w:val="20"/>
        </w:rPr>
      </w:pPr>
    </w:p>
    <w:p w:rsidR="00A25BFB" w:rsidRDefault="00920FF7" w:rsidP="00577194">
      <w:pPr>
        <w:spacing w:after="0" w:line="240" w:lineRule="auto"/>
        <w:jc w:val="both"/>
        <w:rPr>
          <w:rFonts w:ascii="Arial" w:hAnsi="Arial" w:cs="Arial"/>
          <w:sz w:val="20"/>
          <w:szCs w:val="20"/>
        </w:rPr>
      </w:pPr>
      <w:r>
        <w:rPr>
          <w:rFonts w:ascii="Arial" w:hAnsi="Arial" w:cs="Arial"/>
          <w:sz w:val="20"/>
          <w:szCs w:val="20"/>
        </w:rPr>
        <w:t xml:space="preserve"> </w:t>
      </w:r>
    </w:p>
    <w:p w:rsidR="00A25BFB" w:rsidRDefault="00A25BFB" w:rsidP="00577194">
      <w:pPr>
        <w:spacing w:after="0" w:line="240" w:lineRule="auto"/>
        <w:jc w:val="both"/>
        <w:rPr>
          <w:rFonts w:ascii="Arial" w:hAnsi="Arial" w:cs="Arial"/>
          <w:sz w:val="20"/>
          <w:szCs w:val="20"/>
        </w:rPr>
      </w:pPr>
    </w:p>
    <w:p w:rsidR="00A25BFB" w:rsidRDefault="00A25BFB" w:rsidP="00577194">
      <w:pPr>
        <w:spacing w:after="0" w:line="240" w:lineRule="auto"/>
        <w:jc w:val="both"/>
        <w:rPr>
          <w:rFonts w:ascii="Arial" w:hAnsi="Arial" w:cs="Arial"/>
          <w:sz w:val="20"/>
          <w:szCs w:val="20"/>
        </w:rPr>
      </w:pPr>
    </w:p>
    <w:p w:rsidR="00A25BFB" w:rsidRPr="002A2410" w:rsidRDefault="002A2410" w:rsidP="002A2410">
      <w:pPr>
        <w:pStyle w:val="Titre2"/>
        <w:shd w:val="clear" w:color="auto" w:fill="BFBFBF" w:themeFill="background1" w:themeFillShade="BF"/>
        <w:spacing w:before="0" w:line="240" w:lineRule="auto"/>
        <w:jc w:val="both"/>
        <w:rPr>
          <w:rFonts w:ascii="Arial" w:hAnsi="Arial" w:cs="Arial"/>
          <w:smallCaps/>
          <w:color w:val="auto"/>
          <w:sz w:val="20"/>
          <w:szCs w:val="20"/>
        </w:rPr>
      </w:pPr>
      <w:bookmarkStart w:id="66" w:name="_Toc420924117"/>
      <w:r w:rsidRPr="002A2410">
        <w:rPr>
          <w:rFonts w:ascii="Arial" w:hAnsi="Arial" w:cs="Arial"/>
          <w:smallCaps/>
          <w:color w:val="auto"/>
          <w:sz w:val="20"/>
          <w:szCs w:val="20"/>
        </w:rPr>
        <w:t>recommandation</w:t>
      </w:r>
      <w:bookmarkEnd w:id="66"/>
    </w:p>
    <w:p w:rsidR="00D15C59" w:rsidRDefault="00D15C59" w:rsidP="00577194">
      <w:pPr>
        <w:spacing w:after="0" w:line="240" w:lineRule="auto"/>
        <w:jc w:val="both"/>
        <w:rPr>
          <w:rFonts w:ascii="Arial" w:hAnsi="Arial" w:cs="Arial"/>
          <w:sz w:val="20"/>
          <w:szCs w:val="20"/>
        </w:rPr>
      </w:pPr>
    </w:p>
    <w:p w:rsidR="00D15C59" w:rsidRDefault="006245F0" w:rsidP="00577194">
      <w:pPr>
        <w:spacing w:after="0" w:line="240" w:lineRule="auto"/>
        <w:jc w:val="both"/>
        <w:rPr>
          <w:rFonts w:ascii="Arial" w:hAnsi="Arial" w:cs="Arial"/>
          <w:sz w:val="20"/>
          <w:szCs w:val="20"/>
        </w:rPr>
      </w:pPr>
      <w:r>
        <w:rPr>
          <w:rFonts w:ascii="Arial" w:hAnsi="Arial" w:cs="Arial"/>
          <w:sz w:val="20"/>
          <w:szCs w:val="20"/>
        </w:rPr>
        <w:t>La Ligue des droits de l’Homme demandent aux autorités françaises :</w:t>
      </w:r>
    </w:p>
    <w:p w:rsidR="00C240E9" w:rsidRDefault="00C240E9" w:rsidP="00577194">
      <w:pPr>
        <w:spacing w:after="0" w:line="240" w:lineRule="auto"/>
        <w:jc w:val="both"/>
        <w:rPr>
          <w:rFonts w:ascii="Arial" w:hAnsi="Arial" w:cs="Arial"/>
          <w:sz w:val="20"/>
          <w:szCs w:val="20"/>
        </w:rPr>
      </w:pPr>
    </w:p>
    <w:p w:rsidR="00C240E9" w:rsidRPr="00C240E9" w:rsidRDefault="00C240E9" w:rsidP="00C240E9">
      <w:pPr>
        <w:pStyle w:val="Paragraphedeliste"/>
        <w:numPr>
          <w:ilvl w:val="0"/>
          <w:numId w:val="4"/>
        </w:numPr>
        <w:spacing w:after="0" w:line="240" w:lineRule="auto"/>
        <w:jc w:val="both"/>
        <w:rPr>
          <w:rFonts w:ascii="Arial" w:hAnsi="Arial" w:cs="Arial"/>
          <w:sz w:val="20"/>
          <w:szCs w:val="20"/>
        </w:rPr>
      </w:pPr>
      <w:r>
        <w:rPr>
          <w:rFonts w:ascii="Arial" w:hAnsi="Arial" w:cs="Arial"/>
          <w:sz w:val="20"/>
          <w:szCs w:val="20"/>
        </w:rPr>
        <w:t>d’organiser un réel débat autour de l’utilisation des moyens de surveillance et de retirer le projet de loi actuel.</w:t>
      </w:r>
    </w:p>
    <w:p w:rsidR="00A25BFB" w:rsidRDefault="00A25BFB" w:rsidP="00577194">
      <w:pPr>
        <w:spacing w:after="0" w:line="240" w:lineRule="auto"/>
        <w:jc w:val="both"/>
        <w:rPr>
          <w:rFonts w:ascii="Arial" w:hAnsi="Arial" w:cs="Arial"/>
          <w:sz w:val="20"/>
          <w:szCs w:val="20"/>
        </w:rPr>
      </w:pPr>
    </w:p>
    <w:p w:rsidR="00A25BFB" w:rsidRDefault="00A25BFB" w:rsidP="00577194">
      <w:pPr>
        <w:spacing w:after="0" w:line="240" w:lineRule="auto"/>
        <w:jc w:val="both"/>
        <w:rPr>
          <w:rFonts w:ascii="Arial" w:hAnsi="Arial" w:cs="Arial"/>
          <w:sz w:val="20"/>
          <w:szCs w:val="20"/>
        </w:rPr>
      </w:pPr>
    </w:p>
    <w:p w:rsidR="00A25BFB" w:rsidRDefault="00A25BFB" w:rsidP="00577194">
      <w:pPr>
        <w:spacing w:after="0" w:line="240" w:lineRule="auto"/>
        <w:jc w:val="both"/>
        <w:rPr>
          <w:rFonts w:ascii="Arial" w:hAnsi="Arial" w:cs="Arial"/>
          <w:sz w:val="20"/>
          <w:szCs w:val="20"/>
        </w:rPr>
      </w:pPr>
    </w:p>
    <w:p w:rsidR="00A25BFB" w:rsidRDefault="00A25BFB" w:rsidP="00577194">
      <w:pPr>
        <w:spacing w:after="0" w:line="240" w:lineRule="auto"/>
        <w:jc w:val="both"/>
        <w:rPr>
          <w:rFonts w:ascii="Arial" w:hAnsi="Arial" w:cs="Arial"/>
          <w:sz w:val="20"/>
          <w:szCs w:val="20"/>
        </w:rPr>
      </w:pPr>
    </w:p>
    <w:p w:rsidR="00A25BFB" w:rsidRDefault="00A25BFB" w:rsidP="00577194">
      <w:pPr>
        <w:spacing w:after="0" w:line="240" w:lineRule="auto"/>
        <w:jc w:val="both"/>
        <w:rPr>
          <w:rFonts w:ascii="Arial" w:hAnsi="Arial" w:cs="Arial"/>
          <w:sz w:val="20"/>
          <w:szCs w:val="20"/>
        </w:rPr>
      </w:pPr>
    </w:p>
    <w:p w:rsidR="00A25BFB" w:rsidRPr="009E29EA" w:rsidRDefault="009E29EA" w:rsidP="009E29EA">
      <w:pPr>
        <w:pStyle w:val="Titre1"/>
        <w:shd w:val="clear" w:color="auto" w:fill="BFBFBF" w:themeFill="background1" w:themeFillShade="BF"/>
        <w:spacing w:before="0" w:line="240" w:lineRule="auto"/>
        <w:jc w:val="both"/>
        <w:rPr>
          <w:rFonts w:ascii="Arial" w:hAnsi="Arial" w:cs="Arial"/>
          <w:smallCaps/>
          <w:color w:val="auto"/>
          <w:sz w:val="20"/>
          <w:szCs w:val="20"/>
        </w:rPr>
      </w:pPr>
      <w:bookmarkStart w:id="67" w:name="_Toc420924118"/>
      <w:r w:rsidRPr="009E29EA">
        <w:rPr>
          <w:rFonts w:ascii="Arial" w:hAnsi="Arial" w:cs="Arial"/>
          <w:smallCaps/>
          <w:color w:val="auto"/>
          <w:sz w:val="20"/>
          <w:szCs w:val="20"/>
        </w:rPr>
        <w:t>élimination de l’esclavage et de la servitude</w:t>
      </w:r>
      <w:bookmarkEnd w:id="67"/>
    </w:p>
    <w:p w:rsidR="00A25BFB" w:rsidRDefault="00A25BFB" w:rsidP="00577194">
      <w:pPr>
        <w:spacing w:after="0" w:line="240" w:lineRule="auto"/>
        <w:jc w:val="both"/>
        <w:rPr>
          <w:rFonts w:ascii="Arial" w:hAnsi="Arial" w:cs="Arial"/>
          <w:sz w:val="20"/>
          <w:szCs w:val="20"/>
        </w:rPr>
      </w:pPr>
    </w:p>
    <w:p w:rsidR="00A25BFB" w:rsidRDefault="00D15C59" w:rsidP="00577194">
      <w:pPr>
        <w:spacing w:after="0" w:line="240" w:lineRule="auto"/>
        <w:jc w:val="both"/>
        <w:rPr>
          <w:rFonts w:ascii="Arial" w:hAnsi="Arial" w:cs="Arial"/>
          <w:sz w:val="20"/>
          <w:szCs w:val="20"/>
        </w:rPr>
      </w:pPr>
      <w:r w:rsidRPr="00D15C59">
        <w:rPr>
          <w:rFonts w:ascii="Arial" w:hAnsi="Arial" w:cs="Arial"/>
          <w:b/>
          <w:sz w:val="16"/>
          <w:szCs w:val="16"/>
        </w:rPr>
        <w:t>1</w:t>
      </w:r>
      <w:r w:rsidR="00950988">
        <w:rPr>
          <w:rFonts w:ascii="Arial" w:hAnsi="Arial" w:cs="Arial"/>
          <w:b/>
          <w:sz w:val="16"/>
          <w:szCs w:val="16"/>
        </w:rPr>
        <w:t>13</w:t>
      </w:r>
      <w:r>
        <w:rPr>
          <w:rFonts w:ascii="Arial" w:hAnsi="Arial" w:cs="Arial"/>
          <w:sz w:val="20"/>
          <w:szCs w:val="20"/>
        </w:rPr>
        <w:t>.</w:t>
      </w:r>
      <w:r w:rsidR="00A25BFB">
        <w:rPr>
          <w:rFonts w:ascii="Arial" w:hAnsi="Arial" w:cs="Arial"/>
          <w:sz w:val="20"/>
          <w:szCs w:val="20"/>
        </w:rPr>
        <w:t>Votre Comité, lors de la 111</w:t>
      </w:r>
      <w:r w:rsidR="00A25BFB" w:rsidRPr="00A25BFB">
        <w:rPr>
          <w:rFonts w:ascii="Arial" w:hAnsi="Arial" w:cs="Arial"/>
          <w:sz w:val="20"/>
          <w:szCs w:val="20"/>
          <w:vertAlign w:val="superscript"/>
        </w:rPr>
        <w:t>ème</w:t>
      </w:r>
      <w:r w:rsidR="00A25BFB">
        <w:rPr>
          <w:rFonts w:ascii="Arial" w:hAnsi="Arial" w:cs="Arial"/>
          <w:sz w:val="20"/>
          <w:szCs w:val="20"/>
        </w:rPr>
        <w:t xml:space="preserve"> session, dans le cadre de l’adoption de la liste des points à traiter dans le cadre du 5</w:t>
      </w:r>
      <w:r w:rsidR="00A25BFB" w:rsidRPr="00A25BFB">
        <w:rPr>
          <w:rFonts w:ascii="Arial" w:hAnsi="Arial" w:cs="Arial"/>
          <w:sz w:val="20"/>
          <w:szCs w:val="20"/>
          <w:vertAlign w:val="superscript"/>
        </w:rPr>
        <w:t>ème</w:t>
      </w:r>
      <w:r w:rsidR="00A25BFB">
        <w:rPr>
          <w:rFonts w:ascii="Arial" w:hAnsi="Arial" w:cs="Arial"/>
          <w:sz w:val="20"/>
          <w:szCs w:val="20"/>
        </w:rPr>
        <w:t xml:space="preserve"> rapport périodique de la France, a souhaité </w:t>
      </w:r>
      <w:r w:rsidR="00DE75E1">
        <w:rPr>
          <w:rFonts w:ascii="Arial" w:hAnsi="Arial" w:cs="Arial"/>
          <w:sz w:val="20"/>
          <w:szCs w:val="20"/>
        </w:rPr>
        <w:t xml:space="preserve">notamment </w:t>
      </w:r>
      <w:r w:rsidR="00A25BFB">
        <w:rPr>
          <w:rFonts w:ascii="Arial" w:hAnsi="Arial" w:cs="Arial"/>
          <w:sz w:val="20"/>
          <w:szCs w:val="20"/>
        </w:rPr>
        <w:t xml:space="preserve">obtenir des informations relatives au </w:t>
      </w:r>
      <w:r w:rsidR="00DE75E1">
        <w:rPr>
          <w:rFonts w:ascii="Arial" w:hAnsi="Arial" w:cs="Arial"/>
          <w:sz w:val="20"/>
          <w:szCs w:val="20"/>
        </w:rPr>
        <w:t>progrès</w:t>
      </w:r>
      <w:r w:rsidR="00A25BFB">
        <w:rPr>
          <w:rFonts w:ascii="Arial" w:hAnsi="Arial" w:cs="Arial"/>
          <w:sz w:val="20"/>
          <w:szCs w:val="20"/>
        </w:rPr>
        <w:t xml:space="preserve"> accompli dans la lutte contre la traite des êtres humains </w:t>
      </w:r>
      <w:r w:rsidR="00DE75E1">
        <w:rPr>
          <w:rFonts w:ascii="Arial" w:hAnsi="Arial" w:cs="Arial"/>
          <w:sz w:val="20"/>
          <w:szCs w:val="20"/>
        </w:rPr>
        <w:t>ainsi que des données chiffrées sur le traitement de cette infraction par l’autorité judiciaire.</w:t>
      </w:r>
    </w:p>
    <w:p w:rsidR="00F56AB8" w:rsidRDefault="00F56AB8" w:rsidP="00577194">
      <w:pPr>
        <w:spacing w:after="0" w:line="240" w:lineRule="auto"/>
        <w:jc w:val="both"/>
        <w:rPr>
          <w:rFonts w:ascii="Arial" w:hAnsi="Arial" w:cs="Arial"/>
          <w:sz w:val="20"/>
          <w:szCs w:val="20"/>
        </w:rPr>
      </w:pPr>
    </w:p>
    <w:p w:rsidR="00F56AB8" w:rsidRDefault="00D15C59" w:rsidP="00577194">
      <w:pPr>
        <w:spacing w:after="0" w:line="240" w:lineRule="auto"/>
        <w:jc w:val="both"/>
        <w:rPr>
          <w:rFonts w:ascii="Arial" w:hAnsi="Arial" w:cs="Arial"/>
          <w:sz w:val="20"/>
          <w:szCs w:val="20"/>
        </w:rPr>
      </w:pPr>
      <w:r w:rsidRPr="00D15C59">
        <w:rPr>
          <w:rFonts w:ascii="Arial" w:hAnsi="Arial" w:cs="Arial"/>
          <w:b/>
          <w:sz w:val="16"/>
          <w:szCs w:val="16"/>
        </w:rPr>
        <w:t>11</w:t>
      </w:r>
      <w:r w:rsidR="00950988">
        <w:rPr>
          <w:rFonts w:ascii="Arial" w:hAnsi="Arial" w:cs="Arial"/>
          <w:b/>
          <w:sz w:val="16"/>
          <w:szCs w:val="16"/>
        </w:rPr>
        <w:t>4</w:t>
      </w:r>
      <w:r>
        <w:rPr>
          <w:rFonts w:ascii="Arial" w:hAnsi="Arial" w:cs="Arial"/>
          <w:sz w:val="20"/>
          <w:szCs w:val="20"/>
        </w:rPr>
        <w:t xml:space="preserve">. </w:t>
      </w:r>
      <w:r w:rsidR="00F56AB8">
        <w:rPr>
          <w:rFonts w:ascii="Arial" w:hAnsi="Arial" w:cs="Arial"/>
          <w:sz w:val="20"/>
          <w:szCs w:val="20"/>
        </w:rPr>
        <w:t>Sur la question de la traite des êtres humains, force est de constater que les améliorations demandées tant par votre Comité que par d’autres mécanismes de contrôle internationaux</w:t>
      </w:r>
      <w:r w:rsidR="00F56AB8" w:rsidRPr="003F651A">
        <w:rPr>
          <w:rStyle w:val="Appelnotedebasdep"/>
          <w:rFonts w:ascii="Arial" w:hAnsi="Arial" w:cs="Arial"/>
          <w:b/>
          <w:sz w:val="18"/>
          <w:szCs w:val="18"/>
        </w:rPr>
        <w:footnoteReference w:id="34"/>
      </w:r>
      <w:r w:rsidR="00F56AB8">
        <w:rPr>
          <w:rFonts w:ascii="Arial" w:hAnsi="Arial" w:cs="Arial"/>
          <w:sz w:val="20"/>
          <w:szCs w:val="20"/>
        </w:rPr>
        <w:t xml:space="preserve"> ne sont pas </w:t>
      </w:r>
      <w:r w:rsidR="0044080C">
        <w:rPr>
          <w:rFonts w:ascii="Arial" w:hAnsi="Arial" w:cs="Arial"/>
          <w:sz w:val="20"/>
          <w:szCs w:val="20"/>
        </w:rPr>
        <w:t xml:space="preserve">toujours </w:t>
      </w:r>
      <w:r w:rsidR="00F56AB8">
        <w:rPr>
          <w:rFonts w:ascii="Arial" w:hAnsi="Arial" w:cs="Arial"/>
          <w:sz w:val="20"/>
          <w:szCs w:val="20"/>
        </w:rPr>
        <w:t>suivis d’effet.</w:t>
      </w:r>
    </w:p>
    <w:p w:rsidR="001E3464" w:rsidRDefault="001E3464" w:rsidP="00577194">
      <w:pPr>
        <w:spacing w:after="0" w:line="240" w:lineRule="auto"/>
        <w:jc w:val="both"/>
        <w:rPr>
          <w:rFonts w:ascii="Arial" w:hAnsi="Arial" w:cs="Arial"/>
          <w:sz w:val="20"/>
          <w:szCs w:val="20"/>
        </w:rPr>
      </w:pPr>
    </w:p>
    <w:p w:rsidR="00C36666" w:rsidRDefault="00D15C59" w:rsidP="00577194">
      <w:pPr>
        <w:spacing w:after="0" w:line="240" w:lineRule="auto"/>
        <w:jc w:val="both"/>
        <w:rPr>
          <w:rFonts w:ascii="Arial" w:hAnsi="Arial" w:cs="Arial"/>
          <w:sz w:val="20"/>
          <w:szCs w:val="20"/>
        </w:rPr>
      </w:pPr>
      <w:r w:rsidRPr="00D15C59">
        <w:rPr>
          <w:rFonts w:ascii="Arial" w:hAnsi="Arial" w:cs="Arial"/>
          <w:b/>
          <w:sz w:val="16"/>
          <w:szCs w:val="16"/>
        </w:rPr>
        <w:t>11</w:t>
      </w:r>
      <w:r w:rsidR="001E3464">
        <w:rPr>
          <w:rFonts w:ascii="Arial" w:hAnsi="Arial" w:cs="Arial"/>
          <w:b/>
          <w:sz w:val="16"/>
          <w:szCs w:val="16"/>
        </w:rPr>
        <w:t>5</w:t>
      </w:r>
      <w:r>
        <w:rPr>
          <w:rFonts w:ascii="Arial" w:hAnsi="Arial" w:cs="Arial"/>
          <w:sz w:val="20"/>
          <w:szCs w:val="20"/>
        </w:rPr>
        <w:t xml:space="preserve">. </w:t>
      </w:r>
      <w:r w:rsidR="0044080C">
        <w:rPr>
          <w:rFonts w:ascii="Arial" w:hAnsi="Arial" w:cs="Arial"/>
          <w:sz w:val="20"/>
          <w:szCs w:val="20"/>
        </w:rPr>
        <w:t>Certes, il peut</w:t>
      </w:r>
      <w:r w:rsidR="00F56AB8">
        <w:rPr>
          <w:rFonts w:ascii="Arial" w:hAnsi="Arial" w:cs="Arial"/>
          <w:sz w:val="20"/>
          <w:szCs w:val="20"/>
        </w:rPr>
        <w:t xml:space="preserve"> être observé que le législateur</w:t>
      </w:r>
      <w:r w:rsidR="009F3B6A">
        <w:rPr>
          <w:rFonts w:ascii="Arial" w:hAnsi="Arial" w:cs="Arial"/>
          <w:sz w:val="20"/>
          <w:szCs w:val="20"/>
        </w:rPr>
        <w:t xml:space="preserve"> français</w:t>
      </w:r>
      <w:r w:rsidR="00F56AB8">
        <w:rPr>
          <w:rFonts w:ascii="Arial" w:hAnsi="Arial" w:cs="Arial"/>
          <w:sz w:val="20"/>
          <w:szCs w:val="20"/>
        </w:rPr>
        <w:t xml:space="preserve">, depuis plus douze ans, a tenu compte des engagements internationaux de l’Etat partie. </w:t>
      </w:r>
      <w:r w:rsidR="0044080C">
        <w:rPr>
          <w:rFonts w:ascii="Arial" w:hAnsi="Arial" w:cs="Arial"/>
          <w:sz w:val="20"/>
          <w:szCs w:val="20"/>
        </w:rPr>
        <w:t>En premier lieu, d</w:t>
      </w:r>
      <w:r w:rsidR="00F56AB8">
        <w:rPr>
          <w:rFonts w:ascii="Arial" w:hAnsi="Arial" w:cs="Arial"/>
          <w:sz w:val="20"/>
          <w:szCs w:val="20"/>
        </w:rPr>
        <w:t xml:space="preserve">ans le cadre de la loi n° 2013-239 du 18 mars 2003 pour la sécurité intérieure, </w:t>
      </w:r>
      <w:r w:rsidR="0015577A">
        <w:rPr>
          <w:rFonts w:ascii="Arial" w:hAnsi="Arial" w:cs="Arial"/>
          <w:sz w:val="20"/>
          <w:szCs w:val="20"/>
        </w:rPr>
        <w:t>la France s’est dotée d’une définition de l’infraction de traite des êtres humains.</w:t>
      </w:r>
      <w:r w:rsidR="00F56AB8">
        <w:rPr>
          <w:rFonts w:ascii="Arial" w:hAnsi="Arial" w:cs="Arial"/>
          <w:sz w:val="20"/>
          <w:szCs w:val="20"/>
        </w:rPr>
        <w:t xml:space="preserve"> </w:t>
      </w:r>
      <w:r w:rsidR="0044080C">
        <w:rPr>
          <w:rFonts w:ascii="Arial" w:hAnsi="Arial" w:cs="Arial"/>
          <w:sz w:val="20"/>
          <w:szCs w:val="20"/>
        </w:rPr>
        <w:t>Puis, récemment, la loi du 5 août 2013</w:t>
      </w:r>
      <w:r w:rsidR="003F651A" w:rsidRPr="003F651A">
        <w:rPr>
          <w:rStyle w:val="Appelnotedebasdep"/>
          <w:rFonts w:ascii="Arial" w:hAnsi="Arial" w:cs="Arial"/>
          <w:b/>
          <w:sz w:val="18"/>
          <w:szCs w:val="18"/>
        </w:rPr>
        <w:footnoteReference w:id="35"/>
      </w:r>
      <w:r w:rsidR="0044080C">
        <w:rPr>
          <w:rFonts w:ascii="Arial" w:hAnsi="Arial" w:cs="Arial"/>
          <w:sz w:val="20"/>
          <w:szCs w:val="20"/>
        </w:rPr>
        <w:t xml:space="preserve"> a élargi le champ pénal de l’infraction, conformément à une des recommandations</w:t>
      </w:r>
      <w:r w:rsidR="006C6899">
        <w:rPr>
          <w:rFonts w:ascii="Arial" w:hAnsi="Arial" w:cs="Arial"/>
          <w:sz w:val="20"/>
          <w:szCs w:val="20"/>
        </w:rPr>
        <w:t xml:space="preserve"> du GRETA</w:t>
      </w:r>
      <w:r w:rsidR="003F651A" w:rsidRPr="003F651A">
        <w:rPr>
          <w:rStyle w:val="Appelnotedebasdep"/>
          <w:rFonts w:ascii="Arial" w:hAnsi="Arial" w:cs="Arial"/>
          <w:b/>
          <w:sz w:val="18"/>
          <w:szCs w:val="18"/>
        </w:rPr>
        <w:footnoteReference w:id="36"/>
      </w:r>
      <w:r w:rsidR="006C6899">
        <w:rPr>
          <w:rFonts w:ascii="Arial" w:hAnsi="Arial" w:cs="Arial"/>
          <w:sz w:val="20"/>
          <w:szCs w:val="20"/>
        </w:rPr>
        <w:t>.</w:t>
      </w:r>
    </w:p>
    <w:p w:rsidR="00C36666" w:rsidRDefault="00C36666" w:rsidP="00577194">
      <w:pPr>
        <w:spacing w:after="0" w:line="240" w:lineRule="auto"/>
        <w:jc w:val="both"/>
        <w:rPr>
          <w:rFonts w:ascii="Arial" w:hAnsi="Arial" w:cs="Arial"/>
          <w:sz w:val="20"/>
          <w:szCs w:val="20"/>
        </w:rPr>
      </w:pPr>
    </w:p>
    <w:p w:rsidR="00F56AB8" w:rsidRDefault="00D15C59" w:rsidP="00577194">
      <w:pPr>
        <w:spacing w:after="0" w:line="240" w:lineRule="auto"/>
        <w:jc w:val="both"/>
        <w:rPr>
          <w:rFonts w:ascii="Arial" w:hAnsi="Arial" w:cs="Arial"/>
          <w:sz w:val="20"/>
          <w:szCs w:val="20"/>
        </w:rPr>
      </w:pPr>
      <w:r w:rsidRPr="00D15C59">
        <w:rPr>
          <w:rFonts w:ascii="Arial" w:hAnsi="Arial" w:cs="Arial"/>
          <w:b/>
          <w:sz w:val="16"/>
          <w:szCs w:val="16"/>
        </w:rPr>
        <w:t>11</w:t>
      </w:r>
      <w:r w:rsidR="001E3464">
        <w:rPr>
          <w:rFonts w:ascii="Arial" w:hAnsi="Arial" w:cs="Arial"/>
          <w:b/>
          <w:sz w:val="16"/>
          <w:szCs w:val="16"/>
        </w:rPr>
        <w:t>6</w:t>
      </w:r>
      <w:r>
        <w:rPr>
          <w:rFonts w:ascii="Arial" w:hAnsi="Arial" w:cs="Arial"/>
          <w:sz w:val="20"/>
          <w:szCs w:val="20"/>
        </w:rPr>
        <w:t xml:space="preserve">. </w:t>
      </w:r>
      <w:r w:rsidR="00C36666">
        <w:rPr>
          <w:rFonts w:ascii="Arial" w:hAnsi="Arial" w:cs="Arial"/>
          <w:sz w:val="20"/>
          <w:szCs w:val="20"/>
        </w:rPr>
        <w:t>Ainsi, il est mentionné : « </w:t>
      </w:r>
      <w:r w:rsidR="00C36666" w:rsidRPr="00C36666">
        <w:rPr>
          <w:rFonts w:ascii="Arial" w:hAnsi="Arial" w:cs="Arial"/>
          <w:i/>
          <w:sz w:val="20"/>
          <w:szCs w:val="20"/>
        </w:rPr>
        <w:t>Aux termes de l’article 225-4-1 du code pénal, l’exploitation est le fait de mettre la victime à sa disposition ou à la disposition d’un tiers même non identifié, non plus seulement pour permettre la commission contre la victime des infractions de proxénétisme, d’agressions ou d’atteintes sexuelles, d’exploitation de la mendicité, de conditions de travail ou d’hébergement contraires à la dignité, ou contraindre la victime à commettre tout crime ou délit, mais aussi pour la réduire en esclavage, la soumettre au travail ou à des services forcés, ou pour prélever un de ses organes</w:t>
      </w:r>
      <w:r w:rsidR="00C36666">
        <w:rPr>
          <w:rFonts w:ascii="Arial" w:hAnsi="Arial" w:cs="Arial"/>
          <w:sz w:val="20"/>
          <w:szCs w:val="20"/>
        </w:rPr>
        <w:t>. ».</w:t>
      </w:r>
    </w:p>
    <w:p w:rsidR="00F56AB8" w:rsidRDefault="00F56AB8" w:rsidP="00577194">
      <w:pPr>
        <w:spacing w:after="0" w:line="240" w:lineRule="auto"/>
        <w:jc w:val="both"/>
        <w:rPr>
          <w:rFonts w:ascii="Arial" w:hAnsi="Arial" w:cs="Arial"/>
          <w:sz w:val="20"/>
          <w:szCs w:val="20"/>
        </w:rPr>
      </w:pPr>
    </w:p>
    <w:p w:rsidR="00351F2A" w:rsidRDefault="00D15C59" w:rsidP="00577194">
      <w:pPr>
        <w:spacing w:after="0" w:line="240" w:lineRule="auto"/>
        <w:jc w:val="both"/>
        <w:rPr>
          <w:rFonts w:ascii="Arial" w:hAnsi="Arial" w:cs="Arial"/>
          <w:sz w:val="20"/>
          <w:szCs w:val="20"/>
        </w:rPr>
      </w:pPr>
      <w:r w:rsidRPr="00D15C59">
        <w:rPr>
          <w:rFonts w:ascii="Arial" w:hAnsi="Arial" w:cs="Arial"/>
          <w:b/>
          <w:sz w:val="16"/>
          <w:szCs w:val="16"/>
        </w:rPr>
        <w:t>11</w:t>
      </w:r>
      <w:r w:rsidR="001E3464">
        <w:rPr>
          <w:rFonts w:ascii="Arial" w:hAnsi="Arial" w:cs="Arial"/>
          <w:b/>
          <w:sz w:val="16"/>
          <w:szCs w:val="16"/>
        </w:rPr>
        <w:t>7</w:t>
      </w:r>
      <w:r>
        <w:rPr>
          <w:rFonts w:ascii="Arial" w:hAnsi="Arial" w:cs="Arial"/>
          <w:sz w:val="20"/>
          <w:szCs w:val="20"/>
        </w:rPr>
        <w:t xml:space="preserve">. </w:t>
      </w:r>
      <w:r w:rsidR="00C36666">
        <w:rPr>
          <w:rFonts w:ascii="Arial" w:hAnsi="Arial" w:cs="Arial"/>
          <w:sz w:val="20"/>
          <w:szCs w:val="20"/>
        </w:rPr>
        <w:t>Toutefois</w:t>
      </w:r>
      <w:r w:rsidR="0044080C">
        <w:rPr>
          <w:rFonts w:ascii="Arial" w:hAnsi="Arial" w:cs="Arial"/>
          <w:sz w:val="20"/>
          <w:szCs w:val="20"/>
        </w:rPr>
        <w:t>, l’accent mis sur l’infraction de traite des êtres humains ne doit pas faire oublier que les faits d’exploitation, qu’il s’agisse d’esclavage domestique, de proxénétisme, d’exploitation ou encore de mendicité forcée, doivent être réprimés et ouvrir pour les personnes victimes des droits en matière d’accueil, de protection, d’aide financière, de titre de séjour, etc.</w:t>
      </w:r>
    </w:p>
    <w:p w:rsidR="0044080C" w:rsidRDefault="0044080C" w:rsidP="00577194">
      <w:pPr>
        <w:spacing w:after="0" w:line="240" w:lineRule="auto"/>
        <w:jc w:val="both"/>
        <w:rPr>
          <w:rFonts w:ascii="Arial" w:hAnsi="Arial" w:cs="Arial"/>
          <w:sz w:val="20"/>
          <w:szCs w:val="20"/>
        </w:rPr>
      </w:pPr>
    </w:p>
    <w:p w:rsidR="00F26ADC" w:rsidRDefault="00D15C59" w:rsidP="00577194">
      <w:pPr>
        <w:spacing w:after="0" w:line="240" w:lineRule="auto"/>
        <w:jc w:val="both"/>
        <w:rPr>
          <w:rFonts w:ascii="Arial" w:hAnsi="Arial" w:cs="Arial"/>
          <w:sz w:val="20"/>
          <w:szCs w:val="20"/>
        </w:rPr>
      </w:pPr>
      <w:r w:rsidRPr="00D15C59">
        <w:rPr>
          <w:rFonts w:ascii="Arial" w:hAnsi="Arial" w:cs="Arial"/>
          <w:b/>
          <w:sz w:val="16"/>
          <w:szCs w:val="16"/>
        </w:rPr>
        <w:t>11</w:t>
      </w:r>
      <w:r w:rsidR="001E3464">
        <w:rPr>
          <w:rFonts w:ascii="Arial" w:hAnsi="Arial" w:cs="Arial"/>
          <w:b/>
          <w:sz w:val="16"/>
          <w:szCs w:val="16"/>
        </w:rPr>
        <w:t>8</w:t>
      </w:r>
      <w:r>
        <w:rPr>
          <w:rFonts w:ascii="Arial" w:hAnsi="Arial" w:cs="Arial"/>
          <w:sz w:val="20"/>
          <w:szCs w:val="20"/>
        </w:rPr>
        <w:t xml:space="preserve">. </w:t>
      </w:r>
      <w:r w:rsidR="0091255E">
        <w:rPr>
          <w:rFonts w:ascii="Arial" w:hAnsi="Arial" w:cs="Arial"/>
          <w:sz w:val="20"/>
          <w:szCs w:val="20"/>
        </w:rPr>
        <w:t>Or, concernant le volet répressif, comme le souligne la CNCDH dans son avis du 22 mai 2014</w:t>
      </w:r>
      <w:r w:rsidR="00C15AF4" w:rsidRPr="00C15AF4">
        <w:rPr>
          <w:rStyle w:val="Appelnotedebasdep"/>
          <w:rFonts w:ascii="Arial" w:hAnsi="Arial" w:cs="Arial"/>
          <w:b/>
          <w:sz w:val="18"/>
          <w:szCs w:val="18"/>
        </w:rPr>
        <w:footnoteReference w:id="37"/>
      </w:r>
      <w:r w:rsidR="0091255E">
        <w:rPr>
          <w:rFonts w:ascii="Arial" w:hAnsi="Arial" w:cs="Arial"/>
          <w:sz w:val="20"/>
          <w:szCs w:val="20"/>
        </w:rPr>
        <w:t> :</w:t>
      </w:r>
    </w:p>
    <w:p w:rsidR="00C15AF4" w:rsidRDefault="00C15AF4" w:rsidP="00577194">
      <w:pPr>
        <w:spacing w:after="0" w:line="240" w:lineRule="auto"/>
        <w:jc w:val="both"/>
        <w:rPr>
          <w:rFonts w:ascii="Arial" w:hAnsi="Arial" w:cs="Arial"/>
          <w:sz w:val="20"/>
          <w:szCs w:val="20"/>
        </w:rPr>
      </w:pPr>
    </w:p>
    <w:p w:rsidR="00F26ADC" w:rsidRPr="00C15AF4" w:rsidRDefault="0091255E" w:rsidP="00577194">
      <w:pPr>
        <w:spacing w:after="0" w:line="240" w:lineRule="auto"/>
        <w:jc w:val="both"/>
        <w:rPr>
          <w:rFonts w:ascii="Arial" w:hAnsi="Arial" w:cs="Arial"/>
          <w:i/>
          <w:sz w:val="20"/>
          <w:szCs w:val="20"/>
        </w:rPr>
      </w:pPr>
      <w:r>
        <w:rPr>
          <w:rFonts w:ascii="Arial" w:hAnsi="Arial" w:cs="Arial"/>
          <w:sz w:val="20"/>
          <w:szCs w:val="20"/>
        </w:rPr>
        <w:t>« </w:t>
      </w:r>
      <w:r w:rsidRPr="00C15AF4">
        <w:rPr>
          <w:rFonts w:ascii="Arial" w:hAnsi="Arial" w:cs="Arial"/>
          <w:i/>
          <w:sz w:val="20"/>
          <w:szCs w:val="20"/>
        </w:rPr>
        <w:t xml:space="preserve">La CNCDH note par ailleurs que la diversité des peines </w:t>
      </w:r>
      <w:r w:rsidR="00F26ADC" w:rsidRPr="00C15AF4">
        <w:rPr>
          <w:rFonts w:ascii="Arial" w:hAnsi="Arial" w:cs="Arial"/>
          <w:i/>
          <w:sz w:val="20"/>
          <w:szCs w:val="20"/>
        </w:rPr>
        <w:t xml:space="preserve">actuellement </w:t>
      </w:r>
      <w:r w:rsidRPr="00C15AF4">
        <w:rPr>
          <w:rFonts w:ascii="Arial" w:hAnsi="Arial" w:cs="Arial"/>
          <w:i/>
          <w:sz w:val="20"/>
          <w:szCs w:val="20"/>
        </w:rPr>
        <w:t>encourues</w:t>
      </w:r>
      <w:r w:rsidR="00B240D7" w:rsidRPr="00C15AF4">
        <w:rPr>
          <w:rFonts w:ascii="Arial" w:hAnsi="Arial" w:cs="Arial"/>
          <w:i/>
          <w:sz w:val="20"/>
          <w:szCs w:val="20"/>
        </w:rPr>
        <w:t xml:space="preserve"> </w:t>
      </w:r>
      <w:r w:rsidR="00F26ADC" w:rsidRPr="00C15AF4">
        <w:rPr>
          <w:rFonts w:ascii="Arial" w:hAnsi="Arial" w:cs="Arial"/>
          <w:i/>
          <w:sz w:val="20"/>
          <w:szCs w:val="20"/>
        </w:rPr>
        <w:t>par les auteurs de faits de traite ou d’exploitation ne permet de respecter ni le principe de légalité criminelle, ni celui d’égalité. En raison du recours à des « infractions relais »</w:t>
      </w:r>
      <w:r w:rsidR="000906F2" w:rsidRPr="00C62205">
        <w:rPr>
          <w:rStyle w:val="Appelnotedebasdep"/>
          <w:rFonts w:ascii="Arial" w:hAnsi="Arial" w:cs="Arial"/>
          <w:b/>
          <w:i/>
          <w:sz w:val="18"/>
          <w:szCs w:val="18"/>
        </w:rPr>
        <w:footnoteReference w:id="38"/>
      </w:r>
      <w:r w:rsidR="00F26ADC" w:rsidRPr="00C15AF4">
        <w:rPr>
          <w:rFonts w:ascii="Arial" w:hAnsi="Arial" w:cs="Arial"/>
          <w:i/>
          <w:sz w:val="20"/>
          <w:szCs w:val="20"/>
        </w:rPr>
        <w:t xml:space="preserve"> exposant leurs auteurs à des peines s’élevant de deux mois d’emprisonnement à la réclusion criminelle à perpétuité, la peine encourue pour des faits de traite ou d’exploitation est particulièrement imprévisible. Elle peut en outre varier, alors même que des faits similaires ont été commis, en fonction de l’incrimination finalement retenue.</w:t>
      </w:r>
    </w:p>
    <w:p w:rsidR="0044080C" w:rsidRDefault="00F26ADC" w:rsidP="00577194">
      <w:pPr>
        <w:spacing w:after="0" w:line="240" w:lineRule="auto"/>
        <w:jc w:val="both"/>
        <w:rPr>
          <w:rFonts w:ascii="Arial" w:hAnsi="Arial" w:cs="Arial"/>
          <w:sz w:val="20"/>
          <w:szCs w:val="20"/>
        </w:rPr>
      </w:pPr>
      <w:r w:rsidRPr="00C15AF4">
        <w:rPr>
          <w:rFonts w:ascii="Arial" w:hAnsi="Arial" w:cs="Arial"/>
          <w:i/>
          <w:sz w:val="20"/>
          <w:szCs w:val="20"/>
        </w:rPr>
        <w:t>Par ailleurs, la gravité des faits de traite et d’exploitation exige que des enquêtes soient immédiatement et systématiquement ouvertes, sans dépendre de la déclaration ou de la dénonciation émanant d’une victime, en particulier lorsqu’elle est mineure.</w:t>
      </w:r>
      <w:r w:rsidR="00C15AF4" w:rsidRPr="00C15AF4">
        <w:rPr>
          <w:rFonts w:ascii="Arial" w:hAnsi="Arial" w:cs="Arial"/>
          <w:i/>
          <w:sz w:val="20"/>
          <w:szCs w:val="20"/>
        </w:rPr>
        <w:t xml:space="preserve"> Des recommandations en ce sens doivent être adressées avec force aux parquets. De façon à harmoniser la répression de la traite et de l’exploitation sur l’ensemble du territoire, la CNCDH recommande donc de définir une politique pénale en la matière, en insistant sur son caractère prioritaire. Face à un phénomène complexe aux contours encore mal définis, la sensibilisation et la formation des policiers, gendarmes et magistrats est essentielle pour favoriser la mise en œuvre efficace des dispositions pénales internes</w:t>
      </w:r>
      <w:r w:rsidR="00C15AF4">
        <w:rPr>
          <w:rFonts w:ascii="Arial" w:hAnsi="Arial" w:cs="Arial"/>
          <w:sz w:val="20"/>
          <w:szCs w:val="20"/>
        </w:rPr>
        <w:t>. »</w:t>
      </w:r>
    </w:p>
    <w:p w:rsidR="00C15AF4" w:rsidRDefault="00C15AF4" w:rsidP="00577194">
      <w:pPr>
        <w:spacing w:after="0" w:line="240" w:lineRule="auto"/>
        <w:jc w:val="both"/>
        <w:rPr>
          <w:rFonts w:ascii="Arial" w:hAnsi="Arial" w:cs="Arial"/>
          <w:sz w:val="20"/>
          <w:szCs w:val="20"/>
        </w:rPr>
      </w:pPr>
    </w:p>
    <w:p w:rsidR="00C62205" w:rsidRDefault="00D15C59" w:rsidP="00577194">
      <w:pPr>
        <w:spacing w:after="0" w:line="240" w:lineRule="auto"/>
        <w:jc w:val="both"/>
        <w:rPr>
          <w:rFonts w:ascii="Arial" w:hAnsi="Arial" w:cs="Arial"/>
          <w:sz w:val="20"/>
          <w:szCs w:val="20"/>
        </w:rPr>
      </w:pPr>
      <w:r w:rsidRPr="00D15C59">
        <w:rPr>
          <w:rFonts w:ascii="Arial" w:hAnsi="Arial" w:cs="Arial"/>
          <w:b/>
          <w:sz w:val="16"/>
          <w:szCs w:val="16"/>
        </w:rPr>
        <w:t>11</w:t>
      </w:r>
      <w:r w:rsidR="001E3464">
        <w:rPr>
          <w:rFonts w:ascii="Arial" w:hAnsi="Arial" w:cs="Arial"/>
          <w:b/>
          <w:sz w:val="16"/>
          <w:szCs w:val="16"/>
        </w:rPr>
        <w:t>9</w:t>
      </w:r>
      <w:r>
        <w:rPr>
          <w:rFonts w:ascii="Arial" w:hAnsi="Arial" w:cs="Arial"/>
          <w:sz w:val="20"/>
          <w:szCs w:val="20"/>
        </w:rPr>
        <w:t xml:space="preserve">. </w:t>
      </w:r>
      <w:r w:rsidR="000906F2">
        <w:rPr>
          <w:rFonts w:ascii="Arial" w:hAnsi="Arial" w:cs="Arial"/>
          <w:sz w:val="20"/>
          <w:szCs w:val="20"/>
        </w:rPr>
        <w:t>La CNCDH rejoint le constat fait</w:t>
      </w:r>
      <w:r w:rsidR="00085510">
        <w:rPr>
          <w:rFonts w:ascii="Arial" w:hAnsi="Arial" w:cs="Arial"/>
          <w:sz w:val="20"/>
          <w:szCs w:val="20"/>
        </w:rPr>
        <w:t xml:space="preserve">, </w:t>
      </w:r>
      <w:r w:rsidR="00FA2F2E">
        <w:rPr>
          <w:rFonts w:ascii="Arial" w:hAnsi="Arial" w:cs="Arial"/>
          <w:sz w:val="20"/>
          <w:szCs w:val="20"/>
        </w:rPr>
        <w:t>près de</w:t>
      </w:r>
      <w:r w:rsidR="00085510">
        <w:rPr>
          <w:rFonts w:ascii="Arial" w:hAnsi="Arial" w:cs="Arial"/>
          <w:sz w:val="20"/>
          <w:szCs w:val="20"/>
        </w:rPr>
        <w:t xml:space="preserve"> deux ans auparavant,</w:t>
      </w:r>
      <w:r w:rsidR="000906F2">
        <w:rPr>
          <w:rFonts w:ascii="Arial" w:hAnsi="Arial" w:cs="Arial"/>
          <w:sz w:val="20"/>
          <w:szCs w:val="20"/>
        </w:rPr>
        <w:t xml:space="preserve"> par le groupe d’experts du Conseil de l’</w:t>
      </w:r>
      <w:r w:rsidR="00C62205">
        <w:rPr>
          <w:rFonts w:ascii="Arial" w:hAnsi="Arial" w:cs="Arial"/>
          <w:sz w:val="20"/>
          <w:szCs w:val="20"/>
        </w:rPr>
        <w:t>Europe qui observait « </w:t>
      </w:r>
      <w:r w:rsidR="00C62205" w:rsidRPr="00085510">
        <w:rPr>
          <w:rFonts w:ascii="Arial" w:hAnsi="Arial" w:cs="Arial"/>
          <w:i/>
          <w:sz w:val="20"/>
          <w:szCs w:val="20"/>
        </w:rPr>
        <w:t>qu’une certaine confusion persiste entre l’infraction de traite et celles des différents types d’exploitation, ce qui n’est pas sans affecter les droits dont bénéficient les victimes de traite, le degré de sanctions encourues par les trafiquants et le nombre de condamnations</w:t>
      </w:r>
      <w:r w:rsidR="00085510" w:rsidRPr="00085510">
        <w:rPr>
          <w:rFonts w:ascii="Arial" w:hAnsi="Arial" w:cs="Arial"/>
          <w:i/>
          <w:sz w:val="20"/>
          <w:szCs w:val="20"/>
        </w:rPr>
        <w:t>. </w:t>
      </w:r>
      <w:r w:rsidR="00085510">
        <w:rPr>
          <w:rFonts w:ascii="Arial" w:hAnsi="Arial" w:cs="Arial"/>
          <w:sz w:val="20"/>
          <w:szCs w:val="20"/>
        </w:rPr>
        <w:t>»</w:t>
      </w:r>
    </w:p>
    <w:p w:rsidR="00C62205" w:rsidRDefault="00C62205" w:rsidP="00577194">
      <w:pPr>
        <w:spacing w:after="0" w:line="240" w:lineRule="auto"/>
        <w:jc w:val="both"/>
        <w:rPr>
          <w:rFonts w:ascii="Arial" w:hAnsi="Arial" w:cs="Arial"/>
          <w:sz w:val="20"/>
          <w:szCs w:val="20"/>
        </w:rPr>
      </w:pPr>
    </w:p>
    <w:p w:rsidR="00C15AF4" w:rsidRDefault="00D15C59" w:rsidP="00577194">
      <w:pPr>
        <w:spacing w:after="0" w:line="240" w:lineRule="auto"/>
        <w:jc w:val="both"/>
        <w:rPr>
          <w:rFonts w:ascii="Arial" w:hAnsi="Arial" w:cs="Arial"/>
          <w:sz w:val="20"/>
          <w:szCs w:val="20"/>
        </w:rPr>
      </w:pPr>
      <w:r w:rsidRPr="00D15C59">
        <w:rPr>
          <w:rFonts w:ascii="Arial" w:hAnsi="Arial" w:cs="Arial"/>
          <w:b/>
          <w:sz w:val="16"/>
          <w:szCs w:val="16"/>
        </w:rPr>
        <w:t>1</w:t>
      </w:r>
      <w:r w:rsidR="001E3464">
        <w:rPr>
          <w:rFonts w:ascii="Arial" w:hAnsi="Arial" w:cs="Arial"/>
          <w:b/>
          <w:sz w:val="16"/>
          <w:szCs w:val="16"/>
        </w:rPr>
        <w:t>20</w:t>
      </w:r>
      <w:r>
        <w:rPr>
          <w:rFonts w:ascii="Arial" w:hAnsi="Arial" w:cs="Arial"/>
          <w:sz w:val="20"/>
          <w:szCs w:val="20"/>
        </w:rPr>
        <w:t xml:space="preserve">. </w:t>
      </w:r>
      <w:r w:rsidR="00FA2F2E">
        <w:rPr>
          <w:rFonts w:ascii="Arial" w:hAnsi="Arial" w:cs="Arial"/>
          <w:sz w:val="20"/>
          <w:szCs w:val="20"/>
        </w:rPr>
        <w:t xml:space="preserve">Le GRETA notait également </w:t>
      </w:r>
      <w:r w:rsidR="000906F2">
        <w:rPr>
          <w:rFonts w:ascii="Arial" w:hAnsi="Arial" w:cs="Arial"/>
          <w:sz w:val="20"/>
          <w:szCs w:val="20"/>
        </w:rPr>
        <w:t>« </w:t>
      </w:r>
      <w:r w:rsidR="000906F2" w:rsidRPr="000906F2">
        <w:rPr>
          <w:rFonts w:ascii="Arial" w:hAnsi="Arial" w:cs="Arial"/>
          <w:i/>
          <w:sz w:val="20"/>
          <w:szCs w:val="20"/>
        </w:rPr>
        <w:t>qu’en l’absence d’un système de statistiques comptabilisant les victimes de la traite, il est difficile de faire un état des lieux fiable et de dégager des tendances, notamment selon le type d’exploitation (sexuelle, par le travail, etc.) et de prendre les mesures les plus efficaces possibles contre la traite </w:t>
      </w:r>
      <w:r w:rsidR="000906F2">
        <w:rPr>
          <w:rFonts w:ascii="Arial" w:hAnsi="Arial" w:cs="Arial"/>
          <w:sz w:val="20"/>
          <w:szCs w:val="20"/>
        </w:rPr>
        <w:t>».</w:t>
      </w:r>
    </w:p>
    <w:p w:rsidR="00FA2F2E" w:rsidRDefault="00FA2F2E" w:rsidP="00577194">
      <w:pPr>
        <w:spacing w:after="0" w:line="240" w:lineRule="auto"/>
        <w:jc w:val="both"/>
        <w:rPr>
          <w:rFonts w:ascii="Arial" w:hAnsi="Arial" w:cs="Arial"/>
          <w:sz w:val="20"/>
          <w:szCs w:val="20"/>
        </w:rPr>
      </w:pPr>
    </w:p>
    <w:p w:rsidR="000906F2" w:rsidRDefault="00D15C59" w:rsidP="00577194">
      <w:pPr>
        <w:spacing w:after="0" w:line="240" w:lineRule="auto"/>
        <w:jc w:val="both"/>
        <w:rPr>
          <w:rFonts w:ascii="Arial" w:hAnsi="Arial" w:cs="Arial"/>
          <w:sz w:val="20"/>
          <w:szCs w:val="20"/>
        </w:rPr>
      </w:pPr>
      <w:r w:rsidRPr="00D15C59">
        <w:rPr>
          <w:rFonts w:ascii="Arial" w:hAnsi="Arial" w:cs="Arial"/>
          <w:b/>
          <w:sz w:val="16"/>
          <w:szCs w:val="16"/>
        </w:rPr>
        <w:t>1</w:t>
      </w:r>
      <w:r w:rsidR="00950988">
        <w:rPr>
          <w:rFonts w:ascii="Arial" w:hAnsi="Arial" w:cs="Arial"/>
          <w:b/>
          <w:sz w:val="16"/>
          <w:szCs w:val="16"/>
        </w:rPr>
        <w:t>2</w:t>
      </w:r>
      <w:r w:rsidR="001E3464">
        <w:rPr>
          <w:rFonts w:ascii="Arial" w:hAnsi="Arial" w:cs="Arial"/>
          <w:b/>
          <w:sz w:val="16"/>
          <w:szCs w:val="16"/>
        </w:rPr>
        <w:t>1</w:t>
      </w:r>
      <w:r>
        <w:rPr>
          <w:rFonts w:ascii="Arial" w:hAnsi="Arial" w:cs="Arial"/>
          <w:sz w:val="20"/>
          <w:szCs w:val="20"/>
        </w:rPr>
        <w:t xml:space="preserve">. </w:t>
      </w:r>
      <w:r w:rsidR="00266E4A">
        <w:rPr>
          <w:rFonts w:ascii="Arial" w:hAnsi="Arial" w:cs="Arial"/>
          <w:sz w:val="20"/>
          <w:szCs w:val="20"/>
        </w:rPr>
        <w:t>S’agissant de l’accompagnement social des victimes de la traite des êtres humains, la situation n’a guère évoluée depuis plus de dix ans. En effet, l’accompagnement des victimes de la traite repose principalement sur les associations subventionnées par les autorités françaises, subventions qui ont été en baisse ces dernières années. De même, le dispositif d’accueil, de protection, d’hébergement des victimes repose uniquement sur des places en centres d’hébergement et de réinsertion sociale (CHRS), prévus pour les bénéficiaires de droit commun. Or, ces lieux d’accueil sont saturés, et il est difficile de dégager des places dans le cadre du dispositif existant.</w:t>
      </w:r>
    </w:p>
    <w:p w:rsidR="00307BC4" w:rsidRDefault="00307BC4" w:rsidP="00577194">
      <w:pPr>
        <w:spacing w:after="0" w:line="240" w:lineRule="auto"/>
        <w:jc w:val="both"/>
        <w:rPr>
          <w:rFonts w:ascii="Arial" w:hAnsi="Arial" w:cs="Arial"/>
          <w:sz w:val="20"/>
          <w:szCs w:val="20"/>
        </w:rPr>
      </w:pPr>
    </w:p>
    <w:p w:rsidR="00307BC4" w:rsidRDefault="00D15C59" w:rsidP="00577194">
      <w:pPr>
        <w:spacing w:after="0" w:line="240" w:lineRule="auto"/>
        <w:jc w:val="both"/>
        <w:rPr>
          <w:rFonts w:ascii="Arial" w:hAnsi="Arial" w:cs="Arial"/>
          <w:sz w:val="20"/>
          <w:szCs w:val="20"/>
        </w:rPr>
      </w:pPr>
      <w:r w:rsidRPr="00D15C59">
        <w:rPr>
          <w:rFonts w:ascii="Arial" w:hAnsi="Arial" w:cs="Arial"/>
          <w:b/>
          <w:sz w:val="16"/>
          <w:szCs w:val="16"/>
        </w:rPr>
        <w:t>1</w:t>
      </w:r>
      <w:r w:rsidR="00950988">
        <w:rPr>
          <w:rFonts w:ascii="Arial" w:hAnsi="Arial" w:cs="Arial"/>
          <w:b/>
          <w:sz w:val="16"/>
          <w:szCs w:val="16"/>
        </w:rPr>
        <w:t>2</w:t>
      </w:r>
      <w:r w:rsidR="001E3464">
        <w:rPr>
          <w:rFonts w:ascii="Arial" w:hAnsi="Arial" w:cs="Arial"/>
          <w:b/>
          <w:sz w:val="16"/>
          <w:szCs w:val="16"/>
        </w:rPr>
        <w:t>2</w:t>
      </w:r>
      <w:r>
        <w:rPr>
          <w:rFonts w:ascii="Arial" w:hAnsi="Arial" w:cs="Arial"/>
          <w:sz w:val="20"/>
          <w:szCs w:val="20"/>
        </w:rPr>
        <w:t xml:space="preserve">. </w:t>
      </w:r>
      <w:r w:rsidR="00307BC4">
        <w:rPr>
          <w:rFonts w:ascii="Arial" w:hAnsi="Arial" w:cs="Arial"/>
          <w:sz w:val="20"/>
          <w:szCs w:val="20"/>
        </w:rPr>
        <w:t>Concernant les mineurs, victimes de traite des êtres humains, ils bénéficient d’une prise en charge dans le cadre général de la protection de l’enfance. Dans les zones géographies connaissant un fort taux d’enfants non accompagnés, des difficultés sont rencontrées car les capacités d’assistance et d’hébergement sont saturées.</w:t>
      </w:r>
    </w:p>
    <w:p w:rsidR="000906F2" w:rsidRDefault="000906F2" w:rsidP="00577194">
      <w:pPr>
        <w:spacing w:after="0" w:line="240" w:lineRule="auto"/>
        <w:jc w:val="both"/>
        <w:rPr>
          <w:rFonts w:ascii="Arial" w:hAnsi="Arial" w:cs="Arial"/>
          <w:sz w:val="20"/>
          <w:szCs w:val="20"/>
        </w:rPr>
      </w:pPr>
    </w:p>
    <w:p w:rsidR="00266E4A" w:rsidRDefault="00D15C59" w:rsidP="00577194">
      <w:pPr>
        <w:spacing w:after="0" w:line="240" w:lineRule="auto"/>
        <w:jc w:val="both"/>
        <w:rPr>
          <w:rFonts w:ascii="Arial" w:hAnsi="Arial" w:cs="Arial"/>
          <w:sz w:val="20"/>
          <w:szCs w:val="20"/>
        </w:rPr>
      </w:pPr>
      <w:r w:rsidRPr="00D15C59">
        <w:rPr>
          <w:rFonts w:ascii="Arial" w:hAnsi="Arial" w:cs="Arial"/>
          <w:b/>
          <w:sz w:val="16"/>
          <w:szCs w:val="16"/>
        </w:rPr>
        <w:t>1</w:t>
      </w:r>
      <w:r w:rsidR="00950988">
        <w:rPr>
          <w:rFonts w:ascii="Arial" w:hAnsi="Arial" w:cs="Arial"/>
          <w:b/>
          <w:sz w:val="16"/>
          <w:szCs w:val="16"/>
        </w:rPr>
        <w:t>2</w:t>
      </w:r>
      <w:r w:rsidR="001E3464">
        <w:rPr>
          <w:rFonts w:ascii="Arial" w:hAnsi="Arial" w:cs="Arial"/>
          <w:b/>
          <w:sz w:val="16"/>
          <w:szCs w:val="16"/>
        </w:rPr>
        <w:t>3</w:t>
      </w:r>
      <w:r>
        <w:rPr>
          <w:rFonts w:ascii="Arial" w:hAnsi="Arial" w:cs="Arial"/>
          <w:sz w:val="20"/>
          <w:szCs w:val="20"/>
        </w:rPr>
        <w:t xml:space="preserve">. </w:t>
      </w:r>
      <w:r w:rsidR="00266E4A">
        <w:rPr>
          <w:rFonts w:ascii="Arial" w:hAnsi="Arial" w:cs="Arial"/>
          <w:sz w:val="20"/>
          <w:szCs w:val="20"/>
        </w:rPr>
        <w:t>S’il est effectif qu’un Plan d’action national contre la traite des êtres humains a été adopté par le Conseil des ministres le 14 mai 2014, que dans ce cadre la CNCDH se voit confier le mandat de rapporteur national –notamment en charge de collecter les données et d’évaluer les politiques publiques-, aucun moyen financier supplémentaire ne lui est alloué pour mener à bien sa mission.</w:t>
      </w:r>
    </w:p>
    <w:p w:rsidR="00266E4A" w:rsidRDefault="00266E4A" w:rsidP="00577194">
      <w:pPr>
        <w:spacing w:after="0" w:line="240" w:lineRule="auto"/>
        <w:jc w:val="both"/>
        <w:rPr>
          <w:rFonts w:ascii="Arial" w:hAnsi="Arial" w:cs="Arial"/>
          <w:sz w:val="20"/>
          <w:szCs w:val="20"/>
        </w:rPr>
      </w:pPr>
    </w:p>
    <w:p w:rsidR="00266E4A" w:rsidRDefault="00D15C59" w:rsidP="00577194">
      <w:pPr>
        <w:spacing w:after="0" w:line="240" w:lineRule="auto"/>
        <w:jc w:val="both"/>
        <w:rPr>
          <w:rFonts w:ascii="Arial" w:hAnsi="Arial" w:cs="Arial"/>
          <w:sz w:val="20"/>
          <w:szCs w:val="20"/>
        </w:rPr>
      </w:pPr>
      <w:r w:rsidRPr="00D15C59">
        <w:rPr>
          <w:rFonts w:ascii="Arial" w:hAnsi="Arial" w:cs="Arial"/>
          <w:b/>
          <w:sz w:val="16"/>
          <w:szCs w:val="16"/>
        </w:rPr>
        <w:lastRenderedPageBreak/>
        <w:t>12</w:t>
      </w:r>
      <w:r w:rsidR="001E3464">
        <w:rPr>
          <w:rFonts w:ascii="Arial" w:hAnsi="Arial" w:cs="Arial"/>
          <w:b/>
          <w:sz w:val="16"/>
          <w:szCs w:val="16"/>
        </w:rPr>
        <w:t>4</w:t>
      </w:r>
      <w:r>
        <w:rPr>
          <w:rFonts w:ascii="Arial" w:hAnsi="Arial" w:cs="Arial"/>
          <w:sz w:val="20"/>
          <w:szCs w:val="20"/>
        </w:rPr>
        <w:t xml:space="preserve">. </w:t>
      </w:r>
      <w:r w:rsidR="003F70D4">
        <w:rPr>
          <w:rFonts w:ascii="Arial" w:hAnsi="Arial" w:cs="Arial"/>
          <w:sz w:val="20"/>
          <w:szCs w:val="20"/>
        </w:rPr>
        <w:t xml:space="preserve">Enfin, il est à constater qu’une confusion demeure entre l’infraction de traite et celle des différents types d’exploitation. Ainsi, une proposition de loi </w:t>
      </w:r>
      <w:r w:rsidR="000B65D8">
        <w:rPr>
          <w:rFonts w:ascii="Arial" w:hAnsi="Arial" w:cs="Arial"/>
          <w:sz w:val="20"/>
          <w:szCs w:val="20"/>
        </w:rPr>
        <w:t>renforçant la lutte contre le système prostitutionnel a été adoptée en première lecture par l’Assemblée nationale le 4 décembre 2013 et, après modifications, par le Sénat le 30 mars 2015. Le texte doit repasser en seconde lecture à l’Assemblée nationale mais aucun calendrier n’est pour le moment fixé.</w:t>
      </w:r>
    </w:p>
    <w:p w:rsidR="000B65D8" w:rsidRDefault="000B65D8" w:rsidP="00577194">
      <w:pPr>
        <w:spacing w:after="0" w:line="240" w:lineRule="auto"/>
        <w:jc w:val="both"/>
        <w:rPr>
          <w:rFonts w:ascii="Arial" w:hAnsi="Arial" w:cs="Arial"/>
          <w:sz w:val="20"/>
          <w:szCs w:val="20"/>
        </w:rPr>
      </w:pPr>
    </w:p>
    <w:p w:rsidR="000B65D8" w:rsidRDefault="00D15C59" w:rsidP="00577194">
      <w:pPr>
        <w:spacing w:after="0" w:line="240" w:lineRule="auto"/>
        <w:jc w:val="both"/>
        <w:rPr>
          <w:rFonts w:ascii="Arial" w:hAnsi="Arial" w:cs="Arial"/>
          <w:sz w:val="20"/>
          <w:szCs w:val="20"/>
        </w:rPr>
      </w:pPr>
      <w:r w:rsidRPr="003E75DD">
        <w:rPr>
          <w:rFonts w:ascii="Arial" w:hAnsi="Arial" w:cs="Arial"/>
          <w:b/>
          <w:sz w:val="16"/>
          <w:szCs w:val="16"/>
        </w:rPr>
        <w:t>12</w:t>
      </w:r>
      <w:r w:rsidR="001E3464">
        <w:rPr>
          <w:rFonts w:ascii="Arial" w:hAnsi="Arial" w:cs="Arial"/>
          <w:b/>
          <w:sz w:val="16"/>
          <w:szCs w:val="16"/>
        </w:rPr>
        <w:t>5</w:t>
      </w:r>
      <w:r w:rsidR="003E75DD">
        <w:rPr>
          <w:rFonts w:ascii="Arial" w:hAnsi="Arial" w:cs="Arial"/>
          <w:sz w:val="20"/>
          <w:szCs w:val="20"/>
        </w:rPr>
        <w:t xml:space="preserve">. </w:t>
      </w:r>
      <w:r w:rsidR="000B65D8">
        <w:rPr>
          <w:rFonts w:ascii="Arial" w:hAnsi="Arial" w:cs="Arial"/>
          <w:sz w:val="20"/>
          <w:szCs w:val="20"/>
        </w:rPr>
        <w:t>Le texte parlementaire appréhende la lutte contre la traite et l’exploitation sous le seul angle de la prostitution, oubliant les autres formes d’exploitation tel que le travail forcé.</w:t>
      </w:r>
      <w:r w:rsidR="000B6D2F">
        <w:rPr>
          <w:rFonts w:ascii="Arial" w:hAnsi="Arial" w:cs="Arial"/>
          <w:sz w:val="20"/>
          <w:szCs w:val="20"/>
        </w:rPr>
        <w:t xml:space="preserve"> Comme le rappelle la CNCDH dans son avis du 22 mai 2014</w:t>
      </w:r>
      <w:r w:rsidR="000B6D2F" w:rsidRPr="000B6D2F">
        <w:rPr>
          <w:rStyle w:val="Appelnotedebasdep"/>
          <w:rFonts w:ascii="Arial" w:hAnsi="Arial" w:cs="Arial"/>
          <w:b/>
          <w:sz w:val="18"/>
          <w:szCs w:val="18"/>
        </w:rPr>
        <w:footnoteReference w:id="39"/>
      </w:r>
      <w:r w:rsidR="000B6D2F">
        <w:rPr>
          <w:rFonts w:ascii="Arial" w:hAnsi="Arial" w:cs="Arial"/>
          <w:sz w:val="20"/>
          <w:szCs w:val="20"/>
        </w:rPr>
        <w:t>, « </w:t>
      </w:r>
      <w:r w:rsidR="000B6D2F" w:rsidRPr="0095409C">
        <w:rPr>
          <w:rFonts w:ascii="Arial" w:hAnsi="Arial" w:cs="Arial"/>
          <w:i/>
          <w:sz w:val="20"/>
          <w:szCs w:val="20"/>
        </w:rPr>
        <w:t>la lutte contre la traite et l’exploitation ne peut être réellement efficace que si le phénomène est appréhendé dans sa globalité</w:t>
      </w:r>
      <w:r w:rsidR="000B6D2F">
        <w:rPr>
          <w:rFonts w:ascii="Arial" w:hAnsi="Arial" w:cs="Arial"/>
          <w:sz w:val="20"/>
          <w:szCs w:val="20"/>
        </w:rPr>
        <w:t> ».</w:t>
      </w:r>
    </w:p>
    <w:p w:rsidR="009C6D04" w:rsidRDefault="009C6D04" w:rsidP="00577194">
      <w:pPr>
        <w:spacing w:after="0" w:line="240" w:lineRule="auto"/>
        <w:jc w:val="both"/>
        <w:rPr>
          <w:rFonts w:ascii="Arial" w:hAnsi="Arial" w:cs="Arial"/>
          <w:sz w:val="20"/>
          <w:szCs w:val="20"/>
        </w:rPr>
      </w:pPr>
    </w:p>
    <w:p w:rsidR="0095409C" w:rsidRDefault="003E75DD" w:rsidP="00577194">
      <w:pPr>
        <w:spacing w:after="0" w:line="240" w:lineRule="auto"/>
        <w:jc w:val="both"/>
        <w:rPr>
          <w:rFonts w:ascii="Arial" w:hAnsi="Arial" w:cs="Arial"/>
          <w:sz w:val="20"/>
          <w:szCs w:val="20"/>
        </w:rPr>
      </w:pPr>
      <w:r w:rsidRPr="003E75DD">
        <w:rPr>
          <w:rFonts w:ascii="Arial" w:hAnsi="Arial" w:cs="Arial"/>
          <w:b/>
          <w:sz w:val="16"/>
          <w:szCs w:val="16"/>
        </w:rPr>
        <w:t>12</w:t>
      </w:r>
      <w:r w:rsidR="001E3464">
        <w:rPr>
          <w:rFonts w:ascii="Arial" w:hAnsi="Arial" w:cs="Arial"/>
          <w:b/>
          <w:sz w:val="16"/>
          <w:szCs w:val="16"/>
        </w:rPr>
        <w:t>6</w:t>
      </w:r>
      <w:r>
        <w:rPr>
          <w:rFonts w:ascii="Arial" w:hAnsi="Arial" w:cs="Arial"/>
          <w:sz w:val="20"/>
          <w:szCs w:val="20"/>
        </w:rPr>
        <w:t xml:space="preserve">. </w:t>
      </w:r>
      <w:r w:rsidR="0095409C">
        <w:rPr>
          <w:rFonts w:ascii="Arial" w:hAnsi="Arial" w:cs="Arial"/>
          <w:sz w:val="20"/>
          <w:szCs w:val="20"/>
        </w:rPr>
        <w:t>De son côté, le Groupe d’experts du Conseil de l’Europe (GRETA)</w:t>
      </w:r>
      <w:r w:rsidR="0095409C" w:rsidRPr="0095409C">
        <w:rPr>
          <w:rStyle w:val="Appelnotedebasdep"/>
          <w:rFonts w:ascii="Arial" w:hAnsi="Arial" w:cs="Arial"/>
          <w:b/>
          <w:sz w:val="18"/>
          <w:szCs w:val="18"/>
        </w:rPr>
        <w:footnoteReference w:id="40"/>
      </w:r>
      <w:r w:rsidR="0095409C">
        <w:rPr>
          <w:rFonts w:ascii="Arial" w:hAnsi="Arial" w:cs="Arial"/>
          <w:sz w:val="20"/>
          <w:szCs w:val="20"/>
        </w:rPr>
        <w:t xml:space="preserve"> a rappelé qu’isoler l’infraction certains types d’exploitation de l’infraction de traite et d’esclavage n’est pas « </w:t>
      </w:r>
      <w:r w:rsidR="0095409C" w:rsidRPr="007E584D">
        <w:rPr>
          <w:rFonts w:ascii="Arial" w:hAnsi="Arial" w:cs="Arial"/>
          <w:i/>
          <w:sz w:val="20"/>
          <w:szCs w:val="20"/>
        </w:rPr>
        <w:t>sans affecter les droits dont bénéficient les victimes de traite, le degré de sanctions encourues par les trafiquants et le nombre de condamnations.</w:t>
      </w:r>
      <w:r w:rsidR="0095409C">
        <w:rPr>
          <w:rFonts w:ascii="Arial" w:hAnsi="Arial" w:cs="Arial"/>
          <w:sz w:val="20"/>
          <w:szCs w:val="20"/>
        </w:rPr>
        <w:t> ».</w:t>
      </w:r>
    </w:p>
    <w:p w:rsidR="00B81401" w:rsidRDefault="00B81401" w:rsidP="00577194">
      <w:pPr>
        <w:spacing w:after="0" w:line="240" w:lineRule="auto"/>
        <w:jc w:val="both"/>
        <w:rPr>
          <w:rFonts w:ascii="Arial" w:hAnsi="Arial" w:cs="Arial"/>
          <w:sz w:val="20"/>
          <w:szCs w:val="20"/>
        </w:rPr>
      </w:pPr>
    </w:p>
    <w:p w:rsidR="00307BC4" w:rsidRDefault="00307BC4" w:rsidP="00577194">
      <w:pPr>
        <w:spacing w:after="0" w:line="240" w:lineRule="auto"/>
        <w:jc w:val="both"/>
        <w:rPr>
          <w:rFonts w:ascii="Arial" w:hAnsi="Arial" w:cs="Arial"/>
          <w:sz w:val="20"/>
          <w:szCs w:val="20"/>
        </w:rPr>
      </w:pPr>
    </w:p>
    <w:p w:rsidR="00307BC4" w:rsidRDefault="00307BC4" w:rsidP="00577194">
      <w:pPr>
        <w:spacing w:after="0" w:line="240" w:lineRule="auto"/>
        <w:jc w:val="both"/>
        <w:rPr>
          <w:rFonts w:ascii="Arial" w:hAnsi="Arial" w:cs="Arial"/>
          <w:sz w:val="20"/>
          <w:szCs w:val="20"/>
        </w:rPr>
      </w:pPr>
    </w:p>
    <w:p w:rsidR="00307BC4" w:rsidRDefault="00307BC4" w:rsidP="00577194">
      <w:pPr>
        <w:spacing w:after="0" w:line="240" w:lineRule="auto"/>
        <w:jc w:val="both"/>
        <w:rPr>
          <w:rFonts w:ascii="Arial" w:hAnsi="Arial" w:cs="Arial"/>
          <w:sz w:val="20"/>
          <w:szCs w:val="20"/>
        </w:rPr>
      </w:pPr>
    </w:p>
    <w:p w:rsidR="00307BC4" w:rsidRPr="002A2410" w:rsidRDefault="00C76C25" w:rsidP="002A2410">
      <w:pPr>
        <w:pStyle w:val="Titre2"/>
        <w:shd w:val="clear" w:color="auto" w:fill="BFBFBF" w:themeFill="background1" w:themeFillShade="BF"/>
        <w:spacing w:before="0" w:line="240" w:lineRule="auto"/>
        <w:jc w:val="both"/>
        <w:rPr>
          <w:rFonts w:ascii="Arial" w:hAnsi="Arial" w:cs="Arial"/>
          <w:smallCaps/>
          <w:color w:val="auto"/>
          <w:sz w:val="20"/>
          <w:szCs w:val="20"/>
        </w:rPr>
      </w:pPr>
      <w:bookmarkStart w:id="68" w:name="_Toc420924119"/>
      <w:r w:rsidRPr="002A2410">
        <w:rPr>
          <w:rFonts w:ascii="Arial" w:hAnsi="Arial" w:cs="Arial"/>
          <w:smallCaps/>
          <w:color w:val="auto"/>
          <w:sz w:val="20"/>
          <w:szCs w:val="20"/>
        </w:rPr>
        <w:t>recommandations</w:t>
      </w:r>
      <w:bookmarkEnd w:id="68"/>
    </w:p>
    <w:p w:rsidR="00307BC4" w:rsidRDefault="00307BC4" w:rsidP="00577194">
      <w:pPr>
        <w:spacing w:after="0" w:line="240" w:lineRule="auto"/>
        <w:jc w:val="both"/>
        <w:rPr>
          <w:rFonts w:ascii="Arial" w:hAnsi="Arial" w:cs="Arial"/>
          <w:sz w:val="20"/>
          <w:szCs w:val="20"/>
        </w:rPr>
      </w:pPr>
    </w:p>
    <w:p w:rsidR="00307BC4" w:rsidRDefault="00307BC4" w:rsidP="00577194">
      <w:pPr>
        <w:spacing w:after="0" w:line="240" w:lineRule="auto"/>
        <w:jc w:val="both"/>
        <w:rPr>
          <w:rFonts w:ascii="Arial" w:hAnsi="Arial" w:cs="Arial"/>
          <w:sz w:val="20"/>
          <w:szCs w:val="20"/>
        </w:rPr>
      </w:pPr>
      <w:r>
        <w:rPr>
          <w:rFonts w:ascii="Arial" w:hAnsi="Arial" w:cs="Arial"/>
          <w:sz w:val="20"/>
          <w:szCs w:val="20"/>
        </w:rPr>
        <w:t>La Ligue des droits de l’Homme demande aux autorités françaises :</w:t>
      </w:r>
    </w:p>
    <w:p w:rsidR="00307BC4" w:rsidRDefault="00307BC4" w:rsidP="00577194">
      <w:pPr>
        <w:spacing w:after="0" w:line="240" w:lineRule="auto"/>
        <w:jc w:val="both"/>
        <w:rPr>
          <w:rFonts w:ascii="Arial" w:hAnsi="Arial" w:cs="Arial"/>
          <w:sz w:val="20"/>
          <w:szCs w:val="20"/>
        </w:rPr>
      </w:pPr>
    </w:p>
    <w:p w:rsidR="009C6D04" w:rsidRDefault="00520ACA" w:rsidP="009C6D04">
      <w:pPr>
        <w:pStyle w:val="Paragraphedeliste"/>
        <w:numPr>
          <w:ilvl w:val="0"/>
          <w:numId w:val="4"/>
        </w:numPr>
        <w:spacing w:after="0" w:line="240" w:lineRule="auto"/>
        <w:jc w:val="both"/>
        <w:rPr>
          <w:rFonts w:ascii="Arial" w:hAnsi="Arial" w:cs="Arial"/>
          <w:sz w:val="20"/>
          <w:szCs w:val="20"/>
        </w:rPr>
      </w:pPr>
      <w:r>
        <w:rPr>
          <w:rFonts w:ascii="Arial" w:hAnsi="Arial" w:cs="Arial"/>
          <w:sz w:val="20"/>
          <w:szCs w:val="20"/>
        </w:rPr>
        <w:t>de renforcer leurs efforts, auprès des acteurs judiciaires, afin de mieux faire connaître l’infraction de traie qui, bien qu’invoquée, est souvent méconnue ou sous-utilisée au profit d’infractions mieux connues </w:t>
      </w:r>
      <w:r w:rsidR="009C6D04">
        <w:rPr>
          <w:rFonts w:ascii="Arial" w:hAnsi="Arial" w:cs="Arial"/>
          <w:sz w:val="20"/>
          <w:szCs w:val="20"/>
        </w:rPr>
        <w:t>;</w:t>
      </w:r>
    </w:p>
    <w:p w:rsidR="009C6D04" w:rsidRPr="009C6D04" w:rsidRDefault="009C6D04" w:rsidP="009C6D04">
      <w:pPr>
        <w:spacing w:after="0" w:line="240" w:lineRule="auto"/>
        <w:jc w:val="both"/>
        <w:rPr>
          <w:rFonts w:ascii="Arial" w:hAnsi="Arial" w:cs="Arial"/>
          <w:sz w:val="20"/>
          <w:szCs w:val="20"/>
        </w:rPr>
      </w:pPr>
    </w:p>
    <w:p w:rsidR="00B81401" w:rsidRDefault="00307BC4" w:rsidP="00577194">
      <w:pPr>
        <w:pStyle w:val="Paragraphedeliste"/>
        <w:numPr>
          <w:ilvl w:val="0"/>
          <w:numId w:val="4"/>
        </w:numPr>
        <w:spacing w:after="0" w:line="240" w:lineRule="auto"/>
        <w:jc w:val="both"/>
        <w:rPr>
          <w:rFonts w:ascii="Arial" w:hAnsi="Arial" w:cs="Arial"/>
          <w:sz w:val="20"/>
          <w:szCs w:val="20"/>
        </w:rPr>
      </w:pPr>
      <w:r w:rsidRPr="001A1F46">
        <w:rPr>
          <w:rFonts w:ascii="Arial" w:hAnsi="Arial" w:cs="Arial"/>
          <w:sz w:val="20"/>
          <w:szCs w:val="20"/>
        </w:rPr>
        <w:t xml:space="preserve"> </w:t>
      </w:r>
      <w:r w:rsidR="00520ACA">
        <w:rPr>
          <w:rFonts w:ascii="Arial" w:hAnsi="Arial" w:cs="Arial"/>
          <w:sz w:val="20"/>
          <w:szCs w:val="20"/>
        </w:rPr>
        <w:t xml:space="preserve">de mettre en place </w:t>
      </w:r>
      <w:r w:rsidR="009C6D04">
        <w:rPr>
          <w:rFonts w:ascii="Arial" w:hAnsi="Arial" w:cs="Arial"/>
          <w:sz w:val="20"/>
          <w:szCs w:val="20"/>
        </w:rPr>
        <w:t>une protection spécifique pour les enfants victimes de traite des êtres humains</w:t>
      </w:r>
      <w:r w:rsidR="001A1F46">
        <w:rPr>
          <w:rFonts w:ascii="Arial" w:hAnsi="Arial" w:cs="Arial"/>
          <w:sz w:val="20"/>
          <w:szCs w:val="20"/>
        </w:rPr>
        <w:t> ;</w:t>
      </w:r>
    </w:p>
    <w:p w:rsidR="001A1F46" w:rsidRPr="001A1F46" w:rsidRDefault="001A1F46" w:rsidP="001A1F46">
      <w:pPr>
        <w:spacing w:after="0" w:line="240" w:lineRule="auto"/>
        <w:jc w:val="both"/>
        <w:rPr>
          <w:rFonts w:ascii="Arial" w:hAnsi="Arial" w:cs="Arial"/>
          <w:sz w:val="20"/>
          <w:szCs w:val="20"/>
        </w:rPr>
      </w:pPr>
    </w:p>
    <w:p w:rsidR="001A1F46" w:rsidRDefault="00520ACA" w:rsidP="00577194">
      <w:pPr>
        <w:pStyle w:val="Paragraphedeliste"/>
        <w:numPr>
          <w:ilvl w:val="0"/>
          <w:numId w:val="4"/>
        </w:numPr>
        <w:spacing w:after="0" w:line="240" w:lineRule="auto"/>
        <w:jc w:val="both"/>
        <w:rPr>
          <w:rFonts w:ascii="Arial" w:hAnsi="Arial" w:cs="Arial"/>
          <w:sz w:val="20"/>
          <w:szCs w:val="20"/>
        </w:rPr>
      </w:pPr>
      <w:r>
        <w:rPr>
          <w:rFonts w:ascii="Arial" w:hAnsi="Arial" w:cs="Arial"/>
          <w:sz w:val="20"/>
          <w:szCs w:val="20"/>
        </w:rPr>
        <w:t>d’attribuer des moyens financiers à la CNCDH lui permettant de mener à bien son mandat de rapporteur national.</w:t>
      </w:r>
    </w:p>
    <w:p w:rsidR="008366A3" w:rsidRPr="008366A3" w:rsidRDefault="008366A3" w:rsidP="008366A3">
      <w:pPr>
        <w:pStyle w:val="Paragraphedeliste"/>
        <w:rPr>
          <w:rFonts w:ascii="Arial" w:hAnsi="Arial" w:cs="Arial"/>
          <w:sz w:val="20"/>
          <w:szCs w:val="20"/>
        </w:rPr>
      </w:pPr>
    </w:p>
    <w:p w:rsidR="008366A3" w:rsidRPr="00492F56" w:rsidRDefault="008366A3" w:rsidP="008366A3">
      <w:pPr>
        <w:jc w:val="both"/>
        <w:rPr>
          <w:rFonts w:ascii="Arial" w:hAnsi="Arial" w:cs="Arial"/>
          <w:color w:val="000000"/>
          <w:sz w:val="20"/>
          <w:szCs w:val="20"/>
        </w:rPr>
      </w:pPr>
    </w:p>
    <w:tbl>
      <w:tblPr>
        <w:tblStyle w:val="Grilledutableau"/>
        <w:tblW w:w="0" w:type="auto"/>
        <w:tblLook w:val="04A0" w:firstRow="1" w:lastRow="0" w:firstColumn="1" w:lastColumn="0" w:noHBand="0" w:noVBand="1"/>
      </w:tblPr>
      <w:tblGrid>
        <w:gridCol w:w="9206"/>
      </w:tblGrid>
      <w:tr w:rsidR="008366A3" w:rsidRPr="00867352" w:rsidTr="00F54089">
        <w:tc>
          <w:tcPr>
            <w:tcW w:w="9206" w:type="dxa"/>
            <w:tcBorders>
              <w:top w:val="nil"/>
              <w:left w:val="nil"/>
              <w:bottom w:val="nil"/>
              <w:right w:val="nil"/>
            </w:tcBorders>
            <w:shd w:val="clear" w:color="auto" w:fill="D9D9D9" w:themeFill="background1" w:themeFillShade="D9"/>
          </w:tcPr>
          <w:p w:rsidR="008366A3" w:rsidRPr="00995E3D" w:rsidRDefault="00995E3D" w:rsidP="00F54089">
            <w:pPr>
              <w:pStyle w:val="Titre1"/>
              <w:spacing w:before="0"/>
              <w:jc w:val="both"/>
              <w:outlineLvl w:val="0"/>
              <w:rPr>
                <w:rFonts w:ascii="Arial" w:hAnsi="Arial" w:cs="Arial"/>
                <w:smallCaps/>
                <w:color w:val="auto"/>
                <w:sz w:val="20"/>
                <w:szCs w:val="20"/>
              </w:rPr>
            </w:pPr>
            <w:bookmarkStart w:id="69" w:name="_Toc282794096"/>
            <w:bookmarkStart w:id="70" w:name="_Toc282794286"/>
            <w:bookmarkStart w:id="71" w:name="_Toc282795919"/>
            <w:bookmarkStart w:id="72" w:name="_Toc413409290"/>
            <w:bookmarkStart w:id="73" w:name="_Toc415581580"/>
            <w:bookmarkStart w:id="74" w:name="_Toc420924120"/>
            <w:r w:rsidRPr="00995E3D">
              <w:rPr>
                <w:rFonts w:ascii="Arial" w:hAnsi="Arial" w:cs="Arial"/>
                <w:smallCaps/>
                <w:color w:val="auto"/>
                <w:sz w:val="20"/>
                <w:szCs w:val="20"/>
              </w:rPr>
              <w:t>la lutte contre le racisme, l’antisémitisme et la xénophobie</w:t>
            </w:r>
            <w:bookmarkEnd w:id="69"/>
            <w:bookmarkEnd w:id="70"/>
            <w:bookmarkEnd w:id="71"/>
            <w:bookmarkEnd w:id="72"/>
            <w:bookmarkEnd w:id="73"/>
            <w:bookmarkEnd w:id="74"/>
          </w:p>
        </w:tc>
      </w:tr>
    </w:tbl>
    <w:p w:rsidR="00995E3D" w:rsidRDefault="00995E3D" w:rsidP="00995E3D">
      <w:pPr>
        <w:spacing w:after="0" w:line="240" w:lineRule="auto"/>
        <w:jc w:val="both"/>
        <w:rPr>
          <w:rFonts w:ascii="Arial" w:hAnsi="Arial" w:cs="Arial"/>
          <w:b/>
          <w:caps/>
          <w:sz w:val="20"/>
          <w:szCs w:val="20"/>
        </w:rPr>
      </w:pPr>
    </w:p>
    <w:p w:rsidR="008366A3" w:rsidRDefault="003E75DD" w:rsidP="00995E3D">
      <w:pPr>
        <w:spacing w:after="0" w:line="240" w:lineRule="auto"/>
        <w:jc w:val="both"/>
        <w:rPr>
          <w:rFonts w:ascii="Arial" w:hAnsi="Arial" w:cs="Arial"/>
          <w:sz w:val="20"/>
          <w:szCs w:val="20"/>
        </w:rPr>
      </w:pPr>
      <w:r w:rsidRPr="003E75DD">
        <w:rPr>
          <w:rFonts w:ascii="Arial" w:hAnsi="Arial" w:cs="Arial"/>
          <w:b/>
          <w:sz w:val="16"/>
          <w:szCs w:val="16"/>
        </w:rPr>
        <w:t>12</w:t>
      </w:r>
      <w:r w:rsidR="001E3464">
        <w:rPr>
          <w:rFonts w:ascii="Arial" w:hAnsi="Arial" w:cs="Arial"/>
          <w:b/>
          <w:sz w:val="16"/>
          <w:szCs w:val="16"/>
        </w:rPr>
        <w:t>7</w:t>
      </w:r>
      <w:r>
        <w:rPr>
          <w:rFonts w:ascii="Arial" w:hAnsi="Arial" w:cs="Arial"/>
          <w:sz w:val="20"/>
          <w:szCs w:val="20"/>
        </w:rPr>
        <w:t xml:space="preserve">. </w:t>
      </w:r>
      <w:r w:rsidR="00616E86">
        <w:rPr>
          <w:rFonts w:ascii="Arial" w:hAnsi="Arial" w:cs="Arial"/>
          <w:sz w:val="20"/>
          <w:szCs w:val="20"/>
        </w:rPr>
        <w:t xml:space="preserve">Votre Comité, aux paragraphes 27 et 28 </w:t>
      </w:r>
      <w:r w:rsidR="00B862D8">
        <w:rPr>
          <w:rFonts w:ascii="Arial" w:hAnsi="Arial" w:cs="Arial"/>
          <w:sz w:val="20"/>
          <w:szCs w:val="20"/>
        </w:rPr>
        <w:t>de la liste des points à traiter concernant le cinquième rapport périodique de la France, a souhaité disposer de davantage de précisions concernant les faits de violence raciste ainsi la « </w:t>
      </w:r>
      <w:r w:rsidR="00B862D8" w:rsidRPr="00B862D8">
        <w:rPr>
          <w:rFonts w:ascii="Arial" w:hAnsi="Arial" w:cs="Arial"/>
          <w:i/>
          <w:sz w:val="20"/>
          <w:szCs w:val="20"/>
        </w:rPr>
        <w:t>généralisation, dans le discours public, de propos stigmatisant et xénophobes tenus par des personnalités politiques ou médiatiques</w:t>
      </w:r>
      <w:r w:rsidR="00B862D8">
        <w:rPr>
          <w:rFonts w:ascii="Arial" w:hAnsi="Arial" w:cs="Arial"/>
          <w:sz w:val="20"/>
          <w:szCs w:val="20"/>
        </w:rPr>
        <w:t> ».</w:t>
      </w:r>
    </w:p>
    <w:p w:rsidR="008366A3" w:rsidRPr="00F74B0D" w:rsidRDefault="008366A3" w:rsidP="00E267F4">
      <w:pPr>
        <w:spacing w:after="0" w:line="240" w:lineRule="auto"/>
        <w:jc w:val="both"/>
        <w:rPr>
          <w:rFonts w:ascii="Arial" w:hAnsi="Arial" w:cs="Arial"/>
          <w:sz w:val="20"/>
          <w:szCs w:val="20"/>
        </w:rPr>
      </w:pPr>
    </w:p>
    <w:p w:rsidR="00E267F4" w:rsidRDefault="003E75DD" w:rsidP="00E267F4">
      <w:pPr>
        <w:spacing w:after="0" w:line="240" w:lineRule="auto"/>
        <w:jc w:val="both"/>
        <w:rPr>
          <w:rFonts w:ascii="Arial" w:hAnsi="Arial" w:cs="Arial"/>
          <w:sz w:val="20"/>
          <w:szCs w:val="20"/>
        </w:rPr>
      </w:pPr>
      <w:r w:rsidRPr="003E75DD">
        <w:rPr>
          <w:rFonts w:ascii="Arial" w:hAnsi="Arial" w:cs="Arial"/>
          <w:b/>
          <w:sz w:val="16"/>
          <w:szCs w:val="16"/>
        </w:rPr>
        <w:t>12</w:t>
      </w:r>
      <w:r w:rsidR="001E3464">
        <w:rPr>
          <w:rFonts w:ascii="Arial" w:hAnsi="Arial" w:cs="Arial"/>
          <w:b/>
          <w:sz w:val="16"/>
          <w:szCs w:val="16"/>
        </w:rPr>
        <w:t>8</w:t>
      </w:r>
      <w:r>
        <w:rPr>
          <w:rFonts w:ascii="Arial" w:hAnsi="Arial" w:cs="Arial"/>
          <w:sz w:val="20"/>
          <w:szCs w:val="20"/>
        </w:rPr>
        <w:t xml:space="preserve">. </w:t>
      </w:r>
      <w:r w:rsidR="008366A3" w:rsidRPr="00C5628F">
        <w:rPr>
          <w:rFonts w:ascii="Arial" w:hAnsi="Arial" w:cs="Arial"/>
          <w:sz w:val="20"/>
          <w:szCs w:val="20"/>
        </w:rPr>
        <w:t xml:space="preserve">Les manifestations </w:t>
      </w:r>
      <w:r w:rsidR="008366A3">
        <w:rPr>
          <w:rFonts w:ascii="Arial" w:hAnsi="Arial" w:cs="Arial"/>
          <w:sz w:val="20"/>
          <w:szCs w:val="20"/>
        </w:rPr>
        <w:t>à caractère raciste ou xénophobe</w:t>
      </w:r>
      <w:r w:rsidR="008366A3" w:rsidRPr="00C5628F">
        <w:rPr>
          <w:rFonts w:ascii="Arial" w:hAnsi="Arial" w:cs="Arial"/>
          <w:sz w:val="20"/>
          <w:szCs w:val="20"/>
        </w:rPr>
        <w:t xml:space="preserve"> par de</w:t>
      </w:r>
      <w:r w:rsidR="008366A3">
        <w:rPr>
          <w:rFonts w:ascii="Arial" w:hAnsi="Arial" w:cs="Arial"/>
          <w:sz w:val="20"/>
          <w:szCs w:val="20"/>
        </w:rPr>
        <w:t>s responsables politiques, sur I</w:t>
      </w:r>
      <w:r w:rsidR="008366A3" w:rsidRPr="00C5628F">
        <w:rPr>
          <w:rFonts w:ascii="Arial" w:hAnsi="Arial" w:cs="Arial"/>
          <w:sz w:val="20"/>
          <w:szCs w:val="20"/>
        </w:rPr>
        <w:t>nternet</w:t>
      </w:r>
      <w:r w:rsidR="008366A3">
        <w:rPr>
          <w:rFonts w:ascii="Arial" w:hAnsi="Arial" w:cs="Arial"/>
          <w:sz w:val="20"/>
          <w:szCs w:val="20"/>
        </w:rPr>
        <w:t xml:space="preserve"> ou dans la presse, </w:t>
      </w:r>
      <w:r w:rsidR="008366A3" w:rsidRPr="00C5628F">
        <w:rPr>
          <w:rFonts w:ascii="Arial" w:hAnsi="Arial" w:cs="Arial"/>
          <w:sz w:val="20"/>
          <w:szCs w:val="20"/>
        </w:rPr>
        <w:t>voir</w:t>
      </w:r>
      <w:r w:rsidR="008366A3">
        <w:rPr>
          <w:rFonts w:ascii="Arial" w:hAnsi="Arial" w:cs="Arial"/>
          <w:sz w:val="20"/>
          <w:szCs w:val="20"/>
        </w:rPr>
        <w:t xml:space="preserve"> même</w:t>
      </w:r>
      <w:r w:rsidR="008366A3" w:rsidRPr="00C5628F">
        <w:rPr>
          <w:rFonts w:ascii="Arial" w:hAnsi="Arial" w:cs="Arial"/>
          <w:sz w:val="20"/>
          <w:szCs w:val="20"/>
        </w:rPr>
        <w:t xml:space="preserve"> les deux </w:t>
      </w:r>
      <w:r w:rsidR="008366A3">
        <w:rPr>
          <w:rFonts w:ascii="Arial" w:hAnsi="Arial" w:cs="Arial"/>
          <w:sz w:val="20"/>
          <w:szCs w:val="20"/>
        </w:rPr>
        <w:t>simultanément</w:t>
      </w:r>
      <w:r w:rsidR="008366A3" w:rsidRPr="00C5628F">
        <w:rPr>
          <w:rFonts w:ascii="Arial" w:hAnsi="Arial" w:cs="Arial"/>
          <w:sz w:val="20"/>
          <w:szCs w:val="20"/>
        </w:rPr>
        <w:t>,</w:t>
      </w:r>
      <w:r w:rsidR="008366A3">
        <w:rPr>
          <w:rFonts w:ascii="Arial" w:hAnsi="Arial" w:cs="Arial"/>
          <w:sz w:val="20"/>
          <w:szCs w:val="20"/>
        </w:rPr>
        <w:t xml:space="preserve"> </w:t>
      </w:r>
      <w:r w:rsidR="00E267F4">
        <w:rPr>
          <w:rFonts w:ascii="Arial" w:hAnsi="Arial" w:cs="Arial"/>
          <w:sz w:val="20"/>
          <w:szCs w:val="20"/>
        </w:rPr>
        <w:t>n’ont cessé de s’intensifier.</w:t>
      </w:r>
    </w:p>
    <w:p w:rsidR="00E267F4" w:rsidRPr="00BB0676" w:rsidRDefault="00E267F4" w:rsidP="00E267F4">
      <w:pPr>
        <w:spacing w:after="0" w:line="240" w:lineRule="auto"/>
        <w:jc w:val="both"/>
        <w:rPr>
          <w:rFonts w:ascii="Arial" w:hAnsi="Arial" w:cs="Arial"/>
          <w:sz w:val="20"/>
          <w:szCs w:val="20"/>
        </w:rPr>
      </w:pPr>
    </w:p>
    <w:p w:rsidR="008366A3" w:rsidRPr="00C5628F" w:rsidRDefault="003E75DD" w:rsidP="00E267F4">
      <w:pPr>
        <w:spacing w:after="0" w:line="240" w:lineRule="auto"/>
        <w:jc w:val="both"/>
        <w:rPr>
          <w:rFonts w:ascii="Arial" w:hAnsi="Arial" w:cs="Arial"/>
          <w:sz w:val="20"/>
          <w:szCs w:val="20"/>
        </w:rPr>
      </w:pPr>
      <w:r w:rsidRPr="003E75DD">
        <w:rPr>
          <w:rFonts w:ascii="Arial" w:hAnsi="Arial" w:cs="Arial"/>
          <w:b/>
          <w:sz w:val="16"/>
          <w:szCs w:val="16"/>
        </w:rPr>
        <w:t>12</w:t>
      </w:r>
      <w:r w:rsidR="001E3464">
        <w:rPr>
          <w:rFonts w:ascii="Arial" w:hAnsi="Arial" w:cs="Arial"/>
          <w:b/>
          <w:sz w:val="16"/>
          <w:szCs w:val="16"/>
        </w:rPr>
        <w:t>9</w:t>
      </w:r>
      <w:r>
        <w:rPr>
          <w:rFonts w:ascii="Arial" w:hAnsi="Arial" w:cs="Arial"/>
          <w:sz w:val="20"/>
          <w:szCs w:val="20"/>
        </w:rPr>
        <w:t xml:space="preserve">. </w:t>
      </w:r>
      <w:r w:rsidR="008366A3" w:rsidRPr="00C5628F">
        <w:rPr>
          <w:rFonts w:ascii="Arial" w:hAnsi="Arial" w:cs="Arial"/>
          <w:sz w:val="20"/>
          <w:szCs w:val="20"/>
        </w:rPr>
        <w:t xml:space="preserve">Les récentes attaques terroristes en </w:t>
      </w:r>
      <w:r w:rsidR="008366A3">
        <w:rPr>
          <w:rFonts w:ascii="Arial" w:hAnsi="Arial" w:cs="Arial"/>
          <w:sz w:val="20"/>
          <w:szCs w:val="20"/>
        </w:rPr>
        <w:t>France ont entrainé un accroissement des agressions physiques ou verbales</w:t>
      </w:r>
      <w:r w:rsidR="008366A3" w:rsidRPr="00C5628F">
        <w:rPr>
          <w:rFonts w:ascii="Arial" w:hAnsi="Arial" w:cs="Arial"/>
          <w:sz w:val="20"/>
          <w:szCs w:val="20"/>
        </w:rPr>
        <w:t xml:space="preserve"> à l’encontre de la population musulmane</w:t>
      </w:r>
      <w:r w:rsidR="008366A3">
        <w:rPr>
          <w:rFonts w:ascii="Arial" w:hAnsi="Arial" w:cs="Arial"/>
          <w:sz w:val="20"/>
          <w:szCs w:val="20"/>
        </w:rPr>
        <w:t>,</w:t>
      </w:r>
      <w:r w:rsidR="008366A3" w:rsidRPr="00C5628F">
        <w:rPr>
          <w:rFonts w:ascii="Arial" w:hAnsi="Arial" w:cs="Arial"/>
          <w:sz w:val="20"/>
          <w:szCs w:val="20"/>
        </w:rPr>
        <w:t xml:space="preserve"> et ce malgré un </w:t>
      </w:r>
      <w:r w:rsidR="008366A3">
        <w:rPr>
          <w:rFonts w:ascii="Arial" w:hAnsi="Arial" w:cs="Arial"/>
          <w:sz w:val="20"/>
          <w:szCs w:val="20"/>
        </w:rPr>
        <w:t>important</w:t>
      </w:r>
      <w:r w:rsidR="008366A3" w:rsidRPr="00C5628F">
        <w:rPr>
          <w:rFonts w:ascii="Arial" w:hAnsi="Arial" w:cs="Arial"/>
          <w:sz w:val="20"/>
          <w:szCs w:val="20"/>
        </w:rPr>
        <w:t xml:space="preserve"> mouvement populaire et spontané, appelant notamment à la fraternité et à ne faire aucun amalgame. </w:t>
      </w:r>
    </w:p>
    <w:p w:rsidR="008366A3" w:rsidRDefault="008366A3" w:rsidP="00E267F4">
      <w:pPr>
        <w:spacing w:after="0" w:line="240" w:lineRule="auto"/>
        <w:jc w:val="both"/>
        <w:rPr>
          <w:rFonts w:ascii="Arial" w:hAnsi="Arial" w:cs="Arial"/>
          <w:b/>
          <w:sz w:val="20"/>
          <w:szCs w:val="20"/>
        </w:rPr>
      </w:pPr>
    </w:p>
    <w:p w:rsidR="008366A3" w:rsidRDefault="003E75DD" w:rsidP="00E267F4">
      <w:pPr>
        <w:spacing w:after="0" w:line="240" w:lineRule="auto"/>
        <w:jc w:val="both"/>
        <w:rPr>
          <w:rFonts w:ascii="Arial" w:hAnsi="Arial" w:cs="Arial"/>
          <w:sz w:val="20"/>
          <w:szCs w:val="20"/>
        </w:rPr>
      </w:pPr>
      <w:r w:rsidRPr="003E75DD">
        <w:rPr>
          <w:rFonts w:ascii="Arial" w:hAnsi="Arial" w:cs="Arial"/>
          <w:b/>
          <w:sz w:val="16"/>
          <w:szCs w:val="16"/>
        </w:rPr>
        <w:t>1</w:t>
      </w:r>
      <w:r w:rsidR="001E3464">
        <w:rPr>
          <w:rFonts w:ascii="Arial" w:hAnsi="Arial" w:cs="Arial"/>
          <w:b/>
          <w:sz w:val="16"/>
          <w:szCs w:val="16"/>
        </w:rPr>
        <w:t>30</w:t>
      </w:r>
      <w:r w:rsidR="008366A3">
        <w:rPr>
          <w:rFonts w:ascii="Arial" w:hAnsi="Arial" w:cs="Arial"/>
          <w:sz w:val="20"/>
          <w:szCs w:val="20"/>
        </w:rPr>
        <w:t xml:space="preserve">. </w:t>
      </w:r>
      <w:r w:rsidR="008366A3" w:rsidRPr="00605BF1">
        <w:rPr>
          <w:rFonts w:ascii="Arial" w:hAnsi="Arial" w:cs="Arial"/>
          <w:sz w:val="20"/>
          <w:szCs w:val="20"/>
        </w:rPr>
        <w:t xml:space="preserve">Les actes antisémites ont eux aussi progressé, culminant lors de l’attaque d’une école juive et d’un super marché vendant des produits </w:t>
      </w:r>
      <w:r w:rsidR="008366A3">
        <w:rPr>
          <w:rFonts w:ascii="Arial" w:hAnsi="Arial" w:cs="Arial"/>
          <w:sz w:val="20"/>
          <w:szCs w:val="20"/>
        </w:rPr>
        <w:t>C</w:t>
      </w:r>
      <w:r w:rsidR="008366A3" w:rsidRPr="00605BF1">
        <w:rPr>
          <w:rFonts w:ascii="Arial" w:hAnsi="Arial" w:cs="Arial"/>
          <w:sz w:val="20"/>
          <w:szCs w:val="20"/>
        </w:rPr>
        <w:t>asher qui ont provoqué plusieurs morts dont un enfant.</w:t>
      </w:r>
    </w:p>
    <w:p w:rsidR="00E267F4" w:rsidRPr="00605BF1" w:rsidRDefault="00E267F4" w:rsidP="00E267F4">
      <w:pPr>
        <w:spacing w:after="0" w:line="240" w:lineRule="auto"/>
        <w:jc w:val="both"/>
        <w:rPr>
          <w:rFonts w:ascii="Arial" w:hAnsi="Arial" w:cs="Arial"/>
          <w:sz w:val="20"/>
          <w:szCs w:val="20"/>
        </w:rPr>
      </w:pPr>
    </w:p>
    <w:p w:rsidR="008366A3" w:rsidRPr="00605BF1" w:rsidRDefault="003E75DD" w:rsidP="00E267F4">
      <w:pPr>
        <w:spacing w:after="0" w:line="240" w:lineRule="auto"/>
        <w:jc w:val="both"/>
        <w:rPr>
          <w:rFonts w:ascii="Arial" w:hAnsi="Arial" w:cs="Arial"/>
          <w:sz w:val="20"/>
          <w:szCs w:val="20"/>
        </w:rPr>
      </w:pPr>
      <w:r>
        <w:rPr>
          <w:rFonts w:ascii="Arial" w:hAnsi="Arial" w:cs="Arial"/>
          <w:b/>
          <w:sz w:val="16"/>
          <w:szCs w:val="16"/>
        </w:rPr>
        <w:lastRenderedPageBreak/>
        <w:t>1</w:t>
      </w:r>
      <w:r w:rsidR="00950988">
        <w:rPr>
          <w:rFonts w:ascii="Arial" w:hAnsi="Arial" w:cs="Arial"/>
          <w:b/>
          <w:sz w:val="16"/>
          <w:szCs w:val="16"/>
        </w:rPr>
        <w:t>3</w:t>
      </w:r>
      <w:r w:rsidR="001E3464">
        <w:rPr>
          <w:rFonts w:ascii="Arial" w:hAnsi="Arial" w:cs="Arial"/>
          <w:b/>
          <w:sz w:val="16"/>
          <w:szCs w:val="16"/>
        </w:rPr>
        <w:t>1</w:t>
      </w:r>
      <w:r w:rsidR="008366A3" w:rsidRPr="00404627">
        <w:rPr>
          <w:rFonts w:ascii="Arial" w:hAnsi="Arial" w:cs="Arial"/>
          <w:b/>
          <w:sz w:val="16"/>
          <w:szCs w:val="16"/>
        </w:rPr>
        <w:t>.</w:t>
      </w:r>
      <w:r w:rsidR="008366A3">
        <w:rPr>
          <w:rFonts w:ascii="Arial" w:hAnsi="Arial" w:cs="Arial"/>
          <w:sz w:val="20"/>
          <w:szCs w:val="20"/>
        </w:rPr>
        <w:t xml:space="preserve"> </w:t>
      </w:r>
      <w:r w:rsidR="008366A3" w:rsidRPr="00605BF1">
        <w:rPr>
          <w:rFonts w:ascii="Arial" w:hAnsi="Arial" w:cs="Arial"/>
          <w:sz w:val="20"/>
          <w:szCs w:val="20"/>
        </w:rPr>
        <w:t>Lors d’une manifestation de la droite et de l’extrême droite réunie à Paris le 26 janvier 2014 pour protester contre le projet gouvernemental d’un mariage ouvert  à tous, de nombreux slogans vouant aux gémonies les juifs ont été entendus.</w:t>
      </w:r>
    </w:p>
    <w:p w:rsidR="008366A3" w:rsidRPr="00605BF1" w:rsidRDefault="008366A3" w:rsidP="00E267F4">
      <w:pPr>
        <w:spacing w:after="0" w:line="240" w:lineRule="auto"/>
        <w:jc w:val="both"/>
        <w:rPr>
          <w:rFonts w:ascii="Arial" w:hAnsi="Arial" w:cs="Arial"/>
          <w:sz w:val="20"/>
          <w:szCs w:val="20"/>
        </w:rPr>
      </w:pPr>
    </w:p>
    <w:p w:rsidR="008366A3" w:rsidRPr="00605BF1" w:rsidRDefault="003E75DD" w:rsidP="00E267F4">
      <w:pPr>
        <w:spacing w:after="0" w:line="240" w:lineRule="auto"/>
        <w:jc w:val="both"/>
        <w:rPr>
          <w:rFonts w:ascii="Arial" w:hAnsi="Arial" w:cs="Arial"/>
          <w:sz w:val="20"/>
          <w:szCs w:val="20"/>
        </w:rPr>
      </w:pPr>
      <w:r w:rsidRPr="003E75DD">
        <w:rPr>
          <w:rFonts w:ascii="Arial" w:hAnsi="Arial" w:cs="Arial"/>
          <w:b/>
          <w:sz w:val="16"/>
          <w:szCs w:val="16"/>
        </w:rPr>
        <w:t>1</w:t>
      </w:r>
      <w:r w:rsidR="00950988">
        <w:rPr>
          <w:rFonts w:ascii="Arial" w:hAnsi="Arial" w:cs="Arial"/>
          <w:b/>
          <w:sz w:val="16"/>
          <w:szCs w:val="16"/>
        </w:rPr>
        <w:t>3</w:t>
      </w:r>
      <w:r w:rsidR="001E3464">
        <w:rPr>
          <w:rFonts w:ascii="Arial" w:hAnsi="Arial" w:cs="Arial"/>
          <w:b/>
          <w:sz w:val="16"/>
          <w:szCs w:val="16"/>
        </w:rPr>
        <w:t>2</w:t>
      </w:r>
      <w:r w:rsidR="008366A3">
        <w:rPr>
          <w:rFonts w:ascii="Arial" w:hAnsi="Arial" w:cs="Arial"/>
          <w:sz w:val="20"/>
          <w:szCs w:val="20"/>
        </w:rPr>
        <w:t xml:space="preserve">. </w:t>
      </w:r>
      <w:r w:rsidR="008366A3" w:rsidRPr="00605BF1">
        <w:rPr>
          <w:rFonts w:ascii="Arial" w:hAnsi="Arial" w:cs="Arial"/>
          <w:sz w:val="20"/>
          <w:szCs w:val="20"/>
        </w:rPr>
        <w:t>En outre, la LDH a été amenée à intervenir, y compris judiciairement, contre certaines assimilations entre les citoyens et citoyennes français de confession juive et la situation du peuple palestinien. Elle considère, en effet, que l’on ne saurait s’en prendre à des personnes d’une confession donnée en raison des actes d’un gouvernement quel qu’il soit, encore plus s’il s’agit d’un gouvernement étranger.</w:t>
      </w:r>
    </w:p>
    <w:p w:rsidR="008366A3" w:rsidRPr="00605BF1" w:rsidRDefault="008366A3" w:rsidP="00E267F4">
      <w:pPr>
        <w:spacing w:after="0" w:line="240" w:lineRule="auto"/>
        <w:jc w:val="both"/>
        <w:rPr>
          <w:rFonts w:ascii="Arial" w:hAnsi="Arial" w:cs="Arial"/>
          <w:sz w:val="20"/>
          <w:szCs w:val="20"/>
        </w:rPr>
      </w:pPr>
    </w:p>
    <w:p w:rsidR="008366A3" w:rsidRPr="00605BF1" w:rsidRDefault="003E75DD" w:rsidP="00E267F4">
      <w:pPr>
        <w:spacing w:after="0" w:line="240" w:lineRule="auto"/>
        <w:jc w:val="both"/>
        <w:rPr>
          <w:rFonts w:ascii="Arial" w:hAnsi="Arial" w:cs="Arial"/>
          <w:sz w:val="20"/>
          <w:szCs w:val="20"/>
        </w:rPr>
      </w:pPr>
      <w:r>
        <w:rPr>
          <w:rFonts w:ascii="Arial" w:hAnsi="Arial" w:cs="Arial"/>
          <w:b/>
          <w:sz w:val="16"/>
          <w:szCs w:val="16"/>
        </w:rPr>
        <w:t>1</w:t>
      </w:r>
      <w:r w:rsidR="00950988">
        <w:rPr>
          <w:rFonts w:ascii="Arial" w:hAnsi="Arial" w:cs="Arial"/>
          <w:b/>
          <w:sz w:val="16"/>
          <w:szCs w:val="16"/>
        </w:rPr>
        <w:t>3</w:t>
      </w:r>
      <w:r w:rsidR="001E3464">
        <w:rPr>
          <w:rFonts w:ascii="Arial" w:hAnsi="Arial" w:cs="Arial"/>
          <w:b/>
          <w:sz w:val="16"/>
          <w:szCs w:val="16"/>
        </w:rPr>
        <w:t>3</w:t>
      </w:r>
      <w:r w:rsidR="008366A3" w:rsidRPr="00404627">
        <w:rPr>
          <w:rFonts w:ascii="Arial" w:hAnsi="Arial" w:cs="Arial"/>
          <w:b/>
          <w:sz w:val="16"/>
          <w:szCs w:val="16"/>
        </w:rPr>
        <w:t>.</w:t>
      </w:r>
      <w:r w:rsidR="008366A3">
        <w:rPr>
          <w:rFonts w:ascii="Arial" w:hAnsi="Arial" w:cs="Arial"/>
          <w:sz w:val="20"/>
          <w:szCs w:val="20"/>
        </w:rPr>
        <w:t xml:space="preserve"> </w:t>
      </w:r>
      <w:r w:rsidR="008366A3" w:rsidRPr="00605BF1">
        <w:rPr>
          <w:rFonts w:ascii="Arial" w:hAnsi="Arial" w:cs="Arial"/>
          <w:sz w:val="20"/>
          <w:szCs w:val="20"/>
        </w:rPr>
        <w:t>En revanche, la LDH déplore le refus du gouvernement d’abroger une circulaire d’une précédente Ministre de la Justice (12 février 2010), demandant au Parquet de poursuivre les appels au boycott des produits israéliens, notamment issus des colonies.</w:t>
      </w:r>
    </w:p>
    <w:p w:rsidR="008366A3" w:rsidRPr="00605BF1" w:rsidRDefault="008366A3" w:rsidP="00E267F4">
      <w:pPr>
        <w:spacing w:after="0" w:line="240" w:lineRule="auto"/>
        <w:jc w:val="both"/>
        <w:rPr>
          <w:rFonts w:ascii="Arial" w:hAnsi="Arial" w:cs="Arial"/>
          <w:sz w:val="20"/>
          <w:szCs w:val="20"/>
        </w:rPr>
      </w:pPr>
    </w:p>
    <w:p w:rsidR="008366A3" w:rsidRPr="00605BF1" w:rsidRDefault="003E75DD" w:rsidP="00E267F4">
      <w:pPr>
        <w:spacing w:after="0" w:line="240" w:lineRule="auto"/>
        <w:jc w:val="both"/>
        <w:rPr>
          <w:rFonts w:ascii="Arial" w:hAnsi="Arial" w:cs="Arial"/>
          <w:sz w:val="20"/>
          <w:szCs w:val="20"/>
        </w:rPr>
      </w:pPr>
      <w:r w:rsidRPr="003E75DD">
        <w:rPr>
          <w:rFonts w:ascii="Arial" w:hAnsi="Arial" w:cs="Arial"/>
          <w:b/>
          <w:sz w:val="16"/>
          <w:szCs w:val="16"/>
        </w:rPr>
        <w:t>13</w:t>
      </w:r>
      <w:r w:rsidR="001E3464">
        <w:rPr>
          <w:rFonts w:ascii="Arial" w:hAnsi="Arial" w:cs="Arial"/>
          <w:b/>
          <w:sz w:val="16"/>
          <w:szCs w:val="16"/>
        </w:rPr>
        <w:t>4</w:t>
      </w:r>
      <w:r w:rsidR="008366A3">
        <w:rPr>
          <w:rFonts w:ascii="Arial" w:hAnsi="Arial" w:cs="Arial"/>
          <w:sz w:val="20"/>
          <w:szCs w:val="20"/>
        </w:rPr>
        <w:t xml:space="preserve">. </w:t>
      </w:r>
      <w:r w:rsidR="008366A3" w:rsidRPr="00605BF1">
        <w:rPr>
          <w:rFonts w:ascii="Arial" w:hAnsi="Arial" w:cs="Arial"/>
          <w:sz w:val="20"/>
          <w:szCs w:val="20"/>
        </w:rPr>
        <w:t>Il est, en effet, tout à fait abusif d’assimiler à de l’antisémitisme la critique des actes du gouvernement israélien à l‘égard des palestiniens.</w:t>
      </w:r>
    </w:p>
    <w:p w:rsidR="008366A3" w:rsidRPr="00605BF1" w:rsidRDefault="008366A3" w:rsidP="00E267F4">
      <w:pPr>
        <w:spacing w:after="0" w:line="240" w:lineRule="auto"/>
        <w:jc w:val="both"/>
        <w:rPr>
          <w:rFonts w:ascii="Arial" w:hAnsi="Arial" w:cs="Arial"/>
          <w:sz w:val="20"/>
          <w:szCs w:val="20"/>
        </w:rPr>
      </w:pPr>
    </w:p>
    <w:p w:rsidR="008366A3" w:rsidRPr="00605BF1" w:rsidRDefault="003E75DD" w:rsidP="00E267F4">
      <w:pPr>
        <w:spacing w:after="0" w:line="240" w:lineRule="auto"/>
        <w:jc w:val="both"/>
        <w:rPr>
          <w:rFonts w:ascii="Arial" w:hAnsi="Arial" w:cs="Arial"/>
          <w:sz w:val="20"/>
          <w:szCs w:val="20"/>
        </w:rPr>
      </w:pPr>
      <w:r w:rsidRPr="003E75DD">
        <w:rPr>
          <w:rFonts w:ascii="Arial" w:hAnsi="Arial" w:cs="Arial"/>
          <w:b/>
          <w:sz w:val="16"/>
          <w:szCs w:val="16"/>
        </w:rPr>
        <w:t>13</w:t>
      </w:r>
      <w:r w:rsidR="001E3464">
        <w:rPr>
          <w:rFonts w:ascii="Arial" w:hAnsi="Arial" w:cs="Arial"/>
          <w:b/>
          <w:sz w:val="16"/>
          <w:szCs w:val="16"/>
        </w:rPr>
        <w:t>5</w:t>
      </w:r>
      <w:r w:rsidR="008366A3">
        <w:rPr>
          <w:rFonts w:ascii="Arial" w:hAnsi="Arial" w:cs="Arial"/>
          <w:sz w:val="20"/>
          <w:szCs w:val="20"/>
        </w:rPr>
        <w:t xml:space="preserve">. </w:t>
      </w:r>
      <w:r w:rsidR="008366A3" w:rsidRPr="00605BF1">
        <w:rPr>
          <w:rFonts w:ascii="Arial" w:hAnsi="Arial" w:cs="Arial"/>
          <w:sz w:val="20"/>
          <w:szCs w:val="20"/>
        </w:rPr>
        <w:t>Ceci ne peut que renforcer un sentiment de traitement préférentiel en qualifiant d’antisémite ce qui ne l’est pas.</w:t>
      </w:r>
    </w:p>
    <w:p w:rsidR="008366A3" w:rsidRPr="00C5628F" w:rsidRDefault="008366A3" w:rsidP="00E267F4">
      <w:pPr>
        <w:spacing w:after="0" w:line="240" w:lineRule="auto"/>
        <w:jc w:val="both"/>
        <w:rPr>
          <w:rFonts w:ascii="Arial" w:hAnsi="Arial" w:cs="Arial"/>
          <w:b/>
          <w:sz w:val="20"/>
          <w:szCs w:val="20"/>
        </w:rPr>
      </w:pPr>
    </w:p>
    <w:p w:rsidR="008366A3" w:rsidRPr="003D3D4B" w:rsidRDefault="008366A3" w:rsidP="00E267F4">
      <w:pPr>
        <w:pStyle w:val="Titre2"/>
        <w:numPr>
          <w:ilvl w:val="0"/>
          <w:numId w:val="11"/>
        </w:numPr>
        <w:spacing w:before="0" w:line="240" w:lineRule="auto"/>
        <w:ind w:firstLine="0"/>
        <w:jc w:val="both"/>
        <w:rPr>
          <w:rFonts w:ascii="Arial" w:hAnsi="Arial" w:cs="Arial"/>
          <w:b w:val="0"/>
          <w:color w:val="auto"/>
          <w:sz w:val="20"/>
          <w:szCs w:val="20"/>
          <w:u w:val="single"/>
        </w:rPr>
      </w:pPr>
      <w:bookmarkStart w:id="75" w:name="_Toc282794097"/>
      <w:bookmarkStart w:id="76" w:name="_Toc282794287"/>
      <w:bookmarkStart w:id="77" w:name="_Toc282795920"/>
      <w:bookmarkStart w:id="78" w:name="_Toc413409291"/>
      <w:bookmarkStart w:id="79" w:name="_Toc415581581"/>
      <w:bookmarkStart w:id="80" w:name="_Toc420924121"/>
      <w:r w:rsidRPr="003D3D4B">
        <w:rPr>
          <w:rFonts w:ascii="Arial" w:hAnsi="Arial" w:cs="Arial"/>
          <w:b w:val="0"/>
          <w:color w:val="auto"/>
          <w:sz w:val="20"/>
          <w:szCs w:val="20"/>
          <w:u w:val="single"/>
        </w:rPr>
        <w:t>Manifestations politiques à caractères racistes sur Internet</w:t>
      </w:r>
      <w:bookmarkEnd w:id="75"/>
      <w:bookmarkEnd w:id="76"/>
      <w:bookmarkEnd w:id="77"/>
      <w:bookmarkEnd w:id="78"/>
      <w:bookmarkEnd w:id="79"/>
      <w:bookmarkEnd w:id="80"/>
    </w:p>
    <w:p w:rsidR="008366A3" w:rsidRPr="00E267F4" w:rsidRDefault="00E267F4" w:rsidP="00E267F4">
      <w:pPr>
        <w:tabs>
          <w:tab w:val="left" w:pos="2355"/>
        </w:tabs>
        <w:spacing w:after="0" w:line="240" w:lineRule="auto"/>
        <w:jc w:val="both"/>
        <w:rPr>
          <w:rFonts w:ascii="Arial" w:hAnsi="Arial" w:cs="Arial"/>
          <w:b/>
          <w:sz w:val="20"/>
          <w:szCs w:val="20"/>
        </w:rPr>
      </w:pPr>
      <w:r>
        <w:rPr>
          <w:rFonts w:ascii="Arial" w:hAnsi="Arial" w:cs="Arial"/>
          <w:b/>
          <w:sz w:val="20"/>
          <w:szCs w:val="20"/>
        </w:rPr>
        <w:tab/>
      </w:r>
    </w:p>
    <w:p w:rsidR="008366A3" w:rsidRDefault="003E75DD" w:rsidP="00E267F4">
      <w:pPr>
        <w:spacing w:after="0" w:line="240" w:lineRule="auto"/>
        <w:jc w:val="both"/>
        <w:rPr>
          <w:rFonts w:ascii="Arial" w:hAnsi="Arial" w:cs="Arial"/>
          <w:sz w:val="20"/>
          <w:szCs w:val="20"/>
        </w:rPr>
      </w:pPr>
      <w:r>
        <w:rPr>
          <w:rFonts w:ascii="Arial" w:hAnsi="Arial" w:cs="Arial"/>
          <w:b/>
          <w:sz w:val="16"/>
          <w:szCs w:val="16"/>
        </w:rPr>
        <w:t>13</w:t>
      </w:r>
      <w:r w:rsidR="001E3464">
        <w:rPr>
          <w:rFonts w:ascii="Arial" w:hAnsi="Arial" w:cs="Arial"/>
          <w:b/>
          <w:sz w:val="16"/>
          <w:szCs w:val="16"/>
        </w:rPr>
        <w:t>6</w:t>
      </w:r>
      <w:r w:rsidR="008366A3" w:rsidRPr="00C5628F">
        <w:rPr>
          <w:rFonts w:ascii="Arial" w:hAnsi="Arial" w:cs="Arial"/>
          <w:b/>
          <w:sz w:val="16"/>
          <w:szCs w:val="16"/>
        </w:rPr>
        <w:t>.</w:t>
      </w:r>
      <w:r w:rsidR="008366A3">
        <w:rPr>
          <w:rFonts w:ascii="Arial" w:hAnsi="Arial" w:cs="Arial"/>
          <w:sz w:val="20"/>
          <w:szCs w:val="20"/>
        </w:rPr>
        <w:t xml:space="preserve"> </w:t>
      </w:r>
      <w:r w:rsidR="008366A3" w:rsidRPr="00C5628F">
        <w:rPr>
          <w:rFonts w:ascii="Arial" w:hAnsi="Arial" w:cs="Arial"/>
          <w:sz w:val="20"/>
          <w:szCs w:val="20"/>
        </w:rPr>
        <w:t xml:space="preserve">Des </w:t>
      </w:r>
      <w:r w:rsidR="00AA314D">
        <w:rPr>
          <w:rFonts w:ascii="Arial" w:hAnsi="Arial" w:cs="Arial"/>
          <w:sz w:val="20"/>
          <w:szCs w:val="20"/>
        </w:rPr>
        <w:t>éléments vous ont</w:t>
      </w:r>
      <w:r w:rsidR="008366A3" w:rsidRPr="00C5628F">
        <w:rPr>
          <w:rFonts w:ascii="Arial" w:hAnsi="Arial" w:cs="Arial"/>
          <w:sz w:val="20"/>
          <w:szCs w:val="20"/>
        </w:rPr>
        <w:t xml:space="preserve"> été apportées par les autorités françaises concernant les dispositifs en place, dont le site PHAROS et l’OCLCTIC. Cependant, les éléments transmis ne sauraient en eux-mêmes constituer une réponse satisfaisante dans le cadre de la lutte contre le racisme, l’antisémitisme et la xénophobie.</w:t>
      </w:r>
    </w:p>
    <w:p w:rsidR="008366A3" w:rsidRPr="00C5628F" w:rsidRDefault="008366A3" w:rsidP="00E267F4">
      <w:pPr>
        <w:spacing w:after="0" w:line="240" w:lineRule="auto"/>
        <w:jc w:val="both"/>
        <w:rPr>
          <w:rFonts w:ascii="Arial" w:hAnsi="Arial" w:cs="Arial"/>
          <w:sz w:val="20"/>
          <w:szCs w:val="20"/>
        </w:rPr>
      </w:pPr>
    </w:p>
    <w:p w:rsidR="008366A3" w:rsidRDefault="003E75DD" w:rsidP="00E267F4">
      <w:pPr>
        <w:spacing w:after="0" w:line="240" w:lineRule="auto"/>
        <w:jc w:val="both"/>
        <w:rPr>
          <w:rFonts w:ascii="Arial" w:hAnsi="Arial" w:cs="Arial"/>
          <w:sz w:val="20"/>
          <w:szCs w:val="20"/>
        </w:rPr>
      </w:pPr>
      <w:r w:rsidRPr="003E75DD">
        <w:rPr>
          <w:rFonts w:ascii="Arial" w:hAnsi="Arial" w:cs="Arial"/>
          <w:b/>
          <w:sz w:val="16"/>
          <w:szCs w:val="16"/>
        </w:rPr>
        <w:t>13</w:t>
      </w:r>
      <w:r w:rsidR="001E3464">
        <w:rPr>
          <w:rFonts w:ascii="Arial" w:hAnsi="Arial" w:cs="Arial"/>
          <w:b/>
          <w:sz w:val="16"/>
          <w:szCs w:val="16"/>
        </w:rPr>
        <w:t>7</w:t>
      </w:r>
      <w:r w:rsidR="008366A3">
        <w:rPr>
          <w:rFonts w:ascii="Arial" w:hAnsi="Arial" w:cs="Arial"/>
          <w:sz w:val="20"/>
          <w:szCs w:val="20"/>
        </w:rPr>
        <w:t xml:space="preserve">. </w:t>
      </w:r>
      <w:r w:rsidR="008366A3" w:rsidRPr="00C5628F">
        <w:rPr>
          <w:rFonts w:ascii="Arial" w:hAnsi="Arial" w:cs="Arial"/>
          <w:sz w:val="20"/>
          <w:szCs w:val="20"/>
        </w:rPr>
        <w:t>Les dossiers pénaux dans lesquels la LDH est engagée mettent en lumière non seulement les actes de racisme au quotidien mais également la persistance de l’incitation à la haine raciale sur Internet, la persistance aussi de propos injurieux et incitant à la haine de la part d’élus de la République, sans compter l’antisémitisme récurrent de certains auteurs d’extrême droite</w:t>
      </w:r>
      <w:r w:rsidR="008366A3">
        <w:rPr>
          <w:rFonts w:ascii="Arial" w:hAnsi="Arial" w:cs="Arial"/>
          <w:sz w:val="20"/>
          <w:szCs w:val="20"/>
        </w:rPr>
        <w:t xml:space="preserve"> ou venant de mouvements « djihadistes »</w:t>
      </w:r>
      <w:r w:rsidR="008366A3" w:rsidRPr="00C5628F">
        <w:rPr>
          <w:rFonts w:ascii="Arial" w:hAnsi="Arial" w:cs="Arial"/>
          <w:sz w:val="20"/>
          <w:szCs w:val="20"/>
        </w:rPr>
        <w:t xml:space="preserve">. Tous montrent, s’il en était encore besoin, la banalisation de la parole raciste et la poursuite de la montée de l’intolérance, comme le soulignait la CNCDH dans son rapport 2013 </w:t>
      </w:r>
      <w:r w:rsidR="008366A3">
        <w:rPr>
          <w:rFonts w:ascii="Arial" w:hAnsi="Arial" w:cs="Arial"/>
          <w:sz w:val="20"/>
          <w:szCs w:val="20"/>
        </w:rPr>
        <w:t xml:space="preserve">précité </w:t>
      </w:r>
      <w:r w:rsidR="008366A3" w:rsidRPr="00C5628F">
        <w:rPr>
          <w:rFonts w:ascii="Arial" w:hAnsi="Arial" w:cs="Arial"/>
          <w:sz w:val="20"/>
          <w:szCs w:val="20"/>
        </w:rPr>
        <w:t>sur le racisme.</w:t>
      </w:r>
    </w:p>
    <w:p w:rsidR="008366A3" w:rsidRPr="00C5628F" w:rsidRDefault="008366A3" w:rsidP="00E267F4">
      <w:pPr>
        <w:spacing w:after="0" w:line="240" w:lineRule="auto"/>
        <w:jc w:val="both"/>
        <w:rPr>
          <w:rFonts w:ascii="Arial" w:hAnsi="Arial" w:cs="Arial"/>
          <w:sz w:val="20"/>
          <w:szCs w:val="20"/>
        </w:rPr>
      </w:pPr>
    </w:p>
    <w:p w:rsidR="00B8112C" w:rsidRDefault="003E75DD" w:rsidP="00E267F4">
      <w:pPr>
        <w:spacing w:after="0" w:line="240" w:lineRule="auto"/>
        <w:jc w:val="both"/>
        <w:rPr>
          <w:rFonts w:ascii="Arial" w:hAnsi="Arial" w:cs="Arial"/>
          <w:sz w:val="20"/>
          <w:szCs w:val="20"/>
        </w:rPr>
      </w:pPr>
      <w:r w:rsidRPr="003E75DD">
        <w:rPr>
          <w:rFonts w:ascii="Arial" w:hAnsi="Arial" w:cs="Arial"/>
          <w:b/>
          <w:sz w:val="16"/>
          <w:szCs w:val="16"/>
        </w:rPr>
        <w:t>13</w:t>
      </w:r>
      <w:r w:rsidR="001E3464">
        <w:rPr>
          <w:rFonts w:ascii="Arial" w:hAnsi="Arial" w:cs="Arial"/>
          <w:b/>
          <w:sz w:val="16"/>
          <w:szCs w:val="16"/>
        </w:rPr>
        <w:t>8</w:t>
      </w:r>
      <w:r w:rsidR="008366A3">
        <w:rPr>
          <w:rFonts w:ascii="Arial" w:hAnsi="Arial" w:cs="Arial"/>
          <w:sz w:val="20"/>
          <w:szCs w:val="20"/>
        </w:rPr>
        <w:t xml:space="preserve">. </w:t>
      </w:r>
      <w:r w:rsidR="008366A3" w:rsidRPr="00C5628F">
        <w:rPr>
          <w:rFonts w:ascii="Arial" w:hAnsi="Arial" w:cs="Arial"/>
          <w:sz w:val="20"/>
          <w:szCs w:val="20"/>
        </w:rPr>
        <w:t xml:space="preserve">Ainsi, et en préalable, la LDH pointe depuis ces cinq dernières années, le développement de toutes formes de racisme. Le constat posé par notre organisation se fonde notamment sur les affaires pénales portées à notre connaissance et pour lesquelles </w:t>
      </w:r>
      <w:r w:rsidR="008366A3">
        <w:rPr>
          <w:rFonts w:ascii="Arial" w:hAnsi="Arial" w:cs="Arial"/>
          <w:sz w:val="20"/>
          <w:szCs w:val="20"/>
        </w:rPr>
        <w:t>la LDH est constituée</w:t>
      </w:r>
      <w:r w:rsidR="008366A3" w:rsidRPr="00C5628F">
        <w:rPr>
          <w:rFonts w:ascii="Arial" w:hAnsi="Arial" w:cs="Arial"/>
          <w:sz w:val="20"/>
          <w:szCs w:val="20"/>
        </w:rPr>
        <w:t xml:space="preserve"> partie civile. Les dossiers cités ci-dessous en sont l’illustration. En juillet 2014, une ancienne candidate aux élections municipales a été condamnée à une peine de 9 mois de prison ferme et 50000 euros de dommages et intérêts pour avoir publié sur un réseau social, un photomontag</w:t>
      </w:r>
      <w:r w:rsidR="008366A3">
        <w:rPr>
          <w:rFonts w:ascii="Arial" w:hAnsi="Arial" w:cs="Arial"/>
          <w:sz w:val="20"/>
          <w:szCs w:val="20"/>
        </w:rPr>
        <w:t>e raciste de la ministre de la J</w:t>
      </w:r>
      <w:r w:rsidR="008366A3" w:rsidRPr="00C5628F">
        <w:rPr>
          <w:rFonts w:ascii="Arial" w:hAnsi="Arial" w:cs="Arial"/>
          <w:sz w:val="20"/>
          <w:szCs w:val="20"/>
        </w:rPr>
        <w:t>ustice</w:t>
      </w:r>
      <w:r w:rsidR="008366A3">
        <w:rPr>
          <w:rFonts w:ascii="Arial" w:hAnsi="Arial" w:cs="Arial"/>
          <w:sz w:val="20"/>
          <w:szCs w:val="20"/>
        </w:rPr>
        <w:t xml:space="preserve">, Christiane </w:t>
      </w:r>
      <w:proofErr w:type="spellStart"/>
      <w:r w:rsidR="008366A3">
        <w:rPr>
          <w:rFonts w:ascii="Arial" w:hAnsi="Arial" w:cs="Arial"/>
          <w:sz w:val="20"/>
          <w:szCs w:val="20"/>
        </w:rPr>
        <w:t>Taubira</w:t>
      </w:r>
      <w:proofErr w:type="spellEnd"/>
      <w:r w:rsidR="008366A3">
        <w:rPr>
          <w:rFonts w:ascii="Arial" w:hAnsi="Arial" w:cs="Arial"/>
          <w:sz w:val="20"/>
          <w:szCs w:val="20"/>
        </w:rPr>
        <w:t>. Au moment de la rédaction de ce rapport, cette procédure est encore pendante devant la Cour d’appel.</w:t>
      </w:r>
    </w:p>
    <w:p w:rsidR="00950988" w:rsidRDefault="00950988" w:rsidP="00E267F4">
      <w:pPr>
        <w:spacing w:after="0" w:line="240" w:lineRule="auto"/>
        <w:jc w:val="both"/>
        <w:rPr>
          <w:rFonts w:ascii="Arial" w:hAnsi="Arial" w:cs="Arial"/>
          <w:sz w:val="20"/>
          <w:szCs w:val="20"/>
        </w:rPr>
      </w:pPr>
    </w:p>
    <w:p w:rsidR="008366A3" w:rsidRDefault="003E75DD" w:rsidP="00E267F4">
      <w:pPr>
        <w:spacing w:after="0" w:line="240" w:lineRule="auto"/>
        <w:jc w:val="both"/>
        <w:rPr>
          <w:rFonts w:ascii="Arial" w:hAnsi="Arial" w:cs="Arial"/>
          <w:sz w:val="20"/>
          <w:szCs w:val="20"/>
        </w:rPr>
      </w:pPr>
      <w:r w:rsidRPr="003E75DD">
        <w:rPr>
          <w:rFonts w:ascii="Arial" w:hAnsi="Arial" w:cs="Arial"/>
          <w:b/>
          <w:sz w:val="16"/>
          <w:szCs w:val="16"/>
        </w:rPr>
        <w:t>13</w:t>
      </w:r>
      <w:r w:rsidR="001E3464">
        <w:rPr>
          <w:rFonts w:ascii="Arial" w:hAnsi="Arial" w:cs="Arial"/>
          <w:b/>
          <w:sz w:val="16"/>
          <w:szCs w:val="16"/>
        </w:rPr>
        <w:t>9</w:t>
      </w:r>
      <w:r w:rsidR="008366A3">
        <w:rPr>
          <w:rFonts w:ascii="Arial" w:hAnsi="Arial" w:cs="Arial"/>
          <w:sz w:val="20"/>
          <w:szCs w:val="20"/>
        </w:rPr>
        <w:t xml:space="preserve">. </w:t>
      </w:r>
      <w:r w:rsidR="008366A3" w:rsidRPr="00C5628F">
        <w:rPr>
          <w:rFonts w:ascii="Arial" w:hAnsi="Arial" w:cs="Arial"/>
          <w:sz w:val="20"/>
          <w:szCs w:val="20"/>
        </w:rPr>
        <w:t xml:space="preserve">En France, la loi de 1881 sur la liberté de la presse </w:t>
      </w:r>
      <w:r w:rsidR="008366A3">
        <w:rPr>
          <w:rFonts w:ascii="Arial" w:hAnsi="Arial" w:cs="Arial"/>
          <w:sz w:val="20"/>
          <w:szCs w:val="20"/>
        </w:rPr>
        <w:t xml:space="preserve">modifiée, </w:t>
      </w:r>
      <w:r w:rsidR="008366A3" w:rsidRPr="00C5628F">
        <w:rPr>
          <w:rFonts w:ascii="Arial" w:hAnsi="Arial" w:cs="Arial"/>
          <w:sz w:val="20"/>
          <w:szCs w:val="20"/>
        </w:rPr>
        <w:t>régie les propos à caractère disc</w:t>
      </w:r>
      <w:r w:rsidR="008366A3">
        <w:rPr>
          <w:rFonts w:ascii="Arial" w:hAnsi="Arial" w:cs="Arial"/>
          <w:sz w:val="20"/>
          <w:szCs w:val="20"/>
        </w:rPr>
        <w:t>riminatoire, haineux ou raciste</w:t>
      </w:r>
      <w:r w:rsidR="008366A3" w:rsidRPr="00C5628F">
        <w:rPr>
          <w:rFonts w:ascii="Arial" w:hAnsi="Arial" w:cs="Arial"/>
          <w:sz w:val="20"/>
          <w:szCs w:val="20"/>
        </w:rPr>
        <w:t xml:space="preserve">. La loi ne fait pas de </w:t>
      </w:r>
      <w:r w:rsidR="008366A3">
        <w:rPr>
          <w:rFonts w:ascii="Arial" w:hAnsi="Arial" w:cs="Arial"/>
          <w:sz w:val="20"/>
          <w:szCs w:val="20"/>
        </w:rPr>
        <w:t>distinction entre I</w:t>
      </w:r>
      <w:r w:rsidR="008366A3" w:rsidRPr="00C5628F">
        <w:rPr>
          <w:rFonts w:ascii="Arial" w:hAnsi="Arial" w:cs="Arial"/>
          <w:sz w:val="20"/>
          <w:szCs w:val="20"/>
        </w:rPr>
        <w:t>nternet</w:t>
      </w:r>
      <w:r w:rsidR="008366A3">
        <w:rPr>
          <w:rFonts w:ascii="Arial" w:hAnsi="Arial" w:cs="Arial"/>
          <w:sz w:val="20"/>
          <w:szCs w:val="20"/>
        </w:rPr>
        <w:t xml:space="preserve"> et la presse traditionnelle.</w:t>
      </w:r>
      <w:r w:rsidR="008366A3" w:rsidRPr="00C5628F">
        <w:rPr>
          <w:rFonts w:ascii="Arial" w:hAnsi="Arial" w:cs="Arial"/>
          <w:sz w:val="20"/>
          <w:szCs w:val="20"/>
        </w:rPr>
        <w:t xml:space="preserve"> </w:t>
      </w:r>
      <w:r w:rsidR="008366A3">
        <w:rPr>
          <w:rFonts w:ascii="Arial" w:hAnsi="Arial" w:cs="Arial"/>
          <w:sz w:val="20"/>
          <w:szCs w:val="20"/>
        </w:rPr>
        <w:t>Elle</w:t>
      </w:r>
      <w:r w:rsidR="008366A3" w:rsidRPr="00C5628F">
        <w:rPr>
          <w:rFonts w:ascii="Arial" w:hAnsi="Arial" w:cs="Arial"/>
          <w:sz w:val="20"/>
          <w:szCs w:val="20"/>
        </w:rPr>
        <w:t xml:space="preserve"> s’applique dans les deux cas</w:t>
      </w:r>
      <w:r w:rsidR="008366A3">
        <w:rPr>
          <w:rFonts w:ascii="Arial" w:hAnsi="Arial" w:cs="Arial"/>
          <w:sz w:val="20"/>
          <w:szCs w:val="20"/>
        </w:rPr>
        <w:t>,</w:t>
      </w:r>
      <w:r w:rsidR="008366A3" w:rsidRPr="00C5628F">
        <w:rPr>
          <w:rFonts w:ascii="Arial" w:hAnsi="Arial" w:cs="Arial"/>
          <w:sz w:val="20"/>
          <w:szCs w:val="20"/>
        </w:rPr>
        <w:t xml:space="preserve"> et prévoit</w:t>
      </w:r>
      <w:r w:rsidR="008366A3">
        <w:rPr>
          <w:rFonts w:ascii="Arial" w:hAnsi="Arial" w:cs="Arial"/>
          <w:sz w:val="20"/>
          <w:szCs w:val="20"/>
        </w:rPr>
        <w:t xml:space="preserve"> une peine</w:t>
      </w:r>
      <w:r w:rsidR="008366A3" w:rsidRPr="00C5628F">
        <w:rPr>
          <w:rFonts w:ascii="Arial" w:hAnsi="Arial" w:cs="Arial"/>
          <w:sz w:val="20"/>
          <w:szCs w:val="20"/>
        </w:rPr>
        <w:t xml:space="preserve"> </w:t>
      </w:r>
      <w:r w:rsidR="008366A3">
        <w:rPr>
          <w:rFonts w:ascii="Arial" w:hAnsi="Arial" w:cs="Arial"/>
          <w:sz w:val="20"/>
          <w:szCs w:val="20"/>
        </w:rPr>
        <w:t>d’</w:t>
      </w:r>
      <w:r w:rsidR="008366A3" w:rsidRPr="00C5628F">
        <w:rPr>
          <w:rFonts w:ascii="Arial" w:hAnsi="Arial" w:cs="Arial"/>
          <w:sz w:val="20"/>
          <w:szCs w:val="20"/>
        </w:rPr>
        <w:t>un an d’emprison</w:t>
      </w:r>
      <w:r w:rsidR="008366A3">
        <w:rPr>
          <w:rFonts w:ascii="Arial" w:hAnsi="Arial" w:cs="Arial"/>
          <w:sz w:val="20"/>
          <w:szCs w:val="20"/>
        </w:rPr>
        <w:t>nement et 45000 euros d’amende.</w:t>
      </w:r>
    </w:p>
    <w:p w:rsidR="008366A3" w:rsidRPr="00C5628F" w:rsidRDefault="008366A3" w:rsidP="00E267F4">
      <w:pPr>
        <w:spacing w:after="0" w:line="240" w:lineRule="auto"/>
        <w:jc w:val="both"/>
        <w:rPr>
          <w:rFonts w:ascii="Arial" w:hAnsi="Arial" w:cs="Arial"/>
          <w:sz w:val="20"/>
          <w:szCs w:val="20"/>
        </w:rPr>
      </w:pPr>
    </w:p>
    <w:p w:rsidR="008366A3" w:rsidRPr="003D3D4B" w:rsidRDefault="008366A3" w:rsidP="00E267F4">
      <w:pPr>
        <w:pStyle w:val="Titre2"/>
        <w:numPr>
          <w:ilvl w:val="0"/>
          <w:numId w:val="11"/>
        </w:numPr>
        <w:spacing w:before="0" w:line="240" w:lineRule="auto"/>
        <w:ind w:left="357" w:firstLine="0"/>
        <w:jc w:val="both"/>
        <w:rPr>
          <w:rFonts w:ascii="Arial" w:hAnsi="Arial" w:cs="Arial"/>
          <w:b w:val="0"/>
          <w:color w:val="auto"/>
          <w:sz w:val="20"/>
          <w:szCs w:val="20"/>
          <w:u w:val="single"/>
        </w:rPr>
      </w:pPr>
      <w:bookmarkStart w:id="81" w:name="_Toc282794098"/>
      <w:bookmarkStart w:id="82" w:name="_Toc282794288"/>
      <w:bookmarkStart w:id="83" w:name="_Toc282795921"/>
      <w:bookmarkStart w:id="84" w:name="_Toc413409292"/>
      <w:bookmarkStart w:id="85" w:name="_Toc415581582"/>
      <w:bookmarkStart w:id="86" w:name="_Toc420924122"/>
      <w:r w:rsidRPr="003D3D4B">
        <w:rPr>
          <w:rFonts w:ascii="Arial" w:hAnsi="Arial" w:cs="Arial"/>
          <w:b w:val="0"/>
          <w:color w:val="auto"/>
          <w:sz w:val="20"/>
          <w:szCs w:val="20"/>
          <w:u w:val="single"/>
        </w:rPr>
        <w:t>Discours  et actes politiques</w:t>
      </w:r>
      <w:bookmarkEnd w:id="81"/>
      <w:bookmarkEnd w:id="82"/>
      <w:bookmarkEnd w:id="83"/>
      <w:bookmarkEnd w:id="84"/>
      <w:bookmarkEnd w:id="85"/>
      <w:bookmarkEnd w:id="86"/>
    </w:p>
    <w:p w:rsidR="008366A3" w:rsidRPr="008540F3" w:rsidRDefault="008366A3" w:rsidP="00E267F4">
      <w:pPr>
        <w:spacing w:after="0" w:line="240" w:lineRule="auto"/>
        <w:jc w:val="both"/>
      </w:pPr>
    </w:p>
    <w:p w:rsidR="003E75DD" w:rsidRDefault="003E75DD" w:rsidP="00E267F4">
      <w:pPr>
        <w:spacing w:after="0" w:line="240" w:lineRule="auto"/>
        <w:jc w:val="both"/>
        <w:rPr>
          <w:rFonts w:ascii="Arial" w:hAnsi="Arial" w:cs="Arial"/>
          <w:sz w:val="20"/>
          <w:szCs w:val="20"/>
        </w:rPr>
      </w:pPr>
      <w:r w:rsidRPr="003E75DD">
        <w:rPr>
          <w:rFonts w:ascii="Arial" w:hAnsi="Arial" w:cs="Arial"/>
          <w:b/>
          <w:sz w:val="16"/>
          <w:szCs w:val="16"/>
        </w:rPr>
        <w:t>1</w:t>
      </w:r>
      <w:r w:rsidR="001E3464">
        <w:rPr>
          <w:rFonts w:ascii="Arial" w:hAnsi="Arial" w:cs="Arial"/>
          <w:b/>
          <w:sz w:val="16"/>
          <w:szCs w:val="16"/>
        </w:rPr>
        <w:t>40</w:t>
      </w:r>
      <w:r w:rsidR="008366A3">
        <w:rPr>
          <w:rFonts w:ascii="Arial" w:hAnsi="Arial" w:cs="Arial"/>
          <w:sz w:val="20"/>
          <w:szCs w:val="20"/>
        </w:rPr>
        <w:t xml:space="preserve">. </w:t>
      </w:r>
      <w:r w:rsidR="008366A3" w:rsidRPr="00C5628F">
        <w:rPr>
          <w:rFonts w:ascii="Arial" w:hAnsi="Arial" w:cs="Arial"/>
          <w:sz w:val="20"/>
          <w:szCs w:val="20"/>
        </w:rPr>
        <w:t>En outre, et plus spécifiquement au cours de ces 24 derniers mois, la LDH note une recrudescence du racisme et du rejet dans la sphère publique. Ces discours se poursuivent et ethnicisent le débat public. Ils permettent la stigmatisation de certaines populations désignées comme responsables de tous les problèmes et développent ainsi racisme et xénophobie. Et, force est de constater que pour la LDH et nos autres partenaires associatifs, réagir aux actions racistes et xénophobes a été particulièrement difficile, en raison du climat ambiant. Avec les petites phrases de membres éminents du gouvernement précéd</w:t>
      </w:r>
      <w:r w:rsidR="008366A3">
        <w:rPr>
          <w:rFonts w:ascii="Arial" w:hAnsi="Arial" w:cs="Arial"/>
          <w:sz w:val="20"/>
          <w:szCs w:val="20"/>
        </w:rPr>
        <w:t>a</w:t>
      </w:r>
      <w:r w:rsidR="008366A3" w:rsidRPr="00C5628F">
        <w:rPr>
          <w:rFonts w:ascii="Arial" w:hAnsi="Arial" w:cs="Arial"/>
          <w:sz w:val="20"/>
          <w:szCs w:val="20"/>
        </w:rPr>
        <w:t xml:space="preserve">nt jouant avec le racisme, s’est développée une forme de xénophobie d’État qui s’est traduite par des interventions contre des populations ciblées en raison de leur origine, particulièrement les </w:t>
      </w:r>
      <w:proofErr w:type="spellStart"/>
      <w:r w:rsidR="008366A3" w:rsidRPr="00C5628F">
        <w:rPr>
          <w:rFonts w:ascii="Arial" w:hAnsi="Arial" w:cs="Arial"/>
          <w:sz w:val="20"/>
          <w:szCs w:val="20"/>
        </w:rPr>
        <w:t>Roms</w:t>
      </w:r>
      <w:proofErr w:type="spellEnd"/>
      <w:r w:rsidR="008366A3" w:rsidRPr="00C5628F">
        <w:rPr>
          <w:rFonts w:ascii="Arial" w:hAnsi="Arial" w:cs="Arial"/>
          <w:sz w:val="20"/>
          <w:szCs w:val="20"/>
        </w:rPr>
        <w:t>.</w:t>
      </w:r>
      <w:r w:rsidR="008366A3">
        <w:rPr>
          <w:rFonts w:ascii="Arial" w:hAnsi="Arial" w:cs="Arial"/>
          <w:sz w:val="20"/>
          <w:szCs w:val="20"/>
        </w:rPr>
        <w:t xml:space="preserve"> Quelques dossiers peuvent illustrer nos préoccupations. </w:t>
      </w:r>
    </w:p>
    <w:p w:rsidR="008366A3" w:rsidRDefault="003E75DD" w:rsidP="00E267F4">
      <w:pPr>
        <w:spacing w:after="0" w:line="240" w:lineRule="auto"/>
        <w:jc w:val="both"/>
        <w:rPr>
          <w:rFonts w:ascii="Arial" w:hAnsi="Arial" w:cs="Arial"/>
          <w:sz w:val="20"/>
          <w:szCs w:val="20"/>
        </w:rPr>
      </w:pPr>
      <w:r>
        <w:rPr>
          <w:rFonts w:ascii="Arial" w:hAnsi="Arial" w:cs="Arial"/>
          <w:sz w:val="20"/>
          <w:szCs w:val="20"/>
        </w:rPr>
        <w:lastRenderedPageBreak/>
        <w:t xml:space="preserve"> </w:t>
      </w:r>
      <w:r w:rsidR="008366A3">
        <w:rPr>
          <w:rFonts w:ascii="Arial" w:hAnsi="Arial" w:cs="Arial"/>
          <w:sz w:val="20"/>
          <w:szCs w:val="20"/>
        </w:rPr>
        <w:t>Ainsi :</w:t>
      </w:r>
    </w:p>
    <w:p w:rsidR="008366A3" w:rsidRPr="0062782A" w:rsidRDefault="008366A3" w:rsidP="00E267F4">
      <w:pPr>
        <w:spacing w:after="0" w:line="240" w:lineRule="auto"/>
        <w:jc w:val="both"/>
        <w:rPr>
          <w:rFonts w:ascii="Arial" w:hAnsi="Arial" w:cs="Arial"/>
          <w:sz w:val="20"/>
          <w:szCs w:val="20"/>
        </w:rPr>
      </w:pPr>
    </w:p>
    <w:p w:rsidR="008366A3" w:rsidRDefault="003E75DD" w:rsidP="00E267F4">
      <w:pPr>
        <w:spacing w:after="0" w:line="240" w:lineRule="auto"/>
        <w:jc w:val="both"/>
        <w:rPr>
          <w:rFonts w:ascii="Arial" w:hAnsi="Arial" w:cs="Arial"/>
          <w:sz w:val="20"/>
          <w:szCs w:val="20"/>
        </w:rPr>
      </w:pPr>
      <w:r w:rsidRPr="003E75DD">
        <w:rPr>
          <w:rFonts w:ascii="Arial" w:hAnsi="Arial" w:cs="Arial"/>
          <w:b/>
          <w:sz w:val="16"/>
          <w:szCs w:val="16"/>
        </w:rPr>
        <w:t>1</w:t>
      </w:r>
      <w:r w:rsidR="00950988">
        <w:rPr>
          <w:rFonts w:ascii="Arial" w:hAnsi="Arial" w:cs="Arial"/>
          <w:b/>
          <w:sz w:val="16"/>
          <w:szCs w:val="16"/>
        </w:rPr>
        <w:t>4</w:t>
      </w:r>
      <w:r w:rsidR="001E3464">
        <w:rPr>
          <w:rFonts w:ascii="Arial" w:hAnsi="Arial" w:cs="Arial"/>
          <w:b/>
          <w:sz w:val="16"/>
          <w:szCs w:val="16"/>
        </w:rPr>
        <w:t>1</w:t>
      </w:r>
      <w:r w:rsidR="008366A3">
        <w:rPr>
          <w:rFonts w:ascii="Arial" w:hAnsi="Arial" w:cs="Arial"/>
          <w:sz w:val="20"/>
          <w:szCs w:val="20"/>
        </w:rPr>
        <w:t xml:space="preserve">. </w:t>
      </w:r>
      <w:r w:rsidR="008366A3" w:rsidRPr="00CE58BF">
        <w:rPr>
          <w:rFonts w:ascii="Arial" w:hAnsi="Arial" w:cs="Arial"/>
          <w:sz w:val="20"/>
          <w:szCs w:val="20"/>
        </w:rPr>
        <w:t xml:space="preserve">Le 4 juillet 2013, dans le cadre d’une interview accordée au quotidien </w:t>
      </w:r>
      <w:r w:rsidR="008366A3" w:rsidRPr="00CE58BF">
        <w:rPr>
          <w:rFonts w:ascii="Arial" w:hAnsi="Arial" w:cs="Arial"/>
          <w:i/>
          <w:sz w:val="20"/>
          <w:szCs w:val="20"/>
        </w:rPr>
        <w:t>Nice Matin</w:t>
      </w:r>
      <w:r w:rsidR="008366A3" w:rsidRPr="00CE58BF">
        <w:rPr>
          <w:rFonts w:ascii="Arial" w:hAnsi="Arial" w:cs="Arial"/>
          <w:sz w:val="20"/>
          <w:szCs w:val="20"/>
        </w:rPr>
        <w:t xml:space="preserve">, Jean-Marie Le Pen évoque la présence, à Nice, de </w:t>
      </w:r>
      <w:proofErr w:type="spellStart"/>
      <w:r w:rsidR="008366A3" w:rsidRPr="00CE58BF">
        <w:rPr>
          <w:rFonts w:ascii="Arial" w:hAnsi="Arial" w:cs="Arial"/>
          <w:sz w:val="20"/>
          <w:szCs w:val="20"/>
        </w:rPr>
        <w:t>Roms</w:t>
      </w:r>
      <w:proofErr w:type="spellEnd"/>
      <w:r w:rsidR="008366A3" w:rsidRPr="00CE58BF">
        <w:rPr>
          <w:rFonts w:ascii="Arial" w:hAnsi="Arial" w:cs="Arial"/>
          <w:sz w:val="20"/>
          <w:szCs w:val="20"/>
        </w:rPr>
        <w:t xml:space="preserve"> « </w:t>
      </w:r>
      <w:r w:rsidR="008366A3" w:rsidRPr="00CE58BF">
        <w:rPr>
          <w:rFonts w:ascii="Arial" w:hAnsi="Arial" w:cs="Arial"/>
          <w:i/>
          <w:sz w:val="20"/>
          <w:szCs w:val="20"/>
        </w:rPr>
        <w:t xml:space="preserve">qui ont </w:t>
      </w:r>
      <w:r w:rsidR="008366A3" w:rsidRPr="00CE58BF">
        <w:rPr>
          <w:rFonts w:ascii="Arial" w:hAnsi="Arial" w:cs="Arial"/>
          <w:sz w:val="20"/>
          <w:szCs w:val="20"/>
        </w:rPr>
        <w:t>(…)</w:t>
      </w:r>
      <w:r w:rsidR="008366A3" w:rsidRPr="00CE58BF">
        <w:rPr>
          <w:rFonts w:ascii="Arial" w:hAnsi="Arial" w:cs="Arial"/>
          <w:i/>
          <w:sz w:val="20"/>
          <w:szCs w:val="20"/>
        </w:rPr>
        <w:t xml:space="preserve"> une présence urticante et odorante</w:t>
      </w:r>
      <w:r w:rsidR="008366A3" w:rsidRPr="00CE58BF">
        <w:rPr>
          <w:rFonts w:ascii="Arial" w:hAnsi="Arial" w:cs="Arial"/>
          <w:sz w:val="20"/>
          <w:szCs w:val="20"/>
        </w:rPr>
        <w:t xml:space="preserve"> ». Il ajoute qu’au cours de l’année 2014, en raison de l’entrée dans l’union européenne de la Roumanie, les </w:t>
      </w:r>
      <w:proofErr w:type="spellStart"/>
      <w:r w:rsidR="008366A3" w:rsidRPr="00CE58BF">
        <w:rPr>
          <w:rFonts w:ascii="Arial" w:hAnsi="Arial" w:cs="Arial"/>
          <w:sz w:val="20"/>
          <w:szCs w:val="20"/>
        </w:rPr>
        <w:t>Roms</w:t>
      </w:r>
      <w:proofErr w:type="spellEnd"/>
      <w:r w:rsidR="008366A3" w:rsidRPr="00CE58BF">
        <w:rPr>
          <w:rFonts w:ascii="Arial" w:hAnsi="Arial" w:cs="Arial"/>
          <w:sz w:val="20"/>
          <w:szCs w:val="20"/>
        </w:rPr>
        <w:t xml:space="preserve"> seront au moins 50 000. La LDH a saisi le procureur de la République du </w:t>
      </w:r>
      <w:r w:rsidR="008366A3">
        <w:rPr>
          <w:rFonts w:ascii="Arial" w:hAnsi="Arial" w:cs="Arial"/>
          <w:sz w:val="20"/>
          <w:szCs w:val="20"/>
        </w:rPr>
        <w:t xml:space="preserve">tribunal de grande instance </w:t>
      </w:r>
      <w:r w:rsidR="008366A3" w:rsidRPr="00CE58BF">
        <w:rPr>
          <w:rFonts w:ascii="Arial" w:hAnsi="Arial" w:cs="Arial"/>
          <w:sz w:val="20"/>
          <w:szCs w:val="20"/>
        </w:rPr>
        <w:t>de Nice d’une plainte, par courrier daté du 12 juillet 2013, pour provocation à la discrimination, à la haine ou à la violence raciale. Une enquête préliminaire a été diligentée et la LDH a été entendue le 28 août 2013 pour confirmation des termes de la plainte.</w:t>
      </w:r>
    </w:p>
    <w:p w:rsidR="008366A3" w:rsidRPr="00CE58BF" w:rsidRDefault="008366A3" w:rsidP="00E267F4">
      <w:pPr>
        <w:spacing w:after="0" w:line="240" w:lineRule="auto"/>
        <w:jc w:val="both"/>
        <w:rPr>
          <w:rFonts w:ascii="Arial" w:hAnsi="Arial" w:cs="Arial"/>
          <w:sz w:val="20"/>
          <w:szCs w:val="20"/>
        </w:rPr>
      </w:pPr>
    </w:p>
    <w:p w:rsidR="008366A3" w:rsidRDefault="003E75DD" w:rsidP="00E267F4">
      <w:pPr>
        <w:spacing w:after="0" w:line="240" w:lineRule="auto"/>
        <w:jc w:val="both"/>
        <w:rPr>
          <w:rFonts w:ascii="Arial" w:hAnsi="Arial" w:cs="Arial"/>
          <w:sz w:val="20"/>
          <w:szCs w:val="20"/>
        </w:rPr>
      </w:pPr>
      <w:r w:rsidRPr="003E75DD">
        <w:rPr>
          <w:rFonts w:ascii="Arial" w:hAnsi="Arial" w:cs="Arial"/>
          <w:b/>
          <w:sz w:val="16"/>
          <w:szCs w:val="16"/>
        </w:rPr>
        <w:t>1</w:t>
      </w:r>
      <w:r w:rsidR="00950988">
        <w:rPr>
          <w:rFonts w:ascii="Arial" w:hAnsi="Arial" w:cs="Arial"/>
          <w:b/>
          <w:sz w:val="16"/>
          <w:szCs w:val="16"/>
        </w:rPr>
        <w:t>4</w:t>
      </w:r>
      <w:r w:rsidR="001E3464">
        <w:rPr>
          <w:rFonts w:ascii="Arial" w:hAnsi="Arial" w:cs="Arial"/>
          <w:b/>
          <w:sz w:val="16"/>
          <w:szCs w:val="16"/>
        </w:rPr>
        <w:t>2</w:t>
      </w:r>
      <w:r w:rsidR="008366A3" w:rsidRPr="00CE58BF">
        <w:rPr>
          <w:rFonts w:ascii="Arial" w:hAnsi="Arial" w:cs="Arial"/>
          <w:sz w:val="20"/>
          <w:szCs w:val="20"/>
        </w:rPr>
        <w:t>. La revue locale</w:t>
      </w:r>
      <w:r w:rsidR="008366A3" w:rsidRPr="00CE58BF">
        <w:rPr>
          <w:rFonts w:ascii="Arial" w:hAnsi="Arial" w:cs="Arial"/>
          <w:i/>
          <w:sz w:val="20"/>
          <w:szCs w:val="20"/>
        </w:rPr>
        <w:t> </w:t>
      </w:r>
      <w:proofErr w:type="spellStart"/>
      <w:r w:rsidR="008366A3" w:rsidRPr="00CE58BF">
        <w:rPr>
          <w:rFonts w:ascii="Arial" w:hAnsi="Arial" w:cs="Arial"/>
          <w:i/>
          <w:sz w:val="20"/>
          <w:szCs w:val="20"/>
        </w:rPr>
        <w:t>Artdeville</w:t>
      </w:r>
      <w:proofErr w:type="spellEnd"/>
      <w:r w:rsidR="008366A3" w:rsidRPr="00CE58BF">
        <w:rPr>
          <w:rFonts w:ascii="Arial" w:hAnsi="Arial" w:cs="Arial"/>
          <w:sz w:val="20"/>
          <w:szCs w:val="20"/>
        </w:rPr>
        <w:t>, dans son numéro de décembre 2013 - janvier 2014, publie une interview de Jacques Domergue, alors conseiller municipal. L’interview se situe dans un contexte préélectoral, dans la perspective des municipales du mois de mars. L’article est intitulé : « </w:t>
      </w:r>
      <w:r w:rsidR="008366A3" w:rsidRPr="00CE58BF">
        <w:rPr>
          <w:rFonts w:ascii="Arial" w:hAnsi="Arial" w:cs="Arial"/>
          <w:i/>
          <w:sz w:val="20"/>
          <w:szCs w:val="20"/>
        </w:rPr>
        <w:t xml:space="preserve">Jacques Domergue ne veut pas faire peur… sauf aux </w:t>
      </w:r>
      <w:proofErr w:type="spellStart"/>
      <w:r w:rsidR="008366A3" w:rsidRPr="00CE58BF">
        <w:rPr>
          <w:rFonts w:ascii="Arial" w:hAnsi="Arial" w:cs="Arial"/>
          <w:i/>
          <w:sz w:val="20"/>
          <w:szCs w:val="20"/>
        </w:rPr>
        <w:t>Roms</w:t>
      </w:r>
      <w:proofErr w:type="spellEnd"/>
      <w:r w:rsidR="008366A3" w:rsidRPr="00CE58BF">
        <w:rPr>
          <w:rFonts w:ascii="Arial" w:hAnsi="Arial" w:cs="Arial"/>
          <w:i/>
          <w:sz w:val="20"/>
          <w:szCs w:val="20"/>
        </w:rPr>
        <w:t>.</w:t>
      </w:r>
      <w:r w:rsidR="008366A3" w:rsidRPr="00CE58BF">
        <w:rPr>
          <w:rFonts w:ascii="Arial" w:hAnsi="Arial" w:cs="Arial"/>
          <w:sz w:val="20"/>
          <w:szCs w:val="20"/>
        </w:rPr>
        <w:t xml:space="preserve"> » Tout au long de l’article, l’intéressé appelle clairement à une exclusion de la communauté rom du centre-ville de Montpellier et à leur expulsion du territoire français. L’ensemble des propos vise à stigmatiser la communauté rom et à lui associer la perpétration d’infractions ainsi que des comportements irrespectueux. La LDH a porté plainte auprès du procureur de la République du </w:t>
      </w:r>
      <w:r w:rsidR="008366A3">
        <w:rPr>
          <w:rFonts w:ascii="Arial" w:hAnsi="Arial" w:cs="Arial"/>
          <w:sz w:val="20"/>
          <w:szCs w:val="20"/>
        </w:rPr>
        <w:t>tribunal de grande instance</w:t>
      </w:r>
      <w:r w:rsidR="008366A3" w:rsidRPr="00CE58BF">
        <w:rPr>
          <w:rFonts w:ascii="Arial" w:hAnsi="Arial" w:cs="Arial"/>
          <w:sz w:val="20"/>
          <w:szCs w:val="20"/>
        </w:rPr>
        <w:t xml:space="preserve"> de Montpellier, par courrier du 28 février 2014, pour incitation à la provocation, à la discrimination, à la haine ou à la violence raciale.</w:t>
      </w:r>
      <w:r w:rsidR="008366A3">
        <w:rPr>
          <w:rFonts w:ascii="Arial" w:hAnsi="Arial" w:cs="Arial"/>
          <w:sz w:val="20"/>
          <w:szCs w:val="20"/>
        </w:rPr>
        <w:t xml:space="preserve"> Cependant, la plainte a été classée sans suite par le procureur de la République. La LDH a porté plainte avec constitution de partie civile.</w:t>
      </w:r>
    </w:p>
    <w:p w:rsidR="008366A3" w:rsidRPr="00CE58BF" w:rsidRDefault="008366A3" w:rsidP="00E267F4">
      <w:pPr>
        <w:spacing w:after="0" w:line="240" w:lineRule="auto"/>
        <w:jc w:val="both"/>
        <w:rPr>
          <w:rFonts w:ascii="Arial" w:hAnsi="Arial" w:cs="Arial"/>
          <w:sz w:val="20"/>
          <w:szCs w:val="20"/>
        </w:rPr>
      </w:pPr>
    </w:p>
    <w:p w:rsidR="008366A3" w:rsidRPr="00CE58BF" w:rsidRDefault="003E75DD" w:rsidP="00E267F4">
      <w:pPr>
        <w:spacing w:after="0" w:line="240" w:lineRule="auto"/>
        <w:jc w:val="both"/>
        <w:rPr>
          <w:rFonts w:ascii="Arial" w:hAnsi="Arial" w:cs="Arial"/>
          <w:sz w:val="20"/>
          <w:szCs w:val="20"/>
        </w:rPr>
      </w:pPr>
      <w:r w:rsidRPr="003E75DD">
        <w:rPr>
          <w:rFonts w:ascii="Arial" w:hAnsi="Arial" w:cs="Arial"/>
          <w:b/>
          <w:sz w:val="16"/>
          <w:szCs w:val="16"/>
        </w:rPr>
        <w:t>1</w:t>
      </w:r>
      <w:r w:rsidR="00950988">
        <w:rPr>
          <w:rFonts w:ascii="Arial" w:hAnsi="Arial" w:cs="Arial"/>
          <w:b/>
          <w:sz w:val="16"/>
          <w:szCs w:val="16"/>
        </w:rPr>
        <w:t>4</w:t>
      </w:r>
      <w:r w:rsidR="001E3464">
        <w:rPr>
          <w:rFonts w:ascii="Arial" w:hAnsi="Arial" w:cs="Arial"/>
          <w:b/>
          <w:sz w:val="16"/>
          <w:szCs w:val="16"/>
        </w:rPr>
        <w:t>3</w:t>
      </w:r>
      <w:r w:rsidR="008366A3">
        <w:rPr>
          <w:rFonts w:ascii="Arial" w:hAnsi="Arial" w:cs="Arial"/>
          <w:sz w:val="20"/>
          <w:szCs w:val="20"/>
        </w:rPr>
        <w:t xml:space="preserve">. </w:t>
      </w:r>
      <w:r w:rsidR="008366A3" w:rsidRPr="00CE58BF">
        <w:rPr>
          <w:rFonts w:ascii="Arial" w:hAnsi="Arial" w:cs="Arial"/>
          <w:sz w:val="20"/>
          <w:szCs w:val="20"/>
        </w:rPr>
        <w:t>Le 21 juillet 2013, lors d’un déplacement sur un terrain municipal où des Gens du voyage se sont installés, le maire de Cholet a déclaré, en réponse aux saluts nazis et aux incriminations de racisme des Gens du voyage : « </w:t>
      </w:r>
      <w:r w:rsidR="008366A3" w:rsidRPr="00CE58BF">
        <w:rPr>
          <w:rFonts w:ascii="Arial" w:hAnsi="Arial" w:cs="Arial"/>
          <w:i/>
          <w:sz w:val="20"/>
          <w:szCs w:val="20"/>
        </w:rPr>
        <w:t>Comme quoi, Hitler n’en a peut-être pas tué assez</w:t>
      </w:r>
      <w:r w:rsidR="008366A3" w:rsidRPr="00CE58BF">
        <w:rPr>
          <w:rFonts w:ascii="Arial" w:hAnsi="Arial" w:cs="Arial"/>
          <w:sz w:val="20"/>
          <w:szCs w:val="20"/>
        </w:rPr>
        <w:t> ». La LDH a porté plainte auprès du procureur de la République du TGI d’Angers et le maire de la commune a été poursuivi pour apologie de crimes de guerre ou de crimes contre l’Humanité.</w:t>
      </w:r>
      <w:r w:rsidR="008366A3">
        <w:rPr>
          <w:rFonts w:ascii="Arial" w:hAnsi="Arial" w:cs="Arial"/>
          <w:sz w:val="20"/>
          <w:szCs w:val="20"/>
        </w:rPr>
        <w:t xml:space="preserve"> </w:t>
      </w:r>
      <w:r w:rsidR="008366A3" w:rsidRPr="00605BF1">
        <w:rPr>
          <w:rFonts w:ascii="Arial" w:hAnsi="Arial" w:cs="Arial"/>
          <w:sz w:val="20"/>
          <w:szCs w:val="20"/>
        </w:rPr>
        <w:t xml:space="preserve">Il a été condamné à une simple peine d’amende (3.000 €). On doit, aussi, relever que de précédents propos contre les </w:t>
      </w:r>
      <w:proofErr w:type="spellStart"/>
      <w:r w:rsidR="008366A3" w:rsidRPr="00605BF1">
        <w:rPr>
          <w:rFonts w:ascii="Arial" w:hAnsi="Arial" w:cs="Arial"/>
          <w:sz w:val="20"/>
          <w:szCs w:val="20"/>
        </w:rPr>
        <w:t>Roms</w:t>
      </w:r>
      <w:proofErr w:type="spellEnd"/>
      <w:r w:rsidR="008366A3" w:rsidRPr="00605BF1">
        <w:rPr>
          <w:rFonts w:ascii="Arial" w:hAnsi="Arial" w:cs="Arial"/>
          <w:sz w:val="20"/>
          <w:szCs w:val="20"/>
        </w:rPr>
        <w:t>, du même édile, ont fait l’objet d’un classement sans suite du Procureur de la République.</w:t>
      </w:r>
    </w:p>
    <w:p w:rsidR="008366A3" w:rsidRPr="00CE58BF" w:rsidRDefault="008366A3" w:rsidP="00E267F4">
      <w:pPr>
        <w:spacing w:after="0" w:line="240" w:lineRule="auto"/>
        <w:jc w:val="both"/>
        <w:rPr>
          <w:rFonts w:ascii="Times New Roman" w:hAnsi="Times New Roman" w:cs="Times New Roman"/>
        </w:rPr>
      </w:pPr>
    </w:p>
    <w:p w:rsidR="008366A3" w:rsidRDefault="003E75DD" w:rsidP="00E267F4">
      <w:pPr>
        <w:spacing w:after="0" w:line="240" w:lineRule="auto"/>
        <w:jc w:val="both"/>
        <w:rPr>
          <w:rFonts w:ascii="Arial" w:hAnsi="Arial" w:cs="Arial"/>
          <w:sz w:val="20"/>
          <w:szCs w:val="20"/>
        </w:rPr>
      </w:pPr>
      <w:r w:rsidRPr="003E75DD">
        <w:rPr>
          <w:rFonts w:ascii="Arial" w:hAnsi="Arial" w:cs="Arial"/>
          <w:b/>
          <w:sz w:val="16"/>
          <w:szCs w:val="16"/>
        </w:rPr>
        <w:t>14</w:t>
      </w:r>
      <w:r w:rsidR="001E3464">
        <w:rPr>
          <w:rFonts w:ascii="Arial" w:hAnsi="Arial" w:cs="Arial"/>
          <w:b/>
          <w:sz w:val="16"/>
          <w:szCs w:val="16"/>
        </w:rPr>
        <w:t>4</w:t>
      </w:r>
      <w:r w:rsidR="008366A3">
        <w:rPr>
          <w:rFonts w:ascii="Arial" w:hAnsi="Arial" w:cs="Arial"/>
          <w:sz w:val="20"/>
          <w:szCs w:val="20"/>
        </w:rPr>
        <w:t xml:space="preserve">. </w:t>
      </w:r>
      <w:r w:rsidR="008366A3" w:rsidRPr="00CA0317">
        <w:rPr>
          <w:rFonts w:ascii="Arial" w:hAnsi="Arial" w:cs="Arial"/>
          <w:sz w:val="20"/>
          <w:szCs w:val="20"/>
        </w:rPr>
        <w:t>Lors d’un conseil de quartier, le 28 novembre 2013, le maire de Roquebrune-sur-Argens, évoquant la lutte contre les incendies engagée par la commune, déclare : « </w:t>
      </w:r>
      <w:r w:rsidR="008366A3" w:rsidRPr="00CA0317">
        <w:rPr>
          <w:rFonts w:ascii="Arial" w:hAnsi="Arial" w:cs="Arial"/>
          <w:i/>
          <w:sz w:val="20"/>
          <w:szCs w:val="20"/>
        </w:rPr>
        <w:t xml:space="preserve">Je vous rappelle quand même que les Gens du voyage, que dis-je, les </w:t>
      </w:r>
      <w:proofErr w:type="spellStart"/>
      <w:r w:rsidR="008366A3" w:rsidRPr="00CA0317">
        <w:rPr>
          <w:rFonts w:ascii="Arial" w:hAnsi="Arial" w:cs="Arial"/>
          <w:i/>
          <w:sz w:val="20"/>
          <w:szCs w:val="20"/>
        </w:rPr>
        <w:t>Roms</w:t>
      </w:r>
      <w:proofErr w:type="spellEnd"/>
      <w:r w:rsidR="008366A3" w:rsidRPr="00CA0317">
        <w:rPr>
          <w:rFonts w:ascii="Arial" w:hAnsi="Arial" w:cs="Arial"/>
          <w:i/>
          <w:sz w:val="20"/>
          <w:szCs w:val="20"/>
        </w:rPr>
        <w:t>, ont mis neuf fois le feu. Neuf fois des départs de feux éteints par le SDIS dont le dernier, ils se le sont mis eux-mêmes, vous savez ce qu’ils font : ils piquent les câbles électriques et après ils les brûlent pour récupérer le cuivre et ils se sont mis à eux-mêmes le feu dans leurs propres caravanes ! Un gag ! Ce qui est presque dommage, c’est qu’on ait appelé trop tôt les secours ! </w:t>
      </w:r>
      <w:r w:rsidR="008366A3" w:rsidRPr="00CA0317">
        <w:rPr>
          <w:rFonts w:ascii="Arial" w:hAnsi="Arial" w:cs="Arial"/>
          <w:sz w:val="20"/>
          <w:szCs w:val="20"/>
        </w:rPr>
        <w:t>» La LDH a saisi, le 5 décembre 2013, la procureure de la République d’une plainte pour provocation à la haine, à la violence et à la discrimination raciale. Le parquet renvoie le maire de la commune devant le tribunal correctionnel de Draguignan pour provocation à la haine ou à la violence à l’égard d’un groupe de personnes en raison, en l’espèce, de leur appartenance à la communauté rom. Il a été condamné le 17 novembre 2014 à un an d’inéligibilité et dix mille euros d’amende par le tribun</w:t>
      </w:r>
      <w:r w:rsidR="008366A3">
        <w:rPr>
          <w:rFonts w:ascii="Arial" w:hAnsi="Arial" w:cs="Arial"/>
          <w:sz w:val="20"/>
          <w:szCs w:val="20"/>
        </w:rPr>
        <w:t>al correctionnel de Draguignan</w:t>
      </w:r>
      <w:r w:rsidR="00950988">
        <w:rPr>
          <w:rFonts w:ascii="Arial" w:hAnsi="Arial" w:cs="Arial"/>
          <w:sz w:val="20"/>
          <w:szCs w:val="20"/>
        </w:rPr>
        <w:t>, peine confirmée par la Cour d’appel au mois de mai 2015</w:t>
      </w:r>
      <w:r w:rsidR="008366A3">
        <w:rPr>
          <w:rFonts w:ascii="Arial" w:hAnsi="Arial" w:cs="Arial"/>
          <w:sz w:val="20"/>
          <w:szCs w:val="20"/>
        </w:rPr>
        <w:t>.</w:t>
      </w:r>
    </w:p>
    <w:p w:rsidR="008366A3" w:rsidRPr="00CA0317" w:rsidRDefault="008366A3" w:rsidP="00E267F4">
      <w:pPr>
        <w:spacing w:after="0" w:line="240" w:lineRule="auto"/>
        <w:jc w:val="both"/>
        <w:rPr>
          <w:rFonts w:ascii="Arial" w:hAnsi="Arial" w:cs="Arial"/>
          <w:sz w:val="20"/>
          <w:szCs w:val="20"/>
        </w:rPr>
      </w:pPr>
    </w:p>
    <w:p w:rsidR="008366A3" w:rsidRPr="003D3D4B" w:rsidRDefault="008366A3" w:rsidP="00E267F4">
      <w:pPr>
        <w:pStyle w:val="Titre2"/>
        <w:numPr>
          <w:ilvl w:val="0"/>
          <w:numId w:val="11"/>
        </w:numPr>
        <w:spacing w:before="0" w:line="240" w:lineRule="auto"/>
        <w:ind w:firstLine="0"/>
        <w:jc w:val="both"/>
        <w:rPr>
          <w:rFonts w:ascii="Arial" w:hAnsi="Arial" w:cs="Arial"/>
          <w:b w:val="0"/>
          <w:color w:val="auto"/>
          <w:sz w:val="20"/>
          <w:szCs w:val="20"/>
          <w:u w:val="single"/>
        </w:rPr>
      </w:pPr>
      <w:bookmarkStart w:id="87" w:name="_Toc282794099"/>
      <w:bookmarkStart w:id="88" w:name="_Toc282794289"/>
      <w:bookmarkStart w:id="89" w:name="_Toc282795922"/>
      <w:bookmarkStart w:id="90" w:name="_Toc413409293"/>
      <w:bookmarkStart w:id="91" w:name="_Toc415581583"/>
      <w:bookmarkStart w:id="92" w:name="_Toc420924123"/>
      <w:r w:rsidRPr="003D3D4B">
        <w:rPr>
          <w:rFonts w:ascii="Arial" w:hAnsi="Arial" w:cs="Arial"/>
          <w:b w:val="0"/>
          <w:color w:val="auto"/>
          <w:sz w:val="20"/>
          <w:szCs w:val="20"/>
          <w:u w:val="single"/>
        </w:rPr>
        <w:t>Les manifestations de racisme, d’antisémitisme et de xénophobie sur Internet</w:t>
      </w:r>
      <w:bookmarkEnd w:id="87"/>
      <w:bookmarkEnd w:id="88"/>
      <w:bookmarkEnd w:id="89"/>
      <w:bookmarkEnd w:id="90"/>
      <w:bookmarkEnd w:id="91"/>
      <w:bookmarkEnd w:id="92"/>
    </w:p>
    <w:p w:rsidR="008366A3" w:rsidRPr="00CA0317" w:rsidRDefault="008366A3" w:rsidP="00E267F4">
      <w:pPr>
        <w:spacing w:after="0" w:line="240" w:lineRule="auto"/>
        <w:jc w:val="both"/>
        <w:rPr>
          <w:rFonts w:ascii="Arial" w:hAnsi="Arial" w:cs="Arial"/>
          <w:sz w:val="20"/>
          <w:szCs w:val="20"/>
        </w:rPr>
      </w:pPr>
    </w:p>
    <w:p w:rsidR="008366A3" w:rsidRDefault="003E75DD" w:rsidP="00E267F4">
      <w:pPr>
        <w:spacing w:after="0" w:line="240" w:lineRule="auto"/>
        <w:jc w:val="both"/>
        <w:rPr>
          <w:rFonts w:ascii="Arial" w:hAnsi="Arial" w:cs="Arial"/>
          <w:sz w:val="20"/>
          <w:szCs w:val="20"/>
        </w:rPr>
      </w:pPr>
      <w:r>
        <w:rPr>
          <w:rFonts w:ascii="Arial" w:hAnsi="Arial" w:cs="Arial"/>
          <w:b/>
          <w:sz w:val="16"/>
          <w:szCs w:val="16"/>
        </w:rPr>
        <w:t>14</w:t>
      </w:r>
      <w:r w:rsidR="001E3464">
        <w:rPr>
          <w:rFonts w:ascii="Arial" w:hAnsi="Arial" w:cs="Arial"/>
          <w:b/>
          <w:sz w:val="16"/>
          <w:szCs w:val="16"/>
        </w:rPr>
        <w:t>5</w:t>
      </w:r>
      <w:r w:rsidR="008366A3" w:rsidRPr="00CA0317">
        <w:rPr>
          <w:rFonts w:ascii="Arial" w:hAnsi="Arial" w:cs="Arial"/>
          <w:b/>
          <w:sz w:val="16"/>
          <w:szCs w:val="16"/>
        </w:rPr>
        <w:t>.</w:t>
      </w:r>
      <w:r w:rsidR="008366A3">
        <w:rPr>
          <w:rFonts w:ascii="Arial" w:hAnsi="Arial" w:cs="Arial"/>
          <w:sz w:val="20"/>
          <w:szCs w:val="20"/>
        </w:rPr>
        <w:t xml:space="preserve"> </w:t>
      </w:r>
      <w:r w:rsidR="008366A3" w:rsidRPr="00CA0317">
        <w:rPr>
          <w:rFonts w:ascii="Arial" w:hAnsi="Arial" w:cs="Arial"/>
          <w:sz w:val="20"/>
          <w:szCs w:val="20"/>
        </w:rPr>
        <w:t>Il est un sujet constant de préoccupation pour l’ensemble des acteurs de la société, qu’il s’agisse des acteurs institutionnels ou des associations. Il est effectif que les nouvelles technologies de l’information et de la communication constituent un outil accessible, permettant de véhiculer rapidement des idées racistes et pouvant souvent garantir l’anonymat.</w:t>
      </w:r>
    </w:p>
    <w:p w:rsidR="008366A3" w:rsidRPr="00CA0317" w:rsidRDefault="008366A3" w:rsidP="00E267F4">
      <w:pPr>
        <w:spacing w:after="0" w:line="240" w:lineRule="auto"/>
        <w:jc w:val="both"/>
        <w:rPr>
          <w:rFonts w:ascii="Arial" w:hAnsi="Arial" w:cs="Arial"/>
          <w:sz w:val="20"/>
          <w:szCs w:val="20"/>
        </w:rPr>
      </w:pPr>
    </w:p>
    <w:p w:rsidR="008366A3" w:rsidRDefault="003E75DD" w:rsidP="00E267F4">
      <w:pPr>
        <w:spacing w:after="0" w:line="240" w:lineRule="auto"/>
        <w:jc w:val="both"/>
        <w:rPr>
          <w:rFonts w:ascii="Arial" w:hAnsi="Arial" w:cs="Arial"/>
          <w:sz w:val="20"/>
          <w:szCs w:val="20"/>
        </w:rPr>
      </w:pPr>
      <w:r w:rsidRPr="003E75DD">
        <w:rPr>
          <w:rFonts w:ascii="Arial" w:hAnsi="Arial" w:cs="Arial"/>
          <w:b/>
          <w:sz w:val="16"/>
          <w:szCs w:val="16"/>
        </w:rPr>
        <w:t>14</w:t>
      </w:r>
      <w:r w:rsidR="001E3464">
        <w:rPr>
          <w:rFonts w:ascii="Arial" w:hAnsi="Arial" w:cs="Arial"/>
          <w:b/>
          <w:sz w:val="16"/>
          <w:szCs w:val="16"/>
        </w:rPr>
        <w:t>6</w:t>
      </w:r>
      <w:r w:rsidR="008366A3">
        <w:rPr>
          <w:rFonts w:ascii="Arial" w:hAnsi="Arial" w:cs="Arial"/>
          <w:sz w:val="20"/>
          <w:szCs w:val="20"/>
        </w:rPr>
        <w:t xml:space="preserve">. </w:t>
      </w:r>
      <w:r w:rsidR="008366A3" w:rsidRPr="002D1311">
        <w:rPr>
          <w:rFonts w:ascii="Arial" w:hAnsi="Arial" w:cs="Arial"/>
          <w:sz w:val="20"/>
          <w:szCs w:val="20"/>
        </w:rPr>
        <w:t xml:space="preserve">Au mois de février 2014, </w:t>
      </w:r>
      <w:r w:rsidR="008366A3">
        <w:rPr>
          <w:rFonts w:ascii="Arial" w:hAnsi="Arial" w:cs="Arial"/>
          <w:sz w:val="20"/>
          <w:szCs w:val="20"/>
        </w:rPr>
        <w:t>sont</w:t>
      </w:r>
      <w:r w:rsidR="008366A3" w:rsidRPr="002D1311">
        <w:rPr>
          <w:rFonts w:ascii="Arial" w:hAnsi="Arial" w:cs="Arial"/>
          <w:sz w:val="20"/>
          <w:szCs w:val="20"/>
        </w:rPr>
        <w:t xml:space="preserve"> port</w:t>
      </w:r>
      <w:r w:rsidR="008366A3">
        <w:rPr>
          <w:rFonts w:ascii="Arial" w:hAnsi="Arial" w:cs="Arial"/>
          <w:sz w:val="20"/>
          <w:szCs w:val="20"/>
        </w:rPr>
        <w:t>és</w:t>
      </w:r>
      <w:r w:rsidR="008366A3" w:rsidRPr="002D1311">
        <w:rPr>
          <w:rFonts w:ascii="Arial" w:hAnsi="Arial" w:cs="Arial"/>
          <w:sz w:val="20"/>
          <w:szCs w:val="20"/>
        </w:rPr>
        <w:t xml:space="preserve"> à notre connaissance les écrits diffusés sur une page Facebook dénommée « </w:t>
      </w:r>
      <w:r w:rsidR="008366A3" w:rsidRPr="002D1311">
        <w:rPr>
          <w:rFonts w:ascii="Arial" w:hAnsi="Arial" w:cs="Arial"/>
          <w:i/>
          <w:sz w:val="20"/>
          <w:szCs w:val="20"/>
        </w:rPr>
        <w:t xml:space="preserve">Non à l’invasion des </w:t>
      </w:r>
      <w:proofErr w:type="spellStart"/>
      <w:r w:rsidR="008366A3" w:rsidRPr="002D1311">
        <w:rPr>
          <w:rFonts w:ascii="Arial" w:hAnsi="Arial" w:cs="Arial"/>
          <w:i/>
          <w:sz w:val="20"/>
          <w:szCs w:val="20"/>
        </w:rPr>
        <w:t>Roms</w:t>
      </w:r>
      <w:proofErr w:type="spellEnd"/>
      <w:r w:rsidR="008366A3" w:rsidRPr="002D1311">
        <w:rPr>
          <w:rFonts w:ascii="Arial" w:hAnsi="Arial" w:cs="Arial"/>
          <w:i/>
          <w:sz w:val="20"/>
          <w:szCs w:val="20"/>
        </w:rPr>
        <w:t>, la France n’est pas une poubelle</w:t>
      </w:r>
      <w:r w:rsidR="008366A3" w:rsidRPr="002D1311">
        <w:rPr>
          <w:rFonts w:ascii="Arial" w:hAnsi="Arial" w:cs="Arial"/>
          <w:sz w:val="20"/>
          <w:szCs w:val="20"/>
        </w:rPr>
        <w:t> ». La page ainsi identifiée contient différents « </w:t>
      </w:r>
      <w:proofErr w:type="spellStart"/>
      <w:r w:rsidR="008366A3" w:rsidRPr="002D1311">
        <w:rPr>
          <w:rFonts w:ascii="Arial" w:hAnsi="Arial" w:cs="Arial"/>
          <w:sz w:val="20"/>
          <w:szCs w:val="20"/>
        </w:rPr>
        <w:t>posts</w:t>
      </w:r>
      <w:proofErr w:type="spellEnd"/>
      <w:r w:rsidR="008366A3" w:rsidRPr="002D1311">
        <w:rPr>
          <w:rFonts w:ascii="Arial" w:hAnsi="Arial" w:cs="Arial"/>
          <w:sz w:val="20"/>
          <w:szCs w:val="20"/>
        </w:rPr>
        <w:t> » qui mettent en cause principalement, de façon générale et indifférenciée, la communauté musulmane et la communauté rom. Nombre de « </w:t>
      </w:r>
      <w:proofErr w:type="spellStart"/>
      <w:r w:rsidR="008366A3" w:rsidRPr="002D1311">
        <w:rPr>
          <w:rFonts w:ascii="Arial" w:hAnsi="Arial" w:cs="Arial"/>
          <w:sz w:val="20"/>
          <w:szCs w:val="20"/>
        </w:rPr>
        <w:t>posts</w:t>
      </w:r>
      <w:proofErr w:type="spellEnd"/>
      <w:r w:rsidR="008366A3" w:rsidRPr="002D1311">
        <w:rPr>
          <w:rFonts w:ascii="Arial" w:hAnsi="Arial" w:cs="Arial"/>
          <w:sz w:val="20"/>
          <w:szCs w:val="20"/>
        </w:rPr>
        <w:t xml:space="preserve"> » sont assortis de commentaires incitant à la haine raciale. Par courrier en date du 10 mars 2014, la LDH a saisi d’une plainte le procureur de la République du </w:t>
      </w:r>
      <w:r w:rsidR="008366A3">
        <w:rPr>
          <w:rFonts w:ascii="Arial" w:hAnsi="Arial" w:cs="Arial"/>
          <w:sz w:val="20"/>
          <w:szCs w:val="20"/>
        </w:rPr>
        <w:t>tribunal de grande instance</w:t>
      </w:r>
      <w:r w:rsidR="008366A3" w:rsidRPr="002D1311">
        <w:rPr>
          <w:rFonts w:ascii="Arial" w:hAnsi="Arial" w:cs="Arial"/>
          <w:sz w:val="20"/>
          <w:szCs w:val="20"/>
        </w:rPr>
        <w:t xml:space="preserve"> de Paris. Par courrier du 5 juin 2014, le parquet a informé la LDH d’un classement sans suite, au motif que « </w:t>
      </w:r>
      <w:r w:rsidR="008366A3" w:rsidRPr="002D1311">
        <w:rPr>
          <w:rFonts w:ascii="Arial" w:hAnsi="Arial" w:cs="Arial"/>
          <w:i/>
          <w:sz w:val="20"/>
          <w:szCs w:val="20"/>
        </w:rPr>
        <w:t>Facebook n’a pas répondu aux réquisitions qui lui ont été adressées et le nom de L.M. utilisé sur la page Facebook incriminée ne correspond à aucune identité réelle</w:t>
      </w:r>
      <w:r w:rsidR="008366A3" w:rsidRPr="002D1311">
        <w:rPr>
          <w:rFonts w:ascii="Arial" w:hAnsi="Arial" w:cs="Arial"/>
          <w:sz w:val="20"/>
          <w:szCs w:val="20"/>
        </w:rPr>
        <w:t> ».</w:t>
      </w:r>
    </w:p>
    <w:p w:rsidR="003E75DD" w:rsidRPr="002D1311" w:rsidRDefault="003E75DD" w:rsidP="00E267F4">
      <w:pPr>
        <w:spacing w:after="0" w:line="240" w:lineRule="auto"/>
        <w:jc w:val="both"/>
        <w:rPr>
          <w:rFonts w:ascii="Arial" w:hAnsi="Arial" w:cs="Arial"/>
          <w:sz w:val="20"/>
          <w:szCs w:val="20"/>
        </w:rPr>
      </w:pPr>
    </w:p>
    <w:p w:rsidR="008366A3" w:rsidRDefault="003E75DD" w:rsidP="00E267F4">
      <w:pPr>
        <w:pStyle w:val="Paragraphedeliste"/>
        <w:spacing w:after="0" w:line="240" w:lineRule="auto"/>
        <w:ind w:left="0"/>
        <w:jc w:val="both"/>
        <w:rPr>
          <w:rFonts w:ascii="Arial" w:hAnsi="Arial" w:cs="Arial"/>
          <w:sz w:val="20"/>
          <w:szCs w:val="20"/>
        </w:rPr>
      </w:pPr>
      <w:r w:rsidRPr="003E75DD">
        <w:rPr>
          <w:rFonts w:ascii="Arial" w:hAnsi="Arial" w:cs="Arial"/>
          <w:b/>
          <w:sz w:val="16"/>
          <w:szCs w:val="16"/>
        </w:rPr>
        <w:t>14</w:t>
      </w:r>
      <w:r w:rsidR="001E3464">
        <w:rPr>
          <w:rFonts w:ascii="Arial" w:hAnsi="Arial" w:cs="Arial"/>
          <w:b/>
          <w:sz w:val="16"/>
          <w:szCs w:val="16"/>
        </w:rPr>
        <w:t>7</w:t>
      </w:r>
      <w:r w:rsidR="008366A3">
        <w:rPr>
          <w:rFonts w:ascii="Arial" w:hAnsi="Arial" w:cs="Arial"/>
          <w:sz w:val="20"/>
          <w:szCs w:val="20"/>
        </w:rPr>
        <w:t xml:space="preserve">. </w:t>
      </w:r>
      <w:r w:rsidR="008366A3" w:rsidRPr="00742046">
        <w:rPr>
          <w:rFonts w:ascii="Arial" w:hAnsi="Arial" w:cs="Arial"/>
          <w:sz w:val="20"/>
          <w:szCs w:val="20"/>
        </w:rPr>
        <w:t xml:space="preserve">L’association </w:t>
      </w:r>
      <w:r w:rsidR="008366A3">
        <w:rPr>
          <w:rFonts w:ascii="Arial" w:hAnsi="Arial" w:cs="Arial"/>
          <w:sz w:val="20"/>
          <w:szCs w:val="20"/>
        </w:rPr>
        <w:t>« </w:t>
      </w:r>
      <w:r w:rsidR="008366A3" w:rsidRPr="00742046">
        <w:rPr>
          <w:rFonts w:ascii="Arial" w:hAnsi="Arial" w:cs="Arial"/>
          <w:sz w:val="20"/>
          <w:szCs w:val="20"/>
        </w:rPr>
        <w:t>Honneur et Patrie</w:t>
      </w:r>
      <w:r w:rsidR="008366A3">
        <w:rPr>
          <w:rFonts w:ascii="Arial" w:hAnsi="Arial" w:cs="Arial"/>
          <w:sz w:val="20"/>
          <w:szCs w:val="20"/>
        </w:rPr>
        <w:t> »</w:t>
      </w:r>
      <w:r w:rsidR="008366A3" w:rsidRPr="00742046">
        <w:rPr>
          <w:rFonts w:ascii="Arial" w:hAnsi="Arial" w:cs="Arial"/>
          <w:sz w:val="20"/>
          <w:szCs w:val="20"/>
        </w:rPr>
        <w:t>, basée dans le Morbihan, dispose d’un site Internet. Une rubrique de ce site est consacrée au blog des membres. Le 28 juin 2014, le membre fondateur de l’association poste un article paru dans un quotidien régional des Pyrénées-Orientales portant sur des heurts qui se sont produits à Carcassonne, pendant la Coupe du monde de football, entre des supporters algériens et des paras du 3</w:t>
      </w:r>
      <w:r w:rsidR="008366A3" w:rsidRPr="00742046">
        <w:rPr>
          <w:rFonts w:ascii="Arial" w:hAnsi="Arial" w:cs="Arial"/>
          <w:sz w:val="20"/>
          <w:szCs w:val="20"/>
          <w:vertAlign w:val="superscript"/>
        </w:rPr>
        <w:t>e</w:t>
      </w:r>
      <w:r w:rsidR="008366A3" w:rsidRPr="00742046">
        <w:rPr>
          <w:rFonts w:ascii="Arial" w:hAnsi="Arial" w:cs="Arial"/>
          <w:sz w:val="20"/>
          <w:szCs w:val="20"/>
        </w:rPr>
        <w:t xml:space="preserve"> régiment. L’article, qui ne soulève aucune remarque, est suivi de différents commentaires de membres qui relèvent de la provocation à l’atteinte volontaire à la vie ainsi que de la provocation à la discrimination, à la haine et à la violence raciale. La LDH a porté plainte auprès du procureur de la République du </w:t>
      </w:r>
      <w:r w:rsidR="008366A3">
        <w:rPr>
          <w:rFonts w:ascii="Arial" w:hAnsi="Arial" w:cs="Arial"/>
          <w:sz w:val="20"/>
          <w:szCs w:val="20"/>
        </w:rPr>
        <w:t>tribunal de grande instance</w:t>
      </w:r>
      <w:r w:rsidR="008366A3" w:rsidRPr="00742046">
        <w:rPr>
          <w:rFonts w:ascii="Arial" w:hAnsi="Arial" w:cs="Arial"/>
          <w:sz w:val="20"/>
          <w:szCs w:val="20"/>
        </w:rPr>
        <w:t xml:space="preserve"> de Vannes, en date du 30 juin 2014.</w:t>
      </w:r>
    </w:p>
    <w:p w:rsidR="008366A3" w:rsidRDefault="008366A3" w:rsidP="00E267F4">
      <w:pPr>
        <w:pStyle w:val="Paragraphedeliste"/>
        <w:spacing w:after="0" w:line="240" w:lineRule="auto"/>
        <w:ind w:left="0"/>
        <w:jc w:val="both"/>
        <w:rPr>
          <w:rFonts w:ascii="Arial" w:hAnsi="Arial" w:cs="Arial"/>
          <w:sz w:val="20"/>
          <w:szCs w:val="20"/>
        </w:rPr>
      </w:pPr>
    </w:p>
    <w:p w:rsidR="008366A3" w:rsidRDefault="003E75DD" w:rsidP="00E267F4">
      <w:pPr>
        <w:spacing w:after="0" w:line="240" w:lineRule="auto"/>
        <w:jc w:val="both"/>
        <w:rPr>
          <w:rFonts w:ascii="Arial" w:hAnsi="Arial" w:cs="Arial"/>
          <w:sz w:val="20"/>
          <w:szCs w:val="20"/>
        </w:rPr>
      </w:pPr>
      <w:r w:rsidRPr="003E75DD">
        <w:rPr>
          <w:rFonts w:ascii="Arial" w:hAnsi="Arial" w:cs="Arial"/>
          <w:b/>
          <w:sz w:val="16"/>
          <w:szCs w:val="16"/>
        </w:rPr>
        <w:t>14</w:t>
      </w:r>
      <w:r w:rsidR="001E3464">
        <w:rPr>
          <w:rFonts w:ascii="Arial" w:hAnsi="Arial" w:cs="Arial"/>
          <w:b/>
          <w:sz w:val="16"/>
          <w:szCs w:val="16"/>
        </w:rPr>
        <w:t>8</w:t>
      </w:r>
      <w:r w:rsidR="008366A3">
        <w:rPr>
          <w:rFonts w:ascii="Arial" w:hAnsi="Arial" w:cs="Arial"/>
          <w:sz w:val="20"/>
          <w:szCs w:val="20"/>
        </w:rPr>
        <w:t xml:space="preserve">. </w:t>
      </w:r>
      <w:r w:rsidR="008366A3" w:rsidRPr="00A30327">
        <w:rPr>
          <w:rFonts w:ascii="Arial" w:hAnsi="Arial" w:cs="Arial"/>
          <w:sz w:val="20"/>
          <w:szCs w:val="20"/>
        </w:rPr>
        <w:t xml:space="preserve">Richard </w:t>
      </w:r>
      <w:proofErr w:type="spellStart"/>
      <w:r w:rsidR="008366A3" w:rsidRPr="00A30327">
        <w:rPr>
          <w:rFonts w:ascii="Arial" w:hAnsi="Arial" w:cs="Arial"/>
          <w:sz w:val="20"/>
          <w:szCs w:val="20"/>
        </w:rPr>
        <w:t>Trinquier</w:t>
      </w:r>
      <w:proofErr w:type="spellEnd"/>
      <w:r w:rsidR="008366A3" w:rsidRPr="00A30327">
        <w:rPr>
          <w:rFonts w:ascii="Arial" w:hAnsi="Arial" w:cs="Arial"/>
          <w:sz w:val="20"/>
          <w:szCs w:val="20"/>
        </w:rPr>
        <w:t xml:space="preserve"> est maire de Wissous (Essonne). Pour l’été 2014, il a aménagé, sur un terrain de la ville, un espace de loisirs avec sable, transats, jeux, etc. Un règlement intérieur, qui a été contesté par ailleurs, prévoit l’exclusion de « Wissous plage » à toute personne portant un signe religieux. Sur sa page Facebook, le maire revient sur cette affaire. Les commentaires qui y sont associés, « </w:t>
      </w:r>
      <w:r w:rsidR="008366A3" w:rsidRPr="00A30327">
        <w:rPr>
          <w:rFonts w:ascii="Arial" w:hAnsi="Arial" w:cs="Arial"/>
          <w:i/>
          <w:sz w:val="20"/>
          <w:szCs w:val="20"/>
        </w:rPr>
        <w:t>T’es voilée, tu sors</w:t>
      </w:r>
      <w:r w:rsidR="008366A3" w:rsidRPr="00A30327">
        <w:rPr>
          <w:rFonts w:ascii="Arial" w:hAnsi="Arial" w:cs="Arial"/>
          <w:sz w:val="20"/>
          <w:szCs w:val="20"/>
        </w:rPr>
        <w:t> » ou « </w:t>
      </w:r>
      <w:r w:rsidR="008366A3" w:rsidRPr="00A30327">
        <w:rPr>
          <w:rFonts w:ascii="Arial" w:hAnsi="Arial" w:cs="Arial"/>
          <w:i/>
          <w:sz w:val="20"/>
          <w:szCs w:val="20"/>
        </w:rPr>
        <w:t>L’islam va nous avaler ! On est foutus </w:t>
      </w:r>
      <w:r w:rsidR="008366A3" w:rsidRPr="00A30327">
        <w:rPr>
          <w:rFonts w:ascii="Arial" w:hAnsi="Arial" w:cs="Arial"/>
          <w:sz w:val="20"/>
          <w:szCs w:val="20"/>
        </w:rPr>
        <w:t>», sont particulièrement violents. Le premier adjoint au maire commente également la situation, sur son compte Tweeter : « </w:t>
      </w:r>
      <w:r w:rsidR="008366A3" w:rsidRPr="00A30327">
        <w:rPr>
          <w:rFonts w:ascii="Arial" w:hAnsi="Arial" w:cs="Arial"/>
          <w:i/>
          <w:sz w:val="20"/>
          <w:szCs w:val="20"/>
        </w:rPr>
        <w:t>Si ils croient qu’on risque de leur piquer leurs laiderons parce qu’elles montreraient leur cheveux... Il faudrait avoir vraiment faim ! </w:t>
      </w:r>
      <w:r w:rsidR="008366A3" w:rsidRPr="00A30327">
        <w:rPr>
          <w:rFonts w:ascii="Arial" w:hAnsi="Arial" w:cs="Arial"/>
          <w:sz w:val="20"/>
          <w:szCs w:val="20"/>
        </w:rPr>
        <w:t xml:space="preserve">». Par courrier en date du 31 juillet, la LDH a porté plainte pour injure raciale et incitation à la haine, à la violence raciale, auprès du procureur de la République du </w:t>
      </w:r>
      <w:r w:rsidR="008366A3">
        <w:rPr>
          <w:rFonts w:ascii="Arial" w:hAnsi="Arial" w:cs="Arial"/>
          <w:sz w:val="20"/>
          <w:szCs w:val="20"/>
        </w:rPr>
        <w:t>tribunal de grande instance</w:t>
      </w:r>
      <w:r w:rsidR="008366A3" w:rsidRPr="00A30327">
        <w:rPr>
          <w:rFonts w:ascii="Arial" w:hAnsi="Arial" w:cs="Arial"/>
          <w:sz w:val="20"/>
          <w:szCs w:val="20"/>
        </w:rPr>
        <w:t xml:space="preserve"> d’Évry.</w:t>
      </w:r>
    </w:p>
    <w:p w:rsidR="008366A3" w:rsidRPr="00771DC3" w:rsidRDefault="008366A3" w:rsidP="00E267F4">
      <w:pPr>
        <w:spacing w:after="0" w:line="240" w:lineRule="auto"/>
        <w:jc w:val="both"/>
        <w:rPr>
          <w:rFonts w:ascii="Arial" w:hAnsi="Arial" w:cs="Arial"/>
          <w:sz w:val="20"/>
          <w:szCs w:val="20"/>
        </w:rPr>
      </w:pPr>
    </w:p>
    <w:p w:rsidR="008366A3" w:rsidRDefault="003E75DD" w:rsidP="00E267F4">
      <w:pPr>
        <w:spacing w:after="0" w:line="240" w:lineRule="auto"/>
        <w:jc w:val="both"/>
        <w:rPr>
          <w:rFonts w:ascii="Arial" w:hAnsi="Arial" w:cs="Arial"/>
          <w:sz w:val="20"/>
          <w:szCs w:val="20"/>
        </w:rPr>
      </w:pPr>
      <w:r>
        <w:rPr>
          <w:rFonts w:ascii="Arial" w:hAnsi="Arial" w:cs="Arial"/>
          <w:b/>
          <w:sz w:val="16"/>
          <w:szCs w:val="16"/>
        </w:rPr>
        <w:t>14</w:t>
      </w:r>
      <w:r w:rsidR="001E3464">
        <w:rPr>
          <w:rFonts w:ascii="Arial" w:hAnsi="Arial" w:cs="Arial"/>
          <w:b/>
          <w:sz w:val="16"/>
          <w:szCs w:val="16"/>
        </w:rPr>
        <w:t>9</w:t>
      </w:r>
      <w:r w:rsidR="008366A3" w:rsidRPr="00771DC3">
        <w:rPr>
          <w:rFonts w:ascii="Arial" w:hAnsi="Arial" w:cs="Arial"/>
          <w:b/>
          <w:sz w:val="16"/>
          <w:szCs w:val="16"/>
        </w:rPr>
        <w:t>.</w:t>
      </w:r>
      <w:r w:rsidR="008366A3">
        <w:rPr>
          <w:rFonts w:ascii="Arial" w:hAnsi="Arial" w:cs="Arial"/>
          <w:sz w:val="20"/>
          <w:szCs w:val="20"/>
        </w:rPr>
        <w:t xml:space="preserve"> </w:t>
      </w:r>
      <w:r w:rsidR="008366A3" w:rsidRPr="00771DC3">
        <w:rPr>
          <w:rFonts w:ascii="Arial" w:hAnsi="Arial" w:cs="Arial"/>
          <w:sz w:val="20"/>
          <w:szCs w:val="20"/>
        </w:rPr>
        <w:t>La lutte contre le racisme sur Internet s’inscrit, en France, dans le cadre général de la lutte contre la cybercriminalité. Les outils mis en place, plateforme PHAROS et OCLCTIC, permettent un travail minutieux dans l’identification et la condamnation de ce phénomène qui ne cesse de croître.</w:t>
      </w:r>
    </w:p>
    <w:p w:rsidR="008366A3" w:rsidRDefault="008366A3" w:rsidP="00E267F4">
      <w:pPr>
        <w:spacing w:after="0" w:line="240" w:lineRule="auto"/>
        <w:jc w:val="both"/>
        <w:rPr>
          <w:rFonts w:ascii="Arial" w:hAnsi="Arial" w:cs="Arial"/>
          <w:sz w:val="20"/>
          <w:szCs w:val="20"/>
        </w:rPr>
      </w:pPr>
    </w:p>
    <w:p w:rsidR="008366A3" w:rsidRDefault="003E75DD" w:rsidP="00E267F4">
      <w:pPr>
        <w:spacing w:after="0" w:line="240" w:lineRule="auto"/>
        <w:jc w:val="both"/>
        <w:rPr>
          <w:rFonts w:ascii="Arial" w:hAnsi="Arial" w:cs="Arial"/>
          <w:sz w:val="20"/>
          <w:szCs w:val="20"/>
        </w:rPr>
      </w:pPr>
      <w:r w:rsidRPr="003E75DD">
        <w:rPr>
          <w:rFonts w:ascii="Arial" w:hAnsi="Arial" w:cs="Arial"/>
          <w:b/>
          <w:sz w:val="16"/>
          <w:szCs w:val="16"/>
        </w:rPr>
        <w:t>1</w:t>
      </w:r>
      <w:r w:rsidR="001E3464">
        <w:rPr>
          <w:rFonts w:ascii="Arial" w:hAnsi="Arial" w:cs="Arial"/>
          <w:b/>
          <w:sz w:val="16"/>
          <w:szCs w:val="16"/>
        </w:rPr>
        <w:t>50</w:t>
      </w:r>
      <w:r w:rsidR="008366A3">
        <w:rPr>
          <w:rFonts w:ascii="Arial" w:hAnsi="Arial" w:cs="Arial"/>
          <w:sz w:val="20"/>
          <w:szCs w:val="20"/>
        </w:rPr>
        <w:t xml:space="preserve">. </w:t>
      </w:r>
      <w:r w:rsidR="008366A3" w:rsidRPr="00771DC3">
        <w:rPr>
          <w:rFonts w:ascii="Arial" w:hAnsi="Arial" w:cs="Arial"/>
          <w:sz w:val="20"/>
          <w:szCs w:val="20"/>
        </w:rPr>
        <w:t>Suite aux attenta</w:t>
      </w:r>
      <w:r w:rsidR="008366A3">
        <w:rPr>
          <w:rFonts w:ascii="Arial" w:hAnsi="Arial" w:cs="Arial"/>
          <w:sz w:val="20"/>
          <w:szCs w:val="20"/>
        </w:rPr>
        <w:t>t</w:t>
      </w:r>
      <w:r w:rsidR="008366A3" w:rsidRPr="00771DC3">
        <w:rPr>
          <w:rFonts w:ascii="Arial" w:hAnsi="Arial" w:cs="Arial"/>
          <w:sz w:val="20"/>
          <w:szCs w:val="20"/>
        </w:rPr>
        <w:t>s à Paris en janvier 2015, la plateforme PHAROS a reçu près de 20200 signalements, du 7 au 12 janvier 2015, dont 17500 portaient sur un contenu faisant l’apologie du terrorisme ou incitant à la haine. Un chiffre qui s’explique par les évènements survenus</w:t>
      </w:r>
      <w:r w:rsidR="008366A3">
        <w:rPr>
          <w:rFonts w:ascii="Arial" w:hAnsi="Arial" w:cs="Arial"/>
          <w:sz w:val="20"/>
          <w:szCs w:val="20"/>
        </w:rPr>
        <w:t>,</w:t>
      </w:r>
      <w:r w:rsidR="008366A3" w:rsidRPr="00771DC3">
        <w:rPr>
          <w:rFonts w:ascii="Arial" w:hAnsi="Arial" w:cs="Arial"/>
          <w:sz w:val="20"/>
          <w:szCs w:val="20"/>
        </w:rPr>
        <w:t xml:space="preserve"> mais également une participati</w:t>
      </w:r>
      <w:r w:rsidR="008366A3">
        <w:rPr>
          <w:rFonts w:ascii="Arial" w:hAnsi="Arial" w:cs="Arial"/>
          <w:sz w:val="20"/>
          <w:szCs w:val="20"/>
        </w:rPr>
        <w:t>on citoyenne de grande ampleur.</w:t>
      </w:r>
    </w:p>
    <w:p w:rsidR="008366A3" w:rsidRPr="00771DC3" w:rsidRDefault="008366A3" w:rsidP="00E267F4">
      <w:pPr>
        <w:spacing w:after="0" w:line="240" w:lineRule="auto"/>
        <w:jc w:val="both"/>
        <w:rPr>
          <w:rFonts w:ascii="Arial" w:hAnsi="Arial" w:cs="Arial"/>
          <w:sz w:val="20"/>
          <w:szCs w:val="20"/>
        </w:rPr>
      </w:pPr>
    </w:p>
    <w:p w:rsidR="008366A3" w:rsidRPr="00771DC3" w:rsidRDefault="003E75DD" w:rsidP="00E267F4">
      <w:pPr>
        <w:pStyle w:val="Default"/>
        <w:jc w:val="both"/>
        <w:rPr>
          <w:rFonts w:ascii="Arial" w:hAnsi="Arial" w:cs="Arial"/>
          <w:sz w:val="20"/>
          <w:szCs w:val="20"/>
        </w:rPr>
      </w:pPr>
      <w:r>
        <w:rPr>
          <w:rFonts w:ascii="Arial" w:hAnsi="Arial" w:cs="Arial"/>
          <w:b/>
          <w:sz w:val="16"/>
          <w:szCs w:val="16"/>
        </w:rPr>
        <w:t>1</w:t>
      </w:r>
      <w:r w:rsidR="00950988">
        <w:rPr>
          <w:rFonts w:ascii="Arial" w:hAnsi="Arial" w:cs="Arial"/>
          <w:b/>
          <w:sz w:val="16"/>
          <w:szCs w:val="16"/>
        </w:rPr>
        <w:t>5</w:t>
      </w:r>
      <w:r w:rsidR="001E3464">
        <w:rPr>
          <w:rFonts w:ascii="Arial" w:hAnsi="Arial" w:cs="Arial"/>
          <w:b/>
          <w:sz w:val="16"/>
          <w:szCs w:val="16"/>
        </w:rPr>
        <w:t>1</w:t>
      </w:r>
      <w:r w:rsidR="008366A3" w:rsidRPr="00771DC3">
        <w:rPr>
          <w:rFonts w:ascii="Arial" w:hAnsi="Arial" w:cs="Arial"/>
          <w:b/>
          <w:sz w:val="16"/>
          <w:szCs w:val="16"/>
        </w:rPr>
        <w:t>.</w:t>
      </w:r>
      <w:r w:rsidR="008366A3">
        <w:rPr>
          <w:rFonts w:ascii="Arial" w:hAnsi="Arial" w:cs="Arial"/>
          <w:sz w:val="20"/>
          <w:szCs w:val="20"/>
        </w:rPr>
        <w:t xml:space="preserve"> </w:t>
      </w:r>
      <w:r w:rsidR="008366A3" w:rsidRPr="00771DC3">
        <w:rPr>
          <w:rFonts w:ascii="Arial" w:hAnsi="Arial" w:cs="Arial"/>
          <w:sz w:val="20"/>
          <w:szCs w:val="20"/>
        </w:rPr>
        <w:t xml:space="preserve">Néanmoins, sur ces dossiers, il est difficile d’avoir une réponse pénale car les enquêtes se heurtent régulièrement à l’hébergement des contenus illicites dans des pays étrangers, comme l’apparition des </w:t>
      </w:r>
      <w:proofErr w:type="spellStart"/>
      <w:r w:rsidR="008366A3" w:rsidRPr="00771DC3">
        <w:rPr>
          <w:rFonts w:ascii="Arial" w:hAnsi="Arial" w:cs="Arial"/>
          <w:sz w:val="20"/>
          <w:szCs w:val="20"/>
        </w:rPr>
        <w:t>hastags</w:t>
      </w:r>
      <w:proofErr w:type="spellEnd"/>
      <w:r w:rsidR="008366A3" w:rsidRPr="00771DC3">
        <w:rPr>
          <w:rFonts w:ascii="Arial" w:hAnsi="Arial" w:cs="Arial"/>
          <w:sz w:val="20"/>
          <w:szCs w:val="20"/>
        </w:rPr>
        <w:t xml:space="preserve"> « #</w:t>
      </w:r>
      <w:proofErr w:type="spellStart"/>
      <w:r w:rsidR="008366A3" w:rsidRPr="00771DC3">
        <w:rPr>
          <w:rFonts w:ascii="Arial" w:hAnsi="Arial" w:cs="Arial"/>
          <w:sz w:val="20"/>
          <w:szCs w:val="20"/>
        </w:rPr>
        <w:t>KillAllMuslims</w:t>
      </w:r>
      <w:proofErr w:type="spellEnd"/>
      <w:r w:rsidR="008366A3" w:rsidRPr="00771DC3">
        <w:rPr>
          <w:rFonts w:ascii="Arial" w:hAnsi="Arial" w:cs="Arial"/>
          <w:sz w:val="20"/>
          <w:szCs w:val="20"/>
        </w:rPr>
        <w:t> » ou « #</w:t>
      </w:r>
      <w:proofErr w:type="spellStart"/>
      <w:r w:rsidR="008366A3" w:rsidRPr="00771DC3">
        <w:rPr>
          <w:rFonts w:ascii="Arial" w:hAnsi="Arial" w:cs="Arial"/>
          <w:sz w:val="20"/>
          <w:szCs w:val="20"/>
        </w:rPr>
        <w:t>KilltheMuslims</w:t>
      </w:r>
      <w:proofErr w:type="spellEnd"/>
      <w:r w:rsidR="008366A3" w:rsidRPr="00771DC3">
        <w:rPr>
          <w:rFonts w:ascii="Arial" w:hAnsi="Arial" w:cs="Arial"/>
          <w:sz w:val="20"/>
          <w:szCs w:val="20"/>
        </w:rPr>
        <w:t> ». Les États-Unis garantissent une conception extensive de la liberté d’expression et hébergent ces types de contenus illicites. Comme le souligne la CNCDH, « </w:t>
      </w:r>
      <w:r w:rsidR="008366A3" w:rsidRPr="00771DC3">
        <w:rPr>
          <w:rFonts w:ascii="Arial" w:hAnsi="Arial" w:cs="Arial"/>
          <w:i/>
          <w:sz w:val="20"/>
          <w:szCs w:val="20"/>
        </w:rPr>
        <w:t>il est impossible d’obtenir les traces informatiques nécessaires à l’identification des auteurs des faits. Cet obstacle pourrait être contourné s’il était possible de recourir à l’enquête sous pseudonyme ou cyber-infiltration, afin d’entrer en contact directement avec ces auteurs sous couvert de prosélytisme. Mais le dispositif français qui encadre la cyber-infiltration réserve cette technique à un périmètre limité d’infractions (pédopornographie, corruption de mineur, traite des êtres humains, jeux d’argent en ligne et apologie du terrorisme). L’adoption d’un texte transversal (…) pourrait constituer une avancée notable dans la lutte contre la xénophobie et des discriminations sur Internet. </w:t>
      </w:r>
      <w:r w:rsidR="008366A3" w:rsidRPr="00771DC3">
        <w:rPr>
          <w:rFonts w:ascii="Arial" w:hAnsi="Arial" w:cs="Arial"/>
          <w:sz w:val="20"/>
          <w:szCs w:val="20"/>
        </w:rPr>
        <w:t>»</w:t>
      </w:r>
      <w:r w:rsidR="008366A3" w:rsidRPr="00771DC3">
        <w:rPr>
          <w:rStyle w:val="Appelnotedebasdep"/>
          <w:rFonts w:ascii="Arial" w:hAnsi="Arial" w:cs="Arial"/>
          <w:b/>
          <w:sz w:val="18"/>
          <w:szCs w:val="18"/>
        </w:rPr>
        <w:footnoteReference w:id="41"/>
      </w:r>
    </w:p>
    <w:p w:rsidR="008366A3" w:rsidRPr="00771DC3" w:rsidRDefault="008366A3" w:rsidP="00E267F4">
      <w:pPr>
        <w:spacing w:after="0" w:line="240" w:lineRule="auto"/>
        <w:jc w:val="both"/>
        <w:rPr>
          <w:rFonts w:ascii="Arial" w:hAnsi="Arial" w:cs="Arial"/>
          <w:sz w:val="20"/>
          <w:szCs w:val="20"/>
        </w:rPr>
      </w:pPr>
    </w:p>
    <w:p w:rsidR="008366A3" w:rsidRPr="00771DC3" w:rsidRDefault="003E75DD" w:rsidP="00E267F4">
      <w:pPr>
        <w:spacing w:after="0" w:line="240" w:lineRule="auto"/>
        <w:jc w:val="both"/>
        <w:rPr>
          <w:rFonts w:ascii="Arial" w:hAnsi="Arial" w:cs="Arial"/>
          <w:sz w:val="20"/>
          <w:szCs w:val="20"/>
        </w:rPr>
      </w:pPr>
      <w:r w:rsidRPr="003E75DD">
        <w:rPr>
          <w:rFonts w:ascii="Arial" w:hAnsi="Arial" w:cs="Arial"/>
          <w:b/>
          <w:sz w:val="16"/>
          <w:szCs w:val="16"/>
        </w:rPr>
        <w:t>1</w:t>
      </w:r>
      <w:r w:rsidR="00950988">
        <w:rPr>
          <w:rFonts w:ascii="Arial" w:hAnsi="Arial" w:cs="Arial"/>
          <w:b/>
          <w:sz w:val="16"/>
          <w:szCs w:val="16"/>
        </w:rPr>
        <w:t>5</w:t>
      </w:r>
      <w:r w:rsidR="001E3464">
        <w:rPr>
          <w:rFonts w:ascii="Arial" w:hAnsi="Arial" w:cs="Arial"/>
          <w:b/>
          <w:sz w:val="16"/>
          <w:szCs w:val="16"/>
        </w:rPr>
        <w:t>2</w:t>
      </w:r>
      <w:r w:rsidR="008366A3">
        <w:rPr>
          <w:rFonts w:ascii="Arial" w:hAnsi="Arial" w:cs="Arial"/>
          <w:sz w:val="20"/>
          <w:szCs w:val="20"/>
        </w:rPr>
        <w:t xml:space="preserve">. </w:t>
      </w:r>
      <w:r w:rsidR="008366A3" w:rsidRPr="00771DC3">
        <w:rPr>
          <w:rFonts w:ascii="Arial" w:hAnsi="Arial" w:cs="Arial"/>
          <w:sz w:val="20"/>
          <w:szCs w:val="20"/>
        </w:rPr>
        <w:t>Il est donc indispensable, au regard de la prolifération du phénomène, d’adapter les moyens d’enquête et de droit, dans le but d’identifier les auteurs.</w:t>
      </w:r>
    </w:p>
    <w:p w:rsidR="008366A3" w:rsidRPr="00771DC3" w:rsidRDefault="008366A3" w:rsidP="00E267F4">
      <w:pPr>
        <w:spacing w:after="0" w:line="240" w:lineRule="auto"/>
        <w:jc w:val="both"/>
        <w:rPr>
          <w:rFonts w:ascii="Arial" w:hAnsi="Arial" w:cs="Arial"/>
          <w:sz w:val="20"/>
          <w:szCs w:val="20"/>
        </w:rPr>
      </w:pPr>
    </w:p>
    <w:p w:rsidR="001B7545" w:rsidRDefault="003E75DD" w:rsidP="001B7545">
      <w:pPr>
        <w:spacing w:after="0" w:line="240" w:lineRule="auto"/>
        <w:jc w:val="both"/>
        <w:rPr>
          <w:rFonts w:ascii="Arial" w:hAnsi="Arial" w:cs="Arial"/>
          <w:sz w:val="20"/>
          <w:szCs w:val="20"/>
        </w:rPr>
      </w:pPr>
      <w:r w:rsidRPr="003E75DD">
        <w:rPr>
          <w:rFonts w:ascii="Arial" w:hAnsi="Arial" w:cs="Arial"/>
          <w:b/>
          <w:sz w:val="16"/>
          <w:szCs w:val="16"/>
        </w:rPr>
        <w:t>1</w:t>
      </w:r>
      <w:r w:rsidR="00950988">
        <w:rPr>
          <w:rFonts w:ascii="Arial" w:hAnsi="Arial" w:cs="Arial"/>
          <w:b/>
          <w:sz w:val="16"/>
          <w:szCs w:val="16"/>
        </w:rPr>
        <w:t>5</w:t>
      </w:r>
      <w:r w:rsidR="001E3464">
        <w:rPr>
          <w:rFonts w:ascii="Arial" w:hAnsi="Arial" w:cs="Arial"/>
          <w:b/>
          <w:sz w:val="16"/>
          <w:szCs w:val="16"/>
        </w:rPr>
        <w:t>3</w:t>
      </w:r>
      <w:r w:rsidR="008366A3">
        <w:rPr>
          <w:rFonts w:ascii="Arial" w:hAnsi="Arial" w:cs="Arial"/>
          <w:sz w:val="20"/>
          <w:szCs w:val="20"/>
        </w:rPr>
        <w:t xml:space="preserve">. </w:t>
      </w:r>
      <w:r w:rsidR="008366A3" w:rsidRPr="00771DC3">
        <w:rPr>
          <w:rFonts w:ascii="Arial" w:hAnsi="Arial" w:cs="Arial"/>
          <w:sz w:val="20"/>
          <w:szCs w:val="20"/>
        </w:rPr>
        <w:t>La réponse pénale est également difficile en ce que peu de magistrats sont véritablement formés sur ces problématiques. De surcroît, et d’un point de vue organisationnel, si le ministère de la Justice incite les procureurs de la République à désigner au sein de leur parquet des magistrats référents en matière de lutte contre le racisme, l’antisémitisme et la xénophobie, il apparaît que l’implication de ceux-ci dans les pôles anti-discrimination est particulièrement inégale.</w:t>
      </w:r>
    </w:p>
    <w:p w:rsidR="00A11C17" w:rsidRPr="001B7545" w:rsidRDefault="00A11C17" w:rsidP="001B7545">
      <w:pPr>
        <w:spacing w:after="0" w:line="240" w:lineRule="auto"/>
        <w:jc w:val="both"/>
        <w:rPr>
          <w:rFonts w:ascii="Arial" w:hAnsi="Arial" w:cs="Arial"/>
          <w:sz w:val="20"/>
          <w:szCs w:val="20"/>
        </w:rPr>
      </w:pPr>
    </w:p>
    <w:p w:rsidR="001B7545" w:rsidRPr="003D3D4B" w:rsidRDefault="008366A3" w:rsidP="003D3D4B">
      <w:pPr>
        <w:pStyle w:val="Titre2"/>
        <w:numPr>
          <w:ilvl w:val="0"/>
          <w:numId w:val="11"/>
        </w:numPr>
        <w:spacing w:before="0" w:line="240" w:lineRule="auto"/>
        <w:ind w:left="284" w:firstLine="0"/>
        <w:jc w:val="both"/>
        <w:rPr>
          <w:rFonts w:ascii="Arial" w:hAnsi="Arial" w:cs="Arial"/>
          <w:b w:val="0"/>
          <w:color w:val="auto"/>
          <w:sz w:val="20"/>
          <w:szCs w:val="20"/>
          <w:u w:val="single"/>
        </w:rPr>
      </w:pPr>
      <w:bookmarkStart w:id="93" w:name="_Toc282794100"/>
      <w:bookmarkStart w:id="94" w:name="_Toc282794290"/>
      <w:bookmarkStart w:id="95" w:name="_Toc282795923"/>
      <w:bookmarkStart w:id="96" w:name="_Toc413409294"/>
      <w:bookmarkStart w:id="97" w:name="_Toc415581584"/>
      <w:bookmarkStart w:id="98" w:name="_Toc420924124"/>
      <w:r w:rsidRPr="003D3D4B">
        <w:rPr>
          <w:rFonts w:ascii="Arial" w:hAnsi="Arial" w:cs="Arial"/>
          <w:b w:val="0"/>
          <w:color w:val="auto"/>
          <w:sz w:val="20"/>
          <w:szCs w:val="20"/>
          <w:u w:val="single"/>
        </w:rPr>
        <w:t>Problématique du racisme et de la discrimination raciale auprès des jeunes internautes</w:t>
      </w:r>
      <w:bookmarkEnd w:id="93"/>
      <w:bookmarkEnd w:id="94"/>
      <w:bookmarkEnd w:id="95"/>
      <w:bookmarkEnd w:id="96"/>
      <w:bookmarkEnd w:id="97"/>
      <w:bookmarkEnd w:id="98"/>
    </w:p>
    <w:p w:rsidR="001B7545" w:rsidRDefault="001B7545" w:rsidP="00E267F4">
      <w:pPr>
        <w:pStyle w:val="Default"/>
        <w:jc w:val="both"/>
        <w:rPr>
          <w:rFonts w:asciiTheme="minorHAnsi" w:eastAsiaTheme="minorEastAsia" w:hAnsiTheme="minorHAnsi" w:cstheme="minorBidi"/>
          <w:color w:val="auto"/>
          <w:sz w:val="22"/>
          <w:szCs w:val="22"/>
          <w:lang w:eastAsia="fr-FR"/>
        </w:rPr>
      </w:pPr>
    </w:p>
    <w:p w:rsidR="008366A3" w:rsidRPr="008B5F21" w:rsidRDefault="003E75DD" w:rsidP="00E267F4">
      <w:pPr>
        <w:pStyle w:val="Default"/>
        <w:jc w:val="both"/>
        <w:rPr>
          <w:rFonts w:ascii="Arial" w:hAnsi="Arial" w:cs="Arial"/>
          <w:sz w:val="20"/>
          <w:szCs w:val="20"/>
        </w:rPr>
      </w:pPr>
      <w:r>
        <w:rPr>
          <w:rFonts w:ascii="Arial" w:hAnsi="Arial" w:cs="Arial"/>
          <w:b/>
          <w:sz w:val="16"/>
          <w:szCs w:val="16"/>
        </w:rPr>
        <w:lastRenderedPageBreak/>
        <w:t>15</w:t>
      </w:r>
      <w:r w:rsidR="001E3464">
        <w:rPr>
          <w:rFonts w:ascii="Arial" w:hAnsi="Arial" w:cs="Arial"/>
          <w:b/>
          <w:sz w:val="16"/>
          <w:szCs w:val="16"/>
        </w:rPr>
        <w:t>4</w:t>
      </w:r>
      <w:r w:rsidR="008366A3" w:rsidRPr="008B5F21">
        <w:rPr>
          <w:rFonts w:ascii="Arial" w:hAnsi="Arial" w:cs="Arial"/>
          <w:b/>
          <w:sz w:val="16"/>
          <w:szCs w:val="16"/>
        </w:rPr>
        <w:t>.</w:t>
      </w:r>
      <w:r w:rsidR="008366A3">
        <w:rPr>
          <w:rFonts w:ascii="Arial" w:hAnsi="Arial" w:cs="Arial"/>
          <w:sz w:val="20"/>
          <w:szCs w:val="20"/>
        </w:rPr>
        <w:t xml:space="preserve"> </w:t>
      </w:r>
      <w:r w:rsidR="008366A3" w:rsidRPr="008B5F21">
        <w:rPr>
          <w:rFonts w:ascii="Arial" w:hAnsi="Arial" w:cs="Arial"/>
          <w:sz w:val="20"/>
          <w:szCs w:val="20"/>
        </w:rPr>
        <w:t xml:space="preserve">Ce point demeure un important sujet de préoccupation. S’il apparaît que le Plan national de lutte contre le racisme et l’antisémitisme a été mis en place avec une action consacrée à la lutte contre le racisme et l’antisémitisme sur Internet (action n°3) comportant une mise en cohérence avec les engagements du ministère de l’Éducation nationale. Un délégué interministériel à la lutte contre le racisme et l’antisémitisme a été nommé - monsieur le Préfet Régis Guyot - et a pris ses fonctions le  23 mars 2012, qu’au mois de février 2013 il y a eu un renforcement du plan national 2012-2014, il s’agit là d’un programme ambitieux qui nécessite des moyens financiers et humains suffisant pour être mené à bien. Monsieur le Préfet Régis Guyot a été remplacé le 24 novembre 2014 par monsieur Gilles </w:t>
      </w:r>
      <w:proofErr w:type="spellStart"/>
      <w:r w:rsidR="008366A3" w:rsidRPr="008B5F21">
        <w:rPr>
          <w:rFonts w:ascii="Arial" w:hAnsi="Arial" w:cs="Arial"/>
          <w:sz w:val="20"/>
          <w:szCs w:val="20"/>
        </w:rPr>
        <w:t>Clavreul</w:t>
      </w:r>
      <w:proofErr w:type="spellEnd"/>
      <w:r w:rsidR="008366A3" w:rsidRPr="008B5F21">
        <w:rPr>
          <w:rFonts w:ascii="Arial" w:hAnsi="Arial" w:cs="Arial"/>
          <w:sz w:val="20"/>
          <w:szCs w:val="20"/>
        </w:rPr>
        <w:t xml:space="preserve">. </w:t>
      </w:r>
    </w:p>
    <w:p w:rsidR="008366A3" w:rsidRPr="008B5F21" w:rsidRDefault="008366A3" w:rsidP="00E267F4">
      <w:pPr>
        <w:pStyle w:val="Default"/>
        <w:jc w:val="both"/>
        <w:rPr>
          <w:rFonts w:ascii="Arial" w:hAnsi="Arial" w:cs="Arial"/>
          <w:sz w:val="20"/>
          <w:szCs w:val="20"/>
        </w:rPr>
      </w:pPr>
    </w:p>
    <w:p w:rsidR="008366A3" w:rsidRDefault="003E75DD" w:rsidP="00E267F4">
      <w:pPr>
        <w:pStyle w:val="Default"/>
        <w:jc w:val="both"/>
        <w:rPr>
          <w:rFonts w:ascii="Arial" w:hAnsi="Arial" w:cs="Arial"/>
          <w:sz w:val="20"/>
          <w:szCs w:val="20"/>
        </w:rPr>
      </w:pPr>
      <w:r>
        <w:rPr>
          <w:rFonts w:ascii="Arial" w:hAnsi="Arial" w:cs="Arial"/>
          <w:b/>
          <w:sz w:val="16"/>
          <w:szCs w:val="16"/>
        </w:rPr>
        <w:t>15</w:t>
      </w:r>
      <w:r w:rsidR="001E3464">
        <w:rPr>
          <w:rFonts w:ascii="Arial" w:hAnsi="Arial" w:cs="Arial"/>
          <w:b/>
          <w:sz w:val="16"/>
          <w:szCs w:val="16"/>
        </w:rPr>
        <w:t>5</w:t>
      </w:r>
      <w:r w:rsidR="008366A3" w:rsidRPr="008B5F21">
        <w:rPr>
          <w:rFonts w:ascii="Arial" w:hAnsi="Arial" w:cs="Arial"/>
          <w:b/>
          <w:sz w:val="16"/>
          <w:szCs w:val="16"/>
        </w:rPr>
        <w:t>.</w:t>
      </w:r>
      <w:r w:rsidR="008366A3">
        <w:rPr>
          <w:rFonts w:ascii="Arial" w:hAnsi="Arial" w:cs="Arial"/>
          <w:b/>
          <w:sz w:val="16"/>
          <w:szCs w:val="16"/>
        </w:rPr>
        <w:t xml:space="preserve"> </w:t>
      </w:r>
      <w:r w:rsidR="00A7292C">
        <w:rPr>
          <w:rFonts w:ascii="Arial" w:hAnsi="Arial" w:cs="Arial"/>
          <w:sz w:val="20"/>
          <w:szCs w:val="20"/>
        </w:rPr>
        <w:t>Au mois de mai 2015, le gouvernement français a rendu public le « Plan contre le racisme 2015-2017 », qui comporte 40 mesures. Les points positifs de ce Plan sont : l’existence d’un financement pour le mener à bien, la prise en compte du racisme sur Internet, une coordination plus étroite avec les associations qui ont pour objet la lutte contre le racisme, l’antisémitisme et la xénophobie, le racisme comme circonstance aggravante.</w:t>
      </w:r>
    </w:p>
    <w:p w:rsidR="00A7292C" w:rsidRDefault="00A7292C" w:rsidP="00E267F4">
      <w:pPr>
        <w:pStyle w:val="Default"/>
        <w:jc w:val="both"/>
        <w:rPr>
          <w:rFonts w:ascii="Arial" w:hAnsi="Arial" w:cs="Arial"/>
          <w:sz w:val="20"/>
          <w:szCs w:val="20"/>
        </w:rPr>
      </w:pPr>
    </w:p>
    <w:p w:rsidR="00A7292C" w:rsidRDefault="003E75DD" w:rsidP="00E267F4">
      <w:pPr>
        <w:pStyle w:val="Default"/>
        <w:jc w:val="both"/>
        <w:rPr>
          <w:rFonts w:ascii="Arial" w:hAnsi="Arial" w:cs="Arial"/>
          <w:sz w:val="20"/>
          <w:szCs w:val="20"/>
        </w:rPr>
      </w:pPr>
      <w:r w:rsidRPr="003E75DD">
        <w:rPr>
          <w:rFonts w:ascii="Arial" w:hAnsi="Arial" w:cs="Arial"/>
          <w:b/>
          <w:sz w:val="16"/>
          <w:szCs w:val="16"/>
        </w:rPr>
        <w:t>15</w:t>
      </w:r>
      <w:r w:rsidR="001E3464">
        <w:rPr>
          <w:rFonts w:ascii="Arial" w:hAnsi="Arial" w:cs="Arial"/>
          <w:b/>
          <w:sz w:val="16"/>
          <w:szCs w:val="16"/>
        </w:rPr>
        <w:t>6</w:t>
      </w:r>
      <w:r>
        <w:rPr>
          <w:rFonts w:ascii="Arial" w:hAnsi="Arial" w:cs="Arial"/>
          <w:sz w:val="20"/>
          <w:szCs w:val="20"/>
        </w:rPr>
        <w:t xml:space="preserve">. </w:t>
      </w:r>
      <w:r w:rsidR="00A7292C">
        <w:rPr>
          <w:rFonts w:ascii="Arial" w:hAnsi="Arial" w:cs="Arial"/>
          <w:sz w:val="20"/>
          <w:szCs w:val="20"/>
        </w:rPr>
        <w:t>Cependant, il peut être regretté un manque de concertation dans l’élaboration du plan contre le racisme entre le gouvernement et la CNCDH, les associations. De surcroît, il est à déplorer que le plan national 2012-2014 n’ai fait l’objet d’aucune évaluation.</w:t>
      </w:r>
    </w:p>
    <w:p w:rsidR="00A7292C" w:rsidRDefault="00A7292C" w:rsidP="00E267F4">
      <w:pPr>
        <w:pStyle w:val="Default"/>
        <w:jc w:val="both"/>
        <w:rPr>
          <w:rFonts w:ascii="Arial" w:hAnsi="Arial" w:cs="Arial"/>
          <w:sz w:val="20"/>
          <w:szCs w:val="20"/>
        </w:rPr>
      </w:pPr>
    </w:p>
    <w:p w:rsidR="00A7292C" w:rsidRPr="008B5F21" w:rsidRDefault="003E75DD" w:rsidP="00E267F4">
      <w:pPr>
        <w:pStyle w:val="Default"/>
        <w:jc w:val="both"/>
        <w:rPr>
          <w:rFonts w:ascii="Arial" w:hAnsi="Arial" w:cs="Arial"/>
          <w:sz w:val="20"/>
          <w:szCs w:val="20"/>
        </w:rPr>
      </w:pPr>
      <w:r w:rsidRPr="003E75DD">
        <w:rPr>
          <w:rFonts w:ascii="Arial" w:hAnsi="Arial" w:cs="Arial"/>
          <w:b/>
          <w:sz w:val="16"/>
          <w:szCs w:val="16"/>
        </w:rPr>
        <w:t>15</w:t>
      </w:r>
      <w:r w:rsidR="001E3464">
        <w:rPr>
          <w:rFonts w:ascii="Arial" w:hAnsi="Arial" w:cs="Arial"/>
          <w:b/>
          <w:sz w:val="16"/>
          <w:szCs w:val="16"/>
        </w:rPr>
        <w:t>7</w:t>
      </w:r>
      <w:r>
        <w:rPr>
          <w:rFonts w:ascii="Arial" w:hAnsi="Arial" w:cs="Arial"/>
          <w:sz w:val="20"/>
          <w:szCs w:val="20"/>
        </w:rPr>
        <w:t xml:space="preserve">. </w:t>
      </w:r>
      <w:r w:rsidR="00A7292C">
        <w:rPr>
          <w:rFonts w:ascii="Arial" w:hAnsi="Arial" w:cs="Arial"/>
          <w:sz w:val="20"/>
          <w:szCs w:val="20"/>
        </w:rPr>
        <w:t xml:space="preserve">En outre, il est à noter certains silences dans ce plan. Ainsi, il ne contient rien sur les relations entre les jeunes et la police, et réciproquement. Il n’y a rien également sur l’arrière plan socio-économique. Le monde de l’entreprise n’est évoqué à aucun moment, sauf pour le parrainage. Or, dans la sphère du travail, il existe </w:t>
      </w:r>
      <w:r w:rsidR="001742C1">
        <w:rPr>
          <w:rFonts w:ascii="Arial" w:hAnsi="Arial" w:cs="Arial"/>
          <w:sz w:val="20"/>
          <w:szCs w:val="20"/>
        </w:rPr>
        <w:t>des faits discriminatoires à caractère raciste. Enfin, lorsqu’il s’agit de former les personnels aux valeurs de la République (mesure 25 du plan), seule l’école est envisagée. A aucun moment, la formation des policiers et des juges n’est abordée.</w:t>
      </w:r>
    </w:p>
    <w:p w:rsidR="008366A3" w:rsidRDefault="008366A3" w:rsidP="00E267F4">
      <w:pPr>
        <w:spacing w:after="0" w:line="240" w:lineRule="auto"/>
        <w:jc w:val="both"/>
        <w:rPr>
          <w:rFonts w:ascii="Arial" w:hAnsi="Arial" w:cs="Arial"/>
          <w:b/>
          <w:sz w:val="20"/>
          <w:szCs w:val="20"/>
        </w:rPr>
      </w:pPr>
    </w:p>
    <w:p w:rsidR="008366A3" w:rsidRPr="003D3D4B" w:rsidRDefault="008366A3" w:rsidP="00FC2525">
      <w:pPr>
        <w:pStyle w:val="Titre2"/>
        <w:numPr>
          <w:ilvl w:val="0"/>
          <w:numId w:val="11"/>
        </w:numPr>
        <w:spacing w:before="0" w:line="240" w:lineRule="auto"/>
        <w:ind w:left="284" w:firstLine="0"/>
        <w:jc w:val="both"/>
        <w:rPr>
          <w:rFonts w:ascii="Arial" w:hAnsi="Arial" w:cs="Arial"/>
          <w:b w:val="0"/>
          <w:color w:val="auto"/>
          <w:sz w:val="20"/>
          <w:szCs w:val="20"/>
          <w:u w:val="single"/>
        </w:rPr>
      </w:pPr>
      <w:bookmarkStart w:id="99" w:name="_Toc415581585"/>
      <w:bookmarkStart w:id="100" w:name="_Toc420924125"/>
      <w:r w:rsidRPr="003D3D4B">
        <w:rPr>
          <w:rFonts w:ascii="Arial" w:hAnsi="Arial" w:cs="Arial"/>
          <w:b w:val="0"/>
          <w:color w:val="auto"/>
          <w:sz w:val="20"/>
          <w:szCs w:val="20"/>
          <w:u w:val="single"/>
        </w:rPr>
        <w:t>Le fait islamophobe</w:t>
      </w:r>
      <w:bookmarkEnd w:id="99"/>
      <w:bookmarkEnd w:id="100"/>
    </w:p>
    <w:p w:rsidR="008366A3" w:rsidRPr="00BA0463" w:rsidRDefault="008366A3" w:rsidP="00E267F4">
      <w:pPr>
        <w:spacing w:after="0" w:line="240" w:lineRule="auto"/>
        <w:jc w:val="both"/>
        <w:rPr>
          <w:rFonts w:ascii="Arial" w:hAnsi="Arial" w:cs="Arial"/>
          <w:sz w:val="20"/>
          <w:szCs w:val="20"/>
        </w:rPr>
      </w:pPr>
    </w:p>
    <w:p w:rsidR="008366A3" w:rsidRDefault="003E75DD" w:rsidP="00E267F4">
      <w:pPr>
        <w:spacing w:after="0" w:line="240" w:lineRule="auto"/>
        <w:jc w:val="both"/>
        <w:rPr>
          <w:rFonts w:ascii="Arial" w:hAnsi="Arial" w:cs="Arial"/>
          <w:sz w:val="20"/>
          <w:szCs w:val="20"/>
        </w:rPr>
      </w:pPr>
      <w:r w:rsidRPr="003E75DD">
        <w:rPr>
          <w:rFonts w:ascii="Arial" w:hAnsi="Arial" w:cs="Arial"/>
          <w:b/>
          <w:sz w:val="16"/>
          <w:szCs w:val="16"/>
        </w:rPr>
        <w:t>15</w:t>
      </w:r>
      <w:r w:rsidR="001E3464">
        <w:rPr>
          <w:rFonts w:ascii="Arial" w:hAnsi="Arial" w:cs="Arial"/>
          <w:b/>
          <w:sz w:val="16"/>
          <w:szCs w:val="16"/>
        </w:rPr>
        <w:t>8</w:t>
      </w:r>
      <w:r w:rsidR="008366A3">
        <w:rPr>
          <w:rFonts w:ascii="Arial" w:hAnsi="Arial" w:cs="Arial"/>
          <w:sz w:val="20"/>
          <w:szCs w:val="20"/>
        </w:rPr>
        <w:t xml:space="preserve">. </w:t>
      </w:r>
      <w:r w:rsidR="008366A3" w:rsidRPr="00BA0463">
        <w:rPr>
          <w:rFonts w:ascii="Arial" w:hAnsi="Arial" w:cs="Arial"/>
          <w:sz w:val="20"/>
          <w:szCs w:val="20"/>
        </w:rPr>
        <w:t>Ainsi que cela a été rappelé, les agressions verbales ou physiques et les pratiques et propos discriminatoires contre les personnes de confession musulmane ne cessent de progresser</w:t>
      </w:r>
      <w:r w:rsidR="008366A3">
        <w:rPr>
          <w:rFonts w:ascii="Arial" w:hAnsi="Arial" w:cs="Arial"/>
          <w:sz w:val="20"/>
          <w:szCs w:val="20"/>
        </w:rPr>
        <w:t>, comme le relève la CNCDH dans son rapport 2013 sur le racisme.</w:t>
      </w:r>
    </w:p>
    <w:p w:rsidR="008366A3" w:rsidRPr="00BA0463" w:rsidRDefault="008366A3" w:rsidP="00E267F4">
      <w:pPr>
        <w:spacing w:after="0" w:line="240" w:lineRule="auto"/>
        <w:jc w:val="both"/>
        <w:rPr>
          <w:rFonts w:ascii="Arial" w:hAnsi="Arial" w:cs="Arial"/>
          <w:sz w:val="20"/>
          <w:szCs w:val="20"/>
        </w:rPr>
      </w:pPr>
    </w:p>
    <w:p w:rsidR="008366A3" w:rsidRPr="00BA0463" w:rsidRDefault="003E75DD" w:rsidP="00E267F4">
      <w:pPr>
        <w:spacing w:after="0" w:line="240" w:lineRule="auto"/>
        <w:jc w:val="both"/>
        <w:rPr>
          <w:rFonts w:ascii="Arial" w:hAnsi="Arial" w:cs="Arial"/>
          <w:sz w:val="20"/>
          <w:szCs w:val="20"/>
        </w:rPr>
      </w:pPr>
      <w:r w:rsidRPr="003E75DD">
        <w:rPr>
          <w:rFonts w:ascii="Arial" w:hAnsi="Arial" w:cs="Arial"/>
          <w:b/>
          <w:sz w:val="16"/>
          <w:szCs w:val="16"/>
        </w:rPr>
        <w:t>15</w:t>
      </w:r>
      <w:r w:rsidR="001E3464">
        <w:rPr>
          <w:rFonts w:ascii="Arial" w:hAnsi="Arial" w:cs="Arial"/>
          <w:b/>
          <w:sz w:val="16"/>
          <w:szCs w:val="16"/>
        </w:rPr>
        <w:t>9</w:t>
      </w:r>
      <w:r w:rsidR="008366A3">
        <w:rPr>
          <w:rFonts w:ascii="Arial" w:hAnsi="Arial" w:cs="Arial"/>
          <w:sz w:val="20"/>
          <w:szCs w:val="20"/>
        </w:rPr>
        <w:t xml:space="preserve">. </w:t>
      </w:r>
      <w:r w:rsidR="008366A3" w:rsidRPr="00BA0463">
        <w:rPr>
          <w:rFonts w:ascii="Arial" w:hAnsi="Arial" w:cs="Arial"/>
          <w:sz w:val="20"/>
          <w:szCs w:val="20"/>
        </w:rPr>
        <w:t>Au-delà d’une critique parfaitement légitime de l’Islam en tant que dogme religieux, c’est l’affirmation, de plus en plus renouvelée d’une supposée incompatibilité entre l’Islam et la République qui est mise en avant en même temps que les manifestations discriminatoires ou même simplement injurieuses à l’égard des musulmans de nationalité française ou non se multiplient.</w:t>
      </w:r>
    </w:p>
    <w:p w:rsidR="008366A3" w:rsidRPr="00BA0463" w:rsidRDefault="008366A3" w:rsidP="00E267F4">
      <w:pPr>
        <w:spacing w:after="0" w:line="240" w:lineRule="auto"/>
        <w:jc w:val="both"/>
        <w:rPr>
          <w:rFonts w:ascii="Arial" w:hAnsi="Arial" w:cs="Arial"/>
          <w:sz w:val="20"/>
          <w:szCs w:val="20"/>
        </w:rPr>
      </w:pPr>
    </w:p>
    <w:p w:rsidR="008366A3" w:rsidRPr="00BA0463" w:rsidRDefault="003E75DD" w:rsidP="00E267F4">
      <w:pPr>
        <w:spacing w:after="0" w:line="240" w:lineRule="auto"/>
        <w:jc w:val="both"/>
        <w:rPr>
          <w:rFonts w:ascii="Arial" w:hAnsi="Arial" w:cs="Arial"/>
          <w:sz w:val="20"/>
          <w:szCs w:val="20"/>
        </w:rPr>
      </w:pPr>
      <w:r w:rsidRPr="003E75DD">
        <w:rPr>
          <w:rFonts w:ascii="Arial" w:hAnsi="Arial" w:cs="Arial"/>
          <w:b/>
          <w:sz w:val="16"/>
          <w:szCs w:val="16"/>
        </w:rPr>
        <w:t>1</w:t>
      </w:r>
      <w:r w:rsidR="001E3464">
        <w:rPr>
          <w:rFonts w:ascii="Arial" w:hAnsi="Arial" w:cs="Arial"/>
          <w:b/>
          <w:sz w:val="16"/>
          <w:szCs w:val="16"/>
        </w:rPr>
        <w:t>60</w:t>
      </w:r>
      <w:r w:rsidR="008366A3">
        <w:rPr>
          <w:rFonts w:ascii="Arial" w:hAnsi="Arial" w:cs="Arial"/>
          <w:sz w:val="20"/>
          <w:szCs w:val="20"/>
        </w:rPr>
        <w:t xml:space="preserve">. </w:t>
      </w:r>
      <w:r w:rsidR="008366A3" w:rsidRPr="00BA0463">
        <w:rPr>
          <w:rFonts w:ascii="Arial" w:hAnsi="Arial" w:cs="Arial"/>
          <w:sz w:val="20"/>
          <w:szCs w:val="20"/>
        </w:rPr>
        <w:t>La LDH a obtenu la con</w:t>
      </w:r>
      <w:r w:rsidR="008366A3">
        <w:rPr>
          <w:rFonts w:ascii="Arial" w:hAnsi="Arial" w:cs="Arial"/>
          <w:sz w:val="20"/>
          <w:szCs w:val="20"/>
        </w:rPr>
        <w:t xml:space="preserve">damnation d’un site internet « </w:t>
      </w:r>
      <w:r w:rsidR="008366A3" w:rsidRPr="00BA0463">
        <w:rPr>
          <w:rFonts w:ascii="Arial" w:hAnsi="Arial" w:cs="Arial"/>
          <w:i/>
          <w:sz w:val="20"/>
          <w:szCs w:val="20"/>
        </w:rPr>
        <w:t>Riposte laïque</w:t>
      </w:r>
      <w:r w:rsidR="008366A3" w:rsidRPr="00BA0463">
        <w:rPr>
          <w:rFonts w:ascii="Arial" w:hAnsi="Arial" w:cs="Arial"/>
          <w:sz w:val="20"/>
          <w:szCs w:val="20"/>
        </w:rPr>
        <w:t xml:space="preserve"> » pour avoir « </w:t>
      </w:r>
      <w:r w:rsidR="008366A3" w:rsidRPr="00BA0463">
        <w:rPr>
          <w:rFonts w:ascii="Arial" w:hAnsi="Arial" w:cs="Arial"/>
          <w:i/>
          <w:sz w:val="20"/>
          <w:szCs w:val="20"/>
        </w:rPr>
        <w:t xml:space="preserve">diffusé des propos constitutifs du délit de provocation publique à la discrimination, à la haine ou à la violence à l’égard d’un groupe de personnes…..en l’espèce à l’égard des musulmans </w:t>
      </w:r>
      <w:r w:rsidR="008366A3" w:rsidRPr="00BA0463">
        <w:rPr>
          <w:rFonts w:ascii="Arial" w:hAnsi="Arial" w:cs="Arial"/>
          <w:sz w:val="20"/>
          <w:szCs w:val="20"/>
        </w:rPr>
        <w:t>»</w:t>
      </w:r>
      <w:r w:rsidR="008366A3" w:rsidRPr="00BA0463">
        <w:rPr>
          <w:rStyle w:val="Appelnotedebasdep"/>
          <w:rFonts w:ascii="Arial" w:hAnsi="Arial" w:cs="Arial"/>
          <w:b/>
          <w:sz w:val="18"/>
          <w:szCs w:val="18"/>
        </w:rPr>
        <w:footnoteReference w:id="42"/>
      </w:r>
      <w:r w:rsidR="008366A3">
        <w:rPr>
          <w:rFonts w:ascii="Arial" w:hAnsi="Arial" w:cs="Arial"/>
          <w:sz w:val="20"/>
          <w:szCs w:val="20"/>
        </w:rPr>
        <w:t>.</w:t>
      </w:r>
      <w:r w:rsidR="008366A3" w:rsidRPr="00BA0463">
        <w:rPr>
          <w:rFonts w:ascii="Arial" w:hAnsi="Arial" w:cs="Arial"/>
          <w:sz w:val="20"/>
          <w:szCs w:val="20"/>
        </w:rPr>
        <w:t xml:space="preserve"> Il faut relever que ce site a, depuis, changé d’hébergeur pour se localiser en Suisse.</w:t>
      </w:r>
    </w:p>
    <w:p w:rsidR="008366A3" w:rsidRPr="00BA0463" w:rsidRDefault="008366A3" w:rsidP="00E267F4">
      <w:pPr>
        <w:spacing w:after="0" w:line="240" w:lineRule="auto"/>
        <w:jc w:val="both"/>
        <w:rPr>
          <w:rFonts w:ascii="Arial" w:hAnsi="Arial" w:cs="Arial"/>
          <w:sz w:val="20"/>
          <w:szCs w:val="20"/>
        </w:rPr>
      </w:pPr>
    </w:p>
    <w:p w:rsidR="008366A3" w:rsidRPr="00BA0463" w:rsidRDefault="003E75DD" w:rsidP="00E267F4">
      <w:pPr>
        <w:spacing w:after="0" w:line="240" w:lineRule="auto"/>
        <w:jc w:val="both"/>
        <w:rPr>
          <w:rFonts w:ascii="Arial" w:hAnsi="Arial" w:cs="Arial"/>
          <w:sz w:val="20"/>
          <w:szCs w:val="20"/>
        </w:rPr>
      </w:pPr>
      <w:r>
        <w:rPr>
          <w:rFonts w:ascii="Arial" w:hAnsi="Arial" w:cs="Arial"/>
          <w:b/>
          <w:sz w:val="16"/>
          <w:szCs w:val="16"/>
        </w:rPr>
        <w:t>1</w:t>
      </w:r>
      <w:r w:rsidR="00950988">
        <w:rPr>
          <w:rFonts w:ascii="Arial" w:hAnsi="Arial" w:cs="Arial"/>
          <w:b/>
          <w:sz w:val="16"/>
          <w:szCs w:val="16"/>
        </w:rPr>
        <w:t>6</w:t>
      </w:r>
      <w:r w:rsidR="001E3464">
        <w:rPr>
          <w:rFonts w:ascii="Arial" w:hAnsi="Arial" w:cs="Arial"/>
          <w:b/>
          <w:sz w:val="16"/>
          <w:szCs w:val="16"/>
        </w:rPr>
        <w:t>1</w:t>
      </w:r>
      <w:r w:rsidR="008366A3" w:rsidRPr="00BA0463">
        <w:rPr>
          <w:rFonts w:ascii="Arial" w:hAnsi="Arial" w:cs="Arial"/>
          <w:b/>
          <w:sz w:val="16"/>
          <w:szCs w:val="16"/>
        </w:rPr>
        <w:t>.</w:t>
      </w:r>
      <w:r w:rsidR="008366A3">
        <w:rPr>
          <w:rFonts w:ascii="Arial" w:hAnsi="Arial" w:cs="Arial"/>
          <w:sz w:val="20"/>
          <w:szCs w:val="20"/>
        </w:rPr>
        <w:t xml:space="preserve"> La LDH</w:t>
      </w:r>
      <w:r w:rsidR="008366A3" w:rsidRPr="00BA0463">
        <w:rPr>
          <w:rFonts w:ascii="Arial" w:hAnsi="Arial" w:cs="Arial"/>
          <w:sz w:val="20"/>
          <w:szCs w:val="20"/>
        </w:rPr>
        <w:t xml:space="preserve"> a aussi obtenu la condamnation d’une des animatrices du même réseau qui avait publié sur un autre site un appel à l’interdiction de l’islam en France et à l’intervention de l’armée contre ceux et celles qui se rebelleraient contre cette interdiction</w:t>
      </w:r>
      <w:r w:rsidR="008366A3" w:rsidRPr="00BA0463">
        <w:rPr>
          <w:rStyle w:val="Appelnotedebasdep"/>
          <w:rFonts w:ascii="Arial" w:hAnsi="Arial" w:cs="Arial"/>
          <w:b/>
          <w:sz w:val="18"/>
          <w:szCs w:val="18"/>
        </w:rPr>
        <w:footnoteReference w:id="43"/>
      </w:r>
      <w:r w:rsidR="008366A3" w:rsidRPr="00BA0463">
        <w:rPr>
          <w:rFonts w:ascii="Arial" w:hAnsi="Arial" w:cs="Arial"/>
          <w:sz w:val="20"/>
          <w:szCs w:val="20"/>
        </w:rPr>
        <w:t>. Cette affaire est</w:t>
      </w:r>
      <w:r w:rsidR="008366A3">
        <w:rPr>
          <w:rFonts w:ascii="Arial" w:hAnsi="Arial" w:cs="Arial"/>
          <w:sz w:val="20"/>
          <w:szCs w:val="20"/>
        </w:rPr>
        <w:t xml:space="preserve"> actuellement devant la Cour</w:t>
      </w:r>
      <w:r w:rsidR="008366A3" w:rsidRPr="00BA0463">
        <w:rPr>
          <w:rFonts w:ascii="Arial" w:hAnsi="Arial" w:cs="Arial"/>
          <w:sz w:val="20"/>
          <w:szCs w:val="20"/>
        </w:rPr>
        <w:t xml:space="preserve"> </w:t>
      </w:r>
      <w:r w:rsidR="008366A3">
        <w:rPr>
          <w:rFonts w:ascii="Arial" w:hAnsi="Arial" w:cs="Arial"/>
          <w:sz w:val="20"/>
          <w:szCs w:val="20"/>
        </w:rPr>
        <w:t>d’a</w:t>
      </w:r>
      <w:r w:rsidR="008366A3" w:rsidRPr="00BA0463">
        <w:rPr>
          <w:rFonts w:ascii="Arial" w:hAnsi="Arial" w:cs="Arial"/>
          <w:sz w:val="20"/>
          <w:szCs w:val="20"/>
        </w:rPr>
        <w:t>ppel.</w:t>
      </w:r>
    </w:p>
    <w:p w:rsidR="008366A3" w:rsidRPr="00BA0463" w:rsidRDefault="008366A3" w:rsidP="00E267F4">
      <w:pPr>
        <w:spacing w:after="0" w:line="240" w:lineRule="auto"/>
        <w:jc w:val="both"/>
        <w:rPr>
          <w:rFonts w:ascii="Arial" w:hAnsi="Arial" w:cs="Arial"/>
          <w:sz w:val="20"/>
          <w:szCs w:val="20"/>
        </w:rPr>
      </w:pPr>
    </w:p>
    <w:p w:rsidR="008366A3" w:rsidRDefault="00A57BB9" w:rsidP="00E267F4">
      <w:pPr>
        <w:spacing w:after="0" w:line="240" w:lineRule="auto"/>
        <w:jc w:val="both"/>
        <w:rPr>
          <w:rFonts w:ascii="Arial" w:hAnsi="Arial" w:cs="Arial"/>
          <w:sz w:val="20"/>
          <w:szCs w:val="20"/>
        </w:rPr>
      </w:pPr>
      <w:r>
        <w:rPr>
          <w:rFonts w:ascii="Arial" w:hAnsi="Arial" w:cs="Arial"/>
          <w:b/>
          <w:sz w:val="16"/>
          <w:szCs w:val="16"/>
        </w:rPr>
        <w:t>1</w:t>
      </w:r>
      <w:r w:rsidR="00950988">
        <w:rPr>
          <w:rFonts w:ascii="Arial" w:hAnsi="Arial" w:cs="Arial"/>
          <w:b/>
          <w:sz w:val="16"/>
          <w:szCs w:val="16"/>
        </w:rPr>
        <w:t>6</w:t>
      </w:r>
      <w:r w:rsidR="001E3464">
        <w:rPr>
          <w:rFonts w:ascii="Arial" w:hAnsi="Arial" w:cs="Arial"/>
          <w:b/>
          <w:sz w:val="16"/>
          <w:szCs w:val="16"/>
        </w:rPr>
        <w:t>2</w:t>
      </w:r>
      <w:r w:rsidR="008366A3" w:rsidRPr="00BA046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Néanmoins, dans les deux cas, les condamnations n’ont pas excédé, pour la première, 4.000 € d’amende et pour la seconde, 1.000 € d’amende dont la moitié avec sursis.</w:t>
      </w:r>
    </w:p>
    <w:p w:rsidR="008366A3" w:rsidRPr="00BA0463" w:rsidRDefault="008366A3" w:rsidP="00E267F4">
      <w:pPr>
        <w:spacing w:after="0" w:line="240" w:lineRule="auto"/>
        <w:jc w:val="both"/>
        <w:rPr>
          <w:rFonts w:ascii="Arial" w:hAnsi="Arial" w:cs="Arial"/>
          <w:sz w:val="20"/>
          <w:szCs w:val="20"/>
        </w:rPr>
      </w:pPr>
    </w:p>
    <w:p w:rsidR="008366A3" w:rsidRDefault="00A57BB9" w:rsidP="00E267F4">
      <w:pPr>
        <w:spacing w:after="0" w:line="240" w:lineRule="auto"/>
        <w:jc w:val="both"/>
        <w:rPr>
          <w:rFonts w:ascii="Arial" w:hAnsi="Arial" w:cs="Arial"/>
          <w:sz w:val="20"/>
          <w:szCs w:val="20"/>
        </w:rPr>
      </w:pPr>
      <w:r>
        <w:rPr>
          <w:rFonts w:ascii="Arial" w:hAnsi="Arial" w:cs="Arial"/>
          <w:b/>
          <w:sz w:val="16"/>
          <w:szCs w:val="16"/>
        </w:rPr>
        <w:t>1</w:t>
      </w:r>
      <w:r w:rsidR="00950988">
        <w:rPr>
          <w:rFonts w:ascii="Arial" w:hAnsi="Arial" w:cs="Arial"/>
          <w:b/>
          <w:sz w:val="16"/>
          <w:szCs w:val="16"/>
        </w:rPr>
        <w:t>6</w:t>
      </w:r>
      <w:r w:rsidR="001E3464">
        <w:rPr>
          <w:rFonts w:ascii="Arial" w:hAnsi="Arial" w:cs="Arial"/>
          <w:b/>
          <w:sz w:val="16"/>
          <w:szCs w:val="16"/>
        </w:rPr>
        <w:t>3</w:t>
      </w:r>
      <w:r w:rsidR="008366A3" w:rsidRPr="00BA046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Ces deux procédures ne reflètent qu’une partie infiniment ridicule des propos tenus sur le net qui seraient susceptibles d’être poursuivis.</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sidRPr="00A57BB9">
        <w:rPr>
          <w:rFonts w:ascii="Arial" w:hAnsi="Arial" w:cs="Arial"/>
          <w:b/>
          <w:sz w:val="16"/>
          <w:szCs w:val="16"/>
        </w:rPr>
        <w:t>16</w:t>
      </w:r>
      <w:r w:rsidR="001E3464">
        <w:rPr>
          <w:rFonts w:ascii="Arial" w:hAnsi="Arial" w:cs="Arial"/>
          <w:b/>
          <w:sz w:val="16"/>
          <w:szCs w:val="16"/>
        </w:rPr>
        <w:t>4</w:t>
      </w:r>
      <w:r w:rsidR="008366A3">
        <w:rPr>
          <w:rFonts w:ascii="Arial" w:hAnsi="Arial" w:cs="Arial"/>
          <w:sz w:val="20"/>
          <w:szCs w:val="20"/>
        </w:rPr>
        <w:t xml:space="preserve">. </w:t>
      </w:r>
      <w:r w:rsidR="008366A3" w:rsidRPr="00BA0463">
        <w:rPr>
          <w:rFonts w:ascii="Arial" w:hAnsi="Arial" w:cs="Arial"/>
          <w:sz w:val="20"/>
          <w:szCs w:val="20"/>
        </w:rPr>
        <w:t>En même temps se développent dans la sphère institutionnelle des propos qui, sans être proprement dit punissables, accroissent le sentiment de rejet des citoyens musulmans ou de culture arabo musulmane.</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sidRPr="00A57BB9">
        <w:rPr>
          <w:rFonts w:ascii="Arial" w:hAnsi="Arial" w:cs="Arial"/>
          <w:b/>
          <w:sz w:val="16"/>
          <w:szCs w:val="16"/>
        </w:rPr>
        <w:t>16</w:t>
      </w:r>
      <w:r w:rsidR="001E3464">
        <w:rPr>
          <w:rFonts w:ascii="Arial" w:hAnsi="Arial" w:cs="Arial"/>
          <w:b/>
          <w:sz w:val="16"/>
          <w:szCs w:val="16"/>
        </w:rPr>
        <w:t>5</w:t>
      </w:r>
      <w:r w:rsidR="008366A3">
        <w:rPr>
          <w:rFonts w:ascii="Arial" w:hAnsi="Arial" w:cs="Arial"/>
          <w:sz w:val="20"/>
          <w:szCs w:val="20"/>
        </w:rPr>
        <w:t xml:space="preserve">. </w:t>
      </w:r>
      <w:r w:rsidR="008366A3" w:rsidRPr="00BA0463">
        <w:rPr>
          <w:rFonts w:ascii="Arial" w:hAnsi="Arial" w:cs="Arial"/>
          <w:sz w:val="20"/>
          <w:szCs w:val="20"/>
        </w:rPr>
        <w:t xml:space="preserve">Le 5 octobre 2013, Jean-François </w:t>
      </w:r>
      <w:r w:rsidR="008366A3">
        <w:rPr>
          <w:rFonts w:ascii="Arial" w:hAnsi="Arial" w:cs="Arial"/>
          <w:sz w:val="20"/>
          <w:szCs w:val="20"/>
        </w:rPr>
        <w:t>Copé</w:t>
      </w:r>
      <w:r w:rsidR="008366A3" w:rsidRPr="00BA0463">
        <w:rPr>
          <w:rFonts w:ascii="Arial" w:hAnsi="Arial" w:cs="Arial"/>
          <w:sz w:val="20"/>
          <w:szCs w:val="20"/>
        </w:rPr>
        <w:t>, alors président du principal parti politique de la droite française, l’UMP, dénonce l’agression d’un jeune garçon qui se serait vu reprocher de manger un pain au chocolat durant le ramadan, sans pour autant apporter le moindre de début de preuve ou d’identification de l’incident.</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sidRPr="00A57BB9">
        <w:rPr>
          <w:rFonts w:ascii="Arial" w:hAnsi="Arial" w:cs="Arial"/>
          <w:b/>
          <w:sz w:val="16"/>
          <w:szCs w:val="16"/>
        </w:rPr>
        <w:t>16</w:t>
      </w:r>
      <w:r w:rsidR="001E3464">
        <w:rPr>
          <w:rFonts w:ascii="Arial" w:hAnsi="Arial" w:cs="Arial"/>
          <w:b/>
          <w:sz w:val="16"/>
          <w:szCs w:val="16"/>
        </w:rPr>
        <w:t>6</w:t>
      </w:r>
      <w:r w:rsidR="008366A3">
        <w:rPr>
          <w:rFonts w:ascii="Arial" w:hAnsi="Arial" w:cs="Arial"/>
          <w:sz w:val="20"/>
          <w:szCs w:val="20"/>
        </w:rPr>
        <w:t xml:space="preserve">. </w:t>
      </w:r>
      <w:r w:rsidR="008366A3" w:rsidRPr="00BA0463">
        <w:rPr>
          <w:rFonts w:ascii="Arial" w:hAnsi="Arial" w:cs="Arial"/>
          <w:sz w:val="20"/>
          <w:szCs w:val="20"/>
        </w:rPr>
        <w:t xml:space="preserve">De nombreux commentateurs politiques n’hésitent plus à s’en prendre aux musulmans en tant que tels. C’est ainsi que Yvan </w:t>
      </w:r>
      <w:proofErr w:type="spellStart"/>
      <w:r w:rsidR="008366A3" w:rsidRPr="00BA0463">
        <w:rPr>
          <w:rFonts w:ascii="Arial" w:hAnsi="Arial" w:cs="Arial"/>
          <w:sz w:val="20"/>
          <w:szCs w:val="20"/>
        </w:rPr>
        <w:t>R</w:t>
      </w:r>
      <w:r w:rsidR="008366A3">
        <w:rPr>
          <w:rFonts w:ascii="Arial" w:hAnsi="Arial" w:cs="Arial"/>
          <w:sz w:val="20"/>
          <w:szCs w:val="20"/>
        </w:rPr>
        <w:t>ioufol</w:t>
      </w:r>
      <w:proofErr w:type="spellEnd"/>
      <w:r w:rsidR="008366A3" w:rsidRPr="00BA0463">
        <w:rPr>
          <w:rFonts w:ascii="Arial" w:hAnsi="Arial" w:cs="Arial"/>
          <w:sz w:val="20"/>
          <w:szCs w:val="20"/>
        </w:rPr>
        <w:t>, chroniqueur au Figaro, un des plus importants quotidiens français, ne cessent de dénigrer l’Islam et les musulmans comme Eric Z</w:t>
      </w:r>
      <w:r w:rsidR="008366A3">
        <w:rPr>
          <w:rFonts w:ascii="Arial" w:hAnsi="Arial" w:cs="Arial"/>
          <w:sz w:val="20"/>
          <w:szCs w:val="20"/>
        </w:rPr>
        <w:t>emmour</w:t>
      </w:r>
      <w:r w:rsidR="008366A3" w:rsidRPr="00BA0463">
        <w:rPr>
          <w:rFonts w:ascii="Arial" w:hAnsi="Arial" w:cs="Arial"/>
          <w:sz w:val="20"/>
          <w:szCs w:val="20"/>
        </w:rPr>
        <w:t>, chroniqueur à la radio la plus écoutée de France et jusqu’au mois de décembre 2014 chroniqueur sur une chaîne télé d’information, qui a fait l’objet d’une condamnation à 2.000 € d’amende pour provocation à la haine raciale.</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Pr>
          <w:rFonts w:ascii="Arial" w:hAnsi="Arial" w:cs="Arial"/>
          <w:b/>
          <w:sz w:val="16"/>
          <w:szCs w:val="16"/>
        </w:rPr>
        <w:t>16</w:t>
      </w:r>
      <w:r w:rsidR="001E3464">
        <w:rPr>
          <w:rFonts w:ascii="Arial" w:hAnsi="Arial" w:cs="Arial"/>
          <w:b/>
          <w:sz w:val="16"/>
          <w:szCs w:val="16"/>
        </w:rPr>
        <w:t>7</w:t>
      </w:r>
      <w:r w:rsidR="008366A3" w:rsidRPr="00BA046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Ce qui ne l’a pas em</w:t>
      </w:r>
      <w:r w:rsidR="008366A3">
        <w:rPr>
          <w:rFonts w:ascii="Arial" w:hAnsi="Arial" w:cs="Arial"/>
          <w:sz w:val="20"/>
          <w:szCs w:val="20"/>
        </w:rPr>
        <w:t>p</w:t>
      </w:r>
      <w:r w:rsidR="008366A3" w:rsidRPr="00BA0463">
        <w:rPr>
          <w:rFonts w:ascii="Arial" w:hAnsi="Arial" w:cs="Arial"/>
          <w:sz w:val="20"/>
          <w:szCs w:val="20"/>
        </w:rPr>
        <w:t xml:space="preserve">êché de recommencer dans une interview au Corriere </w:t>
      </w:r>
      <w:proofErr w:type="spellStart"/>
      <w:r w:rsidR="008366A3" w:rsidRPr="00BA0463">
        <w:rPr>
          <w:rFonts w:ascii="Arial" w:hAnsi="Arial" w:cs="Arial"/>
          <w:sz w:val="20"/>
          <w:szCs w:val="20"/>
        </w:rPr>
        <w:t>dela</w:t>
      </w:r>
      <w:proofErr w:type="spellEnd"/>
      <w:r w:rsidR="008366A3" w:rsidRPr="00BA0463">
        <w:rPr>
          <w:rFonts w:ascii="Arial" w:hAnsi="Arial" w:cs="Arial"/>
          <w:sz w:val="20"/>
          <w:szCs w:val="20"/>
        </w:rPr>
        <w:t xml:space="preserve"> Sierra en dé</w:t>
      </w:r>
      <w:r w:rsidR="008366A3">
        <w:rPr>
          <w:rFonts w:ascii="Arial" w:hAnsi="Arial" w:cs="Arial"/>
          <w:sz w:val="20"/>
          <w:szCs w:val="20"/>
        </w:rPr>
        <w:t xml:space="preserve">clarant le 30 octobre 2014 : « </w:t>
      </w:r>
      <w:r w:rsidR="008366A3" w:rsidRPr="00BA0463">
        <w:rPr>
          <w:rFonts w:ascii="Arial" w:hAnsi="Arial" w:cs="Arial"/>
          <w:i/>
          <w:sz w:val="20"/>
          <w:szCs w:val="20"/>
        </w:rPr>
        <w:t>Il y a des millions de personnes qui vivent en France sans vouloir vivre à la française. Les musulmans ont leur propre Code civil : le Coran. Ils vivent entre eux, dans les périphéries. Les Français ont été obligés d'en partir.</w:t>
      </w:r>
      <w:r w:rsidR="008366A3" w:rsidRPr="00BA0463">
        <w:rPr>
          <w:rFonts w:ascii="Arial" w:hAnsi="Arial" w:cs="Arial"/>
          <w:sz w:val="20"/>
          <w:szCs w:val="20"/>
        </w:rPr>
        <w:t xml:space="preserve"> »</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Pr>
          <w:rFonts w:ascii="Arial" w:hAnsi="Arial" w:cs="Arial"/>
          <w:b/>
          <w:sz w:val="16"/>
          <w:szCs w:val="16"/>
        </w:rPr>
        <w:t>16</w:t>
      </w:r>
      <w:r w:rsidR="001E3464">
        <w:rPr>
          <w:rFonts w:ascii="Arial" w:hAnsi="Arial" w:cs="Arial"/>
          <w:b/>
          <w:sz w:val="16"/>
          <w:szCs w:val="16"/>
        </w:rPr>
        <w:t>8</w:t>
      </w:r>
      <w:r w:rsidR="008366A3" w:rsidRPr="00BA046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 xml:space="preserve">Dans la droite ligne de la loi qui interdit les signes religieux à l’école, en fait le voile portée par les jeunes filles, et après la loi qui interdit de cacher son visage sur la voie publique (en fait le port de la </w:t>
      </w:r>
      <w:proofErr w:type="spellStart"/>
      <w:r w:rsidR="008366A3" w:rsidRPr="00BA0463">
        <w:rPr>
          <w:rFonts w:ascii="Arial" w:hAnsi="Arial" w:cs="Arial"/>
          <w:sz w:val="20"/>
          <w:szCs w:val="20"/>
        </w:rPr>
        <w:t>burka</w:t>
      </w:r>
      <w:proofErr w:type="spellEnd"/>
      <w:r w:rsidR="008366A3" w:rsidRPr="00BA0463">
        <w:rPr>
          <w:rFonts w:ascii="Arial" w:hAnsi="Arial" w:cs="Arial"/>
          <w:sz w:val="20"/>
          <w:szCs w:val="20"/>
        </w:rPr>
        <w:t>), certains parlementaire</w:t>
      </w:r>
      <w:r w:rsidR="00950988">
        <w:rPr>
          <w:rFonts w:ascii="Arial" w:hAnsi="Arial" w:cs="Arial"/>
          <w:sz w:val="20"/>
          <w:szCs w:val="20"/>
        </w:rPr>
        <w:t>s</w:t>
      </w:r>
      <w:r w:rsidR="008366A3" w:rsidRPr="00BA0463">
        <w:rPr>
          <w:rFonts w:ascii="Arial" w:hAnsi="Arial" w:cs="Arial"/>
          <w:sz w:val="20"/>
          <w:szCs w:val="20"/>
        </w:rPr>
        <w:t xml:space="preserve"> de la majorité </w:t>
      </w:r>
      <w:r w:rsidR="00E8489E">
        <w:rPr>
          <w:rFonts w:ascii="Arial" w:hAnsi="Arial" w:cs="Arial"/>
          <w:sz w:val="20"/>
          <w:szCs w:val="20"/>
        </w:rPr>
        <w:t xml:space="preserve">actuelle </w:t>
      </w:r>
      <w:r w:rsidR="008366A3" w:rsidRPr="00BA0463">
        <w:rPr>
          <w:rFonts w:ascii="Arial" w:hAnsi="Arial" w:cs="Arial"/>
          <w:sz w:val="20"/>
          <w:szCs w:val="20"/>
        </w:rPr>
        <w:t>envisagent d’astreindre les personnes participant à l’accueil des très jeunes enfants dans des organismes privés à ne pas porter le voile. Le projet a été adopté par la commission d</w:t>
      </w:r>
      <w:r w:rsidR="008366A3">
        <w:rPr>
          <w:rFonts w:ascii="Arial" w:hAnsi="Arial" w:cs="Arial"/>
          <w:sz w:val="20"/>
          <w:szCs w:val="20"/>
        </w:rPr>
        <w:t>e</w:t>
      </w:r>
      <w:r w:rsidR="008366A3" w:rsidRPr="00BA0463">
        <w:rPr>
          <w:rFonts w:ascii="Arial" w:hAnsi="Arial" w:cs="Arial"/>
          <w:sz w:val="20"/>
          <w:szCs w:val="20"/>
        </w:rPr>
        <w:t>s lois de l’</w:t>
      </w:r>
      <w:r w:rsidR="008366A3">
        <w:rPr>
          <w:rFonts w:ascii="Arial" w:hAnsi="Arial" w:cs="Arial"/>
          <w:sz w:val="20"/>
          <w:szCs w:val="20"/>
        </w:rPr>
        <w:t>A</w:t>
      </w:r>
      <w:r w:rsidR="008366A3" w:rsidRPr="00BA0463">
        <w:rPr>
          <w:rFonts w:ascii="Arial" w:hAnsi="Arial" w:cs="Arial"/>
          <w:sz w:val="20"/>
          <w:szCs w:val="20"/>
        </w:rPr>
        <w:t xml:space="preserve">ssemblée nationale française mais reste en suspens. D’autres responsables politiques souhaitent que les étudiantes ne puissent </w:t>
      </w:r>
      <w:r w:rsidR="008366A3">
        <w:rPr>
          <w:rFonts w:ascii="Arial" w:hAnsi="Arial" w:cs="Arial"/>
          <w:sz w:val="20"/>
          <w:szCs w:val="20"/>
        </w:rPr>
        <w:t xml:space="preserve">pas </w:t>
      </w:r>
      <w:r w:rsidR="008366A3" w:rsidRPr="00BA0463">
        <w:rPr>
          <w:rFonts w:ascii="Arial" w:hAnsi="Arial" w:cs="Arial"/>
          <w:sz w:val="20"/>
          <w:szCs w:val="20"/>
        </w:rPr>
        <w:t>porter un voile</w:t>
      </w:r>
      <w:r w:rsidR="008366A3">
        <w:rPr>
          <w:rFonts w:ascii="Arial" w:hAnsi="Arial" w:cs="Arial"/>
          <w:sz w:val="20"/>
          <w:szCs w:val="20"/>
        </w:rPr>
        <w:t xml:space="preserve">, c’est le cas de </w:t>
      </w:r>
      <w:r w:rsidR="008366A3" w:rsidRPr="00BA0463">
        <w:rPr>
          <w:rFonts w:ascii="Arial" w:hAnsi="Arial" w:cs="Arial"/>
          <w:sz w:val="20"/>
          <w:szCs w:val="20"/>
        </w:rPr>
        <w:t>Nicolas S</w:t>
      </w:r>
      <w:r w:rsidR="008366A3">
        <w:rPr>
          <w:rFonts w:ascii="Arial" w:hAnsi="Arial" w:cs="Arial"/>
          <w:sz w:val="20"/>
          <w:szCs w:val="20"/>
        </w:rPr>
        <w:t>arkozy,</w:t>
      </w:r>
      <w:r w:rsidR="008366A3" w:rsidRPr="00BA0463">
        <w:rPr>
          <w:rFonts w:ascii="Arial" w:hAnsi="Arial" w:cs="Arial"/>
          <w:sz w:val="20"/>
          <w:szCs w:val="20"/>
        </w:rPr>
        <w:t xml:space="preserve"> ancien président de la République</w:t>
      </w:r>
      <w:r w:rsidR="008366A3">
        <w:rPr>
          <w:rFonts w:ascii="Arial" w:hAnsi="Arial" w:cs="Arial"/>
          <w:sz w:val="20"/>
          <w:szCs w:val="20"/>
        </w:rPr>
        <w:t>,</w:t>
      </w:r>
      <w:r w:rsidR="008366A3" w:rsidRPr="00BA0463">
        <w:rPr>
          <w:rFonts w:ascii="Arial" w:hAnsi="Arial" w:cs="Arial"/>
          <w:sz w:val="20"/>
          <w:szCs w:val="20"/>
        </w:rPr>
        <w:t xml:space="preserve"> </w:t>
      </w:r>
      <w:r w:rsidR="008366A3">
        <w:rPr>
          <w:rFonts w:ascii="Arial" w:hAnsi="Arial" w:cs="Arial"/>
          <w:sz w:val="20"/>
          <w:szCs w:val="20"/>
        </w:rPr>
        <w:t xml:space="preserve">qui s’est exprimé à ce sujet </w:t>
      </w:r>
      <w:r w:rsidR="008366A3" w:rsidRPr="00BA0463">
        <w:rPr>
          <w:rFonts w:ascii="Arial" w:hAnsi="Arial" w:cs="Arial"/>
          <w:sz w:val="20"/>
          <w:szCs w:val="20"/>
        </w:rPr>
        <w:t xml:space="preserve">le 17 mars </w:t>
      </w:r>
      <w:r w:rsidR="008366A3">
        <w:rPr>
          <w:rFonts w:ascii="Arial" w:hAnsi="Arial" w:cs="Arial"/>
          <w:sz w:val="20"/>
          <w:szCs w:val="20"/>
        </w:rPr>
        <w:t>2015 sur TF1</w:t>
      </w:r>
      <w:r w:rsidR="008366A3" w:rsidRPr="00BA0463">
        <w:rPr>
          <w:rFonts w:ascii="Arial" w:hAnsi="Arial" w:cs="Arial"/>
          <w:sz w:val="20"/>
          <w:szCs w:val="20"/>
        </w:rPr>
        <w:t>. Tout récemment, le 16 mars 2015, le maire de Chalon sur Saône a mis fin aux repas de substitution (en fait repas sans porc ou sans viande) dans les cantines scolaires interdisant de fait aux enfants juifs ou musulmans de participer aux repas où sont servis du porc mais aussi de la viande.</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Pr>
          <w:rFonts w:ascii="Arial" w:hAnsi="Arial" w:cs="Arial"/>
          <w:b/>
          <w:sz w:val="16"/>
          <w:szCs w:val="16"/>
        </w:rPr>
        <w:t>16</w:t>
      </w:r>
      <w:r w:rsidR="001E3464">
        <w:rPr>
          <w:rFonts w:ascii="Arial" w:hAnsi="Arial" w:cs="Arial"/>
          <w:b/>
          <w:sz w:val="16"/>
          <w:szCs w:val="16"/>
        </w:rPr>
        <w:t>9</w:t>
      </w:r>
      <w:r w:rsidR="008366A3" w:rsidRPr="00B36E0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Les quelques faits cités à titre d’exemple</w:t>
      </w:r>
      <w:r w:rsidR="008366A3">
        <w:rPr>
          <w:rFonts w:ascii="Arial" w:hAnsi="Arial" w:cs="Arial"/>
          <w:sz w:val="20"/>
          <w:szCs w:val="20"/>
        </w:rPr>
        <w:t>,</w:t>
      </w:r>
      <w:r w:rsidR="008366A3" w:rsidRPr="00BA0463">
        <w:rPr>
          <w:rFonts w:ascii="Arial" w:hAnsi="Arial" w:cs="Arial"/>
          <w:sz w:val="20"/>
          <w:szCs w:val="20"/>
        </w:rPr>
        <w:t xml:space="preserve"> et ceux plus nombreux et parfois quotidiens qui se produisent, la tolérance dont ils sont l’objet de la part des responsables politiques, quand ils n’y adhèrent pas, ainsi que des médias, le faible niveau d’élucidation des affaires d’attaques de lieux de culte musulman ou d’agression contre des femmes voilées, la difficulté à mettre en œuvre la législation contre les discriminations, et la mansuétude voire l’inaction dont fait preuve l’Institution judiciaire aggravent l’atmosphère actuelle.</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Pr>
          <w:rFonts w:ascii="Arial" w:hAnsi="Arial" w:cs="Arial"/>
          <w:b/>
          <w:sz w:val="16"/>
          <w:szCs w:val="16"/>
        </w:rPr>
        <w:t>1</w:t>
      </w:r>
      <w:r w:rsidR="001E3464">
        <w:rPr>
          <w:rFonts w:ascii="Arial" w:hAnsi="Arial" w:cs="Arial"/>
          <w:b/>
          <w:sz w:val="16"/>
          <w:szCs w:val="16"/>
        </w:rPr>
        <w:t>70</w:t>
      </w:r>
      <w:r w:rsidR="008366A3" w:rsidRPr="00B36E0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Il s’en suit une perception par les victimes d’une politique de deux poids deux mesures (les manifestations d’antisémitisme seraient plus poursuivies), d’un manque de volonté des pouvoirs publics voire d’un abandon et, en conséquence, des replis identitaires et un délitement de la cohésion sociale et civique.</w:t>
      </w:r>
    </w:p>
    <w:p w:rsidR="008366A3" w:rsidRPr="00BA0463" w:rsidRDefault="00A57BB9" w:rsidP="00E267F4">
      <w:pPr>
        <w:spacing w:after="0" w:line="240" w:lineRule="auto"/>
        <w:jc w:val="both"/>
        <w:rPr>
          <w:rFonts w:ascii="Arial" w:hAnsi="Arial" w:cs="Arial"/>
          <w:sz w:val="20"/>
          <w:szCs w:val="20"/>
        </w:rPr>
      </w:pPr>
      <w:r>
        <w:rPr>
          <w:rFonts w:ascii="Arial" w:hAnsi="Arial" w:cs="Arial"/>
          <w:b/>
          <w:sz w:val="16"/>
          <w:szCs w:val="16"/>
        </w:rPr>
        <w:t>167</w:t>
      </w:r>
      <w:r w:rsidR="008366A3" w:rsidRPr="00B36E0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Face à ces critiques, le gouvernement a décidé de faire de la lutte contre le racisme l</w:t>
      </w:r>
      <w:r w:rsidR="008366A3">
        <w:rPr>
          <w:rFonts w:ascii="Arial" w:hAnsi="Arial" w:cs="Arial"/>
          <w:sz w:val="20"/>
          <w:szCs w:val="20"/>
        </w:rPr>
        <w:t>a</w:t>
      </w:r>
      <w:r w:rsidR="008366A3" w:rsidRPr="00BA0463">
        <w:rPr>
          <w:rFonts w:ascii="Arial" w:hAnsi="Arial" w:cs="Arial"/>
          <w:sz w:val="20"/>
          <w:szCs w:val="20"/>
        </w:rPr>
        <w:t xml:space="preserve"> « grande cause nationale » de l’année 2015 sans pour autant que l’on sache les moyens mis en œuvre ni les liens qu’il entend tisser avec les organisations de la société civile qui interviennent en ce domaine.</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sidRPr="00A57BB9">
        <w:rPr>
          <w:rFonts w:ascii="Arial" w:hAnsi="Arial" w:cs="Arial"/>
          <w:b/>
          <w:sz w:val="16"/>
          <w:szCs w:val="16"/>
        </w:rPr>
        <w:t>1</w:t>
      </w:r>
      <w:r w:rsidR="00E8489E">
        <w:rPr>
          <w:rFonts w:ascii="Arial" w:hAnsi="Arial" w:cs="Arial"/>
          <w:b/>
          <w:sz w:val="16"/>
          <w:szCs w:val="16"/>
        </w:rPr>
        <w:t>7</w:t>
      </w:r>
      <w:r w:rsidR="001E3464">
        <w:rPr>
          <w:rFonts w:ascii="Arial" w:hAnsi="Arial" w:cs="Arial"/>
          <w:b/>
          <w:sz w:val="16"/>
          <w:szCs w:val="16"/>
        </w:rPr>
        <w:t>1</w:t>
      </w:r>
      <w:r w:rsidR="008366A3">
        <w:rPr>
          <w:rFonts w:ascii="Arial" w:hAnsi="Arial" w:cs="Arial"/>
          <w:sz w:val="20"/>
          <w:szCs w:val="20"/>
        </w:rPr>
        <w:t xml:space="preserve">. </w:t>
      </w:r>
      <w:r w:rsidR="008366A3" w:rsidRPr="00BA0463">
        <w:rPr>
          <w:rFonts w:ascii="Arial" w:hAnsi="Arial" w:cs="Arial"/>
          <w:sz w:val="20"/>
          <w:szCs w:val="20"/>
        </w:rPr>
        <w:t>Il a aussi demandé et obtenu de la justice administrative des décisions interdisant de manière préalable des spectacles d’un humoriste, lequel  déjà été condamné à plusieurs reprises pour des propos antisémites et négationnistes. Non sans toutefois créer un malaise tant la procédure suivie constitue un danger pour la liberté de création artistique et que le Ministre de l’Intérieur à l’initiative de cette procédure en a fait un symbole univoque de la lutte contre le racisme.</w:t>
      </w:r>
    </w:p>
    <w:p w:rsidR="008366A3" w:rsidRPr="00BA0463" w:rsidRDefault="008366A3" w:rsidP="00E267F4">
      <w:pPr>
        <w:spacing w:after="0" w:line="240" w:lineRule="auto"/>
        <w:jc w:val="both"/>
        <w:rPr>
          <w:rFonts w:ascii="Arial" w:hAnsi="Arial" w:cs="Arial"/>
          <w:sz w:val="20"/>
          <w:szCs w:val="20"/>
        </w:rPr>
      </w:pPr>
    </w:p>
    <w:p w:rsidR="008366A3" w:rsidRDefault="00A57BB9" w:rsidP="00E267F4">
      <w:pPr>
        <w:spacing w:after="0" w:line="240" w:lineRule="auto"/>
        <w:jc w:val="both"/>
        <w:rPr>
          <w:rFonts w:ascii="Arial" w:hAnsi="Arial" w:cs="Arial"/>
          <w:sz w:val="20"/>
          <w:szCs w:val="20"/>
        </w:rPr>
      </w:pPr>
      <w:r w:rsidRPr="00A57BB9">
        <w:rPr>
          <w:rFonts w:ascii="Arial" w:hAnsi="Arial" w:cs="Arial"/>
          <w:b/>
          <w:sz w:val="16"/>
          <w:szCs w:val="16"/>
        </w:rPr>
        <w:t>1</w:t>
      </w:r>
      <w:r w:rsidR="00E8489E">
        <w:rPr>
          <w:rFonts w:ascii="Arial" w:hAnsi="Arial" w:cs="Arial"/>
          <w:b/>
          <w:sz w:val="16"/>
          <w:szCs w:val="16"/>
        </w:rPr>
        <w:t>7</w:t>
      </w:r>
      <w:r w:rsidR="001E3464">
        <w:rPr>
          <w:rFonts w:ascii="Arial" w:hAnsi="Arial" w:cs="Arial"/>
          <w:b/>
          <w:sz w:val="16"/>
          <w:szCs w:val="16"/>
        </w:rPr>
        <w:t>2</w:t>
      </w:r>
      <w:r w:rsidR="008366A3">
        <w:rPr>
          <w:rFonts w:ascii="Arial" w:hAnsi="Arial" w:cs="Arial"/>
          <w:sz w:val="20"/>
          <w:szCs w:val="20"/>
        </w:rPr>
        <w:t xml:space="preserve">. </w:t>
      </w:r>
      <w:r w:rsidR="008366A3" w:rsidRPr="00BA0463">
        <w:rPr>
          <w:rFonts w:ascii="Arial" w:hAnsi="Arial" w:cs="Arial"/>
          <w:sz w:val="20"/>
          <w:szCs w:val="20"/>
        </w:rPr>
        <w:t>La puissance publique tente aussi d’intervenir dans l’organisation du culte musulman au motif de la diversité des expressions de ce dernier.</w:t>
      </w:r>
    </w:p>
    <w:p w:rsidR="00D77DC9" w:rsidRPr="00BA0463" w:rsidRDefault="00D77DC9"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Pr>
          <w:rFonts w:ascii="Arial" w:hAnsi="Arial" w:cs="Arial"/>
          <w:b/>
          <w:sz w:val="16"/>
          <w:szCs w:val="16"/>
        </w:rPr>
        <w:t>17</w:t>
      </w:r>
      <w:r w:rsidR="001E3464">
        <w:rPr>
          <w:rFonts w:ascii="Arial" w:hAnsi="Arial" w:cs="Arial"/>
          <w:b/>
          <w:sz w:val="16"/>
          <w:szCs w:val="16"/>
        </w:rPr>
        <w:t>3</w:t>
      </w:r>
      <w:r w:rsidR="008366A3" w:rsidRPr="00B36E0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On rappellera que la loi de 1905 interdit à la puissance publique de se mêler des affaires religieuses comme elle interdit aux cultes de se mêler des affaires de l’Etat.</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Pr>
          <w:rFonts w:ascii="Arial" w:hAnsi="Arial" w:cs="Arial"/>
          <w:b/>
          <w:sz w:val="16"/>
          <w:szCs w:val="16"/>
        </w:rPr>
        <w:t>17</w:t>
      </w:r>
      <w:r w:rsidR="001E3464">
        <w:rPr>
          <w:rFonts w:ascii="Arial" w:hAnsi="Arial" w:cs="Arial"/>
          <w:b/>
          <w:sz w:val="16"/>
          <w:szCs w:val="16"/>
        </w:rPr>
        <w:t>4</w:t>
      </w:r>
      <w:r w:rsidR="008366A3" w:rsidRPr="00B36E0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 xml:space="preserve">Au total, il n’a pas réussi à dissiper l’impression d’une inégalité de traitement alors qu’une politique volontariste est d’autant plus nécessaire en ce domaine que les citoyens et citoyennes de confession </w:t>
      </w:r>
      <w:r w:rsidR="008366A3" w:rsidRPr="00BA0463">
        <w:rPr>
          <w:rFonts w:ascii="Arial" w:hAnsi="Arial" w:cs="Arial"/>
          <w:sz w:val="20"/>
          <w:szCs w:val="20"/>
        </w:rPr>
        <w:lastRenderedPageBreak/>
        <w:t>musulmane souffrent énormément des discriminations (au même titre que les noirs</w:t>
      </w:r>
      <w:r w:rsidR="00E8489E">
        <w:rPr>
          <w:rFonts w:ascii="Arial" w:hAnsi="Arial" w:cs="Arial"/>
          <w:sz w:val="20"/>
          <w:szCs w:val="20"/>
        </w:rPr>
        <w:t xml:space="preserve"> et d’autres minorités</w:t>
      </w:r>
      <w:r w:rsidR="008366A3" w:rsidRPr="00BA0463">
        <w:rPr>
          <w:rFonts w:ascii="Arial" w:hAnsi="Arial" w:cs="Arial"/>
          <w:sz w:val="20"/>
          <w:szCs w:val="20"/>
        </w:rPr>
        <w:t>) et sont victimes d’assimilations abusives avec des actes de terrorisme.</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sidRPr="00A57BB9">
        <w:rPr>
          <w:rFonts w:ascii="Arial" w:hAnsi="Arial" w:cs="Arial"/>
          <w:b/>
          <w:sz w:val="16"/>
          <w:szCs w:val="16"/>
        </w:rPr>
        <w:t>17</w:t>
      </w:r>
      <w:r w:rsidR="001E3464">
        <w:rPr>
          <w:rFonts w:ascii="Arial" w:hAnsi="Arial" w:cs="Arial"/>
          <w:b/>
          <w:sz w:val="16"/>
          <w:szCs w:val="16"/>
        </w:rPr>
        <w:t>5</w:t>
      </w:r>
      <w:r w:rsidR="008366A3">
        <w:rPr>
          <w:rFonts w:ascii="Arial" w:hAnsi="Arial" w:cs="Arial"/>
          <w:sz w:val="20"/>
          <w:szCs w:val="20"/>
        </w:rPr>
        <w:t xml:space="preserve">. </w:t>
      </w:r>
      <w:r w:rsidR="008366A3" w:rsidRPr="00BA0463">
        <w:rPr>
          <w:rFonts w:ascii="Arial" w:hAnsi="Arial" w:cs="Arial"/>
          <w:sz w:val="20"/>
          <w:szCs w:val="20"/>
        </w:rPr>
        <w:t>Sans doute faut-il s’interroger à cet égard sur l’incapacité de la classe politique française et d’une partie de la société à s’éloigner des stéréotypes issues de la période coloniale.</w:t>
      </w:r>
    </w:p>
    <w:p w:rsidR="008366A3" w:rsidRPr="00BA0463" w:rsidRDefault="008366A3" w:rsidP="00E267F4">
      <w:pPr>
        <w:spacing w:after="0" w:line="240" w:lineRule="auto"/>
        <w:jc w:val="both"/>
        <w:rPr>
          <w:rFonts w:ascii="Arial" w:hAnsi="Arial" w:cs="Arial"/>
          <w:sz w:val="20"/>
          <w:szCs w:val="20"/>
        </w:rPr>
      </w:pPr>
    </w:p>
    <w:p w:rsidR="00E8489E" w:rsidRDefault="00A57BB9" w:rsidP="00E8489E">
      <w:pPr>
        <w:spacing w:after="0" w:line="240" w:lineRule="auto"/>
        <w:jc w:val="both"/>
        <w:rPr>
          <w:rFonts w:ascii="Arial" w:hAnsi="Arial" w:cs="Arial"/>
          <w:sz w:val="20"/>
          <w:szCs w:val="20"/>
        </w:rPr>
      </w:pPr>
      <w:r w:rsidRPr="00A57BB9">
        <w:rPr>
          <w:rFonts w:ascii="Arial" w:hAnsi="Arial" w:cs="Arial"/>
          <w:b/>
          <w:sz w:val="16"/>
          <w:szCs w:val="16"/>
        </w:rPr>
        <w:t>17</w:t>
      </w:r>
      <w:r w:rsidR="001E3464">
        <w:rPr>
          <w:rFonts w:ascii="Arial" w:hAnsi="Arial" w:cs="Arial"/>
          <w:b/>
          <w:sz w:val="16"/>
          <w:szCs w:val="16"/>
        </w:rPr>
        <w:t>6</w:t>
      </w:r>
      <w:r w:rsidR="008366A3">
        <w:rPr>
          <w:rFonts w:ascii="Arial" w:hAnsi="Arial" w:cs="Arial"/>
          <w:sz w:val="20"/>
          <w:szCs w:val="20"/>
        </w:rPr>
        <w:t xml:space="preserve">. </w:t>
      </w:r>
      <w:r w:rsidR="008366A3" w:rsidRPr="00BA0463">
        <w:rPr>
          <w:rFonts w:ascii="Arial" w:hAnsi="Arial" w:cs="Arial"/>
          <w:sz w:val="20"/>
          <w:szCs w:val="20"/>
        </w:rPr>
        <w:t>En revanche, le gouvernement souhaite amoindrir les garanties entourant la liberté d’expression en France, sous prétexte de lutter contre le racisme, en transférant la répression de ce délit de la loi du 29 jui</w:t>
      </w:r>
      <w:r w:rsidR="00E8489E">
        <w:rPr>
          <w:rFonts w:ascii="Arial" w:hAnsi="Arial" w:cs="Arial"/>
          <w:sz w:val="20"/>
          <w:szCs w:val="20"/>
        </w:rPr>
        <w:t>llet 1881 au code pénal. Il s’agit de la même logique que celle qui a conduit à insérer dans le droit pénal commun la répression de l’apologie du terrorisme avec les conséquences que l’on a vu plus haut (</w:t>
      </w:r>
      <w:r w:rsidR="00E8489E" w:rsidRPr="00E8489E">
        <w:rPr>
          <w:rFonts w:ascii="Arial" w:hAnsi="Arial" w:cs="Arial"/>
          <w:sz w:val="18"/>
          <w:szCs w:val="18"/>
        </w:rPr>
        <w:t>voir paragraphes 82 et suivants de la présente soumission</w:t>
      </w:r>
      <w:r w:rsidR="00E8489E">
        <w:rPr>
          <w:rFonts w:ascii="Arial" w:hAnsi="Arial" w:cs="Arial"/>
          <w:sz w:val="20"/>
          <w:szCs w:val="20"/>
        </w:rPr>
        <w:t xml:space="preserve">). Cette réforme présente les mêmes dangers que ceux déjà dénoncés mais à un niveau encore plus important car la </w:t>
      </w:r>
      <w:proofErr w:type="spellStart"/>
      <w:r w:rsidR="00E8489E">
        <w:rPr>
          <w:rFonts w:ascii="Arial" w:hAnsi="Arial" w:cs="Arial"/>
          <w:sz w:val="20"/>
          <w:szCs w:val="20"/>
        </w:rPr>
        <w:t>départition</w:t>
      </w:r>
      <w:proofErr w:type="spellEnd"/>
      <w:r w:rsidR="00E8489E">
        <w:rPr>
          <w:rFonts w:ascii="Arial" w:hAnsi="Arial" w:cs="Arial"/>
          <w:sz w:val="20"/>
          <w:szCs w:val="20"/>
        </w:rPr>
        <w:t xml:space="preserve"> entre un débat légitime, par exemple sur l’immigration, et l’incitation à la haine raciale nécessite encore plus de prudence sous peine de porter gravement atteinte à la liberté d’expression.</w:t>
      </w:r>
    </w:p>
    <w:p w:rsidR="00E8489E" w:rsidRDefault="00E8489E" w:rsidP="00E8489E">
      <w:pPr>
        <w:spacing w:after="0" w:line="240" w:lineRule="auto"/>
        <w:jc w:val="both"/>
        <w:rPr>
          <w:rFonts w:ascii="Arial" w:hAnsi="Arial" w:cs="Arial"/>
          <w:sz w:val="20"/>
          <w:szCs w:val="20"/>
        </w:rPr>
      </w:pPr>
    </w:p>
    <w:p w:rsidR="00E8489E" w:rsidRDefault="00E8489E" w:rsidP="00E8489E">
      <w:pPr>
        <w:spacing w:after="0" w:line="240" w:lineRule="auto"/>
        <w:jc w:val="both"/>
        <w:rPr>
          <w:rFonts w:ascii="Arial" w:hAnsi="Arial" w:cs="Arial"/>
          <w:sz w:val="20"/>
          <w:szCs w:val="20"/>
        </w:rPr>
      </w:pPr>
      <w:r w:rsidRPr="00E8489E">
        <w:rPr>
          <w:rFonts w:ascii="Arial" w:hAnsi="Arial" w:cs="Arial"/>
          <w:b/>
          <w:sz w:val="16"/>
          <w:szCs w:val="16"/>
        </w:rPr>
        <w:t>17</w:t>
      </w:r>
      <w:r w:rsidR="001E3464">
        <w:rPr>
          <w:rFonts w:ascii="Arial" w:hAnsi="Arial" w:cs="Arial"/>
          <w:b/>
          <w:sz w:val="16"/>
          <w:szCs w:val="16"/>
        </w:rPr>
        <w:t>7</w:t>
      </w:r>
      <w:r>
        <w:rPr>
          <w:rFonts w:ascii="Arial" w:hAnsi="Arial" w:cs="Arial"/>
          <w:sz w:val="20"/>
          <w:szCs w:val="20"/>
        </w:rPr>
        <w:t>. Une des raisons de ce projet serait la lenteur des juridictions à juger ce type d’affaires.</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Pr>
          <w:rFonts w:ascii="Arial" w:hAnsi="Arial" w:cs="Arial"/>
          <w:b/>
          <w:sz w:val="16"/>
          <w:szCs w:val="16"/>
        </w:rPr>
        <w:t>17</w:t>
      </w:r>
      <w:r w:rsidR="001E3464">
        <w:rPr>
          <w:rFonts w:ascii="Arial" w:hAnsi="Arial" w:cs="Arial"/>
          <w:b/>
          <w:sz w:val="16"/>
          <w:szCs w:val="16"/>
        </w:rPr>
        <w:t>8</w:t>
      </w:r>
      <w:r w:rsidR="008366A3" w:rsidRPr="00B36E0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A l’exception d’une d’entre elles, les principales organisations antiracistes et les organisations, spécialement de journalistes se sont élevées contre ce projet, considérant qu’on ne lutte pas contre le racisme en restreignant les libertés. Et s’il existe un problème de moyens, il peut être résolu par l’allocation de moyens supplémentaires.</w:t>
      </w:r>
      <w:r w:rsidR="00E8489E">
        <w:rPr>
          <w:rFonts w:ascii="Arial" w:hAnsi="Arial" w:cs="Arial"/>
          <w:sz w:val="20"/>
          <w:szCs w:val="20"/>
        </w:rPr>
        <w:t xml:space="preserve"> On ne peut qu’être stupéfait, à cet égard, que le gouvernement, qui est directement responsable de l’insuffisance des moyens alloués à l’institution judiciaire, prenne prétexte de ses propres carences pour porter une réforme objectivement dangereuse pour la liberté d’expression.</w:t>
      </w:r>
    </w:p>
    <w:p w:rsidR="008366A3" w:rsidRPr="00BA0463" w:rsidRDefault="008366A3" w:rsidP="00E267F4">
      <w:pPr>
        <w:spacing w:after="0" w:line="240" w:lineRule="auto"/>
        <w:jc w:val="both"/>
        <w:rPr>
          <w:rFonts w:ascii="Arial" w:hAnsi="Arial" w:cs="Arial"/>
          <w:sz w:val="20"/>
          <w:szCs w:val="20"/>
        </w:rPr>
      </w:pPr>
    </w:p>
    <w:p w:rsidR="008366A3" w:rsidRPr="00BA0463" w:rsidRDefault="00A57BB9" w:rsidP="00E267F4">
      <w:pPr>
        <w:spacing w:after="0" w:line="240" w:lineRule="auto"/>
        <w:jc w:val="both"/>
        <w:rPr>
          <w:rFonts w:ascii="Arial" w:hAnsi="Arial" w:cs="Arial"/>
          <w:sz w:val="20"/>
          <w:szCs w:val="20"/>
        </w:rPr>
      </w:pPr>
      <w:r>
        <w:rPr>
          <w:rFonts w:ascii="Arial" w:hAnsi="Arial" w:cs="Arial"/>
          <w:b/>
          <w:sz w:val="16"/>
          <w:szCs w:val="16"/>
        </w:rPr>
        <w:t>17</w:t>
      </w:r>
      <w:r w:rsidR="001E3464">
        <w:rPr>
          <w:rFonts w:ascii="Arial" w:hAnsi="Arial" w:cs="Arial"/>
          <w:b/>
          <w:sz w:val="16"/>
          <w:szCs w:val="16"/>
        </w:rPr>
        <w:t>9</w:t>
      </w:r>
      <w:r w:rsidR="008366A3" w:rsidRPr="00B36E03">
        <w:rPr>
          <w:rFonts w:ascii="Arial" w:hAnsi="Arial" w:cs="Arial"/>
          <w:b/>
          <w:sz w:val="16"/>
          <w:szCs w:val="16"/>
        </w:rPr>
        <w:t>.</w:t>
      </w:r>
      <w:r w:rsidR="008366A3">
        <w:rPr>
          <w:rFonts w:ascii="Arial" w:hAnsi="Arial" w:cs="Arial"/>
          <w:sz w:val="20"/>
          <w:szCs w:val="20"/>
        </w:rPr>
        <w:t xml:space="preserve"> </w:t>
      </w:r>
      <w:r w:rsidR="008366A3" w:rsidRPr="00BA0463">
        <w:rPr>
          <w:rFonts w:ascii="Arial" w:hAnsi="Arial" w:cs="Arial"/>
          <w:sz w:val="20"/>
          <w:szCs w:val="20"/>
        </w:rPr>
        <w:t>Enfin, il est difficile de distinguer dans la politique gouvernementale les mesures destinées à mettre fin aux ghettos territoriaux et scolaires qui seraient d’une plus grande importance que de s’en prendre à la loi sur la liberté de la presse.</w:t>
      </w:r>
    </w:p>
    <w:p w:rsidR="008366A3" w:rsidRPr="00BA0463" w:rsidRDefault="008366A3" w:rsidP="00E267F4">
      <w:pPr>
        <w:spacing w:after="0" w:line="240" w:lineRule="auto"/>
        <w:jc w:val="both"/>
        <w:rPr>
          <w:rFonts w:ascii="Arial" w:hAnsi="Arial" w:cs="Arial"/>
          <w:sz w:val="20"/>
          <w:szCs w:val="20"/>
        </w:rPr>
      </w:pPr>
    </w:p>
    <w:p w:rsidR="008366A3" w:rsidRPr="00BA0463" w:rsidRDefault="008366A3" w:rsidP="00E267F4">
      <w:pPr>
        <w:spacing w:after="0" w:line="240" w:lineRule="auto"/>
        <w:jc w:val="both"/>
        <w:rPr>
          <w:rFonts w:ascii="Arial" w:hAnsi="Arial" w:cs="Arial"/>
          <w:sz w:val="20"/>
          <w:szCs w:val="20"/>
        </w:rPr>
      </w:pPr>
    </w:p>
    <w:p w:rsidR="008366A3" w:rsidRDefault="008366A3" w:rsidP="00E267F4">
      <w:pPr>
        <w:spacing w:after="0" w:line="240" w:lineRule="auto"/>
        <w:jc w:val="both"/>
        <w:rPr>
          <w:rFonts w:ascii="Arial" w:hAnsi="Arial" w:cs="Arial"/>
          <w:b/>
          <w:sz w:val="20"/>
          <w:szCs w:val="20"/>
        </w:rPr>
      </w:pPr>
    </w:p>
    <w:p w:rsidR="008366A3" w:rsidRPr="008B5F21" w:rsidRDefault="008366A3" w:rsidP="00E267F4">
      <w:pPr>
        <w:spacing w:after="0" w:line="240" w:lineRule="auto"/>
        <w:jc w:val="both"/>
        <w:rPr>
          <w:rFonts w:ascii="Arial" w:hAnsi="Arial" w:cs="Arial"/>
          <w:b/>
          <w:sz w:val="20"/>
          <w:szCs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205"/>
      </w:tblGrid>
      <w:tr w:rsidR="008366A3" w:rsidRPr="008B5F21" w:rsidTr="00F54089">
        <w:tc>
          <w:tcPr>
            <w:tcW w:w="9205" w:type="dxa"/>
            <w:shd w:val="clear" w:color="auto" w:fill="D9D9D9" w:themeFill="background1" w:themeFillShade="D9"/>
          </w:tcPr>
          <w:p w:rsidR="008366A3" w:rsidRPr="00D77DC9" w:rsidRDefault="008366A3" w:rsidP="00E267F4">
            <w:pPr>
              <w:pStyle w:val="Titre1"/>
              <w:spacing w:before="0"/>
              <w:jc w:val="both"/>
              <w:outlineLvl w:val="0"/>
              <w:rPr>
                <w:rFonts w:ascii="Arial" w:hAnsi="Arial" w:cs="Arial"/>
                <w:smallCaps/>
                <w:color w:val="auto"/>
                <w:sz w:val="20"/>
                <w:szCs w:val="20"/>
              </w:rPr>
            </w:pPr>
            <w:bookmarkStart w:id="101" w:name="_Toc282795924"/>
            <w:bookmarkStart w:id="102" w:name="_Toc413409295"/>
            <w:bookmarkStart w:id="103" w:name="_Toc415581586"/>
            <w:bookmarkStart w:id="104" w:name="_Toc420924126"/>
            <w:r w:rsidRPr="00D77DC9">
              <w:rPr>
                <w:rFonts w:ascii="Arial" w:hAnsi="Arial" w:cs="Arial"/>
                <w:smallCaps/>
                <w:color w:val="auto"/>
                <w:sz w:val="20"/>
                <w:szCs w:val="20"/>
              </w:rPr>
              <w:t>recommandations</w:t>
            </w:r>
            <w:bookmarkEnd w:id="101"/>
            <w:bookmarkEnd w:id="102"/>
            <w:bookmarkEnd w:id="103"/>
            <w:bookmarkEnd w:id="104"/>
          </w:p>
        </w:tc>
      </w:tr>
    </w:tbl>
    <w:p w:rsidR="008366A3" w:rsidRPr="008B5F21" w:rsidRDefault="008366A3" w:rsidP="00E267F4">
      <w:pPr>
        <w:spacing w:after="0" w:line="240" w:lineRule="auto"/>
        <w:jc w:val="both"/>
        <w:rPr>
          <w:rFonts w:ascii="Arial" w:hAnsi="Arial" w:cs="Arial"/>
          <w:b/>
          <w:sz w:val="20"/>
          <w:szCs w:val="20"/>
        </w:rPr>
      </w:pPr>
    </w:p>
    <w:p w:rsidR="008366A3" w:rsidRPr="00C63B8A" w:rsidRDefault="008366A3" w:rsidP="00E267F4">
      <w:pPr>
        <w:spacing w:after="0" w:line="240" w:lineRule="auto"/>
        <w:jc w:val="both"/>
        <w:rPr>
          <w:rFonts w:ascii="Arial" w:hAnsi="Arial" w:cs="Arial"/>
          <w:sz w:val="20"/>
          <w:szCs w:val="20"/>
        </w:rPr>
      </w:pPr>
      <w:r w:rsidRPr="00C63B8A">
        <w:rPr>
          <w:rFonts w:ascii="Arial" w:hAnsi="Arial" w:cs="Arial"/>
          <w:sz w:val="20"/>
          <w:szCs w:val="20"/>
        </w:rPr>
        <w:t>La Ligue des droits de l’Homme demande aux autorités françaises :</w:t>
      </w:r>
    </w:p>
    <w:p w:rsidR="008366A3" w:rsidRPr="00441B3B" w:rsidRDefault="008366A3" w:rsidP="00E267F4">
      <w:pPr>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Pr>
          <w:rFonts w:ascii="Arial" w:hAnsi="Arial" w:cs="Arial"/>
          <w:sz w:val="20"/>
          <w:szCs w:val="20"/>
        </w:rPr>
        <w:t>le renforcement des moyens de lutte contre les formes d’expression raciste diffusées sur Internet ;</w:t>
      </w:r>
    </w:p>
    <w:p w:rsidR="005307CB" w:rsidRPr="005307CB" w:rsidRDefault="005307CB" w:rsidP="005307CB">
      <w:pPr>
        <w:spacing w:after="0" w:line="240" w:lineRule="auto"/>
        <w:ind w:left="1065"/>
        <w:jc w:val="both"/>
        <w:rPr>
          <w:rFonts w:ascii="Arial" w:hAnsi="Arial" w:cs="Arial"/>
          <w:sz w:val="20"/>
          <w:szCs w:val="20"/>
        </w:rPr>
      </w:pPr>
    </w:p>
    <w:p w:rsidR="005307CB" w:rsidRDefault="005307CB" w:rsidP="00E267F4">
      <w:pPr>
        <w:pStyle w:val="Paragraphedeliste"/>
        <w:numPr>
          <w:ilvl w:val="0"/>
          <w:numId w:val="4"/>
        </w:numPr>
        <w:spacing w:after="0" w:line="240" w:lineRule="auto"/>
        <w:ind w:firstLine="0"/>
        <w:jc w:val="both"/>
        <w:rPr>
          <w:rFonts w:ascii="Arial" w:hAnsi="Arial" w:cs="Arial"/>
          <w:sz w:val="20"/>
          <w:szCs w:val="20"/>
        </w:rPr>
      </w:pPr>
      <w:r>
        <w:rPr>
          <w:rFonts w:ascii="Arial" w:hAnsi="Arial" w:cs="Arial"/>
          <w:sz w:val="20"/>
          <w:szCs w:val="20"/>
        </w:rPr>
        <w:t>de cesser de criminaliser les personnes appelant au boycott des produits israéliens ;</w:t>
      </w:r>
    </w:p>
    <w:p w:rsidR="005307CB" w:rsidRPr="005307CB" w:rsidRDefault="005307CB" w:rsidP="005307CB">
      <w:pPr>
        <w:pStyle w:val="Paragraphedeliste"/>
        <w:rPr>
          <w:rFonts w:ascii="Arial" w:hAnsi="Arial" w:cs="Arial"/>
          <w:sz w:val="20"/>
          <w:szCs w:val="20"/>
        </w:rPr>
      </w:pPr>
    </w:p>
    <w:p w:rsidR="005307CB" w:rsidRDefault="005307CB" w:rsidP="00E267F4">
      <w:pPr>
        <w:pStyle w:val="Paragraphedeliste"/>
        <w:numPr>
          <w:ilvl w:val="0"/>
          <w:numId w:val="4"/>
        </w:numPr>
        <w:spacing w:after="0" w:line="240" w:lineRule="auto"/>
        <w:ind w:firstLine="0"/>
        <w:jc w:val="both"/>
        <w:rPr>
          <w:rFonts w:ascii="Arial" w:hAnsi="Arial" w:cs="Arial"/>
          <w:sz w:val="20"/>
          <w:szCs w:val="20"/>
        </w:rPr>
      </w:pPr>
      <w:r>
        <w:rPr>
          <w:rFonts w:ascii="Arial" w:hAnsi="Arial" w:cs="Arial"/>
          <w:sz w:val="20"/>
          <w:szCs w:val="20"/>
        </w:rPr>
        <w:t>d’abandonner son projet de transférer au droit pénal commun la répression de l’incitation à la haine raciale ou religieuse ;</w:t>
      </w:r>
    </w:p>
    <w:p w:rsidR="008366A3" w:rsidRPr="00B36E03" w:rsidRDefault="008366A3" w:rsidP="00E267F4">
      <w:pPr>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Pr>
          <w:rFonts w:ascii="Arial" w:hAnsi="Arial" w:cs="Arial"/>
          <w:sz w:val="20"/>
          <w:szCs w:val="20"/>
        </w:rPr>
        <w:t>la mise en œuvre de véritables mesures pour remédier à l’exploitation du racisme en politique, notamment dans le traitement qui est fait de ces dossiers par l’autorité judiciaire ;</w:t>
      </w:r>
    </w:p>
    <w:p w:rsidR="008366A3" w:rsidRPr="00B36E03" w:rsidRDefault="008366A3" w:rsidP="00E267F4">
      <w:pPr>
        <w:pStyle w:val="Paragraphedeliste"/>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sidRPr="00B36E03">
        <w:rPr>
          <w:rFonts w:ascii="Arial" w:hAnsi="Arial" w:cs="Arial"/>
          <w:sz w:val="20"/>
          <w:szCs w:val="20"/>
        </w:rPr>
        <w:t xml:space="preserve">de définir et de mettre en application de manière effective une politique pénale qui engage le Parquet à poursuivre de lui-même les infractions en matière </w:t>
      </w:r>
      <w:r>
        <w:rPr>
          <w:rFonts w:ascii="Arial" w:hAnsi="Arial" w:cs="Arial"/>
          <w:sz w:val="20"/>
          <w:szCs w:val="20"/>
        </w:rPr>
        <w:t>de racisme et de discrimination ;</w:t>
      </w:r>
    </w:p>
    <w:p w:rsidR="008366A3" w:rsidRPr="00B36E03" w:rsidRDefault="008366A3" w:rsidP="00E267F4">
      <w:pPr>
        <w:pStyle w:val="Paragraphedeliste"/>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sidRPr="00B36E03">
        <w:rPr>
          <w:rFonts w:ascii="Arial" w:hAnsi="Arial" w:cs="Arial"/>
          <w:sz w:val="20"/>
          <w:szCs w:val="20"/>
        </w:rPr>
        <w:t>d’augmenter de manière appréciable les moyens quantitatifs des juridictions chargées de j</w:t>
      </w:r>
      <w:r>
        <w:rPr>
          <w:rFonts w:ascii="Arial" w:hAnsi="Arial" w:cs="Arial"/>
          <w:sz w:val="20"/>
          <w:szCs w:val="20"/>
        </w:rPr>
        <w:t>uger ces affaires ;</w:t>
      </w:r>
    </w:p>
    <w:p w:rsidR="008366A3" w:rsidRPr="00B36E03" w:rsidRDefault="008366A3" w:rsidP="00E267F4">
      <w:pPr>
        <w:pStyle w:val="Paragraphedeliste"/>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sidRPr="00B36E03">
        <w:rPr>
          <w:rFonts w:ascii="Arial" w:hAnsi="Arial" w:cs="Arial"/>
          <w:sz w:val="20"/>
          <w:szCs w:val="20"/>
        </w:rPr>
        <w:t>de mieux former les services de police et la magistrature</w:t>
      </w:r>
      <w:r>
        <w:rPr>
          <w:rFonts w:ascii="Arial" w:hAnsi="Arial" w:cs="Arial"/>
          <w:sz w:val="20"/>
          <w:szCs w:val="20"/>
        </w:rPr>
        <w:t xml:space="preserve"> à traiter ce type de procédure ;</w:t>
      </w:r>
    </w:p>
    <w:p w:rsidR="008366A3" w:rsidRPr="00B36E03" w:rsidRDefault="008366A3" w:rsidP="00E267F4">
      <w:pPr>
        <w:pStyle w:val="Paragraphedeliste"/>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sidRPr="00B36E03">
        <w:rPr>
          <w:rFonts w:ascii="Arial" w:hAnsi="Arial" w:cs="Arial"/>
          <w:sz w:val="20"/>
          <w:szCs w:val="20"/>
        </w:rPr>
        <w:t>de respecter une stricte neutralité, y compris symboliquement, dans le tra</w:t>
      </w:r>
      <w:r>
        <w:rPr>
          <w:rFonts w:ascii="Arial" w:hAnsi="Arial" w:cs="Arial"/>
          <w:sz w:val="20"/>
          <w:szCs w:val="20"/>
        </w:rPr>
        <w:t>itement des affaires de racisme ;</w:t>
      </w:r>
    </w:p>
    <w:p w:rsidR="008366A3" w:rsidRPr="00B36E03" w:rsidRDefault="008366A3" w:rsidP="00E267F4">
      <w:pPr>
        <w:pStyle w:val="Paragraphedeliste"/>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sidRPr="00B36E03">
        <w:rPr>
          <w:rFonts w:ascii="Arial" w:hAnsi="Arial" w:cs="Arial"/>
          <w:sz w:val="20"/>
          <w:szCs w:val="20"/>
        </w:rPr>
        <w:t>d’appliquer pleinement la loi de séparation de 1905 et de ne pas chercher à org</w:t>
      </w:r>
      <w:r>
        <w:rPr>
          <w:rFonts w:ascii="Arial" w:hAnsi="Arial" w:cs="Arial"/>
          <w:sz w:val="20"/>
          <w:szCs w:val="20"/>
        </w:rPr>
        <w:t>aniser un culte quel qu’il soit ;</w:t>
      </w:r>
    </w:p>
    <w:p w:rsidR="008366A3" w:rsidRPr="00B36E03" w:rsidRDefault="008366A3" w:rsidP="00E267F4">
      <w:pPr>
        <w:pStyle w:val="Paragraphedeliste"/>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sidRPr="00B36E03">
        <w:rPr>
          <w:rFonts w:ascii="Arial" w:hAnsi="Arial" w:cs="Arial"/>
          <w:sz w:val="20"/>
          <w:szCs w:val="20"/>
        </w:rPr>
        <w:t>de s’opposer à tout nouveau projet de loi tendant à stigmatiser un peu plus les citoyens et citoyennes de confession et de culture musulmane</w:t>
      </w:r>
      <w:r>
        <w:rPr>
          <w:rFonts w:ascii="Arial" w:hAnsi="Arial" w:cs="Arial"/>
          <w:sz w:val="20"/>
          <w:szCs w:val="20"/>
        </w:rPr>
        <w:t> ;</w:t>
      </w:r>
    </w:p>
    <w:p w:rsidR="008366A3" w:rsidRPr="00B36E03" w:rsidRDefault="008366A3" w:rsidP="00E267F4">
      <w:pPr>
        <w:pStyle w:val="Paragraphedeliste"/>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sidRPr="00B36E03">
        <w:rPr>
          <w:rFonts w:ascii="Arial" w:hAnsi="Arial" w:cs="Arial"/>
          <w:sz w:val="20"/>
          <w:szCs w:val="20"/>
        </w:rPr>
        <w:t xml:space="preserve">d’abolir la circulaire du 12 février 2010 de </w:t>
      </w:r>
      <w:r>
        <w:rPr>
          <w:rFonts w:ascii="Arial" w:hAnsi="Arial" w:cs="Arial"/>
          <w:sz w:val="20"/>
          <w:szCs w:val="20"/>
        </w:rPr>
        <w:t>madame Michèle</w:t>
      </w:r>
      <w:r w:rsidRPr="00B36E03">
        <w:rPr>
          <w:rFonts w:ascii="Arial" w:hAnsi="Arial" w:cs="Arial"/>
          <w:sz w:val="20"/>
          <w:szCs w:val="20"/>
        </w:rPr>
        <w:t xml:space="preserve"> A</w:t>
      </w:r>
      <w:r>
        <w:rPr>
          <w:rFonts w:ascii="Arial" w:hAnsi="Arial" w:cs="Arial"/>
          <w:sz w:val="20"/>
          <w:szCs w:val="20"/>
        </w:rPr>
        <w:t>lliot</w:t>
      </w:r>
      <w:r w:rsidRPr="00B36E03">
        <w:rPr>
          <w:rFonts w:ascii="Arial" w:hAnsi="Arial" w:cs="Arial"/>
          <w:sz w:val="20"/>
          <w:szCs w:val="20"/>
        </w:rPr>
        <w:t>-M</w:t>
      </w:r>
      <w:r>
        <w:rPr>
          <w:rFonts w:ascii="Arial" w:hAnsi="Arial" w:cs="Arial"/>
          <w:sz w:val="20"/>
          <w:szCs w:val="20"/>
        </w:rPr>
        <w:t>arie ;</w:t>
      </w:r>
    </w:p>
    <w:p w:rsidR="008366A3" w:rsidRPr="00B36E03" w:rsidRDefault="008366A3" w:rsidP="00E267F4">
      <w:pPr>
        <w:pStyle w:val="Paragraphedeliste"/>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sidRPr="00B36E03">
        <w:rPr>
          <w:rFonts w:ascii="Arial" w:hAnsi="Arial" w:cs="Arial"/>
          <w:sz w:val="20"/>
          <w:szCs w:val="20"/>
        </w:rPr>
        <w:t>de ne pas porter atteinte à la liberté d’expression en transférant la répression des délits de presse de la loi d</w:t>
      </w:r>
      <w:r>
        <w:rPr>
          <w:rFonts w:ascii="Arial" w:hAnsi="Arial" w:cs="Arial"/>
          <w:sz w:val="20"/>
          <w:szCs w:val="20"/>
        </w:rPr>
        <w:t>u 29 juillet 1881 au Code pénal ;</w:t>
      </w:r>
    </w:p>
    <w:p w:rsidR="008366A3" w:rsidRPr="00B36E03" w:rsidRDefault="008366A3" w:rsidP="00E267F4">
      <w:pPr>
        <w:pStyle w:val="Paragraphedeliste"/>
        <w:spacing w:after="0" w:line="240" w:lineRule="auto"/>
        <w:jc w:val="both"/>
        <w:rPr>
          <w:rFonts w:ascii="Arial" w:hAnsi="Arial" w:cs="Arial"/>
          <w:sz w:val="20"/>
          <w:szCs w:val="20"/>
        </w:rPr>
      </w:pPr>
    </w:p>
    <w:p w:rsidR="008366A3" w:rsidRDefault="008366A3" w:rsidP="00E267F4">
      <w:pPr>
        <w:pStyle w:val="Paragraphedeliste"/>
        <w:numPr>
          <w:ilvl w:val="0"/>
          <w:numId w:val="4"/>
        </w:numPr>
        <w:spacing w:after="0" w:line="240" w:lineRule="auto"/>
        <w:ind w:firstLine="0"/>
        <w:jc w:val="both"/>
        <w:rPr>
          <w:rFonts w:ascii="Arial" w:hAnsi="Arial" w:cs="Arial"/>
          <w:sz w:val="20"/>
          <w:szCs w:val="20"/>
        </w:rPr>
      </w:pPr>
      <w:r w:rsidRPr="00B36E03">
        <w:rPr>
          <w:rFonts w:ascii="Arial" w:hAnsi="Arial" w:cs="Arial"/>
          <w:sz w:val="20"/>
          <w:szCs w:val="20"/>
        </w:rPr>
        <w:t>d’engager une concertation réelle avec les associations et syndicats pour mieux assurer la lutte contre le</w:t>
      </w:r>
      <w:r>
        <w:rPr>
          <w:rFonts w:ascii="Arial" w:hAnsi="Arial" w:cs="Arial"/>
          <w:sz w:val="20"/>
          <w:szCs w:val="20"/>
        </w:rPr>
        <w:t xml:space="preserve"> racisme et les discriminations ;</w:t>
      </w:r>
    </w:p>
    <w:p w:rsidR="008366A3" w:rsidRPr="00B36E03" w:rsidRDefault="008366A3" w:rsidP="00E267F4">
      <w:pPr>
        <w:pStyle w:val="Paragraphedeliste"/>
        <w:spacing w:after="0" w:line="240" w:lineRule="auto"/>
        <w:jc w:val="both"/>
        <w:rPr>
          <w:rFonts w:ascii="Arial" w:hAnsi="Arial" w:cs="Arial"/>
          <w:sz w:val="20"/>
          <w:szCs w:val="20"/>
        </w:rPr>
      </w:pPr>
    </w:p>
    <w:p w:rsidR="008366A3" w:rsidRPr="00B36E03" w:rsidRDefault="008366A3" w:rsidP="00E267F4">
      <w:pPr>
        <w:pStyle w:val="Paragraphedeliste"/>
        <w:numPr>
          <w:ilvl w:val="0"/>
          <w:numId w:val="4"/>
        </w:numPr>
        <w:spacing w:after="0" w:line="240" w:lineRule="auto"/>
        <w:ind w:firstLine="0"/>
        <w:jc w:val="both"/>
        <w:rPr>
          <w:rFonts w:ascii="Arial" w:hAnsi="Arial" w:cs="Arial"/>
          <w:sz w:val="20"/>
          <w:szCs w:val="20"/>
        </w:rPr>
      </w:pPr>
      <w:r w:rsidRPr="00B36E03">
        <w:rPr>
          <w:rFonts w:ascii="Arial" w:hAnsi="Arial" w:cs="Arial"/>
          <w:sz w:val="20"/>
          <w:szCs w:val="20"/>
        </w:rPr>
        <w:t>d’investir en priorité dans le domaine scolaire et dans celui du logement afin de mettre un terme aux ghettos</w:t>
      </w:r>
      <w:r>
        <w:rPr>
          <w:rFonts w:ascii="Arial" w:hAnsi="Arial" w:cs="Arial"/>
          <w:sz w:val="20"/>
          <w:szCs w:val="20"/>
        </w:rPr>
        <w:t>.</w:t>
      </w:r>
    </w:p>
    <w:p w:rsidR="008366A3" w:rsidRPr="007954CF" w:rsidRDefault="008366A3" w:rsidP="00E267F4">
      <w:pPr>
        <w:spacing w:after="0" w:line="240" w:lineRule="auto"/>
        <w:jc w:val="both"/>
        <w:rPr>
          <w:rFonts w:ascii="Arial" w:hAnsi="Arial" w:cs="Arial"/>
          <w:b/>
          <w:sz w:val="20"/>
          <w:szCs w:val="20"/>
        </w:rPr>
      </w:pPr>
    </w:p>
    <w:p w:rsidR="008366A3" w:rsidRPr="007954CF" w:rsidRDefault="008366A3" w:rsidP="00E267F4">
      <w:pPr>
        <w:spacing w:after="0" w:line="240" w:lineRule="auto"/>
        <w:jc w:val="both"/>
        <w:rPr>
          <w:rFonts w:ascii="Arial" w:hAnsi="Arial" w:cs="Arial"/>
          <w:sz w:val="20"/>
          <w:szCs w:val="20"/>
        </w:rPr>
      </w:pPr>
    </w:p>
    <w:p w:rsidR="008366A3" w:rsidRDefault="008366A3" w:rsidP="00E267F4">
      <w:pPr>
        <w:spacing w:after="0" w:line="240" w:lineRule="auto"/>
        <w:jc w:val="both"/>
        <w:rPr>
          <w:rFonts w:ascii="Arial" w:hAnsi="Arial" w:cs="Arial"/>
          <w:b/>
          <w:sz w:val="20"/>
          <w:szCs w:val="20"/>
        </w:rPr>
      </w:pPr>
    </w:p>
    <w:p w:rsidR="008366A3" w:rsidRPr="008366A3" w:rsidRDefault="008366A3" w:rsidP="00E267F4">
      <w:pPr>
        <w:spacing w:after="0" w:line="240" w:lineRule="auto"/>
        <w:jc w:val="both"/>
        <w:rPr>
          <w:rFonts w:ascii="Arial" w:hAnsi="Arial" w:cs="Arial"/>
          <w:sz w:val="20"/>
          <w:szCs w:val="20"/>
        </w:rPr>
      </w:pPr>
    </w:p>
    <w:sectPr w:rsidR="008366A3" w:rsidRPr="008366A3" w:rsidSect="00776D98">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F1B" w:rsidRDefault="00723F1B" w:rsidP="0094287B">
      <w:pPr>
        <w:spacing w:after="0" w:line="240" w:lineRule="auto"/>
      </w:pPr>
      <w:r>
        <w:separator/>
      </w:r>
    </w:p>
  </w:endnote>
  <w:endnote w:type="continuationSeparator" w:id="0">
    <w:p w:rsidR="00723F1B" w:rsidRDefault="00723F1B" w:rsidP="00942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venir LT Std 45 Book">
    <w:altName w:val="Cambri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8532"/>
      <w:docPartObj>
        <w:docPartGallery w:val="Page Numbers (Bottom of Page)"/>
        <w:docPartUnique/>
      </w:docPartObj>
    </w:sdtPr>
    <w:sdtEndPr/>
    <w:sdtContent>
      <w:p w:rsidR="00723F1B" w:rsidRDefault="00723F1B">
        <w:pPr>
          <w:pStyle w:val="Pieddepage"/>
          <w:jc w:val="right"/>
        </w:pPr>
        <w:r w:rsidRPr="008E358E">
          <w:rPr>
            <w:rFonts w:ascii="Arial" w:hAnsi="Arial" w:cs="Arial"/>
            <w:b/>
            <w:sz w:val="16"/>
            <w:szCs w:val="16"/>
          </w:rPr>
          <w:fldChar w:fldCharType="begin"/>
        </w:r>
        <w:r w:rsidRPr="008E358E">
          <w:rPr>
            <w:rFonts w:ascii="Arial" w:hAnsi="Arial" w:cs="Arial"/>
            <w:b/>
            <w:sz w:val="16"/>
            <w:szCs w:val="16"/>
          </w:rPr>
          <w:instrText xml:space="preserve"> PAGE   \* MERGEFORMAT </w:instrText>
        </w:r>
        <w:r w:rsidRPr="008E358E">
          <w:rPr>
            <w:rFonts w:ascii="Arial" w:hAnsi="Arial" w:cs="Arial"/>
            <w:b/>
            <w:sz w:val="16"/>
            <w:szCs w:val="16"/>
          </w:rPr>
          <w:fldChar w:fldCharType="separate"/>
        </w:r>
        <w:r w:rsidR="006F0F1B">
          <w:rPr>
            <w:rFonts w:ascii="Arial" w:hAnsi="Arial" w:cs="Arial"/>
            <w:b/>
            <w:noProof/>
            <w:sz w:val="16"/>
            <w:szCs w:val="16"/>
          </w:rPr>
          <w:t>30</w:t>
        </w:r>
        <w:r w:rsidRPr="008E358E">
          <w:rPr>
            <w:rFonts w:ascii="Arial" w:hAnsi="Arial" w:cs="Arial"/>
            <w:b/>
            <w:sz w:val="16"/>
            <w:szCs w:val="16"/>
          </w:rPr>
          <w:fldChar w:fldCharType="end"/>
        </w:r>
      </w:p>
    </w:sdtContent>
  </w:sdt>
  <w:p w:rsidR="00723F1B" w:rsidRDefault="00723F1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F1B" w:rsidRDefault="00723F1B" w:rsidP="0094287B">
      <w:pPr>
        <w:spacing w:after="0" w:line="240" w:lineRule="auto"/>
      </w:pPr>
      <w:r>
        <w:separator/>
      </w:r>
    </w:p>
  </w:footnote>
  <w:footnote w:type="continuationSeparator" w:id="0">
    <w:p w:rsidR="00723F1B" w:rsidRDefault="00723F1B" w:rsidP="0094287B">
      <w:pPr>
        <w:spacing w:after="0" w:line="240" w:lineRule="auto"/>
      </w:pPr>
      <w:r>
        <w:continuationSeparator/>
      </w:r>
    </w:p>
  </w:footnote>
  <w:footnote w:id="1">
    <w:p w:rsidR="00723F1B" w:rsidRDefault="00723F1B" w:rsidP="0094287B">
      <w:pPr>
        <w:pStyle w:val="Notedebasdepage"/>
        <w:jc w:val="both"/>
        <w:rPr>
          <w:rFonts w:ascii="Arial" w:hAnsi="Arial" w:cs="Arial"/>
          <w:sz w:val="18"/>
          <w:szCs w:val="18"/>
        </w:rPr>
      </w:pPr>
      <w:r w:rsidRPr="0094287B">
        <w:rPr>
          <w:rStyle w:val="Appelnotedebasdep"/>
          <w:rFonts w:ascii="Arial" w:hAnsi="Arial" w:cs="Arial"/>
          <w:sz w:val="18"/>
          <w:szCs w:val="18"/>
        </w:rPr>
        <w:footnoteRef/>
      </w:r>
      <w:r>
        <w:rPr>
          <w:rFonts w:ascii="Arial" w:hAnsi="Arial" w:cs="Arial"/>
          <w:sz w:val="18"/>
          <w:szCs w:val="18"/>
        </w:rPr>
        <w:t xml:space="preserve"> </w:t>
      </w:r>
      <w:r w:rsidRPr="0094287B">
        <w:rPr>
          <w:rFonts w:ascii="Arial" w:hAnsi="Arial" w:cs="Arial"/>
          <w:sz w:val="18"/>
          <w:szCs w:val="18"/>
        </w:rPr>
        <w:t>Loi n° 2013-403 du 17 mai 2013 relative à l’élection des conseillers départementaux, des conseillers municipaux et des conseillers communautaires.</w:t>
      </w:r>
    </w:p>
    <w:p w:rsidR="00723F1B" w:rsidRPr="0094287B" w:rsidRDefault="00723F1B" w:rsidP="0094287B">
      <w:pPr>
        <w:pStyle w:val="Notedebasdepage"/>
        <w:jc w:val="both"/>
        <w:rPr>
          <w:rFonts w:ascii="Arial" w:hAnsi="Arial" w:cs="Arial"/>
          <w:sz w:val="18"/>
          <w:szCs w:val="18"/>
        </w:rPr>
      </w:pPr>
    </w:p>
  </w:footnote>
  <w:footnote w:id="2">
    <w:p w:rsidR="00723F1B" w:rsidRPr="00862719" w:rsidRDefault="00723F1B" w:rsidP="00862719">
      <w:pPr>
        <w:pStyle w:val="Notedebasdepage"/>
        <w:jc w:val="both"/>
        <w:rPr>
          <w:rFonts w:ascii="Arial" w:hAnsi="Arial" w:cs="Arial"/>
          <w:sz w:val="18"/>
          <w:szCs w:val="18"/>
        </w:rPr>
      </w:pPr>
      <w:r w:rsidRPr="00862719">
        <w:rPr>
          <w:rStyle w:val="Appelnotedebasdep"/>
          <w:rFonts w:ascii="Arial" w:hAnsi="Arial" w:cs="Arial"/>
          <w:sz w:val="18"/>
          <w:szCs w:val="18"/>
        </w:rPr>
        <w:footnoteRef/>
      </w:r>
      <w:r w:rsidRPr="00862719">
        <w:rPr>
          <w:rFonts w:ascii="Arial" w:hAnsi="Arial" w:cs="Arial"/>
          <w:sz w:val="18"/>
          <w:szCs w:val="18"/>
        </w:rPr>
        <w:t xml:space="preserve"> L’Etat actionnaire-Rapport annuel 2014, Agence des participations de l’Etat, sous l’égide du ministère des finances </w:t>
      </w:r>
      <w:r>
        <w:rPr>
          <w:rFonts w:ascii="Arial" w:hAnsi="Arial" w:cs="Arial"/>
          <w:sz w:val="18"/>
          <w:szCs w:val="18"/>
        </w:rPr>
        <w:t>-</w:t>
      </w:r>
      <w:r w:rsidRPr="00862719">
        <w:rPr>
          <w:rFonts w:ascii="Arial" w:hAnsi="Arial" w:cs="Arial"/>
          <w:sz w:val="18"/>
          <w:szCs w:val="18"/>
        </w:rPr>
        <w:t xml:space="preserve"> Juillet 2014</w:t>
      </w:r>
      <w:r>
        <w:rPr>
          <w:rFonts w:ascii="Arial" w:hAnsi="Arial" w:cs="Arial"/>
          <w:sz w:val="18"/>
          <w:szCs w:val="18"/>
        </w:rPr>
        <w:t xml:space="preserve"> - </w:t>
      </w:r>
      <w:r w:rsidRPr="00B77021">
        <w:rPr>
          <w:rFonts w:ascii="Arial" w:hAnsi="Arial" w:cs="Arial"/>
          <w:i/>
          <w:sz w:val="18"/>
          <w:szCs w:val="18"/>
        </w:rPr>
        <w:t>in</w:t>
      </w:r>
      <w:r>
        <w:rPr>
          <w:rFonts w:ascii="Arial" w:hAnsi="Arial" w:cs="Arial"/>
          <w:sz w:val="18"/>
          <w:szCs w:val="18"/>
        </w:rPr>
        <w:t xml:space="preserve"> page 19 - </w:t>
      </w:r>
      <w:hyperlink r:id="rId1" w:history="1">
        <w:r w:rsidRPr="001D61C1">
          <w:rPr>
            <w:rStyle w:val="Lienhypertexte"/>
            <w:rFonts w:ascii="Arial" w:hAnsi="Arial" w:cs="Arial"/>
            <w:sz w:val="18"/>
            <w:szCs w:val="18"/>
          </w:rPr>
          <w:t>http://www.ladocumentationfrancaise.fr/var/storage/rapports-publics/144000410/0000.pdf</w:t>
        </w:r>
      </w:hyperlink>
      <w:r>
        <w:rPr>
          <w:rFonts w:ascii="Arial" w:hAnsi="Arial" w:cs="Arial"/>
          <w:sz w:val="18"/>
          <w:szCs w:val="18"/>
        </w:rPr>
        <w:t xml:space="preserve"> </w:t>
      </w:r>
    </w:p>
  </w:footnote>
  <w:footnote w:id="3">
    <w:p w:rsidR="006F0F1B" w:rsidRDefault="006F0F1B" w:rsidP="00AE57AD">
      <w:pPr>
        <w:pStyle w:val="Notedebasdepage"/>
        <w:jc w:val="both"/>
        <w:rPr>
          <w:rFonts w:ascii="Arial" w:hAnsi="Arial" w:cs="Arial"/>
          <w:sz w:val="18"/>
          <w:szCs w:val="18"/>
        </w:rPr>
      </w:pPr>
    </w:p>
    <w:p w:rsidR="00AE57AD" w:rsidRDefault="00AE57AD" w:rsidP="00AE57AD">
      <w:pPr>
        <w:pStyle w:val="Notedebasdepage"/>
        <w:jc w:val="both"/>
        <w:rPr>
          <w:rFonts w:ascii="Arial" w:hAnsi="Arial" w:cs="Arial"/>
          <w:sz w:val="18"/>
          <w:szCs w:val="18"/>
        </w:rPr>
      </w:pPr>
      <w:r w:rsidRPr="00365AB1">
        <w:rPr>
          <w:rStyle w:val="Appelnotedebasdep"/>
          <w:rFonts w:ascii="Arial" w:hAnsi="Arial" w:cs="Arial"/>
          <w:sz w:val="18"/>
          <w:szCs w:val="18"/>
        </w:rPr>
        <w:footnoteRef/>
      </w:r>
      <w:r w:rsidRPr="00365AB1">
        <w:rPr>
          <w:rFonts w:ascii="Arial" w:hAnsi="Arial" w:cs="Arial"/>
          <w:sz w:val="18"/>
          <w:szCs w:val="18"/>
        </w:rPr>
        <w:t xml:space="preserve"> </w:t>
      </w:r>
      <w:r>
        <w:rPr>
          <w:rFonts w:ascii="Arial" w:hAnsi="Arial" w:cs="Arial"/>
          <w:sz w:val="18"/>
          <w:szCs w:val="18"/>
        </w:rPr>
        <w:t xml:space="preserve"> </w:t>
      </w:r>
      <w:r w:rsidRPr="00FA75F0">
        <w:rPr>
          <w:rFonts w:ascii="Arial" w:hAnsi="Arial" w:cs="Arial"/>
          <w:i/>
          <w:sz w:val="18"/>
          <w:szCs w:val="18"/>
        </w:rPr>
        <w:t>Palmarès de la Féminisation des Instances dirigeantes</w:t>
      </w:r>
      <w:r>
        <w:rPr>
          <w:rFonts w:ascii="Arial" w:hAnsi="Arial" w:cs="Arial"/>
          <w:i/>
          <w:sz w:val="18"/>
          <w:szCs w:val="18"/>
        </w:rPr>
        <w:t xml:space="preserve"> 2014</w:t>
      </w:r>
      <w:r>
        <w:rPr>
          <w:rFonts w:ascii="Arial" w:hAnsi="Arial" w:cs="Arial"/>
          <w:sz w:val="18"/>
          <w:szCs w:val="18"/>
        </w:rPr>
        <w:t>, é</w:t>
      </w:r>
      <w:r w:rsidRPr="00365AB1">
        <w:rPr>
          <w:rFonts w:ascii="Arial" w:hAnsi="Arial" w:cs="Arial"/>
          <w:sz w:val="18"/>
          <w:szCs w:val="18"/>
        </w:rPr>
        <w:t xml:space="preserve">tude réalisée par le cabinet </w:t>
      </w:r>
      <w:proofErr w:type="spellStart"/>
      <w:r w:rsidRPr="00365AB1">
        <w:rPr>
          <w:rFonts w:ascii="Arial" w:hAnsi="Arial" w:cs="Arial"/>
          <w:i/>
          <w:sz w:val="18"/>
          <w:szCs w:val="18"/>
        </w:rPr>
        <w:t>Ethics</w:t>
      </w:r>
      <w:proofErr w:type="spellEnd"/>
      <w:r w:rsidRPr="00365AB1">
        <w:rPr>
          <w:rFonts w:ascii="Arial" w:hAnsi="Arial" w:cs="Arial"/>
          <w:i/>
          <w:sz w:val="18"/>
          <w:szCs w:val="18"/>
        </w:rPr>
        <w:t xml:space="preserve"> &amp; </w:t>
      </w:r>
      <w:proofErr w:type="spellStart"/>
      <w:r w:rsidRPr="00365AB1">
        <w:rPr>
          <w:rFonts w:ascii="Arial" w:hAnsi="Arial" w:cs="Arial"/>
          <w:i/>
          <w:sz w:val="18"/>
          <w:szCs w:val="18"/>
        </w:rPr>
        <w:t>Boards</w:t>
      </w:r>
      <w:proofErr w:type="spellEnd"/>
      <w:r>
        <w:rPr>
          <w:rFonts w:ascii="Arial" w:hAnsi="Arial" w:cs="Arial"/>
          <w:sz w:val="18"/>
          <w:szCs w:val="18"/>
        </w:rPr>
        <w:t xml:space="preserve">, en partenariat avec le Secrétariat d’Etat chargé des droits des femmes. 10 octobre 2014 - </w:t>
      </w:r>
      <w:hyperlink r:id="rId2" w:history="1">
        <w:r w:rsidRPr="001D61C1">
          <w:rPr>
            <w:rStyle w:val="Lienhypertexte"/>
            <w:rFonts w:ascii="Arial" w:hAnsi="Arial" w:cs="Arial"/>
            <w:sz w:val="18"/>
            <w:szCs w:val="18"/>
          </w:rPr>
          <w:t>http://www.ethicsandboards.com/articles/107-palmares-de-la-feminisation-des-instances-dirigeantes-2014</w:t>
        </w:r>
      </w:hyperlink>
      <w:r>
        <w:rPr>
          <w:rFonts w:ascii="Arial" w:hAnsi="Arial" w:cs="Arial"/>
          <w:sz w:val="18"/>
          <w:szCs w:val="18"/>
        </w:rPr>
        <w:t xml:space="preserve"> </w:t>
      </w:r>
    </w:p>
    <w:p w:rsidR="00AE57AD" w:rsidRPr="00365AB1" w:rsidRDefault="00AE57AD" w:rsidP="00AE57AD">
      <w:pPr>
        <w:pStyle w:val="Notedebasdepage"/>
        <w:jc w:val="both"/>
        <w:rPr>
          <w:rFonts w:ascii="Arial" w:hAnsi="Arial" w:cs="Arial"/>
          <w:sz w:val="18"/>
          <w:szCs w:val="18"/>
        </w:rPr>
      </w:pPr>
    </w:p>
  </w:footnote>
  <w:footnote w:id="4">
    <w:p w:rsidR="00723F1B" w:rsidRDefault="00723F1B">
      <w:pPr>
        <w:pStyle w:val="Notedebasdepage"/>
      </w:pPr>
    </w:p>
    <w:p w:rsidR="00723F1B" w:rsidRDefault="00723F1B" w:rsidP="001A5F3B">
      <w:pPr>
        <w:pStyle w:val="Notedebasdepage"/>
        <w:jc w:val="both"/>
        <w:rPr>
          <w:rFonts w:ascii="Arial" w:hAnsi="Arial" w:cs="Arial"/>
          <w:sz w:val="18"/>
          <w:szCs w:val="18"/>
        </w:rPr>
      </w:pPr>
      <w:r w:rsidRPr="001A5F3B">
        <w:rPr>
          <w:rStyle w:val="Appelnotedebasdep"/>
          <w:rFonts w:ascii="Arial" w:hAnsi="Arial" w:cs="Arial"/>
          <w:sz w:val="18"/>
          <w:szCs w:val="18"/>
        </w:rPr>
        <w:footnoteRef/>
      </w:r>
      <w:r w:rsidRPr="001A5F3B">
        <w:rPr>
          <w:rFonts w:ascii="Arial" w:hAnsi="Arial" w:cs="Arial"/>
          <w:sz w:val="18"/>
          <w:szCs w:val="18"/>
        </w:rPr>
        <w:t xml:space="preserve"> Loi n° 2014-873 du 4 août 2014 pour l’égalité réelle entre les femmes et les hommes - Publiée au Journal Officiel le 5 août 2014.</w:t>
      </w:r>
    </w:p>
    <w:p w:rsidR="00723F1B" w:rsidRPr="001A5F3B" w:rsidRDefault="00723F1B" w:rsidP="001A5F3B">
      <w:pPr>
        <w:pStyle w:val="Notedebasdepage"/>
        <w:jc w:val="both"/>
        <w:rPr>
          <w:rFonts w:ascii="Arial" w:hAnsi="Arial" w:cs="Arial"/>
          <w:sz w:val="18"/>
          <w:szCs w:val="18"/>
        </w:rPr>
      </w:pPr>
    </w:p>
  </w:footnote>
  <w:footnote w:id="5">
    <w:p w:rsidR="00723F1B" w:rsidRPr="003E5F55" w:rsidRDefault="00723F1B" w:rsidP="003E5F55">
      <w:pPr>
        <w:pStyle w:val="Notedebasdepage"/>
        <w:jc w:val="both"/>
        <w:rPr>
          <w:rFonts w:ascii="Arial" w:hAnsi="Arial" w:cs="Arial"/>
          <w:sz w:val="18"/>
          <w:szCs w:val="18"/>
        </w:rPr>
      </w:pPr>
      <w:r w:rsidRPr="003E5F55">
        <w:rPr>
          <w:rStyle w:val="Appelnotedebasdep"/>
          <w:rFonts w:ascii="Arial" w:hAnsi="Arial" w:cs="Arial"/>
          <w:sz w:val="18"/>
          <w:szCs w:val="18"/>
        </w:rPr>
        <w:footnoteRef/>
      </w:r>
      <w:r w:rsidRPr="003E5F55">
        <w:rPr>
          <w:rFonts w:ascii="Arial" w:hAnsi="Arial" w:cs="Arial"/>
          <w:sz w:val="18"/>
          <w:szCs w:val="18"/>
        </w:rPr>
        <w:t xml:space="preserve"> Défenseur des droits, </w:t>
      </w:r>
      <w:r w:rsidRPr="003E5F55">
        <w:rPr>
          <w:rFonts w:ascii="Arial" w:hAnsi="Arial" w:cs="Arial"/>
          <w:i/>
          <w:sz w:val="18"/>
          <w:szCs w:val="18"/>
        </w:rPr>
        <w:t>Bilan annuel 2014</w:t>
      </w:r>
      <w:r w:rsidRPr="003E5F55">
        <w:rPr>
          <w:rFonts w:ascii="Arial" w:hAnsi="Arial" w:cs="Arial"/>
          <w:sz w:val="18"/>
          <w:szCs w:val="18"/>
        </w:rPr>
        <w:t xml:space="preserve"> </w:t>
      </w:r>
      <w:r>
        <w:rPr>
          <w:rFonts w:ascii="Arial" w:hAnsi="Arial" w:cs="Arial"/>
          <w:sz w:val="18"/>
          <w:szCs w:val="18"/>
        </w:rPr>
        <w:t>-</w:t>
      </w:r>
      <w:r w:rsidRPr="003E5F55">
        <w:rPr>
          <w:rFonts w:ascii="Arial" w:hAnsi="Arial" w:cs="Arial"/>
          <w:sz w:val="18"/>
          <w:szCs w:val="18"/>
        </w:rPr>
        <w:t xml:space="preserve"> </w:t>
      </w:r>
      <w:hyperlink r:id="rId3" w:history="1">
        <w:r w:rsidRPr="003E5F55">
          <w:rPr>
            <w:rStyle w:val="Lienhypertexte"/>
            <w:rFonts w:ascii="Arial" w:hAnsi="Arial" w:cs="Arial"/>
            <w:sz w:val="18"/>
            <w:szCs w:val="18"/>
          </w:rPr>
          <w:t>http://www.defenseurdesdroits.fr/raa/ddd/BAA\2014.pdf</w:t>
        </w:r>
      </w:hyperlink>
      <w:r w:rsidRPr="003E5F55">
        <w:rPr>
          <w:rFonts w:ascii="Arial" w:hAnsi="Arial" w:cs="Arial"/>
          <w:sz w:val="18"/>
          <w:szCs w:val="18"/>
        </w:rPr>
        <w:t xml:space="preserve"> </w:t>
      </w:r>
    </w:p>
  </w:footnote>
  <w:footnote w:id="6">
    <w:p w:rsidR="00723F1B" w:rsidRDefault="00723F1B">
      <w:pPr>
        <w:pStyle w:val="Notedebasdepage"/>
      </w:pPr>
    </w:p>
    <w:p w:rsidR="00723F1B" w:rsidRDefault="00723F1B" w:rsidP="003E5F55">
      <w:pPr>
        <w:pStyle w:val="Notedebasdepage"/>
        <w:jc w:val="both"/>
        <w:rPr>
          <w:rFonts w:ascii="Arial" w:hAnsi="Arial" w:cs="Arial"/>
          <w:sz w:val="18"/>
          <w:szCs w:val="18"/>
        </w:rPr>
      </w:pPr>
      <w:r>
        <w:rPr>
          <w:rStyle w:val="Appelnotedebasdep"/>
        </w:rPr>
        <w:footnoteRef/>
      </w:r>
      <w:r>
        <w:t xml:space="preserve"> </w:t>
      </w:r>
      <w:r w:rsidRPr="008727DB">
        <w:rPr>
          <w:rFonts w:ascii="Arial" w:hAnsi="Arial" w:cs="Arial"/>
          <w:i/>
          <w:sz w:val="18"/>
          <w:szCs w:val="18"/>
        </w:rPr>
        <w:t>Ibid</w:t>
      </w:r>
      <w:r w:rsidRPr="003E5F55">
        <w:rPr>
          <w:rFonts w:ascii="Arial" w:hAnsi="Arial" w:cs="Arial"/>
          <w:sz w:val="18"/>
          <w:szCs w:val="18"/>
        </w:rPr>
        <w:t>. page 33</w:t>
      </w:r>
    </w:p>
    <w:p w:rsidR="00723F1B" w:rsidRDefault="00723F1B" w:rsidP="003E5F55">
      <w:pPr>
        <w:pStyle w:val="Notedebasdepage"/>
        <w:jc w:val="both"/>
      </w:pPr>
    </w:p>
  </w:footnote>
  <w:footnote w:id="7">
    <w:p w:rsidR="00723F1B" w:rsidRPr="00BE4E7D" w:rsidRDefault="00723F1B" w:rsidP="00BE4E7D">
      <w:pPr>
        <w:pStyle w:val="Notedebasdepage"/>
        <w:jc w:val="both"/>
        <w:rPr>
          <w:rFonts w:ascii="Arial" w:hAnsi="Arial" w:cs="Arial"/>
          <w:sz w:val="18"/>
          <w:szCs w:val="18"/>
        </w:rPr>
      </w:pPr>
      <w:r w:rsidRPr="00BE4E7D">
        <w:rPr>
          <w:rStyle w:val="Appelnotedebasdep"/>
          <w:rFonts w:ascii="Arial" w:hAnsi="Arial" w:cs="Arial"/>
          <w:sz w:val="18"/>
          <w:szCs w:val="18"/>
        </w:rPr>
        <w:footnoteRef/>
      </w:r>
      <w:r w:rsidRPr="00BE4E7D">
        <w:rPr>
          <w:rFonts w:ascii="Arial" w:hAnsi="Arial" w:cs="Arial"/>
          <w:sz w:val="18"/>
          <w:szCs w:val="18"/>
        </w:rPr>
        <w:t xml:space="preserve"> Défenseur des droits, Décision MLD-2014-177 du 26 novembre 2014.</w:t>
      </w:r>
    </w:p>
  </w:footnote>
  <w:footnote w:id="8">
    <w:p w:rsidR="00723F1B" w:rsidRPr="00B83BBA" w:rsidRDefault="00723F1B" w:rsidP="00B83BBA">
      <w:pPr>
        <w:pStyle w:val="Notedebasdepage"/>
        <w:jc w:val="both"/>
        <w:rPr>
          <w:rFonts w:ascii="Arial" w:hAnsi="Arial" w:cs="Arial"/>
          <w:sz w:val="18"/>
          <w:szCs w:val="18"/>
        </w:rPr>
      </w:pPr>
      <w:r w:rsidRPr="00B83BBA">
        <w:rPr>
          <w:rStyle w:val="Appelnotedebasdep"/>
          <w:rFonts w:ascii="Arial" w:hAnsi="Arial" w:cs="Arial"/>
          <w:sz w:val="18"/>
          <w:szCs w:val="18"/>
        </w:rPr>
        <w:footnoteRef/>
      </w:r>
      <w:r w:rsidRPr="00B83BBA">
        <w:rPr>
          <w:rFonts w:ascii="Arial" w:hAnsi="Arial" w:cs="Arial"/>
          <w:sz w:val="18"/>
          <w:szCs w:val="18"/>
        </w:rPr>
        <w:t xml:space="preserve"> Projet de loi n° 2739 relatif au dialogue social et à l’emploi. Enregistré à l’Assemblée nationale le 22 avril 2015. Examen en séance publique du 26 au 29 mai 2015.</w:t>
      </w:r>
    </w:p>
    <w:p w:rsidR="00723F1B" w:rsidRPr="00B83BBA" w:rsidRDefault="00723F1B" w:rsidP="00B83BBA">
      <w:pPr>
        <w:pStyle w:val="Notedebasdepage"/>
        <w:jc w:val="both"/>
        <w:rPr>
          <w:rFonts w:ascii="Arial" w:hAnsi="Arial" w:cs="Arial"/>
          <w:sz w:val="18"/>
          <w:szCs w:val="18"/>
        </w:rPr>
      </w:pPr>
    </w:p>
  </w:footnote>
  <w:footnote w:id="9">
    <w:p w:rsidR="00723F1B" w:rsidRPr="009A5FA6" w:rsidRDefault="00723F1B" w:rsidP="00B84801">
      <w:pPr>
        <w:pStyle w:val="Notedebasdepage"/>
        <w:jc w:val="both"/>
        <w:rPr>
          <w:rFonts w:ascii="Arial" w:hAnsi="Arial" w:cs="Arial"/>
          <w:sz w:val="18"/>
          <w:szCs w:val="18"/>
        </w:rPr>
      </w:pPr>
      <w:r w:rsidRPr="009A5FA6">
        <w:rPr>
          <w:rStyle w:val="Appelnotedebasdep"/>
          <w:rFonts w:ascii="Arial" w:hAnsi="Arial" w:cs="Arial"/>
          <w:sz w:val="18"/>
          <w:szCs w:val="18"/>
        </w:rPr>
        <w:footnoteRef/>
      </w:r>
      <w:r w:rsidRPr="009A5FA6">
        <w:rPr>
          <w:rFonts w:ascii="Arial" w:hAnsi="Arial" w:cs="Arial"/>
          <w:sz w:val="18"/>
          <w:szCs w:val="18"/>
        </w:rPr>
        <w:t xml:space="preserve"> CNCDH, </w:t>
      </w:r>
      <w:r w:rsidRPr="00F214DE">
        <w:rPr>
          <w:rFonts w:ascii="Arial" w:hAnsi="Arial" w:cs="Arial"/>
          <w:i/>
          <w:sz w:val="18"/>
          <w:szCs w:val="18"/>
        </w:rPr>
        <w:t xml:space="preserve">Avis sur le respect des droits des « gens du voyage » et des </w:t>
      </w:r>
      <w:proofErr w:type="spellStart"/>
      <w:r w:rsidRPr="00F214DE">
        <w:rPr>
          <w:rFonts w:ascii="Arial" w:hAnsi="Arial" w:cs="Arial"/>
          <w:i/>
          <w:sz w:val="18"/>
          <w:szCs w:val="18"/>
        </w:rPr>
        <w:t>Roms</w:t>
      </w:r>
      <w:proofErr w:type="spellEnd"/>
      <w:r w:rsidRPr="00F214DE">
        <w:rPr>
          <w:rFonts w:ascii="Arial" w:hAnsi="Arial" w:cs="Arial"/>
          <w:i/>
          <w:sz w:val="18"/>
          <w:szCs w:val="18"/>
        </w:rPr>
        <w:t xml:space="preserve"> migrants au regard des réponses récentes de la France aux instances internationales</w:t>
      </w:r>
      <w:r w:rsidRPr="009A5FA6">
        <w:rPr>
          <w:rFonts w:ascii="Arial" w:hAnsi="Arial" w:cs="Arial"/>
          <w:sz w:val="18"/>
          <w:szCs w:val="18"/>
        </w:rPr>
        <w:t>, 22 mars 2012, p.19.</w:t>
      </w:r>
    </w:p>
  </w:footnote>
  <w:footnote w:id="10">
    <w:p w:rsidR="00723F1B" w:rsidRPr="00226E95" w:rsidRDefault="00723F1B" w:rsidP="00226E95">
      <w:pPr>
        <w:jc w:val="both"/>
        <w:rPr>
          <w:rFonts w:ascii="Arial" w:eastAsia="Times New Roman" w:hAnsi="Arial" w:cs="Arial"/>
          <w:sz w:val="18"/>
          <w:szCs w:val="18"/>
        </w:rPr>
      </w:pPr>
      <w:r w:rsidRPr="009A5FA6">
        <w:rPr>
          <w:rStyle w:val="Appelnotedebasdep"/>
          <w:rFonts w:ascii="Arial" w:hAnsi="Arial" w:cs="Arial"/>
          <w:sz w:val="18"/>
          <w:szCs w:val="18"/>
        </w:rPr>
        <w:footnoteRef/>
      </w:r>
      <w:r w:rsidRPr="009A5FA6">
        <w:rPr>
          <w:rFonts w:ascii="Arial" w:hAnsi="Arial" w:cs="Arial"/>
          <w:sz w:val="18"/>
          <w:szCs w:val="18"/>
        </w:rPr>
        <w:t xml:space="preserve"> </w:t>
      </w:r>
      <w:r>
        <w:rPr>
          <w:rFonts w:ascii="Arial" w:hAnsi="Arial" w:cs="Arial"/>
          <w:sz w:val="18"/>
          <w:szCs w:val="18"/>
        </w:rPr>
        <w:t xml:space="preserve"> </w:t>
      </w:r>
      <w:r w:rsidRPr="009A5FA6">
        <w:rPr>
          <w:rFonts w:ascii="Arial" w:eastAsia="Times New Roman" w:hAnsi="Arial" w:cs="Arial"/>
          <w:bCs/>
          <w:sz w:val="18"/>
          <w:szCs w:val="18"/>
        </w:rPr>
        <w:t>Conseil d'État, 8ème et 3ème sous-sections réunies, 17/01/2014, n°369671, recueil Lebon</w:t>
      </w:r>
      <w:r w:rsidRPr="009A5FA6">
        <w:rPr>
          <w:rFonts w:ascii="Arial" w:eastAsia="Times New Roman" w:hAnsi="Arial" w:cs="Arial"/>
          <w:bCs/>
          <w:color w:val="333333"/>
          <w:sz w:val="18"/>
          <w:szCs w:val="18"/>
        </w:rPr>
        <w:t>.</w:t>
      </w:r>
    </w:p>
  </w:footnote>
  <w:footnote w:id="11">
    <w:p w:rsidR="00723F1B" w:rsidRDefault="00723F1B" w:rsidP="00B84801">
      <w:pPr>
        <w:pStyle w:val="Notedebasdepage"/>
        <w:jc w:val="both"/>
        <w:rPr>
          <w:rFonts w:ascii="Arial" w:hAnsi="Arial" w:cs="Arial"/>
          <w:sz w:val="18"/>
          <w:szCs w:val="18"/>
        </w:rPr>
      </w:pPr>
      <w:r w:rsidRPr="00794EE5">
        <w:rPr>
          <w:rStyle w:val="Appelnotedebasdep"/>
          <w:rFonts w:ascii="Arial" w:hAnsi="Arial" w:cs="Arial"/>
          <w:sz w:val="18"/>
          <w:szCs w:val="18"/>
        </w:rPr>
        <w:footnoteRef/>
      </w:r>
      <w:r w:rsidRPr="00794EE5">
        <w:rPr>
          <w:rFonts w:ascii="Arial" w:hAnsi="Arial" w:cs="Arial"/>
          <w:sz w:val="18"/>
          <w:szCs w:val="18"/>
        </w:rPr>
        <w:t xml:space="preserve"> Stratégies nationales d’intégration des </w:t>
      </w:r>
      <w:proofErr w:type="spellStart"/>
      <w:r w:rsidRPr="00794EE5">
        <w:rPr>
          <w:rFonts w:ascii="Arial" w:hAnsi="Arial" w:cs="Arial"/>
          <w:sz w:val="18"/>
          <w:szCs w:val="18"/>
        </w:rPr>
        <w:t>Roms</w:t>
      </w:r>
      <w:proofErr w:type="spellEnd"/>
      <w:r w:rsidRPr="00794EE5">
        <w:rPr>
          <w:rFonts w:ascii="Arial" w:hAnsi="Arial" w:cs="Arial"/>
          <w:sz w:val="18"/>
          <w:szCs w:val="18"/>
        </w:rPr>
        <w:t> : un premier pas dans la mise en œuvre du cadre de l’Union européenne, {SW (2012) 133 final}, Bruxelles, 21 mai 2012.</w:t>
      </w:r>
    </w:p>
    <w:p w:rsidR="001E3464" w:rsidRPr="00794EE5" w:rsidRDefault="001E3464" w:rsidP="00B84801">
      <w:pPr>
        <w:pStyle w:val="Notedebasdepage"/>
        <w:jc w:val="both"/>
        <w:rPr>
          <w:rFonts w:ascii="Arial" w:hAnsi="Arial" w:cs="Arial"/>
          <w:sz w:val="18"/>
          <w:szCs w:val="18"/>
        </w:rPr>
      </w:pPr>
    </w:p>
  </w:footnote>
  <w:footnote w:id="12">
    <w:p w:rsidR="00723F1B" w:rsidRDefault="00723F1B" w:rsidP="00B84801">
      <w:pPr>
        <w:pStyle w:val="Notedebasdepage"/>
        <w:jc w:val="both"/>
        <w:rPr>
          <w:rFonts w:ascii="Arial" w:hAnsi="Arial" w:cs="Arial"/>
          <w:sz w:val="18"/>
          <w:szCs w:val="18"/>
        </w:rPr>
      </w:pPr>
      <w:r w:rsidRPr="009A5FA6">
        <w:rPr>
          <w:rStyle w:val="Appelnotedebasdep"/>
          <w:rFonts w:ascii="Arial" w:hAnsi="Arial" w:cs="Arial"/>
          <w:sz w:val="18"/>
          <w:szCs w:val="18"/>
        </w:rPr>
        <w:footnoteRef/>
      </w:r>
      <w:r w:rsidRPr="009A5FA6">
        <w:rPr>
          <w:rFonts w:ascii="Arial" w:hAnsi="Arial" w:cs="Arial"/>
          <w:sz w:val="18"/>
          <w:szCs w:val="18"/>
        </w:rPr>
        <w:t xml:space="preserve"> </w:t>
      </w:r>
      <w:r w:rsidRPr="009A5FA6">
        <w:rPr>
          <w:rFonts w:ascii="Arial" w:hAnsi="Arial" w:cs="Arial"/>
          <w:i/>
          <w:sz w:val="18"/>
          <w:szCs w:val="18"/>
        </w:rPr>
        <w:t>Stratégie Interministérielle renouvelée concernant la situation des gens du voyage</w:t>
      </w:r>
      <w:r w:rsidRPr="009A5FA6">
        <w:rPr>
          <w:rFonts w:ascii="Arial" w:hAnsi="Arial" w:cs="Arial"/>
          <w:sz w:val="18"/>
          <w:szCs w:val="18"/>
        </w:rPr>
        <w:t xml:space="preserve">, Préfet Robert </w:t>
      </w:r>
      <w:proofErr w:type="spellStart"/>
      <w:r w:rsidRPr="009A5FA6">
        <w:rPr>
          <w:rFonts w:ascii="Arial" w:hAnsi="Arial" w:cs="Arial"/>
          <w:sz w:val="18"/>
          <w:szCs w:val="18"/>
        </w:rPr>
        <w:t>Derache</w:t>
      </w:r>
      <w:proofErr w:type="spellEnd"/>
      <w:r w:rsidRPr="009A5FA6">
        <w:rPr>
          <w:rFonts w:ascii="Arial" w:hAnsi="Arial" w:cs="Arial"/>
          <w:sz w:val="18"/>
          <w:szCs w:val="18"/>
        </w:rPr>
        <w:t xml:space="preserve">, rapport au Premier Ministre, juillet 2013. </w:t>
      </w:r>
    </w:p>
    <w:p w:rsidR="00723F1B" w:rsidRPr="009A5FA6" w:rsidRDefault="00723F1B" w:rsidP="00B84801">
      <w:pPr>
        <w:pStyle w:val="Notedebasdepage"/>
        <w:jc w:val="both"/>
        <w:rPr>
          <w:rFonts w:ascii="Arial" w:hAnsi="Arial" w:cs="Arial"/>
          <w:sz w:val="18"/>
          <w:szCs w:val="18"/>
        </w:rPr>
      </w:pPr>
    </w:p>
  </w:footnote>
  <w:footnote w:id="13">
    <w:p w:rsidR="00723F1B" w:rsidRDefault="00723F1B" w:rsidP="00B84801">
      <w:pPr>
        <w:pStyle w:val="Notedebasdepage"/>
        <w:jc w:val="both"/>
        <w:rPr>
          <w:rFonts w:ascii="Arial" w:hAnsi="Arial" w:cs="Arial"/>
          <w:sz w:val="18"/>
          <w:szCs w:val="18"/>
        </w:rPr>
      </w:pPr>
      <w:r w:rsidRPr="009A5FA6">
        <w:rPr>
          <w:rStyle w:val="Appelnotedebasdep"/>
          <w:rFonts w:ascii="Arial" w:hAnsi="Arial" w:cs="Arial"/>
          <w:sz w:val="18"/>
          <w:szCs w:val="18"/>
        </w:rPr>
        <w:footnoteRef/>
      </w:r>
      <w:r w:rsidRPr="009A5FA6">
        <w:rPr>
          <w:rFonts w:ascii="Arial" w:hAnsi="Arial" w:cs="Arial"/>
          <w:sz w:val="18"/>
          <w:szCs w:val="18"/>
        </w:rPr>
        <w:t xml:space="preserve"> Conseil Constitutionnel, décision n°2012-279 QPC, 5 octobre 2012</w:t>
      </w:r>
    </w:p>
    <w:p w:rsidR="00723F1B" w:rsidRPr="009A5FA6" w:rsidRDefault="00723F1B" w:rsidP="00B84801">
      <w:pPr>
        <w:pStyle w:val="Notedebasdepage"/>
        <w:jc w:val="both"/>
        <w:rPr>
          <w:rFonts w:ascii="Arial" w:hAnsi="Arial" w:cs="Arial"/>
          <w:sz w:val="18"/>
          <w:szCs w:val="18"/>
        </w:rPr>
      </w:pPr>
    </w:p>
  </w:footnote>
  <w:footnote w:id="14">
    <w:p w:rsidR="00723F1B" w:rsidRPr="001E3464" w:rsidRDefault="00723F1B" w:rsidP="001E3464">
      <w:pPr>
        <w:jc w:val="both"/>
        <w:rPr>
          <w:rFonts w:ascii="Arial" w:eastAsia="Times New Roman" w:hAnsi="Arial" w:cs="Arial"/>
          <w:sz w:val="18"/>
          <w:szCs w:val="18"/>
        </w:rPr>
      </w:pPr>
      <w:r w:rsidRPr="009A5FA6">
        <w:rPr>
          <w:rStyle w:val="Appelnotedebasdep"/>
          <w:rFonts w:ascii="Arial" w:hAnsi="Arial" w:cs="Arial"/>
          <w:sz w:val="18"/>
          <w:szCs w:val="18"/>
        </w:rPr>
        <w:footnoteRef/>
      </w:r>
      <w:r w:rsidRPr="009A5FA6">
        <w:rPr>
          <w:rFonts w:ascii="Arial" w:hAnsi="Arial" w:cs="Arial"/>
          <w:sz w:val="18"/>
          <w:szCs w:val="18"/>
        </w:rPr>
        <w:t xml:space="preserve"> Comité des droits de l’homme, décision n°1960/2010 </w:t>
      </w:r>
      <w:r w:rsidRPr="009A5FA6">
        <w:rPr>
          <w:rFonts w:ascii="Arial" w:eastAsia="Times New Roman" w:hAnsi="Arial" w:cs="Arial"/>
          <w:sz w:val="18"/>
          <w:szCs w:val="18"/>
          <w:shd w:val="clear" w:color="auto" w:fill="FFFFFF"/>
        </w:rPr>
        <w:t>(CCPR/C/110/D/</w:t>
      </w:r>
      <w:r w:rsidRPr="009A5FA6">
        <w:rPr>
          <w:rFonts w:ascii="Arial" w:eastAsia="Times New Roman" w:hAnsi="Arial" w:cs="Arial"/>
          <w:bCs/>
          <w:sz w:val="18"/>
          <w:szCs w:val="18"/>
          <w:shd w:val="clear" w:color="auto" w:fill="FFFFFF"/>
        </w:rPr>
        <w:t>1960/2010</w:t>
      </w:r>
      <w:r w:rsidRPr="009A5FA6">
        <w:rPr>
          <w:rFonts w:ascii="Arial" w:eastAsia="Times New Roman" w:hAnsi="Arial" w:cs="Arial"/>
          <w:sz w:val="18"/>
          <w:szCs w:val="18"/>
          <w:shd w:val="clear" w:color="auto" w:fill="FFFFFF"/>
        </w:rPr>
        <w:t>), 28 mars 2014</w:t>
      </w:r>
    </w:p>
  </w:footnote>
  <w:footnote w:id="15">
    <w:p w:rsidR="00723F1B" w:rsidRDefault="00723F1B" w:rsidP="00B84801">
      <w:pPr>
        <w:pStyle w:val="Notedebasdepage"/>
        <w:jc w:val="both"/>
        <w:rPr>
          <w:rFonts w:ascii="Arial" w:hAnsi="Arial" w:cs="Arial"/>
          <w:sz w:val="18"/>
          <w:szCs w:val="18"/>
        </w:rPr>
      </w:pPr>
      <w:r w:rsidRPr="009A5FA6">
        <w:rPr>
          <w:rStyle w:val="Appelnotedebasdep"/>
          <w:rFonts w:ascii="Arial" w:hAnsi="Arial" w:cs="Arial"/>
          <w:sz w:val="18"/>
          <w:szCs w:val="18"/>
        </w:rPr>
        <w:footnoteRef/>
      </w:r>
      <w:r w:rsidRPr="009A5FA6">
        <w:rPr>
          <w:rFonts w:ascii="Arial" w:hAnsi="Arial" w:cs="Arial"/>
          <w:sz w:val="18"/>
          <w:szCs w:val="18"/>
        </w:rPr>
        <w:t xml:space="preserve"> CEDH, 5</w:t>
      </w:r>
      <w:r w:rsidRPr="009A5FA6">
        <w:rPr>
          <w:rFonts w:ascii="Arial" w:hAnsi="Arial" w:cs="Arial"/>
          <w:sz w:val="18"/>
          <w:szCs w:val="18"/>
          <w:vertAlign w:val="superscript"/>
        </w:rPr>
        <w:t>ème</w:t>
      </w:r>
      <w:r w:rsidRPr="009A5FA6">
        <w:rPr>
          <w:rFonts w:ascii="Arial" w:hAnsi="Arial" w:cs="Arial"/>
          <w:sz w:val="18"/>
          <w:szCs w:val="18"/>
        </w:rPr>
        <w:t xml:space="preserve"> Sect. 17 octobre 2013, </w:t>
      </w:r>
      <w:proofErr w:type="spellStart"/>
      <w:r w:rsidRPr="009A5FA6">
        <w:rPr>
          <w:rFonts w:ascii="Arial" w:hAnsi="Arial" w:cs="Arial"/>
          <w:sz w:val="18"/>
          <w:szCs w:val="18"/>
        </w:rPr>
        <w:t>Winterstein</w:t>
      </w:r>
      <w:proofErr w:type="spellEnd"/>
      <w:r w:rsidRPr="009A5FA6">
        <w:rPr>
          <w:rFonts w:ascii="Arial" w:hAnsi="Arial" w:cs="Arial"/>
          <w:sz w:val="18"/>
          <w:szCs w:val="18"/>
        </w:rPr>
        <w:t xml:space="preserve"> c. France, </w:t>
      </w:r>
      <w:proofErr w:type="spellStart"/>
      <w:r w:rsidRPr="009A5FA6">
        <w:rPr>
          <w:rFonts w:ascii="Arial" w:hAnsi="Arial" w:cs="Arial"/>
          <w:sz w:val="18"/>
          <w:szCs w:val="18"/>
        </w:rPr>
        <w:t>Req</w:t>
      </w:r>
      <w:proofErr w:type="spellEnd"/>
      <w:r w:rsidRPr="009A5FA6">
        <w:rPr>
          <w:rFonts w:ascii="Arial" w:hAnsi="Arial" w:cs="Arial"/>
          <w:sz w:val="18"/>
          <w:szCs w:val="18"/>
        </w:rPr>
        <w:t>. N°27013/07</w:t>
      </w:r>
    </w:p>
    <w:p w:rsidR="00723F1B" w:rsidRPr="009A5FA6" w:rsidRDefault="00723F1B" w:rsidP="00B84801">
      <w:pPr>
        <w:pStyle w:val="Notedebasdepage"/>
        <w:jc w:val="both"/>
        <w:rPr>
          <w:rFonts w:ascii="Arial" w:hAnsi="Arial" w:cs="Arial"/>
          <w:sz w:val="18"/>
          <w:szCs w:val="18"/>
        </w:rPr>
      </w:pPr>
    </w:p>
  </w:footnote>
  <w:footnote w:id="16">
    <w:p w:rsidR="00723F1B" w:rsidRDefault="00723F1B" w:rsidP="00B84801">
      <w:pPr>
        <w:pStyle w:val="Notedebasdepage"/>
        <w:rPr>
          <w:rFonts w:ascii="Arial" w:hAnsi="Arial" w:cs="Arial"/>
          <w:sz w:val="18"/>
          <w:szCs w:val="18"/>
        </w:rPr>
      </w:pPr>
      <w:r w:rsidRPr="00944BEE">
        <w:rPr>
          <w:rStyle w:val="Appelnotedebasdep"/>
          <w:rFonts w:ascii="Arial" w:hAnsi="Arial" w:cs="Arial"/>
          <w:sz w:val="18"/>
          <w:szCs w:val="18"/>
        </w:rPr>
        <w:footnoteRef/>
      </w:r>
      <w:r w:rsidRPr="00944BEE">
        <w:rPr>
          <w:rFonts w:ascii="Arial" w:hAnsi="Arial" w:cs="Arial"/>
          <w:sz w:val="18"/>
          <w:szCs w:val="18"/>
        </w:rPr>
        <w:t xml:space="preserve"> </w:t>
      </w:r>
      <w:r>
        <w:rPr>
          <w:rFonts w:ascii="Arial" w:hAnsi="Arial" w:cs="Arial"/>
          <w:sz w:val="18"/>
          <w:szCs w:val="18"/>
        </w:rPr>
        <w:t xml:space="preserve"> </w:t>
      </w:r>
      <w:r w:rsidRPr="00944BEE">
        <w:rPr>
          <w:rFonts w:ascii="Arial" w:hAnsi="Arial" w:cs="Arial"/>
          <w:sz w:val="18"/>
          <w:szCs w:val="18"/>
        </w:rPr>
        <w:t xml:space="preserve">Préfet Hubert </w:t>
      </w:r>
      <w:proofErr w:type="spellStart"/>
      <w:r w:rsidRPr="00944BEE">
        <w:rPr>
          <w:rFonts w:ascii="Arial" w:hAnsi="Arial" w:cs="Arial"/>
          <w:sz w:val="18"/>
          <w:szCs w:val="18"/>
        </w:rPr>
        <w:t>Derache</w:t>
      </w:r>
      <w:proofErr w:type="spellEnd"/>
      <w:r w:rsidRPr="00944BEE">
        <w:rPr>
          <w:rFonts w:ascii="Arial" w:hAnsi="Arial" w:cs="Arial"/>
          <w:sz w:val="18"/>
          <w:szCs w:val="18"/>
        </w:rPr>
        <w:t xml:space="preserve">, </w:t>
      </w:r>
      <w:r w:rsidRPr="00944BEE">
        <w:rPr>
          <w:rFonts w:ascii="Arial" w:hAnsi="Arial" w:cs="Arial"/>
          <w:i/>
          <w:sz w:val="18"/>
          <w:szCs w:val="18"/>
        </w:rPr>
        <w:t xml:space="preserve">op. </w:t>
      </w:r>
      <w:proofErr w:type="spellStart"/>
      <w:proofErr w:type="gramStart"/>
      <w:r w:rsidRPr="00944BEE">
        <w:rPr>
          <w:rFonts w:ascii="Arial" w:hAnsi="Arial" w:cs="Arial"/>
          <w:i/>
          <w:sz w:val="18"/>
          <w:szCs w:val="18"/>
        </w:rPr>
        <w:t>cit</w:t>
      </w:r>
      <w:proofErr w:type="spellEnd"/>
      <w:proofErr w:type="gramEnd"/>
      <w:r>
        <w:rPr>
          <w:rFonts w:ascii="Arial" w:hAnsi="Arial" w:cs="Arial"/>
          <w:sz w:val="18"/>
          <w:szCs w:val="18"/>
        </w:rPr>
        <w:t>.</w:t>
      </w:r>
      <w:r w:rsidRPr="00944BEE">
        <w:rPr>
          <w:rFonts w:ascii="Arial" w:hAnsi="Arial" w:cs="Arial"/>
          <w:sz w:val="18"/>
          <w:szCs w:val="18"/>
        </w:rPr>
        <w:t xml:space="preserve"> p.10</w:t>
      </w:r>
    </w:p>
    <w:p w:rsidR="00723F1B" w:rsidRPr="00944BEE" w:rsidRDefault="00723F1B" w:rsidP="00B84801">
      <w:pPr>
        <w:pStyle w:val="Notedebasdepage"/>
        <w:rPr>
          <w:rFonts w:ascii="Arial" w:hAnsi="Arial" w:cs="Arial"/>
          <w:sz w:val="18"/>
          <w:szCs w:val="18"/>
        </w:rPr>
      </w:pPr>
    </w:p>
  </w:footnote>
  <w:footnote w:id="17">
    <w:p w:rsidR="00723F1B" w:rsidRPr="00944BEE" w:rsidRDefault="00723F1B" w:rsidP="00B84801">
      <w:pPr>
        <w:pStyle w:val="Notedebasdepage"/>
        <w:rPr>
          <w:rFonts w:ascii="Arial" w:hAnsi="Arial" w:cs="Arial"/>
          <w:sz w:val="18"/>
          <w:szCs w:val="18"/>
        </w:rPr>
      </w:pPr>
      <w:r w:rsidRPr="00944BEE">
        <w:rPr>
          <w:rStyle w:val="Appelnotedebasdep"/>
          <w:rFonts w:ascii="Arial" w:hAnsi="Arial" w:cs="Arial"/>
          <w:sz w:val="18"/>
          <w:szCs w:val="18"/>
        </w:rPr>
        <w:footnoteRef/>
      </w:r>
      <w:r w:rsidRPr="00944BEE">
        <w:rPr>
          <w:rFonts w:ascii="Arial" w:hAnsi="Arial" w:cs="Arial"/>
          <w:sz w:val="18"/>
          <w:szCs w:val="18"/>
        </w:rPr>
        <w:t xml:space="preserve"> </w:t>
      </w:r>
      <w:r w:rsidRPr="00944BEE">
        <w:rPr>
          <w:rFonts w:ascii="Arial" w:hAnsi="Arial" w:cs="Arial"/>
          <w:i/>
          <w:sz w:val="18"/>
          <w:szCs w:val="18"/>
        </w:rPr>
        <w:t>Ibid</w:t>
      </w:r>
      <w:r w:rsidRPr="00944BEE">
        <w:rPr>
          <w:rFonts w:ascii="Arial" w:hAnsi="Arial" w:cs="Arial"/>
          <w:sz w:val="18"/>
          <w:szCs w:val="18"/>
        </w:rPr>
        <w:t xml:space="preserve">. </w:t>
      </w:r>
    </w:p>
  </w:footnote>
  <w:footnote w:id="18">
    <w:p w:rsidR="00723F1B" w:rsidRDefault="00723F1B" w:rsidP="00B84801">
      <w:pPr>
        <w:pStyle w:val="Notedebasdepage"/>
        <w:jc w:val="both"/>
        <w:rPr>
          <w:rFonts w:ascii="Arial" w:hAnsi="Arial" w:cs="Arial"/>
          <w:sz w:val="18"/>
          <w:szCs w:val="18"/>
        </w:rPr>
      </w:pPr>
      <w:r w:rsidRPr="008E6A82">
        <w:rPr>
          <w:rStyle w:val="Appelnotedebasdep"/>
          <w:rFonts w:ascii="Arial" w:hAnsi="Arial" w:cs="Arial"/>
          <w:sz w:val="18"/>
          <w:szCs w:val="18"/>
        </w:rPr>
        <w:footnoteRef/>
      </w:r>
      <w:r w:rsidRPr="008E6A82">
        <w:rPr>
          <w:rFonts w:ascii="Arial" w:hAnsi="Arial" w:cs="Arial"/>
          <w:sz w:val="18"/>
          <w:szCs w:val="18"/>
        </w:rPr>
        <w:t xml:space="preserve"> Recensement des évacuations forcées de lieux de vie occupés par des </w:t>
      </w:r>
      <w:proofErr w:type="spellStart"/>
      <w:r w:rsidRPr="008E6A82">
        <w:rPr>
          <w:rFonts w:ascii="Arial" w:hAnsi="Arial" w:cs="Arial"/>
          <w:sz w:val="18"/>
          <w:szCs w:val="18"/>
        </w:rPr>
        <w:t>Roms</w:t>
      </w:r>
      <w:proofErr w:type="spellEnd"/>
      <w:r w:rsidRPr="008E6A82">
        <w:rPr>
          <w:rFonts w:ascii="Arial" w:hAnsi="Arial" w:cs="Arial"/>
          <w:sz w:val="18"/>
          <w:szCs w:val="18"/>
        </w:rPr>
        <w:t xml:space="preserve"> étrangers en France, Année 2014 </w:t>
      </w:r>
      <w:r>
        <w:rPr>
          <w:rFonts w:ascii="Arial" w:hAnsi="Arial" w:cs="Arial"/>
          <w:sz w:val="18"/>
          <w:szCs w:val="18"/>
        </w:rPr>
        <w:t>-</w:t>
      </w:r>
      <w:r w:rsidRPr="008E6A82">
        <w:rPr>
          <w:rFonts w:ascii="Arial" w:hAnsi="Arial" w:cs="Arial"/>
          <w:sz w:val="18"/>
          <w:szCs w:val="18"/>
        </w:rPr>
        <w:t xml:space="preserve"> Ligue des droits de l’Homme</w:t>
      </w:r>
      <w:r>
        <w:rPr>
          <w:rFonts w:ascii="Arial" w:hAnsi="Arial" w:cs="Arial"/>
          <w:sz w:val="18"/>
          <w:szCs w:val="18"/>
        </w:rPr>
        <w:t xml:space="preserve"> (LDH) </w:t>
      </w:r>
      <w:r w:rsidRPr="008E6A82">
        <w:rPr>
          <w:rFonts w:ascii="Arial" w:hAnsi="Arial" w:cs="Arial"/>
          <w:sz w:val="18"/>
          <w:szCs w:val="18"/>
        </w:rPr>
        <w:t xml:space="preserve"> et </w:t>
      </w:r>
      <w:proofErr w:type="spellStart"/>
      <w:r w:rsidRPr="008E6A82">
        <w:rPr>
          <w:rFonts w:ascii="Arial" w:hAnsi="Arial" w:cs="Arial"/>
          <w:sz w:val="18"/>
          <w:szCs w:val="18"/>
        </w:rPr>
        <w:t>European</w:t>
      </w:r>
      <w:proofErr w:type="spellEnd"/>
      <w:r w:rsidRPr="008E6A82">
        <w:rPr>
          <w:rFonts w:ascii="Arial" w:hAnsi="Arial" w:cs="Arial"/>
          <w:sz w:val="18"/>
          <w:szCs w:val="18"/>
        </w:rPr>
        <w:t xml:space="preserve"> Roma </w:t>
      </w:r>
      <w:proofErr w:type="spellStart"/>
      <w:r w:rsidRPr="008E6A82">
        <w:rPr>
          <w:rFonts w:ascii="Arial" w:hAnsi="Arial" w:cs="Arial"/>
          <w:sz w:val="18"/>
          <w:szCs w:val="18"/>
        </w:rPr>
        <w:t>Rights</w:t>
      </w:r>
      <w:proofErr w:type="spellEnd"/>
      <w:r w:rsidRPr="008E6A82">
        <w:rPr>
          <w:rFonts w:ascii="Arial" w:hAnsi="Arial" w:cs="Arial"/>
          <w:sz w:val="18"/>
          <w:szCs w:val="18"/>
        </w:rPr>
        <w:t xml:space="preserve"> Center (ERRC) </w:t>
      </w:r>
      <w:r>
        <w:rPr>
          <w:rFonts w:ascii="Arial" w:hAnsi="Arial" w:cs="Arial"/>
          <w:sz w:val="18"/>
          <w:szCs w:val="18"/>
        </w:rPr>
        <w:t>-</w:t>
      </w:r>
      <w:r w:rsidRPr="008E6A82">
        <w:rPr>
          <w:rFonts w:ascii="Arial" w:hAnsi="Arial" w:cs="Arial"/>
          <w:sz w:val="18"/>
          <w:szCs w:val="18"/>
        </w:rPr>
        <w:t xml:space="preserve"> 2 mars 2015</w:t>
      </w:r>
    </w:p>
    <w:p w:rsidR="00723F1B" w:rsidRPr="008E6A82" w:rsidRDefault="00723F1B" w:rsidP="00B84801">
      <w:pPr>
        <w:pStyle w:val="Notedebasdepage"/>
        <w:jc w:val="both"/>
        <w:rPr>
          <w:rFonts w:ascii="Arial" w:hAnsi="Arial" w:cs="Arial"/>
          <w:sz w:val="18"/>
          <w:szCs w:val="18"/>
        </w:rPr>
      </w:pPr>
    </w:p>
  </w:footnote>
  <w:footnote w:id="19">
    <w:p w:rsidR="00723F1B" w:rsidRDefault="00723F1B" w:rsidP="00B84801">
      <w:pPr>
        <w:pStyle w:val="Notedebasdepage"/>
        <w:jc w:val="both"/>
        <w:rPr>
          <w:rFonts w:ascii="Arial" w:hAnsi="Arial" w:cs="Arial"/>
          <w:sz w:val="18"/>
          <w:szCs w:val="18"/>
        </w:rPr>
      </w:pPr>
      <w:r w:rsidRPr="00095289">
        <w:rPr>
          <w:rStyle w:val="Appelnotedebasdep"/>
          <w:rFonts w:ascii="Arial" w:hAnsi="Arial" w:cs="Arial"/>
          <w:sz w:val="18"/>
          <w:szCs w:val="18"/>
        </w:rPr>
        <w:footnoteRef/>
      </w:r>
      <w:r>
        <w:rPr>
          <w:rFonts w:ascii="Arial" w:hAnsi="Arial" w:cs="Arial"/>
          <w:sz w:val="18"/>
          <w:szCs w:val="18"/>
        </w:rPr>
        <w:t xml:space="preserve"> </w:t>
      </w:r>
      <w:r w:rsidRPr="00095289">
        <w:rPr>
          <w:rFonts w:ascii="Arial" w:hAnsi="Arial" w:cs="Arial"/>
          <w:sz w:val="18"/>
          <w:szCs w:val="18"/>
        </w:rPr>
        <w:t xml:space="preserve">NOR IOCK1016329J « </w:t>
      </w:r>
      <w:r w:rsidRPr="00095289">
        <w:rPr>
          <w:rFonts w:ascii="Arial" w:hAnsi="Arial" w:cs="Arial"/>
          <w:i/>
          <w:sz w:val="18"/>
          <w:szCs w:val="18"/>
        </w:rPr>
        <w:t>Lutte contre les campements illicites</w:t>
      </w:r>
      <w:r w:rsidRPr="00095289">
        <w:rPr>
          <w:rFonts w:ascii="Arial" w:hAnsi="Arial" w:cs="Arial"/>
          <w:sz w:val="18"/>
          <w:szCs w:val="18"/>
        </w:rPr>
        <w:t xml:space="preserve"> », 24 juin 2010, Ministères de l</w:t>
      </w:r>
      <w:r>
        <w:rPr>
          <w:rFonts w:ascii="Arial" w:hAnsi="Arial" w:cs="Arial"/>
          <w:sz w:val="18"/>
          <w:szCs w:val="18"/>
        </w:rPr>
        <w:t>’Intérieur et de l’Immigration.</w:t>
      </w:r>
    </w:p>
    <w:p w:rsidR="00723F1B" w:rsidRPr="00095289" w:rsidRDefault="00723F1B" w:rsidP="00B84801">
      <w:pPr>
        <w:pStyle w:val="Notedebasdepage"/>
        <w:rPr>
          <w:rFonts w:ascii="Arial" w:hAnsi="Arial" w:cs="Arial"/>
          <w:sz w:val="18"/>
          <w:szCs w:val="18"/>
        </w:rPr>
      </w:pPr>
    </w:p>
  </w:footnote>
  <w:footnote w:id="20">
    <w:p w:rsidR="00723F1B" w:rsidRDefault="00723F1B" w:rsidP="00B84801">
      <w:pPr>
        <w:pStyle w:val="Notedebasdepage"/>
        <w:jc w:val="both"/>
        <w:rPr>
          <w:rFonts w:ascii="Arial" w:hAnsi="Arial" w:cs="Arial"/>
          <w:sz w:val="18"/>
          <w:szCs w:val="18"/>
        </w:rPr>
      </w:pPr>
      <w:r w:rsidRPr="00492F56">
        <w:rPr>
          <w:rStyle w:val="Appelnotedebasdep"/>
          <w:rFonts w:ascii="Arial" w:hAnsi="Arial" w:cs="Arial"/>
          <w:sz w:val="18"/>
          <w:szCs w:val="18"/>
        </w:rPr>
        <w:footnoteRef/>
      </w:r>
      <w:r w:rsidRPr="00492F56">
        <w:rPr>
          <w:rFonts w:ascii="Arial" w:hAnsi="Arial" w:cs="Arial"/>
          <w:sz w:val="18"/>
          <w:szCs w:val="18"/>
        </w:rPr>
        <w:t xml:space="preserve"> </w:t>
      </w:r>
      <w:r w:rsidRPr="00031DAA">
        <w:rPr>
          <w:rFonts w:ascii="Arial" w:hAnsi="Arial" w:cs="Arial"/>
          <w:i/>
          <w:sz w:val="18"/>
          <w:szCs w:val="18"/>
        </w:rPr>
        <w:t>Ibid</w:t>
      </w:r>
      <w:r w:rsidRPr="00492F56">
        <w:rPr>
          <w:rFonts w:ascii="Arial" w:hAnsi="Arial" w:cs="Arial"/>
          <w:sz w:val="18"/>
          <w:szCs w:val="18"/>
        </w:rPr>
        <w:t>.</w:t>
      </w:r>
    </w:p>
    <w:p w:rsidR="00723F1B" w:rsidRPr="00492F56" w:rsidRDefault="00723F1B" w:rsidP="00B84801">
      <w:pPr>
        <w:pStyle w:val="Notedebasdepage"/>
        <w:jc w:val="both"/>
        <w:rPr>
          <w:rFonts w:ascii="Arial" w:hAnsi="Arial" w:cs="Arial"/>
          <w:sz w:val="18"/>
          <w:szCs w:val="18"/>
        </w:rPr>
      </w:pPr>
    </w:p>
  </w:footnote>
  <w:footnote w:id="21">
    <w:p w:rsidR="00723F1B" w:rsidRDefault="00723F1B" w:rsidP="00B84801">
      <w:pPr>
        <w:pStyle w:val="Notedebasdepage"/>
        <w:jc w:val="both"/>
        <w:rPr>
          <w:rFonts w:ascii="Arial" w:hAnsi="Arial" w:cs="Arial"/>
          <w:sz w:val="18"/>
          <w:szCs w:val="18"/>
        </w:rPr>
      </w:pPr>
      <w:r w:rsidRPr="00492F56">
        <w:rPr>
          <w:rStyle w:val="Appelnotedebasdep"/>
          <w:rFonts w:ascii="Arial" w:hAnsi="Arial" w:cs="Arial"/>
          <w:sz w:val="18"/>
          <w:szCs w:val="18"/>
        </w:rPr>
        <w:footnoteRef/>
      </w:r>
      <w:r w:rsidRPr="00492F56">
        <w:rPr>
          <w:rFonts w:ascii="Arial" w:hAnsi="Arial" w:cs="Arial"/>
          <w:sz w:val="18"/>
          <w:szCs w:val="18"/>
        </w:rPr>
        <w:t xml:space="preserve"> CNCDH, </w:t>
      </w:r>
      <w:r w:rsidRPr="00492F56">
        <w:rPr>
          <w:rFonts w:ascii="Arial" w:hAnsi="Arial" w:cs="Arial"/>
          <w:i/>
          <w:sz w:val="18"/>
          <w:szCs w:val="18"/>
        </w:rPr>
        <w:t>Avis sur le respect des droits fondamentaux des populations vivant en bidonvilles, mettre fin à la violation des droits</w:t>
      </w:r>
      <w:r w:rsidRPr="00492F56">
        <w:rPr>
          <w:rFonts w:ascii="Arial" w:hAnsi="Arial" w:cs="Arial"/>
          <w:sz w:val="18"/>
          <w:szCs w:val="18"/>
        </w:rPr>
        <w:t>, Assemblée plénière, 20 novembre 2014</w:t>
      </w:r>
      <w:r>
        <w:rPr>
          <w:rFonts w:ascii="Arial" w:hAnsi="Arial" w:cs="Arial"/>
          <w:sz w:val="18"/>
          <w:szCs w:val="18"/>
        </w:rPr>
        <w:t>.</w:t>
      </w:r>
    </w:p>
    <w:p w:rsidR="001E3464" w:rsidRPr="00492F56" w:rsidRDefault="001E3464" w:rsidP="00B84801">
      <w:pPr>
        <w:pStyle w:val="Notedebasdepage"/>
        <w:jc w:val="both"/>
        <w:rPr>
          <w:rFonts w:ascii="Arial" w:hAnsi="Arial" w:cs="Arial"/>
          <w:sz w:val="18"/>
          <w:szCs w:val="18"/>
        </w:rPr>
      </w:pPr>
    </w:p>
  </w:footnote>
  <w:footnote w:id="22">
    <w:p w:rsidR="00723F1B" w:rsidRDefault="00723F1B" w:rsidP="00B84801">
      <w:pPr>
        <w:pStyle w:val="Notedebasdepage"/>
        <w:jc w:val="both"/>
        <w:rPr>
          <w:rFonts w:ascii="Arial" w:hAnsi="Arial" w:cs="Arial"/>
          <w:sz w:val="18"/>
          <w:szCs w:val="18"/>
          <w:lang w:eastAsia="ja-JP"/>
        </w:rPr>
      </w:pPr>
      <w:r w:rsidRPr="00095289">
        <w:rPr>
          <w:rStyle w:val="Appelnotedebasdep"/>
          <w:rFonts w:ascii="Arial" w:hAnsi="Arial" w:cs="Arial"/>
          <w:sz w:val="18"/>
          <w:szCs w:val="18"/>
        </w:rPr>
        <w:footnoteRef/>
      </w:r>
      <w:r w:rsidRPr="00095289">
        <w:rPr>
          <w:rFonts w:ascii="Arial" w:hAnsi="Arial" w:cs="Arial"/>
          <w:sz w:val="18"/>
          <w:szCs w:val="18"/>
        </w:rPr>
        <w:t xml:space="preserve"> </w:t>
      </w:r>
      <w:r w:rsidRPr="00095289">
        <w:rPr>
          <w:rFonts w:ascii="Arial" w:hAnsi="Arial" w:cs="Arial"/>
          <w:sz w:val="18"/>
          <w:szCs w:val="18"/>
          <w:lang w:eastAsia="ja-JP"/>
        </w:rPr>
        <w:t xml:space="preserve">Collectif national droits de l’Homme Rom Europe, Rapport d’observatoire, 2013, </w:t>
      </w:r>
      <w:r w:rsidRPr="00095289">
        <w:rPr>
          <w:rFonts w:ascii="Arial" w:hAnsi="Arial" w:cs="Arial"/>
          <w:i/>
          <w:sz w:val="18"/>
          <w:szCs w:val="18"/>
          <w:lang w:eastAsia="ja-JP"/>
        </w:rPr>
        <w:t>in</w:t>
      </w:r>
      <w:r>
        <w:rPr>
          <w:rFonts w:ascii="Arial" w:hAnsi="Arial" w:cs="Arial"/>
          <w:sz w:val="18"/>
          <w:szCs w:val="18"/>
          <w:lang w:eastAsia="ja-JP"/>
        </w:rPr>
        <w:t xml:space="preserve"> page 31.</w:t>
      </w:r>
    </w:p>
    <w:p w:rsidR="00723F1B" w:rsidRPr="00095289" w:rsidRDefault="00723F1B" w:rsidP="00B84801">
      <w:pPr>
        <w:pStyle w:val="Notedebasdepage"/>
        <w:jc w:val="both"/>
        <w:rPr>
          <w:rFonts w:ascii="Arial" w:hAnsi="Arial" w:cs="Arial"/>
          <w:sz w:val="18"/>
          <w:szCs w:val="18"/>
        </w:rPr>
      </w:pPr>
    </w:p>
  </w:footnote>
  <w:footnote w:id="23">
    <w:p w:rsidR="00723F1B" w:rsidRDefault="00723F1B" w:rsidP="00031DAA">
      <w:pPr>
        <w:pStyle w:val="Notedebasdepage"/>
        <w:jc w:val="both"/>
        <w:rPr>
          <w:rFonts w:ascii="Arial" w:hAnsi="Arial" w:cs="Arial"/>
          <w:sz w:val="18"/>
          <w:szCs w:val="18"/>
        </w:rPr>
      </w:pPr>
      <w:r w:rsidRPr="00C77F03">
        <w:rPr>
          <w:rStyle w:val="Appelnotedebasdep"/>
          <w:rFonts w:ascii="Arial" w:hAnsi="Arial" w:cs="Arial"/>
          <w:sz w:val="18"/>
          <w:szCs w:val="18"/>
        </w:rPr>
        <w:footnoteRef/>
      </w:r>
      <w:r>
        <w:rPr>
          <w:rFonts w:ascii="Arial" w:hAnsi="Arial" w:cs="Arial"/>
          <w:sz w:val="18"/>
          <w:szCs w:val="18"/>
        </w:rPr>
        <w:t xml:space="preserve"> </w:t>
      </w:r>
      <w:r w:rsidRPr="00C77F03">
        <w:rPr>
          <w:rFonts w:ascii="Arial" w:hAnsi="Arial" w:cs="Arial"/>
          <w:sz w:val="18"/>
          <w:szCs w:val="18"/>
        </w:rPr>
        <w:t xml:space="preserve"> Paragraphe 46 du présent rapport alternatif</w:t>
      </w:r>
      <w:r>
        <w:rPr>
          <w:rFonts w:ascii="Arial" w:hAnsi="Arial" w:cs="Arial"/>
          <w:sz w:val="18"/>
          <w:szCs w:val="18"/>
        </w:rPr>
        <w:t>.</w:t>
      </w:r>
    </w:p>
    <w:p w:rsidR="00723F1B" w:rsidRPr="00C77F03" w:rsidRDefault="00723F1B" w:rsidP="00B84801">
      <w:pPr>
        <w:pStyle w:val="Notedebasdepage"/>
        <w:rPr>
          <w:rFonts w:ascii="Arial" w:hAnsi="Arial" w:cs="Arial"/>
          <w:sz w:val="18"/>
          <w:szCs w:val="18"/>
        </w:rPr>
      </w:pPr>
    </w:p>
  </w:footnote>
  <w:footnote w:id="24">
    <w:p w:rsidR="00723F1B" w:rsidRDefault="00723F1B" w:rsidP="00B84801">
      <w:pPr>
        <w:pStyle w:val="Notedebasdepage"/>
        <w:jc w:val="both"/>
        <w:rPr>
          <w:rFonts w:ascii="Arial" w:hAnsi="Arial" w:cs="Arial"/>
          <w:sz w:val="18"/>
          <w:szCs w:val="18"/>
        </w:rPr>
      </w:pPr>
      <w:r w:rsidRPr="00C77F03">
        <w:rPr>
          <w:rStyle w:val="Appelnotedebasdep"/>
          <w:rFonts w:ascii="Arial" w:hAnsi="Arial" w:cs="Arial"/>
          <w:sz w:val="18"/>
          <w:szCs w:val="18"/>
        </w:rPr>
        <w:footnoteRef/>
      </w:r>
      <w:r w:rsidRPr="00C77F03">
        <w:rPr>
          <w:rFonts w:ascii="Arial" w:hAnsi="Arial" w:cs="Arial"/>
          <w:sz w:val="18"/>
          <w:szCs w:val="18"/>
        </w:rPr>
        <w:t xml:space="preserve"> </w:t>
      </w:r>
      <w:r w:rsidRPr="00493F54">
        <w:rPr>
          <w:rFonts w:ascii="Arial" w:hAnsi="Arial" w:cs="Arial"/>
          <w:sz w:val="18"/>
          <w:szCs w:val="18"/>
          <w:lang w:eastAsia="ja-JP"/>
        </w:rPr>
        <w:t xml:space="preserve">Voir </w:t>
      </w:r>
      <w:r w:rsidRPr="006065F7">
        <w:rPr>
          <w:rFonts w:ascii="Arial" w:hAnsi="Arial" w:cs="Arial"/>
          <w:i/>
          <w:sz w:val="18"/>
          <w:szCs w:val="18"/>
          <w:lang w:eastAsia="ja-JP"/>
        </w:rPr>
        <w:t>supra</w:t>
      </w:r>
      <w:r>
        <w:rPr>
          <w:rFonts w:ascii="Arial" w:hAnsi="Arial" w:cs="Arial"/>
          <w:sz w:val="18"/>
          <w:szCs w:val="18"/>
          <w:lang w:eastAsia="ja-JP"/>
        </w:rPr>
        <w:t>, note 19</w:t>
      </w:r>
      <w:r>
        <w:rPr>
          <w:rFonts w:ascii="Arial" w:hAnsi="Arial" w:cs="Arial"/>
          <w:sz w:val="18"/>
          <w:szCs w:val="18"/>
        </w:rPr>
        <w:t>.</w:t>
      </w:r>
    </w:p>
    <w:p w:rsidR="00723F1B" w:rsidRPr="00C77F03" w:rsidRDefault="00723F1B" w:rsidP="00B84801">
      <w:pPr>
        <w:pStyle w:val="Notedebasdepage"/>
        <w:rPr>
          <w:rFonts w:ascii="Arial" w:hAnsi="Arial" w:cs="Arial"/>
          <w:sz w:val="18"/>
          <w:szCs w:val="18"/>
        </w:rPr>
      </w:pPr>
    </w:p>
  </w:footnote>
  <w:footnote w:id="25">
    <w:p w:rsidR="00723F1B" w:rsidRPr="001507EC" w:rsidRDefault="00723F1B" w:rsidP="00B84801">
      <w:pPr>
        <w:pStyle w:val="Notedebasdepage"/>
        <w:jc w:val="both"/>
        <w:rPr>
          <w:rFonts w:ascii="Arial" w:hAnsi="Arial" w:cs="Arial"/>
          <w:sz w:val="18"/>
          <w:szCs w:val="18"/>
        </w:rPr>
      </w:pPr>
      <w:r w:rsidRPr="001507EC">
        <w:rPr>
          <w:rStyle w:val="Appelnotedebasdep"/>
          <w:rFonts w:ascii="Arial" w:hAnsi="Arial" w:cs="Arial"/>
          <w:sz w:val="18"/>
          <w:szCs w:val="18"/>
        </w:rPr>
        <w:footnoteRef/>
      </w:r>
      <w:r w:rsidRPr="001507EC">
        <w:rPr>
          <w:rFonts w:ascii="Arial" w:hAnsi="Arial" w:cs="Arial"/>
          <w:sz w:val="18"/>
          <w:szCs w:val="18"/>
        </w:rPr>
        <w:t xml:space="preserve"> </w:t>
      </w:r>
      <w:r>
        <w:rPr>
          <w:rFonts w:ascii="Arial" w:hAnsi="Arial" w:cs="Arial"/>
          <w:sz w:val="18"/>
          <w:szCs w:val="18"/>
        </w:rPr>
        <w:t xml:space="preserve">CNCDH, </w:t>
      </w:r>
      <w:r w:rsidRPr="001507EC">
        <w:rPr>
          <w:rFonts w:ascii="Arial" w:hAnsi="Arial" w:cs="Arial"/>
          <w:i/>
          <w:sz w:val="18"/>
          <w:szCs w:val="18"/>
        </w:rPr>
        <w:t>Avis sur le respect des droits fondamentaux des populations vivant en bidonvilles, mettre fin à la violation des droits</w:t>
      </w:r>
      <w:r w:rsidRPr="001507EC">
        <w:rPr>
          <w:rFonts w:ascii="Arial" w:hAnsi="Arial" w:cs="Arial"/>
          <w:sz w:val="18"/>
          <w:szCs w:val="18"/>
        </w:rPr>
        <w:t>, Assemblée plénière, 20 novembre 2014</w:t>
      </w:r>
    </w:p>
  </w:footnote>
  <w:footnote w:id="26">
    <w:p w:rsidR="00723F1B" w:rsidRDefault="00723F1B" w:rsidP="00D4731E">
      <w:pPr>
        <w:pStyle w:val="Notedebasdepage"/>
        <w:jc w:val="both"/>
        <w:rPr>
          <w:rFonts w:ascii="Arial" w:hAnsi="Arial" w:cs="Arial"/>
          <w:sz w:val="18"/>
          <w:szCs w:val="18"/>
        </w:rPr>
      </w:pPr>
      <w:r w:rsidRPr="00D4731E">
        <w:rPr>
          <w:rStyle w:val="Appelnotedebasdep"/>
          <w:rFonts w:ascii="Arial" w:hAnsi="Arial" w:cs="Arial"/>
          <w:sz w:val="18"/>
          <w:szCs w:val="18"/>
        </w:rPr>
        <w:footnoteRef/>
      </w:r>
      <w:r w:rsidRPr="00D4731E">
        <w:rPr>
          <w:rFonts w:ascii="Arial" w:hAnsi="Arial" w:cs="Arial"/>
          <w:sz w:val="18"/>
          <w:szCs w:val="18"/>
        </w:rPr>
        <w:t xml:space="preserve"> </w:t>
      </w:r>
      <w:r>
        <w:rPr>
          <w:rFonts w:ascii="Arial" w:hAnsi="Arial" w:cs="Arial"/>
          <w:sz w:val="18"/>
          <w:szCs w:val="18"/>
        </w:rPr>
        <w:t>Ministère de la J</w:t>
      </w:r>
      <w:r w:rsidRPr="00D4731E">
        <w:rPr>
          <w:rFonts w:ascii="Arial" w:hAnsi="Arial" w:cs="Arial"/>
          <w:sz w:val="18"/>
          <w:szCs w:val="18"/>
        </w:rPr>
        <w:t>ustice, Circulaire du 5 décembre 2014 de présentation de la loi n° 2014-1353 (NOR :</w:t>
      </w:r>
      <w:r>
        <w:rPr>
          <w:rFonts w:ascii="Arial" w:hAnsi="Arial" w:cs="Arial"/>
          <w:sz w:val="18"/>
          <w:szCs w:val="18"/>
        </w:rPr>
        <w:t xml:space="preserve"> </w:t>
      </w:r>
      <w:r w:rsidRPr="00D4731E">
        <w:rPr>
          <w:rFonts w:ascii="Arial" w:hAnsi="Arial" w:cs="Arial"/>
          <w:sz w:val="18"/>
          <w:szCs w:val="18"/>
        </w:rPr>
        <w:t>JUSD1429083C) « </w:t>
      </w:r>
      <w:r w:rsidRPr="00D4731E">
        <w:rPr>
          <w:rFonts w:ascii="Arial" w:hAnsi="Arial" w:cs="Arial"/>
          <w:i/>
          <w:sz w:val="18"/>
          <w:szCs w:val="18"/>
        </w:rPr>
        <w:t>renforçant les dispositions relatives à la lutte contre le terrorisme- renforcement de la coordination de la lutte antiterroriste</w:t>
      </w:r>
      <w:r w:rsidRPr="00D4731E">
        <w:rPr>
          <w:rFonts w:ascii="Arial" w:hAnsi="Arial" w:cs="Arial"/>
          <w:sz w:val="18"/>
          <w:szCs w:val="18"/>
        </w:rPr>
        <w:t xml:space="preserve"> », </w:t>
      </w:r>
      <w:r w:rsidRPr="00D4731E">
        <w:rPr>
          <w:rFonts w:ascii="Arial" w:hAnsi="Arial" w:cs="Arial"/>
          <w:i/>
          <w:sz w:val="18"/>
          <w:szCs w:val="18"/>
        </w:rPr>
        <w:t>in</w:t>
      </w:r>
      <w:r w:rsidRPr="00D4731E">
        <w:rPr>
          <w:rFonts w:ascii="Arial" w:hAnsi="Arial" w:cs="Arial"/>
          <w:sz w:val="18"/>
          <w:szCs w:val="18"/>
        </w:rPr>
        <w:t xml:space="preserve"> page 6</w:t>
      </w:r>
      <w:r>
        <w:rPr>
          <w:rFonts w:ascii="Arial" w:hAnsi="Arial" w:cs="Arial"/>
          <w:sz w:val="18"/>
          <w:szCs w:val="18"/>
        </w:rPr>
        <w:t>.</w:t>
      </w:r>
    </w:p>
    <w:p w:rsidR="00723F1B" w:rsidRPr="00D4731E" w:rsidRDefault="00723F1B" w:rsidP="00D4731E">
      <w:pPr>
        <w:pStyle w:val="Notedebasdepage"/>
        <w:jc w:val="both"/>
        <w:rPr>
          <w:rFonts w:ascii="Arial" w:hAnsi="Arial" w:cs="Arial"/>
          <w:sz w:val="18"/>
          <w:szCs w:val="18"/>
        </w:rPr>
      </w:pPr>
    </w:p>
  </w:footnote>
  <w:footnote w:id="27">
    <w:p w:rsidR="00723F1B" w:rsidRPr="00D63E0D" w:rsidRDefault="00723F1B" w:rsidP="00D63E0D">
      <w:pPr>
        <w:pStyle w:val="Notedebasdepage"/>
        <w:jc w:val="both"/>
        <w:rPr>
          <w:rFonts w:ascii="Arial" w:hAnsi="Arial" w:cs="Arial"/>
          <w:sz w:val="18"/>
          <w:szCs w:val="18"/>
        </w:rPr>
      </w:pPr>
      <w:r w:rsidRPr="00D63E0D">
        <w:rPr>
          <w:rStyle w:val="Appelnotedebasdep"/>
          <w:rFonts w:ascii="Arial" w:hAnsi="Arial" w:cs="Arial"/>
          <w:sz w:val="18"/>
          <w:szCs w:val="18"/>
        </w:rPr>
        <w:footnoteRef/>
      </w:r>
      <w:r w:rsidRPr="00D63E0D">
        <w:rPr>
          <w:rFonts w:ascii="Arial" w:hAnsi="Arial" w:cs="Arial"/>
          <w:sz w:val="18"/>
          <w:szCs w:val="18"/>
        </w:rPr>
        <w:t xml:space="preserve"> Le Nouvel Observateur, « </w:t>
      </w:r>
      <w:r w:rsidRPr="00D63E0D">
        <w:rPr>
          <w:rFonts w:ascii="Arial" w:hAnsi="Arial" w:cs="Arial"/>
          <w:i/>
          <w:sz w:val="18"/>
          <w:szCs w:val="18"/>
        </w:rPr>
        <w:t>Apologie du terrorisme : une longue liste de condamnations</w:t>
      </w:r>
      <w:r w:rsidRPr="00D63E0D">
        <w:rPr>
          <w:rFonts w:ascii="Arial" w:hAnsi="Arial" w:cs="Arial"/>
          <w:sz w:val="18"/>
          <w:szCs w:val="18"/>
        </w:rPr>
        <w:t xml:space="preserve"> », du 20 janvier 2015 – Site : </w:t>
      </w:r>
      <w:hyperlink r:id="rId4" w:history="1">
        <w:r w:rsidRPr="00D63E0D">
          <w:rPr>
            <w:rStyle w:val="Lienhypertexte"/>
            <w:rFonts w:ascii="Arial" w:hAnsi="Arial" w:cs="Arial"/>
            <w:sz w:val="18"/>
            <w:szCs w:val="18"/>
          </w:rPr>
          <w:t>http://tempsreel.nouvelobs.com/charlie-hebdo/20150120.OBS0370/apologie-du-terrorisme-une-longue-liste-de-condamnations.html</w:t>
        </w:r>
      </w:hyperlink>
      <w:r w:rsidRPr="00D63E0D">
        <w:rPr>
          <w:rFonts w:ascii="Arial" w:hAnsi="Arial" w:cs="Arial"/>
          <w:sz w:val="18"/>
          <w:szCs w:val="18"/>
        </w:rPr>
        <w:t xml:space="preserve"> </w:t>
      </w:r>
    </w:p>
  </w:footnote>
  <w:footnote w:id="28">
    <w:p w:rsidR="00723F1B" w:rsidRPr="00761FD7" w:rsidRDefault="00723F1B" w:rsidP="00761FD7">
      <w:pPr>
        <w:pStyle w:val="Notedebasdepage"/>
        <w:jc w:val="both"/>
        <w:rPr>
          <w:rFonts w:ascii="Arial" w:hAnsi="Arial" w:cs="Arial"/>
          <w:sz w:val="18"/>
          <w:szCs w:val="18"/>
        </w:rPr>
      </w:pPr>
      <w:r w:rsidRPr="00761FD7">
        <w:rPr>
          <w:rStyle w:val="Appelnotedebasdep"/>
          <w:rFonts w:ascii="Arial" w:hAnsi="Arial" w:cs="Arial"/>
          <w:sz w:val="18"/>
          <w:szCs w:val="18"/>
        </w:rPr>
        <w:footnoteRef/>
      </w:r>
      <w:r w:rsidRPr="00761FD7">
        <w:rPr>
          <w:rFonts w:ascii="Arial" w:hAnsi="Arial" w:cs="Arial"/>
          <w:sz w:val="18"/>
          <w:szCs w:val="18"/>
        </w:rPr>
        <w:t xml:space="preserve"> </w:t>
      </w:r>
      <w:hyperlink r:id="rId5" w:history="1">
        <w:r w:rsidRPr="00761FD7">
          <w:rPr>
            <w:rStyle w:val="Lienhypertexte"/>
            <w:rFonts w:ascii="Arial" w:hAnsi="Arial" w:cs="Arial"/>
            <w:sz w:val="18"/>
            <w:szCs w:val="18"/>
          </w:rPr>
          <w:t>http://www.stop-djihadisme.gouv.fr</w:t>
        </w:r>
      </w:hyperlink>
      <w:r w:rsidRPr="00761FD7">
        <w:rPr>
          <w:rFonts w:ascii="Arial" w:hAnsi="Arial" w:cs="Arial"/>
          <w:sz w:val="18"/>
          <w:szCs w:val="18"/>
        </w:rPr>
        <w:t xml:space="preserve"> </w:t>
      </w:r>
    </w:p>
  </w:footnote>
  <w:footnote w:id="29">
    <w:p w:rsidR="00950988" w:rsidRDefault="00950988" w:rsidP="001B02E1">
      <w:pPr>
        <w:pStyle w:val="Notedebasdepage"/>
        <w:jc w:val="both"/>
        <w:rPr>
          <w:rFonts w:ascii="Arial" w:hAnsi="Arial" w:cs="Arial"/>
          <w:sz w:val="18"/>
          <w:szCs w:val="18"/>
        </w:rPr>
      </w:pPr>
    </w:p>
    <w:p w:rsidR="00723F1B" w:rsidRDefault="00723F1B" w:rsidP="001B02E1">
      <w:pPr>
        <w:pStyle w:val="Notedebasdepage"/>
        <w:jc w:val="both"/>
        <w:rPr>
          <w:rFonts w:ascii="Arial" w:hAnsi="Arial" w:cs="Arial"/>
          <w:sz w:val="18"/>
          <w:szCs w:val="18"/>
        </w:rPr>
      </w:pPr>
      <w:r w:rsidRPr="001B02E1">
        <w:rPr>
          <w:rStyle w:val="Appelnotedebasdep"/>
          <w:rFonts w:ascii="Arial" w:hAnsi="Arial" w:cs="Arial"/>
          <w:sz w:val="18"/>
          <w:szCs w:val="18"/>
        </w:rPr>
        <w:footnoteRef/>
      </w:r>
      <w:r w:rsidRPr="001B02E1">
        <w:rPr>
          <w:rFonts w:ascii="Arial" w:hAnsi="Arial" w:cs="Arial"/>
          <w:sz w:val="18"/>
          <w:szCs w:val="18"/>
        </w:rPr>
        <w:t xml:space="preserve"> </w:t>
      </w:r>
      <w:r w:rsidRPr="001B02E1">
        <w:rPr>
          <w:rFonts w:ascii="Arial" w:hAnsi="Arial" w:cs="Arial"/>
          <w:i/>
          <w:sz w:val="18"/>
          <w:szCs w:val="18"/>
        </w:rPr>
        <w:t>Cf</w:t>
      </w:r>
      <w:r w:rsidRPr="001B02E1">
        <w:rPr>
          <w:rFonts w:ascii="Arial" w:hAnsi="Arial" w:cs="Arial"/>
          <w:sz w:val="18"/>
          <w:szCs w:val="18"/>
        </w:rPr>
        <w:t xml:space="preserve">. </w:t>
      </w:r>
      <w:r w:rsidRPr="0011119E">
        <w:rPr>
          <w:rFonts w:ascii="Arial" w:hAnsi="Arial" w:cs="Arial"/>
          <w:sz w:val="18"/>
          <w:szCs w:val="18"/>
        </w:rPr>
        <w:t xml:space="preserve">paragraphe </w:t>
      </w:r>
      <w:r>
        <w:rPr>
          <w:rFonts w:ascii="Arial" w:hAnsi="Arial" w:cs="Arial"/>
          <w:sz w:val="18"/>
          <w:szCs w:val="18"/>
        </w:rPr>
        <w:t>77</w:t>
      </w:r>
      <w:r w:rsidRPr="0011119E">
        <w:rPr>
          <w:rFonts w:ascii="Arial" w:hAnsi="Arial" w:cs="Arial"/>
          <w:sz w:val="18"/>
          <w:szCs w:val="18"/>
        </w:rPr>
        <w:t xml:space="preserve"> et suivants </w:t>
      </w:r>
      <w:r w:rsidRPr="001B02E1">
        <w:rPr>
          <w:rFonts w:ascii="Arial" w:hAnsi="Arial" w:cs="Arial"/>
          <w:sz w:val="18"/>
          <w:szCs w:val="18"/>
        </w:rPr>
        <w:t>du présent rapport alternatif.</w:t>
      </w:r>
    </w:p>
    <w:p w:rsidR="00723F1B" w:rsidRPr="001B02E1" w:rsidRDefault="00723F1B" w:rsidP="001B02E1">
      <w:pPr>
        <w:pStyle w:val="Notedebasdepage"/>
        <w:jc w:val="both"/>
        <w:rPr>
          <w:rFonts w:ascii="Arial" w:hAnsi="Arial" w:cs="Arial"/>
          <w:sz w:val="18"/>
          <w:szCs w:val="18"/>
        </w:rPr>
      </w:pPr>
    </w:p>
  </w:footnote>
  <w:footnote w:id="30">
    <w:p w:rsidR="00723F1B" w:rsidRPr="00BC1C8D" w:rsidRDefault="00723F1B" w:rsidP="00BC1C8D">
      <w:pPr>
        <w:pStyle w:val="Notedebasdepage"/>
        <w:jc w:val="both"/>
        <w:rPr>
          <w:rFonts w:ascii="Arial" w:hAnsi="Arial" w:cs="Arial"/>
          <w:sz w:val="18"/>
          <w:szCs w:val="18"/>
        </w:rPr>
      </w:pPr>
      <w:r w:rsidRPr="00BC1C8D">
        <w:rPr>
          <w:rStyle w:val="Appelnotedebasdep"/>
          <w:rFonts w:ascii="Arial" w:hAnsi="Arial" w:cs="Arial"/>
          <w:sz w:val="18"/>
          <w:szCs w:val="18"/>
        </w:rPr>
        <w:footnoteRef/>
      </w:r>
      <w:r w:rsidRPr="00BC1C8D">
        <w:rPr>
          <w:rFonts w:ascii="Arial" w:hAnsi="Arial" w:cs="Arial"/>
          <w:sz w:val="18"/>
          <w:szCs w:val="18"/>
        </w:rPr>
        <w:t xml:space="preserve"> Métadonnées : ce sont toutes les données techniques du fichier numérique, qu’il s’agisse de l’auteur, de la date de création, de la taille, de la géolocalisation, des différentes modifications, etc.</w:t>
      </w:r>
    </w:p>
    <w:p w:rsidR="00723F1B" w:rsidRDefault="00723F1B">
      <w:pPr>
        <w:pStyle w:val="Notedebasdepage"/>
      </w:pPr>
    </w:p>
  </w:footnote>
  <w:footnote w:id="31">
    <w:p w:rsidR="00723F1B" w:rsidRPr="002822F3" w:rsidRDefault="00723F1B" w:rsidP="002822F3">
      <w:pPr>
        <w:pStyle w:val="Notedebasdepage"/>
        <w:jc w:val="both"/>
        <w:rPr>
          <w:sz w:val="18"/>
          <w:szCs w:val="18"/>
        </w:rPr>
      </w:pPr>
      <w:r w:rsidRPr="002822F3">
        <w:rPr>
          <w:rStyle w:val="Appelnotedebasdep"/>
          <w:sz w:val="18"/>
          <w:szCs w:val="18"/>
        </w:rPr>
        <w:footnoteRef/>
      </w:r>
      <w:r w:rsidRPr="002822F3">
        <w:rPr>
          <w:sz w:val="18"/>
          <w:szCs w:val="18"/>
        </w:rPr>
        <w:t xml:space="preserve"> Conseil des droits de l’Homme, Vingt-septième session, Rapport du Haut-Commissariat des Nations Unies aux droits de l’Homme</w:t>
      </w:r>
      <w:r>
        <w:rPr>
          <w:sz w:val="18"/>
          <w:szCs w:val="18"/>
        </w:rPr>
        <w:t xml:space="preserve">, </w:t>
      </w:r>
      <w:r w:rsidRPr="002822F3">
        <w:rPr>
          <w:i/>
          <w:sz w:val="18"/>
          <w:szCs w:val="18"/>
        </w:rPr>
        <w:t>Le droit à la vie privée à l’ère du numérique</w:t>
      </w:r>
      <w:r w:rsidRPr="002822F3">
        <w:rPr>
          <w:sz w:val="18"/>
          <w:szCs w:val="18"/>
        </w:rPr>
        <w:t xml:space="preserve"> - 30 juin 2014 -  </w:t>
      </w:r>
      <w:r w:rsidRPr="002822F3">
        <w:rPr>
          <w:i/>
          <w:sz w:val="18"/>
          <w:szCs w:val="18"/>
        </w:rPr>
        <w:t xml:space="preserve">in </w:t>
      </w:r>
      <w:r w:rsidRPr="002822F3">
        <w:rPr>
          <w:sz w:val="18"/>
          <w:szCs w:val="18"/>
        </w:rPr>
        <w:t>paragraphe 13</w:t>
      </w:r>
    </w:p>
    <w:p w:rsidR="00723F1B" w:rsidRDefault="00723F1B">
      <w:pPr>
        <w:pStyle w:val="Notedebasdepage"/>
      </w:pPr>
    </w:p>
  </w:footnote>
  <w:footnote w:id="32">
    <w:p w:rsidR="00723F1B" w:rsidRPr="00742804" w:rsidRDefault="00723F1B">
      <w:pPr>
        <w:pStyle w:val="Notedebasdepage"/>
        <w:rPr>
          <w:rFonts w:ascii="Arial" w:hAnsi="Arial" w:cs="Arial"/>
          <w:sz w:val="16"/>
          <w:szCs w:val="16"/>
        </w:rPr>
      </w:pPr>
      <w:r w:rsidRPr="00742804">
        <w:rPr>
          <w:rStyle w:val="Appelnotedebasdep"/>
          <w:rFonts w:ascii="Arial" w:hAnsi="Arial" w:cs="Arial"/>
          <w:sz w:val="16"/>
          <w:szCs w:val="16"/>
        </w:rPr>
        <w:footnoteRef/>
      </w:r>
      <w:r w:rsidRPr="00742804">
        <w:rPr>
          <w:rFonts w:ascii="Arial" w:hAnsi="Arial" w:cs="Arial"/>
          <w:sz w:val="16"/>
          <w:szCs w:val="16"/>
        </w:rPr>
        <w:t xml:space="preserve"> CCPR/C/21 </w:t>
      </w:r>
      <w:proofErr w:type="spellStart"/>
      <w:r w:rsidRPr="00742804">
        <w:rPr>
          <w:rFonts w:ascii="Arial" w:hAnsi="Arial" w:cs="Arial"/>
          <w:sz w:val="16"/>
          <w:szCs w:val="16"/>
        </w:rPr>
        <w:t>Rev</w:t>
      </w:r>
      <w:proofErr w:type="spellEnd"/>
      <w:r w:rsidRPr="00742804">
        <w:rPr>
          <w:rFonts w:ascii="Arial" w:hAnsi="Arial" w:cs="Arial"/>
          <w:sz w:val="16"/>
          <w:szCs w:val="16"/>
        </w:rPr>
        <w:t>. 1/Add.9.par. 11 à 16</w:t>
      </w:r>
      <w:r>
        <w:rPr>
          <w:rFonts w:ascii="Arial" w:hAnsi="Arial" w:cs="Arial"/>
          <w:sz w:val="16"/>
          <w:szCs w:val="16"/>
        </w:rPr>
        <w:t>.</w:t>
      </w:r>
    </w:p>
    <w:p w:rsidR="00723F1B" w:rsidRDefault="00723F1B">
      <w:pPr>
        <w:pStyle w:val="Notedebasdepage"/>
      </w:pPr>
    </w:p>
  </w:footnote>
  <w:footnote w:id="33">
    <w:p w:rsidR="00723F1B" w:rsidRPr="00D86986" w:rsidRDefault="00723F1B" w:rsidP="00D86986">
      <w:pPr>
        <w:pStyle w:val="Notedebasdepage"/>
        <w:jc w:val="both"/>
        <w:rPr>
          <w:sz w:val="18"/>
          <w:szCs w:val="18"/>
        </w:rPr>
      </w:pPr>
      <w:r w:rsidRPr="00D86986">
        <w:rPr>
          <w:rStyle w:val="Appelnotedebasdep"/>
          <w:sz w:val="18"/>
          <w:szCs w:val="18"/>
        </w:rPr>
        <w:footnoteRef/>
      </w:r>
      <w:r w:rsidRPr="00D86986">
        <w:rPr>
          <w:sz w:val="18"/>
          <w:szCs w:val="18"/>
        </w:rPr>
        <w:t xml:space="preserve"> CNIL, Délibération n° 2015-078 du 5 mars 2015 portant avis sur un projet de loi relatif au renseignement.</w:t>
      </w:r>
    </w:p>
    <w:p w:rsidR="00723F1B" w:rsidRDefault="00723F1B">
      <w:pPr>
        <w:pStyle w:val="Notedebasdepage"/>
      </w:pPr>
    </w:p>
  </w:footnote>
  <w:footnote w:id="34">
    <w:p w:rsidR="00723F1B" w:rsidRDefault="00723F1B" w:rsidP="007B7042">
      <w:pPr>
        <w:pStyle w:val="Notedebasdepage"/>
        <w:jc w:val="both"/>
        <w:rPr>
          <w:rFonts w:ascii="Arial" w:hAnsi="Arial" w:cs="Arial"/>
          <w:sz w:val="18"/>
          <w:szCs w:val="18"/>
        </w:rPr>
      </w:pPr>
      <w:r w:rsidRPr="007B7042">
        <w:rPr>
          <w:rStyle w:val="Appelnotedebasdep"/>
          <w:rFonts w:ascii="Arial" w:hAnsi="Arial" w:cs="Arial"/>
          <w:sz w:val="18"/>
          <w:szCs w:val="18"/>
        </w:rPr>
        <w:footnoteRef/>
      </w:r>
      <w:r w:rsidRPr="007B7042">
        <w:rPr>
          <w:rFonts w:ascii="Arial" w:hAnsi="Arial" w:cs="Arial"/>
          <w:sz w:val="18"/>
          <w:szCs w:val="18"/>
        </w:rPr>
        <w:t xml:space="preserve"> </w:t>
      </w:r>
      <w:r w:rsidRPr="007B7042">
        <w:rPr>
          <w:rFonts w:ascii="Arial" w:hAnsi="Arial" w:cs="Arial"/>
          <w:i/>
          <w:sz w:val="18"/>
          <w:szCs w:val="18"/>
        </w:rPr>
        <w:t>Rapport concernant la mise en œuvre de la Convention du Conseil de l’Europe sur la lutte contre la traite des êtres humains par la France</w:t>
      </w:r>
      <w:r w:rsidRPr="007B7042">
        <w:rPr>
          <w:rFonts w:ascii="Arial" w:hAnsi="Arial" w:cs="Arial"/>
          <w:sz w:val="18"/>
          <w:szCs w:val="18"/>
        </w:rPr>
        <w:t>, 1</w:t>
      </w:r>
      <w:r w:rsidRPr="007B7042">
        <w:rPr>
          <w:rFonts w:ascii="Arial" w:hAnsi="Arial" w:cs="Arial"/>
          <w:sz w:val="18"/>
          <w:szCs w:val="18"/>
          <w:vertAlign w:val="superscript"/>
        </w:rPr>
        <w:t>er</w:t>
      </w:r>
      <w:r w:rsidRPr="007B7042">
        <w:rPr>
          <w:rFonts w:ascii="Arial" w:hAnsi="Arial" w:cs="Arial"/>
          <w:sz w:val="18"/>
          <w:szCs w:val="18"/>
        </w:rPr>
        <w:t xml:space="preserve"> cycle d’évaluation, Groupe d’experts sur la lutte contre la traite des êtres humains (GRETA), Conseil de l’Europe - 28 janvier 2013</w:t>
      </w:r>
      <w:r>
        <w:rPr>
          <w:rFonts w:ascii="Arial" w:hAnsi="Arial" w:cs="Arial"/>
          <w:sz w:val="18"/>
          <w:szCs w:val="18"/>
        </w:rPr>
        <w:t>.</w:t>
      </w:r>
    </w:p>
    <w:p w:rsidR="00950988" w:rsidRPr="007B7042" w:rsidRDefault="00950988" w:rsidP="007B7042">
      <w:pPr>
        <w:pStyle w:val="Notedebasdepage"/>
        <w:jc w:val="both"/>
        <w:rPr>
          <w:rFonts w:ascii="Arial" w:hAnsi="Arial" w:cs="Arial"/>
          <w:sz w:val="18"/>
          <w:szCs w:val="18"/>
        </w:rPr>
      </w:pPr>
    </w:p>
  </w:footnote>
  <w:footnote w:id="35">
    <w:p w:rsidR="00723F1B" w:rsidRDefault="00723F1B" w:rsidP="003F651A">
      <w:pPr>
        <w:pStyle w:val="Notedebasdepage"/>
        <w:jc w:val="both"/>
        <w:rPr>
          <w:rFonts w:ascii="Arial" w:hAnsi="Arial" w:cs="Arial"/>
          <w:sz w:val="18"/>
          <w:szCs w:val="18"/>
        </w:rPr>
      </w:pPr>
      <w:r w:rsidRPr="003F651A">
        <w:rPr>
          <w:rStyle w:val="Appelnotedebasdep"/>
          <w:rFonts w:ascii="Arial" w:hAnsi="Arial" w:cs="Arial"/>
          <w:sz w:val="18"/>
          <w:szCs w:val="18"/>
        </w:rPr>
        <w:footnoteRef/>
      </w:r>
      <w:r w:rsidRPr="003F651A">
        <w:rPr>
          <w:rFonts w:ascii="Arial" w:hAnsi="Arial" w:cs="Arial"/>
          <w:sz w:val="18"/>
          <w:szCs w:val="18"/>
        </w:rPr>
        <w:t xml:space="preserve"> Loi n° 2013-711 du 5 août 2013 </w:t>
      </w:r>
      <w:r>
        <w:rPr>
          <w:rFonts w:ascii="Arial" w:hAnsi="Arial" w:cs="Arial"/>
          <w:sz w:val="18"/>
          <w:szCs w:val="18"/>
        </w:rPr>
        <w:t>« </w:t>
      </w:r>
      <w:r w:rsidRPr="003F651A">
        <w:rPr>
          <w:rFonts w:ascii="Arial" w:hAnsi="Arial" w:cs="Arial"/>
          <w:sz w:val="18"/>
          <w:szCs w:val="18"/>
        </w:rPr>
        <w:t>portant diverses dispositions d’adaptation dans le domaine de la justice en application du droit de l’Union européenne et des engagements internationaux de la France</w:t>
      </w:r>
      <w:r>
        <w:rPr>
          <w:rFonts w:ascii="Arial" w:hAnsi="Arial" w:cs="Arial"/>
          <w:sz w:val="18"/>
          <w:szCs w:val="18"/>
        </w:rPr>
        <w:t> »</w:t>
      </w:r>
      <w:r w:rsidRPr="003F651A">
        <w:rPr>
          <w:rFonts w:ascii="Arial" w:hAnsi="Arial" w:cs="Arial"/>
          <w:sz w:val="18"/>
          <w:szCs w:val="18"/>
        </w:rPr>
        <w:t xml:space="preserve">, </w:t>
      </w:r>
      <w:r w:rsidRPr="003F651A">
        <w:rPr>
          <w:rFonts w:ascii="Arial" w:hAnsi="Arial" w:cs="Arial"/>
          <w:i/>
          <w:sz w:val="18"/>
          <w:szCs w:val="18"/>
        </w:rPr>
        <w:t>in</w:t>
      </w:r>
      <w:r w:rsidRPr="003F651A">
        <w:rPr>
          <w:rFonts w:ascii="Arial" w:hAnsi="Arial" w:cs="Arial"/>
          <w:sz w:val="18"/>
          <w:szCs w:val="18"/>
        </w:rPr>
        <w:t xml:space="preserve"> Article 1.</w:t>
      </w:r>
    </w:p>
    <w:p w:rsidR="00723F1B" w:rsidRPr="003F651A" w:rsidRDefault="00723F1B" w:rsidP="003F651A">
      <w:pPr>
        <w:pStyle w:val="Notedebasdepage"/>
        <w:jc w:val="both"/>
        <w:rPr>
          <w:rFonts w:ascii="Arial" w:hAnsi="Arial" w:cs="Arial"/>
          <w:sz w:val="18"/>
          <w:szCs w:val="18"/>
        </w:rPr>
      </w:pPr>
    </w:p>
  </w:footnote>
  <w:footnote w:id="36">
    <w:p w:rsidR="00723F1B" w:rsidRDefault="00723F1B" w:rsidP="003F651A">
      <w:pPr>
        <w:pStyle w:val="Notedebasdepage"/>
        <w:jc w:val="both"/>
        <w:rPr>
          <w:rFonts w:ascii="Arial" w:hAnsi="Arial" w:cs="Arial"/>
          <w:sz w:val="18"/>
          <w:szCs w:val="18"/>
        </w:rPr>
      </w:pPr>
      <w:r w:rsidRPr="003F651A">
        <w:rPr>
          <w:rStyle w:val="Appelnotedebasdep"/>
          <w:rFonts w:ascii="Arial" w:hAnsi="Arial" w:cs="Arial"/>
          <w:sz w:val="18"/>
          <w:szCs w:val="18"/>
        </w:rPr>
        <w:footnoteRef/>
      </w:r>
      <w:r w:rsidRPr="003F651A">
        <w:rPr>
          <w:rFonts w:ascii="Arial" w:hAnsi="Arial" w:cs="Arial"/>
          <w:sz w:val="18"/>
          <w:szCs w:val="18"/>
        </w:rPr>
        <w:t xml:space="preserve"> </w:t>
      </w:r>
      <w:proofErr w:type="spellStart"/>
      <w:r w:rsidRPr="000906F2">
        <w:rPr>
          <w:rFonts w:ascii="Arial" w:hAnsi="Arial" w:cs="Arial"/>
          <w:i/>
          <w:sz w:val="18"/>
          <w:szCs w:val="18"/>
        </w:rPr>
        <w:t>Ibid</w:t>
      </w:r>
      <w:proofErr w:type="spellEnd"/>
      <w:r>
        <w:rPr>
          <w:rFonts w:ascii="Arial" w:hAnsi="Arial" w:cs="Arial"/>
          <w:sz w:val="18"/>
          <w:szCs w:val="18"/>
        </w:rPr>
        <w:t>,</w:t>
      </w:r>
      <w:r w:rsidRPr="003F651A">
        <w:rPr>
          <w:rFonts w:ascii="Arial" w:hAnsi="Arial" w:cs="Arial"/>
          <w:sz w:val="18"/>
          <w:szCs w:val="18"/>
        </w:rPr>
        <w:t xml:space="preserve"> </w:t>
      </w:r>
      <w:r w:rsidRPr="000906F2">
        <w:rPr>
          <w:rFonts w:ascii="Arial" w:hAnsi="Arial" w:cs="Arial"/>
          <w:sz w:val="18"/>
          <w:szCs w:val="18"/>
        </w:rPr>
        <w:t>in</w:t>
      </w:r>
      <w:r w:rsidRPr="003F651A">
        <w:rPr>
          <w:rFonts w:ascii="Arial" w:hAnsi="Arial" w:cs="Arial"/>
          <w:sz w:val="18"/>
          <w:szCs w:val="18"/>
        </w:rPr>
        <w:t xml:space="preserve"> page 64, Annexe 1 : Liste des propositions du GRETA</w:t>
      </w:r>
      <w:r>
        <w:rPr>
          <w:rFonts w:ascii="Arial" w:hAnsi="Arial" w:cs="Arial"/>
          <w:sz w:val="18"/>
          <w:szCs w:val="18"/>
        </w:rPr>
        <w:t>.</w:t>
      </w:r>
    </w:p>
    <w:p w:rsidR="00723F1B" w:rsidRPr="003F651A" w:rsidRDefault="00723F1B" w:rsidP="003F651A">
      <w:pPr>
        <w:pStyle w:val="Notedebasdepage"/>
        <w:jc w:val="both"/>
        <w:rPr>
          <w:rFonts w:ascii="Arial" w:hAnsi="Arial" w:cs="Arial"/>
          <w:sz w:val="18"/>
          <w:szCs w:val="18"/>
        </w:rPr>
      </w:pPr>
    </w:p>
  </w:footnote>
  <w:footnote w:id="37">
    <w:p w:rsidR="00723F1B" w:rsidRDefault="00723F1B" w:rsidP="00C15AF4">
      <w:pPr>
        <w:pStyle w:val="Notedebasdepage"/>
        <w:jc w:val="both"/>
        <w:rPr>
          <w:rFonts w:ascii="Arial" w:hAnsi="Arial" w:cs="Arial"/>
          <w:sz w:val="18"/>
          <w:szCs w:val="18"/>
        </w:rPr>
      </w:pPr>
      <w:r w:rsidRPr="00C15AF4">
        <w:rPr>
          <w:rStyle w:val="Appelnotedebasdep"/>
          <w:rFonts w:ascii="Arial" w:hAnsi="Arial" w:cs="Arial"/>
          <w:sz w:val="18"/>
          <w:szCs w:val="18"/>
        </w:rPr>
        <w:footnoteRef/>
      </w:r>
      <w:r w:rsidRPr="00C15AF4">
        <w:rPr>
          <w:rFonts w:ascii="Arial" w:hAnsi="Arial" w:cs="Arial"/>
          <w:sz w:val="18"/>
          <w:szCs w:val="18"/>
        </w:rPr>
        <w:t xml:space="preserve"> CNCDH, Avis sur la proposition de loi renforçant la lutte contre le système prostitutionnel, Assemblée plénière du 22 mai 2014, </w:t>
      </w:r>
      <w:r w:rsidRPr="00C62205">
        <w:rPr>
          <w:rFonts w:ascii="Arial" w:hAnsi="Arial" w:cs="Arial"/>
          <w:i/>
          <w:sz w:val="18"/>
          <w:szCs w:val="18"/>
        </w:rPr>
        <w:t>in</w:t>
      </w:r>
      <w:r w:rsidRPr="00C15AF4">
        <w:rPr>
          <w:rFonts w:ascii="Arial" w:hAnsi="Arial" w:cs="Arial"/>
          <w:sz w:val="18"/>
          <w:szCs w:val="18"/>
        </w:rPr>
        <w:t xml:space="preserve"> paragraphes 13 et 14.</w:t>
      </w:r>
    </w:p>
    <w:p w:rsidR="00723F1B" w:rsidRPr="00C62205" w:rsidRDefault="00723F1B" w:rsidP="00C62205">
      <w:pPr>
        <w:pStyle w:val="Notedebasdepage"/>
        <w:jc w:val="both"/>
        <w:rPr>
          <w:rFonts w:ascii="Arial" w:hAnsi="Arial" w:cs="Arial"/>
          <w:sz w:val="18"/>
          <w:szCs w:val="18"/>
        </w:rPr>
      </w:pPr>
    </w:p>
  </w:footnote>
  <w:footnote w:id="38">
    <w:p w:rsidR="00723F1B" w:rsidRDefault="00723F1B" w:rsidP="00C62205">
      <w:pPr>
        <w:pStyle w:val="Notedebasdepage"/>
        <w:jc w:val="both"/>
        <w:rPr>
          <w:rFonts w:ascii="Arial" w:hAnsi="Arial" w:cs="Arial"/>
          <w:sz w:val="18"/>
          <w:szCs w:val="18"/>
        </w:rPr>
      </w:pPr>
      <w:r w:rsidRPr="00C62205">
        <w:rPr>
          <w:rStyle w:val="Appelnotedebasdep"/>
          <w:rFonts w:ascii="Arial" w:hAnsi="Arial" w:cs="Arial"/>
          <w:sz w:val="18"/>
          <w:szCs w:val="18"/>
        </w:rPr>
        <w:footnoteRef/>
      </w:r>
      <w:r w:rsidRPr="00C62205">
        <w:rPr>
          <w:rFonts w:ascii="Arial" w:hAnsi="Arial" w:cs="Arial"/>
          <w:sz w:val="18"/>
          <w:szCs w:val="18"/>
        </w:rPr>
        <w:t xml:space="preserve"> </w:t>
      </w:r>
      <w:r w:rsidRPr="00C62205">
        <w:rPr>
          <w:rFonts w:ascii="Arial" w:hAnsi="Arial" w:cs="Arial"/>
          <w:i/>
          <w:sz w:val="18"/>
          <w:szCs w:val="18"/>
        </w:rPr>
        <w:t>Ibid.</w:t>
      </w:r>
      <w:r w:rsidRPr="00C62205">
        <w:rPr>
          <w:rFonts w:ascii="Arial" w:hAnsi="Arial" w:cs="Arial"/>
          <w:sz w:val="18"/>
          <w:szCs w:val="18"/>
        </w:rPr>
        <w:t xml:space="preserve"> -  Il s’agit</w:t>
      </w:r>
      <w:r>
        <w:rPr>
          <w:rFonts w:ascii="Arial" w:hAnsi="Arial" w:cs="Arial"/>
          <w:sz w:val="18"/>
          <w:szCs w:val="18"/>
        </w:rPr>
        <w:t>, dans le code pénal,</w:t>
      </w:r>
      <w:r w:rsidRPr="00C62205">
        <w:rPr>
          <w:rFonts w:ascii="Arial" w:hAnsi="Arial" w:cs="Arial"/>
          <w:sz w:val="18"/>
          <w:szCs w:val="18"/>
        </w:rPr>
        <w:t xml:space="preserve"> du proxénétisme (art. 225-5 et suivants), </w:t>
      </w:r>
      <w:r>
        <w:rPr>
          <w:rFonts w:ascii="Arial" w:hAnsi="Arial" w:cs="Arial"/>
          <w:sz w:val="18"/>
          <w:szCs w:val="18"/>
        </w:rPr>
        <w:t xml:space="preserve">de </w:t>
      </w:r>
      <w:r w:rsidRPr="00C62205">
        <w:rPr>
          <w:rFonts w:ascii="Arial" w:hAnsi="Arial" w:cs="Arial"/>
          <w:sz w:val="18"/>
          <w:szCs w:val="18"/>
        </w:rPr>
        <w:t xml:space="preserve">l’agression et atteintes sexuelles (art. 222-22 et suivants), </w:t>
      </w:r>
      <w:r>
        <w:rPr>
          <w:rFonts w:ascii="Arial" w:hAnsi="Arial" w:cs="Arial"/>
          <w:sz w:val="18"/>
          <w:szCs w:val="18"/>
        </w:rPr>
        <w:t xml:space="preserve">de </w:t>
      </w:r>
      <w:r w:rsidRPr="00C62205">
        <w:rPr>
          <w:rFonts w:ascii="Arial" w:hAnsi="Arial" w:cs="Arial"/>
          <w:sz w:val="18"/>
          <w:szCs w:val="18"/>
        </w:rPr>
        <w:t xml:space="preserve">l’exploitation de la mendicité (art. 225-12-5 et suivants), </w:t>
      </w:r>
      <w:proofErr w:type="spellStart"/>
      <w:r>
        <w:rPr>
          <w:rFonts w:ascii="Arial" w:hAnsi="Arial" w:cs="Arial"/>
          <w:sz w:val="18"/>
          <w:szCs w:val="18"/>
        </w:rPr>
        <w:t>d</w:t>
      </w:r>
      <w:r w:rsidRPr="00C62205">
        <w:rPr>
          <w:rFonts w:ascii="Arial" w:hAnsi="Arial" w:cs="Arial"/>
          <w:sz w:val="18"/>
          <w:szCs w:val="18"/>
        </w:rPr>
        <w:t>les</w:t>
      </w:r>
      <w:proofErr w:type="spellEnd"/>
      <w:r w:rsidRPr="00C62205">
        <w:rPr>
          <w:rFonts w:ascii="Arial" w:hAnsi="Arial" w:cs="Arial"/>
          <w:sz w:val="18"/>
          <w:szCs w:val="18"/>
        </w:rPr>
        <w:t xml:space="preserve"> conditions indignes de travail ou d’hébergement (art. 225-13 et suivants)</w:t>
      </w:r>
      <w:r>
        <w:rPr>
          <w:rFonts w:ascii="Arial" w:hAnsi="Arial" w:cs="Arial"/>
          <w:sz w:val="18"/>
          <w:szCs w:val="18"/>
        </w:rPr>
        <w:t>, de la délinquance forcée (art. 121-7 et 122-2), de la réduction en esclavage (art. 212-1), du prélèvement illicite d’organe, de tissu, de cellules ou d’un produit du corps humain (art. 511-3 et 511-5).</w:t>
      </w:r>
    </w:p>
    <w:p w:rsidR="00723F1B" w:rsidRPr="00C62205" w:rsidRDefault="00723F1B" w:rsidP="00C62205">
      <w:pPr>
        <w:pStyle w:val="Notedebasdepage"/>
        <w:jc w:val="both"/>
        <w:rPr>
          <w:rFonts w:ascii="Arial" w:hAnsi="Arial" w:cs="Arial"/>
          <w:sz w:val="18"/>
          <w:szCs w:val="18"/>
        </w:rPr>
      </w:pPr>
    </w:p>
  </w:footnote>
  <w:footnote w:id="39">
    <w:p w:rsidR="00723F1B" w:rsidRDefault="00723F1B" w:rsidP="000B6D2F">
      <w:pPr>
        <w:pStyle w:val="Notedebasdepage"/>
        <w:jc w:val="both"/>
        <w:rPr>
          <w:rFonts w:ascii="Arial" w:hAnsi="Arial" w:cs="Arial"/>
          <w:sz w:val="18"/>
          <w:szCs w:val="18"/>
        </w:rPr>
      </w:pPr>
      <w:r w:rsidRPr="000B6D2F">
        <w:rPr>
          <w:rStyle w:val="Appelnotedebasdep"/>
          <w:rFonts w:ascii="Arial" w:hAnsi="Arial" w:cs="Arial"/>
          <w:sz w:val="18"/>
          <w:szCs w:val="18"/>
        </w:rPr>
        <w:footnoteRef/>
      </w:r>
      <w:r w:rsidRPr="000B6D2F">
        <w:rPr>
          <w:rFonts w:ascii="Arial" w:hAnsi="Arial" w:cs="Arial"/>
          <w:sz w:val="18"/>
          <w:szCs w:val="18"/>
        </w:rPr>
        <w:t xml:space="preserve"> </w:t>
      </w:r>
      <w:r w:rsidRPr="000B6D2F">
        <w:rPr>
          <w:rFonts w:ascii="Arial" w:hAnsi="Arial" w:cs="Arial"/>
          <w:i/>
          <w:sz w:val="18"/>
          <w:szCs w:val="18"/>
        </w:rPr>
        <w:t>Ibid</w:t>
      </w:r>
      <w:r w:rsidRPr="000B6D2F">
        <w:rPr>
          <w:rFonts w:ascii="Arial" w:hAnsi="Arial" w:cs="Arial"/>
          <w:sz w:val="18"/>
          <w:szCs w:val="18"/>
        </w:rPr>
        <w:t>. - paragraphe 17</w:t>
      </w:r>
    </w:p>
    <w:p w:rsidR="00723F1B" w:rsidRPr="000B6D2F" w:rsidRDefault="00723F1B" w:rsidP="000B6D2F">
      <w:pPr>
        <w:pStyle w:val="Notedebasdepage"/>
        <w:jc w:val="both"/>
        <w:rPr>
          <w:rFonts w:ascii="Arial" w:hAnsi="Arial" w:cs="Arial"/>
          <w:sz w:val="18"/>
          <w:szCs w:val="18"/>
        </w:rPr>
      </w:pPr>
    </w:p>
  </w:footnote>
  <w:footnote w:id="40">
    <w:p w:rsidR="00723F1B" w:rsidRDefault="00723F1B" w:rsidP="00B81401">
      <w:pPr>
        <w:pStyle w:val="Notedebasdepage"/>
        <w:jc w:val="both"/>
      </w:pPr>
      <w:r>
        <w:rPr>
          <w:rStyle w:val="Appelnotedebasdep"/>
        </w:rPr>
        <w:footnoteRef/>
      </w:r>
      <w:r>
        <w:t xml:space="preserve"> </w:t>
      </w:r>
      <w:r w:rsidRPr="007B7042">
        <w:rPr>
          <w:rFonts w:ascii="Arial" w:hAnsi="Arial" w:cs="Arial"/>
          <w:i/>
          <w:sz w:val="18"/>
          <w:szCs w:val="18"/>
        </w:rPr>
        <w:t>Rapport concernant la mise en œuvre de la Convention du Conseil de l’Europe sur la lutte contre la traite des êtres humains par la France</w:t>
      </w:r>
      <w:r w:rsidRPr="007B7042">
        <w:rPr>
          <w:rFonts w:ascii="Arial" w:hAnsi="Arial" w:cs="Arial"/>
          <w:sz w:val="18"/>
          <w:szCs w:val="18"/>
        </w:rPr>
        <w:t>, 1</w:t>
      </w:r>
      <w:r w:rsidRPr="007B7042">
        <w:rPr>
          <w:rFonts w:ascii="Arial" w:hAnsi="Arial" w:cs="Arial"/>
          <w:sz w:val="18"/>
          <w:szCs w:val="18"/>
          <w:vertAlign w:val="superscript"/>
        </w:rPr>
        <w:t>er</w:t>
      </w:r>
      <w:r w:rsidRPr="007B7042">
        <w:rPr>
          <w:rFonts w:ascii="Arial" w:hAnsi="Arial" w:cs="Arial"/>
          <w:sz w:val="18"/>
          <w:szCs w:val="18"/>
        </w:rPr>
        <w:t xml:space="preserve"> cycle d’évaluation, Groupe d’experts sur la lutte contre la traite des êtres humains (GRETA), Conseil de l’Europe - 28 janvier 2013</w:t>
      </w:r>
    </w:p>
  </w:footnote>
  <w:footnote w:id="41">
    <w:p w:rsidR="00723F1B" w:rsidRDefault="00723F1B" w:rsidP="008366A3">
      <w:pPr>
        <w:pStyle w:val="Notedebasdepage"/>
        <w:jc w:val="both"/>
        <w:rPr>
          <w:rFonts w:ascii="Arial" w:hAnsi="Arial" w:cs="Arial"/>
          <w:sz w:val="18"/>
          <w:szCs w:val="18"/>
        </w:rPr>
      </w:pPr>
      <w:r w:rsidRPr="00771DC3">
        <w:rPr>
          <w:rStyle w:val="Appelnotedebasdep"/>
          <w:rFonts w:ascii="Arial" w:hAnsi="Arial" w:cs="Arial"/>
          <w:sz w:val="18"/>
          <w:szCs w:val="18"/>
        </w:rPr>
        <w:footnoteRef/>
      </w:r>
      <w:r w:rsidRPr="00771DC3">
        <w:rPr>
          <w:rFonts w:ascii="Arial" w:hAnsi="Arial" w:cs="Arial"/>
          <w:sz w:val="18"/>
          <w:szCs w:val="18"/>
        </w:rPr>
        <w:t xml:space="preserve"> Commission nationale consultative des droits de l’Homme (CNCDH), « </w:t>
      </w:r>
      <w:r w:rsidRPr="00771DC3">
        <w:rPr>
          <w:rFonts w:ascii="Arial" w:hAnsi="Arial" w:cs="Arial"/>
          <w:i/>
          <w:sz w:val="18"/>
          <w:szCs w:val="18"/>
        </w:rPr>
        <w:t>La lutte contre le racisme, l’antisémitisme et la xénophobie - Année 2013 </w:t>
      </w:r>
      <w:r w:rsidRPr="00771DC3">
        <w:rPr>
          <w:rFonts w:ascii="Arial" w:hAnsi="Arial" w:cs="Arial"/>
          <w:sz w:val="18"/>
          <w:szCs w:val="18"/>
        </w:rPr>
        <w:t xml:space="preserve">», </w:t>
      </w:r>
      <w:r w:rsidRPr="008F47DC">
        <w:rPr>
          <w:rFonts w:ascii="Arial" w:hAnsi="Arial" w:cs="Arial"/>
          <w:i/>
          <w:sz w:val="18"/>
          <w:szCs w:val="18"/>
        </w:rPr>
        <w:t>in</w:t>
      </w:r>
      <w:r w:rsidRPr="00771DC3">
        <w:rPr>
          <w:rFonts w:ascii="Arial" w:hAnsi="Arial" w:cs="Arial"/>
          <w:sz w:val="18"/>
          <w:szCs w:val="18"/>
        </w:rPr>
        <w:t xml:space="preserve"> Chapitre 2 « L’action du gouvernement en faveur de la </w:t>
      </w:r>
      <w:proofErr w:type="spellStart"/>
      <w:r w:rsidRPr="00771DC3">
        <w:rPr>
          <w:rFonts w:ascii="Arial" w:hAnsi="Arial" w:cs="Arial"/>
          <w:sz w:val="18"/>
          <w:szCs w:val="18"/>
        </w:rPr>
        <w:t>lute</w:t>
      </w:r>
      <w:proofErr w:type="spellEnd"/>
      <w:r w:rsidRPr="00771DC3">
        <w:rPr>
          <w:rFonts w:ascii="Arial" w:hAnsi="Arial" w:cs="Arial"/>
          <w:sz w:val="18"/>
          <w:szCs w:val="18"/>
        </w:rPr>
        <w:t xml:space="preserve"> contre le racisme, l’antisémitisme et la xénophobie », pages 69 et suivantes.</w:t>
      </w:r>
    </w:p>
    <w:p w:rsidR="00723F1B" w:rsidRPr="00771DC3" w:rsidRDefault="00723F1B" w:rsidP="008366A3">
      <w:pPr>
        <w:pStyle w:val="Notedebasdepage"/>
        <w:jc w:val="both"/>
        <w:rPr>
          <w:rFonts w:ascii="Arial" w:hAnsi="Arial" w:cs="Arial"/>
          <w:sz w:val="18"/>
          <w:szCs w:val="18"/>
        </w:rPr>
      </w:pPr>
    </w:p>
  </w:footnote>
  <w:footnote w:id="42">
    <w:p w:rsidR="00723F1B" w:rsidRDefault="00723F1B" w:rsidP="008366A3">
      <w:pPr>
        <w:pStyle w:val="Notedebasdepage"/>
        <w:jc w:val="both"/>
        <w:rPr>
          <w:rFonts w:ascii="Arial" w:hAnsi="Arial" w:cs="Arial"/>
          <w:sz w:val="18"/>
          <w:szCs w:val="18"/>
        </w:rPr>
      </w:pPr>
      <w:r w:rsidRPr="00BA0463">
        <w:rPr>
          <w:rStyle w:val="Appelnotedebasdep"/>
          <w:rFonts w:ascii="Arial" w:hAnsi="Arial" w:cs="Arial"/>
          <w:sz w:val="18"/>
          <w:szCs w:val="18"/>
        </w:rPr>
        <w:footnoteRef/>
      </w:r>
      <w:r w:rsidRPr="00BA0463">
        <w:rPr>
          <w:rFonts w:ascii="Arial" w:hAnsi="Arial" w:cs="Arial"/>
          <w:sz w:val="18"/>
          <w:szCs w:val="18"/>
        </w:rPr>
        <w:t xml:space="preserve"> Cour d’appel de Paris, arrêt du 5 juin 2014.</w:t>
      </w:r>
    </w:p>
    <w:p w:rsidR="00723F1B" w:rsidRPr="00BA0463" w:rsidRDefault="00723F1B" w:rsidP="008366A3">
      <w:pPr>
        <w:pStyle w:val="Notedebasdepage"/>
        <w:jc w:val="both"/>
        <w:rPr>
          <w:rFonts w:ascii="Arial" w:hAnsi="Arial" w:cs="Arial"/>
          <w:sz w:val="18"/>
          <w:szCs w:val="18"/>
        </w:rPr>
      </w:pPr>
    </w:p>
  </w:footnote>
  <w:footnote w:id="43">
    <w:p w:rsidR="00723F1B" w:rsidRPr="00BA0463" w:rsidRDefault="00723F1B" w:rsidP="008366A3">
      <w:pPr>
        <w:pStyle w:val="Notedebasdepage"/>
        <w:jc w:val="both"/>
        <w:rPr>
          <w:rFonts w:ascii="Arial" w:hAnsi="Arial" w:cs="Arial"/>
          <w:sz w:val="18"/>
          <w:szCs w:val="18"/>
        </w:rPr>
      </w:pPr>
      <w:r w:rsidRPr="00BA0463">
        <w:rPr>
          <w:rStyle w:val="Appelnotedebasdep"/>
          <w:rFonts w:ascii="Arial" w:hAnsi="Arial" w:cs="Arial"/>
          <w:sz w:val="18"/>
          <w:szCs w:val="18"/>
        </w:rPr>
        <w:footnoteRef/>
      </w:r>
      <w:r w:rsidRPr="00BA0463">
        <w:rPr>
          <w:rFonts w:ascii="Arial" w:hAnsi="Arial" w:cs="Arial"/>
          <w:sz w:val="18"/>
          <w:szCs w:val="18"/>
        </w:rPr>
        <w:t xml:space="preserve"> Tribunal de grande instance de Paris, jugement du 18 novembre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71608"/>
    <w:multiLevelType w:val="hybridMultilevel"/>
    <w:tmpl w:val="A6A49532"/>
    <w:lvl w:ilvl="0" w:tplc="5A363676">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7DB611E"/>
    <w:multiLevelType w:val="hybridMultilevel"/>
    <w:tmpl w:val="85C8D76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AC47BE0"/>
    <w:multiLevelType w:val="hybridMultilevel"/>
    <w:tmpl w:val="41CA300A"/>
    <w:lvl w:ilvl="0" w:tplc="040C000F">
      <w:start w:val="1"/>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D3C3CAC"/>
    <w:multiLevelType w:val="hybridMultilevel"/>
    <w:tmpl w:val="2C563D34"/>
    <w:lvl w:ilvl="0" w:tplc="1E70117C">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nsid w:val="25601E93"/>
    <w:multiLevelType w:val="hybridMultilevel"/>
    <w:tmpl w:val="82BE1FE2"/>
    <w:lvl w:ilvl="0" w:tplc="ADB47608">
      <w:start w:val="4"/>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5">
    <w:nsid w:val="29D04669"/>
    <w:multiLevelType w:val="hybridMultilevel"/>
    <w:tmpl w:val="79A08E4C"/>
    <w:lvl w:ilvl="0" w:tplc="040C000F">
      <w:start w:val="1"/>
      <w:numFmt w:val="decimal"/>
      <w:lvlText w:val="%1."/>
      <w:lvlJc w:val="left"/>
      <w:pPr>
        <w:ind w:left="720" w:hanging="360"/>
      </w:pPr>
      <w:rPr>
        <w:rFonts w:hint="default"/>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BE92935"/>
    <w:multiLevelType w:val="hybridMultilevel"/>
    <w:tmpl w:val="1BCA9D76"/>
    <w:lvl w:ilvl="0" w:tplc="82300DFE">
      <w:start w:val="1"/>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7">
    <w:nsid w:val="3D6103A8"/>
    <w:multiLevelType w:val="hybridMultilevel"/>
    <w:tmpl w:val="1A18800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67E110A"/>
    <w:multiLevelType w:val="hybridMultilevel"/>
    <w:tmpl w:val="CF4C2E7C"/>
    <w:lvl w:ilvl="0" w:tplc="C52CB540">
      <w:numFmt w:val="bullet"/>
      <w:lvlText w:val="-"/>
      <w:lvlJc w:val="left"/>
      <w:pPr>
        <w:ind w:left="1065" w:hanging="360"/>
      </w:pPr>
      <w:rPr>
        <w:rFonts w:ascii="Arial" w:eastAsiaTheme="minorHAnsi" w:hAnsi="Arial" w:cs="Arial"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9">
    <w:nsid w:val="4F203B90"/>
    <w:multiLevelType w:val="multilevel"/>
    <w:tmpl w:val="C3785306"/>
    <w:lvl w:ilvl="0">
      <w:start w:val="1"/>
      <w:numFmt w:val="decimal"/>
      <w:lvlText w:val="%1."/>
      <w:lvlJc w:val="left"/>
      <w:pPr>
        <w:ind w:left="360" w:hanging="360"/>
      </w:pPr>
      <w:rPr>
        <w:rFonts w:hint="default"/>
        <w:b w:val="0"/>
        <w:color w:val="auto"/>
        <w:sz w:val="20"/>
        <w:szCs w:val="20"/>
      </w:r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28752E0"/>
    <w:multiLevelType w:val="hybridMultilevel"/>
    <w:tmpl w:val="D3EEFD72"/>
    <w:lvl w:ilvl="0" w:tplc="1A5C8CF4">
      <w:start w:val="1"/>
      <w:numFmt w:val="decimal"/>
      <w:lvlText w:val="%1."/>
      <w:lvlJc w:val="left"/>
      <w:pPr>
        <w:ind w:left="1068" w:hanging="360"/>
      </w:pPr>
      <w:rPr>
        <w:rFonts w:ascii="Arial" w:eastAsiaTheme="minorHAnsi" w:hAnsi="Arial" w:cs="Arial" w:hint="default"/>
        <w:i w:val="0"/>
        <w:color w:val="auto"/>
        <w:sz w:val="20"/>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1">
    <w:nsid w:val="54E217D1"/>
    <w:multiLevelType w:val="hybridMultilevel"/>
    <w:tmpl w:val="BA9CA280"/>
    <w:lvl w:ilvl="0" w:tplc="12A45B02">
      <w:start w:val="43"/>
      <w:numFmt w:val="bullet"/>
      <w:lvlText w:val="-"/>
      <w:lvlJc w:val="left"/>
      <w:pPr>
        <w:ind w:left="1065" w:hanging="360"/>
      </w:pPr>
      <w:rPr>
        <w:rFonts w:ascii="Arial" w:eastAsiaTheme="minorEastAsia" w:hAnsi="Arial" w:cs="Arial"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2">
    <w:nsid w:val="5E2446A8"/>
    <w:multiLevelType w:val="hybridMultilevel"/>
    <w:tmpl w:val="DCA0757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4AD1B79"/>
    <w:multiLevelType w:val="hybridMultilevel"/>
    <w:tmpl w:val="310E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CB77D11"/>
    <w:multiLevelType w:val="multilevel"/>
    <w:tmpl w:val="0854EF7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D340EFA"/>
    <w:multiLevelType w:val="hybridMultilevel"/>
    <w:tmpl w:val="2E8878E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5"/>
  </w:num>
  <w:num w:numId="2">
    <w:abstractNumId w:val="12"/>
  </w:num>
  <w:num w:numId="3">
    <w:abstractNumId w:val="5"/>
  </w:num>
  <w:num w:numId="4">
    <w:abstractNumId w:val="11"/>
  </w:num>
  <w:num w:numId="5">
    <w:abstractNumId w:val="9"/>
  </w:num>
  <w:num w:numId="6">
    <w:abstractNumId w:val="8"/>
  </w:num>
  <w:num w:numId="7">
    <w:abstractNumId w:val="3"/>
  </w:num>
  <w:num w:numId="8">
    <w:abstractNumId w:val="6"/>
  </w:num>
  <w:num w:numId="9">
    <w:abstractNumId w:val="10"/>
  </w:num>
  <w:num w:numId="10">
    <w:abstractNumId w:val="13"/>
  </w:num>
  <w:num w:numId="11">
    <w:abstractNumId w:val="14"/>
  </w:num>
  <w:num w:numId="12">
    <w:abstractNumId w:val="4"/>
  </w:num>
  <w:num w:numId="13">
    <w:abstractNumId w:val="0"/>
  </w:num>
  <w:num w:numId="14">
    <w:abstractNumId w:val="1"/>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587"/>
    <w:rsid w:val="00002028"/>
    <w:rsid w:val="00017AA2"/>
    <w:rsid w:val="00030BAC"/>
    <w:rsid w:val="00031DAA"/>
    <w:rsid w:val="00051AEE"/>
    <w:rsid w:val="000603A5"/>
    <w:rsid w:val="00084FB1"/>
    <w:rsid w:val="00085510"/>
    <w:rsid w:val="00085FF5"/>
    <w:rsid w:val="00086E7A"/>
    <w:rsid w:val="000906F2"/>
    <w:rsid w:val="000936B0"/>
    <w:rsid w:val="0009523A"/>
    <w:rsid w:val="000A12E4"/>
    <w:rsid w:val="000A34FF"/>
    <w:rsid w:val="000A5BF6"/>
    <w:rsid w:val="000A603A"/>
    <w:rsid w:val="000B0C34"/>
    <w:rsid w:val="000B65D8"/>
    <w:rsid w:val="000B6D2F"/>
    <w:rsid w:val="000C2BA7"/>
    <w:rsid w:val="000F03CD"/>
    <w:rsid w:val="0011119E"/>
    <w:rsid w:val="00112A9D"/>
    <w:rsid w:val="00115BE5"/>
    <w:rsid w:val="00142722"/>
    <w:rsid w:val="00154F26"/>
    <w:rsid w:val="0015577A"/>
    <w:rsid w:val="00167942"/>
    <w:rsid w:val="001742C1"/>
    <w:rsid w:val="00181DA0"/>
    <w:rsid w:val="00196A66"/>
    <w:rsid w:val="001A1F46"/>
    <w:rsid w:val="001A43A9"/>
    <w:rsid w:val="001A5F3B"/>
    <w:rsid w:val="001A61BF"/>
    <w:rsid w:val="001B02E1"/>
    <w:rsid w:val="001B7545"/>
    <w:rsid w:val="001C2B43"/>
    <w:rsid w:val="001C5ED1"/>
    <w:rsid w:val="001D6077"/>
    <w:rsid w:val="001E3464"/>
    <w:rsid w:val="0021227A"/>
    <w:rsid w:val="00226262"/>
    <w:rsid w:val="00226E95"/>
    <w:rsid w:val="00230860"/>
    <w:rsid w:val="0023443D"/>
    <w:rsid w:val="00250C09"/>
    <w:rsid w:val="002575AC"/>
    <w:rsid w:val="00261981"/>
    <w:rsid w:val="00264410"/>
    <w:rsid w:val="00266E4A"/>
    <w:rsid w:val="00273C10"/>
    <w:rsid w:val="00275389"/>
    <w:rsid w:val="0028107E"/>
    <w:rsid w:val="002822F3"/>
    <w:rsid w:val="00292492"/>
    <w:rsid w:val="002A2410"/>
    <w:rsid w:val="002F7A42"/>
    <w:rsid w:val="00307BC4"/>
    <w:rsid w:val="003237D5"/>
    <w:rsid w:val="00324F84"/>
    <w:rsid w:val="003330D3"/>
    <w:rsid w:val="00334957"/>
    <w:rsid w:val="00351F2A"/>
    <w:rsid w:val="00365AB1"/>
    <w:rsid w:val="00392BE8"/>
    <w:rsid w:val="00392CFB"/>
    <w:rsid w:val="003C0595"/>
    <w:rsid w:val="003D3D4B"/>
    <w:rsid w:val="003D6746"/>
    <w:rsid w:val="003D7C31"/>
    <w:rsid w:val="003E5F55"/>
    <w:rsid w:val="003E6240"/>
    <w:rsid w:val="003E75DD"/>
    <w:rsid w:val="003F651A"/>
    <w:rsid w:val="003F70D4"/>
    <w:rsid w:val="003F7AE4"/>
    <w:rsid w:val="00400292"/>
    <w:rsid w:val="00405C62"/>
    <w:rsid w:val="00413357"/>
    <w:rsid w:val="00431F5F"/>
    <w:rsid w:val="0044080C"/>
    <w:rsid w:val="00453300"/>
    <w:rsid w:val="00455B30"/>
    <w:rsid w:val="00474DB8"/>
    <w:rsid w:val="0047627C"/>
    <w:rsid w:val="004812CD"/>
    <w:rsid w:val="00486240"/>
    <w:rsid w:val="004912A7"/>
    <w:rsid w:val="004B3275"/>
    <w:rsid w:val="004E1954"/>
    <w:rsid w:val="004E40DD"/>
    <w:rsid w:val="004F2AA3"/>
    <w:rsid w:val="00505E59"/>
    <w:rsid w:val="00511029"/>
    <w:rsid w:val="00520ACA"/>
    <w:rsid w:val="005307CB"/>
    <w:rsid w:val="00535784"/>
    <w:rsid w:val="00542873"/>
    <w:rsid w:val="00543A2F"/>
    <w:rsid w:val="005453FE"/>
    <w:rsid w:val="00565BE9"/>
    <w:rsid w:val="005744BE"/>
    <w:rsid w:val="00577194"/>
    <w:rsid w:val="005931CF"/>
    <w:rsid w:val="005B79A8"/>
    <w:rsid w:val="005C353C"/>
    <w:rsid w:val="005C6F89"/>
    <w:rsid w:val="005D0260"/>
    <w:rsid w:val="005D3DFD"/>
    <w:rsid w:val="005D4332"/>
    <w:rsid w:val="005F55DE"/>
    <w:rsid w:val="006102C4"/>
    <w:rsid w:val="00616E86"/>
    <w:rsid w:val="006245F0"/>
    <w:rsid w:val="006433AA"/>
    <w:rsid w:val="00650AA4"/>
    <w:rsid w:val="0065412A"/>
    <w:rsid w:val="00654174"/>
    <w:rsid w:val="006620E1"/>
    <w:rsid w:val="006656BA"/>
    <w:rsid w:val="00670261"/>
    <w:rsid w:val="00670352"/>
    <w:rsid w:val="00673A33"/>
    <w:rsid w:val="00690BCA"/>
    <w:rsid w:val="006A32BD"/>
    <w:rsid w:val="006A4816"/>
    <w:rsid w:val="006A4E65"/>
    <w:rsid w:val="006C6899"/>
    <w:rsid w:val="006D621B"/>
    <w:rsid w:val="006E0564"/>
    <w:rsid w:val="006E2911"/>
    <w:rsid w:val="006E3929"/>
    <w:rsid w:val="006E6324"/>
    <w:rsid w:val="006F0F1B"/>
    <w:rsid w:val="006F4C7E"/>
    <w:rsid w:val="007223B2"/>
    <w:rsid w:val="00723F1B"/>
    <w:rsid w:val="00726CEB"/>
    <w:rsid w:val="00742804"/>
    <w:rsid w:val="0074289C"/>
    <w:rsid w:val="0074297E"/>
    <w:rsid w:val="00744373"/>
    <w:rsid w:val="00761FD7"/>
    <w:rsid w:val="00762587"/>
    <w:rsid w:val="00776D98"/>
    <w:rsid w:val="0079334C"/>
    <w:rsid w:val="007B7042"/>
    <w:rsid w:val="007C62E7"/>
    <w:rsid w:val="007D3822"/>
    <w:rsid w:val="007E2C5B"/>
    <w:rsid w:val="007E584D"/>
    <w:rsid w:val="008065FF"/>
    <w:rsid w:val="00835365"/>
    <w:rsid w:val="008366A3"/>
    <w:rsid w:val="008619F3"/>
    <w:rsid w:val="00862719"/>
    <w:rsid w:val="00863110"/>
    <w:rsid w:val="008727DB"/>
    <w:rsid w:val="00875447"/>
    <w:rsid w:val="00885564"/>
    <w:rsid w:val="00893456"/>
    <w:rsid w:val="008B0774"/>
    <w:rsid w:val="008B31F8"/>
    <w:rsid w:val="008C4039"/>
    <w:rsid w:val="008C6614"/>
    <w:rsid w:val="008E2B87"/>
    <w:rsid w:val="008E358E"/>
    <w:rsid w:val="0091255E"/>
    <w:rsid w:val="009178EA"/>
    <w:rsid w:val="00920FF7"/>
    <w:rsid w:val="009239AE"/>
    <w:rsid w:val="00941505"/>
    <w:rsid w:val="0094287B"/>
    <w:rsid w:val="00950988"/>
    <w:rsid w:val="0095409C"/>
    <w:rsid w:val="009701A5"/>
    <w:rsid w:val="00970F03"/>
    <w:rsid w:val="009877AA"/>
    <w:rsid w:val="00995E3D"/>
    <w:rsid w:val="009A3EDB"/>
    <w:rsid w:val="009B7587"/>
    <w:rsid w:val="009C27A3"/>
    <w:rsid w:val="009C6D04"/>
    <w:rsid w:val="009E29EA"/>
    <w:rsid w:val="009F1068"/>
    <w:rsid w:val="009F3B6A"/>
    <w:rsid w:val="00A0184C"/>
    <w:rsid w:val="00A0266B"/>
    <w:rsid w:val="00A10F1C"/>
    <w:rsid w:val="00A11C17"/>
    <w:rsid w:val="00A209C3"/>
    <w:rsid w:val="00A23E3C"/>
    <w:rsid w:val="00A25A84"/>
    <w:rsid w:val="00A25BFB"/>
    <w:rsid w:val="00A31647"/>
    <w:rsid w:val="00A42584"/>
    <w:rsid w:val="00A57BB9"/>
    <w:rsid w:val="00A7292C"/>
    <w:rsid w:val="00A74AD3"/>
    <w:rsid w:val="00A854BA"/>
    <w:rsid w:val="00A86238"/>
    <w:rsid w:val="00A872FB"/>
    <w:rsid w:val="00A96748"/>
    <w:rsid w:val="00AA314D"/>
    <w:rsid w:val="00AB5E65"/>
    <w:rsid w:val="00AB7E4C"/>
    <w:rsid w:val="00AC4660"/>
    <w:rsid w:val="00AD41B8"/>
    <w:rsid w:val="00AE57AD"/>
    <w:rsid w:val="00AF21DB"/>
    <w:rsid w:val="00AF47F7"/>
    <w:rsid w:val="00B0717C"/>
    <w:rsid w:val="00B240D7"/>
    <w:rsid w:val="00B36298"/>
    <w:rsid w:val="00B36455"/>
    <w:rsid w:val="00B37CFB"/>
    <w:rsid w:val="00B4095E"/>
    <w:rsid w:val="00B43CF7"/>
    <w:rsid w:val="00B77021"/>
    <w:rsid w:val="00B8112C"/>
    <w:rsid w:val="00B81401"/>
    <w:rsid w:val="00B83BBA"/>
    <w:rsid w:val="00B84801"/>
    <w:rsid w:val="00B862D8"/>
    <w:rsid w:val="00B90E41"/>
    <w:rsid w:val="00BA7D7E"/>
    <w:rsid w:val="00BB11AD"/>
    <w:rsid w:val="00BB4CF0"/>
    <w:rsid w:val="00BC1C8D"/>
    <w:rsid w:val="00BD0D0C"/>
    <w:rsid w:val="00BD58C2"/>
    <w:rsid w:val="00BE4E7D"/>
    <w:rsid w:val="00BE6CC6"/>
    <w:rsid w:val="00C15AF4"/>
    <w:rsid w:val="00C178EC"/>
    <w:rsid w:val="00C240E9"/>
    <w:rsid w:val="00C36666"/>
    <w:rsid w:val="00C37871"/>
    <w:rsid w:val="00C62205"/>
    <w:rsid w:val="00C64D25"/>
    <w:rsid w:val="00C76C25"/>
    <w:rsid w:val="00C95EE9"/>
    <w:rsid w:val="00CA4929"/>
    <w:rsid w:val="00CC76E5"/>
    <w:rsid w:val="00CE2CDC"/>
    <w:rsid w:val="00CE5096"/>
    <w:rsid w:val="00CF77E0"/>
    <w:rsid w:val="00D012D9"/>
    <w:rsid w:val="00D022EA"/>
    <w:rsid w:val="00D10496"/>
    <w:rsid w:val="00D15C59"/>
    <w:rsid w:val="00D45A38"/>
    <w:rsid w:val="00D4731E"/>
    <w:rsid w:val="00D51A74"/>
    <w:rsid w:val="00D532A1"/>
    <w:rsid w:val="00D63E0D"/>
    <w:rsid w:val="00D77DC9"/>
    <w:rsid w:val="00D820D1"/>
    <w:rsid w:val="00D85AC6"/>
    <w:rsid w:val="00D86986"/>
    <w:rsid w:val="00DA67FC"/>
    <w:rsid w:val="00DC61B9"/>
    <w:rsid w:val="00DD0E1A"/>
    <w:rsid w:val="00DE0B21"/>
    <w:rsid w:val="00DE75E1"/>
    <w:rsid w:val="00DF0038"/>
    <w:rsid w:val="00E019E9"/>
    <w:rsid w:val="00E10F2A"/>
    <w:rsid w:val="00E267F4"/>
    <w:rsid w:val="00E43F6A"/>
    <w:rsid w:val="00E62F2A"/>
    <w:rsid w:val="00E84545"/>
    <w:rsid w:val="00E8489E"/>
    <w:rsid w:val="00EA020B"/>
    <w:rsid w:val="00EB6972"/>
    <w:rsid w:val="00EC173F"/>
    <w:rsid w:val="00EC313A"/>
    <w:rsid w:val="00ED1741"/>
    <w:rsid w:val="00EE03C5"/>
    <w:rsid w:val="00EF21E0"/>
    <w:rsid w:val="00F00C30"/>
    <w:rsid w:val="00F03E2F"/>
    <w:rsid w:val="00F25056"/>
    <w:rsid w:val="00F26ADC"/>
    <w:rsid w:val="00F27289"/>
    <w:rsid w:val="00F4742C"/>
    <w:rsid w:val="00F54089"/>
    <w:rsid w:val="00F56AB8"/>
    <w:rsid w:val="00F638FA"/>
    <w:rsid w:val="00F82DDD"/>
    <w:rsid w:val="00F91D56"/>
    <w:rsid w:val="00F942B7"/>
    <w:rsid w:val="00FA2F2E"/>
    <w:rsid w:val="00FA75F0"/>
    <w:rsid w:val="00FB62C1"/>
    <w:rsid w:val="00FB6C71"/>
    <w:rsid w:val="00FC2525"/>
    <w:rsid w:val="00FD1CC1"/>
    <w:rsid w:val="00FE79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6E29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B848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84801"/>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35365"/>
    <w:pPr>
      <w:ind w:left="720"/>
      <w:contextualSpacing/>
    </w:pPr>
  </w:style>
  <w:style w:type="character" w:customStyle="1" w:styleId="Titre1Car">
    <w:name w:val="Titre 1 Car"/>
    <w:basedOn w:val="Policepardfaut"/>
    <w:link w:val="Titre1"/>
    <w:uiPriority w:val="9"/>
    <w:rsid w:val="006E2911"/>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3F7AE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F7AE4"/>
    <w:rPr>
      <w:rFonts w:ascii="Tahoma" w:hAnsi="Tahoma" w:cs="Tahoma"/>
      <w:sz w:val="16"/>
      <w:szCs w:val="16"/>
    </w:rPr>
  </w:style>
  <w:style w:type="paragraph" w:styleId="Notedebasdepage">
    <w:name w:val="footnote text"/>
    <w:basedOn w:val="Normal"/>
    <w:link w:val="NotedebasdepageCar"/>
    <w:unhideWhenUsed/>
    <w:rsid w:val="0094287B"/>
    <w:pPr>
      <w:spacing w:after="0" w:line="240" w:lineRule="auto"/>
    </w:pPr>
    <w:rPr>
      <w:sz w:val="20"/>
      <w:szCs w:val="20"/>
    </w:rPr>
  </w:style>
  <w:style w:type="character" w:customStyle="1" w:styleId="NotedebasdepageCar">
    <w:name w:val="Note de bas de page Car"/>
    <w:basedOn w:val="Policepardfaut"/>
    <w:link w:val="Notedebasdepage"/>
    <w:rsid w:val="0094287B"/>
    <w:rPr>
      <w:sz w:val="20"/>
      <w:szCs w:val="20"/>
    </w:rPr>
  </w:style>
  <w:style w:type="character" w:styleId="Appelnotedebasdep">
    <w:name w:val="footnote reference"/>
    <w:basedOn w:val="Policepardfaut"/>
    <w:unhideWhenUsed/>
    <w:rsid w:val="0094287B"/>
    <w:rPr>
      <w:vertAlign w:val="superscript"/>
    </w:rPr>
  </w:style>
  <w:style w:type="paragraph" w:styleId="Sous-titre">
    <w:name w:val="Subtitle"/>
    <w:basedOn w:val="Normal"/>
    <w:next w:val="Normal"/>
    <w:link w:val="Sous-titreCar"/>
    <w:uiPriority w:val="11"/>
    <w:qFormat/>
    <w:rsid w:val="00B7702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B77021"/>
    <w:rPr>
      <w:rFonts w:asciiTheme="majorHAnsi" w:eastAsiaTheme="majorEastAsia" w:hAnsiTheme="majorHAnsi" w:cstheme="majorBidi"/>
      <w:i/>
      <w:iCs/>
      <w:color w:val="4F81BD" w:themeColor="accent1"/>
      <w:spacing w:val="15"/>
      <w:sz w:val="24"/>
      <w:szCs w:val="24"/>
    </w:rPr>
  </w:style>
  <w:style w:type="character" w:styleId="Lienhypertexte">
    <w:name w:val="Hyperlink"/>
    <w:basedOn w:val="Policepardfaut"/>
    <w:uiPriority w:val="99"/>
    <w:unhideWhenUsed/>
    <w:rsid w:val="00B77021"/>
    <w:rPr>
      <w:color w:val="0000FF" w:themeColor="hyperlink"/>
      <w:u w:val="single"/>
    </w:rPr>
  </w:style>
  <w:style w:type="character" w:customStyle="1" w:styleId="Titre2Car">
    <w:name w:val="Titre 2 Car"/>
    <w:basedOn w:val="Policepardfaut"/>
    <w:link w:val="Titre2"/>
    <w:uiPriority w:val="9"/>
    <w:rsid w:val="00B84801"/>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B84801"/>
    <w:rPr>
      <w:rFonts w:asciiTheme="majorHAnsi" w:eastAsiaTheme="majorEastAsia" w:hAnsiTheme="majorHAnsi" w:cstheme="majorBidi"/>
      <w:b/>
      <w:bCs/>
      <w:color w:val="4F81BD" w:themeColor="accent1"/>
    </w:rPr>
  </w:style>
  <w:style w:type="table" w:styleId="Grilledutableau">
    <w:name w:val="Table Grid"/>
    <w:basedOn w:val="TableauNormal"/>
    <w:uiPriority w:val="59"/>
    <w:rsid w:val="00B8480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semiHidden/>
    <w:unhideWhenUsed/>
    <w:rsid w:val="008E358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E358E"/>
  </w:style>
  <w:style w:type="paragraph" w:styleId="Pieddepage">
    <w:name w:val="footer"/>
    <w:basedOn w:val="Normal"/>
    <w:link w:val="PieddepageCar"/>
    <w:uiPriority w:val="99"/>
    <w:unhideWhenUsed/>
    <w:rsid w:val="008E358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E358E"/>
  </w:style>
  <w:style w:type="paragraph" w:customStyle="1" w:styleId="Default">
    <w:name w:val="Default"/>
    <w:rsid w:val="008366A3"/>
    <w:pPr>
      <w:autoSpaceDE w:val="0"/>
      <w:autoSpaceDN w:val="0"/>
      <w:adjustRightInd w:val="0"/>
      <w:spacing w:after="0" w:line="240" w:lineRule="auto"/>
    </w:pPr>
    <w:rPr>
      <w:rFonts w:ascii="Avenir LT Std 45 Book" w:eastAsiaTheme="minorHAnsi" w:hAnsi="Avenir LT Std 45 Book" w:cs="Avenir LT Std 45 Book"/>
      <w:color w:val="000000"/>
      <w:sz w:val="24"/>
      <w:szCs w:val="24"/>
      <w:lang w:eastAsia="en-US"/>
    </w:rPr>
  </w:style>
  <w:style w:type="paragraph" w:styleId="En-ttedetabledesmatires">
    <w:name w:val="TOC Heading"/>
    <w:basedOn w:val="Titre1"/>
    <w:next w:val="Normal"/>
    <w:uiPriority w:val="39"/>
    <w:semiHidden/>
    <w:unhideWhenUsed/>
    <w:qFormat/>
    <w:rsid w:val="00E019E9"/>
    <w:pPr>
      <w:outlineLvl w:val="9"/>
    </w:pPr>
  </w:style>
  <w:style w:type="paragraph" w:styleId="TM1">
    <w:name w:val="toc 1"/>
    <w:basedOn w:val="Normal"/>
    <w:next w:val="Normal"/>
    <w:autoRedefine/>
    <w:uiPriority w:val="39"/>
    <w:unhideWhenUsed/>
    <w:rsid w:val="00A872FB"/>
    <w:pPr>
      <w:spacing w:before="120" w:after="120"/>
    </w:pPr>
    <w:rPr>
      <w:b/>
      <w:bCs/>
      <w:caps/>
      <w:sz w:val="20"/>
      <w:szCs w:val="20"/>
    </w:rPr>
  </w:style>
  <w:style w:type="paragraph" w:styleId="TM2">
    <w:name w:val="toc 2"/>
    <w:basedOn w:val="Normal"/>
    <w:next w:val="Normal"/>
    <w:autoRedefine/>
    <w:uiPriority w:val="39"/>
    <w:unhideWhenUsed/>
    <w:rsid w:val="00A872FB"/>
    <w:pPr>
      <w:spacing w:after="0"/>
      <w:ind w:left="220"/>
    </w:pPr>
    <w:rPr>
      <w:smallCaps/>
      <w:sz w:val="20"/>
      <w:szCs w:val="20"/>
    </w:rPr>
  </w:style>
  <w:style w:type="paragraph" w:styleId="TM3">
    <w:name w:val="toc 3"/>
    <w:basedOn w:val="Normal"/>
    <w:next w:val="Normal"/>
    <w:autoRedefine/>
    <w:uiPriority w:val="39"/>
    <w:unhideWhenUsed/>
    <w:rsid w:val="00FB6C71"/>
    <w:pPr>
      <w:spacing w:after="0"/>
      <w:ind w:left="440"/>
    </w:pPr>
    <w:rPr>
      <w:i/>
      <w:iCs/>
      <w:sz w:val="20"/>
      <w:szCs w:val="20"/>
    </w:rPr>
  </w:style>
  <w:style w:type="paragraph" w:styleId="TM4">
    <w:name w:val="toc 4"/>
    <w:basedOn w:val="Normal"/>
    <w:next w:val="Normal"/>
    <w:autoRedefine/>
    <w:uiPriority w:val="39"/>
    <w:unhideWhenUsed/>
    <w:rsid w:val="00FB6C71"/>
    <w:pPr>
      <w:spacing w:after="0"/>
      <w:ind w:left="660"/>
    </w:pPr>
    <w:rPr>
      <w:sz w:val="18"/>
      <w:szCs w:val="18"/>
    </w:rPr>
  </w:style>
  <w:style w:type="paragraph" w:styleId="TM5">
    <w:name w:val="toc 5"/>
    <w:basedOn w:val="Normal"/>
    <w:next w:val="Normal"/>
    <w:autoRedefine/>
    <w:uiPriority w:val="39"/>
    <w:unhideWhenUsed/>
    <w:rsid w:val="00FB6C71"/>
    <w:pPr>
      <w:spacing w:after="0"/>
      <w:ind w:left="880"/>
    </w:pPr>
    <w:rPr>
      <w:sz w:val="18"/>
      <w:szCs w:val="18"/>
    </w:rPr>
  </w:style>
  <w:style w:type="paragraph" w:styleId="TM6">
    <w:name w:val="toc 6"/>
    <w:basedOn w:val="Normal"/>
    <w:next w:val="Normal"/>
    <w:autoRedefine/>
    <w:uiPriority w:val="39"/>
    <w:unhideWhenUsed/>
    <w:rsid w:val="00FB6C71"/>
    <w:pPr>
      <w:spacing w:after="0"/>
      <w:ind w:left="1100"/>
    </w:pPr>
    <w:rPr>
      <w:sz w:val="18"/>
      <w:szCs w:val="18"/>
    </w:rPr>
  </w:style>
  <w:style w:type="paragraph" w:styleId="TM7">
    <w:name w:val="toc 7"/>
    <w:basedOn w:val="Normal"/>
    <w:next w:val="Normal"/>
    <w:autoRedefine/>
    <w:uiPriority w:val="39"/>
    <w:unhideWhenUsed/>
    <w:rsid w:val="00FB6C71"/>
    <w:pPr>
      <w:spacing w:after="0"/>
      <w:ind w:left="1320"/>
    </w:pPr>
    <w:rPr>
      <w:sz w:val="18"/>
      <w:szCs w:val="18"/>
    </w:rPr>
  </w:style>
  <w:style w:type="paragraph" w:styleId="TM8">
    <w:name w:val="toc 8"/>
    <w:basedOn w:val="Normal"/>
    <w:next w:val="Normal"/>
    <w:autoRedefine/>
    <w:uiPriority w:val="39"/>
    <w:unhideWhenUsed/>
    <w:rsid w:val="00FB6C71"/>
    <w:pPr>
      <w:spacing w:after="0"/>
      <w:ind w:left="1540"/>
    </w:pPr>
    <w:rPr>
      <w:sz w:val="18"/>
      <w:szCs w:val="18"/>
    </w:rPr>
  </w:style>
  <w:style w:type="paragraph" w:styleId="TM9">
    <w:name w:val="toc 9"/>
    <w:basedOn w:val="Normal"/>
    <w:next w:val="Normal"/>
    <w:autoRedefine/>
    <w:uiPriority w:val="39"/>
    <w:unhideWhenUsed/>
    <w:rsid w:val="00FB6C71"/>
    <w:pPr>
      <w:spacing w:after="0"/>
      <w:ind w:left="1760"/>
    </w:pPr>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6E29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B848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84801"/>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35365"/>
    <w:pPr>
      <w:ind w:left="720"/>
      <w:contextualSpacing/>
    </w:pPr>
  </w:style>
  <w:style w:type="character" w:customStyle="1" w:styleId="Titre1Car">
    <w:name w:val="Titre 1 Car"/>
    <w:basedOn w:val="Policepardfaut"/>
    <w:link w:val="Titre1"/>
    <w:uiPriority w:val="9"/>
    <w:rsid w:val="006E2911"/>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3F7AE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F7AE4"/>
    <w:rPr>
      <w:rFonts w:ascii="Tahoma" w:hAnsi="Tahoma" w:cs="Tahoma"/>
      <w:sz w:val="16"/>
      <w:szCs w:val="16"/>
    </w:rPr>
  </w:style>
  <w:style w:type="paragraph" w:styleId="Notedebasdepage">
    <w:name w:val="footnote text"/>
    <w:basedOn w:val="Normal"/>
    <w:link w:val="NotedebasdepageCar"/>
    <w:unhideWhenUsed/>
    <w:rsid w:val="0094287B"/>
    <w:pPr>
      <w:spacing w:after="0" w:line="240" w:lineRule="auto"/>
    </w:pPr>
    <w:rPr>
      <w:sz w:val="20"/>
      <w:szCs w:val="20"/>
    </w:rPr>
  </w:style>
  <w:style w:type="character" w:customStyle="1" w:styleId="NotedebasdepageCar">
    <w:name w:val="Note de bas de page Car"/>
    <w:basedOn w:val="Policepardfaut"/>
    <w:link w:val="Notedebasdepage"/>
    <w:rsid w:val="0094287B"/>
    <w:rPr>
      <w:sz w:val="20"/>
      <w:szCs w:val="20"/>
    </w:rPr>
  </w:style>
  <w:style w:type="character" w:styleId="Appelnotedebasdep">
    <w:name w:val="footnote reference"/>
    <w:basedOn w:val="Policepardfaut"/>
    <w:unhideWhenUsed/>
    <w:rsid w:val="0094287B"/>
    <w:rPr>
      <w:vertAlign w:val="superscript"/>
    </w:rPr>
  </w:style>
  <w:style w:type="paragraph" w:styleId="Sous-titre">
    <w:name w:val="Subtitle"/>
    <w:basedOn w:val="Normal"/>
    <w:next w:val="Normal"/>
    <w:link w:val="Sous-titreCar"/>
    <w:uiPriority w:val="11"/>
    <w:qFormat/>
    <w:rsid w:val="00B7702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B77021"/>
    <w:rPr>
      <w:rFonts w:asciiTheme="majorHAnsi" w:eastAsiaTheme="majorEastAsia" w:hAnsiTheme="majorHAnsi" w:cstheme="majorBidi"/>
      <w:i/>
      <w:iCs/>
      <w:color w:val="4F81BD" w:themeColor="accent1"/>
      <w:spacing w:val="15"/>
      <w:sz w:val="24"/>
      <w:szCs w:val="24"/>
    </w:rPr>
  </w:style>
  <w:style w:type="character" w:styleId="Lienhypertexte">
    <w:name w:val="Hyperlink"/>
    <w:basedOn w:val="Policepardfaut"/>
    <w:uiPriority w:val="99"/>
    <w:unhideWhenUsed/>
    <w:rsid w:val="00B77021"/>
    <w:rPr>
      <w:color w:val="0000FF" w:themeColor="hyperlink"/>
      <w:u w:val="single"/>
    </w:rPr>
  </w:style>
  <w:style w:type="character" w:customStyle="1" w:styleId="Titre2Car">
    <w:name w:val="Titre 2 Car"/>
    <w:basedOn w:val="Policepardfaut"/>
    <w:link w:val="Titre2"/>
    <w:uiPriority w:val="9"/>
    <w:rsid w:val="00B84801"/>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B84801"/>
    <w:rPr>
      <w:rFonts w:asciiTheme="majorHAnsi" w:eastAsiaTheme="majorEastAsia" w:hAnsiTheme="majorHAnsi" w:cstheme="majorBidi"/>
      <w:b/>
      <w:bCs/>
      <w:color w:val="4F81BD" w:themeColor="accent1"/>
    </w:rPr>
  </w:style>
  <w:style w:type="table" w:styleId="Grilledutableau">
    <w:name w:val="Table Grid"/>
    <w:basedOn w:val="TableauNormal"/>
    <w:uiPriority w:val="59"/>
    <w:rsid w:val="00B8480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semiHidden/>
    <w:unhideWhenUsed/>
    <w:rsid w:val="008E358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E358E"/>
  </w:style>
  <w:style w:type="paragraph" w:styleId="Pieddepage">
    <w:name w:val="footer"/>
    <w:basedOn w:val="Normal"/>
    <w:link w:val="PieddepageCar"/>
    <w:uiPriority w:val="99"/>
    <w:unhideWhenUsed/>
    <w:rsid w:val="008E358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E358E"/>
  </w:style>
  <w:style w:type="paragraph" w:customStyle="1" w:styleId="Default">
    <w:name w:val="Default"/>
    <w:rsid w:val="008366A3"/>
    <w:pPr>
      <w:autoSpaceDE w:val="0"/>
      <w:autoSpaceDN w:val="0"/>
      <w:adjustRightInd w:val="0"/>
      <w:spacing w:after="0" w:line="240" w:lineRule="auto"/>
    </w:pPr>
    <w:rPr>
      <w:rFonts w:ascii="Avenir LT Std 45 Book" w:eastAsiaTheme="minorHAnsi" w:hAnsi="Avenir LT Std 45 Book" w:cs="Avenir LT Std 45 Book"/>
      <w:color w:val="000000"/>
      <w:sz w:val="24"/>
      <w:szCs w:val="24"/>
      <w:lang w:eastAsia="en-US"/>
    </w:rPr>
  </w:style>
  <w:style w:type="paragraph" w:styleId="En-ttedetabledesmatires">
    <w:name w:val="TOC Heading"/>
    <w:basedOn w:val="Titre1"/>
    <w:next w:val="Normal"/>
    <w:uiPriority w:val="39"/>
    <w:semiHidden/>
    <w:unhideWhenUsed/>
    <w:qFormat/>
    <w:rsid w:val="00E019E9"/>
    <w:pPr>
      <w:outlineLvl w:val="9"/>
    </w:pPr>
  </w:style>
  <w:style w:type="paragraph" w:styleId="TM1">
    <w:name w:val="toc 1"/>
    <w:basedOn w:val="Normal"/>
    <w:next w:val="Normal"/>
    <w:autoRedefine/>
    <w:uiPriority w:val="39"/>
    <w:unhideWhenUsed/>
    <w:rsid w:val="00A872FB"/>
    <w:pPr>
      <w:spacing w:before="120" w:after="120"/>
    </w:pPr>
    <w:rPr>
      <w:b/>
      <w:bCs/>
      <w:caps/>
      <w:sz w:val="20"/>
      <w:szCs w:val="20"/>
    </w:rPr>
  </w:style>
  <w:style w:type="paragraph" w:styleId="TM2">
    <w:name w:val="toc 2"/>
    <w:basedOn w:val="Normal"/>
    <w:next w:val="Normal"/>
    <w:autoRedefine/>
    <w:uiPriority w:val="39"/>
    <w:unhideWhenUsed/>
    <w:rsid w:val="00A872FB"/>
    <w:pPr>
      <w:spacing w:after="0"/>
      <w:ind w:left="220"/>
    </w:pPr>
    <w:rPr>
      <w:smallCaps/>
      <w:sz w:val="20"/>
      <w:szCs w:val="20"/>
    </w:rPr>
  </w:style>
  <w:style w:type="paragraph" w:styleId="TM3">
    <w:name w:val="toc 3"/>
    <w:basedOn w:val="Normal"/>
    <w:next w:val="Normal"/>
    <w:autoRedefine/>
    <w:uiPriority w:val="39"/>
    <w:unhideWhenUsed/>
    <w:rsid w:val="00FB6C71"/>
    <w:pPr>
      <w:spacing w:after="0"/>
      <w:ind w:left="440"/>
    </w:pPr>
    <w:rPr>
      <w:i/>
      <w:iCs/>
      <w:sz w:val="20"/>
      <w:szCs w:val="20"/>
    </w:rPr>
  </w:style>
  <w:style w:type="paragraph" w:styleId="TM4">
    <w:name w:val="toc 4"/>
    <w:basedOn w:val="Normal"/>
    <w:next w:val="Normal"/>
    <w:autoRedefine/>
    <w:uiPriority w:val="39"/>
    <w:unhideWhenUsed/>
    <w:rsid w:val="00FB6C71"/>
    <w:pPr>
      <w:spacing w:after="0"/>
      <w:ind w:left="660"/>
    </w:pPr>
    <w:rPr>
      <w:sz w:val="18"/>
      <w:szCs w:val="18"/>
    </w:rPr>
  </w:style>
  <w:style w:type="paragraph" w:styleId="TM5">
    <w:name w:val="toc 5"/>
    <w:basedOn w:val="Normal"/>
    <w:next w:val="Normal"/>
    <w:autoRedefine/>
    <w:uiPriority w:val="39"/>
    <w:unhideWhenUsed/>
    <w:rsid w:val="00FB6C71"/>
    <w:pPr>
      <w:spacing w:after="0"/>
      <w:ind w:left="880"/>
    </w:pPr>
    <w:rPr>
      <w:sz w:val="18"/>
      <w:szCs w:val="18"/>
    </w:rPr>
  </w:style>
  <w:style w:type="paragraph" w:styleId="TM6">
    <w:name w:val="toc 6"/>
    <w:basedOn w:val="Normal"/>
    <w:next w:val="Normal"/>
    <w:autoRedefine/>
    <w:uiPriority w:val="39"/>
    <w:unhideWhenUsed/>
    <w:rsid w:val="00FB6C71"/>
    <w:pPr>
      <w:spacing w:after="0"/>
      <w:ind w:left="1100"/>
    </w:pPr>
    <w:rPr>
      <w:sz w:val="18"/>
      <w:szCs w:val="18"/>
    </w:rPr>
  </w:style>
  <w:style w:type="paragraph" w:styleId="TM7">
    <w:name w:val="toc 7"/>
    <w:basedOn w:val="Normal"/>
    <w:next w:val="Normal"/>
    <w:autoRedefine/>
    <w:uiPriority w:val="39"/>
    <w:unhideWhenUsed/>
    <w:rsid w:val="00FB6C71"/>
    <w:pPr>
      <w:spacing w:after="0"/>
      <w:ind w:left="1320"/>
    </w:pPr>
    <w:rPr>
      <w:sz w:val="18"/>
      <w:szCs w:val="18"/>
    </w:rPr>
  </w:style>
  <w:style w:type="paragraph" w:styleId="TM8">
    <w:name w:val="toc 8"/>
    <w:basedOn w:val="Normal"/>
    <w:next w:val="Normal"/>
    <w:autoRedefine/>
    <w:uiPriority w:val="39"/>
    <w:unhideWhenUsed/>
    <w:rsid w:val="00FB6C71"/>
    <w:pPr>
      <w:spacing w:after="0"/>
      <w:ind w:left="1540"/>
    </w:pPr>
    <w:rPr>
      <w:sz w:val="18"/>
      <w:szCs w:val="18"/>
    </w:rPr>
  </w:style>
  <w:style w:type="paragraph" w:styleId="TM9">
    <w:name w:val="toc 9"/>
    <w:basedOn w:val="Normal"/>
    <w:next w:val="Normal"/>
    <w:autoRedefine/>
    <w:uiPriority w:val="39"/>
    <w:unhideWhenUsed/>
    <w:rsid w:val="00FB6C71"/>
    <w:pPr>
      <w:spacing w:after="0"/>
      <w:ind w:left="176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dh-france.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dh@ldh-france.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gif@01D01ED4.94ADC2E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defenseurdesdroits.fr/raa/ddd/BAA\2014.pdf" TargetMode="External"/><Relationship Id="rId2" Type="http://schemas.openxmlformats.org/officeDocument/2006/relationships/hyperlink" Target="http://www.ethicsandboards.com/articles/107-palmares-de-la-feminisation-des-instances-dirigeantes-2014" TargetMode="External"/><Relationship Id="rId1" Type="http://schemas.openxmlformats.org/officeDocument/2006/relationships/hyperlink" Target="http://www.ladocumentationfrancaise.fr/var/storage/rapports-publics/144000410/0000.pdf" TargetMode="External"/><Relationship Id="rId5" Type="http://schemas.openxmlformats.org/officeDocument/2006/relationships/hyperlink" Target="http://www.stop-djihadisme.gouv.fr" TargetMode="External"/><Relationship Id="rId4" Type="http://schemas.openxmlformats.org/officeDocument/2006/relationships/hyperlink" Target="http://tempsreel.nouvelobs.com/charlie-hebdo/20150120.OBS0370/apologie-du-terrorisme-une-longue-liste-de-condamnations.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8A9C08-B548-4B2A-88DB-F6A537877C46}"/>
</file>

<file path=customXml/itemProps2.xml><?xml version="1.0" encoding="utf-8"?>
<ds:datastoreItem xmlns:ds="http://schemas.openxmlformats.org/officeDocument/2006/customXml" ds:itemID="{68B2A02C-045B-4B66-9016-F9FABEF70A1E}"/>
</file>

<file path=customXml/itemProps3.xml><?xml version="1.0" encoding="utf-8"?>
<ds:datastoreItem xmlns:ds="http://schemas.openxmlformats.org/officeDocument/2006/customXml" ds:itemID="{B0F40819-497C-4B01-98D7-6F46386A2C0D}"/>
</file>

<file path=customXml/itemProps4.xml><?xml version="1.0" encoding="utf-8"?>
<ds:datastoreItem xmlns:ds="http://schemas.openxmlformats.org/officeDocument/2006/customXml" ds:itemID="{4264BE25-84DF-4DFD-A03C-43C7F687F747}"/>
</file>

<file path=docProps/app.xml><?xml version="1.0" encoding="utf-8"?>
<Properties xmlns="http://schemas.openxmlformats.org/officeDocument/2006/extended-properties" xmlns:vt="http://schemas.openxmlformats.org/officeDocument/2006/docPropsVTypes">
  <Template>Normal</Template>
  <TotalTime>5</TotalTime>
  <Pages>30</Pages>
  <Words>16571</Words>
  <Characters>91141</Characters>
  <Application>Microsoft Office Word</Application>
  <DocSecurity>0</DocSecurity>
  <Lines>759</Lines>
  <Paragraphs>214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107498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dc:creator>
  <cp:lastModifiedBy>isabelle</cp:lastModifiedBy>
  <cp:revision>3</cp:revision>
  <cp:lastPrinted>2015-06-01T15:34:00Z</cp:lastPrinted>
  <dcterms:created xsi:type="dcterms:W3CDTF">2015-06-01T15:34:00Z</dcterms:created>
  <dcterms:modified xsi:type="dcterms:W3CDTF">2015-06-01T15:38:00Z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