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7CDEE3" w14:textId="464931C6" w:rsidR="00A33C31" w:rsidRPr="008957ED" w:rsidRDefault="00A33C31" w:rsidP="00204DA8">
      <w:pPr>
        <w:pBdr>
          <w:top w:val="nil"/>
          <w:left w:val="nil"/>
          <w:bottom w:val="nil"/>
          <w:right w:val="nil"/>
          <w:between w:val="nil"/>
        </w:pBdr>
        <w:spacing w:line="276" w:lineRule="auto"/>
        <w:contextualSpacing/>
        <w:jc w:val="center"/>
        <w:rPr>
          <w:b/>
          <w:color w:val="000000"/>
          <w:sz w:val="28"/>
        </w:rPr>
      </w:pPr>
      <w:r w:rsidRPr="008957ED">
        <w:rPr>
          <w:b/>
          <w:color w:val="000000"/>
          <w:sz w:val="28"/>
        </w:rPr>
        <w:t xml:space="preserve">Non-consensual genital surgeries on intersex children constitute </w:t>
      </w:r>
      <w:r w:rsidR="008A3E12" w:rsidRPr="008957ED">
        <w:rPr>
          <w:b/>
          <w:color w:val="000000"/>
          <w:sz w:val="28"/>
        </w:rPr>
        <w:t>torture and cruel, inhuman, and degrading treatment in violation of the ICCPR</w:t>
      </w:r>
    </w:p>
    <w:p w14:paraId="09E46297" w14:textId="77777777" w:rsidR="008A3E12" w:rsidRDefault="008A3E12" w:rsidP="008A3E12">
      <w:pPr>
        <w:pBdr>
          <w:top w:val="nil"/>
          <w:left w:val="nil"/>
          <w:bottom w:val="nil"/>
          <w:right w:val="nil"/>
          <w:between w:val="nil"/>
        </w:pBdr>
        <w:spacing w:line="276" w:lineRule="auto"/>
        <w:rPr>
          <w:rFonts w:eastAsia="Calibri"/>
          <w:color w:val="000000"/>
        </w:rPr>
      </w:pPr>
    </w:p>
    <w:p w14:paraId="536BF8DC" w14:textId="77777777" w:rsidR="008A3E12" w:rsidRPr="0053145C" w:rsidRDefault="008A3E12" w:rsidP="008A3E12">
      <w:pPr>
        <w:pBdr>
          <w:top w:val="nil"/>
          <w:left w:val="nil"/>
          <w:bottom w:val="nil"/>
          <w:right w:val="nil"/>
          <w:between w:val="nil"/>
        </w:pBdr>
        <w:spacing w:line="276" w:lineRule="auto"/>
        <w:ind w:left="720" w:hanging="720"/>
        <w:rPr>
          <w:rFonts w:eastAsia="Calibri"/>
          <w:color w:val="000000"/>
        </w:rPr>
      </w:pPr>
    </w:p>
    <w:p w14:paraId="7036DFA5" w14:textId="77777777" w:rsidR="008A3E12" w:rsidRPr="00851CC0" w:rsidRDefault="008A3E12" w:rsidP="008A3E12">
      <w:pPr>
        <w:pStyle w:val="ListParagraph"/>
        <w:numPr>
          <w:ilvl w:val="0"/>
          <w:numId w:val="3"/>
        </w:numPr>
        <w:pBdr>
          <w:top w:val="nil"/>
          <w:left w:val="nil"/>
          <w:bottom w:val="nil"/>
          <w:right w:val="nil"/>
          <w:between w:val="nil"/>
        </w:pBdr>
        <w:spacing w:line="276" w:lineRule="auto"/>
        <w:rPr>
          <w:rFonts w:eastAsia="Calibri"/>
          <w:color w:val="000000"/>
        </w:rPr>
      </w:pPr>
      <w:r w:rsidRPr="00851CC0">
        <w:rPr>
          <w:rFonts w:eastAsia="Calibri"/>
          <w:b/>
          <w:color w:val="000000"/>
        </w:rPr>
        <w:t>Reporting Organization</w:t>
      </w:r>
    </w:p>
    <w:p w14:paraId="01B447D2" w14:textId="77777777" w:rsidR="00F90E7A" w:rsidRPr="00E14A62" w:rsidRDefault="00F90E7A">
      <w:pPr>
        <w:spacing w:line="276" w:lineRule="auto"/>
        <w:rPr>
          <w:rFonts w:eastAsia="Calibri"/>
        </w:rPr>
      </w:pPr>
    </w:p>
    <w:p w14:paraId="719702FA" w14:textId="0BF11BA4" w:rsidR="00F90E7A" w:rsidRDefault="008A3E12" w:rsidP="00204DA8">
      <w:pPr>
        <w:pBdr>
          <w:top w:val="nil"/>
          <w:left w:val="nil"/>
          <w:bottom w:val="nil"/>
          <w:right w:val="nil"/>
          <w:between w:val="nil"/>
        </w:pBdr>
        <w:spacing w:line="276" w:lineRule="auto"/>
        <w:ind w:firstLine="360"/>
        <w:rPr>
          <w:rFonts w:ascii="TimesNewRomanPSMT" w:hAnsi="TimesNewRomanPSMT"/>
        </w:rPr>
      </w:pPr>
      <w:proofErr w:type="gramStart"/>
      <w:r w:rsidRPr="00042350">
        <w:rPr>
          <w:rFonts w:ascii="TimesNewRomanPSMT" w:hAnsi="TimesNewRomanPSMT"/>
        </w:rPr>
        <w:t>interACT</w:t>
      </w:r>
      <w:proofErr w:type="gramEnd"/>
      <w:r w:rsidRPr="00042350">
        <w:rPr>
          <w:rFonts w:ascii="TimesNewRomanPSMT" w:hAnsi="TimesNewRomanPSMT"/>
        </w:rPr>
        <w:t>, formerly known as Advocates for Informed Choice, is an independent human rights NGO based in the United States. It is the first and only organization in the country exclusively dedicated to advocacy on behalf of children born with intersex traits.</w:t>
      </w:r>
    </w:p>
    <w:p w14:paraId="3BBE22A4" w14:textId="77777777" w:rsidR="008A3E12" w:rsidRPr="00E14A62" w:rsidRDefault="008A3E12" w:rsidP="008A3E12">
      <w:pPr>
        <w:pBdr>
          <w:top w:val="nil"/>
          <w:left w:val="nil"/>
          <w:bottom w:val="nil"/>
          <w:right w:val="nil"/>
          <w:between w:val="nil"/>
        </w:pBdr>
        <w:spacing w:line="276" w:lineRule="auto"/>
        <w:rPr>
          <w:rFonts w:eastAsia="Calibri"/>
          <w:color w:val="000000"/>
        </w:rPr>
      </w:pPr>
    </w:p>
    <w:p w14:paraId="495A25C8" w14:textId="66F353B7" w:rsidR="00F90E7A" w:rsidRPr="00093142" w:rsidRDefault="005D1210" w:rsidP="00093142">
      <w:pPr>
        <w:pStyle w:val="ListParagraph"/>
        <w:numPr>
          <w:ilvl w:val="0"/>
          <w:numId w:val="3"/>
        </w:numPr>
        <w:pBdr>
          <w:top w:val="nil"/>
          <w:left w:val="nil"/>
          <w:bottom w:val="nil"/>
          <w:right w:val="nil"/>
          <w:between w:val="nil"/>
        </w:pBdr>
        <w:spacing w:line="276" w:lineRule="auto"/>
        <w:rPr>
          <w:rFonts w:eastAsia="Calibri"/>
          <w:color w:val="000000"/>
        </w:rPr>
      </w:pPr>
      <w:r w:rsidRPr="00093142">
        <w:rPr>
          <w:rFonts w:eastAsia="Calibri"/>
          <w:b/>
          <w:color w:val="000000"/>
        </w:rPr>
        <w:t>Issue Summary</w:t>
      </w:r>
    </w:p>
    <w:p w14:paraId="22685854" w14:textId="01BD3BF1" w:rsidR="00F90E7A" w:rsidRDefault="00F90E7A">
      <w:pPr>
        <w:spacing w:line="276" w:lineRule="auto"/>
        <w:rPr>
          <w:rFonts w:eastAsia="Calibri"/>
        </w:rPr>
      </w:pPr>
    </w:p>
    <w:p w14:paraId="6ABE4C31" w14:textId="3B16D3DA" w:rsidR="00F90E7A" w:rsidRDefault="008A3E12" w:rsidP="00204DA8">
      <w:pPr>
        <w:spacing w:line="276" w:lineRule="auto"/>
        <w:ind w:firstLine="360"/>
        <w:rPr>
          <w:rFonts w:eastAsia="Calibri"/>
        </w:rPr>
      </w:pPr>
      <w:r w:rsidRPr="00042350">
        <w:rPr>
          <w:rFonts w:ascii="TimesNewRomanPSMT" w:hAnsi="TimesNewRomanPSMT"/>
        </w:rPr>
        <w:t>The term “intersex” refers to variations in a person’s sex</w:t>
      </w:r>
      <w:r w:rsidR="00861ACF">
        <w:rPr>
          <w:rFonts w:ascii="TimesNewRomanPSMT" w:hAnsi="TimesNewRomanPSMT"/>
        </w:rPr>
        <w:t xml:space="preserve"> traits, including chromosomes, genitals, hormone production, and internal organs,</w:t>
      </w:r>
      <w:r w:rsidRPr="00042350">
        <w:rPr>
          <w:rFonts w:ascii="TimesNewRomanPSMT" w:hAnsi="TimesNewRomanPSMT"/>
        </w:rPr>
        <w:t xml:space="preserve"> such that their body does not fit typical definitions of male or </w:t>
      </w:r>
      <w:r w:rsidR="008957ED" w:rsidRPr="00042350">
        <w:rPr>
          <w:rFonts w:ascii="TimesNewRomanPSMT" w:hAnsi="TimesNewRomanPSMT"/>
        </w:rPr>
        <w:t>female</w:t>
      </w:r>
      <w:r w:rsidR="003802DB">
        <w:rPr>
          <w:rFonts w:ascii="TimesNewRomanPSMT" w:hAnsi="TimesNewRomanPSMT"/>
        </w:rPr>
        <w:t>.  It</w:t>
      </w:r>
      <w:r w:rsidRPr="00042350">
        <w:rPr>
          <w:rFonts w:ascii="TimesNewRomanPSMT" w:hAnsi="TimesNewRomanPSMT"/>
        </w:rPr>
        <w:t xml:space="preserve"> </w:t>
      </w:r>
      <w:r w:rsidR="00861ACF">
        <w:rPr>
          <w:rFonts w:ascii="TimesNewRomanPSMT" w:hAnsi="TimesNewRomanPSMT"/>
        </w:rPr>
        <w:t xml:space="preserve">is an umbrella term that </w:t>
      </w:r>
      <w:r w:rsidRPr="00042350">
        <w:rPr>
          <w:rFonts w:ascii="TimesNewRomanPSMT" w:hAnsi="TimesNewRomanPSMT"/>
        </w:rPr>
        <w:t xml:space="preserve">includes many different medical </w:t>
      </w:r>
      <w:r w:rsidR="00861ACF">
        <w:rPr>
          <w:rFonts w:ascii="TimesNewRomanPSMT" w:hAnsi="TimesNewRomanPSMT"/>
        </w:rPr>
        <w:t>diagnoses, as well as variations in sex characteristics without a diagnosable etiology</w:t>
      </w:r>
      <w:r w:rsidRPr="00042350">
        <w:rPr>
          <w:rFonts w:ascii="TimesNewRomanPSMT" w:hAnsi="TimesNewRomanPSMT"/>
        </w:rPr>
        <w:t xml:space="preserve">. </w:t>
      </w:r>
      <w:r w:rsidR="00861ACF">
        <w:rPr>
          <w:rFonts w:ascii="TimesNewRomanPSMT" w:hAnsi="TimesNewRomanPSMT"/>
        </w:rPr>
        <w:t>Conservative</w:t>
      </w:r>
      <w:r w:rsidRPr="00042350">
        <w:rPr>
          <w:rFonts w:ascii="TimesNewRomanPSMT" w:hAnsi="TimesNewRomanPSMT"/>
        </w:rPr>
        <w:t xml:space="preserve"> estimates of the frequency of intersex births are between one in 1,000 and one in 2,000</w:t>
      </w:r>
      <w:r w:rsidR="00861ACF">
        <w:rPr>
          <w:rFonts w:ascii="TimesNewRomanPSMT" w:hAnsi="TimesNewRomanPSMT"/>
        </w:rPr>
        <w:t>,</w:t>
      </w:r>
      <w:r>
        <w:rPr>
          <w:rStyle w:val="EndnoteReference"/>
          <w:rFonts w:ascii="TimesNewRomanPSMT" w:hAnsi="TimesNewRomanPSMT"/>
        </w:rPr>
        <w:endnoteReference w:id="1"/>
      </w:r>
      <w:r w:rsidR="00861ACF">
        <w:rPr>
          <w:rFonts w:ascii="TimesNewRomanPSMT" w:hAnsi="TimesNewRomanPSMT"/>
        </w:rPr>
        <w:t xml:space="preserve"> while higher estimates reach up to 1.7 percent.</w:t>
      </w:r>
      <w:r w:rsidR="00861ACF">
        <w:rPr>
          <w:rStyle w:val="EndnoteReference"/>
          <w:rFonts w:ascii="TimesNewRomanPSMT" w:hAnsi="TimesNewRomanPSMT"/>
        </w:rPr>
        <w:endnoteReference w:id="2"/>
      </w:r>
    </w:p>
    <w:p w14:paraId="040E2C4A" w14:textId="32816A4F" w:rsidR="008A3E12" w:rsidRDefault="008A3E12" w:rsidP="008A3E12">
      <w:pPr>
        <w:spacing w:line="276" w:lineRule="auto"/>
        <w:rPr>
          <w:rFonts w:eastAsia="Calibri"/>
        </w:rPr>
      </w:pPr>
    </w:p>
    <w:p w14:paraId="29D834F0" w14:textId="6F7C5C48" w:rsidR="008A3E12" w:rsidRDefault="008A3E12" w:rsidP="00204DA8">
      <w:pPr>
        <w:spacing w:line="276" w:lineRule="auto"/>
        <w:ind w:firstLine="360"/>
        <w:rPr>
          <w:rFonts w:ascii="TimesNewRomanPSMT" w:hAnsi="TimesNewRomanPSMT"/>
        </w:rPr>
      </w:pPr>
      <w:r w:rsidRPr="00042350">
        <w:rPr>
          <w:rFonts w:ascii="TimesNewRomanPSMT" w:hAnsi="TimesNewRomanPSMT"/>
        </w:rPr>
        <w:t xml:space="preserve">Beginning in infancy and continuing throughout childhood, children with intersex traits in the </w:t>
      </w:r>
      <w:r w:rsidR="00CD0390">
        <w:rPr>
          <w:rFonts w:ascii="TimesNewRomanPSMT" w:hAnsi="TimesNewRomanPSMT"/>
        </w:rPr>
        <w:t>U.S.</w:t>
      </w:r>
      <w:r w:rsidRPr="00042350">
        <w:rPr>
          <w:rFonts w:ascii="TimesNewRomanPSMT" w:hAnsi="TimesNewRomanPSMT"/>
        </w:rPr>
        <w:t xml:space="preserve"> have been, and continue to be, subjected to intersex genital mutilation (IGM)</w:t>
      </w:r>
      <w:r w:rsidR="00F40A16">
        <w:rPr>
          <w:rFonts w:ascii="TimesNewRomanPSMT" w:hAnsi="TimesNewRomanPSMT"/>
        </w:rPr>
        <w:t xml:space="preserve"> and other unnecessary medical interventions to change their sex traits without their consent</w:t>
      </w:r>
      <w:r w:rsidRPr="00042350">
        <w:rPr>
          <w:rFonts w:ascii="TimesNewRomanPSMT" w:hAnsi="TimesNewRomanPSMT"/>
        </w:rPr>
        <w:t xml:space="preserve">. These children often experience irreversible </w:t>
      </w:r>
      <w:r w:rsidR="00F40A16">
        <w:rPr>
          <w:rFonts w:ascii="TimesNewRomanPSMT" w:hAnsi="TimesNewRomanPSMT"/>
        </w:rPr>
        <w:t xml:space="preserve">genital surgery, </w:t>
      </w:r>
      <w:r w:rsidRPr="00042350">
        <w:rPr>
          <w:rFonts w:ascii="TimesNewRomanPSMT" w:hAnsi="TimesNewRomanPSMT"/>
        </w:rPr>
        <w:t>sex assignment</w:t>
      </w:r>
      <w:r w:rsidR="00F40A16">
        <w:rPr>
          <w:rFonts w:ascii="TimesNewRomanPSMT" w:hAnsi="TimesNewRomanPSMT"/>
        </w:rPr>
        <w:t>,</w:t>
      </w:r>
      <w:r w:rsidRPr="00042350">
        <w:rPr>
          <w:rFonts w:ascii="TimesNewRomanPSMT" w:hAnsi="TimesNewRomanPSMT"/>
        </w:rPr>
        <w:t xml:space="preserve"> and sterilization</w:t>
      </w:r>
      <w:r w:rsidR="00F40A16">
        <w:rPr>
          <w:rFonts w:ascii="TimesNewRomanPSMT" w:hAnsi="TimesNewRomanPSMT"/>
        </w:rPr>
        <w:t>;</w:t>
      </w:r>
      <w:r w:rsidRPr="00042350">
        <w:rPr>
          <w:rFonts w:ascii="TimesNewRomanPSMT" w:hAnsi="TimesNewRomanPSMT"/>
        </w:rPr>
        <w:t xml:space="preserve"> medical display and photography of the genitals</w:t>
      </w:r>
      <w:r w:rsidR="00F40A16">
        <w:rPr>
          <w:rFonts w:ascii="TimesNewRomanPSMT" w:hAnsi="TimesNewRomanPSMT"/>
        </w:rPr>
        <w:t>;</w:t>
      </w:r>
      <w:r w:rsidRPr="00042350">
        <w:rPr>
          <w:rFonts w:ascii="TimesNewRomanPSMT" w:hAnsi="TimesNewRomanPSMT"/>
        </w:rPr>
        <w:t xml:space="preserve"> and </w:t>
      </w:r>
      <w:r w:rsidR="00F40A16">
        <w:rPr>
          <w:rFonts w:ascii="TimesNewRomanPSMT" w:hAnsi="TimesNewRomanPSMT"/>
        </w:rPr>
        <w:t xml:space="preserve">unethical </w:t>
      </w:r>
      <w:r w:rsidRPr="00042350">
        <w:rPr>
          <w:rFonts w:ascii="TimesNewRomanPSMT" w:hAnsi="TimesNewRomanPSMT"/>
        </w:rPr>
        <w:t xml:space="preserve">medical experimentation. People with intersex traits may also be </w:t>
      </w:r>
      <w:r w:rsidR="00F40A16">
        <w:rPr>
          <w:rFonts w:ascii="TimesNewRomanPSMT" w:hAnsi="TimesNewRomanPSMT"/>
        </w:rPr>
        <w:t xml:space="preserve">discriminatorily </w:t>
      </w:r>
      <w:r w:rsidRPr="00042350">
        <w:rPr>
          <w:rFonts w:ascii="TimesNewRomanPSMT" w:hAnsi="TimesNewRomanPSMT"/>
        </w:rPr>
        <w:t xml:space="preserve">denied necessary medical treatment. </w:t>
      </w:r>
      <w:r w:rsidR="00F40A16">
        <w:rPr>
          <w:rFonts w:ascii="TimesNewRomanPSMT" w:hAnsi="TimesNewRomanPSMT"/>
        </w:rPr>
        <w:t>I</w:t>
      </w:r>
      <w:r w:rsidRPr="00042350">
        <w:rPr>
          <w:rFonts w:ascii="TimesNewRomanPSMT" w:hAnsi="TimesNewRomanPSMT"/>
        </w:rPr>
        <w:t xml:space="preserve">ntersex individuals </w:t>
      </w:r>
      <w:proofErr w:type="gramStart"/>
      <w:r w:rsidRPr="00042350">
        <w:rPr>
          <w:rFonts w:ascii="TimesNewRomanPSMT" w:hAnsi="TimesNewRomanPSMT"/>
        </w:rPr>
        <w:t>suffer</w:t>
      </w:r>
      <w:proofErr w:type="gramEnd"/>
      <w:r w:rsidRPr="00042350">
        <w:rPr>
          <w:rFonts w:ascii="TimesNewRomanPSMT" w:hAnsi="TimesNewRomanPSMT"/>
        </w:rPr>
        <w:t xml:space="preserve"> life-long physical and emotional injury as a result of such </w:t>
      </w:r>
      <w:r w:rsidR="00F40A16">
        <w:rPr>
          <w:rFonts w:ascii="TimesNewRomanPSMT" w:hAnsi="TimesNewRomanPSMT"/>
        </w:rPr>
        <w:t>experiences</w:t>
      </w:r>
      <w:r w:rsidRPr="00042350">
        <w:rPr>
          <w:rFonts w:ascii="TimesNewRomanPSMT" w:hAnsi="TimesNewRomanPSMT"/>
        </w:rPr>
        <w:t>. These human rights violations often involve tremendous physical and psychological pain and constitute torture as recognized by multiple international human rights bodies.</w:t>
      </w:r>
    </w:p>
    <w:p w14:paraId="182A0EC9" w14:textId="77777777" w:rsidR="008A3E12" w:rsidRPr="008A3E12" w:rsidRDefault="008A3E12" w:rsidP="008A3E12">
      <w:pPr>
        <w:spacing w:line="276" w:lineRule="auto"/>
        <w:rPr>
          <w:rFonts w:eastAsia="Calibri"/>
        </w:rPr>
      </w:pPr>
    </w:p>
    <w:p w14:paraId="217DDD74" w14:textId="47AC2152" w:rsidR="00F90E7A" w:rsidRPr="00093142" w:rsidRDefault="005D1210" w:rsidP="00093142">
      <w:pPr>
        <w:pStyle w:val="ListParagraph"/>
        <w:numPr>
          <w:ilvl w:val="0"/>
          <w:numId w:val="3"/>
        </w:numPr>
        <w:pBdr>
          <w:top w:val="nil"/>
          <w:left w:val="nil"/>
          <w:bottom w:val="nil"/>
          <w:right w:val="nil"/>
          <w:between w:val="nil"/>
        </w:pBdr>
        <w:spacing w:line="276" w:lineRule="auto"/>
        <w:rPr>
          <w:rFonts w:eastAsia="Calibri"/>
          <w:color w:val="000000"/>
        </w:rPr>
      </w:pPr>
      <w:r w:rsidRPr="00093142">
        <w:rPr>
          <w:rFonts w:eastAsia="Calibri"/>
          <w:b/>
          <w:color w:val="000000"/>
        </w:rPr>
        <w:t xml:space="preserve">Concluding Observations </w:t>
      </w:r>
      <w:r w:rsidRPr="00093142">
        <w:rPr>
          <w:rFonts w:eastAsia="Calibri"/>
          <w:b/>
        </w:rPr>
        <w:t xml:space="preserve">and ICCPR Legal Framework </w:t>
      </w:r>
    </w:p>
    <w:p w14:paraId="74A562F6" w14:textId="25747DBB" w:rsidR="00F90E7A" w:rsidRDefault="00F90E7A">
      <w:pPr>
        <w:pBdr>
          <w:top w:val="nil"/>
          <w:left w:val="nil"/>
          <w:bottom w:val="nil"/>
          <w:right w:val="nil"/>
          <w:between w:val="nil"/>
        </w:pBdr>
        <w:spacing w:line="276" w:lineRule="auto"/>
        <w:ind w:left="720" w:hanging="720"/>
        <w:rPr>
          <w:rFonts w:eastAsia="Calibri"/>
          <w:color w:val="000000"/>
        </w:rPr>
      </w:pPr>
    </w:p>
    <w:p w14:paraId="010848A0" w14:textId="014FB07B" w:rsidR="00581318" w:rsidRDefault="00581318" w:rsidP="00204DA8">
      <w:pPr>
        <w:pBdr>
          <w:top w:val="nil"/>
          <w:left w:val="nil"/>
          <w:bottom w:val="nil"/>
          <w:right w:val="nil"/>
          <w:between w:val="nil"/>
        </w:pBdr>
        <w:spacing w:line="276" w:lineRule="auto"/>
        <w:ind w:firstLine="360"/>
        <w:rPr>
          <w:rFonts w:eastAsia="Calibri"/>
          <w:color w:val="000000"/>
        </w:rPr>
      </w:pPr>
      <w:r w:rsidRPr="00A974EF">
        <w:rPr>
          <w:rFonts w:eastAsia="Calibri"/>
          <w:b/>
          <w:color w:val="000000"/>
        </w:rPr>
        <w:t>Relevant ICCPR Articles</w:t>
      </w:r>
      <w:r w:rsidRPr="0053145C">
        <w:rPr>
          <w:rFonts w:eastAsia="Calibri"/>
          <w:color w:val="000000"/>
        </w:rPr>
        <w:t>:</w:t>
      </w:r>
      <w:r>
        <w:rPr>
          <w:rFonts w:eastAsia="Calibri"/>
          <w:color w:val="000000"/>
        </w:rPr>
        <w:t xml:space="preserve"> </w:t>
      </w:r>
      <w:r w:rsidR="00204DA8" w:rsidRPr="00A974EF">
        <w:rPr>
          <w:rFonts w:eastAsia="Calibri"/>
          <w:b/>
          <w:color w:val="000000"/>
        </w:rPr>
        <w:t>Article 3</w:t>
      </w:r>
      <w:r w:rsidR="00204DA8">
        <w:rPr>
          <w:rFonts w:eastAsia="Calibri"/>
          <w:color w:val="000000"/>
        </w:rPr>
        <w:t>, Equal protection of civil and political rights;</w:t>
      </w:r>
      <w:r w:rsidR="00204DA8" w:rsidRPr="00A974EF">
        <w:rPr>
          <w:rFonts w:eastAsia="Calibri"/>
          <w:b/>
          <w:color w:val="000000"/>
        </w:rPr>
        <w:t xml:space="preserve"> </w:t>
      </w:r>
      <w:r w:rsidRPr="00A974EF">
        <w:rPr>
          <w:rFonts w:eastAsia="Calibri"/>
          <w:b/>
          <w:color w:val="000000"/>
        </w:rPr>
        <w:t>Article 7</w:t>
      </w:r>
      <w:r w:rsidRPr="0053145C">
        <w:rPr>
          <w:rFonts w:eastAsia="Calibri"/>
          <w:color w:val="000000"/>
        </w:rPr>
        <w:t>, Prohibition against torture, cruel, inhuman or degrading treatment</w:t>
      </w:r>
      <w:r w:rsidR="00AA7D7A">
        <w:rPr>
          <w:rFonts w:eastAsia="Calibri"/>
          <w:color w:val="000000"/>
        </w:rPr>
        <w:t xml:space="preserve"> or punishment</w:t>
      </w:r>
      <w:r>
        <w:rPr>
          <w:rFonts w:eastAsia="Calibri"/>
          <w:color w:val="000000"/>
        </w:rPr>
        <w:t>;</w:t>
      </w:r>
      <w:r w:rsidR="00764A76">
        <w:rPr>
          <w:rFonts w:eastAsia="Calibri"/>
          <w:color w:val="000000"/>
        </w:rPr>
        <w:t xml:space="preserve"> </w:t>
      </w:r>
      <w:r w:rsidR="00AA7D7A" w:rsidRPr="00AA7D7A">
        <w:rPr>
          <w:rFonts w:eastAsia="Calibri"/>
          <w:b/>
          <w:color w:val="000000"/>
        </w:rPr>
        <w:t>Article 9</w:t>
      </w:r>
      <w:r w:rsidR="00AA7D7A">
        <w:rPr>
          <w:rFonts w:eastAsia="Calibri"/>
          <w:color w:val="000000"/>
        </w:rPr>
        <w:t xml:space="preserve">, Liberty and security of the person; </w:t>
      </w:r>
      <w:r w:rsidR="00AA7D7A" w:rsidRPr="00AA7D7A">
        <w:rPr>
          <w:rFonts w:eastAsia="Calibri"/>
          <w:b/>
          <w:color w:val="000000"/>
        </w:rPr>
        <w:t>Article 14</w:t>
      </w:r>
      <w:r w:rsidR="00AA7D7A">
        <w:rPr>
          <w:rFonts w:eastAsia="Calibri"/>
          <w:color w:val="000000"/>
        </w:rPr>
        <w:t xml:space="preserve">, Equality before the courts; </w:t>
      </w:r>
      <w:r w:rsidR="00764A76" w:rsidRPr="00AA7D7A">
        <w:rPr>
          <w:rFonts w:eastAsia="Calibri"/>
          <w:b/>
          <w:color w:val="000000"/>
        </w:rPr>
        <w:t>Article 17</w:t>
      </w:r>
      <w:r w:rsidR="00764A76" w:rsidRPr="00AA7D7A">
        <w:rPr>
          <w:rFonts w:eastAsia="Calibri"/>
          <w:color w:val="000000"/>
        </w:rPr>
        <w:t xml:space="preserve">, </w:t>
      </w:r>
      <w:r w:rsidR="00AA7D7A">
        <w:rPr>
          <w:rFonts w:eastAsia="Calibri"/>
          <w:color w:val="000000"/>
        </w:rPr>
        <w:t>P</w:t>
      </w:r>
      <w:r w:rsidR="00764A76" w:rsidRPr="00AA7D7A">
        <w:rPr>
          <w:rFonts w:eastAsia="Calibri"/>
          <w:color w:val="000000"/>
        </w:rPr>
        <w:t>rivacy</w:t>
      </w:r>
      <w:r w:rsidR="00764A76">
        <w:rPr>
          <w:rFonts w:eastAsia="Calibri"/>
          <w:color w:val="000000"/>
        </w:rPr>
        <w:t xml:space="preserve">; </w:t>
      </w:r>
      <w:r w:rsidR="00764A76" w:rsidRPr="00AA7D7A">
        <w:rPr>
          <w:rFonts w:eastAsia="Calibri"/>
          <w:b/>
          <w:color w:val="000000"/>
        </w:rPr>
        <w:t>Article 24</w:t>
      </w:r>
      <w:r w:rsidR="00764A76" w:rsidRPr="00AA7D7A">
        <w:rPr>
          <w:rFonts w:eastAsia="Calibri"/>
          <w:color w:val="000000"/>
        </w:rPr>
        <w:t xml:space="preserve">, </w:t>
      </w:r>
      <w:r w:rsidR="00AA7D7A">
        <w:rPr>
          <w:rFonts w:eastAsia="Calibri"/>
          <w:color w:val="000000"/>
        </w:rPr>
        <w:t>Non-discrimination on the basis of sex and birth</w:t>
      </w:r>
      <w:r w:rsidR="00764A76">
        <w:rPr>
          <w:rFonts w:eastAsia="Calibri"/>
          <w:color w:val="000000"/>
        </w:rPr>
        <w:t xml:space="preserve">; </w:t>
      </w:r>
      <w:r w:rsidR="00764A76" w:rsidRPr="00A974EF">
        <w:rPr>
          <w:rFonts w:eastAsia="Calibri"/>
          <w:b/>
          <w:color w:val="000000"/>
        </w:rPr>
        <w:t>Article 26</w:t>
      </w:r>
      <w:r w:rsidR="00764A76" w:rsidRPr="0053145C">
        <w:rPr>
          <w:rFonts w:eastAsia="Calibri"/>
          <w:color w:val="000000"/>
        </w:rPr>
        <w:t>, All persons are equal before the law and entitled to equal protection of the law without discrimination</w:t>
      </w:r>
      <w:r w:rsidR="00764A76">
        <w:rPr>
          <w:rFonts w:eastAsia="Calibri"/>
          <w:color w:val="000000"/>
        </w:rPr>
        <w:t>.</w:t>
      </w:r>
    </w:p>
    <w:p w14:paraId="69321A53" w14:textId="1BEC7B3E" w:rsidR="0053013C" w:rsidRDefault="0053013C" w:rsidP="00204DA8">
      <w:pPr>
        <w:pBdr>
          <w:top w:val="nil"/>
          <w:left w:val="nil"/>
          <w:bottom w:val="nil"/>
          <w:right w:val="nil"/>
          <w:between w:val="nil"/>
        </w:pBdr>
        <w:spacing w:line="276" w:lineRule="auto"/>
        <w:ind w:firstLine="360"/>
        <w:rPr>
          <w:rFonts w:eastAsia="Calibri"/>
          <w:color w:val="000000"/>
        </w:rPr>
      </w:pPr>
    </w:p>
    <w:p w14:paraId="5A40ABF3" w14:textId="10ED1BB0" w:rsidR="004877F1" w:rsidRDefault="008A3610" w:rsidP="00204DA8">
      <w:pPr>
        <w:pBdr>
          <w:top w:val="nil"/>
          <w:left w:val="nil"/>
          <w:bottom w:val="nil"/>
          <w:right w:val="nil"/>
          <w:between w:val="nil"/>
        </w:pBdr>
        <w:spacing w:line="276" w:lineRule="auto"/>
        <w:ind w:firstLine="360"/>
        <w:rPr>
          <w:rFonts w:eastAsia="Calibri"/>
          <w:color w:val="000000"/>
        </w:rPr>
      </w:pPr>
      <w:r>
        <w:rPr>
          <w:rFonts w:eastAsia="Calibri"/>
          <w:color w:val="000000"/>
        </w:rPr>
        <w:t>In 2018, the Committee expressed concern “that the performance of surgical procedures on intersex children, causing physical and mental suffering, is still not strictly regulated.”</w:t>
      </w:r>
      <w:r>
        <w:rPr>
          <w:rStyle w:val="EndnoteReference"/>
          <w:rFonts w:eastAsia="Calibri"/>
          <w:color w:val="000000"/>
        </w:rPr>
        <w:endnoteReference w:id="3"/>
      </w:r>
      <w:r>
        <w:rPr>
          <w:rFonts w:eastAsia="Calibri"/>
          <w:color w:val="000000"/>
        </w:rPr>
        <w:t xml:space="preserve"> The Committee recommended that the State party take steps to “ensure that no child undergoes </w:t>
      </w:r>
      <w:r>
        <w:rPr>
          <w:rFonts w:eastAsia="Calibri"/>
          <w:color w:val="000000"/>
        </w:rPr>
        <w:lastRenderedPageBreak/>
        <w:t>unnecessary surgery intended to assign sex</w:t>
      </w:r>
      <w:r w:rsidR="00C83075">
        <w:rPr>
          <w:rFonts w:eastAsia="Calibri"/>
          <w:color w:val="000000"/>
        </w:rPr>
        <w:t>.</w:t>
      </w:r>
      <w:r>
        <w:rPr>
          <w:rFonts w:eastAsia="Calibri"/>
          <w:color w:val="000000"/>
        </w:rPr>
        <w:t>”</w:t>
      </w:r>
      <w:r>
        <w:rPr>
          <w:rStyle w:val="EndnoteReference"/>
          <w:rFonts w:eastAsia="Calibri"/>
          <w:color w:val="000000"/>
        </w:rPr>
        <w:endnoteReference w:id="4"/>
      </w:r>
      <w:r>
        <w:rPr>
          <w:rFonts w:eastAsia="Calibri"/>
          <w:color w:val="000000"/>
        </w:rPr>
        <w:t xml:space="preserve">  The Committee further recommended that inquiries be launched when intersex persons have not given consent for surgery or treatment, and suggested the State should provide psychological resources and reparation, including compensation for such victims.</w:t>
      </w:r>
      <w:r>
        <w:rPr>
          <w:rStyle w:val="EndnoteReference"/>
          <w:rFonts w:eastAsia="Calibri"/>
          <w:color w:val="000000"/>
        </w:rPr>
        <w:endnoteReference w:id="5"/>
      </w:r>
      <w:r>
        <w:rPr>
          <w:rFonts w:eastAsia="Calibri"/>
          <w:color w:val="000000"/>
        </w:rPr>
        <w:t xml:space="preserve"> The Committee explicitly referenced arts. </w:t>
      </w:r>
      <w:proofErr w:type="gramStart"/>
      <w:r>
        <w:rPr>
          <w:rFonts w:eastAsia="Calibri"/>
          <w:color w:val="000000"/>
        </w:rPr>
        <w:t>3, 7, 24, and 26 of the ICCPR.</w:t>
      </w:r>
      <w:proofErr w:type="gramEnd"/>
      <w:r>
        <w:rPr>
          <w:rStyle w:val="EndnoteReference"/>
          <w:rFonts w:eastAsia="Calibri"/>
          <w:color w:val="000000"/>
        </w:rPr>
        <w:endnoteReference w:id="6"/>
      </w:r>
      <w:r>
        <w:rPr>
          <w:rFonts w:eastAsia="Calibri"/>
          <w:color w:val="000000"/>
        </w:rPr>
        <w:t xml:space="preserve"> </w:t>
      </w:r>
    </w:p>
    <w:p w14:paraId="11DA7C4D" w14:textId="77777777" w:rsidR="008A3610" w:rsidRDefault="008A3610" w:rsidP="00204DA8">
      <w:pPr>
        <w:pBdr>
          <w:top w:val="nil"/>
          <w:left w:val="nil"/>
          <w:bottom w:val="nil"/>
          <w:right w:val="nil"/>
          <w:between w:val="nil"/>
        </w:pBdr>
        <w:spacing w:line="276" w:lineRule="auto"/>
        <w:ind w:firstLine="360"/>
        <w:rPr>
          <w:rFonts w:eastAsia="Calibri"/>
          <w:color w:val="000000"/>
        </w:rPr>
      </w:pPr>
    </w:p>
    <w:p w14:paraId="34D84F55" w14:textId="448D7A2D" w:rsidR="0053013C" w:rsidRPr="00E14A62" w:rsidRDefault="003802DB" w:rsidP="00204DA8">
      <w:pPr>
        <w:pBdr>
          <w:top w:val="nil"/>
          <w:left w:val="nil"/>
          <w:bottom w:val="nil"/>
          <w:right w:val="nil"/>
          <w:between w:val="nil"/>
        </w:pBdr>
        <w:spacing w:line="276" w:lineRule="auto"/>
        <w:ind w:firstLine="360"/>
        <w:rPr>
          <w:rFonts w:eastAsia="Calibri"/>
          <w:color w:val="000000"/>
        </w:rPr>
      </w:pPr>
      <w:r>
        <w:rPr>
          <w:rFonts w:eastAsia="Calibri"/>
          <w:color w:val="000000"/>
        </w:rPr>
        <w:t>In 2017, t</w:t>
      </w:r>
      <w:r w:rsidR="0053013C">
        <w:rPr>
          <w:rFonts w:eastAsia="Calibri"/>
          <w:color w:val="000000"/>
        </w:rPr>
        <w:t xml:space="preserve">he Committee noted that </w:t>
      </w:r>
      <w:r w:rsidR="00103DDB">
        <w:rPr>
          <w:rFonts w:eastAsia="Calibri"/>
          <w:color w:val="000000"/>
        </w:rPr>
        <w:t xml:space="preserve">Australia’s practice of </w:t>
      </w:r>
      <w:r w:rsidR="0053013C">
        <w:rPr>
          <w:rFonts w:eastAsia="Calibri"/>
          <w:color w:val="000000"/>
        </w:rPr>
        <w:t>“irreversible and invasive medical interventions for purposes of gender assignment” on children born with intersex variations is in violation of art</w:t>
      </w:r>
      <w:r w:rsidR="008957ED">
        <w:rPr>
          <w:rFonts w:eastAsia="Calibri"/>
          <w:color w:val="000000"/>
        </w:rPr>
        <w:t>icles</w:t>
      </w:r>
      <w:r w:rsidR="0053013C">
        <w:rPr>
          <w:rFonts w:eastAsia="Calibri"/>
          <w:color w:val="000000"/>
        </w:rPr>
        <w:t xml:space="preserve"> 3, 7, 9, 17, 24, and 26 of the ICCPR.</w:t>
      </w:r>
      <w:r w:rsidR="0053013C">
        <w:rPr>
          <w:rStyle w:val="EndnoteReference"/>
          <w:rFonts w:eastAsia="Calibri"/>
          <w:color w:val="000000"/>
        </w:rPr>
        <w:endnoteReference w:id="7"/>
      </w:r>
      <w:r w:rsidR="0053013C">
        <w:rPr>
          <w:rFonts w:eastAsia="Calibri"/>
          <w:color w:val="000000"/>
        </w:rPr>
        <w:t xml:space="preserve"> </w:t>
      </w:r>
      <w:r w:rsidR="00103DDB">
        <w:rPr>
          <w:rFonts w:eastAsia="Calibri"/>
          <w:color w:val="000000"/>
        </w:rPr>
        <w:t>The Committee recommended that these procedures not be performed without the informed consent of the individual unless it is medically necessary.</w:t>
      </w:r>
      <w:r w:rsidR="00103DDB">
        <w:rPr>
          <w:rStyle w:val="EndnoteReference"/>
          <w:rFonts w:eastAsia="Calibri"/>
          <w:color w:val="000000"/>
        </w:rPr>
        <w:endnoteReference w:id="8"/>
      </w:r>
      <w:r w:rsidR="00103DDB">
        <w:rPr>
          <w:rFonts w:eastAsia="Calibri"/>
          <w:color w:val="000000"/>
        </w:rPr>
        <w:t xml:space="preserve"> </w:t>
      </w:r>
    </w:p>
    <w:p w14:paraId="72D7B072" w14:textId="77777777" w:rsidR="00F90E7A" w:rsidRPr="00E14A62" w:rsidRDefault="00F90E7A">
      <w:pPr>
        <w:pBdr>
          <w:top w:val="nil"/>
          <w:left w:val="nil"/>
          <w:bottom w:val="nil"/>
          <w:right w:val="nil"/>
          <w:between w:val="nil"/>
        </w:pBdr>
        <w:spacing w:line="276" w:lineRule="auto"/>
        <w:ind w:left="1440" w:hanging="720"/>
        <w:rPr>
          <w:rFonts w:eastAsia="Calibri"/>
          <w:color w:val="000000"/>
        </w:rPr>
      </w:pPr>
    </w:p>
    <w:p w14:paraId="207FBDEE" w14:textId="60AC8D2E" w:rsidR="00F90E7A" w:rsidRPr="00093142" w:rsidRDefault="005D1210" w:rsidP="00093142">
      <w:pPr>
        <w:pStyle w:val="ListParagraph"/>
        <w:numPr>
          <w:ilvl w:val="0"/>
          <w:numId w:val="3"/>
        </w:numPr>
        <w:pBdr>
          <w:top w:val="nil"/>
          <w:left w:val="nil"/>
          <w:bottom w:val="nil"/>
          <w:right w:val="nil"/>
          <w:between w:val="nil"/>
        </w:pBdr>
        <w:spacing w:line="276" w:lineRule="auto"/>
        <w:ind w:left="720"/>
        <w:rPr>
          <w:rFonts w:eastAsia="Calibri"/>
          <w:color w:val="000000"/>
        </w:rPr>
      </w:pPr>
      <w:r w:rsidRPr="00093142">
        <w:rPr>
          <w:rFonts w:eastAsia="Calibri"/>
          <w:b/>
        </w:rPr>
        <w:t xml:space="preserve">Current </w:t>
      </w:r>
      <w:r w:rsidRPr="00093142">
        <w:rPr>
          <w:rFonts w:eastAsia="Calibri"/>
          <w:b/>
          <w:color w:val="000000"/>
        </w:rPr>
        <w:t>U.S. Government Policy or Practi</w:t>
      </w:r>
      <w:r w:rsidR="00093142" w:rsidRPr="00093142">
        <w:rPr>
          <w:rFonts w:eastAsia="Calibri"/>
          <w:b/>
          <w:color w:val="000000"/>
        </w:rPr>
        <w:t>c</w:t>
      </w:r>
      <w:r w:rsidRPr="00093142">
        <w:rPr>
          <w:rFonts w:eastAsia="Calibri"/>
          <w:b/>
          <w:color w:val="000000"/>
        </w:rPr>
        <w:t>e</w:t>
      </w:r>
      <w:r w:rsidR="00093142" w:rsidRPr="00093142">
        <w:rPr>
          <w:rFonts w:eastAsia="Calibri"/>
          <w:b/>
          <w:color w:val="000000"/>
        </w:rPr>
        <w:t xml:space="preserve">: The practice of intersex genital mutilation on children with intersex traits constitutes cruel, inhuman, or degrading treatment </w:t>
      </w:r>
      <w:r w:rsidR="00204DA8">
        <w:rPr>
          <w:rFonts w:eastAsia="Calibri"/>
          <w:b/>
          <w:color w:val="000000"/>
        </w:rPr>
        <w:t xml:space="preserve">(CIDT) </w:t>
      </w:r>
      <w:r w:rsidR="00093142" w:rsidRPr="00093142">
        <w:rPr>
          <w:rFonts w:eastAsia="Calibri"/>
          <w:b/>
          <w:color w:val="000000"/>
        </w:rPr>
        <w:t>and torture</w:t>
      </w:r>
    </w:p>
    <w:p w14:paraId="78F66985" w14:textId="77777777" w:rsidR="00204DA8" w:rsidRDefault="00204DA8" w:rsidP="00093142">
      <w:pPr>
        <w:pBdr>
          <w:top w:val="nil"/>
          <w:left w:val="nil"/>
          <w:bottom w:val="nil"/>
          <w:right w:val="nil"/>
          <w:between w:val="nil"/>
        </w:pBdr>
        <w:spacing w:line="276" w:lineRule="auto"/>
        <w:rPr>
          <w:rFonts w:ascii="TimesNewRomanPSMT" w:hAnsi="TimesNewRomanPSMT"/>
        </w:rPr>
      </w:pPr>
    </w:p>
    <w:p w14:paraId="026727C9" w14:textId="41F1C5E7" w:rsidR="00C83075" w:rsidRDefault="00093142" w:rsidP="00204DA8">
      <w:pPr>
        <w:pBdr>
          <w:top w:val="nil"/>
          <w:left w:val="nil"/>
          <w:bottom w:val="nil"/>
          <w:right w:val="nil"/>
          <w:between w:val="nil"/>
        </w:pBdr>
        <w:spacing w:line="276" w:lineRule="auto"/>
        <w:ind w:firstLine="360"/>
        <w:rPr>
          <w:rFonts w:ascii="TimesNewRomanPSMT" w:hAnsi="TimesNewRomanPSMT"/>
        </w:rPr>
      </w:pPr>
      <w:r w:rsidRPr="00042350">
        <w:rPr>
          <w:rFonts w:ascii="TimesNewRomanPSMT" w:hAnsi="TimesNewRomanPSMT"/>
        </w:rPr>
        <w:t>Much of the “treatment” performed</w:t>
      </w:r>
      <w:r w:rsidR="003802DB">
        <w:rPr>
          <w:rFonts w:ascii="TimesNewRomanPSMT" w:hAnsi="TimesNewRomanPSMT"/>
        </w:rPr>
        <w:t xml:space="preserve"> on intersex individuals</w:t>
      </w:r>
      <w:r w:rsidRPr="00042350">
        <w:rPr>
          <w:rFonts w:ascii="TimesNewRomanPSMT" w:hAnsi="TimesNewRomanPSMT"/>
        </w:rPr>
        <w:t xml:space="preserve"> by physicians in the </w:t>
      </w:r>
      <w:r w:rsidR="00CD0390">
        <w:rPr>
          <w:rFonts w:ascii="TimesNewRomanPSMT" w:hAnsi="TimesNewRomanPSMT"/>
        </w:rPr>
        <w:t>U.S.</w:t>
      </w:r>
      <w:r w:rsidRPr="00042350">
        <w:rPr>
          <w:rFonts w:ascii="TimesNewRomanPSMT" w:hAnsi="TimesNewRomanPSMT"/>
        </w:rPr>
        <w:t xml:space="preserve"> has already been recognized as torture or CIDT.</w:t>
      </w:r>
      <w:r>
        <w:rPr>
          <w:rStyle w:val="EndnoteReference"/>
          <w:rFonts w:ascii="TimesNewRomanPSMT" w:hAnsi="TimesNewRomanPSMT"/>
        </w:rPr>
        <w:endnoteReference w:id="9"/>
      </w:r>
      <w:r>
        <w:rPr>
          <w:rFonts w:ascii="TimesNewRomanPSMT" w:hAnsi="TimesNewRomanPSMT"/>
          <w:position w:val="12"/>
          <w:sz w:val="16"/>
          <w:szCs w:val="16"/>
        </w:rPr>
        <w:t xml:space="preserve"> </w:t>
      </w:r>
      <w:r w:rsidRPr="00042350">
        <w:rPr>
          <w:rFonts w:ascii="TimesNewRomanPSMT" w:hAnsi="TimesNewRomanPSMT"/>
          <w:position w:val="12"/>
          <w:sz w:val="16"/>
          <w:szCs w:val="16"/>
        </w:rPr>
        <w:t xml:space="preserve"> </w:t>
      </w:r>
      <w:r w:rsidR="00C83075">
        <w:rPr>
          <w:rFonts w:ascii="TimesNewRomanPSMT" w:hAnsi="TimesNewRomanPSMT"/>
        </w:rPr>
        <w:t xml:space="preserve">Procedures where intersex children’s gonads or other organs are removed without their consent can be sterilizing. </w:t>
      </w:r>
      <w:r w:rsidRPr="00042350">
        <w:rPr>
          <w:rFonts w:ascii="TimesNewRomanPSMT" w:hAnsi="TimesNewRomanPSMT"/>
        </w:rPr>
        <w:t xml:space="preserve">Coerced sterilization can constitute torture and CIDT, and states’ </w:t>
      </w:r>
      <w:proofErr w:type="gramStart"/>
      <w:r w:rsidRPr="00042350">
        <w:rPr>
          <w:rFonts w:ascii="TimesNewRomanPSMT" w:hAnsi="TimesNewRomanPSMT"/>
        </w:rPr>
        <w:t>obligations to protect persons from such treatment extends</w:t>
      </w:r>
      <w:proofErr w:type="gramEnd"/>
      <w:r w:rsidRPr="00042350">
        <w:rPr>
          <w:rFonts w:ascii="TimesNewRomanPSMT" w:hAnsi="TimesNewRomanPSMT"/>
        </w:rPr>
        <w:t xml:space="preserve"> into the private sphere, including where such practices are committed by private individual</w:t>
      </w:r>
      <w:r>
        <w:rPr>
          <w:rFonts w:ascii="TimesNewRomanPSMT" w:hAnsi="TimesNewRomanPSMT"/>
        </w:rPr>
        <w:t>s.</w:t>
      </w:r>
      <w:r>
        <w:rPr>
          <w:rStyle w:val="EndnoteReference"/>
          <w:rFonts w:ascii="TimesNewRomanPSMT" w:hAnsi="TimesNewRomanPSMT"/>
        </w:rPr>
        <w:endnoteReference w:id="10"/>
      </w:r>
      <w:r>
        <w:rPr>
          <w:rFonts w:ascii="TimesNewRomanPSMT" w:hAnsi="TimesNewRomanPSMT"/>
        </w:rPr>
        <w:t xml:space="preserve"> </w:t>
      </w:r>
      <w:r w:rsidR="00C83075" w:rsidRPr="00042350">
        <w:rPr>
          <w:rFonts w:ascii="TimesNewRomanPSMT" w:hAnsi="TimesNewRomanPSMT"/>
        </w:rPr>
        <w:t>Further, as we have noted previously, the U.N. Committee on the Rights of the Child has addressed involuntary sterilization of persons with disabilities under the age of 18 as a form of violence, in violation of the child’s right to physical integrity, causing life-long effects on physical and mental health.</w:t>
      </w:r>
      <w:r w:rsidR="00C83075">
        <w:rPr>
          <w:rStyle w:val="EndnoteReference"/>
          <w:rFonts w:ascii="TimesNewRomanPSMT" w:hAnsi="TimesNewRomanPSMT"/>
        </w:rPr>
        <w:endnoteReference w:id="11"/>
      </w:r>
      <w:r w:rsidR="00C83075">
        <w:rPr>
          <w:rFonts w:ascii="TimesNewRomanPSMT" w:hAnsi="TimesNewRomanPSMT"/>
          <w:position w:val="12"/>
          <w:sz w:val="16"/>
          <w:szCs w:val="16"/>
        </w:rPr>
        <w:t xml:space="preserve">  </w:t>
      </w:r>
      <w:r w:rsidR="00C83075">
        <w:rPr>
          <w:rFonts w:ascii="TimesNewRomanPSMT" w:hAnsi="TimesNewRomanPSMT"/>
        </w:rPr>
        <w:t>Th</w:t>
      </w:r>
      <w:r w:rsidR="00C83075" w:rsidRPr="00042350">
        <w:rPr>
          <w:rFonts w:ascii="TimesNewRomanPSMT" w:hAnsi="TimesNewRomanPSMT"/>
        </w:rPr>
        <w:t xml:space="preserve">e Committee has called upon States to prohibit by law the involuntary sterilization of children on grounds of disability. </w:t>
      </w:r>
      <w:r w:rsidR="00BD1BDD">
        <w:rPr>
          <w:rFonts w:ascii="TimesNewRomanPSMT" w:hAnsi="TimesNewRomanPSMT"/>
        </w:rPr>
        <w:t>N</w:t>
      </w:r>
      <w:r w:rsidR="00C83075" w:rsidRPr="00042350">
        <w:rPr>
          <w:rFonts w:ascii="TimesNewRomanPSMT" w:hAnsi="TimesNewRomanPSMT"/>
        </w:rPr>
        <w:t>o exception has been mentioned for children whose medical condition happens to cause atypical sex characteristics.</w:t>
      </w:r>
    </w:p>
    <w:p w14:paraId="64EB3CAB" w14:textId="77777777" w:rsidR="00C83075" w:rsidRDefault="00C83075" w:rsidP="00204DA8">
      <w:pPr>
        <w:pBdr>
          <w:top w:val="nil"/>
          <w:left w:val="nil"/>
          <w:bottom w:val="nil"/>
          <w:right w:val="nil"/>
          <w:between w:val="nil"/>
        </w:pBdr>
        <w:spacing w:line="276" w:lineRule="auto"/>
        <w:ind w:firstLine="360"/>
        <w:rPr>
          <w:rFonts w:ascii="TimesNewRomanPSMT" w:hAnsi="TimesNewRomanPSMT"/>
        </w:rPr>
      </w:pPr>
    </w:p>
    <w:p w14:paraId="008749CD" w14:textId="43C398B9" w:rsidR="00F90E7A" w:rsidRDefault="00C83075" w:rsidP="00204DA8">
      <w:pPr>
        <w:pBdr>
          <w:top w:val="nil"/>
          <w:left w:val="nil"/>
          <w:bottom w:val="nil"/>
          <w:right w:val="nil"/>
          <w:between w:val="nil"/>
        </w:pBdr>
        <w:spacing w:line="276" w:lineRule="auto"/>
        <w:ind w:firstLine="360"/>
        <w:rPr>
          <w:rFonts w:ascii="TimesNewRomanPSMT" w:hAnsi="TimesNewRomanPSMT"/>
        </w:rPr>
      </w:pPr>
      <w:r>
        <w:rPr>
          <w:rFonts w:ascii="TimesNewRomanPSMT" w:hAnsi="TimesNewRomanPSMT"/>
        </w:rPr>
        <w:t>In addition to sterilization,</w:t>
      </w:r>
      <w:r w:rsidR="00F363CC">
        <w:rPr>
          <w:rFonts w:ascii="TimesNewRomanPSMT" w:hAnsi="TimesNewRomanPSMT"/>
        </w:rPr>
        <w:t xml:space="preserve"> many </w:t>
      </w:r>
      <w:r>
        <w:rPr>
          <w:rFonts w:ascii="TimesNewRomanPSMT" w:hAnsi="TimesNewRomanPSMT"/>
        </w:rPr>
        <w:t xml:space="preserve">serious and documented </w:t>
      </w:r>
      <w:r w:rsidR="00F363CC">
        <w:rPr>
          <w:rFonts w:ascii="TimesNewRomanPSMT" w:hAnsi="TimesNewRomanPSMT"/>
        </w:rPr>
        <w:t>risks</w:t>
      </w:r>
      <w:r>
        <w:rPr>
          <w:rFonts w:ascii="TimesNewRomanPSMT" w:hAnsi="TimesNewRomanPSMT"/>
        </w:rPr>
        <w:t xml:space="preserve"> accompany non-consensual medical interventions on intersex children</w:t>
      </w:r>
      <w:r w:rsidR="00F363CC">
        <w:rPr>
          <w:rFonts w:ascii="TimesNewRomanPSMT" w:hAnsi="TimesNewRomanPSMT"/>
        </w:rPr>
        <w:t xml:space="preserve">. </w:t>
      </w:r>
      <w:r>
        <w:rPr>
          <w:rFonts w:ascii="TimesNewRomanPSMT" w:hAnsi="TimesNewRomanPSMT"/>
        </w:rPr>
        <w:t xml:space="preserve">Removal of hormone-producing gonads </w:t>
      </w:r>
      <w:r w:rsidR="00F363CC">
        <w:rPr>
          <w:rFonts w:ascii="TimesNewRomanPSMT" w:hAnsi="TimesNewRomanPSMT"/>
        </w:rPr>
        <w:t>often require</w:t>
      </w:r>
      <w:r>
        <w:rPr>
          <w:rFonts w:ascii="TimesNewRomanPSMT" w:hAnsi="TimesNewRomanPSMT"/>
        </w:rPr>
        <w:t>s that the individual be placed onto</w:t>
      </w:r>
      <w:r w:rsidR="00F363CC">
        <w:rPr>
          <w:rFonts w:ascii="TimesNewRomanPSMT" w:hAnsi="TimesNewRomanPSMT"/>
        </w:rPr>
        <w:t xml:space="preserve"> lifelong hormone</w:t>
      </w:r>
      <w:r>
        <w:rPr>
          <w:rFonts w:ascii="TimesNewRomanPSMT" w:hAnsi="TimesNewRomanPSMT"/>
        </w:rPr>
        <w:t xml:space="preserve"> replacement</w:t>
      </w:r>
      <w:r w:rsidR="00F363CC">
        <w:rPr>
          <w:rFonts w:ascii="TimesNewRomanPSMT" w:hAnsi="TimesNewRomanPSMT"/>
        </w:rPr>
        <w:t xml:space="preserve"> therapy</w:t>
      </w:r>
      <w:r>
        <w:rPr>
          <w:rFonts w:ascii="TimesNewRomanPSMT" w:hAnsi="TimesNewRomanPSMT"/>
        </w:rPr>
        <w:t>. Genital surgeries</w:t>
      </w:r>
      <w:r w:rsidR="00F363CC">
        <w:rPr>
          <w:rFonts w:ascii="TimesNewRomanPSMT" w:hAnsi="TimesNewRomanPSMT"/>
        </w:rPr>
        <w:t xml:space="preserve"> </w:t>
      </w:r>
      <w:r w:rsidR="003802DB">
        <w:rPr>
          <w:rFonts w:ascii="TimesNewRomanPSMT" w:hAnsi="TimesNewRomanPSMT"/>
        </w:rPr>
        <w:t>risk</w:t>
      </w:r>
      <w:r>
        <w:rPr>
          <w:rFonts w:ascii="TimesNewRomanPSMT" w:hAnsi="TimesNewRomanPSMT"/>
        </w:rPr>
        <w:t xml:space="preserve"> the</w:t>
      </w:r>
      <w:r w:rsidR="00F363CC">
        <w:rPr>
          <w:rFonts w:ascii="TimesNewRomanPSMT" w:hAnsi="TimesNewRomanPSMT"/>
        </w:rPr>
        <w:t xml:space="preserve"> </w:t>
      </w:r>
      <w:r>
        <w:rPr>
          <w:rFonts w:ascii="TimesNewRomanPSMT" w:hAnsi="TimesNewRomanPSMT"/>
        </w:rPr>
        <w:t xml:space="preserve">irreversible </w:t>
      </w:r>
      <w:r w:rsidR="00F363CC">
        <w:rPr>
          <w:rFonts w:ascii="TimesNewRomanPSMT" w:hAnsi="TimesNewRomanPSMT"/>
        </w:rPr>
        <w:t xml:space="preserve">loss of sexual sensation </w:t>
      </w:r>
      <w:r>
        <w:rPr>
          <w:rFonts w:ascii="TimesNewRomanPSMT" w:hAnsi="TimesNewRomanPSMT"/>
        </w:rPr>
        <w:t>and function, urinary incontinence, and</w:t>
      </w:r>
      <w:r w:rsidR="00F363CC">
        <w:rPr>
          <w:rFonts w:ascii="TimesNewRomanPSMT" w:hAnsi="TimesNewRomanPSMT"/>
        </w:rPr>
        <w:t xml:space="preserve"> chronic pain.</w:t>
      </w:r>
      <w:r w:rsidR="00F363CC">
        <w:rPr>
          <w:rStyle w:val="EndnoteReference"/>
          <w:rFonts w:ascii="TimesNewRomanPSMT" w:hAnsi="TimesNewRomanPSMT"/>
        </w:rPr>
        <w:endnoteReference w:id="12"/>
      </w:r>
      <w:r w:rsidR="00F363CC">
        <w:rPr>
          <w:rFonts w:ascii="TimesNewRomanPSMT" w:hAnsi="TimesNewRomanPSMT"/>
        </w:rPr>
        <w:t xml:space="preserve">  </w:t>
      </w:r>
      <w:r w:rsidR="00BD1BDD">
        <w:rPr>
          <w:rFonts w:ascii="TimesNewRomanPSMT" w:hAnsi="TimesNewRomanPSMT"/>
        </w:rPr>
        <w:t xml:space="preserve">Any procedure that alters a child’s sex traits to conform to what is typical for the assigned sex enhances </w:t>
      </w:r>
      <w:r>
        <w:rPr>
          <w:rFonts w:ascii="TimesNewRomanPSMT" w:hAnsi="TimesNewRomanPSMT"/>
        </w:rPr>
        <w:t>the risk</w:t>
      </w:r>
      <w:r w:rsidR="00BD1BDD">
        <w:rPr>
          <w:rFonts w:ascii="TimesNewRomanPSMT" w:hAnsi="TimesNewRomanPSMT"/>
        </w:rPr>
        <w:t>s</w:t>
      </w:r>
      <w:r>
        <w:rPr>
          <w:rFonts w:ascii="TimesNewRomanPSMT" w:hAnsi="TimesNewRomanPSMT"/>
        </w:rPr>
        <w:t xml:space="preserve"> of assigning a sex that doesn’t match their gender identity.</w:t>
      </w:r>
      <w:r>
        <w:rPr>
          <w:rStyle w:val="EndnoteReference"/>
          <w:rFonts w:ascii="TimesNewRomanPSMT" w:hAnsi="TimesNewRomanPSMT"/>
        </w:rPr>
        <w:endnoteReference w:id="13"/>
      </w:r>
      <w:r w:rsidR="00BD1BDD">
        <w:rPr>
          <w:rFonts w:ascii="TimesNewRomanPSMT" w:hAnsi="TimesNewRomanPSMT"/>
        </w:rPr>
        <w:t xml:space="preserve"> Depending on the intersex diagnosis, the probability of assigning a sex with which the individual will not identify ranges from 5 up to 60 percent.</w:t>
      </w:r>
      <w:r w:rsidR="00BD1BDD">
        <w:rPr>
          <w:rStyle w:val="EndnoteReference"/>
          <w:rFonts w:ascii="TimesNewRomanPSMT" w:hAnsi="TimesNewRomanPSMT"/>
        </w:rPr>
        <w:endnoteReference w:id="14"/>
      </w:r>
      <w:r w:rsidR="00BD1BDD">
        <w:rPr>
          <w:rFonts w:ascii="TimesNewRomanPSMT" w:hAnsi="TimesNewRomanPSMT"/>
        </w:rPr>
        <w:t xml:space="preserve"> </w:t>
      </w:r>
      <w:r w:rsidR="00093142" w:rsidRPr="00042350">
        <w:rPr>
          <w:rFonts w:ascii="TimesNewRomanPSMT" w:hAnsi="TimesNewRomanPSMT"/>
        </w:rPr>
        <w:t xml:space="preserve">In the case of </w:t>
      </w:r>
      <w:r w:rsidR="00811490">
        <w:rPr>
          <w:rFonts w:ascii="TimesNewRomanPSMT" w:hAnsi="TimesNewRomanPSMT"/>
        </w:rPr>
        <w:t>female genital mutilation (</w:t>
      </w:r>
      <w:r w:rsidR="00093142" w:rsidRPr="00042350">
        <w:rPr>
          <w:rFonts w:ascii="TimesNewRomanPSMT" w:hAnsi="TimesNewRomanPSMT"/>
        </w:rPr>
        <w:t>FGM</w:t>
      </w:r>
      <w:r w:rsidR="00811490">
        <w:rPr>
          <w:rFonts w:ascii="TimesNewRomanPSMT" w:hAnsi="TimesNewRomanPSMT"/>
        </w:rPr>
        <w:t>)</w:t>
      </w:r>
      <w:r w:rsidR="00093142" w:rsidRPr="00042350">
        <w:rPr>
          <w:rFonts w:ascii="TimesNewRomanPSMT" w:hAnsi="TimesNewRomanPSMT"/>
        </w:rPr>
        <w:t>, which encompasses the clitoral reduction surgeries carried out on many female-assigned intersex children</w:t>
      </w:r>
      <w:r w:rsidR="00093142">
        <w:rPr>
          <w:rFonts w:ascii="TimesNewRomanPSMT" w:hAnsi="TimesNewRomanPSMT"/>
        </w:rPr>
        <w:t>,</w:t>
      </w:r>
      <w:r w:rsidR="00093142">
        <w:rPr>
          <w:rStyle w:val="EndnoteReference"/>
          <w:rFonts w:ascii="TimesNewRomanPSMT" w:hAnsi="TimesNewRomanPSMT"/>
        </w:rPr>
        <w:endnoteReference w:id="15"/>
      </w:r>
      <w:r w:rsidR="00093142">
        <w:rPr>
          <w:rFonts w:ascii="TimesNewRomanPSMT" w:hAnsi="TimesNewRomanPSMT"/>
        </w:rPr>
        <w:t xml:space="preserve"> </w:t>
      </w:r>
      <w:r w:rsidR="00093142" w:rsidRPr="00042350">
        <w:rPr>
          <w:rFonts w:ascii="TimesNewRomanPSMT" w:hAnsi="TimesNewRomanPSMT"/>
        </w:rPr>
        <w:t xml:space="preserve">the </w:t>
      </w:r>
      <w:r w:rsidR="00811490">
        <w:rPr>
          <w:rFonts w:ascii="TimesNewRomanPSMT" w:hAnsi="TimesNewRomanPSMT"/>
        </w:rPr>
        <w:t xml:space="preserve">United Nations </w:t>
      </w:r>
      <w:r w:rsidR="006C063B">
        <w:rPr>
          <w:rFonts w:ascii="TimesNewRomanPSMT" w:hAnsi="TimesNewRomanPSMT"/>
        </w:rPr>
        <w:t>Special Rapporteur on Torture (SRT)</w:t>
      </w:r>
      <w:r w:rsidR="00093142" w:rsidRPr="00042350">
        <w:rPr>
          <w:rFonts w:ascii="TimesNewRomanPSMT" w:hAnsi="TimesNewRomanPSMT"/>
        </w:rPr>
        <w:t xml:space="preserve"> has specifically pointed out that where this is performed in private clinics and physicians carrying out the procedure are not being prosecuted, the State de facto consents to the practice and is therefore </w:t>
      </w:r>
      <w:r w:rsidR="00093142" w:rsidRPr="00042350">
        <w:rPr>
          <w:rFonts w:ascii="TimesNewRomanPSMT" w:hAnsi="TimesNewRomanPSMT"/>
        </w:rPr>
        <w:lastRenderedPageBreak/>
        <w:t>accountable</w:t>
      </w:r>
      <w:r w:rsidR="00093142">
        <w:rPr>
          <w:rFonts w:ascii="TimesNewRomanPSMT" w:hAnsi="TimesNewRomanPSMT"/>
        </w:rPr>
        <w:t>.</w:t>
      </w:r>
      <w:r w:rsidR="00093142">
        <w:rPr>
          <w:rStyle w:val="EndnoteReference"/>
          <w:rFonts w:ascii="TimesNewRomanPSMT" w:hAnsi="TimesNewRomanPSMT"/>
        </w:rPr>
        <w:endnoteReference w:id="16"/>
      </w:r>
      <w:r w:rsidR="00093142">
        <w:rPr>
          <w:rFonts w:ascii="TimesNewRomanPSMT" w:hAnsi="TimesNewRomanPSMT"/>
        </w:rPr>
        <w:t xml:space="preserve"> H</w:t>
      </w:r>
      <w:r w:rsidR="00093142" w:rsidRPr="00042350">
        <w:rPr>
          <w:rFonts w:ascii="TimesNewRomanPSMT" w:hAnsi="TimesNewRomanPSMT"/>
        </w:rPr>
        <w:t xml:space="preserve">owever, we are unaware of any jurisdiction in the U.S. that enforces FGM laws in cases where the girl undergoing clitoral cutting has an intersex trait. </w:t>
      </w:r>
    </w:p>
    <w:p w14:paraId="4F6BA4CD" w14:textId="6F9E2004" w:rsidR="006C063B" w:rsidRDefault="006C063B" w:rsidP="006C063B">
      <w:pPr>
        <w:pBdr>
          <w:top w:val="nil"/>
          <w:left w:val="nil"/>
          <w:bottom w:val="nil"/>
          <w:right w:val="nil"/>
          <w:between w:val="nil"/>
        </w:pBdr>
        <w:spacing w:line="276" w:lineRule="auto"/>
        <w:rPr>
          <w:rFonts w:eastAsia="Calibri"/>
          <w:color w:val="000000"/>
        </w:rPr>
      </w:pPr>
    </w:p>
    <w:p w14:paraId="203F279A" w14:textId="1057ECF9" w:rsidR="006C063B" w:rsidRPr="00E14A62" w:rsidRDefault="006C063B" w:rsidP="006C063B">
      <w:pPr>
        <w:pBdr>
          <w:top w:val="nil"/>
          <w:left w:val="nil"/>
          <w:bottom w:val="nil"/>
          <w:right w:val="nil"/>
          <w:between w:val="nil"/>
        </w:pBdr>
        <w:spacing w:line="276" w:lineRule="auto"/>
        <w:ind w:firstLine="360"/>
        <w:rPr>
          <w:rFonts w:eastAsia="Calibri"/>
          <w:color w:val="000000"/>
        </w:rPr>
      </w:pPr>
      <w:r w:rsidRPr="00042350">
        <w:rPr>
          <w:rFonts w:ascii="TimesNewRomanPSMT" w:hAnsi="TimesNewRomanPSMT"/>
        </w:rPr>
        <w:t>Following the actions of the SRT, in 2014 the Societ</w:t>
      </w:r>
      <w:r w:rsidR="00811490">
        <w:rPr>
          <w:rFonts w:ascii="TimesNewRomanPSMT" w:hAnsi="TimesNewRomanPSMT"/>
        </w:rPr>
        <w:t>ies</w:t>
      </w:r>
      <w:r w:rsidRPr="00042350">
        <w:rPr>
          <w:rFonts w:ascii="TimesNewRomanPSMT" w:hAnsi="TimesNewRomanPSMT"/>
        </w:rPr>
        <w:t xml:space="preserve"> for Pediatric Urology published a paper concerning their “standpoint on the surgical management” of intersex traits. They recognized that </w:t>
      </w:r>
      <w:r w:rsidR="00811490">
        <w:rPr>
          <w:rFonts w:ascii="TimesNewRomanPSMT" w:hAnsi="TimesNewRomanPSMT"/>
        </w:rPr>
        <w:t>non-consensual and unnecessary interventions on intersex children</w:t>
      </w:r>
      <w:r w:rsidRPr="00042350">
        <w:rPr>
          <w:rFonts w:ascii="TimesNewRomanPSMT" w:hAnsi="TimesNewRomanPSMT"/>
        </w:rPr>
        <w:t xml:space="preserve"> ha</w:t>
      </w:r>
      <w:r w:rsidR="00811490">
        <w:rPr>
          <w:rFonts w:ascii="TimesNewRomanPSMT" w:hAnsi="TimesNewRomanPSMT"/>
        </w:rPr>
        <w:t>ve</w:t>
      </w:r>
      <w:r w:rsidRPr="00042350">
        <w:rPr>
          <w:rFonts w:ascii="TimesNewRomanPSMT" w:hAnsi="TimesNewRomanPSMT"/>
        </w:rPr>
        <w:t xml:space="preserve"> been classified as torture but nevertheless failed to call for a ban on such surgeries, instead stating that more information must be gathered and that surgery could be justified “to restore more normal visible anatomy, and avoid ambiguity which is often the parents’ wish.</w:t>
      </w:r>
      <w:r w:rsidR="00811490">
        <w:rPr>
          <w:rFonts w:ascii="TimesNewRomanPSMT" w:hAnsi="TimesNewRomanPSMT"/>
        </w:rPr>
        <w:t>”</w:t>
      </w:r>
      <w:r w:rsidR="00C206DB">
        <w:rPr>
          <w:rStyle w:val="EndnoteReference"/>
          <w:rFonts w:ascii="TimesNewRomanPSMT" w:hAnsi="TimesNewRomanPSMT"/>
        </w:rPr>
        <w:endnoteReference w:id="17"/>
      </w:r>
      <w:r w:rsidR="00C206DB">
        <w:rPr>
          <w:rFonts w:ascii="TimesNewRomanPSMT" w:hAnsi="TimesNewRomanPSMT"/>
        </w:rPr>
        <w:t xml:space="preserve"> Ho</w:t>
      </w:r>
      <w:r>
        <w:rPr>
          <w:rFonts w:ascii="TimesNewRomanPSMT" w:hAnsi="TimesNewRomanPSMT"/>
          <w:vanish/>
          <w:position w:val="12"/>
          <w:sz w:val="16"/>
          <w:szCs w:val="16"/>
        </w:rPr>
        <w:t>H</w:t>
      </w:r>
      <w:r w:rsidRPr="00042350">
        <w:rPr>
          <w:rFonts w:ascii="TimesNewRomanPSMT" w:hAnsi="TimesNewRomanPSMT"/>
        </w:rPr>
        <w:t xml:space="preserve">wever, </w:t>
      </w:r>
      <w:r w:rsidR="00811490">
        <w:rPr>
          <w:rFonts w:ascii="TimesNewRomanPSMT" w:hAnsi="TimesNewRomanPSMT"/>
        </w:rPr>
        <w:t>these subjective considerations</w:t>
      </w:r>
      <w:r w:rsidRPr="00042350">
        <w:rPr>
          <w:rFonts w:ascii="TimesNewRomanPSMT" w:hAnsi="TimesNewRomanPSMT"/>
        </w:rPr>
        <w:t xml:space="preserve"> cannot be ethical justification</w:t>
      </w:r>
      <w:r w:rsidR="00811490">
        <w:rPr>
          <w:rFonts w:ascii="TimesNewRomanPSMT" w:hAnsi="TimesNewRomanPSMT"/>
        </w:rPr>
        <w:t>s</w:t>
      </w:r>
      <w:r w:rsidRPr="00042350">
        <w:rPr>
          <w:rFonts w:ascii="TimesNewRomanPSMT" w:hAnsi="TimesNewRomanPSMT"/>
        </w:rPr>
        <w:t xml:space="preserve"> for such surgery</w:t>
      </w:r>
      <w:r w:rsidR="00811490">
        <w:rPr>
          <w:rFonts w:ascii="TimesNewRomanPSMT" w:hAnsi="TimesNewRomanPSMT"/>
        </w:rPr>
        <w:t xml:space="preserve"> on unconsenting individuals.</w:t>
      </w:r>
      <w:r w:rsidRPr="00042350">
        <w:rPr>
          <w:rFonts w:ascii="TimesNewRomanPSMT" w:hAnsi="TimesNewRomanPSMT"/>
        </w:rPr>
        <w:t xml:space="preserve"> </w:t>
      </w:r>
      <w:r w:rsidR="00811490">
        <w:rPr>
          <w:rFonts w:ascii="TimesNewRomanPSMT" w:hAnsi="TimesNewRomanPSMT"/>
        </w:rPr>
        <w:t>Intersex advocates additionally pointed out that</w:t>
      </w:r>
      <w:r w:rsidRPr="00042350">
        <w:rPr>
          <w:rFonts w:ascii="TimesNewRomanPSMT" w:hAnsi="TimesNewRomanPSMT"/>
        </w:rPr>
        <w:t xml:space="preserve"> the</w:t>
      </w:r>
      <w:r w:rsidR="00811490">
        <w:rPr>
          <w:rFonts w:ascii="TimesNewRomanPSMT" w:hAnsi="TimesNewRomanPSMT"/>
        </w:rPr>
        <w:t xml:space="preserve"> urologists’</w:t>
      </w:r>
      <w:r w:rsidRPr="00042350">
        <w:rPr>
          <w:rFonts w:ascii="TimesNewRomanPSMT" w:hAnsi="TimesNewRomanPSMT"/>
        </w:rPr>
        <w:t xml:space="preserve"> paper “significantly </w:t>
      </w:r>
      <w:proofErr w:type="gramStart"/>
      <w:r w:rsidRPr="00042350">
        <w:rPr>
          <w:rFonts w:ascii="TimesNewRomanPSMT" w:hAnsi="TimesNewRomanPSMT"/>
        </w:rPr>
        <w:t>understate[</w:t>
      </w:r>
      <w:proofErr w:type="gramEnd"/>
      <w:r w:rsidRPr="00042350">
        <w:rPr>
          <w:rFonts w:ascii="TimesNewRomanPSMT" w:hAnsi="TimesNewRomanPSMT"/>
        </w:rPr>
        <w:t>d] reported catastrophic outcomes including complete loss of sexual sensation, psychological trauma and PTSD, sterilization, and irreversible surgical restructuring of genitals not appropriate to the eventual gender identity.”</w:t>
      </w:r>
      <w:r w:rsidR="00C206DB">
        <w:rPr>
          <w:rStyle w:val="EndnoteReference"/>
          <w:rFonts w:ascii="TimesNewRomanPSMT" w:hAnsi="TimesNewRomanPSMT"/>
        </w:rPr>
        <w:endnoteReference w:id="18"/>
      </w:r>
    </w:p>
    <w:p w14:paraId="6126F644" w14:textId="48953AC9" w:rsidR="00F90E7A" w:rsidRDefault="00F90E7A" w:rsidP="00C206DB">
      <w:pPr>
        <w:pBdr>
          <w:top w:val="nil"/>
          <w:left w:val="nil"/>
          <w:bottom w:val="nil"/>
          <w:right w:val="nil"/>
          <w:between w:val="nil"/>
        </w:pBdr>
        <w:spacing w:line="276" w:lineRule="auto"/>
        <w:rPr>
          <w:rFonts w:eastAsia="Calibri"/>
          <w:color w:val="000000"/>
        </w:rPr>
      </w:pPr>
    </w:p>
    <w:p w14:paraId="0D687403" w14:textId="43390023" w:rsidR="00C206DB" w:rsidRDefault="00C206DB" w:rsidP="004E6E19">
      <w:pPr>
        <w:pBdr>
          <w:top w:val="nil"/>
          <w:left w:val="nil"/>
          <w:bottom w:val="nil"/>
          <w:right w:val="nil"/>
          <w:between w:val="nil"/>
        </w:pBdr>
        <w:spacing w:line="276" w:lineRule="auto"/>
        <w:ind w:firstLine="360"/>
        <w:rPr>
          <w:rFonts w:eastAsia="Calibri"/>
          <w:color w:val="000000"/>
        </w:rPr>
      </w:pPr>
      <w:r w:rsidRPr="00042350">
        <w:rPr>
          <w:rFonts w:ascii="TimesNewRomanPSMT" w:hAnsi="TimesNewRomanPSMT"/>
        </w:rPr>
        <w:t>Thereafter, in 2015, the World Health Organization, UNICEF, OHCHR, UN Women, UNAIDS, UNDP and UNFPA explained, intersex children “are often subjected to cosmetic and other non-medically indicated surgeries performed on their reproductive organs, without their informed consent or that of their parents, and without taking into consideration the views of the children involved [...] As a result, such children are being subjected to irreversible interventions that have lifelong consequence</w:t>
      </w:r>
      <w:r w:rsidR="00013300">
        <w:rPr>
          <w:rFonts w:ascii="TimesNewRomanPSMT" w:hAnsi="TimesNewRomanPSMT"/>
        </w:rPr>
        <w:t>s</w:t>
      </w:r>
      <w:r w:rsidRPr="00042350">
        <w:rPr>
          <w:rFonts w:ascii="TimesNewRomanPSMT" w:hAnsi="TimesNewRomanPSMT"/>
        </w:rPr>
        <w:t xml:space="preserve"> for their physical and mental health.</w:t>
      </w:r>
      <w:r>
        <w:rPr>
          <w:rFonts w:ascii="TimesNewRomanPSMT" w:hAnsi="TimesNewRomanPSMT"/>
        </w:rPr>
        <w:t>”</w:t>
      </w:r>
      <w:r>
        <w:rPr>
          <w:rStyle w:val="EndnoteReference"/>
          <w:rFonts w:ascii="TimesNewRomanPSMT" w:hAnsi="TimesNewRomanPSMT"/>
        </w:rPr>
        <w:endnoteReference w:id="19"/>
      </w:r>
      <w:r>
        <w:rPr>
          <w:rFonts w:ascii="TimesNewRomanPSMT" w:hAnsi="TimesNewRomanPSMT"/>
        </w:rPr>
        <w:t xml:space="preserve"> </w:t>
      </w:r>
      <w:r w:rsidRPr="00042350">
        <w:rPr>
          <w:rFonts w:ascii="TimesNewRomanPSMT" w:hAnsi="TimesNewRomanPSMT"/>
          <w:position w:val="12"/>
          <w:sz w:val="16"/>
          <w:szCs w:val="16"/>
        </w:rPr>
        <w:t xml:space="preserve"> </w:t>
      </w:r>
      <w:r w:rsidRPr="00042350">
        <w:rPr>
          <w:rFonts w:ascii="TimesNewRomanPSMT" w:hAnsi="TimesNewRomanPSMT"/>
        </w:rPr>
        <w:t>The statement called for accountability, participation, and access to remedies for intersex people.</w:t>
      </w:r>
      <w:r w:rsidR="00720786">
        <w:rPr>
          <w:rFonts w:ascii="TimesNewRomanPSMT" w:hAnsi="TimesNewRomanPSMT"/>
        </w:rPr>
        <w:t xml:space="preserve">  </w:t>
      </w:r>
    </w:p>
    <w:p w14:paraId="1B3E6A34" w14:textId="4BCFDA95" w:rsidR="00C206DB" w:rsidRPr="00042350" w:rsidRDefault="00C206DB" w:rsidP="00C206DB">
      <w:pPr>
        <w:spacing w:before="100" w:beforeAutospacing="1" w:after="100" w:afterAutospacing="1"/>
        <w:ind w:firstLine="360"/>
      </w:pPr>
      <w:r>
        <w:rPr>
          <w:rFonts w:ascii="TimesNewRomanPSMT" w:hAnsi="TimesNewRomanPSMT"/>
        </w:rPr>
        <w:t>I</w:t>
      </w:r>
      <w:r w:rsidRPr="00042350">
        <w:rPr>
          <w:rFonts w:ascii="TimesNewRomanPSMT" w:hAnsi="TimesNewRomanPSMT"/>
        </w:rPr>
        <w:t>n 2016, a group of prominent physicians published a statement on the treatment of intersex children, and again failed to call for an end to these surgeries despite their recognition of “a number of agencies condemning or calling for a complete moratorium on elective genital surgery or gonadectomy without the individual’s informed consent”</w:t>
      </w:r>
      <w:r w:rsidR="00097B34">
        <w:rPr>
          <w:rStyle w:val="EndnoteReference"/>
          <w:rFonts w:ascii="TimesNewRomanPSMT" w:hAnsi="TimesNewRomanPSMT"/>
        </w:rPr>
        <w:endnoteReference w:id="20"/>
      </w:r>
      <w:r w:rsidRPr="00042350">
        <w:rPr>
          <w:rFonts w:ascii="TimesNewRomanPSMT" w:hAnsi="TimesNewRomanPSMT"/>
        </w:rPr>
        <w:t xml:space="preserve"> </w:t>
      </w:r>
      <w:r w:rsidR="00AD4645">
        <w:rPr>
          <w:rFonts w:ascii="TimesNewRomanPSMT" w:hAnsi="TimesNewRomanPSMT"/>
        </w:rPr>
        <w:t>and</w:t>
      </w:r>
      <w:r w:rsidR="00097B34">
        <w:rPr>
          <w:rFonts w:ascii="TimesNewRomanPSMT" w:hAnsi="TimesNewRomanPSMT"/>
        </w:rPr>
        <w:t xml:space="preserve"> that </w:t>
      </w:r>
      <w:r w:rsidRPr="00042350">
        <w:rPr>
          <w:rFonts w:ascii="TimesNewRomanPSMT" w:hAnsi="TimesNewRomanPSMT"/>
        </w:rPr>
        <w:t>“many guidelines deem children’s participation and input indispensable to decisions, especially those that will have a life-long deeply personal impact on their lives, with heightened awareness that young children, in particular, may not be able to vocalize adverse reactions to many interventions.</w:t>
      </w:r>
      <w:r>
        <w:rPr>
          <w:rFonts w:ascii="TimesNewRomanPSMT" w:hAnsi="TimesNewRomanPSMT"/>
        </w:rPr>
        <w:t>”</w:t>
      </w:r>
      <w:r>
        <w:rPr>
          <w:rStyle w:val="EndnoteReference"/>
          <w:rFonts w:ascii="TimesNewRomanPSMT" w:hAnsi="TimesNewRomanPSMT"/>
        </w:rPr>
        <w:endnoteReference w:id="21"/>
      </w:r>
      <w:r>
        <w:rPr>
          <w:rFonts w:ascii="TimesNewRomanPSMT" w:hAnsi="TimesNewRomanPSMT"/>
        </w:rPr>
        <w:t xml:space="preserve"> </w:t>
      </w:r>
      <w:r w:rsidRPr="00042350">
        <w:rPr>
          <w:rFonts w:ascii="TimesNewRomanPSMT" w:hAnsi="TimesNewRomanPSMT"/>
        </w:rPr>
        <w:t xml:space="preserve">The paper instructed </w:t>
      </w:r>
      <w:r w:rsidR="00AD4645">
        <w:rPr>
          <w:rFonts w:ascii="TimesNewRomanPSMT" w:hAnsi="TimesNewRomanPSMT"/>
        </w:rPr>
        <w:t>physicians treating intersex patients</w:t>
      </w:r>
      <w:r w:rsidRPr="00042350">
        <w:rPr>
          <w:rFonts w:ascii="TimesNewRomanPSMT" w:hAnsi="TimesNewRomanPSMT"/>
        </w:rPr>
        <w:t xml:space="preserve"> merely to “be aware that the trend in recent years has been for legal and human rights bodies to increasingly emphasize preserving patient autonomy.</w:t>
      </w:r>
      <w:r>
        <w:rPr>
          <w:rFonts w:ascii="TimesNewRomanPSMT" w:hAnsi="TimesNewRomanPSMT"/>
        </w:rPr>
        <w:t>”</w:t>
      </w:r>
      <w:r>
        <w:rPr>
          <w:rStyle w:val="EndnoteReference"/>
          <w:rFonts w:ascii="TimesNewRomanPSMT" w:hAnsi="TimesNewRomanPSMT"/>
        </w:rPr>
        <w:endnoteReference w:id="22"/>
      </w:r>
      <w:r w:rsidR="003E3B84">
        <w:rPr>
          <w:rFonts w:ascii="TimesNewRomanPSMT" w:hAnsi="TimesNewRomanPSMT"/>
        </w:rPr>
        <w:t xml:space="preserve"> </w:t>
      </w:r>
      <w:r w:rsidR="00131FD6">
        <w:rPr>
          <w:rFonts w:ascii="TimesNewRomanPSMT" w:hAnsi="TimesNewRomanPSMT"/>
        </w:rPr>
        <w:t xml:space="preserve">However, in direct defiance of preserving patient autonomy, medically unnecessary </w:t>
      </w:r>
      <w:r w:rsidR="00AD4645">
        <w:rPr>
          <w:rFonts w:ascii="TimesNewRomanPSMT" w:hAnsi="TimesNewRomanPSMT"/>
        </w:rPr>
        <w:t>and non-consensual interventions</w:t>
      </w:r>
      <w:r w:rsidR="00131FD6">
        <w:rPr>
          <w:rFonts w:ascii="TimesNewRomanPSMT" w:hAnsi="TimesNewRomanPSMT"/>
        </w:rPr>
        <w:t xml:space="preserve"> on the </w:t>
      </w:r>
      <w:r w:rsidR="00AD4645">
        <w:rPr>
          <w:rFonts w:ascii="TimesNewRomanPSMT" w:hAnsi="TimesNewRomanPSMT"/>
        </w:rPr>
        <w:t>sex traits</w:t>
      </w:r>
      <w:r w:rsidR="00131FD6">
        <w:rPr>
          <w:rFonts w:ascii="TimesNewRomanPSMT" w:hAnsi="TimesNewRomanPSMT"/>
        </w:rPr>
        <w:t xml:space="preserve"> of intersex children continue today.</w:t>
      </w:r>
      <w:r w:rsidR="00131FD6">
        <w:rPr>
          <w:rStyle w:val="EndnoteReference"/>
          <w:rFonts w:ascii="TimesNewRomanPSMT" w:hAnsi="TimesNewRomanPSMT"/>
        </w:rPr>
        <w:endnoteReference w:id="23"/>
      </w:r>
      <w:r w:rsidR="00131FD6">
        <w:rPr>
          <w:rFonts w:ascii="TimesNewRomanPSMT" w:hAnsi="TimesNewRomanPSMT"/>
        </w:rPr>
        <w:t xml:space="preserve">  </w:t>
      </w:r>
    </w:p>
    <w:p w14:paraId="74E75536" w14:textId="6D3BA06C" w:rsidR="00C206DB" w:rsidRPr="00042350" w:rsidRDefault="00C206DB" w:rsidP="00C206DB">
      <w:pPr>
        <w:spacing w:before="100" w:beforeAutospacing="1" w:after="100" w:afterAutospacing="1"/>
        <w:ind w:firstLine="360"/>
        <w:rPr>
          <w:rFonts w:ascii="TimesNewRomanPSMT" w:hAnsi="TimesNewRomanPSMT"/>
        </w:rPr>
      </w:pPr>
      <w:r w:rsidRPr="00042350">
        <w:rPr>
          <w:rFonts w:ascii="TimesNewRomanPSMT" w:hAnsi="TimesNewRomanPSMT"/>
        </w:rPr>
        <w:t xml:space="preserve">Many other published papers have recognized the potential for harm, yet intersex children continue to experience genital mutilation in the </w:t>
      </w:r>
      <w:r w:rsidR="00CD0390">
        <w:rPr>
          <w:rFonts w:ascii="TimesNewRomanPSMT" w:hAnsi="TimesNewRomanPSMT"/>
        </w:rPr>
        <w:t>U.S</w:t>
      </w:r>
      <w:r w:rsidRPr="00042350">
        <w:rPr>
          <w:rFonts w:ascii="TimesNewRomanPSMT" w:hAnsi="TimesNewRomanPSMT"/>
        </w:rPr>
        <w:t>.</w:t>
      </w:r>
      <w:r w:rsidR="00097B34">
        <w:rPr>
          <w:rStyle w:val="EndnoteReference"/>
          <w:rFonts w:ascii="TimesNewRomanPSMT" w:hAnsi="TimesNewRomanPSMT"/>
        </w:rPr>
        <w:endnoteReference w:id="24"/>
      </w:r>
      <w:r w:rsidRPr="00042350">
        <w:rPr>
          <w:rFonts w:ascii="TimesNewRomanPSMT" w:hAnsi="TimesNewRomanPSMT"/>
        </w:rPr>
        <w:t xml:space="preserve"> Physicians </w:t>
      </w:r>
      <w:r w:rsidR="00817F9D">
        <w:rPr>
          <w:rFonts w:ascii="TimesNewRomanPSMT" w:hAnsi="TimesNewRomanPSMT"/>
        </w:rPr>
        <w:t xml:space="preserve">in support of the current paradigm </w:t>
      </w:r>
      <w:r w:rsidRPr="00042350">
        <w:rPr>
          <w:rFonts w:ascii="TimesNewRomanPSMT" w:hAnsi="TimesNewRomanPSMT"/>
        </w:rPr>
        <w:t xml:space="preserve">argue there must be additional research prior to a change in practice, yet </w:t>
      </w:r>
      <w:r w:rsidR="001A7AAF">
        <w:rPr>
          <w:rFonts w:ascii="TimesNewRomanPSMT" w:hAnsi="TimesNewRomanPSMT"/>
        </w:rPr>
        <w:t xml:space="preserve">this excuse has been used for decades while </w:t>
      </w:r>
      <w:r w:rsidRPr="00042350">
        <w:rPr>
          <w:rFonts w:ascii="TimesNewRomanPSMT" w:hAnsi="TimesNewRomanPSMT"/>
        </w:rPr>
        <w:t xml:space="preserve">unbiased </w:t>
      </w:r>
      <w:r w:rsidR="00817F9D">
        <w:rPr>
          <w:rFonts w:ascii="TimesNewRomanPSMT" w:hAnsi="TimesNewRomanPSMT"/>
        </w:rPr>
        <w:t xml:space="preserve">medical </w:t>
      </w:r>
      <w:r w:rsidRPr="00042350">
        <w:rPr>
          <w:rFonts w:ascii="TimesNewRomanPSMT" w:hAnsi="TimesNewRomanPSMT"/>
        </w:rPr>
        <w:t xml:space="preserve">research </w:t>
      </w:r>
      <w:r w:rsidR="00817F9D">
        <w:rPr>
          <w:rFonts w:ascii="TimesNewRomanPSMT" w:hAnsi="TimesNewRomanPSMT"/>
        </w:rPr>
        <w:t>centering</w:t>
      </w:r>
      <w:r w:rsidRPr="00042350">
        <w:rPr>
          <w:rFonts w:ascii="TimesNewRomanPSMT" w:hAnsi="TimesNewRomanPSMT"/>
        </w:rPr>
        <w:t xml:space="preserve"> the input of the intersex community </w:t>
      </w:r>
      <w:r w:rsidR="00817F9D">
        <w:rPr>
          <w:rFonts w:ascii="TimesNewRomanPSMT" w:hAnsi="TimesNewRomanPSMT"/>
        </w:rPr>
        <w:t>remains</w:t>
      </w:r>
      <w:r w:rsidRPr="00042350">
        <w:rPr>
          <w:rFonts w:ascii="TimesNewRomanPSMT" w:hAnsi="TimesNewRomanPSMT"/>
        </w:rPr>
        <w:t xml:space="preserve"> nonexistent. </w:t>
      </w:r>
      <w:r w:rsidR="001A7AAF">
        <w:rPr>
          <w:rFonts w:ascii="TimesNewRomanPSMT" w:hAnsi="TimesNewRomanPSMT"/>
        </w:rPr>
        <w:t>Conversely, i</w:t>
      </w:r>
      <w:r w:rsidR="008B2257">
        <w:rPr>
          <w:rFonts w:ascii="TimesNewRomanPSMT" w:hAnsi="TimesNewRomanPSMT"/>
        </w:rPr>
        <w:t xml:space="preserve">ntersex </w:t>
      </w:r>
      <w:r w:rsidR="00B44AAA">
        <w:rPr>
          <w:rFonts w:ascii="TimesNewRomanPSMT" w:hAnsi="TimesNewRomanPSMT"/>
        </w:rPr>
        <w:t>patient advocates</w:t>
      </w:r>
      <w:r w:rsidR="008B2257">
        <w:rPr>
          <w:rFonts w:ascii="TimesNewRomanPSMT" w:hAnsi="TimesNewRomanPSMT"/>
        </w:rPr>
        <w:t xml:space="preserve"> </w:t>
      </w:r>
      <w:r w:rsidR="00B44AAA">
        <w:rPr>
          <w:rFonts w:ascii="TimesNewRomanPSMT" w:hAnsi="TimesNewRomanPSMT"/>
        </w:rPr>
        <w:t>point out that</w:t>
      </w:r>
      <w:r w:rsidR="008B2257">
        <w:rPr>
          <w:rFonts w:ascii="TimesNewRomanPSMT" w:hAnsi="TimesNewRomanPSMT"/>
        </w:rPr>
        <w:t xml:space="preserve"> </w:t>
      </w:r>
      <w:r w:rsidR="000A1989">
        <w:rPr>
          <w:rFonts w:ascii="TimesNewRomanPSMT" w:hAnsi="TimesNewRomanPSMT"/>
        </w:rPr>
        <w:t>“</w:t>
      </w:r>
      <w:r w:rsidR="008B2257">
        <w:rPr>
          <w:rFonts w:ascii="TimesNewRomanPSMT" w:hAnsi="TimesNewRomanPSMT"/>
        </w:rPr>
        <w:t>the</w:t>
      </w:r>
      <w:r w:rsidR="000A1989">
        <w:rPr>
          <w:rFonts w:ascii="TimesNewRomanPSMT" w:hAnsi="TimesNewRomanPSMT"/>
        </w:rPr>
        <w:t>re has never been sufficient research to show either that these surgeries benefit patients or that there is any harm from growing up with atypical genitals.”</w:t>
      </w:r>
      <w:r w:rsidR="000A1989">
        <w:rPr>
          <w:rStyle w:val="EndnoteReference"/>
          <w:rFonts w:ascii="TimesNewRomanPSMT" w:hAnsi="TimesNewRomanPSMT"/>
        </w:rPr>
        <w:endnoteReference w:id="25"/>
      </w:r>
      <w:r w:rsidR="000A1989">
        <w:rPr>
          <w:rFonts w:ascii="TimesNewRomanPSMT" w:hAnsi="TimesNewRomanPSMT"/>
        </w:rPr>
        <w:t xml:space="preserve"> </w:t>
      </w:r>
      <w:r w:rsidR="001A7AAF">
        <w:rPr>
          <w:rFonts w:ascii="TimesNewRomanPSMT" w:hAnsi="TimesNewRomanPSMT"/>
        </w:rPr>
        <w:t xml:space="preserve">Proponents of performing unnecessary </w:t>
      </w:r>
      <w:r w:rsidR="00B44AAA">
        <w:rPr>
          <w:rFonts w:ascii="TimesNewRomanPSMT" w:hAnsi="TimesNewRomanPSMT"/>
        </w:rPr>
        <w:lastRenderedPageBreak/>
        <w:t>surgery in childhood often rely on</w:t>
      </w:r>
      <w:r w:rsidR="001A7AAF">
        <w:rPr>
          <w:rFonts w:ascii="TimesNewRomanPSMT" w:hAnsi="TimesNewRomanPSMT"/>
        </w:rPr>
        <w:t xml:space="preserve"> the presumed stigma and psychological distress related to having a body that may be considered atypical as justifications for operating before the individ</w:t>
      </w:r>
      <w:r w:rsidR="00B44AAA">
        <w:rPr>
          <w:rFonts w:ascii="TimesNewRomanPSMT" w:hAnsi="TimesNewRomanPSMT"/>
        </w:rPr>
        <w:t>ual can give informed consent.</w:t>
      </w:r>
      <w:r w:rsidR="001A7AAF">
        <w:rPr>
          <w:rFonts w:ascii="TimesNewRomanPSMT" w:hAnsi="TimesNewRomanPSMT"/>
        </w:rPr>
        <w:t xml:space="preserve"> </w:t>
      </w:r>
      <w:r>
        <w:rPr>
          <w:rFonts w:ascii="TimesNewRomanPSMT" w:hAnsi="TimesNewRomanPSMT"/>
        </w:rPr>
        <w:t>T</w:t>
      </w:r>
      <w:r w:rsidRPr="00042350">
        <w:rPr>
          <w:rFonts w:ascii="TimesNewRomanPSMT" w:hAnsi="TimesNewRomanPSMT"/>
        </w:rPr>
        <w:t xml:space="preserve">he </w:t>
      </w:r>
      <w:r w:rsidRPr="00C33C3A">
        <w:rPr>
          <w:rFonts w:ascii="TimesNewRomanPSMT" w:hAnsi="TimesNewRomanPSMT"/>
          <w:i/>
        </w:rPr>
        <w:t>Journal of Pediatric Urology</w:t>
      </w:r>
      <w:r w:rsidRPr="00042350">
        <w:rPr>
          <w:rFonts w:ascii="TimesNewRomanPSMT" w:hAnsi="TimesNewRomanPSMT"/>
        </w:rPr>
        <w:t xml:space="preserve"> published an article asserting that while “surgery has been restrictively considered by some to be ‘cosmetic surgery,’ the cosmetic aspect of genitalia and the related stigma risk are also important issues for many patients.</w:t>
      </w:r>
      <w:r>
        <w:rPr>
          <w:rFonts w:ascii="TimesNewRomanPSMT" w:hAnsi="TimesNewRomanPSMT"/>
        </w:rPr>
        <w:t>”</w:t>
      </w:r>
      <w:r>
        <w:rPr>
          <w:rStyle w:val="EndnoteReference"/>
          <w:rFonts w:ascii="TimesNewRomanPSMT" w:hAnsi="TimesNewRomanPSMT"/>
        </w:rPr>
        <w:endnoteReference w:id="26"/>
      </w:r>
      <w:r w:rsidR="00131FD6">
        <w:rPr>
          <w:rFonts w:ascii="TimesNewRomanPSMT" w:hAnsi="TimesNewRomanPSMT"/>
        </w:rPr>
        <w:t xml:space="preserve">  One article </w:t>
      </w:r>
      <w:r w:rsidR="001A65CF">
        <w:rPr>
          <w:rFonts w:ascii="TimesNewRomanPSMT" w:hAnsi="TimesNewRomanPSMT"/>
        </w:rPr>
        <w:t xml:space="preserve">cited “maintenance of ambiguous genital anatomy and its unknown psychological ramifications” as a disadvantage </w:t>
      </w:r>
      <w:r w:rsidR="00F4600E">
        <w:rPr>
          <w:rFonts w:ascii="TimesNewRomanPSMT" w:hAnsi="TimesNewRomanPSMT"/>
        </w:rPr>
        <w:t>of</w:t>
      </w:r>
      <w:r w:rsidR="001A65CF">
        <w:rPr>
          <w:rFonts w:ascii="TimesNewRomanPSMT" w:hAnsi="TimesNewRomanPSMT"/>
        </w:rPr>
        <w:t xml:space="preserve"> not operating on intersex children’s genitalia</w:t>
      </w:r>
      <w:r w:rsidR="00131FD6">
        <w:rPr>
          <w:rFonts w:ascii="TimesNewRomanPSMT" w:hAnsi="TimesNewRomanPSMT"/>
        </w:rPr>
        <w:t>.</w:t>
      </w:r>
      <w:r w:rsidR="00131FD6">
        <w:rPr>
          <w:rStyle w:val="EndnoteReference"/>
          <w:rFonts w:ascii="TimesNewRomanPSMT" w:hAnsi="TimesNewRomanPSMT"/>
        </w:rPr>
        <w:endnoteReference w:id="27"/>
      </w:r>
      <w:r w:rsidR="00131FD6">
        <w:rPr>
          <w:rFonts w:ascii="TimesNewRomanPSMT" w:hAnsi="TimesNewRomanPSMT"/>
        </w:rPr>
        <w:t xml:space="preserve"> </w:t>
      </w:r>
      <w:r w:rsidRPr="00042350">
        <w:rPr>
          <w:rFonts w:ascii="TimesNewRomanPSMT" w:hAnsi="TimesNewRomanPSMT"/>
        </w:rPr>
        <w:t xml:space="preserve">Yet, </w:t>
      </w:r>
      <w:r w:rsidR="00110FDB">
        <w:rPr>
          <w:rFonts w:ascii="TimesNewRomanPSMT" w:hAnsi="TimesNewRomanPSMT"/>
        </w:rPr>
        <w:t>recent research shows intersex children who are growing up without medically unnecessary surgery are not showing signs of psychological distress or expressing concerns related to their unaltered genitals.</w:t>
      </w:r>
      <w:r w:rsidR="00110FDB">
        <w:rPr>
          <w:rStyle w:val="EndnoteReference"/>
          <w:rFonts w:ascii="TimesNewRomanPSMT" w:hAnsi="TimesNewRomanPSMT"/>
        </w:rPr>
        <w:endnoteReference w:id="28"/>
      </w:r>
      <w:r w:rsidR="00110FDB">
        <w:rPr>
          <w:rFonts w:ascii="TimesNewRomanPSMT" w:hAnsi="TimesNewRomanPSMT"/>
        </w:rPr>
        <w:t xml:space="preserve"> This suggests </w:t>
      </w:r>
      <w:r w:rsidR="005F63B7">
        <w:rPr>
          <w:rFonts w:ascii="TimesNewRomanPSMT" w:hAnsi="TimesNewRomanPSMT"/>
        </w:rPr>
        <w:t>that such “justifications” for surgery are more reflective of doctors’ and parents’ concerns than those of the intersex individual.</w:t>
      </w:r>
      <w:r w:rsidR="00110FDB">
        <w:rPr>
          <w:rFonts w:ascii="TimesNewRomanPSMT" w:hAnsi="TimesNewRomanPSMT"/>
        </w:rPr>
        <w:t xml:space="preserve"> </w:t>
      </w:r>
      <w:r w:rsidR="005F63B7">
        <w:rPr>
          <w:rFonts w:ascii="TimesNewRomanPSMT" w:hAnsi="TimesNewRomanPSMT"/>
        </w:rPr>
        <w:t>A</w:t>
      </w:r>
      <w:r w:rsidRPr="00042350">
        <w:rPr>
          <w:rFonts w:ascii="TimesNewRomanPSMT" w:hAnsi="TimesNewRomanPSMT"/>
        </w:rPr>
        <w:t>s noted by a Swiss National Advisory Commission on Biomedical Ethics, “[</w:t>
      </w:r>
      <w:proofErr w:type="gramStart"/>
      <w:r w:rsidRPr="00042350">
        <w:rPr>
          <w:rFonts w:ascii="TimesNewRomanPSMT" w:hAnsi="TimesNewRomanPSMT"/>
        </w:rPr>
        <w:t>a]n</w:t>
      </w:r>
      <w:proofErr w:type="gramEnd"/>
      <w:r w:rsidRPr="00042350">
        <w:rPr>
          <w:rFonts w:ascii="TimesNewRomanPSMT" w:hAnsi="TimesNewRomanPSMT"/>
        </w:rPr>
        <w:t xml:space="preserve"> irreversible sex assignment intervention involving harmful physical and psychological consequences cannot be justified on the grounds that the family, school or social environment has difficulty in accepting the child’s natural physical characteristics ... If such interventions are performed solely with a view to integration of the child into its family and social environment, then they run counter to the child’s welfare</w:t>
      </w:r>
      <w:r>
        <w:rPr>
          <w:rFonts w:ascii="TimesNewRomanPSMT" w:hAnsi="TimesNewRomanPSMT"/>
        </w:rPr>
        <w:t>.”</w:t>
      </w:r>
      <w:r>
        <w:rPr>
          <w:rStyle w:val="EndnoteReference"/>
          <w:rFonts w:ascii="TimesNewRomanPSMT" w:hAnsi="TimesNewRomanPSMT"/>
        </w:rPr>
        <w:endnoteReference w:id="29"/>
      </w:r>
      <w:r w:rsidRPr="00042350">
        <w:rPr>
          <w:rFonts w:ascii="TimesNewRomanPSMT" w:hAnsi="TimesNewRomanPSMT"/>
          <w:position w:val="12"/>
          <w:sz w:val="16"/>
          <w:szCs w:val="16"/>
        </w:rPr>
        <w:t xml:space="preserve"> </w:t>
      </w:r>
    </w:p>
    <w:p w14:paraId="333C2015" w14:textId="066DA149" w:rsidR="00E03AA6" w:rsidRDefault="009B526A" w:rsidP="00E03AA6">
      <w:pPr>
        <w:spacing w:before="100" w:beforeAutospacing="1" w:after="100" w:afterAutospacing="1"/>
        <w:ind w:firstLine="360"/>
        <w:rPr>
          <w:rFonts w:ascii="TimesNewRomanPSMT" w:hAnsi="TimesNewRomanPSMT"/>
        </w:rPr>
      </w:pPr>
      <w:r>
        <w:rPr>
          <w:rFonts w:ascii="TimesNewRomanPSMT" w:hAnsi="TimesNewRomanPSMT"/>
        </w:rPr>
        <w:t xml:space="preserve">Doctors in the U.S. may also claim that surgeries on intersex children are performed infrequently, or only in cases of medical necessity. Findings from their own publications and presentations contradict this. </w:t>
      </w:r>
      <w:r w:rsidR="00E03AA6">
        <w:rPr>
          <w:rFonts w:ascii="TimesNewRomanPSMT" w:hAnsi="TimesNewRomanPSMT"/>
        </w:rPr>
        <w:t>D</w:t>
      </w:r>
      <w:r w:rsidR="00E03AA6" w:rsidRPr="00042350">
        <w:rPr>
          <w:rFonts w:ascii="TimesNewRomanPSMT" w:hAnsi="TimesNewRomanPSMT"/>
        </w:rPr>
        <w:t xml:space="preserve">octors at a major </w:t>
      </w:r>
      <w:r w:rsidR="00CD0390">
        <w:rPr>
          <w:rFonts w:ascii="TimesNewRomanPSMT" w:hAnsi="TimesNewRomanPSMT"/>
        </w:rPr>
        <w:t>U.S.</w:t>
      </w:r>
      <w:r w:rsidR="00E03AA6" w:rsidRPr="00042350">
        <w:rPr>
          <w:rFonts w:ascii="TimesNewRomanPSMT" w:hAnsi="TimesNewRomanPSMT"/>
        </w:rPr>
        <w:t xml:space="preserve"> conference presented information from one registry in the </w:t>
      </w:r>
      <w:r w:rsidR="00CD0390">
        <w:rPr>
          <w:rFonts w:ascii="TimesNewRomanPSMT" w:hAnsi="TimesNewRomanPSMT"/>
        </w:rPr>
        <w:t>U.S.</w:t>
      </w:r>
      <w:r w:rsidR="00E03AA6" w:rsidRPr="00042350">
        <w:rPr>
          <w:rFonts w:ascii="TimesNewRomanPSMT" w:hAnsi="TimesNewRomanPSMT"/>
        </w:rPr>
        <w:t xml:space="preserve"> </w:t>
      </w:r>
      <w:r>
        <w:rPr>
          <w:rFonts w:ascii="TimesNewRomanPSMT" w:hAnsi="TimesNewRomanPSMT"/>
        </w:rPr>
        <w:t>r</w:t>
      </w:r>
      <w:r w:rsidR="00E03AA6" w:rsidRPr="00042350">
        <w:rPr>
          <w:rFonts w:ascii="TimesNewRomanPSMT" w:hAnsi="TimesNewRomanPSMT"/>
        </w:rPr>
        <w:t xml:space="preserve">egarding </w:t>
      </w:r>
      <w:r>
        <w:rPr>
          <w:rFonts w:ascii="TimesNewRomanPSMT" w:hAnsi="TimesNewRomanPSMT"/>
        </w:rPr>
        <w:t xml:space="preserve">surgery on </w:t>
      </w:r>
      <w:r w:rsidR="00E03AA6" w:rsidRPr="00042350">
        <w:rPr>
          <w:rFonts w:ascii="TimesNewRomanPSMT" w:hAnsi="TimesNewRomanPSMT"/>
        </w:rPr>
        <w:t>children with Congenital Adrenal Hyperplasia (CAH), one of the more common intersex conditions</w:t>
      </w:r>
      <w:r>
        <w:rPr>
          <w:rFonts w:ascii="TimesNewRomanPSMT" w:hAnsi="TimesNewRomanPSMT"/>
        </w:rPr>
        <w:t>.</w:t>
      </w:r>
      <w:r w:rsidR="00E03AA6" w:rsidRPr="00042350">
        <w:rPr>
          <w:rFonts w:ascii="TimesNewRomanPSMT" w:hAnsi="TimesNewRomanPSMT"/>
        </w:rPr>
        <w:t xml:space="preserve"> </w:t>
      </w:r>
      <w:r>
        <w:rPr>
          <w:rFonts w:ascii="TimesNewRomanPSMT" w:hAnsi="TimesNewRomanPSMT"/>
        </w:rPr>
        <w:t>T</w:t>
      </w:r>
      <w:r w:rsidR="00E03AA6" w:rsidRPr="00042350">
        <w:rPr>
          <w:rFonts w:ascii="TimesNewRomanPSMT" w:hAnsi="TimesNewRomanPSMT"/>
        </w:rPr>
        <w:t xml:space="preserve">hey </w:t>
      </w:r>
      <w:proofErr w:type="gramStart"/>
      <w:r w:rsidR="00E03AA6" w:rsidRPr="00042350">
        <w:rPr>
          <w:rFonts w:ascii="TimesNewRomanPSMT" w:hAnsi="TimesNewRomanPSMT"/>
        </w:rPr>
        <w:t>noted</w:t>
      </w:r>
      <w:proofErr w:type="gramEnd"/>
      <w:r w:rsidR="00E03AA6" w:rsidRPr="00042350">
        <w:rPr>
          <w:rFonts w:ascii="TimesNewRomanPSMT" w:hAnsi="TimesNewRomanPSMT"/>
        </w:rPr>
        <w:t xml:space="preserve"> “544 patients underwent feminizing genitoplasty between 2004-2014,</w:t>
      </w:r>
      <w:r w:rsidR="00914A50">
        <w:rPr>
          <w:rFonts w:ascii="TimesNewRomanPSMT" w:hAnsi="TimesNewRomanPSMT"/>
        </w:rPr>
        <w:t>” with a</w:t>
      </w:r>
      <w:r w:rsidR="00E03AA6" w:rsidRPr="00042350">
        <w:rPr>
          <w:rFonts w:ascii="TimesNewRomanPSMT" w:hAnsi="TimesNewRomanPSMT"/>
        </w:rPr>
        <w:t xml:space="preserve"> median age at initial surgery</w:t>
      </w:r>
      <w:r w:rsidR="00914A50">
        <w:rPr>
          <w:rFonts w:ascii="TimesNewRomanPSMT" w:hAnsi="TimesNewRomanPSMT"/>
        </w:rPr>
        <w:t xml:space="preserve"> of</w:t>
      </w:r>
      <w:r w:rsidR="00E03AA6" w:rsidRPr="00042350">
        <w:rPr>
          <w:rFonts w:ascii="TimesNewRomanPSMT" w:hAnsi="TimesNewRomanPSMT"/>
        </w:rPr>
        <w:t xml:space="preserve"> </w:t>
      </w:r>
      <w:r w:rsidR="00914A50">
        <w:rPr>
          <w:rFonts w:ascii="TimesNewRomanPSMT" w:hAnsi="TimesNewRomanPSMT"/>
        </w:rPr>
        <w:t xml:space="preserve">just </w:t>
      </w:r>
      <w:r w:rsidR="00E03AA6" w:rsidRPr="00042350">
        <w:rPr>
          <w:rFonts w:ascii="TimesNewRomanPSMT" w:hAnsi="TimesNewRomanPSMT"/>
        </w:rPr>
        <w:t>9.9 months.</w:t>
      </w:r>
      <w:r w:rsidR="00E03AA6">
        <w:rPr>
          <w:rStyle w:val="EndnoteReference"/>
          <w:rFonts w:ascii="TimesNewRomanPSMT" w:hAnsi="TimesNewRomanPSMT"/>
        </w:rPr>
        <w:endnoteReference w:id="30"/>
      </w:r>
      <w:r w:rsidR="00E03AA6">
        <w:rPr>
          <w:rFonts w:ascii="TimesNewRomanPSMT" w:hAnsi="TimesNewRomanPSMT"/>
        </w:rPr>
        <w:t xml:space="preserve"> </w:t>
      </w:r>
      <w:r w:rsidR="00E03AA6" w:rsidRPr="00042350">
        <w:rPr>
          <w:rFonts w:ascii="TimesNewRomanPSMT" w:hAnsi="TimesNewRomanPSMT"/>
        </w:rPr>
        <w:t xml:space="preserve">This conference included discussions of how to ensure these surgeries continue to be cost- effective/profitable for health care institutions. </w:t>
      </w:r>
      <w:r w:rsidR="002944DD">
        <w:rPr>
          <w:rFonts w:ascii="TimesNewRomanPSMT" w:hAnsi="TimesNewRomanPSMT"/>
        </w:rPr>
        <w:t xml:space="preserve">One study on intersex babies </w:t>
      </w:r>
      <w:r w:rsidR="00371E72">
        <w:rPr>
          <w:rFonts w:ascii="TimesNewRomanPSMT" w:hAnsi="TimesNewRomanPSMT"/>
        </w:rPr>
        <w:t>documented that 25 of 26 participants had undergone genital surgeries.</w:t>
      </w:r>
      <w:r w:rsidR="00371E72">
        <w:rPr>
          <w:rStyle w:val="EndnoteReference"/>
          <w:rFonts w:ascii="TimesNewRomanPSMT" w:hAnsi="TimesNewRomanPSMT"/>
        </w:rPr>
        <w:endnoteReference w:id="31"/>
      </w:r>
      <w:r w:rsidR="00371E72">
        <w:rPr>
          <w:rFonts w:ascii="TimesNewRomanPSMT" w:hAnsi="TimesNewRomanPSMT"/>
        </w:rPr>
        <w:t xml:space="preserve"> </w:t>
      </w:r>
      <w:r w:rsidR="00E03AA6" w:rsidRPr="00042350">
        <w:rPr>
          <w:rFonts w:ascii="TimesNewRomanPSMT" w:hAnsi="TimesNewRomanPSMT"/>
        </w:rPr>
        <w:t xml:space="preserve">Our organization receives continual inquiries from families </w:t>
      </w:r>
      <w:r w:rsidR="00816EA2">
        <w:rPr>
          <w:rFonts w:ascii="TimesNewRomanPSMT" w:hAnsi="TimesNewRomanPSMT"/>
        </w:rPr>
        <w:t>who tell us</w:t>
      </w:r>
      <w:r w:rsidR="00E03AA6" w:rsidRPr="00042350">
        <w:rPr>
          <w:rFonts w:ascii="TimesNewRomanPSMT" w:hAnsi="TimesNewRomanPSMT"/>
        </w:rPr>
        <w:t xml:space="preserve"> that surgery is </w:t>
      </w:r>
      <w:r w:rsidR="00816EA2">
        <w:rPr>
          <w:rFonts w:ascii="TimesNewRomanPSMT" w:hAnsi="TimesNewRomanPSMT"/>
        </w:rPr>
        <w:t xml:space="preserve">being </w:t>
      </w:r>
      <w:r w:rsidR="00E03AA6" w:rsidRPr="00042350">
        <w:rPr>
          <w:rFonts w:ascii="TimesNewRomanPSMT" w:hAnsi="TimesNewRomanPSMT"/>
        </w:rPr>
        <w:t xml:space="preserve">or has been pressed upon them in respected hospitals in major cities across the </w:t>
      </w:r>
      <w:r w:rsidR="00CD0390">
        <w:rPr>
          <w:rFonts w:ascii="TimesNewRomanPSMT" w:hAnsi="TimesNewRomanPSMT"/>
        </w:rPr>
        <w:t>U.S</w:t>
      </w:r>
      <w:r w:rsidR="00E03AA6" w:rsidRPr="00042350">
        <w:rPr>
          <w:rFonts w:ascii="TimesNewRomanPSMT" w:hAnsi="TimesNewRomanPSMT"/>
        </w:rPr>
        <w:t>.</w:t>
      </w:r>
    </w:p>
    <w:p w14:paraId="6998DBD1" w14:textId="05ECC1AE" w:rsidR="008957ED" w:rsidRPr="00042350" w:rsidRDefault="00B7612E" w:rsidP="008957ED">
      <w:pPr>
        <w:pBdr>
          <w:top w:val="nil"/>
          <w:left w:val="nil"/>
          <w:bottom w:val="nil"/>
          <w:right w:val="nil"/>
          <w:between w:val="nil"/>
        </w:pBdr>
        <w:spacing w:line="276" w:lineRule="auto"/>
        <w:ind w:firstLine="360"/>
        <w:rPr>
          <w:rFonts w:eastAsia="Calibri"/>
          <w:color w:val="000000"/>
        </w:rPr>
      </w:pPr>
      <w:r>
        <w:rPr>
          <w:rFonts w:ascii="TimesNewRomanPSMT" w:hAnsi="TimesNewRomanPSMT"/>
        </w:rPr>
        <w:t xml:space="preserve">Recent efforts </w:t>
      </w:r>
      <w:r w:rsidR="00013300">
        <w:rPr>
          <w:rFonts w:ascii="TimesNewRomanPSMT" w:hAnsi="TimesNewRomanPSMT"/>
        </w:rPr>
        <w:t>to</w:t>
      </w:r>
      <w:r>
        <w:rPr>
          <w:rFonts w:ascii="TimesNewRomanPSMT" w:hAnsi="TimesNewRomanPSMT"/>
        </w:rPr>
        <w:t xml:space="preserve"> creat</w:t>
      </w:r>
      <w:r w:rsidR="00013300">
        <w:rPr>
          <w:rFonts w:ascii="TimesNewRomanPSMT" w:hAnsi="TimesNewRomanPSMT"/>
        </w:rPr>
        <w:t>e</w:t>
      </w:r>
      <w:r>
        <w:rPr>
          <w:rFonts w:ascii="TimesNewRomanPSMT" w:hAnsi="TimesNewRomanPSMT"/>
        </w:rPr>
        <w:t xml:space="preserve"> legislation to protect the rights of intersex individuals are promising but tend to fall short in terms of enforcement. In 2018, California’s legislature passed a resolution supporting the autonomy of intersex people and their right to choose whether to have surgery</w:t>
      </w:r>
      <w:r w:rsidR="00816EA2">
        <w:rPr>
          <w:rFonts w:ascii="TimesNewRomanPSMT" w:hAnsi="TimesNewRomanPSMT"/>
        </w:rPr>
        <w:t xml:space="preserve"> or other interventions on their sex characteristics</w:t>
      </w:r>
      <w:r>
        <w:rPr>
          <w:rFonts w:ascii="TimesNewRomanPSMT" w:hAnsi="TimesNewRomanPSMT"/>
        </w:rPr>
        <w:t>.</w:t>
      </w:r>
      <w:r>
        <w:rPr>
          <w:rStyle w:val="EndnoteReference"/>
          <w:rFonts w:ascii="TimesNewRomanPSMT" w:hAnsi="TimesNewRomanPSMT"/>
        </w:rPr>
        <w:endnoteReference w:id="32"/>
      </w:r>
      <w:r>
        <w:rPr>
          <w:rFonts w:ascii="TimesNewRomanPSMT" w:hAnsi="TimesNewRomanPSMT"/>
        </w:rPr>
        <w:t xml:space="preserve">  This resolution</w:t>
      </w:r>
      <w:r w:rsidR="00BA3062">
        <w:rPr>
          <w:rFonts w:ascii="TimesNewRomanPSMT" w:hAnsi="TimesNewRomanPSMT"/>
        </w:rPr>
        <w:t>, while a victory for the intersex community in terms of affirmation and awareness, is non-binding and</w:t>
      </w:r>
      <w:r>
        <w:rPr>
          <w:rFonts w:ascii="TimesNewRomanPSMT" w:hAnsi="TimesNewRomanPSMT"/>
        </w:rPr>
        <w:t xml:space="preserve"> contains no </w:t>
      </w:r>
      <w:r w:rsidR="00A4692A">
        <w:rPr>
          <w:rFonts w:ascii="TimesNewRomanPSMT" w:hAnsi="TimesNewRomanPSMT"/>
        </w:rPr>
        <w:t>enforcement mechanisms</w:t>
      </w:r>
      <w:r>
        <w:rPr>
          <w:rFonts w:ascii="TimesNewRomanPSMT" w:hAnsi="TimesNewRomanPSMT"/>
        </w:rPr>
        <w:t xml:space="preserve"> </w:t>
      </w:r>
      <w:r w:rsidR="00BA3062">
        <w:rPr>
          <w:rFonts w:ascii="TimesNewRomanPSMT" w:hAnsi="TimesNewRomanPSMT"/>
        </w:rPr>
        <w:t>to curtail the practice of non-consensual surgery</w:t>
      </w:r>
      <w:r>
        <w:rPr>
          <w:rFonts w:ascii="TimesNewRomanPSMT" w:hAnsi="TimesNewRomanPSMT"/>
        </w:rPr>
        <w:t xml:space="preserve">. Furthermore, </w:t>
      </w:r>
      <w:r w:rsidR="00BA3062">
        <w:rPr>
          <w:rFonts w:ascii="TimesNewRomanPSMT" w:hAnsi="TimesNewRomanPSMT"/>
        </w:rPr>
        <w:t>laws that are on the books are not being applied to protect intersex individuals. In the first known prosecution under the federal FGM law, a</w:t>
      </w:r>
      <w:r>
        <w:rPr>
          <w:rFonts w:ascii="TimesNewRomanPSMT" w:hAnsi="TimesNewRomanPSMT"/>
        </w:rPr>
        <w:t xml:space="preserve"> U.S. district judge in Michigan recently ruled that </w:t>
      </w:r>
      <w:r w:rsidR="00BA3062">
        <w:rPr>
          <w:rFonts w:ascii="TimesNewRomanPSMT" w:hAnsi="TimesNewRomanPSMT"/>
        </w:rPr>
        <w:t>the</w:t>
      </w:r>
      <w:r>
        <w:rPr>
          <w:rFonts w:ascii="TimesNewRomanPSMT" w:hAnsi="TimesNewRomanPSMT"/>
        </w:rPr>
        <w:t xml:space="preserve"> FGM</w:t>
      </w:r>
      <w:r w:rsidR="00BA3062">
        <w:rPr>
          <w:rFonts w:ascii="TimesNewRomanPSMT" w:hAnsi="TimesNewRomanPSMT"/>
        </w:rPr>
        <w:t xml:space="preserve"> ban</w:t>
      </w:r>
      <w:r>
        <w:rPr>
          <w:rFonts w:ascii="TimesNewRomanPSMT" w:hAnsi="TimesNewRomanPSMT"/>
        </w:rPr>
        <w:t xml:space="preserve"> was unconstitutional, resulting in </w:t>
      </w:r>
      <w:r w:rsidR="00225FDE">
        <w:rPr>
          <w:rFonts w:ascii="TimesNewRomanPSMT" w:hAnsi="TimesNewRomanPSMT"/>
        </w:rPr>
        <w:t xml:space="preserve">FGM </w:t>
      </w:r>
      <w:r>
        <w:rPr>
          <w:rFonts w:ascii="TimesNewRomanPSMT" w:hAnsi="TimesNewRomanPSMT"/>
        </w:rPr>
        <w:t xml:space="preserve">charges being dropped against a doctor accused of performing </w:t>
      </w:r>
      <w:r w:rsidR="00225FDE">
        <w:rPr>
          <w:rFonts w:ascii="TimesNewRomanPSMT" w:hAnsi="TimesNewRomanPSMT"/>
        </w:rPr>
        <w:t>unnecessary genital cutting on</w:t>
      </w:r>
      <w:r>
        <w:rPr>
          <w:rFonts w:ascii="TimesNewRomanPSMT" w:hAnsi="TimesNewRomanPSMT"/>
        </w:rPr>
        <w:t xml:space="preserve"> young children.</w:t>
      </w:r>
      <w:r w:rsidR="00553331">
        <w:rPr>
          <w:rStyle w:val="EndnoteReference"/>
          <w:rFonts w:ascii="TimesNewRomanPSMT" w:hAnsi="TimesNewRomanPSMT"/>
        </w:rPr>
        <w:endnoteReference w:id="33"/>
      </w:r>
      <w:r>
        <w:rPr>
          <w:rFonts w:ascii="TimesNewRomanPSMT" w:hAnsi="TimesNewRomanPSMT"/>
        </w:rPr>
        <w:t xml:space="preserve"> </w:t>
      </w:r>
      <w:r w:rsidR="00A4692A">
        <w:rPr>
          <w:rFonts w:ascii="TimesNewRomanPSMT" w:hAnsi="TimesNewRomanPSMT"/>
        </w:rPr>
        <w:t xml:space="preserve">The case will likely be appealed, but it nevertheless raises questions about the nation’s commitment to addressing this practice.  </w:t>
      </w:r>
    </w:p>
    <w:p w14:paraId="305E1630" w14:textId="0FDEB5B8" w:rsidR="00D53EAC" w:rsidRDefault="00D53EAC" w:rsidP="00D53EAC">
      <w:pPr>
        <w:spacing w:before="100" w:beforeAutospacing="1" w:after="100" w:afterAutospacing="1"/>
        <w:ind w:firstLine="360"/>
        <w:rPr>
          <w:rFonts w:ascii="TimesNewRomanPSMT" w:hAnsi="TimesNewRomanPSMT"/>
        </w:rPr>
      </w:pPr>
      <w:r w:rsidRPr="00042350">
        <w:rPr>
          <w:rFonts w:ascii="TimesNewRomanPSMT" w:hAnsi="TimesNewRomanPSMT"/>
        </w:rPr>
        <w:t xml:space="preserve">The </w:t>
      </w:r>
      <w:r w:rsidR="00CD0390">
        <w:rPr>
          <w:rFonts w:ascii="TimesNewRomanPSMT" w:hAnsi="TimesNewRomanPSMT"/>
        </w:rPr>
        <w:t>ongoing</w:t>
      </w:r>
      <w:r w:rsidRPr="00042350">
        <w:rPr>
          <w:rFonts w:ascii="TimesNewRomanPSMT" w:hAnsi="TimesNewRomanPSMT"/>
        </w:rPr>
        <w:t xml:space="preserve"> treatment of intersex individuals in the </w:t>
      </w:r>
      <w:r w:rsidR="00CD0390">
        <w:rPr>
          <w:rFonts w:ascii="TimesNewRomanPSMT" w:hAnsi="TimesNewRomanPSMT"/>
        </w:rPr>
        <w:t>U.S.</w:t>
      </w:r>
      <w:r w:rsidRPr="00042350">
        <w:rPr>
          <w:rFonts w:ascii="TimesNewRomanPSMT" w:hAnsi="TimesNewRomanPSMT"/>
        </w:rPr>
        <w:t xml:space="preserve"> clearly meets the CAT’s standards for torture: that the action be intentional and performed for discriminatory and non-medical </w:t>
      </w:r>
      <w:r w:rsidRPr="00042350">
        <w:rPr>
          <w:rFonts w:ascii="TimesNewRomanPSMT" w:hAnsi="TimesNewRomanPSMT"/>
        </w:rPr>
        <w:lastRenderedPageBreak/>
        <w:t xml:space="preserve">purposes; </w:t>
      </w:r>
      <w:r w:rsidR="00953988">
        <w:rPr>
          <w:rFonts w:ascii="TimesNewRomanPSMT" w:hAnsi="TimesNewRomanPSMT"/>
        </w:rPr>
        <w:t xml:space="preserve">be </w:t>
      </w:r>
      <w:r w:rsidRPr="00042350">
        <w:rPr>
          <w:rFonts w:ascii="TimesNewRomanPSMT" w:hAnsi="TimesNewRomanPSMT"/>
        </w:rPr>
        <w:t>performed with state control, custody or consent; cause severe physical and psychological pain or suffering; and involve those who are powerless to refuse.</w:t>
      </w:r>
      <w:r>
        <w:rPr>
          <w:rFonts w:ascii="TimesNewRomanPSMT" w:hAnsi="TimesNewRomanPSMT"/>
        </w:rPr>
        <w:t xml:space="preserve"> </w:t>
      </w:r>
      <w:r w:rsidRPr="00042350">
        <w:rPr>
          <w:rFonts w:ascii="TimesNewRomanPSMT" w:hAnsi="TimesNewRomanPSMT"/>
          <w:color w:val="191919"/>
        </w:rPr>
        <w:t>H</w:t>
      </w:r>
      <w:r w:rsidRPr="00042350">
        <w:rPr>
          <w:rFonts w:ascii="TimesNewRomanPSMT" w:hAnsi="TimesNewRomanPSMT"/>
        </w:rPr>
        <w:t xml:space="preserve">owever, it is clear that more must be done— even the recognition of the classification of IGM as torture has failed to improve the treatment of intersex youth in the </w:t>
      </w:r>
      <w:r w:rsidR="00CD0390">
        <w:rPr>
          <w:rFonts w:ascii="TimesNewRomanPSMT" w:hAnsi="TimesNewRomanPSMT"/>
        </w:rPr>
        <w:t>U.S</w:t>
      </w:r>
      <w:r w:rsidRPr="00042350">
        <w:rPr>
          <w:rFonts w:ascii="TimesNewRomanPSMT" w:hAnsi="TimesNewRomanPSMT"/>
        </w:rPr>
        <w:t xml:space="preserve">. </w:t>
      </w:r>
    </w:p>
    <w:p w14:paraId="148A7EF6" w14:textId="420FFDDA" w:rsidR="00C206DB" w:rsidRPr="00D53EAC" w:rsidRDefault="00D53EAC" w:rsidP="00D53EAC">
      <w:pPr>
        <w:spacing w:before="100" w:beforeAutospacing="1" w:after="100" w:afterAutospacing="1"/>
        <w:ind w:firstLine="360"/>
        <w:rPr>
          <w:rFonts w:ascii="TimesNewRomanPSMT" w:hAnsi="TimesNewRomanPSMT"/>
        </w:rPr>
      </w:pPr>
      <w:r w:rsidRPr="00042350">
        <w:rPr>
          <w:rFonts w:ascii="TimesNewRomanPSMT" w:hAnsi="TimesNewRomanPSMT"/>
        </w:rPr>
        <w:t>Despite international condemnation from bodies including the World Health Organization, Amnesty International, and multiple committees of the United Nations</w:t>
      </w:r>
      <w:r w:rsidR="00047732">
        <w:rPr>
          <w:rFonts w:ascii="TimesNewRomanPSMT" w:hAnsi="TimesNewRomanPSMT"/>
        </w:rPr>
        <w:t>,</w:t>
      </w:r>
      <w:r w:rsidRPr="00042350">
        <w:rPr>
          <w:rFonts w:ascii="TimesNewRomanPSMT" w:hAnsi="TimesNewRomanPSMT"/>
        </w:rPr>
        <w:t xml:space="preserve"> and the explicit classification of intersex surgery as torture under several frameworks of human rights abuse, the </w:t>
      </w:r>
      <w:r w:rsidR="00047732">
        <w:rPr>
          <w:rFonts w:ascii="TimesNewRomanPSMT" w:hAnsi="TimesNewRomanPSMT"/>
        </w:rPr>
        <w:t xml:space="preserve">non-consensual </w:t>
      </w:r>
      <w:r w:rsidRPr="00042350">
        <w:rPr>
          <w:rFonts w:ascii="TimesNewRomanPSMT" w:hAnsi="TimesNewRomanPSMT"/>
        </w:rPr>
        <w:t xml:space="preserve">surgeries inflicted on intersex individuals in the </w:t>
      </w:r>
      <w:r w:rsidR="00CD0390">
        <w:rPr>
          <w:rFonts w:ascii="TimesNewRomanPSMT" w:hAnsi="TimesNewRomanPSMT"/>
        </w:rPr>
        <w:t>U.S.</w:t>
      </w:r>
      <w:r w:rsidRPr="00042350">
        <w:rPr>
          <w:rFonts w:ascii="TimesNewRomanPSMT" w:hAnsi="TimesNewRomanPSMT"/>
        </w:rPr>
        <w:t xml:space="preserve"> continue in flagrant violation of</w:t>
      </w:r>
      <w:r>
        <w:rPr>
          <w:rFonts w:ascii="TimesNewRomanPSMT" w:hAnsi="TimesNewRomanPSMT"/>
        </w:rPr>
        <w:t xml:space="preserve"> the ICCPR. </w:t>
      </w:r>
    </w:p>
    <w:p w14:paraId="2EC282C5" w14:textId="77777777" w:rsidR="00F90E7A" w:rsidRPr="00E14A62" w:rsidRDefault="005D1210" w:rsidP="00093142">
      <w:pPr>
        <w:numPr>
          <w:ilvl w:val="0"/>
          <w:numId w:val="3"/>
        </w:numPr>
        <w:pBdr>
          <w:top w:val="nil"/>
          <w:left w:val="nil"/>
          <w:bottom w:val="nil"/>
          <w:right w:val="nil"/>
          <w:between w:val="nil"/>
        </w:pBdr>
        <w:spacing w:line="276" w:lineRule="auto"/>
        <w:contextualSpacing/>
        <w:rPr>
          <w:rFonts w:eastAsia="Calibri"/>
          <w:color w:val="000000"/>
        </w:rPr>
      </w:pPr>
      <w:r w:rsidRPr="00E14A62">
        <w:rPr>
          <w:rFonts w:eastAsia="Calibri"/>
          <w:b/>
          <w:color w:val="000000"/>
        </w:rPr>
        <w:t>Human Rights Committee General Comments</w:t>
      </w:r>
    </w:p>
    <w:p w14:paraId="771F8C5D" w14:textId="14219EA3" w:rsidR="00F90E7A" w:rsidRDefault="00F90E7A">
      <w:pPr>
        <w:pBdr>
          <w:top w:val="nil"/>
          <w:left w:val="nil"/>
          <w:bottom w:val="nil"/>
          <w:right w:val="nil"/>
          <w:between w:val="nil"/>
        </w:pBdr>
        <w:spacing w:line="276" w:lineRule="auto"/>
        <w:ind w:left="720" w:hanging="720"/>
        <w:rPr>
          <w:rFonts w:eastAsia="Calibri"/>
          <w:color w:val="000000"/>
        </w:rPr>
      </w:pPr>
    </w:p>
    <w:p w14:paraId="68CF7ED2" w14:textId="7A8A7D9E" w:rsidR="00F122D6" w:rsidRPr="00E14A62" w:rsidRDefault="00F122D6" w:rsidP="006C063B">
      <w:pPr>
        <w:pBdr>
          <w:top w:val="nil"/>
          <w:left w:val="nil"/>
          <w:bottom w:val="nil"/>
          <w:right w:val="nil"/>
          <w:between w:val="nil"/>
        </w:pBdr>
        <w:spacing w:line="276" w:lineRule="auto"/>
        <w:ind w:firstLine="360"/>
        <w:rPr>
          <w:rFonts w:eastAsia="Calibri"/>
          <w:color w:val="000000"/>
        </w:rPr>
      </w:pPr>
      <w:r>
        <w:rPr>
          <w:rFonts w:eastAsia="Calibri"/>
          <w:color w:val="000000"/>
        </w:rPr>
        <w:t>General comment No. 35 on article 9 notes that “[</w:t>
      </w:r>
      <w:proofErr w:type="gramStart"/>
      <w:r w:rsidR="00CD0390">
        <w:rPr>
          <w:rFonts w:eastAsia="Calibri"/>
          <w:color w:val="000000"/>
        </w:rPr>
        <w:t>s]</w:t>
      </w:r>
      <w:r>
        <w:rPr>
          <w:rFonts w:eastAsia="Calibri"/>
          <w:color w:val="000000"/>
        </w:rPr>
        <w:t>ecurity</w:t>
      </w:r>
      <w:proofErr w:type="gramEnd"/>
      <w:r>
        <w:rPr>
          <w:rFonts w:eastAsia="Calibri"/>
          <w:color w:val="000000"/>
        </w:rPr>
        <w:t xml:space="preserve"> of person concerns freedom from injury to the body and the mind, or bodily and mental integrity</w:t>
      </w:r>
      <w:r w:rsidR="002A4780">
        <w:rPr>
          <w:rFonts w:eastAsia="Calibri"/>
          <w:color w:val="000000"/>
        </w:rPr>
        <w:t>.</w:t>
      </w:r>
      <w:r>
        <w:rPr>
          <w:rFonts w:eastAsia="Calibri"/>
          <w:color w:val="000000"/>
        </w:rPr>
        <w:t>”</w:t>
      </w:r>
      <w:r>
        <w:rPr>
          <w:rStyle w:val="EndnoteReference"/>
          <w:rFonts w:eastAsia="Calibri"/>
          <w:color w:val="000000"/>
        </w:rPr>
        <w:endnoteReference w:id="34"/>
      </w:r>
      <w:r w:rsidR="00A938C5">
        <w:rPr>
          <w:rFonts w:eastAsia="Calibri"/>
          <w:color w:val="000000"/>
        </w:rPr>
        <w:t xml:space="preserve"> </w:t>
      </w:r>
      <w:r w:rsidR="00204DA8">
        <w:rPr>
          <w:rFonts w:eastAsia="Calibri"/>
          <w:color w:val="000000"/>
        </w:rPr>
        <w:t>General comment No. 36 clarifies that the right to life includes the right “to enjoy a life with dignity.”</w:t>
      </w:r>
      <w:r w:rsidR="00204DA8">
        <w:rPr>
          <w:rStyle w:val="EndnoteReference"/>
          <w:rFonts w:eastAsia="Calibri"/>
          <w:color w:val="000000"/>
        </w:rPr>
        <w:endnoteReference w:id="35"/>
      </w:r>
      <w:r w:rsidR="00204DA8">
        <w:rPr>
          <w:rFonts w:eastAsia="Calibri"/>
          <w:color w:val="000000"/>
        </w:rPr>
        <w:t xml:space="preserve"> </w:t>
      </w:r>
      <w:r w:rsidR="006C063B">
        <w:rPr>
          <w:rFonts w:eastAsia="Calibri"/>
          <w:color w:val="000000"/>
        </w:rPr>
        <w:t xml:space="preserve">IGM violates both articles 9 and 6 by inflicting injury to the body and mind as well as interferes with the victim’s right to enjoy a life with dignity. </w:t>
      </w:r>
    </w:p>
    <w:p w14:paraId="3AA1CE8E" w14:textId="77777777" w:rsidR="00F90E7A" w:rsidRPr="00E14A62" w:rsidRDefault="00F90E7A">
      <w:pPr>
        <w:pBdr>
          <w:top w:val="nil"/>
          <w:left w:val="nil"/>
          <w:bottom w:val="nil"/>
          <w:right w:val="nil"/>
          <w:between w:val="nil"/>
        </w:pBdr>
        <w:spacing w:line="276" w:lineRule="auto"/>
        <w:ind w:left="1440" w:hanging="720"/>
        <w:rPr>
          <w:rFonts w:eastAsia="Calibri"/>
          <w:color w:val="000000"/>
        </w:rPr>
      </w:pPr>
    </w:p>
    <w:p w14:paraId="6C7DF759" w14:textId="77777777" w:rsidR="00F90E7A" w:rsidRPr="00E14A62" w:rsidRDefault="005D1210" w:rsidP="00093142">
      <w:pPr>
        <w:numPr>
          <w:ilvl w:val="0"/>
          <w:numId w:val="3"/>
        </w:numPr>
        <w:pBdr>
          <w:top w:val="nil"/>
          <w:left w:val="nil"/>
          <w:bottom w:val="nil"/>
          <w:right w:val="nil"/>
          <w:between w:val="nil"/>
        </w:pBdr>
        <w:spacing w:line="276" w:lineRule="auto"/>
        <w:contextualSpacing/>
        <w:rPr>
          <w:rFonts w:eastAsia="Calibri"/>
          <w:color w:val="000000"/>
        </w:rPr>
      </w:pPr>
      <w:r w:rsidRPr="00E14A62">
        <w:rPr>
          <w:rFonts w:eastAsia="Calibri"/>
          <w:b/>
          <w:color w:val="000000"/>
        </w:rPr>
        <w:t>Other UN Body Recommendations</w:t>
      </w:r>
    </w:p>
    <w:p w14:paraId="7D869D1E" w14:textId="17176758" w:rsidR="00905A00" w:rsidRDefault="008A3E12" w:rsidP="006C063B">
      <w:pPr>
        <w:spacing w:before="100" w:beforeAutospacing="1" w:after="100" w:afterAutospacing="1"/>
        <w:ind w:firstLine="360"/>
        <w:rPr>
          <w:rFonts w:ascii="TimesNewRomanPSMT" w:hAnsi="TimesNewRomanPSMT"/>
          <w:position w:val="12"/>
          <w:sz w:val="16"/>
          <w:szCs w:val="16"/>
        </w:rPr>
      </w:pPr>
      <w:r w:rsidRPr="00042350">
        <w:rPr>
          <w:rFonts w:ascii="TimesNewRomanPSMT" w:hAnsi="TimesNewRomanPSMT"/>
        </w:rPr>
        <w:t xml:space="preserve">In 2013, the </w:t>
      </w:r>
      <w:r w:rsidR="006C063B">
        <w:rPr>
          <w:rFonts w:ascii="TimesNewRomanPSMT" w:hAnsi="TimesNewRomanPSMT"/>
        </w:rPr>
        <w:t>SRT</w:t>
      </w:r>
      <w:r w:rsidRPr="00042350">
        <w:rPr>
          <w:rFonts w:ascii="TimesNewRomanPSMT" w:hAnsi="TimesNewRomanPSMT"/>
        </w:rPr>
        <w:t xml:space="preserve"> “call[ed] upon all States to repeal any law allowing intr</w:t>
      </w:r>
      <w:r w:rsidR="00953988">
        <w:rPr>
          <w:rFonts w:ascii="TimesNewRomanPSMT" w:hAnsi="TimesNewRomanPSMT"/>
        </w:rPr>
        <w:t>usi</w:t>
      </w:r>
      <w:r w:rsidRPr="00042350">
        <w:rPr>
          <w:rFonts w:ascii="TimesNewRomanPSMT" w:hAnsi="TimesNewRomanPSMT"/>
        </w:rPr>
        <w:t>ve and irreversible treatments, including forced genital-normalizing surgery, involuntary sterilization, unethical experimentation, medical display, ‘reparative therapies’ or ‘conversion therapies’</w:t>
      </w:r>
      <w:r w:rsidR="006C063B">
        <w:rPr>
          <w:rFonts w:ascii="TimesNewRomanPSMT" w:hAnsi="TimesNewRomanPSMT"/>
        </w:rPr>
        <w:t>,</w:t>
      </w:r>
      <w:r w:rsidRPr="00042350">
        <w:rPr>
          <w:rFonts w:ascii="TimesNewRomanPSMT" w:hAnsi="TimesNewRomanPSMT"/>
        </w:rPr>
        <w:t xml:space="preserve"> when enforced or administered without the free and informed consent of the person concerned.</w:t>
      </w:r>
      <w:r w:rsidR="006C063B">
        <w:rPr>
          <w:rStyle w:val="EndnoteReference"/>
          <w:rFonts w:ascii="TimesNewRomanPSMT" w:hAnsi="TimesNewRomanPSMT"/>
        </w:rPr>
        <w:endnoteReference w:id="36"/>
      </w:r>
      <w:r w:rsidRPr="00042350">
        <w:rPr>
          <w:rFonts w:ascii="TimesNewRomanPSMT" w:hAnsi="TimesNewRomanPSMT"/>
        </w:rPr>
        <w:t xml:space="preserve"> </w:t>
      </w:r>
      <w:r w:rsidR="00953988">
        <w:rPr>
          <w:rFonts w:ascii="TimesNewRomanPSMT" w:hAnsi="TimesNewRomanPSMT"/>
        </w:rPr>
        <w:t xml:space="preserve">The SRT </w:t>
      </w:r>
      <w:r w:rsidRPr="00042350">
        <w:rPr>
          <w:rFonts w:ascii="TimesNewRomanPSMT" w:hAnsi="TimesNewRomanPSMT"/>
        </w:rPr>
        <w:t>also call</w:t>
      </w:r>
      <w:r w:rsidR="00953988">
        <w:rPr>
          <w:rFonts w:ascii="TimesNewRomanPSMT" w:hAnsi="TimesNewRomanPSMT"/>
        </w:rPr>
        <w:t>ed</w:t>
      </w:r>
      <w:r w:rsidRPr="00042350">
        <w:rPr>
          <w:rFonts w:ascii="TimesNewRomanPSMT" w:hAnsi="TimesNewRomanPSMT"/>
        </w:rPr>
        <w:t xml:space="preserve"> upon the states to outlaw forced or coerced sterilization in all circumstances and provide special protection to individuals belonging to marginalized groups."</w:t>
      </w:r>
      <w:r>
        <w:rPr>
          <w:rStyle w:val="EndnoteReference"/>
          <w:rFonts w:ascii="TimesNewRomanPSMT" w:hAnsi="TimesNewRomanPSMT"/>
        </w:rPr>
        <w:endnoteReference w:id="37"/>
      </w:r>
      <w:r w:rsidRPr="00042350">
        <w:rPr>
          <w:rFonts w:ascii="TimesNewRomanPSMT" w:hAnsi="TimesNewRomanPSMT"/>
          <w:position w:val="12"/>
          <w:sz w:val="16"/>
          <w:szCs w:val="16"/>
        </w:rPr>
        <w:t xml:space="preserve"> </w:t>
      </w:r>
      <w:r w:rsidRPr="00042350">
        <w:rPr>
          <w:rFonts w:ascii="TimesNewRomanPSMT" w:hAnsi="TimesNewRomanPSMT"/>
        </w:rPr>
        <w:t>The Special Rapporteur renewed this call in his 2016 report on gender perspectives on torture.</w:t>
      </w:r>
      <w:r>
        <w:rPr>
          <w:rStyle w:val="EndnoteReference"/>
          <w:rFonts w:ascii="TimesNewRomanPSMT" w:hAnsi="TimesNewRomanPSMT"/>
        </w:rPr>
        <w:endnoteReference w:id="38"/>
      </w:r>
      <w:r>
        <w:rPr>
          <w:rFonts w:ascii="TimesNewRomanPSMT" w:hAnsi="TimesNewRomanPSMT"/>
          <w:position w:val="12"/>
          <w:sz w:val="16"/>
          <w:szCs w:val="16"/>
        </w:rPr>
        <w:t xml:space="preserve"> </w:t>
      </w:r>
      <w:r w:rsidRPr="00042350">
        <w:rPr>
          <w:rFonts w:ascii="TimesNewRomanPSMT" w:hAnsi="TimesNewRomanPSMT"/>
          <w:position w:val="12"/>
          <w:sz w:val="16"/>
          <w:szCs w:val="16"/>
        </w:rPr>
        <w:t xml:space="preserve"> </w:t>
      </w:r>
    </w:p>
    <w:p w14:paraId="17479445" w14:textId="77777777" w:rsidR="00905A00" w:rsidRDefault="00905A00" w:rsidP="006C063B">
      <w:pPr>
        <w:spacing w:before="100" w:beforeAutospacing="1" w:after="100" w:afterAutospacing="1"/>
        <w:ind w:firstLine="360"/>
        <w:rPr>
          <w:rFonts w:ascii="TimesNewRomanPSMT" w:hAnsi="TimesNewRomanPSMT"/>
        </w:rPr>
      </w:pPr>
      <w:r>
        <w:rPr>
          <w:rFonts w:ascii="TimesNewRomanPSMT" w:hAnsi="TimesNewRomanPSMT"/>
        </w:rPr>
        <w:t>T</w:t>
      </w:r>
      <w:r w:rsidR="008A3E12" w:rsidRPr="00042350">
        <w:rPr>
          <w:rFonts w:ascii="TimesNewRomanPSMT" w:hAnsi="TimesNewRomanPSMT"/>
        </w:rPr>
        <w:t>he High Commissioner for Human Rights acknowledged that the rights infringed by the genital- “normalizing” surgeries carried out on intersex children include “their rights to physical integrity, to be free from torture and ill treatment, and to live free from harmful practices.”</w:t>
      </w:r>
      <w:r w:rsidR="008A3E12">
        <w:rPr>
          <w:rStyle w:val="EndnoteReference"/>
          <w:rFonts w:ascii="TimesNewRomanPSMT" w:hAnsi="TimesNewRomanPSMT"/>
        </w:rPr>
        <w:endnoteReference w:id="39"/>
      </w:r>
      <w:r w:rsidR="00751B68">
        <w:rPr>
          <w:rFonts w:ascii="TimesNewRomanPSMT" w:hAnsi="TimesNewRomanPSMT"/>
        </w:rPr>
        <w:t xml:space="preserve"> </w:t>
      </w:r>
    </w:p>
    <w:p w14:paraId="69BB58EF" w14:textId="2C4A53B2" w:rsidR="00905A00" w:rsidRDefault="006C063B" w:rsidP="006C063B">
      <w:pPr>
        <w:spacing w:before="100" w:beforeAutospacing="1" w:after="100" w:afterAutospacing="1"/>
        <w:ind w:firstLine="360"/>
        <w:rPr>
          <w:rFonts w:ascii="TimesNewRomanPSMT" w:hAnsi="TimesNewRomanPSMT"/>
        </w:rPr>
      </w:pPr>
      <w:r>
        <w:rPr>
          <w:rFonts w:ascii="TimesNewRomanPSMT" w:hAnsi="TimesNewRomanPSMT"/>
        </w:rPr>
        <w:t>T</w:t>
      </w:r>
      <w:r w:rsidR="00751B68">
        <w:rPr>
          <w:rFonts w:ascii="TimesNewRomanPSMT" w:hAnsi="TimesNewRomanPSMT"/>
        </w:rPr>
        <w:t>he Committee on the Rights of the Child (CRC) reiterated the call to end forced surgeries or treatments on intersex adolescents.</w:t>
      </w:r>
      <w:r w:rsidR="00751B68">
        <w:rPr>
          <w:rStyle w:val="EndnoteReference"/>
          <w:rFonts w:ascii="TimesNewRomanPSMT" w:hAnsi="TimesNewRomanPSMT"/>
        </w:rPr>
        <w:endnoteReference w:id="40"/>
      </w:r>
      <w:r w:rsidR="00751B68">
        <w:rPr>
          <w:rFonts w:ascii="TimesNewRomanPSMT" w:hAnsi="TimesNewRomanPSMT"/>
        </w:rPr>
        <w:t xml:space="preserve"> </w:t>
      </w:r>
      <w:r w:rsidR="00905A00">
        <w:rPr>
          <w:rFonts w:ascii="TimesNewRomanPSMT" w:hAnsi="TimesNewRomanPSMT"/>
        </w:rPr>
        <w:t xml:space="preserve">The Committee made further recommendations that </w:t>
      </w:r>
      <w:r w:rsidR="00AA7D7A">
        <w:rPr>
          <w:rFonts w:ascii="TimesNewRomanPSMT" w:hAnsi="TimesNewRomanPSMT"/>
        </w:rPr>
        <w:t>protocols for intersex children should be established to ensure no one is subject</w:t>
      </w:r>
      <w:r w:rsidR="002A4780">
        <w:rPr>
          <w:rFonts w:ascii="TimesNewRomanPSMT" w:hAnsi="TimesNewRomanPSMT"/>
        </w:rPr>
        <w:t>ed</w:t>
      </w:r>
      <w:r w:rsidR="00AA7D7A">
        <w:rPr>
          <w:rFonts w:ascii="TimesNewRomanPSMT" w:hAnsi="TimesNewRomanPSMT"/>
        </w:rPr>
        <w:t xml:space="preserve"> to unnecessary medical treatment and to “</w:t>
      </w:r>
      <w:proofErr w:type="gramStart"/>
      <w:r w:rsidR="00AA7D7A">
        <w:rPr>
          <w:rFonts w:ascii="TimesNewRomanPSMT" w:hAnsi="TimesNewRomanPSMT"/>
        </w:rPr>
        <w:t>guarantee[</w:t>
      </w:r>
      <w:proofErr w:type="gramEnd"/>
      <w:r w:rsidR="00AA7D7A">
        <w:rPr>
          <w:rFonts w:ascii="TimesNewRomanPSMT" w:hAnsi="TimesNewRomanPSMT"/>
        </w:rPr>
        <w:t>] the rights of children to bodily integrity, autonomy, and self-determination</w:t>
      </w:r>
      <w:r w:rsidR="002A4780">
        <w:rPr>
          <w:rFonts w:ascii="TimesNewRomanPSMT" w:hAnsi="TimesNewRomanPSMT"/>
        </w:rPr>
        <w:t>.</w:t>
      </w:r>
      <w:r w:rsidR="00AA7D7A">
        <w:rPr>
          <w:rFonts w:ascii="TimesNewRomanPSMT" w:hAnsi="TimesNewRomanPSMT"/>
        </w:rPr>
        <w:t>”</w:t>
      </w:r>
      <w:r w:rsidR="00AA7D7A">
        <w:rPr>
          <w:rStyle w:val="EndnoteReference"/>
          <w:rFonts w:ascii="TimesNewRomanPSMT" w:hAnsi="TimesNewRomanPSMT"/>
        </w:rPr>
        <w:endnoteReference w:id="41"/>
      </w:r>
    </w:p>
    <w:p w14:paraId="657DC865" w14:textId="6F0BB4E1" w:rsidR="00F90E7A" w:rsidRPr="006C063B" w:rsidRDefault="006C063B" w:rsidP="006C063B">
      <w:pPr>
        <w:spacing w:before="100" w:beforeAutospacing="1" w:after="100" w:afterAutospacing="1"/>
        <w:ind w:firstLine="360"/>
        <w:rPr>
          <w:rFonts w:ascii="TimesNewRomanPSMT" w:hAnsi="TimesNewRomanPSMT"/>
        </w:rPr>
      </w:pPr>
      <w:r>
        <w:rPr>
          <w:rFonts w:ascii="TimesNewRomanPSMT" w:hAnsi="TimesNewRomanPSMT"/>
        </w:rPr>
        <w:t>Finally, v</w:t>
      </w:r>
      <w:r w:rsidR="00751B68">
        <w:rPr>
          <w:rFonts w:ascii="TimesNewRomanPSMT" w:hAnsi="TimesNewRomanPSMT"/>
        </w:rPr>
        <w:t xml:space="preserve">arious UN </w:t>
      </w:r>
      <w:r w:rsidR="00905A00">
        <w:rPr>
          <w:rFonts w:ascii="TimesNewRomanPSMT" w:hAnsi="TimesNewRomanPSMT"/>
        </w:rPr>
        <w:t xml:space="preserve">and regional </w:t>
      </w:r>
      <w:r w:rsidR="00751B68">
        <w:rPr>
          <w:rFonts w:ascii="TimesNewRomanPSMT" w:hAnsi="TimesNewRomanPSMT"/>
        </w:rPr>
        <w:t xml:space="preserve">bodies signed a call for the end </w:t>
      </w:r>
      <w:r w:rsidR="00905A00">
        <w:rPr>
          <w:rFonts w:ascii="TimesNewRomanPSMT" w:hAnsi="TimesNewRomanPSMT"/>
        </w:rPr>
        <w:t>of</w:t>
      </w:r>
      <w:r w:rsidR="00751B68">
        <w:rPr>
          <w:rFonts w:ascii="TimesNewRomanPSMT" w:hAnsi="TimesNewRomanPSMT"/>
        </w:rPr>
        <w:t xml:space="preserve"> human rights violations against intersex children and adults, </w:t>
      </w:r>
      <w:r>
        <w:rPr>
          <w:rFonts w:ascii="TimesNewRomanPSMT" w:hAnsi="TimesNewRomanPSMT"/>
        </w:rPr>
        <w:t>describing</w:t>
      </w:r>
      <w:r w:rsidR="00751B68">
        <w:rPr>
          <w:rFonts w:ascii="TimesNewRomanPSMT" w:hAnsi="TimesNewRomanPSMT"/>
        </w:rPr>
        <w:t xml:space="preserve"> the practice of medically unnecessary surgeries </w:t>
      </w:r>
      <w:r>
        <w:rPr>
          <w:rFonts w:ascii="TimesNewRomanPSMT" w:hAnsi="TimesNewRomanPSMT"/>
        </w:rPr>
        <w:t>as</w:t>
      </w:r>
      <w:r w:rsidR="00751B68">
        <w:rPr>
          <w:rFonts w:ascii="TimesNewRomanPSMT" w:hAnsi="TimesNewRomanPSMT"/>
        </w:rPr>
        <w:t xml:space="preserve"> torture</w:t>
      </w:r>
      <w:r w:rsidR="00905A00">
        <w:rPr>
          <w:rFonts w:ascii="TimesNewRomanPSMT" w:hAnsi="TimesNewRomanPSMT"/>
        </w:rPr>
        <w:t>.</w:t>
      </w:r>
      <w:r w:rsidR="00905A00">
        <w:rPr>
          <w:rStyle w:val="EndnoteReference"/>
          <w:rFonts w:ascii="TimesNewRomanPSMT" w:hAnsi="TimesNewRomanPSMT"/>
        </w:rPr>
        <w:endnoteReference w:id="42"/>
      </w:r>
    </w:p>
    <w:p w14:paraId="257DBC36" w14:textId="77777777" w:rsidR="00F90E7A" w:rsidRPr="00E14A62" w:rsidRDefault="005D1210" w:rsidP="00093142">
      <w:pPr>
        <w:numPr>
          <w:ilvl w:val="0"/>
          <w:numId w:val="3"/>
        </w:numPr>
        <w:pBdr>
          <w:top w:val="nil"/>
          <w:left w:val="nil"/>
          <w:bottom w:val="nil"/>
          <w:right w:val="nil"/>
          <w:between w:val="nil"/>
        </w:pBdr>
        <w:spacing w:line="276" w:lineRule="auto"/>
        <w:contextualSpacing/>
        <w:rPr>
          <w:rFonts w:eastAsia="Calibri"/>
          <w:color w:val="000000"/>
        </w:rPr>
      </w:pPr>
      <w:r w:rsidRPr="00E14A62">
        <w:rPr>
          <w:rFonts w:eastAsia="Calibri"/>
          <w:b/>
          <w:color w:val="000000"/>
        </w:rPr>
        <w:t xml:space="preserve">Recommended Questions </w:t>
      </w:r>
    </w:p>
    <w:p w14:paraId="66A6596A" w14:textId="2F42B4E9" w:rsidR="008A3E12" w:rsidRPr="008A3E12" w:rsidRDefault="008A3E12" w:rsidP="008A3E12">
      <w:pPr>
        <w:pStyle w:val="ListParagraph"/>
        <w:numPr>
          <w:ilvl w:val="1"/>
          <w:numId w:val="2"/>
        </w:numPr>
        <w:spacing w:before="100" w:beforeAutospacing="1" w:after="100" w:afterAutospacing="1"/>
        <w:rPr>
          <w:rFonts w:ascii="Symbol" w:hAnsi="Symbol"/>
          <w:sz w:val="20"/>
          <w:szCs w:val="20"/>
        </w:rPr>
      </w:pPr>
      <w:r>
        <w:rPr>
          <w:rFonts w:ascii="TimesNewRomanPS" w:hAnsi="TimesNewRomanPS"/>
          <w:bCs/>
        </w:rPr>
        <w:lastRenderedPageBreak/>
        <w:t>W</w:t>
      </w:r>
      <w:r w:rsidRPr="008A3E12">
        <w:rPr>
          <w:rFonts w:ascii="TimesNewRomanPS" w:hAnsi="TimesNewRomanPS"/>
          <w:bCs/>
        </w:rPr>
        <w:t xml:space="preserve">hat steps, if any, are being taken by </w:t>
      </w:r>
      <w:r w:rsidR="00953988">
        <w:rPr>
          <w:rFonts w:ascii="TimesNewRomanPS" w:hAnsi="TimesNewRomanPS"/>
          <w:bCs/>
        </w:rPr>
        <w:t>national and subnational</w:t>
      </w:r>
      <w:r w:rsidR="00953988" w:rsidRPr="008A3E12">
        <w:rPr>
          <w:rFonts w:ascii="TimesNewRomanPS" w:hAnsi="TimesNewRomanPS"/>
          <w:bCs/>
        </w:rPr>
        <w:t xml:space="preserve"> </w:t>
      </w:r>
      <w:r w:rsidRPr="008A3E12">
        <w:rPr>
          <w:rFonts w:ascii="TimesNewRomanPS" w:hAnsi="TimesNewRomanPS"/>
          <w:bCs/>
        </w:rPr>
        <w:t>government bodies to end non-consensual genital surgeries on intersex individuals</w:t>
      </w:r>
      <w:r>
        <w:rPr>
          <w:rFonts w:ascii="TimesNewRomanPS" w:hAnsi="TimesNewRomanPS"/>
          <w:bCs/>
        </w:rPr>
        <w:t>?</w:t>
      </w:r>
      <w:r w:rsidRPr="008A3E12">
        <w:rPr>
          <w:rFonts w:ascii="TimesNewRomanPS" w:hAnsi="TimesNewRomanPS"/>
          <w:bCs/>
        </w:rPr>
        <w:t xml:space="preserve"> </w:t>
      </w:r>
    </w:p>
    <w:p w14:paraId="16C12009" w14:textId="385F1406" w:rsidR="008A3E12" w:rsidRPr="00042350" w:rsidRDefault="008A3E12" w:rsidP="008A3E12">
      <w:pPr>
        <w:numPr>
          <w:ilvl w:val="1"/>
          <w:numId w:val="2"/>
        </w:numPr>
        <w:spacing w:before="100" w:beforeAutospacing="1" w:after="100" w:afterAutospacing="1"/>
        <w:rPr>
          <w:rFonts w:ascii="Symbol" w:hAnsi="Symbol"/>
          <w:sz w:val="20"/>
          <w:szCs w:val="20"/>
        </w:rPr>
      </w:pPr>
      <w:r>
        <w:rPr>
          <w:rFonts w:ascii="TimesNewRomanPS" w:hAnsi="TimesNewRomanPS"/>
          <w:bCs/>
        </w:rPr>
        <w:t>W</w:t>
      </w:r>
      <w:r w:rsidRPr="00042350">
        <w:rPr>
          <w:rFonts w:ascii="TimesNewRomanPS" w:hAnsi="TimesNewRomanPS"/>
          <w:bCs/>
        </w:rPr>
        <w:t xml:space="preserve">hat steps, if any, are being taken by </w:t>
      </w:r>
      <w:r w:rsidR="00953988">
        <w:rPr>
          <w:rFonts w:ascii="TimesNewRomanPS" w:hAnsi="TimesNewRomanPS"/>
          <w:bCs/>
        </w:rPr>
        <w:t xml:space="preserve">national and subnational </w:t>
      </w:r>
      <w:r w:rsidRPr="00042350">
        <w:rPr>
          <w:rFonts w:ascii="TimesNewRomanPS" w:hAnsi="TimesNewRomanPS"/>
          <w:bCs/>
        </w:rPr>
        <w:t>government bodies to ensure full and free informed consent is provided in all cases where surgical intervention on an intersex individual is considered</w:t>
      </w:r>
      <w:r>
        <w:rPr>
          <w:rFonts w:ascii="TimesNewRomanPS" w:hAnsi="TimesNewRomanPS"/>
          <w:bCs/>
        </w:rPr>
        <w:t>?</w:t>
      </w:r>
      <w:r w:rsidRPr="00042350">
        <w:rPr>
          <w:rFonts w:ascii="TimesNewRomanPS" w:hAnsi="TimesNewRomanPS"/>
          <w:bCs/>
        </w:rPr>
        <w:t xml:space="preserve"> </w:t>
      </w:r>
    </w:p>
    <w:p w14:paraId="09F6BBA9" w14:textId="378FF564" w:rsidR="008A3E12" w:rsidRPr="00042350" w:rsidRDefault="008A3E12" w:rsidP="008A3E12">
      <w:pPr>
        <w:numPr>
          <w:ilvl w:val="1"/>
          <w:numId w:val="2"/>
        </w:numPr>
        <w:spacing w:before="100" w:beforeAutospacing="1" w:after="100" w:afterAutospacing="1"/>
        <w:rPr>
          <w:rFonts w:ascii="Symbol" w:hAnsi="Symbol"/>
          <w:sz w:val="20"/>
          <w:szCs w:val="20"/>
        </w:rPr>
      </w:pPr>
      <w:r>
        <w:rPr>
          <w:rFonts w:ascii="TimesNewRomanPS" w:hAnsi="TimesNewRomanPS"/>
          <w:bCs/>
        </w:rPr>
        <w:t>W</w:t>
      </w:r>
      <w:r w:rsidRPr="00042350">
        <w:rPr>
          <w:rFonts w:ascii="TimesNewRomanPS" w:hAnsi="TimesNewRomanPS"/>
          <w:bCs/>
        </w:rPr>
        <w:t>hat steps, if any, are being taken to provide for full legal review of non-consensual genital surgeries, including FGM and sterilization on intersex individuals</w:t>
      </w:r>
      <w:r>
        <w:rPr>
          <w:rFonts w:ascii="TimesNewRomanPS" w:hAnsi="TimesNewRomanPS"/>
          <w:bCs/>
        </w:rPr>
        <w:t>?</w:t>
      </w:r>
    </w:p>
    <w:p w14:paraId="5989F352" w14:textId="261D1885" w:rsidR="008A3E12" w:rsidRPr="00042350" w:rsidRDefault="008A3E12" w:rsidP="008A3E12">
      <w:pPr>
        <w:numPr>
          <w:ilvl w:val="1"/>
          <w:numId w:val="2"/>
        </w:numPr>
        <w:spacing w:before="100" w:beforeAutospacing="1" w:after="100" w:afterAutospacing="1"/>
        <w:rPr>
          <w:rFonts w:ascii="Symbol" w:hAnsi="Symbol"/>
          <w:sz w:val="20"/>
          <w:szCs w:val="20"/>
        </w:rPr>
      </w:pPr>
      <w:r>
        <w:rPr>
          <w:rFonts w:ascii="TimesNewRomanPS" w:hAnsi="TimesNewRomanPS"/>
          <w:bCs/>
        </w:rPr>
        <w:t>W</w:t>
      </w:r>
      <w:r w:rsidRPr="00042350">
        <w:rPr>
          <w:rFonts w:ascii="TimesNewRomanPS" w:hAnsi="TimesNewRomanPS"/>
          <w:bCs/>
        </w:rPr>
        <w:t>hat steps, if any, are being taken to address the need for data collection and independent monitoring of births of intersex children and their medical treatment</w:t>
      </w:r>
      <w:r>
        <w:rPr>
          <w:rFonts w:ascii="TimesNewRomanPS" w:hAnsi="TimesNewRomanPS"/>
          <w:bCs/>
        </w:rPr>
        <w:t>?</w:t>
      </w:r>
    </w:p>
    <w:p w14:paraId="1C488215" w14:textId="74438200" w:rsidR="008A3E12" w:rsidRPr="00C33C3A" w:rsidRDefault="008A3E12" w:rsidP="008A3E12">
      <w:pPr>
        <w:numPr>
          <w:ilvl w:val="1"/>
          <w:numId w:val="2"/>
        </w:numPr>
        <w:spacing w:before="100" w:beforeAutospacing="1" w:after="100" w:afterAutospacing="1"/>
        <w:rPr>
          <w:rFonts w:ascii="Symbol" w:hAnsi="Symbol"/>
          <w:sz w:val="20"/>
          <w:szCs w:val="20"/>
        </w:rPr>
      </w:pPr>
      <w:r>
        <w:rPr>
          <w:rFonts w:ascii="TimesNewRomanPS" w:hAnsi="TimesNewRomanPS"/>
          <w:bCs/>
        </w:rPr>
        <w:t>W</w:t>
      </w:r>
      <w:r w:rsidRPr="00042350">
        <w:rPr>
          <w:rFonts w:ascii="TimesNewRomanPS" w:hAnsi="TimesNewRomanPS"/>
          <w:bCs/>
        </w:rPr>
        <w:t>hat steps, if any, are being taken to address the need for disinterested research on long-term patient satisfaction of surgical and other procedures on intersex children, in consultation with intersex individuals and their organizations</w:t>
      </w:r>
      <w:r>
        <w:rPr>
          <w:rFonts w:ascii="TimesNewRomanPSMT" w:hAnsi="TimesNewRomanPSMT"/>
        </w:rPr>
        <w:t>?</w:t>
      </w:r>
      <w:r w:rsidRPr="00042350">
        <w:rPr>
          <w:rFonts w:ascii="TimesNewRomanPSMT" w:hAnsi="TimesNewRomanPSMT"/>
        </w:rPr>
        <w:t xml:space="preserve"> </w:t>
      </w:r>
    </w:p>
    <w:p w14:paraId="39997134" w14:textId="4E989C13" w:rsidR="00F81177" w:rsidRDefault="00F81177" w:rsidP="00C33C3A">
      <w:pPr>
        <w:spacing w:before="100" w:beforeAutospacing="1" w:after="100" w:afterAutospacing="1"/>
        <w:ind w:firstLine="720"/>
        <w:rPr>
          <w:rFonts w:ascii="TimesNewRomanPSMT" w:hAnsi="TimesNewRomanPSMT"/>
          <w:b/>
        </w:rPr>
      </w:pPr>
      <w:r w:rsidRPr="00C33C3A">
        <w:rPr>
          <w:rFonts w:ascii="TimesNewRomanPSMT" w:hAnsi="TimesNewRomanPSMT"/>
          <w:b/>
        </w:rPr>
        <w:t>VIII. Acknowledgements</w:t>
      </w:r>
    </w:p>
    <w:p w14:paraId="4FA869FB" w14:textId="7D0EF680" w:rsidR="00F81177" w:rsidRPr="00F81177" w:rsidRDefault="00F81177" w:rsidP="00C33C3A">
      <w:pPr>
        <w:spacing w:before="100" w:beforeAutospacing="1" w:after="100" w:afterAutospacing="1"/>
        <w:ind w:firstLine="720"/>
        <w:rPr>
          <w:rFonts w:ascii="Symbol" w:hAnsi="Symbol"/>
          <w:sz w:val="20"/>
          <w:szCs w:val="20"/>
        </w:rPr>
      </w:pPr>
      <w:proofErr w:type="gramStart"/>
      <w:r>
        <w:rPr>
          <w:rFonts w:ascii="TimesNewRomanPSMT" w:hAnsi="TimesNewRomanPSMT"/>
        </w:rPr>
        <w:t>interACT</w:t>
      </w:r>
      <w:proofErr w:type="gramEnd"/>
      <w:r>
        <w:rPr>
          <w:rFonts w:ascii="TimesNewRomanPSMT" w:hAnsi="TimesNewRomanPSMT"/>
        </w:rPr>
        <w:t xml:space="preserve"> extends deep thanks to Alissa Weinberger, Martha F. Davis, and Northeastern Law School’s Program on Human Rights and the Global Economy for their support in the creation of this submission.</w:t>
      </w:r>
    </w:p>
    <w:p w14:paraId="330BCA56" w14:textId="5CDF333C" w:rsidR="00F90E7A" w:rsidRPr="00E14A62" w:rsidRDefault="00F90E7A" w:rsidP="008A3E12">
      <w:pPr>
        <w:pBdr>
          <w:top w:val="nil"/>
          <w:left w:val="nil"/>
          <w:bottom w:val="nil"/>
          <w:right w:val="nil"/>
          <w:between w:val="nil"/>
        </w:pBdr>
        <w:spacing w:line="276" w:lineRule="auto"/>
        <w:contextualSpacing/>
        <w:rPr>
          <w:rFonts w:eastAsia="Calibri"/>
          <w:color w:val="000000"/>
        </w:rPr>
      </w:pPr>
    </w:p>
    <w:sectPr w:rsidR="00F90E7A" w:rsidRPr="00E14A62">
      <w:footerReference w:type="even" r:id="rId9"/>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824388" w14:textId="77777777" w:rsidR="00A41A45" w:rsidRDefault="00A41A45" w:rsidP="00140458">
      <w:r>
        <w:separator/>
      </w:r>
    </w:p>
  </w:endnote>
  <w:endnote w:type="continuationSeparator" w:id="0">
    <w:p w14:paraId="7D834542" w14:textId="77777777" w:rsidR="00A41A45" w:rsidRDefault="00A41A45" w:rsidP="00140458">
      <w:r>
        <w:continuationSeparator/>
      </w:r>
    </w:p>
  </w:endnote>
  <w:endnote w:id="1">
    <w:p w14:paraId="668B7A9A" w14:textId="4DC3B07C" w:rsidR="008A3E12" w:rsidRPr="00131FD6" w:rsidRDefault="008A3E12">
      <w:pPr>
        <w:pStyle w:val="EndnoteText"/>
      </w:pPr>
      <w:r w:rsidRPr="00131FD6">
        <w:rPr>
          <w:rStyle w:val="EndnoteReference"/>
        </w:rPr>
        <w:endnoteRef/>
      </w:r>
      <w:r w:rsidRPr="00131FD6">
        <w:t xml:space="preserve"> Blackless M, et al. 2000. </w:t>
      </w:r>
      <w:r w:rsidRPr="00131FD6">
        <w:rPr>
          <w:i/>
        </w:rPr>
        <w:t>How sexually dimorphic are we? Review and synthesis.</w:t>
      </w:r>
      <w:r w:rsidRPr="00131FD6">
        <w:t xml:space="preserve"> American Journal of Human Biology 2000, 12:151-166.</w:t>
      </w:r>
    </w:p>
  </w:endnote>
  <w:endnote w:id="2">
    <w:p w14:paraId="0A20E09E" w14:textId="268E2399" w:rsidR="00861ACF" w:rsidRPr="00F40A16" w:rsidRDefault="00861ACF">
      <w:pPr>
        <w:pStyle w:val="EndnoteText"/>
      </w:pPr>
      <w:r w:rsidRPr="00F40A16">
        <w:rPr>
          <w:rStyle w:val="EndnoteReference"/>
        </w:rPr>
        <w:endnoteRef/>
      </w:r>
      <w:r w:rsidRPr="00F40A16">
        <w:t xml:space="preserve"> </w:t>
      </w:r>
      <w:r w:rsidR="00F40A16" w:rsidRPr="00C33C3A">
        <w:rPr>
          <w:iCs/>
        </w:rPr>
        <w:t>United Nations Office of the High Commissioner for Human Rights, Free &amp; Equal</w:t>
      </w:r>
      <w:proofErr w:type="gramStart"/>
      <w:r w:rsidR="00F40A16" w:rsidRPr="00C33C3A">
        <w:rPr>
          <w:iCs/>
        </w:rPr>
        <w:t>,Fact</w:t>
      </w:r>
      <w:proofErr w:type="gramEnd"/>
      <w:r w:rsidR="00F40A16" w:rsidRPr="00C33C3A">
        <w:rPr>
          <w:iCs/>
        </w:rPr>
        <w:t xml:space="preserve"> Sheet: Intersex (2015).</w:t>
      </w:r>
    </w:p>
  </w:endnote>
  <w:endnote w:id="3">
    <w:p w14:paraId="35A7DF32" w14:textId="0373CC12" w:rsidR="008A3610" w:rsidRPr="00131FD6" w:rsidRDefault="008A3610">
      <w:pPr>
        <w:pStyle w:val="EndnoteText"/>
      </w:pPr>
      <w:r w:rsidRPr="00131FD6">
        <w:rPr>
          <w:rStyle w:val="EndnoteReference"/>
        </w:rPr>
        <w:endnoteRef/>
      </w:r>
      <w:r w:rsidRPr="00131FD6">
        <w:t xml:space="preserve"> Human Rights Committee, </w:t>
      </w:r>
      <w:r w:rsidRPr="00131FD6">
        <w:rPr>
          <w:i/>
        </w:rPr>
        <w:t>Concluding observations on the fourth periodic report of Switzerland</w:t>
      </w:r>
      <w:r w:rsidRPr="00131FD6">
        <w:t xml:space="preserve"> 4 (22 August 2017) </w:t>
      </w:r>
      <w:r w:rsidRPr="00131FD6">
        <w:rPr>
          <w:i/>
        </w:rPr>
        <w:t>available at</w:t>
      </w:r>
      <w:r w:rsidRPr="00131FD6">
        <w:t xml:space="preserve"> </w:t>
      </w:r>
      <w:hyperlink r:id="rId1" w:history="1">
        <w:r w:rsidRPr="00131FD6">
          <w:rPr>
            <w:rStyle w:val="Hyperlink"/>
          </w:rPr>
          <w:t>https://tbinternet.ohchr.org/_layouts/treatybodyexternal/Download.aspx?symbolno=CCPR%2fC%2fCHE%2fCO%2f4&amp;Lang=en</w:t>
        </w:r>
      </w:hyperlink>
      <w:r w:rsidRPr="00131FD6">
        <w:t xml:space="preserve">. </w:t>
      </w:r>
    </w:p>
  </w:endnote>
  <w:endnote w:id="4">
    <w:p w14:paraId="3D24F22C" w14:textId="46AEB111" w:rsidR="008A3610" w:rsidRPr="00131FD6" w:rsidRDefault="008A3610">
      <w:pPr>
        <w:pStyle w:val="EndnoteText"/>
      </w:pPr>
      <w:r w:rsidRPr="00131FD6">
        <w:rPr>
          <w:rStyle w:val="EndnoteReference"/>
        </w:rPr>
        <w:endnoteRef/>
      </w:r>
      <w:r w:rsidRPr="00131FD6">
        <w:t xml:space="preserve"> </w:t>
      </w:r>
      <w:r w:rsidRPr="00131FD6">
        <w:rPr>
          <w:i/>
        </w:rPr>
        <w:t>Id</w:t>
      </w:r>
      <w:r w:rsidRPr="00131FD6">
        <w:t>.</w:t>
      </w:r>
    </w:p>
  </w:endnote>
  <w:endnote w:id="5">
    <w:p w14:paraId="44C47E80" w14:textId="5B8B2970" w:rsidR="008A3610" w:rsidRPr="00131FD6" w:rsidRDefault="008A3610">
      <w:pPr>
        <w:pStyle w:val="EndnoteText"/>
      </w:pPr>
      <w:r w:rsidRPr="00131FD6">
        <w:rPr>
          <w:rStyle w:val="EndnoteReference"/>
        </w:rPr>
        <w:endnoteRef/>
      </w:r>
      <w:r w:rsidRPr="00131FD6">
        <w:t xml:space="preserve"> </w:t>
      </w:r>
      <w:r w:rsidRPr="00131FD6">
        <w:rPr>
          <w:i/>
        </w:rPr>
        <w:t>Id</w:t>
      </w:r>
      <w:r w:rsidRPr="00131FD6">
        <w:t>.</w:t>
      </w:r>
    </w:p>
  </w:endnote>
  <w:endnote w:id="6">
    <w:p w14:paraId="09D5E3B7" w14:textId="373FE48F" w:rsidR="008A3610" w:rsidRPr="00131FD6" w:rsidRDefault="008A3610">
      <w:pPr>
        <w:pStyle w:val="EndnoteText"/>
      </w:pPr>
      <w:r w:rsidRPr="00131FD6">
        <w:rPr>
          <w:rStyle w:val="EndnoteReference"/>
        </w:rPr>
        <w:endnoteRef/>
      </w:r>
      <w:r w:rsidRPr="00131FD6">
        <w:t xml:space="preserve"> </w:t>
      </w:r>
      <w:r w:rsidRPr="00131FD6">
        <w:rPr>
          <w:i/>
        </w:rPr>
        <w:t>Id</w:t>
      </w:r>
      <w:r w:rsidRPr="00131FD6">
        <w:t>.</w:t>
      </w:r>
    </w:p>
  </w:endnote>
  <w:endnote w:id="7">
    <w:p w14:paraId="51CFC089" w14:textId="1817C178" w:rsidR="0053013C" w:rsidRPr="00131FD6" w:rsidRDefault="0053013C">
      <w:pPr>
        <w:pStyle w:val="EndnoteText"/>
      </w:pPr>
      <w:r w:rsidRPr="00131FD6">
        <w:rPr>
          <w:rStyle w:val="EndnoteReference"/>
        </w:rPr>
        <w:endnoteRef/>
      </w:r>
      <w:r w:rsidRPr="00131FD6">
        <w:t xml:space="preserve"> </w:t>
      </w:r>
      <w:r w:rsidR="00103DDB" w:rsidRPr="00131FD6">
        <w:t xml:space="preserve">Human Rights Committee, </w:t>
      </w:r>
      <w:r w:rsidR="00103DDB" w:rsidRPr="00131FD6">
        <w:rPr>
          <w:i/>
        </w:rPr>
        <w:t>Concluding observations on the sixth periodic report of Australia</w:t>
      </w:r>
      <w:r w:rsidR="00103DDB" w:rsidRPr="00131FD6">
        <w:t xml:space="preserve"> 5 (9 November 2017) </w:t>
      </w:r>
      <w:r w:rsidR="00103DDB" w:rsidRPr="00131FD6">
        <w:rPr>
          <w:i/>
        </w:rPr>
        <w:t>available at</w:t>
      </w:r>
      <w:r w:rsidR="00103DDB" w:rsidRPr="00131FD6">
        <w:t xml:space="preserve"> https://tbinternet.ohchr.org/Treaties/CCPR/Shared%20Documents/AUS/INT_CCPR_COC_AUS_29445_E.pdf.</w:t>
      </w:r>
    </w:p>
  </w:endnote>
  <w:endnote w:id="8">
    <w:p w14:paraId="117CD594" w14:textId="53306241" w:rsidR="00103DDB" w:rsidRPr="00131FD6" w:rsidRDefault="00103DDB">
      <w:pPr>
        <w:pStyle w:val="EndnoteText"/>
      </w:pPr>
      <w:r w:rsidRPr="00131FD6">
        <w:rPr>
          <w:rStyle w:val="EndnoteReference"/>
        </w:rPr>
        <w:endnoteRef/>
      </w:r>
      <w:r w:rsidRPr="00131FD6">
        <w:t xml:space="preserve"> </w:t>
      </w:r>
      <w:r w:rsidRPr="00131FD6">
        <w:rPr>
          <w:i/>
        </w:rPr>
        <w:t>Id</w:t>
      </w:r>
      <w:r w:rsidRPr="00131FD6">
        <w:t>.</w:t>
      </w:r>
    </w:p>
  </w:endnote>
  <w:endnote w:id="9">
    <w:p w14:paraId="70A4E46F" w14:textId="4F31767C" w:rsidR="00093142" w:rsidRPr="00131FD6" w:rsidRDefault="00093142">
      <w:pPr>
        <w:pStyle w:val="EndnoteText"/>
      </w:pPr>
      <w:r w:rsidRPr="00131FD6">
        <w:rPr>
          <w:rStyle w:val="EndnoteReference"/>
        </w:rPr>
        <w:endnoteRef/>
      </w:r>
      <w:r w:rsidRPr="00131FD6">
        <w:t xml:space="preserve"> Tamar-Mattis</w:t>
      </w:r>
      <w:r w:rsidR="001A468D">
        <w:t xml:space="preserve"> A</w:t>
      </w:r>
      <w:r w:rsidRPr="00131FD6">
        <w:t xml:space="preserve">, </w:t>
      </w:r>
      <w:r w:rsidRPr="00131FD6">
        <w:rPr>
          <w:i/>
          <w:iCs/>
        </w:rPr>
        <w:t xml:space="preserve">Medical Treatment of People with Intersex Conditions as Torture and Cruel, Unhuman, or Degrading Treatment or Punishment </w:t>
      </w:r>
      <w:r w:rsidRPr="00131FD6">
        <w:t xml:space="preserve">in Torture in Healthcare Settings: reflections on the Special rapporteur on Torture’s 2013 </w:t>
      </w:r>
      <w:proofErr w:type="gramStart"/>
      <w:r w:rsidRPr="00131FD6">
        <w:t>Thematic</w:t>
      </w:r>
      <w:proofErr w:type="gramEnd"/>
      <w:r w:rsidRPr="00131FD6">
        <w:t xml:space="preserve"> report.</w:t>
      </w:r>
    </w:p>
  </w:endnote>
  <w:endnote w:id="10">
    <w:p w14:paraId="6D575749" w14:textId="443355DB" w:rsidR="00093142" w:rsidRPr="00131FD6" w:rsidRDefault="00093142">
      <w:pPr>
        <w:pStyle w:val="EndnoteText"/>
      </w:pPr>
      <w:r w:rsidRPr="00131FD6">
        <w:rPr>
          <w:rStyle w:val="EndnoteReference"/>
        </w:rPr>
        <w:endnoteRef/>
      </w:r>
      <w:r w:rsidRPr="00131FD6">
        <w:t xml:space="preserve"> UN Committee Against Torture, </w:t>
      </w:r>
      <w:r w:rsidRPr="00131FD6">
        <w:rPr>
          <w:i/>
        </w:rPr>
        <w:t xml:space="preserve">General Comment No. 2 </w:t>
      </w:r>
      <w:r w:rsidRPr="00131FD6">
        <w:t>(2007), CAT/C/GC/2.</w:t>
      </w:r>
    </w:p>
  </w:endnote>
  <w:endnote w:id="11">
    <w:p w14:paraId="0FDE7997" w14:textId="77777777" w:rsidR="00C83075" w:rsidRPr="00131FD6" w:rsidRDefault="00C83075" w:rsidP="00C83075">
      <w:pPr>
        <w:pStyle w:val="EndnoteText"/>
      </w:pPr>
      <w:r w:rsidRPr="00131FD6">
        <w:rPr>
          <w:rStyle w:val="EndnoteReference"/>
        </w:rPr>
        <w:endnoteRef/>
      </w:r>
      <w:r w:rsidRPr="00131FD6">
        <w:t xml:space="preserve"> U.N. Committee on the Rights of the Child, </w:t>
      </w:r>
      <w:r w:rsidRPr="00131FD6">
        <w:rPr>
          <w:i/>
        </w:rPr>
        <w:t xml:space="preserve">General Comment No. 13: The Right of the Child to Freedom from All Forms of Violence </w:t>
      </w:r>
      <w:r w:rsidRPr="00131FD6">
        <w:t xml:space="preserve">(2011); U.N. Committee on the Rights of the Child, </w:t>
      </w:r>
      <w:r w:rsidRPr="00131FD6">
        <w:rPr>
          <w:i/>
        </w:rPr>
        <w:t>General Comment No. 9: The Rights of Children with Disabilities</w:t>
      </w:r>
      <w:r w:rsidRPr="00131FD6">
        <w:t xml:space="preserve"> (2007).</w:t>
      </w:r>
    </w:p>
  </w:endnote>
  <w:endnote w:id="12">
    <w:p w14:paraId="3E4C4943" w14:textId="7783F760" w:rsidR="00F363CC" w:rsidRPr="00131FD6" w:rsidRDefault="00F363CC">
      <w:pPr>
        <w:pStyle w:val="EndnoteText"/>
      </w:pPr>
      <w:r w:rsidRPr="00131FD6">
        <w:rPr>
          <w:rStyle w:val="EndnoteReference"/>
        </w:rPr>
        <w:endnoteRef/>
      </w:r>
      <w:r w:rsidRPr="00131FD6">
        <w:t xml:space="preserve"> </w:t>
      </w:r>
      <w:r w:rsidRPr="00131FD6">
        <w:rPr>
          <w:i/>
        </w:rPr>
        <w:t>Id</w:t>
      </w:r>
      <w:r w:rsidRPr="00131FD6">
        <w:t>.</w:t>
      </w:r>
    </w:p>
  </w:endnote>
  <w:endnote w:id="13">
    <w:p w14:paraId="1DB1E474" w14:textId="53BBE99F" w:rsidR="00C83075" w:rsidRPr="00131FD6" w:rsidRDefault="00C83075" w:rsidP="00C83075">
      <w:pPr>
        <w:pStyle w:val="EndnoteText"/>
      </w:pPr>
      <w:r w:rsidRPr="00131FD6">
        <w:rPr>
          <w:rStyle w:val="EndnoteReference"/>
        </w:rPr>
        <w:endnoteRef/>
      </w:r>
      <w:r w:rsidRPr="00131FD6">
        <w:t xml:space="preserve"> Human Rights Watch and interACT, </w:t>
      </w:r>
      <w:r w:rsidR="00BD1BDD">
        <w:rPr>
          <w:i/>
        </w:rPr>
        <w:t>“I Want T</w:t>
      </w:r>
      <w:r w:rsidRPr="00131FD6">
        <w:rPr>
          <w:i/>
        </w:rPr>
        <w:t>o Be Like Nature Made Me”: Medically Unnecessary Surgeries on Intersex Children in the US</w:t>
      </w:r>
      <w:r w:rsidRPr="00131FD6">
        <w:t xml:space="preserve"> 58 (2017) </w:t>
      </w:r>
      <w:r w:rsidRPr="00131FD6">
        <w:rPr>
          <w:i/>
        </w:rPr>
        <w:t>available at</w:t>
      </w:r>
      <w:r w:rsidRPr="00131FD6">
        <w:t xml:space="preserve"> https://www.hrw.org/sites/default/files/report_pdf/lgbtintersex0717_web_0.pdf.</w:t>
      </w:r>
    </w:p>
  </w:endnote>
  <w:endnote w:id="14">
    <w:p w14:paraId="3DB8CDCB" w14:textId="042F6443" w:rsidR="00BD1BDD" w:rsidRPr="00C33C3A" w:rsidRDefault="00BD1BDD" w:rsidP="00C33C3A">
      <w:pPr>
        <w:rPr>
          <w:color w:val="3C3D3C"/>
          <w:sz w:val="20"/>
          <w:szCs w:val="20"/>
        </w:rPr>
      </w:pPr>
      <w:r w:rsidRPr="00C33C3A">
        <w:rPr>
          <w:rStyle w:val="EndnoteReference"/>
          <w:sz w:val="20"/>
          <w:szCs w:val="20"/>
        </w:rPr>
        <w:endnoteRef/>
      </w:r>
      <w:r w:rsidRPr="00C33C3A">
        <w:rPr>
          <w:sz w:val="20"/>
          <w:szCs w:val="20"/>
        </w:rPr>
        <w:t xml:space="preserve"> </w:t>
      </w:r>
      <w:r w:rsidRPr="00C33C3A">
        <w:rPr>
          <w:sz w:val="20"/>
          <w:szCs w:val="20"/>
        </w:rPr>
        <w:t xml:space="preserve">Hughes </w:t>
      </w:r>
      <w:r w:rsidR="00145105">
        <w:rPr>
          <w:sz w:val="20"/>
          <w:szCs w:val="20"/>
        </w:rPr>
        <w:t xml:space="preserve">IA </w:t>
      </w:r>
      <w:r w:rsidRPr="00C33C3A">
        <w:rPr>
          <w:sz w:val="20"/>
          <w:szCs w:val="20"/>
        </w:rPr>
        <w:t xml:space="preserve">et al., </w:t>
      </w:r>
      <w:r w:rsidRPr="00C33C3A">
        <w:rPr>
          <w:i/>
          <w:color w:val="000000"/>
          <w:sz w:val="20"/>
          <w:szCs w:val="20"/>
        </w:rPr>
        <w:t>Consensus Statement on Management of Intersex Disorders</w:t>
      </w:r>
      <w:r w:rsidRPr="00C33C3A">
        <w:rPr>
          <w:color w:val="000000"/>
          <w:sz w:val="20"/>
          <w:szCs w:val="20"/>
        </w:rPr>
        <w:t xml:space="preserve">, 91 </w:t>
      </w:r>
      <w:r w:rsidRPr="00C33C3A">
        <w:rPr>
          <w:smallCaps/>
          <w:color w:val="000000"/>
          <w:sz w:val="20"/>
          <w:szCs w:val="20"/>
        </w:rPr>
        <w:t>Archives of Disease in Childhood</w:t>
      </w:r>
      <w:r w:rsidRPr="00C33C3A">
        <w:rPr>
          <w:i/>
          <w:color w:val="000000"/>
          <w:sz w:val="20"/>
          <w:szCs w:val="20"/>
        </w:rPr>
        <w:t xml:space="preserve"> </w:t>
      </w:r>
      <w:r w:rsidRPr="00C33C3A">
        <w:rPr>
          <w:color w:val="000000"/>
          <w:sz w:val="20"/>
          <w:szCs w:val="20"/>
        </w:rPr>
        <w:t>554</w:t>
      </w:r>
      <w:r w:rsidRPr="00C33C3A">
        <w:rPr>
          <w:i/>
          <w:color w:val="000000"/>
          <w:sz w:val="20"/>
          <w:szCs w:val="20"/>
        </w:rPr>
        <w:t xml:space="preserve"> </w:t>
      </w:r>
      <w:r w:rsidRPr="00C33C3A">
        <w:rPr>
          <w:color w:val="000000"/>
          <w:sz w:val="20"/>
          <w:szCs w:val="20"/>
        </w:rPr>
        <w:t>(2006);</w:t>
      </w:r>
      <w:r w:rsidRPr="00C33C3A">
        <w:rPr>
          <w:sz w:val="20"/>
          <w:szCs w:val="20"/>
        </w:rPr>
        <w:t xml:space="preserve"> </w:t>
      </w:r>
      <w:r w:rsidRPr="00C33C3A">
        <w:rPr>
          <w:color w:val="141413"/>
          <w:sz w:val="20"/>
          <w:szCs w:val="20"/>
        </w:rPr>
        <w:t xml:space="preserve">Furtado </w:t>
      </w:r>
      <w:r w:rsidR="00145105">
        <w:rPr>
          <w:color w:val="141413"/>
          <w:sz w:val="20"/>
          <w:szCs w:val="20"/>
        </w:rPr>
        <w:t xml:space="preserve">PS </w:t>
      </w:r>
      <w:r w:rsidRPr="00C33C3A">
        <w:rPr>
          <w:color w:val="141413"/>
          <w:sz w:val="20"/>
          <w:szCs w:val="20"/>
        </w:rPr>
        <w:t xml:space="preserve">et al., </w:t>
      </w:r>
      <w:r w:rsidRPr="00C33C3A">
        <w:rPr>
          <w:i/>
          <w:color w:val="141413"/>
          <w:sz w:val="20"/>
          <w:szCs w:val="20"/>
        </w:rPr>
        <w:t xml:space="preserve">Gender Dysphoria Associated with Disorders of Sex Development, </w:t>
      </w:r>
      <w:r w:rsidRPr="00C33C3A">
        <w:rPr>
          <w:smallCaps/>
          <w:color w:val="141413"/>
          <w:sz w:val="20"/>
          <w:szCs w:val="20"/>
        </w:rPr>
        <w:t>Nat. Rev. Urol</w:t>
      </w:r>
      <w:r w:rsidRPr="00C33C3A">
        <w:rPr>
          <w:i/>
          <w:color w:val="141413"/>
          <w:sz w:val="20"/>
          <w:szCs w:val="20"/>
        </w:rPr>
        <w:t>.</w:t>
      </w:r>
      <w:r w:rsidRPr="00C33C3A">
        <w:rPr>
          <w:color w:val="141413"/>
          <w:sz w:val="20"/>
          <w:szCs w:val="20"/>
        </w:rPr>
        <w:t xml:space="preserve"> (9 October 2012), available at </w:t>
      </w:r>
      <w:r w:rsidRPr="00C33C3A">
        <w:rPr>
          <w:color w:val="3C3D3C"/>
          <w:sz w:val="20"/>
          <w:szCs w:val="20"/>
        </w:rPr>
        <w:t>doi</w:t>
      </w:r>
      <w:proofErr w:type="gramStart"/>
      <w:r w:rsidRPr="00C33C3A">
        <w:rPr>
          <w:color w:val="3C3D3C"/>
          <w:sz w:val="20"/>
          <w:szCs w:val="20"/>
        </w:rPr>
        <w:t>:10.1038</w:t>
      </w:r>
      <w:proofErr w:type="gramEnd"/>
      <w:r w:rsidRPr="00C33C3A">
        <w:rPr>
          <w:color w:val="3C3D3C"/>
          <w:sz w:val="20"/>
          <w:szCs w:val="20"/>
        </w:rPr>
        <w:t>/nrurol.2012.182.</w:t>
      </w:r>
    </w:p>
  </w:endnote>
  <w:endnote w:id="15">
    <w:p w14:paraId="6B5DE9C1" w14:textId="3A799394" w:rsidR="00093142" w:rsidRPr="00131FD6" w:rsidRDefault="00093142">
      <w:pPr>
        <w:pStyle w:val="EndnoteText"/>
      </w:pPr>
      <w:r w:rsidRPr="00131FD6">
        <w:rPr>
          <w:rStyle w:val="EndnoteReference"/>
        </w:rPr>
        <w:endnoteRef/>
      </w:r>
      <w:r w:rsidRPr="00131FD6">
        <w:t xml:space="preserve"> Fraser S. </w:t>
      </w:r>
      <w:r w:rsidRPr="00131FD6">
        <w:rPr>
          <w:i/>
          <w:iCs/>
        </w:rPr>
        <w:t>Constructing the Female Body: Using Female Genital Mutilation Law to Address Genital-</w:t>
      </w:r>
      <w:r w:rsidRPr="00131FD6">
        <w:rPr>
          <w:i/>
          <w:iCs/>
        </w:rPr>
        <w:t>Normalizing Surgery on Intersex Children in the United States</w:t>
      </w:r>
      <w:r w:rsidRPr="00131FD6">
        <w:t xml:space="preserve">, INTERNATIONAL JOURNAL OF HUMAN RIGHTS IN HEALTHCARE (2016) 9:1, pp. 62-72, available at </w:t>
      </w:r>
      <w:hyperlink r:id="rId2" w:history="1">
        <w:r w:rsidRPr="00131FD6">
          <w:rPr>
            <w:rStyle w:val="Hyperlink"/>
          </w:rPr>
          <w:t>http://dx.doi.org/10.1108/IJHRH-05-2015-0014</w:t>
        </w:r>
      </w:hyperlink>
      <w:r w:rsidRPr="00131FD6">
        <w:t>.</w:t>
      </w:r>
    </w:p>
  </w:endnote>
  <w:endnote w:id="16">
    <w:p w14:paraId="57CCF926" w14:textId="11952DCE" w:rsidR="00093142" w:rsidRPr="00131FD6" w:rsidRDefault="00093142">
      <w:pPr>
        <w:pStyle w:val="EndnoteText"/>
      </w:pPr>
      <w:r w:rsidRPr="00131FD6">
        <w:rPr>
          <w:rStyle w:val="EndnoteReference"/>
        </w:rPr>
        <w:endnoteRef/>
      </w:r>
      <w:r w:rsidRPr="00131FD6">
        <w:t xml:space="preserve"> </w:t>
      </w:r>
      <w:r w:rsidR="00CD0390" w:rsidRPr="00131FD6">
        <w:rPr>
          <w:i/>
        </w:rPr>
        <w:t>Id</w:t>
      </w:r>
      <w:r w:rsidRPr="00131FD6">
        <w:t>.</w:t>
      </w:r>
    </w:p>
  </w:endnote>
  <w:endnote w:id="17">
    <w:p w14:paraId="3DED02C8" w14:textId="4D2D0AD1" w:rsidR="00C206DB" w:rsidRPr="00131FD6" w:rsidRDefault="00C206DB" w:rsidP="00F008DD">
      <w:pPr>
        <w:pStyle w:val="NormalWeb"/>
        <w:spacing w:before="0" w:beforeAutospacing="0" w:after="0" w:afterAutospacing="0"/>
        <w:rPr>
          <w:sz w:val="20"/>
          <w:szCs w:val="20"/>
        </w:rPr>
      </w:pPr>
      <w:r w:rsidRPr="00131FD6">
        <w:rPr>
          <w:rStyle w:val="EndnoteReference"/>
          <w:sz w:val="20"/>
          <w:szCs w:val="20"/>
        </w:rPr>
        <w:endnoteRef/>
      </w:r>
      <w:r w:rsidRPr="00131FD6">
        <w:rPr>
          <w:sz w:val="20"/>
          <w:szCs w:val="20"/>
        </w:rPr>
        <w:t xml:space="preserve"> Mouriquand P., Caldamone A., Malone P., Frank J.D., Hoebeke P. </w:t>
      </w:r>
      <w:r w:rsidRPr="00131FD6">
        <w:rPr>
          <w:i/>
          <w:iCs/>
          <w:sz w:val="20"/>
          <w:szCs w:val="20"/>
        </w:rPr>
        <w:t>The ESPU/SPU Standpoint on the Surgical Management of Disorders of Sex Development (DSD)</w:t>
      </w:r>
      <w:r w:rsidRPr="00131FD6">
        <w:rPr>
          <w:sz w:val="20"/>
          <w:szCs w:val="20"/>
        </w:rPr>
        <w:t>, 10 JOURNAL OF PEDIATRIC UROLOGY 8 (2014).</w:t>
      </w:r>
    </w:p>
  </w:endnote>
  <w:endnote w:id="18">
    <w:p w14:paraId="569052CC" w14:textId="58301B54" w:rsidR="00C206DB" w:rsidRPr="00131FD6" w:rsidRDefault="00C206DB" w:rsidP="00F008DD">
      <w:pPr>
        <w:pStyle w:val="EndnoteText"/>
      </w:pPr>
      <w:r w:rsidRPr="00131FD6">
        <w:rPr>
          <w:rStyle w:val="EndnoteReference"/>
        </w:rPr>
        <w:endnoteRef/>
      </w:r>
      <w:r w:rsidRPr="00131FD6">
        <w:t xml:space="preserve"> Anne Tamar-Mattis, </w:t>
      </w:r>
      <w:r w:rsidRPr="00131FD6">
        <w:rPr>
          <w:i/>
          <w:iCs/>
        </w:rPr>
        <w:t>Patient Advocate Responds to DSD Surgery Debate</w:t>
      </w:r>
      <w:r w:rsidRPr="00131FD6">
        <w:t>, 10 JOURNAL OF PEDIATRIC UROLOGY 788 (2014).</w:t>
      </w:r>
    </w:p>
  </w:endnote>
  <w:endnote w:id="19">
    <w:p w14:paraId="29502147" w14:textId="363E2105" w:rsidR="00C206DB" w:rsidRPr="00131FD6" w:rsidRDefault="00C206DB" w:rsidP="00F008DD">
      <w:pPr>
        <w:pStyle w:val="EndnoteText"/>
      </w:pPr>
      <w:r w:rsidRPr="00131FD6">
        <w:rPr>
          <w:rStyle w:val="EndnoteReference"/>
        </w:rPr>
        <w:endnoteRef/>
      </w:r>
      <w:r w:rsidRPr="00131FD6">
        <w:t xml:space="preserve"> WORLD HEALTH ORGANIZATION, </w:t>
      </w:r>
      <w:r w:rsidRPr="00131FD6">
        <w:rPr>
          <w:i/>
          <w:iCs/>
        </w:rPr>
        <w:t xml:space="preserve">Eliminating forced, coercive or otherwise involuntary sterilization: An interagency statement </w:t>
      </w:r>
      <w:r w:rsidRPr="00131FD6">
        <w:t xml:space="preserve">(OHCHR, UN Women, UNAIDS, UNDP, UNFPA, UNICEF and WHO) (2014), available at: </w:t>
      </w:r>
      <w:hyperlink r:id="rId3" w:history="1">
        <w:r w:rsidR="006C4971" w:rsidRPr="00131FD6">
          <w:rPr>
            <w:rStyle w:val="Hyperlink"/>
          </w:rPr>
          <w:t>http://apps.who.int/iris/bitstream/10665/112848/1/9789241507325_eng.pdf?ua=1</w:t>
        </w:r>
      </w:hyperlink>
      <w:r w:rsidRPr="00131FD6">
        <w:t>.</w:t>
      </w:r>
      <w:r w:rsidR="006C4971" w:rsidRPr="00131FD6">
        <w:t xml:space="preserve"> </w:t>
      </w:r>
    </w:p>
  </w:endnote>
  <w:endnote w:id="20">
    <w:p w14:paraId="17249123" w14:textId="0A8DA022" w:rsidR="00097B34" w:rsidRPr="00131FD6" w:rsidRDefault="00097B34">
      <w:pPr>
        <w:pStyle w:val="EndnoteText"/>
      </w:pPr>
      <w:r w:rsidRPr="00131FD6">
        <w:rPr>
          <w:rStyle w:val="EndnoteReference"/>
        </w:rPr>
        <w:endnoteRef/>
      </w:r>
      <w:r w:rsidRPr="00131FD6">
        <w:t xml:space="preserve"> Lee PA, Nordenström A, Houk CP, </w:t>
      </w:r>
      <w:r w:rsidRPr="00131FD6">
        <w:rPr>
          <w:i/>
          <w:iCs/>
        </w:rPr>
        <w:t>Global Disorders of Sex Development Update since 2006: Perceptions, Approach and Care</w:t>
      </w:r>
      <w:r w:rsidRPr="00131FD6">
        <w:t xml:space="preserve">, Hormone Research in Pediatrics 158-180 (2016). Available at: </w:t>
      </w:r>
      <w:hyperlink r:id="rId4" w:history="1">
        <w:r w:rsidR="006C4971" w:rsidRPr="00131FD6">
          <w:rPr>
            <w:rStyle w:val="Hyperlink"/>
          </w:rPr>
          <w:t>http://www.karger.com/Article/FullText/442975</w:t>
        </w:r>
      </w:hyperlink>
      <w:r w:rsidRPr="00131FD6">
        <w:t>.</w:t>
      </w:r>
      <w:r w:rsidR="006C4971" w:rsidRPr="00131FD6">
        <w:t xml:space="preserve"> </w:t>
      </w:r>
    </w:p>
  </w:endnote>
  <w:endnote w:id="21">
    <w:p w14:paraId="5B5C59CA" w14:textId="370D9828" w:rsidR="00C206DB" w:rsidRPr="00131FD6" w:rsidRDefault="00C206DB" w:rsidP="00F008DD">
      <w:pPr>
        <w:pStyle w:val="NormalWeb"/>
        <w:spacing w:before="0" w:beforeAutospacing="0" w:after="0" w:afterAutospacing="0"/>
        <w:rPr>
          <w:sz w:val="20"/>
          <w:szCs w:val="20"/>
        </w:rPr>
      </w:pPr>
      <w:r w:rsidRPr="00131FD6">
        <w:rPr>
          <w:rStyle w:val="EndnoteReference"/>
          <w:sz w:val="20"/>
          <w:szCs w:val="20"/>
        </w:rPr>
        <w:endnoteRef/>
      </w:r>
      <w:r w:rsidRPr="00131FD6">
        <w:rPr>
          <w:sz w:val="20"/>
          <w:szCs w:val="20"/>
        </w:rPr>
        <w:t xml:space="preserve"> </w:t>
      </w:r>
      <w:r w:rsidR="00097B34" w:rsidRPr="00131FD6">
        <w:rPr>
          <w:i/>
          <w:sz w:val="20"/>
          <w:szCs w:val="20"/>
        </w:rPr>
        <w:t>Id</w:t>
      </w:r>
      <w:r w:rsidR="00097B34" w:rsidRPr="00131FD6">
        <w:rPr>
          <w:sz w:val="20"/>
          <w:szCs w:val="20"/>
        </w:rPr>
        <w:t>.</w:t>
      </w:r>
    </w:p>
  </w:endnote>
  <w:endnote w:id="22">
    <w:p w14:paraId="33310243" w14:textId="06047DC4" w:rsidR="00C206DB" w:rsidRPr="00131FD6" w:rsidRDefault="00C206DB" w:rsidP="00F008DD">
      <w:pPr>
        <w:pStyle w:val="EndnoteText"/>
      </w:pPr>
      <w:r w:rsidRPr="00131FD6">
        <w:rPr>
          <w:rStyle w:val="EndnoteReference"/>
        </w:rPr>
        <w:endnoteRef/>
      </w:r>
      <w:r w:rsidRPr="00131FD6">
        <w:t xml:space="preserve"> </w:t>
      </w:r>
      <w:r w:rsidRPr="00131FD6">
        <w:rPr>
          <w:i/>
        </w:rPr>
        <w:t>Id</w:t>
      </w:r>
      <w:r w:rsidRPr="00131FD6">
        <w:t>.</w:t>
      </w:r>
    </w:p>
  </w:endnote>
  <w:endnote w:id="23">
    <w:p w14:paraId="48DB791D" w14:textId="70DC8612" w:rsidR="00131FD6" w:rsidRPr="00131FD6" w:rsidRDefault="00131FD6">
      <w:pPr>
        <w:pStyle w:val="EndnoteText"/>
      </w:pPr>
      <w:r w:rsidRPr="00131FD6">
        <w:rPr>
          <w:rStyle w:val="EndnoteReference"/>
        </w:rPr>
        <w:endnoteRef/>
      </w:r>
      <w:r w:rsidRPr="00131FD6">
        <w:t xml:space="preserve"> Diamond, D., Swartz, J., Tishelman, A., et al., </w:t>
      </w:r>
      <w:r w:rsidRPr="00131FD6">
        <w:rPr>
          <w:i/>
        </w:rPr>
        <w:t>Management of pediatric patients with DSD and ambiguous genitalia: Balancing the child’s moral claims to self-determination with parental values and preferences</w:t>
      </w:r>
      <w:r w:rsidRPr="00131FD6">
        <w:t xml:space="preserve">, Journal of Pediatric Urology (2018) available at </w:t>
      </w:r>
      <w:hyperlink r:id="rId5" w:history="1">
        <w:r w:rsidRPr="00131FD6">
          <w:rPr>
            <w:rStyle w:val="Hyperlink"/>
          </w:rPr>
          <w:t>file:///Users/alissaweinberger/Downloads/1-s2.0-S1477513118302225-main.pdf</w:t>
        </w:r>
      </w:hyperlink>
      <w:r w:rsidRPr="00131FD6">
        <w:t xml:space="preserve">. </w:t>
      </w:r>
    </w:p>
  </w:endnote>
  <w:endnote w:id="24">
    <w:p w14:paraId="666C6F41" w14:textId="0189E5FE" w:rsidR="00097B34" w:rsidRPr="00131FD6" w:rsidRDefault="00097B34">
      <w:pPr>
        <w:pStyle w:val="EndnoteText"/>
      </w:pPr>
      <w:r w:rsidRPr="00131FD6">
        <w:rPr>
          <w:rStyle w:val="EndnoteReference"/>
        </w:rPr>
        <w:endnoteRef/>
      </w:r>
      <w:r w:rsidRPr="00131FD6">
        <w:t xml:space="preserve"> Human Rights Watch and interACT, </w:t>
      </w:r>
      <w:r w:rsidRPr="00131FD6">
        <w:rPr>
          <w:i/>
        </w:rPr>
        <w:t xml:space="preserve">“I </w:t>
      </w:r>
      <w:r w:rsidR="00145105">
        <w:rPr>
          <w:i/>
        </w:rPr>
        <w:t>W</w:t>
      </w:r>
      <w:r w:rsidRPr="00131FD6">
        <w:rPr>
          <w:i/>
        </w:rPr>
        <w:t xml:space="preserve">ant </w:t>
      </w:r>
      <w:r w:rsidR="00145105">
        <w:rPr>
          <w:i/>
        </w:rPr>
        <w:t>T</w:t>
      </w:r>
      <w:r w:rsidRPr="00131FD6">
        <w:rPr>
          <w:i/>
        </w:rPr>
        <w:t xml:space="preserve">o </w:t>
      </w:r>
      <w:proofErr w:type="gramStart"/>
      <w:r w:rsidRPr="00131FD6">
        <w:rPr>
          <w:i/>
        </w:rPr>
        <w:t>Be</w:t>
      </w:r>
      <w:proofErr w:type="gramEnd"/>
      <w:r w:rsidRPr="00131FD6">
        <w:rPr>
          <w:i/>
        </w:rPr>
        <w:t xml:space="preserve"> Like Nature Made Me”: Medically Unnecessary Surgeries on Intersex Children in the US</w:t>
      </w:r>
      <w:r w:rsidRPr="00131FD6">
        <w:t xml:space="preserve"> 8</w:t>
      </w:r>
      <w:r w:rsidR="00320925" w:rsidRPr="00131FD6">
        <w:t>-9</w:t>
      </w:r>
      <w:r w:rsidRPr="00131FD6">
        <w:t xml:space="preserve"> (2017) </w:t>
      </w:r>
      <w:r w:rsidRPr="00131FD6">
        <w:rPr>
          <w:i/>
        </w:rPr>
        <w:t>available at</w:t>
      </w:r>
      <w:r w:rsidRPr="00131FD6">
        <w:t xml:space="preserve"> </w:t>
      </w:r>
      <w:hyperlink r:id="rId6" w:history="1">
        <w:r w:rsidR="006C4971" w:rsidRPr="00131FD6">
          <w:rPr>
            <w:rStyle w:val="Hyperlink"/>
          </w:rPr>
          <w:t>https://www.hrw.org/sites/default/files/report_pdf/lgbtintersex0717_web_0.pdf</w:t>
        </w:r>
      </w:hyperlink>
      <w:r w:rsidRPr="00131FD6">
        <w:t>.</w:t>
      </w:r>
      <w:r w:rsidR="006C4971" w:rsidRPr="00131FD6">
        <w:t xml:space="preserve"> </w:t>
      </w:r>
    </w:p>
  </w:endnote>
  <w:endnote w:id="25">
    <w:p w14:paraId="084E59CB" w14:textId="5904AA66" w:rsidR="000A1989" w:rsidRPr="00131FD6" w:rsidRDefault="000A1989">
      <w:pPr>
        <w:pStyle w:val="EndnoteText"/>
      </w:pPr>
      <w:r w:rsidRPr="00131FD6">
        <w:rPr>
          <w:rStyle w:val="EndnoteReference"/>
        </w:rPr>
        <w:endnoteRef/>
      </w:r>
      <w:r w:rsidRPr="00131FD6">
        <w:t xml:space="preserve"> </w:t>
      </w:r>
      <w:r w:rsidR="00CD0390" w:rsidRPr="00131FD6">
        <w:rPr>
          <w:i/>
        </w:rPr>
        <w:t>Id</w:t>
      </w:r>
      <w:r w:rsidR="00CD0390" w:rsidRPr="00131FD6">
        <w:t>. at 8</w:t>
      </w:r>
      <w:r w:rsidRPr="00131FD6">
        <w:t>.</w:t>
      </w:r>
    </w:p>
  </w:endnote>
  <w:endnote w:id="26">
    <w:p w14:paraId="30AC0CE0" w14:textId="65B6C657" w:rsidR="00C206DB" w:rsidRPr="00131FD6" w:rsidRDefault="00C206DB" w:rsidP="00F008DD">
      <w:pPr>
        <w:pStyle w:val="NormalWeb"/>
        <w:spacing w:before="0" w:beforeAutospacing="0" w:after="0" w:afterAutospacing="0"/>
        <w:rPr>
          <w:sz w:val="20"/>
          <w:szCs w:val="20"/>
        </w:rPr>
      </w:pPr>
      <w:r w:rsidRPr="00131FD6">
        <w:rPr>
          <w:rStyle w:val="EndnoteReference"/>
          <w:sz w:val="20"/>
          <w:szCs w:val="20"/>
        </w:rPr>
        <w:endnoteRef/>
      </w:r>
      <w:r w:rsidRPr="00131FD6">
        <w:rPr>
          <w:sz w:val="20"/>
          <w:szCs w:val="20"/>
        </w:rPr>
        <w:t xml:space="preserve"> Mouriquand PD, Gorduza DB</w:t>
      </w:r>
      <w:bookmarkStart w:id="0" w:name="_GoBack"/>
      <w:bookmarkEnd w:id="0"/>
      <w:r w:rsidRPr="00131FD6">
        <w:rPr>
          <w:sz w:val="20"/>
          <w:szCs w:val="20"/>
        </w:rPr>
        <w:t xml:space="preserve">, Gay CL, </w:t>
      </w:r>
      <w:r w:rsidRPr="00131FD6">
        <w:rPr>
          <w:i/>
          <w:iCs/>
          <w:sz w:val="20"/>
          <w:szCs w:val="20"/>
        </w:rPr>
        <w:t>Surgery in disorders of Sex Development (DSD)</w:t>
      </w:r>
      <w:r w:rsidR="006C4971" w:rsidRPr="00131FD6">
        <w:rPr>
          <w:i/>
          <w:iCs/>
          <w:sz w:val="20"/>
          <w:szCs w:val="20"/>
        </w:rPr>
        <w:t xml:space="preserve"> </w:t>
      </w:r>
      <w:r w:rsidRPr="00131FD6">
        <w:rPr>
          <w:i/>
          <w:iCs/>
          <w:sz w:val="20"/>
          <w:szCs w:val="20"/>
        </w:rPr>
        <w:t xml:space="preserve">with a gender issue: If (why), when, and how? </w:t>
      </w:r>
      <w:r w:rsidRPr="00131FD6">
        <w:rPr>
          <w:sz w:val="20"/>
          <w:szCs w:val="20"/>
        </w:rPr>
        <w:t>Journal of Pediatric Urology (2016)</w:t>
      </w:r>
      <w:r w:rsidR="00131FD6" w:rsidRPr="00131FD6">
        <w:rPr>
          <w:sz w:val="20"/>
          <w:szCs w:val="20"/>
        </w:rPr>
        <w:t xml:space="preserve">, </w:t>
      </w:r>
      <w:r w:rsidR="00131FD6" w:rsidRPr="00131FD6">
        <w:rPr>
          <w:i/>
          <w:sz w:val="20"/>
          <w:szCs w:val="20"/>
        </w:rPr>
        <w:t>a</w:t>
      </w:r>
      <w:r w:rsidRPr="00131FD6">
        <w:rPr>
          <w:i/>
          <w:sz w:val="20"/>
          <w:szCs w:val="20"/>
        </w:rPr>
        <w:t>vailable at</w:t>
      </w:r>
      <w:r w:rsidRPr="00131FD6">
        <w:rPr>
          <w:sz w:val="20"/>
          <w:szCs w:val="20"/>
        </w:rPr>
        <w:t xml:space="preserve"> </w:t>
      </w:r>
      <w:hyperlink r:id="rId7" w:history="1">
        <w:r w:rsidR="006C4971" w:rsidRPr="00131FD6">
          <w:rPr>
            <w:rStyle w:val="Hyperlink"/>
            <w:sz w:val="20"/>
            <w:szCs w:val="20"/>
          </w:rPr>
          <w:t>http://www.jpurol.com/article/S1477-5131(16)30012-2/abstract</w:t>
        </w:r>
      </w:hyperlink>
      <w:r w:rsidRPr="00131FD6">
        <w:rPr>
          <w:sz w:val="20"/>
          <w:szCs w:val="20"/>
        </w:rPr>
        <w:t>.</w:t>
      </w:r>
      <w:r w:rsidR="006C4971" w:rsidRPr="00131FD6">
        <w:rPr>
          <w:sz w:val="20"/>
          <w:szCs w:val="20"/>
        </w:rPr>
        <w:t xml:space="preserve"> </w:t>
      </w:r>
    </w:p>
  </w:endnote>
  <w:endnote w:id="27">
    <w:p w14:paraId="6E816F2D" w14:textId="563AC0FB" w:rsidR="00131FD6" w:rsidRPr="00131FD6" w:rsidRDefault="00131FD6">
      <w:pPr>
        <w:pStyle w:val="EndnoteText"/>
      </w:pPr>
      <w:r w:rsidRPr="00131FD6">
        <w:rPr>
          <w:rStyle w:val="EndnoteReference"/>
        </w:rPr>
        <w:endnoteRef/>
      </w:r>
      <w:r w:rsidRPr="00131FD6">
        <w:t xml:space="preserve"> Diamond, D., Swartz, J., Tishelman, A., et al., </w:t>
      </w:r>
      <w:r w:rsidRPr="00131FD6">
        <w:rPr>
          <w:i/>
        </w:rPr>
        <w:t>Management of pediatric patients with DSD and ambiguous genitalia: Balancing the child’s moral claims to self-determination with parental values and preferences</w:t>
      </w:r>
      <w:r w:rsidRPr="00131FD6">
        <w:t xml:space="preserve">, Journal of Pediatric Urology (2018) available at </w:t>
      </w:r>
      <w:hyperlink r:id="rId8" w:history="1">
        <w:r w:rsidRPr="00131FD6">
          <w:rPr>
            <w:rStyle w:val="Hyperlink"/>
          </w:rPr>
          <w:t>file:///Users/alissaweinberger/Downloads/1-s2.0-S1477513118302225-main.pdf</w:t>
        </w:r>
      </w:hyperlink>
      <w:r w:rsidRPr="00131FD6">
        <w:t>.</w:t>
      </w:r>
    </w:p>
  </w:endnote>
  <w:endnote w:id="28">
    <w:p w14:paraId="31A2CAF6" w14:textId="095E0269" w:rsidR="00110FDB" w:rsidRPr="00110FDB" w:rsidRDefault="00110FDB">
      <w:pPr>
        <w:pStyle w:val="EndnoteText"/>
      </w:pPr>
      <w:r w:rsidRPr="00110FDB">
        <w:rPr>
          <w:rStyle w:val="EndnoteReference"/>
        </w:rPr>
        <w:endnoteRef/>
      </w:r>
      <w:r w:rsidRPr="00110FDB">
        <w:t xml:space="preserve"> </w:t>
      </w:r>
      <w:r w:rsidRPr="00C33C3A">
        <w:t xml:space="preserve">Bougneres P, Bouvattier C, Cartigny M, Michala L. Deferring surgical treatment of ambiguous genitalia into adolescence in girls with 21-hydroxylase deficiency: a feasibility study. </w:t>
      </w:r>
      <w:proofErr w:type="gramStart"/>
      <w:r w:rsidRPr="00C33C3A">
        <w:t>International Journal of Pediatric Endocrinology.</w:t>
      </w:r>
      <w:proofErr w:type="gramEnd"/>
      <w:r w:rsidRPr="00C33C3A">
        <w:t xml:space="preserve"> 2017</w:t>
      </w:r>
      <w:proofErr w:type="gramStart"/>
      <w:r w:rsidRPr="00C33C3A">
        <w:t>;2017</w:t>
      </w:r>
      <w:proofErr w:type="gramEnd"/>
      <w:r w:rsidRPr="00C33C3A">
        <w:t xml:space="preserve">(3). </w:t>
      </w:r>
      <w:proofErr w:type="gramStart"/>
      <w:r w:rsidRPr="00C33C3A">
        <w:t>doi</w:t>
      </w:r>
      <w:proofErr w:type="gramEnd"/>
      <w:r w:rsidRPr="00C33C3A">
        <w:t>: 10.1186/s13633-016-0040-8</w:t>
      </w:r>
      <w:r w:rsidRPr="00C33C3A">
        <w:t xml:space="preserve">; </w:t>
      </w:r>
      <w:r w:rsidRPr="00C33C3A">
        <w:t xml:space="preserve">Callens N, van der Zwan YG, Drop SLS, et al. Do surgical interventions influence psychosexual and cosmetic outcomes in women with disorders of sex development? ISRN Endocrinology. 2012:1-8. </w:t>
      </w:r>
      <w:proofErr w:type="gramStart"/>
      <w:r w:rsidRPr="00C33C3A">
        <w:t>doi</w:t>
      </w:r>
      <w:proofErr w:type="gramEnd"/>
      <w:r w:rsidRPr="00C33C3A">
        <w:t>: 10.5402/2012/276742.</w:t>
      </w:r>
    </w:p>
  </w:endnote>
  <w:endnote w:id="29">
    <w:p w14:paraId="3779F2B0" w14:textId="5798E46B" w:rsidR="00C206DB" w:rsidRPr="00131FD6" w:rsidRDefault="00C206DB" w:rsidP="00F008DD">
      <w:pPr>
        <w:pStyle w:val="NormalWeb"/>
        <w:spacing w:before="0" w:beforeAutospacing="0" w:after="0" w:afterAutospacing="0"/>
        <w:rPr>
          <w:sz w:val="20"/>
          <w:szCs w:val="20"/>
        </w:rPr>
      </w:pPr>
      <w:r w:rsidRPr="00131FD6">
        <w:rPr>
          <w:rStyle w:val="EndnoteReference"/>
          <w:sz w:val="20"/>
          <w:szCs w:val="20"/>
        </w:rPr>
        <w:endnoteRef/>
      </w:r>
      <w:r w:rsidRPr="00131FD6">
        <w:rPr>
          <w:sz w:val="20"/>
          <w:szCs w:val="20"/>
        </w:rPr>
        <w:t xml:space="preserve"> </w:t>
      </w:r>
      <w:proofErr w:type="gramStart"/>
      <w:r w:rsidRPr="00131FD6">
        <w:rPr>
          <w:sz w:val="20"/>
          <w:szCs w:val="20"/>
        </w:rPr>
        <w:t>Swiss National Advisory Commission on Biomedical Ethics.</w:t>
      </w:r>
      <w:proofErr w:type="gramEnd"/>
      <w:r w:rsidRPr="00131FD6">
        <w:rPr>
          <w:sz w:val="20"/>
          <w:szCs w:val="20"/>
        </w:rPr>
        <w:t xml:space="preserve"> </w:t>
      </w:r>
      <w:r w:rsidRPr="00131FD6">
        <w:rPr>
          <w:i/>
          <w:sz w:val="20"/>
          <w:szCs w:val="20"/>
        </w:rPr>
        <w:t>On the management of differences of sex development: Ethical issues relating to "intersexuality."</w:t>
      </w:r>
      <w:r w:rsidRPr="00131FD6">
        <w:rPr>
          <w:sz w:val="20"/>
          <w:szCs w:val="20"/>
        </w:rPr>
        <w:t xml:space="preserve"> Opinion No. 20/2012. </w:t>
      </w:r>
    </w:p>
  </w:endnote>
  <w:endnote w:id="30">
    <w:p w14:paraId="75CA494C" w14:textId="14755448" w:rsidR="00E03AA6" w:rsidRPr="00131FD6" w:rsidRDefault="00E03AA6" w:rsidP="00F008DD">
      <w:pPr>
        <w:pStyle w:val="NormalWeb"/>
        <w:spacing w:before="0" w:beforeAutospacing="0" w:after="0" w:afterAutospacing="0"/>
        <w:rPr>
          <w:sz w:val="20"/>
          <w:szCs w:val="20"/>
        </w:rPr>
      </w:pPr>
      <w:r w:rsidRPr="00131FD6">
        <w:rPr>
          <w:rStyle w:val="EndnoteReference"/>
          <w:sz w:val="20"/>
          <w:szCs w:val="20"/>
        </w:rPr>
        <w:endnoteRef/>
      </w:r>
      <w:r w:rsidRPr="00131FD6">
        <w:rPr>
          <w:sz w:val="20"/>
          <w:szCs w:val="20"/>
        </w:rPr>
        <w:t xml:space="preserve"> The Society for Pediatric Urology Annual Meeting, </w:t>
      </w:r>
      <w:r w:rsidRPr="00131FD6">
        <w:rPr>
          <w:i/>
          <w:iCs/>
          <w:sz w:val="20"/>
          <w:szCs w:val="20"/>
        </w:rPr>
        <w:t xml:space="preserve">Cost analysis and clinical outcomes of feminizing genitoplasty on congenital adrenal hyperplasia using a large scale administrative database </w:t>
      </w:r>
      <w:r w:rsidRPr="00131FD6">
        <w:rPr>
          <w:sz w:val="20"/>
          <w:szCs w:val="20"/>
        </w:rPr>
        <w:t xml:space="preserve">(May 6, 2016). Abstract available at: </w:t>
      </w:r>
      <w:hyperlink r:id="rId9" w:history="1">
        <w:r w:rsidR="006C4971" w:rsidRPr="00131FD6">
          <w:rPr>
            <w:rStyle w:val="Hyperlink"/>
            <w:sz w:val="20"/>
            <w:szCs w:val="20"/>
          </w:rPr>
          <w:t>http://spuonline.org/abstracts/2016/16.cgi</w:t>
        </w:r>
      </w:hyperlink>
      <w:r w:rsidR="006C4971" w:rsidRPr="00131FD6">
        <w:rPr>
          <w:sz w:val="20"/>
          <w:szCs w:val="20"/>
        </w:rPr>
        <w:t xml:space="preserve">. </w:t>
      </w:r>
      <w:r w:rsidRPr="00131FD6">
        <w:rPr>
          <w:sz w:val="20"/>
          <w:szCs w:val="20"/>
        </w:rPr>
        <w:t xml:space="preserve"> </w:t>
      </w:r>
      <w:r w:rsidR="006C4971" w:rsidRPr="00131FD6">
        <w:rPr>
          <w:sz w:val="20"/>
          <w:szCs w:val="20"/>
        </w:rPr>
        <w:t xml:space="preserve">  </w:t>
      </w:r>
    </w:p>
  </w:endnote>
  <w:endnote w:id="31">
    <w:p w14:paraId="671A5383" w14:textId="7211A19A" w:rsidR="00371E72" w:rsidRPr="00131FD6" w:rsidRDefault="00371E72">
      <w:pPr>
        <w:pStyle w:val="EndnoteText"/>
      </w:pPr>
      <w:r w:rsidRPr="00131FD6">
        <w:rPr>
          <w:rStyle w:val="EndnoteReference"/>
        </w:rPr>
        <w:endnoteRef/>
      </w:r>
      <w:r w:rsidRPr="00131FD6">
        <w:t xml:space="preserve"> Ellens, R et al., </w:t>
      </w:r>
      <w:r w:rsidRPr="00131FD6">
        <w:rPr>
          <w:i/>
        </w:rPr>
        <w:t>Psychological Adjustment in Parents of Children Born with Atypical Genitalia One Year After Their Child Undergoes Genitoplasty</w:t>
      </w:r>
      <w:r w:rsidRPr="00131FD6">
        <w:t xml:space="preserve">, The Journal of Urology (11 May 2017). </w:t>
      </w:r>
    </w:p>
  </w:endnote>
  <w:endnote w:id="32">
    <w:p w14:paraId="43151514" w14:textId="77777777" w:rsidR="00B7612E" w:rsidRPr="00131FD6" w:rsidRDefault="00B7612E" w:rsidP="00B7612E">
      <w:pPr>
        <w:pStyle w:val="EndnoteText"/>
      </w:pPr>
      <w:r w:rsidRPr="00131FD6">
        <w:rPr>
          <w:rStyle w:val="EndnoteReference"/>
        </w:rPr>
        <w:endnoteRef/>
      </w:r>
      <w:r w:rsidRPr="00131FD6">
        <w:t xml:space="preserve"> California Legislative Information, Senate Concurrent </w:t>
      </w:r>
      <w:r w:rsidRPr="00131FD6">
        <w:rPr>
          <w:i/>
        </w:rPr>
        <w:t>Resolution No. 110,</w:t>
      </w:r>
      <w:r w:rsidRPr="00131FD6">
        <w:t xml:space="preserve"> </w:t>
      </w:r>
      <w:r w:rsidRPr="00131FD6">
        <w:rPr>
          <w:i/>
        </w:rPr>
        <w:t>Sex characteristics</w:t>
      </w:r>
      <w:r w:rsidRPr="00131FD6">
        <w:t xml:space="preserve"> (11 September 2018) </w:t>
      </w:r>
      <w:r w:rsidRPr="00131FD6">
        <w:rPr>
          <w:i/>
        </w:rPr>
        <w:t>available at</w:t>
      </w:r>
      <w:r w:rsidRPr="00131FD6">
        <w:t xml:space="preserve"> </w:t>
      </w:r>
      <w:hyperlink r:id="rId10" w:history="1">
        <w:r w:rsidRPr="00131FD6">
          <w:rPr>
            <w:rStyle w:val="Hyperlink"/>
          </w:rPr>
          <w:t>https://leginfo.legislature.ca.gov/faces/billTextClient.xhtml?bill_id=201720180SCR110</w:t>
        </w:r>
      </w:hyperlink>
      <w:r w:rsidRPr="00131FD6">
        <w:t xml:space="preserve">. </w:t>
      </w:r>
    </w:p>
  </w:endnote>
  <w:endnote w:id="33">
    <w:p w14:paraId="69B76B56" w14:textId="65BBD650" w:rsidR="00553331" w:rsidRPr="00131FD6" w:rsidRDefault="00553331">
      <w:pPr>
        <w:pStyle w:val="EndnoteText"/>
      </w:pPr>
      <w:r w:rsidRPr="00131FD6">
        <w:rPr>
          <w:rStyle w:val="EndnoteReference"/>
        </w:rPr>
        <w:endnoteRef/>
      </w:r>
      <w:r w:rsidRPr="00131FD6">
        <w:t xml:space="preserve"> McVeigh, Karen, </w:t>
      </w:r>
      <w:r w:rsidRPr="00131FD6">
        <w:rPr>
          <w:i/>
        </w:rPr>
        <w:t>‘US is moving backwards’: female genital mutilation ruling a blow to girls at risk</w:t>
      </w:r>
      <w:r w:rsidRPr="00131FD6">
        <w:t xml:space="preserve">, The Guardian (22 Nov 2018) available at </w:t>
      </w:r>
      <w:hyperlink r:id="rId11" w:history="1">
        <w:r w:rsidRPr="00131FD6">
          <w:rPr>
            <w:rStyle w:val="Hyperlink"/>
          </w:rPr>
          <w:t>https://www.theguardian.com/society/2018/nov/22/us-is-moving-backwards-female-genital-mutilation-ruling-a-blow-to-girls-at-risk</w:t>
        </w:r>
      </w:hyperlink>
      <w:r w:rsidRPr="00131FD6">
        <w:t xml:space="preserve">. </w:t>
      </w:r>
    </w:p>
  </w:endnote>
  <w:endnote w:id="34">
    <w:p w14:paraId="4A6D4239" w14:textId="4A5AFD57" w:rsidR="00F122D6" w:rsidRPr="00131FD6" w:rsidRDefault="00F122D6" w:rsidP="00F008DD">
      <w:pPr>
        <w:pStyle w:val="EndnoteText"/>
      </w:pPr>
      <w:r w:rsidRPr="00131FD6">
        <w:rPr>
          <w:rStyle w:val="EndnoteReference"/>
        </w:rPr>
        <w:endnoteRef/>
      </w:r>
      <w:r w:rsidRPr="00131FD6">
        <w:t xml:space="preserve"> United Nations Human Rights Committee, </w:t>
      </w:r>
      <w:r w:rsidRPr="00131FD6">
        <w:rPr>
          <w:i/>
        </w:rPr>
        <w:t>General comment No. 35, Article 9 (Liberty and security of person)</w:t>
      </w:r>
      <w:r w:rsidRPr="00131FD6">
        <w:t xml:space="preserve"> 1 (16 December 2014) </w:t>
      </w:r>
      <w:r w:rsidRPr="00131FD6">
        <w:rPr>
          <w:i/>
        </w:rPr>
        <w:t>available at</w:t>
      </w:r>
      <w:r w:rsidRPr="00131FD6">
        <w:t xml:space="preserve"> </w:t>
      </w:r>
      <w:hyperlink r:id="rId12" w:history="1">
        <w:r w:rsidRPr="00131FD6">
          <w:rPr>
            <w:rStyle w:val="Hyperlink"/>
          </w:rPr>
          <w:t>http://docstore.ohchr.org/SelfServices/FilesHandler.ashx?enc=6QkG1d%2fPPRiCAqhKb7yhsrdB0H1l5979OVGGB%2bWPAXjdnG1mwFFfPYGIlNfb%2f6T%2fqwtc77%2fKU9JkoeDcTWWPIpCoePGBcMsRmFtoMu58pgnmzjyiyRGkPQekcPKtaaTG</w:t>
        </w:r>
      </w:hyperlink>
      <w:r w:rsidRPr="00131FD6">
        <w:t xml:space="preserve">. </w:t>
      </w:r>
    </w:p>
  </w:endnote>
  <w:endnote w:id="35">
    <w:p w14:paraId="68ECC21F" w14:textId="5556F542" w:rsidR="00204DA8" w:rsidRPr="00131FD6" w:rsidRDefault="00204DA8">
      <w:pPr>
        <w:pStyle w:val="EndnoteText"/>
      </w:pPr>
      <w:r w:rsidRPr="00131FD6">
        <w:rPr>
          <w:rStyle w:val="EndnoteReference"/>
        </w:rPr>
        <w:endnoteRef/>
      </w:r>
      <w:r w:rsidRPr="00131FD6">
        <w:t xml:space="preserve"> United Nations Human Rights Committee, </w:t>
      </w:r>
      <w:r w:rsidRPr="00131FD6">
        <w:rPr>
          <w:i/>
        </w:rPr>
        <w:t>General comment No. 36 (2018) on article 6 of the International Covenant on Civil and Political Rights, on the right to life</w:t>
      </w:r>
      <w:r w:rsidRPr="00131FD6">
        <w:t xml:space="preserve"> 1 (30 October 2018) </w:t>
      </w:r>
      <w:r w:rsidRPr="00131FD6">
        <w:rPr>
          <w:i/>
        </w:rPr>
        <w:t xml:space="preserve">available at </w:t>
      </w:r>
      <w:hyperlink r:id="rId13" w:history="1">
        <w:r w:rsidRPr="00131FD6">
          <w:rPr>
            <w:rStyle w:val="Hyperlink"/>
          </w:rPr>
          <w:t>https://tbinternet.ohchr.org/Treaties/CCPR/Shared%20Documents/1_Global/CCPR_C_GC_36_8785_E.pdf</w:t>
        </w:r>
      </w:hyperlink>
      <w:r w:rsidRPr="00131FD6">
        <w:t xml:space="preserve">. </w:t>
      </w:r>
    </w:p>
  </w:endnote>
  <w:endnote w:id="36">
    <w:p w14:paraId="02267DFA" w14:textId="6BAF3558" w:rsidR="006C063B" w:rsidRPr="00131FD6" w:rsidRDefault="006C063B">
      <w:pPr>
        <w:pStyle w:val="EndnoteText"/>
      </w:pPr>
      <w:r w:rsidRPr="00131FD6">
        <w:rPr>
          <w:rStyle w:val="EndnoteReference"/>
        </w:rPr>
        <w:endnoteRef/>
      </w:r>
      <w:r w:rsidRPr="00131FD6">
        <w:t xml:space="preserve"> Report of the Special Rapporteur on Torture, Juan E. Mendez, UN Doc. A/HRC/22/53 (2013), available at </w:t>
      </w:r>
      <w:hyperlink r:id="rId14" w:history="1">
        <w:r w:rsidR="006C4971" w:rsidRPr="00131FD6">
          <w:rPr>
            <w:rStyle w:val="Hyperlink"/>
          </w:rPr>
          <w:t>http://www.ohchr.org/Documents/HRBodies/HRCouncil/RegularSession/Session22/A.HRC.22.53_English.pdf</w:t>
        </w:r>
      </w:hyperlink>
      <w:r w:rsidRPr="00131FD6">
        <w:t>.</w:t>
      </w:r>
      <w:r w:rsidR="006C4971" w:rsidRPr="00131FD6">
        <w:t xml:space="preserve"> </w:t>
      </w:r>
    </w:p>
  </w:endnote>
  <w:endnote w:id="37">
    <w:p w14:paraId="4491604C" w14:textId="407BB3DC" w:rsidR="008A3E12" w:rsidRPr="00131FD6" w:rsidRDefault="008A3E12">
      <w:pPr>
        <w:pStyle w:val="EndnoteText"/>
      </w:pPr>
      <w:r w:rsidRPr="00131FD6">
        <w:rPr>
          <w:rStyle w:val="EndnoteReference"/>
        </w:rPr>
        <w:endnoteRef/>
      </w:r>
      <w:r w:rsidRPr="00131FD6">
        <w:t xml:space="preserve"> </w:t>
      </w:r>
      <w:r w:rsidR="00CD0390" w:rsidRPr="00131FD6">
        <w:rPr>
          <w:i/>
        </w:rPr>
        <w:t>Id</w:t>
      </w:r>
      <w:r w:rsidRPr="00131FD6">
        <w:t>.</w:t>
      </w:r>
    </w:p>
  </w:endnote>
  <w:endnote w:id="38">
    <w:p w14:paraId="3AEF93EC" w14:textId="3B9E5C44" w:rsidR="008A3E12" w:rsidRPr="00131FD6" w:rsidRDefault="008A3E12">
      <w:pPr>
        <w:pStyle w:val="EndnoteText"/>
      </w:pPr>
      <w:r w:rsidRPr="00131FD6">
        <w:rPr>
          <w:rStyle w:val="EndnoteReference"/>
        </w:rPr>
        <w:endnoteRef/>
      </w:r>
      <w:r w:rsidRPr="00131FD6">
        <w:t xml:space="preserve"> </w:t>
      </w:r>
      <w:r w:rsidRPr="00131FD6">
        <w:rPr>
          <w:i/>
        </w:rPr>
        <w:t>Report of the Special Rapporteur on the right of everyone to the enjoyment of the highest attainable standard of physical and mental health</w:t>
      </w:r>
      <w:r w:rsidRPr="00131FD6">
        <w:t>, UN Doc A/HRC/32/33 (April 4 2016).</w:t>
      </w:r>
      <w:r w:rsidR="006C4971" w:rsidRPr="00131FD6">
        <w:t xml:space="preserve"> </w:t>
      </w:r>
    </w:p>
  </w:endnote>
  <w:endnote w:id="39">
    <w:p w14:paraId="47E66846" w14:textId="1A815A62" w:rsidR="008A3E12" w:rsidRPr="00131FD6" w:rsidRDefault="008A3E12">
      <w:pPr>
        <w:pStyle w:val="EndnoteText"/>
      </w:pPr>
      <w:r w:rsidRPr="00131FD6">
        <w:rPr>
          <w:rStyle w:val="EndnoteReference"/>
        </w:rPr>
        <w:endnoteRef/>
      </w:r>
      <w:r w:rsidRPr="00131FD6">
        <w:t xml:space="preserve"> United Nations Office of the High Commissioner for Human Rights, </w:t>
      </w:r>
      <w:r w:rsidRPr="00131FD6">
        <w:rPr>
          <w:i/>
        </w:rPr>
        <w:t>Free &amp; Equal Fact Sheet: Intersex</w:t>
      </w:r>
      <w:r w:rsidRPr="00131FD6">
        <w:t xml:space="preserve"> (2015).</w:t>
      </w:r>
    </w:p>
  </w:endnote>
  <w:endnote w:id="40">
    <w:p w14:paraId="04F04B65" w14:textId="69CAEA0A" w:rsidR="00751B68" w:rsidRPr="00131FD6" w:rsidRDefault="00751B68">
      <w:pPr>
        <w:pStyle w:val="EndnoteText"/>
      </w:pPr>
      <w:r w:rsidRPr="00131FD6">
        <w:rPr>
          <w:rStyle w:val="EndnoteReference"/>
        </w:rPr>
        <w:endnoteRef/>
      </w:r>
      <w:r w:rsidRPr="00131FD6">
        <w:t xml:space="preserve"> United Nations Convention on the Rights of the Child, </w:t>
      </w:r>
      <w:r w:rsidRPr="00131FD6">
        <w:rPr>
          <w:i/>
        </w:rPr>
        <w:t>General comment No. 20 (2016) on the implementation of the rights of the child during adolescence</w:t>
      </w:r>
      <w:r w:rsidRPr="00131FD6">
        <w:t xml:space="preserve">, 10 (6 December 2016), </w:t>
      </w:r>
      <w:r w:rsidRPr="00131FD6">
        <w:rPr>
          <w:i/>
        </w:rPr>
        <w:t>available at</w:t>
      </w:r>
      <w:r w:rsidRPr="00131FD6">
        <w:t xml:space="preserve"> </w:t>
      </w:r>
      <w:hyperlink r:id="rId15" w:history="1">
        <w:r w:rsidRPr="00131FD6">
          <w:rPr>
            <w:rStyle w:val="Hyperlink"/>
          </w:rPr>
          <w:t>https://tbinternet.ohchr.org/_layouts/treatybodyexternal/Download.aspx?symbolno=CRC/C/GC/20&amp;Lang=en</w:t>
        </w:r>
      </w:hyperlink>
      <w:r w:rsidRPr="00131FD6">
        <w:t xml:space="preserve">. </w:t>
      </w:r>
    </w:p>
  </w:endnote>
  <w:endnote w:id="41">
    <w:p w14:paraId="2478A4FF" w14:textId="2BCAC881" w:rsidR="00AA7D7A" w:rsidRPr="00131FD6" w:rsidRDefault="00AA7D7A">
      <w:pPr>
        <w:pStyle w:val="EndnoteText"/>
      </w:pPr>
      <w:r w:rsidRPr="00131FD6">
        <w:rPr>
          <w:rStyle w:val="EndnoteReference"/>
        </w:rPr>
        <w:endnoteRef/>
      </w:r>
      <w:r w:rsidRPr="00131FD6">
        <w:t xml:space="preserve"> United Nations Committee on the Rights of the Child, </w:t>
      </w:r>
      <w:r w:rsidRPr="00131FD6">
        <w:rPr>
          <w:i/>
        </w:rPr>
        <w:t>Concluding observations on the fifth periodic report of New Zealand</w:t>
      </w:r>
      <w:r w:rsidRPr="00131FD6">
        <w:t xml:space="preserve">, 8 (30 September 2016) </w:t>
      </w:r>
      <w:r w:rsidRPr="00131FD6">
        <w:rPr>
          <w:i/>
        </w:rPr>
        <w:t xml:space="preserve">available at </w:t>
      </w:r>
      <w:hyperlink r:id="rId16" w:history="1">
        <w:r w:rsidRPr="00131FD6">
          <w:rPr>
            <w:rStyle w:val="Hyperlink"/>
          </w:rPr>
          <w:t>https://tbinternet.ohchr.org/Treaties/CRC/Shared%20Documents/NZL/INT_CRC_COC_NZL_25459_E.pdf</w:t>
        </w:r>
      </w:hyperlink>
      <w:r w:rsidRPr="00131FD6">
        <w:t xml:space="preserve">. </w:t>
      </w:r>
    </w:p>
  </w:endnote>
  <w:endnote w:id="42">
    <w:p w14:paraId="7B37A9D9" w14:textId="4E49E851" w:rsidR="00905A00" w:rsidRPr="00131FD6" w:rsidRDefault="00905A00">
      <w:pPr>
        <w:pStyle w:val="EndnoteText"/>
      </w:pPr>
      <w:r w:rsidRPr="00131FD6">
        <w:rPr>
          <w:rStyle w:val="EndnoteReference"/>
        </w:rPr>
        <w:endnoteRef/>
      </w:r>
      <w:r w:rsidRPr="00131FD6">
        <w:t xml:space="preserve"> United Nations Office of the High Commissioner for Human Rights, </w:t>
      </w:r>
      <w:r w:rsidRPr="00131FD6">
        <w:rPr>
          <w:i/>
        </w:rPr>
        <w:t>Intersex Awareness Day: End violence and harmful medical practices on intersex children and adults, UN and regional experts urge</w:t>
      </w:r>
      <w:r w:rsidRPr="00131FD6">
        <w:t xml:space="preserve"> (26 October 2016), </w:t>
      </w:r>
      <w:r w:rsidRPr="00131FD6">
        <w:rPr>
          <w:i/>
        </w:rPr>
        <w:t>available at</w:t>
      </w:r>
      <w:r w:rsidRPr="00131FD6">
        <w:t xml:space="preserve"> </w:t>
      </w:r>
      <w:hyperlink r:id="rId17" w:history="1">
        <w:r w:rsidRPr="00131FD6">
          <w:rPr>
            <w:rStyle w:val="Hyperlink"/>
          </w:rPr>
          <w:t>https://www.ohchr.org/EN/NewsEvents/Pages/DisplayNews.aspx?NewsID=20739&amp;%3BLangID=E</w:t>
        </w:r>
      </w:hyperlink>
      <w:r w:rsidRPr="00131FD6">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Noto Sans Symbols">
    <w:altName w:val="Cambria"/>
    <w:charset w:val="00"/>
    <w:family w:val="auto"/>
    <w:pitch w:val="default"/>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auto"/>
    <w:pitch w:val="variable"/>
    <w:sig w:usb0="00000287" w:usb1="00000000" w:usb2="00000000" w:usb3="00000000" w:csb0="0000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
    <w:altName w:val="Times New Roman"/>
    <w:panose1 w:val="00000000000000000000"/>
    <w:charset w:val="00"/>
    <w:family w:val="roman"/>
    <w:notTrueType/>
    <w:pitch w:val="default"/>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696619613"/>
      <w:docPartObj>
        <w:docPartGallery w:val="Page Numbers (Bottom of Page)"/>
        <w:docPartUnique/>
      </w:docPartObj>
    </w:sdtPr>
    <w:sdtEndPr>
      <w:rPr>
        <w:rStyle w:val="PageNumber"/>
      </w:rPr>
    </w:sdtEndPr>
    <w:sdtContent>
      <w:p w14:paraId="53DBBCD3" w14:textId="6C0A892E" w:rsidR="00140458" w:rsidRDefault="00140458" w:rsidP="00156E2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8A0975E" w14:textId="77777777" w:rsidR="00140458" w:rsidRDefault="00140458" w:rsidP="0014045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9FD786" w14:textId="27165595" w:rsidR="00140458" w:rsidRDefault="00140458" w:rsidP="00140458">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BF37D2" w14:textId="77777777" w:rsidR="00A41A45" w:rsidRDefault="00A41A45" w:rsidP="00140458">
      <w:r>
        <w:separator/>
      </w:r>
    </w:p>
  </w:footnote>
  <w:footnote w:type="continuationSeparator" w:id="0">
    <w:p w14:paraId="538E50C7" w14:textId="77777777" w:rsidR="00A41A45" w:rsidRDefault="00A41A45" w:rsidP="0014045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673189"/>
    <w:multiLevelType w:val="multilevel"/>
    <w:tmpl w:val="34F4E7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9655F9C"/>
    <w:multiLevelType w:val="hybridMultilevel"/>
    <w:tmpl w:val="FC3C4212"/>
    <w:lvl w:ilvl="0" w:tplc="62280AC8">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715162B"/>
    <w:multiLevelType w:val="multilevel"/>
    <w:tmpl w:val="4198CD4C"/>
    <w:lvl w:ilvl="0">
      <w:start w:val="1"/>
      <w:numFmt w:val="upperRoman"/>
      <w:lvlText w:val="%1."/>
      <w:lvlJc w:val="right"/>
      <w:pPr>
        <w:ind w:left="720" w:hanging="360"/>
      </w:pPr>
      <w:rPr>
        <w:b w:val="0"/>
        <w:vertAlign w:val="baseline"/>
      </w:rPr>
    </w:lvl>
    <w:lvl w:ilvl="1">
      <w:start w:val="1"/>
      <w:numFmt w:val="bullet"/>
      <w:lvlText w:val="▪"/>
      <w:lvlJc w:val="left"/>
      <w:pPr>
        <w:ind w:left="1440" w:hanging="360"/>
      </w:pPr>
      <w:rPr>
        <w:rFonts w:ascii="Noto Sans Symbols" w:eastAsia="Noto Sans Symbols" w:hAnsi="Noto Sans Symbols" w:cs="Noto Sans Symbols"/>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nsid w:val="7BE41FFC"/>
    <w:multiLevelType w:val="multilevel"/>
    <w:tmpl w:val="3454E716"/>
    <w:lvl w:ilvl="0">
      <w:start w:val="1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Times New Roman" w:eastAsia="Calibri" w:hAnsi="Times New Roman" w:cs="Times New Roman"/>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E7A"/>
    <w:rsid w:val="00013300"/>
    <w:rsid w:val="00047732"/>
    <w:rsid w:val="00093142"/>
    <w:rsid w:val="00097B34"/>
    <w:rsid w:val="000A1989"/>
    <w:rsid w:val="00103DDB"/>
    <w:rsid w:val="00110FDB"/>
    <w:rsid w:val="00131FD6"/>
    <w:rsid w:val="00140458"/>
    <w:rsid w:val="00145105"/>
    <w:rsid w:val="001A468D"/>
    <w:rsid w:val="001A65CF"/>
    <w:rsid w:val="001A7AAF"/>
    <w:rsid w:val="00204DA8"/>
    <w:rsid w:val="00225FDE"/>
    <w:rsid w:val="00235D8E"/>
    <w:rsid w:val="002944DD"/>
    <w:rsid w:val="002A080B"/>
    <w:rsid w:val="002A4780"/>
    <w:rsid w:val="00320925"/>
    <w:rsid w:val="00371E72"/>
    <w:rsid w:val="003802DB"/>
    <w:rsid w:val="003E3B84"/>
    <w:rsid w:val="004877F1"/>
    <w:rsid w:val="004E6E19"/>
    <w:rsid w:val="005162B9"/>
    <w:rsid w:val="0053013C"/>
    <w:rsid w:val="00553331"/>
    <w:rsid w:val="00581318"/>
    <w:rsid w:val="005D1210"/>
    <w:rsid w:val="005F63B7"/>
    <w:rsid w:val="0061127E"/>
    <w:rsid w:val="00670821"/>
    <w:rsid w:val="006C063B"/>
    <w:rsid w:val="006C0914"/>
    <w:rsid w:val="006C4971"/>
    <w:rsid w:val="00720786"/>
    <w:rsid w:val="00751B68"/>
    <w:rsid w:val="00764A76"/>
    <w:rsid w:val="00811490"/>
    <w:rsid w:val="00816EA2"/>
    <w:rsid w:val="00817F9D"/>
    <w:rsid w:val="00835585"/>
    <w:rsid w:val="00861ACF"/>
    <w:rsid w:val="00885A38"/>
    <w:rsid w:val="008957ED"/>
    <w:rsid w:val="008A3610"/>
    <w:rsid w:val="008A3E12"/>
    <w:rsid w:val="008B2257"/>
    <w:rsid w:val="00905A00"/>
    <w:rsid w:val="00914A50"/>
    <w:rsid w:val="00953988"/>
    <w:rsid w:val="009B526A"/>
    <w:rsid w:val="00A33C31"/>
    <w:rsid w:val="00A41A45"/>
    <w:rsid w:val="00A45A75"/>
    <w:rsid w:val="00A4692A"/>
    <w:rsid w:val="00A938C5"/>
    <w:rsid w:val="00AA7D7A"/>
    <w:rsid w:val="00AD4645"/>
    <w:rsid w:val="00B44AAA"/>
    <w:rsid w:val="00B7612E"/>
    <w:rsid w:val="00BA3062"/>
    <w:rsid w:val="00BD1BDD"/>
    <w:rsid w:val="00C206DB"/>
    <w:rsid w:val="00C33C3A"/>
    <w:rsid w:val="00C83075"/>
    <w:rsid w:val="00CB5192"/>
    <w:rsid w:val="00CD0390"/>
    <w:rsid w:val="00CE2368"/>
    <w:rsid w:val="00D53EAC"/>
    <w:rsid w:val="00DE79AB"/>
    <w:rsid w:val="00E03AA6"/>
    <w:rsid w:val="00E14A62"/>
    <w:rsid w:val="00F008DD"/>
    <w:rsid w:val="00F122D6"/>
    <w:rsid w:val="00F363CC"/>
    <w:rsid w:val="00F40A16"/>
    <w:rsid w:val="00F4600E"/>
    <w:rsid w:val="00F81177"/>
    <w:rsid w:val="00F90E7A"/>
    <w:rsid w:val="00F97C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2D5A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Footer">
    <w:name w:val="footer"/>
    <w:basedOn w:val="Normal"/>
    <w:link w:val="FooterChar"/>
    <w:uiPriority w:val="99"/>
    <w:unhideWhenUsed/>
    <w:rsid w:val="00140458"/>
    <w:pPr>
      <w:tabs>
        <w:tab w:val="center" w:pos="4680"/>
        <w:tab w:val="right" w:pos="9360"/>
      </w:tabs>
    </w:pPr>
  </w:style>
  <w:style w:type="character" w:customStyle="1" w:styleId="FooterChar">
    <w:name w:val="Footer Char"/>
    <w:basedOn w:val="DefaultParagraphFont"/>
    <w:link w:val="Footer"/>
    <w:uiPriority w:val="99"/>
    <w:rsid w:val="00140458"/>
  </w:style>
  <w:style w:type="character" w:styleId="PageNumber">
    <w:name w:val="page number"/>
    <w:basedOn w:val="DefaultParagraphFont"/>
    <w:uiPriority w:val="99"/>
    <w:semiHidden/>
    <w:unhideWhenUsed/>
    <w:rsid w:val="00140458"/>
  </w:style>
  <w:style w:type="paragraph" w:styleId="Header">
    <w:name w:val="header"/>
    <w:basedOn w:val="Normal"/>
    <w:link w:val="HeaderChar"/>
    <w:uiPriority w:val="99"/>
    <w:unhideWhenUsed/>
    <w:rsid w:val="00140458"/>
    <w:pPr>
      <w:tabs>
        <w:tab w:val="center" w:pos="4680"/>
        <w:tab w:val="right" w:pos="9360"/>
      </w:tabs>
    </w:pPr>
  </w:style>
  <w:style w:type="character" w:customStyle="1" w:styleId="HeaderChar">
    <w:name w:val="Header Char"/>
    <w:basedOn w:val="DefaultParagraphFont"/>
    <w:link w:val="Header"/>
    <w:uiPriority w:val="99"/>
    <w:rsid w:val="00140458"/>
  </w:style>
  <w:style w:type="character" w:styleId="Hyperlink">
    <w:name w:val="Hyperlink"/>
    <w:basedOn w:val="DefaultParagraphFont"/>
    <w:uiPriority w:val="99"/>
    <w:unhideWhenUsed/>
    <w:rsid w:val="00140458"/>
    <w:rPr>
      <w:color w:val="0000FF" w:themeColor="hyperlink"/>
      <w:u w:val="single"/>
    </w:rPr>
  </w:style>
  <w:style w:type="character" w:customStyle="1" w:styleId="UnresolvedMention1">
    <w:name w:val="Unresolved Mention1"/>
    <w:basedOn w:val="DefaultParagraphFont"/>
    <w:uiPriority w:val="99"/>
    <w:semiHidden/>
    <w:unhideWhenUsed/>
    <w:rsid w:val="00140458"/>
    <w:rPr>
      <w:color w:val="605E5C"/>
      <w:shd w:val="clear" w:color="auto" w:fill="E1DFDD"/>
    </w:rPr>
  </w:style>
  <w:style w:type="paragraph" w:styleId="ListParagraph">
    <w:name w:val="List Paragraph"/>
    <w:basedOn w:val="Normal"/>
    <w:uiPriority w:val="34"/>
    <w:qFormat/>
    <w:rsid w:val="008A3E12"/>
    <w:pPr>
      <w:ind w:left="720"/>
      <w:contextualSpacing/>
    </w:pPr>
  </w:style>
  <w:style w:type="paragraph" w:styleId="EndnoteText">
    <w:name w:val="endnote text"/>
    <w:basedOn w:val="Normal"/>
    <w:link w:val="EndnoteTextChar"/>
    <w:uiPriority w:val="99"/>
    <w:unhideWhenUsed/>
    <w:rsid w:val="008A3E12"/>
    <w:rPr>
      <w:sz w:val="20"/>
      <w:szCs w:val="20"/>
    </w:rPr>
  </w:style>
  <w:style w:type="character" w:customStyle="1" w:styleId="EndnoteTextChar">
    <w:name w:val="Endnote Text Char"/>
    <w:basedOn w:val="DefaultParagraphFont"/>
    <w:link w:val="EndnoteText"/>
    <w:uiPriority w:val="99"/>
    <w:rsid w:val="008A3E12"/>
    <w:rPr>
      <w:sz w:val="20"/>
      <w:szCs w:val="20"/>
    </w:rPr>
  </w:style>
  <w:style w:type="character" w:styleId="EndnoteReference">
    <w:name w:val="endnote reference"/>
    <w:basedOn w:val="DefaultParagraphFont"/>
    <w:uiPriority w:val="99"/>
    <w:unhideWhenUsed/>
    <w:rsid w:val="008A3E12"/>
    <w:rPr>
      <w:vertAlign w:val="superscript"/>
    </w:rPr>
  </w:style>
  <w:style w:type="character" w:styleId="CommentReference">
    <w:name w:val="annotation reference"/>
    <w:basedOn w:val="DefaultParagraphFont"/>
    <w:uiPriority w:val="99"/>
    <w:semiHidden/>
    <w:unhideWhenUsed/>
    <w:rsid w:val="00093142"/>
    <w:rPr>
      <w:sz w:val="16"/>
      <w:szCs w:val="16"/>
    </w:rPr>
  </w:style>
  <w:style w:type="paragraph" w:styleId="CommentText">
    <w:name w:val="annotation text"/>
    <w:basedOn w:val="Normal"/>
    <w:link w:val="CommentTextChar"/>
    <w:uiPriority w:val="99"/>
    <w:semiHidden/>
    <w:unhideWhenUsed/>
    <w:rsid w:val="00093142"/>
    <w:rPr>
      <w:sz w:val="20"/>
      <w:szCs w:val="20"/>
    </w:rPr>
  </w:style>
  <w:style w:type="character" w:customStyle="1" w:styleId="CommentTextChar">
    <w:name w:val="Comment Text Char"/>
    <w:basedOn w:val="DefaultParagraphFont"/>
    <w:link w:val="CommentText"/>
    <w:uiPriority w:val="99"/>
    <w:semiHidden/>
    <w:rsid w:val="00093142"/>
    <w:rPr>
      <w:sz w:val="20"/>
      <w:szCs w:val="20"/>
    </w:rPr>
  </w:style>
  <w:style w:type="paragraph" w:styleId="CommentSubject">
    <w:name w:val="annotation subject"/>
    <w:basedOn w:val="CommentText"/>
    <w:next w:val="CommentText"/>
    <w:link w:val="CommentSubjectChar"/>
    <w:uiPriority w:val="99"/>
    <w:semiHidden/>
    <w:unhideWhenUsed/>
    <w:rsid w:val="00093142"/>
    <w:rPr>
      <w:b/>
      <w:bCs/>
    </w:rPr>
  </w:style>
  <w:style w:type="character" w:customStyle="1" w:styleId="CommentSubjectChar">
    <w:name w:val="Comment Subject Char"/>
    <w:basedOn w:val="CommentTextChar"/>
    <w:link w:val="CommentSubject"/>
    <w:uiPriority w:val="99"/>
    <w:semiHidden/>
    <w:rsid w:val="00093142"/>
    <w:rPr>
      <w:b/>
      <w:bCs/>
      <w:sz w:val="20"/>
      <w:szCs w:val="20"/>
    </w:rPr>
  </w:style>
  <w:style w:type="paragraph" w:styleId="BalloonText">
    <w:name w:val="Balloon Text"/>
    <w:basedOn w:val="Normal"/>
    <w:link w:val="BalloonTextChar"/>
    <w:uiPriority w:val="99"/>
    <w:semiHidden/>
    <w:unhideWhenUsed/>
    <w:rsid w:val="00093142"/>
    <w:rPr>
      <w:sz w:val="18"/>
      <w:szCs w:val="18"/>
    </w:rPr>
  </w:style>
  <w:style w:type="character" w:customStyle="1" w:styleId="BalloonTextChar">
    <w:name w:val="Balloon Text Char"/>
    <w:basedOn w:val="DefaultParagraphFont"/>
    <w:link w:val="BalloonText"/>
    <w:uiPriority w:val="99"/>
    <w:semiHidden/>
    <w:rsid w:val="00093142"/>
    <w:rPr>
      <w:sz w:val="18"/>
      <w:szCs w:val="18"/>
    </w:rPr>
  </w:style>
  <w:style w:type="paragraph" w:styleId="NormalWeb">
    <w:name w:val="Normal (Web)"/>
    <w:basedOn w:val="Normal"/>
    <w:uiPriority w:val="99"/>
    <w:unhideWhenUsed/>
    <w:rsid w:val="00C206DB"/>
    <w:pPr>
      <w:spacing w:before="100" w:beforeAutospacing="1" w:after="100" w:afterAutospacing="1"/>
    </w:pPr>
  </w:style>
  <w:style w:type="paragraph" w:styleId="Revision">
    <w:name w:val="Revision"/>
    <w:hidden/>
    <w:uiPriority w:val="99"/>
    <w:semiHidden/>
    <w:rsid w:val="003802DB"/>
  </w:style>
  <w:style w:type="character" w:customStyle="1" w:styleId="UnresolvedMention">
    <w:name w:val="Unresolved Mention"/>
    <w:basedOn w:val="DefaultParagraphFont"/>
    <w:uiPriority w:val="99"/>
    <w:semiHidden/>
    <w:unhideWhenUsed/>
    <w:rsid w:val="006C4971"/>
    <w:rPr>
      <w:color w:val="605E5C"/>
      <w:shd w:val="clear" w:color="auto" w:fill="E1DFDD"/>
    </w:rPr>
  </w:style>
  <w:style w:type="paragraph" w:styleId="FootnoteText">
    <w:name w:val="footnote text"/>
    <w:basedOn w:val="Normal"/>
    <w:link w:val="FootnoteTextChar"/>
    <w:uiPriority w:val="99"/>
    <w:semiHidden/>
    <w:unhideWhenUsed/>
    <w:rsid w:val="008A3610"/>
    <w:rPr>
      <w:sz w:val="20"/>
      <w:szCs w:val="20"/>
    </w:rPr>
  </w:style>
  <w:style w:type="character" w:customStyle="1" w:styleId="FootnoteTextChar">
    <w:name w:val="Footnote Text Char"/>
    <w:basedOn w:val="DefaultParagraphFont"/>
    <w:link w:val="FootnoteText"/>
    <w:uiPriority w:val="99"/>
    <w:semiHidden/>
    <w:rsid w:val="008A3610"/>
    <w:rPr>
      <w:sz w:val="20"/>
      <w:szCs w:val="20"/>
    </w:rPr>
  </w:style>
  <w:style w:type="character" w:styleId="FootnoteReference">
    <w:name w:val="footnote reference"/>
    <w:basedOn w:val="DefaultParagraphFont"/>
    <w:uiPriority w:val="99"/>
    <w:semiHidden/>
    <w:unhideWhenUsed/>
    <w:rsid w:val="008A3610"/>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Footer">
    <w:name w:val="footer"/>
    <w:basedOn w:val="Normal"/>
    <w:link w:val="FooterChar"/>
    <w:uiPriority w:val="99"/>
    <w:unhideWhenUsed/>
    <w:rsid w:val="00140458"/>
    <w:pPr>
      <w:tabs>
        <w:tab w:val="center" w:pos="4680"/>
        <w:tab w:val="right" w:pos="9360"/>
      </w:tabs>
    </w:pPr>
  </w:style>
  <w:style w:type="character" w:customStyle="1" w:styleId="FooterChar">
    <w:name w:val="Footer Char"/>
    <w:basedOn w:val="DefaultParagraphFont"/>
    <w:link w:val="Footer"/>
    <w:uiPriority w:val="99"/>
    <w:rsid w:val="00140458"/>
  </w:style>
  <w:style w:type="character" w:styleId="PageNumber">
    <w:name w:val="page number"/>
    <w:basedOn w:val="DefaultParagraphFont"/>
    <w:uiPriority w:val="99"/>
    <w:semiHidden/>
    <w:unhideWhenUsed/>
    <w:rsid w:val="00140458"/>
  </w:style>
  <w:style w:type="paragraph" w:styleId="Header">
    <w:name w:val="header"/>
    <w:basedOn w:val="Normal"/>
    <w:link w:val="HeaderChar"/>
    <w:uiPriority w:val="99"/>
    <w:unhideWhenUsed/>
    <w:rsid w:val="00140458"/>
    <w:pPr>
      <w:tabs>
        <w:tab w:val="center" w:pos="4680"/>
        <w:tab w:val="right" w:pos="9360"/>
      </w:tabs>
    </w:pPr>
  </w:style>
  <w:style w:type="character" w:customStyle="1" w:styleId="HeaderChar">
    <w:name w:val="Header Char"/>
    <w:basedOn w:val="DefaultParagraphFont"/>
    <w:link w:val="Header"/>
    <w:uiPriority w:val="99"/>
    <w:rsid w:val="00140458"/>
  </w:style>
  <w:style w:type="character" w:styleId="Hyperlink">
    <w:name w:val="Hyperlink"/>
    <w:basedOn w:val="DefaultParagraphFont"/>
    <w:uiPriority w:val="99"/>
    <w:unhideWhenUsed/>
    <w:rsid w:val="00140458"/>
    <w:rPr>
      <w:color w:val="0000FF" w:themeColor="hyperlink"/>
      <w:u w:val="single"/>
    </w:rPr>
  </w:style>
  <w:style w:type="character" w:customStyle="1" w:styleId="UnresolvedMention1">
    <w:name w:val="Unresolved Mention1"/>
    <w:basedOn w:val="DefaultParagraphFont"/>
    <w:uiPriority w:val="99"/>
    <w:semiHidden/>
    <w:unhideWhenUsed/>
    <w:rsid w:val="00140458"/>
    <w:rPr>
      <w:color w:val="605E5C"/>
      <w:shd w:val="clear" w:color="auto" w:fill="E1DFDD"/>
    </w:rPr>
  </w:style>
  <w:style w:type="paragraph" w:styleId="ListParagraph">
    <w:name w:val="List Paragraph"/>
    <w:basedOn w:val="Normal"/>
    <w:uiPriority w:val="34"/>
    <w:qFormat/>
    <w:rsid w:val="008A3E12"/>
    <w:pPr>
      <w:ind w:left="720"/>
      <w:contextualSpacing/>
    </w:pPr>
  </w:style>
  <w:style w:type="paragraph" w:styleId="EndnoteText">
    <w:name w:val="endnote text"/>
    <w:basedOn w:val="Normal"/>
    <w:link w:val="EndnoteTextChar"/>
    <w:uiPriority w:val="99"/>
    <w:unhideWhenUsed/>
    <w:rsid w:val="008A3E12"/>
    <w:rPr>
      <w:sz w:val="20"/>
      <w:szCs w:val="20"/>
    </w:rPr>
  </w:style>
  <w:style w:type="character" w:customStyle="1" w:styleId="EndnoteTextChar">
    <w:name w:val="Endnote Text Char"/>
    <w:basedOn w:val="DefaultParagraphFont"/>
    <w:link w:val="EndnoteText"/>
    <w:uiPriority w:val="99"/>
    <w:rsid w:val="008A3E12"/>
    <w:rPr>
      <w:sz w:val="20"/>
      <w:szCs w:val="20"/>
    </w:rPr>
  </w:style>
  <w:style w:type="character" w:styleId="EndnoteReference">
    <w:name w:val="endnote reference"/>
    <w:basedOn w:val="DefaultParagraphFont"/>
    <w:uiPriority w:val="99"/>
    <w:unhideWhenUsed/>
    <w:rsid w:val="008A3E12"/>
    <w:rPr>
      <w:vertAlign w:val="superscript"/>
    </w:rPr>
  </w:style>
  <w:style w:type="character" w:styleId="CommentReference">
    <w:name w:val="annotation reference"/>
    <w:basedOn w:val="DefaultParagraphFont"/>
    <w:uiPriority w:val="99"/>
    <w:semiHidden/>
    <w:unhideWhenUsed/>
    <w:rsid w:val="00093142"/>
    <w:rPr>
      <w:sz w:val="16"/>
      <w:szCs w:val="16"/>
    </w:rPr>
  </w:style>
  <w:style w:type="paragraph" w:styleId="CommentText">
    <w:name w:val="annotation text"/>
    <w:basedOn w:val="Normal"/>
    <w:link w:val="CommentTextChar"/>
    <w:uiPriority w:val="99"/>
    <w:semiHidden/>
    <w:unhideWhenUsed/>
    <w:rsid w:val="00093142"/>
    <w:rPr>
      <w:sz w:val="20"/>
      <w:szCs w:val="20"/>
    </w:rPr>
  </w:style>
  <w:style w:type="character" w:customStyle="1" w:styleId="CommentTextChar">
    <w:name w:val="Comment Text Char"/>
    <w:basedOn w:val="DefaultParagraphFont"/>
    <w:link w:val="CommentText"/>
    <w:uiPriority w:val="99"/>
    <w:semiHidden/>
    <w:rsid w:val="00093142"/>
    <w:rPr>
      <w:sz w:val="20"/>
      <w:szCs w:val="20"/>
    </w:rPr>
  </w:style>
  <w:style w:type="paragraph" w:styleId="CommentSubject">
    <w:name w:val="annotation subject"/>
    <w:basedOn w:val="CommentText"/>
    <w:next w:val="CommentText"/>
    <w:link w:val="CommentSubjectChar"/>
    <w:uiPriority w:val="99"/>
    <w:semiHidden/>
    <w:unhideWhenUsed/>
    <w:rsid w:val="00093142"/>
    <w:rPr>
      <w:b/>
      <w:bCs/>
    </w:rPr>
  </w:style>
  <w:style w:type="character" w:customStyle="1" w:styleId="CommentSubjectChar">
    <w:name w:val="Comment Subject Char"/>
    <w:basedOn w:val="CommentTextChar"/>
    <w:link w:val="CommentSubject"/>
    <w:uiPriority w:val="99"/>
    <w:semiHidden/>
    <w:rsid w:val="00093142"/>
    <w:rPr>
      <w:b/>
      <w:bCs/>
      <w:sz w:val="20"/>
      <w:szCs w:val="20"/>
    </w:rPr>
  </w:style>
  <w:style w:type="paragraph" w:styleId="BalloonText">
    <w:name w:val="Balloon Text"/>
    <w:basedOn w:val="Normal"/>
    <w:link w:val="BalloonTextChar"/>
    <w:uiPriority w:val="99"/>
    <w:semiHidden/>
    <w:unhideWhenUsed/>
    <w:rsid w:val="00093142"/>
    <w:rPr>
      <w:sz w:val="18"/>
      <w:szCs w:val="18"/>
    </w:rPr>
  </w:style>
  <w:style w:type="character" w:customStyle="1" w:styleId="BalloonTextChar">
    <w:name w:val="Balloon Text Char"/>
    <w:basedOn w:val="DefaultParagraphFont"/>
    <w:link w:val="BalloonText"/>
    <w:uiPriority w:val="99"/>
    <w:semiHidden/>
    <w:rsid w:val="00093142"/>
    <w:rPr>
      <w:sz w:val="18"/>
      <w:szCs w:val="18"/>
    </w:rPr>
  </w:style>
  <w:style w:type="paragraph" w:styleId="NormalWeb">
    <w:name w:val="Normal (Web)"/>
    <w:basedOn w:val="Normal"/>
    <w:uiPriority w:val="99"/>
    <w:unhideWhenUsed/>
    <w:rsid w:val="00C206DB"/>
    <w:pPr>
      <w:spacing w:before="100" w:beforeAutospacing="1" w:after="100" w:afterAutospacing="1"/>
    </w:pPr>
  </w:style>
  <w:style w:type="paragraph" w:styleId="Revision">
    <w:name w:val="Revision"/>
    <w:hidden/>
    <w:uiPriority w:val="99"/>
    <w:semiHidden/>
    <w:rsid w:val="003802DB"/>
  </w:style>
  <w:style w:type="character" w:customStyle="1" w:styleId="UnresolvedMention">
    <w:name w:val="Unresolved Mention"/>
    <w:basedOn w:val="DefaultParagraphFont"/>
    <w:uiPriority w:val="99"/>
    <w:semiHidden/>
    <w:unhideWhenUsed/>
    <w:rsid w:val="006C4971"/>
    <w:rPr>
      <w:color w:val="605E5C"/>
      <w:shd w:val="clear" w:color="auto" w:fill="E1DFDD"/>
    </w:rPr>
  </w:style>
  <w:style w:type="paragraph" w:styleId="FootnoteText">
    <w:name w:val="footnote text"/>
    <w:basedOn w:val="Normal"/>
    <w:link w:val="FootnoteTextChar"/>
    <w:uiPriority w:val="99"/>
    <w:semiHidden/>
    <w:unhideWhenUsed/>
    <w:rsid w:val="008A3610"/>
    <w:rPr>
      <w:sz w:val="20"/>
      <w:szCs w:val="20"/>
    </w:rPr>
  </w:style>
  <w:style w:type="character" w:customStyle="1" w:styleId="FootnoteTextChar">
    <w:name w:val="Footnote Text Char"/>
    <w:basedOn w:val="DefaultParagraphFont"/>
    <w:link w:val="FootnoteText"/>
    <w:uiPriority w:val="99"/>
    <w:semiHidden/>
    <w:rsid w:val="008A3610"/>
    <w:rPr>
      <w:sz w:val="20"/>
      <w:szCs w:val="20"/>
    </w:rPr>
  </w:style>
  <w:style w:type="character" w:styleId="FootnoteReference">
    <w:name w:val="footnote reference"/>
    <w:basedOn w:val="DefaultParagraphFont"/>
    <w:uiPriority w:val="99"/>
    <w:semiHidden/>
    <w:unhideWhenUsed/>
    <w:rsid w:val="008A361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71302">
      <w:bodyDiv w:val="1"/>
      <w:marLeft w:val="0"/>
      <w:marRight w:val="0"/>
      <w:marTop w:val="0"/>
      <w:marBottom w:val="0"/>
      <w:divBdr>
        <w:top w:val="none" w:sz="0" w:space="0" w:color="auto"/>
        <w:left w:val="none" w:sz="0" w:space="0" w:color="auto"/>
        <w:bottom w:val="none" w:sz="0" w:space="0" w:color="auto"/>
        <w:right w:val="none" w:sz="0" w:space="0" w:color="auto"/>
      </w:divBdr>
      <w:divsChild>
        <w:div w:id="1629513145">
          <w:marLeft w:val="0"/>
          <w:marRight w:val="0"/>
          <w:marTop w:val="0"/>
          <w:marBottom w:val="0"/>
          <w:divBdr>
            <w:top w:val="none" w:sz="0" w:space="0" w:color="auto"/>
            <w:left w:val="none" w:sz="0" w:space="0" w:color="auto"/>
            <w:bottom w:val="none" w:sz="0" w:space="0" w:color="auto"/>
            <w:right w:val="none" w:sz="0" w:space="0" w:color="auto"/>
          </w:divBdr>
          <w:divsChild>
            <w:div w:id="1069496009">
              <w:marLeft w:val="0"/>
              <w:marRight w:val="0"/>
              <w:marTop w:val="0"/>
              <w:marBottom w:val="0"/>
              <w:divBdr>
                <w:top w:val="none" w:sz="0" w:space="0" w:color="auto"/>
                <w:left w:val="none" w:sz="0" w:space="0" w:color="auto"/>
                <w:bottom w:val="none" w:sz="0" w:space="0" w:color="auto"/>
                <w:right w:val="none" w:sz="0" w:space="0" w:color="auto"/>
              </w:divBdr>
              <w:divsChild>
                <w:div w:id="115961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041176">
      <w:bodyDiv w:val="1"/>
      <w:marLeft w:val="0"/>
      <w:marRight w:val="0"/>
      <w:marTop w:val="0"/>
      <w:marBottom w:val="0"/>
      <w:divBdr>
        <w:top w:val="none" w:sz="0" w:space="0" w:color="auto"/>
        <w:left w:val="none" w:sz="0" w:space="0" w:color="auto"/>
        <w:bottom w:val="none" w:sz="0" w:space="0" w:color="auto"/>
        <w:right w:val="none" w:sz="0" w:space="0" w:color="auto"/>
      </w:divBdr>
      <w:divsChild>
        <w:div w:id="1690180600">
          <w:marLeft w:val="0"/>
          <w:marRight w:val="0"/>
          <w:marTop w:val="0"/>
          <w:marBottom w:val="0"/>
          <w:divBdr>
            <w:top w:val="none" w:sz="0" w:space="0" w:color="auto"/>
            <w:left w:val="none" w:sz="0" w:space="0" w:color="auto"/>
            <w:bottom w:val="none" w:sz="0" w:space="0" w:color="auto"/>
            <w:right w:val="none" w:sz="0" w:space="0" w:color="auto"/>
          </w:divBdr>
          <w:divsChild>
            <w:div w:id="1486553427">
              <w:marLeft w:val="0"/>
              <w:marRight w:val="0"/>
              <w:marTop w:val="0"/>
              <w:marBottom w:val="0"/>
              <w:divBdr>
                <w:top w:val="none" w:sz="0" w:space="0" w:color="auto"/>
                <w:left w:val="none" w:sz="0" w:space="0" w:color="auto"/>
                <w:bottom w:val="none" w:sz="0" w:space="0" w:color="auto"/>
                <w:right w:val="none" w:sz="0" w:space="0" w:color="auto"/>
              </w:divBdr>
              <w:divsChild>
                <w:div w:id="108691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359403">
      <w:bodyDiv w:val="1"/>
      <w:marLeft w:val="0"/>
      <w:marRight w:val="0"/>
      <w:marTop w:val="0"/>
      <w:marBottom w:val="0"/>
      <w:divBdr>
        <w:top w:val="none" w:sz="0" w:space="0" w:color="auto"/>
        <w:left w:val="none" w:sz="0" w:space="0" w:color="auto"/>
        <w:bottom w:val="none" w:sz="0" w:space="0" w:color="auto"/>
        <w:right w:val="none" w:sz="0" w:space="0" w:color="auto"/>
      </w:divBdr>
      <w:divsChild>
        <w:div w:id="1989478696">
          <w:marLeft w:val="0"/>
          <w:marRight w:val="0"/>
          <w:marTop w:val="0"/>
          <w:marBottom w:val="0"/>
          <w:divBdr>
            <w:top w:val="none" w:sz="0" w:space="0" w:color="auto"/>
            <w:left w:val="none" w:sz="0" w:space="0" w:color="auto"/>
            <w:bottom w:val="none" w:sz="0" w:space="0" w:color="auto"/>
            <w:right w:val="none" w:sz="0" w:space="0" w:color="auto"/>
          </w:divBdr>
          <w:divsChild>
            <w:div w:id="751270296">
              <w:marLeft w:val="0"/>
              <w:marRight w:val="0"/>
              <w:marTop w:val="0"/>
              <w:marBottom w:val="0"/>
              <w:divBdr>
                <w:top w:val="none" w:sz="0" w:space="0" w:color="auto"/>
                <w:left w:val="none" w:sz="0" w:space="0" w:color="auto"/>
                <w:bottom w:val="none" w:sz="0" w:space="0" w:color="auto"/>
                <w:right w:val="none" w:sz="0" w:space="0" w:color="auto"/>
              </w:divBdr>
              <w:divsChild>
                <w:div w:id="84216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949953">
      <w:bodyDiv w:val="1"/>
      <w:marLeft w:val="0"/>
      <w:marRight w:val="0"/>
      <w:marTop w:val="0"/>
      <w:marBottom w:val="0"/>
      <w:divBdr>
        <w:top w:val="none" w:sz="0" w:space="0" w:color="auto"/>
        <w:left w:val="none" w:sz="0" w:space="0" w:color="auto"/>
        <w:bottom w:val="none" w:sz="0" w:space="0" w:color="auto"/>
        <w:right w:val="none" w:sz="0" w:space="0" w:color="auto"/>
      </w:divBdr>
      <w:divsChild>
        <w:div w:id="1663774906">
          <w:marLeft w:val="0"/>
          <w:marRight w:val="0"/>
          <w:marTop w:val="0"/>
          <w:marBottom w:val="0"/>
          <w:divBdr>
            <w:top w:val="none" w:sz="0" w:space="0" w:color="auto"/>
            <w:left w:val="none" w:sz="0" w:space="0" w:color="auto"/>
            <w:bottom w:val="none" w:sz="0" w:space="0" w:color="auto"/>
            <w:right w:val="none" w:sz="0" w:space="0" w:color="auto"/>
          </w:divBdr>
          <w:divsChild>
            <w:div w:id="120922801">
              <w:marLeft w:val="0"/>
              <w:marRight w:val="0"/>
              <w:marTop w:val="0"/>
              <w:marBottom w:val="0"/>
              <w:divBdr>
                <w:top w:val="none" w:sz="0" w:space="0" w:color="auto"/>
                <w:left w:val="none" w:sz="0" w:space="0" w:color="auto"/>
                <w:bottom w:val="none" w:sz="0" w:space="0" w:color="auto"/>
                <w:right w:val="none" w:sz="0" w:space="0" w:color="auto"/>
              </w:divBdr>
              <w:divsChild>
                <w:div w:id="46119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235182">
      <w:bodyDiv w:val="1"/>
      <w:marLeft w:val="0"/>
      <w:marRight w:val="0"/>
      <w:marTop w:val="0"/>
      <w:marBottom w:val="0"/>
      <w:divBdr>
        <w:top w:val="none" w:sz="0" w:space="0" w:color="auto"/>
        <w:left w:val="none" w:sz="0" w:space="0" w:color="auto"/>
        <w:bottom w:val="none" w:sz="0" w:space="0" w:color="auto"/>
        <w:right w:val="none" w:sz="0" w:space="0" w:color="auto"/>
      </w:divBdr>
      <w:divsChild>
        <w:div w:id="1712727122">
          <w:marLeft w:val="0"/>
          <w:marRight w:val="0"/>
          <w:marTop w:val="0"/>
          <w:marBottom w:val="0"/>
          <w:divBdr>
            <w:top w:val="none" w:sz="0" w:space="0" w:color="auto"/>
            <w:left w:val="none" w:sz="0" w:space="0" w:color="auto"/>
            <w:bottom w:val="none" w:sz="0" w:space="0" w:color="auto"/>
            <w:right w:val="none" w:sz="0" w:space="0" w:color="auto"/>
          </w:divBdr>
          <w:divsChild>
            <w:div w:id="2068258407">
              <w:marLeft w:val="0"/>
              <w:marRight w:val="0"/>
              <w:marTop w:val="0"/>
              <w:marBottom w:val="0"/>
              <w:divBdr>
                <w:top w:val="none" w:sz="0" w:space="0" w:color="auto"/>
                <w:left w:val="none" w:sz="0" w:space="0" w:color="auto"/>
                <w:bottom w:val="none" w:sz="0" w:space="0" w:color="auto"/>
                <w:right w:val="none" w:sz="0" w:space="0" w:color="auto"/>
              </w:divBdr>
              <w:divsChild>
                <w:div w:id="208394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doNotSaveAsSingleFile/>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12"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3.xml"/></Relationships>
</file>

<file path=word/_rels/endnotes.xml.rels><?xml version="1.0" encoding="UTF-8" standalone="yes"?>
<Relationships xmlns="http://schemas.openxmlformats.org/package/2006/relationships"><Relationship Id="rId11" Type="http://schemas.openxmlformats.org/officeDocument/2006/relationships/hyperlink" Target="https://www.theguardian.com/society/2018/nov/22/us-is-moving-backwards-female-genital-mutilation-ruling-a-blow-to-girls-at-risk" TargetMode="External"/><Relationship Id="rId12" Type="http://schemas.openxmlformats.org/officeDocument/2006/relationships/hyperlink" Target="http://docstore.ohchr.org/SelfServices/FilesHandler.ashx?enc=6QkG1d%2fPPRiCAqhKb7yhsrdB0H1l5979OVGGB%2bWPAXjdnG1mwFFfPYGIlNfb%2f6T%2fqwtc77%2fKU9JkoeDcTWWPIpCoePGBcMsRmFtoMu58pgnmzjyiyRGkPQekcPKtaaTG" TargetMode="External"/><Relationship Id="rId13" Type="http://schemas.openxmlformats.org/officeDocument/2006/relationships/hyperlink" Target="https://tbinternet.ohchr.org/Treaties/CCPR/Shared%20Documents/1_Global/CCPR_C_GC_36_8785_E.pdf" TargetMode="External"/><Relationship Id="rId14" Type="http://schemas.openxmlformats.org/officeDocument/2006/relationships/hyperlink" Target="http://www.ohchr.org/Documents/HRBodies/HRCouncil/RegularSession/Session22/A.HRC.22.53_English.pdf" TargetMode="External"/><Relationship Id="rId15" Type="http://schemas.openxmlformats.org/officeDocument/2006/relationships/hyperlink" Target="https://tbinternet.ohchr.org/_layouts/treatybodyexternal/Download.aspx?symbolno=CRC/C/GC/20&amp;Lang=en" TargetMode="External"/><Relationship Id="rId16" Type="http://schemas.openxmlformats.org/officeDocument/2006/relationships/hyperlink" Target="https://tbinternet.ohchr.org/Treaties/CRC/Shared%20Documents/NZL/INT_CRC_COC_NZL_25459_E.pdf" TargetMode="External"/><Relationship Id="rId17" Type="http://schemas.openxmlformats.org/officeDocument/2006/relationships/hyperlink" Target="https://www.ohchr.org/EN/NewsEvents/Pages/DisplayNews.aspx?NewsID=20739&amp;%3BLangID=E" TargetMode="External"/><Relationship Id="rId1" Type="http://schemas.openxmlformats.org/officeDocument/2006/relationships/hyperlink" Target="https://tbinternet.ohchr.org/_layouts/treatybodyexternal/Download.aspx?symbolno=CCPR%2fC%2fCHE%2fCO%2f4&amp;Lang=en" TargetMode="External"/><Relationship Id="rId2" Type="http://schemas.openxmlformats.org/officeDocument/2006/relationships/hyperlink" Target="http://dx.doi.org/10.1108/IJHRH-05-2015-0014" TargetMode="External"/><Relationship Id="rId3" Type="http://schemas.openxmlformats.org/officeDocument/2006/relationships/hyperlink" Target="http://apps.who.int/iris/bitstream/10665/112848/1/9789241507325_eng.pdf?ua=1" TargetMode="External"/><Relationship Id="rId4" Type="http://schemas.openxmlformats.org/officeDocument/2006/relationships/hyperlink" Target="http://www.karger.com/Article/FullText/442975" TargetMode="External"/><Relationship Id="rId5" Type="http://schemas.openxmlformats.org/officeDocument/2006/relationships/hyperlink" Target="file:///Users/alissaweinberger/Downloads/1-s2.0-S1477513118302225-main.pdf" TargetMode="External"/><Relationship Id="rId6" Type="http://schemas.openxmlformats.org/officeDocument/2006/relationships/hyperlink" Target="https://www.hrw.org/sites/default/files/report_pdf/lgbtintersex0717_web_0.pdf" TargetMode="External"/><Relationship Id="rId7" Type="http://schemas.openxmlformats.org/officeDocument/2006/relationships/hyperlink" Target="http://www.jpurol.com/article/S1477-5131(16)30012-2/abstract" TargetMode="External"/><Relationship Id="rId8" Type="http://schemas.openxmlformats.org/officeDocument/2006/relationships/hyperlink" Target="file:///Users/alissaweinberger/Downloads/1-s2.0-S1477513118302225-main.pdf" TargetMode="External"/><Relationship Id="rId9" Type="http://schemas.openxmlformats.org/officeDocument/2006/relationships/hyperlink" Target="http://spuonline.org/abstracts/2016/16.cgi" TargetMode="External"/><Relationship Id="rId10" Type="http://schemas.openxmlformats.org/officeDocument/2006/relationships/hyperlink" Target="https://leginfo.legislature.ca.gov/faces/billTextClient.xhtml?bill_id=201720180SCR1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095AF07E9D52746B60E2F270CE938D2" ma:contentTypeVersion="0" ma:contentTypeDescription="Create a new document." ma:contentTypeScope="" ma:versionID="071de37fd9dcf30865a9de005d783a3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03EC7D8-F53D-0F43-94D7-C49273E411DF}"/>
</file>

<file path=customXml/itemProps2.xml><?xml version="1.0" encoding="utf-8"?>
<ds:datastoreItem xmlns:ds="http://schemas.openxmlformats.org/officeDocument/2006/customXml" ds:itemID="{83A3837E-576C-45AB-A067-E0B1554DFEC1}"/>
</file>

<file path=customXml/itemProps3.xml><?xml version="1.0" encoding="utf-8"?>
<ds:datastoreItem xmlns:ds="http://schemas.openxmlformats.org/officeDocument/2006/customXml" ds:itemID="{F254E28C-B225-48E6-B2FC-1C114464E9BD}"/>
</file>

<file path=docProps/app.xml><?xml version="1.0" encoding="utf-8"?>
<Properties xmlns="http://schemas.openxmlformats.org/officeDocument/2006/extended-properties" xmlns:vt="http://schemas.openxmlformats.org/officeDocument/2006/docPropsVTypes">
  <Template>Normal.dotm</Template>
  <TotalTime>1</TotalTime>
  <Pages>8</Pages>
  <Words>2512</Words>
  <Characters>14319</Characters>
  <Application>Microsoft Macintosh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Davis, Martha</dc:creator>
  <cp:lastModifiedBy>Sylvan Fraser</cp:lastModifiedBy>
  <cp:revision>2</cp:revision>
  <dcterms:created xsi:type="dcterms:W3CDTF">2019-01-14T16:51:00Z</dcterms:created>
  <dcterms:modified xsi:type="dcterms:W3CDTF">2019-01-14T16:51:00Z</dcterms:modified>
</cp:coreProperties>
</file>