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00" w:rsidRDefault="00CC1900" w:rsidP="00CC1900">
      <w:pPr>
        <w:pStyle w:val="Heading1"/>
      </w:pPr>
      <w:bookmarkStart w:id="0" w:name="_Toc468426391"/>
      <w:r w:rsidRPr="00134E1A">
        <w:rPr>
          <w:b/>
        </w:rPr>
        <w:t>Annexure A:</w:t>
      </w:r>
      <w:r>
        <w:t xml:space="preserve"> </w:t>
      </w:r>
      <w:r w:rsidRPr="00134E1A">
        <w:rPr>
          <w:b/>
        </w:rPr>
        <w:t>Statistical information supporting the State Party Report</w:t>
      </w:r>
      <w:bookmarkEnd w:id="0"/>
    </w:p>
    <w:p w:rsidR="00CC1900" w:rsidRPr="00134E1A" w:rsidRDefault="00CC1900" w:rsidP="00CC1900">
      <w:pPr>
        <w:pStyle w:val="Heading2"/>
        <w:rPr>
          <w:b/>
          <w:lang w:val="en-US"/>
        </w:rPr>
      </w:pPr>
      <w:bookmarkStart w:id="1" w:name="_Toc468426392"/>
      <w:r w:rsidRPr="00134E1A">
        <w:rPr>
          <w:b/>
          <w:lang w:val="en-US"/>
        </w:rPr>
        <w:t>Part two: Definition of the child</w:t>
      </w:r>
      <w:bookmarkEnd w:id="1"/>
    </w:p>
    <w:p w:rsidR="00CC1900" w:rsidRPr="003E70FF" w:rsidRDefault="00CC1900" w:rsidP="00CC1900">
      <w:pPr>
        <w:pStyle w:val="Heading3"/>
      </w:pPr>
      <w:bookmarkStart w:id="2" w:name="_Toc468426393"/>
      <w:r w:rsidRPr="003E70FF">
        <w:t>The number and proportion of children under 18 years of age living in Swaziland</w:t>
      </w:r>
      <w:bookmarkEnd w:id="2"/>
      <w:r>
        <w:t xml:space="preserve">        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5"/>
        <w:gridCol w:w="933"/>
        <w:gridCol w:w="688"/>
        <w:gridCol w:w="33"/>
        <w:gridCol w:w="934"/>
        <w:gridCol w:w="692"/>
        <w:gridCol w:w="969"/>
        <w:gridCol w:w="689"/>
        <w:gridCol w:w="970"/>
        <w:gridCol w:w="689"/>
        <w:gridCol w:w="970"/>
        <w:gridCol w:w="689"/>
        <w:gridCol w:w="970"/>
        <w:gridCol w:w="689"/>
        <w:gridCol w:w="970"/>
        <w:gridCol w:w="689"/>
        <w:gridCol w:w="970"/>
        <w:gridCol w:w="689"/>
        <w:gridCol w:w="970"/>
        <w:gridCol w:w="693"/>
      </w:tblGrid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 xml:space="preserve">Indicator </w:t>
            </w:r>
          </w:p>
        </w:tc>
        <w:tc>
          <w:tcPr>
            <w:tcW w:w="473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tabs>
                <w:tab w:val="left" w:pos="490"/>
                <w:tab w:val="left" w:pos="853"/>
              </w:tabs>
              <w:ind w:left="10" w:hanging="1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2007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2008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2009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2010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2011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2012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2013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2014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2015</w:t>
            </w:r>
          </w:p>
        </w:tc>
      </w:tr>
      <w:tr w:rsidR="00CC1900" w:rsidRPr="002E469D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2E469D" w:rsidRDefault="00CC1900" w:rsidP="00CC19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2E4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Sex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238308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23.4%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231958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234051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236125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238172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240189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242208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244261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246370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22.0%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 xml:space="preserve">Female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243637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23.9%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238428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23.1%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238646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238930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239250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239600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240022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22.0%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240576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21.7%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241292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21.6%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481945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47.3%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470386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45.6%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472697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45.3%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475055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45.0%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477422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44.7%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479789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44.4%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482230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44.2%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484837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43.8%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487662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43.6%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 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ind w:left="533" w:hanging="533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 xml:space="preserve">Place of Residence 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 xml:space="preserve">Urban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78953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7.8%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82191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8.0%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81442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80842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80452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80350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80532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81015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81795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7.3%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bCs/>
                <w:color w:val="000000"/>
              </w:rPr>
            </w:pPr>
            <w:r w:rsidRPr="003E70FF">
              <w:rPr>
                <w:rFonts w:ascii="Calibri" w:hAnsi="Calibri"/>
                <w:b/>
                <w:bCs/>
                <w:color w:val="000000"/>
              </w:rPr>
              <w:t xml:space="preserve">Rural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402992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39.6%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388195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37.6%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391255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37.5%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394213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37.3%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396970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37.2%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399439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37.0%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401698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36.8%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403822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36.5%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403867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color w:val="000000"/>
              </w:rPr>
            </w:pPr>
            <w:r w:rsidRPr="003E70FF">
              <w:rPr>
                <w:rFonts w:ascii="Calibri" w:hAnsi="Calibri"/>
                <w:color w:val="000000"/>
              </w:rPr>
              <w:t>36.1%</w:t>
            </w:r>
          </w:p>
        </w:tc>
      </w:tr>
      <w:tr w:rsidR="00CC1900" w:rsidRPr="003E70FF" w:rsidTr="00CC1900">
        <w:trPr>
          <w:trHeight w:val="193"/>
          <w:jc w:val="right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481945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47.3%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470386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45.6%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472697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45.3%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475055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45.0%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477422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44.7%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479789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44.4%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482230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44.2%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484837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43.8%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485662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900" w:rsidRPr="003E70FF" w:rsidRDefault="00CC1900" w:rsidP="00CC19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E70FF">
              <w:rPr>
                <w:rFonts w:ascii="Calibri" w:hAnsi="Calibri"/>
                <w:b/>
                <w:color w:val="000000"/>
              </w:rPr>
              <w:t>43.4%</w:t>
            </w:r>
          </w:p>
        </w:tc>
      </w:tr>
    </w:tbl>
    <w:p w:rsidR="00CC1900" w:rsidRDefault="00CC1900" w:rsidP="00CC1900">
      <w:pPr>
        <w:pStyle w:val="Heading3"/>
        <w:rPr>
          <w:b/>
          <w:sz w:val="28"/>
          <w:szCs w:val="28"/>
        </w:rPr>
      </w:pPr>
      <w:r w:rsidRPr="003E70FF">
        <w:rPr>
          <w:rFonts w:ascii="Times New Roman" w:eastAsia="Times New Roman" w:hAnsi="Times New Roman" w:cs="Times New Roman"/>
          <w:i/>
          <w:sz w:val="20"/>
          <w:szCs w:val="20"/>
        </w:rPr>
        <w:t xml:space="preserve">Source: Swaziland Population Projections 2007-2030 </w:t>
      </w:r>
      <w:r w:rsidRPr="00027020">
        <w:rPr>
          <w:b/>
          <w:sz w:val="28"/>
          <w:szCs w:val="28"/>
        </w:rPr>
        <w:t xml:space="preserve">PART 2 </w:t>
      </w:r>
      <w:r>
        <w:rPr>
          <w:b/>
          <w:sz w:val="28"/>
          <w:szCs w:val="28"/>
        </w:rPr>
        <w:t xml:space="preserve">- 2.1 A  </w:t>
      </w:r>
    </w:p>
    <w:p w:rsidR="00CC1900" w:rsidRPr="006C3F83" w:rsidRDefault="00CC1900" w:rsidP="00CC1900">
      <w:pPr>
        <w:rPr>
          <w:lang w:val="en-ZA" w:eastAsia="en-ZA"/>
        </w:rPr>
      </w:pPr>
      <w:r>
        <w:rPr>
          <w:lang w:val="en-ZA" w:eastAsia="en-ZA"/>
        </w:rPr>
        <w:t xml:space="preserve">Comment: The female population is shrinking at a faster rate than the male </w:t>
      </w:r>
      <w:r w:rsidR="002266BE">
        <w:rPr>
          <w:lang w:val="en-ZA" w:eastAsia="en-ZA"/>
        </w:rPr>
        <w:t>counterparts</w:t>
      </w:r>
      <w:r>
        <w:rPr>
          <w:lang w:val="en-ZA" w:eastAsia="en-ZA"/>
        </w:rPr>
        <w:t>.</w:t>
      </w:r>
    </w:p>
    <w:p w:rsidR="00CC1900" w:rsidRPr="003E70FF" w:rsidRDefault="00CC1900" w:rsidP="00CC1900">
      <w:pPr>
        <w:suppressAutoHyphens/>
        <w:spacing w:after="120" w:line="276" w:lineRule="auto"/>
        <w:ind w:right="29"/>
        <w:jc w:val="both"/>
        <w:rPr>
          <w:i/>
        </w:rPr>
      </w:pPr>
      <w:r w:rsidRPr="003E70FF">
        <w:rPr>
          <w:rFonts w:ascii="Times New Roman" w:eastAsia="Times New Roman" w:hAnsi="Times New Roman" w:cs="Times New Roman"/>
          <w:i/>
          <w:sz w:val="20"/>
          <w:szCs w:val="20"/>
        </w:rPr>
        <w:fldChar w:fldCharType="begin"/>
      </w:r>
      <w:r w:rsidRPr="003E70FF">
        <w:rPr>
          <w:rFonts w:ascii="Times New Roman" w:eastAsia="Times New Roman" w:hAnsi="Times New Roman" w:cs="Times New Roman"/>
          <w:i/>
          <w:sz w:val="20"/>
          <w:szCs w:val="20"/>
        </w:rPr>
        <w:instrText xml:space="preserve"> LINK Excel.Sheet.12 "C:\\Users\\user\\Desktop\\Child Protection\\Worksheet.xlsx" "Tool 2!R2C1:R13C19" \a \f 4 \h  \* MERGEFORMAT </w:instrText>
      </w:r>
      <w:r w:rsidRPr="003E70FF">
        <w:rPr>
          <w:rFonts w:ascii="Times New Roman" w:eastAsia="Times New Roman" w:hAnsi="Times New Roman" w:cs="Times New Roman"/>
          <w:i/>
          <w:sz w:val="20"/>
          <w:szCs w:val="20"/>
        </w:rPr>
        <w:fldChar w:fldCharType="separate"/>
      </w:r>
    </w:p>
    <w:p w:rsidR="00CC1900" w:rsidRPr="003E70FF" w:rsidRDefault="00CC1900" w:rsidP="00CC1900">
      <w:pPr>
        <w:rPr>
          <w:sz w:val="24"/>
          <w:szCs w:val="24"/>
        </w:rPr>
      </w:pPr>
      <w:r w:rsidRPr="003E70FF">
        <w:rPr>
          <w:sz w:val="24"/>
          <w:szCs w:val="24"/>
        </w:rPr>
        <w:fldChar w:fldCharType="end"/>
      </w:r>
    </w:p>
    <w:p w:rsidR="00CC1900" w:rsidRPr="003E70FF" w:rsidRDefault="00CC1900" w:rsidP="00CC1900">
      <w:pPr>
        <w:rPr>
          <w:lang w:val="en-US"/>
        </w:rPr>
      </w:pPr>
      <w:r w:rsidRPr="003E70FF">
        <w:rPr>
          <w:noProof/>
          <w:lang w:val="en-ZA" w:eastAsia="en-ZA"/>
        </w:rPr>
        <w:lastRenderedPageBreak/>
        <w:drawing>
          <wp:inline distT="0" distB="0" distL="0" distR="0" wp14:anchorId="0A0C9426" wp14:editId="1F9C1E0B">
            <wp:extent cx="9096292" cy="3260035"/>
            <wp:effectExtent l="0" t="0" r="10160" b="17145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900" w:rsidRPr="00027020" w:rsidRDefault="00CC1900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sz w:val="32"/>
          <w:szCs w:val="32"/>
        </w:rPr>
      </w:pPr>
      <w:r w:rsidRPr="003E70FF">
        <w:rPr>
          <w:rFonts w:ascii="Times New Roman" w:eastAsia="Times New Roman" w:hAnsi="Times New Roman" w:cs="Times New Roman"/>
          <w:sz w:val="20"/>
          <w:szCs w:val="20"/>
        </w:rPr>
        <w:t>Source: Swaziland Population Projections 2007-</w:t>
      </w:r>
      <w:proofErr w:type="gramStart"/>
      <w:r w:rsidRPr="003E70FF">
        <w:rPr>
          <w:rFonts w:ascii="Times New Roman" w:eastAsia="Times New Roman" w:hAnsi="Times New Roman" w:cs="Times New Roman"/>
          <w:sz w:val="20"/>
          <w:szCs w:val="20"/>
        </w:rPr>
        <w:t>2030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27020">
        <w:rPr>
          <w:rFonts w:ascii="Times New Roman" w:eastAsia="Times New Roman" w:hAnsi="Times New Roman" w:cs="Times New Roman"/>
          <w:sz w:val="32"/>
          <w:szCs w:val="32"/>
        </w:rPr>
        <w:t>PART</w:t>
      </w:r>
      <w:proofErr w:type="gramEnd"/>
      <w:r w:rsidRPr="00027020"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r>
        <w:rPr>
          <w:rFonts w:ascii="Times New Roman" w:eastAsia="Times New Roman" w:hAnsi="Times New Roman" w:cs="Times New Roman"/>
          <w:sz w:val="32"/>
          <w:szCs w:val="32"/>
        </w:rPr>
        <w:t>-2.1 B</w:t>
      </w:r>
    </w:p>
    <w:p w:rsidR="00CC1900" w:rsidRPr="003E70FF" w:rsidRDefault="00CC1900" w:rsidP="00CC1900">
      <w:pPr>
        <w:rPr>
          <w:lang w:val="en-US"/>
        </w:rPr>
      </w:pPr>
      <w:r w:rsidRPr="003E70FF">
        <w:rPr>
          <w:noProof/>
          <w:lang w:val="en-ZA" w:eastAsia="en-ZA"/>
        </w:rPr>
        <w:lastRenderedPageBreak/>
        <w:drawing>
          <wp:inline distT="0" distB="0" distL="0" distR="0" wp14:anchorId="6C1B4B97" wp14:editId="6E2FC921">
            <wp:extent cx="9040633" cy="2926080"/>
            <wp:effectExtent l="0" t="0" r="27305" b="2667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900" w:rsidRPr="0002702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Source: Swaziland Population Projections 2007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E70FF">
        <w:rPr>
          <w:rFonts w:ascii="Times New Roman" w:eastAsia="Times New Roman" w:hAnsi="Times New Roman" w:cs="Times New Roman"/>
          <w:sz w:val="20"/>
          <w:szCs w:val="20"/>
        </w:rPr>
        <w:t>2030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27020">
        <w:rPr>
          <w:rFonts w:ascii="Times New Roman" w:eastAsia="Times New Roman" w:hAnsi="Times New Roman" w:cs="Times New Roman"/>
          <w:sz w:val="32"/>
          <w:szCs w:val="32"/>
        </w:rPr>
        <w:t>PART</w:t>
      </w:r>
      <w:proofErr w:type="gramEnd"/>
      <w:r w:rsidRPr="00027020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270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2.1 </w:t>
      </w:r>
      <w:r w:rsidRPr="00027020">
        <w:rPr>
          <w:rFonts w:ascii="Times New Roman" w:eastAsia="Times New Roman" w:hAnsi="Times New Roman" w:cs="Times New Roman"/>
          <w:sz w:val="32"/>
          <w:szCs w:val="32"/>
        </w:rPr>
        <w:t>C</w:t>
      </w: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0E56A4" w:rsidRDefault="00CC1900" w:rsidP="00CC1900">
      <w:pPr>
        <w:pStyle w:val="Heading3"/>
        <w:rPr>
          <w:b/>
          <w:sz w:val="32"/>
          <w:szCs w:val="32"/>
        </w:rPr>
      </w:pPr>
      <w:bookmarkStart w:id="3" w:name="_Toc468426394"/>
      <w:proofErr w:type="gramStart"/>
      <w:r w:rsidRPr="000E56A4">
        <w:rPr>
          <w:b/>
          <w:color w:val="auto"/>
          <w:sz w:val="32"/>
          <w:szCs w:val="32"/>
        </w:rPr>
        <w:t>The number and proportion of married children (under 18 years).</w:t>
      </w:r>
      <w:bookmarkEnd w:id="3"/>
      <w:proofErr w:type="gramEnd"/>
      <w:r w:rsidRPr="000E56A4">
        <w:rPr>
          <w:b/>
          <w:color w:val="auto"/>
          <w:sz w:val="32"/>
          <w:szCs w:val="32"/>
        </w:rPr>
        <w:t xml:space="preserve"> </w:t>
      </w:r>
    </w:p>
    <w:tbl>
      <w:tblPr>
        <w:tblW w:w="14525" w:type="dxa"/>
        <w:tblLook w:val="04A0" w:firstRow="1" w:lastRow="0" w:firstColumn="1" w:lastColumn="0" w:noHBand="0" w:noVBand="1"/>
      </w:tblPr>
      <w:tblGrid>
        <w:gridCol w:w="4915"/>
        <w:gridCol w:w="4856"/>
        <w:gridCol w:w="4754"/>
      </w:tblGrid>
      <w:tr w:rsidR="00CC1900" w:rsidRPr="003E70FF" w:rsidTr="00CC1900">
        <w:trPr>
          <w:trHeight w:val="305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Indicators 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Year 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Percent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Percent </w:t>
            </w:r>
          </w:p>
        </w:tc>
      </w:tr>
      <w:tr w:rsidR="00CC1900" w:rsidRPr="003E70FF" w:rsidTr="00CC1900">
        <w:trPr>
          <w:trHeight w:val="564"/>
        </w:trPr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Marriage before 15 years ( Percentage of people who were first married or in union before age 15 ) 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Male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0.2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Female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1.3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C1900" w:rsidRPr="003E70FF" w:rsidTr="00CC1900">
        <w:trPr>
          <w:trHeight w:val="610"/>
        </w:trPr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Marriage before age 18  ( Percentage of people age 20-49 years who were first married or in union before age18 )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Male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1.7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Female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10.9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8.8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C1900" w:rsidRPr="003E70FF" w:rsidTr="00CC1900">
        <w:trPr>
          <w:trHeight w:val="854"/>
        </w:trPr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Young people age 15-19 years currently married or in union  ( Percentage of young people age 15-19 years who are married or in union )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Male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CC1900" w:rsidRPr="003E70FF" w:rsidTr="00CC1900">
        <w:trPr>
          <w:trHeight w:val="3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C1900" w:rsidRPr="003E70FF" w:rsidTr="00CC1900">
        <w:trPr>
          <w:trHeight w:val="305"/>
        </w:trPr>
        <w:tc>
          <w:tcPr>
            <w:tcW w:w="1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66B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Source</w:t>
            </w: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: 2010 and 2014  Multiple Indicator Cluster Survey Comparative Report </w:t>
            </w:r>
            <w:r w:rsidRPr="00027020">
              <w:rPr>
                <w:b/>
                <w:sz w:val="32"/>
                <w:szCs w:val="32"/>
              </w:rPr>
              <w:t>PART 2 -2</w:t>
            </w:r>
            <w:r>
              <w:rPr>
                <w:b/>
                <w:sz w:val="32"/>
                <w:szCs w:val="32"/>
              </w:rPr>
              <w:t>.</w:t>
            </w:r>
            <w:r w:rsidRPr="00027020">
              <w:rPr>
                <w:b/>
                <w:sz w:val="32"/>
                <w:szCs w:val="32"/>
              </w:rPr>
              <w:t>2 A</w:t>
            </w:r>
          </w:p>
        </w:tc>
      </w:tr>
    </w:tbl>
    <w:p w:rsidR="00CC1900" w:rsidRDefault="00CC1900" w:rsidP="00CC1900">
      <w:pPr>
        <w:suppressAutoHyphens/>
        <w:spacing w:after="120" w:line="276" w:lineRule="auto"/>
        <w:ind w:left="720" w:right="29"/>
        <w:jc w:val="both"/>
        <w:rPr>
          <w:rFonts w:eastAsia="Times New Roman" w:cs="Times New Roman"/>
          <w:sz w:val="24"/>
          <w:szCs w:val="24"/>
        </w:rPr>
      </w:pPr>
    </w:p>
    <w:p w:rsidR="00CC1900" w:rsidRDefault="00CC1900" w:rsidP="00CC1900">
      <w:pPr>
        <w:suppressAutoHyphens/>
        <w:spacing w:after="120" w:line="276" w:lineRule="auto"/>
        <w:ind w:left="720" w:right="29"/>
        <w:jc w:val="both"/>
        <w:rPr>
          <w:rFonts w:eastAsia="Times New Roman" w:cs="Times New Roman"/>
          <w:sz w:val="24"/>
          <w:szCs w:val="24"/>
        </w:rPr>
      </w:pPr>
    </w:p>
    <w:p w:rsidR="00CC1900" w:rsidRDefault="00CC1900" w:rsidP="00CC1900">
      <w:pPr>
        <w:suppressAutoHyphens/>
        <w:spacing w:after="120" w:line="276" w:lineRule="auto"/>
        <w:ind w:left="720" w:right="29"/>
        <w:jc w:val="both"/>
        <w:rPr>
          <w:rFonts w:eastAsia="Times New Roman" w:cs="Times New Roman"/>
          <w:sz w:val="24"/>
          <w:szCs w:val="24"/>
        </w:rPr>
      </w:pPr>
    </w:p>
    <w:p w:rsidR="00CC1900" w:rsidRPr="003E70FF" w:rsidRDefault="00CC1900" w:rsidP="00CC1900">
      <w:pPr>
        <w:suppressAutoHyphens/>
        <w:spacing w:after="120" w:line="276" w:lineRule="auto"/>
        <w:ind w:left="720" w:right="29"/>
        <w:jc w:val="both"/>
        <w:rPr>
          <w:rFonts w:eastAsia="Times New Roman" w:cs="Times New Roman"/>
          <w:sz w:val="24"/>
          <w:szCs w:val="24"/>
        </w:rPr>
      </w:pPr>
    </w:p>
    <w:p w:rsidR="00CC1900" w:rsidRPr="002266BE" w:rsidRDefault="00CC1900" w:rsidP="00CC1900">
      <w:pPr>
        <w:pStyle w:val="Heading2"/>
        <w:rPr>
          <w:b/>
          <w:color w:val="auto"/>
          <w:sz w:val="36"/>
          <w:szCs w:val="36"/>
          <w:lang w:val="en-US"/>
        </w:rPr>
      </w:pPr>
      <w:bookmarkStart w:id="4" w:name="_Toc468426398"/>
      <w:r w:rsidRPr="002266BE">
        <w:rPr>
          <w:b/>
          <w:color w:val="auto"/>
          <w:sz w:val="36"/>
          <w:szCs w:val="36"/>
          <w:lang w:val="en-US"/>
        </w:rPr>
        <w:lastRenderedPageBreak/>
        <w:t>Part four: Civil Rights and Freedoms</w:t>
      </w:r>
      <w:bookmarkEnd w:id="4"/>
    </w:p>
    <w:p w:rsidR="00CC1900" w:rsidRPr="00134E1A" w:rsidRDefault="00CC1900" w:rsidP="00CC1900">
      <w:pPr>
        <w:pStyle w:val="Heading3"/>
        <w:rPr>
          <w:b/>
        </w:rPr>
      </w:pPr>
      <w:bookmarkStart w:id="5" w:name="_Toc468426399"/>
      <w:r w:rsidRPr="00134E1A">
        <w:rPr>
          <w:b/>
        </w:rPr>
        <w:t>Birth registration rates</w:t>
      </w:r>
      <w:bookmarkEnd w:id="5"/>
    </w:p>
    <w:p w:rsidR="00CC1900" w:rsidRPr="003E70FF" w:rsidRDefault="00CC1900" w:rsidP="00CC1900">
      <w:pPr>
        <w:rPr>
          <w:lang w:val="en-US"/>
        </w:rPr>
      </w:pPr>
      <w:r w:rsidRPr="003E70FF">
        <w:rPr>
          <w:noProof/>
          <w:lang w:val="en-ZA" w:eastAsia="en-ZA"/>
        </w:rPr>
        <w:drawing>
          <wp:inline distT="0" distB="0" distL="0" distR="0" wp14:anchorId="0F079C82" wp14:editId="320BE485">
            <wp:extent cx="9151951" cy="2862470"/>
            <wp:effectExtent l="0" t="0" r="11430" b="14605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900" w:rsidRPr="00E61124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32"/>
          <w:szCs w:val="32"/>
        </w:rPr>
      </w:pPr>
      <w:r w:rsidRPr="002266BE">
        <w:rPr>
          <w:rFonts w:eastAsia="Times New Roman" w:cs="Times New Roman"/>
          <w:b/>
          <w:color w:val="000000" w:themeColor="text1"/>
          <w:sz w:val="20"/>
          <w:szCs w:val="20"/>
        </w:rPr>
        <w:t>Source</w:t>
      </w:r>
      <w:r w:rsidRPr="003E70FF">
        <w:rPr>
          <w:rFonts w:eastAsia="Times New Roman" w:cs="Times New Roman"/>
          <w:sz w:val="20"/>
          <w:szCs w:val="20"/>
        </w:rPr>
        <w:t>: Swaziland Demographic and Health Survey 2006/7, MICS 2010 and MICS 2014</w:t>
      </w:r>
      <w:r>
        <w:rPr>
          <w:rFonts w:eastAsia="Times New Roman" w:cs="Times New Roman"/>
          <w:sz w:val="20"/>
          <w:szCs w:val="20"/>
        </w:rPr>
        <w:t xml:space="preserve"> </w:t>
      </w:r>
      <w:r w:rsidRPr="00E61124">
        <w:rPr>
          <w:rFonts w:eastAsia="Times New Roman" w:cs="Times New Roman"/>
          <w:sz w:val="32"/>
          <w:szCs w:val="32"/>
        </w:rPr>
        <w:t>PART</w:t>
      </w:r>
      <w:r>
        <w:rPr>
          <w:rFonts w:eastAsia="Times New Roman" w:cs="Times New Roman"/>
          <w:sz w:val="20"/>
          <w:szCs w:val="20"/>
        </w:rPr>
        <w:t xml:space="preserve"> </w:t>
      </w:r>
      <w:r w:rsidRPr="00E61124">
        <w:rPr>
          <w:rFonts w:eastAsia="Times New Roman" w:cs="Times New Roman"/>
          <w:sz w:val="32"/>
          <w:szCs w:val="32"/>
        </w:rPr>
        <w:t>4</w:t>
      </w:r>
      <w:r>
        <w:rPr>
          <w:rFonts w:eastAsia="Times New Roman" w:cs="Times New Roman"/>
          <w:sz w:val="32"/>
          <w:szCs w:val="32"/>
        </w:rPr>
        <w:t>-</w:t>
      </w:r>
      <w:r w:rsidRPr="00E61124">
        <w:rPr>
          <w:rFonts w:eastAsia="Times New Roman" w:cs="Times New Roman"/>
          <w:sz w:val="32"/>
          <w:szCs w:val="32"/>
        </w:rPr>
        <w:t xml:space="preserve"> 4.1 A</w:t>
      </w: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275"/>
        <w:gridCol w:w="1134"/>
        <w:gridCol w:w="1560"/>
        <w:gridCol w:w="1209"/>
        <w:gridCol w:w="492"/>
        <w:gridCol w:w="1275"/>
        <w:gridCol w:w="266"/>
        <w:gridCol w:w="236"/>
        <w:gridCol w:w="1199"/>
        <w:gridCol w:w="1985"/>
      </w:tblGrid>
      <w:tr w:rsidR="00CC1900" w:rsidRPr="003E70FF" w:rsidTr="00620834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2006/7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620834">
        <w:trPr>
          <w:trHeight w:val="6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bookmarkStart w:id="6" w:name="_GoBack" w:colFirst="1" w:colLast="9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Had a birth certificate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Did not have a birth certificate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Total registered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Number of Children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Had a birth certificate 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Did not have a birth certificate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Total registered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Number of children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1900" w:rsidRPr="00FC5E5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5E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Total registered (%)</w:t>
            </w:r>
          </w:p>
        </w:tc>
      </w:tr>
      <w:bookmarkEnd w:id="6"/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Sex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50.2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1265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Female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48.8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1382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Region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Hhohho</w:t>
            </w:r>
            <w:proofErr w:type="spellEnd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32.9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51.2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655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Manzini</w:t>
            </w:r>
            <w:proofErr w:type="spellEnd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54.9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787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Shiselweni</w:t>
            </w:r>
            <w:proofErr w:type="spellEnd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683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Lubombo</w:t>
            </w:r>
            <w:proofErr w:type="spellEnd"/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48.8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523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Residence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Urban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39.8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61.5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527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Rural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27.3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46.5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2120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Age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0-11 Months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524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12-23 Months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23.3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43.9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521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24-35 Months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9.8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35.1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29.2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48.9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534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36-47 Months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35.5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52.1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533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48-59 Months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44.4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61.1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536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CC1900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CC1900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CC1900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CC1900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 xml:space="preserve">Wealth index quintiles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Poorest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38.7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646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Second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42.3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557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Middle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28.1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46.2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544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Fourth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32.7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55.5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486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Richest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57.1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73.2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411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1900" w:rsidRPr="003E70FF" w:rsidTr="00620834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29.8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49.5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53.5</w:t>
            </w:r>
          </w:p>
        </w:tc>
      </w:tr>
    </w:tbl>
    <w:p w:rsidR="00CC1900" w:rsidRPr="00E61124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32"/>
          <w:szCs w:val="32"/>
        </w:rPr>
      </w:pPr>
      <w:r w:rsidRPr="002266BE">
        <w:rPr>
          <w:rFonts w:eastAsia="Times New Roman" w:cs="Times New Roman"/>
          <w:b/>
          <w:sz w:val="20"/>
          <w:szCs w:val="20"/>
        </w:rPr>
        <w:t>Source:</w:t>
      </w:r>
      <w:r w:rsidRPr="002266BE">
        <w:rPr>
          <w:rFonts w:eastAsia="Times New Roman" w:cs="Times New Roman"/>
          <w:sz w:val="20"/>
          <w:szCs w:val="20"/>
        </w:rPr>
        <w:t xml:space="preserve"> </w:t>
      </w:r>
      <w:r w:rsidRPr="003E70FF">
        <w:rPr>
          <w:rFonts w:eastAsia="Times New Roman" w:cs="Times New Roman"/>
          <w:sz w:val="20"/>
          <w:szCs w:val="20"/>
        </w:rPr>
        <w:t>Swaziland Demographic and Health Survey 2006/7, MICS 2010 and MICS 2014</w:t>
      </w:r>
      <w:r>
        <w:rPr>
          <w:rFonts w:eastAsia="Times New Roman" w:cs="Times New Roman"/>
          <w:sz w:val="20"/>
          <w:szCs w:val="20"/>
        </w:rPr>
        <w:t xml:space="preserve"> </w:t>
      </w:r>
      <w:r w:rsidRPr="00E61124">
        <w:rPr>
          <w:rFonts w:eastAsia="Times New Roman" w:cs="Times New Roman"/>
          <w:sz w:val="32"/>
          <w:szCs w:val="32"/>
        </w:rPr>
        <w:t>PART</w:t>
      </w:r>
      <w:r>
        <w:rPr>
          <w:rFonts w:eastAsia="Times New Roman" w:cs="Times New Roman"/>
          <w:sz w:val="20"/>
          <w:szCs w:val="20"/>
        </w:rPr>
        <w:t xml:space="preserve"> </w:t>
      </w:r>
      <w:r w:rsidRPr="00E61124">
        <w:rPr>
          <w:rFonts w:eastAsia="Times New Roman" w:cs="Times New Roman"/>
          <w:sz w:val="32"/>
          <w:szCs w:val="32"/>
        </w:rPr>
        <w:t>4</w:t>
      </w:r>
      <w:r>
        <w:rPr>
          <w:rFonts w:eastAsia="Times New Roman" w:cs="Times New Roman"/>
          <w:sz w:val="32"/>
          <w:szCs w:val="32"/>
        </w:rPr>
        <w:t>-</w:t>
      </w:r>
      <w:r w:rsidRPr="00E61124">
        <w:rPr>
          <w:rFonts w:eastAsia="Times New Roman" w:cs="Times New Roman"/>
          <w:sz w:val="32"/>
          <w:szCs w:val="32"/>
        </w:rPr>
        <w:t xml:space="preserve"> 4.1 </w:t>
      </w:r>
      <w:r>
        <w:rPr>
          <w:rFonts w:eastAsia="Times New Roman" w:cs="Times New Roman"/>
          <w:sz w:val="32"/>
          <w:szCs w:val="32"/>
        </w:rPr>
        <w:t>B</w:t>
      </w: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20"/>
          <w:szCs w:val="20"/>
        </w:rPr>
      </w:pPr>
    </w:p>
    <w:p w:rsidR="00CC1900" w:rsidRPr="00134E1A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b/>
          <w:sz w:val="32"/>
          <w:szCs w:val="32"/>
        </w:rPr>
      </w:pPr>
      <w:bookmarkStart w:id="7" w:name="_Toc468426400"/>
      <w:r w:rsidRPr="00134E1A">
        <w:rPr>
          <w:rFonts w:eastAsia="Times New Roman"/>
          <w:b/>
        </w:rPr>
        <w:t>Children’s Access to Libraries and Computer Labs</w:t>
      </w:r>
      <w:bookmarkEnd w:id="7"/>
      <w:r w:rsidRPr="00134E1A">
        <w:rPr>
          <w:rFonts w:eastAsia="Times New Roman"/>
          <w:b/>
        </w:rPr>
        <w:t xml:space="preserve"> </w:t>
      </w:r>
    </w:p>
    <w:p w:rsidR="00CC1900" w:rsidRPr="003E70FF" w:rsidRDefault="00CC1900" w:rsidP="00CC1900">
      <w:pPr>
        <w:pStyle w:val="Heading3"/>
        <w:rPr>
          <w:rFonts w:eastAsia="Times New Roman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2151"/>
        <w:gridCol w:w="4083"/>
        <w:gridCol w:w="4737"/>
        <w:gridCol w:w="3702"/>
      </w:tblGrid>
      <w:tr w:rsidR="00CC1900" w:rsidRPr="003E70FF" w:rsidTr="00CC1900">
        <w:trPr>
          <w:trHeight w:val="51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Region 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Number of schools with library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Number of regional Libraries 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Number of schools with computer labs </w:t>
            </w:r>
          </w:p>
        </w:tc>
      </w:tr>
      <w:tr w:rsidR="00CC1900" w:rsidRPr="003E70FF" w:rsidTr="00CC1900">
        <w:trPr>
          <w:trHeight w:val="28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Hhohho</w:t>
            </w:r>
            <w:proofErr w:type="spellEnd"/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91</w:t>
            </w:r>
          </w:p>
        </w:tc>
      </w:tr>
      <w:tr w:rsidR="00CC1900" w:rsidRPr="003E70FF" w:rsidTr="00CC1900">
        <w:trPr>
          <w:trHeight w:val="28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Lubombo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85</w:t>
            </w:r>
          </w:p>
        </w:tc>
      </w:tr>
      <w:tr w:rsidR="00CC1900" w:rsidRPr="003E70FF" w:rsidTr="00CC1900">
        <w:trPr>
          <w:trHeight w:val="28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Manzini</w:t>
            </w:r>
            <w:proofErr w:type="spellEnd"/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104</w:t>
            </w:r>
          </w:p>
        </w:tc>
      </w:tr>
      <w:tr w:rsidR="00CC1900" w:rsidRPr="003E70FF" w:rsidTr="00CC1900">
        <w:trPr>
          <w:trHeight w:val="28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Shiselweni</w:t>
            </w:r>
            <w:proofErr w:type="spellEnd"/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</w:tr>
      <w:tr w:rsidR="00CC1900" w:rsidRPr="003E70FF" w:rsidTr="00CC1900">
        <w:trPr>
          <w:trHeight w:val="28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National total 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286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337</w:t>
            </w:r>
          </w:p>
        </w:tc>
      </w:tr>
    </w:tbl>
    <w:p w:rsidR="002266BE" w:rsidRDefault="002266BE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b/>
          <w:sz w:val="20"/>
          <w:szCs w:val="20"/>
        </w:rPr>
      </w:pPr>
    </w:p>
    <w:p w:rsidR="00CC1900" w:rsidRPr="00620834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sz w:val="32"/>
          <w:szCs w:val="32"/>
        </w:rPr>
      </w:pPr>
      <w:r w:rsidRPr="002266BE">
        <w:rPr>
          <w:rFonts w:eastAsia="Times New Roman" w:cs="Times New Roman"/>
          <w:b/>
          <w:sz w:val="20"/>
          <w:szCs w:val="20"/>
        </w:rPr>
        <w:t>Source</w:t>
      </w:r>
      <w:r w:rsidRPr="003E70FF">
        <w:rPr>
          <w:rFonts w:eastAsia="Times New Roman" w:cs="Times New Roman"/>
          <w:sz w:val="20"/>
          <w:szCs w:val="20"/>
        </w:rPr>
        <w:t>: 2014 Annual Education Census Report</w:t>
      </w:r>
      <w:r>
        <w:rPr>
          <w:rFonts w:eastAsia="Times New Roman" w:cs="Times New Roman"/>
          <w:sz w:val="20"/>
          <w:szCs w:val="20"/>
        </w:rPr>
        <w:t xml:space="preserve"> </w:t>
      </w:r>
      <w:r w:rsidRPr="00E61124">
        <w:rPr>
          <w:rFonts w:eastAsia="Times New Roman" w:cs="Times New Roman"/>
          <w:sz w:val="32"/>
          <w:szCs w:val="32"/>
        </w:rPr>
        <w:t>PART</w:t>
      </w:r>
      <w:r>
        <w:rPr>
          <w:rFonts w:eastAsia="Times New Roman" w:cs="Times New Roman"/>
          <w:sz w:val="20"/>
          <w:szCs w:val="20"/>
        </w:rPr>
        <w:t xml:space="preserve"> </w:t>
      </w:r>
      <w:r w:rsidRPr="00E61124">
        <w:rPr>
          <w:rFonts w:eastAsia="Times New Roman" w:cs="Times New Roman"/>
          <w:sz w:val="32"/>
          <w:szCs w:val="32"/>
        </w:rPr>
        <w:t>4 4.</w:t>
      </w:r>
      <w:r>
        <w:rPr>
          <w:rFonts w:eastAsia="Times New Roman" w:cs="Times New Roman"/>
          <w:sz w:val="32"/>
          <w:szCs w:val="32"/>
        </w:rPr>
        <w:t>2</w:t>
      </w:r>
      <w:r w:rsidRPr="00E61124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A</w:t>
      </w:r>
    </w:p>
    <w:p w:rsidR="00CC1900" w:rsidRPr="00134E1A" w:rsidRDefault="00CC1900" w:rsidP="00CC1900">
      <w:pPr>
        <w:pStyle w:val="Heading2"/>
        <w:rPr>
          <w:b/>
          <w:color w:val="000000" w:themeColor="text1"/>
          <w:sz w:val="32"/>
          <w:szCs w:val="32"/>
          <w:lang w:val="en-US"/>
        </w:rPr>
      </w:pPr>
      <w:bookmarkStart w:id="8" w:name="_Toc468426401"/>
      <w:r w:rsidRPr="002266BE">
        <w:rPr>
          <w:b/>
          <w:color w:val="000000" w:themeColor="text1"/>
          <w:sz w:val="32"/>
          <w:szCs w:val="32"/>
          <w:lang w:val="en-US"/>
        </w:rPr>
        <w:lastRenderedPageBreak/>
        <w:t>Part five</w:t>
      </w:r>
      <w:r w:rsidRPr="00134E1A">
        <w:rPr>
          <w:b/>
          <w:color w:val="000000" w:themeColor="text1"/>
          <w:lang w:val="en-US"/>
        </w:rPr>
        <w:t>: Violence against children</w:t>
      </w:r>
      <w:bookmarkEnd w:id="8"/>
      <w:r w:rsidRPr="00134E1A">
        <w:rPr>
          <w:b/>
          <w:color w:val="000000" w:themeColor="text1"/>
          <w:lang w:val="en-US"/>
        </w:rPr>
        <w:t xml:space="preserve"> </w:t>
      </w:r>
    </w:p>
    <w:p w:rsidR="00CC1900" w:rsidRPr="00E61124" w:rsidRDefault="00CC1900" w:rsidP="00CC1900">
      <w:pPr>
        <w:pStyle w:val="Heading3"/>
        <w:rPr>
          <w:color w:val="000000" w:themeColor="text1"/>
        </w:rPr>
      </w:pPr>
      <w:bookmarkStart w:id="9" w:name="_Toc468426402"/>
      <w:r w:rsidRPr="00E61124">
        <w:rPr>
          <w:color w:val="000000" w:themeColor="text1"/>
        </w:rPr>
        <w:t>Cases of violence, abuse and neglect reported and collated through the national networked surveillance system in 2015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8357"/>
        <w:gridCol w:w="4579"/>
      </w:tblGrid>
      <w:tr w:rsidR="00CC1900" w:rsidRPr="00E61124" w:rsidTr="00CC1900">
        <w:trPr>
          <w:trHeight w:val="259"/>
        </w:trPr>
        <w:tc>
          <w:tcPr>
            <w:tcW w:w="12936" w:type="dxa"/>
            <w:gridSpan w:val="2"/>
            <w:shd w:val="clear" w:color="auto" w:fill="D9D9D9" w:themeFill="background1" w:themeFillShade="D9"/>
          </w:tcPr>
          <w:p w:rsidR="00CC1900" w:rsidRPr="00E61124" w:rsidRDefault="00CC1900" w:rsidP="00CC1900">
            <w:pPr>
              <w:rPr>
                <w:b/>
                <w:color w:val="000000" w:themeColor="text1"/>
                <w:lang w:val="en-US"/>
              </w:rPr>
            </w:pPr>
            <w:r w:rsidRPr="00E61124">
              <w:rPr>
                <w:b/>
                <w:color w:val="000000" w:themeColor="text1"/>
                <w:lang w:val="en-US"/>
              </w:rPr>
              <w:t>Disaggregated by age</w:t>
            </w:r>
          </w:p>
        </w:tc>
      </w:tr>
      <w:tr w:rsidR="00CC1900" w:rsidRPr="00E61124" w:rsidTr="00CC1900">
        <w:trPr>
          <w:trHeight w:val="270"/>
        </w:trPr>
        <w:tc>
          <w:tcPr>
            <w:tcW w:w="8357" w:type="dxa"/>
            <w:shd w:val="clear" w:color="auto" w:fill="B6DDE8" w:themeFill="accent5" w:themeFillTint="66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0-5</w:t>
            </w:r>
          </w:p>
        </w:tc>
        <w:tc>
          <w:tcPr>
            <w:tcW w:w="4579" w:type="dxa"/>
            <w:shd w:val="clear" w:color="auto" w:fill="B6DDE8" w:themeFill="accent5" w:themeFillTint="66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353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C6D9F1" w:themeFill="text2" w:themeFillTint="33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6-11</w:t>
            </w:r>
          </w:p>
        </w:tc>
        <w:tc>
          <w:tcPr>
            <w:tcW w:w="4579" w:type="dxa"/>
            <w:shd w:val="clear" w:color="auto" w:fill="C6D9F1" w:themeFill="text2" w:themeFillTint="33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579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E5B8B7" w:themeFill="accent2" w:themeFillTint="66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12-17</w:t>
            </w:r>
          </w:p>
        </w:tc>
        <w:tc>
          <w:tcPr>
            <w:tcW w:w="4579" w:type="dxa"/>
            <w:shd w:val="clear" w:color="auto" w:fill="E5B8B7" w:themeFill="accent2" w:themeFillTint="66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1353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D99594" w:themeFill="accent2" w:themeFillTint="99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18 – 24</w:t>
            </w:r>
          </w:p>
        </w:tc>
        <w:tc>
          <w:tcPr>
            <w:tcW w:w="4579" w:type="dxa"/>
            <w:shd w:val="clear" w:color="auto" w:fill="D99594" w:themeFill="accent2" w:themeFillTint="99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1609</w:t>
            </w:r>
          </w:p>
        </w:tc>
      </w:tr>
      <w:tr w:rsidR="00CC1900" w:rsidRPr="00E61124" w:rsidTr="00CC1900">
        <w:trPr>
          <w:trHeight w:val="270"/>
        </w:trPr>
        <w:tc>
          <w:tcPr>
            <w:tcW w:w="8357" w:type="dxa"/>
            <w:shd w:val="clear" w:color="auto" w:fill="D9D9D9" w:themeFill="background1" w:themeFillShade="D9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25 plus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2889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D9D9D9" w:themeFill="background1" w:themeFillShade="D9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b/>
                <w:color w:val="000000" w:themeColor="text1"/>
                <w:lang w:val="en-US"/>
              </w:rPr>
              <w:t xml:space="preserve">Total cases reported in 2016: 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b/>
                <w:color w:val="000000" w:themeColor="text1"/>
                <w:lang w:val="en-US"/>
              </w:rPr>
              <w:t>7590</w:t>
            </w:r>
          </w:p>
        </w:tc>
      </w:tr>
      <w:tr w:rsidR="00CC1900" w:rsidRPr="00E61124" w:rsidTr="00CC1900">
        <w:trPr>
          <w:trHeight w:val="259"/>
        </w:trPr>
        <w:tc>
          <w:tcPr>
            <w:tcW w:w="12936" w:type="dxa"/>
            <w:gridSpan w:val="2"/>
            <w:shd w:val="clear" w:color="auto" w:fill="D9D9D9" w:themeFill="background1" w:themeFillShade="D9"/>
          </w:tcPr>
          <w:p w:rsidR="00CC1900" w:rsidRPr="00E61124" w:rsidRDefault="00CC1900" w:rsidP="00CC1900">
            <w:pPr>
              <w:rPr>
                <w:b/>
                <w:color w:val="000000" w:themeColor="text1"/>
                <w:lang w:val="en-US"/>
              </w:rPr>
            </w:pPr>
            <w:r w:rsidRPr="00E61124">
              <w:rPr>
                <w:b/>
                <w:color w:val="000000" w:themeColor="text1"/>
                <w:lang w:val="en-US"/>
              </w:rPr>
              <w:t>Disaggregated by gender - victims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FBD4B4" w:themeFill="accent6" w:themeFillTint="66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Female</w:t>
            </w:r>
          </w:p>
        </w:tc>
        <w:tc>
          <w:tcPr>
            <w:tcW w:w="4579" w:type="dxa"/>
            <w:shd w:val="clear" w:color="auto" w:fill="FBD4B4" w:themeFill="accent6" w:themeFillTint="66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5776</w:t>
            </w:r>
          </w:p>
        </w:tc>
      </w:tr>
      <w:tr w:rsidR="00CC1900" w:rsidRPr="00E61124" w:rsidTr="00CC1900">
        <w:trPr>
          <w:trHeight w:val="270"/>
        </w:trPr>
        <w:tc>
          <w:tcPr>
            <w:tcW w:w="8357" w:type="dxa"/>
            <w:shd w:val="clear" w:color="auto" w:fill="FBD4B4" w:themeFill="accent6" w:themeFillTint="66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Male</w:t>
            </w:r>
          </w:p>
        </w:tc>
        <w:tc>
          <w:tcPr>
            <w:tcW w:w="4579" w:type="dxa"/>
            <w:shd w:val="clear" w:color="auto" w:fill="FBD4B4" w:themeFill="accent6" w:themeFillTint="66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1058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FBD4B4" w:themeFill="accent6" w:themeFillTint="66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Other</w:t>
            </w:r>
          </w:p>
        </w:tc>
        <w:tc>
          <w:tcPr>
            <w:tcW w:w="4579" w:type="dxa"/>
            <w:shd w:val="clear" w:color="auto" w:fill="FBD4B4" w:themeFill="accent6" w:themeFillTint="66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127</w:t>
            </w:r>
          </w:p>
        </w:tc>
      </w:tr>
      <w:tr w:rsidR="00CC1900" w:rsidRPr="00E61124" w:rsidTr="00CC1900">
        <w:trPr>
          <w:trHeight w:val="259"/>
        </w:trPr>
        <w:tc>
          <w:tcPr>
            <w:tcW w:w="12936" w:type="dxa"/>
            <w:gridSpan w:val="2"/>
            <w:shd w:val="clear" w:color="auto" w:fill="DBE5F1" w:themeFill="accent1" w:themeFillTint="33"/>
          </w:tcPr>
          <w:p w:rsidR="00CC1900" w:rsidRPr="00E61124" w:rsidRDefault="00CC1900" w:rsidP="00CC1900">
            <w:pPr>
              <w:rPr>
                <w:b/>
                <w:color w:val="000000" w:themeColor="text1"/>
                <w:lang w:val="en-US"/>
              </w:rPr>
            </w:pPr>
            <w:r w:rsidRPr="00E61124">
              <w:rPr>
                <w:b/>
                <w:color w:val="000000" w:themeColor="text1"/>
                <w:lang w:val="en-US"/>
              </w:rPr>
              <w:t>Nature of offence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Physical</w:t>
            </w:r>
          </w:p>
        </w:tc>
        <w:tc>
          <w:tcPr>
            <w:tcW w:w="4579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2066</w:t>
            </w:r>
          </w:p>
        </w:tc>
      </w:tr>
      <w:tr w:rsidR="00CC1900" w:rsidRPr="00E61124" w:rsidTr="00CC1900">
        <w:trPr>
          <w:trHeight w:val="270"/>
        </w:trPr>
        <w:tc>
          <w:tcPr>
            <w:tcW w:w="8357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Sexual</w:t>
            </w:r>
          </w:p>
        </w:tc>
        <w:tc>
          <w:tcPr>
            <w:tcW w:w="4579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1366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Emotional abuse</w:t>
            </w:r>
          </w:p>
        </w:tc>
        <w:tc>
          <w:tcPr>
            <w:tcW w:w="4579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2 735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Financial</w:t>
            </w:r>
          </w:p>
        </w:tc>
        <w:tc>
          <w:tcPr>
            <w:tcW w:w="4579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888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Neglect</w:t>
            </w:r>
          </w:p>
        </w:tc>
        <w:tc>
          <w:tcPr>
            <w:tcW w:w="4579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633</w:t>
            </w:r>
          </w:p>
        </w:tc>
      </w:tr>
      <w:tr w:rsidR="00CC1900" w:rsidRPr="00E61124" w:rsidTr="00CC1900">
        <w:trPr>
          <w:trHeight w:val="270"/>
        </w:trPr>
        <w:tc>
          <w:tcPr>
            <w:tcW w:w="8357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Other</w:t>
            </w:r>
          </w:p>
        </w:tc>
        <w:tc>
          <w:tcPr>
            <w:tcW w:w="4579" w:type="dxa"/>
            <w:shd w:val="clear" w:color="auto" w:fill="DBE5F1" w:themeFill="accent1" w:themeFillTint="33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41</w:t>
            </w:r>
          </w:p>
        </w:tc>
      </w:tr>
      <w:tr w:rsidR="00CC1900" w:rsidRPr="00E61124" w:rsidTr="00CC1900">
        <w:trPr>
          <w:trHeight w:val="259"/>
        </w:trPr>
        <w:tc>
          <w:tcPr>
            <w:tcW w:w="12936" w:type="dxa"/>
            <w:gridSpan w:val="2"/>
            <w:shd w:val="clear" w:color="auto" w:fill="95B3D7" w:themeFill="accent1" w:themeFillTint="99"/>
          </w:tcPr>
          <w:p w:rsidR="00CC1900" w:rsidRPr="00E61124" w:rsidRDefault="00CC1900" w:rsidP="00CC1900">
            <w:pPr>
              <w:rPr>
                <w:b/>
                <w:color w:val="000000" w:themeColor="text1"/>
                <w:lang w:val="en-US"/>
              </w:rPr>
            </w:pPr>
            <w:r w:rsidRPr="00E61124">
              <w:rPr>
                <w:b/>
                <w:color w:val="000000" w:themeColor="text1"/>
                <w:lang w:val="en-US"/>
              </w:rPr>
              <w:lastRenderedPageBreak/>
              <w:t>Gender of perpetrators</w:t>
            </w:r>
          </w:p>
        </w:tc>
      </w:tr>
      <w:tr w:rsidR="00CC1900" w:rsidRPr="00E61124" w:rsidTr="00CC1900">
        <w:trPr>
          <w:trHeight w:val="259"/>
        </w:trPr>
        <w:tc>
          <w:tcPr>
            <w:tcW w:w="8357" w:type="dxa"/>
            <w:shd w:val="clear" w:color="auto" w:fill="95B3D7" w:themeFill="accent1" w:themeFillTint="99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Males</w:t>
            </w:r>
          </w:p>
        </w:tc>
        <w:tc>
          <w:tcPr>
            <w:tcW w:w="4579" w:type="dxa"/>
            <w:shd w:val="clear" w:color="auto" w:fill="95B3D7" w:themeFill="accent1" w:themeFillTint="99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5432</w:t>
            </w:r>
          </w:p>
        </w:tc>
      </w:tr>
      <w:tr w:rsidR="00CC1900" w:rsidRPr="00E61124" w:rsidTr="00CC1900">
        <w:trPr>
          <w:trHeight w:val="270"/>
        </w:trPr>
        <w:tc>
          <w:tcPr>
            <w:tcW w:w="8357" w:type="dxa"/>
            <w:shd w:val="clear" w:color="auto" w:fill="95B3D7" w:themeFill="accent1" w:themeFillTint="99"/>
          </w:tcPr>
          <w:p w:rsidR="00CC1900" w:rsidRPr="00E61124" w:rsidRDefault="00CC1900" w:rsidP="00CC1900">
            <w:pPr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Female</w:t>
            </w:r>
          </w:p>
        </w:tc>
        <w:tc>
          <w:tcPr>
            <w:tcW w:w="4579" w:type="dxa"/>
            <w:shd w:val="clear" w:color="auto" w:fill="95B3D7" w:themeFill="accent1" w:themeFillTint="99"/>
          </w:tcPr>
          <w:p w:rsidR="00CC1900" w:rsidRPr="00E61124" w:rsidRDefault="00CC1900" w:rsidP="00CC1900">
            <w:pPr>
              <w:jc w:val="right"/>
              <w:rPr>
                <w:color w:val="000000" w:themeColor="text1"/>
                <w:lang w:val="en-US"/>
              </w:rPr>
            </w:pPr>
            <w:r w:rsidRPr="00E61124">
              <w:rPr>
                <w:color w:val="000000" w:themeColor="text1"/>
                <w:lang w:val="en-US"/>
              </w:rPr>
              <w:t>1380</w:t>
            </w:r>
          </w:p>
        </w:tc>
      </w:tr>
    </w:tbl>
    <w:p w:rsidR="00CC1900" w:rsidRPr="00620834" w:rsidRDefault="00CC1900" w:rsidP="00620834">
      <w:pPr>
        <w:pStyle w:val="Heading2"/>
        <w:rPr>
          <w:b/>
          <w:color w:val="000000" w:themeColor="text1"/>
          <w:sz w:val="32"/>
          <w:szCs w:val="32"/>
          <w:lang w:val="en-US"/>
        </w:rPr>
      </w:pPr>
      <w:r w:rsidRPr="002266BE">
        <w:rPr>
          <w:rFonts w:eastAsia="Times New Roman" w:cs="Times New Roman"/>
          <w:b/>
          <w:color w:val="000000" w:themeColor="text1"/>
          <w:sz w:val="20"/>
          <w:szCs w:val="20"/>
        </w:rPr>
        <w:t>Source:</w:t>
      </w:r>
      <w:r w:rsidRPr="00E61124">
        <w:rPr>
          <w:rFonts w:eastAsia="Times New Roman" w:cs="Times New Roman"/>
          <w:color w:val="000000" w:themeColor="text1"/>
          <w:sz w:val="20"/>
          <w:szCs w:val="20"/>
        </w:rPr>
        <w:t xml:space="preserve"> Department of Social Welfare, 2016 national surveillance data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620834">
        <w:rPr>
          <w:b/>
          <w:color w:val="000000" w:themeColor="text1"/>
          <w:sz w:val="32"/>
          <w:szCs w:val="32"/>
          <w:lang w:val="en-US"/>
        </w:rPr>
        <w:t>PART 5-5.1 A</w:t>
      </w:r>
    </w:p>
    <w:p w:rsidR="00CC1900" w:rsidRPr="00A13D7E" w:rsidRDefault="00CC1900" w:rsidP="00CC1900">
      <w:pPr>
        <w:suppressAutoHyphens/>
        <w:spacing w:after="120" w:line="240" w:lineRule="atLeast"/>
        <w:ind w:right="26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CC1900" w:rsidRPr="00AF37D5" w:rsidRDefault="00CC1900" w:rsidP="00CC1900">
      <w:pPr>
        <w:pStyle w:val="Heading2"/>
        <w:rPr>
          <w:lang w:val="en-US"/>
        </w:rPr>
      </w:pPr>
      <w:bookmarkStart w:id="10" w:name="_Toc468426404"/>
      <w:r w:rsidRPr="00134E1A">
        <w:rPr>
          <w:b/>
          <w:lang w:val="en-US"/>
        </w:rPr>
        <w:t>Part seven</w:t>
      </w:r>
      <w:r w:rsidRPr="003E70FF">
        <w:rPr>
          <w:lang w:val="en-US"/>
        </w:rPr>
        <w:t xml:space="preserve">: </w:t>
      </w:r>
      <w:r>
        <w:rPr>
          <w:lang w:val="en-US"/>
        </w:rPr>
        <w:t xml:space="preserve">Disability </w:t>
      </w:r>
      <w:r w:rsidRPr="003E70FF">
        <w:rPr>
          <w:lang w:val="en-US"/>
        </w:rPr>
        <w:t>Health and welfare</w:t>
      </w:r>
      <w:bookmarkStart w:id="11" w:name="_Toc468426405"/>
      <w:bookmarkEnd w:id="10"/>
      <w:r w:rsidRPr="001125DF">
        <w:rPr>
          <w:rFonts w:eastAsia="Times New Roman"/>
        </w:rPr>
        <w:t>Learners in Senior Secondary Schools with Special Education Needs by Sex, Status and Region</w:t>
      </w:r>
      <w:bookmarkEnd w:id="11"/>
      <w:r w:rsidRPr="001125DF">
        <w:rPr>
          <w:rFonts w:eastAsia="Times New Roman"/>
        </w:rPr>
        <w:t xml:space="preserve"> </w:t>
      </w:r>
    </w:p>
    <w:tbl>
      <w:tblPr>
        <w:tblW w:w="4611" w:type="pct"/>
        <w:tblLook w:val="04A0" w:firstRow="1" w:lastRow="0" w:firstColumn="1" w:lastColumn="0" w:noHBand="0" w:noVBand="1"/>
      </w:tblPr>
      <w:tblGrid>
        <w:gridCol w:w="1988"/>
        <w:gridCol w:w="2515"/>
        <w:gridCol w:w="1842"/>
        <w:gridCol w:w="1845"/>
        <w:gridCol w:w="2268"/>
        <w:gridCol w:w="2268"/>
        <w:gridCol w:w="1983"/>
      </w:tblGrid>
      <w:tr w:rsidR="00CC1900" w:rsidRPr="003E70FF" w:rsidTr="00FC5E5A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Gender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SEN Need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Hhohho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Lubombo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Manzini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Shiselweni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Grand Total 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Female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Hearing impaired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Learning Disability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Other Impairment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Physical Disability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Visually Impaired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558</w:t>
            </w:r>
          </w:p>
        </w:tc>
      </w:tr>
      <w:tr w:rsidR="00CC1900" w:rsidRPr="003E70FF" w:rsidTr="00FC5E5A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Female Total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346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823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Hearing impaired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Learning Disability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Other Impairment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Physical Disability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CC1900" w:rsidRPr="003E70FF" w:rsidTr="00FC5E5A">
        <w:trPr>
          <w:trHeight w:val="30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Visually Impaired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AF37D5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AF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337</w:t>
            </w:r>
          </w:p>
        </w:tc>
      </w:tr>
      <w:tr w:rsidR="00CC1900" w:rsidRPr="003E70FF" w:rsidTr="00FC5E5A">
        <w:trPr>
          <w:trHeight w:val="111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Male Total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231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547</w:t>
            </w:r>
          </w:p>
        </w:tc>
      </w:tr>
      <w:tr w:rsidR="00CC1900" w:rsidRPr="003E70FF" w:rsidTr="00FC5E5A">
        <w:trPr>
          <w:trHeight w:val="6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Grand Total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577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1370</w:t>
            </w:r>
          </w:p>
        </w:tc>
      </w:tr>
    </w:tbl>
    <w:p w:rsidR="00CC1900" w:rsidRPr="00492401" w:rsidRDefault="00CC1900" w:rsidP="00CC1900">
      <w:pPr>
        <w:pStyle w:val="Heading3"/>
        <w:rPr>
          <w:rFonts w:eastAsia="Times New Roman"/>
          <w:sz w:val="32"/>
          <w:szCs w:val="32"/>
        </w:rPr>
      </w:pPr>
      <w:r w:rsidRPr="002E469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Source:</w:t>
      </w:r>
      <w:r w:rsidRPr="002E469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2014 Annual Education Census Report </w:t>
      </w:r>
      <w:r w:rsidRPr="00492401">
        <w:rPr>
          <w:rFonts w:eastAsia="Times New Roman"/>
          <w:b/>
          <w:sz w:val="32"/>
          <w:szCs w:val="32"/>
        </w:rPr>
        <w:t>PART 7-7.1</w:t>
      </w:r>
      <w:r>
        <w:rPr>
          <w:rFonts w:eastAsia="Times New Roman"/>
          <w:b/>
          <w:sz w:val="32"/>
          <w:szCs w:val="32"/>
        </w:rPr>
        <w:t xml:space="preserve"> A</w:t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3E70FF" w:rsidRDefault="00CC1900" w:rsidP="00620834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12" w:name="_Toc468426406"/>
      <w:r w:rsidRPr="00766BD1">
        <w:rPr>
          <w:rFonts w:eastAsia="Times New Roman"/>
          <w:b/>
          <w:sz w:val="32"/>
          <w:szCs w:val="32"/>
        </w:rPr>
        <w:lastRenderedPageBreak/>
        <w:t>Learners in Secondary Schools with Special Education Needs by Sex, Status and Region</w:t>
      </w:r>
      <w:bookmarkEnd w:id="12"/>
      <w:r w:rsidRPr="00766BD1">
        <w:rPr>
          <w:rFonts w:eastAsia="Times New Roman"/>
          <w:b/>
          <w:sz w:val="32"/>
          <w:szCs w:val="3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8"/>
        <w:gridCol w:w="3279"/>
        <w:gridCol w:w="2067"/>
        <w:gridCol w:w="2070"/>
        <w:gridCol w:w="2070"/>
        <w:gridCol w:w="2109"/>
        <w:gridCol w:w="2287"/>
      </w:tblGrid>
      <w:tr w:rsidR="00CC1900" w:rsidRPr="003E70FF" w:rsidTr="00CC1900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Gender 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SEN Need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Hhohho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Lubombo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Manzini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Shiselweni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Grand Total 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Female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Hearing impaired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284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Learning Disability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104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Other Impairment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253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Physical Disability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Visually Impaired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1090</w:t>
            </w:r>
          </w:p>
        </w:tc>
      </w:tr>
      <w:tr w:rsidR="00CC1900" w:rsidRPr="003E70FF" w:rsidTr="00CC1900">
        <w:trPr>
          <w:trHeight w:val="300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Female Total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262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1777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Male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Hearing impaired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217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Learning Disability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Other Impairment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156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Physical Disability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</w:tr>
      <w:tr w:rsidR="00CC1900" w:rsidRPr="003E70FF" w:rsidTr="00CC1900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Visually Impaired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126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738</w:t>
            </w:r>
          </w:p>
        </w:tc>
      </w:tr>
      <w:tr w:rsidR="00CC1900" w:rsidRPr="003E70FF" w:rsidTr="00CC1900">
        <w:trPr>
          <w:trHeight w:val="300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Male Total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363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1249</w:t>
            </w:r>
          </w:p>
        </w:tc>
      </w:tr>
      <w:tr w:rsidR="00CC1900" w:rsidRPr="003E70FF" w:rsidTr="00CC1900">
        <w:trPr>
          <w:trHeight w:val="300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Grand Total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861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461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469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3026</w:t>
            </w:r>
          </w:p>
        </w:tc>
      </w:tr>
    </w:tbl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2014 Annual Education Census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7-7.1</w:t>
      </w:r>
      <w:r>
        <w:rPr>
          <w:rFonts w:eastAsia="Times New Roman"/>
          <w:b/>
          <w:sz w:val="32"/>
          <w:szCs w:val="32"/>
        </w:rPr>
        <w:t xml:space="preserve"> B</w:t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E5A" w:rsidRDefault="00FC5E5A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E5A" w:rsidRDefault="00FC5E5A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E5A" w:rsidRDefault="00FC5E5A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766BD1" w:rsidRDefault="00CC1900" w:rsidP="002E469D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</w:rPr>
      </w:pPr>
      <w:bookmarkStart w:id="13" w:name="_Toc468426407"/>
      <w:r w:rsidRPr="00766BD1">
        <w:rPr>
          <w:rFonts w:eastAsia="Times New Roman"/>
          <w:b/>
        </w:rPr>
        <w:lastRenderedPageBreak/>
        <w:t>Learners in Primary Level with Special Education Needs by Sex, Status and Region</w:t>
      </w:r>
      <w:bookmarkEnd w:id="13"/>
    </w:p>
    <w:tbl>
      <w:tblPr>
        <w:tblW w:w="8995" w:type="dxa"/>
        <w:tblLook w:val="04A0" w:firstRow="1" w:lastRow="0" w:firstColumn="1" w:lastColumn="0" w:noHBand="0" w:noVBand="1"/>
      </w:tblPr>
      <w:tblGrid>
        <w:gridCol w:w="1460"/>
        <w:gridCol w:w="2855"/>
        <w:gridCol w:w="1620"/>
        <w:gridCol w:w="3060"/>
      </w:tblGrid>
      <w:tr w:rsidR="00CC1900" w:rsidRPr="003E70FF" w:rsidTr="00CC1900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Gender 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SEN Need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Female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Hearing impaired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780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Learning Disability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680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Other Impairment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143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Physical Disability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165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Visually Impaired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1096</w:t>
            </w:r>
          </w:p>
        </w:tc>
      </w:tr>
      <w:tr w:rsidR="00CC1900" w:rsidRPr="003E70FF" w:rsidTr="00CC1900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Female Total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2864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Male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Hearing impaired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673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Learning Disability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1058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Other Impairment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152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Physical Disability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272</w:t>
            </w:r>
          </w:p>
        </w:tc>
      </w:tr>
      <w:tr w:rsidR="00CC1900" w:rsidRPr="003E70FF" w:rsidTr="00CC1900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Visually Impaired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1049</w:t>
            </w:r>
          </w:p>
        </w:tc>
      </w:tr>
      <w:tr w:rsidR="00CC1900" w:rsidRPr="003E70FF" w:rsidTr="00CC1900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Male Total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3204</w:t>
            </w:r>
          </w:p>
        </w:tc>
      </w:tr>
      <w:tr w:rsidR="00CC1900" w:rsidRPr="003E70FF" w:rsidTr="00CC1900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Grand Total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3319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6068</w:t>
            </w:r>
          </w:p>
        </w:tc>
      </w:tr>
    </w:tbl>
    <w:p w:rsidR="00CC1900" w:rsidRPr="00FC5E5A" w:rsidRDefault="00CC1900" w:rsidP="00FC5E5A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Source: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 2014 Annual Education Census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7-7.1</w:t>
      </w:r>
      <w:r>
        <w:rPr>
          <w:rFonts w:eastAsia="Times New Roman"/>
          <w:b/>
          <w:sz w:val="32"/>
          <w:szCs w:val="32"/>
        </w:rPr>
        <w:t>C</w:t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14" w:name="_Toc468426408"/>
      <w:r w:rsidRPr="00766BD1">
        <w:rPr>
          <w:rFonts w:eastAsia="Times New Roman"/>
          <w:b/>
          <w:sz w:val="32"/>
          <w:szCs w:val="32"/>
        </w:rPr>
        <w:t>Infant and Under 5 Mortality Rates (per 1,000 live births)</w:t>
      </w:r>
      <w:bookmarkEnd w:id="14"/>
      <w:r w:rsidRPr="00766BD1">
        <w:rPr>
          <w:rFonts w:eastAsia="Times New Roman"/>
          <w:b/>
          <w:sz w:val="32"/>
          <w:szCs w:val="32"/>
        </w:rPr>
        <w:t xml:space="preserve"> </w:t>
      </w:r>
    </w:p>
    <w:tbl>
      <w:tblPr>
        <w:tblW w:w="8815" w:type="dxa"/>
        <w:tblLook w:val="04A0" w:firstRow="1" w:lastRow="0" w:firstColumn="1" w:lastColumn="0" w:noHBand="0" w:noVBand="1"/>
      </w:tblPr>
      <w:tblGrid>
        <w:gridCol w:w="2520"/>
        <w:gridCol w:w="3235"/>
        <w:gridCol w:w="3060"/>
      </w:tblGrid>
      <w:tr w:rsidR="00CC1900" w:rsidRPr="003E70FF" w:rsidTr="00CC190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Child Mortality 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Year </w:t>
            </w:r>
          </w:p>
        </w:tc>
      </w:tr>
      <w:tr w:rsidR="00CC1900" w:rsidRPr="003E70FF" w:rsidTr="00CC190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Infant Mortality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</w:tr>
      <w:tr w:rsidR="00CC1900" w:rsidRPr="003E70FF" w:rsidTr="00CC190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Under five mortality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</w:tr>
    </w:tbl>
    <w:p w:rsidR="00CC1900" w:rsidRPr="003E70FF" w:rsidRDefault="00CC1900" w:rsidP="00CC1900">
      <w:pPr>
        <w:pStyle w:val="Heading3"/>
        <w:rPr>
          <w:rFonts w:eastAsia="Times New Roman"/>
        </w:rPr>
      </w:pPr>
      <w:r w:rsidRPr="003E70FF">
        <w:rPr>
          <w:rFonts w:ascii="Times New Roman" w:eastAsia="Times New Roman" w:hAnsi="Times New Roman" w:cs="Times New Roman"/>
          <w:sz w:val="20"/>
          <w:szCs w:val="20"/>
        </w:rPr>
        <w:t>Source: 2010 and 2014 Swaziland MICS Comparative Report</w:t>
      </w:r>
      <w:r w:rsidRPr="00492401">
        <w:rPr>
          <w:rFonts w:eastAsia="Times New Roman"/>
          <w:b/>
          <w:sz w:val="32"/>
          <w:szCs w:val="32"/>
        </w:rPr>
        <w:t xml:space="preserve"> PART 7-7.</w:t>
      </w:r>
      <w:r>
        <w:rPr>
          <w:rFonts w:eastAsia="Times New Roman"/>
          <w:b/>
          <w:sz w:val="32"/>
          <w:szCs w:val="32"/>
        </w:rPr>
        <w:t>3 A</w:t>
      </w:r>
    </w:p>
    <w:p w:rsidR="00CC1900" w:rsidRPr="003E70FF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0FF">
        <w:rPr>
          <w:rFonts w:ascii="Times New Roman" w:eastAsia="Times New Roman" w:hAnsi="Times New Roman" w:cs="Times New Roman"/>
          <w:noProof/>
          <w:sz w:val="20"/>
          <w:szCs w:val="20"/>
          <w:lang w:val="en-ZA" w:eastAsia="en-ZA"/>
        </w:rPr>
        <w:lastRenderedPageBreak/>
        <w:drawing>
          <wp:inline distT="0" distB="0" distL="0" distR="0" wp14:anchorId="74701505" wp14:editId="0AE36691">
            <wp:extent cx="5248275" cy="2743200"/>
            <wp:effectExtent l="0" t="0" r="9525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2010 and 2014 Swaziland MICS Comparative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B</w:t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15" w:name="_Toc468426409"/>
      <w:r w:rsidRPr="00766BD1">
        <w:rPr>
          <w:rFonts w:eastAsia="Times New Roman"/>
          <w:b/>
          <w:sz w:val="32"/>
          <w:szCs w:val="32"/>
        </w:rPr>
        <w:t>The proportion of children with low birth weight</w:t>
      </w:r>
      <w:bookmarkEnd w:id="15"/>
      <w:r w:rsidRPr="00766BD1">
        <w:rPr>
          <w:rFonts w:eastAsia="Times New Roman"/>
          <w:b/>
          <w:sz w:val="32"/>
          <w:szCs w:val="32"/>
        </w:rPr>
        <w:t xml:space="preserve"> 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680"/>
        <w:gridCol w:w="2260"/>
        <w:gridCol w:w="1600"/>
        <w:gridCol w:w="1660"/>
      </w:tblGrid>
      <w:tr w:rsidR="00CC1900" w:rsidRPr="003E70FF" w:rsidTr="00CC1900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Indicator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Low birth weight infants  (&lt;2.5kg)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7.8%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8.0%</w:t>
            </w:r>
          </w:p>
        </w:tc>
      </w:tr>
      <w:tr w:rsidR="00CC1900" w:rsidRPr="003E70FF" w:rsidTr="00CC190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Infants weighted at birth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91.3%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92.3%</w:t>
            </w:r>
          </w:p>
        </w:tc>
      </w:tr>
    </w:tbl>
    <w:p w:rsidR="00CC1900" w:rsidRPr="003E70FF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2006/7 SDHS, 2010 and 2014 Swaziland MICS Comparative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C</w:t>
      </w: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16" w:name="_Toc468426410"/>
      <w:r w:rsidRPr="00766BD1">
        <w:rPr>
          <w:rFonts w:eastAsia="Times New Roman"/>
          <w:b/>
          <w:sz w:val="32"/>
          <w:szCs w:val="32"/>
        </w:rPr>
        <w:lastRenderedPageBreak/>
        <w:t>The proportion of children with moderate and severe underweight, wasting and stunting</w:t>
      </w:r>
      <w:bookmarkEnd w:id="16"/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2520"/>
        <w:gridCol w:w="2691"/>
        <w:gridCol w:w="1701"/>
        <w:gridCol w:w="1843"/>
        <w:gridCol w:w="2552"/>
      </w:tblGrid>
      <w:tr w:rsidR="00CC1900" w:rsidRPr="003E70FF" w:rsidTr="00CC190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Nutritional Status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2007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 (%)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 (%)</w:t>
            </w:r>
          </w:p>
        </w:tc>
      </w:tr>
      <w:tr w:rsidR="00CC1900" w:rsidRPr="003E70FF" w:rsidTr="00CC1900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Underweight  prevalence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Moderate and 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5.8</w:t>
            </w:r>
          </w:p>
        </w:tc>
      </w:tr>
      <w:tr w:rsidR="00CC1900" w:rsidRPr="003E70FF" w:rsidTr="00CC1900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1.6</w:t>
            </w:r>
          </w:p>
        </w:tc>
      </w:tr>
      <w:tr w:rsidR="00CC1900" w:rsidRPr="003E70FF" w:rsidTr="00CC1900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Stunting  prevalence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Moderate and 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30.9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25.5</w:t>
            </w:r>
          </w:p>
        </w:tc>
      </w:tr>
      <w:tr w:rsidR="00CC1900" w:rsidRPr="003E70FF" w:rsidTr="00CC1900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7.2</w:t>
            </w:r>
          </w:p>
        </w:tc>
      </w:tr>
      <w:tr w:rsidR="00CC1900" w:rsidRPr="003E70FF" w:rsidTr="00CC1900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Wasting Prevalence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Moderate and 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CC1900" w:rsidRPr="003E70FF" w:rsidTr="00CC1900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</w:tr>
      <w:tr w:rsidR="00CC1900" w:rsidRPr="003E70FF" w:rsidTr="00CC1900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Overweight prevalence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Moderate and 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CC1900" w:rsidRPr="003E70FF" w:rsidTr="00CC1900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Severe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: 2006/7 SDHS, 2010 and 2014 MICS Reports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D</w:t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17" w:name="_Toc468426411"/>
      <w:r w:rsidRPr="00766BD1">
        <w:rPr>
          <w:rFonts w:eastAsia="Times New Roman"/>
          <w:b/>
          <w:sz w:val="32"/>
          <w:szCs w:val="32"/>
        </w:rPr>
        <w:t>The percentage of households without access to hygienic sanitation facilities and access to safe drinking water</w:t>
      </w:r>
      <w:bookmarkEnd w:id="17"/>
    </w:p>
    <w:tbl>
      <w:tblPr>
        <w:tblW w:w="14567" w:type="dxa"/>
        <w:tblLook w:val="04A0" w:firstRow="1" w:lastRow="0" w:firstColumn="1" w:lastColumn="0" w:noHBand="0" w:noVBand="1"/>
      </w:tblPr>
      <w:tblGrid>
        <w:gridCol w:w="5495"/>
        <w:gridCol w:w="2693"/>
        <w:gridCol w:w="3969"/>
        <w:gridCol w:w="2410"/>
      </w:tblGrid>
      <w:tr w:rsidR="00CC1900" w:rsidRPr="003E70FF" w:rsidTr="00CC190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Indicator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Use of improved drinking water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69.8%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67.3%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72.0%</w:t>
            </w:r>
          </w:p>
        </w:tc>
      </w:tr>
      <w:tr w:rsidR="00CC1900" w:rsidRPr="003E70FF" w:rsidTr="00CC1900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Water treatment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11.2%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15.0%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16.8%</w:t>
            </w:r>
          </w:p>
        </w:tc>
      </w:tr>
      <w:tr w:rsidR="00CC1900" w:rsidRPr="003E70FF" w:rsidTr="00CC1900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Use of improved sanitation facilities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49.4%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53.8%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53.0%</w:t>
            </w:r>
          </w:p>
        </w:tc>
      </w:tr>
    </w:tbl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: 2006/7 SDHS, 2010 and 2014 MICS </w:t>
      </w:r>
      <w:proofErr w:type="gramStart"/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Reports  </w:t>
      </w:r>
      <w:r w:rsidRPr="00492401">
        <w:rPr>
          <w:rFonts w:eastAsia="Times New Roman"/>
          <w:b/>
          <w:sz w:val="32"/>
          <w:szCs w:val="32"/>
        </w:rPr>
        <w:t>PART</w:t>
      </w:r>
      <w:proofErr w:type="gramEnd"/>
      <w:r w:rsidRPr="00492401">
        <w:rPr>
          <w:rFonts w:eastAsia="Times New Roman"/>
          <w:b/>
          <w:sz w:val="32"/>
          <w:szCs w:val="32"/>
        </w:rPr>
        <w:t xml:space="preserve"> 7-7.</w:t>
      </w:r>
      <w:r>
        <w:rPr>
          <w:rFonts w:eastAsia="Times New Roman"/>
          <w:b/>
          <w:sz w:val="32"/>
          <w:szCs w:val="32"/>
        </w:rPr>
        <w:t>3 E</w:t>
      </w: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18" w:name="_Toc468426412"/>
      <w:r w:rsidRPr="00766BD1">
        <w:rPr>
          <w:rFonts w:eastAsia="Times New Roman"/>
          <w:b/>
          <w:sz w:val="32"/>
          <w:szCs w:val="32"/>
        </w:rPr>
        <w:t>Proportion of Children fully immunized by the age of one</w:t>
      </w:r>
      <w:bookmarkEnd w:id="18"/>
      <w:r w:rsidRPr="00766BD1">
        <w:rPr>
          <w:rFonts w:eastAsia="Times New Roman"/>
          <w:b/>
          <w:sz w:val="32"/>
          <w:szCs w:val="32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415"/>
        <w:gridCol w:w="835"/>
        <w:gridCol w:w="764"/>
        <w:gridCol w:w="764"/>
      </w:tblGrid>
      <w:tr w:rsidR="00CC1900" w:rsidRPr="00134E1A" w:rsidTr="00CC190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134E1A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34E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Vaccine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134E1A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34E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134E1A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34E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134E1A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34E1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Tuberculosis immunization (BCG)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97.0%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98.2%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98.4%</w:t>
            </w:r>
          </w:p>
        </w:tc>
      </w:tr>
      <w:tr w:rsidR="00CC1900" w:rsidRPr="003E70FF" w:rsidTr="00CC19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Polio immunization (OPV)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85.9%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85.0%</w:t>
            </w:r>
          </w:p>
        </w:tc>
      </w:tr>
      <w:tr w:rsidR="00CC1900" w:rsidRPr="003E70FF" w:rsidTr="00CC19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diphtheria, pertussis, tetanus (Dpt3) and HepB3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91.6%</w:t>
            </w:r>
          </w:p>
        </w:tc>
      </w:tr>
      <w:tr w:rsidR="00CC1900" w:rsidRPr="003E70FF" w:rsidTr="00CC19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Measles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82.7%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97.8%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91.4%</w:t>
            </w:r>
          </w:p>
        </w:tc>
      </w:tr>
      <w:tr w:rsidR="00CC1900" w:rsidRPr="003E70FF" w:rsidTr="002E469D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Fully immunized (Vaccinations recommended in the national immunization schedule by their  first birthday (measles by second birthday)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73.7%</w:t>
            </w:r>
            <w:r w:rsidRPr="003E70FF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83.1%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75.0%</w:t>
            </w:r>
          </w:p>
        </w:tc>
      </w:tr>
    </w:tbl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: 2006/7 SDHS, 2010 and 2014 MICS Reports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F</w:t>
      </w: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E5A" w:rsidRPr="003E70FF" w:rsidRDefault="00FC5E5A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19" w:name="_Toc468426413"/>
      <w:r w:rsidRPr="00766BD1">
        <w:rPr>
          <w:rFonts w:eastAsia="Times New Roman"/>
          <w:b/>
          <w:sz w:val="32"/>
          <w:szCs w:val="32"/>
        </w:rPr>
        <w:t>The rates of maternal mortality</w:t>
      </w:r>
      <w:bookmarkEnd w:id="19"/>
    </w:p>
    <w:tbl>
      <w:tblPr>
        <w:tblW w:w="4700" w:type="pct"/>
        <w:tblLook w:val="04A0" w:firstRow="1" w:lastRow="0" w:firstColumn="1" w:lastColumn="0" w:noHBand="0" w:noVBand="1"/>
      </w:tblPr>
      <w:tblGrid>
        <w:gridCol w:w="7904"/>
        <w:gridCol w:w="4537"/>
        <w:gridCol w:w="849"/>
        <w:gridCol w:w="1703"/>
      </w:tblGrid>
      <w:tr w:rsidR="00CC1900" w:rsidRPr="003E70FF" w:rsidTr="00FC5E5A">
        <w:trPr>
          <w:trHeight w:val="30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Indicator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FC5E5A">
        <w:trPr>
          <w:trHeight w:val="300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Maternal mortality ratio per 100,000 live Births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593</w:t>
            </w:r>
          </w:p>
        </w:tc>
      </w:tr>
    </w:tbl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2012 and 2015 Swaziland MDG Progress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G</w:t>
      </w: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0FF">
        <w:rPr>
          <w:rFonts w:ascii="Times New Roman" w:eastAsia="Times New Roman" w:hAnsi="Times New Roman" w:cs="Times New Roman"/>
          <w:noProof/>
          <w:sz w:val="20"/>
          <w:szCs w:val="20"/>
          <w:lang w:val="en-ZA" w:eastAsia="en-ZA"/>
        </w:rPr>
        <w:lastRenderedPageBreak/>
        <w:drawing>
          <wp:inline distT="0" distB="0" distL="0" distR="0" wp14:anchorId="07579255" wp14:editId="4595764F">
            <wp:extent cx="5772150" cy="2743200"/>
            <wp:effectExtent l="0" t="0" r="0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2012 and 2015 Swaziland MDG Progress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H</w:t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C1900" w:rsidRDefault="00CC1900" w:rsidP="002E469D">
      <w:pPr>
        <w:suppressAutoHyphens/>
        <w:spacing w:after="120" w:line="276" w:lineRule="auto"/>
        <w:ind w:right="2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E469D" w:rsidRDefault="002E469D" w:rsidP="002E469D">
      <w:pPr>
        <w:suppressAutoHyphens/>
        <w:spacing w:after="120" w:line="276" w:lineRule="auto"/>
        <w:ind w:right="2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E5A" w:rsidRDefault="00FC5E5A" w:rsidP="002E469D">
      <w:pPr>
        <w:suppressAutoHyphens/>
        <w:spacing w:after="120" w:line="276" w:lineRule="auto"/>
        <w:ind w:right="2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E5A" w:rsidRDefault="00FC5E5A" w:rsidP="002E469D">
      <w:pPr>
        <w:suppressAutoHyphens/>
        <w:spacing w:after="120" w:line="276" w:lineRule="auto"/>
        <w:ind w:right="2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E5A" w:rsidRDefault="00FC5E5A" w:rsidP="002E469D">
      <w:pPr>
        <w:suppressAutoHyphens/>
        <w:spacing w:after="120" w:line="276" w:lineRule="auto"/>
        <w:ind w:right="2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E5A" w:rsidRDefault="00FC5E5A" w:rsidP="002E469D">
      <w:pPr>
        <w:suppressAutoHyphens/>
        <w:spacing w:after="120" w:line="276" w:lineRule="auto"/>
        <w:ind w:right="2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E5A" w:rsidRPr="003E70FF" w:rsidRDefault="00FC5E5A" w:rsidP="002E469D">
      <w:pPr>
        <w:suppressAutoHyphens/>
        <w:spacing w:after="120" w:line="276" w:lineRule="auto"/>
        <w:ind w:right="2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20" w:name="_Toc468426414"/>
      <w:r w:rsidRPr="00766BD1">
        <w:rPr>
          <w:rFonts w:eastAsia="Times New Roman"/>
          <w:b/>
          <w:sz w:val="32"/>
          <w:szCs w:val="32"/>
        </w:rPr>
        <w:lastRenderedPageBreak/>
        <w:t>The proportion of pregnant women who have access to prenatal and postnatal health care</w:t>
      </w:r>
      <w:bookmarkEnd w:id="20"/>
    </w:p>
    <w:tbl>
      <w:tblPr>
        <w:tblW w:w="14709" w:type="dxa"/>
        <w:tblLook w:val="04A0" w:firstRow="1" w:lastRow="0" w:firstColumn="1" w:lastColumn="0" w:noHBand="0" w:noVBand="1"/>
      </w:tblPr>
      <w:tblGrid>
        <w:gridCol w:w="6345"/>
        <w:gridCol w:w="3686"/>
        <w:gridCol w:w="4678"/>
      </w:tblGrid>
      <w:tr w:rsidR="00CC1900" w:rsidRPr="003E70FF" w:rsidTr="00CC1900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Indicator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52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Proportion with at least one ANC visit by a skilled professional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96.8%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98.5%</w:t>
            </w:r>
          </w:p>
        </w:tc>
      </w:tr>
      <w:tr w:rsidR="00CC1900" w:rsidRPr="003E70FF" w:rsidTr="00CC1900">
        <w:trPr>
          <w:trHeight w:val="54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Proportion with at least four ANC visit by any provider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76.6%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76.1%</w:t>
            </w:r>
          </w:p>
        </w:tc>
      </w:tr>
      <w:tr w:rsidR="00CC1900" w:rsidRPr="003E70FF" w:rsidTr="00CC1900">
        <w:trPr>
          <w:trHeight w:val="12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Percentage of women age 15-49 year with a live birth in the last 2 years who had their blood pressure measured and gave urine and blood samples during the last pregnancy that led to a live birth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80.6%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90.0%</w:t>
            </w:r>
          </w:p>
        </w:tc>
      </w:tr>
      <w:tr w:rsidR="00CC1900" w:rsidRPr="003E70FF" w:rsidTr="00CC1900">
        <w:trPr>
          <w:trHeight w:val="9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age 15-49 years with a live birth In the last 2 years who were attended by skilled health personnel during their most recent live birth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82.0%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88.3%</w:t>
            </w:r>
          </w:p>
        </w:tc>
      </w:tr>
      <w:tr w:rsidR="00CC1900" w:rsidRPr="003E70FF" w:rsidTr="00CC1900">
        <w:trPr>
          <w:trHeight w:val="9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age 15-49 years with a live birth in the last 2 years whose most recent live birth was delivered in a health facility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80.4%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87.7%</w:t>
            </w:r>
          </w:p>
        </w:tc>
      </w:tr>
      <w:tr w:rsidR="00CC1900" w:rsidRPr="003E70FF" w:rsidTr="00CC1900">
        <w:trPr>
          <w:trHeight w:val="9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age 15-49 years whose most recent live birth in the last 2 years was delivered by caesarean section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12.3%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11.6%</w:t>
            </w:r>
          </w:p>
        </w:tc>
      </w:tr>
    </w:tbl>
    <w:p w:rsidR="00CC1900" w:rsidRPr="00492401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 2010 and 2014 Swaziland MICS Comparative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3I</w:t>
      </w: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3E70FF" w:rsidRDefault="00CC1900" w:rsidP="00CC1900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r w:rsidRPr="003E70FF">
        <w:rPr>
          <w:rFonts w:eastAsia="Times New Roman"/>
        </w:rPr>
        <w:lastRenderedPageBreak/>
        <w:t xml:space="preserve"> </w:t>
      </w:r>
      <w:bookmarkStart w:id="21" w:name="_Toc468426415"/>
      <w:r w:rsidRPr="00766BD1">
        <w:rPr>
          <w:rFonts w:eastAsia="Times New Roman"/>
          <w:b/>
          <w:sz w:val="32"/>
          <w:szCs w:val="32"/>
        </w:rPr>
        <w:t>Post-natal health Checks</w:t>
      </w:r>
      <w:bookmarkEnd w:id="21"/>
      <w:r w:rsidRPr="00766BD1">
        <w:rPr>
          <w:rFonts w:eastAsia="Times New Roman"/>
          <w:b/>
          <w:sz w:val="32"/>
          <w:szCs w:val="32"/>
        </w:rPr>
        <w:t xml:space="preserve"> </w:t>
      </w:r>
    </w:p>
    <w:tbl>
      <w:tblPr>
        <w:tblW w:w="14440" w:type="dxa"/>
        <w:tblLook w:val="04A0" w:firstRow="1" w:lastRow="0" w:firstColumn="1" w:lastColumn="0" w:noHBand="0" w:noVBand="1"/>
      </w:tblPr>
      <w:tblGrid>
        <w:gridCol w:w="10474"/>
        <w:gridCol w:w="3966"/>
      </w:tblGrid>
      <w:tr w:rsidR="00CC1900" w:rsidRPr="003E70FF" w:rsidTr="00CC1900">
        <w:trPr>
          <w:trHeight w:val="30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Indicator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900"/>
        </w:trPr>
        <w:tc>
          <w:tcPr>
            <w:tcW w:w="10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age 15-49 years who stayed in the health facility for 12 hours or more after the delivery of their most recent live birth in the last 2 years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90.2%</w:t>
            </w:r>
          </w:p>
        </w:tc>
      </w:tr>
      <w:tr w:rsidR="00CC1900" w:rsidRPr="003E70FF" w:rsidTr="00CC1900">
        <w:trPr>
          <w:trHeight w:val="862"/>
        </w:trPr>
        <w:tc>
          <w:tcPr>
            <w:tcW w:w="10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last live births in the last 2 years who received a health check while in facility or at home following delivery, or a post-natal care visit within 2 days after delivery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90.1%</w:t>
            </w:r>
          </w:p>
        </w:tc>
      </w:tr>
      <w:tr w:rsidR="00CC1900" w:rsidRPr="003E70FF" w:rsidTr="00CC1900">
        <w:trPr>
          <w:trHeight w:val="987"/>
        </w:trPr>
        <w:tc>
          <w:tcPr>
            <w:tcW w:w="10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age 15-49 years who received a health check while in facility or at home following delivery, or a post-natal care visit within 2 days after delivery of their most recent live birth in the last 2 years 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87.2%</w:t>
            </w:r>
          </w:p>
        </w:tc>
      </w:tr>
    </w:tbl>
    <w:p w:rsidR="00CC1900" w:rsidRPr="00E91407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 xml:space="preserve">: 2014 Swaziland MICS Comparative Report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J</w:t>
      </w:r>
    </w:p>
    <w:p w:rsidR="00CC1900" w:rsidRPr="00766BD1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r w:rsidRPr="003E70FF">
        <w:rPr>
          <w:rFonts w:eastAsia="Times New Roman"/>
        </w:rPr>
        <w:t xml:space="preserve"> </w:t>
      </w:r>
      <w:bookmarkStart w:id="22" w:name="_Toc468426416"/>
      <w:r w:rsidRPr="00766BD1">
        <w:rPr>
          <w:rFonts w:eastAsia="Times New Roman"/>
          <w:b/>
          <w:sz w:val="32"/>
          <w:szCs w:val="32"/>
        </w:rPr>
        <w:t>The proportion of mothers who practise exclusive breastfeeding</w:t>
      </w:r>
      <w:bookmarkEnd w:id="22"/>
      <w:r w:rsidRPr="00766BD1">
        <w:rPr>
          <w:rFonts w:eastAsia="Times New Roman"/>
          <w:b/>
          <w:sz w:val="32"/>
          <w:szCs w:val="32"/>
        </w:rPr>
        <w:t xml:space="preserve"> </w:t>
      </w:r>
    </w:p>
    <w:tbl>
      <w:tblPr>
        <w:tblW w:w="14703" w:type="dxa"/>
        <w:tblLook w:val="04A0" w:firstRow="1" w:lastRow="0" w:firstColumn="1" w:lastColumn="0" w:noHBand="0" w:noVBand="1"/>
      </w:tblPr>
      <w:tblGrid>
        <w:gridCol w:w="9385"/>
        <w:gridCol w:w="2755"/>
        <w:gridCol w:w="2563"/>
      </w:tblGrid>
      <w:tr w:rsidR="00CC1900" w:rsidRPr="00766BD1" w:rsidTr="00CC1900">
        <w:trPr>
          <w:trHeight w:val="299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766BD1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66B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Indicator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766BD1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66B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2010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766BD1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66B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2014</w:t>
            </w:r>
          </w:p>
        </w:tc>
      </w:tr>
      <w:tr w:rsidR="00CC1900" w:rsidRPr="003E70FF" w:rsidTr="00CC1900">
        <w:trPr>
          <w:trHeight w:val="598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with a live birth in the last 2 years who breast fed their last live -born child at anytime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90.9%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92.1%</w:t>
            </w:r>
          </w:p>
        </w:tc>
      </w:tr>
      <w:tr w:rsidR="00CC1900" w:rsidRPr="003E70FF" w:rsidTr="00CC1900">
        <w:trPr>
          <w:trHeight w:val="594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with a live birth in the last 2 years who put their last new born to the breast within one hour of birth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54.5%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48.3%</w:t>
            </w:r>
          </w:p>
        </w:tc>
      </w:tr>
      <w:tr w:rsidR="00CC1900" w:rsidRPr="003E70FF" w:rsidTr="00CC1900">
        <w:trPr>
          <w:trHeight w:val="598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Percentage of infants under 6 months of age who are exclusively breast fed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44.1%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63.8%</w:t>
            </w:r>
          </w:p>
        </w:tc>
      </w:tr>
      <w:tr w:rsidR="00CC1900" w:rsidRPr="003E70FF" w:rsidTr="00CC1900">
        <w:trPr>
          <w:trHeight w:val="771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Percentage of infants under 6 months of age who received breast milk as the predominant source of  nourishment during the previous day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59.2%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70.2%</w:t>
            </w:r>
          </w:p>
        </w:tc>
      </w:tr>
      <w:tr w:rsidR="00CC1900" w:rsidRPr="003E70FF" w:rsidTr="00CC1900">
        <w:trPr>
          <w:trHeight w:val="598"/>
        </w:trPr>
        <w:tc>
          <w:tcPr>
            <w:tcW w:w="9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children age 12-15 months who received breast milk during the previous day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60.0%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47.8%</w:t>
            </w:r>
          </w:p>
        </w:tc>
      </w:tr>
      <w:tr w:rsidR="00CC1900" w:rsidRPr="003E70FF" w:rsidTr="00CC1900">
        <w:trPr>
          <w:trHeight w:val="70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CC1900" w:rsidRPr="002E469D" w:rsidRDefault="00CC1900" w:rsidP="002E469D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 2010 and 2014 Swaziland MICS Comparative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 w:rsidR="002E469D">
        <w:rPr>
          <w:rFonts w:eastAsia="Times New Roman"/>
          <w:b/>
          <w:sz w:val="32"/>
          <w:szCs w:val="32"/>
        </w:rPr>
        <w:t xml:space="preserve">3 </w:t>
      </w:r>
    </w:p>
    <w:p w:rsidR="00CC1900" w:rsidRPr="00FC0C44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23" w:name="_Toc468426417"/>
      <w:r w:rsidRPr="00FC0C44">
        <w:rPr>
          <w:rFonts w:eastAsia="Times New Roman"/>
          <w:b/>
          <w:sz w:val="32"/>
          <w:szCs w:val="32"/>
        </w:rPr>
        <w:lastRenderedPageBreak/>
        <w:t>Number of Individuals newly enrolled on ART</w:t>
      </w:r>
      <w:bookmarkEnd w:id="23"/>
    </w:p>
    <w:tbl>
      <w:tblPr>
        <w:tblW w:w="4922" w:type="pct"/>
        <w:tblLook w:val="04A0" w:firstRow="1" w:lastRow="0" w:firstColumn="1" w:lastColumn="0" w:noHBand="0" w:noVBand="1"/>
      </w:tblPr>
      <w:tblGrid>
        <w:gridCol w:w="2729"/>
        <w:gridCol w:w="3015"/>
        <w:gridCol w:w="2041"/>
        <w:gridCol w:w="1664"/>
        <w:gridCol w:w="1997"/>
        <w:gridCol w:w="1997"/>
        <w:gridCol w:w="2258"/>
      </w:tblGrid>
      <w:tr w:rsidR="00CC1900" w:rsidRPr="003E70FF" w:rsidTr="00FC5E5A">
        <w:trPr>
          <w:trHeight w:val="68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Region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Age Category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Comments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Hhohho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972672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Sharp decline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3,316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3,514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3,536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3,675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Mild rise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Lubombo</w:t>
            </w:r>
            <w:proofErr w:type="spellEnd"/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Mild decline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2,422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2,336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2,468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3,069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Definite rising trend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Manzini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Mild undulation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4,433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5,916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6,379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7,688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Definite rising trend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Shiselweni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620834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Volatile</w:t>
            </w:r>
            <w:r w:rsidR="00CC190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trend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2,628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2,438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2,830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3,046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Tending upwards trend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Subtotal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1,385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1,234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1,166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1,096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Definite decline</w:t>
            </w:r>
          </w:p>
        </w:tc>
      </w:tr>
      <w:tr w:rsidR="00CC1900" w:rsidRPr="003E70FF" w:rsidTr="00FC5E5A">
        <w:trPr>
          <w:trHeight w:val="296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12,799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14,204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15,213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17,478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900" w:rsidRPr="003E70FF" w:rsidRDefault="00620834" w:rsidP="00620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Remarkable</w:t>
            </w:r>
            <w:r w:rsidR="00CC190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rise</w:t>
            </w:r>
          </w:p>
        </w:tc>
      </w:tr>
      <w:tr w:rsidR="00CC1900" w:rsidRPr="003E70FF" w:rsidTr="00FC5E5A">
        <w:trPr>
          <w:trHeight w:val="296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Grand Total Newly Enrolled on ART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14,184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15,438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16,379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18,574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eastAsia="Times New Roman"/>
          <w:b/>
          <w:sz w:val="32"/>
          <w:szCs w:val="32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Annual HIV Programs Report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L</w:t>
      </w:r>
    </w:p>
    <w:p w:rsidR="00CC1900" w:rsidRPr="0041357C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32"/>
          <w:szCs w:val="32"/>
        </w:rPr>
        <w:t xml:space="preserve"> Comment; </w:t>
      </w:r>
      <w:r w:rsidRPr="0041357C">
        <w:rPr>
          <w:rFonts w:eastAsia="Times New Roman"/>
          <w:b/>
          <w:sz w:val="24"/>
          <w:szCs w:val="24"/>
        </w:rPr>
        <w:t>Adult intake</w:t>
      </w:r>
      <w:r>
        <w:rPr>
          <w:rFonts w:eastAsia="Times New Roman"/>
          <w:b/>
          <w:sz w:val="24"/>
          <w:szCs w:val="24"/>
        </w:rPr>
        <w:t>s</w:t>
      </w:r>
      <w:r w:rsidRPr="0041357C">
        <w:rPr>
          <w:rFonts w:eastAsia="Times New Roman"/>
          <w:b/>
          <w:sz w:val="24"/>
          <w:szCs w:val="24"/>
        </w:rPr>
        <w:t xml:space="preserve"> rising while children new cases reasonably declining over time.</w:t>
      </w:r>
      <w:r>
        <w:rPr>
          <w:rFonts w:eastAsia="Times New Roman"/>
          <w:b/>
          <w:sz w:val="24"/>
          <w:szCs w:val="24"/>
        </w:rPr>
        <w:t xml:space="preserve"> PMTCT interventions may be taking root, but it</w:t>
      </w:r>
      <w:r w:rsidR="002E469D">
        <w:rPr>
          <w:rFonts w:eastAsia="Times New Roman"/>
          <w:b/>
          <w:sz w:val="24"/>
          <w:szCs w:val="24"/>
        </w:rPr>
        <w:t xml:space="preserve"> i</w:t>
      </w:r>
      <w:r>
        <w:rPr>
          <w:rFonts w:eastAsia="Times New Roman"/>
          <w:b/>
          <w:sz w:val="24"/>
          <w:szCs w:val="24"/>
        </w:rPr>
        <w:t>s interesting to note that the young population is shrinking sharply in rural and moderately in urban areas.</w:t>
      </w:r>
    </w:p>
    <w:p w:rsidR="00CC1900" w:rsidRPr="0041357C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3E70FF" w:rsidRDefault="00CC1900" w:rsidP="00FC5E5A">
      <w:pPr>
        <w:suppressAutoHyphens/>
        <w:spacing w:after="120" w:line="276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Pr="00FC0C44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24" w:name="_Toc468426418"/>
      <w:r w:rsidRPr="00FC0C44">
        <w:rPr>
          <w:rFonts w:eastAsia="Times New Roman"/>
          <w:b/>
          <w:sz w:val="32"/>
          <w:szCs w:val="32"/>
        </w:rPr>
        <w:lastRenderedPageBreak/>
        <w:t>Cumulative number of People currently on ART</w:t>
      </w:r>
      <w:bookmarkEnd w:id="24"/>
    </w:p>
    <w:tbl>
      <w:tblPr>
        <w:tblW w:w="4700" w:type="pct"/>
        <w:tblLayout w:type="fixed"/>
        <w:tblLook w:val="04A0" w:firstRow="1" w:lastRow="0" w:firstColumn="1" w:lastColumn="0" w:noHBand="0" w:noVBand="1"/>
      </w:tblPr>
      <w:tblGrid>
        <w:gridCol w:w="2618"/>
        <w:gridCol w:w="2312"/>
        <w:gridCol w:w="2408"/>
        <w:gridCol w:w="1559"/>
        <w:gridCol w:w="2693"/>
        <w:gridCol w:w="3403"/>
      </w:tblGrid>
      <w:tr w:rsidR="002E469D" w:rsidRPr="003E70FF" w:rsidTr="002E469D">
        <w:trPr>
          <w:trHeight w:val="30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Region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Age Category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Hhohho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3,174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3,460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3,752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3,986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25,825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30,597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38,145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41,820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Lubombo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1,993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2,316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2,576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16,408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19,263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21,277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24,296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Manzini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1,941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2,355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2,531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2,934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25,993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33,876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41,293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48,981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Shiselweni</w:t>
            </w:r>
            <w:proofErr w:type="spellEnd"/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1,316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1,522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1,670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1,869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16,645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19,632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22,486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25,532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Subtotal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Children (0-14 )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8,424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9,537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10,269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11,365</w:t>
            </w:r>
          </w:p>
        </w:tc>
      </w:tr>
      <w:tr w:rsidR="002E469D" w:rsidRPr="003E70FF" w:rsidTr="002E469D">
        <w:trPr>
          <w:trHeight w:val="307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Adults (15 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84,871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103,368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123,151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140,629</w:t>
            </w:r>
          </w:p>
        </w:tc>
      </w:tr>
      <w:tr w:rsidR="00CC1900" w:rsidRPr="003E70FF" w:rsidTr="002E469D">
        <w:trPr>
          <w:trHeight w:val="307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Grand Total Newly Enrolled on ART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93,295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112,905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133,420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151,994</w:t>
            </w:r>
          </w:p>
        </w:tc>
      </w:tr>
    </w:tbl>
    <w:p w:rsidR="00CC1900" w:rsidRPr="00E91407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69D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Annual HIV Programs Report 2014</w:t>
      </w:r>
      <w:r w:rsidRPr="003A4A8C">
        <w:rPr>
          <w:rFonts w:eastAsia="Times New Roman"/>
          <w:b/>
          <w:sz w:val="32"/>
          <w:szCs w:val="32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M</w:t>
      </w:r>
    </w:p>
    <w:p w:rsidR="00CC1900" w:rsidRPr="003E70FF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00" w:rsidRDefault="00CC1900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FC5E5A" w:rsidRDefault="00FC5E5A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FC5E5A" w:rsidRDefault="00FC5E5A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FC5E5A" w:rsidRDefault="00FC5E5A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FC5E5A" w:rsidRDefault="00FC5E5A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FC5E5A" w:rsidRDefault="00FC5E5A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FC5E5A" w:rsidRDefault="00FC5E5A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FC5E5A" w:rsidRPr="00A13D7E" w:rsidRDefault="00FC5E5A" w:rsidP="00CC1900">
      <w:pPr>
        <w:suppressAutoHyphens/>
        <w:spacing w:after="120" w:line="276" w:lineRule="auto"/>
        <w:ind w:right="29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CC1900" w:rsidRPr="00FC0C44" w:rsidRDefault="00CC1900" w:rsidP="00CC1900">
      <w:pPr>
        <w:pStyle w:val="Heading3"/>
        <w:rPr>
          <w:rFonts w:eastAsia="Times New Roman"/>
          <w:b/>
          <w:sz w:val="32"/>
          <w:szCs w:val="32"/>
        </w:rPr>
      </w:pPr>
      <w:bookmarkStart w:id="25" w:name="_Toc468426419"/>
      <w:r w:rsidRPr="00FC0C44">
        <w:rPr>
          <w:rFonts w:eastAsia="Times New Roman"/>
          <w:b/>
          <w:sz w:val="32"/>
          <w:szCs w:val="32"/>
        </w:rPr>
        <w:lastRenderedPageBreak/>
        <w:t>Adolescent Health: Early sexual debut and substance abuse</w:t>
      </w:r>
      <w:bookmarkEnd w:id="25"/>
    </w:p>
    <w:p w:rsidR="00CC1900" w:rsidRPr="003A4A8C" w:rsidRDefault="00CC1900" w:rsidP="00CC1900">
      <w:pPr>
        <w:pStyle w:val="Heading3"/>
        <w:rPr>
          <w:rFonts w:ascii="Calibri" w:eastAsia="Times New Roman" w:hAnsi="Calibri" w:cs="Times New Roman"/>
        </w:rPr>
      </w:pPr>
      <w:r w:rsidRPr="003E70FF">
        <w:rPr>
          <w:rFonts w:ascii="Calibri" w:eastAsia="Times New Roman" w:hAnsi="Calibri" w:cs="Times New Roman"/>
        </w:rPr>
        <w:t xml:space="preserve"> </w:t>
      </w:r>
    </w:p>
    <w:tbl>
      <w:tblPr>
        <w:tblW w:w="4700" w:type="pct"/>
        <w:tblLook w:val="04A0" w:firstRow="1" w:lastRow="0" w:firstColumn="1" w:lastColumn="0" w:noHBand="0" w:noVBand="1"/>
      </w:tblPr>
      <w:tblGrid>
        <w:gridCol w:w="10256"/>
        <w:gridCol w:w="1397"/>
        <w:gridCol w:w="1496"/>
        <w:gridCol w:w="1844"/>
      </w:tblGrid>
      <w:tr w:rsidR="00CC1900" w:rsidRPr="003E70FF" w:rsidTr="00FC5E5A">
        <w:trPr>
          <w:trHeight w:val="300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Indicator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Sex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2014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Age-specific fertility rate for women  age 15-19 years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89/1000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87/1000</w:t>
            </w:r>
          </w:p>
        </w:tc>
      </w:tr>
      <w:tr w:rsidR="00CC1900" w:rsidRPr="003E70FF" w:rsidTr="00FC5E5A">
        <w:trPr>
          <w:trHeight w:val="375"/>
        </w:trPr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women age 20-24 years who had at least one live birth before age 18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22.1%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16.7%</w:t>
            </w:r>
          </w:p>
        </w:tc>
      </w:tr>
      <w:tr w:rsidR="00CC1900" w:rsidRPr="003E70FF" w:rsidTr="00FC5E5A">
        <w:trPr>
          <w:trHeight w:val="360"/>
        </w:trPr>
        <w:tc>
          <w:tcPr>
            <w:tcW w:w="3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young people age 15-24 years who had sexual intercourse before age 15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3.8%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3.0%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2.6%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2.8%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Percentage of sexually active young people age 15-24 years who had sex with a non-marital, non-cohabitating partner in the last 12 months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67.0%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37.3%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93.1%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40.9%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Alcohol and Tobacco Use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people who smoked a whole cigarette before age 15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0.2%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2.8%</w:t>
            </w:r>
          </w:p>
        </w:tc>
      </w:tr>
      <w:tr w:rsidR="00CC1900" w:rsidRPr="003E70FF" w:rsidTr="00FC5E5A">
        <w:trPr>
          <w:trHeight w:val="315"/>
        </w:trPr>
        <w:tc>
          <w:tcPr>
            <w:tcW w:w="3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Percentage of people who had at least one alcoholic drink before age 15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1.5%</w:t>
            </w:r>
          </w:p>
        </w:tc>
      </w:tr>
      <w:tr w:rsidR="00CC1900" w:rsidRPr="003E70FF" w:rsidTr="00FC5E5A">
        <w:trPr>
          <w:trHeight w:val="300"/>
        </w:trPr>
        <w:tc>
          <w:tcPr>
            <w:tcW w:w="3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Male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00" w:rsidRPr="003E70FF" w:rsidRDefault="00CC1900" w:rsidP="00CC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70FF">
              <w:rPr>
                <w:rFonts w:ascii="Calibri" w:eastAsia="Times New Roman" w:hAnsi="Calibri" w:cs="Times New Roman"/>
                <w:color w:val="000000"/>
                <w:lang w:val="en-US"/>
              </w:rPr>
              <w:t>5.8%</w:t>
            </w:r>
          </w:p>
        </w:tc>
      </w:tr>
    </w:tbl>
    <w:p w:rsidR="00CC1900" w:rsidRPr="003A4A8C" w:rsidRDefault="00CC1900" w:rsidP="00CC1900">
      <w:pPr>
        <w:suppressAutoHyphens/>
        <w:spacing w:after="120" w:line="276" w:lineRule="auto"/>
        <w:ind w:left="720" w:right="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916">
        <w:rPr>
          <w:rFonts w:ascii="Times New Roman" w:eastAsia="Times New Roman" w:hAnsi="Times New Roman" w:cs="Times New Roman"/>
          <w:b/>
          <w:sz w:val="20"/>
          <w:szCs w:val="20"/>
        </w:rPr>
        <w:t>Source</w:t>
      </w:r>
      <w:r w:rsidRPr="003E70FF">
        <w:rPr>
          <w:rFonts w:ascii="Times New Roman" w:eastAsia="Times New Roman" w:hAnsi="Times New Roman" w:cs="Times New Roman"/>
          <w:sz w:val="20"/>
          <w:szCs w:val="20"/>
        </w:rPr>
        <w:t>:  2010 and 2014 Swaziland MICS Comparative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401">
        <w:rPr>
          <w:rFonts w:eastAsia="Times New Roman"/>
          <w:b/>
          <w:sz w:val="32"/>
          <w:szCs w:val="32"/>
        </w:rPr>
        <w:t>PART 7-7.</w:t>
      </w:r>
      <w:r>
        <w:rPr>
          <w:rFonts w:eastAsia="Times New Roman"/>
          <w:b/>
          <w:sz w:val="32"/>
          <w:szCs w:val="32"/>
        </w:rPr>
        <w:t>3 N</w:t>
      </w:r>
    </w:p>
    <w:p w:rsidR="00CC1900" w:rsidRPr="00A13D7E" w:rsidRDefault="00FC5E5A" w:rsidP="00FC5E5A">
      <w:pPr>
        <w:suppressAutoHyphens/>
        <w:spacing w:after="120" w:line="276" w:lineRule="auto"/>
        <w:ind w:left="720" w:right="26" w:hanging="720"/>
        <w:jc w:val="both"/>
        <w:rPr>
          <w:rFonts w:eastAsia="Times New Roman" w:cs="Times New Roman"/>
          <w:color w:val="00B050"/>
          <w:sz w:val="24"/>
          <w:szCs w:val="24"/>
        </w:rPr>
      </w:pPr>
      <w:r w:rsidRPr="00A13D7E">
        <w:rPr>
          <w:rFonts w:eastAsia="Times New Roman" w:cs="Times New Roman"/>
          <w:color w:val="00B050"/>
          <w:sz w:val="24"/>
          <w:szCs w:val="24"/>
        </w:rPr>
        <w:t xml:space="preserve"> </w:t>
      </w:r>
    </w:p>
    <w:p w:rsidR="00CC1900" w:rsidRPr="00A13D7E" w:rsidRDefault="00CC1900" w:rsidP="00CC1900">
      <w:pPr>
        <w:rPr>
          <w:color w:val="00B050"/>
          <w:lang w:val="en-US"/>
        </w:rPr>
      </w:pPr>
    </w:p>
    <w:p w:rsidR="00CC1900" w:rsidRPr="00A13D7E" w:rsidRDefault="00FC5E5A" w:rsidP="00FC5E5A">
      <w:pPr>
        <w:suppressAutoHyphens/>
        <w:spacing w:after="120" w:line="276" w:lineRule="auto"/>
        <w:ind w:left="540" w:right="26" w:hanging="540"/>
        <w:jc w:val="both"/>
        <w:rPr>
          <w:rFonts w:eastAsia="Times New Roman" w:cs="Times New Roman"/>
          <w:color w:val="00B050"/>
          <w:sz w:val="24"/>
          <w:szCs w:val="24"/>
        </w:rPr>
      </w:pPr>
      <w:r w:rsidRPr="00A13D7E">
        <w:rPr>
          <w:rFonts w:eastAsia="Times New Roman" w:cs="Times New Roman"/>
          <w:color w:val="00B050"/>
          <w:sz w:val="24"/>
          <w:szCs w:val="24"/>
        </w:rPr>
        <w:t xml:space="preserve"> </w:t>
      </w:r>
    </w:p>
    <w:p w:rsidR="00CC1900" w:rsidRPr="00A13D7E" w:rsidRDefault="00FC5E5A" w:rsidP="00FC5E5A">
      <w:pPr>
        <w:suppressAutoHyphens/>
        <w:spacing w:after="120" w:line="276" w:lineRule="auto"/>
        <w:ind w:left="540" w:right="26" w:hanging="540"/>
        <w:jc w:val="both"/>
        <w:rPr>
          <w:rFonts w:eastAsia="Times New Roman" w:cs="Times New Roman"/>
          <w:color w:val="00B050"/>
          <w:sz w:val="24"/>
          <w:szCs w:val="24"/>
        </w:rPr>
      </w:pPr>
      <w:r w:rsidRPr="00A13D7E">
        <w:rPr>
          <w:rFonts w:eastAsia="Times New Roman" w:cs="Times New Roman"/>
          <w:color w:val="00B050"/>
          <w:sz w:val="24"/>
          <w:szCs w:val="24"/>
        </w:rPr>
        <w:t xml:space="preserve"> </w:t>
      </w:r>
    </w:p>
    <w:p w:rsidR="00CC1900" w:rsidRPr="00A13D7E" w:rsidRDefault="00CC1900" w:rsidP="00FC5E5A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76" w:lineRule="auto"/>
        <w:ind w:left="720" w:right="26" w:hanging="720"/>
        <w:jc w:val="both"/>
        <w:rPr>
          <w:rFonts w:eastAsia="Times New Roman" w:cs="Times New Roman"/>
          <w:color w:val="00B050"/>
          <w:sz w:val="24"/>
          <w:szCs w:val="24"/>
        </w:rPr>
      </w:pPr>
      <w:r w:rsidRPr="00A13D7E">
        <w:rPr>
          <w:rFonts w:eastAsia="SimSun" w:cs="Times New Roman"/>
          <w:color w:val="00B050"/>
          <w:sz w:val="24"/>
          <w:szCs w:val="24"/>
          <w:lang w:val="en-US" w:eastAsia="zh-CN"/>
        </w:rPr>
        <w:tab/>
      </w:r>
    </w:p>
    <w:p w:rsidR="00CC1900" w:rsidRPr="00A13D7E" w:rsidRDefault="00FC5E5A" w:rsidP="00FC5E5A">
      <w:pPr>
        <w:suppressAutoHyphens/>
        <w:spacing w:after="120" w:line="276" w:lineRule="auto"/>
        <w:ind w:left="630" w:right="26" w:hanging="540"/>
        <w:jc w:val="both"/>
        <w:rPr>
          <w:rFonts w:eastAsia="Times New Roman" w:cs="Times New Roman"/>
          <w:color w:val="00B050"/>
          <w:sz w:val="24"/>
          <w:szCs w:val="24"/>
        </w:rPr>
      </w:pPr>
      <w:r w:rsidRPr="00A13D7E">
        <w:rPr>
          <w:rFonts w:eastAsia="Times New Roman" w:cs="Times New Roman"/>
          <w:color w:val="00B050"/>
          <w:sz w:val="24"/>
          <w:szCs w:val="24"/>
        </w:rPr>
        <w:t xml:space="preserve"> </w:t>
      </w:r>
    </w:p>
    <w:p w:rsidR="00CC1900" w:rsidRDefault="00CC1900" w:rsidP="00CC1900">
      <w:pPr>
        <w:suppressAutoHyphens/>
        <w:spacing w:after="120" w:line="276" w:lineRule="auto"/>
        <w:ind w:right="26"/>
        <w:jc w:val="both"/>
        <w:rPr>
          <w:rFonts w:eastAsia="Times New Roman" w:cs="Times New Roman"/>
          <w:i/>
          <w:sz w:val="24"/>
          <w:szCs w:val="24"/>
        </w:rPr>
        <w:sectPr w:rsidR="00CC1900" w:rsidSect="002E469D">
          <w:footerReference w:type="default" r:id="rId13"/>
          <w:pgSz w:w="16838" w:h="11906" w:orient="landscape"/>
          <w:pgMar w:top="1440" w:right="111" w:bottom="1440" w:left="993" w:header="720" w:footer="720" w:gutter="0"/>
          <w:pgNumType w:start="0"/>
          <w:cols w:space="720"/>
          <w:titlePg/>
          <w:docGrid w:linePitch="360"/>
        </w:sectPr>
      </w:pPr>
    </w:p>
    <w:p w:rsidR="00CC1900" w:rsidRPr="003E70FF" w:rsidRDefault="00CC1900" w:rsidP="00CC1900">
      <w:pPr>
        <w:suppressAutoHyphens/>
        <w:spacing w:after="120" w:line="276" w:lineRule="auto"/>
        <w:ind w:right="26"/>
        <w:jc w:val="both"/>
        <w:rPr>
          <w:rFonts w:eastAsia="Times New Roman" w:cs="Times New Roman"/>
          <w:i/>
          <w:sz w:val="24"/>
          <w:szCs w:val="24"/>
        </w:rPr>
      </w:pPr>
    </w:p>
    <w:p w:rsidR="00CC1900" w:rsidRPr="003E70FF" w:rsidRDefault="00CC1900" w:rsidP="00CC1900">
      <w:pPr>
        <w:rPr>
          <w:lang w:val="en-US"/>
        </w:rPr>
      </w:pPr>
    </w:p>
    <w:p w:rsidR="00CC1900" w:rsidRPr="003E70FF" w:rsidRDefault="00CC1900" w:rsidP="00CC1900"/>
    <w:p w:rsidR="00CC1900" w:rsidRPr="00C75D94" w:rsidRDefault="00CC1900" w:rsidP="00CC1900">
      <w:pPr>
        <w:spacing w:line="276" w:lineRule="auto"/>
        <w:rPr>
          <w:lang w:val="en-US"/>
        </w:rPr>
      </w:pPr>
    </w:p>
    <w:p w:rsidR="00CC1900" w:rsidRPr="00AF37D5" w:rsidRDefault="00CC1900" w:rsidP="00CC1900">
      <w:pPr>
        <w:spacing w:after="120" w:line="276" w:lineRule="auto"/>
        <w:ind w:right="26"/>
        <w:contextualSpacing/>
        <w:jc w:val="both"/>
        <w:rPr>
          <w:rFonts w:eastAsia="Times New Roman" w:cs="Times New Roman"/>
          <w:color w:val="000000"/>
          <w:lang w:val="en-ZA" w:eastAsia="en-ZA"/>
        </w:rPr>
        <w:sectPr w:rsidR="00CC1900" w:rsidRPr="00AF37D5" w:rsidSect="00CC1900">
          <w:footerReference w:type="default" r:id="rId14"/>
          <w:footerReference w:type="first" r:id="rId15"/>
          <w:pgSz w:w="11906" w:h="16838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CC1900" w:rsidRDefault="00CC1900" w:rsidP="00CC1900">
      <w:pPr>
        <w:spacing w:line="276" w:lineRule="auto"/>
        <w:jc w:val="both"/>
        <w:rPr>
          <w:b/>
          <w:lang w:val="en-ZA"/>
        </w:rPr>
        <w:sectPr w:rsidR="00CC1900" w:rsidSect="00CC1900">
          <w:footerReference w:type="default" r:id="rId16"/>
          <w:footerReference w:type="first" r:id="rId17"/>
          <w:pgSz w:w="11906" w:h="16838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CC1900" w:rsidRPr="002D0935" w:rsidRDefault="00CC1900" w:rsidP="00CC1900">
      <w:pPr>
        <w:spacing w:line="276" w:lineRule="auto"/>
        <w:rPr>
          <w:b/>
          <w:lang w:val="en-ZA"/>
        </w:rPr>
      </w:pPr>
    </w:p>
    <w:p w:rsidR="002D3DC2" w:rsidRDefault="002D3DC2"/>
    <w:sectPr w:rsidR="002D3DC2" w:rsidSect="00CC1900">
      <w:pgSz w:w="16838" w:h="11906" w:orient="landscape"/>
      <w:pgMar w:top="1440" w:right="1103" w:bottom="1440" w:left="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0B" w:rsidRDefault="00B16E0B" w:rsidP="00CC1900">
      <w:pPr>
        <w:spacing w:after="0" w:line="240" w:lineRule="auto"/>
      </w:pPr>
      <w:r>
        <w:separator/>
      </w:r>
    </w:p>
  </w:endnote>
  <w:endnote w:type="continuationSeparator" w:id="0">
    <w:p w:rsidR="00B16E0B" w:rsidRDefault="00B16E0B" w:rsidP="00C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0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9B5" w:rsidRDefault="009A3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39B5" w:rsidRDefault="009A3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A" w:rsidRDefault="00FC5E5A">
    <w:pPr>
      <w:pStyle w:val="Footer"/>
    </w:pPr>
    <w:r>
      <w:rPr>
        <w:noProof/>
        <w:color w:val="4F81BD" w:themeColor="accent1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9D9C2" wp14:editId="69539C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Pr="00AF37D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A" w:rsidRDefault="00FC5E5A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FC5E5A" w:rsidRDefault="00FC5E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32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5E5A" w:rsidRDefault="00FC5E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356B4">
          <w:rPr>
            <w:b/>
            <w:bCs/>
            <w:noProof/>
          </w:rPr>
          <w:t>61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5E5A" w:rsidRDefault="00FC5E5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A" w:rsidRDefault="00FC5E5A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FC5E5A" w:rsidRDefault="00FC5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0B" w:rsidRDefault="00B16E0B" w:rsidP="00CC1900">
      <w:pPr>
        <w:spacing w:after="0" w:line="240" w:lineRule="auto"/>
      </w:pPr>
      <w:r>
        <w:separator/>
      </w:r>
    </w:p>
  </w:footnote>
  <w:footnote w:type="continuationSeparator" w:id="0">
    <w:p w:rsidR="00B16E0B" w:rsidRDefault="00B16E0B" w:rsidP="00CC1900">
      <w:pPr>
        <w:spacing w:after="0" w:line="240" w:lineRule="auto"/>
      </w:pPr>
      <w:r>
        <w:continuationSeparator/>
      </w:r>
    </w:p>
  </w:footnote>
  <w:footnote w:id="1">
    <w:p w:rsidR="00FC5E5A" w:rsidRPr="00657464" w:rsidRDefault="00FC5E5A" w:rsidP="00CC1900">
      <w:pPr>
        <w:pStyle w:val="FootnoteText1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57464">
        <w:t>BCG, measles, and three doses each of DPT and polio vaccine (excluding polio vaccine given at birth)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0CB"/>
    <w:multiLevelType w:val="hybridMultilevel"/>
    <w:tmpl w:val="54F00440"/>
    <w:lvl w:ilvl="0" w:tplc="08090019">
      <w:start w:val="1"/>
      <w:numFmt w:val="lowerLetter"/>
      <w:lvlText w:val="%1."/>
      <w:lvlJc w:val="left"/>
      <w:pPr>
        <w:ind w:left="144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D1A3E"/>
    <w:multiLevelType w:val="hybridMultilevel"/>
    <w:tmpl w:val="CFF2F994"/>
    <w:lvl w:ilvl="0" w:tplc="C0FE7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9028E2"/>
    <w:multiLevelType w:val="hybridMultilevel"/>
    <w:tmpl w:val="20E2D8C4"/>
    <w:lvl w:ilvl="0" w:tplc="85C2DC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145EB"/>
    <w:multiLevelType w:val="hybridMultilevel"/>
    <w:tmpl w:val="75DE530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06231"/>
    <w:multiLevelType w:val="hybridMultilevel"/>
    <w:tmpl w:val="86FE25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CE394C"/>
    <w:multiLevelType w:val="multilevel"/>
    <w:tmpl w:val="C0EEF34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02AFE"/>
    <w:multiLevelType w:val="hybridMultilevel"/>
    <w:tmpl w:val="827672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52132"/>
    <w:multiLevelType w:val="hybridMultilevel"/>
    <w:tmpl w:val="02F26CC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355D"/>
    <w:multiLevelType w:val="multilevel"/>
    <w:tmpl w:val="CAA002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8429A9"/>
    <w:multiLevelType w:val="hybridMultilevel"/>
    <w:tmpl w:val="FA6CAE3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77DC1"/>
    <w:multiLevelType w:val="hybridMultilevel"/>
    <w:tmpl w:val="4F0E6344"/>
    <w:lvl w:ilvl="0" w:tplc="C0FE7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B46E1"/>
    <w:multiLevelType w:val="hybridMultilevel"/>
    <w:tmpl w:val="F2D69D3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DA64C1"/>
    <w:multiLevelType w:val="hybridMultilevel"/>
    <w:tmpl w:val="0382FDB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E7ADB"/>
    <w:multiLevelType w:val="hybridMultilevel"/>
    <w:tmpl w:val="F3DA74A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2B4807"/>
    <w:multiLevelType w:val="hybridMultilevel"/>
    <w:tmpl w:val="F8928692"/>
    <w:lvl w:ilvl="0" w:tplc="8EDAD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6D4D05"/>
    <w:multiLevelType w:val="hybridMultilevel"/>
    <w:tmpl w:val="D99E1BF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A569C6"/>
    <w:multiLevelType w:val="hybridMultilevel"/>
    <w:tmpl w:val="26DAC2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75017"/>
    <w:multiLevelType w:val="hybridMultilevel"/>
    <w:tmpl w:val="9D1CDC7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A410CF"/>
    <w:multiLevelType w:val="hybridMultilevel"/>
    <w:tmpl w:val="A06AA20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4A78EA"/>
    <w:multiLevelType w:val="multilevel"/>
    <w:tmpl w:val="D3C84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22C6C9E"/>
    <w:multiLevelType w:val="hybridMultilevel"/>
    <w:tmpl w:val="929E321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613E9D"/>
    <w:multiLevelType w:val="hybridMultilevel"/>
    <w:tmpl w:val="879004D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F2285"/>
    <w:multiLevelType w:val="hybridMultilevel"/>
    <w:tmpl w:val="25A0D7D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41628A"/>
    <w:multiLevelType w:val="hybridMultilevel"/>
    <w:tmpl w:val="38962AC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AB38B6"/>
    <w:multiLevelType w:val="hybridMultilevel"/>
    <w:tmpl w:val="D6BA4BE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EF00A2"/>
    <w:multiLevelType w:val="hybridMultilevel"/>
    <w:tmpl w:val="094021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4080B"/>
    <w:multiLevelType w:val="hybridMultilevel"/>
    <w:tmpl w:val="74BCAE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67736"/>
    <w:multiLevelType w:val="hybridMultilevel"/>
    <w:tmpl w:val="455C3F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71AAD"/>
    <w:multiLevelType w:val="multilevel"/>
    <w:tmpl w:val="1AB26BE2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6829A8"/>
    <w:multiLevelType w:val="hybridMultilevel"/>
    <w:tmpl w:val="BB927A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130E0"/>
    <w:multiLevelType w:val="hybridMultilevel"/>
    <w:tmpl w:val="817A8AF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585260"/>
    <w:multiLevelType w:val="hybridMultilevel"/>
    <w:tmpl w:val="C8C8415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157B20"/>
    <w:multiLevelType w:val="hybridMultilevel"/>
    <w:tmpl w:val="8CC038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1E6208"/>
    <w:multiLevelType w:val="hybridMultilevel"/>
    <w:tmpl w:val="C4BE449A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D40F37"/>
    <w:multiLevelType w:val="multilevel"/>
    <w:tmpl w:val="CE0AE59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131259"/>
    <w:multiLevelType w:val="hybridMultilevel"/>
    <w:tmpl w:val="42ECE0F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EB52FB"/>
    <w:multiLevelType w:val="hybridMultilevel"/>
    <w:tmpl w:val="56183890"/>
    <w:lvl w:ilvl="0" w:tplc="C0FE78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3E308F"/>
    <w:multiLevelType w:val="hybridMultilevel"/>
    <w:tmpl w:val="1DAA6B4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177DEA"/>
    <w:multiLevelType w:val="hybridMultilevel"/>
    <w:tmpl w:val="BC9060C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65FE1458"/>
    <w:multiLevelType w:val="hybridMultilevel"/>
    <w:tmpl w:val="475CE24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611EA2"/>
    <w:multiLevelType w:val="hybridMultilevel"/>
    <w:tmpl w:val="B8D4240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6763D9"/>
    <w:multiLevelType w:val="hybridMultilevel"/>
    <w:tmpl w:val="A3B01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61A6"/>
    <w:multiLevelType w:val="hybridMultilevel"/>
    <w:tmpl w:val="E752F5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4D0092"/>
    <w:multiLevelType w:val="multilevel"/>
    <w:tmpl w:val="25BE3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43B42C5"/>
    <w:multiLevelType w:val="hybridMultilevel"/>
    <w:tmpl w:val="A266C6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E93D3B"/>
    <w:multiLevelType w:val="hybridMultilevel"/>
    <w:tmpl w:val="FCACDA58"/>
    <w:lvl w:ilvl="0" w:tplc="10063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368B2"/>
    <w:multiLevelType w:val="hybridMultilevel"/>
    <w:tmpl w:val="938E40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6"/>
  </w:num>
  <w:num w:numId="4">
    <w:abstractNumId w:val="10"/>
  </w:num>
  <w:num w:numId="5">
    <w:abstractNumId w:val="33"/>
  </w:num>
  <w:num w:numId="6">
    <w:abstractNumId w:val="11"/>
  </w:num>
  <w:num w:numId="7">
    <w:abstractNumId w:val="45"/>
  </w:num>
  <w:num w:numId="8">
    <w:abstractNumId w:val="7"/>
  </w:num>
  <w:num w:numId="9">
    <w:abstractNumId w:val="2"/>
  </w:num>
  <w:num w:numId="10">
    <w:abstractNumId w:val="0"/>
  </w:num>
  <w:num w:numId="11">
    <w:abstractNumId w:val="35"/>
  </w:num>
  <w:num w:numId="12">
    <w:abstractNumId w:val="4"/>
  </w:num>
  <w:num w:numId="13">
    <w:abstractNumId w:val="31"/>
  </w:num>
  <w:num w:numId="14">
    <w:abstractNumId w:val="20"/>
  </w:num>
  <w:num w:numId="15">
    <w:abstractNumId w:val="24"/>
  </w:num>
  <w:num w:numId="16">
    <w:abstractNumId w:val="18"/>
  </w:num>
  <w:num w:numId="17">
    <w:abstractNumId w:val="27"/>
  </w:num>
  <w:num w:numId="18">
    <w:abstractNumId w:val="30"/>
  </w:num>
  <w:num w:numId="19">
    <w:abstractNumId w:val="37"/>
  </w:num>
  <w:num w:numId="20">
    <w:abstractNumId w:val="32"/>
  </w:num>
  <w:num w:numId="21">
    <w:abstractNumId w:val="40"/>
  </w:num>
  <w:num w:numId="22">
    <w:abstractNumId w:val="8"/>
  </w:num>
  <w:num w:numId="23">
    <w:abstractNumId w:val="5"/>
  </w:num>
  <w:num w:numId="24">
    <w:abstractNumId w:val="34"/>
  </w:num>
  <w:num w:numId="25">
    <w:abstractNumId w:val="26"/>
  </w:num>
  <w:num w:numId="26">
    <w:abstractNumId w:val="14"/>
  </w:num>
  <w:num w:numId="27">
    <w:abstractNumId w:val="39"/>
  </w:num>
  <w:num w:numId="28">
    <w:abstractNumId w:val="28"/>
  </w:num>
  <w:num w:numId="29">
    <w:abstractNumId w:val="23"/>
  </w:num>
  <w:num w:numId="30">
    <w:abstractNumId w:val="13"/>
  </w:num>
  <w:num w:numId="31">
    <w:abstractNumId w:val="12"/>
  </w:num>
  <w:num w:numId="32">
    <w:abstractNumId w:val="17"/>
  </w:num>
  <w:num w:numId="33">
    <w:abstractNumId w:val="16"/>
  </w:num>
  <w:num w:numId="34">
    <w:abstractNumId w:val="9"/>
  </w:num>
  <w:num w:numId="35">
    <w:abstractNumId w:val="44"/>
  </w:num>
  <w:num w:numId="36">
    <w:abstractNumId w:val="6"/>
  </w:num>
  <w:num w:numId="37">
    <w:abstractNumId w:val="29"/>
  </w:num>
  <w:num w:numId="38">
    <w:abstractNumId w:val="36"/>
  </w:num>
  <w:num w:numId="39">
    <w:abstractNumId w:val="1"/>
  </w:num>
  <w:num w:numId="40">
    <w:abstractNumId w:val="38"/>
  </w:num>
  <w:num w:numId="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5"/>
  </w:num>
  <w:num w:numId="45">
    <w:abstractNumId w:val="41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00"/>
    <w:rsid w:val="00044A1B"/>
    <w:rsid w:val="000C1634"/>
    <w:rsid w:val="002266BE"/>
    <w:rsid w:val="00230591"/>
    <w:rsid w:val="002D3DC2"/>
    <w:rsid w:val="002E469D"/>
    <w:rsid w:val="00541916"/>
    <w:rsid w:val="00620834"/>
    <w:rsid w:val="00717D49"/>
    <w:rsid w:val="009A39B5"/>
    <w:rsid w:val="00B16E0B"/>
    <w:rsid w:val="00CC1900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00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90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90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9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19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19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C1900"/>
    <w:pPr>
      <w:ind w:left="720"/>
    </w:pPr>
    <w:rPr>
      <w:rFonts w:eastAsiaTheme="minorEastAsia"/>
      <w:lang w:val="en-ZA" w:eastAsia="en-ZA"/>
    </w:rPr>
  </w:style>
  <w:style w:type="paragraph" w:styleId="NoSpacing">
    <w:name w:val="No Spacing"/>
    <w:link w:val="NoSpacingChar"/>
    <w:uiPriority w:val="1"/>
    <w:qFormat/>
    <w:rsid w:val="00CC19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1900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C1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90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CC190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9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C19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00"/>
    <w:rPr>
      <w:rFonts w:ascii="Segoe UI" w:hAnsi="Segoe UI" w:cs="Segoe UI"/>
      <w:sz w:val="18"/>
      <w:szCs w:val="18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900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90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C1900"/>
    <w:pPr>
      <w:spacing w:after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19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1900"/>
    <w:pPr>
      <w:tabs>
        <w:tab w:val="left" w:pos="880"/>
        <w:tab w:val="right" w:leader="dot" w:pos="9016"/>
      </w:tabs>
      <w:spacing w:after="100"/>
      <w:ind w:left="220" w:hanging="78"/>
    </w:pPr>
  </w:style>
  <w:style w:type="character" w:styleId="Hyperlink">
    <w:name w:val="Hyperlink"/>
    <w:basedOn w:val="DefaultParagraphFont"/>
    <w:uiPriority w:val="99"/>
    <w:unhideWhenUsed/>
    <w:rsid w:val="00CC19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00"/>
    <w:rPr>
      <w:lang w:val="en-GB"/>
    </w:rPr>
  </w:style>
  <w:style w:type="paragraph" w:customStyle="1" w:styleId="SingleTxtG">
    <w:name w:val="_ Single Txt_G"/>
    <w:basedOn w:val="Normal"/>
    <w:rsid w:val="00CC190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23G">
    <w:name w:val="_ H_2/3_G"/>
    <w:basedOn w:val="Normal"/>
    <w:next w:val="Normal"/>
    <w:rsid w:val="00CC190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CC1900"/>
    <w:pPr>
      <w:spacing w:after="0" w:line="240" w:lineRule="auto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19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90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Emphasis">
    <w:name w:val="Emphasis"/>
    <w:basedOn w:val="DefaultParagraphFont"/>
    <w:uiPriority w:val="20"/>
    <w:qFormat/>
    <w:rsid w:val="00CC1900"/>
    <w:rPr>
      <w:b/>
      <w:bCs/>
      <w:i w:val="0"/>
      <w:iCs w:val="0"/>
    </w:rPr>
  </w:style>
  <w:style w:type="character" w:customStyle="1" w:styleId="st1">
    <w:name w:val="st1"/>
    <w:basedOn w:val="DefaultParagraphFont"/>
    <w:rsid w:val="00CC1900"/>
  </w:style>
  <w:style w:type="paragraph" w:styleId="Caption">
    <w:name w:val="caption"/>
    <w:basedOn w:val="Normal"/>
    <w:next w:val="Normal"/>
    <w:uiPriority w:val="35"/>
    <w:unhideWhenUsed/>
    <w:qFormat/>
    <w:rsid w:val="00CC190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CC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C19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CC190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C1900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C1900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C1900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C1900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C1900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C1900"/>
    <w:pPr>
      <w:spacing w:after="100"/>
      <w:ind w:left="1760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00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90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90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9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19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19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C1900"/>
    <w:pPr>
      <w:ind w:left="720"/>
    </w:pPr>
    <w:rPr>
      <w:rFonts w:eastAsiaTheme="minorEastAsia"/>
      <w:lang w:val="en-ZA" w:eastAsia="en-ZA"/>
    </w:rPr>
  </w:style>
  <w:style w:type="paragraph" w:styleId="NoSpacing">
    <w:name w:val="No Spacing"/>
    <w:link w:val="NoSpacingChar"/>
    <w:uiPriority w:val="1"/>
    <w:qFormat/>
    <w:rsid w:val="00CC19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1900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C1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90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CC190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9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C19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00"/>
    <w:rPr>
      <w:rFonts w:ascii="Segoe UI" w:hAnsi="Segoe UI" w:cs="Segoe UI"/>
      <w:sz w:val="18"/>
      <w:szCs w:val="18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900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90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C1900"/>
    <w:pPr>
      <w:spacing w:after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19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1900"/>
    <w:pPr>
      <w:tabs>
        <w:tab w:val="left" w:pos="880"/>
        <w:tab w:val="right" w:leader="dot" w:pos="9016"/>
      </w:tabs>
      <w:spacing w:after="100"/>
      <w:ind w:left="220" w:hanging="78"/>
    </w:pPr>
  </w:style>
  <w:style w:type="character" w:styleId="Hyperlink">
    <w:name w:val="Hyperlink"/>
    <w:basedOn w:val="DefaultParagraphFont"/>
    <w:uiPriority w:val="99"/>
    <w:unhideWhenUsed/>
    <w:rsid w:val="00CC19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00"/>
    <w:rPr>
      <w:lang w:val="en-GB"/>
    </w:rPr>
  </w:style>
  <w:style w:type="paragraph" w:customStyle="1" w:styleId="SingleTxtG">
    <w:name w:val="_ Single Txt_G"/>
    <w:basedOn w:val="Normal"/>
    <w:rsid w:val="00CC190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23G">
    <w:name w:val="_ H_2/3_G"/>
    <w:basedOn w:val="Normal"/>
    <w:next w:val="Normal"/>
    <w:rsid w:val="00CC190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CC1900"/>
    <w:pPr>
      <w:spacing w:after="0" w:line="240" w:lineRule="auto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19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90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Emphasis">
    <w:name w:val="Emphasis"/>
    <w:basedOn w:val="DefaultParagraphFont"/>
    <w:uiPriority w:val="20"/>
    <w:qFormat/>
    <w:rsid w:val="00CC1900"/>
    <w:rPr>
      <w:b/>
      <w:bCs/>
      <w:i w:val="0"/>
      <w:iCs w:val="0"/>
    </w:rPr>
  </w:style>
  <w:style w:type="character" w:customStyle="1" w:styleId="st1">
    <w:name w:val="st1"/>
    <w:basedOn w:val="DefaultParagraphFont"/>
    <w:rsid w:val="00CC1900"/>
  </w:style>
  <w:style w:type="paragraph" w:styleId="Caption">
    <w:name w:val="caption"/>
    <w:basedOn w:val="Normal"/>
    <w:next w:val="Normal"/>
    <w:uiPriority w:val="35"/>
    <w:unhideWhenUsed/>
    <w:qFormat/>
    <w:rsid w:val="00CC190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CC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C19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CC190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C1900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C1900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C1900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C1900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C1900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C1900"/>
    <w:pPr>
      <w:spacing w:after="100"/>
      <w:ind w:left="1760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Proportion</a:t>
            </a:r>
            <a:r>
              <a:rPr lang="en-US" baseline="0"/>
              <a:t> of Children Under 18 Years by Sex 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'Tool 2'!$A$40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'Tool 2'!$B$38:$J$39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strCache>
            </c:strRef>
          </c:cat>
          <c:val>
            <c:numRef>
              <c:f>'Tool 2'!$B$40:$J$40</c:f>
              <c:numCache>
                <c:formatCode>0.0%</c:formatCode>
                <c:ptCount val="9"/>
                <c:pt idx="0">
                  <c:v>0.23399109822877728</c:v>
                </c:pt>
                <c:pt idx="1">
                  <c:v>0.22482061978372594</c:v>
                </c:pt>
                <c:pt idx="2">
                  <c:v>0.2242922677236133</c:v>
                </c:pt>
                <c:pt idx="3">
                  <c:v>0.22370787091688718</c:v>
                </c:pt>
                <c:pt idx="4">
                  <c:v>0.22305490024565133</c:v>
                </c:pt>
                <c:pt idx="5">
                  <c:v>0.22232784769937528</c:v>
                </c:pt>
                <c:pt idx="6">
                  <c:v>0.2221769688430483</c:v>
                </c:pt>
                <c:pt idx="7">
                  <c:v>0.22081307986248291</c:v>
                </c:pt>
                <c:pt idx="8">
                  <c:v>0.22009603573422681</c:v>
                </c:pt>
              </c:numCache>
            </c:numRef>
          </c:val>
        </c:ser>
        <c:ser>
          <c:idx val="1"/>
          <c:order val="1"/>
          <c:tx>
            <c:strRef>
              <c:f>'Tool 2'!$A$41</c:f>
              <c:strCache>
                <c:ptCount val="1"/>
                <c:pt idx="0">
                  <c:v>Female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'Tool 2'!$B$38:$J$39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strCache>
            </c:strRef>
          </c:cat>
          <c:val>
            <c:numRef>
              <c:f>'Tool 2'!$B$41:$J$41</c:f>
              <c:numCache>
                <c:formatCode>0.0%</c:formatCode>
                <c:ptCount val="9"/>
                <c:pt idx="0">
                  <c:v>0.23922356445929066</c:v>
                </c:pt>
                <c:pt idx="1">
                  <c:v>0.23109153697563453</c:v>
                </c:pt>
                <c:pt idx="2">
                  <c:v>0.22869567967310286</c:v>
                </c:pt>
                <c:pt idx="3">
                  <c:v>0.22636536410025143</c:v>
                </c:pt>
                <c:pt idx="4">
                  <c:v>0.22406447812409577</c:v>
                </c:pt>
                <c:pt idx="5">
                  <c:v>0.22178264745167481</c:v>
                </c:pt>
                <c:pt idx="6">
                  <c:v>0.22017175491992888</c:v>
                </c:pt>
                <c:pt idx="7">
                  <c:v>0.21748182272649633</c:v>
                </c:pt>
                <c:pt idx="8">
                  <c:v>0.21555957565605807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34181248"/>
        <c:axId val="213681280"/>
      </c:barChart>
      <c:catAx>
        <c:axId val="13418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81280"/>
        <c:crosses val="autoZero"/>
        <c:auto val="1"/>
        <c:lblAlgn val="ctr"/>
        <c:lblOffset val="100"/>
        <c:noMultiLvlLbl val="0"/>
      </c:catAx>
      <c:valAx>
        <c:axId val="213681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134181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Proportion</a:t>
            </a:r>
            <a:r>
              <a:rPr lang="en-US" baseline="0"/>
              <a:t> of Children Under 18 Years by Place of Residence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'Tool 2'!$A$49</c:f>
              <c:strCache>
                <c:ptCount val="1"/>
                <c:pt idx="0">
                  <c:v>Urban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numRef>
              <c:f>'Tool 2'!$B$48:$J$48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'Tool 2'!$B$49:$J$49</c:f>
              <c:numCache>
                <c:formatCode>0.0%</c:formatCode>
                <c:ptCount val="9"/>
                <c:pt idx="0">
                  <c:v>7.7522782191351794E-2</c:v>
                </c:pt>
                <c:pt idx="1">
                  <c:v>7.9661971394149933E-2</c:v>
                </c:pt>
                <c:pt idx="2">
                  <c:v>7.8046284219877415E-2</c:v>
                </c:pt>
                <c:pt idx="3">
                  <c:v>7.6590753629065117E-2</c:v>
                </c:pt>
                <c:pt idx="4">
                  <c:v>7.5345602482924739E-2</c:v>
                </c:pt>
                <c:pt idx="5">
                  <c:v>7.4374940412112164E-2</c:v>
                </c:pt>
                <c:pt idx="6">
                  <c:v>7.3871860776144369E-2</c:v>
                </c:pt>
                <c:pt idx="7">
                  <c:v>7.3237936735946627E-2</c:v>
                </c:pt>
                <c:pt idx="8">
                  <c:v>7.307202680067007E-2</c:v>
                </c:pt>
              </c:numCache>
            </c:numRef>
          </c:val>
        </c:ser>
        <c:ser>
          <c:idx val="1"/>
          <c:order val="1"/>
          <c:tx>
            <c:strRef>
              <c:f>'Tool 2'!$A$50</c:f>
              <c:strCache>
                <c:ptCount val="1"/>
                <c:pt idx="0">
                  <c:v>Rural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numRef>
              <c:f>'Tool 2'!$B$48:$J$48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'Tool 2'!$B$50:$J$50</c:f>
              <c:numCache>
                <c:formatCode>0.0%</c:formatCode>
                <c:ptCount val="9"/>
                <c:pt idx="0">
                  <c:v>0.39569188049671611</c:v>
                </c:pt>
                <c:pt idx="1">
                  <c:v>0.37625018536521104</c:v>
                </c:pt>
                <c:pt idx="2">
                  <c:v>0.37494166317683914</c:v>
                </c:pt>
                <c:pt idx="3">
                  <c:v>0.37348248138807427</c:v>
                </c:pt>
                <c:pt idx="4">
                  <c:v>0.37177377588682264</c:v>
                </c:pt>
                <c:pt idx="5">
                  <c:v>0.36973555473893766</c:v>
                </c:pt>
                <c:pt idx="6">
                  <c:v>0.36847686298683358</c:v>
                </c:pt>
                <c:pt idx="7">
                  <c:v>0.36505696585303266</c:v>
                </c:pt>
                <c:pt idx="8">
                  <c:v>0.36079687325516496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544704"/>
        <c:axId val="123546240"/>
      </c:barChart>
      <c:catAx>
        <c:axId val="12354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546240"/>
        <c:crosses val="autoZero"/>
        <c:auto val="1"/>
        <c:lblAlgn val="ctr"/>
        <c:lblOffset val="100"/>
        <c:noMultiLvlLbl val="0"/>
      </c:catAx>
      <c:valAx>
        <c:axId val="123546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123544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'Tool 4 '!$A$4</c:f>
              <c:strCache>
                <c:ptCount val="1"/>
                <c:pt idx="0">
                  <c:v>Percentage of children under age 5 whose births are reported registered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'Tool 4 '!$B$3:$D$3</c:f>
              <c:strCache>
                <c:ptCount val="3"/>
                <c:pt idx="0">
                  <c:v>2006/7</c:v>
                </c:pt>
                <c:pt idx="1">
                  <c:v>2010</c:v>
                </c:pt>
                <c:pt idx="2">
                  <c:v>2014</c:v>
                </c:pt>
              </c:strCache>
            </c:strRef>
          </c:cat>
          <c:val>
            <c:numRef>
              <c:f>'Tool 4 '!$B$4:$D$4</c:f>
              <c:numCache>
                <c:formatCode>0.0%</c:formatCode>
                <c:ptCount val="3"/>
                <c:pt idx="0" formatCode="0.00%">
                  <c:v>0.29800000000000026</c:v>
                </c:pt>
                <c:pt idx="1">
                  <c:v>0.49500000000000022</c:v>
                </c:pt>
                <c:pt idx="2">
                  <c:v>0.53500000000000003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4973824"/>
        <c:axId val="214976768"/>
      </c:barChart>
      <c:catAx>
        <c:axId val="21497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976768"/>
        <c:crosses val="autoZero"/>
        <c:auto val="1"/>
        <c:lblAlgn val="ctr"/>
        <c:lblOffset val="100"/>
        <c:noMultiLvlLbl val="0"/>
      </c:catAx>
      <c:valAx>
        <c:axId val="2149767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one"/>
        <c:crossAx val="21497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Child Mortality per 1,000 Live Births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'Tool 7'!$A$38</c:f>
              <c:strCache>
                <c:ptCount val="1"/>
                <c:pt idx="0">
                  <c:v>Infant Mortality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'Tool 7'!$B$37:$C$37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'Tool 7'!$B$38:$C$38</c:f>
              <c:numCache>
                <c:formatCode>General</c:formatCode>
                <c:ptCount val="2"/>
                <c:pt idx="0">
                  <c:v>79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'Tool 7'!$A$39</c:f>
              <c:strCache>
                <c:ptCount val="1"/>
                <c:pt idx="0">
                  <c:v>Under five mortality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'Tool 7'!$B$37:$C$37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'Tool 7'!$B$39:$C$39</c:f>
              <c:numCache>
                <c:formatCode>General</c:formatCode>
                <c:ptCount val="2"/>
                <c:pt idx="0">
                  <c:v>104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5076224"/>
        <c:axId val="215139456"/>
      </c:barChart>
      <c:catAx>
        <c:axId val="21507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139456"/>
        <c:crosses val="autoZero"/>
        <c:auto val="1"/>
        <c:lblAlgn val="ctr"/>
        <c:lblOffset val="100"/>
        <c:noMultiLvlLbl val="0"/>
      </c:catAx>
      <c:valAx>
        <c:axId val="215139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1507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'Tool 7'!$A$86</c:f>
              <c:strCache>
                <c:ptCount val="1"/>
                <c:pt idx="0">
                  <c:v> Maternal mortality ratio per 100,000 live Births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'Tool 7'!$B$85:$D$85</c:f>
              <c:numCache>
                <c:formatCode>General</c:formatCode>
                <c:ptCount val="3"/>
                <c:pt idx="0">
                  <c:v>2007</c:v>
                </c:pt>
                <c:pt idx="1">
                  <c:v>2010</c:v>
                </c:pt>
                <c:pt idx="2">
                  <c:v>2014</c:v>
                </c:pt>
              </c:numCache>
            </c:numRef>
          </c:cat>
          <c:val>
            <c:numRef>
              <c:f>'Tool 7'!$B$86:$D$86</c:f>
              <c:numCache>
                <c:formatCode>General</c:formatCode>
                <c:ptCount val="3"/>
                <c:pt idx="0">
                  <c:v>589</c:v>
                </c:pt>
                <c:pt idx="1">
                  <c:v>320</c:v>
                </c:pt>
                <c:pt idx="2">
                  <c:v>593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5218944"/>
        <c:axId val="225221632"/>
      </c:lineChart>
      <c:catAx>
        <c:axId val="2252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221632"/>
        <c:crosses val="autoZero"/>
        <c:auto val="1"/>
        <c:lblAlgn val="ctr"/>
        <c:lblOffset val="100"/>
        <c:noMultiLvlLbl val="0"/>
      </c:catAx>
      <c:valAx>
        <c:axId val="225221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2521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DA87F-1328-48FB-B3A6-E370A522D2B1}"/>
</file>

<file path=customXml/itemProps2.xml><?xml version="1.0" encoding="utf-8"?>
<ds:datastoreItem xmlns:ds="http://schemas.openxmlformats.org/officeDocument/2006/customXml" ds:itemID="{91D545DB-E925-4662-B05C-B745ED4D8228}"/>
</file>

<file path=customXml/itemProps3.xml><?xml version="1.0" encoding="utf-8"?>
<ds:datastoreItem xmlns:ds="http://schemas.openxmlformats.org/officeDocument/2006/customXml" ds:itemID="{7BFC5AA1-59DC-4EA9-B055-2528CD41D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Oupa</dc:creator>
  <cp:lastModifiedBy>Oupa</cp:lastModifiedBy>
  <cp:revision>2</cp:revision>
  <cp:lastPrinted>2017-12-14T10:56:00Z</cp:lastPrinted>
  <dcterms:created xsi:type="dcterms:W3CDTF">2017-12-14T12:31:00Z</dcterms:created>
  <dcterms:modified xsi:type="dcterms:W3CDTF">2017-12-14T12:31:00Z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